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0288;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11</w:t>
      </w:r>
      <w:r>
        <w:rPr>
          <w:rFonts w:ascii="黑体" w:hAnsi="黑体" w:eastAsia="黑体" w:cs="Times New Roman"/>
        </w:rPr>
        <w:t>.</w:t>
      </w:r>
      <w:r>
        <w:rPr>
          <w:rFonts w:hint="eastAsia" w:ascii="黑体" w:hAnsi="黑体" w:eastAsia="黑体" w:cs="Times New Roman"/>
          <w:lang w:val="en-US" w:eastAsia="zh-CN"/>
        </w:rPr>
        <w:t>020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C</w:t>
      </w:r>
      <w:r>
        <w:rPr>
          <w:rFonts w:ascii="黑体" w:hAnsi="黑体" w:eastAsia="黑体" w:cs="Times New Roman"/>
        </w:rPr>
        <w:t xml:space="preserve"> </w:t>
      </w:r>
      <w:r>
        <w:rPr>
          <w:rFonts w:hint="eastAsia" w:ascii="黑体" w:hAnsi="黑体" w:eastAsia="黑体" w:cs="Times New Roman"/>
          <w:lang w:val="en-US" w:eastAsia="zh-CN"/>
        </w:rPr>
        <w:t>50</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3360;mso-width-relative:page;mso-height-relative:page;" filled="f" stroked="t" coordsize="21600,21600" o:gfxdata="UEsDBAoAAAAAAIdO4kAAAAAAAAAAAAAAAAAEAAAAZHJzL1BLAwQUAAAACACHTuJAn71c8NcAAAAK&#10;AQAADwAAAGRycy9kb3ducmV2LnhtbE2PTUvEMBCG74L/IYzgzU3aYtutTRcUFNSTq+A124xtMR8l&#10;SXerv97xpKfhZR7ej3a3WsOOGOLknYRsI4Ch672e3CDh7fX+qgYWk3JaGe9QwhdG2HXnZ61qtD+5&#10;Fzzu08DIxMVGSRhTmhvOYz+iVXHjZ3T0+/DBqkQyDFwHdSJza3guRMmtmhwljGrGuxH7z/1iJdjl&#10;+3mbr+FxyB7en7Aobk01r1JeXmTiBljCNf3B8FufqkNHnQ5+cToyQzqviKRbl7SJgG1VXgM7SMjr&#10;QgDvWv5/QvcDUEsDBBQAAAAIAIdO4kATdY3IQgIAAJEEAAAOAAAAZHJzL2Uyb0RvYy54bWytVE1v&#10;2zAMvQ/YfxB0Xx2naZcadYquRYcB3QfQ7gcoshwLk0SNUmJ3v36UlGZZd+lhPggiKT2S71G+vJqs&#10;YTuFQYNreX0y40w5CZ12m5Z/f7x7t+QsROE6YcCplj+pwK9Wb99cjr5RcxjAdAoZgbjQjL7lQ4y+&#10;qaogB2VFOAGvHAV7QCsimbipOhQjoVtTzWez82oE7DyCVCGQ97YE+R4RXwMIfa+lugW5tcrFgorK&#10;iEgthUH7wFe52r5XMn7t+6AiMy2nTmNeKQnt12mtVpei2aDwg5b7EsRrSnjRkxXaUdID1K2Igm1R&#10;/wNltUQI0McTCbYqjWRGqIt69oKbh0F4lXshqoM/kB7+H6z8svuGTHctP+XMCUuCP6opsg8wsXqZ&#10;6Bl9aOjUg6dzcSI/DU1uNfh7kD8Cc3AzCLdR14gwDkp0VF6dblZHVwtOSCDr8TN0lEdsI2SgqUeb&#10;uCM2GKGTNE8HaVItkpznNfFzSiFJsfP67OIsa1eJ5vm2xxA/KrAsbVqOJH1GF7v7EFM1onk+kpI5&#10;uNPGZPmNY2NKmNwBjO5SJBu4Wd8YZDtB03OXv3zIbC21UNz1LH1ljshP01b8z+WFgpHz/wVudaR3&#10;ZLRt+fKAQUUat2cukVVoi9N62iuxhu6JOEQok0zvmDYD4C/ORpriloefW4GKM/PJkQ4X9WKRxj4b&#10;i7P3czLwOLI+jggnCarlkbOyvYnlqWw96s1AmYryDq5Ju15nWpPIpap93TSpudv9q0pP4djOp/78&#10;S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9XPDXAAAACgEAAA8AAAAAAAAAAQAgAAAAIgAA&#10;AGRycy9kb3ducmV2LnhtbFBLAQIUABQAAAAIAIdO4kATdY3IQgIAAJEEAAAOAAAAAAAAAAEAIAAA&#10;ACYBAABkcnMvZTJvRG9jLnhtbFBLBQYAAAAABgAGAFkBAADaBQAAAAA=&#10;">
                <v:fill on="f" focussize="0,0"/>
                <v:stroke weight="0pt" color="#FFFFFF [3228]"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4384"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2024</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4384;mso-width-relative:page;mso-height-relative:page;" filled="f" stroked="t" coordsize="21600,21600" o:gfxdata="UEsDBAoAAAAAAIdO4kAAAAAAAAAAAAAAAAAEAAAAZHJzL1BLAwQUAAAACACHTuJAIYFmVtoAAAAL&#10;AQAADwAAAGRycy9kb3ducmV2LnhtbE2Py07DMBBF90j8gzVI7Fo7MekjxKkEEkjAioLE1o2nSYQf&#10;Uey0ga9nWMFyNEf3nlvtZmfZCcfYB68gWwpg6Jtget8qeH97WGyAxaS90TZ4VPCFEXb15UWlSxPO&#10;/hVP+9QyCvGx1Aq6lIaS89h06HRchgE9/Y5hdDrRObbcjPpM4c7yXIgVd7r31NDpAe87bD73k1Pg&#10;pu+XbT6PT232+PGMUt7Z9TArdX2ViVtgCef0B8OvPqlDTU6HMHkTmVWwyFfbNbEKZJEXwAiRksYc&#10;FNwIUQCvK/5/Q/0DUEsDBBQAAAAIAIdO4kAXv8NfQwIAAJEEAAAOAAAAZHJzL2Uyb0RvYy54bWyt&#10;VNtu3CAQfa/Uf0C8N/ZutrlY8UZpolSV0ouU9ANYjNeowNCBXTv9+g7gpNv0JQ/1A2Jm4MzMOYMv&#10;Lidr2F5h0OBavjiqOVNOQqfdtuXfH27fnXEWonCdMOBUyx9V4Jfrt28uRt+oJQxgOoWMQFxoRt/y&#10;IUbfVFWQg7IiHIFXjoI9oBWRTNxWHYqR0K2plnV9Uo2AnUeQKgTy3pQgnxHxNYDQ91qqG5A7q1ws&#10;qKiMiNRSGLQPfJ2r7Xsl49e+Dyoy03LqNOaVktB+k9ZqfSGaLQo/aDmXIF5TwouerNCOkj5D3Ygo&#10;2A71P1BWS4QAfTySYKvSSGaEuljUL7i5H4RXuReiOvhn0sP/g5Vf9t+Q6a7lJ5w5YUnwBzVF9gEm&#10;tjhP9Iw+NHTq3tO5OJGfhia3GvwdyB+BObgehNuqK0QYByU6Km+RblYHVwtOSCCb8TN0lEfsImSg&#10;qUebuCM2GKGTNI/P0qRaZEp5vjw9Xq04kxQ7rldnddauEs3TbY8hflRgWdq0HEn6jC72dyGmakTz&#10;dCQlc3CrjcnyG8fGlDC5AxjdpUg2cLu5Nsj2gqbnNn/5kNlZaqG4F3X6yhyRn6at+J/KCwUj5/8L&#10;3OpI78ho23JqZsagIo2bmUtkFdritJlmJTbQPRKHCGWS6R3TZgD8xdlIU9zy8HMnUHFmPjnS4Xyx&#10;WqWxz8bq/emSDDyMbA4jwkmCannkrGyvY3kqO496O1CmoryDK9Ku15nWJHKpaq6bJjV3O7+q9BQO&#10;7Xzqz59k/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hgWZW2gAAAAsBAAAPAAAAAAAAAAEAIAAA&#10;ACIAAABkcnMvZG93bnJldi54bWxQSwECFAAUAAAACACHTuJAF7/DX0MCAACRBAAADgAAAAAAAAAB&#10;ACAAAAApAQAAZHJzL2Uyb0RvYy54bWxQSwUGAAAAAAYABgBZAQAA3gUAAAAA&#10;">
                <v:fill on="f" focussize="0,0"/>
                <v:stroke weight="0pt" color="#FFFFFF [3228]"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2024</w:t>
                      </w:r>
                    </w:p>
                  </w:txbxContent>
                </v:textbox>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1312;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老年人跌倒高危人群风险管理规范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 xml:space="preserve">Risk management specification for elderly people </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at high risk of falling</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2336;mso-width-relative:page;mso-height-relative:page;" filled="f" stroked="t" coordsize="21600,21600" o:gfxdata="UEsDBAoAAAAAAIdO4kAAAAAAAAAAAAAAAAAEAAAAZHJzL1BLAwQUAAAACACHTuJADEjfEtkAAAAL&#10;AQAADwAAAGRycy9kb3ducmV2LnhtbE2PzU7DMBCE70i8g7VI3KjjhKZtiFMJJJCgJwpSr268JBH+&#10;iWynDTw9ywmOs/NpdqbeztawE4Y4eCdBLDJg6FqvB9dJeH97vFkDi0k5rYx3KOELI2yby4taVdqf&#10;3Sue9qljFOJipST0KY0V57Ht0aq48CM68j58sCqRDB3XQZ0p3BqeZ1nJrRocfejViA89tp/7yUqw&#10;0/duk8/huRNPhxcsinuzGmcpr69Edgcs4Zz+YPitT9WhoU5HPzkdmSGdr4iUUC5zAYyAze2SLkdy&#10;RFmUwJua/9/Q/ABQSwMEFAAAAAgAh07iQAxuUVtEAgAAkgQAAA4AAABkcnMvZTJvRG9jLnhtbK1U&#10;zW7bMAy+D9g7CLqvTrJkbY06RZegw4CuG9DuARRZjoVJokYpsbunHyWlWdZdepgPgvijj+RH0lfX&#10;ozVsrzBocA2fnk04U05Cq9224d8fb99dcBaicK0w4FTDn1Tg18u3b64GX6sZ9GBahYxAXKgH3/A+&#10;Rl9XVZC9siKcgVeOjB2gFZFE3FYtioHQralmk8mHagBsPYJUIZB2XYz8gIivAYSu01KtQe6scrGg&#10;ojIiUkmh1z7wZc6265SMX7suqMhMw6nSmE8KQvdNOqvllai3KHyv5SEF8ZoUXtRkhXYU9Ai1FlGw&#10;Hep/oKyWCAG6eCbBVqWQzAhVMZ284OahF17lWojq4I+kh/8HK+/335DptuFzzpyw1PBHNUb2EUY2&#10;PU/0DD7U5PXgyS+OpKehyaUGfwfyR2AOVr1wW3WDCEOvREvpTdPL6uRpwQkJZDN8gZbiiF2EDDR2&#10;aBN3xAYjdGrN07E1KRdJysXlbL5YkEmS7f1sfjGZLXIMUT8/9xjiJwWWpUvDkXqf4cX+LsSUjqif&#10;XVI0B7famNx/49iQIiZ1AKPbZMkCbjcrg2wvaHxu85edzM5SDUU9naSvDBLpadyKPqsoZigYOf5f&#10;4FZHWiSjbcMvjhj0wLgDdYmtwlscN+OhFRton4hEhDLKtMh06QF/cTbQGDc8/NwJVJyZz44acTmd&#10;z9PcZ2G+OJ+RgKeWzalFOElQDY+clesqll3ZedTbniKV1ju4oeZ1OtOaulyyOuRNo5qrPaxV2oVT&#10;OXv9+ZU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MSN8S2QAAAAsBAAAPAAAAAAAAAAEAIAAA&#10;ACIAAABkcnMvZG93bnJldi54bWxQSwECFAAUAAAACACHTuJADG5RW0QCAACSBAAADgAAAAAAAAAB&#10;ACAAAAAoAQAAZHJzL2Uyb0RvYy54bWxQSwUGAAAAAAYABgBZAQAA3gUAAAAA&#10;">
                <v:fill on="f" focussize="0,0"/>
                <v:stroke weight="0pt" color="#FFFFFF [3228]"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老年人跌倒高危人群风险管理规范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 xml:space="preserve">Risk management specification for elderly people </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at high risk of falling</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5408;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pgSz w:w="11906" w:h="16838"/>
          <w:pgMar w:top="567" w:right="851" w:bottom="1134" w:left="1418" w:header="0" w:footer="0" w:gutter="0"/>
          <w:pgBorders>
            <w:top w:val="none" w:sz="0" w:space="0"/>
            <w:left w:val="none" w:sz="0" w:space="0"/>
            <w:bottom w:val="none" w:sz="0" w:space="0"/>
            <w:right w:val="none" w:sz="0" w:space="0"/>
          </w:pgBorders>
          <w:pgNumType w:fmt="decimal"/>
          <w:cols w:space="425" w:num="1"/>
          <w:docGrid w:type="lines" w:linePitch="312" w:charSpace="0"/>
        </w:sectPr>
      </w:pPr>
    </w:p>
    <w:p>
      <w:pPr>
        <w:snapToGrid w:val="0"/>
        <w:spacing w:before="567" w:after="680"/>
        <w:jc w:val="center"/>
        <w:rPr>
          <w:rFonts w:hint="eastAsia" w:ascii="黑体" w:hAnsi="黑体" w:eastAsia="黑体"/>
          <w:sz w:val="32"/>
          <w:szCs w:val="32"/>
        </w:rPr>
      </w:pPr>
      <w:r>
        <w:rPr>
          <w:rFonts w:hint="eastAsia" w:ascii="黑体" w:hAnsi="黑体" w:eastAsia="黑体"/>
          <w:sz w:val="32"/>
          <w:szCs w:val="32"/>
        </w:rPr>
        <w:t>目    次</w:t>
      </w:r>
    </w:p>
    <w:sdt>
      <w:sdtPr>
        <w:rPr>
          <w:rFonts w:hint="eastAsia" w:ascii="宋体" w:hAnsi="宋体" w:eastAsia="宋体" w:cs="宋体"/>
          <w:kern w:val="2"/>
          <w:sz w:val="21"/>
          <w:szCs w:val="21"/>
          <w:lang w:val="en-US" w:eastAsia="zh-CN" w:bidi="ar-SA"/>
        </w:rPr>
        <w:id w:val="147470532"/>
        <w15:color w:val="DBDBDB"/>
        <w:docPartObj>
          <w:docPartGallery w:val="Table of Contents"/>
          <w:docPartUnique/>
        </w:docPartObj>
      </w:sdtPr>
      <w:sdtEndPr>
        <w:rPr>
          <w:rFonts w:hint="eastAsia" w:asciiTheme="minorHAnsi" w:hAnsiTheme="minorHAnsi" w:eastAsiaTheme="minorEastAsia" w:cstheme="minorBidi"/>
          <w:kern w:val="2"/>
          <w:sz w:val="21"/>
          <w:szCs w:val="22"/>
          <w:lang w:val="en-US" w:eastAsia="zh-CN" w:bidi="ar-SA"/>
        </w:rPr>
      </w:sdtEndPr>
      <w:sdtContent>
        <w:p>
          <w:pPr>
            <w:pStyle w:val="76"/>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"1-3"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_Toc8665 </w:instrText>
          </w:r>
          <w:r>
            <w:rPr>
              <w:rFonts w:hint="eastAsia" w:ascii="宋体" w:hAnsi="宋体" w:eastAsia="宋体" w:cs="宋体"/>
              <w:sz w:val="21"/>
              <w:szCs w:val="21"/>
            </w:rPr>
            <w:fldChar w:fldCharType="separate"/>
          </w:r>
          <w:r>
            <w:rPr>
              <w:rFonts w:hint="eastAsia" w:ascii="宋体" w:hAnsi="宋体" w:eastAsia="宋体" w:cs="宋体"/>
              <w:kern w:val="0"/>
              <w:sz w:val="21"/>
              <w:szCs w:val="21"/>
              <w:lang w:val="en-US" w:eastAsia="zh-CN"/>
            </w:rPr>
            <w:t>前言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_Toc8665 \h </w:instrText>
          </w:r>
          <w:r>
            <w:rPr>
              <w:rFonts w:hint="eastAsia" w:ascii="宋体" w:hAnsi="宋体" w:eastAsia="宋体" w:cs="宋体"/>
              <w:sz w:val="21"/>
              <w:szCs w:val="21"/>
            </w:rPr>
            <w:fldChar w:fldCharType="separate"/>
          </w:r>
          <w:r>
            <w:rPr>
              <w:rFonts w:hint="eastAsia" w:ascii="宋体" w:hAnsi="宋体" w:eastAsia="宋体" w:cs="宋体"/>
              <w:sz w:val="21"/>
              <w:szCs w:val="21"/>
            </w:rPr>
            <w:t>II</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_Toc19162 </w:instrText>
          </w:r>
          <w:r>
            <w:rPr>
              <w:rFonts w:hint="eastAsia" w:ascii="宋体" w:hAnsi="宋体" w:eastAsia="宋体" w:cs="宋体"/>
              <w:sz w:val="21"/>
              <w:szCs w:val="21"/>
            </w:rPr>
            <w:fldChar w:fldCharType="separate"/>
          </w:r>
          <w:r>
            <w:rPr>
              <w:rFonts w:hint="eastAsia" w:ascii="宋体" w:hAnsi="宋体" w:eastAsia="宋体" w:cs="宋体"/>
              <w:i w:val="0"/>
              <w:sz w:val="21"/>
              <w:szCs w:val="21"/>
            </w:rPr>
            <w:t xml:space="preserve">1 </w:t>
          </w:r>
          <w:r>
            <w:rPr>
              <w:rFonts w:hint="eastAsia" w:ascii="宋体" w:hAnsi="宋体" w:eastAsia="宋体" w:cs="宋体"/>
              <w:i w:val="0"/>
              <w:sz w:val="21"/>
              <w:szCs w:val="21"/>
              <w:lang w:val="en-US" w:eastAsia="zh-CN"/>
            </w:rPr>
            <w:t xml:space="preserve"> </w:t>
          </w:r>
          <w:r>
            <w:rPr>
              <w:rFonts w:hint="eastAsia" w:ascii="宋体" w:hAnsi="宋体" w:eastAsia="宋体" w:cs="宋体"/>
              <w:sz w:val="21"/>
              <w:szCs w:val="21"/>
            </w:rPr>
            <w:t>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_Toc19162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_Toc10281 </w:instrText>
          </w:r>
          <w:r>
            <w:rPr>
              <w:rFonts w:hint="eastAsia" w:ascii="宋体" w:hAnsi="宋体" w:eastAsia="宋体" w:cs="宋体"/>
              <w:sz w:val="21"/>
              <w:szCs w:val="21"/>
            </w:rPr>
            <w:fldChar w:fldCharType="separate"/>
          </w:r>
          <w:r>
            <w:rPr>
              <w:rFonts w:hint="eastAsia" w:ascii="宋体" w:hAnsi="宋体" w:eastAsia="宋体" w:cs="宋体"/>
              <w:i w:val="0"/>
              <w:sz w:val="21"/>
              <w:szCs w:val="21"/>
            </w:rPr>
            <w:t xml:space="preserve">2 </w:t>
          </w:r>
          <w:r>
            <w:rPr>
              <w:rFonts w:hint="eastAsia" w:ascii="宋体" w:hAnsi="宋体" w:eastAsia="宋体" w:cs="宋体"/>
              <w:i w:val="0"/>
              <w:sz w:val="21"/>
              <w:szCs w:val="21"/>
              <w:lang w:val="en-US" w:eastAsia="zh-CN"/>
            </w:rPr>
            <w:t xml:space="preserve"> </w:t>
          </w:r>
          <w:r>
            <w:rPr>
              <w:rFonts w:hint="eastAsia" w:ascii="宋体" w:hAnsi="宋体" w:eastAsia="宋体" w:cs="宋体"/>
              <w:sz w:val="21"/>
              <w:szCs w:val="21"/>
            </w:rPr>
            <w:t>规范性引用文件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_Toc10281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_Toc1531 </w:instrText>
          </w:r>
          <w:r>
            <w:rPr>
              <w:rFonts w:hint="eastAsia" w:ascii="宋体" w:hAnsi="宋体" w:eastAsia="宋体" w:cs="宋体"/>
              <w:sz w:val="21"/>
              <w:szCs w:val="21"/>
            </w:rPr>
            <w:fldChar w:fldCharType="separate"/>
          </w:r>
          <w:r>
            <w:rPr>
              <w:rFonts w:hint="eastAsia" w:ascii="宋体" w:hAnsi="宋体" w:eastAsia="宋体" w:cs="宋体"/>
              <w:i w:val="0"/>
              <w:sz w:val="21"/>
              <w:szCs w:val="21"/>
            </w:rPr>
            <w:t xml:space="preserve">3 </w:t>
          </w:r>
          <w:r>
            <w:rPr>
              <w:rFonts w:hint="eastAsia" w:ascii="宋体" w:hAnsi="宋体" w:eastAsia="宋体" w:cs="宋体"/>
              <w:i w:val="0"/>
              <w:sz w:val="21"/>
              <w:szCs w:val="21"/>
              <w:lang w:val="en-US" w:eastAsia="zh-CN"/>
            </w:rPr>
            <w:t xml:space="preserve"> </w:t>
          </w:r>
          <w:r>
            <w:rPr>
              <w:rFonts w:hint="eastAsia" w:ascii="宋体" w:hAnsi="宋体" w:eastAsia="宋体" w:cs="宋体"/>
              <w:sz w:val="21"/>
              <w:szCs w:val="21"/>
            </w:rPr>
            <w:t>术语和定义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_Toc1531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_Toc20278 </w:instrText>
          </w:r>
          <w:r>
            <w:rPr>
              <w:rFonts w:hint="eastAsia" w:ascii="宋体" w:hAnsi="宋体" w:eastAsia="宋体" w:cs="宋体"/>
              <w:sz w:val="21"/>
              <w:szCs w:val="21"/>
            </w:rPr>
            <w:fldChar w:fldCharType="separate"/>
          </w:r>
          <w:r>
            <w:rPr>
              <w:rFonts w:hint="eastAsia" w:ascii="宋体" w:hAnsi="宋体" w:eastAsia="宋体" w:cs="宋体"/>
              <w:i w:val="0"/>
              <w:sz w:val="21"/>
              <w:szCs w:val="21"/>
            </w:rPr>
            <w:t xml:space="preserve">4 </w:t>
          </w:r>
          <w:r>
            <w:rPr>
              <w:rFonts w:hint="eastAsia" w:ascii="宋体" w:hAnsi="宋体" w:eastAsia="宋体" w:cs="宋体"/>
              <w:i w:val="0"/>
              <w:sz w:val="21"/>
              <w:szCs w:val="21"/>
              <w:lang w:val="en-US" w:eastAsia="zh-CN"/>
            </w:rPr>
            <w:t xml:space="preserve"> </w:t>
          </w:r>
          <w:r>
            <w:rPr>
              <w:rFonts w:hint="eastAsia" w:ascii="宋体" w:hAnsi="宋体" w:eastAsia="宋体" w:cs="宋体"/>
              <w:sz w:val="21"/>
              <w:szCs w:val="21"/>
              <w:lang w:val="en-US" w:eastAsia="zh-CN"/>
            </w:rPr>
            <w:t>基本要求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_Toc20278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_Toc16295 </w:instrText>
          </w:r>
          <w:r>
            <w:rPr>
              <w:rFonts w:hint="eastAsia" w:ascii="宋体" w:hAnsi="宋体" w:eastAsia="宋体" w:cs="宋体"/>
              <w:sz w:val="21"/>
              <w:szCs w:val="21"/>
            </w:rPr>
            <w:fldChar w:fldCharType="separate"/>
          </w:r>
          <w:r>
            <w:rPr>
              <w:rFonts w:hint="eastAsia" w:ascii="宋体" w:hAnsi="宋体" w:eastAsia="宋体" w:cs="宋体"/>
              <w:i w:val="0"/>
              <w:sz w:val="21"/>
              <w:szCs w:val="21"/>
              <w:lang w:val="en-US" w:eastAsia="zh-CN"/>
            </w:rPr>
            <w:t xml:space="preserve">5  </w:t>
          </w:r>
          <w:r>
            <w:rPr>
              <w:rFonts w:hint="eastAsia" w:ascii="宋体" w:hAnsi="宋体" w:eastAsia="宋体" w:cs="宋体"/>
              <w:sz w:val="21"/>
              <w:szCs w:val="21"/>
              <w:lang w:val="en-US" w:eastAsia="zh-CN"/>
            </w:rPr>
            <w:t>跌倒风险评估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_Toc16295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_Toc27997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sz w:val="21"/>
              <w:szCs w:val="21"/>
              <w:lang w:val="en-US" w:eastAsia="zh-CN"/>
            </w:rPr>
            <w:t>评估对象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_Toc27997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_Toc31948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sz w:val="21"/>
              <w:szCs w:val="21"/>
              <w:lang w:val="en-US" w:eastAsia="zh-CN"/>
            </w:rPr>
            <w:t>评估流程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_Toc31948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_Toc951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宋体" w:hAnsi="宋体" w:eastAsia="宋体" w:cs="宋体"/>
              <w:sz w:val="21"/>
              <w:szCs w:val="21"/>
              <w:lang w:val="en-US" w:eastAsia="zh-CN"/>
            </w:rPr>
            <w:t>评估工具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_Toc951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_Toc4738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ascii="宋体" w:hAnsi="宋体" w:eastAsia="宋体" w:cs="宋体"/>
              <w:sz w:val="21"/>
              <w:szCs w:val="21"/>
              <w:lang w:val="en-US" w:eastAsia="zh-CN"/>
            </w:rPr>
            <w:t>评估内容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_Toc4738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_Toc29166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5.5  </w:t>
          </w:r>
          <w:r>
            <w:rPr>
              <w:rFonts w:hint="eastAsia" w:ascii="宋体" w:hAnsi="宋体" w:eastAsia="宋体" w:cs="宋体"/>
              <w:sz w:val="21"/>
              <w:szCs w:val="21"/>
              <w:lang w:val="en-US" w:eastAsia="zh-CN"/>
            </w:rPr>
            <w:t>评估指标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_Toc29166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_Toc3309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5.6  </w:t>
          </w:r>
          <w:r>
            <w:rPr>
              <w:rFonts w:hint="eastAsia" w:ascii="宋体" w:hAnsi="宋体" w:eastAsia="宋体" w:cs="宋体"/>
              <w:sz w:val="21"/>
              <w:szCs w:val="21"/>
              <w:lang w:val="en-US" w:eastAsia="zh-CN"/>
            </w:rPr>
            <w:t>评估等级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_Toc3309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_Toc14875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5.7  </w:t>
          </w:r>
          <w:r>
            <w:rPr>
              <w:rFonts w:hint="eastAsia" w:ascii="宋体" w:hAnsi="宋体" w:eastAsia="宋体" w:cs="宋体"/>
              <w:sz w:val="21"/>
              <w:szCs w:val="21"/>
              <w:lang w:val="en-US" w:eastAsia="zh-CN"/>
            </w:rPr>
            <w:t>评估频次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_Toc14875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_Toc31298 </w:instrText>
          </w:r>
          <w:r>
            <w:rPr>
              <w:rFonts w:hint="eastAsia" w:ascii="宋体" w:hAnsi="宋体" w:eastAsia="宋体" w:cs="宋体"/>
              <w:sz w:val="21"/>
              <w:szCs w:val="21"/>
            </w:rPr>
            <w:fldChar w:fldCharType="separate"/>
          </w:r>
          <w:r>
            <w:rPr>
              <w:rFonts w:hint="eastAsia" w:ascii="宋体" w:hAnsi="宋体" w:eastAsia="宋体" w:cs="宋体"/>
              <w:i w:val="0"/>
              <w:sz w:val="21"/>
              <w:szCs w:val="21"/>
              <w:lang w:val="en-US" w:eastAsia="zh-CN"/>
            </w:rPr>
            <w:t xml:space="preserve">6  </w:t>
          </w:r>
          <w:r>
            <w:rPr>
              <w:rFonts w:hint="eastAsia" w:ascii="宋体" w:hAnsi="宋体" w:eastAsia="宋体" w:cs="宋体"/>
              <w:sz w:val="21"/>
              <w:szCs w:val="21"/>
              <w:lang w:val="en-US" w:eastAsia="zh-CN"/>
            </w:rPr>
            <w:t>高危人群管理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_Toc31298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_Toc23598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sz w:val="21"/>
              <w:szCs w:val="21"/>
              <w:lang w:val="en-US" w:eastAsia="zh-CN"/>
            </w:rPr>
            <w:t>管理对象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_Toc23598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7"/>
            <w:tabs>
              <w:tab w:val="right" w:leader="dot" w:pos="9354"/>
              <w:tab w:val="clear" w:pos="934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_Toc8949 </w:instrText>
          </w:r>
          <w:r>
            <w:rPr>
              <w:rFonts w:hint="eastAsia" w:ascii="宋体" w:hAnsi="宋体" w:eastAsia="宋体" w:cs="宋体"/>
              <w:sz w:val="21"/>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sz w:val="21"/>
              <w:szCs w:val="21"/>
              <w:lang w:val="en-US" w:eastAsia="zh-CN"/>
            </w:rPr>
            <w:t>高危人群管理内容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_Toc8949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_Toc24153 </w:instrText>
          </w:r>
          <w:r>
            <w:rPr>
              <w:rFonts w:hint="eastAsia" w:ascii="宋体" w:hAnsi="宋体" w:eastAsia="宋体" w:cs="宋体"/>
              <w:sz w:val="21"/>
              <w:szCs w:val="21"/>
            </w:rPr>
            <w:fldChar w:fldCharType="separate"/>
          </w:r>
          <w:r>
            <w:rPr>
              <w:rFonts w:hint="eastAsia" w:ascii="宋体" w:hAnsi="宋体" w:eastAsia="宋体" w:cs="宋体"/>
              <w:i w:val="0"/>
              <w:sz w:val="21"/>
              <w:szCs w:val="21"/>
              <w:lang w:val="en-US" w:eastAsia="zh-CN"/>
            </w:rPr>
            <w:t xml:space="preserve">7  </w:t>
          </w:r>
          <w:r>
            <w:rPr>
              <w:rFonts w:hint="eastAsia" w:ascii="宋体" w:hAnsi="宋体" w:eastAsia="宋体" w:cs="宋体"/>
              <w:sz w:val="21"/>
              <w:szCs w:val="21"/>
              <w:lang w:val="en-US" w:eastAsia="zh-CN"/>
            </w:rPr>
            <w:t>档案管理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_Toc24153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_Toc10309 </w:instrText>
          </w:r>
          <w:r>
            <w:rPr>
              <w:rFonts w:hint="eastAsia" w:ascii="宋体" w:hAnsi="宋体" w:eastAsia="宋体" w:cs="宋体"/>
              <w:szCs w:val="21"/>
            </w:rPr>
            <w:fldChar w:fldCharType="separate"/>
          </w:r>
          <w:r>
            <w:rPr>
              <w:rFonts w:hint="eastAsia" w:ascii="宋体" w:hAnsi="宋体" w:eastAsia="宋体" w:cs="宋体"/>
              <w:szCs w:val="21"/>
              <w:lang w:val="en-US" w:eastAsia="zh-CN"/>
            </w:rPr>
            <w:t>附录A（资料性）  跌倒风险评估流程</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_Toc10309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_Toc22638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附录B（资料性）  老年人跌倒风险评估问卷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_Toc22638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_Toc27555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附录C（资料性）  预防跌倒健康教育活动小组课程内容</w:t>
          </w:r>
          <w:bookmarkStart w:id="265" w:name="_GoBack"/>
          <w:bookmarkEnd w:id="265"/>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_Toc27555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_Toc522 </w:instrText>
          </w:r>
          <w:r>
            <w:rPr>
              <w:rFonts w:hint="eastAsia" w:ascii="宋体" w:hAnsi="宋体" w:eastAsia="宋体" w:cs="宋体"/>
              <w:sz w:val="21"/>
              <w:szCs w:val="21"/>
            </w:rPr>
            <w:fldChar w:fldCharType="separate"/>
          </w:r>
          <w:r>
            <w:rPr>
              <w:rFonts w:hint="eastAsia" w:ascii="宋体" w:hAnsi="宋体" w:eastAsia="宋体" w:cs="宋体"/>
              <w:bCs w:val="0"/>
              <w:sz w:val="21"/>
              <w:szCs w:val="21"/>
            </w:rPr>
            <w:t>附录</w:t>
          </w:r>
          <w:r>
            <w:rPr>
              <w:rFonts w:hint="eastAsia" w:ascii="宋体" w:hAnsi="宋体" w:eastAsia="宋体" w:cs="宋体"/>
              <w:bCs w:val="0"/>
              <w:sz w:val="21"/>
              <w:szCs w:val="21"/>
              <w:lang w:val="en-US" w:eastAsia="zh-CN"/>
            </w:rPr>
            <w:t>D</w:t>
          </w:r>
          <w:r>
            <w:rPr>
              <w:rFonts w:hint="eastAsia" w:ascii="宋体" w:hAnsi="宋体" w:eastAsia="宋体" w:cs="宋体"/>
              <w:sz w:val="21"/>
              <w:szCs w:val="21"/>
              <w:lang w:val="en-US" w:eastAsia="zh-CN"/>
            </w:rPr>
            <w:t>（资料性）  老年人跌倒居家环境危险因素评估及改善建议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_Toc522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tabs>
              <w:tab w:val="right" w:leader="dot" w:pos="9354"/>
            </w:tabs>
            <w:jc w:val="both"/>
            <w:rPr>
              <w:rFonts w:hint="eastAsia" w:ascii="宋体" w:hAnsi="宋体" w:eastAsia="宋体" w:cs="宋体"/>
              <w:sz w:val="21"/>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_Toc20240 </w:instrText>
          </w:r>
          <w:r>
            <w:rPr>
              <w:rFonts w:hint="eastAsia" w:ascii="宋体" w:hAnsi="宋体" w:eastAsia="宋体" w:cs="宋体"/>
              <w:szCs w:val="21"/>
            </w:rP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_Toc20240 \h </w:instrText>
          </w:r>
          <w:r>
            <w:rPr>
              <w:rFonts w:hint="eastAsia" w:ascii="宋体" w:hAnsi="宋体" w:eastAsia="宋体" w:cs="宋体"/>
              <w:szCs w:val="21"/>
            </w:rPr>
            <w:fldChar w:fldCharType="separate"/>
          </w:r>
          <w:r>
            <w:rPr>
              <w:rFonts w:hint="eastAsia" w:ascii="宋体" w:hAnsi="宋体" w:eastAsia="宋体" w:cs="宋体"/>
              <w:szCs w:val="21"/>
            </w:rPr>
            <w:t>12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76"/>
            <w:tabs>
              <w:tab w:val="right" w:leader="dot" w:pos="9354"/>
            </w:tabs>
            <w:rPr>
              <w:rFonts w:hint="eastAsia" w:ascii="宋体" w:hAnsi="宋体" w:eastAsia="宋体" w:cs="宋体"/>
              <w:sz w:val="21"/>
              <w:szCs w:val="21"/>
            </w:rPr>
            <w:sectPr>
              <w:headerReference r:id="rId3" w:type="default"/>
              <w:footerReference r:id="rId5" w:type="default"/>
              <w:headerReference r:id="rId4" w:type="even"/>
              <w:footerReference r:id="rId6"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r>
            <w:rPr>
              <w:rFonts w:hint="eastAsia" w:ascii="宋体" w:hAnsi="宋体" w:eastAsia="宋体" w:cs="宋体"/>
              <w:sz w:val="21"/>
              <w:szCs w:val="21"/>
            </w:rPr>
            <w:fldChar w:fldCharType="end"/>
          </w:r>
        </w:p>
        <w:p>
          <w:pPr>
            <w:pStyle w:val="76"/>
            <w:tabs>
              <w:tab w:val="right" w:leader="dot" w:pos="9354"/>
            </w:tabs>
            <w:sectPr>
              <w:headerReference r:id="rId7" w:type="default"/>
              <w:footerReference r:id="rId8" w:type="default"/>
              <w:footerReference r:id="rId9"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sdtContent>
    </w:sdt>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8665"/>
      <w:bookmarkStart w:id="3" w:name="_Toc22956"/>
      <w:bookmarkStart w:id="4" w:name="_Toc15753"/>
      <w:bookmarkStart w:id="5" w:name="_Toc9779"/>
      <w:bookmarkStart w:id="6" w:name="_Toc19662"/>
      <w:r>
        <w:rPr>
          <w:rFonts w:hint="eastAsia" w:ascii="黑体" w:hAnsi="黑体" w:eastAsia="黑体" w:cs="黑体"/>
          <w:kern w:val="0"/>
          <w:sz w:val="32"/>
          <w:szCs w:val="32"/>
          <w:lang w:val="en-US" w:eastAsia="zh-CN"/>
        </w:rPr>
        <w:t>前    言</w:t>
      </w:r>
      <w:bookmarkEnd w:id="2"/>
      <w:bookmarkEnd w:id="3"/>
      <w:bookmarkEnd w:id="4"/>
      <w:bookmarkEnd w:id="5"/>
      <w:bookmarkEnd w:id="6"/>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请注意本文件的某些内容可能涉及专利。本文件的发布机构不承担识别专利的责任。</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本文件由苏州市卫生健康委员会提出</w:t>
      </w:r>
      <w:r>
        <w:rPr>
          <w:rFonts w:hint="eastAsia" w:ascii="宋体" w:hAnsi="宋体" w:eastAsia="宋体" w:cs="宋体"/>
          <w:kern w:val="0"/>
          <w:szCs w:val="21"/>
          <w:lang w:val="en-US" w:eastAsia="zh-CN"/>
        </w:rPr>
        <w:t>并归口</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本文件起草单位：苏州市疾病预防控制中心、</w:t>
      </w:r>
      <w:r>
        <w:rPr>
          <w:rFonts w:hint="eastAsia" w:ascii="宋体" w:hAnsi="宋体" w:eastAsia="宋体" w:cs="宋体"/>
          <w:kern w:val="0"/>
          <w:szCs w:val="21"/>
          <w:lang w:val="en-US" w:eastAsia="zh-CN"/>
        </w:rPr>
        <w:t>苏州市</w:t>
      </w:r>
      <w:r>
        <w:rPr>
          <w:rFonts w:hint="eastAsia" w:ascii="宋体" w:hAnsi="宋体" w:eastAsia="宋体" w:cs="宋体"/>
          <w:kern w:val="0"/>
          <w:szCs w:val="21"/>
        </w:rPr>
        <w:t>吴江区疾病预防控制中心。</w:t>
      </w:r>
    </w:p>
    <w:p>
      <w:pPr>
        <w:keepNext w:val="0"/>
        <w:keepLines w:val="0"/>
        <w:pageBreakBefore w:val="0"/>
        <w:kinsoku/>
        <w:wordWrap/>
        <w:overflowPunct/>
        <w:topLinePunct w:val="0"/>
        <w:autoSpaceDE/>
        <w:autoSpaceDN/>
        <w:bidi w:val="0"/>
        <w:adjustRightInd/>
        <w:snapToGrid w:val="0"/>
        <w:ind w:firstLine="420" w:firstLineChars="200"/>
        <w:textAlignment w:val="auto"/>
        <w:outlineLvl w:val="9"/>
      </w:pPr>
      <w:r>
        <w:rPr>
          <w:rFonts w:hint="eastAsia" w:ascii="宋体" w:hAnsi="宋体" w:eastAsia="宋体" w:cs="宋体"/>
          <w:kern w:val="0"/>
          <w:szCs w:val="21"/>
        </w:rPr>
        <w:t>本文件主要起草人：陆艳、王临池、韦晓淋、胡佳、沈建新、</w:t>
      </w:r>
      <w:r>
        <w:rPr>
          <w:rFonts w:hint="eastAsia" w:ascii="宋体" w:hAnsi="宋体" w:eastAsia="宋体" w:cs="宋体"/>
          <w:kern w:val="0"/>
          <w:szCs w:val="21"/>
          <w:lang w:val="en-US" w:eastAsia="zh-CN"/>
        </w:rPr>
        <w:t>杨梅、</w:t>
      </w:r>
      <w:r>
        <w:rPr>
          <w:rFonts w:hint="eastAsia" w:ascii="宋体" w:hAnsi="宋体" w:eastAsia="宋体" w:cs="宋体"/>
          <w:kern w:val="0"/>
          <w:szCs w:val="21"/>
        </w:rPr>
        <w:t>沈腊梅</w:t>
      </w:r>
      <w:r>
        <w:rPr>
          <w:rFonts w:hint="eastAsia" w:ascii="宋体" w:hAnsi="宋体" w:eastAsia="宋体" w:cs="宋体"/>
          <w:kern w:val="0"/>
          <w:szCs w:val="21"/>
          <w:lang w:eastAsia="zh-CN"/>
        </w:rPr>
        <w:t>、</w:t>
      </w:r>
      <w:r>
        <w:rPr>
          <w:rFonts w:hint="eastAsia" w:ascii="宋体" w:hAnsi="宋体" w:eastAsia="宋体" w:cs="宋体"/>
          <w:kern w:val="0"/>
          <w:szCs w:val="21"/>
        </w:rPr>
        <w:t>黄春妍、华钰洁、吴学飞。</w:t>
      </w:r>
    </w:p>
    <w:p>
      <w:pPr>
        <w:keepNext w:val="0"/>
        <w:keepLines w:val="0"/>
        <w:pageBreakBefore w:val="0"/>
        <w:widowControl/>
        <w:kinsoku/>
        <w:wordWrap/>
        <w:overflowPunct/>
        <w:topLinePunct w:val="0"/>
        <w:autoSpaceDE/>
        <w:autoSpaceDN/>
        <w:bidi w:val="0"/>
        <w:adjustRightInd/>
        <w:textAlignment w:val="auto"/>
        <w:outlineLvl w:val="9"/>
        <w:rPr>
          <w:rFonts w:ascii="黑体" w:hAnsi="黑体" w:eastAsia="黑体"/>
          <w:bCs/>
          <w:sz w:val="32"/>
          <w:szCs w:val="32"/>
        </w:rPr>
        <w:sectPr>
          <w:headerReference r:id="rId10" w:type="default"/>
          <w:footerReference r:id="rId12" w:type="default"/>
          <w:headerReference r:id="rId11" w:type="even"/>
          <w:footerReference r:id="rId13"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p>
    <w:p>
      <w:pPr>
        <w:pStyle w:val="2"/>
        <w:sectPr>
          <w:headerReference r:id="rId14" w:type="default"/>
          <w:footerReference r:id="rId16" w:type="default"/>
          <w:headerReference r:id="rId15" w:type="even"/>
          <w:footerReference r:id="rId17"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kinsoku/>
        <w:wordWrap/>
        <w:overflowPunct/>
        <w:topLinePunct w:val="0"/>
        <w:autoSpaceDE/>
        <w:autoSpaceDN/>
        <w:bidi w:val="0"/>
        <w:adjustRightInd/>
        <w:spacing w:before="567" w:after="680"/>
        <w:jc w:val="center"/>
        <w:textAlignment w:val="auto"/>
        <w:outlineLvl w:val="9"/>
        <w:rPr>
          <w:rFonts w:hint="eastAsia" w:ascii="黑体" w:hAnsi="黑体" w:eastAsia="黑体"/>
          <w:bCs/>
          <w:sz w:val="32"/>
          <w:szCs w:val="32"/>
          <w:lang w:val="en-US" w:eastAsia="zh-CN"/>
        </w:rPr>
      </w:pPr>
      <w:bookmarkStart w:id="7" w:name="_Toc3057"/>
      <w:bookmarkStart w:id="8" w:name="_Toc17861"/>
      <w:bookmarkStart w:id="9" w:name="_Toc2693"/>
      <w:bookmarkStart w:id="10" w:name="_Toc823"/>
      <w:r>
        <w:rPr>
          <w:rFonts w:hint="eastAsia" w:ascii="黑体" w:hAnsi="黑体" w:eastAsia="黑体"/>
          <w:bCs/>
          <w:sz w:val="32"/>
          <w:szCs w:val="32"/>
          <w:lang w:val="en-US" w:eastAsia="zh-CN"/>
        </w:rPr>
        <w:t>老年人跌倒高危人群风险管理规范</w:t>
      </w:r>
      <w:bookmarkEnd w:id="7"/>
      <w:bookmarkEnd w:id="8"/>
      <w:bookmarkEnd w:id="9"/>
      <w:bookmarkEnd w:id="10"/>
    </w:p>
    <w:p>
      <w:pPr>
        <w:pStyle w:val="66"/>
        <w:spacing w:before="312" w:after="312"/>
        <w:rPr>
          <w:rFonts w:hint="eastAsia"/>
        </w:rPr>
      </w:pPr>
      <w:bookmarkStart w:id="11" w:name="_Toc27141"/>
      <w:bookmarkStart w:id="12" w:name="_Toc21992"/>
      <w:bookmarkStart w:id="13" w:name="_Toc18082"/>
      <w:bookmarkStart w:id="14" w:name="_Toc19162"/>
      <w:bookmarkStart w:id="15" w:name="_Toc1228"/>
      <w:r>
        <w:rPr>
          <w:rFonts w:hint="eastAsia"/>
        </w:rPr>
        <w:t>范围</w:t>
      </w:r>
      <w:bookmarkEnd w:id="11"/>
      <w:bookmarkEnd w:id="12"/>
      <w:bookmarkEnd w:id="13"/>
      <w:bookmarkEnd w:id="14"/>
      <w:bookmarkEnd w:id="15"/>
    </w:p>
    <w:p>
      <w:pPr>
        <w:pStyle w:val="51"/>
        <w:rPr>
          <w:rFonts w:hint="eastAsia"/>
        </w:rPr>
      </w:pPr>
      <w:r>
        <w:rPr>
          <w:rFonts w:hint="eastAsia"/>
        </w:rPr>
        <w:t>本文件规定了基层医疗卫生机构老年人跌倒高危人群</w:t>
      </w:r>
      <w:r>
        <w:rPr>
          <w:rFonts w:hint="eastAsia"/>
          <w:lang w:val="en-US" w:eastAsia="zh-CN"/>
        </w:rPr>
        <w:t>风险</w:t>
      </w:r>
      <w:r>
        <w:rPr>
          <w:rFonts w:hint="eastAsia"/>
        </w:rPr>
        <w:t>管理的</w:t>
      </w:r>
      <w:r>
        <w:rPr>
          <w:rFonts w:hint="eastAsia"/>
          <w:lang w:val="en-US" w:eastAsia="zh-CN"/>
        </w:rPr>
        <w:t>基本</w:t>
      </w:r>
      <w:r>
        <w:rPr>
          <w:rFonts w:hint="eastAsia"/>
        </w:rPr>
        <w:t>要求</w:t>
      </w:r>
      <w:r>
        <w:rPr>
          <w:rFonts w:hint="eastAsia"/>
          <w:lang w:eastAsia="zh-CN"/>
        </w:rPr>
        <w:t>、跌倒风险评估、高危人群管理和档案管理</w:t>
      </w:r>
      <w:r>
        <w:rPr>
          <w:rFonts w:hint="eastAsia"/>
        </w:rPr>
        <w:t>。</w:t>
      </w:r>
    </w:p>
    <w:p>
      <w:pPr>
        <w:pStyle w:val="51"/>
        <w:rPr>
          <w:rFonts w:hint="eastAsia"/>
        </w:rPr>
      </w:pPr>
      <w:r>
        <w:rPr>
          <w:rFonts w:hint="eastAsia"/>
        </w:rPr>
        <w:t>本文件适用于基层医疗卫生机构预防和减少老年人跌倒</w:t>
      </w:r>
      <w:r>
        <w:rPr>
          <w:rFonts w:hint="eastAsia"/>
          <w:lang w:val="en-US" w:eastAsia="zh-CN"/>
        </w:rPr>
        <w:t>风险</w:t>
      </w:r>
      <w:r>
        <w:rPr>
          <w:rFonts w:hint="eastAsia"/>
        </w:rPr>
        <w:t>的健康管理。</w:t>
      </w:r>
    </w:p>
    <w:p>
      <w:pPr>
        <w:pStyle w:val="66"/>
        <w:spacing w:before="312" w:after="312"/>
        <w:rPr>
          <w:rFonts w:hint="eastAsia"/>
        </w:rPr>
      </w:pPr>
      <w:bookmarkStart w:id="16" w:name="_Toc10806"/>
      <w:bookmarkStart w:id="17" w:name="_Toc16410"/>
      <w:bookmarkStart w:id="18" w:name="_Toc10281"/>
      <w:bookmarkStart w:id="19" w:name="_Toc24769"/>
      <w:bookmarkStart w:id="20" w:name="_Toc21146"/>
      <w:r>
        <w:rPr>
          <w:rFonts w:hint="eastAsia"/>
        </w:rPr>
        <w:t>规范性引用文件</w:t>
      </w:r>
      <w:bookmarkEnd w:id="16"/>
      <w:bookmarkEnd w:id="17"/>
      <w:bookmarkEnd w:id="18"/>
      <w:bookmarkEnd w:id="19"/>
      <w:bookmarkEnd w:id="20"/>
    </w:p>
    <w:p>
      <w:pPr>
        <w:pStyle w:val="51"/>
        <w:rPr>
          <w:rFonts w:hint="eastAsia"/>
        </w:rPr>
      </w:pPr>
      <w:r>
        <w:rPr>
          <w:rFonts w:hint="eastAsia"/>
        </w:rPr>
        <w:t>本文件无规范性引用文件。</w:t>
      </w:r>
    </w:p>
    <w:p>
      <w:pPr>
        <w:pStyle w:val="66"/>
        <w:spacing w:before="312" w:after="312"/>
        <w:rPr>
          <w:rFonts w:hint="eastAsia"/>
          <w:szCs w:val="21"/>
        </w:rPr>
      </w:pPr>
      <w:bookmarkStart w:id="21" w:name="_Toc3370"/>
      <w:bookmarkStart w:id="22" w:name="_Toc13391"/>
      <w:bookmarkStart w:id="23" w:name="_Toc18949"/>
      <w:bookmarkStart w:id="24" w:name="_Toc9427"/>
      <w:bookmarkStart w:id="25" w:name="_Toc1531"/>
      <w:r>
        <w:rPr>
          <w:rFonts w:hint="eastAsia"/>
          <w:szCs w:val="21"/>
        </w:rPr>
        <w:t>术语和定义</w:t>
      </w:r>
      <w:bookmarkEnd w:id="21"/>
      <w:bookmarkEnd w:id="22"/>
      <w:bookmarkEnd w:id="23"/>
      <w:bookmarkEnd w:id="24"/>
      <w:bookmarkEnd w:id="25"/>
    </w:p>
    <w:p>
      <w:pPr>
        <w:pStyle w:val="51"/>
        <w:rPr>
          <w:rFonts w:hint="eastAsia" w:eastAsia="宋体"/>
          <w:lang w:eastAsia="zh-CN"/>
        </w:rPr>
      </w:pPr>
      <w:r>
        <w:rPr>
          <w:rFonts w:hint="eastAsia"/>
        </w:rPr>
        <w:t>下列术语和定义适用于本文件</w:t>
      </w:r>
      <w:r>
        <w:rPr>
          <w:rFonts w:hint="eastAsia"/>
          <w:lang w:eastAsia="zh-CN"/>
        </w:rPr>
        <w:t>。</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跌倒  fall</w:t>
      </w:r>
    </w:p>
    <w:p>
      <w:pPr>
        <w:pStyle w:val="51"/>
        <w:rPr>
          <w:rFonts w:hint="eastAsia"/>
          <w:lang w:val="en-US" w:eastAsia="zh-CN"/>
        </w:rPr>
      </w:pPr>
      <w:r>
        <w:rPr>
          <w:rFonts w:hint="eastAsia"/>
          <w:lang w:val="en-US" w:eastAsia="zh-CN"/>
        </w:rPr>
        <w:t>人倒在地面、地板或其他较低平面上的非故意事件。跌倒可以发生在同一平面，或从一个较高的平面到较低的平面。</w:t>
      </w:r>
    </w:p>
    <w:p>
      <w:pPr>
        <w:pStyle w:val="63"/>
        <w:ind w:left="420" w:hanging="420" w:hangingChars="200"/>
        <w:rPr>
          <w:rFonts w:hint="eastAsia"/>
        </w:rPr>
      </w:pPr>
    </w:p>
    <w:p>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 xml:space="preserve">高危人群  high risk group </w:t>
      </w:r>
    </w:p>
    <w:p>
      <w:pPr>
        <w:pStyle w:val="51"/>
        <w:rPr>
          <w:rFonts w:hint="eastAsia"/>
          <w:lang w:val="en-US" w:eastAsia="zh-CN"/>
        </w:rPr>
      </w:pPr>
      <w:r>
        <w:rPr>
          <w:rFonts w:hint="eastAsia"/>
          <w:lang w:val="en-US" w:eastAsia="zh-CN"/>
        </w:rPr>
        <w:t>出现某一效应的风险较大的人群。</w:t>
      </w:r>
    </w:p>
    <w:p>
      <w:pPr>
        <w:pStyle w:val="63"/>
        <w:ind w:left="420" w:hanging="420" w:hangingChars="200"/>
        <w:rPr>
          <w:rFonts w:hint="eastAsia"/>
        </w:rPr>
      </w:pPr>
    </w:p>
    <w:p>
      <w:pPr>
        <w:pStyle w:val="63"/>
        <w:numPr>
          <w:ilvl w:val="0"/>
          <w:numId w:val="0"/>
        </w:numPr>
        <w:ind w:left="420"/>
        <w:rPr>
          <w:rFonts w:hint="eastAsia" w:ascii="黑体" w:hAnsi="黑体" w:eastAsia="黑体"/>
          <w:highlight w:val="none"/>
          <w:lang w:val="en-US" w:eastAsia="zh-CN"/>
        </w:rPr>
      </w:pPr>
      <w:r>
        <w:rPr>
          <w:rFonts w:hint="eastAsia" w:ascii="黑体" w:hAnsi="黑体" w:eastAsia="黑体"/>
          <w:highlight w:val="none"/>
          <w:lang w:val="en-US" w:eastAsia="zh-CN"/>
        </w:rPr>
        <w:t>跌倒风险评估 fall risk assessment</w:t>
      </w:r>
    </w:p>
    <w:p>
      <w:pPr>
        <w:pStyle w:val="51"/>
        <w:rPr>
          <w:rFonts w:hint="eastAsia"/>
          <w:lang w:val="en-US" w:eastAsia="zh-CN"/>
        </w:rPr>
      </w:pPr>
      <w:r>
        <w:rPr>
          <w:rFonts w:hint="eastAsia"/>
          <w:lang w:val="en-US" w:eastAsia="zh-CN"/>
        </w:rPr>
        <w:t>一种评估个人跌倒风险水平的方法，以根据跌倒风险水平进行相应的跌倒详细评估和干预。</w:t>
      </w:r>
    </w:p>
    <w:p>
      <w:pPr>
        <w:pStyle w:val="66"/>
        <w:spacing w:before="312" w:after="312"/>
        <w:rPr>
          <w:rFonts w:hint="eastAsia"/>
        </w:rPr>
      </w:pPr>
      <w:bookmarkStart w:id="26" w:name="_Toc27334"/>
      <w:bookmarkStart w:id="27" w:name="_Toc2221"/>
      <w:bookmarkStart w:id="28" w:name="_Toc20278"/>
      <w:bookmarkStart w:id="29" w:name="_Toc25799"/>
      <w:bookmarkStart w:id="30" w:name="_Toc15012"/>
      <w:r>
        <w:rPr>
          <w:rFonts w:hint="eastAsia"/>
          <w:szCs w:val="21"/>
          <w:lang w:val="en-US" w:eastAsia="zh-CN"/>
        </w:rPr>
        <w:t>基本要求</w:t>
      </w:r>
      <w:bookmarkEnd w:id="26"/>
      <w:bookmarkEnd w:id="27"/>
      <w:bookmarkEnd w:id="28"/>
      <w:bookmarkEnd w:id="29"/>
      <w:bookmarkEnd w:id="30"/>
    </w:p>
    <w:p>
      <w:pPr>
        <w:pStyle w:val="67"/>
        <w:keepNext w:val="0"/>
        <w:keepLines w:val="0"/>
        <w:pageBreakBefore w:val="0"/>
        <w:widowControl/>
        <w:numPr>
          <w:ilvl w:val="0"/>
          <w:numId w:val="10"/>
        </w:numPr>
        <w:kinsoku/>
        <w:wordWrap/>
        <w:overflowPunct/>
        <w:topLinePunct w:val="0"/>
        <w:autoSpaceDE/>
        <w:autoSpaceDN/>
        <w:bidi w:val="0"/>
        <w:adjustRightInd/>
        <w:snapToGrid/>
        <w:spacing w:before="0" w:beforeLines="0" w:after="0" w:afterLines="0"/>
        <w:ind w:left="0" w:leftChars="0" w:firstLine="0" w:firstLineChars="0"/>
        <w:textAlignment w:val="auto"/>
        <w:rPr>
          <w:rFonts w:hint="eastAsia"/>
          <w:lang w:val="en-US" w:eastAsia="zh-CN"/>
        </w:rPr>
      </w:pPr>
      <w:r>
        <w:rPr>
          <w:rFonts w:hint="eastAsia"/>
          <w:lang w:val="en-US" w:eastAsia="zh-CN"/>
        </w:rPr>
        <w:t xml:space="preserve"> 制定本机构所在行政辖区内的老年人跌倒高危人群健康管理工作方案，定期开展跌倒健康管理工作培训和相关技能培训，开展老年跌倒健康管理的基层医疗卫生机构的医务人员经培训考核合格后上岗。</w:t>
      </w:r>
    </w:p>
    <w:p>
      <w:pPr>
        <w:pStyle w:val="67"/>
        <w:keepNext w:val="0"/>
        <w:keepLines w:val="0"/>
        <w:pageBreakBefore w:val="0"/>
        <w:widowControl/>
        <w:numPr>
          <w:ilvl w:val="0"/>
          <w:numId w:val="10"/>
        </w:numPr>
        <w:kinsoku/>
        <w:wordWrap/>
        <w:overflowPunct/>
        <w:topLinePunct w:val="0"/>
        <w:autoSpaceDE/>
        <w:autoSpaceDN/>
        <w:bidi w:val="0"/>
        <w:adjustRightInd/>
        <w:snapToGrid/>
        <w:spacing w:before="0" w:beforeLines="0" w:after="0" w:afterLines="0"/>
        <w:ind w:left="0" w:leftChars="0" w:firstLine="0" w:firstLineChars="0"/>
        <w:textAlignment w:val="auto"/>
        <w:rPr>
          <w:rFonts w:hint="eastAsia"/>
          <w:lang w:val="en-US" w:eastAsia="zh-CN"/>
        </w:rPr>
      </w:pPr>
      <w:r>
        <w:rPr>
          <w:rFonts w:hint="eastAsia"/>
          <w:lang w:val="en-US" w:eastAsia="zh-CN"/>
        </w:rPr>
        <w:t xml:space="preserve"> 老年人跌倒高风险人群的健康管理由基层医疗卫生机构指定特定的科室及人员负责，开展防跌倒干预，落实各项质量控制要求。</w:t>
      </w:r>
    </w:p>
    <w:p>
      <w:pPr>
        <w:pStyle w:val="66"/>
        <w:spacing w:before="312" w:after="312"/>
        <w:rPr>
          <w:rFonts w:hint="eastAsia"/>
          <w:lang w:val="en-US" w:eastAsia="zh-CN"/>
        </w:rPr>
      </w:pPr>
      <w:bookmarkStart w:id="31" w:name="_Toc16295"/>
      <w:bookmarkStart w:id="32" w:name="_Toc22662"/>
      <w:bookmarkStart w:id="33" w:name="_Toc29504"/>
      <w:bookmarkStart w:id="34" w:name="_Toc27337"/>
      <w:bookmarkStart w:id="35" w:name="_Toc32612"/>
      <w:r>
        <w:rPr>
          <w:rFonts w:hint="eastAsia"/>
          <w:lang w:val="en-US" w:eastAsia="zh-CN"/>
        </w:rPr>
        <w:t>跌倒风险评估</w:t>
      </w:r>
      <w:bookmarkEnd w:id="31"/>
      <w:bookmarkEnd w:id="32"/>
      <w:bookmarkEnd w:id="33"/>
      <w:bookmarkEnd w:id="34"/>
      <w:bookmarkEnd w:id="35"/>
    </w:p>
    <w:p>
      <w:pPr>
        <w:pStyle w:val="65"/>
        <w:spacing w:before="156" w:after="156"/>
        <w:rPr>
          <w:rFonts w:hint="eastAsia"/>
          <w:lang w:val="en-US" w:eastAsia="zh-CN"/>
        </w:rPr>
      </w:pPr>
      <w:bookmarkStart w:id="36" w:name="_Toc27997"/>
      <w:bookmarkStart w:id="37" w:name="_Toc19605"/>
      <w:bookmarkStart w:id="38" w:name="_Toc6695"/>
      <w:bookmarkStart w:id="39" w:name="_Toc7670"/>
      <w:bookmarkStart w:id="40" w:name="_Toc6413"/>
      <w:r>
        <w:rPr>
          <w:rFonts w:hint="eastAsia"/>
          <w:lang w:val="en-US" w:eastAsia="zh-CN"/>
        </w:rPr>
        <w:t>评估对象</w:t>
      </w:r>
      <w:bookmarkEnd w:id="36"/>
      <w:bookmarkEnd w:id="37"/>
      <w:bookmarkEnd w:id="38"/>
      <w:bookmarkEnd w:id="39"/>
      <w:bookmarkEnd w:id="40"/>
    </w:p>
    <w:p>
      <w:pPr>
        <w:pStyle w:val="68"/>
        <w:keepNext w:val="0"/>
        <w:keepLines w:val="0"/>
        <w:pageBreakBefore w:val="0"/>
        <w:kinsoku/>
        <w:wordWrap/>
        <w:overflowPunct/>
        <w:topLinePunct w:val="0"/>
        <w:autoSpaceDE/>
        <w:autoSpaceDN/>
        <w:bidi w:val="0"/>
        <w:adjustRightInd/>
        <w:snapToGrid/>
        <w:spacing w:before="0" w:beforeLines="0" w:after="0" w:afterLines="0"/>
        <w:textAlignment w:val="auto"/>
        <w:rPr>
          <w:rFonts w:hint="eastAsia"/>
          <w:lang w:val="en-US" w:eastAsia="zh-CN"/>
        </w:rPr>
      </w:pPr>
      <w:r>
        <w:rPr>
          <w:rFonts w:hint="eastAsia"/>
          <w:lang w:val="en-US" w:eastAsia="zh-CN"/>
        </w:rPr>
        <w:t>同时满足下列条件的老年人可被列为跌倒风险评估对象：</w:t>
      </w:r>
    </w:p>
    <w:p>
      <w:pPr>
        <w:pStyle w:val="51"/>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rPr>
      </w:pPr>
      <w:r>
        <w:rPr>
          <w:rFonts w:hint="eastAsia" w:ascii="黑体" w:hAnsi="黑体" w:eastAsia="黑体" w:cs="黑体"/>
        </w:rPr>
        <w:t>——</w:t>
      </w:r>
      <w:r>
        <w:rPr>
          <w:rFonts w:hint="eastAsia"/>
        </w:rPr>
        <w:t>6</w:t>
      </w:r>
      <w:r>
        <w:rPr>
          <w:rFonts w:hint="eastAsia"/>
          <w:lang w:val="en-US" w:eastAsia="zh-CN"/>
        </w:rPr>
        <w:t>5</w:t>
      </w:r>
      <w:r>
        <w:rPr>
          <w:rFonts w:hint="eastAsia"/>
        </w:rPr>
        <w:t>岁及以上常住居民；</w:t>
      </w:r>
    </w:p>
    <w:p>
      <w:pPr>
        <w:pStyle w:val="51"/>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rPr>
      </w:pPr>
      <w:r>
        <w:rPr>
          <w:rFonts w:hint="eastAsia" w:ascii="黑体" w:hAnsi="黑体" w:eastAsia="黑体" w:cs="黑体"/>
        </w:rPr>
        <w:t>——</w:t>
      </w:r>
      <w:r>
        <w:rPr>
          <w:rFonts w:hint="eastAsia"/>
        </w:rPr>
        <w:t>老年人本人能与工作人员沟通交流，可阅读和理解指导建议。</w:t>
      </w:r>
    </w:p>
    <w:p>
      <w:pPr>
        <w:pStyle w:val="68"/>
        <w:keepNext w:val="0"/>
        <w:keepLines w:val="0"/>
        <w:pageBreakBefore w:val="0"/>
        <w:kinsoku/>
        <w:wordWrap/>
        <w:overflowPunct/>
        <w:topLinePunct w:val="0"/>
        <w:autoSpaceDE/>
        <w:autoSpaceDN/>
        <w:bidi w:val="0"/>
        <w:adjustRightInd/>
        <w:snapToGrid/>
        <w:spacing w:before="0" w:beforeLines="0" w:after="0" w:afterLines="0"/>
        <w:textAlignment w:val="auto"/>
        <w:rPr>
          <w:rFonts w:hint="eastAsia"/>
          <w:lang w:val="en-US" w:eastAsia="zh-CN"/>
        </w:rPr>
      </w:pPr>
      <w:r>
        <w:rPr>
          <w:rFonts w:hint="eastAsia"/>
          <w:lang w:val="en-US" w:eastAsia="zh-CN"/>
        </w:rPr>
        <w:t>满足5.1.1，但同时有下列情况之一者不可参加跌倒风险评估：</w:t>
      </w:r>
    </w:p>
    <w:p>
      <w:pPr>
        <w:pStyle w:val="51"/>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rPr>
      </w:pPr>
      <w:r>
        <w:rPr>
          <w:rFonts w:hint="eastAsia" w:ascii="黑体" w:hAnsi="黑体" w:eastAsia="黑体" w:cs="黑体"/>
        </w:rPr>
        <w:t>——</w:t>
      </w:r>
      <w:r>
        <w:rPr>
          <w:rFonts w:hint="eastAsia"/>
        </w:rPr>
        <w:t>患急性疾病或处于慢性疾病急性发作期；</w:t>
      </w:r>
    </w:p>
    <w:p>
      <w:pPr>
        <w:pStyle w:val="51"/>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rPr>
      </w:pPr>
      <w:r>
        <w:rPr>
          <w:rFonts w:hint="eastAsia" w:ascii="黑体" w:hAnsi="黑体" w:eastAsia="黑体" w:cs="黑体"/>
        </w:rPr>
        <w:t>——</w:t>
      </w:r>
      <w:r>
        <w:rPr>
          <w:rFonts w:hint="eastAsia"/>
        </w:rPr>
        <w:t>患有以跌倒为主要症状或临床表现的疾患，如前庭系统疾患等。</w:t>
      </w:r>
    </w:p>
    <w:p>
      <w:pPr>
        <w:pStyle w:val="65"/>
        <w:spacing w:before="156" w:after="156"/>
        <w:rPr>
          <w:rFonts w:hint="eastAsia"/>
          <w:lang w:val="en-US" w:eastAsia="zh-CN"/>
        </w:rPr>
      </w:pPr>
      <w:bookmarkStart w:id="41" w:name="_Toc8985"/>
      <w:bookmarkStart w:id="42" w:name="_Toc983"/>
      <w:bookmarkStart w:id="43" w:name="_Toc26118"/>
      <w:bookmarkStart w:id="44" w:name="_Toc31948"/>
      <w:bookmarkStart w:id="45" w:name="_Toc21117"/>
      <w:r>
        <w:rPr>
          <w:rFonts w:hint="eastAsia"/>
          <w:lang w:val="en-US" w:eastAsia="zh-CN"/>
        </w:rPr>
        <w:t>评估流程</w:t>
      </w:r>
      <w:bookmarkEnd w:id="41"/>
      <w:bookmarkEnd w:id="42"/>
      <w:bookmarkEnd w:id="43"/>
      <w:bookmarkEnd w:id="44"/>
      <w:bookmarkEnd w:id="45"/>
    </w:p>
    <w:p>
      <w:pPr>
        <w:pStyle w:val="51"/>
        <w:autoSpaceDE/>
        <w:autoSpaceDN/>
        <w:spacing w:before="0" w:beforeLines="0" w:after="0" w:afterLines="0"/>
        <w:rPr>
          <w:rFonts w:hint="eastAsia"/>
        </w:rPr>
      </w:pPr>
      <w:r>
        <w:rPr>
          <w:rFonts w:hint="eastAsia"/>
          <w:lang w:val="en-US" w:eastAsia="zh-CN"/>
        </w:rPr>
        <w:t>跌倒风险</w:t>
      </w:r>
      <w:r>
        <w:rPr>
          <w:rFonts w:hint="eastAsia"/>
        </w:rPr>
        <w:t>评估流程见附录A。应根据老年人的不同情况，选择附录B的全部</w:t>
      </w:r>
      <w:r>
        <w:rPr>
          <w:rFonts w:hint="eastAsia"/>
          <w:lang w:val="en-US" w:eastAsia="zh-CN"/>
        </w:rPr>
        <w:t>或</w:t>
      </w:r>
      <w:r>
        <w:rPr>
          <w:rFonts w:hint="eastAsia"/>
        </w:rPr>
        <w:t>部分内容进行跌倒风险评估，在各分项评估结果的基础上，综合评价老年人的跌倒风险。</w:t>
      </w:r>
    </w:p>
    <w:p>
      <w:pPr>
        <w:pStyle w:val="65"/>
        <w:spacing w:before="156" w:after="156"/>
        <w:rPr>
          <w:rFonts w:hint="eastAsia"/>
          <w:lang w:val="en-US" w:eastAsia="zh-CN"/>
        </w:rPr>
      </w:pPr>
      <w:bookmarkStart w:id="46" w:name="_Toc12026"/>
      <w:bookmarkStart w:id="47" w:name="_Toc27522"/>
      <w:bookmarkStart w:id="48" w:name="_Toc951"/>
      <w:bookmarkStart w:id="49" w:name="_Toc31785"/>
      <w:bookmarkStart w:id="50" w:name="_Toc21424"/>
      <w:r>
        <w:rPr>
          <w:rFonts w:hint="eastAsia"/>
          <w:lang w:val="en-US" w:eastAsia="zh-CN"/>
        </w:rPr>
        <w:t>评估工具</w:t>
      </w:r>
      <w:bookmarkEnd w:id="46"/>
      <w:bookmarkEnd w:id="47"/>
      <w:bookmarkEnd w:id="48"/>
      <w:bookmarkEnd w:id="49"/>
      <w:bookmarkEnd w:id="50"/>
    </w:p>
    <w:p>
      <w:pPr>
        <w:pStyle w:val="51"/>
        <w:rPr>
          <w:rFonts w:hint="eastAsia"/>
        </w:rPr>
      </w:pPr>
      <w:r>
        <w:rPr>
          <w:rFonts w:hint="eastAsia"/>
        </w:rPr>
        <w:t>跌倒风险的评估使用老年人跌倒风险评估问卷</w:t>
      </w:r>
      <w:r>
        <w:rPr>
          <w:rFonts w:hint="eastAsia"/>
          <w:lang w:val="en-US" w:eastAsia="zh-CN"/>
        </w:rPr>
        <w:t>见</w:t>
      </w:r>
      <w:r>
        <w:rPr>
          <w:rFonts w:hint="eastAsia"/>
        </w:rPr>
        <w:t>附录B，主要评估工具为量表和测量行动能力用的座椅、秒表等测量工具。</w:t>
      </w:r>
    </w:p>
    <w:p>
      <w:pPr>
        <w:pStyle w:val="65"/>
        <w:spacing w:before="156" w:after="156"/>
        <w:rPr>
          <w:rFonts w:hint="eastAsia"/>
          <w:lang w:val="en-US" w:eastAsia="zh-CN"/>
        </w:rPr>
      </w:pPr>
      <w:bookmarkStart w:id="51" w:name="_Toc4738"/>
      <w:bookmarkStart w:id="52" w:name="_Toc8646"/>
      <w:bookmarkStart w:id="53" w:name="_Toc6386"/>
      <w:bookmarkStart w:id="54" w:name="_Toc29949"/>
      <w:bookmarkStart w:id="55" w:name="_Toc30783"/>
      <w:r>
        <w:rPr>
          <w:rFonts w:hint="eastAsia"/>
          <w:lang w:val="en-US" w:eastAsia="zh-CN"/>
        </w:rPr>
        <w:t>评估内容</w:t>
      </w:r>
      <w:bookmarkEnd w:id="51"/>
      <w:bookmarkEnd w:id="52"/>
      <w:bookmarkEnd w:id="53"/>
      <w:bookmarkEnd w:id="54"/>
      <w:bookmarkEnd w:id="55"/>
    </w:p>
    <w:p>
      <w:pPr>
        <w:pStyle w:val="51"/>
        <w:rPr>
          <w:rFonts w:hint="eastAsia"/>
        </w:rPr>
      </w:pPr>
      <w:r>
        <w:rPr>
          <w:rFonts w:hint="eastAsia"/>
        </w:rPr>
        <w:t>综合评价老年人跌倒风险，主要内容包括：老年人跌倒史、拐杖或助行器使用情况、对跌倒的担心情况、步行情况、下肢感觉、用药情况、心理状态、平衡功能等。</w:t>
      </w:r>
    </w:p>
    <w:p>
      <w:pPr>
        <w:pStyle w:val="65"/>
        <w:spacing w:before="156" w:after="156"/>
        <w:rPr>
          <w:rFonts w:hint="eastAsia"/>
          <w:lang w:val="en-US" w:eastAsia="zh-CN"/>
        </w:rPr>
      </w:pPr>
      <w:bookmarkStart w:id="56" w:name="_Toc16143"/>
      <w:bookmarkStart w:id="57" w:name="_Toc6991"/>
      <w:bookmarkStart w:id="58" w:name="_Toc29166"/>
      <w:bookmarkStart w:id="59" w:name="_Toc19207"/>
      <w:bookmarkStart w:id="60" w:name="_Toc17444"/>
      <w:r>
        <w:rPr>
          <w:rFonts w:hint="eastAsia"/>
          <w:lang w:val="en-US" w:eastAsia="zh-CN"/>
        </w:rPr>
        <w:t>评估指标</w:t>
      </w:r>
      <w:bookmarkEnd w:id="56"/>
      <w:bookmarkEnd w:id="57"/>
      <w:bookmarkEnd w:id="58"/>
      <w:bookmarkEnd w:id="59"/>
      <w:bookmarkEnd w:id="60"/>
    </w:p>
    <w:p>
      <w:pPr>
        <w:pStyle w:val="51"/>
        <w:rPr>
          <w:rFonts w:hint="eastAsia"/>
        </w:rPr>
      </w:pPr>
      <w:r>
        <w:rPr>
          <w:rFonts w:hint="eastAsia"/>
        </w:rPr>
        <w:t>老年人跌倒风险的判断通过多阶段、多维度的跌倒风险评估完成，跌倒风险评估的指标由老年跌倒风险自评得分（见</w:t>
      </w:r>
      <w:r>
        <w:rPr>
          <w:rFonts w:hint="eastAsia"/>
          <w:lang w:val="en-US" w:eastAsia="zh-CN"/>
        </w:rPr>
        <w:t>附录</w:t>
      </w:r>
      <w:r>
        <w:rPr>
          <w:rFonts w:hint="eastAsia"/>
        </w:rPr>
        <w:t>表B.2）、跌倒风险核心问题评估结果（见</w:t>
      </w:r>
      <w:r>
        <w:rPr>
          <w:rFonts w:hint="eastAsia"/>
          <w:lang w:val="en-US" w:eastAsia="zh-CN"/>
        </w:rPr>
        <w:t>附录</w:t>
      </w:r>
      <w:r>
        <w:rPr>
          <w:rFonts w:hint="eastAsia"/>
        </w:rPr>
        <w:t>表B.3）和平衡功能测试得分“起</w:t>
      </w:r>
      <w:r>
        <w:rPr>
          <w:rFonts w:hint="eastAsia"/>
          <w:lang w:eastAsia="zh-CN"/>
        </w:rPr>
        <w:t>－</w:t>
      </w:r>
      <w:r>
        <w:rPr>
          <w:rFonts w:hint="eastAsia"/>
        </w:rPr>
        <w:t>行走”计时用时（见</w:t>
      </w:r>
      <w:r>
        <w:rPr>
          <w:rFonts w:hint="eastAsia"/>
          <w:lang w:val="en-US" w:eastAsia="zh-CN"/>
        </w:rPr>
        <w:t>附录</w:t>
      </w:r>
      <w:r>
        <w:rPr>
          <w:rFonts w:hint="eastAsia"/>
        </w:rPr>
        <w:t>表B.5）三个部分组成。</w:t>
      </w:r>
    </w:p>
    <w:p>
      <w:pPr>
        <w:pStyle w:val="65"/>
        <w:spacing w:before="156" w:after="156"/>
        <w:rPr>
          <w:rFonts w:hint="eastAsia"/>
          <w:lang w:val="en-US" w:eastAsia="zh-CN"/>
        </w:rPr>
      </w:pPr>
      <w:bookmarkStart w:id="61" w:name="_Toc18503"/>
      <w:bookmarkStart w:id="62" w:name="_Toc14781"/>
      <w:bookmarkStart w:id="63" w:name="_Toc24071"/>
      <w:bookmarkStart w:id="64" w:name="_Toc5542"/>
      <w:bookmarkStart w:id="65" w:name="_Toc3309"/>
      <w:r>
        <w:rPr>
          <w:rFonts w:hint="eastAsia"/>
          <w:lang w:val="en-US" w:eastAsia="zh-CN"/>
        </w:rPr>
        <w:t>评估等级</w:t>
      </w:r>
      <w:bookmarkEnd w:id="61"/>
      <w:bookmarkEnd w:id="62"/>
      <w:bookmarkEnd w:id="63"/>
      <w:bookmarkEnd w:id="64"/>
      <w:bookmarkEnd w:id="65"/>
    </w:p>
    <w:p>
      <w:pPr>
        <w:pStyle w:val="51"/>
        <w:rPr>
          <w:rFonts w:hint="eastAsia"/>
        </w:rPr>
      </w:pPr>
      <w:r>
        <w:rPr>
          <w:rFonts w:hint="eastAsia"/>
        </w:rPr>
        <w:t>老年人跌倒风险的评估等级分为高危、中危、低危三级（见</w:t>
      </w:r>
      <w:r>
        <w:rPr>
          <w:rFonts w:hint="eastAsia"/>
          <w:lang w:val="en-US" w:eastAsia="zh-CN"/>
        </w:rPr>
        <w:t>附录</w:t>
      </w:r>
      <w:r>
        <w:rPr>
          <w:rFonts w:hint="eastAsia"/>
        </w:rPr>
        <w:t>表B.6）。</w:t>
      </w:r>
    </w:p>
    <w:p>
      <w:pPr>
        <w:pStyle w:val="65"/>
        <w:spacing w:before="156" w:after="156"/>
        <w:rPr>
          <w:rFonts w:hint="eastAsia"/>
          <w:lang w:val="en-US" w:eastAsia="zh-CN"/>
        </w:rPr>
      </w:pPr>
      <w:bookmarkStart w:id="66" w:name="_Toc8960"/>
      <w:bookmarkStart w:id="67" w:name="_Toc22165"/>
      <w:bookmarkStart w:id="68" w:name="_Toc31135"/>
      <w:bookmarkStart w:id="69" w:name="_Toc14875"/>
      <w:bookmarkStart w:id="70" w:name="_Toc10897"/>
      <w:r>
        <w:rPr>
          <w:rFonts w:hint="eastAsia"/>
          <w:lang w:val="en-US" w:eastAsia="zh-CN"/>
        </w:rPr>
        <w:t>评估频次</w:t>
      </w:r>
      <w:bookmarkEnd w:id="66"/>
      <w:bookmarkEnd w:id="67"/>
      <w:bookmarkEnd w:id="68"/>
      <w:bookmarkEnd w:id="69"/>
      <w:bookmarkEnd w:id="70"/>
    </w:p>
    <w:p>
      <w:pPr>
        <w:pStyle w:val="51"/>
        <w:rPr>
          <w:rFonts w:hint="eastAsia"/>
        </w:rPr>
      </w:pPr>
      <w:r>
        <w:rPr>
          <w:rFonts w:hint="eastAsia"/>
        </w:rPr>
        <w:t>形成老年人跌倒风险评估报告后，评估结果应告知老年人。老年人跌倒风险评估应为动态评估，在首次评估后，若无特殊变化，至少每12个月评估一次，流程与首次评估相同；出现特殊情况导致风险发生变化时，宜再次评估。</w:t>
      </w:r>
    </w:p>
    <w:p>
      <w:pPr>
        <w:pStyle w:val="66"/>
        <w:spacing w:before="312" w:after="312"/>
        <w:rPr>
          <w:rFonts w:hint="eastAsia"/>
          <w:lang w:val="en-US" w:eastAsia="zh-CN"/>
        </w:rPr>
      </w:pPr>
      <w:bookmarkStart w:id="71" w:name="_Toc7571"/>
      <w:bookmarkStart w:id="72" w:name="_Toc26191"/>
      <w:bookmarkStart w:id="73" w:name="_Toc1348"/>
      <w:bookmarkStart w:id="74" w:name="_Toc31298"/>
      <w:bookmarkStart w:id="75" w:name="_Toc30977"/>
      <w:r>
        <w:rPr>
          <w:rFonts w:hint="eastAsia"/>
          <w:lang w:val="en-US" w:eastAsia="zh-CN"/>
        </w:rPr>
        <w:t>高危人群</w:t>
      </w:r>
      <w:r>
        <w:rPr>
          <w:rFonts w:hint="default"/>
          <w:lang w:val="en-US" w:eastAsia="zh-CN"/>
        </w:rPr>
        <w:t>管理</w:t>
      </w:r>
      <w:bookmarkEnd w:id="71"/>
      <w:bookmarkEnd w:id="72"/>
      <w:bookmarkEnd w:id="73"/>
      <w:bookmarkEnd w:id="74"/>
      <w:bookmarkEnd w:id="75"/>
    </w:p>
    <w:p>
      <w:pPr>
        <w:pStyle w:val="65"/>
        <w:spacing w:before="156" w:after="156"/>
        <w:rPr>
          <w:rFonts w:hint="eastAsia"/>
          <w:lang w:val="en-US" w:eastAsia="zh-CN"/>
        </w:rPr>
      </w:pPr>
      <w:bookmarkStart w:id="76" w:name="_Toc28852"/>
      <w:bookmarkStart w:id="77" w:name="_Toc14460"/>
      <w:bookmarkStart w:id="78" w:name="_Toc27584"/>
      <w:bookmarkStart w:id="79" w:name="_Toc25463"/>
      <w:bookmarkStart w:id="80" w:name="_Toc23598"/>
      <w:r>
        <w:rPr>
          <w:rFonts w:hint="eastAsia"/>
          <w:lang w:val="en-US" w:eastAsia="zh-CN"/>
        </w:rPr>
        <w:t>管理对象</w:t>
      </w:r>
      <w:bookmarkEnd w:id="76"/>
      <w:bookmarkEnd w:id="77"/>
      <w:bookmarkEnd w:id="78"/>
      <w:bookmarkEnd w:id="79"/>
      <w:bookmarkEnd w:id="80"/>
    </w:p>
    <w:p>
      <w:pPr>
        <w:pStyle w:val="68"/>
        <w:keepNext w:val="0"/>
        <w:keepLines w:val="0"/>
        <w:pageBreakBefore w:val="0"/>
        <w:kinsoku/>
        <w:wordWrap/>
        <w:overflowPunct/>
        <w:topLinePunct w:val="0"/>
        <w:bidi w:val="0"/>
        <w:adjustRightInd/>
        <w:snapToGrid/>
        <w:spacing w:before="0" w:beforeLines="0" w:after="0" w:afterLines="0"/>
        <w:textAlignment w:val="auto"/>
        <w:rPr>
          <w:rFonts w:hint="eastAsia"/>
          <w:lang w:val="en-US" w:eastAsia="zh-CN"/>
        </w:rPr>
      </w:pPr>
      <w:r>
        <w:rPr>
          <w:rFonts w:hint="eastAsia"/>
          <w:lang w:val="en-US" w:eastAsia="zh-CN"/>
        </w:rPr>
        <w:t>同时满足下列条件的老年人可作为跌倒高危人群管理对象：</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跌倒风险评估为高危；</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有时间、愿意参加预防跌倒活动；</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文化程度在小学及以上，能进行正常沟通和交流，有基本读写能力；</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具备一定独立活动能力，可以到活动实施场所参加跌倒预防健康教育小组活动。</w:t>
      </w:r>
    </w:p>
    <w:p>
      <w:pPr>
        <w:pStyle w:val="68"/>
        <w:keepNext w:val="0"/>
        <w:keepLines w:val="0"/>
        <w:pageBreakBefore w:val="0"/>
        <w:kinsoku/>
        <w:wordWrap/>
        <w:overflowPunct/>
        <w:topLinePunct w:val="0"/>
        <w:bidi w:val="0"/>
        <w:adjustRightInd/>
        <w:snapToGrid/>
        <w:spacing w:before="0" w:beforeLines="0" w:after="0" w:afterLines="0"/>
        <w:textAlignment w:val="auto"/>
        <w:rPr>
          <w:rFonts w:hint="eastAsia"/>
          <w:lang w:val="en-US" w:eastAsia="zh-CN"/>
        </w:rPr>
      </w:pPr>
      <w:r>
        <w:rPr>
          <w:rFonts w:hint="eastAsia"/>
          <w:lang w:val="en-US" w:eastAsia="zh-CN"/>
        </w:rPr>
        <w:t>满足</w:t>
      </w:r>
      <w:r>
        <w:rPr>
          <w:rFonts w:hint="eastAsia" w:ascii="宋体" w:hAnsi="宋体" w:eastAsia="宋体" w:cs="宋体"/>
          <w:lang w:val="en-US" w:eastAsia="zh-CN"/>
        </w:rPr>
        <w:t>6.1.1</w:t>
      </w:r>
      <w:r>
        <w:rPr>
          <w:rFonts w:hint="eastAsia"/>
          <w:lang w:val="en-US" w:eastAsia="zh-CN"/>
        </w:rPr>
        <w:t>，但同时有下列情况之一者不可参加跌倒高危人群管理：</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处于疾病急性期或慢性疾病急性发作期；</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听力、视力、认识功能障碍，或自报患有癫痫、痴呆等神经和精神疾病无法正常沟通学习者；</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自报患有心脑肾肝、呼吸系统、血液系统等疾病，且不耐受运动者；</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患有明确的影响平衡功能疾病患者（如前庭、小脑系统器官病变，眩晕症等疾病患者）；</w:t>
      </w:r>
    </w:p>
    <w:p>
      <w:pPr>
        <w:pStyle w:val="51"/>
        <w:keepNext w:val="0"/>
        <w:keepLines w:val="0"/>
        <w:pageBreakBefore w:val="0"/>
        <w:widowControl/>
        <w:kinsoku/>
        <w:wordWrap/>
        <w:overflowPunct/>
        <w:topLinePunct w:val="0"/>
        <w:autoSpaceDE w:val="0"/>
        <w:autoSpaceDN w:val="0"/>
        <w:bidi w:val="0"/>
        <w:adjustRightInd/>
        <w:snapToGrid/>
        <w:ind w:left="840" w:leftChars="200" w:hanging="420" w:hangingChars="200"/>
        <w:textAlignment w:val="auto"/>
        <w:rPr>
          <w:rFonts w:hint="eastAsia"/>
        </w:rPr>
      </w:pPr>
      <w:r>
        <w:rPr>
          <w:rFonts w:hint="eastAsia" w:ascii="黑体" w:hAnsi="黑体" w:eastAsia="黑体" w:cs="黑体"/>
          <w:lang w:eastAsia="zh-CN"/>
        </w:rPr>
        <w:t>——</w:t>
      </w:r>
      <w:r>
        <w:rPr>
          <w:rFonts w:hint="eastAsia"/>
        </w:rPr>
        <w:t>文盲或者无法完成基本阅读者。</w:t>
      </w:r>
    </w:p>
    <w:p>
      <w:pPr>
        <w:pStyle w:val="65"/>
        <w:spacing w:before="156" w:after="156"/>
        <w:rPr>
          <w:rFonts w:hint="default"/>
          <w:lang w:val="en-US" w:eastAsia="zh-CN"/>
        </w:rPr>
      </w:pPr>
      <w:bookmarkStart w:id="81" w:name="_Toc10346"/>
      <w:bookmarkStart w:id="82" w:name="_Toc2063"/>
      <w:bookmarkStart w:id="83" w:name="_Toc9954"/>
      <w:bookmarkStart w:id="84" w:name="_Toc10327"/>
      <w:bookmarkStart w:id="85" w:name="_Toc8949"/>
      <w:r>
        <w:rPr>
          <w:rFonts w:hint="eastAsia"/>
          <w:lang w:val="en-US" w:eastAsia="zh-CN"/>
        </w:rPr>
        <w:t>高危人群管理</w:t>
      </w:r>
      <w:bookmarkEnd w:id="81"/>
      <w:bookmarkEnd w:id="82"/>
      <w:r>
        <w:rPr>
          <w:rFonts w:hint="eastAsia"/>
          <w:lang w:val="en-US" w:eastAsia="zh-CN"/>
        </w:rPr>
        <w:t>内容</w:t>
      </w:r>
      <w:bookmarkEnd w:id="83"/>
      <w:bookmarkEnd w:id="84"/>
      <w:bookmarkEnd w:id="85"/>
    </w:p>
    <w:p>
      <w:pPr>
        <w:pStyle w:val="68"/>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2"/>
        <w:rPr>
          <w:rFonts w:hint="eastAsia"/>
          <w:lang w:val="en-US" w:eastAsia="zh-CN"/>
        </w:rPr>
      </w:pPr>
      <w:bookmarkStart w:id="86" w:name="_Toc6696"/>
      <w:bookmarkStart w:id="87" w:name="_Toc19946"/>
      <w:bookmarkStart w:id="88" w:name="_Toc3567"/>
      <w:bookmarkStart w:id="89" w:name="_Toc15550"/>
      <w:bookmarkStart w:id="90" w:name="_Toc11340"/>
      <w:r>
        <w:rPr>
          <w:rFonts w:hint="eastAsia" w:ascii="黑体" w:hAnsi="黑体" w:eastAsia="黑体" w:cs="黑体"/>
          <w:lang w:val="en-US" w:eastAsia="zh-CN"/>
        </w:rPr>
        <w:t>健康教育小组活动</w:t>
      </w:r>
      <w:bookmarkEnd w:id="86"/>
      <w:bookmarkEnd w:id="87"/>
      <w:bookmarkEnd w:id="88"/>
      <w:bookmarkEnd w:id="89"/>
      <w:bookmarkEnd w:id="90"/>
    </w:p>
    <w:p>
      <w:pPr>
        <w:pStyle w:val="51"/>
        <w:keepNext w:val="0"/>
        <w:keepLines w:val="0"/>
        <w:pageBreakBefore w:val="0"/>
        <w:widowControl/>
        <w:numPr>
          <w:ilvl w:val="0"/>
          <w:numId w:val="11"/>
        </w:numPr>
        <w:kinsoku/>
        <w:wordWrap/>
        <w:overflowPunct/>
        <w:topLinePunct w:val="0"/>
        <w:autoSpaceDE w:val="0"/>
        <w:autoSpaceDN w:val="0"/>
        <w:bidi w:val="0"/>
        <w:adjustRightInd/>
        <w:snapToGrid/>
        <w:spacing w:before="157" w:beforeLines="50" w:after="157" w:afterLines="50"/>
        <w:ind w:left="0" w:leftChars="0" w:firstLine="0" w:firstLineChars="0"/>
        <w:textAlignment w:val="auto"/>
        <w:rPr>
          <w:rFonts w:hint="eastAsia" w:ascii="黑体" w:hAnsi="黑体" w:eastAsia="黑体" w:cs="黑体"/>
          <w:b w:val="0"/>
          <w:bCs w:val="0"/>
        </w:rPr>
      </w:pPr>
      <w:r>
        <w:rPr>
          <w:rFonts w:hint="eastAsia" w:ascii="黑体" w:hAnsi="黑体" w:eastAsia="黑体" w:cs="黑体"/>
          <w:b w:val="0"/>
          <w:bCs w:val="0"/>
        </w:rPr>
        <w:t>活动要求</w:t>
      </w:r>
    </w:p>
    <w:p>
      <w:pPr>
        <w:pStyle w:val="51"/>
        <w:rPr>
          <w:rFonts w:hint="eastAsia"/>
        </w:rPr>
      </w:pPr>
      <w:r>
        <w:rPr>
          <w:rFonts w:hint="eastAsia"/>
        </w:rPr>
        <w:t>组织跌倒</w:t>
      </w:r>
      <w:r>
        <w:rPr>
          <w:rFonts w:hint="eastAsia"/>
          <w:lang w:val="en-US" w:eastAsia="zh-CN"/>
        </w:rPr>
        <w:t>风险评估结果为</w:t>
      </w:r>
      <w:r>
        <w:rPr>
          <w:rFonts w:hint="eastAsia"/>
        </w:rPr>
        <w:t>高危</w:t>
      </w:r>
      <w:r>
        <w:rPr>
          <w:rFonts w:hint="eastAsia"/>
          <w:lang w:val="en-US" w:eastAsia="zh-CN"/>
        </w:rPr>
        <w:t>的老年人</w:t>
      </w:r>
      <w:r>
        <w:rPr>
          <w:rFonts w:hint="eastAsia"/>
        </w:rPr>
        <w:t>建立预防跌倒健康教育活动小组，定期开展健康教育小组活动，小组成员包括2名基层医疗机构医务人员和12名～15名老年人（</w:t>
      </w:r>
      <w:r>
        <w:rPr>
          <w:rFonts w:hint="eastAsia"/>
          <w:lang w:val="en-US" w:eastAsia="zh-CN"/>
        </w:rPr>
        <w:t>医务</w:t>
      </w:r>
      <w:r>
        <w:rPr>
          <w:rFonts w:hint="eastAsia"/>
        </w:rPr>
        <w:t>人员</w:t>
      </w:r>
      <w:r>
        <w:rPr>
          <w:rFonts w:hint="eastAsia"/>
          <w:lang w:val="en-US" w:eastAsia="zh-CN"/>
        </w:rPr>
        <w:t>与</w:t>
      </w:r>
      <w:r>
        <w:rPr>
          <w:rFonts w:hint="eastAsia"/>
        </w:rPr>
        <w:t>老年人的配比</w:t>
      </w:r>
      <w:r>
        <w:rPr>
          <w:rFonts w:hint="eastAsia"/>
          <w:highlight w:val="none"/>
          <w:lang w:eastAsia="zh-CN"/>
        </w:rPr>
        <w:t>约</w:t>
      </w:r>
      <w:r>
        <w:rPr>
          <w:rFonts w:hint="eastAsia"/>
          <w:highlight w:val="none"/>
        </w:rPr>
        <w:t>在</w:t>
      </w:r>
      <w:r>
        <w:rPr>
          <w:rFonts w:hint="eastAsia"/>
          <w:lang w:val="en-US" w:eastAsia="zh-CN"/>
        </w:rPr>
        <w:t>1</w:t>
      </w:r>
      <w:r>
        <w:rPr>
          <w:rFonts w:hint="eastAsia"/>
        </w:rPr>
        <w:t>：</w:t>
      </w:r>
      <w:r>
        <w:rPr>
          <w:rFonts w:hint="eastAsia"/>
          <w:lang w:val="en-US" w:eastAsia="zh-CN"/>
        </w:rPr>
        <w:t>7</w:t>
      </w:r>
      <w:r>
        <w:rPr>
          <w:rFonts w:hint="eastAsia"/>
        </w:rPr>
        <w:t>），通过授课、讨论、问答、分享等形式传播跌倒预防相关知识、理念，提升</w:t>
      </w:r>
      <w:r>
        <w:rPr>
          <w:rFonts w:hint="eastAsia"/>
          <w:lang w:val="en-US" w:eastAsia="zh-CN"/>
        </w:rPr>
        <w:t>老年人</w:t>
      </w:r>
      <w:r>
        <w:rPr>
          <w:rFonts w:hint="eastAsia"/>
        </w:rPr>
        <w:t>预防跌倒所需的基础知识和理念。</w:t>
      </w:r>
      <w:r>
        <w:rPr>
          <w:rFonts w:hint="eastAsia"/>
          <w:lang w:val="en-US" w:eastAsia="zh-CN"/>
        </w:rPr>
        <w:t>医务</w:t>
      </w:r>
      <w:r>
        <w:rPr>
          <w:rFonts w:hint="eastAsia"/>
        </w:rPr>
        <w:t>人员教授</w:t>
      </w:r>
      <w:r>
        <w:rPr>
          <w:rFonts w:hint="eastAsia"/>
          <w:lang w:val="en-US" w:eastAsia="zh-CN"/>
        </w:rPr>
        <w:t>老年人</w:t>
      </w:r>
      <w:r>
        <w:rPr>
          <w:rFonts w:hint="eastAsia"/>
        </w:rPr>
        <w:t>制定预防跌倒行动计划，帮助老年人掌握</w:t>
      </w:r>
      <w:r>
        <w:rPr>
          <w:rFonts w:hint="eastAsia"/>
          <w:lang w:val="en-US" w:eastAsia="zh-CN"/>
        </w:rPr>
        <w:t>防</w:t>
      </w:r>
      <w:r>
        <w:rPr>
          <w:rFonts w:hint="eastAsia"/>
        </w:rPr>
        <w:t>跌倒</w:t>
      </w:r>
      <w:r>
        <w:rPr>
          <w:rFonts w:hint="eastAsia"/>
          <w:lang w:val="en-US" w:eastAsia="zh-CN"/>
        </w:rPr>
        <w:t>的</w:t>
      </w:r>
      <w:r>
        <w:rPr>
          <w:rFonts w:hint="eastAsia"/>
        </w:rPr>
        <w:t>自我管理技能。</w:t>
      </w:r>
    </w:p>
    <w:p>
      <w:pPr>
        <w:pStyle w:val="51"/>
        <w:keepNext w:val="0"/>
        <w:keepLines w:val="0"/>
        <w:pageBreakBefore w:val="0"/>
        <w:widowControl/>
        <w:numPr>
          <w:ilvl w:val="0"/>
          <w:numId w:val="11"/>
        </w:numPr>
        <w:kinsoku/>
        <w:wordWrap/>
        <w:overflowPunct/>
        <w:topLinePunct w:val="0"/>
        <w:autoSpaceDE w:val="0"/>
        <w:autoSpaceDN w:val="0"/>
        <w:bidi w:val="0"/>
        <w:adjustRightInd/>
        <w:snapToGrid/>
        <w:spacing w:before="157" w:beforeLines="50" w:after="157" w:afterLines="50"/>
        <w:ind w:left="0" w:leftChars="0" w:firstLine="0" w:firstLineChars="0"/>
        <w:textAlignment w:val="auto"/>
        <w:rPr>
          <w:rFonts w:hint="eastAsia" w:ascii="黑体" w:hAnsi="黑体" w:eastAsia="黑体" w:cs="黑体"/>
          <w:b w:val="0"/>
          <w:bCs w:val="0"/>
        </w:rPr>
      </w:pPr>
      <w:r>
        <w:rPr>
          <w:rFonts w:hint="eastAsia" w:ascii="黑体" w:hAnsi="黑体" w:eastAsia="黑体" w:cs="黑体"/>
          <w:b w:val="0"/>
          <w:bCs w:val="0"/>
        </w:rPr>
        <w:t>活动内容</w:t>
      </w:r>
    </w:p>
    <w:p>
      <w:pPr>
        <w:pStyle w:val="51"/>
        <w:rPr>
          <w:rFonts w:hint="eastAsia"/>
        </w:rPr>
      </w:pPr>
      <w:r>
        <w:rPr>
          <w:rFonts w:hint="eastAsia"/>
          <w:highlight w:val="none"/>
        </w:rPr>
        <w:t>活动内容主要包括：</w:t>
      </w:r>
      <w:r>
        <w:rPr>
          <w:rFonts w:hint="eastAsia"/>
        </w:rPr>
        <w:t>老年人跌倒的严重性和危害，老年人跌倒相关危险因素，老年人跌倒预防主要策略措施，平衡功能、耐力、下肢力量锻炼方法，居家环境跌倒危险因素识别与改造，跌倒相关疾病的应对，跌倒相关药物的管理原则，跌倒相关辅助工具的选择，害怕跌倒心理的应对，健康自我管理技能等</w:t>
      </w:r>
      <w:r>
        <w:rPr>
          <w:rFonts w:hint="eastAsia"/>
          <w:lang w:eastAsia="zh-CN"/>
        </w:rPr>
        <w:t>（</w:t>
      </w:r>
      <w:r>
        <w:rPr>
          <w:rFonts w:hint="eastAsia"/>
        </w:rPr>
        <w:t>各次小组活动主要内容见附录C</w:t>
      </w:r>
      <w:r>
        <w:rPr>
          <w:rFonts w:hint="eastAsia"/>
          <w:lang w:eastAsia="zh-CN"/>
        </w:rPr>
        <w:t>）</w:t>
      </w:r>
      <w:r>
        <w:rPr>
          <w:rFonts w:hint="eastAsia"/>
        </w:rPr>
        <w:t>。</w:t>
      </w:r>
    </w:p>
    <w:p>
      <w:pPr>
        <w:pStyle w:val="51"/>
        <w:keepNext w:val="0"/>
        <w:keepLines w:val="0"/>
        <w:pageBreakBefore w:val="0"/>
        <w:widowControl/>
        <w:numPr>
          <w:ilvl w:val="0"/>
          <w:numId w:val="11"/>
        </w:numPr>
        <w:kinsoku/>
        <w:wordWrap/>
        <w:overflowPunct/>
        <w:topLinePunct w:val="0"/>
        <w:autoSpaceDE w:val="0"/>
        <w:autoSpaceDN w:val="0"/>
        <w:bidi w:val="0"/>
        <w:adjustRightInd/>
        <w:snapToGrid/>
        <w:spacing w:before="157" w:beforeLines="50" w:after="157" w:afterLines="50"/>
        <w:ind w:left="0" w:leftChars="0" w:firstLine="0" w:firstLineChars="0"/>
        <w:textAlignment w:val="auto"/>
        <w:rPr>
          <w:rFonts w:hint="eastAsia" w:ascii="黑体" w:hAnsi="黑体" w:eastAsia="黑体" w:cs="黑体"/>
          <w:b w:val="0"/>
          <w:bCs w:val="0"/>
        </w:rPr>
      </w:pPr>
      <w:r>
        <w:rPr>
          <w:rFonts w:hint="eastAsia" w:ascii="黑体" w:hAnsi="黑体" w:eastAsia="黑体" w:cs="黑体"/>
          <w:b w:val="0"/>
          <w:bCs w:val="0"/>
        </w:rPr>
        <w:t>活动频率</w:t>
      </w:r>
    </w:p>
    <w:p>
      <w:pPr>
        <w:pStyle w:val="51"/>
        <w:keepNext w:val="0"/>
        <w:keepLines w:val="0"/>
        <w:pageBreakBefore w:val="0"/>
        <w:widowControl/>
        <w:kinsoku/>
        <w:wordWrap/>
        <w:overflowPunct/>
        <w:topLinePunct w:val="0"/>
        <w:autoSpaceDE w:val="0"/>
        <w:autoSpaceDN w:val="0"/>
        <w:bidi w:val="0"/>
        <w:adjustRightInd/>
        <w:snapToGrid/>
        <w:textAlignment w:val="auto"/>
        <w:rPr>
          <w:rFonts w:hint="eastAsia"/>
        </w:rPr>
      </w:pPr>
      <w:r>
        <w:rPr>
          <w:rFonts w:hint="eastAsia"/>
        </w:rPr>
        <w:t>健康教育小组活动共7次，每次持续约60分钟。所有活动</w:t>
      </w:r>
      <w:r>
        <w:rPr>
          <w:rFonts w:hint="eastAsia"/>
          <w:lang w:val="en-US" w:eastAsia="zh-CN"/>
        </w:rPr>
        <w:t>宜</w:t>
      </w:r>
      <w:r>
        <w:rPr>
          <w:rFonts w:hint="eastAsia"/>
        </w:rPr>
        <w:t>在2个月内完成。</w:t>
      </w:r>
    </w:p>
    <w:p>
      <w:pPr>
        <w:pStyle w:val="68"/>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2"/>
        <w:rPr>
          <w:rFonts w:hint="eastAsia" w:ascii="黑体" w:hAnsi="黑体" w:eastAsia="黑体" w:cs="黑体"/>
          <w:lang w:val="en-US" w:eastAsia="zh-CN"/>
        </w:rPr>
      </w:pPr>
      <w:bookmarkStart w:id="91" w:name="_Toc4395"/>
      <w:bookmarkStart w:id="92" w:name="_Toc16477"/>
      <w:bookmarkStart w:id="93" w:name="_Toc16445"/>
      <w:bookmarkStart w:id="94" w:name="_Toc23149"/>
      <w:bookmarkStart w:id="95" w:name="_Toc17618"/>
      <w:r>
        <w:rPr>
          <w:rFonts w:hint="eastAsia" w:ascii="黑体" w:hAnsi="黑体" w:eastAsia="黑体" w:cs="黑体"/>
          <w:lang w:val="en-US" w:eastAsia="zh-CN"/>
        </w:rPr>
        <w:t>运动干预</w:t>
      </w:r>
      <w:bookmarkEnd w:id="91"/>
      <w:bookmarkEnd w:id="92"/>
      <w:bookmarkEnd w:id="93"/>
      <w:bookmarkEnd w:id="94"/>
      <w:bookmarkEnd w:id="95"/>
    </w:p>
    <w:p>
      <w:pPr>
        <w:pStyle w:val="51"/>
        <w:rPr>
          <w:rFonts w:hint="eastAsia"/>
        </w:rPr>
      </w:pPr>
      <w:r>
        <w:rPr>
          <w:rFonts w:hint="eastAsia"/>
        </w:rPr>
        <w:t>医务人员通过讲课、示范、现场练习、实践等形式，帮助跌倒高危人群改善平衡功能、提升下肢肌肉力量、</w:t>
      </w:r>
      <w:r>
        <w:rPr>
          <w:rFonts w:hint="eastAsia"/>
          <w:lang w:val="en-US" w:eastAsia="zh-CN"/>
        </w:rPr>
        <w:t>掌握</w:t>
      </w:r>
      <w:r>
        <w:rPr>
          <w:rFonts w:hint="eastAsia"/>
        </w:rPr>
        <w:t>耐力锻炼等预防跌倒的运动锻炼技能。</w:t>
      </w:r>
    </w:p>
    <w:p>
      <w:pPr>
        <w:pStyle w:val="68"/>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2"/>
        <w:rPr>
          <w:rFonts w:hint="eastAsia" w:ascii="黑体" w:hAnsi="黑体" w:eastAsia="黑体" w:cs="黑体"/>
          <w:lang w:val="en-US" w:eastAsia="zh-CN"/>
        </w:rPr>
      </w:pPr>
      <w:bookmarkStart w:id="96" w:name="_Toc31619"/>
      <w:bookmarkStart w:id="97" w:name="_Toc7759"/>
      <w:bookmarkStart w:id="98" w:name="_Toc29460"/>
      <w:bookmarkStart w:id="99" w:name="_Toc405"/>
      <w:bookmarkStart w:id="100" w:name="_Toc14825"/>
      <w:r>
        <w:rPr>
          <w:rFonts w:hint="eastAsia" w:ascii="黑体" w:hAnsi="黑体" w:eastAsia="黑体" w:cs="黑体"/>
          <w:lang w:val="en-US" w:eastAsia="zh-CN"/>
        </w:rPr>
        <w:t>居家环境危险因素评估与改善建议</w:t>
      </w:r>
      <w:bookmarkEnd w:id="96"/>
      <w:bookmarkEnd w:id="97"/>
      <w:bookmarkEnd w:id="98"/>
      <w:bookmarkEnd w:id="99"/>
      <w:bookmarkEnd w:id="100"/>
    </w:p>
    <w:p>
      <w:pPr>
        <w:pStyle w:val="51"/>
        <w:keepNext w:val="0"/>
        <w:keepLines w:val="0"/>
        <w:pageBreakBefore w:val="0"/>
        <w:widowControl/>
        <w:numPr>
          <w:ilvl w:val="0"/>
          <w:numId w:val="12"/>
        </w:numPr>
        <w:kinsoku/>
        <w:wordWrap/>
        <w:overflowPunct/>
        <w:topLinePunct w:val="0"/>
        <w:autoSpaceDE w:val="0"/>
        <w:autoSpaceDN w:val="0"/>
        <w:bidi w:val="0"/>
        <w:adjustRightInd/>
        <w:snapToGrid/>
        <w:spacing w:before="157" w:beforeLines="50" w:after="157" w:afterLines="50"/>
        <w:ind w:left="0" w:leftChars="0" w:firstLine="0" w:firstLineChars="0"/>
        <w:textAlignment w:val="auto"/>
        <w:rPr>
          <w:rFonts w:hint="eastAsia" w:ascii="黑体" w:hAnsi="黑体" w:eastAsia="黑体" w:cs="黑体"/>
        </w:rPr>
      </w:pPr>
      <w:r>
        <w:rPr>
          <w:rFonts w:hint="eastAsia" w:ascii="黑体" w:hAnsi="黑体" w:eastAsia="黑体" w:cs="黑体"/>
        </w:rPr>
        <w:t>评估方式</w:t>
      </w:r>
    </w:p>
    <w:p>
      <w:pPr>
        <w:pStyle w:val="51"/>
        <w:rPr>
          <w:rFonts w:hint="eastAsia"/>
        </w:rPr>
      </w:pPr>
      <w:r>
        <w:rPr>
          <w:rFonts w:hint="eastAsia"/>
        </w:rPr>
        <w:t>通过老年人自评和工作人员入户评估指导两种方式，指导老年人对跌倒相关的家居环境危险因素进行评估和环境改善建议指导。</w:t>
      </w:r>
    </w:p>
    <w:p>
      <w:pPr>
        <w:pStyle w:val="51"/>
        <w:keepNext w:val="0"/>
        <w:keepLines w:val="0"/>
        <w:pageBreakBefore w:val="0"/>
        <w:widowControl/>
        <w:numPr>
          <w:ilvl w:val="0"/>
          <w:numId w:val="12"/>
        </w:numPr>
        <w:kinsoku/>
        <w:wordWrap/>
        <w:overflowPunct/>
        <w:topLinePunct w:val="0"/>
        <w:autoSpaceDE w:val="0"/>
        <w:autoSpaceDN w:val="0"/>
        <w:bidi w:val="0"/>
        <w:adjustRightInd/>
        <w:snapToGrid/>
        <w:spacing w:before="157" w:beforeLines="50" w:after="157" w:afterLines="50"/>
        <w:ind w:left="0" w:leftChars="0" w:firstLine="0" w:firstLineChars="0"/>
        <w:textAlignment w:val="auto"/>
        <w:rPr>
          <w:rFonts w:hint="eastAsia" w:ascii="黑体" w:hAnsi="黑体" w:eastAsia="黑体" w:cs="黑体"/>
        </w:rPr>
      </w:pPr>
      <w:r>
        <w:rPr>
          <w:rFonts w:hint="eastAsia" w:ascii="黑体" w:hAnsi="黑体" w:eastAsia="黑体" w:cs="黑体"/>
        </w:rPr>
        <w:t>评估与改善建议内容</w:t>
      </w:r>
    </w:p>
    <w:p>
      <w:pPr>
        <w:pStyle w:val="51"/>
        <w:ind w:firstLine="420" w:firstLineChars="200"/>
        <w:rPr>
          <w:rFonts w:hint="eastAsia"/>
          <w:lang w:val="en-US" w:eastAsia="zh-CN"/>
        </w:rPr>
      </w:pPr>
      <w:r>
        <w:rPr>
          <w:rFonts w:hint="eastAsia"/>
        </w:rPr>
        <w:t>环境危险因素评估内容与改善建议包括居家环境中的照明情况、地面湿滑程度、地毯是否会移动、台阶门槛是否过高、障碍物情况、家具的选择和摆放情况、是否有扶手和支撑位、楼道楼梯情况、宠物情况以及其他情况</w:t>
      </w:r>
      <w:r>
        <w:rPr>
          <w:rFonts w:hint="eastAsia"/>
          <w:lang w:eastAsia="zh-CN"/>
        </w:rPr>
        <w:t>（</w:t>
      </w:r>
      <w:r>
        <w:rPr>
          <w:rFonts w:hint="eastAsia"/>
        </w:rPr>
        <w:t>详细评估内容与改善建议见附录D</w:t>
      </w:r>
      <w:r>
        <w:rPr>
          <w:rFonts w:hint="eastAsia"/>
          <w:lang w:eastAsia="zh-CN"/>
        </w:rPr>
        <w:t>）</w:t>
      </w:r>
      <w:r>
        <w:rPr>
          <w:rFonts w:hint="eastAsia"/>
        </w:rPr>
        <w:t>。</w:t>
      </w:r>
    </w:p>
    <w:p>
      <w:pPr>
        <w:pStyle w:val="68"/>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2"/>
        <w:rPr>
          <w:rFonts w:hint="eastAsia" w:ascii="黑体" w:hAnsi="黑体" w:eastAsia="黑体" w:cs="黑体"/>
          <w:lang w:val="en-US" w:eastAsia="zh-CN"/>
        </w:rPr>
      </w:pPr>
      <w:bookmarkStart w:id="101" w:name="_Toc7604"/>
      <w:bookmarkStart w:id="102" w:name="_Toc25374"/>
      <w:bookmarkStart w:id="103" w:name="_Toc3395"/>
      <w:bookmarkStart w:id="104" w:name="_Toc25998"/>
      <w:r>
        <w:rPr>
          <w:rFonts w:hint="eastAsia" w:ascii="黑体" w:hAnsi="黑体" w:eastAsia="黑体" w:cs="黑体"/>
          <w:lang w:val="en-US" w:eastAsia="zh-CN"/>
        </w:rPr>
        <w:t>效果评估</w:t>
      </w:r>
      <w:bookmarkEnd w:id="101"/>
      <w:bookmarkEnd w:id="102"/>
      <w:bookmarkEnd w:id="103"/>
      <w:bookmarkEnd w:id="104"/>
    </w:p>
    <w:p>
      <w:pPr>
        <w:pStyle w:val="51"/>
        <w:ind w:firstLine="420" w:firstLineChars="200"/>
        <w:rPr>
          <w:rFonts w:hint="eastAsia"/>
          <w:lang w:val="en-US" w:eastAsia="zh-CN"/>
        </w:rPr>
      </w:pPr>
      <w:bookmarkStart w:id="105" w:name="_Toc11797"/>
      <w:r>
        <w:rPr>
          <w:rFonts w:hint="eastAsia" w:hAnsi="Times New Roman" w:cs="Times New Roman"/>
          <w:lang w:val="en-US" w:eastAsia="zh-CN"/>
        </w:rPr>
        <w:t>跌倒高危人群</w:t>
      </w:r>
      <w:r>
        <w:rPr>
          <w:rFonts w:hint="eastAsia" w:ascii="宋体" w:hAnsi="Times New Roman" w:eastAsia="宋体" w:cs="Times New Roman"/>
          <w:lang w:val="en-US" w:eastAsia="zh-CN"/>
        </w:rPr>
        <w:t>管理期满后</w:t>
      </w:r>
      <w:r>
        <w:rPr>
          <w:rFonts w:hint="eastAsia" w:hAnsi="Times New Roman" w:cs="Times New Roman"/>
          <w:lang w:val="en-US" w:eastAsia="zh-CN"/>
        </w:rPr>
        <w:t>进行跌倒风险的效果评估，</w:t>
      </w:r>
      <w:r>
        <w:rPr>
          <w:rFonts w:hint="eastAsia"/>
        </w:rPr>
        <w:t>流程</w:t>
      </w:r>
      <w:r>
        <w:rPr>
          <w:rFonts w:hint="eastAsia" w:hAnsi="Times New Roman"/>
          <w:lang w:val="en-US" w:eastAsia="zh-CN"/>
        </w:rPr>
        <w:t>及内容</w:t>
      </w:r>
      <w:r>
        <w:rPr>
          <w:rFonts w:hint="eastAsia"/>
        </w:rPr>
        <w:t>与首次</w:t>
      </w:r>
      <w:r>
        <w:rPr>
          <w:rFonts w:hint="eastAsia" w:hAnsi="Times New Roman"/>
          <w:lang w:val="en-US" w:eastAsia="zh-CN"/>
        </w:rPr>
        <w:t>跌倒风险</w:t>
      </w:r>
      <w:r>
        <w:rPr>
          <w:rFonts w:hint="eastAsia"/>
        </w:rPr>
        <w:t>评估相同</w:t>
      </w:r>
      <w:r>
        <w:rPr>
          <w:rFonts w:hint="eastAsia" w:hAnsi="Times New Roman"/>
          <w:lang w:eastAsia="zh-CN"/>
        </w:rPr>
        <w:t>。</w:t>
      </w:r>
      <w:r>
        <w:rPr>
          <w:rFonts w:hint="eastAsia" w:hAnsi="Times New Roman"/>
          <w:lang w:val="en-US" w:eastAsia="zh-CN"/>
        </w:rPr>
        <w:t>对比管理前和管理后的评估报告，</w:t>
      </w:r>
      <w:r>
        <w:rPr>
          <w:rFonts w:hint="eastAsia"/>
          <w:lang w:val="en-US" w:eastAsia="zh-CN"/>
        </w:rPr>
        <w:t>将</w:t>
      </w:r>
      <w:r>
        <w:rPr>
          <w:rFonts w:hint="eastAsia"/>
        </w:rPr>
        <w:t>评估结果告知老年人。</w:t>
      </w:r>
      <w:bookmarkEnd w:id="105"/>
    </w:p>
    <w:p>
      <w:pPr>
        <w:pStyle w:val="66"/>
        <w:spacing w:before="312" w:after="312"/>
        <w:rPr>
          <w:rFonts w:hint="eastAsia"/>
          <w:lang w:val="en-US" w:eastAsia="zh-CN"/>
        </w:rPr>
      </w:pPr>
      <w:bookmarkStart w:id="106" w:name="_Toc31465"/>
      <w:bookmarkStart w:id="107" w:name="_Toc12687"/>
      <w:bookmarkStart w:id="108" w:name="_Toc24153"/>
      <w:r>
        <w:rPr>
          <w:rFonts w:hint="eastAsia"/>
          <w:lang w:val="en-US" w:eastAsia="zh-CN"/>
        </w:rPr>
        <w:t>档案管理</w:t>
      </w:r>
      <w:bookmarkEnd w:id="106"/>
      <w:bookmarkEnd w:id="107"/>
      <w:bookmarkEnd w:id="108"/>
    </w:p>
    <w:p>
      <w:pPr>
        <w:pStyle w:val="51"/>
        <w:ind w:firstLine="420" w:firstLineChars="200"/>
        <w:rPr>
          <w:rFonts w:hint="eastAsia"/>
          <w:lang w:val="en-US" w:eastAsia="zh-CN"/>
        </w:rPr>
      </w:pPr>
      <w:r>
        <w:rPr>
          <w:rFonts w:hint="eastAsia"/>
          <w:lang w:val="en-US" w:eastAsia="zh-CN"/>
        </w:rPr>
        <w:t>每位纳入管理的跌倒高危老年人应建立专项档案。老年人跌倒风险评估问卷和</w:t>
      </w:r>
      <w:r>
        <w:rPr>
          <w:rFonts w:hint="eastAsia"/>
        </w:rPr>
        <w:t>居家环境危险因素评估与改善建议表格应填写后存档，在征求研究对象同意的前提下，使用图片、视频、文字等形式记录评估时间、参加人员、评估过程、评估结果、指导建议。</w:t>
      </w:r>
    </w:p>
    <w:p>
      <w:pPr>
        <w:pStyle w:val="51"/>
        <w:ind w:firstLine="0" w:firstLineChars="0"/>
        <w:rPr>
          <w:rFonts w:hint="default"/>
          <w:lang w:val="en-US" w:eastAsia="zh-CN"/>
        </w:rPr>
        <w:sectPr>
          <w:headerReference r:id="rId18" w:type="default"/>
          <w:footerReference r:id="rId19" w:type="default"/>
          <w:footerReference r:id="rId20" w:type="even"/>
          <w:pgSz w:w="11906" w:h="16838"/>
          <w:pgMar w:top="1417" w:right="1134" w:bottom="1134" w:left="1418" w:header="1417" w:footer="1134"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default" w:ascii="黑体" w:hAnsi="黑体" w:eastAsia="黑体" w:cs="黑体"/>
          <w:sz w:val="21"/>
          <w:szCs w:val="21"/>
          <w:lang w:val="en-US" w:eastAsia="zh-CN"/>
        </w:rPr>
      </w:pPr>
      <w:bookmarkStart w:id="109" w:name="_Toc4255"/>
      <w:bookmarkStart w:id="110" w:name="_Toc3820"/>
      <w:bookmarkStart w:id="111" w:name="_Toc25050"/>
      <w:bookmarkStart w:id="112" w:name="_Toc23189"/>
      <w:bookmarkStart w:id="113" w:name="_Toc22006"/>
      <w:bookmarkStart w:id="114" w:name="_Toc463"/>
      <w:bookmarkStart w:id="115" w:name="_Toc10309"/>
      <w:r>
        <w:rPr>
          <w:rFonts w:hint="default" w:ascii="黑体" w:hAnsi="黑体" w:eastAsia="黑体" w:cs="黑体"/>
          <w:sz w:val="21"/>
          <w:szCs w:val="21"/>
          <w:lang w:val="en-US" w:eastAsia="zh-CN"/>
        </w:rPr>
        <w:t>附</w:t>
      </w:r>
      <w:r>
        <w:rPr>
          <w:rFonts w:hint="eastAsia" w:ascii="黑体" w:hAnsi="黑体" w:eastAsia="黑体" w:cs="黑体"/>
          <w:sz w:val="21"/>
          <w:szCs w:val="21"/>
          <w:lang w:val="en-US" w:eastAsia="zh-CN"/>
        </w:rPr>
        <w:t xml:space="preserve"> </w:t>
      </w:r>
      <w:r>
        <w:rPr>
          <w:rFonts w:hint="default" w:ascii="黑体" w:hAnsi="黑体" w:eastAsia="黑体" w:cs="黑体"/>
          <w:sz w:val="21"/>
          <w:szCs w:val="21"/>
          <w:lang w:val="en-US" w:eastAsia="zh-CN"/>
        </w:rPr>
        <w:t xml:space="preserve"> 录 </w:t>
      </w:r>
      <w:r>
        <w:rPr>
          <w:rFonts w:hint="eastAsia" w:ascii="黑体" w:hAnsi="黑体" w:eastAsia="黑体" w:cs="黑体"/>
          <w:sz w:val="21"/>
          <w:szCs w:val="21"/>
          <w:lang w:val="en-US" w:eastAsia="zh-CN"/>
        </w:rPr>
        <w:t xml:space="preserve"> </w:t>
      </w:r>
      <w:r>
        <w:rPr>
          <w:rFonts w:hint="default" w:ascii="黑体" w:hAnsi="黑体" w:eastAsia="黑体" w:cs="黑体"/>
          <w:sz w:val="21"/>
          <w:szCs w:val="21"/>
          <w:lang w:val="en-US" w:eastAsia="zh-CN"/>
        </w:rPr>
        <w:t>A</w:t>
      </w:r>
      <w:bookmarkEnd w:id="109"/>
      <w:bookmarkEnd w:id="110"/>
      <w:bookmarkEnd w:id="111"/>
      <w:bookmarkEnd w:id="112"/>
      <w:bookmarkEnd w:id="113"/>
      <w:bookmarkEnd w:id="114"/>
      <w:bookmarkEnd w:id="115"/>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default" w:ascii="黑体" w:hAnsi="黑体" w:eastAsia="黑体" w:cs="黑体"/>
          <w:sz w:val="21"/>
          <w:szCs w:val="21"/>
          <w:lang w:val="en-US" w:eastAsia="zh-CN"/>
        </w:rPr>
      </w:pPr>
      <w:bookmarkStart w:id="116" w:name="_Toc25194"/>
      <w:bookmarkStart w:id="117" w:name="_Toc26564"/>
      <w:bookmarkStart w:id="118" w:name="_Toc29552"/>
      <w:bookmarkStart w:id="119" w:name="_Toc3559"/>
      <w:bookmarkStart w:id="120" w:name="_Toc17808"/>
      <w:bookmarkStart w:id="121" w:name="_Toc26736"/>
      <w:bookmarkStart w:id="122" w:name="_Toc26071"/>
      <w:bookmarkStart w:id="123" w:name="_Toc29910"/>
      <w:r>
        <w:rPr>
          <w:rFonts w:hint="default" w:ascii="黑体" w:hAnsi="黑体" w:eastAsia="黑体" w:cs="黑体"/>
          <w:sz w:val="21"/>
          <w:szCs w:val="21"/>
          <w:lang w:val="en-US" w:eastAsia="zh-CN"/>
        </w:rPr>
        <w:t>（资料性）</w:t>
      </w:r>
      <w:bookmarkEnd w:id="116"/>
      <w:bookmarkEnd w:id="117"/>
      <w:bookmarkEnd w:id="118"/>
      <w:bookmarkEnd w:id="119"/>
      <w:bookmarkEnd w:id="120"/>
      <w:bookmarkEnd w:id="121"/>
      <w:bookmarkEnd w:id="122"/>
      <w:bookmarkEnd w:id="123"/>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s="黑体"/>
          <w:b w:val="0"/>
          <w:bCs w:val="0"/>
          <w:kern w:val="28"/>
          <w:sz w:val="21"/>
          <w:szCs w:val="21"/>
          <w:lang w:val="en-US" w:eastAsia="zh-CN" w:bidi="ar-SA"/>
        </w:rPr>
      </w:pPr>
      <w:bookmarkStart w:id="124" w:name="_Toc21877"/>
      <w:bookmarkStart w:id="125" w:name="_Toc8631"/>
      <w:bookmarkStart w:id="126" w:name="_Toc15855"/>
      <w:bookmarkStart w:id="127" w:name="_Toc25144"/>
      <w:bookmarkStart w:id="128" w:name="_Toc4868"/>
      <w:bookmarkStart w:id="129" w:name="_Toc8557"/>
      <w:r>
        <w:rPr>
          <w:rFonts w:hint="default" w:ascii="黑体" w:hAnsi="黑体" w:eastAsia="黑体"/>
          <w:color w:val="000000"/>
          <w:sz w:val="21"/>
          <w:szCs w:val="21"/>
          <w:lang w:val="en-US" w:eastAsia="zh-CN"/>
        </w:rPr>
        <w:t>跌倒风险评估流程</w:t>
      </w:r>
      <w:bookmarkEnd w:id="124"/>
      <w:bookmarkEnd w:id="125"/>
      <w:bookmarkEnd w:id="126"/>
      <w:bookmarkEnd w:id="127"/>
      <w:bookmarkEnd w:id="128"/>
      <w:bookmarkEnd w:id="129"/>
    </w:p>
    <w:p>
      <w:pPr>
        <w:pStyle w:val="67"/>
        <w:ind w:firstLine="840" w:firstLineChars="400"/>
        <w:rPr>
          <w:rFonts w:hint="eastAsia"/>
        </w:rPr>
      </w:pPr>
      <w:r>
        <w:rPr>
          <w:rFonts w:hint="default"/>
          <w:lang w:val="en-US" w:eastAsia="zh-CN"/>
        </w:rPr>
        <w:t>基层医疗卫生机构老年人跌倒风险评估流程见图A.1</w:t>
      </w:r>
      <w:r>
        <w:rPr>
          <w:rFonts w:hint="eastAsia"/>
        </w:rPr>
        <w:t>。</w:t>
      </w:r>
    </w:p>
    <w:p>
      <w:pPr>
        <w:pStyle w:val="67"/>
        <w:ind w:firstLine="420"/>
        <w:rPr>
          <w:rFonts w:hint="eastAsia"/>
        </w:rPr>
      </w:pPr>
    </w:p>
    <w:p>
      <w:pPr>
        <w:pStyle w:val="67"/>
        <w:keepNext w:val="0"/>
        <w:keepLines w:val="0"/>
        <w:pageBreakBefore w:val="0"/>
        <w:widowControl/>
        <w:kinsoku/>
        <w:wordWrap/>
        <w:overflowPunct/>
        <w:topLinePunct w:val="0"/>
        <w:autoSpaceDE w:val="0"/>
        <w:autoSpaceDN w:val="0"/>
        <w:bidi w:val="0"/>
        <w:adjustRightInd w:val="0"/>
        <w:snapToGrid w:val="0"/>
        <w:ind w:firstLine="0" w:firstLineChars="0"/>
        <w:jc w:val="center"/>
        <w:textAlignment w:val="auto"/>
        <w:rPr>
          <w:rFonts w:hint="eastAsia"/>
        </w:rPr>
      </w:pPr>
      <w:r>
        <w:rPr>
          <w:rFonts w:ascii="宋体" w:hAnsi="宋体" w:eastAsia="宋体"/>
          <w:b/>
          <w:sz w:val="18"/>
          <w:szCs w:val="18"/>
        </w:rPr>
        <mc:AlternateContent>
          <mc:Choice Requires="wpg">
            <w:drawing>
              <wp:inline distT="0" distB="0" distL="114300" distR="114300">
                <wp:extent cx="5891530" cy="6228715"/>
                <wp:effectExtent l="0" t="0" r="52705" b="51435"/>
                <wp:docPr id="1" name="组合 1"/>
                <wp:cNvGraphicFramePr/>
                <a:graphic xmlns:a="http://schemas.openxmlformats.org/drawingml/2006/main">
                  <a:graphicData uri="http://schemas.microsoft.com/office/word/2010/wordprocessingGroup">
                    <wpg:wgp>
                      <wpg:cNvGrpSpPr/>
                      <wpg:grpSpPr>
                        <a:xfrm>
                          <a:off x="0" y="0"/>
                          <a:ext cx="5891530" cy="6228715"/>
                          <a:chOff x="1456" y="1335"/>
                          <a:chExt cx="7354" cy="10333"/>
                        </a:xfrm>
                      </wpg:grpSpPr>
                      <wpg:grpSp>
                        <wpg:cNvPr id="2" name="组合 26"/>
                        <wpg:cNvGrpSpPr/>
                        <wpg:grpSpPr>
                          <a:xfrm>
                            <a:off x="2299" y="8483"/>
                            <a:ext cx="4200" cy="807"/>
                            <a:chOff x="2299" y="9309"/>
                            <a:chExt cx="4200" cy="807"/>
                          </a:xfrm>
                        </wpg:grpSpPr>
                        <wps:wsp>
                          <wps:cNvPr id="22" name="直接箭头连接符 20"/>
                          <wps:cNvCnPr/>
                          <wps:spPr>
                            <a:xfrm>
                              <a:off x="2330" y="9777"/>
                              <a:ext cx="0" cy="339"/>
                            </a:xfrm>
                            <a:prstGeom prst="straightConnector1">
                              <a:avLst/>
                            </a:prstGeom>
                            <a:ln w="28575" cap="flat" cmpd="sng">
                              <a:solidFill>
                                <a:srgbClr val="000000"/>
                              </a:solidFill>
                              <a:prstDash val="solid"/>
                              <a:headEnd type="none" w="med" len="med"/>
                              <a:tailEnd type="triangle" w="med" len="med"/>
                            </a:ln>
                          </wps:spPr>
                          <wps:bodyPr/>
                        </wps:wsp>
                        <wps:wsp>
                          <wps:cNvPr id="23" name="直接箭头连接符 21"/>
                          <wps:cNvCnPr/>
                          <wps:spPr>
                            <a:xfrm>
                              <a:off x="4229" y="9761"/>
                              <a:ext cx="0" cy="339"/>
                            </a:xfrm>
                            <a:prstGeom prst="straightConnector1">
                              <a:avLst/>
                            </a:prstGeom>
                            <a:ln w="28575" cap="flat" cmpd="sng">
                              <a:solidFill>
                                <a:srgbClr val="000000"/>
                              </a:solidFill>
                              <a:prstDash val="solid"/>
                              <a:headEnd type="none" w="med" len="med"/>
                              <a:tailEnd type="triangle" w="med" len="med"/>
                            </a:ln>
                          </wps:spPr>
                          <wps:bodyPr/>
                        </wps:wsp>
                        <wps:wsp>
                          <wps:cNvPr id="24" name="直接箭头连接符 22"/>
                          <wps:cNvCnPr/>
                          <wps:spPr>
                            <a:xfrm>
                              <a:off x="6485" y="9763"/>
                              <a:ext cx="0" cy="339"/>
                            </a:xfrm>
                            <a:prstGeom prst="straightConnector1">
                              <a:avLst/>
                            </a:prstGeom>
                            <a:ln w="28575" cap="flat" cmpd="sng">
                              <a:solidFill>
                                <a:srgbClr val="000000"/>
                              </a:solidFill>
                              <a:prstDash val="solid"/>
                              <a:headEnd type="none" w="med" len="med"/>
                              <a:tailEnd type="triangle" w="med" len="med"/>
                            </a:ln>
                          </wps:spPr>
                          <wps:bodyPr/>
                        </wps:wsp>
                        <wps:wsp>
                          <wps:cNvPr id="27" name="直接箭头连接符 23"/>
                          <wps:cNvCnPr/>
                          <wps:spPr>
                            <a:xfrm>
                              <a:off x="2299" y="9763"/>
                              <a:ext cx="4200" cy="0"/>
                            </a:xfrm>
                            <a:prstGeom prst="straightConnector1">
                              <a:avLst/>
                            </a:prstGeom>
                            <a:ln w="28575" cap="flat" cmpd="sng">
                              <a:solidFill>
                                <a:srgbClr val="000000"/>
                              </a:solidFill>
                              <a:prstDash val="solid"/>
                              <a:headEnd type="none" w="med" len="med"/>
                              <a:tailEnd type="none" w="med" len="med"/>
                            </a:ln>
                          </wps:spPr>
                          <wps:bodyPr/>
                        </wps:wsp>
                        <wps:wsp>
                          <wps:cNvPr id="28" name="直接箭头连接符 24"/>
                          <wps:cNvCnPr/>
                          <wps:spPr>
                            <a:xfrm>
                              <a:off x="3368" y="9309"/>
                              <a:ext cx="3" cy="468"/>
                            </a:xfrm>
                            <a:prstGeom prst="straightConnector1">
                              <a:avLst/>
                            </a:prstGeom>
                            <a:ln w="28575" cap="flat" cmpd="sng">
                              <a:solidFill>
                                <a:srgbClr val="000000"/>
                              </a:solidFill>
                              <a:prstDash val="solid"/>
                              <a:headEnd type="none" w="med" len="med"/>
                              <a:tailEnd type="none" w="med" len="med"/>
                            </a:ln>
                          </wps:spPr>
                          <wps:bodyPr/>
                        </wps:wsp>
                      </wpg:grpSp>
                      <wpg:grpSp>
                        <wpg:cNvPr id="9" name="组合 37"/>
                        <wpg:cNvGrpSpPr/>
                        <wpg:grpSpPr>
                          <a:xfrm>
                            <a:off x="1540" y="9274"/>
                            <a:ext cx="7249" cy="2394"/>
                            <a:chOff x="1540" y="10086"/>
                            <a:chExt cx="7249" cy="2394"/>
                          </a:xfrm>
                        </wpg:grpSpPr>
                        <wps:wsp>
                          <wps:cNvPr id="29" name="文本框 27"/>
                          <wps:cNvSpPr txBox="1"/>
                          <wps:spPr>
                            <a:xfrm>
                              <a:off x="1540" y="10126"/>
                              <a:ext cx="1609" cy="10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after="312"/>
                                  <w:rPr>
                                    <w:rFonts w:hint="eastAsia" w:ascii="宋体" w:hAnsi="宋体" w:eastAsia="宋体" w:cs="宋体"/>
                                    <w:sz w:val="18"/>
                                    <w:szCs w:val="18"/>
                                  </w:rPr>
                                </w:pPr>
                                <w:r>
                                  <w:rPr>
                                    <w:rFonts w:hint="eastAsia" w:ascii="宋体" w:hAnsi="宋体" w:eastAsia="宋体" w:cs="宋体"/>
                                    <w:sz w:val="18"/>
                                    <w:szCs w:val="18"/>
                                  </w:rPr>
                                  <w:t>过去一年发</w:t>
                                </w:r>
                                <w:r>
                                  <w:rPr>
                                    <w:rFonts w:hint="eastAsia" w:ascii="宋体" w:hAnsi="宋体" w:eastAsia="宋体" w:cs="宋体"/>
                                    <w:sz w:val="18"/>
                                    <w:szCs w:val="18"/>
                                    <w:lang w:val="en-US" w:eastAsia="zh-CN"/>
                                  </w:rPr>
                                  <w:t>跌倒的次数</w:t>
                                </w:r>
                                <w:r>
                                  <w:rPr>
                                    <w:rFonts w:hint="eastAsia" w:ascii="宋体" w:hAnsi="宋体" w:eastAsia="宋体" w:cs="宋体"/>
                                    <w:sz w:val="18"/>
                                    <w:szCs w:val="18"/>
                                  </w:rPr>
                                  <w:t>≥2次</w:t>
                                </w:r>
                              </w:p>
                            </w:txbxContent>
                          </wps:txbx>
                          <wps:bodyPr wrap="square" upright="1">
                            <a:noAutofit/>
                          </wps:bodyPr>
                        </wps:wsp>
                        <wps:wsp>
                          <wps:cNvPr id="30" name="文本框 28"/>
                          <wps:cNvSpPr txBox="1"/>
                          <wps:spPr>
                            <a:xfrm>
                              <a:off x="3516" y="10086"/>
                              <a:ext cx="1496" cy="111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after="312"/>
                                  <w:rPr>
                                    <w:rFonts w:hint="eastAsia" w:ascii="宋体" w:hAnsi="宋体" w:eastAsia="宋体" w:cs="宋体"/>
                                    <w:sz w:val="18"/>
                                    <w:szCs w:val="18"/>
                                  </w:rPr>
                                </w:pPr>
                                <w:r>
                                  <w:rPr>
                                    <w:rFonts w:hint="eastAsia" w:ascii="宋体" w:hAnsi="宋体" w:eastAsia="宋体" w:cs="宋体"/>
                                    <w:sz w:val="18"/>
                                    <w:szCs w:val="18"/>
                                  </w:rPr>
                                  <w:t>过去一年发生1次跌倒，并造成损伤</w:t>
                                </w:r>
                              </w:p>
                            </w:txbxContent>
                          </wps:txbx>
                          <wps:bodyPr upright="1"/>
                        </wps:wsp>
                        <wps:wsp>
                          <wps:cNvPr id="31" name="文本框 29"/>
                          <wps:cNvSpPr txBox="1"/>
                          <wps:spPr>
                            <a:xfrm>
                              <a:off x="5209" y="10086"/>
                              <a:ext cx="3580" cy="111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sz w:val="18"/>
                                    <w:szCs w:val="18"/>
                                  </w:rPr>
                                </w:pPr>
                                <w:r>
                                  <w:rPr>
                                    <w:rFonts w:hint="eastAsia" w:ascii="宋体" w:hAnsi="宋体" w:eastAsia="宋体" w:cs="宋体"/>
                                    <w:sz w:val="18"/>
                                    <w:szCs w:val="18"/>
                                  </w:rPr>
                                  <w:t>过去一年发生1次跌倒，但未受伤；</w:t>
                                </w:r>
                              </w:p>
                              <w:p>
                                <w:pPr>
                                  <w:jc w:val="center"/>
                                  <w:rPr>
                                    <w:rFonts w:hint="eastAsia" w:ascii="宋体" w:hAnsi="宋体" w:eastAsia="宋体" w:cs="宋体"/>
                                    <w:sz w:val="18"/>
                                    <w:szCs w:val="18"/>
                                  </w:rPr>
                                </w:pPr>
                                <w:r>
                                  <w:rPr>
                                    <w:rFonts w:hint="eastAsia" w:ascii="宋体" w:hAnsi="宋体" w:eastAsia="宋体" w:cs="宋体"/>
                                    <w:sz w:val="18"/>
                                    <w:szCs w:val="18"/>
                                  </w:rPr>
                                  <w:t>或者</w:t>
                                </w:r>
                              </w:p>
                              <w:p>
                                <w:pPr>
                                  <w:jc w:val="center"/>
                                  <w:rPr>
                                    <w:rFonts w:hint="eastAsia" w:ascii="宋体" w:hAnsi="宋体" w:eastAsia="宋体" w:cs="宋体"/>
                                    <w:sz w:val="18"/>
                                    <w:szCs w:val="18"/>
                                  </w:rPr>
                                </w:pPr>
                                <w:r>
                                  <w:rPr>
                                    <w:rFonts w:hint="eastAsia" w:ascii="宋体" w:hAnsi="宋体" w:eastAsia="宋体" w:cs="宋体"/>
                                    <w:sz w:val="18"/>
                                    <w:szCs w:val="18"/>
                                  </w:rPr>
                                  <w:t>过去一年未发生跌倒</w:t>
                                </w:r>
                              </w:p>
                            </w:txbxContent>
                          </wps:txbx>
                          <wps:bodyPr upright="1"/>
                        </wps:wsp>
                        <wps:wsp>
                          <wps:cNvPr id="32" name="文本框 30"/>
                          <wps:cNvSpPr txBox="1"/>
                          <wps:spPr>
                            <a:xfrm>
                              <a:off x="2099" y="11560"/>
                              <a:ext cx="2336" cy="920"/>
                            </a:xfrm>
                            <a:prstGeom prst="rect">
                              <a:avLst/>
                            </a:prstGeom>
                            <a:noFill/>
                            <a:ln w="9525" cap="flat" cmpd="sng">
                              <a:solidFill>
                                <a:srgbClr val="000000"/>
                              </a:solidFill>
                              <a:prstDash val="solid"/>
                              <a:miter/>
                              <a:headEnd type="none" w="med" len="med"/>
                              <a:tailEnd type="none" w="med" len="med"/>
                            </a:ln>
                          </wps:spPr>
                          <wps:txb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跌倒风险：高危</w:t>
                                </w:r>
                              </w:p>
                            </w:txbxContent>
                          </wps:txbx>
                          <wps:bodyPr upright="1"/>
                        </wps:wsp>
                        <wps:wsp>
                          <wps:cNvPr id="35" name="文本框 31"/>
                          <wps:cNvSpPr txBox="1"/>
                          <wps:spPr>
                            <a:xfrm>
                              <a:off x="5223" y="11531"/>
                              <a:ext cx="2594" cy="948"/>
                            </a:xfrm>
                            <a:prstGeom prst="rect">
                              <a:avLst/>
                            </a:prstGeom>
                            <a:noFill/>
                            <a:ln w="9525" cap="flat" cmpd="sng">
                              <a:solidFill>
                                <a:srgbClr val="000000"/>
                              </a:solidFill>
                              <a:prstDash val="solid"/>
                              <a:miter/>
                              <a:headEnd type="none" w="med" len="med"/>
                              <a:tailEnd type="none" w="med" len="med"/>
                            </a:ln>
                          </wps:spPr>
                          <wps:txb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跌倒风险：中危</w:t>
                                </w:r>
                              </w:p>
                            </w:txbxContent>
                          </wps:txbx>
                          <wps:bodyPr upright="1"/>
                        </wps:wsp>
                        <wps:wsp>
                          <wps:cNvPr id="36" name="直接箭头连接符 32"/>
                          <wps:cNvCnPr/>
                          <wps:spPr>
                            <a:xfrm>
                              <a:off x="2369" y="11235"/>
                              <a:ext cx="0" cy="339"/>
                            </a:xfrm>
                            <a:prstGeom prst="straightConnector1">
                              <a:avLst/>
                            </a:prstGeom>
                            <a:ln w="28575" cap="flat" cmpd="sng">
                              <a:solidFill>
                                <a:srgbClr val="000000"/>
                              </a:solidFill>
                              <a:prstDash val="solid"/>
                              <a:headEnd type="none" w="med" len="med"/>
                              <a:tailEnd type="triangle" w="med" len="med"/>
                            </a:ln>
                          </wps:spPr>
                          <wps:bodyPr/>
                        </wps:wsp>
                        <wps:wsp>
                          <wps:cNvPr id="38" name="直接箭头连接符 35"/>
                          <wps:cNvCnPr/>
                          <wps:spPr>
                            <a:xfrm>
                              <a:off x="4191" y="11223"/>
                              <a:ext cx="1" cy="339"/>
                            </a:xfrm>
                            <a:prstGeom prst="straightConnector1">
                              <a:avLst/>
                            </a:prstGeom>
                            <a:ln w="28575" cap="flat" cmpd="sng">
                              <a:solidFill>
                                <a:srgbClr val="000000"/>
                              </a:solidFill>
                              <a:prstDash val="solid"/>
                              <a:headEnd type="none" w="med" len="med"/>
                              <a:tailEnd type="triangle" w="med" len="med"/>
                            </a:ln>
                          </wps:spPr>
                          <wps:bodyPr/>
                        </wps:wsp>
                        <wps:wsp>
                          <wps:cNvPr id="39" name="直接箭头连接符 36"/>
                          <wps:cNvCnPr/>
                          <wps:spPr>
                            <a:xfrm>
                              <a:off x="6391" y="11197"/>
                              <a:ext cx="0" cy="339"/>
                            </a:xfrm>
                            <a:prstGeom prst="straightConnector1">
                              <a:avLst/>
                            </a:prstGeom>
                            <a:ln w="28575" cap="flat" cmpd="sng">
                              <a:solidFill>
                                <a:srgbClr val="000000"/>
                              </a:solidFill>
                              <a:prstDash val="solid"/>
                              <a:headEnd type="none" w="med" len="med"/>
                              <a:tailEnd type="triangle" w="med" len="med"/>
                            </a:ln>
                          </wps:spPr>
                          <wps:bodyPr/>
                        </wps:wsp>
                      </wpg:grpSp>
                      <wpg:grpSp>
                        <wpg:cNvPr id="10" name="组合 45"/>
                        <wpg:cNvGrpSpPr/>
                        <wpg:grpSpPr>
                          <a:xfrm>
                            <a:off x="2880" y="1335"/>
                            <a:ext cx="4510" cy="3600"/>
                            <a:chOff x="2880" y="1335"/>
                            <a:chExt cx="4510" cy="3600"/>
                          </a:xfrm>
                        </wpg:grpSpPr>
                        <wps:wsp>
                          <wps:cNvPr id="40" name="文本框 38"/>
                          <wps:cNvSpPr txBox="1"/>
                          <wps:spPr>
                            <a:xfrm>
                              <a:off x="3293" y="1335"/>
                              <a:ext cx="3827" cy="4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after="312"/>
                                  <w:jc w:val="center"/>
                                  <w:rPr>
                                    <w:rFonts w:hint="eastAsia" w:ascii="宋体" w:hAnsi="宋体" w:eastAsia="宋体" w:cs="宋体"/>
                                    <w:sz w:val="18"/>
                                    <w:szCs w:val="18"/>
                                  </w:rPr>
                                </w:pPr>
                                <w:r>
                                  <w:rPr>
                                    <w:rFonts w:hint="eastAsia" w:ascii="宋体" w:hAnsi="宋体" w:eastAsia="宋体" w:cs="宋体"/>
                                    <w:sz w:val="18"/>
                                    <w:szCs w:val="18"/>
                                    <w:lang w:val="en-US" w:eastAsia="zh-CN"/>
                                  </w:rPr>
                                  <w:t>65</w:t>
                                </w:r>
                                <w:r>
                                  <w:rPr>
                                    <w:rFonts w:hint="eastAsia" w:ascii="宋体" w:hAnsi="宋体" w:eastAsia="宋体" w:cs="宋体"/>
                                    <w:sz w:val="18"/>
                                    <w:szCs w:val="18"/>
                                  </w:rPr>
                                  <w:t>岁及以上老年人</w:t>
                                </w:r>
                              </w:p>
                            </w:txbxContent>
                          </wps:txbx>
                          <wps:bodyPr upright="1"/>
                        </wps:wsp>
                        <wps:wsp>
                          <wps:cNvPr id="41" name="文本框 39"/>
                          <wps:cNvSpPr txBox="1"/>
                          <wps:spPr>
                            <a:xfrm>
                              <a:off x="3293" y="2122"/>
                              <a:ext cx="3826" cy="4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after="312"/>
                                  <w:ind w:right="-2709" w:rightChars="-1290" w:firstLine="1260" w:firstLineChars="700"/>
                                  <w:jc w:val="left"/>
                                  <w:rPr>
                                    <w:rFonts w:hint="default" w:ascii="宋体" w:hAnsi="宋体" w:eastAsia="宋体" w:cs="宋体"/>
                                    <w:sz w:val="18"/>
                                    <w:szCs w:val="18"/>
                                    <w:lang w:val="en-US" w:eastAsia="zh-CN"/>
                                  </w:rPr>
                                </w:pPr>
                                <w:r>
                                  <w:rPr>
                                    <w:rFonts w:hint="eastAsia" w:ascii="宋体" w:hAnsi="宋体" w:eastAsia="宋体" w:cs="宋体"/>
                                    <w:sz w:val="18"/>
                                    <w:szCs w:val="18"/>
                                  </w:rPr>
                                  <w:t>知情同意</w:t>
                                </w:r>
                                <w:r>
                                  <w:rPr>
                                    <w:rFonts w:hint="eastAsia" w:ascii="宋体" w:hAnsi="宋体" w:eastAsia="宋体" w:cs="宋体"/>
                                    <w:sz w:val="18"/>
                                    <w:szCs w:val="18"/>
                                    <w:lang w:val="en-US" w:eastAsia="zh-CN"/>
                                  </w:rPr>
                                  <w:t>且满足评估条件</w:t>
                                </w:r>
                              </w:p>
                            </w:txbxContent>
                          </wps:txbx>
                          <wps:bodyPr upright="1"/>
                        </wps:wsp>
                        <wps:wsp>
                          <wps:cNvPr id="42" name="文本框 40"/>
                          <wps:cNvSpPr txBox="1"/>
                          <wps:spPr>
                            <a:xfrm>
                              <a:off x="3309" y="2926"/>
                              <a:ext cx="3817" cy="55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after="312"/>
                                  <w:jc w:val="center"/>
                                  <w:rPr>
                                    <w:rFonts w:hint="eastAsia" w:ascii="宋体" w:hAnsi="宋体" w:eastAsia="宋体" w:cs="宋体"/>
                                    <w:sz w:val="18"/>
                                    <w:szCs w:val="18"/>
                                    <w:lang w:val="en-US" w:eastAsia="zh-CN"/>
                                  </w:rPr>
                                </w:pPr>
                                <w:r>
                                  <w:rPr>
                                    <w:rFonts w:hint="eastAsia" w:ascii="宋体" w:hAnsi="宋体" w:eastAsia="宋体" w:cs="宋体"/>
                                    <w:sz w:val="18"/>
                                    <w:szCs w:val="18"/>
                                  </w:rPr>
                                  <w:t>基本信息</w:t>
                                </w:r>
                                <w:r>
                                  <w:rPr>
                                    <w:rFonts w:hint="eastAsia" w:ascii="宋体" w:hAnsi="宋体" w:eastAsia="宋体" w:cs="宋体"/>
                                    <w:sz w:val="18"/>
                                    <w:szCs w:val="18"/>
                                    <w:lang w:val="en-US" w:eastAsia="zh-CN"/>
                                  </w:rPr>
                                  <w:t>登记</w:t>
                                </w:r>
                              </w:p>
                            </w:txbxContent>
                          </wps:txbx>
                          <wps:bodyPr upright="1"/>
                        </wps:wsp>
                        <wps:wsp>
                          <wps:cNvPr id="43" name="直接箭头连接符 41"/>
                          <wps:cNvCnPr/>
                          <wps:spPr>
                            <a:xfrm>
                              <a:off x="5209" y="1783"/>
                              <a:ext cx="0" cy="339"/>
                            </a:xfrm>
                            <a:prstGeom prst="straightConnector1">
                              <a:avLst/>
                            </a:prstGeom>
                            <a:ln w="28575" cap="flat" cmpd="sng">
                              <a:solidFill>
                                <a:srgbClr val="000000"/>
                              </a:solidFill>
                              <a:prstDash val="solid"/>
                              <a:headEnd type="none" w="med" len="med"/>
                              <a:tailEnd type="triangle" w="med" len="med"/>
                            </a:ln>
                          </wps:spPr>
                          <wps:bodyPr/>
                        </wps:wsp>
                        <wps:wsp>
                          <wps:cNvPr id="44" name="直接箭头连接符 42"/>
                          <wps:cNvCnPr/>
                          <wps:spPr>
                            <a:xfrm>
                              <a:off x="5211" y="2583"/>
                              <a:ext cx="0" cy="339"/>
                            </a:xfrm>
                            <a:prstGeom prst="straightConnector1">
                              <a:avLst/>
                            </a:prstGeom>
                            <a:ln w="28575" cap="flat" cmpd="sng">
                              <a:solidFill>
                                <a:srgbClr val="000000"/>
                              </a:solidFill>
                              <a:prstDash val="solid"/>
                              <a:headEnd type="none" w="med" len="med"/>
                              <a:tailEnd type="triangle" w="med" len="med"/>
                            </a:ln>
                          </wps:spPr>
                          <wps:bodyPr/>
                        </wps:wsp>
                        <wps:wsp>
                          <wps:cNvPr id="46" name="直接箭头连接符 43"/>
                          <wps:cNvCnPr/>
                          <wps:spPr>
                            <a:xfrm>
                              <a:off x="5209" y="3497"/>
                              <a:ext cx="0" cy="339"/>
                            </a:xfrm>
                            <a:prstGeom prst="straightConnector1">
                              <a:avLst/>
                            </a:prstGeom>
                            <a:ln w="28575" cap="flat" cmpd="sng">
                              <a:solidFill>
                                <a:srgbClr val="000000"/>
                              </a:solidFill>
                              <a:prstDash val="solid"/>
                              <a:headEnd type="none" w="med" len="med"/>
                              <a:tailEnd type="triangle" w="med" len="med"/>
                            </a:ln>
                          </wps:spPr>
                          <wps:bodyPr/>
                        </wps:wsp>
                        <wps:wsp>
                          <wps:cNvPr id="47" name="文本框 44"/>
                          <wps:cNvSpPr txBox="1"/>
                          <wps:spPr>
                            <a:xfrm>
                              <a:off x="2880" y="3812"/>
                              <a:ext cx="4510" cy="1123"/>
                            </a:xfrm>
                            <a:prstGeom prst="rect">
                              <a:avLst/>
                            </a:prstGeom>
                            <a:noFill/>
                            <a:ln w="9525" cap="flat" cmpd="sng">
                              <a:solidFill>
                                <a:srgbClr val="000000"/>
                              </a:solidFill>
                              <a:prstDash val="solid"/>
                              <a:miter/>
                              <a:headEnd type="none" w="med" len="med"/>
                              <a:tailEnd type="none" w="med" len="med"/>
                            </a:ln>
                          </wps:spPr>
                          <wps:txbx>
                            <w:txbxContent>
                              <w:p>
                                <w:pPr>
                                  <w:pStyle w:val="28"/>
                                  <w:ind w:firstLine="0" w:firstLineChars="0"/>
                                  <w:jc w:val="center"/>
                                  <w:rPr>
                                    <w:rFonts w:hint="eastAsia" w:ascii="宋体" w:hAnsi="宋体" w:eastAsia="宋体" w:cs="宋体"/>
                                    <w:sz w:val="18"/>
                                    <w:szCs w:val="18"/>
                                  </w:rPr>
                                </w:pPr>
                                <w:r>
                                  <w:rPr>
                                    <w:rFonts w:hint="eastAsia" w:ascii="宋体" w:hAnsi="宋体" w:eastAsia="宋体" w:cs="宋体"/>
                                    <w:sz w:val="18"/>
                                    <w:szCs w:val="18"/>
                                  </w:rPr>
                                  <w:t>跌倒风险自评表</w:t>
                                </w:r>
                              </w:p>
                              <w:p>
                                <w:pPr>
                                  <w:pStyle w:val="28"/>
                                  <w:ind w:firstLine="0" w:firstLineChars="0"/>
                                  <w:jc w:val="center"/>
                                  <w:rPr>
                                    <w:rFonts w:hint="eastAsia" w:ascii="宋体" w:hAnsi="宋体" w:eastAsia="宋体" w:cs="宋体"/>
                                    <w:sz w:val="18"/>
                                    <w:szCs w:val="18"/>
                                  </w:rPr>
                                </w:pPr>
                                <w:r>
                                  <w:rPr>
                                    <w:rFonts w:hint="eastAsia" w:ascii="宋体" w:hAnsi="宋体" w:eastAsia="宋体" w:cs="宋体"/>
                                    <w:sz w:val="18"/>
                                    <w:szCs w:val="18"/>
                                  </w:rPr>
                                  <w:t>和</w:t>
                                </w:r>
                              </w:p>
                              <w:p>
                                <w:pPr>
                                  <w:pStyle w:val="28"/>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rPr>
                                  <w:t>跌倒风险核心问题</w:t>
                                </w:r>
                                <w:r>
                                  <w:rPr>
                                    <w:rFonts w:hint="eastAsia" w:ascii="宋体" w:hAnsi="宋体" w:eastAsia="宋体" w:cs="宋体"/>
                                    <w:sz w:val="18"/>
                                    <w:szCs w:val="18"/>
                                    <w:lang w:val="en-US" w:eastAsia="zh-CN"/>
                                  </w:rPr>
                                  <w:t>评估表</w:t>
                                </w:r>
                              </w:p>
                            </w:txbxContent>
                          </wps:txbx>
                          <wps:bodyPr upright="1"/>
                        </wps:wsp>
                      </wpg:grpSp>
                      <wpg:grpSp>
                        <wpg:cNvPr id="11" name="组合 59"/>
                        <wpg:cNvGrpSpPr/>
                        <wpg:grpSpPr>
                          <a:xfrm>
                            <a:off x="1456" y="4935"/>
                            <a:ext cx="7354" cy="3728"/>
                            <a:chOff x="1456" y="4935"/>
                            <a:chExt cx="7354" cy="3728"/>
                          </a:xfrm>
                        </wpg:grpSpPr>
                        <wps:wsp>
                          <wps:cNvPr id="48" name="文本框 46"/>
                          <wps:cNvSpPr txBox="1"/>
                          <wps:spPr>
                            <a:xfrm>
                              <a:off x="1456" y="5232"/>
                              <a:ext cx="3614" cy="111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sz w:val="18"/>
                                    <w:szCs w:val="18"/>
                                  </w:rPr>
                                </w:pPr>
                                <w:r>
                                  <w:rPr>
                                    <w:rFonts w:hint="eastAsia" w:ascii="宋体" w:hAnsi="宋体" w:eastAsia="宋体" w:cs="宋体"/>
                                    <w:sz w:val="18"/>
                                    <w:szCs w:val="18"/>
                                  </w:rPr>
                                  <w:t xml:space="preserve">跌倒风险自评表得分≥4分 </w:t>
                                </w:r>
                              </w:p>
                              <w:p>
                                <w:pPr>
                                  <w:jc w:val="center"/>
                                  <w:rPr>
                                    <w:rFonts w:hint="eastAsia" w:ascii="宋体" w:hAnsi="宋体" w:eastAsia="宋体" w:cs="宋体"/>
                                    <w:sz w:val="18"/>
                                    <w:szCs w:val="18"/>
                                  </w:rPr>
                                </w:pPr>
                                <w:r>
                                  <w:rPr>
                                    <w:rFonts w:hint="eastAsia" w:ascii="宋体" w:hAnsi="宋体" w:eastAsia="宋体" w:cs="宋体"/>
                                    <w:sz w:val="18"/>
                                    <w:szCs w:val="18"/>
                                  </w:rPr>
                                  <w:t>或</w:t>
                                </w:r>
                              </w:p>
                              <w:p>
                                <w:pPr>
                                  <w:jc w:val="center"/>
                                  <w:rPr>
                                    <w:rFonts w:hint="eastAsia" w:ascii="宋体" w:hAnsi="宋体" w:eastAsia="宋体" w:cs="宋体"/>
                                    <w:sz w:val="18"/>
                                    <w:szCs w:val="18"/>
                                  </w:rPr>
                                </w:pPr>
                                <w:r>
                                  <w:rPr>
                                    <w:rFonts w:hint="eastAsia" w:ascii="宋体" w:hAnsi="宋体" w:eastAsia="宋体" w:cs="宋体"/>
                                    <w:sz w:val="18"/>
                                    <w:szCs w:val="18"/>
                                  </w:rPr>
                                  <w:t>三个</w:t>
                                </w:r>
                                <w:r>
                                  <w:rPr>
                                    <w:rFonts w:hint="eastAsia" w:ascii="宋体" w:hAnsi="宋体" w:eastAsia="宋体" w:cs="宋体"/>
                                    <w:sz w:val="18"/>
                                    <w:szCs w:val="18"/>
                                    <w:lang w:val="en-US" w:eastAsia="zh-CN"/>
                                  </w:rPr>
                                  <w:t>跌倒风险</w:t>
                                </w:r>
                                <w:r>
                                  <w:rPr>
                                    <w:rFonts w:hint="eastAsia" w:ascii="宋体" w:hAnsi="宋体" w:eastAsia="宋体" w:cs="宋体"/>
                                    <w:sz w:val="18"/>
                                    <w:szCs w:val="18"/>
                                  </w:rPr>
                                  <w:t>核心问题任一题回答“是”</w:t>
                                </w:r>
                              </w:p>
                            </w:txbxContent>
                          </wps:txbx>
                          <wps:bodyPr upright="1"/>
                        </wps:wsp>
                        <wps:wsp>
                          <wps:cNvPr id="49" name="文本框 47"/>
                          <wps:cNvSpPr txBox="1"/>
                          <wps:spPr>
                            <a:xfrm>
                              <a:off x="5196" y="5232"/>
                              <a:ext cx="3614" cy="111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sz w:val="18"/>
                                    <w:szCs w:val="18"/>
                                  </w:rPr>
                                </w:pPr>
                                <w:r>
                                  <w:rPr>
                                    <w:rFonts w:hint="eastAsia" w:ascii="宋体" w:hAnsi="宋体" w:eastAsia="宋体" w:cs="宋体"/>
                                    <w:sz w:val="18"/>
                                    <w:szCs w:val="18"/>
                                  </w:rPr>
                                  <w:t xml:space="preserve">跌倒风险自评表得分＜4分 </w:t>
                                </w:r>
                              </w:p>
                              <w:p>
                                <w:pPr>
                                  <w:jc w:val="center"/>
                                  <w:rPr>
                                    <w:rFonts w:hint="eastAsia" w:ascii="宋体" w:hAnsi="宋体" w:eastAsia="宋体" w:cs="宋体"/>
                                    <w:sz w:val="18"/>
                                    <w:szCs w:val="18"/>
                                  </w:rPr>
                                </w:pPr>
                                <w:r>
                                  <w:rPr>
                                    <w:rFonts w:hint="eastAsia" w:ascii="宋体" w:hAnsi="宋体" w:eastAsia="宋体" w:cs="宋体"/>
                                    <w:sz w:val="18"/>
                                    <w:szCs w:val="18"/>
                                  </w:rPr>
                                  <w:t>且</w:t>
                                </w:r>
                              </w:p>
                              <w:p>
                                <w:pPr>
                                  <w:jc w:val="center"/>
                                  <w:rPr>
                                    <w:rFonts w:hint="eastAsia" w:ascii="宋体" w:hAnsi="宋体" w:eastAsia="宋体" w:cs="宋体"/>
                                    <w:sz w:val="18"/>
                                    <w:szCs w:val="18"/>
                                  </w:rPr>
                                </w:pPr>
                                <w:r>
                                  <w:rPr>
                                    <w:rFonts w:hint="eastAsia" w:ascii="宋体" w:hAnsi="宋体" w:eastAsia="宋体" w:cs="宋体"/>
                                    <w:sz w:val="18"/>
                                    <w:szCs w:val="18"/>
                                  </w:rPr>
                                  <w:t>三个</w:t>
                                </w:r>
                                <w:r>
                                  <w:rPr>
                                    <w:rFonts w:hint="eastAsia" w:ascii="宋体" w:hAnsi="宋体" w:eastAsia="宋体" w:cs="宋体"/>
                                    <w:sz w:val="18"/>
                                    <w:szCs w:val="18"/>
                                    <w:lang w:val="en-US" w:eastAsia="zh-CN"/>
                                  </w:rPr>
                                  <w:t>跌倒风险</w:t>
                                </w:r>
                                <w:r>
                                  <w:rPr>
                                    <w:rFonts w:hint="eastAsia" w:ascii="宋体" w:hAnsi="宋体" w:eastAsia="宋体" w:cs="宋体"/>
                                    <w:sz w:val="18"/>
                                    <w:szCs w:val="18"/>
                                  </w:rPr>
                                  <w:t>核心问题均回答“否”</w:t>
                                </w:r>
                              </w:p>
                            </w:txbxContent>
                          </wps:txbx>
                          <wps:bodyPr upright="1"/>
                        </wps:wsp>
                        <wps:wsp>
                          <wps:cNvPr id="50" name="直接箭头连接符 48"/>
                          <wps:cNvCnPr/>
                          <wps:spPr>
                            <a:xfrm>
                              <a:off x="3309" y="4935"/>
                              <a:ext cx="0" cy="339"/>
                            </a:xfrm>
                            <a:prstGeom prst="straightConnector1">
                              <a:avLst/>
                            </a:prstGeom>
                            <a:ln w="28575" cap="flat" cmpd="sng">
                              <a:solidFill>
                                <a:srgbClr val="000000"/>
                              </a:solidFill>
                              <a:prstDash val="solid"/>
                              <a:headEnd type="none" w="med" len="med"/>
                              <a:tailEnd type="triangle" w="med" len="med"/>
                            </a:ln>
                          </wps:spPr>
                          <wps:bodyPr/>
                        </wps:wsp>
                        <wps:wsp>
                          <wps:cNvPr id="51" name="直接箭头连接符 49"/>
                          <wps:cNvCnPr/>
                          <wps:spPr>
                            <a:xfrm>
                              <a:off x="7052" y="4935"/>
                              <a:ext cx="0" cy="339"/>
                            </a:xfrm>
                            <a:prstGeom prst="straightConnector1">
                              <a:avLst/>
                            </a:prstGeom>
                            <a:ln w="28575" cap="flat" cmpd="sng">
                              <a:solidFill>
                                <a:srgbClr val="000000"/>
                              </a:solidFill>
                              <a:prstDash val="solid"/>
                              <a:headEnd type="none" w="med" len="med"/>
                              <a:tailEnd type="triangle" w="med" len="med"/>
                            </a:ln>
                          </wps:spPr>
                          <wps:bodyPr/>
                        </wps:wsp>
                        <wps:wsp>
                          <wps:cNvPr id="52" name="文本框 50"/>
                          <wps:cNvSpPr txBox="1"/>
                          <wps:spPr>
                            <a:xfrm>
                              <a:off x="6402" y="6698"/>
                              <a:ext cx="2257" cy="837"/>
                            </a:xfrm>
                            <a:prstGeom prst="rect">
                              <a:avLst/>
                            </a:prstGeom>
                            <a:noFill/>
                            <a:ln w="9525" cap="flat" cmpd="sng">
                              <a:solidFill>
                                <a:srgbClr val="000000"/>
                              </a:solidFill>
                              <a:prstDash val="solid"/>
                              <a:miter/>
                              <a:headEnd type="none" w="med" len="med"/>
                              <a:tailEnd type="none" w="med" len="med"/>
                            </a:ln>
                          </wps:spPr>
                          <wps:txb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跌倒风险：低危</w:t>
                                </w:r>
                              </w:p>
                            </w:txbxContent>
                          </wps:txbx>
                          <wps:bodyPr upright="1"/>
                        </wps:wsp>
                        <wps:wsp>
                          <wps:cNvPr id="53" name="文本框 51"/>
                          <wps:cNvSpPr txBox="1"/>
                          <wps:spPr>
                            <a:xfrm>
                              <a:off x="2105" y="6768"/>
                              <a:ext cx="2326" cy="783"/>
                            </a:xfrm>
                            <a:prstGeom prst="rect">
                              <a:avLst/>
                            </a:prstGeom>
                            <a:noFill/>
                            <a:ln w="9525" cap="flat" cmpd="sng">
                              <a:solidFill>
                                <a:srgbClr val="000000"/>
                              </a:solidFill>
                              <a:prstDash val="solid"/>
                              <a:miter/>
                              <a:headEnd type="none" w="med" len="med"/>
                              <a:tailEnd type="none" w="med" len="med"/>
                            </a:ln>
                          </wps:spPr>
                          <wps:txbx>
                            <w:txbxContent>
                              <w:p>
                                <w:pPr>
                                  <w:jc w:val="center"/>
                                  <w:rPr>
                                    <w:rFonts w:hint="eastAsia" w:ascii="宋体" w:hAnsi="宋体" w:eastAsia="宋体" w:cs="宋体"/>
                                    <w:sz w:val="18"/>
                                    <w:szCs w:val="18"/>
                                  </w:rPr>
                                </w:pPr>
                                <w:r>
                                  <w:rPr>
                                    <w:rFonts w:hint="eastAsia" w:ascii="宋体" w:hAnsi="宋体" w:eastAsia="宋体" w:cs="宋体"/>
                                    <w:sz w:val="18"/>
                                    <w:szCs w:val="18"/>
                                  </w:rPr>
                                  <w:t>平衡功能测试：</w:t>
                                </w:r>
                              </w:p>
                              <w:p>
                                <w:pPr>
                                  <w:jc w:val="center"/>
                                  <w:rPr>
                                    <w:rFonts w:hint="eastAsia" w:ascii="宋体" w:hAnsi="宋体" w:eastAsia="宋体" w:cs="宋体"/>
                                    <w:sz w:val="18"/>
                                    <w:szCs w:val="18"/>
                                  </w:rPr>
                                </w:pPr>
                                <w:r>
                                  <w:rPr>
                                    <w:rFonts w:hint="eastAsia" w:ascii="宋体" w:hAnsi="宋体" w:eastAsia="宋体" w:cs="宋体"/>
                                    <w:sz w:val="18"/>
                                    <w:szCs w:val="18"/>
                                    <w:lang w:val="en-US" w:eastAsia="zh-CN"/>
                                  </w:rPr>
                                  <w:t>3米“</w:t>
                                </w:r>
                                <w:r>
                                  <w:rPr>
                                    <w:rFonts w:hint="eastAsia" w:ascii="宋体" w:hAnsi="宋体" w:eastAsia="宋体" w:cs="宋体"/>
                                    <w:sz w:val="18"/>
                                    <w:szCs w:val="18"/>
                                  </w:rPr>
                                  <w:t>起立-行走</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往返</w:t>
                                </w:r>
                                <w:r>
                                  <w:rPr>
                                    <w:rFonts w:hint="eastAsia" w:ascii="宋体" w:hAnsi="宋体" w:eastAsia="宋体" w:cs="宋体"/>
                                    <w:sz w:val="18"/>
                                    <w:szCs w:val="18"/>
                                  </w:rPr>
                                  <w:t>计时测试</w:t>
                                </w:r>
                              </w:p>
                            </w:txbxContent>
                          </wps:txbx>
                          <wps:bodyPr wrap="square" upright="1">
                            <a:noAutofit/>
                          </wps:bodyPr>
                        </wps:wsp>
                        <wps:wsp>
                          <wps:cNvPr id="54" name="文本框 52"/>
                          <wps:cNvSpPr txBox="1"/>
                          <wps:spPr>
                            <a:xfrm>
                              <a:off x="4750" y="6736"/>
                              <a:ext cx="1304" cy="78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jc w:val="center"/>
                                  <w:rPr>
                                    <w:rFonts w:hint="eastAsia" w:ascii="宋体" w:hAnsi="宋体" w:eastAsia="宋体" w:cs="宋体"/>
                                    <w:sz w:val="18"/>
                                    <w:szCs w:val="18"/>
                                  </w:rPr>
                                </w:pPr>
                                <w:r>
                                  <w:rPr>
                                    <w:rFonts w:hint="eastAsia" w:ascii="宋体" w:hAnsi="宋体" w:eastAsia="宋体" w:cs="宋体"/>
                                    <w:sz w:val="18"/>
                                    <w:szCs w:val="18"/>
                                  </w:rPr>
                                  <w:t>用时&lt;</w:t>
                                </w:r>
                                <w:r>
                                  <w:rPr>
                                    <w:rFonts w:hint="eastAsia" w:ascii="宋体" w:hAnsi="宋体" w:eastAsia="宋体" w:cs="宋体"/>
                                    <w:sz w:val="18"/>
                                    <w:szCs w:val="18"/>
                                    <w:lang w:val="en-US" w:eastAsia="zh-CN"/>
                                  </w:rPr>
                                  <w:t>12</w:t>
                                </w:r>
                                <w:r>
                                  <w:rPr>
                                    <w:rFonts w:hint="eastAsia" w:ascii="宋体" w:hAnsi="宋体" w:eastAsia="宋体" w:cs="宋体"/>
                                    <w:color w:val="333333"/>
                                    <w:sz w:val="18"/>
                                    <w:szCs w:val="18"/>
                                    <w:shd w:val="clear" w:color="auto" w:fill="FFFFFF"/>
                                  </w:rPr>
                                  <w:t>秒</w:t>
                                </w:r>
                              </w:p>
                            </w:txbxContent>
                          </wps:txbx>
                          <wps:bodyPr upright="1"/>
                        </wps:wsp>
                        <wps:wsp>
                          <wps:cNvPr id="55" name="直接箭头连接符 53"/>
                          <wps:cNvCnPr/>
                          <wps:spPr>
                            <a:xfrm>
                              <a:off x="7037" y="6385"/>
                              <a:ext cx="0" cy="313"/>
                            </a:xfrm>
                            <a:prstGeom prst="straightConnector1">
                              <a:avLst/>
                            </a:prstGeom>
                            <a:ln w="28575" cap="flat" cmpd="sng">
                              <a:solidFill>
                                <a:srgbClr val="000000"/>
                              </a:solidFill>
                              <a:prstDash val="solid"/>
                              <a:headEnd type="none" w="med" len="med"/>
                              <a:tailEnd type="triangle" w="med" len="med"/>
                            </a:ln>
                          </wps:spPr>
                          <wps:bodyPr/>
                        </wps:wsp>
                        <wps:wsp>
                          <wps:cNvPr id="56" name="直接箭头连接符 54"/>
                          <wps:cNvCnPr/>
                          <wps:spPr>
                            <a:xfrm>
                              <a:off x="3368" y="6363"/>
                              <a:ext cx="0" cy="339"/>
                            </a:xfrm>
                            <a:prstGeom prst="straightConnector1">
                              <a:avLst/>
                            </a:prstGeom>
                            <a:ln w="28575" cap="flat" cmpd="sng">
                              <a:solidFill>
                                <a:srgbClr val="000000"/>
                              </a:solidFill>
                              <a:prstDash val="solid"/>
                              <a:headEnd type="none" w="med" len="med"/>
                              <a:tailEnd type="triangle" w="med" len="med"/>
                            </a:ln>
                          </wps:spPr>
                          <wps:bodyPr/>
                        </wps:wsp>
                        <wps:wsp>
                          <wps:cNvPr id="57" name="直接箭头连接符 55"/>
                          <wps:cNvCnPr/>
                          <wps:spPr>
                            <a:xfrm>
                              <a:off x="4413" y="7129"/>
                              <a:ext cx="363" cy="0"/>
                            </a:xfrm>
                            <a:prstGeom prst="straightConnector1">
                              <a:avLst/>
                            </a:prstGeom>
                            <a:ln w="28575" cap="flat" cmpd="sng">
                              <a:solidFill>
                                <a:srgbClr val="000000"/>
                              </a:solidFill>
                              <a:prstDash val="solid"/>
                              <a:headEnd type="none" w="med" len="med"/>
                              <a:tailEnd type="triangle" w="med" len="med"/>
                            </a:ln>
                          </wps:spPr>
                          <wps:bodyPr/>
                        </wps:wsp>
                        <wps:wsp>
                          <wps:cNvPr id="58" name="直接箭头连接符 56"/>
                          <wps:cNvCnPr/>
                          <wps:spPr>
                            <a:xfrm>
                              <a:off x="6036" y="7129"/>
                              <a:ext cx="363" cy="0"/>
                            </a:xfrm>
                            <a:prstGeom prst="straightConnector1">
                              <a:avLst/>
                            </a:prstGeom>
                            <a:ln w="28575" cap="flat" cmpd="sng">
                              <a:solidFill>
                                <a:srgbClr val="000000"/>
                              </a:solidFill>
                              <a:prstDash val="solid"/>
                              <a:headEnd type="none" w="med" len="med"/>
                              <a:tailEnd type="triangle" w="med" len="med"/>
                            </a:ln>
                          </wps:spPr>
                          <wps:bodyPr/>
                        </wps:wsp>
                        <wps:wsp>
                          <wps:cNvPr id="61" name="直接箭头连接符 57"/>
                          <wps:cNvCnPr/>
                          <wps:spPr>
                            <a:xfrm>
                              <a:off x="3370" y="7541"/>
                              <a:ext cx="0" cy="339"/>
                            </a:xfrm>
                            <a:prstGeom prst="straightConnector1">
                              <a:avLst/>
                            </a:prstGeom>
                            <a:ln w="28575" cap="flat" cmpd="sng">
                              <a:solidFill>
                                <a:srgbClr val="000000"/>
                              </a:solidFill>
                              <a:prstDash val="solid"/>
                              <a:headEnd type="none" w="med" len="med"/>
                              <a:tailEnd type="triangle" w="med" len="med"/>
                            </a:ln>
                          </wps:spPr>
                          <wps:bodyPr/>
                        </wps:wsp>
                        <wps:wsp>
                          <wps:cNvPr id="62" name="文本框 58"/>
                          <wps:cNvSpPr txBox="1"/>
                          <wps:spPr>
                            <a:xfrm>
                              <a:off x="2736" y="7880"/>
                              <a:ext cx="1417" cy="78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rPr>
                                    <w:rFonts w:hint="eastAsia" w:ascii="宋体" w:hAnsi="宋体" w:eastAsia="宋体" w:cs="宋体"/>
                                    <w:sz w:val="18"/>
                                    <w:szCs w:val="18"/>
                                  </w:rPr>
                                </w:pPr>
                                <w:r>
                                  <w:rPr>
                                    <w:rFonts w:hint="eastAsia" w:ascii="宋体" w:hAnsi="宋体" w:eastAsia="宋体" w:cs="宋体"/>
                                    <w:sz w:val="18"/>
                                    <w:szCs w:val="18"/>
                                  </w:rPr>
                                  <w:t>用时≥</w:t>
                                </w:r>
                                <w:r>
                                  <w:rPr>
                                    <w:rFonts w:hint="eastAsia" w:ascii="宋体" w:hAnsi="宋体" w:eastAsia="宋体" w:cs="宋体"/>
                                    <w:color w:val="333333"/>
                                    <w:sz w:val="18"/>
                                    <w:szCs w:val="18"/>
                                    <w:shd w:val="clear" w:color="auto" w:fill="FFFFFF"/>
                                  </w:rPr>
                                  <w:t>12秒</w:t>
                                </w:r>
                              </w:p>
                            </w:txbxContent>
                          </wps:txbx>
                          <wps:bodyPr upright="1"/>
                        </wps:wsp>
                      </wpg:grpSp>
                    </wpg:wgp>
                  </a:graphicData>
                </a:graphic>
              </wp:inline>
            </w:drawing>
          </mc:Choice>
          <mc:Fallback>
            <w:pict>
              <v:group id="_x0000_s1026" o:spid="_x0000_s1026" o:spt="203" style="height:490.45pt;width:463.9pt;" coordorigin="1456,1335" coordsize="7354,10333" o:gfxdata="UEsDBAoAAAAAAIdO4kAAAAAAAAAAAAAAAAAEAAAAZHJzL1BLAwQUAAAACACHTuJAfZ6YydYAAAAF&#10;AQAADwAAAGRycy9kb3ducmV2LnhtbE2PQUvDQBCF74L/YZmCN7ubitqm2RQp6qkItoJ4mybTJDQ7&#10;G7LbpP33jl70MszwHm++l63OrlUD9aHxbCGZGlDEhS8brix87F5u56BCRC6x9UwWLhRglV9fZZiW&#10;fuR3GraxUhLCIUULdYxdqnUoanIYpr4jFu3ge4dRzr7SZY+jhLtWz4x50A4blg81drSuqThuT87C&#10;64jj013yPGyOh/Xla3f/9rlJyNqbSWKWoCKd458ZfvAFHXJh2vsTl0G1FqRI/J2iLWaPUmMvy9ws&#10;QOeZ/k+ffwNQSwMEFAAAAAgAh07iQN2+PhUqCAAAV1AAAA4AAABkcnMvZTJvRG9jLnhtbO1czY7j&#10;RBC+I/EOlu9s3N3+iaPNrGCH3QuClRYewJM4iSXHNrZnMnNHwAlx4gJCQgJOC6e9ceBpdpbHoKq7&#10;3Z04yTjxMJkJ6z3MJrHbP+Wvv6r6qtqPn1zOY+MizIsoTYYmeWSZRpiM0nGUTIfmF58/+6BvGkUZ&#10;JOMgTpNwaF6Fhfnk5P33Hi+yQUjTWRqPw9yAgyTFYJENzVlZZoNerxjNwnlQPEqzMIGNkzSfByV8&#10;zae9cR4s4OjzuEcty+0t0nyc5ekoLAr49VRsNOUR810OmE4m0Sg8TUfn8zApxVHzMA5KuKViFmWF&#10;ecKvdjIJR+Vnk0kRlkY8NOFOS/4XTgKfz/Bv7+RxMJjmQTaLRvISgl0uoXZP8yBK4KTqUKdBGRjn&#10;ebR2qHk0ytMinZSPRum8J26EWwTuglg12zzP0/OM38t0sJhmyujwoGpWb33Y0acXL3IjGgMSTCMJ&#10;5vDA3/711ZvvvzUI2maRTQewy/M8e5m9yOUPU/ENb/dyks/xf7gR45Jb9UpZNbwsjRH86PR94jAw&#10;+Ai2uZT2PeIIu49m8HBwHLEd1zRgM2FMbftYjveYY4vBxGKM4dBedeYeXqC6HvXlbi1Fa5aibgtT&#10;Uer7/Jb7dp/fUzCoDGbDNBE33Le8mqXUMJ9ZfrWtstTawK12gqlbaDwVt8PTy1mQhRymBYJF4olq&#10;M/34+vq7397++cebX1//8/fP+PnV7wblk2+R8TFPE4muYlAA0DZAizKEEEDE9zxplMpe0liMcYOo&#10;ew4GWV6Uz8N0buCHoVmUeRBNZ+XTNEmAGNKc8CkbXHxSlAJU1QA8f5wYi6FJ+47nwMMIgOkmwDDw&#10;cZ7BbCmSKR9cpHE0fhbFMQ4p8unZ0zg3LgJkG/5PonVlNzzLaVDMxH58k3iSszAYf5yMjfIqg3mY&#10;AP2aeA3zcGwacQhsjZ/gSoNBGUSx3rPMoyCZxlv2BoPECcwZNLUwLn46S8dX3Ob8d0ADTvZDwIKp&#10;2bMZFpJ3doSFDRNCwsLlI/U06mBxTLAAipfuZzMsKAJ/Z7Zw7T7MWs4Wbo1dO1gcEyy8Bljwh7sz&#10;LLT39Oqw0L6T+6V30Its9zcPzINAgnIjVdh7UQVjLhwQqUJFVFVgAa4KY1YbdlgOOt+dwOI/gISO&#10;0EU2wYP1u43PISBYyWQYjxf3TGWIY8t4k3ocUDqw8KgNp0BkUObLbTqVqcYRy+rzxCAYjGZVhL4+&#10;VBGNNhTGv4eJxZSlrn/45vqnV9e/fG1QaSwef2HSZ5SXH6WYo1WzakuArgxGLCIyIm0x4kKywi1G&#10;LJ8neOq21yZTDqH5TXH5Sii9EnE/4//kVF3ZTcTyvkMPFsrPozLMeajeNqjfd+6Vl2eXMkQSsb2x&#10;AFkDMpUvz4McUoPzLMfkBx8kZhBJ+uF5mU4invkg2sQgmSccLh/ArE7M1iUMcr6VXn0fDDKHSB1B&#10;T76KzIntwzactYSQhkyxw2BTCro5JFjH4BLq0IVKWjsQvzGlaS1hiz/6FthyKHIYwmcdW8zpy7Si&#10;w9auosXt+e1+saXkLY0t4DLJwCCD7cNbAC2JLeK4UpSueAuEL8lbvpDM2rvOJEWlinuld9Mj3i9i&#10;IPioezpgqHaIcSiF7IQ7M0ccREdb1IGolHs6327IXJocXYcYHTXdg/+CiX9Tpsv2E8UocyuWoVWZ&#10;pWKZThU7IlWMNSgg4uHKGKe5tGITHwIlziXIKtw/VLiADRgyd7WVzZWYzWHwfdVWoAB2M1/IQuWO&#10;tRWXKVwQv6u53UnNTas+B5PHiMq4ZaXf5orMnvoY7WPKg6ShSvYVZ9gOnoLThguVbM4nSh/bME7L&#10;Y+sjVbCrDXUweQwFwLWArbU0QX0ZsK3Zi/VBdOP2sm8br62oXp04xlsJ0A8+MGHC3iBMiO6FFsIE&#10;q5BFCfRcrHhvQJbMHW0AMwawVeNMJ7tu6aU4clnC3iBLiEffBllYEUOOp35d0Wd9IjnLcTjoOmQ1&#10;dekcO7IaGneA04Bgdk46tJzq1fvfquCh6+fa2P31sHIOu6FxBwhpP1gQkYtSp4PFEbf52Q3Slb1f&#10;445iC2Z3megxw0L1c+mqCTCIZoi9qiZVCgrBSC3w1YkkIULSah+fdBr4Fg1cp+SH0y5U4iS1C0eW&#10;c/dapqCWG9h+XQfXiw2YR3muj+079WUKepzWLtZHKshpQx1Ou1AS8dJEW5b/9ployl4OFSUHXWti&#10;LpG1Jqh88+Oru+5SzP9piqlU5iVote0acwh25UCK2UErGDyEprF7LZE7SnF9u3EVgJBHd84xYcmQ&#10;0C80X1cadZdjHlG909FefzMslnu6muudngWSFXJOB4ujXkqGT7FenwEGaZdMuLYlQOG6voz7Kq6g&#10;1JFaZ1+0krcPcbpcYksugZx+50tSHSVh6sgFuKUdYCixxBIz1xPrQ3RQDFGyLLtIbbMDzNoaVjDJ&#10;hlWp63W6o2hixwXqa0y0LHzuk23ZHoZB4J5cDzo/AZwaWIRZMtu6NbC6SvGuCLzfiFg1jW6OiIHS&#10;NH3tEvqAB+PYYrBAdgVbVURM+BG3M1a3iv4BrKLH12Xc1BkKhLQPLNQaSJfV18VWsOiKcUdQjMM4&#10;9UZYyE6vHRsAbRvIANnCI/CWhRW2QJzwlqWGtpKOLR4CWygxeIsTWRaGm52Ia+GKlA4WYkbcSVvo&#10;QdIheGHKzWyxLOo2w4IxT8StniN6QXTc2jmRI1Lb3E2yStu2V4o5DOcKLNauuBBiVy1kXTID67N3&#10;edHT3bWQ6RIlX6XL3zfH20Xlu/HwhXbL3/le+n2AJ/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mQoAAFtDb250ZW50X1R5cGVzXS54bWxQSwEC&#10;FAAKAAAAAACHTuJAAAAAAAAAAAAAAAAABgAAAAAAAAAAABAAAAB7CQAAX3JlbHMvUEsBAhQAFAAA&#10;AAgAh07iQIoUZjzRAAAAlAEAAAsAAAAAAAAAAQAgAAAAnwkAAF9yZWxzLy5yZWxzUEsBAhQACgAA&#10;AAAAh07iQAAAAAAAAAAAAAAAAAQAAAAAAAAAAAAQAAAAAAAAAGRycy9QSwECFAAUAAAACACHTuJA&#10;fZ6YydYAAAAFAQAADwAAAAAAAAABACAAAAAiAAAAZHJzL2Rvd25yZXYueG1sUEsBAhQAFAAAAAgA&#10;h07iQN2+PhUqCAAAV1AAAA4AAAAAAAAAAQAgAAAAJQEAAGRycy9lMm9Eb2MueG1sUEsFBgAAAAAG&#10;AAYAWQEAAMELAAAAAA==&#10;">
                <o:lock v:ext="edit" aspectratio="f"/>
                <v:group id="组合 26" o:spid="_x0000_s1026" o:spt="203" style="position:absolute;left:2299;top:8483;height:807;width:4200;" coordorigin="2299,9309" coordsize="4200,807"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直接箭头连接符 20" o:spid="_x0000_s1026" o:spt="32" type="#_x0000_t32" style="position:absolute;left:2330;top:9777;height:339;width:0;" filled="f" stroked="t" coordsize="21600,21600" o:gfxdata="UEsDBAoAAAAAAIdO4kAAAAAAAAAAAAAAAAAEAAAAZHJzL1BLAwQUAAAACACHTuJAtW6YIbsAAADb&#10;AAAADwAAAGRycy9kb3ducmV2LnhtbEWP0YrCMBRE3wX/IVzBN02tIEvXtLALgiiCG/2AS3NtyzY3&#10;pYlW/XojLOzjMDNnmHVxt624Ue8bxwoW8wQEcelMw5WC82kz+wDhA7LB1jEpeJCHIh+P1pgZN/AP&#10;3XSoRISwz1BBHUKXSenLmiz6ueuIo3dxvcUQZV9J0+MQ4baVaZKspMWG40KNHX3XVP7qq1VQ7o9L&#10;1t1wOH/pq9N6d9k9SSo1nSySTxCB7uE//NfeGgVpCu8v8QfI/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6YIb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直接箭头连接符 21" o:spid="_x0000_s1026" o:spt="32" type="#_x0000_t32" style="position:absolute;left:4229;top:9761;height:339;width:0;" filled="f" stroked="t" coordsize="21600,21600" o:gfxdata="UEsDBAoAAAAAAIdO4kAAAAAAAAAAAAAAAAAEAAAAZHJzL1BLAwQUAAAACACHTuJA2iI9urwAAADb&#10;AAAADwAAAGRycy9kb3ducmV2LnhtbEWPzWrDMBCE74G8g9hAbomcGEpxIwcaCBSHQqvmARZr/UOt&#10;lbEU2+3TV4VAjsPMfMMcjrPtxEiDbx0r2G0TEMSlMy3XCq5f580zCB+QDXaOScEPeTjmy8UBM+Mm&#10;/qRRh1pECPsMFTQh9JmUvmzIot+6njh6lRsshiiHWpoBpwi3ndwnyZO02HJcaLCnU0Plt75ZBeXl&#10;I2XdT+/XV31zWhdV8UtSqfVql7yACDSHR/jefjMK9in8f4k/QO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iPbq8AAAA&#10;2wAAAA8AAAAAAAAAAQAgAAAAIgAAAGRycy9kb3ducmV2LnhtbFBLAQIUABQAAAAIAIdO4kAzLwWe&#10;OwAAADkAAAAQAAAAAAAAAAEAIAAAAAsBAABkcnMvc2hhcGV4bWwueG1sUEsFBgAAAAAGAAYAWwEA&#10;ALUDAAAAAA==&#10;">
                    <v:fill on="f" focussize="0,0"/>
                    <v:stroke weight="2.25pt" color="#000000" joinstyle="round" endarrow="block"/>
                    <v:imagedata o:title=""/>
                    <o:lock v:ext="edit" aspectratio="f"/>
                  </v:shape>
                  <v:shape id="直接箭头连接符 22" o:spid="_x0000_s1026" o:spt="32" type="#_x0000_t32" style="position:absolute;left:6485;top:9763;height:339;width:0;" filled="f" stroked="t" coordsize="21600,21600" o:gfxdata="UEsDBAoAAAAAAIdO4kAAAAAAAAAAAAAAAAAEAAAAZHJzL1BLAwQUAAAACACHTuJAVculzrsAAADb&#10;AAAADwAAAGRycy9kb3ducmV2LnhtbEWP0YrCMBRE3xf8h3CFfVtTXZGlmhYUBHERNOsHXJprW2xu&#10;ShOt+vUbQfBxmJkzzCK/2UZcqfO1YwXjUQKCuHCm5lLB8W/99QPCB2SDjWNScCcPeTb4WGBqXM8H&#10;uupQighhn6KCKoQ2ldIXFVn0I9cSR+/kOoshyq6UpsM+wm0jJ0kykxZrjgsVtrSqqDjri1VQ/O6/&#10;Wbf97rjUF6f19rR9kFTqczhO5iAC3cI7/GpvjILJFJ5f4g+Q2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culzr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直接箭头连接符 23" o:spid="_x0000_s1026" o:spt="32" type="#_x0000_t32" style="position:absolute;left:2299;top:9763;height:0;width:4200;" filled="f" stroked="t" coordsize="21600,21600" o:gfxdata="UEsDBAoAAAAAAIdO4kAAAAAAAAAAAAAAAAAEAAAAZHJzL1BLAwQUAAAACACHTuJAnFXxRL4AAADb&#10;AAAADwAAAGRycy9kb3ducmV2LnhtbEWPS4sCMRCE78L+h9AL3jSjiC6j0YMgqKyPHT3ssZn0PHTS&#10;GSdZH//eCMIei6r6iprM7qYSV2pcaVlBrxuBIE6tLjlXcDwsOl8gnEfWWFkmBQ9yMJt+tCYYa3vj&#10;H7omPhcBwi5GBYX3dSylSwsy6Lq2Jg5eZhuDPsgml7rBW4CbSvajaCgNlhwWCqxpXlB6Tv6Mgsvv&#10;yqTZ997Zw+axxuMp2w4uO6Xan71oDMLT3f+H3+2lVtAfwetL+A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XxRL4A&#10;AADb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shape>
                  <v:shape id="直接箭头连接符 24" o:spid="_x0000_s1026" o:spt="32" type="#_x0000_t32" style="position:absolute;left:3368;top:9309;height:468;width:3;" filled="f" stroked="t" coordsize="21600,21600" o:gfxdata="UEsDBAoAAAAAAIdO4kAAAAAAAAAAAAAAAAAEAAAAZHJzL1BLAwQUAAAACACHTuJA7cplNroAAADb&#10;AAAADwAAAGRycy9kb3ducmV2LnhtbEVPy4rCMBTdC/5DuMLsbKqIDLXRhSCoOOP4WLi8NLcPbW5q&#10;k/Hx92YhuDycdzp7mFrcqHWVZQWDKAZBnFldcaHgeFj0v0E4j6yxtkwKnuRgNu12Uky0vfOObntf&#10;iBDCLkEFpfdNIqXLSjLoItsQBy63rUEfYFtI3eI9hJtaDuN4LA1WHBpKbGheUnbZ/xsF19PKZPnm&#10;z9nDz3ONx3P+O7pulfrqDeIJCE8P/xG/3UutYBjGhi/hB8jp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ymU2ugAAANsA&#10;AAAPAAAAAAAAAAEAIAAAACIAAABkcnMvZG93bnJldi54bWxQSwECFAAUAAAACACHTuJAMy8FnjsA&#10;AAA5AAAAEAAAAAAAAAABACAAAAAJAQAAZHJzL3NoYXBleG1sLnhtbFBLBQYAAAAABgAGAFsBAACz&#10;AwAAAAA=&#10;">
                    <v:fill on="f" focussize="0,0"/>
                    <v:stroke weight="2.25pt" color="#000000" joinstyle="round"/>
                    <v:imagedata o:title=""/>
                    <o:lock v:ext="edit" aspectratio="f"/>
                  </v:shape>
                </v:group>
                <v:group id="组合 37" o:spid="_x0000_s1026" o:spt="203" style="position:absolute;left:1540;top:9274;height:2394;width:7249;" coordorigin="1540,10086" coordsize="7249,2394"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文本框 27" o:spid="_x0000_s1026" o:spt="202" type="#_x0000_t202" style="position:absolute;left:1540;top:10126;height:1095;width:1609;"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spacing w:after="312"/>
                            <w:rPr>
                              <w:rFonts w:hint="eastAsia" w:ascii="宋体" w:hAnsi="宋体" w:eastAsia="宋体" w:cs="宋体"/>
                              <w:sz w:val="18"/>
                              <w:szCs w:val="18"/>
                            </w:rPr>
                          </w:pPr>
                          <w:r>
                            <w:rPr>
                              <w:rFonts w:hint="eastAsia" w:ascii="宋体" w:hAnsi="宋体" w:eastAsia="宋体" w:cs="宋体"/>
                              <w:sz w:val="18"/>
                              <w:szCs w:val="18"/>
                            </w:rPr>
                            <w:t>过去一年发</w:t>
                          </w:r>
                          <w:r>
                            <w:rPr>
                              <w:rFonts w:hint="eastAsia" w:ascii="宋体" w:hAnsi="宋体" w:eastAsia="宋体" w:cs="宋体"/>
                              <w:sz w:val="18"/>
                              <w:szCs w:val="18"/>
                              <w:lang w:val="en-US" w:eastAsia="zh-CN"/>
                            </w:rPr>
                            <w:t>跌倒的次数</w:t>
                          </w:r>
                          <w:r>
                            <w:rPr>
                              <w:rFonts w:hint="eastAsia" w:ascii="宋体" w:hAnsi="宋体" w:eastAsia="宋体" w:cs="宋体"/>
                              <w:sz w:val="18"/>
                              <w:szCs w:val="18"/>
                            </w:rPr>
                            <w:t>≥2次</w:t>
                          </w:r>
                        </w:p>
                      </w:txbxContent>
                    </v:textbox>
                  </v:shape>
                  <v:shape id="文本框 28" o:spid="_x0000_s1026" o:spt="202" type="#_x0000_t202" style="position:absolute;left:3516;top:10086;height:1119;width:1496;"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spacing w:after="312"/>
                            <w:rPr>
                              <w:rFonts w:hint="eastAsia" w:ascii="宋体" w:hAnsi="宋体" w:eastAsia="宋体" w:cs="宋体"/>
                              <w:sz w:val="18"/>
                              <w:szCs w:val="18"/>
                            </w:rPr>
                          </w:pPr>
                          <w:r>
                            <w:rPr>
                              <w:rFonts w:hint="eastAsia" w:ascii="宋体" w:hAnsi="宋体" w:eastAsia="宋体" w:cs="宋体"/>
                              <w:sz w:val="18"/>
                              <w:szCs w:val="18"/>
                            </w:rPr>
                            <w:t>过去一年发生1次跌倒，并造成损伤</w:t>
                          </w:r>
                        </w:p>
                      </w:txbxContent>
                    </v:textbox>
                  </v:shape>
                  <v:shape id="文本框 29" o:spid="_x0000_s1026" o:spt="202" type="#_x0000_t202" style="position:absolute;left:5209;top:10086;height:1119;width:3580;" fillcolor="#FFFFFF" filled="t" stroked="t" coordsize="21600,21600" o:gfxdata="UEsDBAoAAAAAAIdO4kAAAAAAAAAAAAAAAAAEAAAAZHJzL1BLAwQUAAAACACHTuJAXb0mIr4AAADb&#10;AAAADwAAAGRycy9kb3ducmV2LnhtbEWPzWsCMRTE7wX/h/AEL0Wzq8WP7UYPBcXeWit6fWzeftDN&#10;yzaJq/73TaHgcZiZ3zD55mZa0ZPzjWUF6SQBQVxY3XCl4Pi1HS9B+ICssbVMCu7kYbMePOWYaXvl&#10;T+oPoRIRwj5DBXUIXSalL2oy6Ce2I45eaZ3BEKWrpHZ4jXDTymmSzKXBhuNCjR291VR8Hy5GwfJl&#10;35/9++zjVMzLdhWeF/3uxyk1GqbJK4hAt/AI/7f3WsEshb8v8Qf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0mI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eastAsia" w:ascii="宋体" w:hAnsi="宋体" w:eastAsia="宋体" w:cs="宋体"/>
                              <w:sz w:val="18"/>
                              <w:szCs w:val="18"/>
                            </w:rPr>
                          </w:pPr>
                          <w:r>
                            <w:rPr>
                              <w:rFonts w:hint="eastAsia" w:ascii="宋体" w:hAnsi="宋体" w:eastAsia="宋体" w:cs="宋体"/>
                              <w:sz w:val="18"/>
                              <w:szCs w:val="18"/>
                            </w:rPr>
                            <w:t>过去一年发生1次跌倒，但未受伤；</w:t>
                          </w:r>
                        </w:p>
                        <w:p>
                          <w:pPr>
                            <w:jc w:val="center"/>
                            <w:rPr>
                              <w:rFonts w:hint="eastAsia" w:ascii="宋体" w:hAnsi="宋体" w:eastAsia="宋体" w:cs="宋体"/>
                              <w:sz w:val="18"/>
                              <w:szCs w:val="18"/>
                            </w:rPr>
                          </w:pPr>
                          <w:r>
                            <w:rPr>
                              <w:rFonts w:hint="eastAsia" w:ascii="宋体" w:hAnsi="宋体" w:eastAsia="宋体" w:cs="宋体"/>
                              <w:sz w:val="18"/>
                              <w:szCs w:val="18"/>
                            </w:rPr>
                            <w:t>或者</w:t>
                          </w:r>
                        </w:p>
                        <w:p>
                          <w:pPr>
                            <w:jc w:val="center"/>
                            <w:rPr>
                              <w:rFonts w:hint="eastAsia" w:ascii="宋体" w:hAnsi="宋体" w:eastAsia="宋体" w:cs="宋体"/>
                              <w:sz w:val="18"/>
                              <w:szCs w:val="18"/>
                            </w:rPr>
                          </w:pPr>
                          <w:r>
                            <w:rPr>
                              <w:rFonts w:hint="eastAsia" w:ascii="宋体" w:hAnsi="宋体" w:eastAsia="宋体" w:cs="宋体"/>
                              <w:sz w:val="18"/>
                              <w:szCs w:val="18"/>
                            </w:rPr>
                            <w:t>过去一年未发生跌倒</w:t>
                          </w:r>
                        </w:p>
                      </w:txbxContent>
                    </v:textbox>
                  </v:shape>
                  <v:shape id="文本框 30" o:spid="_x0000_s1026" o:spt="202" type="#_x0000_t202" style="position:absolute;left:2099;top:11560;height:920;width:2336;" filled="f" stroked="t" coordsize="21600,21600" o:gfxdata="UEsDBAoAAAAAAIdO4kAAAAAAAAAAAAAAAAAEAAAAZHJzL1BLAwQUAAAACACHTuJAL6jKub4AAADb&#10;AAAADwAAAGRycy9kb3ducmV2LnhtbEWPzW7CMBCE75V4B2uRuBWHRGragOHAj9Rjm9L2usRLEhGv&#10;o9gkKU+PK1XqcTQ73+ysNqNpRE+dqy0rWMwjEMSF1TWXCo4fh8dnEM4ja2wsk4IfcrBZTx5WmGk7&#10;8Dv1uS9FgLDLUEHlfZtJ6YqKDLq5bYmDd7adQR9kV0rd4RDgppFxFD1JgzWHhgpb2lZUXPKrCW/E&#10;38dk95ZTmuIp2e1vny/nr0ap2XQRLUF4Gv3/8V/6VStIYvjdEgA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6jKu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跌倒风险：高危</w:t>
                          </w:r>
                        </w:p>
                      </w:txbxContent>
                    </v:textbox>
                  </v:shape>
                  <v:shape id="文本框 31" o:spid="_x0000_s1026" o:spt="202" type="#_x0000_t202" style="position:absolute;left:5223;top:11531;height:948;width:2594;" filled="f" stroked="t" coordsize="21600,21600" o:gfxdata="UEsDBAoAAAAAAIdO4kAAAAAAAAAAAAAAAAAEAAAAZHJzL1BLAwQUAAAACACHTuJAoEFSzb4AAADb&#10;AAAADwAAAGRycy9kb3ducmV2LnhtbEWPwW7CMBBE75X4B2uRemsciFpKwHAgVOqRhrS9LvGSRMTr&#10;KHYD5evrSkgcR7PzZme5vphWDNS7xrKCSRSDIC6tbrhSUOzfnl5BOI+ssbVMCn7JwXo1elhiqu2Z&#10;P2jIfSUChF2KCmrvu1RKV9Zk0EW2Iw7e0fYGfZB9JXWP5wA3rZzG8Ys02HBoqLGjTU3lKf8x4Y3p&#10;d5Fku5xmMzwk2fb6OT9+tUo9jifxAoSni78f39LvWkHyDP9bAgD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FSz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跌倒风险：中危</w:t>
                          </w:r>
                        </w:p>
                      </w:txbxContent>
                    </v:textbox>
                  </v:shape>
                  <v:shape id="直接箭头连接符 32" o:spid="_x0000_s1026" o:spt="32" type="#_x0000_t32" style="position:absolute;left:2369;top:11235;height:339;width:0;" filled="f" stroked="t" coordsize="21600,21600" o:gfxdata="UEsDBAoAAAAAAIdO4kAAAAAAAAAAAAAAAAAEAAAAZHJzL1BLAwQUAAAACACHTuJAT4wI/7wAAADb&#10;AAAADwAAAGRycy9kb3ducmV2LnhtbEWP0WrCQBRE34X+w3IF33RjA6FEV6FCoUQEu/oBl+w1Cc3e&#10;DdnVRL/eFQp9HGbmDLPejrYVN+p941jBcpGAIC6dabhScD59zT9A+IBssHVMCu7kYbt5m6wxN27g&#10;H7rpUIkIYZ+jgjqELpfSlzVZ9AvXEUfv4nqLIcq+kqbHIcJtK9+TJJMWG44LNXa0q6n81VeroNwf&#10;U9bdcDh/6qvTurgUD5JKzabLZAUi0Bj+w3/tb6MgzeD1Jf4AuXk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MCP+8AAAA&#10;2wAAAA8AAAAAAAAAAQAgAAAAIgAAAGRycy9kb3ducmV2LnhtbFBLAQIUABQAAAAIAIdO4kAzLwWe&#10;OwAAADkAAAAQAAAAAAAAAAEAIAAAAAsBAABkcnMvc2hhcGV4bWwueG1sUEsFBgAAAAAGAAYAWwEA&#10;ALUDAAAAAA==&#10;">
                    <v:fill on="f" focussize="0,0"/>
                    <v:stroke weight="2.25pt" color="#000000" joinstyle="round" endarrow="block"/>
                    <v:imagedata o:title=""/>
                    <o:lock v:ext="edit" aspectratio="f"/>
                  </v:shape>
                  <v:shape id="直接箭头连接符 35" o:spid="_x0000_s1026" o:spt="32" type="#_x0000_t32" style="position:absolute;left:4191;top:11223;height:339;width:1;" filled="f" stroked="t" coordsize="21600,21600" o:gfxdata="UEsDBAoAAAAAAIdO4kAAAAAAAAAAAAAAAAAEAAAAZHJzL1BLAwQUAAAACACHTuJAUV85FrUAAADb&#10;AAAADwAAAGRycy9kb3ducmV2LnhtbEVP3QoBQRS+V95hOsodsyhpGYpSIsXwAKedY3ezc2bbGRZP&#10;by6Uy6/vf7F62Uo8qfGlYwWjYQKCOHOm5FzB9bIdzED4gGywckwK3uRhtex2Fpga1/KZnjrkIoaw&#10;T1FBEUKdSumzgiz6oauJI3dzjcUQYZNL02Abw20lx0kylRZLjg0F1rQpKLvrh1WQHU4T1nV7vK71&#10;w2m9v+0/JJXq90bJHESgV/iLf+6dUTCJY+OX+APk8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V85FrUAAADbAAAADwAA&#10;AAAAAAABACAAAAAiAAAAZHJzL2Rvd25yZXYueG1sUEsBAhQAFAAAAAgAh07iQDMvBZ47AAAAOQAA&#10;ABAAAAAAAAAAAQAgAAAABAEAAGRycy9zaGFwZXhtbC54bWxQSwUGAAAAAAYABgBbAQAArgMAAAAA&#10;">
                    <v:fill on="f" focussize="0,0"/>
                    <v:stroke weight="2.25pt" color="#000000" joinstyle="round" endarrow="block"/>
                    <v:imagedata o:title=""/>
                    <o:lock v:ext="edit" aspectratio="f"/>
                  </v:shape>
                  <v:shape id="直接箭头连接符 36" o:spid="_x0000_s1026" o:spt="32" type="#_x0000_t32" style="position:absolute;left:6391;top:11197;height:339;width:0;" filled="f" stroked="t" coordsize="21600,21600" o:gfxdata="UEsDBAoAAAAAAIdO4kAAAAAAAAAAAAAAAAAEAAAAZHJzL1BLAwQUAAAACACHTuJAPhOcjbsAAADb&#10;AAAADwAAAGRycy9kb3ducmV2LnhtbEWP0YrCMBRE3xf8h3AF39ZUhUWraUFBEJeFNfoBl+baFpub&#10;0kSrfv1GEPZxmJkzzCq/20bcqPO1YwWTcQKCuHCm5lLB6bj9nIPwAdlg45gUPMhDng0+Vpga1/OB&#10;bjqUIkLYp6igCqFNpfRFRRb92LXE0Tu7zmKIsiul6bCPcNvIaZJ8SYs1x4UKW9pUVFz01Soovn9n&#10;rNv+57TWV6f1/rx/klRqNJwkSxCB7uE//G7vjILZAl5f4g+Q2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hOcjb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group>
                <v:group id="组合 45" o:spid="_x0000_s1026" o:spt="203" style="position:absolute;left:2880;top:1335;height:3600;width:4510;" coordorigin="2880,1335" coordsize="4510,3600"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文本框 38" o:spid="_x0000_s1026" o:spt="202" type="#_x0000_t202" style="position:absolute;left:3293;top:1335;height:448;width:3827;"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spacing w:after="312"/>
                            <w:jc w:val="center"/>
                            <w:rPr>
                              <w:rFonts w:hint="eastAsia" w:ascii="宋体" w:hAnsi="宋体" w:eastAsia="宋体" w:cs="宋体"/>
                              <w:sz w:val="18"/>
                              <w:szCs w:val="18"/>
                            </w:rPr>
                          </w:pPr>
                          <w:r>
                            <w:rPr>
                              <w:rFonts w:hint="eastAsia" w:ascii="宋体" w:hAnsi="宋体" w:eastAsia="宋体" w:cs="宋体"/>
                              <w:sz w:val="18"/>
                              <w:szCs w:val="18"/>
                              <w:lang w:val="en-US" w:eastAsia="zh-CN"/>
                            </w:rPr>
                            <w:t>65</w:t>
                          </w:r>
                          <w:r>
                            <w:rPr>
                              <w:rFonts w:hint="eastAsia" w:ascii="宋体" w:hAnsi="宋体" w:eastAsia="宋体" w:cs="宋体"/>
                              <w:sz w:val="18"/>
                              <w:szCs w:val="18"/>
                            </w:rPr>
                            <w:t>岁及以上老年人</w:t>
                          </w:r>
                        </w:p>
                      </w:txbxContent>
                    </v:textbox>
                  </v:shape>
                  <v:shape id="文本框 39" o:spid="_x0000_s1026" o:spt="202" type="#_x0000_t202" style="position:absolute;left:3293;top:2122;height:440;width:3826;" fillcolor="#FFFFFF" filled="t" stroked="t" coordsize="21600,21600" o:gfxdata="UEsDBAoAAAAAAIdO4kAAAAAAAAAAAAAAAAAEAAAAZHJzL1BLAwQUAAAACACHTuJABbtVX70AAADb&#10;AAAADwAAAGRycy9kb3ducmV2LnhtbEWPQWvCQBSE70L/w/IKvYhu0oq10dWD0KI3jcVeH9lnEsy+&#10;jbvbqP/eFQSPw8x8w8wWF9OIjpyvLStIhwkI4sLqmksFv7vvwQSED8gaG8uk4EoeFvOX3gwzbc+8&#10;pS4PpYgQ9hkqqEJoMyl9UZFBP7QtcfQO1hkMUbpSaofnCDeNfE+SsTRYc1yosKVlRcUx/zcKJqNV&#10;9+fXH5t9MT40X6H/2f2cnFJvr2kyBRHoEp7hR3ulFYxSuH+JP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u1Vf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spacing w:after="312"/>
                            <w:ind w:right="-2709" w:rightChars="-1290" w:firstLine="1260" w:firstLineChars="700"/>
                            <w:jc w:val="left"/>
                            <w:rPr>
                              <w:rFonts w:hint="default" w:ascii="宋体" w:hAnsi="宋体" w:eastAsia="宋体" w:cs="宋体"/>
                              <w:sz w:val="18"/>
                              <w:szCs w:val="18"/>
                              <w:lang w:val="en-US" w:eastAsia="zh-CN"/>
                            </w:rPr>
                          </w:pPr>
                          <w:r>
                            <w:rPr>
                              <w:rFonts w:hint="eastAsia" w:ascii="宋体" w:hAnsi="宋体" w:eastAsia="宋体" w:cs="宋体"/>
                              <w:sz w:val="18"/>
                              <w:szCs w:val="18"/>
                            </w:rPr>
                            <w:t>知情同意</w:t>
                          </w:r>
                          <w:r>
                            <w:rPr>
                              <w:rFonts w:hint="eastAsia" w:ascii="宋体" w:hAnsi="宋体" w:eastAsia="宋体" w:cs="宋体"/>
                              <w:sz w:val="18"/>
                              <w:szCs w:val="18"/>
                              <w:lang w:val="en-US" w:eastAsia="zh-CN"/>
                            </w:rPr>
                            <w:t>且满足评估条件</w:t>
                          </w:r>
                        </w:p>
                      </w:txbxContent>
                    </v:textbox>
                  </v:shape>
                  <v:shape id="文本框 40" o:spid="_x0000_s1026" o:spt="202" type="#_x0000_t202" style="position:absolute;left:3309;top:2926;height:552;width:3817;"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after="312"/>
                            <w:jc w:val="center"/>
                            <w:rPr>
                              <w:rFonts w:hint="eastAsia" w:ascii="宋体" w:hAnsi="宋体" w:eastAsia="宋体" w:cs="宋体"/>
                              <w:sz w:val="18"/>
                              <w:szCs w:val="18"/>
                              <w:lang w:val="en-US" w:eastAsia="zh-CN"/>
                            </w:rPr>
                          </w:pPr>
                          <w:r>
                            <w:rPr>
                              <w:rFonts w:hint="eastAsia" w:ascii="宋体" w:hAnsi="宋体" w:eastAsia="宋体" w:cs="宋体"/>
                              <w:sz w:val="18"/>
                              <w:szCs w:val="18"/>
                            </w:rPr>
                            <w:t>基本信息</w:t>
                          </w:r>
                          <w:r>
                            <w:rPr>
                              <w:rFonts w:hint="eastAsia" w:ascii="宋体" w:hAnsi="宋体" w:eastAsia="宋体" w:cs="宋体"/>
                              <w:sz w:val="18"/>
                              <w:szCs w:val="18"/>
                              <w:lang w:val="en-US" w:eastAsia="zh-CN"/>
                            </w:rPr>
                            <w:t>登记</w:t>
                          </w:r>
                        </w:p>
                      </w:txbxContent>
                    </v:textbox>
                  </v:shape>
                  <v:shape id="直接箭头连接符 41" o:spid="_x0000_s1026" o:spt="32" type="#_x0000_t32" style="position:absolute;left:5209;top:1783;height:339;width:0;" filled="f" stroked="t" coordsize="21600,21600" o:gfxdata="UEsDBAoAAAAAAIdO4kAAAAAAAAAAAAAAAAAEAAAAZHJzL1BLAwQUAAAACACHTuJAB/3YGrsAAADb&#10;AAAADwAAAGRycy9kb3ducmV2LnhtbEWP0YrCMBRE3xf8h3AF39ZUXUSqaUFBEJeFNfoBl+baFpub&#10;0kSrfv1GEPZxmJkzzCq/20bcqPO1YwWTcQKCuHCm5lLB6bj9XIDwAdlg45gUPMhDng0+Vpga1/OB&#10;bjqUIkLYp6igCqFNpfRFRRb92LXE0Tu7zmKIsiul6bCPcNvIaZLMpcWa40KFLW0qKi76ahUU378z&#10;1m3/c1rrq9N6f94/SSo1Gk6SJYhA9/Affrd3RsHXDF5f4g+Q2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3YGr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直接箭头连接符 42" o:spid="_x0000_s1026" o:spt="32" type="#_x0000_t32" style="position:absolute;left:5211;top:2583;height:339;width:0;" filled="f" stroked="t" coordsize="21600,21600" o:gfxdata="UEsDBAoAAAAAAIdO4kAAAAAAAAAAAAAAAAAEAAAAZHJzL1BLAwQUAAAACACHTuJAiBRAbrwAAADb&#10;AAAADwAAAGRycy9kb3ducmV2LnhtbEWP0WrCQBRE3wv9h+UKvtWNNUhJXQULBYkIdesHXLLXJDR7&#10;N2TXJPr1riD0cZiZM8xqM9pG9NT52rGC+SwBQVw4U3Op4PT7/fYBwgdkg41jUnAlD5v168sKM+MG&#10;PlKvQykihH2GCqoQ2kxKX1Rk0c9cSxy9s+sshii7UpoOhwi3jXxPkqW0WHNcqLClr4qKP32xCor9&#10;z4J1OxxOW31xWufn/EZSqelknnyCCDSG//CzvTMK0hQeX+IP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UQG68AAAA&#10;2wAAAA8AAAAAAAAAAQAgAAAAIgAAAGRycy9kb3ducmV2LnhtbFBLAQIUABQAAAAIAIdO4kAzLwWe&#10;OwAAADkAAAAQAAAAAAAAAAEAIAAAAAsBAABkcnMvc2hhcGV4bWwueG1sUEsFBgAAAAAGAAYAWwEA&#10;ALUDAAAAAA==&#10;">
                    <v:fill on="f" focussize="0,0"/>
                    <v:stroke weight="2.25pt" color="#000000" joinstyle="round" endarrow="block"/>
                    <v:imagedata o:title=""/>
                    <o:lock v:ext="edit" aspectratio="f"/>
                  </v:shape>
                  <v:shape id="直接箭头连接符 43" o:spid="_x0000_s1026" o:spt="32" type="#_x0000_t32" style="position:absolute;left:5209;top:3497;height:339;width:0;" filled="f" stroked="t" coordsize="21600,21600" o:gfxdata="UEsDBAoAAAAAAIdO4kAAAAAAAAAAAAAAAAAEAAAAZHJzL1BLAwQUAAAACACHTuJAF4p7grsAAADb&#10;AAAADwAAAGRycy9kb3ducmV2LnhtbEWP0YrCMBRE3wX/IVzBN01dF5FqWlBYEEXYjX7Apbm2xeam&#10;NNGqX28WFvZxmJkzzDp/2EbcqfO1YwWzaQKCuHCm5lLB+fQ1WYLwAdlg45gUPMlDng0Ha0yN6/mH&#10;7jqUIkLYp6igCqFNpfRFRRb91LXE0bu4zmKIsiul6bCPcNvIjyRZSIs1x4UKW9pWVFz1zSooDt9z&#10;1m1/PG/0zWm9v+xfJJUaj2bJCkSgR/gP/7V3RsHnAn6/xB8gs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4p7gr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文本框 44" o:spid="_x0000_s1026" o:spt="202" type="#_x0000_t202" style="position:absolute;left:2880;top:3812;height:1123;width:4510;" filled="f" stroked="t" coordsize="21600,21600" o:gfxdata="UEsDBAoAAAAAAIdO4kAAAAAAAAAAAAAAAAAEAAAAZHJzL1BLAwQUAAAACACHTuJAZ9kaXL0AAADb&#10;AAAADwAAAGRycy9kb3ducmV2LnhtbEWPS2/CMBCE70j8B2uRuIHDQ00JGA48JI400Pa6xEsSEa+j&#10;2Dx/fV0JieNodr7ZmS3uphJXalxpWcGgH4EgzqwuOVdw2G96nyCcR9ZYWSYFD3KwmLdbM0y0vfEX&#10;XVOfiwBhl6CCwvs6kdJlBRl0fVsTB+9kG4M+yCaXusFbgJtKDqPoQxosOTQUWNOyoOycXkx4Y/h7&#10;GK12KcUxHker9fN7cvqplOp2BtEUhKe7fx+/0lutYBzD/5YAA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2Rpc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pStyle w:val="28"/>
                            <w:ind w:firstLine="0" w:firstLineChars="0"/>
                            <w:jc w:val="center"/>
                            <w:rPr>
                              <w:rFonts w:hint="eastAsia" w:ascii="宋体" w:hAnsi="宋体" w:eastAsia="宋体" w:cs="宋体"/>
                              <w:sz w:val="18"/>
                              <w:szCs w:val="18"/>
                            </w:rPr>
                          </w:pPr>
                          <w:r>
                            <w:rPr>
                              <w:rFonts w:hint="eastAsia" w:ascii="宋体" w:hAnsi="宋体" w:eastAsia="宋体" w:cs="宋体"/>
                              <w:sz w:val="18"/>
                              <w:szCs w:val="18"/>
                            </w:rPr>
                            <w:t>跌倒风险自评表</w:t>
                          </w:r>
                        </w:p>
                        <w:p>
                          <w:pPr>
                            <w:pStyle w:val="28"/>
                            <w:ind w:firstLine="0" w:firstLineChars="0"/>
                            <w:jc w:val="center"/>
                            <w:rPr>
                              <w:rFonts w:hint="eastAsia" w:ascii="宋体" w:hAnsi="宋体" w:eastAsia="宋体" w:cs="宋体"/>
                              <w:sz w:val="18"/>
                              <w:szCs w:val="18"/>
                            </w:rPr>
                          </w:pPr>
                          <w:r>
                            <w:rPr>
                              <w:rFonts w:hint="eastAsia" w:ascii="宋体" w:hAnsi="宋体" w:eastAsia="宋体" w:cs="宋体"/>
                              <w:sz w:val="18"/>
                              <w:szCs w:val="18"/>
                            </w:rPr>
                            <w:t>和</w:t>
                          </w:r>
                        </w:p>
                        <w:p>
                          <w:pPr>
                            <w:pStyle w:val="28"/>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rPr>
                            <w:t>跌倒风险核心问题</w:t>
                          </w:r>
                          <w:r>
                            <w:rPr>
                              <w:rFonts w:hint="eastAsia" w:ascii="宋体" w:hAnsi="宋体" w:eastAsia="宋体" w:cs="宋体"/>
                              <w:sz w:val="18"/>
                              <w:szCs w:val="18"/>
                              <w:lang w:val="en-US" w:eastAsia="zh-CN"/>
                            </w:rPr>
                            <w:t>评估表</w:t>
                          </w:r>
                        </w:p>
                      </w:txbxContent>
                    </v:textbox>
                  </v:shape>
                </v:group>
                <v:group id="组合 59" o:spid="_x0000_s1026" o:spt="203" style="position:absolute;left:1456;top:4935;height:3728;width:7354;" coordorigin="1456,4935" coordsize="7354,3728"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文本框 46" o:spid="_x0000_s1026" o:spt="202" type="#_x0000_t202" style="position:absolute;left:1456;top:5232;height:1116;width:3614;" fillcolor="#FFFFFF" filled="t" stroked="t" coordsize="21600,21600" o:gfxdata="UEsDBAoAAAAAAIdO4kAAAAAAAAAAAAAAAAAEAAAAZHJzL1BLAwQUAAAACACHTuJAlIH8wroAAADb&#10;AAAADwAAAGRycy9kb3ducmV2LnhtbEVPy4rCMBTdC/5DuIIb0VRHfFSji4ER3Y0PdHtprm2xualJ&#10;rM7fm8WAy8N5L9cvU4mGnC8tKxgOEhDEmdUl5wpOx5/+DIQPyBory6TgjzysV+3WElNtn7yn5hBy&#10;EUPYp6igCKFOpfRZQQb9wNbEkbtaZzBE6HKpHT5juKnkKEkm0mDJsaHAmr4Lym6Hh1EwG2+bi999&#10;/Z6zybWah9602dydUt3OMFmACPQKH/G/e6sVjOPY+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gfzC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center"/>
                            <w:rPr>
                              <w:rFonts w:hint="eastAsia" w:ascii="宋体" w:hAnsi="宋体" w:eastAsia="宋体" w:cs="宋体"/>
                              <w:sz w:val="18"/>
                              <w:szCs w:val="18"/>
                            </w:rPr>
                          </w:pPr>
                          <w:r>
                            <w:rPr>
                              <w:rFonts w:hint="eastAsia" w:ascii="宋体" w:hAnsi="宋体" w:eastAsia="宋体" w:cs="宋体"/>
                              <w:sz w:val="18"/>
                              <w:szCs w:val="18"/>
                            </w:rPr>
                            <w:t xml:space="preserve">跌倒风险自评表得分≥4分 </w:t>
                          </w:r>
                        </w:p>
                        <w:p>
                          <w:pPr>
                            <w:jc w:val="center"/>
                            <w:rPr>
                              <w:rFonts w:hint="eastAsia" w:ascii="宋体" w:hAnsi="宋体" w:eastAsia="宋体" w:cs="宋体"/>
                              <w:sz w:val="18"/>
                              <w:szCs w:val="18"/>
                            </w:rPr>
                          </w:pPr>
                          <w:r>
                            <w:rPr>
                              <w:rFonts w:hint="eastAsia" w:ascii="宋体" w:hAnsi="宋体" w:eastAsia="宋体" w:cs="宋体"/>
                              <w:sz w:val="18"/>
                              <w:szCs w:val="18"/>
                            </w:rPr>
                            <w:t>或</w:t>
                          </w:r>
                        </w:p>
                        <w:p>
                          <w:pPr>
                            <w:jc w:val="center"/>
                            <w:rPr>
                              <w:rFonts w:hint="eastAsia" w:ascii="宋体" w:hAnsi="宋体" w:eastAsia="宋体" w:cs="宋体"/>
                              <w:sz w:val="18"/>
                              <w:szCs w:val="18"/>
                            </w:rPr>
                          </w:pPr>
                          <w:r>
                            <w:rPr>
                              <w:rFonts w:hint="eastAsia" w:ascii="宋体" w:hAnsi="宋体" w:eastAsia="宋体" w:cs="宋体"/>
                              <w:sz w:val="18"/>
                              <w:szCs w:val="18"/>
                            </w:rPr>
                            <w:t>三个</w:t>
                          </w:r>
                          <w:r>
                            <w:rPr>
                              <w:rFonts w:hint="eastAsia" w:ascii="宋体" w:hAnsi="宋体" w:eastAsia="宋体" w:cs="宋体"/>
                              <w:sz w:val="18"/>
                              <w:szCs w:val="18"/>
                              <w:lang w:val="en-US" w:eastAsia="zh-CN"/>
                            </w:rPr>
                            <w:t>跌倒风险</w:t>
                          </w:r>
                          <w:r>
                            <w:rPr>
                              <w:rFonts w:hint="eastAsia" w:ascii="宋体" w:hAnsi="宋体" w:eastAsia="宋体" w:cs="宋体"/>
                              <w:sz w:val="18"/>
                              <w:szCs w:val="18"/>
                            </w:rPr>
                            <w:t>核心问题任一题回答“是”</w:t>
                          </w:r>
                        </w:p>
                      </w:txbxContent>
                    </v:textbox>
                  </v:shape>
                  <v:shape id="文本框 47" o:spid="_x0000_s1026" o:spt="202" type="#_x0000_t202" style="position:absolute;left:5196;top:5232;height:1116;width:3614;" fillcolor="#FFFFFF" filled="t" stroked="t" coordsize="21600,21600" o:gfxdata="UEsDBAoAAAAAAIdO4kAAAAAAAAAAAAAAAAAEAAAAZHJzL1BLAwQUAAAACACHTuJA+81ZWb4AAADb&#10;AAAADwAAAGRycy9kb3ducmV2LnhtbEWPQWvCQBSE70L/w/IKvUjdpJVUU1cPQku8qS3t9ZF9JqHZ&#10;t3F3G+O/dwXB4zAz3zCL1WBa0ZPzjWUF6SQBQVxa3XCl4Pvr43kGwgdkja1lUnAmD6vlw2iBubYn&#10;3lG/D5WIEPY5KqhD6HIpfVmTQT+xHXH0DtYZDFG6SmqHpwg3rXxJkkwabDgu1NjRuqbyb/9vFMym&#10;Rf/rN6/bnzI7tPMwfus/j06pp8c0eQcRaAj38K1daAXTOVy/xB8gl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1ZW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eastAsia" w:ascii="宋体" w:hAnsi="宋体" w:eastAsia="宋体" w:cs="宋体"/>
                              <w:sz w:val="18"/>
                              <w:szCs w:val="18"/>
                            </w:rPr>
                          </w:pPr>
                          <w:r>
                            <w:rPr>
                              <w:rFonts w:hint="eastAsia" w:ascii="宋体" w:hAnsi="宋体" w:eastAsia="宋体" w:cs="宋体"/>
                              <w:sz w:val="18"/>
                              <w:szCs w:val="18"/>
                            </w:rPr>
                            <w:t xml:space="preserve">跌倒风险自评表得分＜4分 </w:t>
                          </w:r>
                        </w:p>
                        <w:p>
                          <w:pPr>
                            <w:jc w:val="center"/>
                            <w:rPr>
                              <w:rFonts w:hint="eastAsia" w:ascii="宋体" w:hAnsi="宋体" w:eastAsia="宋体" w:cs="宋体"/>
                              <w:sz w:val="18"/>
                              <w:szCs w:val="18"/>
                            </w:rPr>
                          </w:pPr>
                          <w:r>
                            <w:rPr>
                              <w:rFonts w:hint="eastAsia" w:ascii="宋体" w:hAnsi="宋体" w:eastAsia="宋体" w:cs="宋体"/>
                              <w:sz w:val="18"/>
                              <w:szCs w:val="18"/>
                            </w:rPr>
                            <w:t>且</w:t>
                          </w:r>
                        </w:p>
                        <w:p>
                          <w:pPr>
                            <w:jc w:val="center"/>
                            <w:rPr>
                              <w:rFonts w:hint="eastAsia" w:ascii="宋体" w:hAnsi="宋体" w:eastAsia="宋体" w:cs="宋体"/>
                              <w:sz w:val="18"/>
                              <w:szCs w:val="18"/>
                            </w:rPr>
                          </w:pPr>
                          <w:r>
                            <w:rPr>
                              <w:rFonts w:hint="eastAsia" w:ascii="宋体" w:hAnsi="宋体" w:eastAsia="宋体" w:cs="宋体"/>
                              <w:sz w:val="18"/>
                              <w:szCs w:val="18"/>
                            </w:rPr>
                            <w:t>三个</w:t>
                          </w:r>
                          <w:r>
                            <w:rPr>
                              <w:rFonts w:hint="eastAsia" w:ascii="宋体" w:hAnsi="宋体" w:eastAsia="宋体" w:cs="宋体"/>
                              <w:sz w:val="18"/>
                              <w:szCs w:val="18"/>
                              <w:lang w:val="en-US" w:eastAsia="zh-CN"/>
                            </w:rPr>
                            <w:t>跌倒风险</w:t>
                          </w:r>
                          <w:r>
                            <w:rPr>
                              <w:rFonts w:hint="eastAsia" w:ascii="宋体" w:hAnsi="宋体" w:eastAsia="宋体" w:cs="宋体"/>
                              <w:sz w:val="18"/>
                              <w:szCs w:val="18"/>
                            </w:rPr>
                            <w:t>核心问题均回答“否”</w:t>
                          </w:r>
                        </w:p>
                      </w:txbxContent>
                    </v:textbox>
                  </v:shape>
                  <v:shape id="直接箭头连接符 48" o:spid="_x0000_s1026" o:spt="32" type="#_x0000_t32" style="position:absolute;left:3309;top:4935;height:339;width:0;" filled="f" stroked="t" coordsize="21600,21600" o:gfxdata="UEsDBAoAAAAAAIdO4kAAAAAAAAAAAAAAAAAEAAAAZHJzL1BLAwQUAAAACACHTuJAcvbQsLgAAADb&#10;AAAADwAAAGRycy9kb3ducmV2LnhtbEVPzYrCMBC+C75DmAVva6riIt2mwgqCKIJGH2BoxrZsMylN&#10;tOrTm4Pg8eP7z5Z324gbdb52rGAyTkAQF87UXCo4n9bfCxA+IBtsHJOCB3lY5sNBhqlxPR/ppkMp&#10;Ygj7FBVUIbSplL6oyKIfu5Y4chfXWQwRdqU0HfYx3DZymiQ/0mLNsaHCllYVFf/6ahUUu8OMddvv&#10;z3/66rTeXrZPkkqNvibJL4hA9/ARv90bo2Ae18cv8QfI/A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vbQsLgAAADbAAAA&#10;DwAAAAAAAAABACAAAAAiAAAAZHJzL2Rvd25yZXYueG1sUEsBAhQAFAAAAAgAh07iQDMvBZ47AAAA&#10;OQAAABAAAAAAAAAAAQAgAAAABwEAAGRycy9zaGFwZXhtbC54bWxQSwUGAAAAAAYABgBbAQAAsQMA&#10;AAAA&#10;">
                    <v:fill on="f" focussize="0,0"/>
                    <v:stroke weight="2.25pt" color="#000000" joinstyle="round" endarrow="block"/>
                    <v:imagedata o:title=""/>
                    <o:lock v:ext="edit" aspectratio="f"/>
                  </v:shape>
                  <v:shape id="直接箭头连接符 49" o:spid="_x0000_s1026" o:spt="32" type="#_x0000_t32" style="position:absolute;left:7052;top:4935;height:339;width:0;" filled="f" stroked="t" coordsize="21600,21600" o:gfxdata="UEsDBAoAAAAAAIdO4kAAAAAAAAAAAAAAAAAEAAAAZHJzL1BLAwQUAAAACACHTuJAHbp1K7sAAADb&#10;AAAADwAAAGRycy9kb3ducmV2LnhtbEWP0YrCMBRE3wX/IVzBN5t2ZWXpGoUVhEVZ0OgHXJprW7a5&#10;KU206tcbQfBxmJkzzHx5tY24UOdrxwqyJAVBXDhTc6ngeFhPvkD4gGywcUwKbuRhuRgO5pgb1/Oe&#10;LjqUIkLY56igCqHNpfRFRRZ94lri6J1cZzFE2ZXSdNhHuG3kR5rOpMWa40KFLa0qKv712Sootrsp&#10;67b/O/7os9N6c9rcSSo1HmXpN4hA1/AOv9q/RsFnBs8v8Q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p1K7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文本框 50" o:spid="_x0000_s1026" o:spt="202" type="#_x0000_t202" style="position:absolute;left:6402;top:6698;height:837;width:2257;" filled="f" stroked="t" coordsize="21600,21600" o:gfxdata="UEsDBAoAAAAAAIdO4kAAAAAAAAAAAAAAAAAEAAAAZHJzL1BLAwQUAAAACACHTuJA8ncvGb4AAADb&#10;AAAADwAAAGRycy9kb3ducmV2LnhtbEWPwW7CMBBE70j9B2sr9UYcglpoiuEAVOqRpgGu23hJosbr&#10;KHZJytdjJKQeR7PzZmexGkwjztS52rKCSRSDIC6srrlUkH+9j+cgnEfW2FgmBX/kYLV8GC0w1bbn&#10;TzpnvhQBwi5FBZX3bSqlKyoy6CLbEgfvZDuDPsiulLrDPsBNI5M4fpEGaw4NFba0rqj4yX5NeCM5&#10;5tPNLqPZDL+nm+1l/3o6NEo9PU7iNxCeBv9/fE9/aAXPCdy2BAD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ncvG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spacing w:before="249" w:beforeLines="80"/>
                            <w:jc w:val="center"/>
                            <w:rPr>
                              <w:rFonts w:hint="eastAsia" w:ascii="宋体" w:hAnsi="宋体" w:eastAsia="宋体" w:cs="宋体"/>
                              <w:b/>
                              <w:sz w:val="18"/>
                              <w:szCs w:val="18"/>
                            </w:rPr>
                          </w:pPr>
                          <w:r>
                            <w:rPr>
                              <w:rFonts w:hint="eastAsia" w:ascii="宋体" w:hAnsi="宋体" w:eastAsia="宋体" w:cs="宋体"/>
                              <w:b/>
                              <w:sz w:val="18"/>
                              <w:szCs w:val="18"/>
                            </w:rPr>
                            <w:t>跌倒风险：低危</w:t>
                          </w:r>
                        </w:p>
                      </w:txbxContent>
                    </v:textbox>
                  </v:shape>
                  <v:shape id="文本框 51" o:spid="_x0000_s1026" o:spt="202" type="#_x0000_t202" style="position:absolute;left:2105;top:6768;height:783;width:2326;" filled="f" stroked="t" coordsize="21600,21600" o:gfxdata="UEsDBAoAAAAAAIdO4kAAAAAAAAAAAAAAAAAEAAAAZHJzL1BLAwQUAAAACACHTuJAnTuKgr4AAADb&#10;AAAADwAAAGRycy9kb3ducmV2LnhtbEWPwW7CMBBE75X4B2uRemsciFpKwHAgVOqRhrS9LvGSRMTr&#10;KHYD5evrSkgcR7PzZme5vphWDNS7xrKCSRSDIC6tbrhSUOzfnl5BOI+ssbVMCn7JwXo1elhiqu2Z&#10;P2jIfSUChF2KCmrvu1RKV9Zk0EW2Iw7e0fYGfZB9JXWP5wA3rZzG8Ys02HBoqLGjTU3lKf8x4Y3p&#10;d5Fku5xmMzwk2fb6OT9+tUo9jifxAoSni78f39LvWsFzAv9bAgD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TuKg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jc w:val="center"/>
                            <w:rPr>
                              <w:rFonts w:hint="eastAsia" w:ascii="宋体" w:hAnsi="宋体" w:eastAsia="宋体" w:cs="宋体"/>
                              <w:sz w:val="18"/>
                              <w:szCs w:val="18"/>
                            </w:rPr>
                          </w:pPr>
                          <w:r>
                            <w:rPr>
                              <w:rFonts w:hint="eastAsia" w:ascii="宋体" w:hAnsi="宋体" w:eastAsia="宋体" w:cs="宋体"/>
                              <w:sz w:val="18"/>
                              <w:szCs w:val="18"/>
                            </w:rPr>
                            <w:t>平衡功能测试：</w:t>
                          </w:r>
                        </w:p>
                        <w:p>
                          <w:pPr>
                            <w:jc w:val="center"/>
                            <w:rPr>
                              <w:rFonts w:hint="eastAsia" w:ascii="宋体" w:hAnsi="宋体" w:eastAsia="宋体" w:cs="宋体"/>
                              <w:sz w:val="18"/>
                              <w:szCs w:val="18"/>
                            </w:rPr>
                          </w:pPr>
                          <w:r>
                            <w:rPr>
                              <w:rFonts w:hint="eastAsia" w:ascii="宋体" w:hAnsi="宋体" w:eastAsia="宋体" w:cs="宋体"/>
                              <w:sz w:val="18"/>
                              <w:szCs w:val="18"/>
                              <w:lang w:val="en-US" w:eastAsia="zh-CN"/>
                            </w:rPr>
                            <w:t>3米“</w:t>
                          </w:r>
                          <w:r>
                            <w:rPr>
                              <w:rFonts w:hint="eastAsia" w:ascii="宋体" w:hAnsi="宋体" w:eastAsia="宋体" w:cs="宋体"/>
                              <w:sz w:val="18"/>
                              <w:szCs w:val="18"/>
                            </w:rPr>
                            <w:t>起立-行走</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往返</w:t>
                          </w:r>
                          <w:r>
                            <w:rPr>
                              <w:rFonts w:hint="eastAsia" w:ascii="宋体" w:hAnsi="宋体" w:eastAsia="宋体" w:cs="宋体"/>
                              <w:sz w:val="18"/>
                              <w:szCs w:val="18"/>
                            </w:rPr>
                            <w:t>计时测试</w:t>
                          </w:r>
                        </w:p>
                      </w:txbxContent>
                    </v:textbox>
                  </v:shape>
                  <v:shape id="文本框 52" o:spid="_x0000_s1026" o:spt="202" type="#_x0000_t202" style="position:absolute;left:4750;top:6736;height:783;width:1304;"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before="249" w:beforeLines="80"/>
                            <w:jc w:val="center"/>
                            <w:rPr>
                              <w:rFonts w:hint="eastAsia" w:ascii="宋体" w:hAnsi="宋体" w:eastAsia="宋体" w:cs="宋体"/>
                              <w:sz w:val="18"/>
                              <w:szCs w:val="18"/>
                            </w:rPr>
                          </w:pPr>
                          <w:r>
                            <w:rPr>
                              <w:rFonts w:hint="eastAsia" w:ascii="宋体" w:hAnsi="宋体" w:eastAsia="宋体" w:cs="宋体"/>
                              <w:sz w:val="18"/>
                              <w:szCs w:val="18"/>
                            </w:rPr>
                            <w:t>用时&lt;</w:t>
                          </w:r>
                          <w:r>
                            <w:rPr>
                              <w:rFonts w:hint="eastAsia" w:ascii="宋体" w:hAnsi="宋体" w:eastAsia="宋体" w:cs="宋体"/>
                              <w:sz w:val="18"/>
                              <w:szCs w:val="18"/>
                              <w:lang w:val="en-US" w:eastAsia="zh-CN"/>
                            </w:rPr>
                            <w:t>12</w:t>
                          </w:r>
                          <w:r>
                            <w:rPr>
                              <w:rFonts w:hint="eastAsia" w:ascii="宋体" w:hAnsi="宋体" w:eastAsia="宋体" w:cs="宋体"/>
                              <w:color w:val="333333"/>
                              <w:sz w:val="18"/>
                              <w:szCs w:val="18"/>
                              <w:shd w:val="clear" w:color="auto" w:fill="FFFFFF"/>
                            </w:rPr>
                            <w:t>秒</w:t>
                          </w:r>
                        </w:p>
                      </w:txbxContent>
                    </v:textbox>
                  </v:shape>
                  <v:shape id="直接箭头连接符 53" o:spid="_x0000_s1026" o:spt="32" type="#_x0000_t32" style="position:absolute;left:7037;top:6385;height:313;width:0;" filled="f" stroked="t" coordsize="21600,21600" o:gfxdata="UEsDBAoAAAAAAIdO4kAAAAAAAAAAAAAAAAAEAAAAZHJzL1BLAwQUAAAACACHTuJAYoFzKLwAAADb&#10;AAAADwAAAGRycy9kb3ducmV2LnhtbEWP0WrCQBRE3wv9h+UKvtWNlUhJXQULBYkIdesHXLLXJDR7&#10;N2TXJPr1riD0cZiZM8xqM9pG9NT52rGC+SwBQVw4U3Op4PT7/fYBwgdkg41jUnAlD5v168sKM+MG&#10;PlKvQykihH2GCqoQ2kxKX1Rk0c9cSxy9s+sshii7UpoOhwi3jXxPkqW0WHNcqLClr4qKP32xCor9&#10;z4J1OxxOW31xWufn/EZSqelknnyCCDSG//CzvTMK0hQeX+IP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Bcyi8AAAA&#10;2wAAAA8AAAAAAAAAAQAgAAAAIgAAAGRycy9kb3ducmV2LnhtbFBLAQIUABQAAAAIAIdO4kAzLwWe&#10;OwAAADkAAAAQAAAAAAAAAAEAIAAAAAsBAABkcnMvc2hhcGV4bWwueG1sUEsFBgAAAAAGAAYAWwEA&#10;ALUDAAAAAA==&#10;">
                    <v:fill on="f" focussize="0,0"/>
                    <v:stroke weight="2.25pt" color="#000000" joinstyle="round" endarrow="block"/>
                    <v:imagedata o:title=""/>
                    <o:lock v:ext="edit" aspectratio="f"/>
                  </v:shape>
                  <v:shape id="直接箭头连接符 54" o:spid="_x0000_s1026" o:spt="32" type="#_x0000_t32" style="position:absolute;left:3368;top:6363;height:339;width:0;" filled="f" stroked="t" coordsize="21600,21600" o:gfxdata="UEsDBAoAAAAAAIdO4kAAAAAAAAAAAAAAAAAEAAAAZHJzL1BLAwQUAAAACACHTuJAklPtX7sAAADb&#10;AAAADwAAAGRycy9kb3ducmV2LnhtbEWP0YrCMBRE3wX/IVzBN01dWZFqWlBYEEXYjX7Apbm2xeam&#10;NNGqX28WFvZxmJkzzDp/2EbcqfO1YwWzaQKCuHCm5lLB+fQ1WYLwAdlg45gUPMlDng0Ha0yN6/mH&#10;7jqUIkLYp6igCqFNpfRFRRb91LXE0bu4zmKIsiul6bCPcNvIjyRZSIs1x4UKW9pWVFz1zSooDt9z&#10;1m1/PG/0zWm9v+xfJJUaj2bJCkSgR/gP/7V3RsHnAn6/xB8gs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lPtX7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直接箭头连接符 55" o:spid="_x0000_s1026" o:spt="32" type="#_x0000_t32" style="position:absolute;left:4413;top:7129;height:0;width:363;" filled="f" stroked="t" coordsize="21600,21600" o:gfxdata="UEsDBAoAAAAAAIdO4kAAAAAAAAAAAAAAAAAEAAAAZHJzL1BLAwQUAAAACACHTuJA/R9IxL0AAADb&#10;AAAADwAAAGRycy9kb3ducmV2LnhtbEWP3WrCQBSE7wt9h+UUelc3KrYlugoKgkSEdusDHLLHJJg9&#10;G7Kbn/r0rlDo5TAz3zCrzWhr0VPrK8cKppMEBHHuTMWFgvPP/u0ThA/IBmvHpOCXPGzWz08rTI0b&#10;+Jt6HQoRIexTVFCG0KRS+rwki37iGuLoXVxrMUTZFtK0OES4reUsSd6lxYrjQokN7UrKr7qzCvLj&#10;15x1M5zOW905rbNLdiOp1OvLNFmCCDSG//Bf+2AULD7g8SX+AL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H0jEvQAA&#10;ANsAAAAPAAAAAAAAAAEAIAAAACIAAABkcnMvZG93bnJldi54bWxQSwECFAAUAAAACACHTuJAMy8F&#10;njsAAAA5AAAAEAAAAAAAAAABACAAAAAMAQAAZHJzL3NoYXBleG1sLnhtbFBLBQYAAAAABgAGAFsB&#10;AAC2AwAAAAA=&#10;">
                    <v:fill on="f" focussize="0,0"/>
                    <v:stroke weight="2.25pt" color="#000000" joinstyle="round" endarrow="block"/>
                    <v:imagedata o:title=""/>
                    <o:lock v:ext="edit" aspectratio="f"/>
                  </v:shape>
                  <v:shape id="直接箭头连接符 56" o:spid="_x0000_s1026" o:spt="32" type="#_x0000_t32" style="position:absolute;left:6036;top:7129;height:0;width:363;" filled="f" stroked="t" coordsize="21600,21600" o:gfxdata="UEsDBAoAAAAAAIdO4kAAAAAAAAAAAAAAAAAEAAAAZHJzL1BLAwQUAAAACACHTuJAjIDctrgAAADb&#10;AAAADwAAAGRycy9kb3ducmV2LnhtbEVPzYrCMBC+C75DmAVva6riIt2mwgqCKIJGH2BoxrZsMylN&#10;tOrTm4Pg8eP7z5Z324gbdb52rGAyTkAQF87UXCo4n9bfCxA+IBtsHJOCB3lY5sNBhqlxPR/ppkMp&#10;Ygj7FBVUIbSplL6oyKIfu5Y4chfXWQwRdqU0HfYx3DZymiQ/0mLNsaHCllYVFf/6ahUUu8OMddvv&#10;z3/66rTeXrZPkkqNvibJL4hA9/ARv90bo2Aex8Yv8QfI/A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IDctrgAAADbAAAA&#10;DwAAAAAAAAABACAAAAAiAAAAZHJzL2Rvd25yZXYueG1sUEsBAhQAFAAAAAgAh07iQDMvBZ47AAAA&#10;OQAAABAAAAAAAAAAAQAgAAAABwEAAGRycy9zaGFwZXhtbC54bWxQSwUGAAAAAAYABgBbAQAAsQMA&#10;AAAA&#10;">
                    <v:fill on="f" focussize="0,0"/>
                    <v:stroke weight="2.25pt" color="#000000" joinstyle="round" endarrow="block"/>
                    <v:imagedata o:title=""/>
                    <o:lock v:ext="edit" aspectratio="f"/>
                  </v:shape>
                  <v:shape id="直接箭头连接符 57" o:spid="_x0000_s1026" o:spt="32" type="#_x0000_t32" style="position:absolute;left:3370;top:7541;height:339;width:0;" filled="f" stroked="t" coordsize="21600,21600" o:gfxdata="UEsDBAoAAAAAAIdO4kAAAAAAAAAAAAAAAAAEAAAAZHJzL1BLAwQUAAAACACHTuJA09a/lrsAAADb&#10;AAAADwAAAGRycy9kb3ducmV2LnhtbEWP0YrCMBRE3xf8h3CFfVvTKshSTQsKgijCbvQDLs21LTY3&#10;pYlW9+vNguDjMDNnmGVxt624Ue8bxwrSSQKCuHSm4UrB6bj5+gbhA7LB1jEpeJCHIh99LDEzbuBf&#10;uulQiQhhn6GCOoQuk9KXNVn0E9cRR+/seoshyr6Spschwm0rp0kylxYbjgs1drSuqbzoq1VQ7n9m&#10;rLvhcFrpq9N6d979kVTqc5wmCxCB7uEdfrW3RsE8hf8v8QfI/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9a/lrsAAADb&#10;AAAADwAAAAAAAAABACAAAAAiAAAAZHJzL2Rvd25yZXYueG1sUEsBAhQAFAAAAAgAh07iQDMvBZ47&#10;AAAAOQAAABAAAAAAAAAAAQAgAAAACgEAAGRycy9zaGFwZXhtbC54bWxQSwUGAAAAAAYABgBbAQAA&#10;tAMAAAAA&#10;">
                    <v:fill on="f" focussize="0,0"/>
                    <v:stroke weight="2.25pt" color="#000000" joinstyle="round" endarrow="block"/>
                    <v:imagedata o:title=""/>
                    <o:lock v:ext="edit" aspectratio="f"/>
                  </v:shape>
                  <v:shape id="文本框 58" o:spid="_x0000_s1026" o:spt="202" type="#_x0000_t202" style="position:absolute;left:2736;top:7880;height:783;width:1417;"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spacing w:before="249" w:beforeLines="80"/>
                            <w:rPr>
                              <w:rFonts w:hint="eastAsia" w:ascii="宋体" w:hAnsi="宋体" w:eastAsia="宋体" w:cs="宋体"/>
                              <w:sz w:val="18"/>
                              <w:szCs w:val="18"/>
                            </w:rPr>
                          </w:pPr>
                          <w:r>
                            <w:rPr>
                              <w:rFonts w:hint="eastAsia" w:ascii="宋体" w:hAnsi="宋体" w:eastAsia="宋体" w:cs="宋体"/>
                              <w:sz w:val="18"/>
                              <w:szCs w:val="18"/>
                            </w:rPr>
                            <w:t>用时≥</w:t>
                          </w:r>
                          <w:r>
                            <w:rPr>
                              <w:rFonts w:hint="eastAsia" w:ascii="宋体" w:hAnsi="宋体" w:eastAsia="宋体" w:cs="宋体"/>
                              <w:color w:val="333333"/>
                              <w:sz w:val="18"/>
                              <w:szCs w:val="18"/>
                              <w:shd w:val="clear" w:color="auto" w:fill="FFFFFF"/>
                            </w:rPr>
                            <w:t>12秒</w:t>
                          </w:r>
                        </w:p>
                      </w:txbxContent>
                    </v:textbox>
                  </v:shape>
                </v:group>
                <w10:wrap type="none"/>
                <w10:anchorlock/>
              </v:group>
            </w:pict>
          </mc:Fallback>
        </mc:AlternateContent>
      </w:r>
    </w:p>
    <w:p>
      <w:pPr>
        <w:pStyle w:val="74"/>
        <w:spacing w:before="156" w:after="156"/>
        <w:rPr>
          <w:rFonts w:hint="default"/>
          <w:lang w:val="en-US" w:eastAsia="zh-CN"/>
        </w:rPr>
      </w:pPr>
      <w:r>
        <w:rPr>
          <w:rFonts w:hint="eastAsia"/>
          <w:lang w:val="en-US" w:eastAsia="zh-CN"/>
        </w:rPr>
        <w:t xml:space="preserve"> 跌倒风险评估流程</w:t>
      </w:r>
    </w:p>
    <w:p>
      <w:pPr>
        <w:pStyle w:val="51"/>
      </w:pPr>
    </w:p>
    <w:p>
      <w:pPr>
        <w:pStyle w:val="51"/>
        <w:sectPr>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30" w:name="_Toc11045"/>
      <w:bookmarkStart w:id="131" w:name="_Toc674"/>
      <w:bookmarkStart w:id="132" w:name="_Toc11912"/>
      <w:bookmarkStart w:id="133" w:name="_Toc14797"/>
      <w:bookmarkStart w:id="134" w:name="_Toc20823"/>
      <w:bookmarkStart w:id="135" w:name="_Toc22638"/>
      <w:r>
        <w:rPr>
          <w:rFonts w:hint="eastAsia" w:ascii="黑体" w:hAnsi="黑体" w:eastAsia="黑体" w:cs="黑体"/>
          <w:sz w:val="21"/>
          <w:szCs w:val="21"/>
          <w:lang w:val="en-US" w:eastAsia="zh-CN"/>
        </w:rPr>
        <w:t>附  录  B</w:t>
      </w:r>
      <w:bookmarkEnd w:id="130"/>
      <w:bookmarkEnd w:id="131"/>
      <w:bookmarkEnd w:id="132"/>
      <w:bookmarkEnd w:id="133"/>
      <w:bookmarkEnd w:id="134"/>
      <w:bookmarkEnd w:id="135"/>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36" w:name="_Toc32512"/>
      <w:bookmarkStart w:id="137" w:name="_Toc1736"/>
      <w:bookmarkStart w:id="138" w:name="_Toc10968"/>
      <w:bookmarkStart w:id="139" w:name="_Toc32195"/>
      <w:bookmarkStart w:id="140" w:name="_Toc24823"/>
      <w:bookmarkStart w:id="141" w:name="_Toc20551"/>
      <w:bookmarkStart w:id="142" w:name="_Toc22927"/>
      <w:r>
        <w:rPr>
          <w:rFonts w:hint="eastAsia" w:ascii="黑体" w:hAnsi="黑体" w:eastAsia="黑体" w:cs="黑体"/>
          <w:sz w:val="21"/>
          <w:szCs w:val="21"/>
          <w:lang w:val="en-US" w:eastAsia="zh-CN"/>
        </w:rPr>
        <w:t>（资料性）</w:t>
      </w:r>
      <w:bookmarkEnd w:id="136"/>
      <w:bookmarkEnd w:id="137"/>
      <w:bookmarkEnd w:id="138"/>
      <w:bookmarkEnd w:id="139"/>
      <w:bookmarkEnd w:id="140"/>
      <w:bookmarkEnd w:id="141"/>
      <w:bookmarkEnd w:id="142"/>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143" w:name="_Toc25020"/>
      <w:bookmarkStart w:id="144" w:name="_Toc15210"/>
      <w:bookmarkStart w:id="145" w:name="_Toc954"/>
      <w:bookmarkStart w:id="146" w:name="_Toc1442"/>
      <w:bookmarkStart w:id="147" w:name="_Toc16605"/>
      <w:bookmarkStart w:id="148" w:name="_Toc13786"/>
      <w:r>
        <w:rPr>
          <w:rFonts w:hint="eastAsia" w:ascii="黑体" w:hAnsi="黑体" w:eastAsia="黑体"/>
          <w:color w:val="000000"/>
          <w:sz w:val="21"/>
          <w:szCs w:val="21"/>
          <w:lang w:val="en-US" w:eastAsia="zh-CN"/>
        </w:rPr>
        <w:t>老年人跌倒风险评估问卷</w:t>
      </w:r>
      <w:bookmarkEnd w:id="143"/>
      <w:bookmarkEnd w:id="144"/>
      <w:bookmarkEnd w:id="145"/>
      <w:bookmarkEnd w:id="146"/>
      <w:bookmarkEnd w:id="147"/>
      <w:bookmarkEnd w:id="148"/>
    </w:p>
    <w:p>
      <w:pPr>
        <w:spacing w:before="157" w:beforeLines="50" w:after="157" w:afterLines="50"/>
        <w:jc w:val="left"/>
        <w:outlineLvl w:val="0"/>
        <w:rPr>
          <w:rFonts w:hint="eastAsia" w:ascii="黑体" w:hAnsi="黑体" w:eastAsia="黑体" w:cs="黑体"/>
          <w:b w:val="0"/>
          <w:bCs w:val="0"/>
          <w:kern w:val="28"/>
          <w:sz w:val="21"/>
          <w:szCs w:val="21"/>
          <w:lang w:val="en-US" w:eastAsia="zh-CN" w:bidi="ar-SA"/>
        </w:rPr>
      </w:pPr>
      <w:bookmarkStart w:id="149" w:name="_Toc5682"/>
      <w:bookmarkStart w:id="150" w:name="_Toc3030"/>
      <w:bookmarkStart w:id="151" w:name="_Toc18545"/>
      <w:bookmarkStart w:id="152" w:name="_Toc18049"/>
      <w:bookmarkStart w:id="153" w:name="_Toc22734"/>
      <w:bookmarkStart w:id="154" w:name="_Toc11435"/>
      <w:bookmarkStart w:id="155" w:name="_Toc26880"/>
      <w:r>
        <w:rPr>
          <w:rFonts w:hint="eastAsia" w:ascii="黑体" w:hAnsi="黑体" w:eastAsia="黑体" w:cs="黑体"/>
          <w:b w:val="0"/>
          <w:bCs w:val="0"/>
          <w:kern w:val="28"/>
          <w:sz w:val="21"/>
          <w:szCs w:val="21"/>
          <w:lang w:val="en-US" w:eastAsia="zh-CN" w:bidi="ar-SA"/>
        </w:rPr>
        <w:t>B.1  基本信息</w:t>
      </w:r>
      <w:bookmarkEnd w:id="149"/>
      <w:bookmarkEnd w:id="150"/>
      <w:bookmarkEnd w:id="151"/>
      <w:bookmarkEnd w:id="152"/>
      <w:bookmarkEnd w:id="153"/>
      <w:bookmarkEnd w:id="154"/>
      <w:bookmarkEnd w:id="155"/>
    </w:p>
    <w:p>
      <w:pPr>
        <w:pStyle w:val="11"/>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ascii="黑体" w:hAnsi="黑体" w:eastAsia="黑体"/>
        </w:rPr>
      </w:pPr>
      <w:r>
        <w:rPr>
          <w:rFonts w:hint="eastAsia"/>
          <w:lang w:val="en-US" w:eastAsia="zh-CN"/>
        </w:rPr>
        <w:t>苏州市老年人跌倒风险评估问卷的基本信息登记表见表B.1。</w:t>
      </w:r>
    </w:p>
    <w:p>
      <w:pPr>
        <w:adjustRightInd w:val="0"/>
        <w:snapToGrid w:val="0"/>
        <w:spacing w:before="157" w:beforeLines="50" w:after="157" w:afterLines="50"/>
        <w:jc w:val="center"/>
        <w:rPr>
          <w:rFonts w:hint="eastAsia" w:ascii="黑体" w:hAnsi="黑体" w:eastAsia="黑体" w:cs="黑体"/>
          <w:b w:val="0"/>
          <w:bCs/>
          <w:sz w:val="21"/>
          <w:szCs w:val="21"/>
          <w:lang w:val="en-US" w:eastAsia="zh-CN"/>
        </w:rPr>
      </w:pPr>
      <w:r>
        <w:rPr>
          <w:rFonts w:hint="eastAsia" w:ascii="黑体" w:hAnsi="黑体" w:eastAsia="黑体" w:cs="黑体"/>
          <w:b w:val="0"/>
          <w:bCs/>
          <w:kern w:val="2"/>
          <w:sz w:val="21"/>
          <w:szCs w:val="21"/>
          <w:lang w:val="en-US" w:eastAsia="zh-CN" w:bidi="ar-SA"/>
        </w:rPr>
        <w:t>表B.1  基本信息登记表</w:t>
      </w:r>
    </w:p>
    <w:tbl>
      <w:tblPr>
        <w:tblStyle w:val="20"/>
        <w:tblW w:w="9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80"/>
        <w:gridCol w:w="1440"/>
        <w:gridCol w:w="2565"/>
        <w:gridCol w:w="3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80" w:type="dxa"/>
            <w:tcBorders>
              <w:top w:val="single" w:color="auto" w:sz="4" w:space="0"/>
            </w:tcBorders>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 w:val="0"/>
                <w:bCs/>
                <w:sz w:val="18"/>
                <w:szCs w:val="18"/>
              </w:rPr>
            </w:pPr>
            <w:r>
              <w:rPr>
                <w:rFonts w:hint="eastAsia" w:ascii="宋体" w:hAnsi="宋体" w:eastAsia="宋体" w:cs="宋体"/>
                <w:b w:val="0"/>
                <w:bCs/>
                <w:sz w:val="18"/>
                <w:szCs w:val="18"/>
              </w:rPr>
              <w:t>姓名：</w:t>
            </w:r>
            <w:r>
              <w:rPr>
                <w:rFonts w:hint="eastAsia" w:ascii="宋体" w:hAnsi="宋体" w:cs="宋体"/>
                <w:b w:val="0"/>
                <w:bCs/>
                <w:sz w:val="18"/>
                <w:szCs w:val="18"/>
                <w:lang w:val="en-US" w:eastAsia="zh-CN"/>
              </w:rPr>
              <w:t>________</w:t>
            </w:r>
          </w:p>
        </w:tc>
        <w:tc>
          <w:tcPr>
            <w:tcW w:w="4005" w:type="dxa"/>
            <w:gridSpan w:val="2"/>
            <w:tcBorders>
              <w:top w:val="single" w:color="auto" w:sz="4" w:space="0"/>
            </w:tcBorders>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 w:val="0"/>
                <w:bCs/>
                <w:sz w:val="18"/>
                <w:szCs w:val="18"/>
              </w:rPr>
            </w:pPr>
            <w:r>
              <w:rPr>
                <w:rFonts w:hint="eastAsia" w:ascii="宋体" w:hAnsi="宋体" w:eastAsia="宋体" w:cs="宋体"/>
                <w:b w:val="0"/>
                <w:bCs/>
                <w:sz w:val="18"/>
                <w:szCs w:val="18"/>
              </w:rPr>
              <w:t>性别：</w:t>
            </w:r>
            <w:r>
              <w:rPr>
                <w:rFonts w:hint="eastAsia" w:ascii="宋体" w:hAnsi="宋体" w:eastAsia="宋体" w:cs="宋体"/>
                <w:bCs/>
                <w:sz w:val="18"/>
                <w:szCs w:val="18"/>
              </w:rPr>
              <w:t>①男  ②女</w:t>
            </w:r>
          </w:p>
        </w:tc>
        <w:tc>
          <w:tcPr>
            <w:tcW w:w="3238" w:type="dxa"/>
            <w:tcBorders>
              <w:top w:val="single" w:color="auto" w:sz="4" w:space="0"/>
            </w:tcBorders>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Cs/>
                <w:sz w:val="18"/>
                <w:szCs w:val="18"/>
              </w:rPr>
            </w:pPr>
            <w:r>
              <w:rPr>
                <w:rFonts w:hint="eastAsia" w:ascii="宋体" w:hAnsi="宋体" w:eastAsia="宋体" w:cs="宋体"/>
                <w:b w:val="0"/>
                <w:bCs/>
                <w:sz w:val="18"/>
                <w:szCs w:val="18"/>
              </w:rPr>
              <w:t>电话：</w:t>
            </w:r>
            <w:r>
              <w:rPr>
                <w:rFonts w:hint="eastAsia" w:ascii="宋体" w:hAnsi="宋体" w:cs="宋体"/>
                <w:b w:val="0"/>
                <w:bCs/>
                <w:sz w:val="18"/>
                <w:szCs w:val="18"/>
                <w:lang w:val="en-US" w:eastAsia="zh-CN"/>
              </w:rPr>
              <w:t>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420" w:type="dxa"/>
            <w:gridSpan w:val="2"/>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 w:val="0"/>
                <w:bCs/>
                <w:sz w:val="18"/>
                <w:szCs w:val="18"/>
                <w:u w:val="none"/>
              </w:rPr>
            </w:pPr>
            <w:r>
              <w:rPr>
                <w:rFonts w:hint="eastAsia" w:ascii="宋体" w:hAnsi="宋体" w:eastAsia="宋体" w:cs="宋体"/>
                <w:b w:val="0"/>
                <w:bCs/>
                <w:sz w:val="18"/>
                <w:szCs w:val="18"/>
              </w:rPr>
              <w:t>出生年月：</w:t>
            </w:r>
            <w:r>
              <w:rPr>
                <w:rFonts w:hint="eastAsia" w:ascii="宋体" w:hAnsi="宋体" w:cs="宋体"/>
                <w:b w:val="0"/>
                <w:bCs/>
                <w:sz w:val="18"/>
                <w:szCs w:val="18"/>
                <w:lang w:val="en-US" w:eastAsia="zh-CN"/>
              </w:rPr>
              <w:t>_____</w:t>
            </w:r>
            <w:r>
              <w:rPr>
                <w:rFonts w:hint="eastAsia" w:ascii="宋体" w:hAnsi="宋体" w:eastAsia="宋体" w:cs="宋体"/>
                <w:b w:val="0"/>
                <w:bCs/>
                <w:sz w:val="18"/>
                <w:szCs w:val="18"/>
              </w:rPr>
              <w:t>年</w:t>
            </w:r>
            <w:r>
              <w:rPr>
                <w:rFonts w:hint="eastAsia" w:ascii="宋体" w:hAnsi="宋体" w:cs="宋体"/>
                <w:b w:val="0"/>
                <w:bCs/>
                <w:sz w:val="18"/>
                <w:szCs w:val="18"/>
                <w:lang w:val="en-US" w:eastAsia="zh-CN"/>
              </w:rPr>
              <w:t>_____</w:t>
            </w:r>
            <w:r>
              <w:rPr>
                <w:rFonts w:hint="eastAsia" w:ascii="宋体" w:hAnsi="宋体" w:eastAsia="宋体" w:cs="宋体"/>
                <w:b w:val="0"/>
                <w:bCs/>
                <w:sz w:val="18"/>
                <w:szCs w:val="18"/>
              </w:rPr>
              <w:t>月</w:t>
            </w:r>
            <w:r>
              <w:rPr>
                <w:rFonts w:hint="eastAsia" w:ascii="宋体" w:hAnsi="宋体" w:cs="宋体"/>
                <w:b w:val="0"/>
                <w:bCs/>
                <w:sz w:val="18"/>
                <w:szCs w:val="18"/>
                <w:lang w:val="en-US" w:eastAsia="zh-CN"/>
              </w:rPr>
              <w:t>_____</w:t>
            </w:r>
            <w:r>
              <w:rPr>
                <w:rFonts w:hint="eastAsia" w:ascii="宋体" w:hAnsi="宋体" w:eastAsia="宋体" w:cs="宋体"/>
                <w:b w:val="0"/>
                <w:bCs/>
                <w:sz w:val="18"/>
                <w:szCs w:val="18"/>
              </w:rPr>
              <w:t>日</w:t>
            </w:r>
          </w:p>
        </w:tc>
        <w:tc>
          <w:tcPr>
            <w:tcW w:w="5803" w:type="dxa"/>
            <w:gridSpan w:val="2"/>
            <w:noWrap w:val="0"/>
            <w:tcMar>
              <w:top w:w="9" w:type="dxa"/>
              <w:left w:w="9" w:type="dxa"/>
              <w:bottom w:w="0" w:type="dxa"/>
              <w:right w:w="9" w:type="dxa"/>
            </w:tcMar>
            <w:vAlign w:val="center"/>
          </w:tcPr>
          <w:p>
            <w:pPr>
              <w:widowControl/>
              <w:ind w:firstLine="0" w:firstLineChars="0"/>
              <w:jc w:val="left"/>
              <w:rPr>
                <w:rFonts w:hint="default" w:ascii="宋体" w:hAnsi="宋体" w:eastAsia="宋体" w:cs="宋体"/>
                <w:bCs/>
                <w:sz w:val="18"/>
                <w:szCs w:val="18"/>
                <w:lang w:val="en-US" w:eastAsia="zh-CN"/>
              </w:rPr>
            </w:pPr>
            <w:r>
              <w:rPr>
                <w:rFonts w:hint="eastAsia" w:ascii="宋体" w:hAnsi="宋体" w:eastAsia="宋体" w:cs="宋体"/>
                <w:b w:val="0"/>
                <w:bCs/>
                <w:sz w:val="18"/>
                <w:szCs w:val="18"/>
              </w:rPr>
              <w:t>身高：</w:t>
            </w:r>
            <w:r>
              <w:rPr>
                <w:rFonts w:hint="eastAsia" w:ascii="宋体" w:hAnsi="宋体" w:cs="宋体"/>
                <w:b w:val="0"/>
                <w:bCs/>
                <w:sz w:val="18"/>
                <w:szCs w:val="18"/>
                <w:lang w:val="en-US" w:eastAsia="zh-CN"/>
              </w:rPr>
              <w:t>________</w:t>
            </w:r>
            <w:r>
              <w:rPr>
                <w:rFonts w:hint="eastAsia" w:ascii="宋体" w:hAnsi="宋体" w:eastAsia="宋体" w:cs="宋体"/>
                <w:b w:val="0"/>
                <w:bCs/>
                <w:sz w:val="18"/>
                <w:szCs w:val="18"/>
                <w:u w:val="none"/>
              </w:rPr>
              <w:t xml:space="preserve"> </w:t>
            </w:r>
            <w:r>
              <w:rPr>
                <w:rFonts w:hint="eastAsia" w:ascii="宋体" w:hAnsi="宋体" w:eastAsia="宋体" w:cs="宋体"/>
                <w:bCs/>
                <w:sz w:val="18"/>
                <w:szCs w:val="18"/>
              </w:rPr>
              <w:t xml:space="preserve">cm     </w:t>
            </w:r>
            <w:r>
              <w:rPr>
                <w:rFonts w:hint="eastAsia" w:ascii="宋体" w:hAnsi="宋体" w:eastAsia="宋体" w:cs="宋体"/>
                <w:b w:val="0"/>
                <w:bCs/>
                <w:sz w:val="18"/>
                <w:szCs w:val="18"/>
              </w:rPr>
              <w:t>体重：</w:t>
            </w:r>
            <w:r>
              <w:rPr>
                <w:rFonts w:hint="eastAsia" w:ascii="宋体" w:hAnsi="宋体" w:cs="宋体"/>
                <w:b w:val="0"/>
                <w:bCs/>
                <w:sz w:val="18"/>
                <w:szCs w:val="18"/>
                <w:lang w:val="en-US" w:eastAsia="zh-CN"/>
              </w:rPr>
              <w:t>________</w:t>
            </w:r>
            <w:r>
              <w:rPr>
                <w:rFonts w:hint="eastAsia" w:ascii="宋体" w:hAnsi="宋体" w:eastAsia="宋体" w:cs="宋体"/>
                <w:b w:val="0"/>
                <w:bCs/>
                <w:sz w:val="18"/>
                <w:szCs w:val="18"/>
                <w:u w:val="none"/>
              </w:rPr>
              <w:t xml:space="preserve"> </w:t>
            </w:r>
            <w:r>
              <w:rPr>
                <w:rFonts w:hint="eastAsia" w:ascii="宋体" w:hAnsi="宋体" w:eastAsia="宋体" w:cs="宋体"/>
                <w:bCs/>
                <w:sz w:val="18"/>
                <w:szCs w:val="18"/>
              </w:rPr>
              <w:t>kg</w:t>
            </w:r>
            <w:r>
              <w:rPr>
                <w:rFonts w:hint="eastAsia" w:ascii="宋体" w:hAnsi="宋体" w:cs="宋体"/>
                <w:bCs/>
                <w:sz w:val="18"/>
                <w:szCs w:val="18"/>
                <w:lang w:val="en-US" w:eastAsia="zh-CN"/>
              </w:rPr>
              <w:t xml:space="preserve">   腰围：</w:t>
            </w:r>
            <w:r>
              <w:rPr>
                <w:rFonts w:hint="eastAsia" w:ascii="宋体" w:hAnsi="宋体" w:cs="宋体"/>
                <w:b w:val="0"/>
                <w:bCs/>
                <w:sz w:val="18"/>
                <w:szCs w:val="18"/>
                <w:lang w:val="en-US" w:eastAsia="zh-CN"/>
              </w:rPr>
              <w:t>_____ 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23" w:type="dxa"/>
            <w:gridSpan w:val="4"/>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 w:val="0"/>
                <w:bCs/>
                <w:sz w:val="18"/>
                <w:szCs w:val="18"/>
              </w:rPr>
            </w:pPr>
            <w:r>
              <w:rPr>
                <w:rFonts w:hint="eastAsia" w:ascii="宋体" w:hAnsi="宋体" w:cs="宋体"/>
                <w:bCs/>
                <w:sz w:val="18"/>
                <w:szCs w:val="18"/>
              </w:rPr>
              <w:t>照料方式：①自理   ②亲属照顾   ③护工/保姆照顾   ④其他_____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23" w:type="dxa"/>
            <w:gridSpan w:val="4"/>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Cs/>
                <w:sz w:val="18"/>
                <w:szCs w:val="18"/>
              </w:rPr>
            </w:pPr>
            <w:r>
              <w:rPr>
                <w:rFonts w:hint="eastAsia" w:ascii="宋体" w:hAnsi="宋体" w:eastAsia="宋体" w:cs="宋体"/>
                <w:b w:val="0"/>
                <w:bCs/>
                <w:sz w:val="18"/>
                <w:szCs w:val="18"/>
              </w:rPr>
              <w:t>居住情况</w:t>
            </w:r>
            <w:r>
              <w:rPr>
                <w:rFonts w:hint="eastAsia" w:ascii="宋体" w:hAnsi="宋体" w:eastAsia="宋体" w:cs="宋体"/>
                <w:b w:val="0"/>
                <w:bCs/>
                <w:sz w:val="18"/>
                <w:szCs w:val="18"/>
                <w:lang w:eastAsia="zh-CN"/>
              </w:rPr>
              <w:t>：</w:t>
            </w:r>
            <w:r>
              <w:rPr>
                <w:rFonts w:hint="eastAsia" w:ascii="宋体" w:hAnsi="宋体" w:eastAsia="宋体" w:cs="宋体"/>
                <w:bCs/>
                <w:sz w:val="18"/>
                <w:szCs w:val="18"/>
              </w:rPr>
              <w:t>①独居   ②与老伴两人同住   ③一家人（子女）同住   ④其它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23" w:type="dxa"/>
            <w:gridSpan w:val="4"/>
            <w:noWrap w:val="0"/>
            <w:tcMar>
              <w:top w:w="9" w:type="dxa"/>
              <w:left w:w="9" w:type="dxa"/>
              <w:bottom w:w="0" w:type="dxa"/>
              <w:right w:w="9" w:type="dxa"/>
            </w:tcMar>
            <w:vAlign w:val="center"/>
          </w:tcPr>
          <w:p>
            <w:pPr>
              <w:pStyle w:val="28"/>
              <w:ind w:firstLine="180" w:firstLineChars="100"/>
              <w:jc w:val="left"/>
              <w:rPr>
                <w:rFonts w:hint="eastAsia" w:ascii="宋体" w:hAnsi="宋体" w:eastAsia="宋体" w:cs="宋体"/>
                <w:b w:val="0"/>
                <w:bCs/>
                <w:sz w:val="18"/>
                <w:szCs w:val="18"/>
              </w:rPr>
            </w:pPr>
            <w:r>
              <w:rPr>
                <w:rFonts w:hint="eastAsia" w:ascii="宋体" w:hAnsi="宋体" w:cs="宋体"/>
                <w:bCs/>
                <w:sz w:val="18"/>
                <w:szCs w:val="18"/>
              </w:rPr>
              <w:t>拐杖/助行器使用情况：①使用   ②不使用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9223" w:type="dxa"/>
            <w:gridSpan w:val="4"/>
            <w:noWrap w:val="0"/>
            <w:tcMar>
              <w:top w:w="9" w:type="dxa"/>
              <w:left w:w="9" w:type="dxa"/>
              <w:bottom w:w="0" w:type="dxa"/>
              <w:right w:w="9" w:type="dxa"/>
            </w:tcMar>
            <w:vAlign w:val="center"/>
          </w:tcPr>
          <w:p>
            <w:pPr>
              <w:widowControl/>
              <w:ind w:firstLine="180" w:firstLineChars="100"/>
              <w:jc w:val="left"/>
              <w:rPr>
                <w:rFonts w:hint="eastAsia" w:ascii="宋体" w:hAnsi="宋体" w:eastAsia="宋体" w:cs="宋体"/>
                <w:bCs/>
                <w:sz w:val="18"/>
                <w:szCs w:val="18"/>
              </w:rPr>
            </w:pPr>
            <w:r>
              <w:rPr>
                <w:rFonts w:hint="eastAsia" w:ascii="宋体" w:hAnsi="宋体" w:eastAsia="宋体" w:cs="宋体"/>
                <w:b w:val="0"/>
                <w:bCs/>
                <w:sz w:val="18"/>
                <w:szCs w:val="18"/>
              </w:rPr>
              <w:t>文化程度</w:t>
            </w:r>
            <w:r>
              <w:rPr>
                <w:rFonts w:hint="eastAsia" w:ascii="宋体" w:hAnsi="宋体" w:eastAsia="宋体" w:cs="宋体"/>
                <w:b w:val="0"/>
                <w:bCs/>
                <w:sz w:val="18"/>
                <w:szCs w:val="18"/>
                <w:lang w:eastAsia="zh-CN"/>
              </w:rPr>
              <w:t>：</w:t>
            </w:r>
            <w:r>
              <w:rPr>
                <w:rFonts w:hint="eastAsia" w:ascii="宋体" w:hAnsi="宋体" w:eastAsia="宋体" w:cs="宋体"/>
                <w:bCs/>
                <w:sz w:val="18"/>
                <w:szCs w:val="18"/>
              </w:rPr>
              <w:t>①文盲或半文盲 ②小学 ③初中 ④高中/中专  ⑤大专及大专以上</w:t>
            </w:r>
          </w:p>
        </w:tc>
      </w:tr>
    </w:tbl>
    <w:p>
      <w:pPr>
        <w:spacing w:before="157" w:beforeLines="50" w:after="157" w:afterLines="50"/>
        <w:jc w:val="left"/>
        <w:outlineLvl w:val="0"/>
        <w:rPr>
          <w:rFonts w:hint="eastAsia" w:ascii="黑体" w:hAnsi="黑体" w:eastAsia="黑体" w:cs="黑体"/>
          <w:b w:val="0"/>
          <w:kern w:val="28"/>
          <w:sz w:val="21"/>
          <w:szCs w:val="21"/>
          <w:lang w:val="en-US" w:eastAsia="zh-CN"/>
        </w:rPr>
      </w:pPr>
      <w:bookmarkStart w:id="156" w:name="_Toc28792"/>
      <w:bookmarkStart w:id="157" w:name="_Toc5161"/>
      <w:bookmarkStart w:id="158" w:name="_Toc16806"/>
      <w:bookmarkStart w:id="159" w:name="_Toc31285"/>
      <w:bookmarkStart w:id="160" w:name="_Toc22479"/>
      <w:bookmarkStart w:id="161" w:name="_Toc17862"/>
      <w:bookmarkStart w:id="162" w:name="_Toc27750"/>
      <w:bookmarkStart w:id="163" w:name="_Toc22533"/>
      <w:bookmarkStart w:id="164" w:name="_Toc7896"/>
      <w:bookmarkStart w:id="165" w:name="_Toc28074"/>
      <w:r>
        <w:rPr>
          <w:rFonts w:hint="eastAsia" w:ascii="黑体" w:hAnsi="黑体" w:eastAsia="黑体" w:cs="黑体"/>
          <w:b w:val="0"/>
          <w:bCs w:val="0"/>
          <w:kern w:val="28"/>
          <w:sz w:val="21"/>
          <w:szCs w:val="21"/>
          <w:lang w:val="en-US" w:eastAsia="zh-CN" w:bidi="ar-SA"/>
        </w:rPr>
        <w:t>B.2  老年跌倒风险自评</w:t>
      </w:r>
      <w:bookmarkEnd w:id="156"/>
      <w:bookmarkEnd w:id="157"/>
      <w:bookmarkEnd w:id="158"/>
      <w:bookmarkEnd w:id="159"/>
      <w:bookmarkEnd w:id="160"/>
      <w:bookmarkEnd w:id="161"/>
      <w:bookmarkEnd w:id="162"/>
      <w:bookmarkEnd w:id="163"/>
      <w:bookmarkEnd w:id="164"/>
      <w:bookmarkEnd w:id="165"/>
    </w:p>
    <w:p>
      <w:pPr>
        <w:widowControl/>
        <w:ind w:firstLine="420" w:firstLineChars="200"/>
        <w:jc w:val="both"/>
        <w:outlineLvl w:val="9"/>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老年人根据自己的实际情况填写老年人跌倒风险自评表见表B.2。</w:t>
      </w: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r>
        <w:rPr>
          <w:rFonts w:hint="eastAsia" w:ascii="黑体" w:hAnsi="黑体" w:eastAsia="黑体" w:cs="黑体"/>
          <w:b w:val="0"/>
          <w:bCs/>
          <w:kern w:val="2"/>
          <w:sz w:val="21"/>
          <w:szCs w:val="21"/>
          <w:lang w:val="en-US" w:eastAsia="zh-CN" w:bidi="ar-SA"/>
        </w:rPr>
        <w:t>表B.2  老年跌倒风险自评表</w:t>
      </w:r>
    </w:p>
    <w:tbl>
      <w:tblPr>
        <w:tblStyle w:val="21"/>
        <w:tblW w:w="91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6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6166" w:type="dxa"/>
            <w:shd w:val="clear" w:color="auto" w:fill="FFFFFF" w:themeFill="background1"/>
            <w:noWrap w:val="0"/>
            <w:vAlign w:val="center"/>
          </w:tcPr>
          <w:p>
            <w:pPr>
              <w:jc w:val="center"/>
              <w:rPr>
                <w:rFonts w:ascii="宋体" w:hAnsi="宋体" w:cs="宋体"/>
                <w:b w:val="0"/>
                <w:bCs/>
                <w:sz w:val="18"/>
                <w:szCs w:val="18"/>
              </w:rPr>
            </w:pPr>
            <w:r>
              <w:rPr>
                <w:rFonts w:hint="eastAsia" w:ascii="宋体" w:hAnsi="宋体" w:cs="宋体"/>
                <w:b w:val="0"/>
                <w:bCs/>
                <w:sz w:val="18"/>
                <w:szCs w:val="18"/>
              </w:rPr>
              <w:t>项目</w:t>
            </w:r>
          </w:p>
        </w:tc>
        <w:tc>
          <w:tcPr>
            <w:tcW w:w="2977" w:type="dxa"/>
            <w:shd w:val="clear" w:color="auto" w:fill="FFFFFF" w:themeFill="background1"/>
            <w:noWrap w:val="0"/>
            <w:vAlign w:val="center"/>
          </w:tcPr>
          <w:p>
            <w:pPr>
              <w:jc w:val="center"/>
              <w:rPr>
                <w:rFonts w:hint="eastAsia" w:ascii="宋体" w:hAnsi="宋体" w:eastAsia="宋体" w:cs="宋体"/>
                <w:b w:val="0"/>
                <w:bCs/>
                <w:sz w:val="18"/>
                <w:szCs w:val="18"/>
                <w:lang w:val="en-US" w:eastAsia="zh-CN"/>
              </w:rPr>
            </w:pPr>
            <w:r>
              <w:rPr>
                <w:rFonts w:hint="eastAsia" w:ascii="宋体" w:hAnsi="宋体" w:cs="宋体"/>
                <w:b w:val="0"/>
                <w:bCs/>
                <w:sz w:val="18"/>
                <w:szCs w:val="18"/>
              </w:rPr>
              <w:t>评</w:t>
            </w:r>
            <w:r>
              <w:rPr>
                <w:rFonts w:hint="eastAsia" w:ascii="宋体" w:hAnsi="宋体" w:cs="宋体"/>
                <w:b w:val="0"/>
                <w:bCs/>
                <w:sz w:val="18"/>
                <w:szCs w:val="18"/>
                <w:lang w:val="en-US"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1.过去一年我跌倒过。</w:t>
            </w:r>
          </w:p>
        </w:tc>
        <w:tc>
          <w:tcPr>
            <w:tcW w:w="2977" w:type="dxa"/>
            <w:shd w:val="clear" w:color="auto" w:fill="FFFFFF" w:themeFill="background1"/>
            <w:noWrap w:val="0"/>
            <w:vAlign w:val="center"/>
          </w:tcPr>
          <w:p>
            <w:pPr>
              <w:jc w:val="center"/>
              <w:rPr>
                <w:rFonts w:hint="eastAsia" w:ascii="宋体" w:hAnsi="宋体" w:cs="宋体"/>
                <w:sz w:val="18"/>
                <w:szCs w:val="18"/>
              </w:rPr>
            </w:pPr>
            <w:r>
              <w:rPr>
                <w:rFonts w:hint="eastAsia" w:ascii="宋体" w:hAnsi="宋体" w:cs="宋体"/>
                <w:sz w:val="18"/>
                <w:szCs w:val="18"/>
              </w:rPr>
              <w:t>是（2分）</w:t>
            </w:r>
            <w:r>
              <w:rPr>
                <w:rFonts w:hint="eastAsia" w:ascii="宋体" w:hAnsi="宋体" w:cs="宋体"/>
                <w:sz w:val="18"/>
                <w:szCs w:val="18"/>
                <w:lang w:val="en-US" w:eastAsia="zh-CN"/>
              </w:rPr>
              <w:t xml:space="preserve"> </w:t>
            </w:r>
            <w:r>
              <w:rPr>
                <w:rFonts w:hint="eastAsia" w:ascii="宋体" w:hAnsi="宋体" w:cs="宋体"/>
                <w:sz w:val="18"/>
                <w:szCs w:val="18"/>
              </w:rPr>
              <w:t xml:space="preserve">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2.我使用过或被建议使用拐杖或助行器行走以保障行动的安全。</w:t>
            </w:r>
          </w:p>
        </w:tc>
        <w:tc>
          <w:tcPr>
            <w:tcW w:w="2977" w:type="dxa"/>
            <w:shd w:val="clear" w:color="auto" w:fill="FFFFFF" w:themeFill="background1"/>
            <w:noWrap w:val="0"/>
            <w:vAlign w:val="center"/>
          </w:tcPr>
          <w:p>
            <w:pPr>
              <w:jc w:val="center"/>
              <w:rPr>
                <w:rFonts w:hint="eastAsia" w:ascii="宋体" w:hAnsi="宋体" w:cs="宋体"/>
                <w:sz w:val="18"/>
                <w:szCs w:val="18"/>
              </w:rPr>
            </w:pPr>
            <w:r>
              <w:rPr>
                <w:rFonts w:hint="eastAsia" w:ascii="宋体" w:hAnsi="宋体" w:cs="宋体"/>
                <w:sz w:val="18"/>
                <w:szCs w:val="18"/>
              </w:rPr>
              <w:t>是（2分）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3.在行走时，有时我感觉走路不稳。</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4.在家里走动时，我靠扶住家具保持身体稳定。</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5.我担心跌倒</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6.我从座位站起时，需要用手支撑一下。</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7.我迈上台阶时有些困难。</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8.我经常冲向卫生间（着急上厕所）。</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9.我的脚失去了一些感觉。</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10.有时我吃了某些药物后会感到头晕或者感觉比平时累。</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11.我</w:t>
            </w:r>
            <w:r>
              <w:rPr>
                <w:rFonts w:hint="eastAsia" w:ascii="宋体" w:hAnsi="宋体" w:cs="宋体"/>
                <w:sz w:val="18"/>
                <w:szCs w:val="18"/>
                <w:lang w:val="en-US" w:eastAsia="zh-CN"/>
              </w:rPr>
              <w:t>吃</w:t>
            </w:r>
            <w:r>
              <w:rPr>
                <w:rFonts w:hint="eastAsia" w:ascii="宋体" w:hAnsi="宋体" w:cs="宋体"/>
                <w:sz w:val="18"/>
                <w:szCs w:val="18"/>
              </w:rPr>
              <w:t>一些帮助我睡眠或者改善心情的药物。</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166" w:type="dxa"/>
            <w:shd w:val="clear" w:color="auto" w:fill="FFFFFF" w:themeFill="background1"/>
            <w:noWrap w:val="0"/>
            <w:vAlign w:val="top"/>
          </w:tcPr>
          <w:p>
            <w:pPr>
              <w:rPr>
                <w:rFonts w:ascii="宋体" w:hAnsi="宋体" w:cs="宋体"/>
                <w:sz w:val="18"/>
                <w:szCs w:val="18"/>
              </w:rPr>
            </w:pPr>
            <w:r>
              <w:rPr>
                <w:rFonts w:hint="eastAsia" w:ascii="宋体" w:hAnsi="宋体" w:cs="宋体"/>
                <w:sz w:val="18"/>
                <w:szCs w:val="18"/>
              </w:rPr>
              <w:t>12.我经常感到心情不好或难过。</w:t>
            </w:r>
          </w:p>
        </w:tc>
        <w:tc>
          <w:tcPr>
            <w:tcW w:w="2977" w:type="dxa"/>
            <w:shd w:val="clear" w:color="auto" w:fill="FFFFFF" w:themeFill="background1"/>
            <w:noWrap w:val="0"/>
            <w:vAlign w:val="center"/>
          </w:tcPr>
          <w:p>
            <w:pPr>
              <w:jc w:val="center"/>
              <w:rPr>
                <w:rFonts w:ascii="宋体" w:hAnsi="宋体" w:cs="宋体"/>
                <w:sz w:val="18"/>
                <w:szCs w:val="18"/>
              </w:rPr>
            </w:pPr>
            <w:r>
              <w:rPr>
                <w:rFonts w:hint="eastAsia" w:ascii="宋体" w:hAnsi="宋体" w:cs="宋体"/>
                <w:sz w:val="18"/>
                <w:szCs w:val="18"/>
              </w:rPr>
              <w:t>是（1分）  否（0分）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jc w:val="center"/>
        </w:trPr>
        <w:tc>
          <w:tcPr>
            <w:tcW w:w="9143" w:type="dxa"/>
            <w:gridSpan w:val="2"/>
            <w:shd w:val="clear" w:color="auto" w:fill="FFFFFF" w:themeFill="background1"/>
            <w:noWrap w:val="0"/>
            <w:vAlign w:val="bottom"/>
          </w:tcPr>
          <w:p>
            <w:pPr>
              <w:jc w:val="right"/>
              <w:rPr>
                <w:rFonts w:ascii="宋体" w:hAnsi="宋体" w:cs="宋体"/>
                <w:b/>
                <w:sz w:val="18"/>
                <w:szCs w:val="18"/>
              </w:rPr>
            </w:pPr>
            <w:r>
              <w:rPr>
                <w:rFonts w:hint="eastAsia" w:ascii="宋体" w:hAnsi="宋体" w:cs="宋体"/>
                <w:b/>
                <w:sz w:val="18"/>
                <w:szCs w:val="18"/>
              </w:rPr>
              <w:t>总分：_____分</w:t>
            </w:r>
          </w:p>
        </w:tc>
      </w:tr>
    </w:tbl>
    <w:p>
      <w:pPr>
        <w:spacing w:before="157" w:beforeLines="50" w:after="157" w:afterLines="50"/>
        <w:jc w:val="left"/>
        <w:outlineLvl w:val="0"/>
        <w:rPr>
          <w:rFonts w:hint="eastAsia" w:ascii="黑体" w:hAnsi="黑体" w:eastAsia="黑体" w:cs="黑体"/>
          <w:b w:val="0"/>
          <w:bCs w:val="0"/>
          <w:kern w:val="28"/>
          <w:sz w:val="21"/>
          <w:szCs w:val="21"/>
          <w:lang w:val="en-US" w:eastAsia="zh-CN" w:bidi="ar-SA"/>
        </w:rPr>
      </w:pPr>
      <w:bookmarkStart w:id="166" w:name="_Toc20058"/>
      <w:bookmarkStart w:id="167" w:name="_Toc32332"/>
      <w:bookmarkStart w:id="168" w:name="_Toc10259"/>
      <w:bookmarkStart w:id="169" w:name="_Toc9209"/>
      <w:bookmarkStart w:id="170" w:name="_Toc12365"/>
      <w:bookmarkStart w:id="171" w:name="_Toc16602"/>
      <w:bookmarkStart w:id="172" w:name="_Toc14077"/>
      <w:bookmarkStart w:id="173" w:name="_Toc4879"/>
      <w:bookmarkStart w:id="174" w:name="_Toc18554"/>
      <w:bookmarkStart w:id="175" w:name="_Toc13520"/>
      <w:r>
        <w:rPr>
          <w:rFonts w:hint="eastAsia" w:ascii="黑体" w:hAnsi="黑体" w:eastAsia="黑体" w:cs="黑体"/>
          <w:b w:val="0"/>
          <w:bCs w:val="0"/>
          <w:kern w:val="28"/>
          <w:sz w:val="21"/>
          <w:szCs w:val="21"/>
          <w:lang w:val="en-US" w:eastAsia="zh-CN" w:bidi="ar-SA"/>
        </w:rPr>
        <w:t>B.3  老年跌倒风险核心问题评估</w:t>
      </w:r>
      <w:bookmarkEnd w:id="166"/>
      <w:bookmarkEnd w:id="167"/>
      <w:bookmarkEnd w:id="168"/>
      <w:bookmarkEnd w:id="169"/>
      <w:bookmarkEnd w:id="170"/>
      <w:bookmarkEnd w:id="171"/>
      <w:bookmarkEnd w:id="172"/>
      <w:bookmarkEnd w:id="173"/>
      <w:bookmarkEnd w:id="174"/>
      <w:bookmarkEnd w:id="175"/>
    </w:p>
    <w:p>
      <w:pPr>
        <w:widowControl/>
        <w:ind w:firstLine="416" w:firstLineChars="200"/>
        <w:rPr>
          <w:rFonts w:hint="eastAsia" w:ascii="宋体" w:hAnsi="宋体" w:eastAsia="宋体" w:cs="宋体"/>
          <w:b w:val="0"/>
          <w:bCs w:val="0"/>
          <w:spacing w:val="-1"/>
          <w:kern w:val="2"/>
          <w:sz w:val="21"/>
          <w:szCs w:val="21"/>
          <w:lang w:val="en-US" w:eastAsia="zh-CN" w:bidi="ar-SA"/>
        </w:rPr>
      </w:pPr>
      <w:r>
        <w:rPr>
          <w:rFonts w:hint="eastAsia" w:ascii="宋体" w:hAnsi="宋体" w:eastAsia="宋体" w:cs="宋体"/>
          <w:spacing w:val="-1"/>
          <w:sz w:val="21"/>
          <w:szCs w:val="21"/>
        </w:rPr>
        <w:t>工作人员询问老年人</w:t>
      </w:r>
      <w:r>
        <w:rPr>
          <w:rFonts w:hint="eastAsia" w:ascii="宋体" w:hAnsi="宋体" w:eastAsia="宋体" w:cs="宋体"/>
          <w:spacing w:val="-1"/>
          <w:sz w:val="21"/>
          <w:szCs w:val="21"/>
          <w:lang w:val="en-US" w:eastAsia="zh-CN"/>
        </w:rPr>
        <w:t>三道跌倒风险核心问题</w:t>
      </w:r>
      <w:r>
        <w:rPr>
          <w:rFonts w:hint="eastAsia" w:ascii="宋体" w:hAnsi="宋体" w:eastAsia="宋体" w:cs="宋体"/>
          <w:spacing w:val="-1"/>
          <w:sz w:val="21"/>
          <w:szCs w:val="21"/>
        </w:rPr>
        <w:t>，并在回答上画勾</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跌倒风险核心问题评估表见表B.3。</w:t>
      </w: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r>
        <w:rPr>
          <w:rFonts w:hint="eastAsia" w:ascii="黑体" w:hAnsi="黑体" w:eastAsia="黑体" w:cs="黑体"/>
          <w:b w:val="0"/>
          <w:bCs/>
          <w:kern w:val="2"/>
          <w:sz w:val="21"/>
          <w:szCs w:val="21"/>
          <w:lang w:val="en-US" w:eastAsia="zh-CN" w:bidi="ar-SA"/>
        </w:rPr>
        <w:t>表B.3  跌倒风险核心问题评估表</w:t>
      </w:r>
    </w:p>
    <w:tbl>
      <w:tblPr>
        <w:tblStyle w:val="21"/>
        <w:tblW w:w="94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25"/>
        <w:gridCol w:w="55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25" w:type="dxa"/>
            <w:shd w:val="clear" w:color="auto" w:fill="FFFFFF" w:themeFill="background1"/>
            <w:noWrap w:val="0"/>
            <w:vAlign w:val="center"/>
          </w:tcPr>
          <w:p>
            <w:pPr>
              <w:jc w:val="center"/>
              <w:rPr>
                <w:rFonts w:hint="eastAsia" w:ascii="宋体" w:hAnsi="宋体" w:eastAsia="宋体" w:cs="宋体"/>
                <w:b w:val="0"/>
                <w:bCs/>
                <w:sz w:val="18"/>
                <w:szCs w:val="18"/>
              </w:rPr>
            </w:pPr>
            <w:r>
              <w:rPr>
                <w:rFonts w:hint="eastAsia" w:ascii="宋体" w:hAnsi="宋体" w:eastAsia="宋体" w:cs="宋体"/>
                <w:b w:val="0"/>
                <w:bCs/>
                <w:sz w:val="18"/>
                <w:szCs w:val="18"/>
              </w:rPr>
              <w:t>跌倒风险核心问题</w:t>
            </w:r>
          </w:p>
        </w:tc>
        <w:tc>
          <w:tcPr>
            <w:tcW w:w="5567" w:type="dxa"/>
            <w:shd w:val="clear" w:color="auto" w:fill="FFFFFF" w:themeFill="background1"/>
            <w:noWrap w:val="0"/>
            <w:vAlign w:val="center"/>
          </w:tcPr>
          <w:p>
            <w:pPr>
              <w:jc w:val="center"/>
              <w:rPr>
                <w:rFonts w:hint="eastAsia" w:ascii="宋体" w:hAnsi="宋体" w:eastAsia="宋体" w:cs="宋体"/>
                <w:b w:val="0"/>
                <w:bCs/>
                <w:sz w:val="18"/>
                <w:szCs w:val="18"/>
              </w:rPr>
            </w:pPr>
            <w:r>
              <w:rPr>
                <w:rFonts w:hint="eastAsia" w:ascii="宋体" w:hAnsi="宋体" w:eastAsia="宋体" w:cs="宋体"/>
                <w:b w:val="0"/>
                <w:bCs/>
                <w:sz w:val="18"/>
                <w:szCs w:val="18"/>
              </w:rPr>
              <w:t>回答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3925" w:type="dxa"/>
            <w:shd w:val="clear" w:color="auto" w:fill="FFFFFF" w:themeFill="background1"/>
            <w:noWrap w:val="0"/>
            <w:vAlign w:val="center"/>
          </w:tcPr>
          <w:p>
            <w:pPr>
              <w:jc w:val="left"/>
              <w:rPr>
                <w:rFonts w:ascii="宋体" w:hAnsi="宋体" w:cs="宋体"/>
                <w:sz w:val="18"/>
                <w:szCs w:val="18"/>
              </w:rPr>
            </w:pPr>
            <w:r>
              <w:rPr>
                <w:rFonts w:hint="eastAsia" w:ascii="宋体" w:hAnsi="宋体" w:cs="宋体"/>
                <w:sz w:val="18"/>
                <w:szCs w:val="18"/>
              </w:rPr>
              <w:t>1.过去一年您是否跌倒过？</w:t>
            </w:r>
          </w:p>
        </w:tc>
        <w:tc>
          <w:tcPr>
            <w:tcW w:w="5567" w:type="dxa"/>
            <w:shd w:val="clear" w:color="auto" w:fill="FFFFFF" w:themeFill="background1"/>
            <w:noWrap w:val="0"/>
            <w:vAlign w:val="center"/>
          </w:tcPr>
          <w:p>
            <w:pPr>
              <w:pStyle w:val="28"/>
              <w:numPr>
                <w:ilvl w:val="0"/>
                <w:numId w:val="0"/>
              </w:numPr>
              <w:ind w:left="0" w:firstLine="0" w:firstLineChars="0"/>
              <w:jc w:val="left"/>
              <w:rPr>
                <w:rFonts w:ascii="宋体" w:hAnsi="宋体" w:cs="宋体"/>
                <w:sz w:val="18"/>
                <w:szCs w:val="18"/>
              </w:rPr>
            </w:pPr>
            <w:r>
              <w:rPr>
                <w:rFonts w:hint="eastAsia" w:ascii="宋体" w:hAnsi="宋体" w:cs="宋体"/>
                <w:bCs/>
                <w:sz w:val="18"/>
                <w:szCs w:val="18"/>
              </w:rPr>
              <w:t>①</w:t>
            </w:r>
            <w:r>
              <w:rPr>
                <w:rFonts w:hint="eastAsia" w:ascii="宋体" w:hAnsi="宋体" w:cs="宋体"/>
                <w:sz w:val="18"/>
                <w:szCs w:val="18"/>
              </w:rPr>
              <w:t>是，共___次，其中受伤_____次</w:t>
            </w:r>
          </w:p>
          <w:p>
            <w:pPr>
              <w:pStyle w:val="28"/>
              <w:numPr>
                <w:ilvl w:val="0"/>
                <w:numId w:val="0"/>
              </w:numPr>
              <w:ind w:left="0" w:firstLine="0" w:firstLineChars="0"/>
              <w:jc w:val="left"/>
              <w:rPr>
                <w:rFonts w:ascii="宋体" w:hAnsi="宋体" w:cs="宋体"/>
                <w:sz w:val="18"/>
                <w:szCs w:val="18"/>
              </w:rPr>
            </w:pPr>
            <w:r>
              <w:rPr>
                <w:rFonts w:hint="eastAsia" w:ascii="宋体" w:hAnsi="宋体" w:cs="宋体"/>
                <w:sz w:val="18"/>
                <w:szCs w:val="18"/>
              </w:rPr>
              <w:t>②没有过（0次）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jc w:val="center"/>
        </w:trPr>
        <w:tc>
          <w:tcPr>
            <w:tcW w:w="3925" w:type="dxa"/>
            <w:noWrap w:val="0"/>
            <w:vAlign w:val="center"/>
          </w:tcPr>
          <w:p>
            <w:pPr>
              <w:jc w:val="left"/>
              <w:rPr>
                <w:rFonts w:ascii="宋体" w:hAnsi="宋体" w:cs="宋体"/>
                <w:sz w:val="18"/>
                <w:szCs w:val="18"/>
              </w:rPr>
            </w:pPr>
            <w:r>
              <w:rPr>
                <w:rFonts w:hint="eastAsia" w:ascii="宋体" w:hAnsi="宋体" w:cs="宋体"/>
                <w:sz w:val="18"/>
                <w:szCs w:val="18"/>
              </w:rPr>
              <w:t>2.您是否在站立或者走路过程中感觉到不稳？</w:t>
            </w:r>
          </w:p>
        </w:tc>
        <w:tc>
          <w:tcPr>
            <w:tcW w:w="5567" w:type="dxa"/>
            <w:noWrap w:val="0"/>
            <w:vAlign w:val="center"/>
          </w:tcPr>
          <w:p>
            <w:pPr>
              <w:pStyle w:val="28"/>
              <w:numPr>
                <w:ilvl w:val="0"/>
                <w:numId w:val="0"/>
              </w:numPr>
              <w:ind w:left="0" w:firstLine="0" w:firstLineChars="0"/>
              <w:jc w:val="left"/>
              <w:rPr>
                <w:rFonts w:ascii="宋体" w:hAnsi="宋体" w:cs="宋体"/>
                <w:sz w:val="18"/>
                <w:szCs w:val="18"/>
              </w:rPr>
            </w:pPr>
            <w:r>
              <w:rPr>
                <w:rFonts w:hint="eastAsia" w:ascii="宋体" w:hAnsi="宋体" w:cs="宋体"/>
                <w:bCs/>
                <w:sz w:val="18"/>
                <w:szCs w:val="18"/>
              </w:rPr>
              <w:t>①</w:t>
            </w:r>
            <w:r>
              <w:rPr>
                <w:rFonts w:hint="eastAsia" w:ascii="宋体" w:hAnsi="宋体" w:cs="宋体"/>
                <w:sz w:val="18"/>
                <w:szCs w:val="18"/>
              </w:rPr>
              <w:t>是   ②否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 w:hRule="atLeast"/>
          <w:jc w:val="center"/>
        </w:trPr>
        <w:tc>
          <w:tcPr>
            <w:tcW w:w="3925" w:type="dxa"/>
            <w:noWrap w:val="0"/>
            <w:vAlign w:val="center"/>
          </w:tcPr>
          <w:p>
            <w:pPr>
              <w:jc w:val="left"/>
              <w:rPr>
                <w:rFonts w:ascii="宋体" w:hAnsi="宋体" w:cs="宋体"/>
                <w:sz w:val="18"/>
                <w:szCs w:val="18"/>
              </w:rPr>
            </w:pPr>
            <w:r>
              <w:rPr>
                <w:rFonts w:hint="eastAsia" w:ascii="宋体" w:hAnsi="宋体" w:cs="宋体"/>
                <w:sz w:val="18"/>
                <w:szCs w:val="18"/>
              </w:rPr>
              <w:t>3.</w:t>
            </w:r>
            <w:r>
              <w:rPr>
                <w:rFonts w:hint="eastAsia" w:ascii="宋体" w:hAnsi="宋体" w:cs="宋体"/>
                <w:sz w:val="18"/>
                <w:szCs w:val="18"/>
                <w:lang w:val="en-US" w:eastAsia="zh-CN"/>
              </w:rPr>
              <w:t>您</w:t>
            </w:r>
            <w:r>
              <w:rPr>
                <w:rFonts w:hint="eastAsia" w:ascii="宋体" w:hAnsi="宋体" w:cs="宋体"/>
                <w:sz w:val="18"/>
                <w:szCs w:val="18"/>
              </w:rPr>
              <w:t>是否担心自己会跌倒？</w:t>
            </w:r>
          </w:p>
        </w:tc>
        <w:tc>
          <w:tcPr>
            <w:tcW w:w="5567" w:type="dxa"/>
            <w:noWrap w:val="0"/>
            <w:vAlign w:val="center"/>
          </w:tcPr>
          <w:p>
            <w:pPr>
              <w:pStyle w:val="28"/>
              <w:numPr>
                <w:ilvl w:val="0"/>
                <w:numId w:val="0"/>
              </w:numPr>
              <w:ind w:left="0" w:firstLine="0" w:firstLineChars="0"/>
              <w:jc w:val="left"/>
              <w:rPr>
                <w:rFonts w:ascii="宋体" w:hAnsi="宋体" w:cs="宋体"/>
                <w:sz w:val="18"/>
                <w:szCs w:val="18"/>
              </w:rPr>
            </w:pPr>
            <w:r>
              <w:rPr>
                <w:rFonts w:hint="eastAsia" w:ascii="宋体" w:hAnsi="宋体" w:cs="宋体"/>
                <w:bCs/>
                <w:sz w:val="18"/>
                <w:szCs w:val="18"/>
              </w:rPr>
              <w:t>①</w:t>
            </w:r>
            <w:r>
              <w:rPr>
                <w:rFonts w:hint="eastAsia" w:ascii="宋体" w:hAnsi="宋体" w:cs="宋体"/>
                <w:sz w:val="18"/>
                <w:szCs w:val="18"/>
              </w:rPr>
              <w:t>是   ②否</w:t>
            </w:r>
          </w:p>
        </w:tc>
      </w:tr>
    </w:tbl>
    <w:p>
      <w:pPr>
        <w:spacing w:before="157" w:beforeLines="50" w:after="157" w:afterLines="50"/>
        <w:jc w:val="left"/>
        <w:outlineLvl w:val="0"/>
        <w:rPr>
          <w:rFonts w:hint="eastAsia" w:ascii="黑体" w:hAnsi="黑体" w:eastAsia="黑体" w:cs="黑体"/>
          <w:b w:val="0"/>
          <w:bCs w:val="0"/>
          <w:kern w:val="28"/>
          <w:sz w:val="21"/>
          <w:szCs w:val="21"/>
          <w:lang w:val="en-US" w:eastAsia="zh-CN" w:bidi="ar-SA"/>
        </w:rPr>
      </w:pPr>
      <w:bookmarkStart w:id="176" w:name="_Toc10578"/>
      <w:bookmarkStart w:id="177" w:name="_Toc31201"/>
      <w:bookmarkStart w:id="178" w:name="_Toc368"/>
      <w:bookmarkStart w:id="179" w:name="_Toc24613"/>
      <w:bookmarkStart w:id="180" w:name="_Toc18737"/>
      <w:bookmarkStart w:id="181" w:name="_Toc1702"/>
      <w:bookmarkStart w:id="182" w:name="_Toc17138"/>
      <w:bookmarkStart w:id="183" w:name="_Toc26434"/>
      <w:bookmarkStart w:id="184" w:name="_Toc4713"/>
      <w:bookmarkStart w:id="185" w:name="_Toc24608"/>
      <w:r>
        <w:rPr>
          <w:rFonts w:hint="eastAsia" w:ascii="黑体" w:hAnsi="黑体" w:eastAsia="黑体" w:cs="黑体"/>
          <w:b w:val="0"/>
          <w:bCs w:val="0"/>
          <w:kern w:val="28"/>
          <w:sz w:val="21"/>
          <w:szCs w:val="21"/>
          <w:lang w:val="en-US" w:eastAsia="zh-CN" w:bidi="ar-SA"/>
        </w:rPr>
        <w:t>B.4  跌倒风险判断</w:t>
      </w:r>
      <w:bookmarkEnd w:id="176"/>
      <w:bookmarkEnd w:id="177"/>
      <w:bookmarkEnd w:id="178"/>
      <w:bookmarkEnd w:id="179"/>
      <w:bookmarkEnd w:id="180"/>
      <w:bookmarkEnd w:id="181"/>
      <w:bookmarkEnd w:id="182"/>
      <w:bookmarkEnd w:id="183"/>
      <w:bookmarkEnd w:id="184"/>
      <w:bookmarkEnd w:id="185"/>
    </w:p>
    <w:p>
      <w:pPr>
        <w:widowControl/>
        <w:ind w:firstLine="416" w:firstLineChars="200"/>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根据老年人跌倒风险自评得分和跌倒风险核心问题的回答，继续进行跌倒风险判断，跌倒风险判断表见表B.4。</w:t>
      </w: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r>
        <w:rPr>
          <w:rFonts w:hint="eastAsia" w:ascii="黑体" w:hAnsi="黑体" w:eastAsia="黑体" w:cs="黑体"/>
          <w:b w:val="0"/>
          <w:bCs/>
          <w:kern w:val="2"/>
          <w:sz w:val="21"/>
          <w:szCs w:val="21"/>
          <w:lang w:val="en-US" w:eastAsia="zh-CN" w:bidi="ar-SA"/>
        </w:rPr>
        <w:t>表B.4  跌倒风险判断表</w:t>
      </w:r>
    </w:p>
    <w:tbl>
      <w:tblPr>
        <w:tblStyle w:val="21"/>
        <w:tblW w:w="9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8"/>
        <w:gridCol w:w="43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228"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top"/>
          </w:tcPr>
          <w:p>
            <w:pPr>
              <w:pStyle w:val="28"/>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判断依据</w:t>
            </w:r>
          </w:p>
        </w:tc>
        <w:tc>
          <w:tcPr>
            <w:tcW w:w="4318"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top"/>
          </w:tcPr>
          <w:p>
            <w:pPr>
              <w:pStyle w:val="28"/>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跌倒风险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5228" w:type="dxa"/>
            <w:tcBorders>
              <w:top w:val="single" w:color="auto" w:sz="4" w:space="0"/>
              <w:left w:val="single" w:color="auto" w:sz="4" w:space="0"/>
              <w:bottom w:val="single" w:color="auto" w:sz="4" w:space="0"/>
              <w:right w:val="single" w:color="auto" w:sz="4" w:space="0"/>
            </w:tcBorders>
            <w:noWrap w:val="0"/>
            <w:vAlign w:val="center"/>
          </w:tcPr>
          <w:p>
            <w:pPr>
              <w:pStyle w:val="28"/>
              <w:ind w:firstLine="0" w:firstLineChars="0"/>
              <w:rPr>
                <w:rFonts w:hint="eastAsia" w:ascii="宋体" w:hAnsi="宋体" w:cs="宋体"/>
                <w:sz w:val="18"/>
                <w:szCs w:val="18"/>
                <w:highlight w:val="none"/>
              </w:rPr>
            </w:pPr>
            <w:r>
              <w:rPr>
                <w:rFonts w:hint="eastAsia" w:ascii="宋体" w:hAnsi="宋体" w:cs="宋体"/>
                <w:sz w:val="18"/>
                <w:szCs w:val="18"/>
                <w:highlight w:val="none"/>
              </w:rPr>
              <w:t>跌倒风险自评得分小于4分</w:t>
            </w:r>
          </w:p>
          <w:p>
            <w:pPr>
              <w:pStyle w:val="28"/>
              <w:ind w:firstLine="181" w:firstLineChars="100"/>
              <w:rPr>
                <w:rFonts w:hint="eastAsia" w:ascii="宋体" w:hAnsi="宋体" w:cs="宋体"/>
                <w:b/>
                <w:sz w:val="18"/>
                <w:szCs w:val="18"/>
                <w:highlight w:val="none"/>
              </w:rPr>
            </w:pPr>
            <w:r>
              <w:rPr>
                <w:rFonts w:hint="eastAsia" w:ascii="宋体" w:hAnsi="宋体" w:cs="宋体"/>
                <w:b/>
                <w:sz w:val="18"/>
                <w:szCs w:val="18"/>
                <w:highlight w:val="none"/>
              </w:rPr>
              <w:t>且</w:t>
            </w:r>
          </w:p>
          <w:p>
            <w:pPr>
              <w:pStyle w:val="28"/>
              <w:ind w:firstLine="0" w:firstLineChars="0"/>
              <w:rPr>
                <w:rFonts w:ascii="宋体" w:hAnsi="宋体" w:cs="宋体"/>
                <w:sz w:val="18"/>
                <w:szCs w:val="18"/>
              </w:rPr>
            </w:pPr>
            <w:r>
              <w:rPr>
                <w:rFonts w:hint="eastAsia" w:ascii="宋体" w:hAnsi="宋体" w:cs="宋体"/>
                <w:sz w:val="18"/>
                <w:szCs w:val="18"/>
                <w:highlight w:val="none"/>
              </w:rPr>
              <w:t>核心问题三题都回答“否”</w:t>
            </w:r>
          </w:p>
        </w:tc>
        <w:tc>
          <w:tcPr>
            <w:tcW w:w="4318" w:type="dxa"/>
            <w:tcBorders>
              <w:top w:val="single" w:color="auto" w:sz="4" w:space="0"/>
              <w:left w:val="single" w:color="auto" w:sz="4" w:space="0"/>
              <w:bottom w:val="single" w:color="auto" w:sz="4" w:space="0"/>
              <w:right w:val="single" w:color="auto" w:sz="4" w:space="0"/>
            </w:tcBorders>
            <w:noWrap w:val="0"/>
            <w:vAlign w:val="center"/>
          </w:tcPr>
          <w:p>
            <w:pPr>
              <w:pStyle w:val="28"/>
              <w:ind w:firstLine="0" w:firstLineChars="0"/>
              <w:rPr>
                <w:rFonts w:ascii="宋体" w:hAnsi="宋体" w:cs="宋体"/>
                <w:sz w:val="18"/>
                <w:szCs w:val="18"/>
              </w:rPr>
            </w:pPr>
            <w:r>
              <w:rPr>
                <w:rFonts w:hint="eastAsia" w:ascii="宋体" w:hAnsi="宋体" w:cs="宋体"/>
                <w:sz w:val="18"/>
                <w:szCs w:val="18"/>
              </w:rPr>
              <w:t>跌倒风险：低危</w:t>
            </w:r>
          </w:p>
          <w:p>
            <w:pPr>
              <w:pStyle w:val="28"/>
              <w:ind w:firstLine="0" w:firstLineChars="0"/>
              <w:rPr>
                <w:rFonts w:hint="eastAsia" w:ascii="宋体" w:hAnsi="宋体" w:eastAsia="宋体" w:cs="宋体"/>
                <w:sz w:val="18"/>
                <w:szCs w:val="18"/>
                <w:lang w:eastAsia="zh-CN"/>
              </w:rPr>
            </w:pPr>
            <w:r>
              <w:rPr>
                <w:rFonts w:hint="eastAsia" w:ascii="宋体" w:hAnsi="宋体" w:cs="宋体"/>
                <w:sz w:val="18"/>
                <w:szCs w:val="18"/>
                <w:lang w:eastAsia="zh-CN"/>
              </w:rPr>
              <w:t>（</w:t>
            </w:r>
            <w:r>
              <w:rPr>
                <w:rFonts w:hint="eastAsia" w:ascii="宋体" w:hAnsi="宋体" w:cs="宋体"/>
                <w:sz w:val="18"/>
                <w:szCs w:val="18"/>
              </w:rPr>
              <w:t>完成评估，</w:t>
            </w:r>
            <w:r>
              <w:rPr>
                <w:rFonts w:hint="eastAsia" w:ascii="宋体" w:hAnsi="宋体" w:cs="宋体"/>
                <w:sz w:val="18"/>
                <w:szCs w:val="18"/>
                <w:lang w:val="en-US" w:eastAsia="zh-CN"/>
              </w:rPr>
              <w:t>直接填写表B.6</w:t>
            </w:r>
            <w:r>
              <w:rPr>
                <w:rFonts w:hint="eastAsia" w:ascii="宋体" w:hAnsi="宋体" w:cs="宋体"/>
                <w:sz w:val="18"/>
                <w:szCs w:val="18"/>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jc w:val="center"/>
        </w:trPr>
        <w:tc>
          <w:tcPr>
            <w:tcW w:w="5228" w:type="dxa"/>
            <w:tcBorders>
              <w:top w:val="single" w:color="auto" w:sz="4" w:space="0"/>
              <w:left w:val="single" w:color="auto" w:sz="4" w:space="0"/>
              <w:bottom w:val="single" w:color="auto" w:sz="4" w:space="0"/>
              <w:right w:val="single" w:color="auto" w:sz="4" w:space="0"/>
            </w:tcBorders>
            <w:noWrap w:val="0"/>
            <w:vAlign w:val="center"/>
          </w:tcPr>
          <w:p>
            <w:pPr>
              <w:pStyle w:val="28"/>
              <w:ind w:firstLine="0" w:firstLineChars="0"/>
              <w:rPr>
                <w:rFonts w:hint="eastAsia" w:ascii="宋体" w:hAnsi="宋体" w:cs="宋体"/>
                <w:sz w:val="18"/>
                <w:szCs w:val="18"/>
              </w:rPr>
            </w:pPr>
            <w:r>
              <w:rPr>
                <w:rFonts w:hint="eastAsia" w:ascii="宋体" w:hAnsi="宋体" w:cs="宋体"/>
                <w:sz w:val="18"/>
                <w:szCs w:val="18"/>
              </w:rPr>
              <w:t>跌倒风险自评得分大于等于4分</w:t>
            </w:r>
          </w:p>
          <w:p>
            <w:pPr>
              <w:pStyle w:val="28"/>
              <w:ind w:firstLine="181" w:firstLineChars="100"/>
              <w:rPr>
                <w:rFonts w:hint="eastAsia" w:ascii="宋体" w:hAnsi="宋体" w:cs="宋体"/>
                <w:b/>
                <w:sz w:val="18"/>
                <w:szCs w:val="18"/>
              </w:rPr>
            </w:pPr>
            <w:r>
              <w:rPr>
                <w:rFonts w:hint="eastAsia" w:ascii="宋体" w:hAnsi="宋体" w:cs="宋体"/>
                <w:b/>
                <w:sz w:val="18"/>
                <w:szCs w:val="18"/>
              </w:rPr>
              <w:t>或者</w:t>
            </w:r>
          </w:p>
          <w:p>
            <w:pPr>
              <w:pStyle w:val="28"/>
              <w:ind w:firstLine="0" w:firstLineChars="0"/>
              <w:rPr>
                <w:rFonts w:ascii="宋体" w:hAnsi="宋体" w:cs="宋体"/>
                <w:sz w:val="18"/>
                <w:szCs w:val="18"/>
              </w:rPr>
            </w:pPr>
            <w:r>
              <w:rPr>
                <w:rFonts w:hint="eastAsia" w:ascii="宋体" w:hAnsi="宋体" w:cs="宋体"/>
                <w:sz w:val="18"/>
                <w:szCs w:val="18"/>
              </w:rPr>
              <w:t>核心问题三题任一题回答“是”</w:t>
            </w:r>
          </w:p>
        </w:tc>
        <w:tc>
          <w:tcPr>
            <w:tcW w:w="4318" w:type="dxa"/>
            <w:tcBorders>
              <w:top w:val="single" w:color="auto" w:sz="4" w:space="0"/>
              <w:left w:val="single" w:color="auto" w:sz="4" w:space="0"/>
              <w:bottom w:val="single" w:color="auto" w:sz="4" w:space="0"/>
              <w:right w:val="single" w:color="auto" w:sz="4" w:space="0"/>
            </w:tcBorders>
            <w:noWrap w:val="0"/>
            <w:vAlign w:val="center"/>
          </w:tcPr>
          <w:p>
            <w:pPr>
              <w:pStyle w:val="28"/>
              <w:ind w:firstLine="0" w:firstLineChars="0"/>
              <w:rPr>
                <w:rFonts w:ascii="宋体" w:hAnsi="宋体" w:cs="宋体"/>
                <w:sz w:val="18"/>
                <w:szCs w:val="18"/>
              </w:rPr>
            </w:pPr>
            <w:r>
              <w:rPr>
                <w:rFonts w:hint="eastAsia" w:ascii="宋体" w:hAnsi="宋体" w:cs="宋体"/>
                <w:sz w:val="18"/>
                <w:szCs w:val="18"/>
              </w:rPr>
              <w:t>跌倒风险待定，继续进行平衡功能</w:t>
            </w:r>
            <w:r>
              <w:rPr>
                <w:rFonts w:hint="eastAsia" w:ascii="宋体" w:hAnsi="宋体" w:cs="宋体"/>
                <w:sz w:val="18"/>
                <w:szCs w:val="18"/>
                <w:lang w:val="en-US" w:eastAsia="zh-CN"/>
              </w:rPr>
              <w:t>测试</w:t>
            </w:r>
          </w:p>
        </w:tc>
      </w:tr>
    </w:tbl>
    <w:p>
      <w:pPr>
        <w:spacing w:before="157" w:beforeLines="50" w:after="157" w:afterLines="50"/>
        <w:jc w:val="left"/>
        <w:outlineLvl w:val="0"/>
        <w:rPr>
          <w:rFonts w:hint="eastAsia" w:ascii="黑体" w:hAnsi="黑体" w:eastAsia="黑体" w:cs="黑体"/>
          <w:b w:val="0"/>
          <w:bCs w:val="0"/>
          <w:kern w:val="28"/>
          <w:sz w:val="21"/>
          <w:szCs w:val="21"/>
          <w:lang w:val="en-US" w:eastAsia="zh-CN" w:bidi="ar-SA"/>
        </w:rPr>
      </w:pPr>
      <w:bookmarkStart w:id="186" w:name="_Toc26171"/>
      <w:bookmarkStart w:id="187" w:name="_Toc4930"/>
      <w:bookmarkStart w:id="188" w:name="_Toc30442"/>
      <w:bookmarkStart w:id="189" w:name="_Toc30423"/>
      <w:bookmarkStart w:id="190" w:name="_Toc14360"/>
      <w:bookmarkStart w:id="191" w:name="_Toc940"/>
      <w:bookmarkStart w:id="192" w:name="_Toc7274"/>
      <w:bookmarkStart w:id="193" w:name="_Toc21216"/>
      <w:bookmarkStart w:id="194" w:name="_Toc26033"/>
      <w:bookmarkStart w:id="195" w:name="_Toc17867"/>
      <w:r>
        <w:rPr>
          <w:rFonts w:hint="eastAsia" w:ascii="黑体" w:hAnsi="黑体" w:eastAsia="黑体" w:cs="黑体"/>
          <w:b w:val="0"/>
          <w:bCs w:val="0"/>
          <w:kern w:val="28"/>
          <w:sz w:val="21"/>
          <w:szCs w:val="21"/>
          <w:lang w:val="en-US" w:eastAsia="zh-CN" w:bidi="ar-SA"/>
        </w:rPr>
        <w:t>B.5  平衡功能测试</w:t>
      </w:r>
      <w:bookmarkEnd w:id="186"/>
      <w:bookmarkEnd w:id="187"/>
      <w:bookmarkEnd w:id="188"/>
      <w:bookmarkEnd w:id="189"/>
      <w:bookmarkEnd w:id="190"/>
      <w:bookmarkEnd w:id="191"/>
      <w:bookmarkEnd w:id="192"/>
      <w:bookmarkEnd w:id="193"/>
      <w:bookmarkEnd w:id="194"/>
      <w:bookmarkEnd w:id="195"/>
    </w:p>
    <w:p>
      <w:pPr>
        <w:widowControl/>
        <w:ind w:firstLine="416" w:firstLineChars="200"/>
        <w:jc w:val="left"/>
        <w:rPr>
          <w:rFonts w:hint="eastAsia" w:ascii="宋体" w:hAnsi="宋体" w:cs="宋体"/>
          <w:b/>
          <w:sz w:val="20"/>
          <w:szCs w:val="20"/>
          <w:lang w:val="en-US" w:eastAsia="zh-CN"/>
        </w:rPr>
      </w:pPr>
      <w:r>
        <w:rPr>
          <w:rFonts w:hint="eastAsia" w:ascii="宋体" w:hAnsi="宋体" w:eastAsia="宋体" w:cs="宋体"/>
          <w:spacing w:val="-1"/>
          <w:sz w:val="21"/>
          <w:szCs w:val="21"/>
          <w:lang w:val="en-US" w:eastAsia="zh-CN"/>
        </w:rPr>
        <w:t>采用3米“起立－行走”往返计时测试评价老年人的平衡功能，用时≥12秒者存在一定跌倒风险。平衡功能测试见表B.5。</w:t>
      </w: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r>
        <w:rPr>
          <w:rFonts w:hint="eastAsia" w:ascii="黑体" w:hAnsi="黑体" w:eastAsia="黑体" w:cs="黑体"/>
          <w:b w:val="0"/>
          <w:bCs/>
          <w:kern w:val="2"/>
          <w:sz w:val="21"/>
          <w:szCs w:val="21"/>
          <w:lang w:val="en-US" w:eastAsia="zh-CN" w:bidi="ar-SA"/>
        </w:rPr>
        <w:t>表B.5  平衡功能测试表</w:t>
      </w:r>
    </w:p>
    <w:tbl>
      <w:tblPr>
        <w:tblStyle w:val="21"/>
        <w:tblW w:w="93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7"/>
        <w:gridCol w:w="6045"/>
        <w:gridCol w:w="1551"/>
        <w:gridCol w:w="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827" w:type="dxa"/>
            <w:shd w:val="clear" w:color="auto" w:fill="FFFFFF" w:themeFill="background1"/>
            <w:noWrap w:val="0"/>
            <w:vAlign w:val="center"/>
          </w:tcPr>
          <w:p>
            <w:pPr>
              <w:pStyle w:val="28"/>
              <w:ind w:firstLine="0" w:firstLineChars="0"/>
              <w:jc w:val="center"/>
              <w:rPr>
                <w:rFonts w:ascii="宋体" w:hAnsi="宋体"/>
                <w:b/>
                <w:bCs w:val="0"/>
                <w:sz w:val="18"/>
                <w:szCs w:val="18"/>
              </w:rPr>
            </w:pPr>
            <w:r>
              <w:rPr>
                <w:rFonts w:hint="eastAsia" w:ascii="宋体" w:hAnsi="宋体"/>
                <w:b/>
                <w:bCs w:val="0"/>
                <w:sz w:val="18"/>
                <w:szCs w:val="18"/>
              </w:rPr>
              <w:t>项目</w:t>
            </w:r>
          </w:p>
        </w:tc>
        <w:tc>
          <w:tcPr>
            <w:tcW w:w="6045" w:type="dxa"/>
            <w:shd w:val="clear" w:color="auto" w:fill="FFFFFF" w:themeFill="background1"/>
            <w:noWrap w:val="0"/>
            <w:vAlign w:val="center"/>
          </w:tcPr>
          <w:p>
            <w:pPr>
              <w:pStyle w:val="28"/>
              <w:ind w:firstLine="0" w:firstLineChars="0"/>
              <w:jc w:val="center"/>
              <w:rPr>
                <w:rFonts w:ascii="宋体" w:hAnsi="宋体"/>
                <w:b/>
                <w:bCs w:val="0"/>
                <w:sz w:val="18"/>
                <w:szCs w:val="18"/>
              </w:rPr>
            </w:pPr>
            <w:r>
              <w:rPr>
                <w:rFonts w:hint="eastAsia" w:ascii="宋体" w:hAnsi="宋体"/>
                <w:b/>
                <w:bCs w:val="0"/>
                <w:sz w:val="18"/>
                <w:szCs w:val="18"/>
              </w:rPr>
              <w:t>评分</w:t>
            </w:r>
          </w:p>
        </w:tc>
        <w:tc>
          <w:tcPr>
            <w:tcW w:w="1551" w:type="dxa"/>
            <w:shd w:val="clear" w:color="auto" w:fill="FFFFFF" w:themeFill="background1"/>
            <w:noWrap w:val="0"/>
            <w:vAlign w:val="center"/>
          </w:tcPr>
          <w:p>
            <w:pPr>
              <w:pStyle w:val="28"/>
              <w:ind w:firstLine="0" w:firstLineChars="0"/>
              <w:jc w:val="center"/>
              <w:rPr>
                <w:rFonts w:ascii="宋体" w:hAnsi="宋体"/>
                <w:b/>
                <w:bCs w:val="0"/>
                <w:sz w:val="18"/>
                <w:szCs w:val="18"/>
              </w:rPr>
            </w:pPr>
            <w:r>
              <w:rPr>
                <w:rFonts w:hint="eastAsia" w:ascii="宋体" w:hAnsi="宋体"/>
                <w:b/>
                <w:bCs w:val="0"/>
                <w:sz w:val="18"/>
                <w:szCs w:val="18"/>
              </w:rPr>
              <w:t>评价标准</w:t>
            </w:r>
          </w:p>
        </w:tc>
        <w:tc>
          <w:tcPr>
            <w:tcW w:w="900" w:type="dxa"/>
            <w:shd w:val="clear" w:color="auto" w:fill="FFFFFF" w:themeFill="background1"/>
            <w:noWrap w:val="0"/>
            <w:vAlign w:val="center"/>
          </w:tcPr>
          <w:p>
            <w:pPr>
              <w:pStyle w:val="28"/>
              <w:ind w:firstLine="0" w:firstLineChars="0"/>
              <w:jc w:val="center"/>
              <w:rPr>
                <w:rFonts w:hint="eastAsia" w:ascii="宋体" w:hAnsi="宋体"/>
                <w:b/>
                <w:bCs w:val="0"/>
                <w:sz w:val="18"/>
                <w:szCs w:val="18"/>
              </w:rPr>
            </w:pPr>
            <w:r>
              <w:rPr>
                <w:rFonts w:hint="eastAsia" w:ascii="宋体" w:hAnsi="宋体"/>
                <w:b/>
                <w:bCs w:val="0"/>
                <w:sz w:val="18"/>
                <w:szCs w:val="18"/>
              </w:rPr>
              <w:t>跌倒</w:t>
            </w:r>
          </w:p>
          <w:p>
            <w:pPr>
              <w:pStyle w:val="28"/>
              <w:ind w:firstLine="0" w:firstLineChars="0"/>
              <w:jc w:val="center"/>
              <w:rPr>
                <w:rFonts w:ascii="宋体" w:hAnsi="宋体"/>
                <w:b/>
                <w:bCs w:val="0"/>
                <w:sz w:val="18"/>
                <w:szCs w:val="18"/>
              </w:rPr>
            </w:pPr>
            <w:r>
              <w:rPr>
                <w:rFonts w:hint="eastAsia" w:ascii="宋体" w:hAnsi="宋体"/>
                <w:b/>
                <w:bCs w:val="0"/>
                <w:sz w:val="18"/>
                <w:szCs w:val="18"/>
              </w:rPr>
              <w:t>风险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7" w:type="dxa"/>
            <w:vMerge w:val="restart"/>
            <w:noWrap w:val="0"/>
            <w:vAlign w:val="center"/>
          </w:tcPr>
          <w:p>
            <w:pPr>
              <w:pStyle w:val="28"/>
              <w:ind w:firstLine="0" w:firstLineChars="0"/>
              <w:rPr>
                <w:rFonts w:ascii="宋体" w:hAnsi="宋体"/>
                <w:b w:val="0"/>
                <w:bCs/>
                <w:sz w:val="20"/>
                <w:szCs w:val="20"/>
              </w:rPr>
            </w:pPr>
            <w:r>
              <w:rPr>
                <w:rFonts w:hint="eastAsia" w:ascii="宋体" w:hAnsi="宋体"/>
                <w:b w:val="0"/>
                <w:bCs/>
                <w:sz w:val="18"/>
                <w:szCs w:val="18"/>
              </w:rPr>
              <w:t>“起立</w:t>
            </w:r>
            <w:r>
              <w:rPr>
                <w:rFonts w:hint="eastAsia" w:ascii="宋体" w:hAnsi="宋体"/>
                <w:b w:val="0"/>
                <w:bCs/>
                <w:sz w:val="18"/>
                <w:szCs w:val="18"/>
                <w:lang w:eastAsia="zh-CN"/>
              </w:rPr>
              <w:t>－</w:t>
            </w:r>
            <w:r>
              <w:rPr>
                <w:rFonts w:hint="eastAsia" w:ascii="宋体" w:hAnsi="宋体"/>
                <w:b w:val="0"/>
                <w:bCs/>
                <w:sz w:val="18"/>
                <w:szCs w:val="18"/>
              </w:rPr>
              <w:t>行走”计时测试</w:t>
            </w:r>
          </w:p>
        </w:tc>
        <w:tc>
          <w:tcPr>
            <w:tcW w:w="6045" w:type="dxa"/>
            <w:noWrap w:val="0"/>
            <w:vAlign w:val="center"/>
          </w:tcPr>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第一次测试用时：□□.□□秒</w:t>
            </w:r>
          </w:p>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第二次测试用时：□□.□□秒</w:t>
            </w:r>
          </w:p>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平均测试用时：□□.□□秒   （前两次测试用时的平均值）</w:t>
            </w:r>
          </w:p>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如两次测试时间差距大于4秒，请休息20分钟后重测2次。</w:t>
            </w:r>
          </w:p>
        </w:tc>
        <w:tc>
          <w:tcPr>
            <w:tcW w:w="1551" w:type="dxa"/>
            <w:vMerge w:val="restart"/>
            <w:noWrap w:val="0"/>
            <w:vAlign w:val="center"/>
          </w:tcPr>
          <w:p>
            <w:pPr>
              <w:pStyle w:val="28"/>
              <w:ind w:firstLine="0" w:firstLineChars="0"/>
              <w:rPr>
                <w:rFonts w:hint="eastAsia" w:ascii="宋体" w:hAnsi="宋体" w:cs="宋体"/>
                <w:b w:val="0"/>
                <w:bCs/>
                <w:sz w:val="18"/>
                <w:szCs w:val="18"/>
              </w:rPr>
            </w:pPr>
            <w:r>
              <w:rPr>
                <w:rFonts w:hint="eastAsia" w:ascii="宋体" w:hAnsi="宋体" w:cs="宋体"/>
                <w:b w:val="0"/>
                <w:bCs/>
                <w:i w:val="0"/>
                <w:iCs/>
                <w:sz w:val="18"/>
                <w:szCs w:val="18"/>
              </w:rPr>
              <w:t>用时≥12秒者存在一定跌倒风险</w:t>
            </w:r>
          </w:p>
        </w:tc>
        <w:tc>
          <w:tcPr>
            <w:tcW w:w="900" w:type="dxa"/>
            <w:vMerge w:val="restart"/>
            <w:noWrap w:val="0"/>
            <w:vAlign w:val="center"/>
          </w:tcPr>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□有</w:t>
            </w:r>
          </w:p>
          <w:p>
            <w:pPr>
              <w:pStyle w:val="28"/>
              <w:ind w:firstLine="0" w:firstLineChars="0"/>
              <w:rPr>
                <w:rFonts w:hint="eastAsia" w:ascii="宋体" w:hAnsi="宋体" w:cs="宋体"/>
                <w:b w:val="0"/>
                <w:bCs/>
                <w:sz w:val="18"/>
                <w:szCs w:val="18"/>
              </w:rPr>
            </w:pPr>
            <w:r>
              <w:rPr>
                <w:rFonts w:hint="eastAsia" w:ascii="宋体" w:hAnsi="宋体" w:cs="宋体"/>
                <w:b w:val="0"/>
                <w:bCs/>
                <w:sz w:val="18"/>
                <w:szCs w:val="18"/>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7" w:type="dxa"/>
            <w:vMerge w:val="continue"/>
            <w:noWrap w:val="0"/>
            <w:vAlign w:val="center"/>
          </w:tcPr>
          <w:p>
            <w:pPr>
              <w:pStyle w:val="28"/>
              <w:ind w:firstLine="0" w:firstLineChars="0"/>
              <w:rPr>
                <w:rFonts w:ascii="宋体" w:hAnsi="宋体"/>
                <w:sz w:val="20"/>
                <w:szCs w:val="20"/>
              </w:rPr>
            </w:pPr>
          </w:p>
        </w:tc>
        <w:tc>
          <w:tcPr>
            <w:tcW w:w="6045" w:type="dxa"/>
            <w:noWrap w:val="0"/>
            <w:vAlign w:val="top"/>
          </w:tcPr>
          <w:p>
            <w:pPr>
              <w:pStyle w:val="28"/>
              <w:ind w:firstLine="0" w:firstLineChars="0"/>
              <w:jc w:val="both"/>
              <w:rPr>
                <w:rFonts w:hint="eastAsia" w:ascii="宋体" w:hAnsi="宋体" w:cs="宋体"/>
                <w:sz w:val="18"/>
                <w:szCs w:val="18"/>
              </w:rPr>
            </w:pPr>
            <w:r>
              <w:rPr>
                <w:rFonts w:hint="eastAsia" w:ascii="宋体" w:hAnsi="宋体" w:cs="宋体"/>
                <w:sz w:val="18"/>
                <w:szCs w:val="18"/>
              </w:rPr>
              <w:t>观察受试者完成测试过程中的姿势控制、步态、步长、身体摆动等情况，是否出现下列情况：</w:t>
            </w:r>
          </w:p>
          <w:p>
            <w:pPr>
              <w:pStyle w:val="28"/>
              <w:ind w:firstLine="0" w:firstLineChars="0"/>
              <w:jc w:val="both"/>
              <w:rPr>
                <w:rFonts w:hint="eastAsia" w:ascii="宋体" w:hAnsi="宋体" w:cs="宋体"/>
                <w:sz w:val="18"/>
                <w:szCs w:val="18"/>
              </w:rPr>
            </w:pPr>
            <w:r>
              <w:rPr>
                <w:rFonts w:hint="eastAsia" w:ascii="宋体" w:hAnsi="宋体" w:cs="宋体"/>
                <w:sz w:val="18"/>
                <w:szCs w:val="18"/>
              </w:rPr>
              <w:t xml:space="preserve">□缓慢试探性步态            </w:t>
            </w:r>
            <w:r>
              <w:rPr>
                <w:rFonts w:hint="eastAsia" w:ascii="宋体" w:hAnsi="宋体" w:cs="宋体"/>
                <w:sz w:val="18"/>
                <w:szCs w:val="18"/>
                <w:lang w:val="en-US" w:eastAsia="zh-CN"/>
              </w:rPr>
              <w:t xml:space="preserve">       </w:t>
            </w:r>
            <w:r>
              <w:rPr>
                <w:rFonts w:hint="eastAsia" w:ascii="宋体" w:hAnsi="宋体" w:cs="宋体"/>
                <w:sz w:val="18"/>
                <w:szCs w:val="18"/>
              </w:rPr>
              <w:t xml:space="preserve"> □身体失去平衡</w:t>
            </w:r>
          </w:p>
          <w:p>
            <w:pPr>
              <w:pStyle w:val="28"/>
              <w:ind w:firstLine="0" w:firstLineChars="0"/>
              <w:jc w:val="both"/>
              <w:rPr>
                <w:rFonts w:hint="eastAsia" w:ascii="宋体" w:hAnsi="宋体" w:cs="宋体"/>
                <w:sz w:val="18"/>
                <w:szCs w:val="18"/>
              </w:rPr>
            </w:pPr>
            <w:r>
              <w:rPr>
                <w:rFonts w:hint="eastAsia" w:ascii="宋体" w:hAnsi="宋体" w:cs="宋体"/>
                <w:sz w:val="18"/>
                <w:szCs w:val="18"/>
              </w:rPr>
              <w:t>□步长</w:t>
            </w:r>
            <w:r>
              <w:rPr>
                <w:rFonts w:hint="eastAsia" w:ascii="宋体" w:hAnsi="宋体" w:cs="宋体"/>
                <w:sz w:val="18"/>
                <w:szCs w:val="18"/>
                <w:lang w:val="en-US" w:eastAsia="zh-CN"/>
              </w:rPr>
              <w:t>较</w:t>
            </w:r>
            <w:r>
              <w:rPr>
                <w:rFonts w:hint="eastAsia" w:ascii="宋体" w:hAnsi="宋体" w:cs="宋体"/>
                <w:sz w:val="18"/>
                <w:szCs w:val="18"/>
              </w:rPr>
              <w:t xml:space="preserve">短                   </w:t>
            </w:r>
            <w:r>
              <w:rPr>
                <w:rFonts w:hint="eastAsia" w:ascii="宋体" w:hAnsi="宋体" w:cs="宋体"/>
                <w:sz w:val="18"/>
                <w:szCs w:val="18"/>
                <w:lang w:val="en-US" w:eastAsia="zh-CN"/>
              </w:rPr>
              <w:t xml:space="preserve">       </w:t>
            </w:r>
            <w:r>
              <w:rPr>
                <w:rFonts w:hint="eastAsia" w:ascii="宋体" w:hAnsi="宋体" w:cs="宋体"/>
                <w:sz w:val="18"/>
                <w:szCs w:val="18"/>
              </w:rPr>
              <w:t>□靠墙保持稳定</w:t>
            </w:r>
          </w:p>
          <w:p>
            <w:pPr>
              <w:pStyle w:val="28"/>
              <w:ind w:firstLine="0" w:firstLineChars="0"/>
              <w:jc w:val="both"/>
              <w:rPr>
                <w:rFonts w:hint="eastAsia" w:ascii="宋体" w:hAnsi="宋体" w:cs="宋体"/>
                <w:sz w:val="18"/>
                <w:szCs w:val="18"/>
              </w:rPr>
            </w:pPr>
            <w:r>
              <w:rPr>
                <w:rFonts w:hint="eastAsia" w:ascii="宋体" w:hAnsi="宋体" w:cs="宋体"/>
                <w:sz w:val="18"/>
                <w:szCs w:val="18"/>
                <w:lang w:eastAsia="zh-CN"/>
              </w:rPr>
              <w:t>□</w:t>
            </w:r>
            <w:r>
              <w:rPr>
                <w:rFonts w:hint="eastAsia" w:ascii="宋体" w:hAnsi="宋体" w:cs="宋体"/>
                <w:sz w:val="18"/>
                <w:szCs w:val="18"/>
              </w:rPr>
              <w:t xml:space="preserve">胳膊没有摆动或仅有小幅度摆动      □拖着脚走路             </w:t>
            </w:r>
          </w:p>
          <w:p>
            <w:pPr>
              <w:pStyle w:val="28"/>
              <w:ind w:firstLine="0" w:firstLineChars="0"/>
              <w:jc w:val="both"/>
              <w:rPr>
                <w:rFonts w:hint="eastAsia" w:ascii="宋体" w:hAnsi="宋体" w:cs="宋体"/>
                <w:sz w:val="18"/>
                <w:szCs w:val="18"/>
              </w:rPr>
            </w:pPr>
            <w:r>
              <w:rPr>
                <w:rFonts w:hint="eastAsia" w:ascii="宋体" w:hAnsi="宋体" w:cs="宋体"/>
                <w:sz w:val="18"/>
                <w:szCs w:val="18"/>
              </w:rPr>
              <w:t xml:space="preserve">□整个身体一起转身          </w:t>
            </w:r>
            <w:r>
              <w:rPr>
                <w:rFonts w:hint="eastAsia" w:ascii="宋体" w:hAnsi="宋体" w:cs="宋体"/>
                <w:sz w:val="18"/>
                <w:szCs w:val="18"/>
                <w:lang w:val="en-US" w:eastAsia="zh-CN"/>
              </w:rPr>
              <w:t xml:space="preserve">       </w:t>
            </w:r>
            <w:r>
              <w:rPr>
                <w:rFonts w:hint="eastAsia" w:ascii="宋体" w:hAnsi="宋体" w:cs="宋体"/>
                <w:sz w:val="18"/>
                <w:szCs w:val="18"/>
              </w:rPr>
              <w:t xml:space="preserve"> □未正确使用助行设备、工具</w:t>
            </w:r>
          </w:p>
        </w:tc>
        <w:tc>
          <w:tcPr>
            <w:tcW w:w="1551" w:type="dxa"/>
            <w:vMerge w:val="continue"/>
            <w:noWrap w:val="0"/>
            <w:vAlign w:val="center"/>
          </w:tcPr>
          <w:p>
            <w:pPr>
              <w:pStyle w:val="28"/>
              <w:ind w:firstLine="0" w:firstLineChars="0"/>
              <w:rPr>
                <w:rFonts w:hint="eastAsia" w:ascii="宋体" w:hAnsi="宋体" w:cs="宋体"/>
                <w:sz w:val="18"/>
                <w:szCs w:val="18"/>
              </w:rPr>
            </w:pPr>
          </w:p>
        </w:tc>
        <w:tc>
          <w:tcPr>
            <w:tcW w:w="900" w:type="dxa"/>
            <w:vMerge w:val="continue"/>
            <w:noWrap w:val="0"/>
            <w:vAlign w:val="center"/>
          </w:tcPr>
          <w:p>
            <w:pPr>
              <w:pStyle w:val="28"/>
              <w:ind w:firstLine="0" w:firstLineChars="0"/>
              <w:rPr>
                <w:rFonts w:hint="eastAsia" w:ascii="宋体" w:hAnsi="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1" w:hRule="atLeast"/>
          <w:jc w:val="center"/>
        </w:trPr>
        <w:tc>
          <w:tcPr>
            <w:tcW w:w="827" w:type="dxa"/>
            <w:vMerge w:val="continue"/>
            <w:noWrap w:val="0"/>
            <w:vAlign w:val="center"/>
          </w:tcPr>
          <w:p>
            <w:pPr>
              <w:pStyle w:val="28"/>
              <w:ind w:firstLine="0" w:firstLineChars="0"/>
              <w:rPr>
                <w:rFonts w:ascii="宋体" w:hAnsi="宋体"/>
                <w:sz w:val="20"/>
                <w:szCs w:val="20"/>
              </w:rPr>
            </w:pPr>
          </w:p>
        </w:tc>
        <w:tc>
          <w:tcPr>
            <w:tcW w:w="60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firstLine="360" w:firstLineChars="200"/>
              <w:jc w:val="left"/>
              <w:textAlignment w:val="baseline"/>
              <w:rPr>
                <w:rFonts w:hint="eastAsia" w:ascii="宋体" w:hAnsi="宋体" w:cs="宋体" w:eastAsiaTheme="minorEastAsia"/>
                <w:kern w:val="2"/>
                <w:sz w:val="18"/>
                <w:szCs w:val="18"/>
                <w:lang w:val="en-US" w:eastAsia="zh-CN" w:bidi="ar-SA"/>
              </w:rPr>
            </w:pPr>
            <w:r>
              <w:rPr>
                <w:rFonts w:hint="eastAsia" w:ascii="宋体" w:hAnsi="宋体" w:cs="宋体" w:eastAsiaTheme="minorEastAsia"/>
                <w:kern w:val="2"/>
                <w:sz w:val="18"/>
                <w:szCs w:val="18"/>
                <w:lang w:val="en-US" w:eastAsia="zh-CN" w:bidi="ar-SA"/>
              </w:rPr>
              <w:t>测试方法：</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360" w:firstLineChars="200"/>
              <w:jc w:val="left"/>
              <w:textAlignment w:val="baseline"/>
              <w:rPr>
                <w:rFonts w:hint="eastAsia" w:ascii="宋体" w:hAnsi="宋体" w:cs="宋体"/>
                <w:sz w:val="18"/>
                <w:szCs w:val="18"/>
              </w:rPr>
            </w:pPr>
            <w:r>
              <w:rPr>
                <w:rFonts w:hint="eastAsia" w:ascii="宋体" w:hAnsi="宋体" w:cs="宋体" w:eastAsiaTheme="minorEastAsia"/>
                <w:kern w:val="2"/>
                <w:sz w:val="18"/>
                <w:szCs w:val="18"/>
                <w:lang w:val="en-US" w:eastAsia="zh-CN" w:bidi="ar-SA"/>
              </w:rPr>
              <w:t>受试者坐在有扶手的靠背椅上，身体靠在椅背上，双手放在扶手上。如果使用助行具</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如手杖、助行架</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则将助行具握在手中。当测试者发出“开始”的指令后</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受试者从靠背椅上站起。站稳后</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按照平时走路的速度和步态</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向前走 3 米</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过3m标记线处后转身</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然后走回到椅子前</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再转身坐下</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靠到椅背上。测试者记录受试者背部离开椅背到再次坐下</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靠到椅背</w:t>
            </w:r>
            <w:r>
              <w:rPr>
                <w:rFonts w:hint="eastAsia" w:ascii="宋体" w:hAnsi="宋体" w:cs="宋体"/>
                <w:kern w:val="2"/>
                <w:sz w:val="18"/>
                <w:szCs w:val="18"/>
                <w:lang w:val="en-US" w:eastAsia="zh-CN" w:bidi="ar-SA"/>
              </w:rPr>
              <w:t>）</w:t>
            </w:r>
            <w:r>
              <w:rPr>
                <w:rFonts w:hint="eastAsia" w:ascii="宋体" w:hAnsi="宋体" w:cs="宋体" w:eastAsiaTheme="minorEastAsia"/>
                <w:kern w:val="2"/>
                <w:sz w:val="18"/>
                <w:szCs w:val="18"/>
                <w:lang w:val="en-US" w:eastAsia="zh-CN" w:bidi="ar-SA"/>
              </w:rPr>
              <w:t>所用的时间。</w:t>
            </w:r>
          </w:p>
        </w:tc>
        <w:tc>
          <w:tcPr>
            <w:tcW w:w="1551" w:type="dxa"/>
            <w:vMerge w:val="continue"/>
            <w:noWrap w:val="0"/>
            <w:vAlign w:val="center"/>
          </w:tcPr>
          <w:p>
            <w:pPr>
              <w:pStyle w:val="28"/>
              <w:ind w:firstLine="0" w:firstLineChars="0"/>
              <w:rPr>
                <w:rFonts w:hint="eastAsia" w:ascii="宋体" w:hAnsi="宋体" w:cs="宋体"/>
                <w:sz w:val="18"/>
                <w:szCs w:val="18"/>
              </w:rPr>
            </w:pPr>
          </w:p>
        </w:tc>
        <w:tc>
          <w:tcPr>
            <w:tcW w:w="900" w:type="dxa"/>
            <w:vMerge w:val="continue"/>
            <w:noWrap w:val="0"/>
            <w:vAlign w:val="center"/>
          </w:tcPr>
          <w:p>
            <w:pPr>
              <w:pStyle w:val="28"/>
              <w:ind w:firstLine="0" w:firstLineChars="0"/>
              <w:rPr>
                <w:rFonts w:hint="eastAsia" w:ascii="宋体" w:hAnsi="宋体" w:cs="宋体"/>
                <w:sz w:val="18"/>
                <w:szCs w:val="18"/>
              </w:rPr>
            </w:pPr>
          </w:p>
        </w:tc>
      </w:tr>
    </w:tbl>
    <w:p>
      <w:pPr>
        <w:pStyle w:val="2"/>
        <w:rPr>
          <w:rFonts w:hint="default" w:ascii="宋体" w:hAnsi="宋体" w:eastAsia="宋体"/>
          <w:b/>
          <w:sz w:val="20"/>
          <w:szCs w:val="20"/>
          <w:shd w:val="pct10" w:color="auto" w:fill="FFFFFF"/>
          <w:lang w:val="en-US" w:eastAsia="zh-CN"/>
        </w:rPr>
        <w:sectPr>
          <w:footerReference r:id="rId21" w:type="default"/>
          <w:footerReference r:id="rId22"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numPr>
          <w:ilvl w:val="0"/>
          <w:numId w:val="0"/>
        </w:numPr>
        <w:spacing w:before="157" w:beforeLines="50" w:after="157" w:afterLines="50"/>
        <w:jc w:val="left"/>
        <w:outlineLvl w:val="0"/>
        <w:rPr>
          <w:rFonts w:hint="eastAsia" w:ascii="黑体" w:hAnsi="黑体" w:eastAsia="黑体" w:cs="黑体"/>
          <w:b w:val="0"/>
          <w:bCs w:val="0"/>
          <w:kern w:val="28"/>
          <w:sz w:val="21"/>
          <w:szCs w:val="21"/>
          <w:lang w:val="en-US" w:eastAsia="zh-CN" w:bidi="ar-SA"/>
        </w:rPr>
      </w:pPr>
      <w:bookmarkStart w:id="196" w:name="_Toc30208"/>
      <w:bookmarkStart w:id="197" w:name="_Toc22338"/>
      <w:bookmarkStart w:id="198" w:name="_Toc2228"/>
      <w:bookmarkStart w:id="199" w:name="_Toc5012"/>
      <w:bookmarkStart w:id="200" w:name="_Toc4424"/>
      <w:bookmarkStart w:id="201" w:name="_Toc6340"/>
      <w:bookmarkStart w:id="202" w:name="_Toc6028"/>
      <w:bookmarkStart w:id="203" w:name="_Toc25448"/>
      <w:bookmarkStart w:id="204" w:name="_Toc2454"/>
      <w:bookmarkStart w:id="205" w:name="_Toc29268"/>
      <w:r>
        <w:rPr>
          <w:rFonts w:hint="eastAsia" w:ascii="黑体" w:hAnsi="黑体" w:eastAsia="黑体" w:cs="黑体"/>
          <w:b w:val="0"/>
          <w:bCs w:val="0"/>
          <w:kern w:val="28"/>
          <w:sz w:val="21"/>
          <w:szCs w:val="21"/>
          <w:lang w:val="en-US" w:eastAsia="zh-CN" w:bidi="ar-SA"/>
        </w:rPr>
        <w:t>B.6  跌倒风险等级判断</w:t>
      </w:r>
      <w:bookmarkEnd w:id="196"/>
      <w:bookmarkEnd w:id="197"/>
      <w:bookmarkEnd w:id="198"/>
      <w:bookmarkEnd w:id="199"/>
      <w:bookmarkEnd w:id="200"/>
      <w:bookmarkEnd w:id="201"/>
      <w:bookmarkEnd w:id="202"/>
      <w:bookmarkEnd w:id="203"/>
      <w:bookmarkEnd w:id="204"/>
      <w:bookmarkEnd w:id="205"/>
    </w:p>
    <w:p>
      <w:pPr>
        <w:widowControl/>
        <w:ind w:firstLine="416" w:firstLineChars="200"/>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根据跌倒风险自评得分、跌倒风险核心问题、平衡功能测试等条件判断最终的跌倒风险等级。跌倒风险等级判断见表B.6。</w:t>
      </w:r>
    </w:p>
    <w:p>
      <w:pPr>
        <w:adjustRightInd w:val="0"/>
        <w:snapToGrid w:val="0"/>
        <w:spacing w:before="157" w:beforeLines="50" w:after="157" w:afterLines="50"/>
        <w:jc w:val="center"/>
        <w:rPr>
          <w:rFonts w:hint="eastAsia" w:ascii="黑体" w:hAnsi="黑体" w:eastAsia="黑体" w:cs="黑体"/>
          <w:b w:val="0"/>
          <w:bCs/>
          <w:kern w:val="2"/>
          <w:sz w:val="21"/>
          <w:szCs w:val="21"/>
          <w:lang w:val="en-US" w:eastAsia="zh-CN" w:bidi="ar-SA"/>
        </w:rPr>
      </w:pPr>
      <w:r>
        <w:rPr>
          <w:rFonts w:hint="eastAsia" w:ascii="黑体" w:hAnsi="黑体" w:eastAsia="黑体" w:cs="黑体"/>
          <w:b w:val="0"/>
          <w:bCs/>
          <w:kern w:val="2"/>
          <w:sz w:val="21"/>
          <w:szCs w:val="21"/>
          <w:lang w:val="en-US" w:eastAsia="zh-CN" w:bidi="ar-SA"/>
        </w:rPr>
        <w:t>表B.6  跌倒风险等级判断表</w:t>
      </w:r>
    </w:p>
    <w:tbl>
      <w:tblPr>
        <w:tblStyle w:val="21"/>
        <w:tblW w:w="9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4"/>
        <w:gridCol w:w="1858"/>
        <w:gridCol w:w="3402"/>
        <w:gridCol w:w="850"/>
        <w:gridCol w:w="1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exact"/>
          <w:jc w:val="center"/>
        </w:trPr>
        <w:tc>
          <w:tcPr>
            <w:tcW w:w="2354"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判断条件1</w:t>
            </w:r>
          </w:p>
        </w:tc>
        <w:tc>
          <w:tcPr>
            <w:tcW w:w="1858"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判断条件2</w:t>
            </w:r>
          </w:p>
        </w:tc>
        <w:tc>
          <w:tcPr>
            <w:tcW w:w="3402"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判断条件3</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跌倒</w:t>
            </w:r>
          </w:p>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风险</w:t>
            </w:r>
          </w:p>
        </w:tc>
        <w:tc>
          <w:tcPr>
            <w:tcW w:w="1093"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bCs w:val="0"/>
                <w:sz w:val="18"/>
                <w:szCs w:val="18"/>
              </w:rPr>
            </w:pPr>
            <w:r>
              <w:rPr>
                <w:rFonts w:hint="eastAsia" w:ascii="宋体" w:hAnsi="宋体" w:eastAsia="宋体" w:cs="宋体"/>
                <w:b/>
                <w:bCs w:val="0"/>
                <w:sz w:val="18"/>
                <w:szCs w:val="18"/>
              </w:rPr>
              <w:t>本受试者跌倒风险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354" w:type="dxa"/>
            <w:tcBorders>
              <w:tl2br w:val="nil"/>
              <w:tr2bl w:val="nil"/>
            </w:tcBorders>
            <w:shd w:val="clear" w:color="auto" w:fill="auto"/>
            <w:noWrap w:val="0"/>
            <w:vAlign w:val="center"/>
          </w:tcPr>
          <w:p>
            <w:pPr>
              <w:pStyle w:val="28"/>
              <w:numPr>
                <w:ilvl w:val="0"/>
                <w:numId w:val="13"/>
              </w:numPr>
              <w:ind w:firstLineChars="0"/>
              <w:rPr>
                <w:rFonts w:hint="eastAsia" w:ascii="宋体" w:hAnsi="宋体" w:eastAsia="宋体" w:cs="宋体"/>
                <w:b w:val="0"/>
                <w:bCs/>
                <w:kern w:val="0"/>
                <w:sz w:val="18"/>
                <w:szCs w:val="18"/>
              </w:rPr>
            </w:pPr>
            <w:r>
              <w:rPr>
                <w:rFonts w:hint="eastAsia" w:ascii="宋体" w:hAnsi="宋体" w:eastAsia="宋体" w:cs="宋体"/>
                <w:b w:val="0"/>
                <w:bCs/>
                <w:kern w:val="0"/>
                <w:sz w:val="18"/>
                <w:szCs w:val="18"/>
              </w:rPr>
              <w:t>跌倒风险自评得分</w:t>
            </w:r>
            <w:r>
              <w:rPr>
                <w:rFonts w:hint="eastAsia" w:ascii="宋体" w:hAnsi="宋体" w:eastAsia="宋体" w:cs="宋体"/>
                <w:b w:val="0"/>
                <w:bCs/>
                <w:kern w:val="0"/>
                <w:sz w:val="18"/>
                <w:szCs w:val="18"/>
                <w:lang w:eastAsia="zh-CN"/>
              </w:rPr>
              <w:t>（</w:t>
            </w:r>
            <w:r>
              <w:rPr>
                <w:rFonts w:hint="eastAsia" w:ascii="宋体" w:hAnsi="宋体" w:eastAsia="宋体" w:cs="宋体"/>
                <w:b w:val="0"/>
                <w:bCs/>
                <w:kern w:val="0"/>
                <w:sz w:val="18"/>
                <w:szCs w:val="18"/>
              </w:rPr>
              <w:t>总分</w:t>
            </w:r>
            <w:r>
              <w:rPr>
                <w:rFonts w:hint="eastAsia" w:ascii="宋体" w:hAnsi="宋体" w:eastAsia="宋体" w:cs="宋体"/>
                <w:b w:val="0"/>
                <w:bCs/>
                <w:kern w:val="0"/>
                <w:sz w:val="18"/>
                <w:szCs w:val="18"/>
                <w:lang w:eastAsia="zh-CN"/>
              </w:rPr>
              <w:t>）</w:t>
            </w:r>
            <w:r>
              <w:rPr>
                <w:rFonts w:hint="eastAsia" w:ascii="宋体" w:hAnsi="宋体" w:eastAsia="宋体" w:cs="宋体"/>
                <w:b w:val="0"/>
                <w:bCs/>
                <w:kern w:val="0"/>
                <w:sz w:val="18"/>
                <w:szCs w:val="18"/>
              </w:rPr>
              <w:t>小于4分</w:t>
            </w:r>
          </w:p>
          <w:p>
            <w:pPr>
              <w:pStyle w:val="28"/>
              <w:ind w:firstLine="720" w:firstLineChars="400"/>
              <w:rPr>
                <w:rFonts w:hint="eastAsia" w:ascii="宋体" w:hAnsi="宋体" w:eastAsia="宋体" w:cs="宋体"/>
                <w:b w:val="0"/>
                <w:bCs/>
                <w:kern w:val="0"/>
                <w:sz w:val="18"/>
                <w:szCs w:val="18"/>
              </w:rPr>
            </w:pPr>
            <w:r>
              <w:rPr>
                <w:rFonts w:hint="eastAsia" w:ascii="宋体" w:hAnsi="宋体" w:eastAsia="宋体" w:cs="宋体"/>
                <w:b w:val="0"/>
                <w:bCs/>
                <w:kern w:val="0"/>
                <w:sz w:val="18"/>
                <w:szCs w:val="18"/>
                <w:highlight w:val="none"/>
              </w:rPr>
              <w:t>并且</w:t>
            </w:r>
          </w:p>
          <w:p>
            <w:pPr>
              <w:pStyle w:val="28"/>
              <w:numPr>
                <w:ilvl w:val="0"/>
                <w:numId w:val="13"/>
              </w:numPr>
              <w:ind w:firstLineChars="0"/>
              <w:rPr>
                <w:rFonts w:hint="eastAsia" w:ascii="宋体" w:hAnsi="宋体" w:eastAsia="宋体" w:cs="宋体"/>
                <w:b w:val="0"/>
                <w:bCs/>
                <w:kern w:val="0"/>
                <w:sz w:val="18"/>
                <w:szCs w:val="18"/>
              </w:rPr>
            </w:pPr>
            <w:r>
              <w:rPr>
                <w:rFonts w:hint="eastAsia" w:ascii="宋体" w:hAnsi="宋体" w:eastAsia="宋体" w:cs="宋体"/>
                <w:b w:val="0"/>
                <w:bCs/>
                <w:kern w:val="0"/>
                <w:sz w:val="18"/>
                <w:szCs w:val="18"/>
                <w:lang w:val="en-US" w:eastAsia="zh-CN"/>
              </w:rPr>
              <w:t>跌倒风险</w:t>
            </w:r>
            <w:r>
              <w:rPr>
                <w:rFonts w:hint="eastAsia" w:ascii="宋体" w:hAnsi="宋体" w:eastAsia="宋体" w:cs="宋体"/>
                <w:b w:val="0"/>
                <w:bCs/>
                <w:kern w:val="0"/>
                <w:sz w:val="18"/>
                <w:szCs w:val="18"/>
              </w:rPr>
              <w:t>核心问题三题都回答“否”</w:t>
            </w:r>
          </w:p>
        </w:tc>
        <w:tc>
          <w:tcPr>
            <w:tcW w:w="1858" w:type="dxa"/>
            <w:tcBorders>
              <w:tl2br w:val="nil"/>
              <w:tr2bl w:val="nil"/>
            </w:tcBorders>
            <w:shd w:val="clear" w:color="auto" w:fill="auto"/>
            <w:noWrap w:val="0"/>
            <w:vAlign w:val="center"/>
          </w:tcPr>
          <w:p>
            <w:pPr>
              <w:pStyle w:val="28"/>
              <w:ind w:firstLine="0" w:firstLineChars="0"/>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w:t>
            </w:r>
          </w:p>
        </w:tc>
        <w:tc>
          <w:tcPr>
            <w:tcW w:w="3402" w:type="dxa"/>
            <w:tcBorders>
              <w:tl2br w:val="nil"/>
              <w:tr2bl w:val="nil"/>
            </w:tcBorders>
            <w:shd w:val="clear" w:color="auto" w:fill="auto"/>
            <w:noWrap w:val="0"/>
            <w:vAlign w:val="center"/>
          </w:tcPr>
          <w:p>
            <w:pPr>
              <w:pStyle w:val="28"/>
              <w:ind w:firstLine="0" w:firstLineChars="0"/>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低危</w:t>
            </w:r>
          </w:p>
        </w:tc>
        <w:tc>
          <w:tcPr>
            <w:tcW w:w="1093" w:type="dxa"/>
            <w:vMerge w:val="restart"/>
            <w:tcBorders>
              <w:tl2br w:val="nil"/>
              <w:tr2bl w:val="nil"/>
            </w:tcBorders>
            <w:shd w:val="clear" w:color="auto" w:fill="FFFFFF"/>
            <w:noWrap w:val="0"/>
            <w:vAlign w:val="center"/>
          </w:tcPr>
          <w:p>
            <w:pPr>
              <w:pStyle w:val="28"/>
              <w:ind w:firstLine="0" w:firstLineChars="0"/>
              <w:jc w:val="center"/>
              <w:rPr>
                <w:rFonts w:ascii="宋体" w:hAnsi="宋体" w:eastAsia="宋体" w:cs="宋体"/>
                <w:b w:val="0"/>
                <w:bCs/>
                <w:kern w:val="0"/>
                <w:sz w:val="20"/>
                <w:szCs w:val="20"/>
              </w:rPr>
            </w:pPr>
          </w:p>
          <w:p>
            <w:pPr>
              <w:pStyle w:val="28"/>
              <w:ind w:firstLine="0" w:firstLineChars="0"/>
              <w:rPr>
                <w:rFonts w:ascii="宋体" w:hAnsi="宋体" w:eastAsia="宋体" w:cs="宋体"/>
                <w:b w:val="0"/>
                <w:bCs/>
                <w:kern w:val="0"/>
                <w:sz w:val="20"/>
                <w:szCs w:val="20"/>
              </w:rPr>
            </w:pPr>
            <w:r>
              <w:rPr>
                <w:rFonts w:hint="eastAsia" w:ascii="宋体" w:hAnsi="宋体" w:eastAsia="宋体" w:cs="宋体"/>
                <w:b w:val="0"/>
                <w:bCs/>
                <w:kern w:val="0"/>
                <w:sz w:val="20"/>
                <w:szCs w:val="20"/>
              </w:rPr>
              <w:t>□1低危</w:t>
            </w:r>
          </w:p>
          <w:p>
            <w:pPr>
              <w:pStyle w:val="28"/>
              <w:ind w:firstLine="0" w:firstLineChars="0"/>
              <w:rPr>
                <w:rFonts w:ascii="宋体" w:hAnsi="宋体" w:eastAsia="宋体" w:cs="宋体"/>
                <w:b w:val="0"/>
                <w:bCs/>
                <w:kern w:val="0"/>
                <w:sz w:val="20"/>
                <w:szCs w:val="20"/>
              </w:rPr>
            </w:pPr>
            <w:r>
              <w:rPr>
                <w:rFonts w:hint="eastAsia" w:ascii="宋体" w:hAnsi="宋体" w:eastAsia="宋体" w:cs="宋体"/>
                <w:b w:val="0"/>
                <w:bCs/>
                <w:kern w:val="0"/>
                <w:sz w:val="20"/>
                <w:szCs w:val="20"/>
              </w:rPr>
              <w:t>□2中危</w:t>
            </w:r>
          </w:p>
          <w:p>
            <w:pPr>
              <w:pStyle w:val="28"/>
              <w:ind w:firstLine="0" w:firstLineChars="0"/>
              <w:rPr>
                <w:rFonts w:ascii="宋体" w:hAnsi="宋体" w:eastAsia="宋体" w:cs="宋体"/>
                <w:b w:val="0"/>
                <w:bCs/>
                <w:kern w:val="0"/>
                <w:sz w:val="20"/>
                <w:szCs w:val="20"/>
              </w:rPr>
            </w:pPr>
            <w:r>
              <w:rPr>
                <w:rFonts w:hint="eastAsia" w:ascii="宋体" w:hAnsi="宋体" w:eastAsia="宋体" w:cs="宋体"/>
                <w:b w:val="0"/>
                <w:bCs/>
                <w:kern w:val="0"/>
                <w:sz w:val="20"/>
                <w:szCs w:val="20"/>
              </w:rPr>
              <w:t>□3高危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354" w:type="dxa"/>
            <w:vMerge w:val="restart"/>
            <w:tcBorders>
              <w:tl2br w:val="nil"/>
              <w:tr2bl w:val="nil"/>
            </w:tcBorders>
            <w:shd w:val="clear" w:color="auto" w:fill="auto"/>
            <w:noWrap w:val="0"/>
            <w:vAlign w:val="center"/>
          </w:tcPr>
          <w:p>
            <w:pPr>
              <w:pStyle w:val="28"/>
              <w:numPr>
                <w:ilvl w:val="0"/>
                <w:numId w:val="13"/>
              </w:numPr>
              <w:ind w:firstLineChars="0"/>
              <w:rPr>
                <w:rFonts w:hint="eastAsia" w:ascii="宋体" w:hAnsi="宋体" w:eastAsia="宋体" w:cs="宋体"/>
                <w:kern w:val="0"/>
                <w:sz w:val="18"/>
                <w:szCs w:val="18"/>
              </w:rPr>
            </w:pPr>
            <w:r>
              <w:rPr>
                <w:rFonts w:hint="eastAsia" w:ascii="宋体" w:hAnsi="宋体" w:eastAsia="宋体" w:cs="宋体"/>
                <w:kern w:val="0"/>
                <w:sz w:val="18"/>
                <w:szCs w:val="18"/>
              </w:rPr>
              <w:t>跌倒风险自评得分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总分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大于等于4分</w:t>
            </w:r>
          </w:p>
          <w:p>
            <w:pPr>
              <w:pStyle w:val="28"/>
              <w:ind w:firstLine="630" w:firstLineChars="350"/>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或者</w:t>
            </w:r>
          </w:p>
          <w:p>
            <w:pPr>
              <w:pStyle w:val="28"/>
              <w:numPr>
                <w:ilvl w:val="0"/>
                <w:numId w:val="13"/>
              </w:numPr>
              <w:ind w:firstLineChars="0"/>
              <w:rPr>
                <w:rFonts w:hint="eastAsia" w:ascii="宋体" w:hAnsi="宋体" w:eastAsia="宋体" w:cs="宋体"/>
                <w:kern w:val="0"/>
                <w:sz w:val="18"/>
                <w:szCs w:val="18"/>
              </w:rPr>
            </w:pPr>
            <w:r>
              <w:rPr>
                <w:rFonts w:hint="eastAsia" w:ascii="宋体" w:hAnsi="宋体" w:eastAsia="宋体" w:cs="宋体"/>
                <w:b w:val="0"/>
                <w:bCs/>
                <w:kern w:val="0"/>
                <w:sz w:val="18"/>
                <w:szCs w:val="18"/>
                <w:lang w:val="en-US" w:eastAsia="zh-CN"/>
              </w:rPr>
              <w:t>跌倒风险</w:t>
            </w:r>
            <w:r>
              <w:rPr>
                <w:rFonts w:hint="eastAsia" w:ascii="宋体" w:hAnsi="宋体" w:eastAsia="宋体" w:cs="宋体"/>
                <w:kern w:val="0"/>
                <w:sz w:val="18"/>
                <w:szCs w:val="18"/>
              </w:rPr>
              <w:t>核心问题三题任一题回答“是”</w:t>
            </w:r>
          </w:p>
        </w:tc>
        <w:tc>
          <w:tcPr>
            <w:tcW w:w="1858" w:type="dxa"/>
            <w:tcBorders>
              <w:tl2br w:val="nil"/>
              <w:tr2bl w:val="nil"/>
            </w:tcBorders>
            <w:shd w:val="clear" w:color="auto" w:fill="auto"/>
            <w:noWrap w:val="0"/>
            <w:vAlign w:val="center"/>
          </w:tcPr>
          <w:p>
            <w:pPr>
              <w:pStyle w:val="28"/>
              <w:ind w:firstLine="0" w:firstLineChars="0"/>
              <w:rPr>
                <w:rFonts w:hint="eastAsia" w:ascii="宋体" w:hAnsi="宋体" w:eastAsia="宋体" w:cs="宋体"/>
                <w:kern w:val="0"/>
                <w:sz w:val="18"/>
                <w:szCs w:val="18"/>
              </w:rPr>
            </w:pPr>
            <w:r>
              <w:rPr>
                <w:rFonts w:hint="eastAsia" w:ascii="宋体" w:hAnsi="宋体" w:eastAsia="宋体" w:cs="宋体"/>
                <w:kern w:val="0"/>
                <w:sz w:val="18"/>
                <w:szCs w:val="18"/>
              </w:rPr>
              <w:t>平衡功能测试无跌倒风险（＜12秒）</w:t>
            </w:r>
          </w:p>
        </w:tc>
        <w:tc>
          <w:tcPr>
            <w:tcW w:w="3402" w:type="dxa"/>
            <w:tcBorders>
              <w:tl2br w:val="nil"/>
              <w:tr2bl w:val="nil"/>
            </w:tcBorders>
            <w:shd w:val="clear" w:color="auto" w:fill="auto"/>
            <w:noWrap w:val="0"/>
            <w:vAlign w:val="center"/>
          </w:tcPr>
          <w:p>
            <w:pPr>
              <w:pStyle w:val="28"/>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低危</w:t>
            </w:r>
          </w:p>
        </w:tc>
        <w:tc>
          <w:tcPr>
            <w:tcW w:w="1093" w:type="dxa"/>
            <w:vMerge w:val="continue"/>
            <w:tcBorders>
              <w:tl2br w:val="nil"/>
              <w:tr2bl w:val="nil"/>
            </w:tcBorders>
            <w:shd w:val="clear" w:color="auto" w:fill="FFFFFF"/>
            <w:noWrap w:val="0"/>
            <w:vAlign w:val="center"/>
          </w:tcPr>
          <w:p>
            <w:pPr>
              <w:pStyle w:val="28"/>
              <w:ind w:firstLine="0" w:firstLineChars="0"/>
              <w:rPr>
                <w:rFonts w:ascii="宋体" w:hAnsi="宋体" w:eastAsia="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54" w:type="dxa"/>
            <w:vMerge w:val="continue"/>
            <w:tcBorders>
              <w:tl2br w:val="nil"/>
              <w:tr2bl w:val="nil"/>
            </w:tcBorders>
            <w:shd w:val="clear" w:color="auto" w:fill="auto"/>
            <w:noWrap w:val="0"/>
            <w:vAlign w:val="center"/>
          </w:tcPr>
          <w:p>
            <w:pPr>
              <w:pStyle w:val="28"/>
              <w:ind w:firstLine="0" w:firstLineChars="0"/>
              <w:rPr>
                <w:rFonts w:hint="eastAsia" w:ascii="宋体" w:hAnsi="宋体" w:cs="宋体"/>
                <w:sz w:val="18"/>
                <w:szCs w:val="18"/>
              </w:rPr>
            </w:pPr>
          </w:p>
        </w:tc>
        <w:tc>
          <w:tcPr>
            <w:tcW w:w="1858" w:type="dxa"/>
            <w:vMerge w:val="restart"/>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r>
              <w:rPr>
                <w:rFonts w:hint="eastAsia" w:ascii="宋体" w:hAnsi="宋体" w:eastAsia="宋体" w:cs="宋体"/>
                <w:sz w:val="18"/>
                <w:szCs w:val="18"/>
              </w:rPr>
              <w:t>平衡功能测试提示有跌倒风险（≥12秒）</w:t>
            </w:r>
          </w:p>
        </w:tc>
        <w:tc>
          <w:tcPr>
            <w:tcW w:w="3402" w:type="dxa"/>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r>
              <w:rPr>
                <w:rFonts w:hint="eastAsia" w:ascii="宋体" w:hAnsi="宋体" w:eastAsia="宋体" w:cs="宋体"/>
                <w:sz w:val="18"/>
                <w:szCs w:val="18"/>
              </w:rPr>
              <w:t>且过去一年没有发生跌倒（跌倒0次）</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cs="宋体"/>
                <w:b w:val="0"/>
                <w:bCs/>
                <w:sz w:val="18"/>
                <w:szCs w:val="18"/>
              </w:rPr>
            </w:pPr>
            <w:r>
              <w:rPr>
                <w:rFonts w:hint="eastAsia" w:ascii="宋体" w:hAnsi="宋体" w:cs="宋体"/>
                <w:b w:val="0"/>
                <w:bCs/>
                <w:sz w:val="18"/>
                <w:szCs w:val="18"/>
              </w:rPr>
              <w:t>中危</w:t>
            </w:r>
          </w:p>
        </w:tc>
        <w:tc>
          <w:tcPr>
            <w:tcW w:w="1093" w:type="dxa"/>
            <w:vMerge w:val="continue"/>
            <w:tcBorders>
              <w:tl2br w:val="nil"/>
              <w:tr2bl w:val="nil"/>
            </w:tcBorders>
            <w:shd w:val="clear" w:color="auto" w:fill="FFFFFF"/>
            <w:noWrap w:val="0"/>
            <w:vAlign w:val="center"/>
          </w:tcPr>
          <w:p>
            <w:pPr>
              <w:pStyle w:val="28"/>
              <w:ind w:firstLine="0" w:firstLineChars="0"/>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354" w:type="dxa"/>
            <w:vMerge w:val="continue"/>
            <w:tcBorders>
              <w:tl2br w:val="nil"/>
              <w:tr2bl w:val="nil"/>
            </w:tcBorders>
            <w:shd w:val="clear" w:color="auto" w:fill="auto"/>
            <w:noWrap w:val="0"/>
            <w:vAlign w:val="center"/>
          </w:tcPr>
          <w:p>
            <w:pPr>
              <w:pStyle w:val="28"/>
              <w:ind w:firstLine="0" w:firstLineChars="0"/>
              <w:rPr>
                <w:rFonts w:hint="eastAsia" w:ascii="宋体" w:hAnsi="宋体" w:cs="宋体"/>
                <w:sz w:val="18"/>
                <w:szCs w:val="18"/>
              </w:rPr>
            </w:pPr>
          </w:p>
        </w:tc>
        <w:tc>
          <w:tcPr>
            <w:tcW w:w="1858" w:type="dxa"/>
            <w:vMerge w:val="continue"/>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p>
        </w:tc>
        <w:tc>
          <w:tcPr>
            <w:tcW w:w="3402" w:type="dxa"/>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r>
              <w:rPr>
                <w:rFonts w:hint="eastAsia" w:ascii="宋体" w:hAnsi="宋体" w:eastAsia="宋体" w:cs="宋体"/>
                <w:sz w:val="18"/>
                <w:szCs w:val="18"/>
              </w:rPr>
              <w:t>且过去一年仅发生1次跌倒，跌倒并未造成损伤</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cs="宋体"/>
                <w:b w:val="0"/>
                <w:bCs/>
                <w:sz w:val="18"/>
                <w:szCs w:val="18"/>
              </w:rPr>
            </w:pPr>
            <w:r>
              <w:rPr>
                <w:rFonts w:hint="eastAsia" w:ascii="宋体" w:hAnsi="宋体" w:cs="宋体"/>
                <w:b w:val="0"/>
                <w:bCs/>
                <w:sz w:val="18"/>
                <w:szCs w:val="18"/>
              </w:rPr>
              <w:t>中危</w:t>
            </w:r>
          </w:p>
        </w:tc>
        <w:tc>
          <w:tcPr>
            <w:tcW w:w="1093" w:type="dxa"/>
            <w:vMerge w:val="continue"/>
            <w:tcBorders>
              <w:tl2br w:val="nil"/>
              <w:tr2bl w:val="nil"/>
            </w:tcBorders>
            <w:shd w:val="clear" w:color="auto" w:fill="FFFFFF"/>
            <w:noWrap w:val="0"/>
            <w:vAlign w:val="center"/>
          </w:tcPr>
          <w:p>
            <w:pPr>
              <w:pStyle w:val="28"/>
              <w:ind w:firstLine="0" w:firstLineChars="0"/>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354" w:type="dxa"/>
            <w:vMerge w:val="continue"/>
            <w:tcBorders>
              <w:tl2br w:val="nil"/>
              <w:tr2bl w:val="nil"/>
            </w:tcBorders>
            <w:shd w:val="clear" w:color="auto" w:fill="auto"/>
            <w:noWrap w:val="0"/>
            <w:vAlign w:val="center"/>
          </w:tcPr>
          <w:p>
            <w:pPr>
              <w:pStyle w:val="28"/>
              <w:ind w:firstLine="0" w:firstLineChars="0"/>
              <w:rPr>
                <w:rFonts w:hint="eastAsia" w:ascii="宋体" w:hAnsi="宋体" w:cs="宋体"/>
                <w:sz w:val="18"/>
                <w:szCs w:val="18"/>
              </w:rPr>
            </w:pPr>
          </w:p>
        </w:tc>
        <w:tc>
          <w:tcPr>
            <w:tcW w:w="1858" w:type="dxa"/>
            <w:vMerge w:val="continue"/>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p>
        </w:tc>
        <w:tc>
          <w:tcPr>
            <w:tcW w:w="3402" w:type="dxa"/>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r>
              <w:rPr>
                <w:rFonts w:hint="eastAsia" w:ascii="宋体" w:hAnsi="宋体" w:eastAsia="宋体" w:cs="宋体"/>
                <w:sz w:val="18"/>
                <w:szCs w:val="18"/>
              </w:rPr>
              <w:t>且过去一年仅发生1次跌倒，跌倒造成损伤</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cs="宋体"/>
                <w:b w:val="0"/>
                <w:bCs/>
                <w:sz w:val="18"/>
                <w:szCs w:val="18"/>
              </w:rPr>
            </w:pPr>
            <w:r>
              <w:rPr>
                <w:rFonts w:hint="eastAsia" w:ascii="宋体" w:hAnsi="宋体" w:cs="宋体"/>
                <w:b w:val="0"/>
                <w:bCs/>
                <w:sz w:val="18"/>
                <w:szCs w:val="18"/>
              </w:rPr>
              <w:t>高危</w:t>
            </w:r>
          </w:p>
        </w:tc>
        <w:tc>
          <w:tcPr>
            <w:tcW w:w="1093" w:type="dxa"/>
            <w:vMerge w:val="continue"/>
            <w:tcBorders>
              <w:tl2br w:val="nil"/>
              <w:tr2bl w:val="nil"/>
            </w:tcBorders>
            <w:shd w:val="clear" w:color="auto" w:fill="FFFFFF"/>
            <w:noWrap w:val="0"/>
            <w:vAlign w:val="center"/>
          </w:tcPr>
          <w:p>
            <w:pPr>
              <w:pStyle w:val="28"/>
              <w:ind w:firstLine="0" w:firstLineChars="0"/>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354" w:type="dxa"/>
            <w:vMerge w:val="continue"/>
            <w:tcBorders>
              <w:tl2br w:val="nil"/>
              <w:tr2bl w:val="nil"/>
            </w:tcBorders>
            <w:shd w:val="clear" w:color="auto" w:fill="auto"/>
            <w:noWrap w:val="0"/>
            <w:vAlign w:val="center"/>
          </w:tcPr>
          <w:p>
            <w:pPr>
              <w:pStyle w:val="28"/>
              <w:ind w:firstLine="0" w:firstLineChars="0"/>
              <w:rPr>
                <w:rFonts w:hint="eastAsia" w:ascii="宋体" w:hAnsi="宋体" w:cs="宋体"/>
                <w:sz w:val="18"/>
                <w:szCs w:val="18"/>
              </w:rPr>
            </w:pPr>
          </w:p>
        </w:tc>
        <w:tc>
          <w:tcPr>
            <w:tcW w:w="1858" w:type="dxa"/>
            <w:vMerge w:val="continue"/>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p>
        </w:tc>
        <w:tc>
          <w:tcPr>
            <w:tcW w:w="3402" w:type="dxa"/>
            <w:tcBorders>
              <w:tl2br w:val="nil"/>
              <w:tr2bl w:val="nil"/>
            </w:tcBorders>
            <w:shd w:val="clear" w:color="auto" w:fill="auto"/>
            <w:noWrap w:val="0"/>
            <w:vAlign w:val="center"/>
          </w:tcPr>
          <w:p>
            <w:pPr>
              <w:pStyle w:val="28"/>
              <w:ind w:firstLine="0" w:firstLineChars="0"/>
              <w:rPr>
                <w:rFonts w:hint="eastAsia" w:ascii="宋体" w:hAnsi="宋体" w:eastAsia="宋体" w:cs="宋体"/>
                <w:sz w:val="18"/>
                <w:szCs w:val="18"/>
              </w:rPr>
            </w:pPr>
            <w:r>
              <w:rPr>
                <w:rFonts w:hint="eastAsia" w:ascii="宋体" w:hAnsi="宋体" w:eastAsia="宋体" w:cs="宋体"/>
                <w:sz w:val="18"/>
                <w:szCs w:val="18"/>
              </w:rPr>
              <w:t>且过去一年发生跌倒</w:t>
            </w:r>
            <w:r>
              <w:rPr>
                <w:rFonts w:hint="eastAsia" w:ascii="宋体" w:hAnsi="宋体" w:eastAsia="宋体" w:cs="宋体"/>
                <w:sz w:val="18"/>
                <w:szCs w:val="18"/>
                <w:lang w:val="en-US" w:eastAsia="zh-CN"/>
              </w:rPr>
              <w:t>的次数</w:t>
            </w:r>
            <w:r>
              <w:rPr>
                <w:rFonts w:hint="eastAsia" w:ascii="宋体" w:hAnsi="宋体" w:eastAsia="宋体" w:cs="宋体"/>
                <w:sz w:val="18"/>
                <w:szCs w:val="18"/>
              </w:rPr>
              <w:t>≥2次（无论跌倒是否造成损伤）</w:t>
            </w:r>
          </w:p>
        </w:tc>
        <w:tc>
          <w:tcPr>
            <w:tcW w:w="850" w:type="dxa"/>
            <w:tcBorders>
              <w:tl2br w:val="nil"/>
              <w:tr2bl w:val="nil"/>
            </w:tcBorders>
            <w:shd w:val="clear" w:color="auto" w:fill="FFFFFF" w:themeFill="background1"/>
            <w:noWrap w:val="0"/>
            <w:vAlign w:val="center"/>
          </w:tcPr>
          <w:p>
            <w:pPr>
              <w:pStyle w:val="28"/>
              <w:ind w:firstLine="0" w:firstLineChars="0"/>
              <w:jc w:val="center"/>
              <w:rPr>
                <w:rFonts w:hint="eastAsia" w:ascii="宋体" w:hAnsi="宋体" w:cs="宋体"/>
                <w:b w:val="0"/>
                <w:bCs/>
                <w:sz w:val="18"/>
                <w:szCs w:val="18"/>
              </w:rPr>
            </w:pPr>
            <w:r>
              <w:rPr>
                <w:rFonts w:hint="eastAsia" w:ascii="宋体" w:hAnsi="宋体" w:cs="宋体"/>
                <w:b w:val="0"/>
                <w:bCs/>
                <w:sz w:val="18"/>
                <w:szCs w:val="18"/>
              </w:rPr>
              <w:t>高危</w:t>
            </w:r>
          </w:p>
        </w:tc>
        <w:tc>
          <w:tcPr>
            <w:tcW w:w="1093" w:type="dxa"/>
            <w:vMerge w:val="continue"/>
            <w:tcBorders>
              <w:tl2br w:val="nil"/>
              <w:tr2bl w:val="nil"/>
            </w:tcBorders>
            <w:shd w:val="clear" w:color="auto" w:fill="FFFFFF"/>
            <w:noWrap w:val="0"/>
            <w:vAlign w:val="center"/>
          </w:tcPr>
          <w:p>
            <w:pPr>
              <w:pStyle w:val="28"/>
              <w:ind w:firstLine="0" w:firstLineChars="0"/>
              <w:rPr>
                <w:rFonts w:ascii="宋体" w:hAnsi="宋体"/>
                <w:sz w:val="20"/>
                <w:szCs w:val="20"/>
              </w:rPr>
            </w:pPr>
          </w:p>
        </w:tc>
      </w:tr>
    </w:tbl>
    <w:p>
      <w:pPr>
        <w:pStyle w:val="67"/>
      </w:pPr>
    </w:p>
    <w:p>
      <w:pPr>
        <w:pStyle w:val="67"/>
        <w:sectPr>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206" w:name="_Toc590"/>
      <w:bookmarkStart w:id="207" w:name="_Toc14041"/>
      <w:bookmarkStart w:id="208" w:name="_Toc10853"/>
      <w:bookmarkStart w:id="209" w:name="_Toc25477"/>
      <w:bookmarkStart w:id="210" w:name="_Toc6474"/>
      <w:bookmarkStart w:id="211" w:name="_Toc27555"/>
      <w:r>
        <w:rPr>
          <w:rFonts w:hint="eastAsia" w:ascii="黑体" w:hAnsi="黑体" w:eastAsia="黑体" w:cs="黑体"/>
          <w:sz w:val="21"/>
          <w:szCs w:val="21"/>
          <w:lang w:val="en-US" w:eastAsia="zh-CN"/>
        </w:rPr>
        <w:t>附  录  C</w:t>
      </w:r>
      <w:bookmarkEnd w:id="206"/>
      <w:bookmarkEnd w:id="207"/>
      <w:bookmarkEnd w:id="208"/>
      <w:bookmarkEnd w:id="209"/>
      <w:bookmarkEnd w:id="210"/>
      <w:bookmarkEnd w:id="211"/>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212" w:name="_Toc2329"/>
      <w:bookmarkStart w:id="213" w:name="_Toc4386"/>
      <w:bookmarkStart w:id="214" w:name="_Toc1675"/>
      <w:bookmarkStart w:id="215" w:name="_Toc6943"/>
      <w:bookmarkStart w:id="216" w:name="_Toc21092"/>
      <w:bookmarkStart w:id="217" w:name="_Toc2791"/>
      <w:bookmarkStart w:id="218" w:name="_Toc21094"/>
      <w:r>
        <w:rPr>
          <w:rFonts w:hint="eastAsia" w:ascii="黑体" w:hAnsi="黑体" w:eastAsia="黑体" w:cs="黑体"/>
          <w:sz w:val="21"/>
          <w:szCs w:val="21"/>
          <w:lang w:val="en-US" w:eastAsia="zh-CN"/>
        </w:rPr>
        <w:t>（资料性）</w:t>
      </w:r>
      <w:bookmarkEnd w:id="212"/>
      <w:bookmarkEnd w:id="213"/>
      <w:bookmarkEnd w:id="214"/>
      <w:bookmarkEnd w:id="215"/>
      <w:bookmarkEnd w:id="216"/>
      <w:bookmarkEnd w:id="217"/>
      <w:bookmarkEnd w:id="218"/>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default" w:ascii="黑体" w:hAnsi="黑体" w:eastAsia="黑体"/>
          <w:color w:val="000000"/>
          <w:sz w:val="21"/>
          <w:szCs w:val="21"/>
          <w:lang w:val="en-US" w:eastAsia="zh-CN"/>
        </w:rPr>
      </w:pPr>
      <w:bookmarkStart w:id="219" w:name="_Toc25357"/>
      <w:bookmarkStart w:id="220" w:name="_Toc27489"/>
      <w:bookmarkStart w:id="221" w:name="_Toc3245"/>
      <w:bookmarkStart w:id="222" w:name="_Toc20807"/>
      <w:bookmarkStart w:id="223" w:name="_Toc15387"/>
      <w:bookmarkStart w:id="224" w:name="_Toc18927"/>
      <w:r>
        <w:rPr>
          <w:rFonts w:hint="eastAsia" w:ascii="黑体" w:hAnsi="黑体" w:eastAsia="黑体"/>
          <w:color w:val="000000"/>
          <w:sz w:val="21"/>
          <w:szCs w:val="21"/>
          <w:lang w:val="en-US" w:eastAsia="zh-CN"/>
        </w:rPr>
        <w:t>预防跌倒健康教育活动小组课程内容</w:t>
      </w:r>
      <w:bookmarkEnd w:id="219"/>
      <w:bookmarkEnd w:id="220"/>
      <w:bookmarkEnd w:id="221"/>
      <w:bookmarkEnd w:id="222"/>
      <w:bookmarkEnd w:id="223"/>
      <w:bookmarkEnd w:id="224"/>
    </w:p>
    <w:p>
      <w:pPr>
        <w:widowControl/>
        <w:ind w:firstLine="624" w:firstLineChars="300"/>
        <w:jc w:val="both"/>
        <w:rPr>
          <w:rFonts w:hint="eastAsia" w:ascii="宋体" w:hAnsi="宋体" w:eastAsia="宋体" w:cs="宋体"/>
          <w:b w:val="0"/>
          <w:bCs w:val="0"/>
          <w:spacing w:val="-1"/>
          <w:szCs w:val="21"/>
          <w:lang w:val="en-US" w:eastAsia="zh-CN"/>
        </w:rPr>
      </w:pPr>
      <w:r>
        <w:rPr>
          <w:rFonts w:hint="eastAsia" w:ascii="宋体" w:hAnsi="宋体" w:eastAsia="宋体" w:cs="宋体"/>
          <w:b w:val="0"/>
          <w:bCs w:val="0"/>
          <w:spacing w:val="-1"/>
          <w:szCs w:val="21"/>
          <w:lang w:val="en-US" w:eastAsia="zh-CN"/>
        </w:rPr>
        <w:t>预防跌倒健康教育活动小组课程内容见表C.1。</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lang w:val="en-US" w:eastAsia="zh-CN"/>
        </w:rPr>
      </w:pPr>
      <w:r>
        <w:rPr>
          <w:rFonts w:hint="eastAsia" w:ascii="黑体" w:hAnsi="黑体" w:eastAsia="黑体" w:cs="黑体"/>
          <w:b w:val="0"/>
          <w:bCs/>
          <w:szCs w:val="21"/>
        </w:rPr>
        <w:t>表</w:t>
      </w:r>
      <w:r>
        <w:rPr>
          <w:rFonts w:hint="eastAsia" w:ascii="黑体" w:hAnsi="黑体" w:eastAsia="黑体" w:cs="黑体"/>
          <w:b w:val="0"/>
          <w:bCs/>
          <w:szCs w:val="21"/>
          <w:lang w:val="en-US" w:eastAsia="zh-CN"/>
        </w:rPr>
        <w:t>C</w:t>
      </w:r>
      <w:r>
        <w:rPr>
          <w:rFonts w:hint="eastAsia" w:ascii="黑体" w:hAnsi="黑体" w:eastAsia="黑体" w:cs="黑体"/>
          <w:b w:val="0"/>
          <w:bCs/>
          <w:szCs w:val="21"/>
        </w:rPr>
        <w:t>.1  预防跌倒健康教育活动小组课程内容</w:t>
      </w:r>
    </w:p>
    <w:tbl>
      <w:tblPr>
        <w:tblStyle w:val="20"/>
        <w:tblW w:w="0" w:type="auto"/>
        <w:jc w:val="center"/>
        <w:tblLayout w:type="fixed"/>
        <w:tblCellMar>
          <w:top w:w="0" w:type="dxa"/>
          <w:left w:w="108" w:type="dxa"/>
          <w:bottom w:w="0" w:type="dxa"/>
          <w:right w:w="108" w:type="dxa"/>
        </w:tblCellMar>
      </w:tblPr>
      <w:tblGrid>
        <w:gridCol w:w="1842"/>
        <w:gridCol w:w="1596"/>
        <w:gridCol w:w="4723"/>
      </w:tblGrid>
      <w:tr>
        <w:tblPrEx>
          <w:tblCellMar>
            <w:top w:w="0" w:type="dxa"/>
            <w:left w:w="108" w:type="dxa"/>
            <w:bottom w:w="0" w:type="dxa"/>
            <w:right w:w="108" w:type="dxa"/>
          </w:tblCellMar>
        </w:tblPrEx>
        <w:trPr>
          <w:trHeight w:val="503" w:hRule="atLeast"/>
          <w:tblHeader/>
          <w:jc w:val="center"/>
        </w:trPr>
        <w:tc>
          <w:tcPr>
            <w:tcW w:w="1842"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jc w:val="center"/>
              <w:rPr>
                <w:rFonts w:hint="eastAsia" w:ascii="宋体" w:hAnsi="宋体" w:eastAsia="宋体" w:cs="宋体"/>
                <w:b/>
                <w:bCs w:val="0"/>
                <w:sz w:val="18"/>
                <w:szCs w:val="18"/>
              </w:rPr>
            </w:pPr>
            <w:r>
              <w:rPr>
                <w:rFonts w:hint="eastAsia" w:ascii="宋体" w:hAnsi="宋体" w:eastAsia="宋体" w:cs="宋体"/>
                <w:b/>
                <w:bCs w:val="0"/>
                <w:sz w:val="18"/>
                <w:szCs w:val="18"/>
              </w:rPr>
              <w:t>小组活动次数</w:t>
            </w:r>
          </w:p>
        </w:tc>
        <w:tc>
          <w:tcPr>
            <w:tcW w:w="1596"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jc w:val="center"/>
              <w:rPr>
                <w:rFonts w:hint="eastAsia" w:ascii="宋体" w:hAnsi="宋体" w:eastAsia="宋体" w:cs="宋体"/>
                <w:b/>
                <w:bCs w:val="0"/>
                <w:sz w:val="18"/>
                <w:szCs w:val="18"/>
              </w:rPr>
            </w:pPr>
            <w:r>
              <w:rPr>
                <w:rFonts w:hint="eastAsia" w:ascii="宋体" w:hAnsi="宋体" w:eastAsia="宋体" w:cs="宋体"/>
                <w:b/>
                <w:bCs w:val="0"/>
                <w:sz w:val="18"/>
                <w:szCs w:val="18"/>
              </w:rPr>
              <w:t>时间</w:t>
            </w:r>
          </w:p>
        </w:tc>
        <w:tc>
          <w:tcPr>
            <w:tcW w:w="4723"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jc w:val="center"/>
              <w:rPr>
                <w:rFonts w:hint="eastAsia" w:ascii="宋体" w:hAnsi="宋体" w:eastAsia="宋体" w:cs="宋体"/>
                <w:b/>
                <w:bCs w:val="0"/>
                <w:sz w:val="18"/>
                <w:szCs w:val="18"/>
              </w:rPr>
            </w:pPr>
            <w:r>
              <w:rPr>
                <w:rFonts w:hint="eastAsia" w:ascii="宋体" w:hAnsi="宋体" w:eastAsia="宋体" w:cs="宋体"/>
                <w:b/>
                <w:bCs w:val="0"/>
                <w:sz w:val="18"/>
                <w:szCs w:val="18"/>
              </w:rPr>
              <w:t>主要知识技能</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第一次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第1周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老年人跌倒危险性和可预防性</w:t>
            </w:r>
          </w:p>
          <w:p>
            <w:pPr>
              <w:rPr>
                <w:rFonts w:hint="eastAsia" w:ascii="宋体" w:hAnsi="宋体" w:eastAsia="宋体" w:cs="宋体"/>
                <w:sz w:val="18"/>
                <w:szCs w:val="18"/>
              </w:rPr>
            </w:pPr>
            <w:r>
              <w:rPr>
                <w:rFonts w:hint="eastAsia" w:ascii="宋体" w:hAnsi="宋体" w:eastAsia="宋体" w:cs="宋体"/>
                <w:sz w:val="18"/>
                <w:szCs w:val="18"/>
              </w:rPr>
              <w:t>运动安全基本知识</w:t>
            </w:r>
          </w:p>
          <w:p>
            <w:pPr>
              <w:rPr>
                <w:rFonts w:hint="eastAsia" w:ascii="宋体" w:hAnsi="宋体" w:eastAsia="宋体" w:cs="宋体"/>
                <w:sz w:val="18"/>
                <w:szCs w:val="18"/>
              </w:rPr>
            </w:pPr>
            <w:r>
              <w:rPr>
                <w:rFonts w:hint="eastAsia" w:ascii="宋体" w:hAnsi="宋体" w:eastAsia="宋体" w:cs="宋体"/>
                <w:sz w:val="18"/>
                <w:szCs w:val="18"/>
              </w:rPr>
              <w:t>平衡功能锻炼方法2个</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第二次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第2周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改善家庭环境预防跌倒</w:t>
            </w:r>
          </w:p>
          <w:p>
            <w:pPr>
              <w:rPr>
                <w:rFonts w:hint="eastAsia" w:ascii="宋体" w:hAnsi="宋体" w:eastAsia="宋体" w:cs="宋体"/>
                <w:sz w:val="18"/>
                <w:szCs w:val="18"/>
              </w:rPr>
            </w:pPr>
            <w:r>
              <w:rPr>
                <w:rFonts w:hint="eastAsia" w:ascii="宋体" w:hAnsi="宋体" w:eastAsia="宋体" w:cs="宋体"/>
                <w:sz w:val="18"/>
                <w:szCs w:val="18"/>
              </w:rPr>
              <w:t>平衡功能锻炼方法2个</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第三次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第3周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识别社区和公共场所环境危险因素</w:t>
            </w:r>
          </w:p>
          <w:p>
            <w:pPr>
              <w:rPr>
                <w:rFonts w:hint="eastAsia" w:ascii="宋体" w:hAnsi="宋体" w:eastAsia="宋体" w:cs="宋体"/>
                <w:sz w:val="18"/>
                <w:szCs w:val="18"/>
              </w:rPr>
            </w:pPr>
            <w:r>
              <w:rPr>
                <w:rFonts w:hint="eastAsia" w:ascii="宋体" w:hAnsi="宋体" w:eastAsia="宋体" w:cs="宋体"/>
                <w:sz w:val="18"/>
                <w:szCs w:val="18"/>
              </w:rPr>
              <w:t>锻炼下肢肌肉力量方法2个</w:t>
            </w:r>
          </w:p>
        </w:tc>
      </w:tr>
      <w:tr>
        <w:tblPrEx>
          <w:tblCellMar>
            <w:top w:w="0" w:type="dxa"/>
            <w:left w:w="108" w:type="dxa"/>
            <w:bottom w:w="0" w:type="dxa"/>
            <w:right w:w="108" w:type="dxa"/>
          </w:tblCellMar>
        </w:tblPrEx>
        <w:trPr>
          <w:trHeight w:val="562" w:hRule="atLeast"/>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第四次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第4周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防控跌倒相关疾病</w:t>
            </w:r>
          </w:p>
          <w:p>
            <w:pPr>
              <w:rPr>
                <w:rFonts w:hint="eastAsia" w:ascii="宋体" w:hAnsi="宋体" w:eastAsia="宋体" w:cs="宋体"/>
                <w:sz w:val="18"/>
                <w:szCs w:val="18"/>
              </w:rPr>
            </w:pPr>
            <w:r>
              <w:rPr>
                <w:rFonts w:hint="eastAsia" w:ascii="宋体" w:hAnsi="宋体" w:eastAsia="宋体" w:cs="宋体"/>
                <w:sz w:val="18"/>
                <w:szCs w:val="18"/>
              </w:rPr>
              <w:t>平衡功能锻炼方法2个</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第五次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第5周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选择和使用辅助工具</w:t>
            </w:r>
          </w:p>
          <w:p>
            <w:pPr>
              <w:rPr>
                <w:rFonts w:hint="eastAsia" w:ascii="宋体" w:hAnsi="宋体" w:eastAsia="宋体" w:cs="宋体"/>
                <w:sz w:val="18"/>
                <w:szCs w:val="18"/>
              </w:rPr>
            </w:pPr>
            <w:r>
              <w:rPr>
                <w:rFonts w:hint="eastAsia" w:ascii="宋体" w:hAnsi="宋体" w:eastAsia="宋体" w:cs="宋体"/>
                <w:sz w:val="18"/>
                <w:szCs w:val="18"/>
              </w:rPr>
              <w:t>耐力锻炼方法2个</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第六次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第6周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合理用药</w:t>
            </w:r>
          </w:p>
          <w:p>
            <w:pPr>
              <w:rPr>
                <w:rFonts w:hint="eastAsia" w:ascii="宋体" w:hAnsi="宋体" w:eastAsia="宋体" w:cs="宋体"/>
                <w:sz w:val="18"/>
                <w:szCs w:val="18"/>
              </w:rPr>
            </w:pPr>
            <w:r>
              <w:rPr>
                <w:rFonts w:hint="eastAsia" w:ascii="宋体" w:hAnsi="宋体" w:eastAsia="宋体" w:cs="宋体"/>
                <w:sz w:val="18"/>
                <w:szCs w:val="18"/>
              </w:rPr>
              <w:t>克服跌倒恐惧</w:t>
            </w:r>
          </w:p>
          <w:p>
            <w:pPr>
              <w:rPr>
                <w:rFonts w:hint="eastAsia" w:ascii="宋体" w:hAnsi="宋体" w:eastAsia="宋体" w:cs="宋体"/>
                <w:sz w:val="18"/>
                <w:szCs w:val="18"/>
              </w:rPr>
            </w:pPr>
            <w:r>
              <w:rPr>
                <w:rFonts w:hint="eastAsia" w:ascii="宋体" w:hAnsi="宋体" w:eastAsia="宋体" w:cs="宋体"/>
                <w:sz w:val="18"/>
                <w:szCs w:val="18"/>
              </w:rPr>
              <w:t>复习已经学过的运动锻炼方法</w:t>
            </w:r>
          </w:p>
        </w:tc>
      </w:tr>
      <w:tr>
        <w:tblPrEx>
          <w:tblCellMar>
            <w:top w:w="0" w:type="dxa"/>
            <w:left w:w="108" w:type="dxa"/>
            <w:bottom w:w="0" w:type="dxa"/>
            <w:right w:w="108" w:type="dxa"/>
          </w:tblCellMar>
        </w:tblPrEx>
        <w:trPr>
          <w:jc w:val="center"/>
        </w:trPr>
        <w:tc>
          <w:tcPr>
            <w:tcW w:w="18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第七次</w:t>
            </w:r>
          </w:p>
        </w:tc>
        <w:tc>
          <w:tcPr>
            <w:tcW w:w="15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18"/>
                <w:szCs w:val="18"/>
              </w:rPr>
            </w:pPr>
            <w:r>
              <w:rPr>
                <w:rFonts w:hint="eastAsia" w:ascii="宋体" w:hAnsi="宋体" w:eastAsia="宋体" w:cs="宋体"/>
                <w:sz w:val="18"/>
                <w:szCs w:val="18"/>
              </w:rPr>
              <w:t>第7周</w:t>
            </w:r>
          </w:p>
        </w:tc>
        <w:tc>
          <w:tcPr>
            <w:tcW w:w="47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18"/>
                <w:szCs w:val="18"/>
              </w:rPr>
            </w:pPr>
            <w:r>
              <w:rPr>
                <w:rFonts w:hint="eastAsia" w:ascii="宋体" w:hAnsi="宋体" w:eastAsia="宋体" w:cs="宋体"/>
                <w:sz w:val="18"/>
                <w:szCs w:val="18"/>
              </w:rPr>
              <w:t>改变那些易跌倒的行为习惯</w:t>
            </w:r>
          </w:p>
          <w:p>
            <w:pPr>
              <w:rPr>
                <w:rFonts w:hint="eastAsia" w:ascii="宋体" w:hAnsi="宋体" w:eastAsia="宋体" w:cs="宋体"/>
                <w:sz w:val="18"/>
                <w:szCs w:val="18"/>
              </w:rPr>
            </w:pPr>
            <w:r>
              <w:rPr>
                <w:rFonts w:hint="eastAsia" w:ascii="宋体" w:hAnsi="宋体" w:eastAsia="宋体" w:cs="宋体"/>
                <w:sz w:val="18"/>
                <w:szCs w:val="18"/>
              </w:rPr>
              <w:t>复习已学过的知识技能和运动锻炼方法</w:t>
            </w:r>
          </w:p>
        </w:tc>
      </w:tr>
    </w:tbl>
    <w:p>
      <w:pPr>
        <w:pStyle w:val="67"/>
        <w:sectPr>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225" w:name="_Toc24121"/>
      <w:bookmarkStart w:id="226" w:name="_Toc1888"/>
      <w:bookmarkStart w:id="227" w:name="_Toc15013"/>
      <w:bookmarkStart w:id="228" w:name="_Toc16815"/>
      <w:bookmarkStart w:id="229" w:name="_Toc10324"/>
      <w:bookmarkStart w:id="230" w:name="_Toc22566"/>
      <w:bookmarkStart w:id="231" w:name="_Toc4061"/>
      <w:bookmarkStart w:id="232" w:name="_Toc1267"/>
      <w:bookmarkStart w:id="233" w:name="_Toc13927"/>
      <w:bookmarkStart w:id="234" w:name="_Toc6345"/>
      <w:bookmarkStart w:id="235" w:name="_Toc522"/>
      <w:bookmarkStart w:id="236" w:name="_Toc12146632"/>
      <w:r>
        <w:rPr>
          <w:rFonts w:hint="eastAsia" w:ascii="黑体" w:hAnsi="黑体" w:eastAsia="黑体" w:cs="黑体"/>
          <w:sz w:val="21"/>
          <w:szCs w:val="21"/>
          <w:lang w:val="en-US" w:eastAsia="zh-CN"/>
        </w:rPr>
        <w:t xml:space="preserve">附  录  </w:t>
      </w:r>
      <w:bookmarkEnd w:id="225"/>
      <w:bookmarkEnd w:id="226"/>
      <w:r>
        <w:rPr>
          <w:rFonts w:hint="eastAsia" w:ascii="黑体" w:hAnsi="黑体" w:eastAsia="黑体" w:cs="黑体"/>
          <w:sz w:val="21"/>
          <w:szCs w:val="21"/>
          <w:lang w:val="en-US" w:eastAsia="zh-CN"/>
        </w:rPr>
        <w:t>D</w:t>
      </w:r>
      <w:bookmarkEnd w:id="227"/>
      <w:bookmarkEnd w:id="228"/>
      <w:bookmarkEnd w:id="229"/>
      <w:bookmarkEnd w:id="230"/>
      <w:bookmarkEnd w:id="231"/>
      <w:bookmarkEnd w:id="232"/>
      <w:bookmarkEnd w:id="233"/>
      <w:bookmarkEnd w:id="234"/>
      <w:bookmarkEnd w:id="235"/>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237" w:name="_Toc27483"/>
      <w:bookmarkStart w:id="238" w:name="_Toc9889"/>
      <w:bookmarkStart w:id="239" w:name="_Toc4874"/>
      <w:bookmarkStart w:id="240" w:name="_Toc6155"/>
      <w:bookmarkStart w:id="241" w:name="_Toc23561"/>
      <w:bookmarkStart w:id="242" w:name="_Toc30878"/>
      <w:bookmarkStart w:id="243" w:name="_Toc30354"/>
      <w:bookmarkStart w:id="244" w:name="_Toc16474"/>
      <w:bookmarkStart w:id="245" w:name="_Toc20501"/>
      <w:bookmarkStart w:id="246" w:name="_Toc2268"/>
      <w:r>
        <w:rPr>
          <w:rFonts w:hint="eastAsia" w:ascii="黑体" w:hAnsi="黑体" w:eastAsia="黑体" w:cs="黑体"/>
          <w:sz w:val="21"/>
          <w:szCs w:val="21"/>
          <w:lang w:val="en-US" w:eastAsia="zh-CN"/>
        </w:rPr>
        <w:t>（资料性）</w:t>
      </w:r>
      <w:bookmarkEnd w:id="237"/>
      <w:bookmarkEnd w:id="238"/>
      <w:bookmarkEnd w:id="239"/>
      <w:bookmarkEnd w:id="240"/>
      <w:bookmarkEnd w:id="241"/>
      <w:bookmarkEnd w:id="242"/>
      <w:bookmarkEnd w:id="243"/>
      <w:bookmarkEnd w:id="244"/>
      <w:bookmarkEnd w:id="245"/>
      <w:bookmarkEnd w:id="246"/>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247" w:name="_Toc12196"/>
      <w:bookmarkStart w:id="248" w:name="_Toc20883"/>
      <w:bookmarkStart w:id="249" w:name="_Toc1172"/>
      <w:bookmarkStart w:id="250" w:name="_Toc18832"/>
      <w:bookmarkStart w:id="251" w:name="_Toc30037"/>
      <w:bookmarkStart w:id="252" w:name="_Toc21098"/>
      <w:bookmarkStart w:id="253" w:name="_Toc7409"/>
      <w:bookmarkStart w:id="254" w:name="_Toc22670"/>
      <w:bookmarkStart w:id="255" w:name="_Toc4457"/>
      <w:bookmarkStart w:id="256" w:name="_Toc21089"/>
      <w:r>
        <w:rPr>
          <w:rFonts w:hint="eastAsia" w:ascii="黑体" w:hAnsi="黑体" w:eastAsia="黑体"/>
          <w:color w:val="000000"/>
          <w:sz w:val="21"/>
          <w:szCs w:val="21"/>
          <w:lang w:val="en-US" w:eastAsia="zh-CN"/>
        </w:rPr>
        <w:t>老年人跌倒居家环境危险因素评估及改善建议</w:t>
      </w:r>
      <w:bookmarkEnd w:id="236"/>
      <w:bookmarkEnd w:id="247"/>
      <w:bookmarkEnd w:id="248"/>
      <w:bookmarkEnd w:id="249"/>
      <w:bookmarkEnd w:id="250"/>
      <w:bookmarkEnd w:id="251"/>
      <w:bookmarkEnd w:id="252"/>
      <w:bookmarkEnd w:id="253"/>
      <w:bookmarkEnd w:id="254"/>
      <w:bookmarkEnd w:id="255"/>
      <w:bookmarkEnd w:id="256"/>
    </w:p>
    <w:p>
      <w:pPr>
        <w:widowControl/>
        <w:kinsoku/>
        <w:autoSpaceDE/>
        <w:autoSpaceDN/>
        <w:adjustRightInd/>
        <w:snapToGrid/>
        <w:spacing w:before="0" w:line="240" w:lineRule="auto"/>
        <w:ind w:left="0" w:firstLine="624" w:firstLineChars="300"/>
        <w:jc w:val="both"/>
        <w:textAlignment w:val="auto"/>
        <w:rPr>
          <w:rFonts w:hint="eastAsia" w:ascii="宋体" w:hAnsi="宋体" w:eastAsia="宋体" w:cs="宋体"/>
          <w:b w:val="0"/>
          <w:spacing w:val="-1"/>
          <w:szCs w:val="21"/>
        </w:rPr>
      </w:pPr>
      <w:r>
        <w:rPr>
          <w:rFonts w:hint="eastAsia" w:ascii="宋体" w:hAnsi="宋体" w:eastAsia="宋体" w:cs="宋体"/>
          <w:snapToGrid/>
          <w:spacing w:val="-1"/>
          <w:kern w:val="2"/>
          <w:sz w:val="21"/>
          <w:szCs w:val="21"/>
        </w:rPr>
        <w:t>老年人跌倒居家环境危险因素</w:t>
      </w:r>
      <w:r>
        <w:rPr>
          <w:rFonts w:hint="eastAsia" w:ascii="宋体" w:hAnsi="宋体" w:eastAsia="宋体" w:cs="宋体"/>
          <w:snapToGrid/>
          <w:spacing w:val="-1"/>
          <w:kern w:val="2"/>
          <w:sz w:val="21"/>
          <w:szCs w:val="21"/>
          <w:lang w:val="en-US" w:eastAsia="zh-CN"/>
        </w:rPr>
        <w:t>评估</w:t>
      </w:r>
      <w:r>
        <w:rPr>
          <w:rFonts w:hint="eastAsia" w:ascii="宋体" w:hAnsi="宋体" w:eastAsia="宋体" w:cs="宋体"/>
          <w:snapToGrid/>
          <w:spacing w:val="-1"/>
          <w:kern w:val="2"/>
          <w:sz w:val="21"/>
          <w:szCs w:val="21"/>
        </w:rPr>
        <w:t>及改</w:t>
      </w:r>
      <w:r>
        <w:rPr>
          <w:rFonts w:hint="eastAsia" w:ascii="宋体" w:hAnsi="宋体" w:eastAsia="宋体" w:cs="宋体"/>
          <w:snapToGrid/>
          <w:spacing w:val="-1"/>
          <w:kern w:val="2"/>
          <w:sz w:val="21"/>
          <w:szCs w:val="21"/>
          <w:lang w:val="en-US" w:eastAsia="zh-CN"/>
        </w:rPr>
        <w:t>善</w:t>
      </w:r>
      <w:r>
        <w:rPr>
          <w:rFonts w:hint="eastAsia" w:ascii="宋体" w:hAnsi="宋体" w:eastAsia="宋体" w:cs="宋体"/>
          <w:snapToGrid/>
          <w:spacing w:val="-1"/>
          <w:kern w:val="2"/>
          <w:sz w:val="21"/>
          <w:szCs w:val="21"/>
        </w:rPr>
        <w:t>建议</w:t>
      </w:r>
      <w:r>
        <w:rPr>
          <w:rFonts w:hint="eastAsia" w:ascii="宋体" w:hAnsi="宋体" w:eastAsia="宋体" w:cs="宋体"/>
          <w:snapToGrid/>
          <w:spacing w:val="-1"/>
          <w:kern w:val="2"/>
          <w:sz w:val="21"/>
          <w:szCs w:val="21"/>
          <w:lang w:val="en-US" w:eastAsia="zh-CN"/>
        </w:rPr>
        <w:t>见表D.1。</w:t>
      </w:r>
    </w:p>
    <w:p>
      <w:pPr>
        <w:keepNext w:val="0"/>
        <w:keepLines w:val="0"/>
        <w:pageBreakBefore w:val="0"/>
        <w:widowControl/>
        <w:kinsoku/>
        <w:wordWrap/>
        <w:overflowPunct/>
        <w:topLinePunct w:val="0"/>
        <w:autoSpaceDE/>
        <w:autoSpaceDN/>
        <w:bidi w:val="0"/>
        <w:adjustRightInd/>
        <w:snapToGrid/>
        <w:spacing w:before="157" w:beforeLines="50" w:after="157" w:afterLines="50"/>
        <w:jc w:val="center"/>
        <w:textAlignment w:val="auto"/>
        <w:outlineLvl w:val="9"/>
        <w:rPr>
          <w:rFonts w:hint="eastAsia" w:ascii="黑体" w:hAnsi="黑体" w:eastAsia="黑体" w:cs="黑体"/>
          <w:b w:val="0"/>
          <w:bCs/>
          <w:szCs w:val="21"/>
        </w:rPr>
      </w:pPr>
      <w:bookmarkStart w:id="257" w:name="_Toc7648"/>
      <w:bookmarkStart w:id="258" w:name="_Toc25040"/>
      <w:bookmarkStart w:id="259" w:name="_Toc25830"/>
      <w:r>
        <w:rPr>
          <w:rFonts w:hint="eastAsia" w:ascii="黑体" w:hAnsi="黑体" w:eastAsia="黑体" w:cs="黑体"/>
          <w:b w:val="0"/>
          <w:bCs/>
          <w:sz w:val="21"/>
          <w:szCs w:val="21"/>
        </w:rPr>
        <w:t>表</w:t>
      </w:r>
      <w:r>
        <w:rPr>
          <w:rFonts w:hint="eastAsia" w:ascii="黑体" w:hAnsi="黑体" w:eastAsia="黑体" w:cs="黑体"/>
          <w:b w:val="0"/>
          <w:bCs/>
          <w:sz w:val="21"/>
          <w:szCs w:val="21"/>
          <w:lang w:val="en-US" w:eastAsia="zh-CN"/>
        </w:rPr>
        <w:t>D</w:t>
      </w:r>
      <w:r>
        <w:rPr>
          <w:rFonts w:hint="eastAsia" w:ascii="黑体" w:hAnsi="黑体" w:eastAsia="黑体" w:cs="黑体"/>
          <w:b w:val="0"/>
          <w:bCs/>
          <w:sz w:val="21"/>
          <w:szCs w:val="21"/>
        </w:rPr>
        <w:t>.1  老年人跌倒居家环境危险因素</w:t>
      </w:r>
      <w:r>
        <w:rPr>
          <w:rFonts w:hint="eastAsia" w:ascii="黑体" w:hAnsi="黑体" w:eastAsia="黑体" w:cs="黑体"/>
          <w:b w:val="0"/>
          <w:bCs/>
          <w:sz w:val="21"/>
          <w:szCs w:val="21"/>
          <w:lang w:val="en-US" w:eastAsia="zh-CN"/>
        </w:rPr>
        <w:t>评估</w:t>
      </w:r>
      <w:r>
        <w:rPr>
          <w:rFonts w:hint="eastAsia" w:ascii="黑体" w:hAnsi="黑体" w:eastAsia="黑体" w:cs="黑体"/>
          <w:b w:val="0"/>
          <w:bCs/>
          <w:sz w:val="21"/>
          <w:szCs w:val="21"/>
        </w:rPr>
        <w:t>及改</w:t>
      </w:r>
      <w:r>
        <w:rPr>
          <w:rFonts w:hint="eastAsia" w:ascii="黑体" w:hAnsi="黑体" w:eastAsia="黑体" w:cs="黑体"/>
          <w:b w:val="0"/>
          <w:bCs/>
          <w:sz w:val="21"/>
          <w:szCs w:val="21"/>
          <w:lang w:val="en-US" w:eastAsia="zh-CN"/>
        </w:rPr>
        <w:t>善</w:t>
      </w:r>
      <w:r>
        <w:rPr>
          <w:rFonts w:hint="eastAsia" w:ascii="黑体" w:hAnsi="黑体" w:eastAsia="黑体" w:cs="黑体"/>
          <w:b w:val="0"/>
          <w:bCs/>
          <w:sz w:val="21"/>
          <w:szCs w:val="21"/>
        </w:rPr>
        <w:t>建议</w:t>
      </w:r>
      <w:bookmarkEnd w:id="257"/>
      <w:bookmarkEnd w:id="258"/>
      <w:bookmarkEnd w:id="259"/>
    </w:p>
    <w:tbl>
      <w:tblPr>
        <w:tblStyle w:val="20"/>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5250"/>
        <w:gridCol w:w="7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blHeader/>
          <w:jc w:val="center"/>
        </w:trPr>
        <w:tc>
          <w:tcPr>
            <w:tcW w:w="1564" w:type="dxa"/>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pPr>
              <w:jc w:val="center"/>
              <w:rPr>
                <w:rFonts w:hint="eastAsia" w:ascii="宋体" w:hAnsi="宋体" w:eastAsia="宋体" w:cs="宋体"/>
                <w:b/>
                <w:sz w:val="18"/>
                <w:szCs w:val="18"/>
              </w:rPr>
            </w:pPr>
            <w:r>
              <w:rPr>
                <w:rFonts w:hint="eastAsia" w:ascii="宋体" w:hAnsi="宋体" w:eastAsia="宋体" w:cs="宋体"/>
                <w:b/>
                <w:sz w:val="18"/>
                <w:szCs w:val="18"/>
              </w:rPr>
              <w:t>项目</w:t>
            </w:r>
          </w:p>
        </w:tc>
        <w:tc>
          <w:tcPr>
            <w:tcW w:w="5250" w:type="dxa"/>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pPr>
              <w:jc w:val="center"/>
              <w:rPr>
                <w:rFonts w:hint="eastAsia" w:ascii="宋体" w:hAnsi="宋体" w:eastAsia="宋体" w:cs="宋体"/>
                <w:b/>
                <w:sz w:val="18"/>
                <w:szCs w:val="18"/>
              </w:rPr>
            </w:pPr>
            <w:r>
              <w:rPr>
                <w:rFonts w:hint="eastAsia" w:ascii="宋体" w:hAnsi="宋体" w:eastAsia="宋体" w:cs="宋体"/>
                <w:b/>
                <w:sz w:val="18"/>
                <w:szCs w:val="18"/>
              </w:rPr>
              <w:t>常见问题</w:t>
            </w:r>
          </w:p>
        </w:tc>
        <w:tc>
          <w:tcPr>
            <w:tcW w:w="7617" w:type="dxa"/>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top"/>
          </w:tcPr>
          <w:p>
            <w:pPr>
              <w:jc w:val="center"/>
              <w:rPr>
                <w:rFonts w:hint="eastAsia" w:ascii="宋体" w:hAnsi="宋体" w:eastAsia="宋体" w:cs="宋体"/>
                <w:b/>
                <w:sz w:val="18"/>
                <w:szCs w:val="18"/>
              </w:rPr>
            </w:pPr>
            <w:r>
              <w:rPr>
                <w:rFonts w:hint="eastAsia" w:ascii="宋体" w:hAnsi="宋体" w:eastAsia="宋体" w:cs="宋体"/>
                <w:b/>
                <w:sz w:val="18"/>
                <w:szCs w:val="18"/>
              </w:rPr>
              <w:t>改</w:t>
            </w:r>
            <w:r>
              <w:rPr>
                <w:rFonts w:hint="eastAsia" w:ascii="宋体" w:hAnsi="宋体" w:eastAsia="宋体" w:cs="宋体"/>
                <w:b/>
                <w:sz w:val="18"/>
                <w:szCs w:val="18"/>
                <w:lang w:val="en-US" w:eastAsia="zh-CN"/>
              </w:rPr>
              <w:t>善</w:t>
            </w:r>
            <w:r>
              <w:rPr>
                <w:rFonts w:hint="eastAsia" w:ascii="宋体" w:hAnsi="宋体" w:eastAsia="宋体" w:cs="宋体"/>
                <w:b/>
                <w:sz w:val="18"/>
                <w:szCs w:val="18"/>
              </w:rPr>
              <w:t>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Borders>
              <w:top w:val="single" w:color="000000" w:sz="4" w:space="0"/>
            </w:tcBorders>
            <w:shd w:val="clear" w:color="auto" w:fill="FFFFFF" w:themeFill="background1"/>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照明</w:t>
            </w:r>
          </w:p>
        </w:tc>
        <w:tc>
          <w:tcPr>
            <w:tcW w:w="5250" w:type="dxa"/>
            <w:tcBorders>
              <w:top w:val="single" w:color="000000" w:sz="4" w:space="0"/>
            </w:tcBorders>
            <w:shd w:val="clear" w:color="auto" w:fill="FFFFFF" w:themeFill="background1"/>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老年人活动区域没有安装照明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照明不足、过强、刺眼、闪烁等</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夜间进入房间或起夜时无法方便开关照明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cs="宋体"/>
                <w:sz w:val="18"/>
                <w:szCs w:val="18"/>
              </w:rPr>
            </w:pPr>
            <w:r>
              <w:rPr>
                <w:rFonts w:hint="eastAsia" w:ascii="宋体" w:hAnsi="宋体" w:eastAsia="宋体" w:cs="宋体"/>
                <w:sz w:val="18"/>
                <w:szCs w:val="18"/>
              </w:rPr>
              <w:t>不使用夜灯、手电筒等夜间照明工具</w:t>
            </w:r>
            <w:r>
              <w:rPr>
                <w:rFonts w:hint="eastAsia" w:ascii="宋体" w:hAnsi="宋体" w:eastAsia="宋体" w:cs="宋体"/>
                <w:sz w:val="18"/>
                <w:szCs w:val="18"/>
                <w:lang w:eastAsia="zh-CN"/>
              </w:rPr>
              <w:t>。</w:t>
            </w:r>
          </w:p>
        </w:tc>
        <w:tc>
          <w:tcPr>
            <w:tcW w:w="7617" w:type="dxa"/>
            <w:tcBorders>
              <w:top w:val="single" w:color="000000" w:sz="4" w:space="0"/>
            </w:tcBorders>
            <w:shd w:val="clear" w:color="auto" w:fill="FFFFFF" w:themeFill="background1"/>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在老年人所有活动区域安装照明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照明有一定强度，光线柔和，不刺眼，不闪烁</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改变照明开关位置，方便老年人在门口和床上可以方便开关照明。使用带有遥控器的灯具。在经常需要开关照明的位置增加灯具。</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使用小夜灯，手电等工具。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Borders>
              <w:top w:val="single" w:color="000000" w:sz="4" w:space="0"/>
            </w:tcBorders>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地面湿滑</w:t>
            </w:r>
          </w:p>
        </w:tc>
        <w:tc>
          <w:tcPr>
            <w:tcW w:w="5250" w:type="dxa"/>
            <w:tcBorders>
              <w:top w:val="single" w:color="000000" w:sz="4" w:space="0"/>
            </w:tcBorders>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地面有水、油等造成湿滑</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地板或地面装修材质过于光滑</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地板打蜡造成地板光滑</w:t>
            </w:r>
            <w:r>
              <w:rPr>
                <w:rFonts w:hint="eastAsia" w:ascii="宋体" w:hAnsi="宋体" w:eastAsia="宋体" w:cs="宋体"/>
                <w:sz w:val="18"/>
                <w:szCs w:val="18"/>
                <w:lang w:eastAsia="zh-CN"/>
              </w:rPr>
              <w:t>。</w:t>
            </w:r>
          </w:p>
        </w:tc>
        <w:tc>
          <w:tcPr>
            <w:tcW w:w="7617" w:type="dxa"/>
            <w:tcBorders>
              <w:top w:val="single" w:color="000000" w:sz="4" w:space="0"/>
            </w:tcBorders>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在经常有水或油的位置（如卫生间、厨房、水池等位置）使用地垫、防滑垫。及时清理地面的水或者油。改变家具的位置，更换不合适的工具，减少液体洒落地面的可能性。</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更换防滑的地面防滑材料。使用地毯或地垫。给地面刷防滑漆。</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避免给地板打蜡或使用上光剂。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Borders>
              <w:top w:val="single" w:color="000000" w:sz="4" w:space="0"/>
            </w:tcBorders>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地毯</w:t>
            </w:r>
          </w:p>
        </w:tc>
        <w:tc>
          <w:tcPr>
            <w:tcW w:w="5250" w:type="dxa"/>
            <w:tcBorders>
              <w:top w:val="single" w:color="000000" w:sz="4" w:space="0"/>
            </w:tcBorders>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翘起的地毯、地垫边缘</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松散易滑动的地毯或地垫</w:t>
            </w:r>
            <w:r>
              <w:rPr>
                <w:rFonts w:hint="eastAsia" w:ascii="宋体" w:hAnsi="宋体" w:eastAsia="宋体" w:cs="宋体"/>
                <w:sz w:val="18"/>
                <w:szCs w:val="18"/>
                <w:lang w:eastAsia="zh-CN"/>
              </w:rPr>
              <w:t>。</w:t>
            </w:r>
          </w:p>
        </w:tc>
        <w:tc>
          <w:tcPr>
            <w:tcW w:w="7617" w:type="dxa"/>
            <w:tcBorders>
              <w:top w:val="single" w:color="000000" w:sz="4" w:space="0"/>
            </w:tcBorders>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更换地毯或地垫。重新将地毯和地垫整平整。</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移走地毯或地垫。使用双面胶固定地毯或地垫。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564" w:type="dxa"/>
            <w:tcBorders>
              <w:top w:val="single" w:color="000000" w:sz="4" w:space="0"/>
            </w:tcBorders>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台阶、门槛</w:t>
            </w:r>
          </w:p>
        </w:tc>
        <w:tc>
          <w:tcPr>
            <w:tcW w:w="5250" w:type="dxa"/>
            <w:tcBorders>
              <w:top w:val="single" w:color="000000" w:sz="4" w:space="0"/>
            </w:tcBorders>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过高的门槛</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过高的台阶</w:t>
            </w:r>
            <w:r>
              <w:rPr>
                <w:rFonts w:hint="eastAsia" w:ascii="宋体" w:hAnsi="宋体" w:eastAsia="宋体" w:cs="宋体"/>
                <w:sz w:val="18"/>
                <w:szCs w:val="18"/>
                <w:lang w:eastAsia="zh-CN"/>
              </w:rPr>
              <w:t>。</w:t>
            </w:r>
          </w:p>
        </w:tc>
        <w:tc>
          <w:tcPr>
            <w:tcW w:w="7617" w:type="dxa"/>
            <w:tcBorders>
              <w:top w:val="single" w:color="000000" w:sz="4" w:space="0"/>
            </w:tcBorders>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去除过高的门槛。在门槛处增加警示标识，使门槛更易被看到。</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在台阶处增加警示标识，使台阶更易被看到。清除台阶。在台阶附近按照扶手或者能提供一定支撑的家具、设备。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564" w:type="dxa"/>
            <w:tcBorders>
              <w:top w:val="single" w:color="000000" w:sz="4" w:space="0"/>
            </w:tcBorders>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障碍物</w:t>
            </w:r>
          </w:p>
        </w:tc>
        <w:tc>
          <w:tcPr>
            <w:tcW w:w="5250" w:type="dxa"/>
            <w:tcBorders>
              <w:top w:val="single" w:color="000000" w:sz="4" w:space="0"/>
            </w:tcBorders>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走廊、通道有家具、杂物或临时摆放的物品</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走廊、通道有电线、绳索</w:t>
            </w:r>
            <w:r>
              <w:rPr>
                <w:rFonts w:hint="eastAsia" w:ascii="宋体" w:hAnsi="宋体" w:eastAsia="宋体" w:cs="宋体"/>
                <w:sz w:val="18"/>
                <w:szCs w:val="18"/>
                <w:lang w:eastAsia="zh-CN"/>
              </w:rPr>
              <w:t>。</w:t>
            </w:r>
          </w:p>
        </w:tc>
        <w:tc>
          <w:tcPr>
            <w:tcW w:w="7617" w:type="dxa"/>
            <w:tcBorders>
              <w:top w:val="single" w:color="000000" w:sz="4" w:space="0"/>
            </w:tcBorders>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重新布置家具位置，保证通道通畅。清除走廊、通道上的杂物、临时摆放物品。减少家中杂物、家具数量。养成不随意摆放物品的习惯。</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调整电线、绳索布局，避免其横穿走廊、通道地面。</w:t>
            </w:r>
          </w:p>
        </w:tc>
      </w:tr>
    </w:tbl>
    <w:p>
      <w:pPr>
        <w:pStyle w:val="67"/>
        <w:ind w:left="0" w:leftChars="0" w:firstLine="0" w:firstLineChars="0"/>
        <w:sectPr>
          <w:pgSz w:w="16838" w:h="11906" w:orient="landscape"/>
          <w:pgMar w:top="1418" w:right="1417" w:bottom="1134" w:left="1134"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before="157" w:beforeLines="50" w:after="157" w:afterLines="50"/>
        <w:jc w:val="center"/>
        <w:textAlignment w:val="auto"/>
        <w:outlineLvl w:val="9"/>
      </w:pPr>
      <w:r>
        <w:rPr>
          <w:rFonts w:hint="eastAsia" w:ascii="黑体" w:hAnsi="黑体" w:eastAsia="黑体" w:cs="黑体"/>
          <w:b w:val="0"/>
          <w:bCs/>
          <w:sz w:val="21"/>
          <w:szCs w:val="21"/>
        </w:rPr>
        <w:t>表</w:t>
      </w:r>
      <w:r>
        <w:rPr>
          <w:rFonts w:hint="eastAsia" w:ascii="黑体" w:hAnsi="黑体" w:eastAsia="黑体" w:cs="黑体"/>
          <w:b w:val="0"/>
          <w:bCs/>
          <w:sz w:val="21"/>
          <w:szCs w:val="21"/>
          <w:lang w:val="en-US" w:eastAsia="zh-CN"/>
        </w:rPr>
        <w:t>D</w:t>
      </w:r>
      <w:r>
        <w:rPr>
          <w:rFonts w:hint="eastAsia" w:ascii="黑体" w:hAnsi="黑体" w:eastAsia="黑体" w:cs="黑体"/>
          <w:b w:val="0"/>
          <w:bCs/>
          <w:sz w:val="21"/>
          <w:szCs w:val="21"/>
        </w:rPr>
        <w:t>.1  老年人跌倒居家环境危险因素</w:t>
      </w:r>
      <w:r>
        <w:rPr>
          <w:rFonts w:hint="eastAsia" w:ascii="黑体" w:hAnsi="黑体" w:eastAsia="黑体" w:cs="黑体"/>
          <w:b w:val="0"/>
          <w:bCs/>
          <w:sz w:val="21"/>
          <w:szCs w:val="21"/>
          <w:lang w:val="en-US" w:eastAsia="zh-CN"/>
        </w:rPr>
        <w:t>评估</w:t>
      </w:r>
      <w:r>
        <w:rPr>
          <w:rFonts w:hint="eastAsia" w:ascii="黑体" w:hAnsi="黑体" w:eastAsia="黑体" w:cs="黑体"/>
          <w:b w:val="0"/>
          <w:bCs/>
          <w:sz w:val="21"/>
          <w:szCs w:val="21"/>
        </w:rPr>
        <w:t>及改</w:t>
      </w:r>
      <w:r>
        <w:rPr>
          <w:rFonts w:hint="eastAsia" w:ascii="黑体" w:hAnsi="黑体" w:eastAsia="黑体" w:cs="黑体"/>
          <w:b w:val="0"/>
          <w:bCs/>
          <w:sz w:val="21"/>
          <w:szCs w:val="21"/>
          <w:lang w:val="en-US" w:eastAsia="zh-CN"/>
        </w:rPr>
        <w:t>善</w:t>
      </w:r>
      <w:r>
        <w:rPr>
          <w:rFonts w:hint="eastAsia" w:ascii="黑体" w:hAnsi="黑体" w:eastAsia="黑体" w:cs="黑体"/>
          <w:b w:val="0"/>
          <w:bCs/>
          <w:sz w:val="21"/>
          <w:szCs w:val="21"/>
        </w:rPr>
        <w:t>建议</w:t>
      </w:r>
      <w:r>
        <w:rPr>
          <w:rFonts w:hint="eastAsia" w:ascii="宋体" w:hAnsi="宋体"/>
          <w:kern w:val="21"/>
          <w:szCs w:val="20"/>
        </w:rPr>
        <w:t>（续）</w:t>
      </w:r>
    </w:p>
    <w:tbl>
      <w:tblPr>
        <w:tblStyle w:val="20"/>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5250"/>
        <w:gridCol w:w="7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564" w:type="dxa"/>
            <w:tcBorders>
              <w:top w:val="single" w:color="000000" w:sz="4" w:space="0"/>
            </w:tcBorders>
            <w:noWrap w:val="0"/>
            <w:vAlign w:val="center"/>
          </w:tcPr>
          <w:p>
            <w:pPr>
              <w:jc w:val="center"/>
              <w:rPr>
                <w:rFonts w:hint="eastAsia" w:ascii="宋体" w:hAnsi="宋体" w:eastAsia="宋体" w:cs="宋体"/>
                <w:b/>
                <w:sz w:val="18"/>
                <w:szCs w:val="18"/>
              </w:rPr>
            </w:pPr>
            <w:r>
              <w:rPr>
                <w:rFonts w:hint="eastAsia" w:ascii="宋体" w:hAnsi="宋体" w:eastAsia="宋体" w:cs="宋体"/>
                <w:b/>
                <w:sz w:val="18"/>
                <w:szCs w:val="18"/>
              </w:rPr>
              <w:t>项目</w:t>
            </w:r>
          </w:p>
        </w:tc>
        <w:tc>
          <w:tcPr>
            <w:tcW w:w="5250" w:type="dxa"/>
            <w:tcBorders>
              <w:top w:val="single" w:color="000000" w:sz="4" w:space="0"/>
            </w:tcBorders>
            <w:noWrap w:val="0"/>
            <w:vAlign w:val="center"/>
          </w:tcPr>
          <w:p>
            <w:pPr>
              <w:jc w:val="center"/>
              <w:rPr>
                <w:rFonts w:hint="eastAsia" w:ascii="宋体" w:hAnsi="宋体" w:eastAsia="宋体" w:cs="宋体"/>
                <w:b/>
                <w:sz w:val="18"/>
                <w:szCs w:val="18"/>
              </w:rPr>
            </w:pPr>
            <w:r>
              <w:rPr>
                <w:rFonts w:hint="eastAsia" w:ascii="宋体" w:hAnsi="宋体" w:eastAsia="宋体" w:cs="宋体"/>
                <w:b/>
                <w:sz w:val="18"/>
                <w:szCs w:val="18"/>
              </w:rPr>
              <w:t>常见问题</w:t>
            </w:r>
          </w:p>
        </w:tc>
        <w:tc>
          <w:tcPr>
            <w:tcW w:w="7617" w:type="dxa"/>
            <w:tcBorders>
              <w:top w:val="single" w:color="000000" w:sz="4" w:space="0"/>
            </w:tcBorders>
            <w:noWrap w:val="0"/>
            <w:vAlign w:val="top"/>
          </w:tcPr>
          <w:p>
            <w:pPr>
              <w:jc w:val="center"/>
              <w:rPr>
                <w:rFonts w:hint="eastAsia" w:ascii="宋体" w:hAnsi="宋体" w:eastAsia="宋体" w:cs="宋体"/>
                <w:b/>
                <w:sz w:val="18"/>
                <w:szCs w:val="18"/>
              </w:rPr>
            </w:pPr>
            <w:r>
              <w:rPr>
                <w:rFonts w:hint="eastAsia" w:ascii="宋体" w:hAnsi="宋体" w:eastAsia="宋体" w:cs="宋体"/>
                <w:b/>
                <w:sz w:val="18"/>
                <w:szCs w:val="18"/>
              </w:rPr>
              <w:t>改</w:t>
            </w:r>
            <w:r>
              <w:rPr>
                <w:rFonts w:hint="eastAsia" w:ascii="宋体" w:hAnsi="宋体" w:eastAsia="宋体" w:cs="宋体"/>
                <w:b/>
                <w:sz w:val="18"/>
                <w:szCs w:val="18"/>
                <w:lang w:val="en-US" w:eastAsia="zh-CN"/>
              </w:rPr>
              <w:t>善</w:t>
            </w:r>
            <w:r>
              <w:rPr>
                <w:rFonts w:hint="eastAsia" w:ascii="宋体" w:hAnsi="宋体" w:eastAsia="宋体" w:cs="宋体"/>
                <w:b/>
                <w:sz w:val="18"/>
                <w:szCs w:val="18"/>
              </w:rPr>
              <w:t>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1564" w:type="dxa"/>
            <w:tcBorders>
              <w:top w:val="single" w:color="000000" w:sz="4" w:space="0"/>
            </w:tcBorders>
            <w:noWrap w:val="0"/>
            <w:vAlign w:val="center"/>
          </w:tcPr>
          <w:p>
            <w:pPr>
              <w:adjustRightInd w:val="0"/>
              <w:snapToGrid w:val="0"/>
              <w:spacing w:line="300" w:lineRule="exact"/>
              <w:jc w:val="center"/>
              <w:rPr>
                <w:rFonts w:hint="eastAsia" w:ascii="宋体" w:hAnsi="宋体" w:cs="宋体"/>
                <w:sz w:val="18"/>
                <w:szCs w:val="18"/>
              </w:rPr>
            </w:pPr>
            <w:r>
              <w:rPr>
                <w:rFonts w:hint="eastAsia" w:ascii="宋体" w:hAnsi="宋体" w:cs="宋体"/>
                <w:sz w:val="18"/>
                <w:szCs w:val="18"/>
              </w:rPr>
              <w:t>家具选择和摆放</w:t>
            </w:r>
          </w:p>
        </w:tc>
        <w:tc>
          <w:tcPr>
            <w:tcW w:w="5250" w:type="dxa"/>
            <w:tcBorders>
              <w:top w:val="single" w:color="000000" w:sz="4" w:space="0"/>
            </w:tcBorders>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沙发、座椅、床过高或过低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坐便器过高或过低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从沙发、座椅、床起身时没有扶手或支撑物</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家具中有大量玻璃或易碎、尖锐材料作为装饰</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家具不稳固，如带轱辘的桌椅、简易组装的桌子等</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家具摆放不便于老年人在室内通行，如家具阻碍了通道，或因家具摆放增加老年人的绕行</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储存食物、调料、日常用品的柜子、抽屉、架子过高或过低</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不适合老年人的晾衣架，老年人需要将身子探出阳台</w:t>
            </w:r>
            <w:r>
              <w:rPr>
                <w:rFonts w:hint="eastAsia" w:ascii="宋体" w:hAnsi="宋体" w:eastAsia="宋体" w:cs="宋体"/>
                <w:sz w:val="18"/>
                <w:szCs w:val="18"/>
                <w:lang w:eastAsia="zh-CN"/>
              </w:rPr>
              <w:t>或</w:t>
            </w:r>
            <w:r>
              <w:rPr>
                <w:rFonts w:hint="eastAsia" w:ascii="宋体" w:hAnsi="宋体" w:eastAsia="宋体" w:cs="宋体"/>
                <w:sz w:val="18"/>
                <w:szCs w:val="18"/>
              </w:rPr>
              <w:t>站在凳子上才能晾衣物</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进门如需换鞋，换鞋处没有供老年人使用的座椅</w:t>
            </w:r>
            <w:r>
              <w:rPr>
                <w:rFonts w:hint="eastAsia" w:ascii="宋体" w:hAnsi="宋体" w:eastAsia="宋体" w:cs="宋体"/>
                <w:sz w:val="18"/>
                <w:szCs w:val="18"/>
                <w:lang w:eastAsia="zh-CN"/>
              </w:rPr>
              <w:t>。</w:t>
            </w:r>
          </w:p>
        </w:tc>
        <w:tc>
          <w:tcPr>
            <w:tcW w:w="7617" w:type="dxa"/>
            <w:tcBorders>
              <w:top w:val="single" w:color="000000" w:sz="4" w:space="0"/>
            </w:tcBorders>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调整沙发、座位、床的高度以坐在上面全脚掌刚好能着地为宜。</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更换或调整坐便器到合适的高度。</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使用有扶手的沙发、座椅、床，或在沙发、座椅、床附近摆放可提供支撑的家具。</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不使用玻璃制家具。避免或减少使用含有易碎、尖锐材料的家具或装饰。</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使用稳固的家具，不使用带有轮子的桌椅家具。修理或替换家中晃动不稳的家具。</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改变家具摆放位置，使其不阻碍室内通道走廊，不增加老年人室内的绕行。</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调整储物柜子、抽屉、架子至合适高度，尽量保证老年人不用登高，不用过度弯腰可以方便拿到日常用品。</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调整晾衣架位置。配备供老年人晾晒衣物的支架。</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在换鞋的位置增加座位。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noWrap w:val="0"/>
            <w:vAlign w:val="center"/>
          </w:tcPr>
          <w:p>
            <w:pPr>
              <w:adjustRightInd w:val="0"/>
              <w:snapToGrid w:val="0"/>
              <w:spacing w:line="300" w:lineRule="exact"/>
              <w:jc w:val="center"/>
              <w:rPr>
                <w:rFonts w:hint="eastAsia" w:ascii="宋体" w:hAnsi="宋体" w:cs="宋体"/>
                <w:sz w:val="18"/>
                <w:szCs w:val="18"/>
              </w:rPr>
            </w:pPr>
            <w:r>
              <w:rPr>
                <w:rFonts w:hint="eastAsia" w:ascii="宋体" w:hAnsi="宋体" w:cs="宋体"/>
                <w:sz w:val="18"/>
                <w:szCs w:val="18"/>
              </w:rPr>
              <w:t>没有扶手或支撑物</w:t>
            </w:r>
          </w:p>
        </w:tc>
        <w:tc>
          <w:tcPr>
            <w:tcW w:w="5250" w:type="dxa"/>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马桶旁没有扶手、浴缸、淋浴处没有扶手</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室内有台阶的位置没有扶手</w:t>
            </w:r>
            <w:r>
              <w:rPr>
                <w:rFonts w:hint="eastAsia" w:ascii="宋体" w:hAnsi="宋体" w:eastAsia="宋体" w:cs="宋体"/>
                <w:sz w:val="18"/>
                <w:szCs w:val="18"/>
                <w:lang w:eastAsia="zh-CN"/>
              </w:rPr>
              <w:t>。</w:t>
            </w:r>
          </w:p>
        </w:tc>
        <w:tc>
          <w:tcPr>
            <w:tcW w:w="7617" w:type="dxa"/>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在马桶旁、浴缸、淋浴处安装扶手。</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在室内台阶处安装扶手。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noWrap w:val="0"/>
            <w:vAlign w:val="center"/>
          </w:tcPr>
          <w:p>
            <w:pPr>
              <w:adjustRightInd w:val="0"/>
              <w:snapToGrid w:val="0"/>
              <w:spacing w:line="300" w:lineRule="exact"/>
              <w:jc w:val="center"/>
              <w:rPr>
                <w:rFonts w:hint="eastAsia" w:ascii="宋体" w:hAnsi="宋体" w:cs="宋体"/>
                <w:sz w:val="18"/>
                <w:szCs w:val="18"/>
              </w:rPr>
            </w:pPr>
            <w:r>
              <w:rPr>
                <w:rFonts w:hint="eastAsia" w:ascii="宋体" w:hAnsi="宋体" w:cs="宋体"/>
                <w:sz w:val="18"/>
                <w:szCs w:val="18"/>
              </w:rPr>
              <w:t>楼道和楼梯</w:t>
            </w:r>
          </w:p>
        </w:tc>
        <w:tc>
          <w:tcPr>
            <w:tcW w:w="5250" w:type="dxa"/>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楼道有灯泡不亮或者照明不足</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楼道旁边堆有杂物</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楼梯的边缘不能看清</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楼梯台阶有破损</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楼梯没有扶手</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没有电梯的住宅，楼梯间没有可供老年人休息的座位</w:t>
            </w:r>
            <w:r>
              <w:rPr>
                <w:rFonts w:hint="eastAsia" w:ascii="宋体" w:hAnsi="宋体" w:eastAsia="宋体" w:cs="宋体"/>
                <w:sz w:val="18"/>
                <w:szCs w:val="18"/>
                <w:lang w:eastAsia="zh-CN"/>
              </w:rPr>
              <w:t>。</w:t>
            </w:r>
          </w:p>
        </w:tc>
        <w:tc>
          <w:tcPr>
            <w:tcW w:w="7617" w:type="dxa"/>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维修楼道照明。</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清理楼道杂物，保持楼梯、楼道无障碍。</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使用颜色鲜艳、明亮的油漆或警示标识。</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及时警示、维修破损的台阶。</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在楼梯区域安装扶手。</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在楼梯间增加座椅，供老年人临时休息。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noWrap w:val="0"/>
            <w:vAlign w:val="center"/>
          </w:tcPr>
          <w:p>
            <w:pPr>
              <w:adjustRightInd w:val="0"/>
              <w:snapToGrid w:val="0"/>
              <w:spacing w:line="300" w:lineRule="exact"/>
              <w:jc w:val="center"/>
              <w:rPr>
                <w:rFonts w:hint="eastAsia" w:ascii="宋体" w:hAnsi="宋体" w:cs="宋体"/>
                <w:sz w:val="18"/>
                <w:szCs w:val="18"/>
              </w:rPr>
            </w:pPr>
            <w:r>
              <w:rPr>
                <w:rFonts w:hint="eastAsia" w:ascii="宋体" w:hAnsi="宋体" w:cs="宋体"/>
                <w:sz w:val="18"/>
                <w:szCs w:val="18"/>
              </w:rPr>
              <w:t>宠物</w:t>
            </w:r>
          </w:p>
        </w:tc>
        <w:tc>
          <w:tcPr>
            <w:tcW w:w="5250" w:type="dxa"/>
            <w:noWrap w:val="0"/>
            <w:vAlign w:val="center"/>
          </w:tcPr>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家中的宠物没有固定休息位置</w:t>
            </w:r>
            <w:r>
              <w:rPr>
                <w:rFonts w:hint="eastAsia" w:ascii="宋体" w:hAnsi="宋体" w:eastAsia="宋体" w:cs="宋体"/>
                <w:sz w:val="18"/>
                <w:szCs w:val="18"/>
                <w:lang w:eastAsia="zh-CN"/>
              </w:rPr>
              <w:t>。</w:t>
            </w:r>
          </w:p>
          <w:p>
            <w:pPr>
              <w:pStyle w:val="13"/>
              <w:numPr>
                <w:ilvl w:val="0"/>
                <w:numId w:val="14"/>
              </w:numPr>
              <w:tabs>
                <w:tab w:val="center" w:pos="516"/>
                <w:tab w:val="clear" w:pos="4153"/>
              </w:tabs>
              <w:spacing w:line="300" w:lineRule="exact"/>
              <w:ind w:left="366" w:leftChars="84" w:hanging="190" w:hangingChars="106"/>
              <w:jc w:val="left"/>
              <w:rPr>
                <w:rFonts w:hint="eastAsia" w:ascii="宋体" w:hAnsi="宋体" w:eastAsia="宋体" w:cs="宋体"/>
                <w:sz w:val="18"/>
                <w:szCs w:val="18"/>
              </w:rPr>
            </w:pPr>
            <w:r>
              <w:rPr>
                <w:rFonts w:hint="eastAsia" w:ascii="宋体" w:hAnsi="宋体" w:eastAsia="宋体" w:cs="宋体"/>
                <w:sz w:val="18"/>
                <w:szCs w:val="18"/>
              </w:rPr>
              <w:t>家中宠物不易被人发现</w:t>
            </w:r>
            <w:r>
              <w:rPr>
                <w:rFonts w:hint="eastAsia" w:ascii="宋体" w:hAnsi="宋体" w:eastAsia="宋体" w:cs="宋体"/>
                <w:sz w:val="18"/>
                <w:szCs w:val="18"/>
                <w:lang w:eastAsia="zh-CN"/>
              </w:rPr>
              <w:t>。</w:t>
            </w:r>
          </w:p>
        </w:tc>
        <w:tc>
          <w:tcPr>
            <w:tcW w:w="7617" w:type="dxa"/>
            <w:noWrap w:val="0"/>
            <w:vAlign w:val="top"/>
          </w:tcPr>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给家里宠物安排固定位置休息，避免宠物在通道上休息。</w:t>
            </w:r>
          </w:p>
          <w:p>
            <w:pPr>
              <w:pStyle w:val="13"/>
              <w:numPr>
                <w:ilvl w:val="0"/>
                <w:numId w:val="14"/>
              </w:numPr>
              <w:tabs>
                <w:tab w:val="center" w:pos="516"/>
                <w:tab w:val="clear" w:pos="4153"/>
              </w:tabs>
              <w:spacing w:line="300" w:lineRule="exact"/>
              <w:ind w:left="366" w:leftChars="84" w:hanging="190" w:hangingChars="106"/>
              <w:rPr>
                <w:rFonts w:hint="eastAsia" w:ascii="宋体" w:hAnsi="宋体" w:eastAsia="宋体" w:cs="宋体"/>
                <w:sz w:val="18"/>
                <w:szCs w:val="18"/>
              </w:rPr>
            </w:pPr>
            <w:r>
              <w:rPr>
                <w:rFonts w:hint="eastAsia" w:ascii="宋体" w:hAnsi="宋体" w:eastAsia="宋体" w:cs="宋体"/>
                <w:sz w:val="18"/>
                <w:szCs w:val="18"/>
              </w:rPr>
              <w:t>给宠物佩戴铃铛，增加宠物的可见性。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noWrap w:val="0"/>
            <w:vAlign w:val="center"/>
          </w:tcPr>
          <w:p>
            <w:pPr>
              <w:adjustRightInd w:val="0"/>
              <w:snapToGrid w:val="0"/>
              <w:spacing w:line="300" w:lineRule="exact"/>
              <w:jc w:val="center"/>
              <w:rPr>
                <w:rFonts w:hint="eastAsia" w:ascii="宋体" w:hAnsi="宋体" w:cs="宋体"/>
                <w:sz w:val="18"/>
                <w:szCs w:val="18"/>
              </w:rPr>
            </w:pPr>
            <w:r>
              <w:rPr>
                <w:rFonts w:hint="eastAsia" w:ascii="宋体" w:hAnsi="宋体" w:cs="宋体"/>
                <w:sz w:val="18"/>
                <w:szCs w:val="18"/>
              </w:rPr>
              <w:t>其他</w:t>
            </w:r>
          </w:p>
        </w:tc>
        <w:tc>
          <w:tcPr>
            <w:tcW w:w="5250" w:type="dxa"/>
            <w:noWrap w:val="0"/>
            <w:vAlign w:val="center"/>
          </w:tcPr>
          <w:p>
            <w:pPr>
              <w:pStyle w:val="13"/>
              <w:numPr>
                <w:ilvl w:val="0"/>
                <w:numId w:val="14"/>
              </w:numPr>
              <w:tabs>
                <w:tab w:val="center" w:pos="544"/>
                <w:tab w:val="clear" w:pos="4153"/>
              </w:tabs>
              <w:spacing w:line="300" w:lineRule="exact"/>
              <w:ind w:left="366" w:leftChars="84" w:hanging="190" w:hangingChars="106"/>
              <w:jc w:val="left"/>
              <w:rPr>
                <w:rFonts w:hint="eastAsia" w:ascii="宋体" w:hAnsi="宋体" w:cs="宋体"/>
                <w:sz w:val="18"/>
                <w:szCs w:val="18"/>
              </w:rPr>
            </w:pPr>
            <w:r>
              <w:rPr>
                <w:rFonts w:hint="eastAsia" w:ascii="宋体" w:hAnsi="宋体" w:cs="宋体"/>
                <w:sz w:val="18"/>
                <w:szCs w:val="18"/>
              </w:rPr>
              <w:t>1</w:t>
            </w:r>
          </w:p>
          <w:p>
            <w:pPr>
              <w:pStyle w:val="13"/>
              <w:numPr>
                <w:ilvl w:val="0"/>
                <w:numId w:val="14"/>
              </w:numPr>
              <w:tabs>
                <w:tab w:val="center" w:pos="544"/>
                <w:tab w:val="clear" w:pos="4153"/>
              </w:tabs>
              <w:spacing w:line="300" w:lineRule="exact"/>
              <w:ind w:left="366" w:leftChars="84" w:hanging="190" w:hangingChars="106"/>
              <w:jc w:val="left"/>
              <w:rPr>
                <w:rFonts w:hint="eastAsia" w:ascii="宋体" w:hAnsi="宋体" w:cs="宋体"/>
                <w:sz w:val="18"/>
                <w:szCs w:val="18"/>
              </w:rPr>
            </w:pPr>
            <w:r>
              <w:rPr>
                <w:rFonts w:hint="eastAsia" w:ascii="宋体" w:hAnsi="宋体" w:cs="宋体"/>
                <w:sz w:val="18"/>
                <w:szCs w:val="18"/>
              </w:rPr>
              <w:t>2</w:t>
            </w:r>
          </w:p>
          <w:p>
            <w:pPr>
              <w:pStyle w:val="13"/>
              <w:numPr>
                <w:ilvl w:val="0"/>
                <w:numId w:val="14"/>
              </w:numPr>
              <w:tabs>
                <w:tab w:val="center" w:pos="544"/>
                <w:tab w:val="clear" w:pos="4153"/>
              </w:tabs>
              <w:spacing w:line="300" w:lineRule="exact"/>
              <w:ind w:left="366" w:leftChars="84" w:hanging="190" w:hangingChars="106"/>
              <w:jc w:val="left"/>
              <w:rPr>
                <w:rFonts w:hint="eastAsia" w:ascii="宋体" w:hAnsi="宋体" w:cs="宋体"/>
                <w:sz w:val="18"/>
                <w:szCs w:val="18"/>
              </w:rPr>
            </w:pPr>
            <w:r>
              <w:rPr>
                <w:rFonts w:hint="eastAsia" w:ascii="宋体" w:hAnsi="宋体" w:cs="宋体"/>
                <w:sz w:val="18"/>
                <w:szCs w:val="18"/>
              </w:rPr>
              <w:t>3</w:t>
            </w:r>
          </w:p>
          <w:p>
            <w:pPr>
              <w:pStyle w:val="13"/>
              <w:numPr>
                <w:ilvl w:val="0"/>
                <w:numId w:val="14"/>
              </w:numPr>
              <w:tabs>
                <w:tab w:val="center" w:pos="544"/>
                <w:tab w:val="clear" w:pos="4153"/>
              </w:tabs>
              <w:spacing w:line="300" w:lineRule="exact"/>
              <w:ind w:left="366" w:leftChars="84" w:hanging="190" w:hangingChars="106"/>
              <w:jc w:val="left"/>
              <w:rPr>
                <w:rFonts w:hint="eastAsia" w:ascii="宋体" w:hAnsi="宋体" w:cs="宋体"/>
                <w:sz w:val="18"/>
                <w:szCs w:val="18"/>
              </w:rPr>
            </w:pPr>
            <w:r>
              <w:rPr>
                <w:rFonts w:hint="eastAsia" w:ascii="宋体" w:hAnsi="宋体" w:cs="宋体"/>
                <w:sz w:val="18"/>
                <w:szCs w:val="18"/>
              </w:rPr>
              <w:t>4</w:t>
            </w:r>
          </w:p>
        </w:tc>
        <w:tc>
          <w:tcPr>
            <w:tcW w:w="7617" w:type="dxa"/>
            <w:noWrap w:val="0"/>
            <w:vAlign w:val="top"/>
          </w:tcPr>
          <w:p>
            <w:pPr>
              <w:pStyle w:val="13"/>
              <w:numPr>
                <w:ilvl w:val="0"/>
                <w:numId w:val="14"/>
              </w:numPr>
              <w:tabs>
                <w:tab w:val="center" w:pos="544"/>
                <w:tab w:val="clear" w:pos="4153"/>
              </w:tabs>
              <w:spacing w:line="300" w:lineRule="exact"/>
              <w:ind w:left="366" w:leftChars="84" w:hanging="190" w:hangingChars="106"/>
              <w:rPr>
                <w:rFonts w:hint="eastAsia" w:ascii="宋体" w:hAnsi="宋体" w:cs="宋体"/>
                <w:sz w:val="18"/>
                <w:szCs w:val="18"/>
              </w:rPr>
            </w:pPr>
            <w:r>
              <w:rPr>
                <w:rFonts w:hint="eastAsia" w:ascii="宋体" w:hAnsi="宋体" w:cs="宋体"/>
                <w:sz w:val="18"/>
                <w:szCs w:val="18"/>
              </w:rPr>
              <w:t>1</w:t>
            </w:r>
          </w:p>
          <w:p>
            <w:pPr>
              <w:pStyle w:val="13"/>
              <w:numPr>
                <w:ilvl w:val="0"/>
                <w:numId w:val="14"/>
              </w:numPr>
              <w:tabs>
                <w:tab w:val="center" w:pos="544"/>
                <w:tab w:val="clear" w:pos="4153"/>
              </w:tabs>
              <w:spacing w:line="300" w:lineRule="exact"/>
              <w:ind w:left="366" w:leftChars="84" w:hanging="190" w:hangingChars="106"/>
              <w:rPr>
                <w:rFonts w:hint="eastAsia" w:ascii="宋体" w:hAnsi="宋体" w:cs="宋体"/>
                <w:sz w:val="18"/>
                <w:szCs w:val="18"/>
              </w:rPr>
            </w:pPr>
            <w:r>
              <w:rPr>
                <w:rFonts w:hint="eastAsia" w:ascii="宋体" w:hAnsi="宋体" w:cs="宋体"/>
                <w:sz w:val="18"/>
                <w:szCs w:val="18"/>
              </w:rPr>
              <w:t>2</w:t>
            </w:r>
          </w:p>
          <w:p>
            <w:pPr>
              <w:pStyle w:val="13"/>
              <w:numPr>
                <w:ilvl w:val="0"/>
                <w:numId w:val="14"/>
              </w:numPr>
              <w:tabs>
                <w:tab w:val="center" w:pos="544"/>
                <w:tab w:val="clear" w:pos="4153"/>
              </w:tabs>
              <w:spacing w:line="300" w:lineRule="exact"/>
              <w:ind w:left="366" w:leftChars="84" w:hanging="190" w:hangingChars="106"/>
              <w:rPr>
                <w:rFonts w:hint="eastAsia" w:ascii="宋体" w:hAnsi="宋体" w:cs="宋体"/>
                <w:sz w:val="18"/>
                <w:szCs w:val="18"/>
              </w:rPr>
            </w:pPr>
            <w:r>
              <w:rPr>
                <w:rFonts w:hint="eastAsia" w:ascii="宋体" w:hAnsi="宋体" w:cs="宋体"/>
                <w:sz w:val="18"/>
                <w:szCs w:val="18"/>
              </w:rPr>
              <w:t>3</w:t>
            </w:r>
          </w:p>
          <w:p>
            <w:pPr>
              <w:pStyle w:val="13"/>
              <w:numPr>
                <w:ilvl w:val="0"/>
                <w:numId w:val="14"/>
              </w:numPr>
              <w:tabs>
                <w:tab w:val="center" w:pos="544"/>
                <w:tab w:val="clear" w:pos="4153"/>
              </w:tabs>
              <w:spacing w:line="300" w:lineRule="exact"/>
              <w:ind w:left="366" w:leftChars="84" w:hanging="190" w:hangingChars="106"/>
              <w:rPr>
                <w:rFonts w:hint="eastAsia" w:ascii="宋体" w:hAnsi="宋体" w:cs="宋体"/>
                <w:sz w:val="18"/>
                <w:szCs w:val="18"/>
              </w:rPr>
            </w:pPr>
            <w:r>
              <w:rPr>
                <w:rFonts w:hint="eastAsia" w:ascii="宋体" w:hAnsi="宋体" w:cs="宋体"/>
                <w:sz w:val="18"/>
                <w:szCs w:val="18"/>
              </w:rPr>
              <w:t>4</w:t>
            </w:r>
          </w:p>
        </w:tc>
      </w:tr>
    </w:tbl>
    <w:p>
      <w:pPr>
        <w:pStyle w:val="67"/>
        <w:ind w:left="0" w:leftChars="0" w:firstLine="0" w:firstLineChars="0"/>
        <w:sectPr>
          <w:pgSz w:w="16838" w:h="11906" w:orient="landscape"/>
          <w:pgMar w:top="1418" w:right="1417" w:bottom="1134" w:left="1134" w:header="1417" w:footer="1134" w:gutter="0"/>
          <w:pgBorders>
            <w:top w:val="none" w:sz="0" w:space="0"/>
            <w:left w:val="none" w:sz="0" w:space="0"/>
            <w:bottom w:val="none" w:sz="0" w:space="0"/>
            <w:right w:val="none" w:sz="0" w:space="0"/>
          </w:pgBorders>
          <w:pgNumType w:fmt="decimal"/>
          <w:cols w:space="425" w:num="1"/>
          <w:docGrid w:type="lines" w:linePitch="312" w:charSpace="0"/>
        </w:sectPr>
      </w:pPr>
    </w:p>
    <w:p>
      <w:pPr>
        <w:pStyle w:val="75"/>
        <w:shd w:val="clear" w:color="FFFFFF" w:fill="FFFFFF"/>
        <w:spacing w:before="567" w:after="283" w:afterLines="0"/>
        <w:rPr>
          <w:rFonts w:hint="eastAsia"/>
          <w:spacing w:val="105"/>
          <w:lang w:val="en-US" w:eastAsia="zh-CN"/>
        </w:rPr>
      </w:pPr>
      <w:bookmarkStart w:id="260" w:name="_Toc21428"/>
      <w:bookmarkStart w:id="261" w:name="_Toc4804"/>
      <w:bookmarkStart w:id="262" w:name="_Toc20240"/>
      <w:bookmarkStart w:id="263" w:name="_Toc25168"/>
      <w:bookmarkStart w:id="264" w:name="_Toc8254"/>
      <w:r>
        <w:rPr>
          <w:rFonts w:hint="eastAsia"/>
          <w:spacing w:val="105"/>
          <w:lang w:val="en-US" w:eastAsia="zh-CN"/>
        </w:rPr>
        <w:t>参考文献</w:t>
      </w:r>
      <w:bookmarkEnd w:id="260"/>
      <w:bookmarkEnd w:id="261"/>
      <w:bookmarkEnd w:id="262"/>
      <w:bookmarkEnd w:id="263"/>
      <w:bookmarkEnd w:id="264"/>
    </w:p>
    <w:p>
      <w:pPr>
        <w:pStyle w:val="67"/>
        <w:numPr>
          <w:ilvl w:val="0"/>
          <w:numId w:val="0"/>
        </w:numPr>
        <w:ind w:firstLine="420" w:firstLineChars="200"/>
        <w:jc w:val="left"/>
        <w:rPr>
          <w:rFonts w:hint="eastAsia"/>
        </w:rPr>
      </w:pPr>
      <w:r>
        <w:rPr>
          <w:rFonts w:hint="eastAsia"/>
          <w:lang w:val="en-US" w:eastAsia="zh-CN"/>
        </w:rPr>
        <w:t xml:space="preserve">[1]  </w:t>
      </w:r>
      <w:r>
        <w:rPr>
          <w:rFonts w:hint="eastAsia"/>
        </w:rPr>
        <w:t>GB/T 42195-2022  老年人能力评估规范</w:t>
      </w:r>
    </w:p>
    <w:p>
      <w:pPr>
        <w:pStyle w:val="67"/>
        <w:ind w:firstLine="420"/>
        <w:jc w:val="left"/>
        <w:rPr>
          <w:rFonts w:hint="eastAsia"/>
        </w:rPr>
      </w:pPr>
      <w:r>
        <w:rPr>
          <w:rFonts w:hint="eastAsia"/>
          <w:lang w:val="en-US" w:eastAsia="zh-CN"/>
        </w:rPr>
        <w:t>[2]  MZ/T 185-2021  养老机构老年人跌倒预防基本规范</w:t>
      </w:r>
    </w:p>
    <w:p>
      <w:pPr>
        <w:pStyle w:val="67"/>
        <w:ind w:firstLine="420"/>
        <w:jc w:val="left"/>
        <w:rPr>
          <w:rFonts w:hint="eastAsia"/>
          <w:lang w:val="en-US" w:eastAsia="zh-CN"/>
        </w:rPr>
      </w:pPr>
      <w:r>
        <w:rPr>
          <w:rFonts w:hint="eastAsia"/>
          <w:lang w:val="en-US" w:eastAsia="zh-CN"/>
        </w:rPr>
        <w:t>[3]  段蕾蕾，耳玉亮.社区老年人跌倒预防控制技术指南[M].北京:人民卫生出版社，2021</w:t>
      </w:r>
    </w:p>
    <w:p>
      <w:pPr>
        <w:pStyle w:val="67"/>
        <w:ind w:firstLine="420"/>
        <w:jc w:val="left"/>
        <w:rPr>
          <w:rFonts w:hint="default"/>
          <w:lang w:val="en-US" w:eastAsia="zh-CN"/>
        </w:rPr>
      </w:pPr>
      <w:r>
        <w:rPr>
          <w:rFonts w:hint="eastAsia"/>
          <w:lang w:val="en-US" w:eastAsia="zh-CN"/>
        </w:rPr>
        <w:t xml:space="preserve">[4]  </w:t>
      </w:r>
      <w:r>
        <w:rPr>
          <w:rFonts w:hint="eastAsia"/>
        </w:rPr>
        <w:t>中华医学会老年医学分会.老年患者衰弱评估与干预中国专家共识</w:t>
      </w:r>
      <w:r>
        <w:rPr>
          <w:rFonts w:hint="eastAsia"/>
          <w:lang w:val="en-US" w:eastAsia="zh-CN"/>
        </w:rPr>
        <w:t>[J]</w:t>
      </w:r>
      <w:r>
        <w:rPr>
          <w:rFonts w:hint="eastAsia"/>
        </w:rPr>
        <w:t>.中华老年医学杂志.2017</w:t>
      </w:r>
      <w:r>
        <w:rPr>
          <w:rFonts w:hint="eastAsia"/>
          <w:lang w:eastAsia="zh-CN"/>
        </w:rPr>
        <w:t>，</w:t>
      </w:r>
      <w:r>
        <w:rPr>
          <w:rFonts w:hint="eastAsia"/>
        </w:rPr>
        <w:t>36(3):251-256</w:t>
      </w:r>
      <w:r>
        <w:rPr>
          <w:rFonts w:ascii="黑体" w:hAnsi="黑体" w:eastAsia="黑体"/>
        </w:rPr>
        <mc:AlternateContent>
          <mc:Choice Requires="wps">
            <w:drawing>
              <wp:anchor distT="0" distB="0" distL="114300" distR="114300" simplePos="0" relativeHeight="251672576" behindDoc="0" locked="0" layoutInCell="1" allowOverlap="1">
                <wp:simplePos x="0" y="0"/>
                <wp:positionH relativeFrom="column">
                  <wp:posOffset>2070100</wp:posOffset>
                </wp:positionH>
                <wp:positionV relativeFrom="paragraph">
                  <wp:posOffset>727710</wp:posOffset>
                </wp:positionV>
                <wp:extent cx="1800225" cy="0"/>
                <wp:effectExtent l="0" t="4445" r="0" b="5080"/>
                <wp:wrapNone/>
                <wp:docPr id="6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3pt;margin-top:57.3pt;height:0pt;width:141.75pt;z-index:251672576;mso-width-relative:page;mso-height-relative:page;" filled="f" stroked="t" coordsize="21600,21600" o:gfxdata="UEsDBAoAAAAAAIdO4kAAAAAAAAAAAAAAAAAEAAAAZHJzL1BLAwQUAAAACACHTuJAneC3DNgAAAAL&#10;AQAADwAAAGRycy9kb3ducmV2LnhtbE2PQUvDQBCF74L/YRnBi9jdxDbYmE0pBQ8ebQtet9kxiWZn&#10;Q3bT1P56RyjU47z3ePO9YnVynTjiEFpPGpKZAoFUedtSrWG/e318BhGiIWs6T6jhBwOsytubwuTW&#10;T/SOx22sBZdQyI2GJsY+lzJUDToTZr5HYu/TD85EPoda2sFMXO46mSqVSWda4g+N6XHTYPW9HZ0G&#10;DOMiUeulq/dv5+nhIz1/Tf1O6/u7RL2AiHiK1zD84TM6lMx08CPZIDoNT2nGWyIbyTwDwYlMLRcg&#10;DhdFloX8v6H8BVBLAwQUAAAACACHTuJAcDpzJwcCAADZAwAADgAAAGRycy9lMm9Eb2MueG1srVPB&#10;bhMxEL0j8Q+W72Q3qRLaVTY9JCqXApVaPsDxenctvB5r7GSTn+AHkDgBJ8qpd74GymcwdpIC4dID&#10;e7A8npn3Zt7MTs83nWFrhV6DLflwkHOmrIRK26bkb24unp1y5oOwlTBgVcm3yvPz2dMn094VagQt&#10;mEohIxDri96VvA3BFVnmZas64QfglCVnDdiJQCY2WYWiJ/TOZKM8n2Q9YOUQpPKeXhc7J98j4mMA&#10;oa61VAuQq07ZsENFZUSglnyrneezVG1dKxle17VXgZmSU6chnURC92U8s9lUFA0K12q5L0E8poSj&#10;njqhLZE+QC1EEGyF+h+oTksED3UYSOiyXSNJEepimB9pc90Kp1IvJLV3D6L7/wcrX62vkOmq5JMx&#10;Z1Z0NPH793c/3n26/3r7/ePdz28f4v3LZzaOWvXOF5Qyt1cYu5Ube+0uQb71zMK8FbZRqeabrSOc&#10;YczI/kqJhnfEuOxfQkUxYhUgCbepsYuQJAnblHx09jwfn9CUtiU/meTjeE+zUpvAJAUMT/N8NKKa&#10;JUUkXyaKA4hDH14o6Fi8lNwHFLppwxyspY0AHCZKsb70IZYoikNCrMDChTYmkRnL+pKfjYknejwY&#10;XUVnMrBZzg2ytYirlb7U71EYwspWOxJjY55KW7lnPuixU3YJ1fYKY3B8p4mn2vbbGVfqTztF/f4j&#10;Z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eC3DNgAAAALAQAADwAAAAAAAAABACAAAAAiAAAA&#10;ZHJzL2Rvd25yZXYueG1sUEsBAhQAFAAAAAgAh07iQHA6cycHAgAA2QMAAA4AAAAAAAAAAQAgAAAA&#10;JwEAAGRycy9lMm9Eb2MueG1sUEsFBgAAAAAGAAYAWQEAAKAFAAAAAA==&#10;">
                <v:fill on="f" focussize="0,0"/>
                <v:stroke color="#000000" joinstyle="round"/>
                <v:imagedata o:title=""/>
                <o:lock v:ext="edit" aspectratio="f"/>
              </v:shape>
            </w:pict>
          </mc:Fallback>
        </mc:AlternateContent>
      </w:r>
    </w:p>
    <w:sectPr>
      <w:headerReference r:id="rId23" w:type="default"/>
      <w:footerReference r:id="rId25" w:type="default"/>
      <w:headerReference r:id="rId24" w:type="even"/>
      <w:footerReference r:id="rId26"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735A95-7EE0-4C90-BD8A-A02C3CA4D0C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CDFCD82-7BD2-4382-8C38-5784282B9B58}"/>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embedRegular r:id="rId3" w:fontKey="{55330541-1178-4B1C-8E4D-0E21DCBD57F9}"/>
  </w:font>
  <w:font w:name="Dotum,Bold">
    <w:altName w:val="黑体"/>
    <w:panose1 w:val="00000000000000000000"/>
    <w:charset w:val="86"/>
    <w:family w:val="auto"/>
    <w:pitch w:val="default"/>
    <w:sig w:usb0="00000000" w:usb1="00000000" w:usb2="00000010" w:usb3="00000000" w:csb0="00040000" w:csb1="00000000"/>
    <w:embedRegular r:id="rId4" w:fontKey="{C167B991-4BF2-40CF-969C-9718606B7511}"/>
  </w:font>
  <w:font w:name="SimSun,Bold">
    <w:altName w:val="黑体"/>
    <w:panose1 w:val="00000000000000000000"/>
    <w:charset w:val="86"/>
    <w:family w:val="auto"/>
    <w:pitch w:val="default"/>
    <w:sig w:usb0="00000000" w:usb1="00000000" w:usb2="00000010" w:usb3="00000000" w:csb0="00040000" w:csb1="00000000"/>
    <w:embedRegular r:id="rId5" w:fontKey="{49F9CC96-FDE7-44DC-B356-E33413C670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both"/>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w:rPr>
        <w:sz w:val="18"/>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13"/>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RmQMQBAACP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sy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74RmQMQBAACPAwAADgAAAAAAAAABACAAAAAeAQAAZHJzL2Uyb0RvYy54bWxQ&#10;SwUGAAAAAAYABgBZAQAAVAU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hint="eastAsia" w:ascii="黑体" w:hAnsi="黑体" w:eastAsia="黑体"/>
        <w:lang w:eastAsia="zh-CN"/>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8CFC6"/>
    <w:multiLevelType w:val="singleLevel"/>
    <w:tmpl w:val="8BA8CFC6"/>
    <w:lvl w:ilvl="0" w:tentative="0">
      <w:start w:val="1"/>
      <w:numFmt w:val="decimal"/>
      <w:suff w:val="nothing"/>
      <w:lvlText w:val="6.2.3.%1  "/>
      <w:lvlJc w:val="left"/>
      <w:pPr>
        <w:ind w:left="0" w:firstLine="403"/>
      </w:pPr>
      <w:rPr>
        <w:rFonts w:hint="default" w:ascii="黑体" w:hAnsi="黑体"/>
        <w:sz w:val="21"/>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0B2E18CB"/>
    <w:multiLevelType w:val="multilevel"/>
    <w:tmpl w:val="0B2E18C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783311F"/>
    <w:multiLevelType w:val="singleLevel"/>
    <w:tmpl w:val="2783311F"/>
    <w:lvl w:ilvl="0" w:tentative="0">
      <w:start w:val="1"/>
      <w:numFmt w:val="decimal"/>
      <w:suff w:val="nothing"/>
      <w:lvlText w:val="4.%1 "/>
      <w:lvlJc w:val="left"/>
      <w:pPr>
        <w:ind w:left="0" w:firstLine="403"/>
      </w:pPr>
      <w:rPr>
        <w:rFonts w:hint="default" w:ascii="黑体" w:hAnsi="黑体"/>
        <w:sz w:val="21"/>
      </w:rPr>
    </w:lvl>
  </w:abstractNum>
  <w:abstractNum w:abstractNumId="6">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B206972"/>
    <w:multiLevelType w:val="multilevel"/>
    <w:tmpl w:val="3B20697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50856F4D"/>
    <w:multiLevelType w:val="singleLevel"/>
    <w:tmpl w:val="50856F4D"/>
    <w:lvl w:ilvl="0" w:tentative="0">
      <w:start w:val="1"/>
      <w:numFmt w:val="decimal"/>
      <w:suff w:val="nothing"/>
      <w:lvlText w:val="6.2.1.%1  "/>
      <w:lvlJc w:val="left"/>
      <w:pPr>
        <w:ind w:left="0" w:firstLine="403"/>
      </w:pPr>
      <w:rPr>
        <w:rFonts w:hint="default" w:ascii="黑体" w:hAnsi="黑体"/>
        <w:sz w:val="21"/>
      </w:rPr>
    </w:lvl>
  </w:abstractNum>
  <w:abstractNum w:abstractNumId="10">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3"/>
  </w:num>
  <w:num w:numId="4">
    <w:abstractNumId w:val="6"/>
  </w:num>
  <w:num w:numId="5">
    <w:abstractNumId w:val="13"/>
  </w:num>
  <w:num w:numId="6">
    <w:abstractNumId w:val="11"/>
  </w:num>
  <w:num w:numId="7">
    <w:abstractNumId w:val="10"/>
  </w:num>
  <w:num w:numId="8">
    <w:abstractNumId w:val="12"/>
  </w:num>
  <w:num w:numId="9">
    <w:abstractNumId w:val="8"/>
  </w:num>
  <w:num w:numId="10">
    <w:abstractNumId w:val="5"/>
  </w:num>
  <w:num w:numId="11">
    <w:abstractNumId w:val="9"/>
  </w:num>
  <w:num w:numId="12">
    <w:abstractNumId w:val="0"/>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NDdkYjgwOTRkMzA1MmM2NmEyMmZmY2FiNzY2MDE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A3073B"/>
    <w:rsid w:val="01B97F5E"/>
    <w:rsid w:val="02137583"/>
    <w:rsid w:val="02670DCF"/>
    <w:rsid w:val="028A0887"/>
    <w:rsid w:val="043164D2"/>
    <w:rsid w:val="04DB69C7"/>
    <w:rsid w:val="052B5C95"/>
    <w:rsid w:val="05642BDF"/>
    <w:rsid w:val="056C2AC8"/>
    <w:rsid w:val="078D3A1F"/>
    <w:rsid w:val="08D94A4A"/>
    <w:rsid w:val="09332050"/>
    <w:rsid w:val="09652865"/>
    <w:rsid w:val="097D3D26"/>
    <w:rsid w:val="0ADA2F69"/>
    <w:rsid w:val="0AE10BBF"/>
    <w:rsid w:val="0B1F3670"/>
    <w:rsid w:val="0B4B7E79"/>
    <w:rsid w:val="0BBA5614"/>
    <w:rsid w:val="0BBD0185"/>
    <w:rsid w:val="0D011260"/>
    <w:rsid w:val="0D6700B3"/>
    <w:rsid w:val="10D56EA7"/>
    <w:rsid w:val="10F22B45"/>
    <w:rsid w:val="11EA4A5D"/>
    <w:rsid w:val="123426ED"/>
    <w:rsid w:val="1330335A"/>
    <w:rsid w:val="14AB42D7"/>
    <w:rsid w:val="159863B1"/>
    <w:rsid w:val="1614131D"/>
    <w:rsid w:val="16B6476F"/>
    <w:rsid w:val="17822FD1"/>
    <w:rsid w:val="1986454E"/>
    <w:rsid w:val="19D653D3"/>
    <w:rsid w:val="1AF62448"/>
    <w:rsid w:val="1BF86C3A"/>
    <w:rsid w:val="1CE617B0"/>
    <w:rsid w:val="1D475092"/>
    <w:rsid w:val="1D6C6151"/>
    <w:rsid w:val="1E901E0D"/>
    <w:rsid w:val="1F3709E9"/>
    <w:rsid w:val="1F5511FE"/>
    <w:rsid w:val="1F791B4A"/>
    <w:rsid w:val="1FF922F7"/>
    <w:rsid w:val="1FFB0360"/>
    <w:rsid w:val="203A6C9D"/>
    <w:rsid w:val="229B017C"/>
    <w:rsid w:val="22CB3466"/>
    <w:rsid w:val="235D1A58"/>
    <w:rsid w:val="23893375"/>
    <w:rsid w:val="23D049E7"/>
    <w:rsid w:val="24F31A54"/>
    <w:rsid w:val="262E49A9"/>
    <w:rsid w:val="291C47AB"/>
    <w:rsid w:val="299E589B"/>
    <w:rsid w:val="2A3967D5"/>
    <w:rsid w:val="2A9E6EDA"/>
    <w:rsid w:val="2AC259E9"/>
    <w:rsid w:val="2C107FEF"/>
    <w:rsid w:val="2C4B57BA"/>
    <w:rsid w:val="2F033AB7"/>
    <w:rsid w:val="2F8F3F29"/>
    <w:rsid w:val="2FC604F2"/>
    <w:rsid w:val="30512DC8"/>
    <w:rsid w:val="305807BF"/>
    <w:rsid w:val="30AA68B4"/>
    <w:rsid w:val="30BA0FA5"/>
    <w:rsid w:val="32697E49"/>
    <w:rsid w:val="32C73178"/>
    <w:rsid w:val="355276CD"/>
    <w:rsid w:val="37875802"/>
    <w:rsid w:val="397A5D84"/>
    <w:rsid w:val="3A38257A"/>
    <w:rsid w:val="3A773D1D"/>
    <w:rsid w:val="3B337E5E"/>
    <w:rsid w:val="3C143BC5"/>
    <w:rsid w:val="3D6F398A"/>
    <w:rsid w:val="3D9E1027"/>
    <w:rsid w:val="3FCB4391"/>
    <w:rsid w:val="407103DB"/>
    <w:rsid w:val="40F47F9D"/>
    <w:rsid w:val="41DD26A1"/>
    <w:rsid w:val="432D5ADB"/>
    <w:rsid w:val="455B5C08"/>
    <w:rsid w:val="45E5444B"/>
    <w:rsid w:val="46024881"/>
    <w:rsid w:val="46432AD9"/>
    <w:rsid w:val="47FF1A7B"/>
    <w:rsid w:val="491679AE"/>
    <w:rsid w:val="4B564B46"/>
    <w:rsid w:val="4C1B17D5"/>
    <w:rsid w:val="4D7C7F66"/>
    <w:rsid w:val="4E497F1B"/>
    <w:rsid w:val="4E72372F"/>
    <w:rsid w:val="4E826BA1"/>
    <w:rsid w:val="4FB262DF"/>
    <w:rsid w:val="502913D8"/>
    <w:rsid w:val="506A1CDA"/>
    <w:rsid w:val="513145D7"/>
    <w:rsid w:val="52013E99"/>
    <w:rsid w:val="52884ADC"/>
    <w:rsid w:val="54EF45B2"/>
    <w:rsid w:val="561C68FE"/>
    <w:rsid w:val="565C27D9"/>
    <w:rsid w:val="56FA05E0"/>
    <w:rsid w:val="57205312"/>
    <w:rsid w:val="575B4970"/>
    <w:rsid w:val="58651BC5"/>
    <w:rsid w:val="5AA42EE1"/>
    <w:rsid w:val="5ADD04B0"/>
    <w:rsid w:val="5D5F28DD"/>
    <w:rsid w:val="5E127A94"/>
    <w:rsid w:val="5E6152EE"/>
    <w:rsid w:val="5EBF8BEB"/>
    <w:rsid w:val="5EC2103E"/>
    <w:rsid w:val="5F3651D2"/>
    <w:rsid w:val="5FC90A0E"/>
    <w:rsid w:val="604D2E25"/>
    <w:rsid w:val="61E0223F"/>
    <w:rsid w:val="62275A9D"/>
    <w:rsid w:val="62A274F4"/>
    <w:rsid w:val="63473BF7"/>
    <w:rsid w:val="64490C49"/>
    <w:rsid w:val="665443A7"/>
    <w:rsid w:val="66832C22"/>
    <w:rsid w:val="679C4C4B"/>
    <w:rsid w:val="68706054"/>
    <w:rsid w:val="688A0DE6"/>
    <w:rsid w:val="68917B90"/>
    <w:rsid w:val="68F02F9E"/>
    <w:rsid w:val="691D1DC4"/>
    <w:rsid w:val="694D3AC3"/>
    <w:rsid w:val="6A4626EF"/>
    <w:rsid w:val="6A7C706D"/>
    <w:rsid w:val="6ADF74D7"/>
    <w:rsid w:val="6BCA186A"/>
    <w:rsid w:val="6BDD78B3"/>
    <w:rsid w:val="6C0563E5"/>
    <w:rsid w:val="6C6C0C3F"/>
    <w:rsid w:val="6C89702F"/>
    <w:rsid w:val="6C917B8F"/>
    <w:rsid w:val="6CBB1C82"/>
    <w:rsid w:val="6DAD049D"/>
    <w:rsid w:val="6ECD387A"/>
    <w:rsid w:val="6F2A3654"/>
    <w:rsid w:val="6F2F03DB"/>
    <w:rsid w:val="6F8A7E10"/>
    <w:rsid w:val="6FF139B8"/>
    <w:rsid w:val="70064409"/>
    <w:rsid w:val="71793E0E"/>
    <w:rsid w:val="72127AC6"/>
    <w:rsid w:val="73DA39D7"/>
    <w:rsid w:val="748E5C99"/>
    <w:rsid w:val="74BF2C7A"/>
    <w:rsid w:val="75682D8E"/>
    <w:rsid w:val="75A31161"/>
    <w:rsid w:val="75D25B10"/>
    <w:rsid w:val="76442929"/>
    <w:rsid w:val="76C27A63"/>
    <w:rsid w:val="795409C4"/>
    <w:rsid w:val="7A1E70A2"/>
    <w:rsid w:val="7AF60F49"/>
    <w:rsid w:val="7B810CCD"/>
    <w:rsid w:val="7BBE3424"/>
    <w:rsid w:val="7BDFFCAA"/>
    <w:rsid w:val="7D2E63C1"/>
    <w:rsid w:val="7DA46C42"/>
    <w:rsid w:val="7E0328BC"/>
    <w:rsid w:val="7FAC1FBF"/>
    <w:rsid w:val="7FF57E3F"/>
    <w:rsid w:val="DDFFFFB4"/>
    <w:rsid w:val="F4FCF082"/>
    <w:rsid w:val="FF9B6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autoRedefine/>
    <w:semiHidden/>
    <w:unhideWhenUsed/>
    <w:qFormat/>
    <w:uiPriority w:val="39"/>
    <w:pPr>
      <w:ind w:left="840" w:leftChars="400"/>
    </w:pPr>
  </w:style>
  <w:style w:type="paragraph" w:styleId="10">
    <w:name w:val="Date"/>
    <w:basedOn w:val="1"/>
    <w:next w:val="1"/>
    <w:link w:val="46"/>
    <w:autoRedefine/>
    <w:semiHidden/>
    <w:unhideWhenUsed/>
    <w:qFormat/>
    <w:uiPriority w:val="99"/>
    <w:pPr>
      <w:ind w:left="100" w:leftChars="2500"/>
    </w:pPr>
  </w:style>
  <w:style w:type="paragraph" w:styleId="11">
    <w:name w:val="Body Text Indent 2"/>
    <w:basedOn w:val="1"/>
    <w:link w:val="39"/>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autoRedefine/>
    <w:semiHidden/>
    <w:unhideWhenUsed/>
    <w:qFormat/>
    <w:uiPriority w:val="99"/>
    <w:rPr>
      <w:sz w:val="18"/>
      <w:szCs w:val="18"/>
    </w:rPr>
  </w:style>
  <w:style w:type="paragraph" w:styleId="13">
    <w:name w:val="footer"/>
    <w:basedOn w:val="1"/>
    <w:link w:val="26"/>
    <w:autoRedefine/>
    <w:unhideWhenUsed/>
    <w:qFormat/>
    <w:uiPriority w:val="99"/>
    <w:pPr>
      <w:tabs>
        <w:tab w:val="center" w:pos="4153"/>
        <w:tab w:val="right" w:pos="8306"/>
      </w:tabs>
      <w:snapToGrid w:val="0"/>
      <w:jc w:val="left"/>
    </w:pPr>
    <w:rPr>
      <w:sz w:val="18"/>
      <w:szCs w:val="18"/>
    </w:rPr>
  </w:style>
  <w:style w:type="paragraph" w:styleId="14">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Subtitle"/>
    <w:basedOn w:val="1"/>
    <w:next w:val="1"/>
    <w:link w:val="3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autoRedefine/>
    <w:unhideWhenUsed/>
    <w:qFormat/>
    <w:uiPriority w:val="39"/>
    <w:pPr>
      <w:tabs>
        <w:tab w:val="right" w:leader="dot" w:pos="9344"/>
      </w:tabs>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2"/>
    <w:autoRedefine/>
    <w:semiHidden/>
    <w:unhideWhenUsed/>
    <w:qFormat/>
    <w:uiPriority w:val="99"/>
    <w:rPr>
      <w:sz w:val="21"/>
      <w:szCs w:val="21"/>
    </w:rPr>
  </w:style>
  <w:style w:type="character" w:customStyle="1" w:styleId="25">
    <w:name w:val="页眉 Char"/>
    <w:basedOn w:val="22"/>
    <w:link w:val="14"/>
    <w:autoRedefine/>
    <w:qFormat/>
    <w:uiPriority w:val="99"/>
    <w:rPr>
      <w:sz w:val="18"/>
      <w:szCs w:val="18"/>
    </w:rPr>
  </w:style>
  <w:style w:type="character" w:customStyle="1" w:styleId="26">
    <w:name w:val="页脚 Char"/>
    <w:basedOn w:val="22"/>
    <w:link w:val="13"/>
    <w:autoRedefine/>
    <w:qFormat/>
    <w:uiPriority w:val="99"/>
    <w:rPr>
      <w:sz w:val="18"/>
      <w:szCs w:val="18"/>
    </w:rPr>
  </w:style>
  <w:style w:type="character" w:customStyle="1" w:styleId="27">
    <w:name w:val="批注框文本 Char"/>
    <w:basedOn w:val="22"/>
    <w:link w:val="12"/>
    <w:autoRedefine/>
    <w:semiHidden/>
    <w:qFormat/>
    <w:uiPriority w:val="99"/>
    <w:rPr>
      <w:sz w:val="18"/>
      <w:szCs w:val="18"/>
    </w:rPr>
  </w:style>
  <w:style w:type="paragraph" w:styleId="28">
    <w:name w:val="List Paragraph"/>
    <w:basedOn w:val="1"/>
    <w:autoRedefine/>
    <w:qFormat/>
    <w:uiPriority w:val="34"/>
    <w:pPr>
      <w:ind w:firstLine="420" w:firstLineChars="200"/>
    </w:pPr>
  </w:style>
  <w:style w:type="paragraph" w:customStyle="1" w:styleId="2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autoRedefine/>
    <w:qFormat/>
    <w:uiPriority w:val="99"/>
    <w:rPr>
      <w:rFonts w:ascii="Calibri" w:hAnsi="Calibri" w:eastAsia="宋体" w:cs="Times New Roman"/>
      <w:b/>
      <w:bCs/>
      <w:kern w:val="44"/>
      <w:sz w:val="44"/>
      <w:szCs w:val="44"/>
    </w:rPr>
  </w:style>
  <w:style w:type="paragraph" w:styleId="32">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autoRedefine/>
    <w:qFormat/>
    <w:uiPriority w:val="11"/>
    <w:rPr>
      <w:rFonts w:eastAsia="宋体" w:asciiTheme="majorHAnsi" w:hAnsiTheme="majorHAnsi" w:cstheme="majorBidi"/>
      <w:b/>
      <w:bCs/>
      <w:kern w:val="28"/>
      <w:sz w:val="32"/>
      <w:szCs w:val="32"/>
    </w:rPr>
  </w:style>
  <w:style w:type="character" w:customStyle="1" w:styleId="36">
    <w:name w:val="标题 Char"/>
    <w:basedOn w:val="22"/>
    <w:link w:val="19"/>
    <w:autoRedefine/>
    <w:qFormat/>
    <w:uiPriority w:val="10"/>
    <w:rPr>
      <w:rFonts w:eastAsia="宋体" w:asciiTheme="majorHAnsi" w:hAnsiTheme="majorHAnsi" w:cstheme="majorBidi"/>
      <w:b/>
      <w:bCs/>
      <w:sz w:val="32"/>
      <w:szCs w:val="32"/>
    </w:rPr>
  </w:style>
  <w:style w:type="character" w:customStyle="1" w:styleId="37">
    <w:name w:val="标题 2 Char"/>
    <w:basedOn w:val="22"/>
    <w:link w:val="4"/>
    <w:autoRedefine/>
    <w:qFormat/>
    <w:uiPriority w:val="9"/>
    <w:rPr>
      <w:rFonts w:asciiTheme="majorHAnsi" w:hAnsiTheme="majorHAnsi" w:eastAsiaTheme="majorEastAsia" w:cstheme="majorBidi"/>
      <w:b/>
      <w:bCs/>
      <w:sz w:val="32"/>
      <w:szCs w:val="32"/>
    </w:rPr>
  </w:style>
  <w:style w:type="character" w:customStyle="1" w:styleId="38">
    <w:name w:val="标题 3 Char"/>
    <w:basedOn w:val="22"/>
    <w:link w:val="5"/>
    <w:autoRedefine/>
    <w:semiHidden/>
    <w:qFormat/>
    <w:uiPriority w:val="9"/>
    <w:rPr>
      <w:b/>
      <w:bCs/>
      <w:sz w:val="32"/>
      <w:szCs w:val="32"/>
    </w:rPr>
  </w:style>
  <w:style w:type="character" w:customStyle="1" w:styleId="39">
    <w:name w:val="正文文本缩进 2 Char"/>
    <w:basedOn w:val="22"/>
    <w:link w:val="11"/>
    <w:autoRedefine/>
    <w:qFormat/>
    <w:uiPriority w:val="0"/>
    <w:rPr>
      <w:rFonts w:ascii="宋体" w:hAnsi="宋体" w:eastAsia="宋体" w:cs="Times New Roman"/>
      <w:snapToGrid w:val="0"/>
      <w:kern w:val="0"/>
      <w:szCs w:val="24"/>
    </w:rPr>
  </w:style>
  <w:style w:type="paragraph" w:customStyle="1" w:styleId="40">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autoRedefine/>
    <w:qFormat/>
    <w:uiPriority w:val="0"/>
  </w:style>
  <w:style w:type="character" w:customStyle="1" w:styleId="45">
    <w:name w:val="ordinary-span-edit2"/>
    <w:basedOn w:val="22"/>
    <w:autoRedefine/>
    <w:qFormat/>
    <w:uiPriority w:val="0"/>
  </w:style>
  <w:style w:type="character" w:customStyle="1" w:styleId="46">
    <w:name w:val="日期 Char"/>
    <w:basedOn w:val="22"/>
    <w:link w:val="10"/>
    <w:autoRedefine/>
    <w:semiHidden/>
    <w:qFormat/>
    <w:uiPriority w:val="99"/>
  </w:style>
  <w:style w:type="paragraph" w:customStyle="1" w:styleId="47">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autoRedefine/>
    <w:qFormat/>
    <w:uiPriority w:val="0"/>
    <w:rPr>
      <w:rFonts w:hint="default" w:ascii="Times New Roman" w:hAnsi="Times New Roman" w:cs="Times New Roman"/>
      <w:sz w:val="20"/>
      <w:szCs w:val="20"/>
      <w:u w:val="none"/>
    </w:rPr>
  </w:style>
  <w:style w:type="paragraph" w:customStyle="1" w:styleId="49">
    <w:name w:val="标准文件_前言、引言标题"/>
    <w:next w:val="1"/>
    <w:autoRedefine/>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autoRedefine/>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autoRedefine/>
    <w:qFormat/>
    <w:uiPriority w:val="0"/>
    <w:pPr>
      <w:spacing w:before="0" w:beforeLines="0" w:after="0" w:afterLines="0"/>
    </w:pPr>
    <w:rPr>
      <w:rFonts w:ascii="宋体" w:eastAsia="宋体"/>
    </w:rPr>
  </w:style>
  <w:style w:type="paragraph" w:customStyle="1" w:styleId="54">
    <w:name w:val="二级条标题"/>
    <w:basedOn w:val="52"/>
    <w:next w:val="51"/>
    <w:autoRedefine/>
    <w:qFormat/>
    <w:uiPriority w:val="0"/>
    <w:pPr>
      <w:numPr>
        <w:ilvl w:val="2"/>
        <w:numId w:val="2"/>
      </w:numPr>
      <w:spacing w:before="50" w:after="50"/>
      <w:outlineLvl w:val="3"/>
    </w:pPr>
  </w:style>
  <w:style w:type="paragraph" w:customStyle="1" w:styleId="55">
    <w:name w:val="字母编号列项（一级）"/>
    <w:autoRedefine/>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autoRedefine/>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autoRedefine/>
    <w:qFormat/>
    <w:uiPriority w:val="0"/>
  </w:style>
  <w:style w:type="paragraph" w:customStyle="1" w:styleId="58">
    <w:name w:val="注："/>
    <w:next w:val="51"/>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autoRedefine/>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autoRedefine/>
    <w:qFormat/>
    <w:uiPriority w:val="0"/>
    <w:rPr>
      <w:rFonts w:ascii="宋体" w:hAnsi="宋体" w:cs="宋体"/>
      <w:sz w:val="19"/>
      <w:szCs w:val="19"/>
      <w:lang w:val="zh-CN" w:bidi="zh-CN"/>
    </w:rPr>
  </w:style>
  <w:style w:type="paragraph" w:customStyle="1" w:styleId="62">
    <w:name w:val="终结线"/>
    <w:basedOn w:val="1"/>
    <w:autoRedefine/>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autoRedefine/>
    <w:qFormat/>
    <w:uiPriority w:val="0"/>
    <w:pPr>
      <w:spacing w:before="0" w:beforeLines="0" w:after="0" w:afterLines="0"/>
      <w:outlineLvl w:val="9"/>
    </w:pPr>
    <w:rPr>
      <w:rFonts w:ascii="宋体" w:eastAsia="宋体"/>
    </w:rPr>
  </w:style>
  <w:style w:type="paragraph" w:customStyle="1" w:styleId="65">
    <w:name w:val="标准文件_一级条标题"/>
    <w:basedOn w:val="66"/>
    <w:next w:val="67"/>
    <w:autoRedefine/>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autoRedefine/>
    <w:qFormat/>
    <w:uiPriority w:val="0"/>
    <w:pPr>
      <w:spacing w:before="0" w:beforeLines="0" w:after="0" w:afterLines="0"/>
      <w:outlineLvl w:val="9"/>
    </w:pPr>
    <w:rPr>
      <w:rFonts w:ascii="宋体" w:eastAsia="宋体"/>
    </w:rPr>
  </w:style>
  <w:style w:type="paragraph" w:customStyle="1" w:styleId="69">
    <w:name w:val="标准文件_二级条标题"/>
    <w:next w:val="67"/>
    <w:autoRedefine/>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autoRedefine/>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autoRedefine/>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WPSOffice手动目录 1"/>
    <w:autoRedefine/>
    <w:qFormat/>
    <w:uiPriority w:val="0"/>
    <w:pPr>
      <w:ind w:leftChars="0"/>
    </w:pPr>
    <w:rPr>
      <w:rFonts w:ascii="Times New Roman" w:hAnsi="Times New Roman" w:eastAsia="宋体" w:cs="Times New Roman"/>
      <w:sz w:val="20"/>
      <w:szCs w:val="20"/>
    </w:rPr>
  </w:style>
  <w:style w:type="paragraph" w:customStyle="1" w:styleId="77">
    <w:name w:val="封面正文"/>
    <w:autoRedefine/>
    <w:qFormat/>
    <w:uiPriority w:val="0"/>
    <w:pPr>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20</Pages>
  <Words>1247</Words>
  <Characters>1533</Characters>
  <Lines>78</Lines>
  <Paragraphs>22</Paragraphs>
  <TotalTime>3</TotalTime>
  <ScaleCrop>false</ScaleCrop>
  <LinksUpToDate>false</LinksUpToDate>
  <CharactersWithSpaces>1814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TZ</cp:lastModifiedBy>
  <cp:lastPrinted>2024-03-22T13:43:00Z</cp:lastPrinted>
  <dcterms:modified xsi:type="dcterms:W3CDTF">2024-04-22T08:47:32Z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B8F3EE8C95234323868698AE5C2F1B94_13</vt:lpwstr>
  </property>
</Properties>
</file>