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Times New Roman"/>
        </w:rPr>
      </w:pPr>
      <w:r>
        <w:rPr>
          <w:rFonts w:ascii="黑体" w:hAnsi="黑体" w:eastAsia="黑体" w:cs="Times New Roman"/>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 xmlns:a="http://schemas.openxmlformats.org/drawingml/2006/main">
                  <a:graphicData uri="http://schemas.microsoft.com/office/word/2010/wordprocessingShape">
                    <wps:wsp>
                      <wps:cNvSpPr txBox="1">
                        <a:spLocks noChangeArrowheads="1"/>
                      </wps:cNvSpPr>
                      <wps:spPr bwMode="auto">
                        <a:xfrm>
                          <a:off x="0" y="0"/>
                          <a:ext cx="3696970" cy="792480"/>
                        </a:xfrm>
                        <a:prstGeom prst="rect">
                          <a:avLst/>
                        </a:prstGeom>
                        <a:noFill/>
                        <a:ln>
                          <a:noFill/>
                        </a:ln>
                      </wps:spPr>
                      <wps:txbx>
                        <w:txbxContent>
                          <w:p>
                            <w:pPr>
                              <w:pStyle w:val="58"/>
                              <w:shd w:val="clear" w:color="auto" w:fill="auto"/>
                              <w:wordWrap w:val="0"/>
                              <w:ind w:right="471" w:firstLine="626"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0" upright="1">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6dfju2AAAAAsBAAAPAAAAAAAAAAEAIAAAACIAAABk&#10;cnMvZG93bnJldi54bWxQSwECFAAUAAAACACHTuJA6QXcpAYCAAAUBAAADgAAAAAAAAABACAAAAAn&#10;AQAAZHJzL2Uyb0RvYy54bWxQSwUGAAAAAAYABgBZAQAAnwUAAAAA&#10;">
                <v:fill on="f" focussize="0,0"/>
                <v:stroke on="f"/>
                <v:imagedata o:title=""/>
                <o:lock v:ext="edit" aspectratio="f"/>
                <v:textbox style="mso-fit-shape-to-text:t;">
                  <w:txbxContent>
                    <w:p>
                      <w:pPr>
                        <w:pStyle w:val="58"/>
                        <w:shd w:val="clear" w:color="auto" w:fill="auto"/>
                        <w:wordWrap w:val="0"/>
                        <w:ind w:right="471" w:firstLine="626"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 xml:space="preserve">ICS </w:t>
      </w:r>
      <w:r>
        <w:rPr>
          <w:rFonts w:hint="eastAsia" w:ascii="黑体" w:hAnsi="黑体" w:eastAsia="黑体" w:cs="Times New Roman"/>
          <w:lang w:val="en-US" w:eastAsia="zh-CN"/>
        </w:rPr>
        <w:t>03.100.01</w:t>
      </w:r>
    </w:p>
    <w:p>
      <w:pPr>
        <w:rPr>
          <w:rFonts w:ascii="黑体" w:hAnsi="黑体" w:eastAsia="黑体" w:cs="Times New Roman"/>
        </w:rPr>
      </w:pPr>
      <w:r>
        <w:rPr>
          <w:rFonts w:ascii="黑体" w:hAnsi="黑体" w:eastAsia="黑体" w:cs="Times New Roman"/>
        </w:rPr>
        <w:t xml:space="preserve">CCS </w:t>
      </w:r>
      <w:r>
        <w:rPr>
          <w:rFonts w:hint="eastAsia" w:ascii="黑体" w:hAnsi="黑体" w:eastAsia="黑体" w:cs="Times New Roman"/>
          <w:lang w:val="en-US" w:eastAsia="zh-CN"/>
        </w:rPr>
        <w:t>A 01</w:t>
      </w:r>
    </w:p>
    <w:p>
      <w:pPr>
        <w:rPr>
          <w:rFonts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0" b="0"/>
                <wp:wrapNone/>
                <wp:docPr id="3" name="Text Box 18"/>
                <wp:cNvGraphicFramePr/>
                <a:graphic xmlns:a="http://schemas.openxmlformats.org/drawingml/2006/main">
                  <a:graphicData uri="http://schemas.microsoft.com/office/word/2010/wordprocessingShape">
                    <wps:wsp>
                      <wps:cNvSpPr txBox="1">
                        <a:spLocks noChangeArrowheads="1"/>
                      </wps:cNvSpPr>
                      <wps:spPr bwMode="auto">
                        <a:xfrm>
                          <a:off x="0" y="0"/>
                          <a:ext cx="6120130" cy="615950"/>
                        </a:xfrm>
                        <a:prstGeom prst="rect">
                          <a:avLst/>
                        </a:prstGeom>
                        <a:noFill/>
                        <a:ln w="0">
                          <a:no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0" upright="1">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f" coordsize="21600,21600" o:gfxdata="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KeonEPYAAAACgEAAA8A&#10;AAAAAAAAAQAgAAAAIgAAAGRycy9kb3ducmV2LnhtbFBLAQIUABQAAAAIAIdO4kD2AeosFwIAADIE&#10;AAAOAAAAAAAAAAEAIAAAACcBAABkcnMvZTJvRG9jLnhtbFBLBQYAAAAABgAGAFkBAACwBQAAAAA=&#10;">
                <v:fill on="f" focussize="0,0"/>
                <v:stroke on="f" weight="0pt"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ascii="黑体" w:hAnsi="黑体" w:eastAsia="黑体"/>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rightMargin">
                  <wp:posOffset>-1712595</wp:posOffset>
                </wp:positionH>
                <wp:positionV relativeFrom="topMargin">
                  <wp:posOffset>2238375</wp:posOffset>
                </wp:positionV>
                <wp:extent cx="1927225" cy="304800"/>
                <wp:effectExtent l="0" t="0" r="0" b="0"/>
                <wp:wrapNone/>
                <wp:docPr id="6" name="Text Box 19"/>
                <wp:cNvGraphicFramePr/>
                <a:graphic xmlns:a="http://schemas.openxmlformats.org/drawingml/2006/main">
                  <a:graphicData uri="http://schemas.microsoft.com/office/word/2010/wordprocessingShape">
                    <wps:wsp>
                      <wps:cNvSpPr txBox="1">
                        <a:spLocks noChangeArrowheads="1"/>
                      </wps:cNvSpPr>
                      <wps:spPr bwMode="auto">
                        <a:xfrm>
                          <a:off x="0" y="0"/>
                          <a:ext cx="1927344" cy="304800"/>
                        </a:xfrm>
                        <a:prstGeom prst="rect">
                          <a:avLst/>
                        </a:prstGeom>
                        <a:noFill/>
                        <a:ln w="0">
                          <a:noFill/>
                          <a:miter lim="800000"/>
                        </a:ln>
                      </wps:spPr>
                      <wps:txb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XXXX</w:t>
                            </w:r>
                          </w:p>
                        </w:txbxContent>
                      </wps:txbx>
                      <wps:bodyPr rot="0" vert="horz" wrap="square" lIns="91440" tIns="45720" rIns="91440" bIns="45720" anchor="t" anchorCtr="0" upright="1">
                        <a:noAutofit/>
                      </wps:bodyPr>
                    </wps:wsp>
                  </a:graphicData>
                </a:graphic>
              </wp:anchor>
            </w:drawing>
          </mc:Choice>
          <mc:Fallback>
            <w:pict>
              <v:shape id="Text Box 19" o:spid="_x0000_s1026" o:spt="202" type="#_x0000_t202" style="position:absolute;left:0pt;margin-left:417.9pt;margin-top:176.25pt;height:24pt;width:151.75pt;mso-position-horizontal-relative:page;mso-position-vertical-relative:page;z-index:251663360;mso-width-relative:page;mso-height-relative:page;" filled="f" stroked="f" coordsize="21600,21600" o:gfxdata="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q+dd+2wAAAAsB&#10;AAAPAAAAAAAAAAEAIAAAACIAAABkcnMvZG93bnJldi54bWxQSwECFAAUAAAACACHTuJAzkxZKRgC&#10;AAAyBAAADgAAAAAAAAABACAAAAAqAQAAZHJzL2Uyb0RvYy54bWxQSwUGAAAAAAYABgBZAQAAtAUA&#10;AAAA&#10;">
                <v:fill on="f" focussize="0,0"/>
                <v:stroke on="f" weight="0pt" miterlimit="8" joinstyle="miter"/>
                <v:imagedata o:title=""/>
                <o:lock v:ext="edit" aspectratio="f"/>
                <v:textbo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XXXX</w:t>
                      </w:r>
                    </w:p>
                  </w:txbxContent>
                </v:textbox>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Iy4Wx0wAAAAgBAAAPAAAAAAAAAAEAIAAAACIA&#10;AABkcnMvZG93bnJldi54bWxQSwECFAAUAAAACACHTuJARwVqgNUBAAC0AwAADgAAAAAAAAABACAA&#10;AAAiAQAAZHJzL2Uyb0RvYy54bWxQSwUGAAAAAAYABgBZAQAAaQ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0" t="0" r="0" b="0"/>
                <wp:wrapNone/>
                <wp:docPr id="4" name="Text Box 17"/>
                <wp:cNvGraphicFramePr/>
                <a:graphic xmlns:a="http://schemas.openxmlformats.org/drawingml/2006/main">
                  <a:graphicData uri="http://schemas.microsoft.com/office/word/2010/wordprocessingShape">
                    <wps:wsp>
                      <wps:cNvSpPr txBox="1">
                        <a:spLocks noChangeArrowheads="1"/>
                      </wps:cNvSpPr>
                      <wps:spPr bwMode="auto">
                        <a:xfrm>
                          <a:off x="0" y="0"/>
                          <a:ext cx="5924550" cy="3248025"/>
                        </a:xfrm>
                        <a:prstGeom prst="rect">
                          <a:avLst/>
                        </a:prstGeom>
                        <a:noFill/>
                        <a:ln w="0">
                          <a:noFill/>
                          <a:miter lim="800000"/>
                        </a:ln>
                      </wps:spPr>
                      <wps:txbx>
                        <w:txbxContent>
                          <w:p>
                            <w:pPr>
                              <w:jc w:val="center"/>
                              <w:rPr>
                                <w:rFonts w:ascii="黑体" w:hAnsi="宋体" w:eastAsia="黑体"/>
                                <w:sz w:val="52"/>
                                <w:szCs w:val="52"/>
                              </w:rPr>
                            </w:pPr>
                            <w:r>
                              <w:rPr>
                                <w:rFonts w:hint="eastAsia" w:ascii="黑体" w:hAnsi="宋体" w:eastAsia="黑体"/>
                                <w:sz w:val="52"/>
                                <w:szCs w:val="52"/>
                              </w:rPr>
                              <w:t>高新技术企业商业秘密保护规范</w:t>
                            </w:r>
                          </w:p>
                          <w:p>
                            <w:pPr>
                              <w:jc w:val="center"/>
                              <w:rPr>
                                <w:rStyle w:val="67"/>
                                <w:rFonts w:ascii="黑体" w:hAnsi="黑体" w:eastAsia="黑体"/>
                                <w:kern w:val="0"/>
                                <w:sz w:val="28"/>
                                <w:szCs w:val="21"/>
                              </w:rPr>
                            </w:pPr>
                            <w:r>
                              <w:rPr>
                                <w:rFonts w:hint="eastAsia" w:ascii="黑体" w:hAnsi="黑体" w:eastAsia="黑体"/>
                                <w:kern w:val="0"/>
                                <w:sz w:val="28"/>
                                <w:szCs w:val="21"/>
                              </w:rPr>
                              <w:t>Specification for the Protection of Trade Secrets of High-tech Enterprises</w:t>
                            </w:r>
                          </w:p>
                          <w:p>
                            <w:pPr>
                              <w:jc w:val="center"/>
                              <w:rPr>
                                <w:rFonts w:asciiTheme="minorEastAsia" w:hAnsiTheme="minorEastAsia"/>
                                <w:sz w:val="24"/>
                              </w:rPr>
                            </w:pPr>
                            <w:r>
                              <w:rPr>
                                <w:rFonts w:hint="eastAsia" w:asciiTheme="minorEastAsia" w:hAnsiTheme="minorEastAsia"/>
                                <w:sz w:val="24"/>
                              </w:rPr>
                              <w:t>（报批稿）</w:t>
                            </w:r>
                          </w:p>
                        </w:txbxContent>
                      </wps:txbx>
                      <wps:bodyPr rot="0" vert="horz" wrap="square" lIns="91440" tIns="45720" rIns="91440" bIns="45720" anchor="t" anchorCtr="0" upright="1">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ed="f" stroked="f" coordsize="21600,21600" o:gfxdata="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HMG462QAAAAsBAAAP&#10;AAAAAAAAAAEAIAAAACIAAABkcnMvZG93bnJldi54bWxQSwECFAAUAAAACACHTuJAwAXEWxcCAAAz&#10;BAAADgAAAAAAAAABACAAAAAoAQAAZHJzL2Uyb0RvYy54bWxQSwUGAAAAAAYABgBZAQAAsQUAAAAA&#10;">
                <v:fill on="f" focussize="0,0"/>
                <v:stroke on="f" weight="0pt" miterlimit="8" joinstyle="miter"/>
                <v:imagedata o:title=""/>
                <o:lock v:ext="edit" aspectratio="f"/>
                <v:textbox>
                  <w:txbxContent>
                    <w:p>
                      <w:pPr>
                        <w:jc w:val="center"/>
                        <w:rPr>
                          <w:rFonts w:ascii="黑体" w:hAnsi="宋体" w:eastAsia="黑体"/>
                          <w:sz w:val="52"/>
                          <w:szCs w:val="52"/>
                        </w:rPr>
                      </w:pPr>
                      <w:r>
                        <w:rPr>
                          <w:rFonts w:hint="eastAsia" w:ascii="黑体" w:hAnsi="宋体" w:eastAsia="黑体"/>
                          <w:sz w:val="52"/>
                          <w:szCs w:val="52"/>
                        </w:rPr>
                        <w:t>高新技术企业商业秘密保护规范</w:t>
                      </w:r>
                    </w:p>
                    <w:p>
                      <w:pPr>
                        <w:jc w:val="center"/>
                        <w:rPr>
                          <w:rStyle w:val="67"/>
                          <w:rFonts w:ascii="黑体" w:hAnsi="黑体" w:eastAsia="黑体"/>
                          <w:kern w:val="0"/>
                          <w:sz w:val="28"/>
                          <w:szCs w:val="21"/>
                        </w:rPr>
                      </w:pPr>
                      <w:r>
                        <w:rPr>
                          <w:rFonts w:hint="eastAsia" w:ascii="黑体" w:hAnsi="黑体" w:eastAsia="黑体"/>
                          <w:kern w:val="0"/>
                          <w:sz w:val="28"/>
                          <w:szCs w:val="21"/>
                        </w:rPr>
                        <w:t>Specification for the Protection of Trade Secrets of High-tech Enterprises</w:t>
                      </w:r>
                    </w:p>
                    <w:p>
                      <w:pPr>
                        <w:jc w:val="center"/>
                        <w:rPr>
                          <w:rFonts w:asciiTheme="minorEastAsia" w:hAnsiTheme="minorEastAsia"/>
                          <w:sz w:val="24"/>
                        </w:rPr>
                      </w:pPr>
                      <w:r>
                        <w:rPr>
                          <w:rFonts w:hint="eastAsia" w:asciiTheme="minorEastAsia" w:hAnsiTheme="minorEastAsia"/>
                          <w:sz w:val="24"/>
                        </w:rPr>
                        <w:t>（报批稿）</w:t>
                      </w:r>
                    </w:p>
                  </w:txbxContent>
                </v:textbox>
              </v:shape>
            </w:pict>
          </mc:Fallback>
        </mc:AlternateConten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r>
        <w:rPr>
          <w:rFonts w:hint="eastAsia" w:ascii="黑体" w:hAnsi="黑体" w:eastAsia="黑体"/>
        </w:rPr>
        <w:t xml:space="preserve">                                                                                          </w:t>
      </w:r>
    </w:p>
    <w:p>
      <w:pPr>
        <w:pStyle w:val="15"/>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pStyle w:val="15"/>
        <w:keepNext w:val="0"/>
        <w:keepLines w:val="0"/>
        <w:pageBreakBefore w:val="0"/>
        <w:widowControl w:val="0"/>
        <w:kinsoku/>
        <w:wordWrap/>
        <w:overflowPunct/>
        <w:topLinePunct w:val="0"/>
        <w:autoSpaceDE/>
        <w:autoSpaceDN/>
        <w:bidi w:val="0"/>
        <w:adjustRightInd/>
        <w:snapToGrid/>
        <w:spacing w:before="0" w:beforeLines="0" w:after="0" w:afterLines="0"/>
        <w:textAlignment w:val="auto"/>
      </w:pPr>
    </w:p>
    <w:p>
      <w:pPr>
        <w:rPr>
          <w:rFonts w:ascii="黑体" w:hAnsi="黑体" w:eastAsia="黑体"/>
        </w:rPr>
      </w:pPr>
    </w:p>
    <w:p>
      <w:pPr>
        <w:rPr>
          <w:rFonts w:ascii="黑体" w:hAnsi="黑体" w:eastAsia="黑体"/>
        </w:rPr>
      </w:pPr>
    </w:p>
    <w:p>
      <w:pPr>
        <w:rPr>
          <w:rFonts w:ascii="黑体" w:hAnsi="黑体" w:eastAsia="黑体"/>
          <w:sz w:val="28"/>
          <w:szCs w:val="28"/>
        </w:rPr>
      </w:pPr>
      <w:r>
        <w:rPr>
          <w:rFonts w:ascii="黑体" w:hAnsi="黑体" w:eastAsia="黑体"/>
          <w:sz w:val="28"/>
          <w:szCs w:val="28"/>
        </w:rPr>
        <mc:AlternateContent>
          <mc:Choice Requires="wps">
            <w:drawing>
              <wp:anchor distT="0" distB="0" distL="114300" distR="114300" simplePos="0" relativeHeight="251665408"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5408;mso-width-relative:page;mso-height-relative:page;" filled="f" stroked="t" coordsize="21600,21600" o:gfxdata="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vMgXH1gAAAAwBAAAPAAAAAAAAAAEAIAAA&#10;ACIAAABkcnMvZG93bnJldi54bWxQSwECFAAUAAAACACHTuJA+/4xqtUBAAC0AwAADgAAAAAAAAAB&#10;ACAAAAAlAQAAZHJzL2Uyb0RvYy54bWxQSwUGAAAAAAYABgBZAQAAbAUAAAAA&#10;">
                <v:fill on="f" focussize="0,0"/>
                <v:stroke weight="1pt" color="#000000" joinstyle="round"/>
                <v:imagedata o:title=""/>
                <o:lock v:ext="edit" aspectratio="f"/>
              </v:shape>
            </w:pict>
          </mc:Fallback>
        </mc:AlternateContent>
      </w:r>
      <w:r>
        <w:rPr>
          <w:rFonts w:hint="eastAsia" w:ascii="黑体" w:hAnsi="黑体" w:eastAsia="黑体"/>
          <w:sz w:val="28"/>
          <w:szCs w:val="28"/>
        </w:rPr>
        <w:t>2024-XX-XX发布                                       2024-XX-XX实施</w:t>
      </w:r>
    </w:p>
    <w:p>
      <w:pPr>
        <w:spacing w:line="1247" w:lineRule="exact"/>
        <w:jc w:val="center"/>
        <w:rPr>
          <w:rFonts w:ascii="黑体" w:hAnsi="黑体" w:eastAsia="黑体"/>
          <w:sz w:val="28"/>
          <w:szCs w:val="28"/>
        </w:rPr>
      </w:pPr>
      <w:bookmarkStart w:id="0" w:name="_Toc3547"/>
      <w:bookmarkStart w:id="1" w:name="_Toc18385"/>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p>
    <w:p>
      <w:pPr>
        <w:pStyle w:val="15"/>
      </w:pPr>
    </w:p>
    <w:p>
      <w:pPr>
        <w:rPr>
          <w:rFonts w:ascii="黑体" w:hAnsi="黑体" w:eastAsia="黑体"/>
          <w:sz w:val="28"/>
          <w:szCs w:val="28"/>
        </w:rPr>
        <w:sectPr>
          <w:headerReference r:id="rId3" w:type="default"/>
          <w:headerReference r:id="rId4" w:type="even"/>
          <w:pgSz w:w="11906" w:h="16838"/>
          <w:pgMar w:top="567" w:right="851" w:bottom="1134" w:left="1418" w:header="0" w:footer="0" w:gutter="0"/>
          <w:pgNumType w:fmt="upperRoman"/>
          <w:cols w:space="425" w:num="1"/>
          <w:docGrid w:type="lines" w:linePitch="312" w:charSpace="0"/>
        </w:sectPr>
      </w:pPr>
    </w:p>
    <w:p>
      <w:pPr>
        <w:snapToGrid w:val="0"/>
        <w:spacing w:before="567" w:after="680"/>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TOC \o "1-3" \h \z \u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_Toc937 </w:instrText>
      </w:r>
      <w:r>
        <w:rPr>
          <w:rFonts w:hint="eastAsia" w:ascii="宋体" w:hAnsi="宋体" w:eastAsia="宋体" w:cs="宋体"/>
          <w:b w:val="0"/>
          <w:bCs w:val="0"/>
          <w:szCs w:val="21"/>
        </w:rPr>
        <w:fldChar w:fldCharType="separate"/>
      </w:r>
      <w:r>
        <w:rPr>
          <w:rFonts w:hint="eastAsia" w:ascii="宋体" w:hAnsi="宋体" w:eastAsia="宋体" w:cs="宋体"/>
          <w:b w:val="0"/>
          <w:bCs w:val="0"/>
          <w:kern w:val="0"/>
          <w:szCs w:val="32"/>
        </w:rPr>
        <w:t>前言</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_Toc937 \h </w:instrText>
      </w:r>
      <w:r>
        <w:rPr>
          <w:rFonts w:hint="eastAsia" w:ascii="宋体" w:hAnsi="宋体" w:eastAsia="宋体" w:cs="宋体"/>
          <w:b w:val="0"/>
          <w:bCs w:val="0"/>
        </w:rPr>
        <w:fldChar w:fldCharType="separate"/>
      </w:r>
      <w:r>
        <w:rPr>
          <w:rFonts w:hint="eastAsia" w:ascii="宋体" w:hAnsi="宋体" w:eastAsia="宋体" w:cs="宋体"/>
          <w:b w:val="0"/>
          <w:bCs w:val="0"/>
        </w:rPr>
        <w:t>III</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_Toc20011 </w:instrText>
      </w:r>
      <w:r>
        <w:rPr>
          <w:rFonts w:hint="eastAsia" w:ascii="宋体" w:hAnsi="宋体" w:eastAsia="宋体" w:cs="宋体"/>
          <w:b w:val="0"/>
          <w:bCs w:val="0"/>
          <w:szCs w:val="21"/>
        </w:rPr>
        <w:fldChar w:fldCharType="separate"/>
      </w:r>
      <w:r>
        <w:rPr>
          <w:rFonts w:hint="eastAsia" w:ascii="宋体" w:hAnsi="宋体" w:eastAsia="宋体" w:cs="宋体"/>
          <w:b w:val="0"/>
          <w:bCs w:val="0"/>
          <w:kern w:val="0"/>
          <w:szCs w:val="32"/>
        </w:rPr>
        <w:t>引言</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_Toc20011 \h </w:instrText>
      </w:r>
      <w:r>
        <w:rPr>
          <w:rFonts w:hint="eastAsia" w:ascii="宋体" w:hAnsi="宋体" w:eastAsia="宋体" w:cs="宋体"/>
          <w:b w:val="0"/>
          <w:bCs w:val="0"/>
        </w:rPr>
        <w:fldChar w:fldCharType="separate"/>
      </w:r>
      <w:r>
        <w:rPr>
          <w:rFonts w:hint="eastAsia" w:ascii="宋体" w:hAnsi="宋体" w:eastAsia="宋体" w:cs="宋体"/>
          <w:b w:val="0"/>
          <w:bCs w:val="0"/>
        </w:rPr>
        <w:t>IV</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_Toc11863 </w:instrText>
      </w:r>
      <w:r>
        <w:rPr>
          <w:rFonts w:hint="eastAsia" w:ascii="宋体" w:hAnsi="宋体" w:eastAsia="宋体" w:cs="宋体"/>
          <w:b w:val="0"/>
          <w:bCs w:val="0"/>
          <w:szCs w:val="21"/>
        </w:rPr>
        <w:fldChar w:fldCharType="separate"/>
      </w:r>
      <w:r>
        <w:rPr>
          <w:rFonts w:hint="eastAsia" w:ascii="宋体" w:hAnsi="宋体" w:eastAsia="宋体" w:cs="宋体"/>
          <w:b w:val="0"/>
          <w:bCs w:val="0"/>
          <w:i w:val="0"/>
        </w:rPr>
        <w:t xml:space="preserve">1 </w:t>
      </w:r>
      <w:r>
        <w:rPr>
          <w:rFonts w:hint="eastAsia" w:ascii="宋体" w:hAnsi="宋体" w:eastAsia="宋体" w:cs="宋体"/>
          <w:b w:val="0"/>
          <w:bCs w:val="0"/>
          <w:i w:val="0"/>
          <w:lang w:val="en-US" w:eastAsia="zh-CN"/>
        </w:rPr>
        <w:t xml:space="preserve"> </w:t>
      </w:r>
      <w:r>
        <w:rPr>
          <w:rFonts w:hint="eastAsia" w:ascii="宋体" w:hAnsi="宋体" w:eastAsia="宋体" w:cs="宋体"/>
          <w:b w:val="0"/>
          <w:bCs w:val="0"/>
        </w:rPr>
        <w:t>范围</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_Toc11863 \h </w:instrText>
      </w:r>
      <w:r>
        <w:rPr>
          <w:rFonts w:hint="eastAsia" w:ascii="宋体" w:hAnsi="宋体" w:eastAsia="宋体" w:cs="宋体"/>
          <w:b w:val="0"/>
          <w:bCs w:val="0"/>
        </w:rPr>
        <w:fldChar w:fldCharType="separate"/>
      </w:r>
      <w:r>
        <w:rPr>
          <w:rFonts w:hint="eastAsia" w:ascii="宋体" w:hAnsi="宋体" w:eastAsia="宋体" w:cs="宋体"/>
          <w:b w:val="0"/>
          <w:bCs w:val="0"/>
        </w:rPr>
        <w:t>1</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_Toc9192 </w:instrText>
      </w:r>
      <w:r>
        <w:rPr>
          <w:rFonts w:hint="eastAsia" w:ascii="宋体" w:hAnsi="宋体" w:eastAsia="宋体" w:cs="宋体"/>
          <w:b w:val="0"/>
          <w:bCs w:val="0"/>
          <w:szCs w:val="21"/>
        </w:rPr>
        <w:fldChar w:fldCharType="separate"/>
      </w:r>
      <w:r>
        <w:rPr>
          <w:rFonts w:hint="eastAsia" w:ascii="宋体" w:hAnsi="宋体" w:eastAsia="宋体" w:cs="宋体"/>
          <w:b w:val="0"/>
          <w:bCs w:val="0"/>
          <w:i w:val="0"/>
        </w:rPr>
        <w:t xml:space="preserve">2 </w:t>
      </w:r>
      <w:r>
        <w:rPr>
          <w:rFonts w:hint="eastAsia" w:ascii="宋体" w:hAnsi="宋体" w:eastAsia="宋体" w:cs="宋体"/>
          <w:b w:val="0"/>
          <w:bCs w:val="0"/>
          <w:i w:val="0"/>
          <w:lang w:val="en-US" w:eastAsia="zh-CN"/>
        </w:rPr>
        <w:t xml:space="preserve"> </w:t>
      </w:r>
      <w:r>
        <w:rPr>
          <w:rFonts w:hint="eastAsia" w:ascii="宋体" w:hAnsi="宋体" w:eastAsia="宋体" w:cs="宋体"/>
          <w:b w:val="0"/>
          <w:bCs w:val="0"/>
        </w:rPr>
        <w:t>规范性引用文件</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_Toc9192 \h </w:instrText>
      </w:r>
      <w:r>
        <w:rPr>
          <w:rFonts w:hint="eastAsia" w:ascii="宋体" w:hAnsi="宋体" w:eastAsia="宋体" w:cs="宋体"/>
          <w:b w:val="0"/>
          <w:bCs w:val="0"/>
        </w:rPr>
        <w:fldChar w:fldCharType="separate"/>
      </w:r>
      <w:r>
        <w:rPr>
          <w:rFonts w:hint="eastAsia" w:ascii="宋体" w:hAnsi="宋体" w:eastAsia="宋体" w:cs="宋体"/>
          <w:b w:val="0"/>
          <w:bCs w:val="0"/>
        </w:rPr>
        <w:t>1</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_Toc16743 </w:instrText>
      </w:r>
      <w:r>
        <w:rPr>
          <w:rFonts w:hint="eastAsia" w:ascii="宋体" w:hAnsi="宋体" w:eastAsia="宋体" w:cs="宋体"/>
          <w:b w:val="0"/>
          <w:bCs w:val="0"/>
          <w:szCs w:val="21"/>
        </w:rPr>
        <w:fldChar w:fldCharType="separate"/>
      </w:r>
      <w:r>
        <w:rPr>
          <w:rFonts w:hint="eastAsia" w:ascii="宋体" w:hAnsi="宋体" w:eastAsia="宋体" w:cs="宋体"/>
          <w:b w:val="0"/>
          <w:bCs w:val="0"/>
          <w:i w:val="0"/>
        </w:rPr>
        <w:t xml:space="preserve">3 </w:t>
      </w:r>
      <w:r>
        <w:rPr>
          <w:rFonts w:hint="eastAsia" w:ascii="宋体" w:hAnsi="宋体" w:eastAsia="宋体" w:cs="宋体"/>
          <w:b w:val="0"/>
          <w:bCs w:val="0"/>
          <w:i w:val="0"/>
          <w:lang w:val="en-US" w:eastAsia="zh-CN"/>
        </w:rPr>
        <w:t xml:space="preserve"> </w:t>
      </w:r>
      <w:r>
        <w:rPr>
          <w:rFonts w:hint="eastAsia" w:ascii="宋体" w:hAnsi="宋体" w:eastAsia="宋体" w:cs="宋体"/>
          <w:b w:val="0"/>
          <w:bCs w:val="0"/>
          <w:szCs w:val="21"/>
        </w:rPr>
        <w:t>术语和定义</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_Toc16743 \h </w:instrText>
      </w:r>
      <w:r>
        <w:rPr>
          <w:rFonts w:hint="eastAsia" w:ascii="宋体" w:hAnsi="宋体" w:eastAsia="宋体" w:cs="宋体"/>
          <w:b w:val="0"/>
          <w:bCs w:val="0"/>
        </w:rPr>
        <w:fldChar w:fldCharType="separate"/>
      </w:r>
      <w:r>
        <w:rPr>
          <w:rFonts w:hint="eastAsia" w:ascii="宋体" w:hAnsi="宋体" w:eastAsia="宋体" w:cs="宋体"/>
          <w:b w:val="0"/>
          <w:bCs w:val="0"/>
        </w:rPr>
        <w:t>1</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_Toc27912 </w:instrText>
      </w:r>
      <w:r>
        <w:rPr>
          <w:rFonts w:hint="eastAsia" w:ascii="宋体" w:hAnsi="宋体" w:eastAsia="宋体" w:cs="宋体"/>
          <w:b w:val="0"/>
          <w:bCs w:val="0"/>
          <w:szCs w:val="21"/>
        </w:rPr>
        <w:fldChar w:fldCharType="separate"/>
      </w:r>
      <w:r>
        <w:rPr>
          <w:rFonts w:hint="eastAsia" w:ascii="宋体" w:hAnsi="宋体" w:eastAsia="宋体" w:cs="宋体"/>
          <w:b w:val="0"/>
          <w:bCs w:val="0"/>
          <w:i w:val="0"/>
        </w:rPr>
        <w:t xml:space="preserve">4 </w:t>
      </w:r>
      <w:r>
        <w:rPr>
          <w:rFonts w:hint="eastAsia" w:ascii="宋体" w:hAnsi="宋体" w:eastAsia="宋体" w:cs="宋体"/>
          <w:b w:val="0"/>
          <w:bCs w:val="0"/>
          <w:i w:val="0"/>
          <w:lang w:val="en-US" w:eastAsia="zh-CN"/>
        </w:rPr>
        <w:t xml:space="preserve"> </w:t>
      </w:r>
      <w:r>
        <w:rPr>
          <w:rFonts w:hint="eastAsia" w:ascii="宋体" w:hAnsi="宋体" w:eastAsia="宋体" w:cs="宋体"/>
          <w:b w:val="0"/>
          <w:bCs w:val="0"/>
        </w:rPr>
        <w:t>基本原则</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_Toc27912 \h </w:instrText>
      </w:r>
      <w:r>
        <w:rPr>
          <w:rFonts w:hint="eastAsia" w:ascii="宋体" w:hAnsi="宋体" w:eastAsia="宋体" w:cs="宋体"/>
          <w:b w:val="0"/>
          <w:bCs w:val="0"/>
        </w:rPr>
        <w:fldChar w:fldCharType="separate"/>
      </w:r>
      <w:r>
        <w:rPr>
          <w:rFonts w:hint="eastAsia" w:ascii="宋体" w:hAnsi="宋体" w:eastAsia="宋体" w:cs="宋体"/>
          <w:b w:val="0"/>
          <w:bCs w:val="0"/>
        </w:rPr>
        <w:t>2</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_Toc8628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4.1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最高层管理原则</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_Toc8628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2</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_Toc20787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4.2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全流程管理原则</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_Toc20787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2</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_Toc15777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4.3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全员参与原则</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_Toc15777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2</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_Toc7497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4.4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管理工作实施原则</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_Toc7497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2</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_Toc3688 </w:instrText>
      </w:r>
      <w:r>
        <w:rPr>
          <w:rFonts w:hint="eastAsia" w:ascii="宋体" w:hAnsi="宋体" w:eastAsia="宋体" w:cs="宋体"/>
          <w:b w:val="0"/>
          <w:bCs w:val="0"/>
          <w:szCs w:val="21"/>
        </w:rPr>
        <w:fldChar w:fldCharType="separate"/>
      </w:r>
      <w:r>
        <w:rPr>
          <w:rFonts w:hint="eastAsia" w:ascii="宋体" w:hAnsi="宋体" w:eastAsia="宋体" w:cs="宋体"/>
          <w:b w:val="0"/>
          <w:bCs w:val="0"/>
          <w:i w:val="0"/>
        </w:rPr>
        <w:t xml:space="preserve">5 </w:t>
      </w:r>
      <w:r>
        <w:rPr>
          <w:rFonts w:hint="eastAsia" w:ascii="宋体" w:hAnsi="宋体" w:eastAsia="宋体" w:cs="宋体"/>
          <w:b w:val="0"/>
          <w:bCs w:val="0"/>
          <w:i w:val="0"/>
          <w:lang w:val="en-US" w:eastAsia="zh-CN"/>
        </w:rPr>
        <w:t xml:space="preserve"> </w:t>
      </w:r>
      <w:r>
        <w:rPr>
          <w:rFonts w:hint="eastAsia" w:ascii="宋体" w:hAnsi="宋体" w:eastAsia="宋体" w:cs="宋体"/>
          <w:b w:val="0"/>
          <w:bCs w:val="0"/>
        </w:rPr>
        <w:t>基本要求</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_Toc3688 \h </w:instrText>
      </w:r>
      <w:r>
        <w:rPr>
          <w:rFonts w:hint="eastAsia" w:ascii="宋体" w:hAnsi="宋体" w:eastAsia="宋体" w:cs="宋体"/>
          <w:b w:val="0"/>
          <w:bCs w:val="0"/>
        </w:rPr>
        <w:fldChar w:fldCharType="separate"/>
      </w:r>
      <w:r>
        <w:rPr>
          <w:rFonts w:hint="eastAsia" w:ascii="宋体" w:hAnsi="宋体" w:eastAsia="宋体" w:cs="宋体"/>
          <w:b w:val="0"/>
          <w:bCs w:val="0"/>
        </w:rPr>
        <w:t>2</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_Toc19959 </w:instrText>
      </w:r>
      <w:r>
        <w:rPr>
          <w:rFonts w:hint="eastAsia" w:ascii="宋体" w:hAnsi="宋体" w:eastAsia="宋体" w:cs="宋体"/>
          <w:b w:val="0"/>
          <w:bCs w:val="0"/>
          <w:szCs w:val="21"/>
        </w:rPr>
        <w:fldChar w:fldCharType="separate"/>
      </w:r>
      <w:r>
        <w:rPr>
          <w:rFonts w:hint="eastAsia" w:ascii="宋体" w:hAnsi="宋体" w:eastAsia="宋体" w:cs="宋体"/>
          <w:b w:val="0"/>
          <w:bCs w:val="0"/>
          <w:i w:val="0"/>
        </w:rPr>
        <w:t xml:space="preserve">6 </w:t>
      </w:r>
      <w:r>
        <w:rPr>
          <w:rFonts w:hint="eastAsia" w:ascii="宋体" w:hAnsi="宋体" w:eastAsia="宋体" w:cs="宋体"/>
          <w:b w:val="0"/>
          <w:bCs w:val="0"/>
          <w:i w:val="0"/>
          <w:lang w:val="en-US" w:eastAsia="zh-CN"/>
        </w:rPr>
        <w:t xml:space="preserve"> </w:t>
      </w:r>
      <w:r>
        <w:rPr>
          <w:rFonts w:hint="eastAsia" w:ascii="宋体" w:hAnsi="宋体" w:eastAsia="宋体" w:cs="宋体"/>
          <w:b w:val="0"/>
          <w:bCs w:val="0"/>
        </w:rPr>
        <w:t>概述</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_Toc19959 \h </w:instrText>
      </w:r>
      <w:r>
        <w:rPr>
          <w:rFonts w:hint="eastAsia" w:ascii="宋体" w:hAnsi="宋体" w:eastAsia="宋体" w:cs="宋体"/>
          <w:b w:val="0"/>
          <w:bCs w:val="0"/>
        </w:rPr>
        <w:fldChar w:fldCharType="separate"/>
      </w:r>
      <w:r>
        <w:rPr>
          <w:rFonts w:hint="eastAsia" w:ascii="宋体" w:hAnsi="宋体" w:eastAsia="宋体" w:cs="宋体"/>
          <w:b w:val="0"/>
          <w:bCs w:val="0"/>
        </w:rPr>
        <w:t>3</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_Toc19705 </w:instrText>
      </w:r>
      <w:r>
        <w:rPr>
          <w:rFonts w:hint="eastAsia" w:ascii="宋体" w:hAnsi="宋体" w:eastAsia="宋体" w:cs="宋体"/>
          <w:b w:val="0"/>
          <w:bCs w:val="0"/>
          <w:szCs w:val="21"/>
        </w:rPr>
        <w:fldChar w:fldCharType="separate"/>
      </w:r>
      <w:r>
        <w:rPr>
          <w:rFonts w:hint="eastAsia" w:ascii="宋体" w:hAnsi="宋体" w:eastAsia="宋体" w:cs="宋体"/>
          <w:b w:val="0"/>
          <w:bCs w:val="0"/>
          <w:i w:val="0"/>
        </w:rPr>
        <w:t xml:space="preserve">7 </w:t>
      </w:r>
      <w:r>
        <w:rPr>
          <w:rFonts w:hint="eastAsia" w:ascii="宋体" w:hAnsi="宋体" w:eastAsia="宋体" w:cs="宋体"/>
          <w:b w:val="0"/>
          <w:bCs w:val="0"/>
          <w:i w:val="0"/>
          <w:lang w:val="en-US" w:eastAsia="zh-CN"/>
        </w:rPr>
        <w:t xml:space="preserve"> </w:t>
      </w:r>
      <w:r>
        <w:rPr>
          <w:rFonts w:hint="eastAsia" w:ascii="宋体" w:hAnsi="宋体" w:eastAsia="宋体" w:cs="宋体"/>
          <w:b w:val="0"/>
          <w:bCs w:val="0"/>
        </w:rPr>
        <w:t>定密</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_Toc19705 \h </w:instrText>
      </w:r>
      <w:r>
        <w:rPr>
          <w:rFonts w:hint="eastAsia" w:ascii="宋体" w:hAnsi="宋体" w:eastAsia="宋体" w:cs="宋体"/>
          <w:b w:val="0"/>
          <w:bCs w:val="0"/>
        </w:rPr>
        <w:fldChar w:fldCharType="separate"/>
      </w:r>
      <w:r>
        <w:rPr>
          <w:rFonts w:hint="eastAsia" w:ascii="宋体" w:hAnsi="宋体" w:eastAsia="宋体" w:cs="宋体"/>
          <w:b w:val="0"/>
          <w:bCs w:val="0"/>
        </w:rPr>
        <w:t>3</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_Toc29587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7.1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定密流程</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_Toc29587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3</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_Toc16081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7.2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识别商业信息</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_Toc16081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3</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_Toc25128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7.3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收集商业信息</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_Toc25128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4</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_Toc16991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7.4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确定商业秘密</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_Toc16991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4</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_Toc3044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7.5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商业秘密分级</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_Toc3044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4</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_Toc5933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7.6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确定保密期限、接触范围</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_Toc5933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5</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_Toc28766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7.7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登记与确认</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_Toc28766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5</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_Toc3760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7.8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公示与告知</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_Toc3760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5</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_Toc6138 </w:instrText>
      </w:r>
      <w:r>
        <w:rPr>
          <w:rFonts w:hint="eastAsia" w:ascii="宋体" w:hAnsi="宋体" w:eastAsia="宋体" w:cs="宋体"/>
          <w:b w:val="0"/>
          <w:bCs w:val="0"/>
          <w:szCs w:val="21"/>
        </w:rPr>
        <w:fldChar w:fldCharType="separate"/>
      </w:r>
      <w:r>
        <w:rPr>
          <w:rFonts w:hint="eastAsia" w:ascii="宋体" w:hAnsi="宋体" w:eastAsia="宋体" w:cs="宋体"/>
          <w:b w:val="0"/>
          <w:bCs w:val="0"/>
          <w:i w:val="0"/>
        </w:rPr>
        <w:t xml:space="preserve">8 </w:t>
      </w:r>
      <w:r>
        <w:rPr>
          <w:rFonts w:hint="eastAsia" w:ascii="宋体" w:hAnsi="宋体" w:eastAsia="宋体" w:cs="宋体"/>
          <w:b w:val="0"/>
          <w:bCs w:val="0"/>
          <w:i w:val="0"/>
          <w:lang w:val="en-US" w:eastAsia="zh-CN"/>
        </w:rPr>
        <w:t xml:space="preserve"> </w:t>
      </w:r>
      <w:r>
        <w:rPr>
          <w:rFonts w:hint="eastAsia" w:ascii="宋体" w:hAnsi="宋体" w:eastAsia="宋体" w:cs="宋体"/>
          <w:b w:val="0"/>
          <w:bCs w:val="0"/>
        </w:rPr>
        <w:t>动态管理</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_Toc6138 \h </w:instrText>
      </w:r>
      <w:r>
        <w:rPr>
          <w:rFonts w:hint="eastAsia" w:ascii="宋体" w:hAnsi="宋体" w:eastAsia="宋体" w:cs="宋体"/>
          <w:b w:val="0"/>
          <w:bCs w:val="0"/>
        </w:rPr>
        <w:fldChar w:fldCharType="separate"/>
      </w:r>
      <w:r>
        <w:rPr>
          <w:rFonts w:hint="eastAsia" w:ascii="宋体" w:hAnsi="宋体" w:eastAsia="宋体" w:cs="宋体"/>
          <w:b w:val="0"/>
          <w:bCs w:val="0"/>
        </w:rPr>
        <w:t>5</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_Toc10255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8.1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管理要求</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_Toc10255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5</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_Toc10722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8.2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商业秘密的更新</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_Toc10722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5</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_Toc11363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8.3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商业秘密的解密</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_Toc11363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6</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_Toc31429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8.4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商业秘密的销毁</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_Toc31429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6</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_Toc1519 </w:instrText>
      </w:r>
      <w:r>
        <w:rPr>
          <w:rFonts w:hint="eastAsia" w:ascii="宋体" w:hAnsi="宋体" w:eastAsia="宋体" w:cs="宋体"/>
          <w:b w:val="0"/>
          <w:bCs w:val="0"/>
          <w:szCs w:val="21"/>
        </w:rPr>
        <w:fldChar w:fldCharType="separate"/>
      </w:r>
      <w:r>
        <w:rPr>
          <w:rFonts w:hint="eastAsia" w:ascii="宋体" w:hAnsi="宋体" w:eastAsia="宋体" w:cs="宋体"/>
          <w:b w:val="0"/>
          <w:bCs w:val="0"/>
          <w:i w:val="0"/>
        </w:rPr>
        <w:t xml:space="preserve">9 </w:t>
      </w:r>
      <w:r>
        <w:rPr>
          <w:rFonts w:hint="eastAsia" w:ascii="宋体" w:hAnsi="宋体" w:eastAsia="宋体" w:cs="宋体"/>
          <w:b w:val="0"/>
          <w:bCs w:val="0"/>
        </w:rPr>
        <w:t>存证</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_Toc1519 \h </w:instrText>
      </w:r>
      <w:r>
        <w:rPr>
          <w:rFonts w:hint="eastAsia" w:ascii="宋体" w:hAnsi="宋体" w:eastAsia="宋体" w:cs="宋体"/>
          <w:b w:val="0"/>
          <w:bCs w:val="0"/>
        </w:rPr>
        <w:fldChar w:fldCharType="separate"/>
      </w:r>
      <w:r>
        <w:rPr>
          <w:rFonts w:hint="eastAsia" w:ascii="宋体" w:hAnsi="宋体" w:eastAsia="宋体" w:cs="宋体"/>
          <w:b w:val="0"/>
          <w:bCs w:val="0"/>
        </w:rPr>
        <w:t>6</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_Toc8651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9.1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存证方式</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_Toc8651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6</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_Toc942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9.2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存证流程</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_Toc942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6</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_Toc1738 </w:instrText>
      </w:r>
      <w:r>
        <w:rPr>
          <w:rFonts w:hint="eastAsia" w:ascii="宋体" w:hAnsi="宋体" w:eastAsia="宋体" w:cs="宋体"/>
          <w:b w:val="0"/>
          <w:bCs w:val="0"/>
          <w:szCs w:val="21"/>
        </w:rPr>
        <w:fldChar w:fldCharType="separate"/>
      </w:r>
      <w:r>
        <w:rPr>
          <w:rFonts w:hint="eastAsia" w:ascii="宋体" w:hAnsi="宋体" w:eastAsia="宋体" w:cs="宋体"/>
          <w:b w:val="0"/>
          <w:bCs w:val="0"/>
          <w:i w:val="0"/>
        </w:rPr>
        <w:t xml:space="preserve">10 </w:t>
      </w:r>
      <w:r>
        <w:rPr>
          <w:rFonts w:hint="eastAsia" w:ascii="宋体" w:hAnsi="宋体" w:eastAsia="宋体" w:cs="宋体"/>
          <w:b w:val="0"/>
          <w:bCs w:val="0"/>
          <w:i w:val="0"/>
          <w:lang w:val="en-US" w:eastAsia="zh-CN"/>
        </w:rPr>
        <w:t xml:space="preserve"> </w:t>
      </w:r>
      <w:r>
        <w:rPr>
          <w:rFonts w:hint="eastAsia" w:ascii="宋体" w:hAnsi="宋体" w:eastAsia="宋体" w:cs="宋体"/>
          <w:b w:val="0"/>
          <w:bCs w:val="0"/>
        </w:rPr>
        <w:t>保密管理</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_Toc1738 \h </w:instrText>
      </w:r>
      <w:r>
        <w:rPr>
          <w:rFonts w:hint="eastAsia" w:ascii="宋体" w:hAnsi="宋体" w:eastAsia="宋体" w:cs="宋体"/>
          <w:b w:val="0"/>
          <w:bCs w:val="0"/>
        </w:rPr>
        <w:fldChar w:fldCharType="separate"/>
      </w:r>
      <w:r>
        <w:rPr>
          <w:rFonts w:hint="eastAsia" w:ascii="宋体" w:hAnsi="宋体" w:eastAsia="宋体" w:cs="宋体"/>
          <w:b w:val="0"/>
          <w:bCs w:val="0"/>
        </w:rPr>
        <w:t>7</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_Toc12358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10.1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涉密人员管理</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_Toc12358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7</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_Toc29470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10.2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涉密载体管理</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_Toc29470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8</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_Toc31275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10.3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涉密区域管理</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_Toc31275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10</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_Toc20789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10.4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商务活动管理</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_Toc20789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11</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_Toc31954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10.5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监督与检查</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_Toc31954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12</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_Toc26217 </w:instrText>
      </w:r>
      <w:r>
        <w:rPr>
          <w:rFonts w:hint="eastAsia" w:ascii="宋体" w:hAnsi="宋体" w:eastAsia="宋体" w:cs="宋体"/>
          <w:b w:val="0"/>
          <w:bCs w:val="0"/>
          <w:szCs w:val="21"/>
        </w:rPr>
        <w:fldChar w:fldCharType="separate"/>
      </w:r>
      <w:r>
        <w:rPr>
          <w:rFonts w:hint="eastAsia" w:ascii="宋体" w:hAnsi="宋体" w:eastAsia="宋体" w:cs="宋体"/>
          <w:b w:val="0"/>
          <w:bCs w:val="0"/>
          <w:i w:val="0"/>
          <w:szCs w:val="22"/>
        </w:rPr>
        <w:t xml:space="preserve">11 </w:t>
      </w:r>
      <w:r>
        <w:rPr>
          <w:rFonts w:hint="eastAsia" w:ascii="宋体" w:hAnsi="宋体" w:eastAsia="宋体" w:cs="宋体"/>
          <w:b w:val="0"/>
          <w:bCs w:val="0"/>
          <w:i w:val="0"/>
          <w:szCs w:val="22"/>
          <w:lang w:val="en-US" w:eastAsia="zh-CN"/>
        </w:rPr>
        <w:t xml:space="preserve"> </w:t>
      </w:r>
      <w:r>
        <w:rPr>
          <w:rFonts w:hint="eastAsia" w:ascii="宋体" w:hAnsi="宋体" w:eastAsia="宋体" w:cs="宋体"/>
          <w:b w:val="0"/>
          <w:bCs w:val="0"/>
        </w:rPr>
        <w:t>维权与应诉</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_Toc26217 \h </w:instrText>
      </w:r>
      <w:r>
        <w:rPr>
          <w:rFonts w:hint="eastAsia" w:ascii="宋体" w:hAnsi="宋体" w:eastAsia="宋体" w:cs="宋体"/>
          <w:b w:val="0"/>
          <w:bCs w:val="0"/>
        </w:rPr>
        <w:fldChar w:fldCharType="separate"/>
      </w:r>
      <w:r>
        <w:rPr>
          <w:rFonts w:hint="eastAsia" w:ascii="宋体" w:hAnsi="宋体" w:eastAsia="宋体" w:cs="宋体"/>
          <w:b w:val="0"/>
          <w:bCs w:val="0"/>
        </w:rPr>
        <w:t>12</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_Toc5443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11.1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应急处置</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_Toc5443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12</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_Toc3362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11.2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维权途径</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_Toc3362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12</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_Toc25842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11.3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国内维权</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_Toc25842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13</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_Toc29785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11.4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海外维权</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_Toc29785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13</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_Toc13522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11.5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司法鉴定</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_Toc13522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14</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_Toc25161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11.6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二次泄密防范</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_Toc25161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14</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_Toc7342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11.7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应诉</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_Toc7342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14</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_Toc29778 </w:instrText>
      </w:r>
      <w:r>
        <w:rPr>
          <w:rFonts w:hint="eastAsia" w:ascii="宋体" w:hAnsi="宋体" w:eastAsia="宋体" w:cs="宋体"/>
          <w:b w:val="0"/>
          <w:bCs w:val="0"/>
          <w:szCs w:val="21"/>
        </w:rPr>
        <w:fldChar w:fldCharType="separate"/>
      </w:r>
      <w:r>
        <w:rPr>
          <w:rFonts w:hint="eastAsia" w:ascii="宋体" w:hAnsi="宋体" w:eastAsia="宋体" w:cs="宋体"/>
          <w:b w:val="0"/>
          <w:bCs w:val="0"/>
          <w:i w:val="0"/>
          <w:szCs w:val="36"/>
        </w:rPr>
        <w:t xml:space="preserve">12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rPr>
        <w:t>协同保护</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_Toc29778 \h </w:instrText>
      </w:r>
      <w:r>
        <w:rPr>
          <w:rFonts w:hint="eastAsia" w:ascii="宋体" w:hAnsi="宋体" w:eastAsia="宋体" w:cs="宋体"/>
          <w:b w:val="0"/>
          <w:bCs w:val="0"/>
        </w:rPr>
        <w:fldChar w:fldCharType="separate"/>
      </w:r>
      <w:r>
        <w:rPr>
          <w:rFonts w:hint="eastAsia" w:ascii="宋体" w:hAnsi="宋体" w:eastAsia="宋体" w:cs="宋体"/>
          <w:b w:val="0"/>
          <w:bCs w:val="0"/>
        </w:rPr>
        <w:t>14</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_Toc11103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12.1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商业秘密保护指导站（维权联系点）协同</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_Toc11103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14</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i w:val="0"/>
          <w:szCs w:val="36"/>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_Toc5369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12.2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行政、司法协同</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_Toc5369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15</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ind w:leftChars="200"/>
        <w:rPr>
          <w:rFonts w:hint="eastAsia" w:ascii="宋体" w:hAnsi="宋体" w:eastAsia="宋体" w:cs="宋体"/>
          <w:b w:val="0"/>
          <w:bCs w:val="0"/>
        </w:rPr>
      </w:pP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HYPERLINK \l _Toc4569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 xml:space="preserve">12.3 </w:t>
      </w:r>
      <w:r>
        <w:rPr>
          <w:rFonts w:hint="eastAsia" w:ascii="宋体" w:hAnsi="宋体" w:eastAsia="宋体" w:cs="宋体"/>
          <w:b w:val="0"/>
          <w:bCs w:val="0"/>
          <w:i w:val="0"/>
          <w:szCs w:val="36"/>
          <w:lang w:val="en-US" w:eastAsia="zh-CN"/>
        </w:rPr>
        <w:t xml:space="preserve"> </w:t>
      </w:r>
      <w:r>
        <w:rPr>
          <w:rFonts w:hint="eastAsia" w:ascii="宋体" w:hAnsi="宋体" w:eastAsia="宋体" w:cs="宋体"/>
          <w:b w:val="0"/>
          <w:bCs w:val="0"/>
          <w:i w:val="0"/>
          <w:szCs w:val="36"/>
        </w:rPr>
        <w:t>区域协同</w:t>
      </w:r>
      <w:r>
        <w:rPr>
          <w:rFonts w:hint="eastAsia" w:ascii="宋体" w:hAnsi="宋体" w:eastAsia="宋体" w:cs="宋体"/>
          <w:b w:val="0"/>
          <w:bCs w:val="0"/>
          <w:i w:val="0"/>
          <w:szCs w:val="36"/>
        </w:rPr>
        <w:tab/>
      </w:r>
      <w:r>
        <w:rPr>
          <w:rFonts w:hint="eastAsia" w:ascii="宋体" w:hAnsi="宋体" w:eastAsia="宋体" w:cs="宋体"/>
          <w:b w:val="0"/>
          <w:bCs w:val="0"/>
          <w:i w:val="0"/>
          <w:szCs w:val="36"/>
        </w:rPr>
        <w:fldChar w:fldCharType="begin"/>
      </w:r>
      <w:r>
        <w:rPr>
          <w:rFonts w:hint="eastAsia" w:ascii="宋体" w:hAnsi="宋体" w:eastAsia="宋体" w:cs="宋体"/>
          <w:b w:val="0"/>
          <w:bCs w:val="0"/>
          <w:i w:val="0"/>
          <w:szCs w:val="36"/>
        </w:rPr>
        <w:instrText xml:space="preserve"> PAGEREF _Toc4569 \h </w:instrText>
      </w:r>
      <w:r>
        <w:rPr>
          <w:rFonts w:hint="eastAsia" w:ascii="宋体" w:hAnsi="宋体" w:eastAsia="宋体" w:cs="宋体"/>
          <w:b w:val="0"/>
          <w:bCs w:val="0"/>
          <w:i w:val="0"/>
          <w:szCs w:val="36"/>
        </w:rPr>
        <w:fldChar w:fldCharType="separate"/>
      </w:r>
      <w:r>
        <w:rPr>
          <w:rFonts w:hint="eastAsia" w:ascii="宋体" w:hAnsi="宋体" w:eastAsia="宋体" w:cs="宋体"/>
          <w:b w:val="0"/>
          <w:bCs w:val="0"/>
          <w:i w:val="0"/>
          <w:szCs w:val="36"/>
        </w:rPr>
        <w:t>15</w:t>
      </w:r>
      <w:r>
        <w:rPr>
          <w:rFonts w:hint="eastAsia" w:ascii="宋体" w:hAnsi="宋体" w:eastAsia="宋体" w:cs="宋体"/>
          <w:b w:val="0"/>
          <w:bCs w:val="0"/>
          <w:i w:val="0"/>
          <w:szCs w:val="36"/>
        </w:rPr>
        <w:fldChar w:fldCharType="end"/>
      </w:r>
      <w:r>
        <w:rPr>
          <w:rFonts w:hint="eastAsia" w:ascii="宋体" w:hAnsi="宋体" w:eastAsia="宋体" w:cs="宋体"/>
          <w:b w:val="0"/>
          <w:bCs w:val="0"/>
          <w:i w:val="0"/>
          <w:szCs w:val="36"/>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_Toc31841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lang w:val="en-US" w:eastAsia="zh-CN"/>
        </w:rPr>
        <w:t>附录A</w:t>
      </w:r>
      <w:r>
        <w:rPr>
          <w:rFonts w:hint="eastAsia" w:ascii="宋体" w:hAnsi="宋体" w:eastAsia="宋体" w:cs="宋体"/>
          <w:b w:val="0"/>
          <w:bCs w:val="0"/>
          <w:szCs w:val="21"/>
        </w:rPr>
        <w:fldChar w:fldCharType="end"/>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_Toc11973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（资料性）</w:t>
      </w:r>
      <w:r>
        <w:rPr>
          <w:rFonts w:hint="eastAsia" w:ascii="宋体" w:hAnsi="宋体" w:eastAsia="宋体" w:cs="宋体"/>
          <w:b w:val="0"/>
          <w:bCs w:val="0"/>
          <w:szCs w:val="21"/>
        </w:rPr>
        <w:fldChar w:fldCharType="end"/>
      </w:r>
      <w:r>
        <w:rPr>
          <w:rFonts w:hint="eastAsia" w:ascii="宋体" w:hAnsi="宋体" w:eastAsia="宋体" w:cs="宋体"/>
          <w:b w:val="0"/>
          <w:bCs w:val="0"/>
          <w:szCs w:val="21"/>
          <w:lang w:val="en-US" w:eastAsia="zh-CN"/>
        </w:rPr>
        <w:t xml:space="preserve">  </w:t>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_Toc16724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商业信息梳理范围</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_Toc16724 \h </w:instrText>
      </w:r>
      <w:r>
        <w:rPr>
          <w:rFonts w:hint="eastAsia" w:ascii="宋体" w:hAnsi="宋体" w:eastAsia="宋体" w:cs="宋体"/>
          <w:b w:val="0"/>
          <w:bCs w:val="0"/>
        </w:rPr>
        <w:fldChar w:fldCharType="separate"/>
      </w:r>
      <w:r>
        <w:rPr>
          <w:rFonts w:hint="eastAsia" w:ascii="宋体" w:hAnsi="宋体" w:eastAsia="宋体" w:cs="宋体"/>
          <w:b w:val="0"/>
          <w:bCs w:val="0"/>
        </w:rPr>
        <w:t>16</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_Toc19810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附录B</w:t>
      </w:r>
      <w:r>
        <w:rPr>
          <w:rFonts w:hint="eastAsia" w:ascii="宋体" w:hAnsi="宋体" w:eastAsia="宋体" w:cs="宋体"/>
          <w:b w:val="0"/>
          <w:bCs w:val="0"/>
          <w:szCs w:val="21"/>
        </w:rPr>
        <w:fldChar w:fldCharType="end"/>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_Toc23344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（资料性）</w:t>
      </w:r>
      <w:r>
        <w:rPr>
          <w:rFonts w:hint="eastAsia" w:ascii="宋体" w:hAnsi="宋体" w:eastAsia="宋体" w:cs="宋体"/>
          <w:b w:val="0"/>
          <w:bCs w:val="0"/>
          <w:szCs w:val="21"/>
        </w:rPr>
        <w:fldChar w:fldCharType="end"/>
      </w:r>
      <w:r>
        <w:rPr>
          <w:rFonts w:hint="eastAsia" w:ascii="宋体" w:hAnsi="宋体" w:eastAsia="宋体" w:cs="宋体"/>
          <w:b w:val="0"/>
          <w:bCs w:val="0"/>
          <w:szCs w:val="21"/>
          <w:lang w:val="en-US" w:eastAsia="zh-CN"/>
        </w:rPr>
        <w:t xml:space="preserve">  </w:t>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_Toc25682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核心秘密点识别表</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_Toc25682 \h </w:instrText>
      </w:r>
      <w:r>
        <w:rPr>
          <w:rFonts w:hint="eastAsia" w:ascii="宋体" w:hAnsi="宋体" w:eastAsia="宋体" w:cs="宋体"/>
          <w:b w:val="0"/>
          <w:bCs w:val="0"/>
        </w:rPr>
        <w:fldChar w:fldCharType="separate"/>
      </w:r>
      <w:r>
        <w:rPr>
          <w:rFonts w:hint="eastAsia" w:ascii="宋体" w:hAnsi="宋体" w:eastAsia="宋体" w:cs="宋体"/>
          <w:b w:val="0"/>
          <w:bCs w:val="0"/>
        </w:rPr>
        <w:t>17</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_Toc6143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附录C</w:t>
      </w:r>
      <w:r>
        <w:rPr>
          <w:rFonts w:hint="eastAsia" w:ascii="宋体" w:hAnsi="宋体" w:eastAsia="宋体" w:cs="宋体"/>
          <w:b w:val="0"/>
          <w:bCs w:val="0"/>
          <w:szCs w:val="21"/>
        </w:rPr>
        <w:fldChar w:fldCharType="end"/>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_Toc7089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（资料性）</w:t>
      </w:r>
      <w:r>
        <w:rPr>
          <w:rFonts w:hint="eastAsia" w:ascii="宋体" w:hAnsi="宋体" w:eastAsia="宋体" w:cs="宋体"/>
          <w:b w:val="0"/>
          <w:bCs w:val="0"/>
          <w:szCs w:val="21"/>
        </w:rPr>
        <w:fldChar w:fldCharType="end"/>
      </w:r>
      <w:r>
        <w:rPr>
          <w:rFonts w:hint="eastAsia" w:ascii="宋体" w:hAnsi="宋体" w:eastAsia="宋体" w:cs="宋体"/>
          <w:b w:val="0"/>
          <w:bCs w:val="0"/>
          <w:szCs w:val="21"/>
          <w:lang w:val="en-US" w:eastAsia="zh-CN"/>
        </w:rPr>
        <w:t xml:space="preserve">  </w:t>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_Toc20637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涉密人员登记表</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_Toc20637 \h </w:instrText>
      </w:r>
      <w:r>
        <w:rPr>
          <w:rFonts w:hint="eastAsia" w:ascii="宋体" w:hAnsi="宋体" w:eastAsia="宋体" w:cs="宋体"/>
          <w:b w:val="0"/>
          <w:bCs w:val="0"/>
        </w:rPr>
        <w:fldChar w:fldCharType="separate"/>
      </w:r>
      <w:r>
        <w:rPr>
          <w:rFonts w:hint="eastAsia" w:ascii="宋体" w:hAnsi="宋体" w:eastAsia="宋体" w:cs="宋体"/>
          <w:b w:val="0"/>
          <w:bCs w:val="0"/>
        </w:rPr>
        <w:t>18</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_Toc23868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附录D</w:t>
      </w:r>
      <w:r>
        <w:rPr>
          <w:rFonts w:hint="eastAsia" w:ascii="宋体" w:hAnsi="宋体" w:eastAsia="宋体" w:cs="宋体"/>
          <w:b w:val="0"/>
          <w:bCs w:val="0"/>
          <w:szCs w:val="21"/>
        </w:rPr>
        <w:fldChar w:fldCharType="end"/>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_Toc13029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（资料性）</w:t>
      </w:r>
      <w:r>
        <w:rPr>
          <w:rFonts w:hint="eastAsia" w:ascii="宋体" w:hAnsi="宋体" w:eastAsia="宋体" w:cs="宋体"/>
          <w:b w:val="0"/>
          <w:bCs w:val="0"/>
          <w:szCs w:val="21"/>
        </w:rPr>
        <w:fldChar w:fldCharType="end"/>
      </w:r>
      <w:r>
        <w:rPr>
          <w:rFonts w:hint="eastAsia" w:ascii="宋体" w:hAnsi="宋体" w:eastAsia="宋体" w:cs="宋体"/>
          <w:b w:val="0"/>
          <w:bCs w:val="0"/>
          <w:szCs w:val="21"/>
          <w:lang w:val="en-US" w:eastAsia="zh-CN"/>
        </w:rPr>
        <w:t xml:space="preserve">  </w:t>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_Toc1612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涉密人员清单</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_Toc1612 \h </w:instrText>
      </w:r>
      <w:r>
        <w:rPr>
          <w:rFonts w:hint="eastAsia" w:ascii="宋体" w:hAnsi="宋体" w:eastAsia="宋体" w:cs="宋体"/>
          <w:b w:val="0"/>
          <w:bCs w:val="0"/>
        </w:rPr>
        <w:fldChar w:fldCharType="separate"/>
      </w:r>
      <w:r>
        <w:rPr>
          <w:rFonts w:hint="eastAsia" w:ascii="宋体" w:hAnsi="宋体" w:eastAsia="宋体" w:cs="宋体"/>
          <w:b w:val="0"/>
          <w:bCs w:val="0"/>
        </w:rPr>
        <w:t>19</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_Toc31268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附录E</w:t>
      </w:r>
      <w:r>
        <w:rPr>
          <w:rFonts w:hint="eastAsia" w:ascii="宋体" w:hAnsi="宋体" w:eastAsia="宋体" w:cs="宋体"/>
          <w:b w:val="0"/>
          <w:bCs w:val="0"/>
          <w:szCs w:val="21"/>
        </w:rPr>
        <w:fldChar w:fldCharType="end"/>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_Toc21222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（资料性）</w:t>
      </w:r>
      <w:r>
        <w:rPr>
          <w:rFonts w:hint="eastAsia" w:ascii="宋体" w:hAnsi="宋体" w:eastAsia="宋体" w:cs="宋体"/>
          <w:b w:val="0"/>
          <w:bCs w:val="0"/>
          <w:szCs w:val="21"/>
        </w:rPr>
        <w:fldChar w:fldCharType="end"/>
      </w:r>
      <w:r>
        <w:rPr>
          <w:rFonts w:hint="eastAsia" w:ascii="宋体" w:hAnsi="宋体" w:eastAsia="宋体" w:cs="宋体"/>
          <w:b w:val="0"/>
          <w:bCs w:val="0"/>
          <w:szCs w:val="21"/>
          <w:lang w:val="en-US" w:eastAsia="zh-CN"/>
        </w:rPr>
        <w:t xml:space="preserve">  </w:t>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_Toc28787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商业秘密信息清单</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_Toc28787 \h </w:instrText>
      </w:r>
      <w:r>
        <w:rPr>
          <w:rFonts w:hint="eastAsia" w:ascii="宋体" w:hAnsi="宋体" w:eastAsia="宋体" w:cs="宋体"/>
          <w:b w:val="0"/>
          <w:bCs w:val="0"/>
        </w:rPr>
        <w:fldChar w:fldCharType="separate"/>
      </w:r>
      <w:r>
        <w:rPr>
          <w:rFonts w:hint="eastAsia" w:ascii="宋体" w:hAnsi="宋体" w:eastAsia="宋体" w:cs="宋体"/>
          <w:b w:val="0"/>
          <w:bCs w:val="0"/>
        </w:rPr>
        <w:t>20</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_Toc4671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附录F</w:t>
      </w:r>
      <w:r>
        <w:rPr>
          <w:rFonts w:hint="eastAsia" w:ascii="宋体" w:hAnsi="宋体" w:eastAsia="宋体" w:cs="宋体"/>
          <w:b w:val="0"/>
          <w:bCs w:val="0"/>
          <w:szCs w:val="21"/>
        </w:rPr>
        <w:fldChar w:fldCharType="end"/>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_Toc10157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（资料性）</w:t>
      </w:r>
      <w:r>
        <w:rPr>
          <w:rFonts w:hint="eastAsia" w:ascii="宋体" w:hAnsi="宋体" w:eastAsia="宋体" w:cs="宋体"/>
          <w:b w:val="0"/>
          <w:bCs w:val="0"/>
          <w:szCs w:val="21"/>
        </w:rPr>
        <w:fldChar w:fldCharType="end"/>
      </w:r>
      <w:r>
        <w:rPr>
          <w:rFonts w:hint="eastAsia" w:ascii="宋体" w:hAnsi="宋体" w:eastAsia="宋体" w:cs="宋体"/>
          <w:b w:val="0"/>
          <w:bCs w:val="0"/>
          <w:szCs w:val="21"/>
          <w:lang w:val="en-US" w:eastAsia="zh-CN"/>
        </w:rPr>
        <w:t xml:space="preserve">  </w:t>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_Toc30815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保密协议</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_Toc30815 \h </w:instrText>
      </w:r>
      <w:r>
        <w:rPr>
          <w:rFonts w:hint="eastAsia" w:ascii="宋体" w:hAnsi="宋体" w:eastAsia="宋体" w:cs="宋体"/>
          <w:b w:val="0"/>
          <w:bCs w:val="0"/>
        </w:rPr>
        <w:fldChar w:fldCharType="separate"/>
      </w:r>
      <w:r>
        <w:rPr>
          <w:rFonts w:hint="eastAsia" w:ascii="宋体" w:hAnsi="宋体" w:eastAsia="宋体" w:cs="宋体"/>
          <w:b w:val="0"/>
          <w:bCs w:val="0"/>
        </w:rPr>
        <w:t>21</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_Toc3848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附录G</w:t>
      </w:r>
      <w:r>
        <w:rPr>
          <w:rFonts w:hint="eastAsia" w:ascii="宋体" w:hAnsi="宋体" w:eastAsia="宋体" w:cs="宋体"/>
          <w:b w:val="0"/>
          <w:bCs w:val="0"/>
          <w:szCs w:val="21"/>
        </w:rPr>
        <w:fldChar w:fldCharType="end"/>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_Toc15809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（资料性）</w:t>
      </w:r>
      <w:r>
        <w:rPr>
          <w:rFonts w:hint="eastAsia" w:ascii="宋体" w:hAnsi="宋体" w:eastAsia="宋体" w:cs="宋体"/>
          <w:b w:val="0"/>
          <w:bCs w:val="0"/>
          <w:szCs w:val="21"/>
        </w:rPr>
        <w:fldChar w:fldCharType="end"/>
      </w:r>
      <w:r>
        <w:rPr>
          <w:rFonts w:hint="eastAsia" w:ascii="宋体" w:hAnsi="宋体" w:eastAsia="宋体" w:cs="宋体"/>
          <w:b w:val="0"/>
          <w:bCs w:val="0"/>
          <w:szCs w:val="21"/>
          <w:lang w:val="en-US" w:eastAsia="zh-CN"/>
        </w:rPr>
        <w:t xml:space="preserve">  </w:t>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_Toc29352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竞业限制协议</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_Toc29352 \h </w:instrText>
      </w:r>
      <w:r>
        <w:rPr>
          <w:rFonts w:hint="eastAsia" w:ascii="宋体" w:hAnsi="宋体" w:eastAsia="宋体" w:cs="宋体"/>
          <w:b w:val="0"/>
          <w:bCs w:val="0"/>
        </w:rPr>
        <w:fldChar w:fldCharType="separate"/>
      </w:r>
      <w:r>
        <w:rPr>
          <w:rFonts w:hint="eastAsia" w:ascii="宋体" w:hAnsi="宋体" w:eastAsia="宋体" w:cs="宋体"/>
          <w:b w:val="0"/>
          <w:bCs w:val="0"/>
        </w:rPr>
        <w:t>23</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_Toc1323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附录H</w:t>
      </w:r>
      <w:r>
        <w:rPr>
          <w:rFonts w:hint="eastAsia" w:ascii="宋体" w:hAnsi="宋体" w:eastAsia="宋体" w:cs="宋体"/>
          <w:b w:val="0"/>
          <w:bCs w:val="0"/>
          <w:szCs w:val="21"/>
        </w:rPr>
        <w:fldChar w:fldCharType="end"/>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_Toc7335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（资料性）</w:t>
      </w:r>
      <w:r>
        <w:rPr>
          <w:rFonts w:hint="eastAsia" w:ascii="宋体" w:hAnsi="宋体" w:eastAsia="宋体" w:cs="宋体"/>
          <w:b w:val="0"/>
          <w:bCs w:val="0"/>
          <w:szCs w:val="21"/>
        </w:rPr>
        <w:fldChar w:fldCharType="end"/>
      </w:r>
      <w:r>
        <w:rPr>
          <w:rFonts w:hint="eastAsia" w:ascii="宋体" w:hAnsi="宋体" w:eastAsia="宋体" w:cs="宋体"/>
          <w:b w:val="0"/>
          <w:bCs w:val="0"/>
          <w:szCs w:val="21"/>
          <w:lang w:val="en-US" w:eastAsia="zh-CN"/>
        </w:rPr>
        <w:t xml:space="preserve">  </w:t>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_Toc276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员工不侵犯他人商业秘密承诺书</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_Toc276 \h </w:instrText>
      </w:r>
      <w:r>
        <w:rPr>
          <w:rFonts w:hint="eastAsia" w:ascii="宋体" w:hAnsi="宋体" w:eastAsia="宋体" w:cs="宋体"/>
          <w:b w:val="0"/>
          <w:bCs w:val="0"/>
        </w:rPr>
        <w:fldChar w:fldCharType="separate"/>
      </w:r>
      <w:r>
        <w:rPr>
          <w:rFonts w:hint="eastAsia" w:ascii="宋体" w:hAnsi="宋体" w:eastAsia="宋体" w:cs="宋体"/>
          <w:b w:val="0"/>
          <w:bCs w:val="0"/>
        </w:rPr>
        <w:t>25</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_Toc19292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附录I</w:t>
      </w:r>
      <w:r>
        <w:rPr>
          <w:rFonts w:hint="eastAsia" w:ascii="宋体" w:hAnsi="宋体" w:eastAsia="宋体" w:cs="宋体"/>
          <w:b w:val="0"/>
          <w:bCs w:val="0"/>
          <w:szCs w:val="21"/>
        </w:rPr>
        <w:fldChar w:fldCharType="end"/>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_Toc23879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（资料性）</w:t>
      </w:r>
      <w:r>
        <w:rPr>
          <w:rFonts w:hint="eastAsia" w:ascii="宋体" w:hAnsi="宋体" w:eastAsia="宋体" w:cs="宋体"/>
          <w:b w:val="0"/>
          <w:bCs w:val="0"/>
          <w:szCs w:val="21"/>
        </w:rPr>
        <w:fldChar w:fldCharType="end"/>
      </w:r>
      <w:r>
        <w:rPr>
          <w:rFonts w:hint="eastAsia" w:ascii="宋体" w:hAnsi="宋体" w:eastAsia="宋体" w:cs="宋体"/>
          <w:b w:val="0"/>
          <w:bCs w:val="0"/>
          <w:szCs w:val="21"/>
          <w:lang w:val="en-US" w:eastAsia="zh-CN"/>
        </w:rPr>
        <w:t xml:space="preserve">  </w:t>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_Toc3824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对外信息发布审批表</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_Toc3824 \h </w:instrText>
      </w:r>
      <w:r>
        <w:rPr>
          <w:rFonts w:hint="eastAsia" w:ascii="宋体" w:hAnsi="宋体" w:eastAsia="宋体" w:cs="宋体"/>
          <w:b w:val="0"/>
          <w:bCs w:val="0"/>
        </w:rPr>
        <w:fldChar w:fldCharType="separate"/>
      </w:r>
      <w:r>
        <w:rPr>
          <w:rFonts w:hint="eastAsia" w:ascii="宋体" w:hAnsi="宋体" w:eastAsia="宋体" w:cs="宋体"/>
          <w:b w:val="0"/>
          <w:bCs w:val="0"/>
        </w:rPr>
        <w:t>26</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tabs>
          <w:tab w:val="right" w:leader="dot" w:pos="9354"/>
        </w:tabs>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_Toc22189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附录J</w:t>
      </w:r>
      <w:r>
        <w:rPr>
          <w:rFonts w:hint="eastAsia" w:ascii="宋体" w:hAnsi="宋体" w:eastAsia="宋体" w:cs="宋体"/>
          <w:b w:val="0"/>
          <w:bCs w:val="0"/>
          <w:szCs w:val="21"/>
        </w:rPr>
        <w:fldChar w:fldCharType="end"/>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_Toc28796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（资料性）</w:t>
      </w:r>
      <w:r>
        <w:rPr>
          <w:rFonts w:hint="eastAsia" w:ascii="宋体" w:hAnsi="宋体" w:eastAsia="宋体" w:cs="宋体"/>
          <w:b w:val="0"/>
          <w:bCs w:val="0"/>
          <w:szCs w:val="21"/>
        </w:rPr>
        <w:fldChar w:fldCharType="end"/>
      </w:r>
      <w:r>
        <w:rPr>
          <w:rFonts w:hint="eastAsia" w:ascii="宋体" w:hAnsi="宋体" w:eastAsia="宋体" w:cs="宋体"/>
          <w:b w:val="0"/>
          <w:bCs w:val="0"/>
          <w:szCs w:val="21"/>
          <w:lang w:val="en-US" w:eastAsia="zh-CN"/>
        </w:rPr>
        <w:t xml:space="preserve">  </w:t>
      </w: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_Toc31335 </w:instrText>
      </w:r>
      <w:r>
        <w:rPr>
          <w:rFonts w:hint="eastAsia" w:ascii="宋体" w:hAnsi="宋体" w:eastAsia="宋体" w:cs="宋体"/>
          <w:b w:val="0"/>
          <w:bCs w:val="0"/>
          <w:szCs w:val="21"/>
        </w:rPr>
        <w:fldChar w:fldCharType="separate"/>
      </w:r>
      <w:r>
        <w:rPr>
          <w:rFonts w:hint="eastAsia" w:ascii="宋体" w:hAnsi="宋体" w:eastAsia="宋体" w:cs="宋体"/>
          <w:b w:val="0"/>
          <w:bCs w:val="0"/>
          <w:szCs w:val="21"/>
        </w:rPr>
        <w:t>保密工作检查表</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_Toc31335 \h </w:instrText>
      </w:r>
      <w:r>
        <w:rPr>
          <w:rFonts w:hint="eastAsia" w:ascii="宋体" w:hAnsi="宋体" w:eastAsia="宋体" w:cs="宋体"/>
          <w:b w:val="0"/>
          <w:bCs w:val="0"/>
        </w:rPr>
        <w:fldChar w:fldCharType="separate"/>
      </w:r>
      <w:r>
        <w:rPr>
          <w:rFonts w:hint="eastAsia" w:ascii="宋体" w:hAnsi="宋体" w:eastAsia="宋体" w:cs="宋体"/>
          <w:b w:val="0"/>
          <w:bCs w:val="0"/>
        </w:rPr>
        <w:t>27</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pStyle w:val="23"/>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b w:val="0"/>
          <w:bCs w:val="0"/>
        </w:rPr>
      </w:pPr>
      <w:r>
        <w:rPr>
          <w:rFonts w:hint="eastAsia" w:ascii="宋体" w:hAnsi="宋体" w:eastAsia="宋体" w:cs="宋体"/>
          <w:b w:val="0"/>
          <w:bCs w:val="0"/>
          <w:szCs w:val="21"/>
        </w:rPr>
        <w:fldChar w:fldCharType="begin"/>
      </w:r>
      <w:r>
        <w:rPr>
          <w:rFonts w:hint="eastAsia" w:ascii="宋体" w:hAnsi="宋体" w:eastAsia="宋体" w:cs="宋体"/>
          <w:b w:val="0"/>
          <w:bCs w:val="0"/>
          <w:szCs w:val="21"/>
        </w:rPr>
        <w:instrText xml:space="preserve"> HYPERLINK \l _Toc5966 </w:instrText>
      </w:r>
      <w:r>
        <w:rPr>
          <w:rFonts w:hint="eastAsia" w:ascii="宋体" w:hAnsi="宋体" w:eastAsia="宋体" w:cs="宋体"/>
          <w:b w:val="0"/>
          <w:bCs w:val="0"/>
          <w:szCs w:val="21"/>
        </w:rPr>
        <w:fldChar w:fldCharType="separate"/>
      </w:r>
      <w:r>
        <w:rPr>
          <w:rFonts w:hint="eastAsia" w:ascii="宋体" w:hAnsi="宋体" w:eastAsia="宋体" w:cs="宋体"/>
          <w:szCs w:val="21"/>
          <w:lang w:val="en-US" w:eastAsia="zh-CN"/>
        </w:rPr>
        <w:t>参考文献</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_Toc5966 \h </w:instrText>
      </w:r>
      <w:r>
        <w:rPr>
          <w:rFonts w:hint="eastAsia" w:ascii="宋体" w:hAnsi="宋体" w:eastAsia="宋体" w:cs="宋体"/>
          <w:b w:val="0"/>
          <w:bCs w:val="0"/>
        </w:rPr>
        <w:fldChar w:fldCharType="separate"/>
      </w:r>
      <w:r>
        <w:rPr>
          <w:rFonts w:hint="eastAsia" w:ascii="宋体" w:hAnsi="宋体" w:eastAsia="宋体" w:cs="宋体"/>
          <w:b w:val="0"/>
          <w:bCs w:val="0"/>
        </w:rPr>
        <w:t>28</w:t>
      </w:r>
      <w:r>
        <w:rPr>
          <w:rFonts w:hint="eastAsia" w:ascii="宋体" w:hAnsi="宋体" w:eastAsia="宋体" w:cs="宋体"/>
          <w:b w:val="0"/>
          <w:bCs w:val="0"/>
        </w:rPr>
        <w:fldChar w:fldCharType="end"/>
      </w:r>
      <w:r>
        <w:rPr>
          <w:rFonts w:hint="eastAsia" w:ascii="宋体" w:hAnsi="宋体" w:eastAsia="宋体" w:cs="宋体"/>
          <w:b w:val="0"/>
          <w:bCs w:val="0"/>
          <w:szCs w:val="21"/>
        </w:rPr>
        <w:fldChar w:fldCharType="end"/>
      </w:r>
    </w:p>
    <w:p>
      <w:pPr>
        <w:snapToGrid w:val="0"/>
        <w:jc w:val="left"/>
        <w:rPr>
          <w:rFonts w:ascii="宋体" w:hAnsi="宋体" w:eastAsia="宋体" w:cs="宋体"/>
          <w:szCs w:val="21"/>
        </w:rPr>
      </w:pPr>
      <w:r>
        <w:rPr>
          <w:rFonts w:hint="eastAsia" w:ascii="宋体" w:hAnsi="宋体" w:eastAsia="宋体" w:cs="宋体"/>
          <w:b w:val="0"/>
          <w:bCs w:val="0"/>
          <w:szCs w:val="21"/>
        </w:rPr>
        <w:fldChar w:fldCharType="end"/>
      </w:r>
    </w:p>
    <w:p>
      <w:pPr>
        <w:pStyle w:val="15"/>
      </w:pPr>
    </w:p>
    <w:p>
      <w:pPr>
        <w:pStyle w:val="15"/>
      </w:pPr>
    </w:p>
    <w:p>
      <w:pPr>
        <w:pStyle w:val="15"/>
        <w:sectPr>
          <w:headerReference r:id="rId5" w:type="default"/>
          <w:footerReference r:id="rId7" w:type="default"/>
          <w:headerReference r:id="rId6" w:type="even"/>
          <w:footerReference r:id="rId8" w:type="even"/>
          <w:pgSz w:w="11906" w:h="16838"/>
          <w:pgMar w:top="1417" w:right="1134" w:bottom="1134" w:left="1418" w:header="1417" w:footer="1134" w:gutter="0"/>
          <w:pgNumType w:fmt="upperRoman" w:start="1"/>
          <w:cols w:space="425" w:num="1"/>
          <w:docGrid w:type="lines" w:linePitch="312" w:charSpace="0"/>
        </w:sectPr>
      </w:pPr>
    </w:p>
    <w:p>
      <w:pPr>
        <w:snapToGrid w:val="0"/>
        <w:spacing w:before="567" w:after="680"/>
        <w:jc w:val="center"/>
        <w:outlineLvl w:val="0"/>
        <w:rPr>
          <w:rFonts w:ascii="黑体" w:hAnsi="黑体" w:eastAsia="黑体" w:cs="黑体"/>
          <w:kern w:val="0"/>
          <w:sz w:val="32"/>
          <w:szCs w:val="32"/>
        </w:rPr>
      </w:pPr>
      <w:bookmarkStart w:id="2" w:name="_Toc937"/>
      <w:r>
        <w:rPr>
          <w:rFonts w:hint="eastAsia" w:ascii="黑体" w:hAnsi="黑体" w:eastAsia="黑体" w:cs="黑体"/>
          <w:kern w:val="0"/>
          <w:sz w:val="32"/>
          <w:szCs w:val="32"/>
        </w:rPr>
        <w:t>前    言</w:t>
      </w:r>
      <w:bookmarkEnd w:id="2"/>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本文件按照GB/T 1.1—2020《标准化工作导则  第1部分：标准化文件的结构和起草规则》的规定起草。</w:t>
      </w:r>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请注意本文件的某些内容可能涉及专利。本文件的发布机构不承担识别专利的责任。</w:t>
      </w:r>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本文件由苏州市市场监督管理局提出并归口。</w:t>
      </w:r>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本文件起草单位：苏州市市场监督管理局、苏州新诤信知数科技有限公司、苏州市质量和标准化院、亨通集团有限公司、科沃斯机器人（苏州）有限公司。</w:t>
      </w:r>
    </w:p>
    <w:p>
      <w:pPr>
        <w:snapToGrid w:val="0"/>
        <w:ind w:firstLine="420" w:firstLineChars="200"/>
        <w:rPr>
          <w:rFonts w:ascii="宋体" w:hAnsi="宋体" w:eastAsia="宋体" w:cs="宋体"/>
          <w:kern w:val="0"/>
          <w:szCs w:val="21"/>
        </w:rPr>
        <w:sectPr>
          <w:footerReference r:id="rId10" w:type="default"/>
          <w:headerReference r:id="rId9" w:type="even"/>
          <w:footerReference r:id="rId11" w:type="even"/>
          <w:pgSz w:w="11906" w:h="16838"/>
          <w:pgMar w:top="1417" w:right="1134" w:bottom="1134" w:left="1418" w:header="1417" w:footer="1134" w:gutter="0"/>
          <w:pgNumType w:fmt="upperRoman" w:start="3"/>
          <w:cols w:space="425" w:num="1"/>
          <w:docGrid w:type="lines" w:linePitch="312" w:charSpace="0"/>
        </w:sectPr>
      </w:pPr>
      <w:r>
        <w:rPr>
          <w:rFonts w:hint="eastAsia" w:ascii="宋体" w:hAnsi="宋体" w:eastAsia="宋体" w:cs="宋体"/>
          <w:kern w:val="0"/>
          <w:szCs w:val="21"/>
        </w:rPr>
        <w:t>本文件主要起草人：卞卫东、陶伟伟、李辰、周文渊、付乐贤、赵茹、徐勤锋、卫杰、汪可祝、吴疆、陈小东。</w:t>
      </w:r>
    </w:p>
    <w:p>
      <w:pPr>
        <w:snapToGrid w:val="0"/>
        <w:spacing w:before="567" w:after="680"/>
        <w:jc w:val="center"/>
        <w:outlineLvl w:val="0"/>
        <w:rPr>
          <w:rFonts w:ascii="黑体" w:hAnsi="黑体" w:eastAsia="黑体" w:cs="黑体"/>
          <w:kern w:val="0"/>
          <w:sz w:val="32"/>
          <w:szCs w:val="32"/>
        </w:rPr>
      </w:pPr>
      <w:bookmarkStart w:id="3" w:name="_Toc157418225"/>
      <w:bookmarkStart w:id="4" w:name="_Toc17210"/>
      <w:bookmarkStart w:id="5" w:name="_Toc1164"/>
      <w:bookmarkStart w:id="6" w:name="_Toc165302328"/>
      <w:bookmarkStart w:id="7" w:name="_Toc164762059"/>
      <w:bookmarkStart w:id="8" w:name="_Toc20011"/>
      <w:bookmarkStart w:id="9" w:name="_Toc161059094"/>
      <w:bookmarkStart w:id="10" w:name="_Toc164761513"/>
      <w:bookmarkStart w:id="11" w:name="_Toc157414210"/>
      <w:bookmarkStart w:id="12" w:name="_Toc157415818"/>
      <w:bookmarkStart w:id="13" w:name="_Toc161057419"/>
      <w:bookmarkStart w:id="14" w:name="_Toc32545"/>
      <w:bookmarkStart w:id="15" w:name="_Toc164761879"/>
      <w:bookmarkStart w:id="16" w:name="_Toc157414252"/>
      <w:bookmarkStart w:id="17" w:name="_Toc29439"/>
      <w:bookmarkStart w:id="18" w:name="_Toc164760863"/>
      <w:bookmarkStart w:id="19" w:name="_Toc10658"/>
      <w:bookmarkStart w:id="20" w:name="SectionMark4"/>
      <w:r>
        <w:rPr>
          <w:rFonts w:hint="eastAsia" w:ascii="黑体" w:hAnsi="黑体" w:eastAsia="黑体" w:cs="黑体"/>
          <w:kern w:val="0"/>
          <w:sz w:val="32"/>
          <w:szCs w:val="32"/>
        </w:rPr>
        <w:t>引</w:t>
      </w:r>
      <w:r>
        <w:rPr>
          <w:rFonts w:hint="eastAsia" w:ascii="黑体" w:hAnsi="黑体" w:eastAsia="黑体" w:cs="黑体"/>
          <w:kern w:val="0"/>
          <w:sz w:val="32"/>
          <w:szCs w:val="32"/>
          <w:lang w:val="en-US" w:eastAsia="zh-CN"/>
        </w:rPr>
        <w:t xml:space="preserve">    </w:t>
      </w:r>
      <w:r>
        <w:rPr>
          <w:rFonts w:hint="eastAsia" w:ascii="黑体" w:hAnsi="黑体" w:eastAsia="黑体" w:cs="黑体"/>
          <w:kern w:val="0"/>
          <w:sz w:val="32"/>
          <w:szCs w:val="32"/>
        </w:rPr>
        <w:t>言</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随着全球化和信息化的发展，高新技术企业面临着人才流动和信息流通的加速，这增加了商业秘密泄露的风险。由于企业的商业秘密保护工作没有及时跟上市场变化的趋势，导致核心技术频繁被窃取和流失。</w:t>
      </w:r>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目前，部分省/市虽然发布了企业商业秘密保护标准文件，但定密环节的规定较宽泛、商业秘密保护工作流程也缺乏系统性和实操性。企业在实践中缺乏梳理、识别和确定自身商业秘密的指引标准，导致商业秘密保护工作不够规范和有效。</w:t>
      </w:r>
    </w:p>
    <w:p>
      <w:pPr>
        <w:snapToGrid w:val="0"/>
        <w:ind w:firstLine="420" w:firstLineChars="200"/>
      </w:pPr>
      <w:r>
        <w:rPr>
          <w:rFonts w:hint="eastAsia" w:ascii="宋体" w:hAnsi="宋体" w:eastAsia="宋体" w:cs="宋体"/>
          <w:kern w:val="0"/>
          <w:szCs w:val="21"/>
        </w:rPr>
        <w:t>本文件详细规定了企业定密环节的工作方法和流程，通过添加商业秘密梳理范围、核心秘密点识别、商业秘密信息清单等多份附录的形式，辅助企业有效开展定密工作，旨在加强高新技术企业对商业秘密的认识，指导企业落实保密工作，规范企业如何开展商业秘密保护工作，引导企业合规采取保密措施，减少泄密损失，维护市场公平竞争秩序，促进苏州市高新技术企业的发展</w:t>
      </w:r>
      <w:r>
        <w:rPr>
          <w:rFonts w:hint="eastAsia"/>
        </w:rPr>
        <w:t>。</w:t>
      </w:r>
    </w:p>
    <w:p>
      <w:pPr>
        <w:widowControl/>
        <w:rPr>
          <w:rFonts w:ascii="黑体" w:hAnsi="黑体" w:eastAsia="黑体"/>
          <w:bCs/>
          <w:sz w:val="32"/>
          <w:szCs w:val="32"/>
        </w:rPr>
        <w:sectPr>
          <w:footerReference r:id="rId13" w:type="default"/>
          <w:headerReference r:id="rId12" w:type="even"/>
          <w:footerReference r:id="rId14" w:type="even"/>
          <w:pgSz w:w="11906" w:h="16838"/>
          <w:pgMar w:top="1417" w:right="1134" w:bottom="1134" w:left="1418" w:header="1417" w:footer="1134" w:gutter="0"/>
          <w:pgNumType w:fmt="upperRoman" w:start="4"/>
          <w:cols w:space="425" w:num="1"/>
          <w:docGrid w:type="lines" w:linePitch="312" w:charSpace="0"/>
        </w:sectPr>
      </w:pPr>
    </w:p>
    <w:p>
      <w:pPr>
        <w:widowControl/>
        <w:spacing w:before="567" w:after="680"/>
        <w:jc w:val="center"/>
        <w:rPr>
          <w:rFonts w:ascii="黑体" w:hAnsi="宋体" w:eastAsia="黑体"/>
          <w:sz w:val="32"/>
          <w:szCs w:val="32"/>
        </w:rPr>
      </w:pPr>
      <w:r>
        <w:rPr>
          <w:rFonts w:hint="eastAsia" w:ascii="黑体" w:hAnsi="宋体" w:eastAsia="黑体"/>
          <w:sz w:val="32"/>
          <w:szCs w:val="32"/>
        </w:rPr>
        <w:t>高新技术企业商业秘密保护规范</w:t>
      </w:r>
    </w:p>
    <w:p>
      <w:pPr>
        <w:pStyle w:val="88"/>
        <w:spacing w:before="312" w:after="312"/>
        <w:jc w:val="left"/>
      </w:pPr>
      <w:bookmarkStart w:id="21" w:name="_Toc17086"/>
      <w:bookmarkStart w:id="22" w:name="_Toc97191423"/>
      <w:bookmarkStart w:id="23" w:name="_Toc164761514"/>
      <w:bookmarkStart w:id="24" w:name="_Toc157414211"/>
      <w:bookmarkStart w:id="25" w:name="_Toc164760864"/>
      <w:bookmarkStart w:id="26" w:name="_Toc143074486"/>
      <w:bookmarkStart w:id="27" w:name="_Toc26718930"/>
      <w:bookmarkStart w:id="28" w:name="_Toc161059095"/>
      <w:bookmarkStart w:id="29" w:name="_Toc26986771"/>
      <w:bookmarkStart w:id="30" w:name="_Toc17233325"/>
      <w:bookmarkStart w:id="31" w:name="_Toc164761880"/>
      <w:bookmarkStart w:id="32" w:name="_Toc165302329"/>
      <w:bookmarkStart w:id="33" w:name="_Toc26648465"/>
      <w:bookmarkStart w:id="34" w:name="_Toc9461"/>
      <w:bookmarkStart w:id="35" w:name="_Toc115"/>
      <w:bookmarkStart w:id="36" w:name="_Toc146287340"/>
      <w:bookmarkStart w:id="37" w:name="_Toc11863"/>
      <w:bookmarkStart w:id="38" w:name="_Toc148011705"/>
      <w:bookmarkStart w:id="39" w:name="_Toc20604"/>
      <w:bookmarkStart w:id="40" w:name="_Toc24884211"/>
      <w:bookmarkStart w:id="41" w:name="_Toc164762060"/>
      <w:bookmarkStart w:id="42" w:name="_Toc157415819"/>
      <w:bookmarkStart w:id="43" w:name="_Toc5047"/>
      <w:bookmarkStart w:id="44" w:name="_Toc24884218"/>
      <w:bookmarkStart w:id="45" w:name="_Toc143001072"/>
      <w:bookmarkStart w:id="46" w:name="_Toc17233333"/>
      <w:bookmarkStart w:id="47" w:name="_Toc161057420"/>
      <w:bookmarkStart w:id="48" w:name="_Toc143001029"/>
      <w:bookmarkStart w:id="49" w:name="_Toc157418226"/>
      <w:bookmarkStart w:id="50" w:name="_Toc26986530"/>
      <w:bookmarkStart w:id="51" w:name="_Toc157414253"/>
      <w:r>
        <w:rPr>
          <w:rFonts w:hint="eastAsia"/>
        </w:rPr>
        <w:t>范围</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73"/>
        <w:jc w:val="left"/>
      </w:pPr>
      <w:bookmarkStart w:id="52" w:name="_Toc17233334"/>
      <w:bookmarkStart w:id="53" w:name="_Toc24884219"/>
      <w:bookmarkStart w:id="54" w:name="_Toc26648466"/>
      <w:bookmarkStart w:id="55" w:name="_Toc17233326"/>
      <w:bookmarkStart w:id="56" w:name="_Toc24884212"/>
      <w:r>
        <w:rPr>
          <w:rFonts w:hint="eastAsia"/>
        </w:rPr>
        <w:t>本文件</w:t>
      </w:r>
      <w:r>
        <w:t>规定了</w:t>
      </w:r>
      <w:r>
        <w:rPr>
          <w:rFonts w:hint="eastAsia"/>
        </w:rPr>
        <w:t>高新</w:t>
      </w:r>
      <w:r>
        <w:t>技术企业商业秘密保护</w:t>
      </w:r>
      <w:r>
        <w:rPr>
          <w:rFonts w:hint="eastAsia"/>
        </w:rPr>
        <w:t>工作的基本原则、</w:t>
      </w:r>
      <w:r>
        <w:t>基本要求、</w:t>
      </w:r>
      <w:r>
        <w:rPr>
          <w:rFonts w:hint="eastAsia"/>
        </w:rPr>
        <w:t>概述</w:t>
      </w:r>
      <w:r>
        <w:t>、定密、</w:t>
      </w:r>
      <w:r>
        <w:rPr>
          <w:rFonts w:hint="eastAsia"/>
        </w:rPr>
        <w:t>动态</w:t>
      </w:r>
      <w:r>
        <w:t>管理、</w:t>
      </w:r>
      <w:r>
        <w:rPr>
          <w:rFonts w:hint="eastAsia"/>
        </w:rPr>
        <w:t>存证</w:t>
      </w:r>
      <w:r>
        <w:t>、</w:t>
      </w:r>
      <w:r>
        <w:rPr>
          <w:rFonts w:hint="eastAsia"/>
        </w:rPr>
        <w:t>保密</w:t>
      </w:r>
      <w:r>
        <w:t>管理、</w:t>
      </w:r>
      <w:r>
        <w:rPr>
          <w:rFonts w:hint="eastAsia"/>
        </w:rPr>
        <w:t>维权与应诉和</w:t>
      </w:r>
      <w:r>
        <w:t>协同保护等内容。</w:t>
      </w:r>
    </w:p>
    <w:p>
      <w:pPr>
        <w:pStyle w:val="73"/>
        <w:jc w:val="left"/>
      </w:pPr>
      <w:r>
        <w:rPr>
          <w:rFonts w:hint="eastAsia"/>
        </w:rPr>
        <w:t>本文件</w:t>
      </w:r>
      <w:r>
        <w:t>适用于高新</w:t>
      </w:r>
      <w:r>
        <w:rPr>
          <w:rFonts w:hint="eastAsia"/>
        </w:rPr>
        <w:t>技术企业</w:t>
      </w:r>
      <w:r>
        <w:t>（以下简称“企业”）商业秘密保护工作。</w:t>
      </w:r>
    </w:p>
    <w:p>
      <w:pPr>
        <w:pStyle w:val="88"/>
        <w:spacing w:before="312" w:after="312"/>
        <w:jc w:val="left"/>
      </w:pPr>
      <w:bookmarkStart w:id="57" w:name="_Toc24483"/>
      <w:bookmarkStart w:id="58" w:name="_Toc165302330"/>
      <w:bookmarkStart w:id="59" w:name="_Toc161059096"/>
      <w:bookmarkStart w:id="60" w:name="_Toc26986772"/>
      <w:bookmarkStart w:id="61" w:name="_Toc157414212"/>
      <w:bookmarkStart w:id="62" w:name="_Toc164762061"/>
      <w:bookmarkStart w:id="63" w:name="_Toc157414254"/>
      <w:bookmarkStart w:id="64" w:name="_Toc161057421"/>
      <w:bookmarkStart w:id="65" w:name="_Toc164760865"/>
      <w:bookmarkStart w:id="66" w:name="_Toc26718931"/>
      <w:bookmarkStart w:id="67" w:name="_Toc26986531"/>
      <w:bookmarkStart w:id="68" w:name="_Toc19473"/>
      <w:bookmarkStart w:id="69" w:name="_Toc148011706"/>
      <w:bookmarkStart w:id="70" w:name="_Toc157415820"/>
      <w:bookmarkStart w:id="71" w:name="_Toc19615"/>
      <w:bookmarkStart w:id="72" w:name="_Toc143074487"/>
      <w:bookmarkStart w:id="73" w:name="_Toc146287341"/>
      <w:bookmarkStart w:id="74" w:name="_Toc164761515"/>
      <w:bookmarkStart w:id="75" w:name="_Toc143001030"/>
      <w:bookmarkStart w:id="76" w:name="_Toc97191424"/>
      <w:bookmarkStart w:id="77" w:name="_Toc157418227"/>
      <w:bookmarkStart w:id="78" w:name="_Toc164761881"/>
      <w:bookmarkStart w:id="79" w:name="_Toc3923"/>
      <w:bookmarkStart w:id="80" w:name="_Toc20707"/>
      <w:bookmarkStart w:id="81" w:name="_Toc143001073"/>
      <w:bookmarkStart w:id="82" w:name="_Toc9192"/>
      <w:r>
        <w:rPr>
          <w:rFonts w:hint="eastAsia"/>
        </w:rPr>
        <w:t>规范性引用文件</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73"/>
        <w:jc w:val="left"/>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73"/>
        <w:jc w:val="left"/>
      </w:pPr>
      <w:r>
        <w:t>GB</w:t>
      </w:r>
      <w:r>
        <w:rPr>
          <w:rFonts w:hint="eastAsia"/>
        </w:rPr>
        <w:t>/</w:t>
      </w:r>
      <w:r>
        <w:t>T 29490  企业知识产权合规管理体系</w:t>
      </w:r>
      <w:r>
        <w:rPr>
          <w:rFonts w:hint="eastAsia"/>
        </w:rPr>
        <w:t xml:space="preserve"> 要求</w:t>
      </w:r>
    </w:p>
    <w:p>
      <w:pPr>
        <w:pStyle w:val="88"/>
        <w:spacing w:before="312" w:after="312"/>
        <w:jc w:val="left"/>
      </w:pPr>
      <w:bookmarkStart w:id="83" w:name="_Toc157414213"/>
      <w:bookmarkStart w:id="84" w:name="_Toc161059097"/>
      <w:bookmarkStart w:id="85" w:name="_Toc157418228"/>
      <w:bookmarkStart w:id="86" w:name="_Toc16743"/>
      <w:bookmarkStart w:id="87" w:name="_Toc14273"/>
      <w:bookmarkStart w:id="88" w:name="_Toc30408"/>
      <w:bookmarkStart w:id="89" w:name="_Toc164761882"/>
      <w:bookmarkStart w:id="90" w:name="_Toc164762062"/>
      <w:bookmarkStart w:id="91" w:name="_Toc161057422"/>
      <w:bookmarkStart w:id="92" w:name="_Toc164761516"/>
      <w:bookmarkStart w:id="93" w:name="_Toc24923"/>
      <w:bookmarkStart w:id="94" w:name="_Toc165302331"/>
      <w:bookmarkStart w:id="95" w:name="_Toc157415821"/>
      <w:bookmarkStart w:id="96" w:name="_Toc157414255"/>
      <w:bookmarkStart w:id="97" w:name="_Toc14980"/>
      <w:bookmarkStart w:id="98" w:name="_Toc164760866"/>
      <w:bookmarkStart w:id="99" w:name="_Toc2963"/>
      <w:bookmarkStart w:id="100" w:name="_Toc143074489"/>
      <w:bookmarkStart w:id="101" w:name="_Toc148011708"/>
      <w:bookmarkStart w:id="102" w:name="_Toc146287343"/>
      <w:r>
        <w:rPr>
          <w:rFonts w:hint="eastAsia"/>
          <w:szCs w:val="21"/>
        </w:rPr>
        <w:t>术语和定义</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73"/>
        <w:jc w:val="left"/>
      </w:pPr>
      <w:r>
        <w:rPr>
          <w:rFonts w:hint="eastAsia"/>
        </w:rPr>
        <w:t>GB</w:t>
      </w:r>
      <w:r>
        <w:t>/T 29490</w:t>
      </w:r>
      <w:r>
        <w:rPr>
          <w:rFonts w:hint="eastAsia"/>
        </w:rPr>
        <w:t>界定的以及下列术语和定义适用于本文件。</w:t>
      </w:r>
    </w:p>
    <w:p>
      <w:pPr>
        <w:pStyle w:val="85"/>
        <w:ind w:left="420" w:hanging="420" w:hangingChars="200"/>
        <w:jc w:val="left"/>
        <w:rPr>
          <w:rFonts w:ascii="黑体" w:hAnsi="黑体" w:eastAsia="黑体"/>
        </w:rPr>
      </w:pPr>
      <w:r>
        <w:rPr>
          <w:rFonts w:ascii="黑体" w:hAnsi="黑体" w:eastAsia="黑体"/>
        </w:rPr>
        <w:br w:type="textWrapping"/>
      </w:r>
      <w:r>
        <w:rPr>
          <w:rFonts w:ascii="黑体" w:hAnsi="黑体" w:eastAsia="黑体"/>
        </w:rPr>
        <w:t>高新技术企业</w:t>
      </w:r>
      <w:r>
        <w:rPr>
          <w:rFonts w:hint="eastAsia" w:ascii="黑体" w:hAnsi="黑体" w:eastAsia="黑体"/>
        </w:rPr>
        <w:t xml:space="preserve"> </w:t>
      </w:r>
      <w:r>
        <w:rPr>
          <w:rFonts w:ascii="黑体" w:hAnsi="黑体" w:eastAsia="黑体"/>
        </w:rPr>
        <w:t xml:space="preserve"> high-tech enterprise</w:t>
      </w:r>
    </w:p>
    <w:p>
      <w:pPr>
        <w:pStyle w:val="73"/>
        <w:jc w:val="left"/>
      </w:pPr>
      <w:r>
        <w:rPr>
          <w:rFonts w:hint="eastAsia"/>
        </w:rPr>
        <w:t>在《国家重点支持的高新技术领域》内，持续研究开发与技术成果转化，形成企业核心自主知识产权，并以此为基础开展经营活动，在中国境内（不包括港、澳、台地区）注册的居民企业。</w:t>
      </w:r>
    </w:p>
    <w:p>
      <w:pPr>
        <w:pStyle w:val="85"/>
        <w:ind w:left="420" w:hanging="420" w:hangingChars="200"/>
        <w:jc w:val="left"/>
      </w:pPr>
    </w:p>
    <w:p>
      <w:pPr>
        <w:pStyle w:val="85"/>
        <w:numPr>
          <w:ilvl w:val="255"/>
          <w:numId w:val="0"/>
        </w:numPr>
        <w:ind w:left="-420" w:leftChars="-200" w:firstLine="840" w:firstLineChars="400"/>
        <w:jc w:val="left"/>
        <w:rPr>
          <w:rFonts w:ascii="黑体" w:hAnsi="黑体" w:eastAsia="黑体"/>
        </w:rPr>
      </w:pPr>
      <w:r>
        <w:rPr>
          <w:rFonts w:ascii="黑体" w:hAnsi="黑体" w:eastAsia="黑体"/>
        </w:rPr>
        <w:t xml:space="preserve">商业秘密  </w:t>
      </w:r>
      <w:r>
        <w:rPr>
          <w:rFonts w:hint="eastAsia" w:ascii="黑体" w:hAnsi="黑体" w:eastAsia="黑体"/>
        </w:rPr>
        <w:t>trade secret</w:t>
      </w:r>
    </w:p>
    <w:p>
      <w:pPr>
        <w:pStyle w:val="73"/>
        <w:jc w:val="left"/>
      </w:pPr>
      <w:r>
        <w:rPr>
          <w:rFonts w:hint="eastAsia"/>
        </w:rPr>
        <w:t>不为公众所知悉、具有商业价值并经权利人采取相应保密措施的技术信息、经营信息等商业信息。</w:t>
      </w:r>
    </w:p>
    <w:p>
      <w:pPr>
        <w:pStyle w:val="85"/>
        <w:ind w:left="420" w:hanging="420" w:hangingChars="200"/>
        <w:jc w:val="left"/>
        <w:rPr>
          <w:rFonts w:ascii="黑体" w:hAnsi="黑体" w:eastAsia="黑体"/>
        </w:rPr>
      </w:pPr>
      <w:r>
        <w:rPr>
          <w:rFonts w:ascii="黑体" w:hAnsi="黑体" w:eastAsia="黑体"/>
        </w:rPr>
        <w:br w:type="textWrapping"/>
      </w:r>
      <w:r>
        <w:rPr>
          <w:rFonts w:hint="eastAsia" w:ascii="黑体" w:hAnsi="黑体" w:eastAsia="黑体"/>
        </w:rPr>
        <w:t>技术</w:t>
      </w:r>
      <w:r>
        <w:rPr>
          <w:rFonts w:ascii="黑体" w:hAnsi="黑体" w:eastAsia="黑体"/>
        </w:rPr>
        <w:t>信息</w:t>
      </w:r>
      <w:r>
        <w:rPr>
          <w:rFonts w:hint="eastAsia" w:ascii="黑体" w:hAnsi="黑体" w:eastAsia="黑体"/>
        </w:rPr>
        <w:t xml:space="preserve"> </w:t>
      </w:r>
      <w:r>
        <w:rPr>
          <w:rFonts w:ascii="黑体" w:hAnsi="黑体" w:eastAsia="黑体"/>
        </w:rPr>
        <w:t xml:space="preserve"> </w:t>
      </w:r>
      <w:r>
        <w:rPr>
          <w:rFonts w:hint="eastAsia" w:ascii="黑体" w:hAnsi="黑体" w:eastAsia="黑体"/>
        </w:rPr>
        <w:t>technical</w:t>
      </w:r>
      <w:r>
        <w:rPr>
          <w:rFonts w:ascii="黑体" w:hAnsi="黑体" w:eastAsia="黑体"/>
        </w:rPr>
        <w:t xml:space="preserve"> information</w:t>
      </w:r>
    </w:p>
    <w:p>
      <w:pPr>
        <w:pStyle w:val="73"/>
        <w:jc w:val="left"/>
      </w:pPr>
      <w:r>
        <w:rPr>
          <w:rFonts w:hint="eastAsia"/>
        </w:rPr>
        <w:t>与技术有关的结构、原料、组分、配方、材料、样品、样式、植物新品种繁殖材料、工艺、方法或其步骤、算法、数据、计算机程序及其有关文档等信息。</w:t>
      </w:r>
    </w:p>
    <w:p>
      <w:pPr>
        <w:pStyle w:val="85"/>
        <w:ind w:left="420" w:hanging="420" w:hangingChars="200"/>
        <w:jc w:val="left"/>
        <w:rPr>
          <w:rFonts w:ascii="黑体" w:hAnsi="黑体" w:eastAsia="黑体"/>
        </w:rPr>
      </w:pPr>
      <w:r>
        <w:rPr>
          <w:rFonts w:ascii="黑体" w:hAnsi="黑体" w:eastAsia="黑体"/>
        </w:rPr>
        <w:br w:type="textWrapping"/>
      </w:r>
      <w:r>
        <w:rPr>
          <w:rFonts w:hint="eastAsia" w:ascii="黑体" w:hAnsi="黑体" w:eastAsia="黑体"/>
        </w:rPr>
        <w:t>经营</w:t>
      </w:r>
      <w:r>
        <w:rPr>
          <w:rFonts w:ascii="黑体" w:hAnsi="黑体" w:eastAsia="黑体"/>
        </w:rPr>
        <w:t>信息</w:t>
      </w:r>
      <w:r>
        <w:rPr>
          <w:rFonts w:hint="eastAsia" w:ascii="黑体" w:hAnsi="黑体" w:eastAsia="黑体"/>
        </w:rPr>
        <w:t xml:space="preserve"> </w:t>
      </w:r>
      <w:r>
        <w:rPr>
          <w:rFonts w:ascii="黑体" w:hAnsi="黑体" w:eastAsia="黑体"/>
        </w:rPr>
        <w:t xml:space="preserve"> </w:t>
      </w:r>
      <w:r>
        <w:rPr>
          <w:rFonts w:hint="eastAsia" w:ascii="黑体" w:hAnsi="黑体" w:eastAsia="黑体"/>
        </w:rPr>
        <w:t>commercial</w:t>
      </w:r>
      <w:r>
        <w:rPr>
          <w:rFonts w:ascii="黑体" w:hAnsi="黑体" w:eastAsia="黑体"/>
        </w:rPr>
        <w:t xml:space="preserve"> information</w:t>
      </w:r>
    </w:p>
    <w:p>
      <w:pPr>
        <w:pStyle w:val="73"/>
        <w:jc w:val="left"/>
      </w:pPr>
      <w:r>
        <w:rPr>
          <w:rFonts w:hint="eastAsia"/>
        </w:rPr>
        <w:t>与经营活动有关的创意、管理、销售、财务、计划、样本、招投标材料、客户信息、数据等信息。</w:t>
      </w:r>
    </w:p>
    <w:p>
      <w:pPr>
        <w:pStyle w:val="85"/>
        <w:ind w:left="420" w:hanging="420" w:hangingChars="200"/>
        <w:jc w:val="left"/>
        <w:rPr>
          <w:rFonts w:ascii="黑体" w:hAnsi="黑体" w:eastAsia="黑体"/>
        </w:rPr>
      </w:pPr>
      <w:r>
        <w:rPr>
          <w:rFonts w:ascii="黑体" w:hAnsi="黑体" w:eastAsia="黑体"/>
        </w:rPr>
        <w:br w:type="textWrapping"/>
      </w:r>
      <w:r>
        <w:rPr>
          <w:rFonts w:hint="eastAsia" w:ascii="黑体" w:hAnsi="黑体" w:eastAsia="黑体"/>
        </w:rPr>
        <w:t xml:space="preserve">秘密点 </w:t>
      </w:r>
      <w:r>
        <w:rPr>
          <w:rFonts w:ascii="黑体" w:hAnsi="黑体" w:eastAsia="黑体"/>
        </w:rPr>
        <w:t xml:space="preserve"> </w:t>
      </w:r>
      <w:r>
        <w:rPr>
          <w:rFonts w:hint="eastAsia" w:ascii="黑体" w:hAnsi="黑体" w:eastAsia="黑体"/>
        </w:rPr>
        <w:t>secret</w:t>
      </w:r>
      <w:r>
        <w:rPr>
          <w:rFonts w:ascii="黑体" w:hAnsi="黑体" w:eastAsia="黑体"/>
        </w:rPr>
        <w:t xml:space="preserve"> spot</w:t>
      </w:r>
    </w:p>
    <w:p>
      <w:pPr>
        <w:pStyle w:val="73"/>
        <w:jc w:val="left"/>
      </w:pPr>
      <w:r>
        <w:rPr>
          <w:rFonts w:hint="eastAsia"/>
        </w:rPr>
        <w:t>真正具备商业秘密本质属性，泄露后会损害企业利益的关键信息单元</w:t>
      </w:r>
      <w:r>
        <w:t>。</w:t>
      </w:r>
    </w:p>
    <w:p>
      <w:pPr>
        <w:pStyle w:val="85"/>
        <w:ind w:left="420" w:hanging="420" w:hangingChars="200"/>
        <w:jc w:val="left"/>
        <w:rPr>
          <w:rFonts w:ascii="黑体" w:hAnsi="黑体" w:eastAsia="黑体"/>
        </w:rPr>
      </w:pPr>
      <w:r>
        <w:rPr>
          <w:rFonts w:ascii="黑体" w:hAnsi="黑体" w:eastAsia="黑体"/>
        </w:rPr>
        <w:br w:type="textWrapping"/>
      </w:r>
      <w:r>
        <w:rPr>
          <w:rFonts w:hint="eastAsia" w:ascii="黑体" w:hAnsi="黑体" w:eastAsia="黑体"/>
        </w:rPr>
        <w:t xml:space="preserve">涉密载体 </w:t>
      </w:r>
      <w:r>
        <w:rPr>
          <w:rFonts w:ascii="黑体" w:hAnsi="黑体" w:eastAsia="黑体"/>
        </w:rPr>
        <w:t xml:space="preserve"> </w:t>
      </w:r>
      <w:r>
        <w:rPr>
          <w:rFonts w:hint="eastAsia" w:ascii="黑体" w:hAnsi="黑体" w:eastAsia="黑体"/>
        </w:rPr>
        <w:t>secret-related</w:t>
      </w:r>
      <w:r>
        <w:rPr>
          <w:rFonts w:ascii="黑体" w:hAnsi="黑体" w:eastAsia="黑体"/>
        </w:rPr>
        <w:t xml:space="preserve"> carrier</w:t>
      </w:r>
    </w:p>
    <w:p>
      <w:pPr>
        <w:pStyle w:val="73"/>
        <w:jc w:val="left"/>
      </w:pPr>
      <w:r>
        <w:rPr>
          <w:rFonts w:hint="eastAsia"/>
        </w:rPr>
        <w:t>以文字、数据、符号、图形、实物、视频和音频等形式记载和存储商业秘密的纸介质、电子文件、光介质、电磁介质、设备与产品等各类物质。</w:t>
      </w:r>
    </w:p>
    <w:p>
      <w:pPr>
        <w:pStyle w:val="106"/>
        <w:jc w:val="left"/>
      </w:pPr>
      <w:r>
        <w:t>纸介质是指传统的纸质涉密文件、书刊、图纸等。</w:t>
      </w:r>
    </w:p>
    <w:p>
      <w:pPr>
        <w:pStyle w:val="106"/>
        <w:jc w:val="left"/>
      </w:pPr>
      <w:r>
        <w:t>电子文件是指以电子形式存储的文档或数据。</w:t>
      </w:r>
    </w:p>
    <w:p>
      <w:pPr>
        <w:pStyle w:val="106"/>
        <w:jc w:val="left"/>
      </w:pPr>
      <w:r>
        <w:t>光介质是指利用激光原理写入和读取商业秘密的存储介质，包括CD、VCD、DVD等各类光盘。</w:t>
      </w:r>
    </w:p>
    <w:p>
      <w:pPr>
        <w:pStyle w:val="106"/>
        <w:jc w:val="left"/>
      </w:pPr>
      <w:r>
        <w:t>电磁介质包括电子介质和磁介质两种，如各类闪存盘、</w:t>
      </w:r>
      <w:r>
        <w:rPr>
          <w:rFonts w:hint="eastAsia"/>
        </w:rPr>
        <w:t>计算机软盘、</w:t>
      </w:r>
      <w:r>
        <w:t>硬盘、磁盘、磁带等。</w:t>
      </w:r>
    </w:p>
    <w:p>
      <w:pPr>
        <w:pStyle w:val="106"/>
        <w:jc w:val="left"/>
      </w:pPr>
      <w:r>
        <w:t>其他</w:t>
      </w:r>
      <w:r>
        <w:rPr>
          <w:rFonts w:hint="eastAsia"/>
        </w:rPr>
        <w:t>设备与产品</w:t>
      </w:r>
      <w:r>
        <w:t>是指直接含有</w:t>
      </w:r>
      <w:r>
        <w:rPr>
          <w:rFonts w:hint="eastAsia"/>
        </w:rPr>
        <w:t>，或通过观察、测试或分析等手段能够获取商业秘密信息的设备或产品，包括原材料、半成品、样品等</w:t>
      </w:r>
      <w:r>
        <w:t>。</w:t>
      </w:r>
      <w:bookmarkStart w:id="103" w:name="_Toc2429"/>
      <w:bookmarkStart w:id="104" w:name="_Toc11552"/>
    </w:p>
    <w:p>
      <w:pPr>
        <w:pStyle w:val="88"/>
        <w:spacing w:before="312" w:after="312"/>
        <w:jc w:val="left"/>
      </w:pPr>
      <w:bookmarkStart w:id="105" w:name="_Toc27912"/>
      <w:bookmarkStart w:id="106" w:name="_Toc165302332"/>
      <w:bookmarkStart w:id="107" w:name="_Toc13801"/>
      <w:r>
        <w:rPr>
          <w:rFonts w:hint="eastAsia"/>
        </w:rPr>
        <w:t>基本原则</w:t>
      </w:r>
      <w:bookmarkEnd w:id="105"/>
      <w:bookmarkEnd w:id="106"/>
      <w:bookmarkEnd w:id="107"/>
    </w:p>
    <w:p>
      <w:pPr>
        <w:pStyle w:val="87"/>
        <w:spacing w:before="156" w:after="156"/>
        <w:jc w:val="left"/>
      </w:pPr>
      <w:bookmarkStart w:id="108" w:name="_Toc2809"/>
      <w:bookmarkStart w:id="109" w:name="_Toc165302333"/>
      <w:bookmarkStart w:id="110" w:name="_Toc8628"/>
      <w:r>
        <w:rPr>
          <w:rFonts w:hint="eastAsia"/>
        </w:rPr>
        <w:t>最高层管理原则</w:t>
      </w:r>
      <w:bookmarkEnd w:id="108"/>
      <w:bookmarkEnd w:id="109"/>
      <w:bookmarkEnd w:id="110"/>
    </w:p>
    <w:p>
      <w:pPr>
        <w:pStyle w:val="89"/>
        <w:keepNext w:val="0"/>
        <w:keepLines w:val="0"/>
        <w:pageBreakBefore w:val="0"/>
        <w:widowControl/>
        <w:kinsoku/>
        <w:wordWrap/>
        <w:overflowPunct/>
        <w:topLinePunct w:val="0"/>
        <w:autoSpaceDE w:val="0"/>
        <w:autoSpaceDN w:val="0"/>
        <w:bidi w:val="0"/>
        <w:adjustRightInd/>
        <w:snapToGrid/>
        <w:ind w:firstLine="420" w:firstLineChars="200"/>
        <w:jc w:val="left"/>
        <w:textAlignment w:val="auto"/>
      </w:pPr>
      <w:r>
        <w:rPr>
          <w:rFonts w:hint="eastAsia"/>
        </w:rPr>
        <w:t>最高管理者的支持和参与是商业秘密管理的关键，最高管理者应全面负责商业秘密保护与管理工作。</w:t>
      </w:r>
    </w:p>
    <w:p>
      <w:pPr>
        <w:pStyle w:val="87"/>
        <w:spacing w:before="156" w:after="156"/>
        <w:jc w:val="left"/>
      </w:pPr>
      <w:bookmarkStart w:id="111" w:name="_Toc12965"/>
      <w:bookmarkStart w:id="112" w:name="_Toc165302334"/>
      <w:bookmarkStart w:id="113" w:name="_Toc20787"/>
      <w:r>
        <w:rPr>
          <w:rFonts w:hint="eastAsia"/>
        </w:rPr>
        <w:t>全流程管理原则</w:t>
      </w:r>
      <w:bookmarkEnd w:id="111"/>
      <w:bookmarkEnd w:id="112"/>
      <w:bookmarkEnd w:id="113"/>
    </w:p>
    <w:p>
      <w:pPr>
        <w:pStyle w:val="91"/>
        <w:keepNext w:val="0"/>
        <w:keepLines w:val="0"/>
        <w:pageBreakBefore w:val="0"/>
        <w:widowControl w:val="0"/>
        <w:numPr>
          <w:ilvl w:val="3"/>
          <w:numId w:val="0"/>
        </w:numPr>
        <w:kinsoku/>
        <w:wordWrap/>
        <w:overflowPunct/>
        <w:topLinePunct w:val="0"/>
        <w:autoSpaceDE/>
        <w:autoSpaceDN/>
        <w:bidi w:val="0"/>
        <w:adjustRightInd/>
        <w:snapToGrid/>
        <w:ind w:leftChars="0" w:firstLine="420" w:firstLineChars="200"/>
        <w:textAlignment w:val="auto"/>
      </w:pPr>
      <w:r>
        <w:rPr>
          <w:rFonts w:hint="eastAsia"/>
        </w:rPr>
        <w:t>企业应将商业秘密保护与管理工作融入企业的研发、设计、采购、生产、销售、商务合作、人事、财务、法务等全业务过程。</w:t>
      </w:r>
    </w:p>
    <w:p>
      <w:pPr>
        <w:pStyle w:val="87"/>
        <w:spacing w:before="156" w:after="156"/>
        <w:jc w:val="left"/>
      </w:pPr>
      <w:bookmarkStart w:id="114" w:name="_Toc18107"/>
      <w:bookmarkStart w:id="115" w:name="_Toc165302335"/>
      <w:bookmarkStart w:id="116" w:name="_Toc15777"/>
      <w:r>
        <w:rPr>
          <w:rFonts w:hint="eastAsia"/>
        </w:rPr>
        <w:t>全员参与原则</w:t>
      </w:r>
      <w:bookmarkEnd w:id="114"/>
      <w:bookmarkEnd w:id="115"/>
      <w:bookmarkEnd w:id="116"/>
    </w:p>
    <w:p>
      <w:pPr>
        <w:pStyle w:val="91"/>
        <w:keepNext w:val="0"/>
        <w:keepLines w:val="0"/>
        <w:pageBreakBefore w:val="0"/>
        <w:widowControl w:val="0"/>
        <w:numPr>
          <w:ilvl w:val="3"/>
          <w:numId w:val="0"/>
        </w:numPr>
        <w:kinsoku/>
        <w:wordWrap/>
        <w:overflowPunct/>
        <w:topLinePunct w:val="0"/>
        <w:autoSpaceDE/>
        <w:autoSpaceDN/>
        <w:bidi w:val="0"/>
        <w:adjustRightInd/>
        <w:snapToGrid/>
        <w:ind w:leftChars="0" w:firstLine="420" w:firstLineChars="200"/>
        <w:textAlignment w:val="auto"/>
        <w:rPr>
          <w:rFonts w:hint="eastAsia" w:ascii="宋体" w:hAnsi="Times New Roman" w:eastAsia="宋体" w:cs="Times New Roman"/>
        </w:rPr>
      </w:pPr>
      <w:r>
        <w:rPr>
          <w:rFonts w:hint="eastAsia" w:ascii="宋体" w:hAnsi="Times New Roman" w:eastAsia="宋体" w:cs="Times New Roman"/>
        </w:rPr>
        <w:t>商业秘密涉及企业各业务领域和业务环节，应培养全体员工的保密意识，充分调动全体员工参与到企业日常的商业秘密保护与管理工作中。</w:t>
      </w:r>
    </w:p>
    <w:p>
      <w:pPr>
        <w:pStyle w:val="87"/>
        <w:spacing w:before="156" w:after="156"/>
        <w:jc w:val="left"/>
      </w:pPr>
      <w:bookmarkStart w:id="117" w:name="_Toc7497"/>
      <w:bookmarkStart w:id="118" w:name="_Toc165302336"/>
      <w:bookmarkStart w:id="119" w:name="_Toc10776"/>
      <w:r>
        <w:rPr>
          <w:rFonts w:hint="eastAsia"/>
        </w:rPr>
        <w:t>管理工作实施原则</w:t>
      </w:r>
      <w:bookmarkEnd w:id="117"/>
      <w:bookmarkEnd w:id="118"/>
      <w:bookmarkEnd w:id="119"/>
    </w:p>
    <w:p>
      <w:pPr>
        <w:pStyle w:val="91"/>
        <w:keepNext w:val="0"/>
        <w:keepLines w:val="0"/>
        <w:pageBreakBefore w:val="0"/>
        <w:widowControl w:val="0"/>
        <w:numPr>
          <w:ilvl w:val="3"/>
          <w:numId w:val="0"/>
        </w:numPr>
        <w:kinsoku/>
        <w:wordWrap/>
        <w:overflowPunct/>
        <w:topLinePunct w:val="0"/>
        <w:autoSpaceDE/>
        <w:autoSpaceDN/>
        <w:bidi w:val="0"/>
        <w:adjustRightInd/>
        <w:snapToGrid/>
        <w:ind w:leftChars="0" w:firstLine="420" w:firstLineChars="200"/>
        <w:textAlignment w:val="auto"/>
        <w:rPr>
          <w:rFonts w:hint="eastAsia" w:ascii="宋体" w:hAnsi="Times New Roman" w:eastAsia="宋体" w:cs="Times New Roman"/>
        </w:rPr>
      </w:pPr>
      <w:r>
        <w:rPr>
          <w:rFonts w:hint="eastAsia" w:ascii="宋体" w:hAnsi="Times New Roman" w:eastAsia="宋体" w:cs="Times New Roman"/>
        </w:rPr>
        <w:t>企业的商业秘密管理工作应遵循最小接触范围原则、审批原则、可追溯原则。</w:t>
      </w:r>
    </w:p>
    <w:p>
      <w:pPr>
        <w:pStyle w:val="88"/>
        <w:spacing w:before="312" w:after="312"/>
        <w:jc w:val="left"/>
      </w:pPr>
      <w:bookmarkStart w:id="120" w:name="_Toc161059098"/>
      <w:bookmarkStart w:id="121" w:name="_Toc164760867"/>
      <w:bookmarkStart w:id="122" w:name="_Toc161057423"/>
      <w:bookmarkStart w:id="123" w:name="_Toc157414214"/>
      <w:bookmarkStart w:id="124" w:name="_Toc28241"/>
      <w:bookmarkStart w:id="125" w:name="_Toc164761517"/>
      <w:bookmarkStart w:id="126" w:name="_Toc24171"/>
      <w:bookmarkStart w:id="127" w:name="_Toc157418229"/>
      <w:bookmarkStart w:id="128" w:name="_Toc164762063"/>
      <w:bookmarkStart w:id="129" w:name="_Toc157414256"/>
      <w:bookmarkStart w:id="130" w:name="_Toc7767"/>
      <w:bookmarkStart w:id="131" w:name="_Toc164761883"/>
      <w:bookmarkStart w:id="132" w:name="_Toc3688"/>
      <w:bookmarkStart w:id="133" w:name="_Toc157415822"/>
      <w:bookmarkStart w:id="134" w:name="_Toc165302337"/>
      <w:r>
        <w:rPr>
          <w:rFonts w:hint="eastAsia"/>
        </w:rPr>
        <w:t>基本要求</w:t>
      </w:r>
      <w:bookmarkEnd w:id="100"/>
      <w:bookmarkEnd w:id="101"/>
      <w:bookmarkEnd w:id="102"/>
      <w:bookmarkEnd w:id="103"/>
      <w:bookmarkEnd w:id="104"/>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86"/>
        <w:jc w:val="left"/>
      </w:pPr>
      <w:r>
        <w:rPr>
          <w:rFonts w:hint="eastAsia"/>
        </w:rPr>
        <w:t>最高管理者是企业商业秘密保护与管理工作的第一负责人，应制定商业秘密方针，领导并支持商业秘密保护与管理工作，审定重大商业秘密事项。</w:t>
      </w:r>
    </w:p>
    <w:p>
      <w:pPr>
        <w:pStyle w:val="86"/>
        <w:jc w:val="left"/>
      </w:pPr>
      <w:r>
        <w:rPr>
          <w:rFonts w:hint="eastAsia"/>
        </w:rPr>
        <w:t>最高管理者应确保企业设立专门的商业秘密保护办公室（以下简称“保密办”）或由具备商业秘密保护职能的部门承担商业秘密保护与管理工作，并明确其职责。</w:t>
      </w:r>
    </w:p>
    <w:p>
      <w:pPr>
        <w:pStyle w:val="86"/>
        <w:jc w:val="left"/>
      </w:pPr>
      <w:r>
        <w:rPr>
          <w:rFonts w:hint="eastAsia"/>
        </w:rPr>
        <w:t>保密办应配备专职负责人，或指定如法务、研发、人力资源等部门负责人兼任，也可由最高管理者直接负责。各部门应抽派至少1人作为各部门的保密实施人员（以下简称“保密员”），配合执行商业秘密保护与管理的具体工作。</w:t>
      </w:r>
    </w:p>
    <w:p>
      <w:pPr>
        <w:pStyle w:val="86"/>
        <w:jc w:val="left"/>
      </w:pPr>
      <w:r>
        <w:rPr>
          <w:rFonts w:hint="eastAsia"/>
        </w:rPr>
        <w:t>保密办应履行以下职责：</w:t>
      </w:r>
    </w:p>
    <w:p>
      <w:pPr>
        <w:pStyle w:val="105"/>
        <w:numPr>
          <w:ilvl w:val="0"/>
          <w:numId w:val="34"/>
        </w:numPr>
        <w:jc w:val="left"/>
      </w:pPr>
      <w:r>
        <w:t>组织制定商业秘密保护</w:t>
      </w:r>
      <w:r>
        <w:rPr>
          <w:rFonts w:hint="eastAsia"/>
        </w:rPr>
        <w:t>与</w:t>
      </w:r>
      <w:r>
        <w:t>管理</w:t>
      </w:r>
      <w:r>
        <w:rPr>
          <w:rFonts w:hint="eastAsia"/>
        </w:rPr>
        <w:t>制度及</w:t>
      </w:r>
      <w:r>
        <w:t>流程</w:t>
      </w:r>
      <w:r>
        <w:rPr>
          <w:rFonts w:hint="eastAsia"/>
        </w:rPr>
        <w:t>；</w:t>
      </w:r>
    </w:p>
    <w:p>
      <w:pPr>
        <w:pStyle w:val="105"/>
        <w:numPr>
          <w:ilvl w:val="0"/>
          <w:numId w:val="34"/>
        </w:numPr>
        <w:jc w:val="left"/>
      </w:pPr>
      <w:r>
        <w:rPr>
          <w:rFonts w:hint="eastAsia"/>
        </w:rPr>
        <w:t>组织各部门开展商业秘密定密工作；</w:t>
      </w:r>
    </w:p>
    <w:p>
      <w:pPr>
        <w:pStyle w:val="105"/>
        <w:numPr>
          <w:ilvl w:val="0"/>
          <w:numId w:val="34"/>
        </w:numPr>
        <w:jc w:val="left"/>
      </w:pPr>
      <w:r>
        <w:rPr>
          <w:rFonts w:hint="eastAsia"/>
        </w:rPr>
        <w:t>定期评估商业秘密，组织开展商业秘密的更新、解密、销毁工作；</w:t>
      </w:r>
    </w:p>
    <w:p>
      <w:pPr>
        <w:pStyle w:val="105"/>
        <w:numPr>
          <w:ilvl w:val="0"/>
          <w:numId w:val="34"/>
        </w:numPr>
        <w:jc w:val="left"/>
      </w:pPr>
      <w:r>
        <w:rPr>
          <w:rFonts w:hint="eastAsia"/>
        </w:rPr>
        <w:t>组织开展商业秘密存证工作；</w:t>
      </w:r>
    </w:p>
    <w:p>
      <w:pPr>
        <w:pStyle w:val="105"/>
        <w:numPr>
          <w:ilvl w:val="0"/>
          <w:numId w:val="34"/>
        </w:numPr>
        <w:jc w:val="left"/>
      </w:pPr>
      <w:r>
        <w:t>组织开展员工</w:t>
      </w:r>
      <w:r>
        <w:rPr>
          <w:rFonts w:hint="eastAsia"/>
        </w:rPr>
        <w:t>保密</w:t>
      </w:r>
      <w:r>
        <w:t>教育活动；</w:t>
      </w:r>
    </w:p>
    <w:p>
      <w:pPr>
        <w:pStyle w:val="105"/>
        <w:numPr>
          <w:ilvl w:val="0"/>
          <w:numId w:val="34"/>
        </w:numPr>
        <w:jc w:val="left"/>
      </w:pPr>
      <w:r>
        <w:t>组织各部门落实商业秘密保护措施</w:t>
      </w:r>
      <w:r>
        <w:rPr>
          <w:rFonts w:hint="eastAsia"/>
        </w:rPr>
        <w:t>；</w:t>
      </w:r>
    </w:p>
    <w:p>
      <w:pPr>
        <w:pStyle w:val="105"/>
        <w:numPr>
          <w:ilvl w:val="0"/>
          <w:numId w:val="34"/>
        </w:numPr>
        <w:jc w:val="left"/>
      </w:pPr>
      <w:r>
        <w:t>监督各部门商业秘密管理工作的执行</w:t>
      </w:r>
      <w:r>
        <w:rPr>
          <w:rFonts w:hint="eastAsia"/>
        </w:rPr>
        <w:t>情况</w:t>
      </w:r>
      <w:r>
        <w:t>，对发现的问题提出整改要求，并督促落实；</w:t>
      </w:r>
    </w:p>
    <w:p>
      <w:pPr>
        <w:pStyle w:val="105"/>
        <w:numPr>
          <w:ilvl w:val="0"/>
          <w:numId w:val="34"/>
        </w:numPr>
        <w:jc w:val="left"/>
      </w:pPr>
      <w:r>
        <w:rPr>
          <w:rFonts w:hint="eastAsia"/>
        </w:rPr>
        <w:t>处理</w:t>
      </w:r>
      <w:r>
        <w:t>泄密事件，配合有关部门完成证据整理、搜集、举证、协助调查取证等</w:t>
      </w:r>
      <w:r>
        <w:rPr>
          <w:rFonts w:hint="eastAsia"/>
        </w:rPr>
        <w:t>；</w:t>
      </w:r>
    </w:p>
    <w:p>
      <w:pPr>
        <w:pStyle w:val="105"/>
        <w:numPr>
          <w:ilvl w:val="0"/>
          <w:numId w:val="34"/>
        </w:numPr>
        <w:jc w:val="left"/>
      </w:pPr>
      <w:r>
        <w:rPr>
          <w:rFonts w:hint="eastAsia"/>
        </w:rPr>
        <w:t>其他与商业秘密保护与管理相关的工作</w:t>
      </w:r>
      <w:r>
        <w:t>。</w:t>
      </w:r>
    </w:p>
    <w:p>
      <w:pPr>
        <w:pStyle w:val="88"/>
        <w:spacing w:before="312" w:after="312"/>
        <w:jc w:val="left"/>
      </w:pPr>
      <w:bookmarkStart w:id="135" w:name="_Toc12037"/>
      <w:bookmarkStart w:id="136" w:name="_Toc19959"/>
      <w:bookmarkStart w:id="137" w:name="_Toc165302338"/>
      <w:r>
        <w:rPr>
          <w:rFonts w:hint="eastAsia"/>
        </w:rPr>
        <w:t>概述</w:t>
      </w:r>
      <w:bookmarkEnd w:id="135"/>
      <w:bookmarkEnd w:id="136"/>
      <w:bookmarkEnd w:id="137"/>
    </w:p>
    <w:p>
      <w:pPr>
        <w:pStyle w:val="91"/>
        <w:keepNext w:val="0"/>
        <w:keepLines w:val="0"/>
        <w:pageBreakBefore w:val="0"/>
        <w:widowControl w:val="0"/>
        <w:numPr>
          <w:ilvl w:val="3"/>
          <w:numId w:val="0"/>
        </w:numPr>
        <w:kinsoku/>
        <w:wordWrap/>
        <w:overflowPunct/>
        <w:topLinePunct w:val="0"/>
        <w:autoSpaceDE/>
        <w:autoSpaceDN/>
        <w:bidi w:val="0"/>
        <w:adjustRightInd/>
        <w:snapToGrid/>
        <w:ind w:leftChars="0" w:firstLine="420" w:firstLineChars="200"/>
        <w:textAlignment w:val="auto"/>
        <w:rPr>
          <w:rFonts w:hint="eastAsia" w:ascii="宋体" w:hAnsi="Times New Roman" w:eastAsia="宋体" w:cs="Times New Roman"/>
        </w:rPr>
      </w:pPr>
      <w:r>
        <w:rPr>
          <w:rFonts w:hint="eastAsia" w:ascii="宋体" w:hAnsi="Times New Roman" w:eastAsia="宋体" w:cs="Times New Roman"/>
        </w:rPr>
        <w:t>企业商业秘密保护与管理工作包括定密、动态管理、存证、保密管理、维权与应诉、协同保护等环节。商业秘密保护与管理工作模式示意图见图1。</w:t>
      </w:r>
    </w:p>
    <w:p>
      <w:pPr>
        <w:pStyle w:val="105"/>
        <w:numPr>
          <w:ilvl w:val="255"/>
          <w:numId w:val="0"/>
        </w:numPr>
        <w:jc w:val="center"/>
      </w:pPr>
      <w:r>
        <w:drawing>
          <wp:inline distT="0" distB="0" distL="114300" distR="114300">
            <wp:extent cx="3881755" cy="2239645"/>
            <wp:effectExtent l="0" t="0" r="0" b="0"/>
            <wp:docPr id="29" name="ECB019B1-382A-4266-B25C-5B523AA43C14-1" descr="C:/Users/szxzx05/AppData/Local/Temp/wps.bSZTvp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ECB019B1-382A-4266-B25C-5B523AA43C14-1" descr="C:/Users/szxzx05/AppData/Local/Temp/wps.bSZTvpwps"/>
                    <pic:cNvPicPr>
                      <a:picLocks noChangeAspect="1"/>
                    </pic:cNvPicPr>
                  </pic:nvPicPr>
                  <pic:blipFill>
                    <a:blip r:embed="rId22"/>
                    <a:stretch>
                      <a:fillRect/>
                    </a:stretch>
                  </pic:blipFill>
                  <pic:spPr>
                    <a:xfrm>
                      <a:off x="0" y="0"/>
                      <a:ext cx="3881755" cy="2239645"/>
                    </a:xfrm>
                    <a:prstGeom prst="rect">
                      <a:avLst/>
                    </a:prstGeom>
                  </pic:spPr>
                </pic:pic>
              </a:graphicData>
            </a:graphic>
          </wp:inline>
        </w:drawing>
      </w:r>
    </w:p>
    <w:p>
      <w:pPr>
        <w:pStyle w:val="101"/>
      </w:pPr>
      <w:r>
        <w:rPr>
          <w:rFonts w:hint="eastAsia"/>
        </w:rPr>
        <w:t>商业秘密保护与管理工作模式示意图</w:t>
      </w:r>
      <w:bookmarkStart w:id="138" w:name="_Toc143001033"/>
      <w:bookmarkStart w:id="139" w:name="_Toc143074490"/>
      <w:bookmarkStart w:id="140" w:name="_Toc143001076"/>
    </w:p>
    <w:p>
      <w:pPr>
        <w:pStyle w:val="88"/>
        <w:spacing w:before="312" w:after="312"/>
        <w:jc w:val="left"/>
      </w:pPr>
      <w:bookmarkStart w:id="141" w:name="_Toc14824"/>
      <w:bookmarkStart w:id="142" w:name="_Toc19705"/>
      <w:bookmarkStart w:id="143" w:name="_Toc164762065"/>
      <w:bookmarkStart w:id="144" w:name="_Toc15593"/>
      <w:bookmarkStart w:id="145" w:name="_Toc3951"/>
      <w:bookmarkStart w:id="146" w:name="_Toc157414216"/>
      <w:bookmarkStart w:id="147" w:name="_Toc164761885"/>
      <w:bookmarkStart w:id="148" w:name="_Toc157418231"/>
      <w:bookmarkStart w:id="149" w:name="_Toc157414258"/>
      <w:bookmarkStart w:id="150" w:name="_Toc164760869"/>
      <w:bookmarkStart w:id="151" w:name="_Toc161057425"/>
      <w:bookmarkStart w:id="152" w:name="_Toc148011710"/>
      <w:bookmarkStart w:id="153" w:name="_Toc1849"/>
      <w:bookmarkStart w:id="154" w:name="_Toc146287345"/>
      <w:bookmarkStart w:id="155" w:name="_Toc161059100"/>
      <w:bookmarkStart w:id="156" w:name="_Toc157415824"/>
      <w:bookmarkStart w:id="157" w:name="_Toc7021"/>
      <w:bookmarkStart w:id="158" w:name="_Toc165302339"/>
      <w:bookmarkStart w:id="159" w:name="_Toc164761519"/>
      <w:r>
        <w:rPr>
          <w:rFonts w:hint="eastAsia"/>
        </w:rPr>
        <w:t>定密</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87"/>
        <w:spacing w:before="156" w:after="156"/>
        <w:jc w:val="left"/>
      </w:pPr>
      <w:bookmarkStart w:id="160" w:name="_Toc165302340"/>
      <w:bookmarkStart w:id="161" w:name="_Toc164761886"/>
      <w:bookmarkStart w:id="162" w:name="_Toc8321"/>
      <w:bookmarkStart w:id="163" w:name="_Toc19016"/>
      <w:bookmarkStart w:id="164" w:name="_Toc161057426"/>
      <w:bookmarkStart w:id="165" w:name="_Toc1742"/>
      <w:bookmarkStart w:id="166" w:name="_Toc164761520"/>
      <w:bookmarkStart w:id="167" w:name="_Toc157418232"/>
      <w:bookmarkStart w:id="168" w:name="_Toc157414217"/>
      <w:bookmarkStart w:id="169" w:name="_Toc1518"/>
      <w:bookmarkStart w:id="170" w:name="_Toc3920"/>
      <w:bookmarkStart w:id="171" w:name="_Toc157415825"/>
      <w:bookmarkStart w:id="172" w:name="_Toc143074491"/>
      <w:bookmarkStart w:id="173" w:name="_Toc164762066"/>
      <w:bookmarkStart w:id="174" w:name="_Toc157414259"/>
      <w:bookmarkStart w:id="175" w:name="_Toc143001077"/>
      <w:bookmarkStart w:id="176" w:name="_Toc146287346"/>
      <w:bookmarkStart w:id="177" w:name="_Toc164760870"/>
      <w:bookmarkStart w:id="178" w:name="_Toc29587"/>
      <w:bookmarkStart w:id="179" w:name="_Toc143001034"/>
      <w:bookmarkStart w:id="180" w:name="_Toc161059101"/>
      <w:bookmarkStart w:id="181" w:name="_Toc148011711"/>
      <w:r>
        <w:rPr>
          <w:rFonts w:hint="eastAsia"/>
        </w:rPr>
        <w:t>定密</w:t>
      </w:r>
      <w:r>
        <w:t>流程</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91"/>
        <w:keepNext w:val="0"/>
        <w:keepLines w:val="0"/>
        <w:pageBreakBefore w:val="0"/>
        <w:widowControl w:val="0"/>
        <w:numPr>
          <w:ilvl w:val="3"/>
          <w:numId w:val="0"/>
        </w:numPr>
        <w:kinsoku/>
        <w:wordWrap/>
        <w:overflowPunct/>
        <w:topLinePunct w:val="0"/>
        <w:autoSpaceDE/>
        <w:autoSpaceDN/>
        <w:bidi w:val="0"/>
        <w:adjustRightInd/>
        <w:snapToGrid/>
        <w:ind w:leftChars="0" w:firstLine="420" w:firstLineChars="200"/>
        <w:textAlignment w:val="auto"/>
        <w:rPr>
          <w:rFonts w:hint="eastAsia" w:ascii="宋体" w:hAnsi="Times New Roman" w:eastAsia="宋体" w:cs="Times New Roman"/>
        </w:rPr>
      </w:pPr>
      <w:r>
        <w:rPr>
          <w:rFonts w:hint="eastAsia" w:ascii="宋体" w:hAnsi="Times New Roman" w:eastAsia="宋体" w:cs="Times New Roman"/>
        </w:rPr>
        <w:t>企业在日常研发、生产、经营等商业活动中，应定期组织识别并收集商业信息、确定商业秘密内容、等级、保密期限和接触范围，将形成的商业秘密清单登记确认后在涉密人员范围内公示告知。定密流程如图2所示。</w:t>
      </w:r>
    </w:p>
    <w:p>
      <w:pPr>
        <w:pStyle w:val="89"/>
      </w:pPr>
      <w:r>
        <w:drawing>
          <wp:inline distT="0" distB="0" distL="114300" distR="114300">
            <wp:extent cx="2896235" cy="2775585"/>
            <wp:effectExtent l="0" t="0" r="18415" b="5715"/>
            <wp:docPr id="30" name="ECB019B1-382A-4266-B25C-5B523AA43C14-2" descr="C:/Users/szxzx05/AppData/Local/Temp/wps.mmBPsa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ECB019B1-382A-4266-B25C-5B523AA43C14-2" descr="C:/Users/szxzx05/AppData/Local/Temp/wps.mmBPsawps"/>
                    <pic:cNvPicPr>
                      <a:picLocks noChangeAspect="1"/>
                    </pic:cNvPicPr>
                  </pic:nvPicPr>
                  <pic:blipFill>
                    <a:blip r:embed="rId23"/>
                    <a:stretch>
                      <a:fillRect/>
                    </a:stretch>
                  </pic:blipFill>
                  <pic:spPr>
                    <a:xfrm>
                      <a:off x="0" y="0"/>
                      <a:ext cx="2896235" cy="2775585"/>
                    </a:xfrm>
                    <a:prstGeom prst="rect">
                      <a:avLst/>
                    </a:prstGeom>
                  </pic:spPr>
                </pic:pic>
              </a:graphicData>
            </a:graphic>
          </wp:inline>
        </w:drawing>
      </w:r>
    </w:p>
    <w:p>
      <w:pPr>
        <w:pStyle w:val="101"/>
      </w:pPr>
      <w:r>
        <w:rPr>
          <w:rFonts w:hint="eastAsia"/>
        </w:rPr>
        <w:t>定密</w:t>
      </w:r>
      <w:r>
        <w:t>流程</w:t>
      </w:r>
      <w:r>
        <w:rPr>
          <w:rFonts w:hint="eastAsia"/>
        </w:rPr>
        <w:t>示意图</w:t>
      </w:r>
    </w:p>
    <w:p>
      <w:pPr>
        <w:pStyle w:val="87"/>
        <w:spacing w:before="156" w:after="156"/>
        <w:jc w:val="left"/>
      </w:pPr>
      <w:bookmarkStart w:id="182" w:name="_Toc164761521"/>
      <w:bookmarkStart w:id="183" w:name="_Toc143001078"/>
      <w:bookmarkStart w:id="184" w:name="_Toc12255"/>
      <w:bookmarkStart w:id="185" w:name="_Toc15747"/>
      <w:bookmarkStart w:id="186" w:name="_Toc20237"/>
      <w:bookmarkStart w:id="187" w:name="_Toc146287347"/>
      <w:bookmarkStart w:id="188" w:name="_Toc157418233"/>
      <w:bookmarkStart w:id="189" w:name="_Toc157415826"/>
      <w:bookmarkStart w:id="190" w:name="_Toc161057427"/>
      <w:bookmarkStart w:id="191" w:name="_Toc164761887"/>
      <w:bookmarkStart w:id="192" w:name="_Toc143074492"/>
      <w:bookmarkStart w:id="193" w:name="_Toc165302341"/>
      <w:bookmarkStart w:id="194" w:name="_Toc148011712"/>
      <w:bookmarkStart w:id="195" w:name="_Toc143001035"/>
      <w:bookmarkStart w:id="196" w:name="_Toc9268"/>
      <w:bookmarkStart w:id="197" w:name="_Toc16081"/>
      <w:bookmarkStart w:id="198" w:name="_Toc27656"/>
      <w:bookmarkStart w:id="199" w:name="_Toc164762067"/>
      <w:bookmarkStart w:id="200" w:name="_Toc157414218"/>
      <w:bookmarkStart w:id="201" w:name="_Toc157414260"/>
      <w:bookmarkStart w:id="202" w:name="_Toc161059102"/>
      <w:bookmarkStart w:id="203" w:name="_Toc164760871"/>
      <w:r>
        <w:rPr>
          <w:rFonts w:hint="eastAsia"/>
        </w:rPr>
        <w:t>识别商业信息</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91"/>
        <w:jc w:val="left"/>
      </w:pPr>
      <w:r>
        <w:rPr>
          <w:rFonts w:hint="eastAsia"/>
        </w:rPr>
        <w:t>企业应定期/不定期识别研发、生产、经营过程中产生的技术信息和经营信息等商业信息。不定期识别周期参考如下方式确定：技术信息识别周期根据不同研发项目的完结节点确定，其他即时性信息（如市场信息、客户信息等）识别周期以周/月为单位确定。</w:t>
      </w:r>
    </w:p>
    <w:p>
      <w:pPr>
        <w:pStyle w:val="91"/>
        <w:jc w:val="left"/>
      </w:pPr>
      <w:r>
        <w:rPr>
          <w:rFonts w:hint="eastAsia"/>
        </w:rPr>
        <w:t>下列商业信息不应作为企业的商业秘密保护：</w:t>
      </w:r>
    </w:p>
    <w:p>
      <w:pPr>
        <w:pStyle w:val="105"/>
        <w:numPr>
          <w:ilvl w:val="0"/>
          <w:numId w:val="35"/>
        </w:numPr>
        <w:jc w:val="left"/>
      </w:pPr>
      <w:r>
        <w:rPr>
          <w:rFonts w:hint="eastAsia"/>
        </w:rPr>
        <w:t>在所属领域属于一般常识或者行业惯例的；</w:t>
      </w:r>
    </w:p>
    <w:p>
      <w:pPr>
        <w:pStyle w:val="105"/>
        <w:numPr>
          <w:ilvl w:val="0"/>
          <w:numId w:val="36"/>
        </w:numPr>
        <w:jc w:val="left"/>
      </w:pPr>
      <w:r>
        <w:rPr>
          <w:rFonts w:hint="eastAsia"/>
        </w:rPr>
        <w:t>仅涉及产品的尺寸、结构、材料、部件的简单组合等内容，所属领域的相关人员通过观察上市产品即可直接获得的；</w:t>
      </w:r>
    </w:p>
    <w:p>
      <w:pPr>
        <w:pStyle w:val="105"/>
        <w:numPr>
          <w:ilvl w:val="0"/>
          <w:numId w:val="36"/>
        </w:numPr>
        <w:jc w:val="left"/>
      </w:pPr>
      <w:r>
        <w:rPr>
          <w:rFonts w:hint="eastAsia"/>
        </w:rPr>
        <w:t>已经在公开出版物或者其他媒体上公开披露的；</w:t>
      </w:r>
    </w:p>
    <w:p>
      <w:pPr>
        <w:pStyle w:val="105"/>
        <w:numPr>
          <w:ilvl w:val="0"/>
          <w:numId w:val="36"/>
        </w:numPr>
        <w:jc w:val="left"/>
      </w:pPr>
      <w:r>
        <w:rPr>
          <w:rFonts w:hint="eastAsia"/>
        </w:rPr>
        <w:t>已通过公开的报告会、展览等方式公开的；</w:t>
      </w:r>
    </w:p>
    <w:p>
      <w:pPr>
        <w:pStyle w:val="105"/>
        <w:numPr>
          <w:ilvl w:val="0"/>
          <w:numId w:val="36"/>
        </w:numPr>
        <w:jc w:val="left"/>
      </w:pPr>
      <w:r>
        <w:rPr>
          <w:rFonts w:hint="eastAsia"/>
        </w:rPr>
        <w:t>所属领域的相关人员从其他公开渠道可以获得该信息的。</w:t>
      </w:r>
    </w:p>
    <w:p>
      <w:pPr>
        <w:pStyle w:val="87"/>
        <w:spacing w:before="156" w:after="156"/>
        <w:jc w:val="left"/>
      </w:pPr>
      <w:bookmarkStart w:id="204" w:name="_Toc25128"/>
      <w:bookmarkStart w:id="205" w:name="_Toc157415827"/>
      <w:bookmarkStart w:id="206" w:name="_Toc143001036"/>
      <w:bookmarkStart w:id="207" w:name="_Toc161057428"/>
      <w:bookmarkStart w:id="208" w:name="_Toc165302342"/>
      <w:bookmarkStart w:id="209" w:name="_Toc164761888"/>
      <w:bookmarkStart w:id="210" w:name="_Toc164762068"/>
      <w:bookmarkStart w:id="211" w:name="_Toc157414219"/>
      <w:bookmarkStart w:id="212" w:name="_Toc157414261"/>
      <w:bookmarkStart w:id="213" w:name="_Toc12299"/>
      <w:bookmarkStart w:id="214" w:name="_Toc164761522"/>
      <w:bookmarkStart w:id="215" w:name="_Toc17044"/>
      <w:bookmarkStart w:id="216" w:name="_Toc20715"/>
      <w:bookmarkStart w:id="217" w:name="_Toc148011713"/>
      <w:bookmarkStart w:id="218" w:name="_Toc157418234"/>
      <w:bookmarkStart w:id="219" w:name="_Toc146287348"/>
      <w:bookmarkStart w:id="220" w:name="_Toc143074493"/>
      <w:bookmarkStart w:id="221" w:name="_Toc31060"/>
      <w:bookmarkStart w:id="222" w:name="_Toc164760872"/>
      <w:bookmarkStart w:id="223" w:name="_Toc143001079"/>
      <w:bookmarkStart w:id="224" w:name="_Toc161059103"/>
      <w:bookmarkStart w:id="225" w:name="_Toc2010"/>
      <w:r>
        <w:rPr>
          <w:rFonts w:hint="eastAsia"/>
        </w:rPr>
        <w:t>收集商业</w:t>
      </w:r>
      <w:r>
        <w:t>信息</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92"/>
        <w:spacing w:before="156" w:after="156"/>
        <w:jc w:val="left"/>
      </w:pPr>
      <w:bookmarkStart w:id="226" w:name="_Toc25187"/>
      <w:r>
        <w:rPr>
          <w:rFonts w:hint="eastAsia"/>
        </w:rPr>
        <w:t>确定</w:t>
      </w:r>
      <w:r>
        <w:t>范围</w:t>
      </w:r>
      <w:bookmarkEnd w:id="226"/>
    </w:p>
    <w:p>
      <w:pPr>
        <w:pStyle w:val="103"/>
        <w:numPr>
          <w:ilvl w:val="4"/>
          <w:numId w:val="8"/>
        </w:numPr>
        <w:jc w:val="left"/>
      </w:pPr>
      <w:r>
        <w:rPr>
          <w:rFonts w:hint="eastAsia"/>
        </w:rPr>
        <w:t>由保密办确定商业信息的收集范围，包括：</w:t>
      </w:r>
    </w:p>
    <w:p>
      <w:pPr>
        <w:pStyle w:val="105"/>
        <w:numPr>
          <w:ilvl w:val="0"/>
          <w:numId w:val="37"/>
        </w:numPr>
        <w:jc w:val="left"/>
      </w:pPr>
      <w:r>
        <w:rPr>
          <w:rFonts w:hint="eastAsia"/>
        </w:rPr>
        <w:t>仅梳理技术信息；</w:t>
      </w:r>
    </w:p>
    <w:p>
      <w:pPr>
        <w:pStyle w:val="105"/>
        <w:numPr>
          <w:ilvl w:val="0"/>
          <w:numId w:val="36"/>
        </w:numPr>
        <w:jc w:val="left"/>
      </w:pPr>
      <w:r>
        <w:rPr>
          <w:rFonts w:hint="eastAsia"/>
        </w:rPr>
        <w:t>仅梳理经营信息；</w:t>
      </w:r>
    </w:p>
    <w:p>
      <w:pPr>
        <w:pStyle w:val="105"/>
        <w:numPr>
          <w:ilvl w:val="0"/>
          <w:numId w:val="36"/>
        </w:numPr>
        <w:jc w:val="left"/>
      </w:pPr>
      <w:r>
        <w:rPr>
          <w:rFonts w:hint="eastAsia"/>
        </w:rPr>
        <w:t>同时梳理技术信息和经营信息。</w:t>
      </w:r>
    </w:p>
    <w:p>
      <w:pPr>
        <w:pStyle w:val="103"/>
        <w:numPr>
          <w:ilvl w:val="4"/>
          <w:numId w:val="8"/>
        </w:numPr>
        <w:jc w:val="left"/>
      </w:pPr>
      <w:r>
        <w:rPr>
          <w:rFonts w:hint="eastAsia"/>
        </w:rPr>
        <w:t>根据收集范围确定需要开展收集工作的部门，并指定保密员。</w:t>
      </w:r>
    </w:p>
    <w:p>
      <w:pPr>
        <w:pStyle w:val="92"/>
        <w:spacing w:before="156" w:after="156"/>
        <w:jc w:val="left"/>
        <w:rPr>
          <w:b/>
        </w:rPr>
      </w:pPr>
      <w:bookmarkStart w:id="227" w:name="_Toc30366"/>
      <w:r>
        <w:rPr>
          <w:rFonts w:hint="eastAsia"/>
        </w:rPr>
        <w:t>员工宣贯</w:t>
      </w:r>
      <w:bookmarkEnd w:id="227"/>
    </w:p>
    <w:p>
      <w:pPr>
        <w:pStyle w:val="91"/>
        <w:keepNext w:val="0"/>
        <w:keepLines w:val="0"/>
        <w:pageBreakBefore w:val="0"/>
        <w:widowControl w:val="0"/>
        <w:numPr>
          <w:ilvl w:val="3"/>
          <w:numId w:val="0"/>
        </w:numPr>
        <w:kinsoku/>
        <w:wordWrap/>
        <w:overflowPunct/>
        <w:topLinePunct w:val="0"/>
        <w:autoSpaceDE/>
        <w:autoSpaceDN/>
        <w:bidi w:val="0"/>
        <w:adjustRightInd/>
        <w:snapToGrid/>
        <w:ind w:leftChars="0" w:firstLine="420" w:firstLineChars="200"/>
        <w:textAlignment w:val="auto"/>
        <w:rPr>
          <w:rFonts w:hint="eastAsia" w:ascii="宋体" w:hAnsi="Times New Roman" w:eastAsia="宋体" w:cs="Times New Roman"/>
        </w:rPr>
      </w:pPr>
      <w:r>
        <w:rPr>
          <w:rFonts w:hint="eastAsia" w:ascii="宋体" w:hAnsi="Times New Roman" w:eastAsia="宋体" w:cs="Times New Roman"/>
        </w:rPr>
        <w:t>保密办应组织保密员培训，确保保密员了解本次工作的收集范围，并知悉如何识别、梳理商业信息。</w:t>
      </w:r>
    </w:p>
    <w:p>
      <w:pPr>
        <w:pStyle w:val="92"/>
        <w:spacing w:before="156" w:after="156"/>
        <w:jc w:val="left"/>
        <w:rPr>
          <w:b/>
        </w:rPr>
      </w:pPr>
      <w:bookmarkStart w:id="228" w:name="_Toc16406"/>
      <w:r>
        <w:rPr>
          <w:rFonts w:hint="eastAsia"/>
        </w:rPr>
        <w:t>梳理商业信息</w:t>
      </w:r>
      <w:bookmarkEnd w:id="228"/>
    </w:p>
    <w:p>
      <w:pPr>
        <w:pStyle w:val="91"/>
        <w:keepNext w:val="0"/>
        <w:keepLines w:val="0"/>
        <w:pageBreakBefore w:val="0"/>
        <w:widowControl w:val="0"/>
        <w:numPr>
          <w:ilvl w:val="3"/>
          <w:numId w:val="0"/>
        </w:numPr>
        <w:kinsoku/>
        <w:wordWrap/>
        <w:overflowPunct/>
        <w:topLinePunct w:val="0"/>
        <w:autoSpaceDE/>
        <w:autoSpaceDN/>
        <w:bidi w:val="0"/>
        <w:adjustRightInd/>
        <w:snapToGrid/>
        <w:ind w:leftChars="0" w:firstLine="420" w:firstLineChars="200"/>
        <w:textAlignment w:val="auto"/>
        <w:rPr>
          <w:rFonts w:hint="eastAsia" w:ascii="宋体" w:hAnsi="Times New Roman" w:eastAsia="宋体" w:cs="Times New Roman"/>
        </w:rPr>
      </w:pPr>
      <w:r>
        <w:rPr>
          <w:rFonts w:hint="eastAsia" w:ascii="宋体" w:hAnsi="Times New Roman" w:eastAsia="宋体" w:cs="Times New Roman"/>
        </w:rPr>
        <w:t>保密员应梳理所属部门的具体工作环节、工作步骤以及阶段性交付物中的商业信息。交付物中的商业信息宜按照立项、研发、验证/测试、生产、销售等工作环节梳理技术信息和经营信息，详细商业信息梳理范围参考附录A。</w:t>
      </w:r>
    </w:p>
    <w:p>
      <w:pPr>
        <w:pStyle w:val="87"/>
        <w:spacing w:before="156" w:after="156"/>
        <w:jc w:val="left"/>
      </w:pPr>
      <w:bookmarkStart w:id="229" w:name="_Toc14487"/>
      <w:bookmarkStart w:id="230" w:name="_Toc157418235"/>
      <w:bookmarkStart w:id="231" w:name="_Toc164760873"/>
      <w:bookmarkStart w:id="232" w:name="_Toc157414262"/>
      <w:bookmarkStart w:id="233" w:name="_Toc164761523"/>
      <w:bookmarkStart w:id="234" w:name="_Toc14461"/>
      <w:bookmarkStart w:id="235" w:name="_Toc15243"/>
      <w:bookmarkStart w:id="236" w:name="_Toc143074494"/>
      <w:bookmarkStart w:id="237" w:name="_Toc143001080"/>
      <w:bookmarkStart w:id="238" w:name="_Toc146287349"/>
      <w:bookmarkStart w:id="239" w:name="_Toc16991"/>
      <w:bookmarkStart w:id="240" w:name="_Toc164761889"/>
      <w:bookmarkStart w:id="241" w:name="_Toc143001037"/>
      <w:bookmarkStart w:id="242" w:name="_Toc161059104"/>
      <w:bookmarkStart w:id="243" w:name="_Toc165302343"/>
      <w:bookmarkStart w:id="244" w:name="_Toc229"/>
      <w:bookmarkStart w:id="245" w:name="_Toc164762069"/>
      <w:bookmarkStart w:id="246" w:name="_Toc161057429"/>
      <w:bookmarkStart w:id="247" w:name="_Toc148011714"/>
      <w:bookmarkStart w:id="248" w:name="_Toc22795"/>
      <w:bookmarkStart w:id="249" w:name="_Toc157415828"/>
      <w:bookmarkStart w:id="250" w:name="_Toc157414220"/>
      <w:r>
        <w:rPr>
          <w:rFonts w:hint="eastAsia"/>
        </w:rPr>
        <w:t>确定商业秘密</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91"/>
        <w:jc w:val="left"/>
      </w:pPr>
      <w:r>
        <w:rPr>
          <w:rFonts w:hint="eastAsia"/>
        </w:rPr>
        <w:t>保密员宜将不为所属领域的相关人员普遍知悉和容易获得的技术信息或经营信息，确定为商业秘密。</w:t>
      </w:r>
    </w:p>
    <w:p>
      <w:pPr>
        <w:pStyle w:val="91"/>
        <w:jc w:val="left"/>
      </w:pPr>
      <w:r>
        <w:rPr>
          <w:rFonts w:hint="eastAsia"/>
        </w:rPr>
        <w:t>具有下列特性的技术信息，保密员宜确定为商业秘密：</w:t>
      </w:r>
    </w:p>
    <w:p>
      <w:pPr>
        <w:pStyle w:val="105"/>
        <w:numPr>
          <w:ilvl w:val="0"/>
          <w:numId w:val="38"/>
        </w:numPr>
        <w:jc w:val="left"/>
      </w:pPr>
      <w:r>
        <w:rPr>
          <w:rFonts w:hint="eastAsia"/>
        </w:rPr>
        <w:t>技术特性：技术生命周期较长，</w:t>
      </w:r>
      <w:r>
        <w:t>反向工程</w:t>
      </w:r>
      <w:r>
        <w:rPr>
          <w:rFonts w:hint="eastAsia"/>
        </w:rPr>
        <w:t>难度较大；</w:t>
      </w:r>
    </w:p>
    <w:p>
      <w:pPr>
        <w:pStyle w:val="105"/>
        <w:numPr>
          <w:ilvl w:val="0"/>
          <w:numId w:val="38"/>
        </w:numPr>
        <w:jc w:val="left"/>
      </w:pPr>
      <w:r>
        <w:rPr>
          <w:rFonts w:hint="eastAsia"/>
        </w:rPr>
        <w:t>成本：反向工程的时间和金钱成本较大。</w:t>
      </w:r>
    </w:p>
    <w:p>
      <w:pPr>
        <w:pStyle w:val="87"/>
        <w:spacing w:before="156" w:after="156"/>
        <w:jc w:val="left"/>
      </w:pPr>
      <w:bookmarkStart w:id="251" w:name="_Toc17284"/>
      <w:bookmarkStart w:id="252" w:name="_Toc164762070"/>
      <w:bookmarkStart w:id="253" w:name="_Toc165302344"/>
      <w:bookmarkStart w:id="254" w:name="_Toc16947"/>
      <w:bookmarkStart w:id="255" w:name="_Toc143001038"/>
      <w:bookmarkStart w:id="256" w:name="_Toc143001081"/>
      <w:bookmarkStart w:id="257" w:name="_Toc161059105"/>
      <w:bookmarkStart w:id="258" w:name="_Toc148011715"/>
      <w:bookmarkStart w:id="259" w:name="_Toc164761524"/>
      <w:bookmarkStart w:id="260" w:name="_Toc157414221"/>
      <w:bookmarkStart w:id="261" w:name="_Toc14069"/>
      <w:bookmarkStart w:id="262" w:name="_Toc4505"/>
      <w:bookmarkStart w:id="263" w:name="_Toc146287350"/>
      <w:bookmarkStart w:id="264" w:name="_Toc164760874"/>
      <w:bookmarkStart w:id="265" w:name="_Toc8387"/>
      <w:bookmarkStart w:id="266" w:name="_Toc3044"/>
      <w:bookmarkStart w:id="267" w:name="_Toc157415829"/>
      <w:bookmarkStart w:id="268" w:name="_Toc161057430"/>
      <w:bookmarkStart w:id="269" w:name="_Toc157414263"/>
      <w:bookmarkStart w:id="270" w:name="_Toc157418236"/>
      <w:bookmarkStart w:id="271" w:name="_Toc143074495"/>
      <w:bookmarkStart w:id="272" w:name="_Toc164761890"/>
      <w:r>
        <w:rPr>
          <w:rFonts w:hint="eastAsia"/>
        </w:rPr>
        <w:t>商业秘密分级</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92"/>
        <w:spacing w:before="156" w:after="156"/>
        <w:jc w:val="left"/>
        <w:rPr>
          <w:b/>
        </w:rPr>
      </w:pPr>
      <w:bookmarkStart w:id="273" w:name="_Toc14569"/>
      <w:r>
        <w:rPr>
          <w:rFonts w:hint="eastAsia"/>
        </w:rPr>
        <w:t>划分密级</w:t>
      </w:r>
      <w:bookmarkEnd w:id="273"/>
    </w:p>
    <w:p>
      <w:pPr>
        <w:pStyle w:val="103"/>
        <w:numPr>
          <w:ilvl w:val="4"/>
          <w:numId w:val="8"/>
        </w:numPr>
        <w:jc w:val="left"/>
      </w:pPr>
      <w:r>
        <w:rPr>
          <w:rFonts w:hint="eastAsia"/>
        </w:rPr>
        <w:t>保密员应按照商业秘密的重要性和</w:t>
      </w:r>
      <w:r>
        <w:t>以下内容</w:t>
      </w:r>
      <w:r>
        <w:rPr>
          <w:rFonts w:hint="eastAsia"/>
        </w:rPr>
        <w:t>拟定商业秘密等级，密级分为绝密级、机密级和秘密级三个密级：</w:t>
      </w:r>
    </w:p>
    <w:p>
      <w:pPr>
        <w:pStyle w:val="105"/>
        <w:ind w:left="850" w:hanging="425"/>
        <w:jc w:val="left"/>
      </w:pPr>
      <w:r>
        <w:rPr>
          <w:rFonts w:hint="eastAsia"/>
        </w:rPr>
        <w:t>绝密级：与企业主营业务与核心利益相关度极高，泄露会对企业经营或竞争优势产生致命影响；</w:t>
      </w:r>
    </w:p>
    <w:p>
      <w:pPr>
        <w:pStyle w:val="105"/>
        <w:ind w:left="850" w:hanging="425"/>
        <w:jc w:val="left"/>
      </w:pPr>
      <w:r>
        <w:rPr>
          <w:rFonts w:hint="eastAsia"/>
        </w:rPr>
        <w:t>机密级：与企业主营业务与核心利益相关度较高，泄露会对企业经营或竞争优势产生严重影响；</w:t>
      </w:r>
    </w:p>
    <w:p>
      <w:pPr>
        <w:pStyle w:val="105"/>
        <w:ind w:left="850" w:hanging="425"/>
        <w:jc w:val="left"/>
      </w:pPr>
      <w:r>
        <w:rPr>
          <w:rFonts w:hint="eastAsia"/>
        </w:rPr>
        <w:t>秘密级：与企业主营业务与核心利益相关度较低，泄露会对企业经营或竞争优势产生一般影响。</w:t>
      </w:r>
    </w:p>
    <w:p>
      <w:pPr>
        <w:pStyle w:val="103"/>
        <w:numPr>
          <w:ilvl w:val="4"/>
          <w:numId w:val="8"/>
        </w:numPr>
        <w:jc w:val="left"/>
      </w:pPr>
      <w:r>
        <w:rPr>
          <w:rFonts w:hint="eastAsia"/>
        </w:rPr>
        <w:t>企业的绝密级秘密点参考《核心秘密点识别表》（见附录B）辅助识别。</w:t>
      </w:r>
    </w:p>
    <w:p>
      <w:pPr>
        <w:pStyle w:val="92"/>
        <w:spacing w:before="156" w:after="156"/>
        <w:jc w:val="left"/>
        <w:rPr>
          <w:b/>
        </w:rPr>
      </w:pPr>
      <w:bookmarkStart w:id="274" w:name="_Toc25870"/>
      <w:r>
        <w:rPr>
          <w:rFonts w:hint="eastAsia"/>
        </w:rPr>
        <w:t>标识密级</w:t>
      </w:r>
      <w:bookmarkEnd w:id="274"/>
    </w:p>
    <w:p>
      <w:pPr>
        <w:pStyle w:val="91"/>
        <w:keepNext w:val="0"/>
        <w:keepLines w:val="0"/>
        <w:pageBreakBefore w:val="0"/>
        <w:widowControl w:val="0"/>
        <w:numPr>
          <w:ilvl w:val="3"/>
          <w:numId w:val="0"/>
        </w:numPr>
        <w:kinsoku/>
        <w:wordWrap/>
        <w:overflowPunct/>
        <w:topLinePunct w:val="0"/>
        <w:autoSpaceDE/>
        <w:autoSpaceDN/>
        <w:bidi w:val="0"/>
        <w:adjustRightInd/>
        <w:snapToGrid/>
        <w:ind w:leftChars="0" w:firstLine="420" w:firstLineChars="200"/>
        <w:textAlignment w:val="auto"/>
        <w:rPr>
          <w:rFonts w:hint="eastAsia" w:ascii="宋体" w:hAnsi="Times New Roman" w:eastAsia="宋体" w:cs="Times New Roman"/>
        </w:rPr>
      </w:pPr>
      <w:r>
        <w:rPr>
          <w:rFonts w:hint="eastAsia" w:ascii="宋体" w:hAnsi="Times New Roman" w:eastAsia="宋体" w:cs="Times New Roman"/>
        </w:rPr>
        <w:t>保密员应根据商业秘密分级结果在相应载体上标识密级。</w:t>
      </w:r>
    </w:p>
    <w:p>
      <w:pPr>
        <w:pStyle w:val="87"/>
        <w:spacing w:before="156" w:after="156"/>
        <w:jc w:val="left"/>
      </w:pPr>
      <w:bookmarkStart w:id="275" w:name="_Toc157418237"/>
      <w:bookmarkStart w:id="276" w:name="_Toc161057431"/>
      <w:bookmarkStart w:id="277" w:name="_Toc143074496"/>
      <w:bookmarkStart w:id="278" w:name="_Toc164761891"/>
      <w:bookmarkStart w:id="279" w:name="_Toc161059106"/>
      <w:bookmarkStart w:id="280" w:name="_Toc165302345"/>
      <w:bookmarkStart w:id="281" w:name="_Toc157414264"/>
      <w:bookmarkStart w:id="282" w:name="_Toc28415"/>
      <w:bookmarkStart w:id="283" w:name="_Toc157414222"/>
      <w:bookmarkStart w:id="284" w:name="_Toc157415830"/>
      <w:bookmarkStart w:id="285" w:name="_Toc16997"/>
      <w:bookmarkStart w:id="286" w:name="_Toc148011716"/>
      <w:bookmarkStart w:id="287" w:name="_Toc146287351"/>
      <w:bookmarkStart w:id="288" w:name="_Toc18160"/>
      <w:bookmarkStart w:id="289" w:name="_Toc5933"/>
      <w:bookmarkStart w:id="290" w:name="_Toc164761525"/>
      <w:bookmarkStart w:id="291" w:name="_Toc143001039"/>
      <w:bookmarkStart w:id="292" w:name="_Toc29879"/>
      <w:bookmarkStart w:id="293" w:name="_Toc164762071"/>
      <w:bookmarkStart w:id="294" w:name="_Toc31422"/>
      <w:bookmarkStart w:id="295" w:name="_Toc143001082"/>
      <w:bookmarkStart w:id="296" w:name="_Toc164760875"/>
      <w:r>
        <w:rPr>
          <w:rFonts w:hint="eastAsia"/>
        </w:rPr>
        <w:t>确定保密期限、接触范围</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92"/>
        <w:spacing w:before="156" w:after="156"/>
        <w:jc w:val="left"/>
        <w:rPr>
          <w:b/>
        </w:rPr>
      </w:pPr>
      <w:bookmarkStart w:id="297" w:name="_Toc11417"/>
      <w:r>
        <w:rPr>
          <w:rFonts w:hint="eastAsia"/>
        </w:rPr>
        <w:t>确定保密期限</w:t>
      </w:r>
      <w:bookmarkEnd w:id="297"/>
    </w:p>
    <w:p>
      <w:pPr>
        <w:pStyle w:val="103"/>
        <w:numPr>
          <w:ilvl w:val="4"/>
          <w:numId w:val="8"/>
        </w:numPr>
        <w:jc w:val="left"/>
      </w:pPr>
      <w:r>
        <w:rPr>
          <w:rFonts w:hint="eastAsia"/>
        </w:rPr>
        <w:t>保密员应结合密级、市场需求、技术成熟度、企业发展规划等情况，拟定各商业秘密的保密期限。</w:t>
      </w:r>
    </w:p>
    <w:p>
      <w:pPr>
        <w:pStyle w:val="103"/>
        <w:numPr>
          <w:ilvl w:val="4"/>
          <w:numId w:val="8"/>
        </w:numPr>
        <w:jc w:val="left"/>
      </w:pPr>
      <w:r>
        <w:rPr>
          <w:rFonts w:hint="eastAsia"/>
        </w:rPr>
        <w:t>可预见具体保密期限的以年、月、日计，不可预见的应定为“长期”或者“公开前”。</w:t>
      </w:r>
    </w:p>
    <w:p>
      <w:pPr>
        <w:pStyle w:val="92"/>
        <w:spacing w:before="156" w:after="156"/>
        <w:jc w:val="left"/>
        <w:rPr>
          <w:b/>
        </w:rPr>
      </w:pPr>
      <w:bookmarkStart w:id="298" w:name="_Toc15021"/>
      <w:r>
        <w:rPr>
          <w:rFonts w:hint="eastAsia"/>
        </w:rPr>
        <w:t>确定接触范围</w:t>
      </w:r>
      <w:bookmarkEnd w:id="298"/>
    </w:p>
    <w:p>
      <w:pPr>
        <w:pStyle w:val="103"/>
        <w:numPr>
          <w:ilvl w:val="4"/>
          <w:numId w:val="8"/>
        </w:numPr>
        <w:jc w:val="left"/>
      </w:pPr>
      <w:r>
        <w:rPr>
          <w:rFonts w:hint="eastAsia"/>
        </w:rPr>
        <w:t>保密员应根据商业秘密的具体内容与密级，拟定商业秘密接触范围。</w:t>
      </w:r>
    </w:p>
    <w:p>
      <w:pPr>
        <w:pStyle w:val="103"/>
        <w:numPr>
          <w:ilvl w:val="4"/>
          <w:numId w:val="8"/>
        </w:numPr>
        <w:jc w:val="left"/>
      </w:pPr>
      <w:r>
        <w:rPr>
          <w:rFonts w:hint="eastAsia"/>
        </w:rPr>
        <w:t>商业秘密接触范围宜分为公司内部流通、关联企业流通以及公司外部流通三个范围：</w:t>
      </w:r>
    </w:p>
    <w:p>
      <w:pPr>
        <w:pStyle w:val="105"/>
        <w:numPr>
          <w:ilvl w:val="0"/>
          <w:numId w:val="39"/>
        </w:numPr>
        <w:tabs>
          <w:tab w:val="clear" w:pos="431"/>
        </w:tabs>
        <w:ind w:left="0" w:firstLine="420"/>
        <w:jc w:val="left"/>
      </w:pPr>
      <w:r>
        <w:rPr>
          <w:rFonts w:hint="eastAsia"/>
        </w:rPr>
        <w:t>公司内部流通范围，指仅限部门业务所属组织内部流通；</w:t>
      </w:r>
    </w:p>
    <w:p>
      <w:pPr>
        <w:pStyle w:val="105"/>
        <w:numPr>
          <w:ilvl w:val="0"/>
          <w:numId w:val="39"/>
        </w:numPr>
        <w:tabs>
          <w:tab w:val="clear" w:pos="431"/>
        </w:tabs>
        <w:ind w:left="0" w:firstLine="420"/>
        <w:jc w:val="left"/>
      </w:pPr>
      <w:r>
        <w:rPr>
          <w:rFonts w:hint="eastAsia"/>
        </w:rPr>
        <w:t>关联企业流通范围，指除所属组织外，能在有相同母公司的其他子公司流通；</w:t>
      </w:r>
    </w:p>
    <w:p>
      <w:pPr>
        <w:pStyle w:val="105"/>
        <w:numPr>
          <w:ilvl w:val="0"/>
          <w:numId w:val="39"/>
        </w:numPr>
        <w:tabs>
          <w:tab w:val="clear" w:pos="431"/>
        </w:tabs>
        <w:ind w:left="0" w:firstLine="420"/>
        <w:jc w:val="left"/>
      </w:pPr>
      <w:r>
        <w:rPr>
          <w:rFonts w:hint="eastAsia"/>
        </w:rPr>
        <w:t>公司外部流通范围，指非上述范围外，例如在合作企业或供应商之间流通。</w:t>
      </w:r>
    </w:p>
    <w:p>
      <w:pPr>
        <w:pStyle w:val="103"/>
        <w:numPr>
          <w:ilvl w:val="4"/>
          <w:numId w:val="8"/>
        </w:numPr>
        <w:jc w:val="left"/>
      </w:pPr>
      <w:r>
        <w:rPr>
          <w:rFonts w:hint="eastAsia"/>
        </w:rPr>
        <w:t>公司内部流通的商业秘密信息接触范围还应进一步限定到具体人员，无法限定到具体人员时，限定到具体部门、岗位，并配置包括完全控制、修改、阅读、下载等不同操作权限。</w:t>
      </w:r>
    </w:p>
    <w:p>
      <w:pPr>
        <w:pStyle w:val="103"/>
        <w:numPr>
          <w:ilvl w:val="4"/>
          <w:numId w:val="8"/>
        </w:numPr>
        <w:jc w:val="left"/>
      </w:pPr>
      <w:r>
        <w:rPr>
          <w:rFonts w:hint="eastAsia"/>
        </w:rPr>
        <w:t>保密员应将涉密人员的姓名、部门、岗位、涉密等级、权限等信息记录到《涉密人员登记表》（见附录C），并汇总形成《涉密人员清单》（见附录D）。</w:t>
      </w:r>
    </w:p>
    <w:p>
      <w:pPr>
        <w:pStyle w:val="87"/>
        <w:spacing w:before="156" w:after="156"/>
        <w:jc w:val="left"/>
      </w:pPr>
      <w:bookmarkStart w:id="299" w:name="_Toc148011717"/>
      <w:bookmarkStart w:id="300" w:name="_Toc32446"/>
      <w:bookmarkStart w:id="301" w:name="_Toc164760876"/>
      <w:bookmarkStart w:id="302" w:name="_Toc161059107"/>
      <w:bookmarkStart w:id="303" w:name="_Toc164761892"/>
      <w:bookmarkStart w:id="304" w:name="_Toc157418238"/>
      <w:bookmarkStart w:id="305" w:name="_Toc157414223"/>
      <w:bookmarkStart w:id="306" w:name="_Toc157414265"/>
      <w:bookmarkStart w:id="307" w:name="_Toc787"/>
      <w:bookmarkStart w:id="308" w:name="_Toc30804"/>
      <w:bookmarkStart w:id="309" w:name="_Toc28766"/>
      <w:bookmarkStart w:id="310" w:name="_Toc157415831"/>
      <w:bookmarkStart w:id="311" w:name="_Toc161057432"/>
      <w:bookmarkStart w:id="312" w:name="_Toc164762072"/>
      <w:bookmarkStart w:id="313" w:name="_Toc165302346"/>
      <w:bookmarkStart w:id="314" w:name="_Toc164761526"/>
      <w:bookmarkStart w:id="315" w:name="_Toc6036"/>
      <w:bookmarkStart w:id="316" w:name="_Toc24762"/>
      <w:bookmarkStart w:id="317" w:name="_Toc143001040"/>
      <w:bookmarkStart w:id="318" w:name="_Toc143001083"/>
      <w:bookmarkStart w:id="319" w:name="_Toc143074497"/>
      <w:bookmarkStart w:id="320" w:name="_Toc146287352"/>
      <w:r>
        <w:rPr>
          <w:rFonts w:hint="eastAsia"/>
        </w:rPr>
        <w:t>登记与确认</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91"/>
        <w:jc w:val="left"/>
      </w:pPr>
      <w:r>
        <w:rPr>
          <w:rFonts w:hint="eastAsia"/>
        </w:rPr>
        <w:t>企业</w:t>
      </w:r>
      <w:r>
        <w:t>应分部门</w:t>
      </w:r>
      <w:r>
        <w:rPr>
          <w:rFonts w:hint="eastAsia"/>
        </w:rPr>
        <w:t>建立</w:t>
      </w:r>
      <w:r>
        <w:t>商业秘密信息清单</w:t>
      </w:r>
      <w:r>
        <w:rPr>
          <w:rFonts w:hint="eastAsia"/>
        </w:rPr>
        <w:t>（见</w:t>
      </w:r>
      <w:r>
        <w:t>附录</w:t>
      </w:r>
      <w:r>
        <w:rPr>
          <w:rFonts w:hint="eastAsia"/>
        </w:rPr>
        <w:t>E）</w:t>
      </w:r>
      <w:r>
        <w:t>，</w:t>
      </w:r>
      <w:r>
        <w:rPr>
          <w:rFonts w:hint="eastAsia"/>
        </w:rPr>
        <w:t>保密员将拟定</w:t>
      </w:r>
      <w:r>
        <w:t>的</w:t>
      </w:r>
      <w:r>
        <w:rPr>
          <w:rFonts w:hint="eastAsia"/>
        </w:rPr>
        <w:t>商业</w:t>
      </w:r>
      <w:r>
        <w:t>秘密</w:t>
      </w:r>
      <w:r>
        <w:rPr>
          <w:rFonts w:hint="eastAsia"/>
        </w:rPr>
        <w:t>载体、密级、流通范围、接触权限等</w:t>
      </w:r>
      <w:r>
        <w:t>内容记录</w:t>
      </w:r>
      <w:r>
        <w:rPr>
          <w:rFonts w:hint="eastAsia"/>
        </w:rPr>
        <w:t>在清单</w:t>
      </w:r>
      <w:r>
        <w:t>中</w:t>
      </w:r>
      <w:r>
        <w:rPr>
          <w:rFonts w:hint="eastAsia"/>
        </w:rPr>
        <w:t>。</w:t>
      </w:r>
    </w:p>
    <w:p>
      <w:pPr>
        <w:pStyle w:val="91"/>
        <w:jc w:val="left"/>
      </w:pPr>
      <w:r>
        <w:rPr>
          <w:rFonts w:hint="eastAsia"/>
        </w:rPr>
        <w:t>保密员将完成的商业秘密信息清单提交至保密办审核，保密办确认清单中记录的密级、保密期限、接触范围等信息是否满足保密要求。必要时，应报最高管理者审核确认。</w:t>
      </w:r>
    </w:p>
    <w:p>
      <w:pPr>
        <w:pStyle w:val="91"/>
        <w:jc w:val="left"/>
      </w:pPr>
      <w:r>
        <w:rPr>
          <w:rFonts w:hint="eastAsia"/>
        </w:rPr>
        <w:t>经审核确认的各部门最终版商业秘密信息清单，应提交副本至保密办备份。</w:t>
      </w:r>
    </w:p>
    <w:p>
      <w:pPr>
        <w:pStyle w:val="87"/>
        <w:spacing w:before="156" w:after="156"/>
        <w:jc w:val="left"/>
        <w:rPr>
          <w:b/>
        </w:rPr>
      </w:pPr>
      <w:bookmarkStart w:id="321" w:name="_Toc164761527"/>
      <w:bookmarkStart w:id="322" w:name="_Toc8500"/>
      <w:bookmarkStart w:id="323" w:name="_Toc31646"/>
      <w:bookmarkStart w:id="324" w:name="_Toc161059108"/>
      <w:bookmarkStart w:id="325" w:name="_Toc164761893"/>
      <w:bookmarkStart w:id="326" w:name="_Toc157414266"/>
      <w:bookmarkStart w:id="327" w:name="_Toc24752"/>
      <w:bookmarkStart w:id="328" w:name="_Toc29502"/>
      <w:bookmarkStart w:id="329" w:name="_Toc8358"/>
      <w:bookmarkStart w:id="330" w:name="_Toc157415832"/>
      <w:bookmarkStart w:id="331" w:name="_Toc157414224"/>
      <w:bookmarkStart w:id="332" w:name="_Toc165302347"/>
      <w:bookmarkStart w:id="333" w:name="_Toc164762073"/>
      <w:bookmarkStart w:id="334" w:name="_Toc161057433"/>
      <w:bookmarkStart w:id="335" w:name="_Toc148011718"/>
      <w:bookmarkStart w:id="336" w:name="_Toc157418239"/>
      <w:bookmarkStart w:id="337" w:name="_Toc3760"/>
      <w:bookmarkStart w:id="338" w:name="_Toc164760877"/>
      <w:r>
        <w:rPr>
          <w:rFonts w:hint="eastAsia"/>
        </w:rPr>
        <w:t>公示与告知</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91"/>
        <w:keepNext w:val="0"/>
        <w:keepLines w:val="0"/>
        <w:pageBreakBefore w:val="0"/>
        <w:widowControl w:val="0"/>
        <w:numPr>
          <w:ilvl w:val="3"/>
          <w:numId w:val="0"/>
        </w:numPr>
        <w:kinsoku/>
        <w:wordWrap/>
        <w:overflowPunct/>
        <w:topLinePunct w:val="0"/>
        <w:autoSpaceDE/>
        <w:autoSpaceDN/>
        <w:bidi w:val="0"/>
        <w:adjustRightInd/>
        <w:snapToGrid/>
        <w:ind w:leftChars="0" w:firstLine="420" w:firstLineChars="200"/>
        <w:textAlignment w:val="auto"/>
        <w:rPr>
          <w:rFonts w:hint="eastAsia" w:ascii="宋体" w:hAnsi="Times New Roman" w:eastAsia="宋体" w:cs="Times New Roman"/>
        </w:rPr>
      </w:pPr>
      <w:r>
        <w:rPr>
          <w:rFonts w:hint="eastAsia" w:ascii="宋体" w:hAnsi="Times New Roman" w:eastAsia="宋体" w:cs="Times New Roman"/>
        </w:rPr>
        <w:t>保密办应将确定的商业秘密密级、保密期限、接触范围等信息，通过签收告知、培训、邮件、OA系统、公告栏张贴等有效方式告知涉密人员。</w:t>
      </w:r>
    </w:p>
    <w:p>
      <w:pPr>
        <w:pStyle w:val="88"/>
        <w:spacing w:before="312" w:after="312"/>
        <w:jc w:val="left"/>
      </w:pPr>
      <w:bookmarkStart w:id="339" w:name="_Toc157415833"/>
      <w:bookmarkStart w:id="340" w:name="_Toc164761894"/>
      <w:bookmarkStart w:id="341" w:name="_Toc161057434"/>
      <w:bookmarkStart w:id="342" w:name="_Toc164760878"/>
      <w:bookmarkStart w:id="343" w:name="_Toc157414225"/>
      <w:bookmarkStart w:id="344" w:name="_Toc5587"/>
      <w:bookmarkStart w:id="345" w:name="_Toc161059109"/>
      <w:bookmarkStart w:id="346" w:name="_Toc29605"/>
      <w:bookmarkStart w:id="347" w:name="_Toc143074498"/>
      <w:bookmarkStart w:id="348" w:name="_Toc143001041"/>
      <w:bookmarkStart w:id="349" w:name="_Toc9439"/>
      <w:bookmarkStart w:id="350" w:name="_Toc16370"/>
      <w:bookmarkStart w:id="351" w:name="_Toc157414267"/>
      <w:bookmarkStart w:id="352" w:name="_Toc164762074"/>
      <w:bookmarkStart w:id="353" w:name="_Toc157418240"/>
      <w:bookmarkStart w:id="354" w:name="_Toc146287353"/>
      <w:bookmarkStart w:id="355" w:name="_Toc143001084"/>
      <w:bookmarkStart w:id="356" w:name="_Toc164761528"/>
      <w:bookmarkStart w:id="357" w:name="_Toc6138"/>
      <w:bookmarkStart w:id="358" w:name="_Toc28779"/>
      <w:bookmarkStart w:id="359" w:name="_Toc165302348"/>
      <w:bookmarkStart w:id="360" w:name="_Toc148011719"/>
      <w:r>
        <w:t>动态管理</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87"/>
        <w:spacing w:before="156" w:after="156"/>
        <w:jc w:val="left"/>
      </w:pPr>
      <w:bookmarkStart w:id="361" w:name="_Toc164762075"/>
      <w:bookmarkStart w:id="362" w:name="_Toc17245"/>
      <w:bookmarkStart w:id="363" w:name="_Toc164761529"/>
      <w:bookmarkStart w:id="364" w:name="_Toc164761895"/>
      <w:bookmarkStart w:id="365" w:name="_Toc165302349"/>
      <w:bookmarkStart w:id="366" w:name="_Toc10255"/>
      <w:r>
        <w:rPr>
          <w:rFonts w:hint="eastAsia"/>
        </w:rPr>
        <w:t>管理要求</w:t>
      </w:r>
      <w:bookmarkEnd w:id="361"/>
      <w:bookmarkEnd w:id="362"/>
      <w:bookmarkEnd w:id="363"/>
      <w:bookmarkEnd w:id="364"/>
      <w:bookmarkEnd w:id="365"/>
      <w:bookmarkEnd w:id="366"/>
    </w:p>
    <w:p>
      <w:pPr>
        <w:pStyle w:val="91"/>
        <w:keepNext w:val="0"/>
        <w:keepLines w:val="0"/>
        <w:pageBreakBefore w:val="0"/>
        <w:widowControl w:val="0"/>
        <w:numPr>
          <w:ilvl w:val="3"/>
          <w:numId w:val="0"/>
        </w:numPr>
        <w:kinsoku/>
        <w:wordWrap/>
        <w:overflowPunct/>
        <w:topLinePunct w:val="0"/>
        <w:autoSpaceDE/>
        <w:autoSpaceDN/>
        <w:bidi w:val="0"/>
        <w:adjustRightInd/>
        <w:snapToGrid/>
        <w:ind w:leftChars="0" w:firstLine="420" w:firstLineChars="200"/>
        <w:textAlignment w:val="auto"/>
        <w:rPr>
          <w:rFonts w:hint="eastAsia" w:ascii="宋体" w:hAnsi="Times New Roman" w:eastAsia="宋体" w:cs="Times New Roman"/>
        </w:rPr>
      </w:pPr>
      <w:bookmarkStart w:id="367" w:name="_Toc23465"/>
      <w:bookmarkStart w:id="368" w:name="_Toc157414226"/>
      <w:r>
        <w:rPr>
          <w:rFonts w:hint="eastAsia" w:ascii="宋体" w:hAnsi="Times New Roman" w:eastAsia="宋体" w:cs="Times New Roman"/>
        </w:rPr>
        <w:t>保密办应每半年/年组织评估商业秘密是否需要更新、解密、销毁。商业秘密状态需变更的，由保密员向保密办提出变更请求，经保密办审批通过报最高管理者确认后，由保密办统一变更处理。</w:t>
      </w:r>
      <w:bookmarkEnd w:id="367"/>
      <w:bookmarkEnd w:id="368"/>
    </w:p>
    <w:p>
      <w:pPr>
        <w:pStyle w:val="87"/>
        <w:spacing w:before="156" w:after="156"/>
        <w:jc w:val="left"/>
      </w:pPr>
      <w:bookmarkStart w:id="369" w:name="_Toc143001043"/>
      <w:bookmarkStart w:id="370" w:name="_Toc164760879"/>
      <w:bookmarkStart w:id="371" w:name="_Toc157414227"/>
      <w:bookmarkStart w:id="372" w:name="_Toc165302350"/>
      <w:bookmarkStart w:id="373" w:name="_Toc161059110"/>
      <w:bookmarkStart w:id="374" w:name="_Toc32608"/>
      <w:bookmarkStart w:id="375" w:name="_Toc22131"/>
      <w:bookmarkStart w:id="376" w:name="_Toc164761530"/>
      <w:bookmarkStart w:id="377" w:name="_Toc143074500"/>
      <w:bookmarkStart w:id="378" w:name="_Toc157415834"/>
      <w:bookmarkStart w:id="379" w:name="_Toc157418241"/>
      <w:bookmarkStart w:id="380" w:name="_Toc25361"/>
      <w:bookmarkStart w:id="381" w:name="_Toc157414268"/>
      <w:bookmarkStart w:id="382" w:name="_Toc146287355"/>
      <w:bookmarkStart w:id="383" w:name="_Toc143001086"/>
      <w:bookmarkStart w:id="384" w:name="_Toc164761896"/>
      <w:bookmarkStart w:id="385" w:name="_Toc161057435"/>
      <w:bookmarkStart w:id="386" w:name="_Toc516"/>
      <w:bookmarkStart w:id="387" w:name="_Toc164762076"/>
      <w:bookmarkStart w:id="388" w:name="_Toc148011721"/>
      <w:bookmarkStart w:id="389" w:name="_Toc10722"/>
      <w:bookmarkStart w:id="390" w:name="_Toc22262"/>
      <w:r>
        <w:rPr>
          <w:rFonts w:hint="eastAsia"/>
        </w:rPr>
        <w:t>商业秘密的</w:t>
      </w:r>
      <w:bookmarkEnd w:id="369"/>
      <w:r>
        <w:rPr>
          <w:rFonts w:hint="eastAsia"/>
        </w:rPr>
        <w:t>更新</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91"/>
        <w:keepNext w:val="0"/>
        <w:keepLines w:val="0"/>
        <w:pageBreakBefore w:val="0"/>
        <w:widowControl w:val="0"/>
        <w:numPr>
          <w:ilvl w:val="3"/>
          <w:numId w:val="0"/>
        </w:numPr>
        <w:kinsoku/>
        <w:wordWrap/>
        <w:overflowPunct/>
        <w:topLinePunct w:val="0"/>
        <w:autoSpaceDE/>
        <w:autoSpaceDN/>
        <w:bidi w:val="0"/>
        <w:adjustRightInd/>
        <w:snapToGrid/>
        <w:ind w:leftChars="0" w:firstLine="420" w:firstLineChars="200"/>
        <w:textAlignment w:val="auto"/>
        <w:rPr>
          <w:rFonts w:hint="eastAsia" w:ascii="宋体" w:hAnsi="Times New Roman" w:eastAsia="宋体" w:cs="Times New Roman"/>
        </w:rPr>
      </w:pPr>
      <w:r>
        <w:rPr>
          <w:rFonts w:hint="eastAsia" w:ascii="宋体" w:hAnsi="Times New Roman" w:eastAsia="宋体" w:cs="Times New Roman"/>
        </w:rPr>
        <w:t>保密办应对商业秘密的保密状态、密级、保密期限、接触范围等信息更新。</w:t>
      </w:r>
    </w:p>
    <w:p>
      <w:pPr>
        <w:pStyle w:val="87"/>
        <w:spacing w:before="156" w:after="156"/>
        <w:jc w:val="left"/>
      </w:pPr>
      <w:bookmarkStart w:id="391" w:name="_Toc9251"/>
      <w:bookmarkStart w:id="392" w:name="_Toc143001044"/>
      <w:bookmarkStart w:id="393" w:name="_Toc146287356"/>
      <w:bookmarkStart w:id="394" w:name="_Toc32331"/>
      <w:bookmarkStart w:id="395" w:name="_Toc164761897"/>
      <w:bookmarkStart w:id="396" w:name="_Toc7659"/>
      <w:bookmarkStart w:id="397" w:name="_Toc157414269"/>
      <w:bookmarkStart w:id="398" w:name="_Toc157415835"/>
      <w:bookmarkStart w:id="399" w:name="_Toc11363"/>
      <w:bookmarkStart w:id="400" w:name="_Toc143074501"/>
      <w:bookmarkStart w:id="401" w:name="_Toc161059111"/>
      <w:bookmarkStart w:id="402" w:name="_Toc157414228"/>
      <w:bookmarkStart w:id="403" w:name="_Toc24900"/>
      <w:bookmarkStart w:id="404" w:name="_Toc161057436"/>
      <w:bookmarkStart w:id="405" w:name="_Toc165302351"/>
      <w:bookmarkStart w:id="406" w:name="_Toc148011722"/>
      <w:bookmarkStart w:id="407" w:name="_Toc164762077"/>
      <w:bookmarkStart w:id="408" w:name="_Toc143001087"/>
      <w:bookmarkStart w:id="409" w:name="_Toc164760880"/>
      <w:bookmarkStart w:id="410" w:name="_Toc157418242"/>
      <w:bookmarkStart w:id="411" w:name="_Toc24795"/>
      <w:bookmarkStart w:id="412" w:name="_Toc164761531"/>
      <w:r>
        <w:rPr>
          <w:rFonts w:hint="eastAsia"/>
        </w:rPr>
        <w:t>商业秘密的解密</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92"/>
        <w:spacing w:before="156" w:after="156"/>
        <w:jc w:val="left"/>
        <w:rPr>
          <w:b/>
        </w:rPr>
      </w:pPr>
      <w:bookmarkStart w:id="413" w:name="_Toc18329"/>
      <w:r>
        <w:rPr>
          <w:rFonts w:hint="eastAsia"/>
        </w:rPr>
        <w:t>解密情形</w:t>
      </w:r>
      <w:bookmarkEnd w:id="413"/>
    </w:p>
    <w:p>
      <w:pPr>
        <w:pStyle w:val="91"/>
        <w:keepNext w:val="0"/>
        <w:keepLines w:val="0"/>
        <w:pageBreakBefore w:val="0"/>
        <w:widowControl w:val="0"/>
        <w:numPr>
          <w:ilvl w:val="3"/>
          <w:numId w:val="0"/>
        </w:numPr>
        <w:kinsoku/>
        <w:wordWrap/>
        <w:overflowPunct/>
        <w:topLinePunct w:val="0"/>
        <w:autoSpaceDE/>
        <w:autoSpaceDN/>
        <w:bidi w:val="0"/>
        <w:adjustRightInd/>
        <w:snapToGrid/>
        <w:ind w:leftChars="0" w:firstLine="420" w:firstLineChars="200"/>
        <w:jc w:val="left"/>
        <w:textAlignment w:val="auto"/>
        <w:rPr>
          <w:rFonts w:hint="eastAsia" w:ascii="宋体" w:hAnsi="Times New Roman" w:eastAsia="宋体" w:cs="Times New Roman"/>
        </w:rPr>
      </w:pPr>
      <w:r>
        <w:rPr>
          <w:rFonts w:hint="eastAsia" w:ascii="宋体" w:hAnsi="Times New Roman" w:eastAsia="宋体" w:cs="Times New Roman"/>
        </w:rPr>
        <w:t>商业秘密出现下列情形时，宜解密：</w:t>
      </w:r>
    </w:p>
    <w:p>
      <w:pPr>
        <w:pStyle w:val="105"/>
        <w:numPr>
          <w:ilvl w:val="0"/>
          <w:numId w:val="40"/>
        </w:numPr>
        <w:jc w:val="left"/>
      </w:pPr>
      <w:r>
        <w:rPr>
          <w:rFonts w:hint="eastAsia"/>
        </w:rPr>
        <w:t>商业秘密保密期限届满；</w:t>
      </w:r>
    </w:p>
    <w:p>
      <w:pPr>
        <w:pStyle w:val="105"/>
        <w:numPr>
          <w:ilvl w:val="0"/>
          <w:numId w:val="36"/>
        </w:numPr>
        <w:jc w:val="left"/>
      </w:pPr>
      <w:r>
        <w:rPr>
          <w:rFonts w:hint="eastAsia"/>
        </w:rPr>
        <w:t>商业秘密已被公开；</w:t>
      </w:r>
    </w:p>
    <w:p>
      <w:pPr>
        <w:pStyle w:val="105"/>
        <w:numPr>
          <w:ilvl w:val="0"/>
          <w:numId w:val="36"/>
        </w:numPr>
        <w:jc w:val="left"/>
      </w:pPr>
      <w:r>
        <w:rPr>
          <w:rFonts w:hint="eastAsia"/>
        </w:rPr>
        <w:t>经企业评估，认为商业秘密不再具有保护价值；</w:t>
      </w:r>
    </w:p>
    <w:p>
      <w:pPr>
        <w:pStyle w:val="105"/>
        <w:numPr>
          <w:ilvl w:val="0"/>
          <w:numId w:val="36"/>
        </w:numPr>
        <w:jc w:val="left"/>
      </w:pPr>
      <w:r>
        <w:rPr>
          <w:rFonts w:hint="eastAsia"/>
        </w:rPr>
        <w:t>企业认为需要解密的其他情形。</w:t>
      </w:r>
    </w:p>
    <w:p>
      <w:pPr>
        <w:pStyle w:val="92"/>
        <w:spacing w:before="156" w:after="156"/>
        <w:jc w:val="left"/>
        <w:rPr>
          <w:b/>
        </w:rPr>
      </w:pPr>
      <w:bookmarkStart w:id="414" w:name="_Toc25423"/>
      <w:r>
        <w:rPr>
          <w:rFonts w:hint="eastAsia"/>
        </w:rPr>
        <w:t>解密方式</w:t>
      </w:r>
      <w:bookmarkEnd w:id="414"/>
    </w:p>
    <w:p>
      <w:pPr>
        <w:pStyle w:val="91"/>
        <w:keepNext w:val="0"/>
        <w:keepLines w:val="0"/>
        <w:pageBreakBefore w:val="0"/>
        <w:widowControl w:val="0"/>
        <w:numPr>
          <w:ilvl w:val="3"/>
          <w:numId w:val="0"/>
        </w:numPr>
        <w:kinsoku/>
        <w:wordWrap/>
        <w:overflowPunct/>
        <w:topLinePunct w:val="0"/>
        <w:autoSpaceDE/>
        <w:autoSpaceDN/>
        <w:bidi w:val="0"/>
        <w:adjustRightInd/>
        <w:snapToGrid/>
        <w:ind w:leftChars="0" w:firstLine="420" w:firstLineChars="200"/>
        <w:jc w:val="left"/>
        <w:textAlignment w:val="auto"/>
        <w:rPr>
          <w:rFonts w:hint="eastAsia" w:ascii="宋体" w:hAnsi="Times New Roman" w:eastAsia="宋体" w:cs="Times New Roman"/>
        </w:rPr>
      </w:pPr>
      <w:r>
        <w:rPr>
          <w:rFonts w:hint="eastAsia" w:ascii="宋体" w:hAnsi="Times New Roman" w:eastAsia="宋体" w:cs="Times New Roman"/>
        </w:rPr>
        <w:t>对符合解密情形的商业秘密，保密办宜采取下列解密方式解密：</w:t>
      </w:r>
    </w:p>
    <w:p>
      <w:pPr>
        <w:pStyle w:val="105"/>
        <w:numPr>
          <w:ilvl w:val="0"/>
          <w:numId w:val="41"/>
        </w:numPr>
        <w:jc w:val="left"/>
      </w:pPr>
      <w:r>
        <w:rPr>
          <w:rFonts w:hint="eastAsia"/>
        </w:rPr>
        <w:t>移出涉密区域；</w:t>
      </w:r>
    </w:p>
    <w:p>
      <w:pPr>
        <w:pStyle w:val="105"/>
        <w:numPr>
          <w:ilvl w:val="0"/>
          <w:numId w:val="36"/>
        </w:numPr>
        <w:jc w:val="left"/>
      </w:pPr>
      <w:r>
        <w:rPr>
          <w:rFonts w:hint="eastAsia"/>
        </w:rPr>
        <w:t>消除或变更密级标识、提示；</w:t>
      </w:r>
    </w:p>
    <w:p>
      <w:pPr>
        <w:pStyle w:val="105"/>
        <w:numPr>
          <w:ilvl w:val="0"/>
          <w:numId w:val="36"/>
        </w:numPr>
        <w:jc w:val="left"/>
      </w:pPr>
      <w:r>
        <w:rPr>
          <w:rFonts w:hint="eastAsia"/>
        </w:rPr>
        <w:t>电子文档脱密；</w:t>
      </w:r>
    </w:p>
    <w:p>
      <w:pPr>
        <w:pStyle w:val="105"/>
        <w:numPr>
          <w:ilvl w:val="0"/>
          <w:numId w:val="36"/>
        </w:numPr>
        <w:jc w:val="left"/>
      </w:pPr>
      <w:r>
        <w:rPr>
          <w:rFonts w:hint="eastAsia"/>
        </w:rPr>
        <w:t>其他适合的解密方式。</w:t>
      </w:r>
    </w:p>
    <w:p>
      <w:pPr>
        <w:pStyle w:val="92"/>
        <w:spacing w:before="156" w:after="156"/>
        <w:jc w:val="left"/>
        <w:rPr>
          <w:b/>
        </w:rPr>
      </w:pPr>
      <w:bookmarkStart w:id="415" w:name="_Toc19258"/>
      <w:r>
        <w:rPr>
          <w:rFonts w:hint="eastAsia"/>
        </w:rPr>
        <w:t>解密后的再保护</w:t>
      </w:r>
      <w:bookmarkEnd w:id="415"/>
    </w:p>
    <w:p>
      <w:pPr>
        <w:pStyle w:val="91"/>
        <w:keepNext w:val="0"/>
        <w:keepLines w:val="0"/>
        <w:pageBreakBefore w:val="0"/>
        <w:widowControl w:val="0"/>
        <w:numPr>
          <w:ilvl w:val="3"/>
          <w:numId w:val="0"/>
        </w:numPr>
        <w:kinsoku/>
        <w:wordWrap/>
        <w:overflowPunct/>
        <w:topLinePunct w:val="0"/>
        <w:autoSpaceDE/>
        <w:autoSpaceDN/>
        <w:bidi w:val="0"/>
        <w:adjustRightInd/>
        <w:snapToGrid/>
        <w:ind w:leftChars="0" w:firstLine="420" w:firstLineChars="200"/>
        <w:jc w:val="left"/>
        <w:textAlignment w:val="auto"/>
        <w:rPr>
          <w:rFonts w:hint="eastAsia" w:ascii="宋体" w:hAnsi="Times New Roman" w:eastAsia="宋体" w:cs="Times New Roman"/>
        </w:rPr>
      </w:pPr>
      <w:r>
        <w:rPr>
          <w:rFonts w:hint="eastAsia" w:ascii="宋体" w:hAnsi="Times New Roman" w:eastAsia="宋体" w:cs="Times New Roman"/>
        </w:rPr>
        <w:t>对于已解密的技术秘密，保密办应组织研发人员评估是否需要以其他知识产权形式继续保护。</w:t>
      </w:r>
    </w:p>
    <w:p>
      <w:pPr>
        <w:pStyle w:val="87"/>
        <w:spacing w:before="156" w:after="156"/>
        <w:jc w:val="left"/>
      </w:pPr>
      <w:bookmarkStart w:id="416" w:name="_Toc164760881"/>
      <w:bookmarkStart w:id="417" w:name="_Toc146287357"/>
      <w:bookmarkStart w:id="418" w:name="_Toc4629"/>
      <w:bookmarkStart w:id="419" w:name="_Toc143001088"/>
      <w:bookmarkStart w:id="420" w:name="_Toc164761532"/>
      <w:bookmarkStart w:id="421" w:name="_Toc164762078"/>
      <w:bookmarkStart w:id="422" w:name="_Toc22557"/>
      <w:bookmarkStart w:id="423" w:name="_Toc161057437"/>
      <w:bookmarkStart w:id="424" w:name="_Toc143001045"/>
      <w:bookmarkStart w:id="425" w:name="_Toc143074502"/>
      <w:bookmarkStart w:id="426" w:name="_Toc157418243"/>
      <w:bookmarkStart w:id="427" w:name="_Toc28385"/>
      <w:bookmarkStart w:id="428" w:name="_Toc157414229"/>
      <w:bookmarkStart w:id="429" w:name="_Toc157414270"/>
      <w:bookmarkStart w:id="430" w:name="_Toc165302352"/>
      <w:bookmarkStart w:id="431" w:name="_Toc164761898"/>
      <w:bookmarkStart w:id="432" w:name="_Toc27617"/>
      <w:bookmarkStart w:id="433" w:name="_Toc161059112"/>
      <w:bookmarkStart w:id="434" w:name="_Toc148011723"/>
      <w:bookmarkStart w:id="435" w:name="_Toc157415836"/>
      <w:bookmarkStart w:id="436" w:name="_Toc19177"/>
      <w:bookmarkStart w:id="437" w:name="_Toc31429"/>
      <w:r>
        <w:rPr>
          <w:rFonts w:hint="eastAsia"/>
        </w:rPr>
        <w:t>商业秘密的销毁</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92"/>
        <w:spacing w:before="156" w:after="156"/>
        <w:jc w:val="left"/>
        <w:rPr>
          <w:b/>
        </w:rPr>
      </w:pPr>
      <w:bookmarkStart w:id="438" w:name="_Toc11499"/>
      <w:r>
        <w:rPr>
          <w:rFonts w:hint="eastAsia"/>
        </w:rPr>
        <w:t>销毁流程</w:t>
      </w:r>
      <w:bookmarkEnd w:id="438"/>
    </w:p>
    <w:p>
      <w:pPr>
        <w:pStyle w:val="89"/>
      </w:pPr>
      <w:r>
        <w:rPr>
          <w:rFonts w:hint="eastAsia"/>
        </w:rPr>
        <w:t>涉密载体的销毁，应由保密员列出销毁清单，履行清点、登记手续后，由保密办组织统一销毁。</w:t>
      </w:r>
    </w:p>
    <w:p>
      <w:pPr>
        <w:pStyle w:val="92"/>
        <w:spacing w:before="156" w:after="156"/>
        <w:jc w:val="left"/>
        <w:rPr>
          <w:b/>
        </w:rPr>
      </w:pPr>
      <w:bookmarkStart w:id="439" w:name="_Toc12310"/>
      <w:r>
        <w:rPr>
          <w:rFonts w:hint="eastAsia"/>
        </w:rPr>
        <w:t>销毁方式</w:t>
      </w:r>
      <w:bookmarkEnd w:id="439"/>
    </w:p>
    <w:p>
      <w:pPr>
        <w:pStyle w:val="99"/>
        <w:numPr>
          <w:ilvl w:val="255"/>
          <w:numId w:val="0"/>
        </w:numPr>
        <w:spacing w:before="0" w:beforeLines="0" w:after="0" w:afterLines="0"/>
        <w:ind w:firstLine="420" w:firstLineChars="200"/>
        <w:jc w:val="left"/>
        <w:rPr>
          <w:rFonts w:ascii="宋体" w:eastAsia="宋体"/>
        </w:rPr>
      </w:pPr>
      <w:r>
        <w:rPr>
          <w:rFonts w:hint="eastAsia" w:ascii="宋体" w:eastAsia="宋体"/>
        </w:rPr>
        <w:t>不同类型涉密载体应采取不同方式妥善销毁，确保信息无法还原。销毁方式包括：</w:t>
      </w:r>
    </w:p>
    <w:p>
      <w:pPr>
        <w:pStyle w:val="105"/>
        <w:numPr>
          <w:ilvl w:val="0"/>
          <w:numId w:val="42"/>
        </w:numPr>
        <w:jc w:val="left"/>
      </w:pPr>
      <w:r>
        <w:rPr>
          <w:rFonts w:hint="eastAsia"/>
        </w:rPr>
        <w:t>纸质文档采取碎片化处理；</w:t>
      </w:r>
    </w:p>
    <w:p>
      <w:pPr>
        <w:pStyle w:val="105"/>
        <w:numPr>
          <w:ilvl w:val="0"/>
          <w:numId w:val="36"/>
        </w:numPr>
        <w:jc w:val="left"/>
      </w:pPr>
      <w:r>
        <w:rPr>
          <w:rFonts w:hint="eastAsia"/>
        </w:rPr>
        <w:t>硬盘、光盘、U盘等存储介质采取消磁或粉碎等手段彻底销毁；</w:t>
      </w:r>
    </w:p>
    <w:p>
      <w:pPr>
        <w:pStyle w:val="105"/>
        <w:numPr>
          <w:ilvl w:val="0"/>
          <w:numId w:val="36"/>
        </w:numPr>
        <w:jc w:val="left"/>
      </w:pPr>
      <w:r>
        <w:rPr>
          <w:rFonts w:hint="eastAsia"/>
        </w:rPr>
        <w:t>计算机拆除硬盘、使用专用软件清除所有信息；</w:t>
      </w:r>
    </w:p>
    <w:p>
      <w:pPr>
        <w:pStyle w:val="105"/>
        <w:numPr>
          <w:ilvl w:val="0"/>
          <w:numId w:val="36"/>
        </w:numPr>
        <w:jc w:val="left"/>
      </w:pPr>
      <w:r>
        <w:rPr>
          <w:rFonts w:hint="eastAsia"/>
        </w:rPr>
        <w:t>大型设备采取整理拆解、物理粉碎等手段；</w:t>
      </w:r>
    </w:p>
    <w:p>
      <w:pPr>
        <w:pStyle w:val="105"/>
        <w:numPr>
          <w:ilvl w:val="0"/>
          <w:numId w:val="36"/>
        </w:numPr>
        <w:jc w:val="left"/>
      </w:pPr>
      <w:r>
        <w:rPr>
          <w:rFonts w:hint="eastAsia"/>
        </w:rPr>
        <w:t>必要时，委托专门的销毁机构处理。</w:t>
      </w:r>
    </w:p>
    <w:p>
      <w:pPr>
        <w:pStyle w:val="88"/>
        <w:spacing w:before="312" w:after="312"/>
        <w:jc w:val="left"/>
      </w:pPr>
      <w:bookmarkStart w:id="440" w:name="_Toc164760882"/>
      <w:bookmarkStart w:id="441" w:name="_Toc161057438"/>
      <w:bookmarkStart w:id="442" w:name="_Toc143074503"/>
      <w:bookmarkStart w:id="443" w:name="_Toc157414230"/>
      <w:bookmarkStart w:id="444" w:name="_Toc143001046"/>
      <w:bookmarkStart w:id="445" w:name="_Toc164762079"/>
      <w:bookmarkStart w:id="446" w:name="_Toc656"/>
      <w:bookmarkStart w:id="447" w:name="_Toc29979"/>
      <w:bookmarkStart w:id="448" w:name="_Toc157415837"/>
      <w:bookmarkStart w:id="449" w:name="_Toc1519"/>
      <w:bookmarkStart w:id="450" w:name="_Toc165302353"/>
      <w:bookmarkStart w:id="451" w:name="_Toc146287358"/>
      <w:bookmarkStart w:id="452" w:name="_Toc148011724"/>
      <w:bookmarkStart w:id="453" w:name="_Toc10626"/>
      <w:bookmarkStart w:id="454" w:name="_Toc143001089"/>
      <w:bookmarkStart w:id="455" w:name="_Toc2784"/>
      <w:bookmarkStart w:id="456" w:name="_Toc157414271"/>
      <w:bookmarkStart w:id="457" w:name="_Toc164761533"/>
      <w:bookmarkStart w:id="458" w:name="_Toc157418244"/>
      <w:bookmarkStart w:id="459" w:name="_Toc8060"/>
      <w:bookmarkStart w:id="460" w:name="_Toc164761899"/>
      <w:bookmarkStart w:id="461" w:name="_Toc161059113"/>
      <w:r>
        <w:rPr>
          <w:rFonts w:hint="eastAsia"/>
        </w:rPr>
        <w:t>存证</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87"/>
        <w:spacing w:before="156" w:after="156"/>
        <w:jc w:val="left"/>
      </w:pPr>
      <w:bookmarkStart w:id="462" w:name="_Toc26931"/>
      <w:bookmarkStart w:id="463" w:name="_Toc164761534"/>
      <w:bookmarkStart w:id="464" w:name="_Toc157415838"/>
      <w:bookmarkStart w:id="465" w:name="_Toc8651"/>
      <w:bookmarkStart w:id="466" w:name="_Toc12329"/>
      <w:bookmarkStart w:id="467" w:name="_Toc157414272"/>
      <w:bookmarkStart w:id="468" w:name="_Toc157414231"/>
      <w:bookmarkStart w:id="469" w:name="_Toc148011725"/>
      <w:bookmarkStart w:id="470" w:name="_Toc161057439"/>
      <w:bookmarkStart w:id="471" w:name="_Toc157418245"/>
      <w:bookmarkStart w:id="472" w:name="_Toc143001047"/>
      <w:bookmarkStart w:id="473" w:name="_Toc23032"/>
      <w:bookmarkStart w:id="474" w:name="_Toc2973"/>
      <w:bookmarkStart w:id="475" w:name="_Toc164761900"/>
      <w:bookmarkStart w:id="476" w:name="_Toc146287359"/>
      <w:bookmarkStart w:id="477" w:name="_Toc165302354"/>
      <w:bookmarkStart w:id="478" w:name="_Toc143074504"/>
      <w:bookmarkStart w:id="479" w:name="_Toc28792"/>
      <w:bookmarkStart w:id="480" w:name="_Toc164762080"/>
      <w:bookmarkStart w:id="481" w:name="_Toc161059114"/>
      <w:bookmarkStart w:id="482" w:name="_Toc143001090"/>
      <w:bookmarkStart w:id="483" w:name="_Toc164760883"/>
      <w:r>
        <w:rPr>
          <w:rFonts w:hint="eastAsia"/>
        </w:rPr>
        <w:t>存证方式</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企业宜依照定密与更新商业秘密的工作结果，选择合适的存证平台和方式对商业秘密存证。常见的存证方式有：</w:t>
      </w:r>
    </w:p>
    <w:p>
      <w:pPr>
        <w:pStyle w:val="105"/>
        <w:numPr>
          <w:ilvl w:val="0"/>
          <w:numId w:val="43"/>
        </w:numPr>
        <w:jc w:val="left"/>
      </w:pPr>
      <w:r>
        <w:rPr>
          <w:rFonts w:hint="eastAsia"/>
        </w:rPr>
        <w:t>公证存证；</w:t>
      </w:r>
    </w:p>
    <w:p>
      <w:pPr>
        <w:pStyle w:val="105"/>
        <w:numPr>
          <w:ilvl w:val="0"/>
          <w:numId w:val="36"/>
        </w:numPr>
        <w:jc w:val="left"/>
      </w:pPr>
      <w:r>
        <w:t>时间戳存证；</w:t>
      </w:r>
    </w:p>
    <w:p>
      <w:pPr>
        <w:pStyle w:val="105"/>
        <w:numPr>
          <w:ilvl w:val="0"/>
          <w:numId w:val="36"/>
        </w:numPr>
        <w:jc w:val="left"/>
      </w:pPr>
      <w:r>
        <w:t>区块链存</w:t>
      </w:r>
      <w:r>
        <w:rPr>
          <w:rFonts w:hint="eastAsia"/>
        </w:rPr>
        <w:t>证。</w:t>
      </w:r>
    </w:p>
    <w:p>
      <w:pPr>
        <w:pStyle w:val="87"/>
        <w:spacing w:before="156" w:after="156"/>
        <w:jc w:val="left"/>
      </w:pPr>
      <w:bookmarkStart w:id="484" w:name="_Toc164760884"/>
      <w:bookmarkStart w:id="485" w:name="_Toc143001048"/>
      <w:bookmarkStart w:id="486" w:name="_Toc157414232"/>
      <w:bookmarkStart w:id="487" w:name="_Toc161057440"/>
      <w:bookmarkStart w:id="488" w:name="_Toc164761535"/>
      <w:bookmarkStart w:id="489" w:name="_Toc28341"/>
      <w:bookmarkStart w:id="490" w:name="_Toc157418246"/>
      <w:bookmarkStart w:id="491" w:name="_Toc14197"/>
      <w:bookmarkStart w:id="492" w:name="_Toc28988"/>
      <w:bookmarkStart w:id="493" w:name="_Toc164762081"/>
      <w:bookmarkStart w:id="494" w:name="_Toc165302355"/>
      <w:bookmarkStart w:id="495" w:name="_Toc143074505"/>
      <w:bookmarkStart w:id="496" w:name="_Toc157414273"/>
      <w:bookmarkStart w:id="497" w:name="_Toc942"/>
      <w:bookmarkStart w:id="498" w:name="_Toc148011726"/>
      <w:bookmarkStart w:id="499" w:name="_Toc1754"/>
      <w:bookmarkStart w:id="500" w:name="_Toc164761901"/>
      <w:bookmarkStart w:id="501" w:name="_Toc157415839"/>
      <w:bookmarkStart w:id="502" w:name="_Toc143001091"/>
      <w:bookmarkStart w:id="503" w:name="_Toc161059115"/>
      <w:bookmarkStart w:id="504" w:name="_Toc22451"/>
      <w:bookmarkStart w:id="505" w:name="_Toc146287360"/>
      <w:r>
        <w:rPr>
          <w:rFonts w:hint="eastAsia"/>
        </w:rPr>
        <w:t>存证流程</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92"/>
        <w:spacing w:before="156" w:after="156"/>
        <w:jc w:val="left"/>
        <w:rPr>
          <w:b/>
        </w:rPr>
      </w:pPr>
      <w:bookmarkStart w:id="506" w:name="_Toc21643"/>
      <w:r>
        <w:rPr>
          <w:rFonts w:hint="eastAsia"/>
        </w:rPr>
        <w:t>确定存证内容</w:t>
      </w:r>
      <w:bookmarkEnd w:id="506"/>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商业秘密存证内容包括企业产生商业秘密的各类过程文件、商业秘密载体、商业秘密的保密记录等。</w:t>
      </w:r>
    </w:p>
    <w:p>
      <w:pPr>
        <w:pStyle w:val="92"/>
        <w:spacing w:before="156" w:after="156"/>
        <w:jc w:val="left"/>
      </w:pPr>
      <w:bookmarkStart w:id="507" w:name="_Toc31126"/>
      <w:r>
        <w:rPr>
          <w:rFonts w:hint="eastAsia"/>
        </w:rPr>
        <w:t>选择存证平台</w:t>
      </w:r>
      <w:bookmarkEnd w:id="507"/>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应优先选择不需要原文存证的电子数据存证平台。存证平台的存证技术和过程应当符合国家标准或行业标准中关于系统环境、技术安全、加密方式、数据的要求。</w:t>
      </w:r>
    </w:p>
    <w:p>
      <w:pPr>
        <w:pStyle w:val="92"/>
        <w:spacing w:before="156" w:after="156"/>
        <w:jc w:val="left"/>
        <w:rPr>
          <w:rFonts w:asciiTheme="minorEastAsia" w:hAnsiTheme="minorEastAsia" w:eastAsiaTheme="minorEastAsia" w:cstheme="minorEastAsia"/>
          <w:spacing w:val="11"/>
          <w:sz w:val="24"/>
        </w:rPr>
      </w:pPr>
      <w:bookmarkStart w:id="508" w:name="_Toc4608"/>
      <w:r>
        <w:rPr>
          <w:rFonts w:hint="eastAsia"/>
        </w:rPr>
        <w:t>确定存证结果</w:t>
      </w:r>
      <w:bookmarkEnd w:id="508"/>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保密办完成存证工作后，应立即向存证平台确认存证结果是否成功。如存证过程出现错误或失败，应重新存证。</w:t>
      </w:r>
    </w:p>
    <w:p>
      <w:pPr>
        <w:pStyle w:val="88"/>
        <w:spacing w:before="312" w:after="312"/>
        <w:jc w:val="left"/>
        <w:rPr>
          <w:b/>
          <w:sz w:val="24"/>
        </w:rPr>
      </w:pPr>
      <w:bookmarkStart w:id="509" w:name="_Toc164761902"/>
      <w:bookmarkStart w:id="510" w:name="_Toc161057441"/>
      <w:bookmarkStart w:id="511" w:name="_Toc164761536"/>
      <w:bookmarkStart w:id="512" w:name="_Toc143001092"/>
      <w:bookmarkStart w:id="513" w:name="_Toc143074506"/>
      <w:bookmarkStart w:id="514" w:name="_Toc165302356"/>
      <w:bookmarkStart w:id="515" w:name="_Toc157414233"/>
      <w:bookmarkStart w:id="516" w:name="_Toc148011727"/>
      <w:bookmarkStart w:id="517" w:name="_Toc27286"/>
      <w:bookmarkStart w:id="518" w:name="_Toc146287361"/>
      <w:bookmarkStart w:id="519" w:name="_Toc143001049"/>
      <w:bookmarkStart w:id="520" w:name="_Toc157414274"/>
      <w:bookmarkStart w:id="521" w:name="_Toc161059116"/>
      <w:bookmarkStart w:id="522" w:name="_Toc12611"/>
      <w:bookmarkStart w:id="523" w:name="_Toc157415840"/>
      <w:bookmarkStart w:id="524" w:name="_Toc164762082"/>
      <w:bookmarkStart w:id="525" w:name="_Toc31926"/>
      <w:bookmarkStart w:id="526" w:name="_Toc157418247"/>
      <w:bookmarkStart w:id="527" w:name="_Toc1738"/>
      <w:bookmarkStart w:id="528" w:name="_Toc27108"/>
      <w:bookmarkStart w:id="529" w:name="_Toc164760885"/>
      <w:bookmarkStart w:id="530" w:name="_Toc24349"/>
      <w:bookmarkStart w:id="531" w:name="_Toc143001101"/>
      <w:bookmarkStart w:id="532" w:name="_Toc143001058"/>
      <w:bookmarkStart w:id="533" w:name="_Toc143074512"/>
      <w:r>
        <w:rPr>
          <w:rFonts w:hint="eastAsia"/>
        </w:rPr>
        <w:t>保密管理</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87"/>
        <w:spacing w:before="156" w:after="156"/>
        <w:jc w:val="left"/>
      </w:pPr>
      <w:bookmarkStart w:id="534" w:name="_Toc19962"/>
      <w:bookmarkStart w:id="535" w:name="_Toc146287362"/>
      <w:bookmarkStart w:id="536" w:name="_Toc164761537"/>
      <w:bookmarkStart w:id="537" w:name="_Toc24885"/>
      <w:bookmarkStart w:id="538" w:name="_Toc157415841"/>
      <w:bookmarkStart w:id="539" w:name="_Toc143074507"/>
      <w:bookmarkStart w:id="540" w:name="_Toc148011728"/>
      <w:bookmarkStart w:id="541" w:name="_Toc164762083"/>
      <w:bookmarkStart w:id="542" w:name="_Toc164761903"/>
      <w:bookmarkStart w:id="543" w:name="_Toc143001051"/>
      <w:bookmarkStart w:id="544" w:name="_Toc12358"/>
      <w:bookmarkStart w:id="545" w:name="_Toc165302357"/>
      <w:bookmarkStart w:id="546" w:name="_Toc164760886"/>
      <w:bookmarkStart w:id="547" w:name="_Toc157414275"/>
      <w:bookmarkStart w:id="548" w:name="_Toc15029"/>
      <w:bookmarkStart w:id="549" w:name="_Toc161057442"/>
      <w:bookmarkStart w:id="550" w:name="_Toc4827"/>
      <w:bookmarkStart w:id="551" w:name="_Toc157418248"/>
      <w:bookmarkStart w:id="552" w:name="_Toc157414234"/>
      <w:bookmarkStart w:id="553" w:name="_Toc161059117"/>
      <w:bookmarkStart w:id="554" w:name="_Toc143001094"/>
      <w:bookmarkStart w:id="555" w:name="_Toc9207"/>
      <w:r>
        <w:rPr>
          <w:rFonts w:hint="eastAsia"/>
        </w:rPr>
        <w:t>涉密人员管理</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92"/>
        <w:spacing w:before="156" w:after="156"/>
        <w:jc w:val="left"/>
      </w:pPr>
      <w:bookmarkStart w:id="556" w:name="_Toc5752"/>
      <w:r>
        <w:t>入职管理</w:t>
      </w:r>
      <w:bookmarkEnd w:id="556"/>
    </w:p>
    <w:p>
      <w:pPr>
        <w:pStyle w:val="99"/>
        <w:numPr>
          <w:ilvl w:val="4"/>
          <w:numId w:val="8"/>
        </w:numPr>
        <w:spacing w:before="0" w:beforeLines="0" w:after="0" w:afterLines="0"/>
        <w:jc w:val="left"/>
        <w:rPr>
          <w:rFonts w:ascii="宋体" w:eastAsia="宋体"/>
        </w:rPr>
      </w:pPr>
      <w:r>
        <w:rPr>
          <w:rFonts w:hint="eastAsia" w:ascii="宋体" w:eastAsia="宋体"/>
        </w:rPr>
        <w:t>核心技术人员或涉密人员入职前宜调查其工作背景，调查范围包括过往任职的单位、担任的职务、工作内容、是否负有保密或竞业限制义务等。</w:t>
      </w:r>
    </w:p>
    <w:p>
      <w:pPr>
        <w:pStyle w:val="99"/>
        <w:numPr>
          <w:ilvl w:val="4"/>
          <w:numId w:val="8"/>
        </w:numPr>
        <w:spacing w:before="0" w:beforeLines="0" w:after="0" w:afterLines="0"/>
        <w:jc w:val="left"/>
        <w:rPr>
          <w:rFonts w:ascii="宋体" w:eastAsia="宋体"/>
        </w:rPr>
      </w:pPr>
      <w:r>
        <w:rPr>
          <w:rFonts w:hint="eastAsia" w:ascii="宋体" w:eastAsia="宋体"/>
        </w:rPr>
        <w:t>新入职、转岗到涉密岗位的人员，应签订与岗位工作内容相适应的保密协议（见附录F），并约定保密范围、双方权利义务、保密期限、违约责任等，对于核心涉密岗位的员工，宜在保密协议中约定脱密期。</w:t>
      </w:r>
    </w:p>
    <w:p>
      <w:pPr>
        <w:pStyle w:val="99"/>
        <w:numPr>
          <w:ilvl w:val="4"/>
          <w:numId w:val="8"/>
        </w:numPr>
        <w:spacing w:before="0" w:beforeLines="0" w:after="0" w:afterLines="0"/>
        <w:jc w:val="left"/>
        <w:rPr>
          <w:rFonts w:ascii="宋体" w:eastAsia="宋体"/>
        </w:rPr>
      </w:pPr>
      <w:r>
        <w:rPr>
          <w:rFonts w:hint="eastAsia" w:ascii="宋体" w:eastAsia="宋体"/>
        </w:rPr>
        <w:t>高级管理人员、核心技术人员及重点岗位涉密人员，应签订竞业限制协议（见附录G），并约定竞业限制的范围、地域、生效条件、期限、违约责任、经济补偿等，竞业限制期限应限制在2年内。</w:t>
      </w:r>
    </w:p>
    <w:p>
      <w:pPr>
        <w:pStyle w:val="99"/>
        <w:numPr>
          <w:ilvl w:val="4"/>
          <w:numId w:val="8"/>
        </w:numPr>
        <w:spacing w:before="0" w:beforeLines="0" w:after="0" w:afterLines="0"/>
        <w:jc w:val="left"/>
        <w:rPr>
          <w:rFonts w:ascii="宋体" w:eastAsia="宋体"/>
        </w:rPr>
      </w:pPr>
      <w:r>
        <w:rPr>
          <w:rFonts w:hint="eastAsia" w:ascii="宋体" w:eastAsia="宋体"/>
        </w:rPr>
        <w:t>涉密人员入职前应提醒其需要遵守的保密事项，告知其需要履行的保密义务，并提醒其不应泄露前雇主的保密信息。必要时，可要求其签署员工不侵犯他人商业秘密承诺书（见附录H）。</w:t>
      </w:r>
    </w:p>
    <w:p>
      <w:pPr>
        <w:pStyle w:val="92"/>
        <w:spacing w:before="156" w:after="156"/>
        <w:jc w:val="left"/>
      </w:pPr>
      <w:bookmarkStart w:id="557" w:name="_Toc3425"/>
      <w:bookmarkStart w:id="558" w:name="_Toc143001052"/>
      <w:bookmarkStart w:id="559" w:name="_Toc143001095"/>
      <w:r>
        <w:rPr>
          <w:rFonts w:hint="eastAsia"/>
        </w:rPr>
        <w:t>履职</w:t>
      </w:r>
      <w:r>
        <w:t>管理</w:t>
      </w:r>
      <w:bookmarkEnd w:id="557"/>
      <w:bookmarkEnd w:id="558"/>
      <w:bookmarkEnd w:id="559"/>
    </w:p>
    <w:p>
      <w:pPr>
        <w:pStyle w:val="99"/>
        <w:numPr>
          <w:ilvl w:val="4"/>
          <w:numId w:val="8"/>
        </w:numPr>
        <w:spacing w:before="156" w:after="156"/>
        <w:jc w:val="left"/>
      </w:pPr>
      <w:r>
        <w:t>保密审批事项</w:t>
      </w:r>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企业应对在职员工常态化管理，防止员工在职期间未经保密办审批出现下列行为：</w:t>
      </w:r>
    </w:p>
    <w:p>
      <w:pPr>
        <w:pStyle w:val="105"/>
        <w:numPr>
          <w:ilvl w:val="0"/>
          <w:numId w:val="44"/>
        </w:numPr>
        <w:jc w:val="left"/>
      </w:pPr>
      <w:r>
        <w:t>披露企业未公开的涉密信息；</w:t>
      </w:r>
    </w:p>
    <w:p>
      <w:pPr>
        <w:pStyle w:val="105"/>
        <w:numPr>
          <w:ilvl w:val="0"/>
          <w:numId w:val="36"/>
        </w:numPr>
        <w:jc w:val="left"/>
      </w:pPr>
      <w:r>
        <w:t>进入非授权涉密区域；</w:t>
      </w:r>
    </w:p>
    <w:p>
      <w:pPr>
        <w:pStyle w:val="105"/>
        <w:numPr>
          <w:ilvl w:val="0"/>
          <w:numId w:val="36"/>
        </w:numPr>
        <w:jc w:val="left"/>
      </w:pPr>
      <w:r>
        <w:t>超范围、超权限接触涉密信息、涉密物品；</w:t>
      </w:r>
    </w:p>
    <w:p>
      <w:pPr>
        <w:pStyle w:val="105"/>
        <w:numPr>
          <w:ilvl w:val="0"/>
          <w:numId w:val="36"/>
        </w:numPr>
        <w:jc w:val="left"/>
      </w:pPr>
      <w:r>
        <w:t>登录未授权账号、系统或设备；</w:t>
      </w:r>
    </w:p>
    <w:p>
      <w:pPr>
        <w:pStyle w:val="105"/>
        <w:numPr>
          <w:ilvl w:val="0"/>
          <w:numId w:val="36"/>
        </w:numPr>
        <w:jc w:val="left"/>
      </w:pPr>
      <w:r>
        <w:t>拍摄、抄录涉密信息；</w:t>
      </w:r>
    </w:p>
    <w:p>
      <w:pPr>
        <w:pStyle w:val="105"/>
        <w:numPr>
          <w:ilvl w:val="0"/>
          <w:numId w:val="36"/>
        </w:numPr>
        <w:jc w:val="left"/>
      </w:pPr>
      <w:r>
        <w:t>复制、发送涉密电子信息；</w:t>
      </w:r>
    </w:p>
    <w:p>
      <w:pPr>
        <w:pStyle w:val="105"/>
        <w:numPr>
          <w:ilvl w:val="0"/>
          <w:numId w:val="36"/>
        </w:numPr>
        <w:jc w:val="left"/>
      </w:pPr>
      <w:r>
        <w:t>将涉密电子信息存</w:t>
      </w:r>
      <w:r>
        <w:rPr>
          <w:rFonts w:hint="eastAsia"/>
        </w:rPr>
        <w:t>储</w:t>
      </w:r>
      <w:r>
        <w:t>于未授权载体或网络空间</w:t>
      </w:r>
      <w:r>
        <w:rPr>
          <w:rFonts w:hint="eastAsia"/>
        </w:rPr>
        <w:t>；</w:t>
      </w:r>
    </w:p>
    <w:p>
      <w:pPr>
        <w:pStyle w:val="105"/>
        <w:numPr>
          <w:ilvl w:val="0"/>
          <w:numId w:val="36"/>
        </w:numPr>
        <w:jc w:val="left"/>
      </w:pPr>
      <w:r>
        <w:rPr>
          <w:rFonts w:hint="eastAsia"/>
        </w:rPr>
        <w:t>其他可能泄密的行为。</w:t>
      </w:r>
    </w:p>
    <w:p>
      <w:pPr>
        <w:pStyle w:val="99"/>
        <w:numPr>
          <w:ilvl w:val="4"/>
          <w:numId w:val="8"/>
        </w:numPr>
        <w:spacing w:before="156" w:after="156"/>
        <w:jc w:val="left"/>
      </w:pPr>
      <w:r>
        <w:t>保密承诺书</w:t>
      </w:r>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企业应根据员工接触项目所涉及的商业秘密信息，要求其签署项目保密承诺书。</w:t>
      </w:r>
    </w:p>
    <w:p>
      <w:pPr>
        <w:pStyle w:val="99"/>
        <w:numPr>
          <w:ilvl w:val="4"/>
          <w:numId w:val="8"/>
        </w:numPr>
        <w:spacing w:before="156" w:after="156"/>
        <w:jc w:val="left"/>
      </w:pPr>
      <w:r>
        <w:t>保密奖惩制度</w:t>
      </w:r>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企业宜建立商业秘密保密管理奖惩制度。鼓励员工举报违反企业商业秘密规定的行为，发现企业保密管理制度、措施和技术手段存在的漏洞。对采纳的线索或意见给予奖励，对员工违反企业商业秘密管理规定的行为，设置相适应的惩罚措施。</w:t>
      </w:r>
    </w:p>
    <w:p>
      <w:pPr>
        <w:pStyle w:val="92"/>
        <w:spacing w:before="156" w:after="156"/>
        <w:jc w:val="left"/>
        <w:rPr>
          <w:rFonts w:ascii="宋体" w:eastAsia="宋体"/>
        </w:rPr>
      </w:pPr>
      <w:bookmarkStart w:id="560" w:name="_Toc143001053"/>
      <w:bookmarkStart w:id="561" w:name="_Toc30681"/>
      <w:bookmarkStart w:id="562" w:name="_Toc143001096"/>
      <w:r>
        <w:rPr>
          <w:rFonts w:hint="eastAsia"/>
        </w:rPr>
        <w:t>离职管理</w:t>
      </w:r>
      <w:bookmarkEnd w:id="560"/>
      <w:bookmarkEnd w:id="561"/>
      <w:bookmarkEnd w:id="562"/>
    </w:p>
    <w:p>
      <w:pPr>
        <w:pStyle w:val="103"/>
        <w:numPr>
          <w:ilvl w:val="4"/>
          <w:numId w:val="8"/>
        </w:numPr>
        <w:jc w:val="left"/>
      </w:pPr>
      <w:r>
        <w:rPr>
          <w:rFonts w:hint="eastAsia"/>
        </w:rPr>
        <w:t>企业应在涉密员工离职前确认并完成以下事项：</w:t>
      </w:r>
    </w:p>
    <w:p>
      <w:pPr>
        <w:pStyle w:val="105"/>
        <w:numPr>
          <w:ilvl w:val="0"/>
          <w:numId w:val="45"/>
        </w:numPr>
        <w:jc w:val="left"/>
      </w:pPr>
      <w:r>
        <w:t>确认是否已签署保密协议，如未签署需补签；</w:t>
      </w:r>
    </w:p>
    <w:p>
      <w:pPr>
        <w:pStyle w:val="105"/>
        <w:numPr>
          <w:ilvl w:val="0"/>
          <w:numId w:val="36"/>
        </w:numPr>
        <w:jc w:val="left"/>
      </w:pPr>
      <w:r>
        <w:rPr>
          <w:rFonts w:hint="eastAsia"/>
        </w:rPr>
        <w:t>确认是否需要启动脱密期，如启动应及时调整工作岗位，变更劳动合同内容；</w:t>
      </w:r>
    </w:p>
    <w:p>
      <w:pPr>
        <w:pStyle w:val="105"/>
        <w:numPr>
          <w:ilvl w:val="0"/>
          <w:numId w:val="36"/>
        </w:numPr>
        <w:jc w:val="left"/>
      </w:pPr>
      <w:r>
        <w:t>评估是否需要履行竞业限制协议或与其重新签署竞业限制协议；</w:t>
      </w:r>
      <w:r>
        <w:rPr>
          <w:rFonts w:hint="eastAsia"/>
        </w:rPr>
        <w:t>对已启用脱密期的员工，不再履行竞业限制协议，</w:t>
      </w:r>
      <w:r>
        <w:t>对需要履行竞业限制义务的</w:t>
      </w:r>
      <w:r>
        <w:rPr>
          <w:rFonts w:hint="eastAsia"/>
        </w:rPr>
        <w:t>员工宜</w:t>
      </w:r>
      <w:r>
        <w:t>定期掌握其在竞业限制期限内的任职去向</w:t>
      </w:r>
      <w:r>
        <w:rPr>
          <w:rFonts w:hint="eastAsia"/>
        </w:rPr>
        <w:t>；</w:t>
      </w:r>
    </w:p>
    <w:p>
      <w:pPr>
        <w:pStyle w:val="105"/>
        <w:numPr>
          <w:ilvl w:val="0"/>
          <w:numId w:val="36"/>
        </w:numPr>
        <w:jc w:val="left"/>
      </w:pPr>
      <w:r>
        <w:t>与其签署保密承诺书，要求其声明不再拥有任何与商业秘密相关的载体；</w:t>
      </w:r>
    </w:p>
    <w:p>
      <w:pPr>
        <w:pStyle w:val="105"/>
        <w:numPr>
          <w:ilvl w:val="0"/>
          <w:numId w:val="36"/>
        </w:numPr>
        <w:jc w:val="left"/>
      </w:pPr>
      <w:r>
        <w:t>离职面谈，告知其负有的保密义务、禁止行为以及违反保密义务的法律责任；</w:t>
      </w:r>
    </w:p>
    <w:p>
      <w:pPr>
        <w:pStyle w:val="105"/>
        <w:numPr>
          <w:ilvl w:val="0"/>
          <w:numId w:val="36"/>
        </w:numPr>
        <w:jc w:val="left"/>
      </w:pPr>
      <w:r>
        <w:t>检查其工作电脑数据是否完整，工作系统、账号的访问日志是否有异常，邮箱邮件收发记录，离职前一定期限内涉密文档、数据的查阅和使用情况等</w:t>
      </w:r>
      <w:r>
        <w:rPr>
          <w:rFonts w:hint="eastAsia"/>
        </w:rPr>
        <w:t>；</w:t>
      </w:r>
    </w:p>
    <w:p>
      <w:pPr>
        <w:pStyle w:val="105"/>
        <w:numPr>
          <w:ilvl w:val="0"/>
          <w:numId w:val="36"/>
        </w:numPr>
        <w:jc w:val="left"/>
      </w:pPr>
      <w:r>
        <w:rPr>
          <w:rFonts w:hint="eastAsia"/>
        </w:rPr>
        <w:t>其他企业认为有必要确认的事项</w:t>
      </w:r>
      <w:r>
        <w:t>。</w:t>
      </w:r>
    </w:p>
    <w:p>
      <w:pPr>
        <w:pStyle w:val="103"/>
        <w:numPr>
          <w:ilvl w:val="4"/>
          <w:numId w:val="8"/>
        </w:numPr>
        <w:jc w:val="left"/>
      </w:pPr>
      <w:r>
        <w:rPr>
          <w:rFonts w:hint="eastAsia"/>
        </w:rPr>
        <w:t>企业应提醒离职员工主动移交所有涉密载体、门禁卡、钥匙、账户信息等，签收交接清单。</w:t>
      </w:r>
    </w:p>
    <w:p>
      <w:pPr>
        <w:pStyle w:val="103"/>
        <w:numPr>
          <w:ilvl w:val="4"/>
          <w:numId w:val="8"/>
        </w:numPr>
        <w:jc w:val="left"/>
      </w:pPr>
      <w:r>
        <w:rPr>
          <w:rFonts w:hint="eastAsia"/>
        </w:rPr>
        <w:t>企业应及时回收注销离职员工的办公、网络、门禁等系统权限，及时通知与离职员工有关的供应商、客户、合作单位等，告知离职交接情况。</w:t>
      </w:r>
    </w:p>
    <w:p>
      <w:pPr>
        <w:pStyle w:val="92"/>
        <w:spacing w:before="156" w:after="156"/>
        <w:jc w:val="left"/>
      </w:pPr>
      <w:bookmarkStart w:id="563" w:name="_Toc10185"/>
      <w:r>
        <w:t>保密教育</w:t>
      </w:r>
      <w:bookmarkEnd w:id="563"/>
    </w:p>
    <w:p>
      <w:pPr>
        <w:pStyle w:val="103"/>
        <w:numPr>
          <w:ilvl w:val="4"/>
          <w:numId w:val="8"/>
        </w:numPr>
        <w:jc w:val="left"/>
      </w:pPr>
      <w:r>
        <w:rPr>
          <w:rFonts w:hint="eastAsia"/>
        </w:rPr>
        <w:t>保密培训形式可采用线上、线下集中培训或录制成视频、音频课程等方式开展，保存培训记录并归档。</w:t>
      </w:r>
    </w:p>
    <w:p>
      <w:pPr>
        <w:pStyle w:val="103"/>
        <w:numPr>
          <w:ilvl w:val="4"/>
          <w:numId w:val="8"/>
        </w:numPr>
        <w:jc w:val="left"/>
      </w:pPr>
      <w:r>
        <w:rPr>
          <w:rFonts w:hint="eastAsia"/>
        </w:rPr>
        <w:t>保密培训内容宜包括以下几个方面：</w:t>
      </w:r>
    </w:p>
    <w:p>
      <w:pPr>
        <w:pStyle w:val="105"/>
        <w:numPr>
          <w:ilvl w:val="0"/>
          <w:numId w:val="46"/>
        </w:numPr>
        <w:jc w:val="left"/>
      </w:pPr>
      <w:r>
        <w:t>商业秘密基础知识；</w:t>
      </w:r>
    </w:p>
    <w:p>
      <w:pPr>
        <w:pStyle w:val="105"/>
        <w:numPr>
          <w:ilvl w:val="0"/>
          <w:numId w:val="36"/>
        </w:numPr>
        <w:jc w:val="left"/>
      </w:pPr>
      <w:r>
        <w:t>员工的商业秘密保护权利和义务；</w:t>
      </w:r>
    </w:p>
    <w:p>
      <w:pPr>
        <w:pStyle w:val="105"/>
        <w:numPr>
          <w:ilvl w:val="0"/>
          <w:numId w:val="36"/>
        </w:numPr>
        <w:jc w:val="left"/>
      </w:pPr>
      <w:r>
        <w:t>常见的泄露或侵害企业</w:t>
      </w:r>
      <w:r>
        <w:rPr>
          <w:rFonts w:hint="eastAsia"/>
        </w:rPr>
        <w:t>商业</w:t>
      </w:r>
      <w:r>
        <w:t>秘密的行为及相关案例；</w:t>
      </w:r>
    </w:p>
    <w:p>
      <w:pPr>
        <w:pStyle w:val="105"/>
        <w:numPr>
          <w:ilvl w:val="0"/>
          <w:numId w:val="36"/>
        </w:numPr>
        <w:jc w:val="left"/>
      </w:pPr>
      <w:r>
        <w:t>侵害商业秘密可能会承担</w:t>
      </w:r>
      <w:r>
        <w:rPr>
          <w:rFonts w:hint="eastAsia"/>
        </w:rPr>
        <w:t>的</w:t>
      </w:r>
      <w:r>
        <w:t>法律责任；</w:t>
      </w:r>
    </w:p>
    <w:p>
      <w:pPr>
        <w:pStyle w:val="105"/>
        <w:numPr>
          <w:ilvl w:val="0"/>
          <w:numId w:val="36"/>
        </w:numPr>
        <w:jc w:val="left"/>
      </w:pPr>
      <w:r>
        <w:t>企业商业秘密保护制度、程序</w:t>
      </w:r>
      <w:r>
        <w:rPr>
          <w:rFonts w:hint="eastAsia"/>
        </w:rPr>
        <w:t>；</w:t>
      </w:r>
    </w:p>
    <w:p>
      <w:pPr>
        <w:pStyle w:val="105"/>
        <w:numPr>
          <w:ilvl w:val="0"/>
          <w:numId w:val="36"/>
        </w:numPr>
        <w:jc w:val="left"/>
      </w:pPr>
      <w:r>
        <w:rPr>
          <w:rFonts w:hint="eastAsia"/>
        </w:rPr>
        <w:t>使用人工智能语言模型等新兴产品时的保密义务与操作规则；</w:t>
      </w:r>
    </w:p>
    <w:p>
      <w:pPr>
        <w:pStyle w:val="105"/>
        <w:numPr>
          <w:ilvl w:val="0"/>
          <w:numId w:val="36"/>
        </w:numPr>
        <w:jc w:val="left"/>
      </w:pPr>
      <w:r>
        <w:rPr>
          <w:rFonts w:hint="eastAsia"/>
        </w:rPr>
        <w:t>其他企业认为需要培训的内容。</w:t>
      </w:r>
    </w:p>
    <w:p>
      <w:pPr>
        <w:pStyle w:val="103"/>
        <w:numPr>
          <w:ilvl w:val="4"/>
          <w:numId w:val="8"/>
        </w:numPr>
        <w:jc w:val="left"/>
      </w:pPr>
      <w:r>
        <w:rPr>
          <w:rFonts w:hint="eastAsia"/>
        </w:rPr>
        <w:t>企业宜通过以下方式对员工开展保密宣传：</w:t>
      </w:r>
    </w:p>
    <w:p>
      <w:pPr>
        <w:pStyle w:val="105"/>
        <w:numPr>
          <w:ilvl w:val="0"/>
          <w:numId w:val="47"/>
        </w:numPr>
        <w:jc w:val="left"/>
      </w:pPr>
      <w:r>
        <w:t>召开全体员工保密动员会；</w:t>
      </w:r>
    </w:p>
    <w:p>
      <w:pPr>
        <w:pStyle w:val="105"/>
        <w:numPr>
          <w:ilvl w:val="0"/>
          <w:numId w:val="36"/>
        </w:numPr>
        <w:jc w:val="left"/>
      </w:pPr>
      <w:r>
        <w:t>发放员工保密管理手册；</w:t>
      </w:r>
    </w:p>
    <w:p>
      <w:pPr>
        <w:pStyle w:val="105"/>
        <w:numPr>
          <w:ilvl w:val="0"/>
          <w:numId w:val="36"/>
        </w:numPr>
        <w:jc w:val="left"/>
      </w:pPr>
      <w:r>
        <w:t>在办公场所内张贴宣传标语、播放宣传视频；</w:t>
      </w:r>
    </w:p>
    <w:p>
      <w:pPr>
        <w:pStyle w:val="105"/>
        <w:numPr>
          <w:ilvl w:val="0"/>
          <w:numId w:val="36"/>
        </w:numPr>
        <w:jc w:val="left"/>
      </w:pPr>
      <w:r>
        <w:t>定期向员工发送宣传案例</w:t>
      </w:r>
      <w:r>
        <w:rPr>
          <w:rFonts w:hint="eastAsia"/>
        </w:rPr>
        <w:t>；</w:t>
      </w:r>
    </w:p>
    <w:p>
      <w:pPr>
        <w:pStyle w:val="105"/>
        <w:numPr>
          <w:ilvl w:val="0"/>
          <w:numId w:val="36"/>
        </w:numPr>
        <w:jc w:val="left"/>
      </w:pPr>
      <w:r>
        <w:rPr>
          <w:rFonts w:hint="eastAsia"/>
        </w:rPr>
        <w:t>其他保密宣传手段。</w:t>
      </w:r>
    </w:p>
    <w:p>
      <w:pPr>
        <w:pStyle w:val="87"/>
        <w:spacing w:before="156" w:after="156"/>
        <w:jc w:val="left"/>
      </w:pPr>
      <w:bookmarkStart w:id="564" w:name="_Toc165302358"/>
      <w:bookmarkStart w:id="565" w:name="_Toc157415842"/>
      <w:bookmarkStart w:id="566" w:name="_Toc157414276"/>
      <w:bookmarkStart w:id="567" w:name="_Toc164760887"/>
      <w:bookmarkStart w:id="568" w:name="_Toc164761904"/>
      <w:bookmarkStart w:id="569" w:name="_Toc31370"/>
      <w:bookmarkStart w:id="570" w:name="_Toc22525"/>
      <w:bookmarkStart w:id="571" w:name="_Toc12773"/>
      <w:bookmarkStart w:id="572" w:name="_Toc146287363"/>
      <w:bookmarkStart w:id="573" w:name="_Toc164762084"/>
      <w:bookmarkStart w:id="574" w:name="_Toc143001054"/>
      <w:bookmarkStart w:id="575" w:name="_Toc148011729"/>
      <w:bookmarkStart w:id="576" w:name="_Toc161059118"/>
      <w:bookmarkStart w:id="577" w:name="_Toc143001097"/>
      <w:bookmarkStart w:id="578" w:name="_Toc29470"/>
      <w:bookmarkStart w:id="579" w:name="_Toc157414235"/>
      <w:bookmarkStart w:id="580" w:name="_Toc157418249"/>
      <w:bookmarkStart w:id="581" w:name="_Toc26632"/>
      <w:bookmarkStart w:id="582" w:name="_Toc161057443"/>
      <w:bookmarkStart w:id="583" w:name="_Toc143074508"/>
      <w:bookmarkStart w:id="584" w:name="_Toc164761538"/>
      <w:bookmarkStart w:id="585" w:name="_Toc16114"/>
      <w:r>
        <w:rPr>
          <w:rFonts w:hint="eastAsia"/>
        </w:rPr>
        <w:t>涉密载体管理</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92"/>
        <w:spacing w:before="156" w:after="156"/>
        <w:jc w:val="left"/>
      </w:pPr>
      <w:bookmarkStart w:id="586" w:name="_Toc17437"/>
      <w:r>
        <w:t>纸质文档</w:t>
      </w:r>
      <w:bookmarkEnd w:id="586"/>
    </w:p>
    <w:p>
      <w:pPr>
        <w:pStyle w:val="99"/>
        <w:numPr>
          <w:ilvl w:val="4"/>
          <w:numId w:val="8"/>
        </w:numPr>
        <w:spacing w:before="156" w:after="156"/>
        <w:jc w:val="left"/>
      </w:pPr>
      <w:r>
        <w:t>保管</w:t>
      </w:r>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涉密纸质文档应存放于设置保密柜的保密室，有专人保管，并登记造册，定期根据清单清点。</w:t>
      </w:r>
    </w:p>
    <w:p>
      <w:pPr>
        <w:pStyle w:val="99"/>
        <w:numPr>
          <w:ilvl w:val="4"/>
          <w:numId w:val="8"/>
        </w:numPr>
        <w:spacing w:before="156" w:after="156"/>
        <w:jc w:val="left"/>
      </w:pPr>
      <w:r>
        <w:t>使用</w:t>
      </w:r>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涉密纸质文档不应打印、扫描、传真和借阅，若确有需要复印和查阅的，应按权限或经过审批使用，履行登记手续，复印件与原件的密级和保密期限相同。</w:t>
      </w:r>
    </w:p>
    <w:p>
      <w:pPr>
        <w:pStyle w:val="99"/>
        <w:numPr>
          <w:ilvl w:val="4"/>
          <w:numId w:val="8"/>
        </w:numPr>
        <w:spacing w:before="156" w:after="156"/>
        <w:jc w:val="left"/>
      </w:pPr>
      <w:r>
        <w:t>销毁</w:t>
      </w:r>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废弃的纸质文档应按规定方式销毁，不应随意丢弃，并做好销毁人员、时间、数量、方式等信息的留存。</w:t>
      </w:r>
    </w:p>
    <w:p>
      <w:pPr>
        <w:pStyle w:val="92"/>
        <w:spacing w:before="156" w:after="156"/>
        <w:jc w:val="left"/>
      </w:pPr>
      <w:bookmarkStart w:id="587" w:name="_Toc28008"/>
      <w:bookmarkStart w:id="588" w:name="_Toc10971"/>
      <w:r>
        <w:t>电子</w:t>
      </w:r>
      <w:r>
        <w:rPr>
          <w:rFonts w:hint="eastAsia"/>
        </w:rPr>
        <w:t>文件</w:t>
      </w:r>
      <w:bookmarkEnd w:id="587"/>
      <w:bookmarkEnd w:id="588"/>
    </w:p>
    <w:p>
      <w:pPr>
        <w:pStyle w:val="99"/>
        <w:numPr>
          <w:ilvl w:val="4"/>
          <w:numId w:val="8"/>
        </w:numPr>
        <w:spacing w:before="156" w:after="156"/>
        <w:ind w:left="1987" w:hanging="1986" w:hangingChars="946"/>
        <w:jc w:val="left"/>
      </w:pPr>
      <w:r>
        <w:t>存储</w:t>
      </w:r>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涉密电子文件应采用加密方式存储于企业授权的存储设备、应用系统或云存储空间，并定期备份。</w:t>
      </w:r>
    </w:p>
    <w:p>
      <w:pPr>
        <w:pStyle w:val="99"/>
        <w:numPr>
          <w:ilvl w:val="4"/>
          <w:numId w:val="8"/>
        </w:numPr>
        <w:spacing w:before="156" w:after="156"/>
        <w:ind w:left="1987" w:hanging="1986" w:hangingChars="946"/>
        <w:jc w:val="left"/>
      </w:pPr>
      <w:r>
        <w:t>流转</w:t>
      </w:r>
    </w:p>
    <w:p>
      <w:pPr>
        <w:pStyle w:val="104"/>
        <w:numPr>
          <w:ilvl w:val="5"/>
          <w:numId w:val="8"/>
        </w:numPr>
        <w:jc w:val="left"/>
      </w:pPr>
      <w:r>
        <w:rPr>
          <w:rFonts w:hint="eastAsia"/>
        </w:rPr>
        <w:t>涉密电子文件的收发应使用唯一出入口，对涉密数据流入流出行为审批，关联企业间的涉密信息流转也应履行相应的审批手续。</w:t>
      </w:r>
    </w:p>
    <w:p>
      <w:pPr>
        <w:pStyle w:val="104"/>
        <w:numPr>
          <w:ilvl w:val="5"/>
          <w:numId w:val="8"/>
        </w:numPr>
        <w:jc w:val="left"/>
      </w:pPr>
      <w:r>
        <w:rPr>
          <w:rFonts w:hint="eastAsia"/>
        </w:rPr>
        <w:t>涉密电子文件的流转宜采取下列管理措施：</w:t>
      </w:r>
    </w:p>
    <w:p>
      <w:pPr>
        <w:pStyle w:val="105"/>
        <w:numPr>
          <w:ilvl w:val="0"/>
          <w:numId w:val="48"/>
        </w:numPr>
        <w:jc w:val="left"/>
      </w:pPr>
      <w:r>
        <w:t>设置加密和签名；</w:t>
      </w:r>
    </w:p>
    <w:p>
      <w:pPr>
        <w:pStyle w:val="105"/>
        <w:numPr>
          <w:ilvl w:val="0"/>
          <w:numId w:val="36"/>
        </w:numPr>
        <w:jc w:val="left"/>
      </w:pPr>
      <w:r>
        <w:t>指定专人解密；</w:t>
      </w:r>
    </w:p>
    <w:p>
      <w:pPr>
        <w:pStyle w:val="105"/>
        <w:numPr>
          <w:ilvl w:val="0"/>
          <w:numId w:val="36"/>
        </w:numPr>
        <w:jc w:val="left"/>
      </w:pPr>
      <w:r>
        <w:t>限定文档的读写权限、打开次数和时限；</w:t>
      </w:r>
    </w:p>
    <w:p>
      <w:pPr>
        <w:pStyle w:val="105"/>
        <w:numPr>
          <w:ilvl w:val="0"/>
          <w:numId w:val="36"/>
        </w:numPr>
        <w:jc w:val="left"/>
      </w:pPr>
      <w:r>
        <w:rPr>
          <w:rFonts w:hint="eastAsia"/>
        </w:rPr>
        <w:t>定期跟踪文档管理系统中涉密信息的操作日志，确保信息可追溯；</w:t>
      </w:r>
    </w:p>
    <w:p>
      <w:pPr>
        <w:pStyle w:val="105"/>
        <w:numPr>
          <w:ilvl w:val="0"/>
          <w:numId w:val="36"/>
        </w:numPr>
        <w:jc w:val="left"/>
      </w:pPr>
      <w:r>
        <w:t>在文档首页、页眉、页脚、页面水印等处设置保密义务提醒；</w:t>
      </w:r>
    </w:p>
    <w:p>
      <w:pPr>
        <w:pStyle w:val="105"/>
        <w:numPr>
          <w:ilvl w:val="0"/>
          <w:numId w:val="36"/>
        </w:numPr>
        <w:jc w:val="left"/>
      </w:pPr>
      <w:r>
        <w:t>通过内部局域网或加密网络通道对外传输</w:t>
      </w:r>
      <w:r>
        <w:rPr>
          <w:rFonts w:hint="eastAsia"/>
        </w:rPr>
        <w:t>；</w:t>
      </w:r>
    </w:p>
    <w:p>
      <w:pPr>
        <w:pStyle w:val="105"/>
        <w:numPr>
          <w:ilvl w:val="0"/>
          <w:numId w:val="36"/>
        </w:numPr>
        <w:jc w:val="left"/>
      </w:pPr>
      <w:r>
        <w:rPr>
          <w:rFonts w:hint="eastAsia"/>
        </w:rPr>
        <w:t>其他企业认为有必要采取的管理措施</w:t>
      </w:r>
      <w:r>
        <w:t>。</w:t>
      </w:r>
    </w:p>
    <w:p>
      <w:pPr>
        <w:pStyle w:val="99"/>
        <w:numPr>
          <w:ilvl w:val="4"/>
          <w:numId w:val="8"/>
        </w:numPr>
        <w:spacing w:before="156" w:after="156"/>
        <w:ind w:left="1987" w:hanging="1986" w:hangingChars="946"/>
        <w:jc w:val="left"/>
      </w:pPr>
      <w:r>
        <w:t>权限管理</w:t>
      </w:r>
    </w:p>
    <w:p>
      <w:pPr>
        <w:pStyle w:val="104"/>
        <w:numPr>
          <w:ilvl w:val="5"/>
          <w:numId w:val="8"/>
        </w:numPr>
        <w:jc w:val="left"/>
      </w:pPr>
      <w:r>
        <w:rPr>
          <w:rFonts w:hint="eastAsia"/>
        </w:rPr>
        <w:t>企业应对涉密设备、数据库和各类应用系统及其账户实行权限管理，按岗位职责或特定工作事项以“最小接触范围”原则设定权限：</w:t>
      </w:r>
    </w:p>
    <w:p>
      <w:pPr>
        <w:pStyle w:val="105"/>
        <w:numPr>
          <w:ilvl w:val="0"/>
          <w:numId w:val="49"/>
        </w:numPr>
        <w:jc w:val="left"/>
      </w:pPr>
      <w:r>
        <w:t>合理分配不同层级账户的功能和审批权限；</w:t>
      </w:r>
    </w:p>
    <w:p>
      <w:pPr>
        <w:pStyle w:val="105"/>
        <w:numPr>
          <w:ilvl w:val="0"/>
          <w:numId w:val="36"/>
        </w:numPr>
        <w:jc w:val="left"/>
      </w:pPr>
      <w:r>
        <w:t>合理分配项目中不同账户的功能和使用期限；</w:t>
      </w:r>
    </w:p>
    <w:p>
      <w:pPr>
        <w:pStyle w:val="105"/>
        <w:numPr>
          <w:ilvl w:val="0"/>
          <w:numId w:val="36"/>
        </w:numPr>
        <w:jc w:val="left"/>
      </w:pPr>
      <w:r>
        <w:t>合理设定不同账户的访问、操作、查看等权限及使用期限；</w:t>
      </w:r>
    </w:p>
    <w:p>
      <w:pPr>
        <w:pStyle w:val="105"/>
        <w:numPr>
          <w:ilvl w:val="0"/>
          <w:numId w:val="36"/>
        </w:numPr>
        <w:jc w:val="left"/>
      </w:pPr>
      <w:r>
        <w:t>合理设定不同账户的互联网使用权限</w:t>
      </w:r>
      <w:r>
        <w:rPr>
          <w:rFonts w:hint="eastAsia"/>
        </w:rPr>
        <w:t>；</w:t>
      </w:r>
    </w:p>
    <w:p>
      <w:pPr>
        <w:pStyle w:val="105"/>
        <w:numPr>
          <w:ilvl w:val="0"/>
          <w:numId w:val="36"/>
        </w:numPr>
        <w:jc w:val="left"/>
      </w:pPr>
      <w:r>
        <w:rPr>
          <w:rFonts w:hint="eastAsia"/>
        </w:rPr>
        <w:t>其他有必要设置权限的软件、系统或设备等</w:t>
      </w:r>
      <w:r>
        <w:t>。</w:t>
      </w:r>
    </w:p>
    <w:p>
      <w:pPr>
        <w:pStyle w:val="104"/>
        <w:numPr>
          <w:ilvl w:val="5"/>
          <w:numId w:val="8"/>
        </w:numPr>
        <w:jc w:val="left"/>
      </w:pPr>
      <w:r>
        <w:rPr>
          <w:rFonts w:hint="eastAsia"/>
        </w:rPr>
        <w:t>权限到期、人员转岗、项目或事项变更时应重新授权。</w:t>
      </w:r>
    </w:p>
    <w:p>
      <w:pPr>
        <w:pStyle w:val="92"/>
        <w:spacing w:before="156" w:after="156"/>
        <w:jc w:val="left"/>
      </w:pPr>
      <w:bookmarkStart w:id="589" w:name="_Toc20836"/>
      <w:r>
        <w:rPr>
          <w:rFonts w:hint="eastAsia"/>
        </w:rPr>
        <w:t>移动</w:t>
      </w:r>
      <w:r>
        <w:t>存储介质</w:t>
      </w:r>
      <w:bookmarkEnd w:id="589"/>
    </w:p>
    <w:p>
      <w:pPr>
        <w:pStyle w:val="103"/>
        <w:numPr>
          <w:ilvl w:val="4"/>
          <w:numId w:val="8"/>
        </w:numPr>
        <w:jc w:val="left"/>
      </w:pPr>
      <w:r>
        <w:rPr>
          <w:rFonts w:hint="eastAsia"/>
        </w:rPr>
        <w:t>移动存储介质应经审批后存储商业秘密。</w:t>
      </w:r>
    </w:p>
    <w:p>
      <w:pPr>
        <w:pStyle w:val="103"/>
        <w:numPr>
          <w:ilvl w:val="4"/>
          <w:numId w:val="8"/>
        </w:numPr>
        <w:jc w:val="left"/>
      </w:pPr>
      <w:r>
        <w:rPr>
          <w:rFonts w:hint="eastAsia"/>
        </w:rPr>
        <w:t>涉密移动储存介质应由专人专管，并采取内容加密、设备绑定等保密措施，不应连接非涉密或未采取保密措施的计算机或电子设备。</w:t>
      </w:r>
    </w:p>
    <w:p>
      <w:pPr>
        <w:pStyle w:val="92"/>
        <w:spacing w:before="156" w:after="156"/>
        <w:jc w:val="left"/>
      </w:pPr>
      <w:bookmarkStart w:id="590" w:name="_Toc21932"/>
      <w:r>
        <w:t>计算机</w:t>
      </w:r>
      <w:bookmarkEnd w:id="590"/>
    </w:p>
    <w:p>
      <w:pPr>
        <w:pStyle w:val="103"/>
        <w:numPr>
          <w:ilvl w:val="4"/>
          <w:numId w:val="8"/>
        </w:numPr>
        <w:jc w:val="left"/>
      </w:pPr>
      <w:r>
        <w:rPr>
          <w:rFonts w:hint="eastAsia"/>
        </w:rPr>
        <w:t>涉密计算机应关闭或禁用移动存储、光驱、蓝牙、无线网卡等数据传输功能，以及摄像头、声卡、话筒等音视频采集功能。</w:t>
      </w:r>
    </w:p>
    <w:p>
      <w:pPr>
        <w:pStyle w:val="103"/>
        <w:numPr>
          <w:ilvl w:val="4"/>
          <w:numId w:val="8"/>
        </w:numPr>
        <w:jc w:val="left"/>
      </w:pPr>
      <w:r>
        <w:rPr>
          <w:rFonts w:hint="eastAsia"/>
        </w:rPr>
        <w:t>设置信息加密系统，确保商业秘密均经过加密处理。</w:t>
      </w:r>
    </w:p>
    <w:p>
      <w:pPr>
        <w:pStyle w:val="103"/>
        <w:numPr>
          <w:ilvl w:val="4"/>
          <w:numId w:val="8"/>
        </w:numPr>
        <w:jc w:val="left"/>
      </w:pPr>
      <w:r>
        <w:rPr>
          <w:rFonts w:hint="eastAsia"/>
        </w:rPr>
        <w:t>涉密计算机的配置、维修、报废应经过审批或授权交由指定人员处理，员工不应私自拆机维修、更换、增加配件。</w:t>
      </w:r>
    </w:p>
    <w:p>
      <w:pPr>
        <w:pStyle w:val="103"/>
        <w:numPr>
          <w:ilvl w:val="4"/>
          <w:numId w:val="8"/>
        </w:numPr>
        <w:jc w:val="left"/>
      </w:pPr>
      <w:r>
        <w:rPr>
          <w:rFonts w:hint="eastAsia"/>
        </w:rPr>
        <w:t>计算机未经批准不应安装非授权软件，不应接入非授权网络。</w:t>
      </w:r>
    </w:p>
    <w:p>
      <w:pPr>
        <w:pStyle w:val="92"/>
        <w:spacing w:before="156" w:after="156"/>
        <w:jc w:val="left"/>
      </w:pPr>
      <w:bookmarkStart w:id="591" w:name="_Toc2203"/>
      <w:r>
        <w:rPr>
          <w:rFonts w:hint="eastAsia"/>
        </w:rPr>
        <w:t>其他涉密设备与产品</w:t>
      </w:r>
      <w:bookmarkEnd w:id="591"/>
    </w:p>
    <w:p>
      <w:pPr>
        <w:pStyle w:val="103"/>
        <w:numPr>
          <w:ilvl w:val="4"/>
          <w:numId w:val="8"/>
        </w:numPr>
        <w:jc w:val="left"/>
      </w:pPr>
      <w:r>
        <w:rPr>
          <w:rFonts w:hint="eastAsia"/>
        </w:rPr>
        <w:t>企业应对直接含有，或通过观察、测试、分析手段能够获得商业秘密信息的设备或产品，详细记录其名称、型号、密级、保密期限等信息，由专人管理，放置于专门的存储区域，采取有效隔离和保护措施，在各环节的交接过程中履行登记签收手续。</w:t>
      </w:r>
    </w:p>
    <w:p>
      <w:pPr>
        <w:pStyle w:val="103"/>
        <w:numPr>
          <w:ilvl w:val="4"/>
          <w:numId w:val="8"/>
        </w:numPr>
        <w:jc w:val="left"/>
      </w:pPr>
      <w:r>
        <w:rPr>
          <w:rFonts w:hint="eastAsia"/>
        </w:rPr>
        <w:t>在采购、运输及试验或使用过程中，通过遮挡、与合作商签订保密协议、限制接触人员等方式降低泄密风险。</w:t>
      </w:r>
    </w:p>
    <w:p>
      <w:pPr>
        <w:pStyle w:val="103"/>
        <w:numPr>
          <w:ilvl w:val="4"/>
          <w:numId w:val="8"/>
        </w:numPr>
        <w:jc w:val="left"/>
      </w:pPr>
      <w:r>
        <w:rPr>
          <w:rFonts w:hint="eastAsia"/>
        </w:rPr>
        <w:t>销毁应在保密办的审核、监督和指导下开展。</w:t>
      </w:r>
    </w:p>
    <w:p>
      <w:pPr>
        <w:pStyle w:val="87"/>
        <w:spacing w:before="156" w:after="156"/>
        <w:jc w:val="left"/>
      </w:pPr>
      <w:bookmarkStart w:id="592" w:name="_Toc146287364"/>
      <w:bookmarkStart w:id="593" w:name="_Toc165302359"/>
      <w:bookmarkStart w:id="594" w:name="_Toc143001098"/>
      <w:bookmarkStart w:id="595" w:name="_Toc143001055"/>
      <w:bookmarkStart w:id="596" w:name="_Toc31275"/>
      <w:bookmarkStart w:id="597" w:name="_Toc157415843"/>
      <w:bookmarkStart w:id="598" w:name="_Toc7099"/>
      <w:bookmarkStart w:id="599" w:name="_Toc164761539"/>
      <w:bookmarkStart w:id="600" w:name="_Toc164761905"/>
      <w:bookmarkStart w:id="601" w:name="_Toc157414236"/>
      <w:bookmarkStart w:id="602" w:name="_Toc18716"/>
      <w:bookmarkStart w:id="603" w:name="_Toc13547"/>
      <w:bookmarkStart w:id="604" w:name="_Toc161059119"/>
      <w:bookmarkStart w:id="605" w:name="_Toc164760888"/>
      <w:bookmarkStart w:id="606" w:name="_Toc157414277"/>
      <w:bookmarkStart w:id="607" w:name="_Toc157418250"/>
      <w:bookmarkStart w:id="608" w:name="_Toc143074509"/>
      <w:bookmarkStart w:id="609" w:name="_Toc164762085"/>
      <w:bookmarkStart w:id="610" w:name="_Toc161057444"/>
      <w:bookmarkStart w:id="611" w:name="_Toc23936"/>
      <w:bookmarkStart w:id="612" w:name="_Toc17007"/>
      <w:bookmarkStart w:id="613" w:name="_Toc148011730"/>
      <w:r>
        <w:rPr>
          <w:rFonts w:hint="eastAsia"/>
        </w:rPr>
        <w:t>涉密区域管理</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92"/>
        <w:spacing w:before="156" w:after="156"/>
        <w:jc w:val="left"/>
      </w:pPr>
      <w:bookmarkStart w:id="614" w:name="_Toc26966"/>
      <w:r>
        <w:t>涉密区域识别</w:t>
      </w:r>
      <w:bookmarkEnd w:id="614"/>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企业宜按不同业务流程识别划分涉密区域，宜将以下区域列为涉密重点区域：</w:t>
      </w:r>
    </w:p>
    <w:p>
      <w:pPr>
        <w:pStyle w:val="105"/>
        <w:numPr>
          <w:ilvl w:val="0"/>
          <w:numId w:val="50"/>
        </w:numPr>
        <w:jc w:val="left"/>
      </w:pPr>
      <w:r>
        <w:t>研发设计环节中的实验室、研发部门核心区域、未公开试验样品存放地等区域；</w:t>
      </w:r>
    </w:p>
    <w:p>
      <w:pPr>
        <w:pStyle w:val="105"/>
        <w:numPr>
          <w:ilvl w:val="0"/>
          <w:numId w:val="36"/>
        </w:numPr>
        <w:jc w:val="left"/>
      </w:pPr>
      <w:r>
        <w:t>采购环节中的原材料、半成品等涉密物资存放区域；</w:t>
      </w:r>
    </w:p>
    <w:p>
      <w:pPr>
        <w:pStyle w:val="105"/>
        <w:numPr>
          <w:ilvl w:val="0"/>
          <w:numId w:val="36"/>
        </w:numPr>
        <w:jc w:val="left"/>
      </w:pPr>
      <w:r>
        <w:t>生产环节中的重要生产车间、重要零部件、模具、夹具等的存放地等区域；</w:t>
      </w:r>
    </w:p>
    <w:p>
      <w:pPr>
        <w:pStyle w:val="105"/>
        <w:numPr>
          <w:ilvl w:val="0"/>
          <w:numId w:val="36"/>
        </w:numPr>
        <w:jc w:val="left"/>
      </w:pPr>
      <w:r>
        <w:t>知识产权、信息管理、财务、人力资源、销售等重点部门的办公场所以及涉密档案和载体的存放区域等其他涉密区域</w:t>
      </w:r>
      <w:r>
        <w:rPr>
          <w:rFonts w:hint="eastAsia"/>
        </w:rPr>
        <w:t>；</w:t>
      </w:r>
    </w:p>
    <w:p>
      <w:pPr>
        <w:pStyle w:val="105"/>
        <w:numPr>
          <w:ilvl w:val="0"/>
          <w:numId w:val="36"/>
        </w:numPr>
        <w:jc w:val="left"/>
      </w:pPr>
      <w:r>
        <w:rPr>
          <w:rFonts w:hint="eastAsia"/>
        </w:rPr>
        <w:t>其他企业认为有必要的区域</w:t>
      </w:r>
      <w:r>
        <w:t>。</w:t>
      </w:r>
    </w:p>
    <w:p>
      <w:pPr>
        <w:pStyle w:val="92"/>
        <w:spacing w:before="156" w:after="156"/>
        <w:jc w:val="left"/>
      </w:pPr>
      <w:bookmarkStart w:id="615" w:name="_Toc26481"/>
      <w:r>
        <w:t>安防措施设置</w:t>
      </w:r>
      <w:bookmarkEnd w:id="615"/>
    </w:p>
    <w:p>
      <w:pPr>
        <w:pStyle w:val="103"/>
        <w:numPr>
          <w:ilvl w:val="4"/>
          <w:numId w:val="8"/>
        </w:numPr>
        <w:jc w:val="left"/>
      </w:pPr>
      <w:r>
        <w:rPr>
          <w:rFonts w:hint="eastAsia"/>
        </w:rPr>
        <w:t>涉密区域入口处应设置门禁，张贴标识和警示语，宜安装视频监控和报警装置。宜采取物理措施将涉密区域与非涉密区域隔离。</w:t>
      </w:r>
    </w:p>
    <w:p>
      <w:pPr>
        <w:pStyle w:val="103"/>
        <w:numPr>
          <w:ilvl w:val="4"/>
          <w:numId w:val="8"/>
        </w:numPr>
        <w:jc w:val="left"/>
      </w:pPr>
      <w:r>
        <w:rPr>
          <w:rFonts w:hint="eastAsia"/>
        </w:rPr>
        <w:t>涉密区域张贴标识时，宜采取如下不同</w:t>
      </w:r>
      <w:r>
        <w:t>颜色</w:t>
      </w:r>
      <w:r>
        <w:rPr>
          <w:rFonts w:hint="eastAsia"/>
        </w:rPr>
        <w:t>标识，区分涉密区域等级：</w:t>
      </w:r>
    </w:p>
    <w:p>
      <w:pPr>
        <w:pStyle w:val="105"/>
        <w:numPr>
          <w:ilvl w:val="0"/>
          <w:numId w:val="51"/>
        </w:numPr>
        <w:jc w:val="left"/>
      </w:pPr>
      <w:r>
        <w:rPr>
          <w:rFonts w:hint="eastAsia"/>
        </w:rPr>
        <w:t>核心涉密区域为红色警示牌；</w:t>
      </w:r>
    </w:p>
    <w:p>
      <w:pPr>
        <w:pStyle w:val="105"/>
        <w:numPr>
          <w:ilvl w:val="0"/>
          <w:numId w:val="51"/>
        </w:numPr>
        <w:jc w:val="left"/>
      </w:pPr>
      <w:r>
        <w:rPr>
          <w:rFonts w:hint="eastAsia"/>
        </w:rPr>
        <w:t>重要涉密区域为黄色警示牌；</w:t>
      </w:r>
    </w:p>
    <w:p>
      <w:pPr>
        <w:pStyle w:val="105"/>
        <w:numPr>
          <w:ilvl w:val="0"/>
          <w:numId w:val="51"/>
        </w:numPr>
        <w:jc w:val="left"/>
      </w:pPr>
      <w:r>
        <w:rPr>
          <w:rFonts w:hint="eastAsia"/>
        </w:rPr>
        <w:t>一般涉密区域为绿色警示牌。</w:t>
      </w:r>
    </w:p>
    <w:p>
      <w:pPr>
        <w:pStyle w:val="92"/>
        <w:spacing w:before="156" w:after="156"/>
        <w:jc w:val="left"/>
      </w:pPr>
      <w:bookmarkStart w:id="616" w:name="_Toc1213"/>
      <w:r>
        <w:t>网络安全手段</w:t>
      </w:r>
      <w:bookmarkEnd w:id="616"/>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企业涉密区域的涉密网络应采取如下保密措施：</w:t>
      </w:r>
    </w:p>
    <w:p>
      <w:pPr>
        <w:pStyle w:val="105"/>
        <w:numPr>
          <w:ilvl w:val="0"/>
          <w:numId w:val="52"/>
        </w:numPr>
        <w:jc w:val="left"/>
      </w:pPr>
      <w:r>
        <w:t>不接入外网；</w:t>
      </w:r>
    </w:p>
    <w:p>
      <w:pPr>
        <w:pStyle w:val="105"/>
        <w:numPr>
          <w:ilvl w:val="0"/>
          <w:numId w:val="36"/>
        </w:numPr>
        <w:jc w:val="left"/>
      </w:pPr>
      <w:r>
        <w:t>与内部网络隔离，不能相互连通；</w:t>
      </w:r>
    </w:p>
    <w:p>
      <w:pPr>
        <w:pStyle w:val="105"/>
        <w:numPr>
          <w:ilvl w:val="0"/>
          <w:numId w:val="36"/>
        </w:numPr>
        <w:jc w:val="left"/>
      </w:pPr>
      <w:r>
        <w:t>通过VPN等方式远程接入涉密区域网络时使用终端准入、权限审批等措施</w:t>
      </w:r>
      <w:r>
        <w:rPr>
          <w:rFonts w:hint="eastAsia"/>
        </w:rPr>
        <w:t>；</w:t>
      </w:r>
    </w:p>
    <w:p>
      <w:pPr>
        <w:pStyle w:val="105"/>
        <w:numPr>
          <w:ilvl w:val="0"/>
          <w:numId w:val="36"/>
        </w:numPr>
        <w:jc w:val="left"/>
      </w:pPr>
      <w:r>
        <w:rPr>
          <w:rFonts w:hint="eastAsia"/>
        </w:rPr>
        <w:t>其他有效的网络安全措施</w:t>
      </w:r>
      <w:r>
        <w:t>。</w:t>
      </w:r>
    </w:p>
    <w:p>
      <w:pPr>
        <w:pStyle w:val="92"/>
        <w:spacing w:before="156" w:after="156"/>
        <w:jc w:val="left"/>
      </w:pPr>
      <w:bookmarkStart w:id="617" w:name="_Toc14002"/>
      <w:r>
        <w:t>人员出入管理</w:t>
      </w:r>
      <w:bookmarkEnd w:id="617"/>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企业应采取如下措施加强涉密区域人员出入管理：</w:t>
      </w:r>
    </w:p>
    <w:p>
      <w:pPr>
        <w:pStyle w:val="105"/>
        <w:numPr>
          <w:ilvl w:val="0"/>
          <w:numId w:val="53"/>
        </w:numPr>
        <w:jc w:val="left"/>
      </w:pPr>
      <w:r>
        <w:t>内部人员出入具备相应权限或经审批获得临时授权，佩戴身份标识卡</w:t>
      </w:r>
      <w:r>
        <w:rPr>
          <w:rFonts w:hint="eastAsia"/>
        </w:rPr>
        <w:t>方可进入</w:t>
      </w:r>
      <w:r>
        <w:t>；</w:t>
      </w:r>
    </w:p>
    <w:p>
      <w:pPr>
        <w:pStyle w:val="105"/>
        <w:numPr>
          <w:ilvl w:val="0"/>
          <w:numId w:val="36"/>
        </w:numPr>
        <w:jc w:val="left"/>
      </w:pPr>
      <w:r>
        <w:t>外部人员访问涉密区域履行出入登记手续后，佩戴临时证件，由专人全程陪同；</w:t>
      </w:r>
    </w:p>
    <w:p>
      <w:pPr>
        <w:pStyle w:val="105"/>
        <w:numPr>
          <w:ilvl w:val="0"/>
          <w:numId w:val="36"/>
        </w:numPr>
        <w:jc w:val="left"/>
      </w:pPr>
      <w:r>
        <w:t>出入人员限制使用具备录音、拍摄、存储功能的设备器材</w:t>
      </w:r>
      <w:r>
        <w:rPr>
          <w:rFonts w:hint="eastAsia"/>
        </w:rPr>
        <w:t>；</w:t>
      </w:r>
    </w:p>
    <w:p>
      <w:pPr>
        <w:pStyle w:val="105"/>
        <w:numPr>
          <w:ilvl w:val="0"/>
          <w:numId w:val="36"/>
        </w:numPr>
        <w:jc w:val="left"/>
      </w:pPr>
      <w:r>
        <w:rPr>
          <w:rFonts w:hint="eastAsia"/>
        </w:rPr>
        <w:t>其他企业认为有必要采取的人员出入管理措施</w:t>
      </w:r>
      <w:r>
        <w:t>。</w:t>
      </w:r>
    </w:p>
    <w:p>
      <w:pPr>
        <w:pStyle w:val="87"/>
        <w:spacing w:before="156" w:after="156"/>
        <w:jc w:val="left"/>
      </w:pPr>
      <w:bookmarkStart w:id="618" w:name="_Toc164761540"/>
      <w:bookmarkStart w:id="619" w:name="_Toc143074510"/>
      <w:bookmarkStart w:id="620" w:name="_Toc157414237"/>
      <w:bookmarkStart w:id="621" w:name="_Toc25712"/>
      <w:bookmarkStart w:id="622" w:name="_Toc164760889"/>
      <w:bookmarkStart w:id="623" w:name="_Toc165302360"/>
      <w:bookmarkStart w:id="624" w:name="_Toc157415844"/>
      <w:bookmarkStart w:id="625" w:name="_Toc148011731"/>
      <w:bookmarkStart w:id="626" w:name="_Toc146287365"/>
      <w:bookmarkStart w:id="627" w:name="_Toc157414278"/>
      <w:bookmarkStart w:id="628" w:name="_Toc143001056"/>
      <w:bookmarkStart w:id="629" w:name="_Toc8207"/>
      <w:bookmarkStart w:id="630" w:name="_Toc143001099"/>
      <w:bookmarkStart w:id="631" w:name="_Toc22994"/>
      <w:bookmarkStart w:id="632" w:name="_Toc10910"/>
      <w:bookmarkStart w:id="633" w:name="_Toc161059120"/>
      <w:bookmarkStart w:id="634" w:name="_Toc164762086"/>
      <w:bookmarkStart w:id="635" w:name="_Toc164761906"/>
      <w:bookmarkStart w:id="636" w:name="_Toc26994"/>
      <w:bookmarkStart w:id="637" w:name="_Toc161057445"/>
      <w:bookmarkStart w:id="638" w:name="_Toc20789"/>
      <w:bookmarkStart w:id="639" w:name="_Toc157418251"/>
      <w:r>
        <w:rPr>
          <w:rFonts w:hint="eastAsia"/>
        </w:rPr>
        <w:t>商务活动管理</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92"/>
        <w:spacing w:before="156" w:after="156"/>
        <w:jc w:val="left"/>
      </w:pPr>
      <w:bookmarkStart w:id="640" w:name="_Toc21607"/>
      <w:r>
        <w:rPr>
          <w:rFonts w:hint="eastAsia"/>
        </w:rPr>
        <w:t>基本要求</w:t>
      </w:r>
      <w:bookmarkEnd w:id="640"/>
    </w:p>
    <w:p>
      <w:pPr>
        <w:pStyle w:val="103"/>
        <w:numPr>
          <w:ilvl w:val="4"/>
          <w:numId w:val="8"/>
        </w:numPr>
        <w:jc w:val="left"/>
      </w:pPr>
      <w:r>
        <w:rPr>
          <w:rFonts w:hint="eastAsia"/>
        </w:rPr>
        <w:t>商务活动中对外提供涉密信息前，应填写《对外信息发布审批表》（见附录I），经保密办审批后方可外发。</w:t>
      </w:r>
    </w:p>
    <w:p>
      <w:pPr>
        <w:pStyle w:val="103"/>
        <w:numPr>
          <w:ilvl w:val="4"/>
          <w:numId w:val="8"/>
        </w:numPr>
        <w:jc w:val="left"/>
      </w:pPr>
      <w:r>
        <w:rPr>
          <w:rFonts w:hint="eastAsia"/>
        </w:rPr>
        <w:t>宜明确告知参与商务活动的员工，对外交流过程中不应直接对外提及企业的商业秘密信息。</w:t>
      </w:r>
    </w:p>
    <w:p>
      <w:pPr>
        <w:pStyle w:val="103"/>
        <w:numPr>
          <w:ilvl w:val="4"/>
          <w:numId w:val="8"/>
        </w:numPr>
        <w:jc w:val="left"/>
      </w:pPr>
      <w:r>
        <w:rPr>
          <w:rFonts w:hint="eastAsia"/>
        </w:rPr>
        <w:t>商务活动中，宜采取信息安全保障手段传输涉密信息，必要时可安排专人跟进涉密信息对外流通环节。</w:t>
      </w:r>
    </w:p>
    <w:p>
      <w:pPr>
        <w:pStyle w:val="92"/>
        <w:spacing w:before="156" w:after="156"/>
        <w:jc w:val="left"/>
      </w:pPr>
      <w:bookmarkStart w:id="641" w:name="_Toc26714"/>
      <w:r>
        <w:rPr>
          <w:rFonts w:hint="eastAsia"/>
        </w:rPr>
        <w:t>技术合作与委托生产</w:t>
      </w:r>
      <w:bookmarkEnd w:id="641"/>
    </w:p>
    <w:p>
      <w:pPr>
        <w:pStyle w:val="103"/>
        <w:numPr>
          <w:ilvl w:val="4"/>
          <w:numId w:val="8"/>
        </w:numPr>
        <w:jc w:val="left"/>
      </w:pPr>
      <w:r>
        <w:rPr>
          <w:rFonts w:hint="eastAsia"/>
        </w:rPr>
        <w:t>在技术合作和委托生产中，应签订保密协议(见附录F），或在合作协议中设置保密条款，约定双方的保密内容与范围、保密责任与义务、违约责任、合作产生的商业秘密的权利归属和利益分配方案等内容。</w:t>
      </w:r>
    </w:p>
    <w:p>
      <w:pPr>
        <w:pStyle w:val="103"/>
        <w:numPr>
          <w:ilvl w:val="4"/>
          <w:numId w:val="8"/>
        </w:numPr>
        <w:jc w:val="left"/>
      </w:pPr>
      <w:r>
        <w:rPr>
          <w:rFonts w:hint="eastAsia"/>
        </w:rPr>
        <w:t>宜采取限制合作方的信息接触权限、定期检查合作方的保密措施等保密手段，防止合作方泄露企业商业秘密。</w:t>
      </w:r>
    </w:p>
    <w:p>
      <w:pPr>
        <w:pStyle w:val="103"/>
        <w:numPr>
          <w:ilvl w:val="4"/>
          <w:numId w:val="8"/>
        </w:numPr>
        <w:jc w:val="left"/>
      </w:pPr>
      <w:r>
        <w:rPr>
          <w:rFonts w:hint="eastAsia"/>
        </w:rPr>
        <w:t>应加强员工对合作方的商业秘密保密意识，注重对合作方商业秘密信息的保密管理。</w:t>
      </w:r>
    </w:p>
    <w:p>
      <w:pPr>
        <w:pStyle w:val="92"/>
        <w:spacing w:before="156" w:after="156"/>
        <w:jc w:val="left"/>
      </w:pPr>
      <w:bookmarkStart w:id="642" w:name="_Toc7824"/>
      <w:r>
        <w:rPr>
          <w:rFonts w:hint="eastAsia"/>
        </w:rPr>
        <w:t>投融资</w:t>
      </w:r>
      <w:bookmarkEnd w:id="642"/>
    </w:p>
    <w:p>
      <w:pPr>
        <w:pStyle w:val="103"/>
        <w:numPr>
          <w:ilvl w:val="4"/>
          <w:numId w:val="8"/>
        </w:numPr>
        <w:jc w:val="left"/>
      </w:pPr>
      <w:r>
        <w:rPr>
          <w:rFonts w:hint="eastAsia"/>
        </w:rPr>
        <w:t>在与投资方接洽时，应采取下列保密措施：</w:t>
      </w:r>
    </w:p>
    <w:p>
      <w:pPr>
        <w:pStyle w:val="105"/>
        <w:numPr>
          <w:ilvl w:val="0"/>
          <w:numId w:val="54"/>
        </w:numPr>
        <w:jc w:val="left"/>
      </w:pPr>
      <w:r>
        <w:rPr>
          <w:rFonts w:hint="eastAsia"/>
        </w:rPr>
        <w:t>在接洽前应签署保密协议，协议包括保密内容与范围、保密责任与义务、争议解决途径、违约责任等；</w:t>
      </w:r>
    </w:p>
    <w:p>
      <w:pPr>
        <w:pStyle w:val="105"/>
        <w:numPr>
          <w:ilvl w:val="0"/>
          <w:numId w:val="54"/>
        </w:numPr>
        <w:jc w:val="left"/>
      </w:pPr>
      <w:r>
        <w:rPr>
          <w:rFonts w:hint="eastAsia"/>
        </w:rPr>
        <w:t>投资方相关工作人员如需进入涉密区域、接触涉密信息，提示其履行保密义务；</w:t>
      </w:r>
    </w:p>
    <w:p>
      <w:pPr>
        <w:pStyle w:val="105"/>
        <w:numPr>
          <w:ilvl w:val="0"/>
          <w:numId w:val="54"/>
        </w:numPr>
        <w:jc w:val="left"/>
      </w:pPr>
      <w:r>
        <w:rPr>
          <w:rFonts w:hint="eastAsia"/>
        </w:rPr>
        <w:t>聘任或委托外部专家、顾问、翻译、律师等可能接触涉密信息的外部人员时，</w:t>
      </w:r>
      <w:r>
        <w:t>开展</w:t>
      </w:r>
      <w:r>
        <w:rPr>
          <w:rFonts w:hint="eastAsia"/>
        </w:rPr>
        <w:t>背景调查，并与其单独签订保密协议、保密条款或保密承诺书。</w:t>
      </w:r>
    </w:p>
    <w:p>
      <w:pPr>
        <w:pStyle w:val="103"/>
        <w:numPr>
          <w:ilvl w:val="4"/>
          <w:numId w:val="8"/>
        </w:numPr>
        <w:jc w:val="left"/>
      </w:pPr>
      <w:r>
        <w:rPr>
          <w:rFonts w:hint="eastAsia"/>
        </w:rPr>
        <w:t>在投融资活动过程中做好文件交接记录和会议纪要，保留保密协议、保密文件等信息。</w:t>
      </w:r>
    </w:p>
    <w:p>
      <w:pPr>
        <w:pStyle w:val="92"/>
        <w:spacing w:before="156" w:after="156"/>
        <w:jc w:val="left"/>
      </w:pPr>
      <w:bookmarkStart w:id="643" w:name="_Toc27376"/>
      <w:r>
        <w:rPr>
          <w:rFonts w:hint="eastAsia"/>
        </w:rPr>
        <w:t>信息宣发</w:t>
      </w:r>
      <w:bookmarkEnd w:id="643"/>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企业应指定保密办作为对外信息发布审核的主管机构，对新闻发布、论文发表、专利申请等信息的公布或公开开展保密审查，并留存相关记录。</w:t>
      </w:r>
    </w:p>
    <w:p>
      <w:pPr>
        <w:pStyle w:val="92"/>
        <w:spacing w:before="156" w:after="156"/>
        <w:jc w:val="left"/>
      </w:pPr>
      <w:bookmarkStart w:id="644" w:name="_Toc10555"/>
      <w:r>
        <w:rPr>
          <w:rFonts w:hint="eastAsia"/>
        </w:rPr>
        <w:t>展会与路演</w:t>
      </w:r>
      <w:bookmarkEnd w:id="644"/>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企业参加展会或商业路演时，应根据实际情况选择下列保密措施：</w:t>
      </w:r>
    </w:p>
    <w:p>
      <w:pPr>
        <w:pStyle w:val="105"/>
        <w:numPr>
          <w:ilvl w:val="0"/>
          <w:numId w:val="55"/>
        </w:numPr>
        <w:jc w:val="left"/>
      </w:pPr>
      <w:r>
        <w:rPr>
          <w:rFonts w:hint="eastAsia"/>
        </w:rPr>
        <w:t>通过覆盖</w:t>
      </w:r>
      <w:r>
        <w:t>、</w:t>
      </w:r>
      <w:r>
        <w:rPr>
          <w:rFonts w:hint="eastAsia"/>
        </w:rPr>
        <w:t>遮盖</w:t>
      </w:r>
      <w:r>
        <w:t>等</w:t>
      </w:r>
      <w:r>
        <w:rPr>
          <w:rFonts w:hint="eastAsia"/>
        </w:rPr>
        <w:t>手段对</w:t>
      </w:r>
      <w:r>
        <w:t>产品</w:t>
      </w:r>
      <w:r>
        <w:rPr>
          <w:rFonts w:hint="eastAsia"/>
        </w:rPr>
        <w:t>/设备</w:t>
      </w:r>
      <w:r>
        <w:t>中的涉密部分适当遮挡；</w:t>
      </w:r>
    </w:p>
    <w:p>
      <w:pPr>
        <w:pStyle w:val="105"/>
        <w:numPr>
          <w:ilvl w:val="0"/>
          <w:numId w:val="55"/>
        </w:numPr>
        <w:jc w:val="left"/>
      </w:pPr>
      <w:r>
        <w:rPr>
          <w:rFonts w:hint="eastAsia"/>
        </w:rPr>
        <w:t>与展会主办方签订保密协议；</w:t>
      </w:r>
    </w:p>
    <w:p>
      <w:pPr>
        <w:pStyle w:val="105"/>
        <w:numPr>
          <w:ilvl w:val="0"/>
          <w:numId w:val="36"/>
        </w:numPr>
        <w:jc w:val="left"/>
      </w:pPr>
      <w:r>
        <w:rPr>
          <w:rFonts w:hint="eastAsia"/>
        </w:rPr>
        <w:t>根据商业信息的重要性将内容分段演示；</w:t>
      </w:r>
    </w:p>
    <w:p>
      <w:pPr>
        <w:pStyle w:val="105"/>
        <w:numPr>
          <w:ilvl w:val="0"/>
          <w:numId w:val="36"/>
        </w:numPr>
        <w:jc w:val="left"/>
      </w:pPr>
      <w:r>
        <w:rPr>
          <w:rFonts w:hint="eastAsia"/>
        </w:rPr>
        <w:t>对于技术保密性高且有精准商业对象的项目，安排封闭路演；</w:t>
      </w:r>
    </w:p>
    <w:p>
      <w:pPr>
        <w:pStyle w:val="105"/>
        <w:numPr>
          <w:ilvl w:val="0"/>
          <w:numId w:val="36"/>
        </w:numPr>
        <w:jc w:val="left"/>
      </w:pPr>
      <w:r>
        <w:rPr>
          <w:rFonts w:hint="eastAsia"/>
        </w:rPr>
        <w:t>告知相关人员，展示信息中属于商业秘密信息的部分，不应私自录音、拍照、摄像等；</w:t>
      </w:r>
    </w:p>
    <w:p>
      <w:pPr>
        <w:pStyle w:val="105"/>
        <w:numPr>
          <w:ilvl w:val="0"/>
          <w:numId w:val="36"/>
        </w:numPr>
        <w:jc w:val="left"/>
      </w:pPr>
      <w:r>
        <w:rPr>
          <w:rFonts w:hint="eastAsia"/>
        </w:rPr>
        <w:t>对演示文稿和其他相关材料添加水印等加密手段，防止未经授权的复制和传播；</w:t>
      </w:r>
    </w:p>
    <w:p>
      <w:pPr>
        <w:pStyle w:val="105"/>
        <w:numPr>
          <w:ilvl w:val="0"/>
          <w:numId w:val="36"/>
        </w:numPr>
        <w:jc w:val="left"/>
      </w:pPr>
      <w:r>
        <w:rPr>
          <w:rFonts w:hint="eastAsia"/>
        </w:rPr>
        <w:t>其他有必要采取的措施。</w:t>
      </w:r>
    </w:p>
    <w:p>
      <w:pPr>
        <w:pStyle w:val="92"/>
        <w:spacing w:before="156" w:after="156"/>
        <w:jc w:val="left"/>
      </w:pPr>
      <w:bookmarkStart w:id="645" w:name="_Toc29381"/>
      <w:r>
        <w:rPr>
          <w:rFonts w:hint="eastAsia"/>
        </w:rPr>
        <w:t>对外会议</w:t>
      </w:r>
      <w:bookmarkEnd w:id="645"/>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涉及商业秘密的会议，应采取下列保密措施：</w:t>
      </w:r>
    </w:p>
    <w:p>
      <w:pPr>
        <w:pStyle w:val="105"/>
        <w:numPr>
          <w:ilvl w:val="0"/>
          <w:numId w:val="56"/>
        </w:numPr>
        <w:jc w:val="left"/>
      </w:pPr>
      <w:r>
        <w:rPr>
          <w:rFonts w:hint="eastAsia"/>
        </w:rPr>
        <w:t>选择</w:t>
      </w:r>
      <w:r>
        <w:t>具有保密条件的场所；</w:t>
      </w:r>
    </w:p>
    <w:p>
      <w:pPr>
        <w:pStyle w:val="105"/>
        <w:numPr>
          <w:ilvl w:val="0"/>
          <w:numId w:val="56"/>
        </w:numPr>
        <w:jc w:val="left"/>
      </w:pPr>
      <w:r>
        <w:rPr>
          <w:rFonts w:hint="eastAsia"/>
        </w:rPr>
        <w:t>限定参加人员的范围，指定</w:t>
      </w:r>
      <w:r>
        <w:t>参与涉密事项的人员；</w:t>
      </w:r>
    </w:p>
    <w:p>
      <w:pPr>
        <w:pStyle w:val="105"/>
        <w:numPr>
          <w:ilvl w:val="0"/>
          <w:numId w:val="56"/>
        </w:numPr>
        <w:jc w:val="left"/>
      </w:pPr>
      <w:r>
        <w:rPr>
          <w:rFonts w:hint="eastAsia"/>
        </w:rPr>
        <w:t>手机不应带入会场，存放于指定保密柜；</w:t>
      </w:r>
    </w:p>
    <w:p>
      <w:pPr>
        <w:pStyle w:val="105"/>
        <w:numPr>
          <w:ilvl w:val="0"/>
          <w:numId w:val="56"/>
        </w:numPr>
        <w:jc w:val="left"/>
      </w:pPr>
      <w:r>
        <w:rPr>
          <w:rFonts w:hint="eastAsia"/>
        </w:rPr>
        <w:t>告知参加人员保密要求，必要时签订保密承诺书</w:t>
      </w:r>
      <w:r>
        <w:t>；</w:t>
      </w:r>
    </w:p>
    <w:p>
      <w:pPr>
        <w:pStyle w:val="105"/>
        <w:numPr>
          <w:ilvl w:val="0"/>
          <w:numId w:val="56"/>
        </w:numPr>
        <w:jc w:val="left"/>
      </w:pPr>
      <w:r>
        <w:rPr>
          <w:rFonts w:hint="eastAsia"/>
        </w:rPr>
        <w:t>管控涉密资料、物品，确定文件的发放范围，做好发放登记，会后及时回收、清点</w:t>
      </w:r>
      <w:r>
        <w:t>；</w:t>
      </w:r>
    </w:p>
    <w:p>
      <w:pPr>
        <w:pStyle w:val="105"/>
        <w:numPr>
          <w:ilvl w:val="0"/>
          <w:numId w:val="56"/>
        </w:numPr>
        <w:jc w:val="left"/>
      </w:pPr>
      <w:r>
        <w:rPr>
          <w:rFonts w:hint="eastAsia"/>
        </w:rPr>
        <w:t>通过拍照、摄像、签名等方式记录参会情况；</w:t>
      </w:r>
    </w:p>
    <w:p>
      <w:pPr>
        <w:pStyle w:val="105"/>
        <w:numPr>
          <w:ilvl w:val="0"/>
          <w:numId w:val="56"/>
        </w:numPr>
        <w:jc w:val="left"/>
      </w:pPr>
      <w:r>
        <w:rPr>
          <w:rFonts w:hint="eastAsia"/>
        </w:rPr>
        <w:t>其他有必要采取的措施</w:t>
      </w:r>
      <w:r>
        <w:t>。</w:t>
      </w:r>
    </w:p>
    <w:p>
      <w:pPr>
        <w:pStyle w:val="87"/>
        <w:spacing w:before="156" w:after="156"/>
        <w:jc w:val="left"/>
      </w:pPr>
      <w:bookmarkStart w:id="646" w:name="_Toc14585"/>
      <w:bookmarkStart w:id="647" w:name="_Toc164761541"/>
      <w:bookmarkStart w:id="648" w:name="_Toc148011732"/>
      <w:bookmarkStart w:id="649" w:name="_Toc157418252"/>
      <w:bookmarkStart w:id="650" w:name="_Toc27123"/>
      <w:bookmarkStart w:id="651" w:name="_Toc20392"/>
      <w:bookmarkStart w:id="652" w:name="_Toc165302361"/>
      <w:bookmarkStart w:id="653" w:name="_Toc164762087"/>
      <w:bookmarkStart w:id="654" w:name="_Toc164760890"/>
      <w:bookmarkStart w:id="655" w:name="_Toc157415845"/>
      <w:bookmarkStart w:id="656" w:name="_Toc157414279"/>
      <w:bookmarkStart w:id="657" w:name="_Toc157414238"/>
      <w:bookmarkStart w:id="658" w:name="_Toc161059121"/>
      <w:bookmarkStart w:id="659" w:name="_Toc146287366"/>
      <w:bookmarkStart w:id="660" w:name="_Toc143074511"/>
      <w:bookmarkStart w:id="661" w:name="_Toc143001057"/>
      <w:bookmarkStart w:id="662" w:name="_Toc31954"/>
      <w:bookmarkStart w:id="663" w:name="_Toc161057446"/>
      <w:bookmarkStart w:id="664" w:name="_Toc4450"/>
      <w:bookmarkStart w:id="665" w:name="_Toc143001100"/>
      <w:bookmarkStart w:id="666" w:name="_Toc164761907"/>
      <w:bookmarkStart w:id="667" w:name="_Toc19616"/>
      <w:r>
        <w:rPr>
          <w:rFonts w:hint="eastAsia"/>
          <w:spacing w:val="11"/>
        </w:rPr>
        <w:t>监督</w:t>
      </w:r>
      <w:r>
        <w:rPr>
          <w:rFonts w:hint="eastAsia"/>
        </w:rPr>
        <w:t>与检查</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92"/>
        <w:spacing w:before="156" w:after="156"/>
        <w:jc w:val="left"/>
      </w:pPr>
      <w:bookmarkStart w:id="668" w:name="_Toc3802"/>
      <w:r>
        <w:rPr>
          <w:rFonts w:hint="eastAsia"/>
        </w:rPr>
        <w:t>总体要求</w:t>
      </w:r>
      <w:bookmarkEnd w:id="668"/>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保密办应确定监督检查的准则和方法并执行，并按要求填写《保密工作检查表》（附录J）。宜每半年/年组织人员检查商业秘密保护制度的运行情况，评价制度有效性并持续改进，不断提升企业商业秘密保护水平。</w:t>
      </w:r>
    </w:p>
    <w:p>
      <w:pPr>
        <w:pStyle w:val="92"/>
        <w:spacing w:before="156" w:after="156"/>
        <w:jc w:val="left"/>
      </w:pPr>
      <w:bookmarkStart w:id="669" w:name="_Toc23463"/>
      <w:r>
        <w:rPr>
          <w:rFonts w:hint="eastAsia"/>
        </w:rPr>
        <w:t>监督检查内容</w:t>
      </w:r>
      <w:bookmarkEnd w:id="669"/>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监督检查内容应包括：</w:t>
      </w:r>
    </w:p>
    <w:p>
      <w:pPr>
        <w:pStyle w:val="105"/>
        <w:numPr>
          <w:ilvl w:val="0"/>
          <w:numId w:val="57"/>
        </w:numPr>
        <w:jc w:val="left"/>
      </w:pPr>
      <w:r>
        <w:rPr>
          <w:rFonts w:hint="eastAsia"/>
        </w:rPr>
        <w:t>商业秘密保护</w:t>
      </w:r>
      <w:r>
        <w:t>制度</w:t>
      </w:r>
      <w:r>
        <w:rPr>
          <w:rFonts w:hint="eastAsia"/>
        </w:rPr>
        <w:t>建立与完善情况</w:t>
      </w:r>
      <w:r>
        <w:t>；</w:t>
      </w:r>
    </w:p>
    <w:p>
      <w:pPr>
        <w:pStyle w:val="105"/>
        <w:numPr>
          <w:ilvl w:val="0"/>
          <w:numId w:val="57"/>
        </w:numPr>
        <w:jc w:val="left"/>
      </w:pPr>
      <w:r>
        <w:rPr>
          <w:rFonts w:hint="eastAsia"/>
        </w:rPr>
        <w:t>商业秘密定密、动态管理、存证、保密管理等商业</w:t>
      </w:r>
      <w:r>
        <w:t>秘密保护</w:t>
      </w:r>
      <w:r>
        <w:rPr>
          <w:rFonts w:hint="eastAsia"/>
        </w:rPr>
        <w:t>与管理工作的开展情况</w:t>
      </w:r>
      <w:r>
        <w:t>；</w:t>
      </w:r>
    </w:p>
    <w:p>
      <w:pPr>
        <w:pStyle w:val="105"/>
        <w:numPr>
          <w:ilvl w:val="0"/>
          <w:numId w:val="57"/>
        </w:numPr>
        <w:jc w:val="left"/>
      </w:pPr>
      <w:r>
        <w:rPr>
          <w:rFonts w:hint="eastAsia"/>
        </w:rPr>
        <w:t>围绕涉密</w:t>
      </w:r>
      <w:r>
        <w:t>人员</w:t>
      </w:r>
      <w:r>
        <w:rPr>
          <w:rFonts w:hint="eastAsia"/>
        </w:rPr>
        <w:t>、区域、载体及商务活动等不同管理维度的保密措施落实</w:t>
      </w:r>
      <w:r>
        <w:t>情况</w:t>
      </w:r>
      <w:r>
        <w:rPr>
          <w:rFonts w:hint="eastAsia"/>
        </w:rPr>
        <w:t>；</w:t>
      </w:r>
    </w:p>
    <w:p>
      <w:pPr>
        <w:pStyle w:val="105"/>
        <w:numPr>
          <w:ilvl w:val="0"/>
          <w:numId w:val="57"/>
        </w:numPr>
        <w:jc w:val="left"/>
      </w:pPr>
      <w:r>
        <w:rPr>
          <w:rFonts w:hint="eastAsia"/>
        </w:rPr>
        <w:t>其他企业认为有必要检查的内容</w:t>
      </w:r>
      <w:r>
        <w:t>。</w:t>
      </w:r>
    </w:p>
    <w:p>
      <w:pPr>
        <w:pStyle w:val="92"/>
        <w:spacing w:before="156" w:after="156"/>
        <w:jc w:val="left"/>
      </w:pPr>
      <w:bookmarkStart w:id="670" w:name="_Toc29248"/>
      <w:r>
        <w:rPr>
          <w:rFonts w:hint="eastAsia"/>
        </w:rPr>
        <w:t>监督检查方法</w:t>
      </w:r>
      <w:bookmarkEnd w:id="670"/>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监督检查的方法应包括：</w:t>
      </w:r>
    </w:p>
    <w:p>
      <w:pPr>
        <w:pStyle w:val="105"/>
        <w:numPr>
          <w:ilvl w:val="0"/>
          <w:numId w:val="58"/>
        </w:numPr>
        <w:jc w:val="left"/>
      </w:pPr>
      <w:r>
        <w:rPr>
          <w:rFonts w:hint="eastAsia"/>
        </w:rPr>
        <w:t>查看涉密</w:t>
      </w:r>
      <w:r>
        <w:t>纸质文件使用记录；</w:t>
      </w:r>
    </w:p>
    <w:p>
      <w:pPr>
        <w:pStyle w:val="105"/>
        <w:numPr>
          <w:ilvl w:val="0"/>
          <w:numId w:val="58"/>
        </w:numPr>
        <w:jc w:val="left"/>
      </w:pPr>
      <w:r>
        <w:rPr>
          <w:rFonts w:hint="eastAsia"/>
        </w:rPr>
        <w:t>查看</w:t>
      </w:r>
      <w:r>
        <w:t>涉密电子信息载体、信息系统、云存储空间使用记录；</w:t>
      </w:r>
    </w:p>
    <w:p>
      <w:pPr>
        <w:pStyle w:val="105"/>
        <w:numPr>
          <w:ilvl w:val="0"/>
          <w:numId w:val="58"/>
        </w:numPr>
        <w:jc w:val="left"/>
      </w:pPr>
      <w:r>
        <w:rPr>
          <w:rFonts w:hint="eastAsia"/>
        </w:rPr>
        <w:t>查看</w:t>
      </w:r>
      <w:r>
        <w:t>涉密区域的出入口和</w:t>
      </w:r>
      <w:r>
        <w:rPr>
          <w:rFonts w:hint="eastAsia"/>
        </w:rPr>
        <w:t>内部</w:t>
      </w:r>
      <w:r>
        <w:t>监控；</w:t>
      </w:r>
    </w:p>
    <w:p>
      <w:pPr>
        <w:pStyle w:val="105"/>
        <w:numPr>
          <w:ilvl w:val="0"/>
          <w:numId w:val="58"/>
        </w:numPr>
        <w:jc w:val="left"/>
      </w:pPr>
      <w:r>
        <w:rPr>
          <w:rFonts w:hint="eastAsia"/>
        </w:rPr>
        <w:t>现场</w:t>
      </w:r>
      <w:r>
        <w:t>查验、问</w:t>
      </w:r>
      <w:r>
        <w:rPr>
          <w:rFonts w:hint="eastAsia"/>
        </w:rPr>
        <w:t>询</w:t>
      </w:r>
      <w:r>
        <w:t>涉密人员工作情况；</w:t>
      </w:r>
    </w:p>
    <w:p>
      <w:pPr>
        <w:pStyle w:val="105"/>
        <w:numPr>
          <w:ilvl w:val="0"/>
          <w:numId w:val="58"/>
        </w:numPr>
        <w:jc w:val="left"/>
      </w:pPr>
      <w:r>
        <w:rPr>
          <w:rFonts w:hint="eastAsia"/>
        </w:rPr>
        <w:t>查看</w:t>
      </w:r>
      <w:r>
        <w:t>涉密</w:t>
      </w:r>
      <w:r>
        <w:rPr>
          <w:rFonts w:hint="eastAsia"/>
        </w:rPr>
        <w:t>商务</w:t>
      </w:r>
      <w:r>
        <w:t>活动记录及附属合同</w:t>
      </w:r>
      <w:r>
        <w:rPr>
          <w:rFonts w:hint="eastAsia"/>
        </w:rPr>
        <w:t>；</w:t>
      </w:r>
    </w:p>
    <w:p>
      <w:pPr>
        <w:pStyle w:val="105"/>
        <w:numPr>
          <w:ilvl w:val="0"/>
          <w:numId w:val="58"/>
        </w:numPr>
        <w:jc w:val="left"/>
      </w:pPr>
      <w:r>
        <w:rPr>
          <w:rFonts w:hint="eastAsia"/>
        </w:rPr>
        <w:t>其他企业认为有必要的监督检查方法</w:t>
      </w:r>
      <w:r>
        <w:t>。</w:t>
      </w:r>
    </w:p>
    <w:p>
      <w:pPr>
        <w:pStyle w:val="88"/>
        <w:spacing w:before="312" w:after="312"/>
        <w:jc w:val="left"/>
        <w:rPr>
          <w:sz w:val="24"/>
          <w:szCs w:val="22"/>
        </w:rPr>
      </w:pPr>
      <w:bookmarkStart w:id="671" w:name="_Toc146287367"/>
      <w:bookmarkStart w:id="672" w:name="_Toc161057447"/>
      <w:bookmarkStart w:id="673" w:name="_Toc11948"/>
      <w:bookmarkStart w:id="674" w:name="_Toc157414239"/>
      <w:bookmarkStart w:id="675" w:name="_Toc157418253"/>
      <w:bookmarkStart w:id="676" w:name="_Toc157414280"/>
      <w:bookmarkStart w:id="677" w:name="_Toc10298"/>
      <w:bookmarkStart w:id="678" w:name="_Toc164761542"/>
      <w:bookmarkStart w:id="679" w:name="_Toc161059122"/>
      <w:bookmarkStart w:id="680" w:name="_Toc165302362"/>
      <w:bookmarkStart w:id="681" w:name="_Toc157415846"/>
      <w:bookmarkStart w:id="682" w:name="_Toc164762088"/>
      <w:bookmarkStart w:id="683" w:name="_Toc23844"/>
      <w:bookmarkStart w:id="684" w:name="_Toc12735"/>
      <w:bookmarkStart w:id="685" w:name="_Toc164761908"/>
      <w:bookmarkStart w:id="686" w:name="_Toc24219"/>
      <w:bookmarkStart w:id="687" w:name="_Toc26217"/>
      <w:bookmarkStart w:id="688" w:name="_Toc148011733"/>
      <w:bookmarkStart w:id="689" w:name="_Toc164760891"/>
      <w:r>
        <w:t>维权</w:t>
      </w:r>
      <w:bookmarkEnd w:id="531"/>
      <w:bookmarkEnd w:id="532"/>
      <w:bookmarkEnd w:id="533"/>
      <w:r>
        <w:rPr>
          <w:rFonts w:hint="eastAsia"/>
        </w:rPr>
        <w:t>与应诉</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87"/>
        <w:spacing w:before="156" w:after="156"/>
        <w:jc w:val="left"/>
        <w:rPr>
          <w:b/>
        </w:rPr>
      </w:pPr>
      <w:bookmarkStart w:id="690" w:name="_Toc165302363"/>
      <w:bookmarkStart w:id="691" w:name="_Toc164760892"/>
      <w:bookmarkStart w:id="692" w:name="_Toc157414281"/>
      <w:bookmarkStart w:id="693" w:name="_Toc161059123"/>
      <w:bookmarkStart w:id="694" w:name="_Toc13074"/>
      <w:bookmarkStart w:id="695" w:name="_Toc164762089"/>
      <w:bookmarkStart w:id="696" w:name="_Toc28223"/>
      <w:bookmarkStart w:id="697" w:name="_Toc10655"/>
      <w:bookmarkStart w:id="698" w:name="_Toc30689"/>
      <w:bookmarkStart w:id="699" w:name="_Toc161057448"/>
      <w:bookmarkStart w:id="700" w:name="_Toc17736"/>
      <w:bookmarkStart w:id="701" w:name="_Toc157414240"/>
      <w:bookmarkStart w:id="702" w:name="_Toc157418254"/>
      <w:bookmarkStart w:id="703" w:name="_Toc164761909"/>
      <w:bookmarkStart w:id="704" w:name="_Toc164761543"/>
      <w:bookmarkStart w:id="705" w:name="_Toc157415847"/>
      <w:bookmarkStart w:id="706" w:name="_Toc5443"/>
      <w:bookmarkStart w:id="707" w:name="_Toc148011734"/>
      <w:bookmarkStart w:id="708" w:name="_Toc146287368"/>
      <w:bookmarkStart w:id="709" w:name="_Toc143001059"/>
      <w:bookmarkStart w:id="710" w:name="_Toc143074513"/>
      <w:bookmarkStart w:id="711" w:name="_Toc143001102"/>
      <w:r>
        <w:rPr>
          <w:rFonts w:hint="eastAsia"/>
        </w:rPr>
        <w:t>应急处置</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91"/>
        <w:jc w:val="left"/>
      </w:pPr>
      <w:r>
        <w:rPr>
          <w:rFonts w:hint="eastAsia"/>
        </w:rPr>
        <w:t>企业应制定商业秘密泄露或被侵权的应急处置预案，建立紧急应对流程。</w:t>
      </w:r>
    </w:p>
    <w:p>
      <w:pPr>
        <w:pStyle w:val="91"/>
        <w:jc w:val="left"/>
      </w:pPr>
      <w:r>
        <w:rPr>
          <w:rFonts w:hint="eastAsia"/>
        </w:rPr>
        <w:t>出现商业秘密泄露的征兆或者迹象时，企业应迅速采取措施，将危害和损失控制在最小限度内，措施包括但不限于：</w:t>
      </w:r>
    </w:p>
    <w:p>
      <w:pPr>
        <w:pStyle w:val="105"/>
        <w:numPr>
          <w:ilvl w:val="0"/>
          <w:numId w:val="59"/>
        </w:numPr>
        <w:jc w:val="left"/>
      </w:pPr>
      <w:r>
        <w:rPr>
          <w:rFonts w:hint="eastAsia" w:ascii="Calibri" w:hAnsi="Calibri"/>
          <w:kern w:val="2"/>
          <w:szCs w:val="21"/>
        </w:rPr>
        <w:t>确认被泄密或侵权的商业秘密内容，评估事情的严重程度；</w:t>
      </w:r>
    </w:p>
    <w:p>
      <w:pPr>
        <w:pStyle w:val="105"/>
        <w:numPr>
          <w:ilvl w:val="0"/>
          <w:numId w:val="59"/>
        </w:numPr>
        <w:jc w:val="left"/>
      </w:pPr>
      <w:r>
        <w:rPr>
          <w:rFonts w:hint="eastAsia"/>
        </w:rPr>
        <w:t>启动对商业秘密泄露或被侵权的核查，确认可能的责任人、泄密原因等；</w:t>
      </w:r>
    </w:p>
    <w:p>
      <w:pPr>
        <w:pStyle w:val="105"/>
        <w:numPr>
          <w:ilvl w:val="0"/>
          <w:numId w:val="59"/>
        </w:numPr>
        <w:jc w:val="left"/>
      </w:pPr>
      <w:r>
        <w:rPr>
          <w:rFonts w:hint="eastAsia"/>
        </w:rPr>
        <w:t>收集商业秘密泄露或被侵权的证据。</w:t>
      </w:r>
    </w:p>
    <w:p>
      <w:pPr>
        <w:pStyle w:val="87"/>
        <w:spacing w:before="156" w:after="156"/>
        <w:jc w:val="left"/>
        <w:rPr>
          <w:b/>
        </w:rPr>
      </w:pPr>
      <w:bookmarkStart w:id="712" w:name="_Toc157414282"/>
      <w:bookmarkStart w:id="713" w:name="_Toc161059124"/>
      <w:bookmarkStart w:id="714" w:name="_Toc1188"/>
      <w:bookmarkStart w:id="715" w:name="_Toc157418255"/>
      <w:bookmarkStart w:id="716" w:name="_Toc164761910"/>
      <w:bookmarkStart w:id="717" w:name="_Toc157414241"/>
      <w:bookmarkStart w:id="718" w:name="_Toc161057449"/>
      <w:bookmarkStart w:id="719" w:name="_Toc18442"/>
      <w:bookmarkStart w:id="720" w:name="_Toc13645"/>
      <w:bookmarkStart w:id="721" w:name="_Toc164761544"/>
      <w:bookmarkStart w:id="722" w:name="_Toc164760893"/>
      <w:bookmarkStart w:id="723" w:name="_Toc31144"/>
      <w:bookmarkStart w:id="724" w:name="_Toc157415848"/>
      <w:bookmarkStart w:id="725" w:name="_Toc17574"/>
      <w:bookmarkStart w:id="726" w:name="_Toc165302364"/>
      <w:bookmarkStart w:id="727" w:name="_Toc3362"/>
      <w:bookmarkStart w:id="728" w:name="_Toc164762090"/>
      <w:r>
        <w:t>维权途径</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企业可采取以下途径开展商业秘密维权：</w:t>
      </w:r>
    </w:p>
    <w:p>
      <w:pPr>
        <w:pStyle w:val="105"/>
        <w:numPr>
          <w:ilvl w:val="0"/>
          <w:numId w:val="60"/>
        </w:numPr>
        <w:jc w:val="left"/>
      </w:pPr>
      <w:r>
        <w:t>向人民法院提起民事诉讼；</w:t>
      </w:r>
    </w:p>
    <w:p>
      <w:pPr>
        <w:pStyle w:val="105"/>
        <w:numPr>
          <w:ilvl w:val="0"/>
          <w:numId w:val="60"/>
        </w:numPr>
        <w:jc w:val="left"/>
      </w:pPr>
      <w:r>
        <w:t>向人民检察院提起商业秘密诉讼活动法律监督；</w:t>
      </w:r>
    </w:p>
    <w:p>
      <w:pPr>
        <w:pStyle w:val="105"/>
        <w:numPr>
          <w:ilvl w:val="0"/>
          <w:numId w:val="36"/>
        </w:numPr>
        <w:jc w:val="left"/>
      </w:pPr>
      <w:r>
        <w:t>向公安机关报案；</w:t>
      </w:r>
    </w:p>
    <w:p>
      <w:pPr>
        <w:pStyle w:val="105"/>
        <w:numPr>
          <w:ilvl w:val="0"/>
          <w:numId w:val="36"/>
        </w:numPr>
        <w:jc w:val="left"/>
      </w:pPr>
      <w:r>
        <w:t>向县级以上市场监督管理部门举报；</w:t>
      </w:r>
    </w:p>
    <w:p>
      <w:pPr>
        <w:pStyle w:val="105"/>
        <w:numPr>
          <w:ilvl w:val="0"/>
          <w:numId w:val="36"/>
        </w:numPr>
        <w:jc w:val="left"/>
      </w:pPr>
      <w:r>
        <w:t>申请劳动仲裁或商事仲裁；</w:t>
      </w:r>
    </w:p>
    <w:p>
      <w:pPr>
        <w:pStyle w:val="105"/>
        <w:numPr>
          <w:ilvl w:val="0"/>
          <w:numId w:val="36"/>
        </w:numPr>
        <w:jc w:val="left"/>
      </w:pPr>
      <w:r>
        <w:t>与侵权人协调解决等。</w:t>
      </w:r>
    </w:p>
    <w:p>
      <w:pPr>
        <w:pStyle w:val="87"/>
        <w:spacing w:before="156" w:after="156"/>
        <w:jc w:val="left"/>
        <w:rPr>
          <w:b/>
          <w:sz w:val="36"/>
          <w:szCs w:val="36"/>
        </w:rPr>
      </w:pPr>
      <w:bookmarkStart w:id="729" w:name="_Toc161059125"/>
      <w:bookmarkStart w:id="730" w:name="_Toc12230"/>
      <w:bookmarkStart w:id="731" w:name="_Toc157414242"/>
      <w:bookmarkStart w:id="732" w:name="_Toc157415849"/>
      <w:bookmarkStart w:id="733" w:name="_Toc157414283"/>
      <w:bookmarkStart w:id="734" w:name="_Toc161057450"/>
      <w:bookmarkStart w:id="735" w:name="_Toc164761911"/>
      <w:bookmarkStart w:id="736" w:name="_Toc164761545"/>
      <w:bookmarkStart w:id="737" w:name="_Toc164762091"/>
      <w:bookmarkStart w:id="738" w:name="_Toc148011735"/>
      <w:bookmarkStart w:id="739" w:name="_Toc22939"/>
      <w:bookmarkStart w:id="740" w:name="_Toc157418256"/>
      <w:bookmarkStart w:id="741" w:name="_Toc14548"/>
      <w:bookmarkStart w:id="742" w:name="_Toc165302365"/>
      <w:bookmarkStart w:id="743" w:name="_Toc16929"/>
      <w:bookmarkStart w:id="744" w:name="_Toc164760894"/>
      <w:bookmarkStart w:id="745" w:name="_Toc25842"/>
      <w:bookmarkStart w:id="746" w:name="_Toc146287369"/>
      <w:bookmarkStart w:id="747" w:name="_Toc10085"/>
      <w:bookmarkStart w:id="748" w:name="_Toc143074514"/>
      <w:bookmarkStart w:id="749" w:name="_Toc143001060"/>
      <w:bookmarkStart w:id="750" w:name="_Toc143001103"/>
      <w:r>
        <w:rPr>
          <w:rFonts w:hint="eastAsia"/>
        </w:rPr>
        <w:t>国内维权</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92"/>
        <w:spacing w:before="156" w:after="156"/>
        <w:jc w:val="left"/>
        <w:rPr>
          <w:b/>
          <w:sz w:val="36"/>
          <w:szCs w:val="36"/>
        </w:rPr>
      </w:pPr>
      <w:bookmarkStart w:id="751" w:name="_Toc31016"/>
      <w:r>
        <w:rPr>
          <w:rFonts w:hint="eastAsia"/>
        </w:rPr>
        <w:t>必要性评估</w:t>
      </w:r>
      <w:bookmarkEnd w:id="751"/>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发现商业秘密可能被侵权时，保密办应组织法务、研发等相关内部人员或外部机构，评估商业秘密是否实际受到侵害、可能造成的影响等要素，判断采取维权行动的必要性。评估要素包括：</w:t>
      </w:r>
    </w:p>
    <w:p>
      <w:pPr>
        <w:pStyle w:val="105"/>
        <w:numPr>
          <w:ilvl w:val="0"/>
          <w:numId w:val="61"/>
        </w:numPr>
        <w:jc w:val="left"/>
      </w:pPr>
      <w:r>
        <w:rPr>
          <w:rFonts w:hint="eastAsia"/>
        </w:rPr>
        <w:t>该商业秘密的秘密点、载体及密级；</w:t>
      </w:r>
    </w:p>
    <w:p>
      <w:pPr>
        <w:pStyle w:val="105"/>
        <w:numPr>
          <w:ilvl w:val="0"/>
          <w:numId w:val="61"/>
        </w:numPr>
        <w:jc w:val="left"/>
      </w:pPr>
      <w:r>
        <w:rPr>
          <w:rFonts w:hint="eastAsia"/>
        </w:rPr>
        <w:t>该商业秘密与侵权商业信息是否构成实质性相似；</w:t>
      </w:r>
    </w:p>
    <w:p>
      <w:pPr>
        <w:pStyle w:val="105"/>
        <w:numPr>
          <w:ilvl w:val="0"/>
          <w:numId w:val="61"/>
        </w:numPr>
        <w:jc w:val="left"/>
      </w:pPr>
      <w:r>
        <w:rPr>
          <w:rFonts w:hint="eastAsia"/>
        </w:rPr>
        <w:t>侵权人是否有接触该商业秘密的可能，如前员工、供应商等；</w:t>
      </w:r>
    </w:p>
    <w:p>
      <w:pPr>
        <w:pStyle w:val="105"/>
        <w:numPr>
          <w:ilvl w:val="0"/>
          <w:numId w:val="61"/>
        </w:numPr>
        <w:jc w:val="left"/>
      </w:pPr>
      <w:r>
        <w:rPr>
          <w:rFonts w:hint="eastAsia"/>
        </w:rPr>
        <w:t>该商业秘密被侵权的方式，如被全面公开、第三方使用等；</w:t>
      </w:r>
    </w:p>
    <w:p>
      <w:pPr>
        <w:pStyle w:val="105"/>
        <w:numPr>
          <w:ilvl w:val="0"/>
          <w:numId w:val="61"/>
        </w:numPr>
        <w:jc w:val="left"/>
      </w:pPr>
      <w:r>
        <w:rPr>
          <w:rFonts w:hint="eastAsia"/>
        </w:rPr>
        <w:t>该商业秘密对企业的商业价值，如开发成本、市场竞争力等；</w:t>
      </w:r>
    </w:p>
    <w:p>
      <w:pPr>
        <w:pStyle w:val="105"/>
        <w:numPr>
          <w:ilvl w:val="0"/>
          <w:numId w:val="61"/>
        </w:numPr>
        <w:jc w:val="left"/>
      </w:pPr>
      <w:r>
        <w:rPr>
          <w:rFonts w:hint="eastAsia"/>
        </w:rPr>
        <w:t>证据搜集的困难程度；</w:t>
      </w:r>
    </w:p>
    <w:p>
      <w:pPr>
        <w:pStyle w:val="105"/>
        <w:numPr>
          <w:ilvl w:val="0"/>
          <w:numId w:val="61"/>
        </w:numPr>
        <w:jc w:val="left"/>
      </w:pPr>
      <w:r>
        <w:rPr>
          <w:rFonts w:hint="eastAsia"/>
        </w:rPr>
        <w:t>维权成本；</w:t>
      </w:r>
    </w:p>
    <w:p>
      <w:pPr>
        <w:pStyle w:val="105"/>
        <w:numPr>
          <w:ilvl w:val="0"/>
          <w:numId w:val="61"/>
        </w:numPr>
        <w:jc w:val="left"/>
      </w:pPr>
      <w:r>
        <w:rPr>
          <w:rFonts w:hint="eastAsia"/>
        </w:rPr>
        <w:t>其他有必要评估的要素。</w:t>
      </w:r>
    </w:p>
    <w:p>
      <w:pPr>
        <w:pStyle w:val="92"/>
        <w:spacing w:before="156" w:after="156"/>
        <w:jc w:val="left"/>
      </w:pPr>
      <w:bookmarkStart w:id="752" w:name="_Toc7106"/>
      <w:r>
        <w:rPr>
          <w:rFonts w:hint="eastAsia"/>
        </w:rPr>
        <w:t>方案制定</w:t>
      </w:r>
      <w:bookmarkEnd w:id="752"/>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保密办应根据必要性评估的结果，制定相应的维权方案，内容包括：维权目标、维权途径、资金预算、专项工作组成员等。</w:t>
      </w:r>
    </w:p>
    <w:p>
      <w:pPr>
        <w:pStyle w:val="92"/>
        <w:spacing w:before="156" w:after="156"/>
        <w:jc w:val="left"/>
        <w:rPr>
          <w:b/>
          <w:sz w:val="36"/>
          <w:szCs w:val="36"/>
        </w:rPr>
      </w:pPr>
      <w:bookmarkStart w:id="753" w:name="_Toc16306"/>
      <w:r>
        <w:rPr>
          <w:rFonts w:hint="eastAsia"/>
        </w:rPr>
        <w:t>证据搜集</w:t>
      </w:r>
      <w:bookmarkEnd w:id="753"/>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保密办应根据制定的维权方案，确定需要搜集的证据，包括：</w:t>
      </w:r>
    </w:p>
    <w:p>
      <w:pPr>
        <w:pStyle w:val="105"/>
        <w:numPr>
          <w:ilvl w:val="0"/>
          <w:numId w:val="62"/>
        </w:numPr>
        <w:jc w:val="left"/>
        <w:rPr>
          <w:lang w:bidi="ar"/>
        </w:rPr>
      </w:pPr>
      <w:r>
        <w:rPr>
          <w:rFonts w:hint="eastAsia"/>
          <w:lang w:bidi="ar"/>
        </w:rPr>
        <w:t>承载商业秘密的载体、存证证明；</w:t>
      </w:r>
    </w:p>
    <w:p>
      <w:pPr>
        <w:pStyle w:val="105"/>
        <w:numPr>
          <w:ilvl w:val="0"/>
          <w:numId w:val="62"/>
        </w:numPr>
        <w:jc w:val="left"/>
        <w:rPr>
          <w:lang w:bidi="ar"/>
        </w:rPr>
      </w:pPr>
      <w:r>
        <w:rPr>
          <w:lang w:bidi="ar"/>
        </w:rPr>
        <w:t>非公知性鉴定报告</w:t>
      </w:r>
      <w:r>
        <w:rPr>
          <w:rFonts w:hint="eastAsia"/>
          <w:lang w:bidi="ar"/>
        </w:rPr>
        <w:t>；</w:t>
      </w:r>
    </w:p>
    <w:p>
      <w:pPr>
        <w:pStyle w:val="105"/>
        <w:numPr>
          <w:ilvl w:val="0"/>
          <w:numId w:val="62"/>
        </w:numPr>
        <w:jc w:val="left"/>
        <w:rPr>
          <w:lang w:bidi="ar"/>
        </w:rPr>
      </w:pPr>
      <w:r>
        <w:rPr>
          <w:lang w:bidi="ar"/>
        </w:rPr>
        <w:t>商业秘密的投入研发成本、</w:t>
      </w:r>
      <w:r>
        <w:rPr>
          <w:rFonts w:hint="eastAsia"/>
          <w:lang w:bidi="ar"/>
        </w:rPr>
        <w:t>价值评估报告</w:t>
      </w:r>
      <w:r>
        <w:rPr>
          <w:lang w:bidi="ar"/>
        </w:rPr>
        <w:t>；</w:t>
      </w:r>
    </w:p>
    <w:p>
      <w:pPr>
        <w:pStyle w:val="105"/>
        <w:numPr>
          <w:ilvl w:val="0"/>
          <w:numId w:val="62"/>
        </w:numPr>
        <w:jc w:val="left"/>
        <w:rPr>
          <w:lang w:bidi="ar"/>
        </w:rPr>
      </w:pPr>
      <w:r>
        <w:rPr>
          <w:rFonts w:hint="eastAsia"/>
          <w:lang w:bidi="ar"/>
        </w:rPr>
        <w:t>劳动合同、</w:t>
      </w:r>
      <w:r>
        <w:rPr>
          <w:lang w:bidi="ar"/>
        </w:rPr>
        <w:t>保密协议、竞业限制协议</w:t>
      </w:r>
      <w:r>
        <w:rPr>
          <w:rFonts w:hint="eastAsia"/>
          <w:lang w:bidi="ar"/>
        </w:rPr>
        <w:t>、信息系统权限设置；</w:t>
      </w:r>
    </w:p>
    <w:p>
      <w:pPr>
        <w:pStyle w:val="105"/>
        <w:numPr>
          <w:ilvl w:val="0"/>
          <w:numId w:val="62"/>
        </w:numPr>
        <w:jc w:val="left"/>
        <w:rPr>
          <w:lang w:bidi="ar"/>
        </w:rPr>
      </w:pPr>
      <w:r>
        <w:rPr>
          <w:rFonts w:hint="eastAsia"/>
          <w:lang w:bidi="ar"/>
        </w:rPr>
        <w:t>采购合同、销售合同；</w:t>
      </w:r>
    </w:p>
    <w:p>
      <w:pPr>
        <w:pStyle w:val="105"/>
        <w:numPr>
          <w:ilvl w:val="0"/>
          <w:numId w:val="62"/>
        </w:numPr>
        <w:jc w:val="left"/>
        <w:rPr>
          <w:lang w:bidi="ar"/>
        </w:rPr>
      </w:pPr>
      <w:r>
        <w:rPr>
          <w:rFonts w:hint="eastAsia"/>
          <w:lang w:bidi="ar"/>
        </w:rPr>
        <w:t>同一性鉴定报告；</w:t>
      </w:r>
    </w:p>
    <w:p>
      <w:pPr>
        <w:pStyle w:val="105"/>
        <w:numPr>
          <w:ilvl w:val="0"/>
          <w:numId w:val="62"/>
        </w:numPr>
        <w:jc w:val="left"/>
        <w:rPr>
          <w:lang w:bidi="ar"/>
        </w:rPr>
      </w:pPr>
      <w:r>
        <w:rPr>
          <w:rFonts w:hint="eastAsia"/>
          <w:lang w:bidi="ar"/>
        </w:rPr>
        <w:t>损失鉴定报告；</w:t>
      </w:r>
    </w:p>
    <w:p>
      <w:pPr>
        <w:pStyle w:val="105"/>
        <w:numPr>
          <w:ilvl w:val="0"/>
          <w:numId w:val="62"/>
        </w:numPr>
        <w:jc w:val="left"/>
        <w:rPr>
          <w:lang w:bidi="ar"/>
        </w:rPr>
      </w:pPr>
      <w:r>
        <w:rPr>
          <w:rFonts w:hint="eastAsia"/>
          <w:lang w:bidi="ar"/>
        </w:rPr>
        <w:t>其他</w:t>
      </w:r>
      <w:r>
        <w:rPr>
          <w:rFonts w:hint="eastAsia"/>
        </w:rPr>
        <w:t>有必要搜集的维权证据</w:t>
      </w:r>
      <w:r>
        <w:rPr>
          <w:rFonts w:hint="eastAsia"/>
          <w:lang w:bidi="ar"/>
        </w:rPr>
        <w:t>。</w:t>
      </w:r>
    </w:p>
    <w:p>
      <w:pPr>
        <w:pStyle w:val="87"/>
        <w:spacing w:before="156" w:after="156"/>
        <w:jc w:val="left"/>
      </w:pPr>
      <w:bookmarkStart w:id="754" w:name="_Toc146287370"/>
      <w:bookmarkStart w:id="755" w:name="_Toc157415850"/>
      <w:bookmarkStart w:id="756" w:name="_Toc10032"/>
      <w:bookmarkStart w:id="757" w:name="_Toc157414243"/>
      <w:bookmarkStart w:id="758" w:name="_Toc165302366"/>
      <w:bookmarkStart w:id="759" w:name="_Toc23963"/>
      <w:bookmarkStart w:id="760" w:name="_Toc148011736"/>
      <w:bookmarkStart w:id="761" w:name="_Toc29785"/>
      <w:bookmarkStart w:id="762" w:name="_Toc164762092"/>
      <w:bookmarkStart w:id="763" w:name="_Toc164760895"/>
      <w:bookmarkStart w:id="764" w:name="_Toc157414284"/>
      <w:bookmarkStart w:id="765" w:name="_Toc7030"/>
      <w:bookmarkStart w:id="766" w:name="_Toc164761546"/>
      <w:bookmarkStart w:id="767" w:name="_Toc161059126"/>
      <w:bookmarkStart w:id="768" w:name="_Toc161057451"/>
      <w:bookmarkStart w:id="769" w:name="_Toc157418257"/>
      <w:bookmarkStart w:id="770" w:name="_Toc164761912"/>
      <w:bookmarkStart w:id="771" w:name="_Toc23133"/>
      <w:bookmarkStart w:id="772" w:name="_Toc31020"/>
      <w:r>
        <w:rPr>
          <w:rFonts w:hint="eastAsia"/>
        </w:rPr>
        <w:t>海外维权</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92"/>
        <w:spacing w:before="156" w:after="156"/>
        <w:jc w:val="left"/>
      </w:pPr>
      <w:bookmarkStart w:id="773" w:name="_Toc27114"/>
      <w:r>
        <w:rPr>
          <w:rFonts w:hint="eastAsia"/>
        </w:rPr>
        <w:t>风险评估</w:t>
      </w:r>
      <w:bookmarkEnd w:id="773"/>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企业应评估管辖地的相关法律规定和同类案件判决情况、诉讼成本收益比、被告性质（个人或企业）等因素。被告性质为企业的，还应评估被告与企业竞争关系的强弱性。</w:t>
      </w:r>
    </w:p>
    <w:p>
      <w:pPr>
        <w:pStyle w:val="92"/>
        <w:spacing w:before="156" w:after="156"/>
        <w:jc w:val="left"/>
      </w:pPr>
      <w:bookmarkStart w:id="774" w:name="_Toc12244"/>
      <w:r>
        <w:rPr>
          <w:rFonts w:hint="eastAsia"/>
        </w:rPr>
        <w:t>维权团队组建</w:t>
      </w:r>
      <w:bookmarkEnd w:id="774"/>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企业应组建涉外维权团队，维权团队宜包含中国律师、管辖地律师、企业决策层、企业研发人员、企业知识产权与法务人员等。</w:t>
      </w:r>
    </w:p>
    <w:p>
      <w:pPr>
        <w:pStyle w:val="92"/>
        <w:spacing w:before="156" w:after="156"/>
        <w:jc w:val="left"/>
      </w:pPr>
      <w:bookmarkStart w:id="775" w:name="_Toc1714"/>
      <w:r>
        <w:rPr>
          <w:rFonts w:hint="eastAsia"/>
        </w:rPr>
        <w:t>熟悉管辖地法律</w:t>
      </w:r>
      <w:bookmarkEnd w:id="775"/>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维权团队应了解管辖地的商业秘密制度、维权规则、证据要求、维权途径、维权程序、诉讼时效等法律要求。</w:t>
      </w:r>
    </w:p>
    <w:p>
      <w:pPr>
        <w:pStyle w:val="92"/>
        <w:spacing w:before="156" w:after="156"/>
        <w:jc w:val="left"/>
      </w:pPr>
      <w:bookmarkStart w:id="776" w:name="_Toc29432"/>
      <w:r>
        <w:rPr>
          <w:rFonts w:hint="eastAsia"/>
        </w:rPr>
        <w:t>维权策略制定</w:t>
      </w:r>
      <w:bookmarkEnd w:id="776"/>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企业应结合商业秘密等级、维权风险、维权成本、维权时间等，制定包括维权地域、维权时机、维权方式等在内的维权策略。</w:t>
      </w:r>
    </w:p>
    <w:p>
      <w:pPr>
        <w:pStyle w:val="92"/>
        <w:spacing w:before="156" w:after="156"/>
        <w:jc w:val="left"/>
      </w:pPr>
      <w:bookmarkStart w:id="777" w:name="_Toc23417"/>
      <w:r>
        <w:rPr>
          <w:rFonts w:hint="eastAsia"/>
        </w:rPr>
        <w:t>信息搜集</w:t>
      </w:r>
      <w:bookmarkEnd w:id="777"/>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维权团队应根据制定的维权策略，多渠道搜集维权证据、被告方的诉讼史、被告方的律所及律师的业务擅长方向与既往诉讼经验等。</w:t>
      </w:r>
    </w:p>
    <w:p>
      <w:pPr>
        <w:pStyle w:val="92"/>
        <w:spacing w:before="156" w:after="156"/>
        <w:jc w:val="left"/>
      </w:pPr>
      <w:bookmarkStart w:id="778" w:name="_Toc23086"/>
      <w:r>
        <w:rPr>
          <w:rFonts w:hint="eastAsia"/>
        </w:rPr>
        <w:t>和解谈判</w:t>
      </w:r>
      <w:bookmarkEnd w:id="778"/>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企业应综合分析维权成本、维权时间、维权胜率等因素，决定是否与对方和解，并积极制定和解谈判策略。</w:t>
      </w:r>
    </w:p>
    <w:bookmarkEnd w:id="748"/>
    <w:bookmarkEnd w:id="749"/>
    <w:bookmarkEnd w:id="750"/>
    <w:p>
      <w:pPr>
        <w:pStyle w:val="87"/>
        <w:spacing w:before="156" w:after="156"/>
        <w:jc w:val="left"/>
      </w:pPr>
      <w:bookmarkStart w:id="779" w:name="_Toc164761547"/>
      <w:bookmarkStart w:id="780" w:name="_Toc164761913"/>
      <w:bookmarkStart w:id="781" w:name="_Toc8426"/>
      <w:bookmarkStart w:id="782" w:name="_Toc161057452"/>
      <w:bookmarkStart w:id="783" w:name="_Toc13522"/>
      <w:bookmarkStart w:id="784" w:name="_Toc146287371"/>
      <w:bookmarkStart w:id="785" w:name="_Toc8890"/>
      <w:bookmarkStart w:id="786" w:name="_Toc143001105"/>
      <w:bookmarkStart w:id="787" w:name="_Toc143001062"/>
      <w:bookmarkStart w:id="788" w:name="_Toc148011737"/>
      <w:bookmarkStart w:id="789" w:name="_Toc157418258"/>
      <w:bookmarkStart w:id="790" w:name="_Toc157415851"/>
      <w:bookmarkStart w:id="791" w:name="_Toc165302367"/>
      <w:bookmarkStart w:id="792" w:name="_Toc17991"/>
      <w:bookmarkStart w:id="793" w:name="_Toc10989"/>
      <w:bookmarkStart w:id="794" w:name="_Toc157414285"/>
      <w:bookmarkStart w:id="795" w:name="_Toc164762093"/>
      <w:bookmarkStart w:id="796" w:name="_Toc164760896"/>
      <w:bookmarkStart w:id="797" w:name="_Toc161059127"/>
      <w:bookmarkStart w:id="798" w:name="_Toc157414244"/>
      <w:bookmarkStart w:id="799" w:name="_Toc12752"/>
      <w:bookmarkStart w:id="800" w:name="_Toc143074516"/>
      <w:r>
        <w:t>司法</w:t>
      </w:r>
      <w:r>
        <w:rPr>
          <w:rFonts w:hint="eastAsia"/>
        </w:rPr>
        <w:t>鉴定</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商业秘密争议处理过程中，宜委托有资质的鉴定机构对所涉信息是否为公众所知悉，被告获得、披露、使用的信息与原告持有的信息是否相同或实质相同进行司法鉴定。</w:t>
      </w:r>
    </w:p>
    <w:p>
      <w:pPr>
        <w:pStyle w:val="87"/>
        <w:spacing w:before="156" w:after="156"/>
        <w:jc w:val="left"/>
        <w:rPr>
          <w:lang w:bidi="ar"/>
        </w:rPr>
      </w:pPr>
      <w:bookmarkStart w:id="801" w:name="_Toc164762094"/>
      <w:bookmarkStart w:id="802" w:name="_Toc164761548"/>
      <w:bookmarkStart w:id="803" w:name="_Toc4202"/>
      <w:bookmarkStart w:id="804" w:name="_Toc148011738"/>
      <w:bookmarkStart w:id="805" w:name="_Toc10174"/>
      <w:bookmarkStart w:id="806" w:name="_Toc161057453"/>
      <w:bookmarkStart w:id="807" w:name="_Toc21565"/>
      <w:bookmarkStart w:id="808" w:name="_Toc4405"/>
      <w:bookmarkStart w:id="809" w:name="_Toc157415852"/>
      <w:bookmarkStart w:id="810" w:name="_Toc146287372"/>
      <w:bookmarkStart w:id="811" w:name="_Toc164761914"/>
      <w:bookmarkStart w:id="812" w:name="_Toc157418259"/>
      <w:bookmarkStart w:id="813" w:name="_Toc165302368"/>
      <w:bookmarkStart w:id="814" w:name="_Toc161059128"/>
      <w:bookmarkStart w:id="815" w:name="_Toc157414245"/>
      <w:bookmarkStart w:id="816" w:name="_Toc7971"/>
      <w:bookmarkStart w:id="817" w:name="_Toc157414286"/>
      <w:bookmarkStart w:id="818" w:name="_Toc164760897"/>
      <w:bookmarkStart w:id="819" w:name="_Toc25161"/>
      <w:r>
        <w:t>二</w:t>
      </w:r>
      <w:r>
        <w:rPr>
          <w:lang w:bidi="ar"/>
        </w:rPr>
        <w:t>次泄密防范</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维权过程中，企业应采取以下措施严防二次泄密：</w:t>
      </w:r>
    </w:p>
    <w:p>
      <w:pPr>
        <w:pStyle w:val="105"/>
        <w:numPr>
          <w:ilvl w:val="0"/>
          <w:numId w:val="63"/>
        </w:numPr>
        <w:jc w:val="left"/>
        <w:rPr>
          <w:lang w:bidi="ar"/>
        </w:rPr>
      </w:pPr>
      <w:r>
        <w:rPr>
          <w:lang w:bidi="ar"/>
        </w:rPr>
        <w:t>委托第三方评估时，签订</w:t>
      </w:r>
      <w:r>
        <w:rPr>
          <w:rFonts w:hint="eastAsia"/>
          <w:lang w:bidi="ar"/>
        </w:rPr>
        <w:t>保密协议</w:t>
      </w:r>
      <w:r>
        <w:rPr>
          <w:lang w:bidi="ar"/>
        </w:rPr>
        <w:t>；</w:t>
      </w:r>
    </w:p>
    <w:p>
      <w:pPr>
        <w:pStyle w:val="105"/>
        <w:numPr>
          <w:ilvl w:val="0"/>
          <w:numId w:val="36"/>
        </w:numPr>
        <w:jc w:val="left"/>
        <w:rPr>
          <w:lang w:bidi="ar"/>
        </w:rPr>
      </w:pPr>
      <w:r>
        <w:rPr>
          <w:rFonts w:hint="eastAsia"/>
          <w:lang w:bidi="ar"/>
        </w:rPr>
        <w:t>向</w:t>
      </w:r>
      <w:r>
        <w:rPr>
          <w:lang w:bidi="ar"/>
        </w:rPr>
        <w:t>办案机关</w:t>
      </w:r>
      <w:r>
        <w:rPr>
          <w:rFonts w:hint="eastAsia"/>
          <w:lang w:bidi="ar"/>
        </w:rPr>
        <w:t>申请</w:t>
      </w:r>
      <w:r>
        <w:rPr>
          <w:lang w:bidi="ar"/>
        </w:rPr>
        <w:t>对证据材料采取保密措施，必要时要求相关参与人签署</w:t>
      </w:r>
      <w:r>
        <w:rPr>
          <w:rFonts w:hint="eastAsia"/>
          <w:lang w:bidi="ar"/>
        </w:rPr>
        <w:t>保密承诺书</w:t>
      </w:r>
      <w:r>
        <w:rPr>
          <w:lang w:bidi="ar"/>
        </w:rPr>
        <w:t>；</w:t>
      </w:r>
    </w:p>
    <w:p>
      <w:pPr>
        <w:pStyle w:val="105"/>
        <w:numPr>
          <w:ilvl w:val="0"/>
          <w:numId w:val="36"/>
        </w:numPr>
        <w:jc w:val="left"/>
        <w:rPr>
          <w:lang w:bidi="ar"/>
        </w:rPr>
      </w:pPr>
      <w:r>
        <w:rPr>
          <w:lang w:bidi="ar"/>
        </w:rPr>
        <w:t>对不确定是否</w:t>
      </w:r>
      <w:r>
        <w:rPr>
          <w:rFonts w:hint="eastAsia"/>
          <w:lang w:bidi="ar"/>
        </w:rPr>
        <w:t>已</w:t>
      </w:r>
      <w:r>
        <w:rPr>
          <w:lang w:bidi="ar"/>
        </w:rPr>
        <w:t>泄露的商业秘密</w:t>
      </w:r>
      <w:r>
        <w:rPr>
          <w:rFonts w:hint="eastAsia"/>
          <w:lang w:bidi="ar"/>
        </w:rPr>
        <w:t>信息，</w:t>
      </w:r>
      <w:r>
        <w:rPr>
          <w:lang w:bidi="ar"/>
        </w:rPr>
        <w:t>谨慎提交等</w:t>
      </w:r>
      <w:r>
        <w:rPr>
          <w:rFonts w:hint="eastAsia"/>
          <w:lang w:bidi="ar"/>
        </w:rPr>
        <w:t>；</w:t>
      </w:r>
    </w:p>
    <w:p>
      <w:pPr>
        <w:pStyle w:val="105"/>
        <w:numPr>
          <w:ilvl w:val="0"/>
          <w:numId w:val="36"/>
        </w:numPr>
        <w:jc w:val="left"/>
        <w:rPr>
          <w:lang w:bidi="ar"/>
        </w:rPr>
      </w:pPr>
      <w:r>
        <w:rPr>
          <w:rFonts w:hint="eastAsia"/>
          <w:lang w:bidi="ar"/>
        </w:rPr>
        <w:t>其他有必要采取的防泄密措施</w:t>
      </w:r>
      <w:r>
        <w:rPr>
          <w:lang w:bidi="ar"/>
        </w:rPr>
        <w:t>。</w:t>
      </w:r>
    </w:p>
    <w:p>
      <w:pPr>
        <w:pStyle w:val="87"/>
        <w:spacing w:before="156" w:after="156"/>
        <w:jc w:val="left"/>
      </w:pPr>
      <w:bookmarkStart w:id="820" w:name="_Toc165302369"/>
      <w:bookmarkStart w:id="821" w:name="_Toc157418260"/>
      <w:bookmarkStart w:id="822" w:name="_Toc146287373"/>
      <w:bookmarkStart w:id="823" w:name="_Toc164761549"/>
      <w:bookmarkStart w:id="824" w:name="_Toc164762095"/>
      <w:bookmarkStart w:id="825" w:name="_Toc18145"/>
      <w:bookmarkStart w:id="826" w:name="_Toc3955"/>
      <w:bookmarkStart w:id="827" w:name="_Toc7342"/>
      <w:bookmarkStart w:id="828" w:name="_Toc157414246"/>
      <w:bookmarkStart w:id="829" w:name="_Toc9492"/>
      <w:bookmarkStart w:id="830" w:name="_Toc161059129"/>
      <w:bookmarkStart w:id="831" w:name="_Toc157414287"/>
      <w:bookmarkStart w:id="832" w:name="_Toc28651"/>
      <w:bookmarkStart w:id="833" w:name="_Toc161057454"/>
      <w:bookmarkStart w:id="834" w:name="_Toc164760898"/>
      <w:bookmarkStart w:id="835" w:name="_Toc164761915"/>
      <w:bookmarkStart w:id="836" w:name="_Toc10069"/>
      <w:bookmarkStart w:id="837" w:name="_Toc148011739"/>
      <w:bookmarkStart w:id="838" w:name="_Toc157415853"/>
      <w:r>
        <w:rPr>
          <w:rFonts w:hint="eastAsia"/>
        </w:rPr>
        <w:t>应诉</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企业被控告侵犯他人商业秘密时，保密办应组织法务、研发等相关内部人员或外部机构，围绕以下角度抗辩：</w:t>
      </w:r>
    </w:p>
    <w:p>
      <w:pPr>
        <w:pStyle w:val="105"/>
        <w:numPr>
          <w:ilvl w:val="0"/>
          <w:numId w:val="64"/>
        </w:numPr>
        <w:jc w:val="left"/>
      </w:pPr>
      <w:r>
        <w:rPr>
          <w:rFonts w:hint="eastAsia"/>
        </w:rPr>
        <w:t>商业秘密属于一般常识、行业惯例、公开信息的简单组合等公众所知悉的商业信息；</w:t>
      </w:r>
    </w:p>
    <w:p>
      <w:pPr>
        <w:pStyle w:val="105"/>
        <w:numPr>
          <w:ilvl w:val="0"/>
          <w:numId w:val="64"/>
        </w:numPr>
        <w:jc w:val="left"/>
      </w:pPr>
      <w:r>
        <w:rPr>
          <w:rFonts w:hint="eastAsia"/>
        </w:rPr>
        <w:t>企业以自主研发的形式产出该商业秘密；</w:t>
      </w:r>
    </w:p>
    <w:p>
      <w:pPr>
        <w:pStyle w:val="105"/>
        <w:numPr>
          <w:ilvl w:val="0"/>
          <w:numId w:val="64"/>
        </w:numPr>
        <w:jc w:val="left"/>
      </w:pPr>
      <w:r>
        <w:rPr>
          <w:rFonts w:hint="eastAsia"/>
        </w:rPr>
        <w:t>企业以正规的渠道购买承载该商业秘密的产品，并通过反向工程获取该商业秘密；</w:t>
      </w:r>
    </w:p>
    <w:p>
      <w:pPr>
        <w:pStyle w:val="105"/>
        <w:numPr>
          <w:ilvl w:val="0"/>
          <w:numId w:val="64"/>
        </w:numPr>
        <w:jc w:val="left"/>
      </w:pPr>
      <w:r>
        <w:rPr>
          <w:rFonts w:hint="eastAsia"/>
        </w:rPr>
        <w:t>企业采取背景调查、签署员工不侵犯他人商业秘密承诺书等管理措施证据，不存在侵权主观故意；</w:t>
      </w:r>
    </w:p>
    <w:p>
      <w:pPr>
        <w:pStyle w:val="105"/>
        <w:numPr>
          <w:ilvl w:val="0"/>
          <w:numId w:val="64"/>
        </w:numPr>
        <w:jc w:val="left"/>
      </w:pPr>
      <w:r>
        <w:rPr>
          <w:rFonts w:hint="eastAsia"/>
        </w:rPr>
        <w:t>其他企业认为合理的抗辩角度。</w:t>
      </w:r>
    </w:p>
    <w:p>
      <w:pPr>
        <w:pStyle w:val="88"/>
        <w:spacing w:before="312" w:after="312"/>
        <w:jc w:val="left"/>
        <w:rPr>
          <w:b/>
          <w:sz w:val="36"/>
          <w:szCs w:val="36"/>
        </w:rPr>
      </w:pPr>
      <w:bookmarkStart w:id="839" w:name="_Toc16563"/>
      <w:bookmarkStart w:id="840" w:name="_Toc157414288"/>
      <w:bookmarkStart w:id="841" w:name="_Toc8414"/>
      <w:bookmarkStart w:id="842" w:name="_Toc918"/>
      <w:bookmarkStart w:id="843" w:name="_Toc143001063"/>
      <w:bookmarkStart w:id="844" w:name="_Toc164762096"/>
      <w:bookmarkStart w:id="845" w:name="_Toc146287374"/>
      <w:bookmarkStart w:id="846" w:name="_Toc161057455"/>
      <w:bookmarkStart w:id="847" w:name="_Toc165302370"/>
      <w:bookmarkStart w:id="848" w:name="_Toc29778"/>
      <w:bookmarkStart w:id="849" w:name="_Toc164761550"/>
      <w:bookmarkStart w:id="850" w:name="_Toc143074517"/>
      <w:bookmarkStart w:id="851" w:name="_Toc157415854"/>
      <w:bookmarkStart w:id="852" w:name="_Toc161059130"/>
      <w:bookmarkStart w:id="853" w:name="_Toc148011740"/>
      <w:bookmarkStart w:id="854" w:name="_Toc164760899"/>
      <w:bookmarkStart w:id="855" w:name="_Toc157418261"/>
      <w:bookmarkStart w:id="856" w:name="_Toc164761916"/>
      <w:bookmarkStart w:id="857" w:name="_Toc16641"/>
      <w:bookmarkStart w:id="858" w:name="_Toc30119"/>
      <w:bookmarkStart w:id="859" w:name="_Toc157414247"/>
      <w:bookmarkStart w:id="860" w:name="_Toc143001106"/>
      <w:r>
        <w:t>协同保护</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87"/>
        <w:spacing w:before="156" w:after="156"/>
        <w:jc w:val="left"/>
        <w:rPr>
          <w:rFonts w:eastAsia="宋体"/>
        </w:rPr>
      </w:pPr>
      <w:bookmarkStart w:id="861" w:name="_Toc165302371"/>
      <w:bookmarkStart w:id="862" w:name="_Toc146287375"/>
      <w:bookmarkStart w:id="863" w:name="_Toc3530"/>
      <w:bookmarkStart w:id="864" w:name="_Toc20765"/>
      <w:bookmarkStart w:id="865" w:name="_Toc157414248"/>
      <w:bookmarkStart w:id="866" w:name="_Toc157418262"/>
      <w:bookmarkStart w:id="867" w:name="_Toc164761551"/>
      <w:bookmarkStart w:id="868" w:name="_Toc164760900"/>
      <w:bookmarkStart w:id="869" w:name="_Toc164762097"/>
      <w:bookmarkStart w:id="870" w:name="_Toc9098"/>
      <w:bookmarkStart w:id="871" w:name="_Toc161059131"/>
      <w:bookmarkStart w:id="872" w:name="_Toc164761917"/>
      <w:bookmarkStart w:id="873" w:name="_Toc148011741"/>
      <w:bookmarkStart w:id="874" w:name="_Toc13826"/>
      <w:bookmarkStart w:id="875" w:name="_Toc161057456"/>
      <w:bookmarkStart w:id="876" w:name="_Toc11103"/>
      <w:bookmarkStart w:id="877" w:name="_Toc157414289"/>
      <w:bookmarkStart w:id="878" w:name="_Toc157415855"/>
      <w:bookmarkStart w:id="879" w:name="_Toc11495"/>
      <w:r>
        <w:rPr>
          <w:rFonts w:hint="eastAsia"/>
        </w:rPr>
        <w:t>商业秘密保护指导站（维权联系点）协同</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91"/>
        <w:jc w:val="left"/>
      </w:pPr>
      <w:r>
        <w:rPr>
          <w:rFonts w:hint="eastAsia"/>
        </w:rPr>
        <w:t>企业应加强与商业秘密保护指导站（维权联系点）的联络，定期向商业秘密保护指导站（维权联系点）反馈商业秘密保护工作的困难及需求。</w:t>
      </w:r>
    </w:p>
    <w:p>
      <w:pPr>
        <w:pStyle w:val="91"/>
        <w:jc w:val="left"/>
      </w:pPr>
      <w:r>
        <w:rPr>
          <w:rFonts w:hint="eastAsia"/>
        </w:rPr>
        <w:t>保密办应组织相关人员参与商业秘密保护指导站（维权联系点）提供的商业秘密培训、咨询商业秘密侵害事件的处理和维权策略。</w:t>
      </w:r>
    </w:p>
    <w:p>
      <w:pPr>
        <w:pStyle w:val="87"/>
        <w:spacing w:before="156" w:after="156"/>
        <w:jc w:val="left"/>
      </w:pPr>
      <w:bookmarkStart w:id="880" w:name="_Toc164761552"/>
      <w:bookmarkStart w:id="881" w:name="_Toc157415856"/>
      <w:bookmarkStart w:id="882" w:name="_Toc30256"/>
      <w:bookmarkStart w:id="883" w:name="_Toc161057457"/>
      <w:bookmarkStart w:id="884" w:name="_Toc157418263"/>
      <w:bookmarkStart w:id="885" w:name="_Toc161059132"/>
      <w:bookmarkStart w:id="886" w:name="_Toc12737"/>
      <w:bookmarkStart w:id="887" w:name="_Toc146287376"/>
      <w:bookmarkStart w:id="888" w:name="_Toc148011742"/>
      <w:bookmarkStart w:id="889" w:name="_Toc164760901"/>
      <w:bookmarkStart w:id="890" w:name="_Toc164762098"/>
      <w:bookmarkStart w:id="891" w:name="_Toc25135"/>
      <w:bookmarkStart w:id="892" w:name="_Toc157414249"/>
      <w:bookmarkStart w:id="893" w:name="_Toc23487"/>
      <w:bookmarkStart w:id="894" w:name="_Toc164761918"/>
      <w:bookmarkStart w:id="895" w:name="_Toc8910"/>
      <w:bookmarkStart w:id="896" w:name="_Toc157414290"/>
      <w:bookmarkStart w:id="897" w:name="_Toc5369"/>
      <w:bookmarkStart w:id="898" w:name="_Toc165302372"/>
      <w:r>
        <w:rPr>
          <w:rFonts w:hint="eastAsia"/>
        </w:rPr>
        <w:t>行政、司法协同</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91"/>
        <w:jc w:val="left"/>
      </w:pPr>
      <w:r>
        <w:rPr>
          <w:rFonts w:hint="eastAsia"/>
        </w:rPr>
        <w:t>企业发现侵权证据搜集难度大或毁损、灭失风险高时，宜先向公安机关刑事立案，借助刑事侦查手段获取相应的证据，再向法院提起侵害商业秘密民事赔偿诉讼。</w:t>
      </w:r>
    </w:p>
    <w:p>
      <w:pPr>
        <w:pStyle w:val="91"/>
        <w:jc w:val="left"/>
      </w:pPr>
      <w:r>
        <w:rPr>
          <w:rFonts w:hint="eastAsia"/>
        </w:rPr>
        <w:t>商业秘密维权情况紧急时，宜先通过行政举报制止侵权行为，再向法院提起侵害商业秘密民事赔偿诉讼，或向公安机关报案。情况紧急包括：</w:t>
      </w:r>
    </w:p>
    <w:p>
      <w:pPr>
        <w:pStyle w:val="105"/>
        <w:numPr>
          <w:ilvl w:val="0"/>
          <w:numId w:val="65"/>
        </w:numPr>
        <w:jc w:val="left"/>
      </w:pPr>
      <w:r>
        <w:rPr>
          <w:rFonts w:hint="eastAsia"/>
        </w:rPr>
        <w:t>商业秘密即将被非法披露；</w:t>
      </w:r>
    </w:p>
    <w:p>
      <w:pPr>
        <w:pStyle w:val="105"/>
        <w:numPr>
          <w:ilvl w:val="0"/>
          <w:numId w:val="65"/>
        </w:numPr>
        <w:jc w:val="left"/>
      </w:pPr>
      <w:r>
        <w:rPr>
          <w:rFonts w:hint="eastAsia"/>
        </w:rPr>
        <w:t>侵权行为正显著增加企业损害；</w:t>
      </w:r>
    </w:p>
    <w:p>
      <w:pPr>
        <w:pStyle w:val="105"/>
        <w:numPr>
          <w:ilvl w:val="0"/>
          <w:numId w:val="65"/>
        </w:numPr>
        <w:jc w:val="left"/>
      </w:pPr>
      <w:r>
        <w:rPr>
          <w:rFonts w:hint="eastAsia"/>
        </w:rPr>
        <w:t>侵权行为将侵害企业享有的商誉等权利且造成无法挽回的损害；</w:t>
      </w:r>
    </w:p>
    <w:p>
      <w:pPr>
        <w:pStyle w:val="105"/>
        <w:numPr>
          <w:ilvl w:val="0"/>
          <w:numId w:val="65"/>
        </w:numPr>
        <w:jc w:val="left"/>
      </w:pPr>
      <w:r>
        <w:rPr>
          <w:rFonts w:hint="eastAsia"/>
        </w:rPr>
        <w:t>其他有必要马上责令停止侵权的紧急情况。</w:t>
      </w:r>
    </w:p>
    <w:p>
      <w:pPr>
        <w:pStyle w:val="87"/>
        <w:spacing w:before="156" w:after="156"/>
        <w:jc w:val="left"/>
        <w:rPr>
          <w:rFonts w:eastAsia="宋体"/>
        </w:rPr>
      </w:pPr>
      <w:bookmarkStart w:id="899" w:name="_Toc161059133"/>
      <w:bookmarkStart w:id="900" w:name="_Toc164760902"/>
      <w:bookmarkStart w:id="901" w:name="_Toc157414250"/>
      <w:bookmarkStart w:id="902" w:name="_Toc6132"/>
      <w:bookmarkStart w:id="903" w:name="_Toc30615"/>
      <w:bookmarkStart w:id="904" w:name="_Toc882"/>
      <w:bookmarkStart w:id="905" w:name="_Toc164761919"/>
      <w:bookmarkStart w:id="906" w:name="_Toc157418264"/>
      <w:bookmarkStart w:id="907" w:name="_Toc148011743"/>
      <w:bookmarkStart w:id="908" w:name="_Toc146287377"/>
      <w:bookmarkStart w:id="909" w:name="_Toc157415857"/>
      <w:bookmarkStart w:id="910" w:name="_Toc164762099"/>
      <w:bookmarkStart w:id="911" w:name="_Toc1951"/>
      <w:bookmarkStart w:id="912" w:name="_Toc157414291"/>
      <w:bookmarkStart w:id="913" w:name="_Toc14188"/>
      <w:bookmarkStart w:id="914" w:name="_Toc161057458"/>
      <w:bookmarkStart w:id="915" w:name="_Toc165302373"/>
      <w:bookmarkStart w:id="916" w:name="_Toc164761553"/>
      <w:bookmarkStart w:id="917" w:name="_Toc4569"/>
      <w:r>
        <w:rPr>
          <w:rFonts w:hint="eastAsia"/>
        </w:rPr>
        <w:t>区域协同</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99"/>
        <w:numPr>
          <w:ilvl w:val="255"/>
          <w:numId w:val="0"/>
        </w:numPr>
        <w:spacing w:before="0" w:beforeLines="0" w:after="0" w:afterLines="0"/>
        <w:ind w:firstLine="420" w:firstLineChars="200"/>
        <w:jc w:val="left"/>
        <w:rPr>
          <w:rFonts w:hint="eastAsia" w:ascii="宋体" w:hAnsi="Times New Roman" w:eastAsia="宋体" w:cs="Times New Roman"/>
        </w:rPr>
      </w:pPr>
      <w:r>
        <w:rPr>
          <w:rFonts w:hint="eastAsia" w:ascii="宋体" w:hAnsi="Times New Roman" w:eastAsia="宋体" w:cs="Times New Roman"/>
        </w:rPr>
        <w:t>企业在长三角及其它地区遇到商业秘密法律纠纷时，宜参照《长三角生态绿色一体化发展示范区商业秘密保护协作备忘录》等相关文件要求，寻求区域协同保护。</w:t>
      </w:r>
    </w:p>
    <w:p>
      <w:pPr>
        <w:sectPr>
          <w:headerReference r:id="rId15" w:type="default"/>
          <w:footerReference r:id="rId17" w:type="default"/>
          <w:headerReference r:id="rId16" w:type="even"/>
          <w:footerReference r:id="rId18" w:type="even"/>
          <w:pgSz w:w="11906" w:h="16838"/>
          <w:pgMar w:top="1417" w:right="1134" w:bottom="1134" w:left="1418" w:header="1417" w:footer="1134" w:gutter="0"/>
          <w:pgNumType w:fmt="decimal" w:start="1"/>
          <w:cols w:space="425" w:num="1"/>
          <w:docGrid w:type="lines" w:linePitch="312" w:charSpace="0"/>
        </w:sectPr>
      </w:pPr>
      <w:r>
        <w:br w:type="page"/>
      </w:r>
    </w:p>
    <w:p>
      <w:pPr>
        <w:pStyle w:val="12"/>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918" w:name="_Toc31841"/>
      <w:r>
        <w:rPr>
          <w:rFonts w:hint="eastAsia" w:ascii="黑体" w:hAnsi="黑体" w:eastAsia="黑体" w:cs="黑体"/>
          <w:sz w:val="21"/>
          <w:szCs w:val="21"/>
          <w:lang w:val="en-US" w:eastAsia="zh-CN"/>
        </w:rPr>
        <w:t>附  录  A</w:t>
      </w:r>
      <w:bookmarkEnd w:id="918"/>
    </w:p>
    <w:p>
      <w:pPr>
        <w:pStyle w:val="13"/>
        <w:jc w:val="center"/>
        <w:outlineLvl w:val="0"/>
        <w:rPr>
          <w:rFonts w:ascii="黑体" w:hAnsi="黑体" w:eastAsia="黑体" w:cs="黑体"/>
          <w:sz w:val="21"/>
          <w:szCs w:val="21"/>
        </w:rPr>
      </w:pPr>
      <w:bookmarkStart w:id="919" w:name="_Toc11973"/>
      <w:r>
        <w:rPr>
          <w:rFonts w:hint="eastAsia" w:ascii="黑体" w:hAnsi="黑体" w:eastAsia="黑体" w:cs="黑体"/>
          <w:sz w:val="21"/>
          <w:szCs w:val="21"/>
        </w:rPr>
        <w:t>（资料性）</w:t>
      </w:r>
      <w:bookmarkEnd w:id="919"/>
    </w:p>
    <w:p>
      <w:pPr>
        <w:pStyle w:val="13"/>
        <w:adjustRightInd w:val="0"/>
        <w:spacing w:after="283"/>
        <w:jc w:val="center"/>
        <w:outlineLvl w:val="0"/>
        <w:rPr>
          <w:rFonts w:ascii="黑体" w:hAnsi="黑体" w:eastAsia="黑体"/>
          <w:color w:val="000000"/>
          <w:sz w:val="21"/>
          <w:szCs w:val="21"/>
        </w:rPr>
      </w:pPr>
      <w:bookmarkStart w:id="920" w:name="_Toc16724"/>
      <w:r>
        <w:rPr>
          <w:rFonts w:hint="eastAsia" w:ascii="黑体" w:hAnsi="黑体" w:eastAsia="黑体"/>
          <w:color w:val="000000"/>
          <w:sz w:val="21"/>
          <w:szCs w:val="21"/>
        </w:rPr>
        <w:t>商业信息梳理范围</w:t>
      </w:r>
      <w:bookmarkEnd w:id="920"/>
    </w:p>
    <w:p>
      <w:pPr>
        <w:pStyle w:val="19"/>
        <w:adjustRightInd w:val="0"/>
        <w:snapToGrid w:val="0"/>
        <w:spacing w:line="240" w:lineRule="auto"/>
      </w:pPr>
      <w:r>
        <w:t>商业信息梳理范围见表A</w:t>
      </w:r>
      <w:r>
        <w:rPr>
          <w:rFonts w:hint="eastAsia"/>
        </w:rPr>
        <w:t>.</w:t>
      </w:r>
      <w:r>
        <w:t>1。</w:t>
      </w:r>
    </w:p>
    <w:p>
      <w:pPr>
        <w:pStyle w:val="82"/>
        <w:numPr>
          <w:ilvl w:val="0"/>
          <w:numId w:val="0"/>
        </w:numPr>
      </w:pPr>
      <w:r>
        <w:rPr>
          <w:rFonts w:hint="eastAsia"/>
        </w:rPr>
        <w:t>表A.1  商业信息梳理范围</w:t>
      </w:r>
    </w:p>
    <w:tbl>
      <w:tblPr>
        <w:tblStyle w:val="32"/>
        <w:tblW w:w="1005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691"/>
        <w:gridCol w:w="3828"/>
        <w:gridCol w:w="453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691" w:type="dxa"/>
            <w:tcBorders>
              <w:top w:val="single" w:color="auto" w:sz="8" w:space="0"/>
              <w:bottom w:val="single" w:color="auto" w:sz="8" w:space="0"/>
            </w:tcBorders>
            <w:shd w:val="clear" w:color="auto" w:fill="auto"/>
            <w:vAlign w:val="center"/>
          </w:tcPr>
          <w:p>
            <w:pPr>
              <w:pStyle w:val="118"/>
            </w:pPr>
            <w:r>
              <w:rPr>
                <w:rFonts w:hint="eastAsia"/>
              </w:rPr>
              <w:t>工作环节</w:t>
            </w:r>
          </w:p>
        </w:tc>
        <w:tc>
          <w:tcPr>
            <w:tcW w:w="3828" w:type="dxa"/>
            <w:tcBorders>
              <w:top w:val="single" w:color="auto" w:sz="8" w:space="0"/>
              <w:bottom w:val="single" w:color="auto" w:sz="8" w:space="0"/>
            </w:tcBorders>
            <w:shd w:val="clear" w:color="auto" w:fill="auto"/>
            <w:vAlign w:val="center"/>
          </w:tcPr>
          <w:p>
            <w:pPr>
              <w:pStyle w:val="118"/>
            </w:pPr>
            <w:r>
              <w:rPr>
                <w:rFonts w:hint="eastAsia"/>
              </w:rPr>
              <w:t>文件名称</w:t>
            </w:r>
          </w:p>
        </w:tc>
        <w:tc>
          <w:tcPr>
            <w:tcW w:w="4536" w:type="dxa"/>
            <w:tcBorders>
              <w:top w:val="single" w:color="auto" w:sz="8" w:space="0"/>
              <w:bottom w:val="single" w:color="auto" w:sz="8" w:space="0"/>
            </w:tcBorders>
            <w:shd w:val="clear" w:color="auto" w:fill="auto"/>
            <w:vAlign w:val="center"/>
          </w:tcPr>
          <w:p>
            <w:pPr>
              <w:pStyle w:val="118"/>
            </w:pPr>
            <w:r>
              <w:rPr>
                <w:rFonts w:hint="eastAsia"/>
              </w:rPr>
              <w:t>表现形式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691" w:type="dxa"/>
            <w:tcBorders>
              <w:top w:val="single" w:color="auto" w:sz="8" w:space="0"/>
            </w:tcBorders>
            <w:shd w:val="clear" w:color="auto" w:fill="auto"/>
            <w:vAlign w:val="center"/>
          </w:tcPr>
          <w:p>
            <w:pPr>
              <w:pStyle w:val="118"/>
            </w:pPr>
            <w:r>
              <w:rPr>
                <w:rFonts w:hint="eastAsia"/>
              </w:rPr>
              <w:t>立项环节</w:t>
            </w:r>
          </w:p>
        </w:tc>
        <w:tc>
          <w:tcPr>
            <w:tcW w:w="3828" w:type="dxa"/>
            <w:tcBorders>
              <w:top w:val="single" w:color="auto" w:sz="8" w:space="0"/>
            </w:tcBorders>
            <w:shd w:val="clear" w:color="auto" w:fill="auto"/>
            <w:vAlign w:val="center"/>
          </w:tcPr>
          <w:p>
            <w:pPr>
              <w:pStyle w:val="118"/>
            </w:pPr>
            <w:r>
              <w:rPr>
                <w:rStyle w:val="119"/>
                <w:rFonts w:hint="default"/>
                <w:b w:val="0"/>
                <w:lang w:bidi="ar"/>
              </w:rPr>
              <w:t>《项目立项报告》、《用户需求说明书》、《立项会议材料》、《项目成本分析书》等</w:t>
            </w:r>
          </w:p>
        </w:tc>
        <w:tc>
          <w:tcPr>
            <w:tcW w:w="4536" w:type="dxa"/>
            <w:tcBorders>
              <w:top w:val="single" w:color="auto" w:sz="8" w:space="0"/>
            </w:tcBorders>
            <w:shd w:val="clear" w:color="auto" w:fill="auto"/>
            <w:vAlign w:val="center"/>
          </w:tcPr>
          <w:p>
            <w:pPr>
              <w:pStyle w:val="118"/>
            </w:pPr>
            <w:r>
              <w:rPr>
                <w:rStyle w:val="119"/>
                <w:rFonts w:hint="default"/>
                <w:b w:val="0"/>
                <w:lang w:bidi="ar"/>
              </w:rPr>
              <w:t>研发方案、需求参数、产品设计图、技术规格、产品路线图等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691" w:type="dxa"/>
            <w:shd w:val="clear" w:color="auto" w:fill="auto"/>
            <w:vAlign w:val="center"/>
          </w:tcPr>
          <w:p>
            <w:pPr>
              <w:pStyle w:val="118"/>
            </w:pPr>
            <w:r>
              <w:rPr>
                <w:rFonts w:hint="eastAsia"/>
              </w:rPr>
              <w:t>研发环节</w:t>
            </w:r>
          </w:p>
        </w:tc>
        <w:tc>
          <w:tcPr>
            <w:tcW w:w="3828" w:type="dxa"/>
            <w:shd w:val="clear" w:color="auto" w:fill="auto"/>
            <w:vAlign w:val="center"/>
          </w:tcPr>
          <w:p>
            <w:pPr>
              <w:pStyle w:val="118"/>
            </w:pPr>
            <w:r>
              <w:rPr>
                <w:rStyle w:val="119"/>
                <w:rFonts w:hint="default"/>
                <w:b w:val="0"/>
                <w:lang w:bidi="ar"/>
              </w:rPr>
              <w:t>《实验阶段记录》、《项目预算规划书》、《开发项目计划书》、《产品分析报告》、《原料分析》、《开发进度周报/月报》、《项目时程表》、《项目会议记录》、《产品功能细部说明书》等</w:t>
            </w:r>
          </w:p>
        </w:tc>
        <w:tc>
          <w:tcPr>
            <w:tcW w:w="4536" w:type="dxa"/>
            <w:shd w:val="clear" w:color="auto" w:fill="auto"/>
            <w:vAlign w:val="center"/>
          </w:tcPr>
          <w:p>
            <w:pPr>
              <w:pStyle w:val="118"/>
            </w:pPr>
            <w:r>
              <w:rPr>
                <w:rStyle w:val="119"/>
                <w:rFonts w:hint="default"/>
                <w:b w:val="0"/>
                <w:lang w:bidi="ar"/>
              </w:rPr>
              <w:t>结构方案、生产加工技术、实验方案、实验数据、分析数据、原料规格、配方、检测标准、检测设备、检测步骤、检测参数、工艺流程、需求场景与流程、架构思路、技术架构、技术流程、计算机程序等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691" w:type="dxa"/>
            <w:shd w:val="clear" w:color="auto" w:fill="auto"/>
            <w:vAlign w:val="center"/>
          </w:tcPr>
          <w:p>
            <w:pPr>
              <w:pStyle w:val="118"/>
            </w:pPr>
            <w:r>
              <w:rPr>
                <w:rFonts w:hint="eastAsia"/>
              </w:rPr>
              <w:t>验证/</w:t>
            </w:r>
            <w:r>
              <w:t>测试环节</w:t>
            </w:r>
          </w:p>
        </w:tc>
        <w:tc>
          <w:tcPr>
            <w:tcW w:w="3828" w:type="dxa"/>
            <w:shd w:val="clear" w:color="auto" w:fill="auto"/>
            <w:vAlign w:val="center"/>
          </w:tcPr>
          <w:p>
            <w:pPr>
              <w:pStyle w:val="118"/>
            </w:pPr>
            <w:r>
              <w:rPr>
                <w:rStyle w:val="119"/>
                <w:rFonts w:hint="default"/>
                <w:b w:val="0"/>
                <w:lang w:bidi="ar"/>
              </w:rPr>
              <w:t>《试产申请》、《中试过程文档》、《产品检测报告》、《包装要求及指标》等</w:t>
            </w:r>
          </w:p>
        </w:tc>
        <w:tc>
          <w:tcPr>
            <w:tcW w:w="4536" w:type="dxa"/>
            <w:shd w:val="clear" w:color="auto" w:fill="auto"/>
            <w:vAlign w:val="center"/>
          </w:tcPr>
          <w:p>
            <w:pPr>
              <w:pStyle w:val="118"/>
            </w:pPr>
            <w:r>
              <w:rPr>
                <w:rStyle w:val="119"/>
                <w:rFonts w:hint="default"/>
                <w:b w:val="0"/>
                <w:lang w:bidi="ar"/>
              </w:rPr>
              <w:t>检测标准、检测设备、检测步骤、材料指标、测试参数、测试结果、测试方法、测试标准、改善方案等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691" w:type="dxa"/>
            <w:shd w:val="clear" w:color="auto" w:fill="auto"/>
            <w:vAlign w:val="center"/>
          </w:tcPr>
          <w:p>
            <w:pPr>
              <w:pStyle w:val="118"/>
            </w:pPr>
            <w:r>
              <w:rPr>
                <w:rFonts w:hint="eastAsia"/>
              </w:rPr>
              <w:t>生产环节</w:t>
            </w:r>
          </w:p>
        </w:tc>
        <w:tc>
          <w:tcPr>
            <w:tcW w:w="3828" w:type="dxa"/>
            <w:shd w:val="clear" w:color="auto" w:fill="auto"/>
            <w:vAlign w:val="center"/>
          </w:tcPr>
          <w:p>
            <w:pPr>
              <w:pStyle w:val="118"/>
            </w:pPr>
            <w:r>
              <w:rPr>
                <w:rStyle w:val="119"/>
                <w:rFonts w:hint="default"/>
                <w:b w:val="0"/>
                <w:lang w:bidi="ar"/>
              </w:rPr>
              <w:t>《项目结案书》、《设备图纸/设备入厂验收记录/设备调试记录》、《设备及项目相关购置合同及协议》、《生产技术规程》、《操作规程》、《安全生产规程》、《产品检验规范》、《技术手册》、《操作记录》、《阶段报告》、《会议纪要》、《产品检测报告》、《生产数据与产量报表》等</w:t>
            </w:r>
          </w:p>
        </w:tc>
        <w:tc>
          <w:tcPr>
            <w:tcW w:w="4536" w:type="dxa"/>
            <w:shd w:val="clear" w:color="auto" w:fill="auto"/>
            <w:vAlign w:val="center"/>
          </w:tcPr>
          <w:p>
            <w:pPr>
              <w:pStyle w:val="118"/>
            </w:pPr>
            <w:r>
              <w:rPr>
                <w:rStyle w:val="119"/>
                <w:rFonts w:hint="default"/>
                <w:b w:val="0"/>
                <w:lang w:bidi="ar"/>
              </w:rPr>
              <w:t>设计图、技术标准、规格型号、技术参数、中控参数、生产数据等技术信息、主要原材料采购渠道、价格、拟投入使用的产品特有名称、包装等经营信息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691" w:type="dxa"/>
            <w:shd w:val="clear" w:color="auto" w:fill="auto"/>
            <w:vAlign w:val="center"/>
          </w:tcPr>
          <w:p>
            <w:pPr>
              <w:pStyle w:val="118"/>
            </w:pPr>
            <w:r>
              <w:rPr>
                <w:rFonts w:hint="eastAsia"/>
              </w:rPr>
              <w:t>销售环节</w:t>
            </w:r>
          </w:p>
        </w:tc>
        <w:tc>
          <w:tcPr>
            <w:tcW w:w="3828" w:type="dxa"/>
            <w:shd w:val="clear" w:color="auto" w:fill="auto"/>
            <w:vAlign w:val="center"/>
          </w:tcPr>
          <w:p>
            <w:pPr>
              <w:pStyle w:val="118"/>
            </w:pPr>
            <w:r>
              <w:rPr>
                <w:rStyle w:val="119"/>
                <w:rFonts w:hint="default"/>
                <w:b w:val="0"/>
                <w:lang w:bidi="ar"/>
              </w:rPr>
              <w:t>《销售资料》、《销售清单》、《客户名单》等</w:t>
            </w:r>
          </w:p>
        </w:tc>
        <w:tc>
          <w:tcPr>
            <w:tcW w:w="4536" w:type="dxa"/>
            <w:shd w:val="clear" w:color="auto" w:fill="auto"/>
            <w:vAlign w:val="center"/>
          </w:tcPr>
          <w:p>
            <w:pPr>
              <w:pStyle w:val="118"/>
            </w:pPr>
            <w:r>
              <w:rPr>
                <w:rStyle w:val="119"/>
                <w:rFonts w:hint="default"/>
                <w:b w:val="0"/>
                <w:lang w:bidi="ar"/>
              </w:rPr>
              <w:t>客户交易习惯、货源情报、产销策略等</w:t>
            </w:r>
          </w:p>
        </w:tc>
      </w:tr>
    </w:tbl>
    <w:p>
      <w:pPr>
        <w:pStyle w:val="89"/>
      </w:pPr>
    </w:p>
    <w:p>
      <w:pPr>
        <w:pStyle w:val="73"/>
        <w:ind w:firstLine="0" w:firstLineChars="0"/>
      </w:pPr>
    </w:p>
    <w:p>
      <w:pPr>
        <w:widowControl/>
        <w:jc w:val="left"/>
        <w:sectPr>
          <w:pgSz w:w="11906" w:h="16838"/>
          <w:pgMar w:top="1417" w:right="1134" w:bottom="1134" w:left="1418" w:header="1417" w:footer="1134" w:gutter="0"/>
          <w:pgNumType w:fmt="decimal"/>
          <w:cols w:space="425" w:num="1"/>
          <w:docGrid w:type="lines" w:linePitch="312" w:charSpace="0"/>
        </w:sectPr>
      </w:pPr>
      <w:r>
        <w:br w:type="page"/>
      </w:r>
    </w:p>
    <w:p>
      <w:pPr>
        <w:pStyle w:val="12"/>
        <w:adjustRightInd w:val="0"/>
        <w:snapToGrid w:val="0"/>
        <w:spacing w:before="567"/>
        <w:ind w:firstLine="0"/>
        <w:jc w:val="center"/>
        <w:outlineLvl w:val="0"/>
        <w:rPr>
          <w:rFonts w:ascii="黑体" w:hAnsi="黑体" w:eastAsia="黑体" w:cs="黑体"/>
          <w:szCs w:val="21"/>
        </w:rPr>
      </w:pPr>
      <w:bookmarkStart w:id="921" w:name="_Toc19810"/>
      <w:r>
        <w:rPr>
          <w:rFonts w:hint="eastAsia" w:ascii="黑体" w:hAnsi="黑体" w:eastAsia="黑体" w:cs="黑体"/>
          <w:szCs w:val="21"/>
        </w:rPr>
        <w:t>附  录  B</w:t>
      </w:r>
      <w:bookmarkEnd w:id="921"/>
    </w:p>
    <w:p>
      <w:pPr>
        <w:pStyle w:val="13"/>
        <w:jc w:val="center"/>
        <w:outlineLvl w:val="0"/>
        <w:rPr>
          <w:rFonts w:ascii="黑体" w:hAnsi="黑体" w:eastAsia="黑体" w:cs="黑体"/>
          <w:sz w:val="21"/>
          <w:szCs w:val="21"/>
        </w:rPr>
      </w:pPr>
      <w:bookmarkStart w:id="922" w:name="_Toc23344"/>
      <w:r>
        <w:rPr>
          <w:rFonts w:hint="eastAsia" w:ascii="黑体" w:hAnsi="黑体" w:eastAsia="黑体" w:cs="黑体"/>
          <w:sz w:val="21"/>
          <w:szCs w:val="21"/>
        </w:rPr>
        <w:t>（资料性）</w:t>
      </w:r>
      <w:bookmarkEnd w:id="922"/>
    </w:p>
    <w:p>
      <w:pPr>
        <w:pStyle w:val="13"/>
        <w:adjustRightInd w:val="0"/>
        <w:spacing w:after="283"/>
        <w:jc w:val="center"/>
        <w:outlineLvl w:val="0"/>
        <w:rPr>
          <w:rFonts w:ascii="黑体" w:hAnsi="黑体" w:eastAsia="黑体"/>
          <w:color w:val="000000"/>
          <w:sz w:val="21"/>
          <w:szCs w:val="21"/>
        </w:rPr>
      </w:pPr>
      <w:bookmarkStart w:id="923" w:name="_Toc25682"/>
      <w:r>
        <w:rPr>
          <w:rFonts w:hint="eastAsia" w:ascii="黑体" w:hAnsi="黑体" w:eastAsia="黑体"/>
          <w:color w:val="000000"/>
          <w:sz w:val="21"/>
          <w:szCs w:val="21"/>
        </w:rPr>
        <w:t>核心秘密点识别表</w:t>
      </w:r>
      <w:bookmarkEnd w:id="923"/>
    </w:p>
    <w:p>
      <w:pPr>
        <w:pStyle w:val="19"/>
        <w:adjustRightInd w:val="0"/>
        <w:snapToGrid w:val="0"/>
        <w:spacing w:line="240" w:lineRule="auto"/>
      </w:pPr>
      <w:r>
        <w:rPr>
          <w:rFonts w:hint="eastAsia"/>
        </w:rPr>
        <w:t>核心秘密点识别表见B.</w:t>
      </w:r>
      <w:r>
        <w:t>1。</w:t>
      </w:r>
    </w:p>
    <w:p>
      <w:pPr>
        <w:pStyle w:val="82"/>
        <w:numPr>
          <w:ilvl w:val="0"/>
          <w:numId w:val="0"/>
        </w:numPr>
      </w:pPr>
      <w:r>
        <w:rPr>
          <w:rFonts w:hint="eastAsia"/>
        </w:rPr>
        <w:t>表B.1  核心秘密点识别表</w:t>
      </w:r>
    </w:p>
    <w:tbl>
      <w:tblPr>
        <w:tblStyle w:val="32"/>
        <w:tblW w:w="5315"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59"/>
        <w:gridCol w:w="850"/>
        <w:gridCol w:w="6804"/>
        <w:gridCol w:w="710"/>
        <w:gridCol w:w="85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c>
          <w:tcPr>
            <w:tcW w:w="5000" w:type="pct"/>
            <w:gridSpan w:val="5"/>
            <w:tcBorders>
              <w:bottom w:val="single" w:color="auto" w:sz="12" w:space="0"/>
            </w:tcBorders>
            <w:shd w:val="clear" w:color="auto" w:fill="auto"/>
            <w:vAlign w:val="center"/>
          </w:tcPr>
          <w:p>
            <w:pPr>
              <w:widowControl/>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 xml:space="preserve">秘密点名称：    </w:t>
            </w:r>
            <w:r>
              <w:rPr>
                <w:rStyle w:val="119"/>
                <w:rFonts w:hint="eastAsia" w:asciiTheme="minorEastAsia" w:hAnsiTheme="minorEastAsia"/>
                <w:b w:val="0"/>
                <w:lang w:val="en-US" w:eastAsia="zh-CN" w:bidi="ar"/>
              </w:rPr>
              <w:t xml:space="preserve">       </w:t>
            </w:r>
            <w:r>
              <w:rPr>
                <w:rStyle w:val="119"/>
                <w:rFonts w:hint="default" w:asciiTheme="minorEastAsia" w:hAnsiTheme="minorEastAsia" w:eastAsiaTheme="minorEastAsia"/>
                <w:b w:val="0"/>
                <w:lang w:bidi="ar"/>
              </w:rPr>
              <w:t xml:space="preserve"> 识别日期：   </w:t>
            </w:r>
            <w:r>
              <w:rPr>
                <w:rStyle w:val="119"/>
                <w:rFonts w:hint="eastAsia" w:asciiTheme="minorEastAsia" w:hAnsiTheme="minorEastAsia"/>
                <w:b w:val="0"/>
                <w:lang w:val="en-US" w:eastAsia="zh-CN" w:bidi="ar"/>
              </w:rPr>
              <w:t xml:space="preserve">        </w:t>
            </w:r>
            <w:r>
              <w:rPr>
                <w:rStyle w:val="119"/>
                <w:rFonts w:hint="default" w:asciiTheme="minorEastAsia" w:hAnsiTheme="minorEastAsia" w:eastAsiaTheme="minorEastAsia"/>
                <w:b w:val="0"/>
                <w:lang w:bidi="ar"/>
              </w:rPr>
              <w:t xml:space="preserve"> 识别人：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7" w:hRule="atLeast"/>
        </w:trPr>
        <w:tc>
          <w:tcPr>
            <w:tcW w:w="471" w:type="pct"/>
            <w:vMerge w:val="restart"/>
            <w:tcBorders>
              <w:top w:val="single" w:color="auto" w:sz="12" w:space="0"/>
            </w:tcBorders>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bCs w:val="0"/>
                <w:lang w:bidi="ar"/>
              </w:rPr>
              <w:t>类别</w:t>
            </w:r>
          </w:p>
        </w:tc>
        <w:tc>
          <w:tcPr>
            <w:tcW w:w="418" w:type="pct"/>
            <w:vMerge w:val="restart"/>
            <w:tcBorders>
              <w:top w:val="single" w:color="auto" w:sz="12" w:space="0"/>
            </w:tcBorders>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bCs w:val="0"/>
                <w:lang w:bidi="ar"/>
              </w:rPr>
              <w:t>序号</w:t>
            </w:r>
          </w:p>
        </w:tc>
        <w:tc>
          <w:tcPr>
            <w:tcW w:w="3344" w:type="pct"/>
            <w:vMerge w:val="restart"/>
            <w:tcBorders>
              <w:top w:val="single" w:color="auto" w:sz="12" w:space="0"/>
            </w:tcBorders>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bCs w:val="0"/>
                <w:lang w:bidi="ar"/>
              </w:rPr>
              <w:t>识别内容</w:t>
            </w:r>
          </w:p>
        </w:tc>
        <w:tc>
          <w:tcPr>
            <w:tcW w:w="767" w:type="pct"/>
            <w:gridSpan w:val="2"/>
            <w:tcBorders>
              <w:top w:val="single" w:color="auto" w:sz="12" w:space="0"/>
            </w:tcBorders>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bCs w:val="0"/>
                <w:lang w:bidi="ar"/>
              </w:rPr>
              <w:t>识别结果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6" w:hRule="atLeast"/>
        </w:trPr>
        <w:tc>
          <w:tcPr>
            <w:tcW w:w="471" w:type="pct"/>
            <w:vMerge w:val="continue"/>
            <w:shd w:val="clear" w:color="auto" w:fill="auto"/>
          </w:tcPr>
          <w:p>
            <w:pPr>
              <w:widowControl/>
              <w:jc w:val="center"/>
              <w:textAlignment w:val="center"/>
              <w:rPr>
                <w:rStyle w:val="119"/>
                <w:rFonts w:hint="default" w:asciiTheme="minorEastAsia" w:hAnsiTheme="minorEastAsia" w:eastAsiaTheme="minorEastAsia"/>
                <w:b w:val="0"/>
                <w:bCs w:val="0"/>
                <w:lang w:bidi="ar"/>
              </w:rPr>
            </w:pPr>
          </w:p>
        </w:tc>
        <w:tc>
          <w:tcPr>
            <w:tcW w:w="418" w:type="pct"/>
            <w:vMerge w:val="continue"/>
            <w:shd w:val="clear" w:color="auto" w:fill="auto"/>
          </w:tcPr>
          <w:p>
            <w:pPr>
              <w:widowControl/>
              <w:jc w:val="center"/>
              <w:textAlignment w:val="center"/>
              <w:rPr>
                <w:rStyle w:val="119"/>
                <w:rFonts w:hint="default" w:asciiTheme="minorEastAsia" w:hAnsiTheme="minorEastAsia" w:eastAsiaTheme="minorEastAsia"/>
                <w:b w:val="0"/>
                <w:bCs w:val="0"/>
                <w:lang w:bidi="ar"/>
              </w:rPr>
            </w:pPr>
          </w:p>
        </w:tc>
        <w:tc>
          <w:tcPr>
            <w:tcW w:w="3344" w:type="pct"/>
            <w:vMerge w:val="continue"/>
            <w:shd w:val="clear" w:color="auto" w:fill="auto"/>
          </w:tcPr>
          <w:p>
            <w:pPr>
              <w:widowControl/>
              <w:jc w:val="center"/>
              <w:textAlignment w:val="center"/>
              <w:rPr>
                <w:rStyle w:val="119"/>
                <w:rFonts w:hint="default" w:asciiTheme="minorEastAsia" w:hAnsiTheme="minorEastAsia" w:eastAsiaTheme="minorEastAsia"/>
                <w:b w:val="0"/>
                <w:bCs w:val="0"/>
                <w:lang w:bidi="ar"/>
              </w:rPr>
            </w:pP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bCs w:val="0"/>
                <w:lang w:bidi="ar"/>
              </w:rPr>
              <w:t>是</w:t>
            </w: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bCs w:val="0"/>
                <w:lang w:bidi="ar"/>
              </w:rPr>
              <w:t>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1" w:type="pct"/>
            <w:vMerge w:val="restar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权利人</w:t>
            </w: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 xml:space="preserve">所列举之商业秘密内容是否为企业单方拥有？ </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c>
          <w:tcPr>
            <w:tcW w:w="471" w:type="pct"/>
            <w:vMerge w:val="continue"/>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 xml:space="preserve">所列举之商业秘密内容是否为企业单方自行研发或建立之成果？ </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1" w:type="pct"/>
            <w:vMerge w:val="continue"/>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所列举之商业秘密内容若基于或运用他方所授权之技术，该技术成果是否未违反他方的保密合同或授权条款？</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c>
          <w:tcPr>
            <w:tcW w:w="471" w:type="pct"/>
            <w:vMerge w:val="continue"/>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所列举之商业秘密内容是否未对外进行授权？</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1"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权利范围</w:t>
            </w: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所列举之商业秘密内容是否能清楚说明或界定该信息的范围？</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1" w:type="pct"/>
            <w:vMerge w:val="restar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权利识别</w:t>
            </w: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所列举之商业秘密内容是否记注该技术的成立日期与参与者？</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1" w:type="pct"/>
            <w:vMerge w:val="continue"/>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所列举之商业秘密内容是否有相应的实施过程纪录可以回朔佐证？</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1" w:type="pct"/>
            <w:vMerge w:val="restar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实用性</w:t>
            </w: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所列举之商业秘密内容是否为已可实施之经营或技术成果？</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1" w:type="pct"/>
            <w:vMerge w:val="continue"/>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所列举之商业秘密内容是否已于企业现有产品中实现？</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1" w:type="pct"/>
            <w:vMerge w:val="restar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秘密性</w:t>
            </w: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所列举之商业秘密内容是否在同行业内短期无法轻易知悉的信息？</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1" w:type="pct"/>
            <w:vMerge w:val="continue"/>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所列举之商业秘密内容是否不适合以专利方式进行保护？</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1" w:type="pct"/>
            <w:vMerge w:val="continue"/>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如为基于已公开之信息而进行再次研发、功效改良或集成之技术或经营成果，其中自主发展成果的占有比率是否超过50%？</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c>
          <w:tcPr>
            <w:tcW w:w="471" w:type="pct"/>
            <w:vMerge w:val="continue"/>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所列举之商业秘密内容是否未于相关文献、研讨会或专利文件揭露？</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1" w:type="pct"/>
            <w:vMerge w:val="continue"/>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 xml:space="preserve">所列举之商业秘密内容是否未与他方利益相关者揭露？ </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1" w:type="pct"/>
            <w:vMerge w:val="continue"/>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所列举之商业秘密内容是否难以轻易透过反向工程而获取？</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1" w:type="pct"/>
            <w:vMerge w:val="continue"/>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 xml:space="preserve">所列举之商业秘密内容是否非关技术参与者本身任职前的一般性知识或技能所能获得？ </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c>
          <w:tcPr>
            <w:tcW w:w="471" w:type="pct"/>
            <w:vMerge w:val="restar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经济性</w:t>
            </w: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所列举之商业秘密内容是否为企业已销售产品中的必要或关键信息？</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1" w:type="pct"/>
            <w:vMerge w:val="continue"/>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所列举之商业秘密内容是否为企业预定销售产品中的必要或关键信息？</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1" w:type="pct"/>
            <w:vMerge w:val="continue"/>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所列举之商业秘密内容是否为企业长期拥有且能认列无形资产之信息？</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1" w:type="pct"/>
            <w:vMerge w:val="continue"/>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所列举之商业秘密内容是否与企业主要的产业竞争力直接相关？</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1" w:type="pct"/>
            <w:vMerge w:val="restar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保护措施</w:t>
            </w: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所列举之商业秘密内容是否对于可接触对象实施严格的权限控管要求？</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1" w:type="pct"/>
            <w:vMerge w:val="continue"/>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所列举之商业秘密内容是否有实施必要的电子信息或物理保护措施？</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1" w:type="pct"/>
            <w:vMerge w:val="continue"/>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 xml:space="preserve">所列举之商业秘密内容是否可持续有效？ </w:t>
            </w:r>
          </w:p>
        </w:tc>
        <w:tc>
          <w:tcPr>
            <w:tcW w:w="349"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471" w:type="pct"/>
            <w:tcBorders>
              <w:bottom w:val="single" w:color="auto" w:sz="12" w:space="0"/>
            </w:tcBorders>
            <w:shd w:val="clear" w:color="auto" w:fill="auto"/>
            <w:vAlign w:val="center"/>
          </w:tcPr>
          <w:p>
            <w:pPr>
              <w:widowControl/>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完整性</w:t>
            </w:r>
          </w:p>
        </w:tc>
        <w:tc>
          <w:tcPr>
            <w:tcW w:w="418" w:type="pct"/>
            <w:tcBorders>
              <w:bottom w:val="single" w:color="auto" w:sz="12" w:space="0"/>
            </w:tcBorders>
            <w:shd w:val="clear" w:color="auto" w:fill="auto"/>
            <w:vAlign w:val="center"/>
          </w:tcPr>
          <w:p>
            <w:pPr>
              <w:widowControl/>
              <w:numPr>
                <w:ilvl w:val="0"/>
                <w:numId w:val="66"/>
              </w:numPr>
              <w:adjustRightInd w:val="0"/>
              <w:jc w:val="left"/>
              <w:textAlignment w:val="center"/>
              <w:rPr>
                <w:rStyle w:val="119"/>
                <w:rFonts w:hint="default" w:asciiTheme="minorEastAsia" w:hAnsiTheme="minorEastAsia" w:eastAsiaTheme="minorEastAsia"/>
                <w:b w:val="0"/>
                <w:bCs w:val="0"/>
                <w:lang w:bidi="ar"/>
              </w:rPr>
            </w:pPr>
          </w:p>
        </w:tc>
        <w:tc>
          <w:tcPr>
            <w:tcW w:w="3344" w:type="pct"/>
            <w:tcBorders>
              <w:bottom w:val="single" w:color="auto" w:sz="12"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center"/>
              <w:rPr>
                <w:rStyle w:val="119"/>
                <w:rFonts w:hint="default" w:asciiTheme="minorEastAsia" w:hAnsiTheme="minorEastAsia" w:eastAsiaTheme="minorEastAsia"/>
                <w:b w:val="0"/>
                <w:bCs w:val="0"/>
                <w:lang w:bidi="ar"/>
              </w:rPr>
            </w:pPr>
            <w:r>
              <w:rPr>
                <w:rStyle w:val="119"/>
                <w:rFonts w:hint="default" w:asciiTheme="minorEastAsia" w:hAnsiTheme="minorEastAsia" w:eastAsiaTheme="minorEastAsia"/>
                <w:b w:val="0"/>
                <w:lang w:bidi="ar"/>
              </w:rPr>
              <w:t>所列举之商业秘密内容是否已完整保存于商业秘密载体？另可提供第三方司法鉴定机构进行检验？</w:t>
            </w:r>
          </w:p>
        </w:tc>
        <w:tc>
          <w:tcPr>
            <w:tcW w:w="349" w:type="pct"/>
            <w:tcBorders>
              <w:bottom w:val="single" w:color="auto" w:sz="12" w:space="0"/>
            </w:tcBorders>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c>
          <w:tcPr>
            <w:tcW w:w="418" w:type="pct"/>
            <w:tcBorders>
              <w:bottom w:val="single" w:color="auto" w:sz="12" w:space="0"/>
            </w:tcBorders>
            <w:shd w:val="clear" w:color="auto" w:fill="auto"/>
            <w:vAlign w:val="center"/>
          </w:tcPr>
          <w:p>
            <w:pPr>
              <w:widowControl/>
              <w:jc w:val="center"/>
              <w:textAlignment w:val="center"/>
              <w:rPr>
                <w:rStyle w:val="119"/>
                <w:rFonts w:hint="default" w:asciiTheme="minorEastAsia" w:hAnsiTheme="minorEastAsia" w:eastAsiaTheme="minorEastAsia"/>
                <w:b w:val="0"/>
                <w:bCs w:val="0"/>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000" w:type="pct"/>
            <w:gridSpan w:val="5"/>
            <w:shd w:val="clear" w:color="auto" w:fill="auto"/>
            <w:vAlign w:val="center"/>
          </w:tcPr>
          <w:p>
            <w:pPr>
              <w:widowControl/>
              <w:jc w:val="left"/>
              <w:textAlignment w:val="center"/>
              <w:rPr>
                <w:rStyle w:val="119"/>
                <w:rFonts w:hint="default" w:asciiTheme="minorEastAsia" w:hAnsiTheme="minorEastAsia" w:eastAsiaTheme="minorEastAsia"/>
                <w:b w:val="0"/>
                <w:bCs w:val="0"/>
                <w:color w:val="CCE8CF" w:themeColor="background1"/>
                <w:lang w:bidi="ar"/>
                <w14:textFill>
                  <w14:solidFill>
                    <w14:schemeClr w14:val="bg1"/>
                  </w14:solidFill>
                </w14:textFill>
              </w:rPr>
            </w:pPr>
            <w:r>
              <w:rPr>
                <w:rStyle w:val="119"/>
                <w:rFonts w:hint="default" w:asciiTheme="minorEastAsia" w:hAnsiTheme="minorEastAsia" w:eastAsiaTheme="minorEastAsia"/>
                <w:b w:val="0"/>
                <w:bCs w:val="0"/>
                <w:lang w:bidi="ar"/>
              </w:rPr>
              <w:t>检核</w:t>
            </w:r>
            <w:r>
              <w:rPr>
                <w:rStyle w:val="119"/>
                <w:rFonts w:hint="default" w:asciiTheme="minorEastAsia" w:hAnsiTheme="minorEastAsia" w:eastAsiaTheme="minorEastAsia"/>
                <w:b w:val="0"/>
                <w:lang w:bidi="ar"/>
              </w:rPr>
              <w:t>结果：</w:t>
            </w:r>
          </w:p>
        </w:tc>
      </w:tr>
    </w:tbl>
    <w:p>
      <w:pPr>
        <w:pStyle w:val="120"/>
        <w:keepNext w:val="0"/>
        <w:keepLines w:val="0"/>
        <w:pageBreakBefore w:val="0"/>
        <w:widowControl w:val="0"/>
        <w:numPr>
          <w:ilvl w:val="0"/>
          <w:numId w:val="5"/>
        </w:numPr>
        <w:kinsoku/>
        <w:wordWrap/>
        <w:overflowPunct/>
        <w:topLinePunct w:val="0"/>
        <w:autoSpaceDE w:val="0"/>
        <w:autoSpaceDN w:val="0"/>
        <w:bidi w:val="0"/>
        <w:adjustRightInd/>
        <w:snapToGrid/>
        <w:ind w:left="450" w:hanging="450" w:hangingChars="250"/>
        <w:textAlignment w:val="auto"/>
      </w:pPr>
      <w:r>
        <w:rPr>
          <w:rFonts w:hint="eastAsia"/>
        </w:rPr>
        <w:t>本表中，序号3、5、13、15项具有一票否决权，其中任1项识别结果为“否”的，该秘密点不宜作为企业的绝密级商业秘密；如以上4项全部为“是”，且剩余20项识别结果一半及以</w:t>
      </w:r>
      <w:bookmarkStart w:id="966" w:name="_GoBack"/>
      <w:bookmarkEnd w:id="966"/>
      <w:r>
        <w:rPr>
          <w:rFonts w:hint="eastAsia"/>
        </w:rPr>
        <w:t>上为“是”的，宜作为绝密级商业秘密。</w:t>
      </w:r>
    </w:p>
    <w:p>
      <w:pPr>
        <w:sectPr>
          <w:headerReference r:id="rId19" w:type="default"/>
          <w:headerReference r:id="rId20" w:type="even"/>
          <w:pgSz w:w="11906" w:h="16838"/>
          <w:pgMar w:top="1417" w:right="1134" w:bottom="1134" w:left="1418" w:header="1417" w:footer="1134" w:gutter="0"/>
          <w:pgNumType w:fmt="decimal"/>
          <w:cols w:space="425" w:num="1"/>
          <w:docGrid w:type="lines" w:linePitch="312" w:charSpace="0"/>
        </w:sectPr>
      </w:pPr>
    </w:p>
    <w:p>
      <w:pPr>
        <w:pStyle w:val="12"/>
        <w:adjustRightInd w:val="0"/>
        <w:snapToGrid w:val="0"/>
        <w:spacing w:before="567"/>
        <w:ind w:firstLine="0"/>
        <w:jc w:val="center"/>
        <w:outlineLvl w:val="0"/>
        <w:rPr>
          <w:rFonts w:ascii="黑体" w:hAnsi="黑体" w:eastAsia="黑体" w:cs="黑体"/>
          <w:szCs w:val="21"/>
        </w:rPr>
      </w:pPr>
      <w:bookmarkStart w:id="924" w:name="_Toc6143"/>
      <w:r>
        <w:rPr>
          <w:rFonts w:hint="eastAsia" w:ascii="黑体" w:hAnsi="黑体" w:eastAsia="黑体" w:cs="黑体"/>
          <w:szCs w:val="21"/>
        </w:rPr>
        <w:t>附  录  C</w:t>
      </w:r>
      <w:bookmarkEnd w:id="924"/>
    </w:p>
    <w:p>
      <w:pPr>
        <w:pStyle w:val="13"/>
        <w:jc w:val="center"/>
        <w:outlineLvl w:val="0"/>
        <w:rPr>
          <w:rFonts w:ascii="黑体" w:hAnsi="黑体" w:eastAsia="黑体" w:cs="黑体"/>
          <w:sz w:val="21"/>
          <w:szCs w:val="21"/>
        </w:rPr>
      </w:pPr>
      <w:bookmarkStart w:id="925" w:name="_Toc7089"/>
      <w:r>
        <w:rPr>
          <w:rFonts w:hint="eastAsia" w:ascii="黑体" w:hAnsi="黑体" w:eastAsia="黑体" w:cs="黑体"/>
          <w:sz w:val="21"/>
          <w:szCs w:val="21"/>
        </w:rPr>
        <w:t>（资料性）</w:t>
      </w:r>
      <w:bookmarkEnd w:id="925"/>
    </w:p>
    <w:p>
      <w:pPr>
        <w:pStyle w:val="13"/>
        <w:adjustRightInd w:val="0"/>
        <w:spacing w:after="283"/>
        <w:jc w:val="center"/>
        <w:outlineLvl w:val="0"/>
        <w:rPr>
          <w:rFonts w:ascii="黑体" w:hAnsi="黑体" w:eastAsia="黑体"/>
          <w:color w:val="000000"/>
          <w:sz w:val="21"/>
          <w:szCs w:val="21"/>
        </w:rPr>
      </w:pPr>
      <w:bookmarkStart w:id="926" w:name="_Toc20637"/>
      <w:r>
        <w:rPr>
          <w:rFonts w:hint="eastAsia" w:ascii="黑体" w:hAnsi="黑体" w:eastAsia="黑体"/>
          <w:color w:val="000000"/>
          <w:sz w:val="21"/>
          <w:szCs w:val="21"/>
        </w:rPr>
        <w:t>涉密人员登记表</w:t>
      </w:r>
      <w:bookmarkEnd w:id="926"/>
    </w:p>
    <w:p>
      <w:pPr>
        <w:pStyle w:val="19"/>
      </w:pPr>
      <w:r>
        <w:rPr>
          <w:rFonts w:hint="eastAsia"/>
        </w:rPr>
        <w:t>涉密人员登记表见C.</w:t>
      </w:r>
      <w:r>
        <w:t>1。</w:t>
      </w:r>
    </w:p>
    <w:p>
      <w:pPr>
        <w:pStyle w:val="82"/>
        <w:numPr>
          <w:ilvl w:val="0"/>
          <w:numId w:val="0"/>
        </w:numPr>
      </w:pPr>
      <w:r>
        <w:rPr>
          <w:rFonts w:hint="eastAsia"/>
        </w:rPr>
        <w:t>表C.1  涉密人员登记表</w:t>
      </w:r>
    </w:p>
    <w:tbl>
      <w:tblPr>
        <w:tblStyle w:val="32"/>
        <w:tblW w:w="476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7"/>
        <w:gridCol w:w="2858"/>
        <w:gridCol w:w="1854"/>
        <w:gridCol w:w="2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4" w:type="pct"/>
            <w:vAlign w:val="center"/>
          </w:tcPr>
          <w:p>
            <w:pPr>
              <w:jc w:val="center"/>
              <w:rPr>
                <w:rFonts w:ascii="宋体" w:hAnsi="宋体" w:cs="宋体"/>
                <w:kern w:val="0"/>
                <w:sz w:val="18"/>
                <w:szCs w:val="18"/>
              </w:rPr>
            </w:pPr>
            <w:r>
              <w:rPr>
                <w:rFonts w:hint="eastAsia" w:ascii="宋体" w:hAnsi="宋体" w:cs="宋体"/>
                <w:kern w:val="0"/>
                <w:sz w:val="18"/>
                <w:szCs w:val="18"/>
              </w:rPr>
              <w:t>姓名</w:t>
            </w:r>
          </w:p>
        </w:tc>
        <w:tc>
          <w:tcPr>
            <w:tcW w:w="1568" w:type="pct"/>
            <w:vAlign w:val="center"/>
          </w:tcPr>
          <w:p>
            <w:pPr>
              <w:jc w:val="center"/>
              <w:rPr>
                <w:rFonts w:ascii="宋体" w:hAnsi="宋体" w:cs="宋体"/>
                <w:kern w:val="0"/>
                <w:sz w:val="18"/>
                <w:szCs w:val="18"/>
              </w:rPr>
            </w:pPr>
          </w:p>
        </w:tc>
        <w:tc>
          <w:tcPr>
            <w:tcW w:w="1017" w:type="pct"/>
            <w:vAlign w:val="center"/>
          </w:tcPr>
          <w:p>
            <w:pPr>
              <w:jc w:val="center"/>
              <w:rPr>
                <w:rFonts w:ascii="宋体" w:hAnsi="宋体" w:cs="宋体"/>
                <w:kern w:val="0"/>
                <w:sz w:val="18"/>
                <w:szCs w:val="18"/>
              </w:rPr>
            </w:pPr>
            <w:r>
              <w:rPr>
                <w:rFonts w:hint="eastAsia" w:ascii="宋体" w:hAnsi="宋体" w:cs="宋体"/>
                <w:kern w:val="0"/>
                <w:sz w:val="18"/>
                <w:szCs w:val="18"/>
              </w:rPr>
              <w:t>身份证号</w:t>
            </w:r>
          </w:p>
        </w:tc>
        <w:tc>
          <w:tcPr>
            <w:tcW w:w="1450" w:type="pct"/>
            <w:vAlign w:val="center"/>
          </w:tcPr>
          <w:p>
            <w:pPr>
              <w:rPr>
                <w:rFonts w:ascii="宋体" w:hAnsi="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4" w:type="pct"/>
            <w:vAlign w:val="center"/>
          </w:tcPr>
          <w:p>
            <w:pPr>
              <w:jc w:val="center"/>
              <w:rPr>
                <w:rFonts w:ascii="宋体" w:hAnsi="宋体" w:cs="宋体"/>
                <w:kern w:val="0"/>
                <w:sz w:val="18"/>
                <w:szCs w:val="18"/>
              </w:rPr>
            </w:pPr>
            <w:r>
              <w:rPr>
                <w:rFonts w:hint="eastAsia" w:ascii="宋体" w:hAnsi="宋体" w:cs="宋体"/>
                <w:kern w:val="0"/>
                <w:sz w:val="18"/>
                <w:szCs w:val="18"/>
              </w:rPr>
              <w:t>联系地址</w:t>
            </w:r>
          </w:p>
        </w:tc>
        <w:tc>
          <w:tcPr>
            <w:tcW w:w="1568" w:type="pct"/>
            <w:vAlign w:val="center"/>
          </w:tcPr>
          <w:p>
            <w:pPr>
              <w:jc w:val="center"/>
              <w:rPr>
                <w:rFonts w:ascii="宋体" w:hAnsi="宋体" w:cs="宋体"/>
                <w:kern w:val="0"/>
                <w:sz w:val="18"/>
                <w:szCs w:val="18"/>
              </w:rPr>
            </w:pPr>
          </w:p>
        </w:tc>
        <w:tc>
          <w:tcPr>
            <w:tcW w:w="1017" w:type="pct"/>
            <w:vAlign w:val="center"/>
          </w:tcPr>
          <w:p>
            <w:pPr>
              <w:jc w:val="center"/>
              <w:rPr>
                <w:rFonts w:ascii="宋体" w:hAnsi="宋体" w:cs="宋体"/>
                <w:kern w:val="0"/>
                <w:sz w:val="18"/>
                <w:szCs w:val="18"/>
              </w:rPr>
            </w:pPr>
            <w:r>
              <w:rPr>
                <w:rFonts w:hint="eastAsia" w:ascii="宋体" w:hAnsi="宋体" w:cs="宋体"/>
                <w:kern w:val="0"/>
                <w:sz w:val="18"/>
                <w:szCs w:val="18"/>
              </w:rPr>
              <w:t>联系电话</w:t>
            </w:r>
          </w:p>
        </w:tc>
        <w:tc>
          <w:tcPr>
            <w:tcW w:w="1450" w:type="pct"/>
            <w:vAlign w:val="center"/>
          </w:tcPr>
          <w:p>
            <w:pPr>
              <w:rPr>
                <w:rFonts w:ascii="宋体" w:hAnsi="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4" w:type="pct"/>
            <w:vAlign w:val="center"/>
          </w:tcPr>
          <w:p>
            <w:pPr>
              <w:jc w:val="center"/>
              <w:rPr>
                <w:rFonts w:ascii="宋体" w:hAnsi="宋体" w:cs="宋体"/>
                <w:kern w:val="0"/>
                <w:sz w:val="18"/>
                <w:szCs w:val="18"/>
              </w:rPr>
            </w:pPr>
            <w:r>
              <w:rPr>
                <w:rFonts w:hint="eastAsia" w:ascii="宋体" w:hAnsi="宋体" w:cs="宋体"/>
                <w:kern w:val="0"/>
                <w:sz w:val="18"/>
                <w:szCs w:val="18"/>
              </w:rPr>
              <w:t>所属部门</w:t>
            </w:r>
          </w:p>
        </w:tc>
        <w:tc>
          <w:tcPr>
            <w:tcW w:w="1568" w:type="pct"/>
            <w:vAlign w:val="center"/>
          </w:tcPr>
          <w:p>
            <w:pPr>
              <w:jc w:val="center"/>
              <w:rPr>
                <w:rFonts w:ascii="宋体" w:hAnsi="宋体" w:cs="宋体"/>
                <w:kern w:val="0"/>
                <w:sz w:val="18"/>
                <w:szCs w:val="18"/>
              </w:rPr>
            </w:pPr>
          </w:p>
        </w:tc>
        <w:tc>
          <w:tcPr>
            <w:tcW w:w="1017" w:type="pct"/>
            <w:vAlign w:val="center"/>
          </w:tcPr>
          <w:p>
            <w:pPr>
              <w:jc w:val="center"/>
              <w:rPr>
                <w:rFonts w:ascii="宋体" w:hAnsi="宋体" w:cs="宋体"/>
                <w:kern w:val="0"/>
                <w:sz w:val="18"/>
                <w:szCs w:val="18"/>
              </w:rPr>
            </w:pPr>
            <w:r>
              <w:rPr>
                <w:rFonts w:hint="eastAsia" w:ascii="宋体" w:hAnsi="宋体" w:cs="宋体"/>
                <w:kern w:val="0"/>
                <w:sz w:val="18"/>
                <w:szCs w:val="18"/>
              </w:rPr>
              <w:t>职位</w:t>
            </w:r>
          </w:p>
        </w:tc>
        <w:tc>
          <w:tcPr>
            <w:tcW w:w="1450" w:type="pct"/>
            <w:vAlign w:val="center"/>
          </w:tcPr>
          <w:p>
            <w:pPr>
              <w:rPr>
                <w:rFonts w:ascii="宋体" w:hAnsi="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4" w:type="pct"/>
            <w:vAlign w:val="center"/>
          </w:tcPr>
          <w:p>
            <w:pPr>
              <w:jc w:val="center"/>
              <w:rPr>
                <w:rFonts w:ascii="宋体" w:hAnsi="宋体" w:cs="宋体"/>
                <w:kern w:val="0"/>
                <w:sz w:val="18"/>
                <w:szCs w:val="18"/>
              </w:rPr>
            </w:pPr>
            <w:r>
              <w:rPr>
                <w:rFonts w:hint="eastAsia" w:ascii="宋体" w:hAnsi="宋体" w:cs="宋体"/>
                <w:kern w:val="0"/>
                <w:sz w:val="18"/>
                <w:szCs w:val="18"/>
              </w:rPr>
              <w:t>涉密等级</w:t>
            </w:r>
          </w:p>
        </w:tc>
        <w:tc>
          <w:tcPr>
            <w:tcW w:w="1568" w:type="pct"/>
            <w:vAlign w:val="center"/>
          </w:tcPr>
          <w:p>
            <w:pPr>
              <w:jc w:val="center"/>
              <w:rPr>
                <w:rFonts w:ascii="宋体" w:hAnsi="宋体" w:cs="宋体"/>
                <w:kern w:val="0"/>
                <w:sz w:val="18"/>
                <w:szCs w:val="18"/>
              </w:rPr>
            </w:pPr>
          </w:p>
        </w:tc>
        <w:tc>
          <w:tcPr>
            <w:tcW w:w="1017" w:type="pct"/>
            <w:vAlign w:val="center"/>
          </w:tcPr>
          <w:p>
            <w:pPr>
              <w:jc w:val="center"/>
              <w:rPr>
                <w:rFonts w:ascii="宋体" w:hAnsi="宋体" w:cs="宋体"/>
                <w:kern w:val="0"/>
                <w:sz w:val="18"/>
                <w:szCs w:val="18"/>
              </w:rPr>
            </w:pPr>
            <w:r>
              <w:rPr>
                <w:rFonts w:hint="eastAsia" w:ascii="宋体" w:hAnsi="宋体" w:cs="宋体"/>
                <w:kern w:val="0"/>
                <w:sz w:val="18"/>
                <w:szCs w:val="18"/>
              </w:rPr>
              <w:t>涉密等级确定时间</w:t>
            </w:r>
          </w:p>
        </w:tc>
        <w:tc>
          <w:tcPr>
            <w:tcW w:w="1450" w:type="pct"/>
            <w:vAlign w:val="center"/>
          </w:tcPr>
          <w:p>
            <w:pPr>
              <w:rPr>
                <w:rFonts w:ascii="宋体" w:hAnsi="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4" w:type="pct"/>
            <w:vAlign w:val="center"/>
          </w:tcPr>
          <w:p>
            <w:pPr>
              <w:jc w:val="center"/>
              <w:rPr>
                <w:rFonts w:ascii="宋体" w:hAnsi="宋体" w:cs="宋体"/>
                <w:kern w:val="0"/>
                <w:sz w:val="18"/>
                <w:szCs w:val="18"/>
              </w:rPr>
            </w:pPr>
            <w:r>
              <w:rPr>
                <w:rFonts w:hint="eastAsia" w:ascii="宋体" w:hAnsi="宋体" w:cs="宋体"/>
                <w:kern w:val="0"/>
                <w:sz w:val="18"/>
                <w:szCs w:val="18"/>
              </w:rPr>
              <w:t>保密协议签署情况</w:t>
            </w:r>
          </w:p>
        </w:tc>
        <w:tc>
          <w:tcPr>
            <w:tcW w:w="4035" w:type="pct"/>
            <w:gridSpan w:val="3"/>
            <w:vAlign w:val="center"/>
          </w:tcPr>
          <w:p>
            <w:pPr>
              <w:rPr>
                <w:rFonts w:ascii="宋体" w:hAnsi="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4" w:type="pct"/>
            <w:vAlign w:val="center"/>
          </w:tcPr>
          <w:p>
            <w:pPr>
              <w:jc w:val="center"/>
              <w:rPr>
                <w:rFonts w:ascii="宋体" w:hAnsi="宋体" w:cs="宋体"/>
                <w:kern w:val="0"/>
                <w:sz w:val="18"/>
                <w:szCs w:val="18"/>
              </w:rPr>
            </w:pPr>
            <w:r>
              <w:rPr>
                <w:rFonts w:hint="eastAsia" w:ascii="宋体" w:hAnsi="宋体" w:cs="宋体"/>
                <w:kern w:val="0"/>
                <w:sz w:val="18"/>
                <w:szCs w:val="18"/>
              </w:rPr>
              <w:t>竞业限制协议</w:t>
            </w:r>
          </w:p>
          <w:p>
            <w:pPr>
              <w:jc w:val="center"/>
              <w:rPr>
                <w:rFonts w:ascii="宋体" w:hAnsi="宋体" w:cs="宋体"/>
                <w:kern w:val="0"/>
                <w:sz w:val="18"/>
                <w:szCs w:val="18"/>
              </w:rPr>
            </w:pPr>
            <w:r>
              <w:rPr>
                <w:rFonts w:hint="eastAsia" w:ascii="宋体" w:hAnsi="宋体" w:cs="宋体"/>
                <w:kern w:val="0"/>
                <w:sz w:val="18"/>
                <w:szCs w:val="18"/>
              </w:rPr>
              <w:t>签署情况</w:t>
            </w:r>
          </w:p>
        </w:tc>
        <w:tc>
          <w:tcPr>
            <w:tcW w:w="4035" w:type="pct"/>
            <w:gridSpan w:val="3"/>
            <w:vAlign w:val="center"/>
          </w:tcPr>
          <w:p>
            <w:pPr>
              <w:rPr>
                <w:rFonts w:ascii="宋体" w:hAnsi="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4" w:type="pct"/>
            <w:vMerge w:val="restart"/>
            <w:vAlign w:val="center"/>
          </w:tcPr>
          <w:p>
            <w:pPr>
              <w:jc w:val="center"/>
              <w:rPr>
                <w:rFonts w:ascii="宋体" w:hAnsi="宋体" w:cs="宋体"/>
                <w:kern w:val="0"/>
                <w:sz w:val="18"/>
                <w:szCs w:val="18"/>
              </w:rPr>
            </w:pPr>
            <w:r>
              <w:rPr>
                <w:rFonts w:hint="eastAsia" w:ascii="宋体" w:hAnsi="宋体" w:cs="宋体"/>
                <w:kern w:val="0"/>
                <w:sz w:val="18"/>
                <w:szCs w:val="18"/>
              </w:rPr>
              <w:t>接触涉密区域、载体、计算机情况</w:t>
            </w:r>
          </w:p>
        </w:tc>
        <w:tc>
          <w:tcPr>
            <w:tcW w:w="1568" w:type="pct"/>
            <w:vAlign w:val="center"/>
          </w:tcPr>
          <w:p>
            <w:pPr>
              <w:jc w:val="center"/>
              <w:rPr>
                <w:rFonts w:ascii="宋体" w:hAnsi="宋体" w:cs="宋体"/>
                <w:kern w:val="0"/>
                <w:sz w:val="18"/>
                <w:szCs w:val="18"/>
              </w:rPr>
            </w:pPr>
            <w:r>
              <w:rPr>
                <w:rFonts w:hint="eastAsia" w:ascii="宋体" w:hAnsi="宋体" w:cs="宋体"/>
                <w:kern w:val="0"/>
                <w:sz w:val="18"/>
                <w:szCs w:val="18"/>
              </w:rPr>
              <w:t>涉密区域及门禁权限情况</w:t>
            </w:r>
          </w:p>
        </w:tc>
        <w:tc>
          <w:tcPr>
            <w:tcW w:w="2467" w:type="pct"/>
            <w:gridSpan w:val="2"/>
            <w:vAlign w:val="center"/>
          </w:tcPr>
          <w:p>
            <w:pPr>
              <w:rPr>
                <w:rFonts w:ascii="宋体" w:hAnsi="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4" w:type="pct"/>
            <w:vMerge w:val="continue"/>
            <w:vAlign w:val="center"/>
          </w:tcPr>
          <w:p>
            <w:pPr>
              <w:jc w:val="center"/>
              <w:rPr>
                <w:rFonts w:ascii="宋体" w:hAnsi="宋体" w:cs="宋体"/>
                <w:kern w:val="0"/>
                <w:sz w:val="18"/>
                <w:szCs w:val="18"/>
              </w:rPr>
            </w:pPr>
          </w:p>
        </w:tc>
        <w:tc>
          <w:tcPr>
            <w:tcW w:w="1568" w:type="pct"/>
            <w:vAlign w:val="center"/>
          </w:tcPr>
          <w:p>
            <w:pPr>
              <w:jc w:val="center"/>
              <w:rPr>
                <w:rFonts w:ascii="宋体" w:hAnsi="宋体" w:cs="宋体"/>
                <w:kern w:val="0"/>
                <w:sz w:val="18"/>
                <w:szCs w:val="18"/>
              </w:rPr>
            </w:pPr>
            <w:r>
              <w:rPr>
                <w:rFonts w:hint="eastAsia" w:ascii="宋体" w:hAnsi="宋体" w:cs="宋体"/>
                <w:kern w:val="0"/>
                <w:sz w:val="18"/>
                <w:szCs w:val="18"/>
              </w:rPr>
              <w:t>涉密计算机及载体情况</w:t>
            </w:r>
          </w:p>
        </w:tc>
        <w:tc>
          <w:tcPr>
            <w:tcW w:w="2467" w:type="pct"/>
            <w:gridSpan w:val="2"/>
            <w:vAlign w:val="center"/>
          </w:tcPr>
          <w:p>
            <w:pPr>
              <w:rPr>
                <w:rFonts w:ascii="宋体" w:hAnsi="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4" w:type="pct"/>
            <w:vMerge w:val="continue"/>
            <w:vAlign w:val="center"/>
          </w:tcPr>
          <w:p>
            <w:pPr>
              <w:jc w:val="center"/>
              <w:rPr>
                <w:rFonts w:ascii="宋体" w:hAnsi="宋体" w:cs="宋体"/>
                <w:kern w:val="0"/>
                <w:sz w:val="18"/>
                <w:szCs w:val="18"/>
              </w:rPr>
            </w:pPr>
          </w:p>
        </w:tc>
        <w:tc>
          <w:tcPr>
            <w:tcW w:w="1568" w:type="pct"/>
            <w:vAlign w:val="center"/>
          </w:tcPr>
          <w:p>
            <w:pPr>
              <w:jc w:val="center"/>
              <w:rPr>
                <w:rFonts w:ascii="宋体" w:hAnsi="宋体" w:cs="宋体"/>
                <w:kern w:val="0"/>
                <w:sz w:val="18"/>
                <w:szCs w:val="18"/>
              </w:rPr>
            </w:pPr>
            <w:r>
              <w:rPr>
                <w:rFonts w:hint="eastAsia" w:ascii="宋体" w:hAnsi="宋体" w:cs="宋体"/>
                <w:kern w:val="0"/>
                <w:sz w:val="18"/>
                <w:szCs w:val="18"/>
              </w:rPr>
              <w:t>涉密邮箱</w:t>
            </w:r>
          </w:p>
        </w:tc>
        <w:tc>
          <w:tcPr>
            <w:tcW w:w="2467" w:type="pct"/>
            <w:gridSpan w:val="2"/>
            <w:vAlign w:val="center"/>
          </w:tcPr>
          <w:p>
            <w:pPr>
              <w:rPr>
                <w:rFonts w:ascii="宋体" w:hAnsi="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4" w:type="pct"/>
            <w:vAlign w:val="center"/>
          </w:tcPr>
          <w:p>
            <w:pPr>
              <w:jc w:val="center"/>
              <w:rPr>
                <w:rFonts w:ascii="宋体" w:hAnsi="宋体" w:cs="宋体"/>
                <w:kern w:val="0"/>
                <w:sz w:val="18"/>
                <w:szCs w:val="18"/>
              </w:rPr>
            </w:pPr>
            <w:r>
              <w:rPr>
                <w:rFonts w:hint="eastAsia" w:ascii="宋体" w:hAnsi="宋体" w:cs="宋体"/>
                <w:kern w:val="0"/>
                <w:sz w:val="18"/>
                <w:szCs w:val="18"/>
              </w:rPr>
              <w:t>其他保密信息</w:t>
            </w:r>
          </w:p>
          <w:p>
            <w:pPr>
              <w:jc w:val="center"/>
              <w:rPr>
                <w:rFonts w:ascii="宋体" w:hAnsi="宋体" w:cs="宋体"/>
                <w:kern w:val="0"/>
                <w:sz w:val="18"/>
                <w:szCs w:val="18"/>
              </w:rPr>
            </w:pPr>
            <w:r>
              <w:rPr>
                <w:rFonts w:hint="eastAsia" w:ascii="宋体" w:hAnsi="宋体" w:cs="宋体"/>
                <w:kern w:val="0"/>
                <w:sz w:val="18"/>
                <w:szCs w:val="18"/>
              </w:rPr>
              <w:t>接触情况</w:t>
            </w:r>
          </w:p>
        </w:tc>
        <w:tc>
          <w:tcPr>
            <w:tcW w:w="4035" w:type="pct"/>
            <w:gridSpan w:val="3"/>
            <w:vAlign w:val="center"/>
          </w:tcPr>
          <w:p>
            <w:pPr>
              <w:rPr>
                <w:rFonts w:ascii="宋体" w:hAnsi="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4" w:type="pct"/>
            <w:vAlign w:val="center"/>
          </w:tcPr>
          <w:p>
            <w:pPr>
              <w:jc w:val="center"/>
              <w:rPr>
                <w:rFonts w:ascii="宋体" w:hAnsi="宋体" w:cs="宋体"/>
                <w:kern w:val="0"/>
                <w:sz w:val="18"/>
                <w:szCs w:val="18"/>
              </w:rPr>
            </w:pPr>
            <w:r>
              <w:rPr>
                <w:rFonts w:hint="eastAsia" w:ascii="宋体" w:hAnsi="宋体" w:cs="宋体"/>
                <w:kern w:val="0"/>
                <w:sz w:val="18"/>
                <w:szCs w:val="18"/>
              </w:rPr>
              <w:t>涉密人员意见</w:t>
            </w:r>
          </w:p>
        </w:tc>
        <w:tc>
          <w:tcPr>
            <w:tcW w:w="4035" w:type="pct"/>
            <w:gridSpan w:val="3"/>
            <w:vAlign w:val="center"/>
          </w:tcPr>
          <w:p>
            <w:pPr>
              <w:rPr>
                <w:rFonts w:ascii="宋体" w:hAnsi="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4" w:type="pct"/>
            <w:vAlign w:val="center"/>
          </w:tcPr>
          <w:p>
            <w:pPr>
              <w:jc w:val="center"/>
              <w:rPr>
                <w:rFonts w:ascii="宋体" w:hAnsi="宋体" w:cs="宋体"/>
                <w:kern w:val="0"/>
                <w:sz w:val="18"/>
                <w:szCs w:val="18"/>
              </w:rPr>
            </w:pPr>
            <w:r>
              <w:rPr>
                <w:rFonts w:hint="eastAsia" w:ascii="宋体" w:hAnsi="宋体" w:cs="宋体"/>
                <w:kern w:val="0"/>
                <w:sz w:val="18"/>
                <w:szCs w:val="18"/>
              </w:rPr>
              <w:t>所属部门意见</w:t>
            </w:r>
          </w:p>
        </w:tc>
        <w:tc>
          <w:tcPr>
            <w:tcW w:w="4035" w:type="pct"/>
            <w:gridSpan w:val="3"/>
            <w:vAlign w:val="center"/>
          </w:tcPr>
          <w:p>
            <w:pPr>
              <w:rPr>
                <w:rFonts w:ascii="宋体" w:hAnsi="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4" w:type="pct"/>
            <w:vAlign w:val="center"/>
          </w:tcPr>
          <w:p>
            <w:pPr>
              <w:jc w:val="center"/>
              <w:rPr>
                <w:rFonts w:ascii="宋体" w:hAnsi="宋体" w:cs="宋体"/>
                <w:kern w:val="0"/>
                <w:sz w:val="18"/>
                <w:szCs w:val="18"/>
              </w:rPr>
            </w:pPr>
            <w:r>
              <w:rPr>
                <w:rFonts w:hint="eastAsia" w:ascii="宋体" w:hAnsi="宋体" w:cs="宋体"/>
                <w:kern w:val="0"/>
                <w:sz w:val="18"/>
                <w:szCs w:val="18"/>
              </w:rPr>
              <w:t>商业秘密管理</w:t>
            </w:r>
          </w:p>
          <w:p>
            <w:pPr>
              <w:jc w:val="center"/>
              <w:rPr>
                <w:rFonts w:ascii="宋体" w:hAnsi="宋体" w:cs="宋体"/>
                <w:kern w:val="0"/>
                <w:sz w:val="18"/>
                <w:szCs w:val="18"/>
              </w:rPr>
            </w:pPr>
            <w:r>
              <w:rPr>
                <w:rFonts w:hint="eastAsia" w:ascii="宋体" w:hAnsi="宋体" w:cs="宋体"/>
                <w:kern w:val="0"/>
                <w:sz w:val="18"/>
                <w:szCs w:val="18"/>
              </w:rPr>
              <w:t>部门意见</w:t>
            </w:r>
          </w:p>
        </w:tc>
        <w:tc>
          <w:tcPr>
            <w:tcW w:w="4035" w:type="pct"/>
            <w:gridSpan w:val="3"/>
            <w:vAlign w:val="center"/>
          </w:tcPr>
          <w:p>
            <w:pPr>
              <w:rPr>
                <w:rFonts w:ascii="宋体" w:hAnsi="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964" w:type="pct"/>
            <w:vAlign w:val="center"/>
          </w:tcPr>
          <w:p>
            <w:pPr>
              <w:jc w:val="center"/>
              <w:rPr>
                <w:rFonts w:ascii="宋体" w:hAnsi="宋体" w:cs="宋体"/>
                <w:kern w:val="0"/>
                <w:sz w:val="18"/>
                <w:szCs w:val="18"/>
              </w:rPr>
            </w:pPr>
            <w:r>
              <w:rPr>
                <w:rFonts w:hint="eastAsia" w:ascii="宋体" w:hAnsi="宋体" w:cs="宋体"/>
                <w:kern w:val="0"/>
                <w:sz w:val="18"/>
                <w:szCs w:val="18"/>
              </w:rPr>
              <w:t>公司领导意见</w:t>
            </w:r>
          </w:p>
        </w:tc>
        <w:tc>
          <w:tcPr>
            <w:tcW w:w="4035" w:type="pct"/>
            <w:gridSpan w:val="3"/>
            <w:vAlign w:val="center"/>
          </w:tcPr>
          <w:p>
            <w:pPr>
              <w:rPr>
                <w:rFonts w:ascii="宋体" w:hAnsi="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964" w:type="pct"/>
            <w:vAlign w:val="center"/>
          </w:tcPr>
          <w:p>
            <w:pPr>
              <w:jc w:val="center"/>
              <w:rPr>
                <w:rFonts w:ascii="宋体" w:hAnsi="宋体" w:cs="宋体"/>
                <w:kern w:val="0"/>
                <w:sz w:val="18"/>
                <w:szCs w:val="18"/>
              </w:rPr>
            </w:pPr>
            <w:r>
              <w:rPr>
                <w:rFonts w:hint="eastAsia" w:ascii="宋体" w:hAnsi="宋体" w:cs="宋体"/>
                <w:kern w:val="0"/>
                <w:sz w:val="18"/>
                <w:szCs w:val="18"/>
              </w:rPr>
              <w:t>文件密级</w:t>
            </w:r>
          </w:p>
        </w:tc>
        <w:tc>
          <w:tcPr>
            <w:tcW w:w="1568" w:type="pct"/>
            <w:vAlign w:val="center"/>
          </w:tcPr>
          <w:p>
            <w:pPr>
              <w:rPr>
                <w:rFonts w:ascii="宋体" w:hAnsi="宋体" w:cs="宋体"/>
                <w:kern w:val="0"/>
                <w:sz w:val="18"/>
                <w:szCs w:val="18"/>
              </w:rPr>
            </w:pPr>
          </w:p>
        </w:tc>
        <w:tc>
          <w:tcPr>
            <w:tcW w:w="1017" w:type="pct"/>
            <w:vAlign w:val="center"/>
          </w:tcPr>
          <w:p>
            <w:pPr>
              <w:jc w:val="center"/>
              <w:rPr>
                <w:rFonts w:ascii="宋体" w:hAnsi="宋体" w:cs="宋体"/>
                <w:kern w:val="0"/>
                <w:sz w:val="18"/>
                <w:szCs w:val="18"/>
              </w:rPr>
            </w:pPr>
            <w:r>
              <w:rPr>
                <w:rFonts w:hint="eastAsia" w:ascii="宋体" w:hAnsi="宋体" w:cs="宋体"/>
                <w:kern w:val="0"/>
                <w:sz w:val="18"/>
                <w:szCs w:val="18"/>
              </w:rPr>
              <w:t>保存期限</w:t>
            </w:r>
          </w:p>
        </w:tc>
        <w:tc>
          <w:tcPr>
            <w:tcW w:w="1450" w:type="pct"/>
            <w:vAlign w:val="center"/>
          </w:tcPr>
          <w:p>
            <w:pPr>
              <w:rPr>
                <w:rFonts w:ascii="宋体" w:hAnsi="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964" w:type="pct"/>
            <w:vAlign w:val="center"/>
          </w:tcPr>
          <w:p>
            <w:pPr>
              <w:jc w:val="center"/>
              <w:rPr>
                <w:rFonts w:ascii="宋体" w:hAnsi="宋体" w:cs="宋体"/>
                <w:kern w:val="0"/>
                <w:sz w:val="18"/>
                <w:szCs w:val="18"/>
              </w:rPr>
            </w:pPr>
            <w:r>
              <w:rPr>
                <w:rFonts w:hint="eastAsia" w:ascii="宋体" w:hAnsi="宋体" w:cs="宋体"/>
                <w:kern w:val="0"/>
                <w:sz w:val="18"/>
                <w:szCs w:val="18"/>
              </w:rPr>
              <w:t>保存部门</w:t>
            </w:r>
          </w:p>
        </w:tc>
        <w:tc>
          <w:tcPr>
            <w:tcW w:w="4035" w:type="pct"/>
            <w:gridSpan w:val="3"/>
            <w:vAlign w:val="center"/>
          </w:tcPr>
          <w:p>
            <w:pPr>
              <w:rPr>
                <w:rFonts w:ascii="宋体" w:hAnsi="宋体" w:cs="宋体"/>
                <w:kern w:val="0"/>
                <w:sz w:val="18"/>
                <w:szCs w:val="18"/>
              </w:rPr>
            </w:pPr>
          </w:p>
        </w:tc>
      </w:tr>
    </w:tbl>
    <w:p>
      <w:pPr>
        <w:pStyle w:val="73"/>
      </w:pPr>
    </w:p>
    <w:p>
      <w:pPr>
        <w:sectPr>
          <w:pgSz w:w="11906" w:h="16838"/>
          <w:pgMar w:top="1417" w:right="1134" w:bottom="1134" w:left="1418" w:header="1417" w:footer="1134" w:gutter="0"/>
          <w:pgNumType w:fmt="decimal"/>
          <w:cols w:space="425" w:num="1"/>
          <w:docGrid w:type="lines" w:linePitch="312" w:charSpace="0"/>
        </w:sectPr>
      </w:pPr>
      <w:r>
        <w:br w:type="page"/>
      </w:r>
    </w:p>
    <w:p>
      <w:pPr>
        <w:pStyle w:val="12"/>
        <w:adjustRightInd w:val="0"/>
        <w:snapToGrid w:val="0"/>
        <w:spacing w:before="567"/>
        <w:ind w:firstLine="0"/>
        <w:jc w:val="center"/>
        <w:outlineLvl w:val="0"/>
        <w:rPr>
          <w:rFonts w:ascii="黑体" w:hAnsi="黑体" w:eastAsia="黑体" w:cs="黑体"/>
          <w:szCs w:val="21"/>
        </w:rPr>
      </w:pPr>
      <w:bookmarkStart w:id="927" w:name="_Toc23868"/>
      <w:r>
        <w:rPr>
          <w:rFonts w:hint="eastAsia" w:ascii="黑体" w:hAnsi="黑体" w:eastAsia="黑体" w:cs="黑体"/>
          <w:szCs w:val="21"/>
        </w:rPr>
        <w:t>附  录  D</w:t>
      </w:r>
      <w:bookmarkEnd w:id="927"/>
    </w:p>
    <w:p>
      <w:pPr>
        <w:pStyle w:val="13"/>
        <w:jc w:val="center"/>
        <w:outlineLvl w:val="0"/>
        <w:rPr>
          <w:rFonts w:ascii="黑体" w:hAnsi="黑体" w:eastAsia="黑体" w:cs="黑体"/>
          <w:sz w:val="21"/>
          <w:szCs w:val="21"/>
        </w:rPr>
      </w:pPr>
      <w:bookmarkStart w:id="928" w:name="_Toc13029"/>
      <w:r>
        <w:rPr>
          <w:rFonts w:hint="eastAsia" w:ascii="黑体" w:hAnsi="黑体" w:eastAsia="黑体" w:cs="黑体"/>
          <w:sz w:val="21"/>
          <w:szCs w:val="21"/>
        </w:rPr>
        <w:t>（资料性）</w:t>
      </w:r>
      <w:bookmarkEnd w:id="928"/>
    </w:p>
    <w:p>
      <w:pPr>
        <w:pStyle w:val="13"/>
        <w:adjustRightInd w:val="0"/>
        <w:spacing w:after="283"/>
        <w:jc w:val="center"/>
        <w:outlineLvl w:val="0"/>
        <w:rPr>
          <w:rFonts w:ascii="黑体" w:hAnsi="黑体" w:eastAsia="黑体"/>
          <w:color w:val="000000"/>
          <w:sz w:val="21"/>
          <w:szCs w:val="21"/>
        </w:rPr>
      </w:pPr>
      <w:bookmarkStart w:id="929" w:name="_Toc1612"/>
      <w:r>
        <w:rPr>
          <w:rFonts w:hint="eastAsia" w:ascii="黑体" w:hAnsi="黑体" w:eastAsia="黑体"/>
          <w:color w:val="000000"/>
          <w:sz w:val="21"/>
          <w:szCs w:val="21"/>
        </w:rPr>
        <w:t>涉密人员清单</w:t>
      </w:r>
      <w:bookmarkEnd w:id="929"/>
    </w:p>
    <w:p>
      <w:pPr>
        <w:pStyle w:val="19"/>
      </w:pPr>
      <w:r>
        <w:rPr>
          <w:rFonts w:hint="eastAsia"/>
        </w:rPr>
        <w:t>涉密人员清单见D.</w:t>
      </w:r>
      <w:r>
        <w:t>1。</w:t>
      </w:r>
    </w:p>
    <w:p>
      <w:pPr>
        <w:pStyle w:val="82"/>
        <w:numPr>
          <w:ilvl w:val="0"/>
          <w:numId w:val="0"/>
        </w:numPr>
      </w:pPr>
      <w:r>
        <w:rPr>
          <w:rFonts w:hint="eastAsia"/>
        </w:rPr>
        <w:t>表D</w:t>
      </w:r>
      <w:r>
        <w:t xml:space="preserve">.1  </w:t>
      </w:r>
      <w:r>
        <w:rPr>
          <w:rFonts w:hint="eastAsia"/>
        </w:rPr>
        <w:t>涉密人员清单</w:t>
      </w:r>
    </w:p>
    <w:tbl>
      <w:tblPr>
        <w:tblStyle w:val="31"/>
        <w:tblpPr w:leftFromText="180" w:rightFromText="180" w:vertAnchor="text" w:horzAnchor="page" w:tblpX="1357" w:tblpY="183"/>
        <w:tblOverlap w:val="never"/>
        <w:tblW w:w="47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698"/>
        <w:gridCol w:w="1249"/>
        <w:gridCol w:w="876"/>
        <w:gridCol w:w="1485"/>
        <w:gridCol w:w="1748"/>
        <w:gridCol w:w="23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vAlign w:val="center"/>
          </w:tcPr>
          <w:p>
            <w:pPr>
              <w:jc w:val="center"/>
            </w:pPr>
            <w:r>
              <w:rPr>
                <w:rFonts w:hint="eastAsia"/>
              </w:rPr>
              <w:t>序号</w:t>
            </w:r>
          </w:p>
        </w:tc>
        <w:tc>
          <w:tcPr>
            <w:tcW w:w="380" w:type="pct"/>
            <w:vAlign w:val="center"/>
          </w:tcPr>
          <w:p>
            <w:pPr>
              <w:jc w:val="center"/>
            </w:pPr>
            <w:r>
              <w:rPr>
                <w:rFonts w:hint="eastAsia"/>
              </w:rPr>
              <w:t>姓名</w:t>
            </w:r>
          </w:p>
        </w:tc>
        <w:tc>
          <w:tcPr>
            <w:tcW w:w="680" w:type="pct"/>
            <w:vAlign w:val="center"/>
          </w:tcPr>
          <w:p>
            <w:pPr>
              <w:jc w:val="center"/>
            </w:pPr>
            <w:r>
              <w:rPr>
                <w:rFonts w:hint="eastAsia"/>
              </w:rPr>
              <w:t>部门</w:t>
            </w:r>
            <w:r>
              <w:t>/岗位</w:t>
            </w:r>
          </w:p>
        </w:tc>
        <w:tc>
          <w:tcPr>
            <w:tcW w:w="477" w:type="pct"/>
            <w:vAlign w:val="center"/>
          </w:tcPr>
          <w:p>
            <w:pPr>
              <w:jc w:val="center"/>
            </w:pPr>
            <w:r>
              <w:rPr>
                <w:rFonts w:hint="eastAsia"/>
              </w:rPr>
              <w:t>职务</w:t>
            </w:r>
          </w:p>
        </w:tc>
        <w:tc>
          <w:tcPr>
            <w:tcW w:w="809" w:type="pct"/>
            <w:vAlign w:val="center"/>
          </w:tcPr>
          <w:p>
            <w:pPr>
              <w:jc w:val="center"/>
            </w:pPr>
            <w:r>
              <w:rPr>
                <w:rFonts w:hint="eastAsia"/>
              </w:rPr>
              <w:t>保密等级</w:t>
            </w:r>
          </w:p>
        </w:tc>
        <w:tc>
          <w:tcPr>
            <w:tcW w:w="952" w:type="pct"/>
            <w:vAlign w:val="center"/>
          </w:tcPr>
          <w:p>
            <w:pPr>
              <w:jc w:val="center"/>
            </w:pPr>
            <w:r>
              <w:rPr>
                <w:rFonts w:hint="eastAsia"/>
              </w:rPr>
              <w:t>接触权限</w:t>
            </w:r>
          </w:p>
        </w:tc>
        <w:tc>
          <w:tcPr>
            <w:tcW w:w="1306" w:type="pct"/>
            <w:vAlign w:val="center"/>
          </w:tcPr>
          <w:p>
            <w:pPr>
              <w:jc w:val="center"/>
            </w:pPr>
            <w:r>
              <w:rPr>
                <w:rFonts w:hint="eastAsia"/>
              </w:rPr>
              <w:t>可进入涉密区域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tcPr>
          <w:p/>
        </w:tc>
        <w:tc>
          <w:tcPr>
            <w:tcW w:w="380" w:type="pct"/>
          </w:tcPr>
          <w:p/>
        </w:tc>
        <w:tc>
          <w:tcPr>
            <w:tcW w:w="680" w:type="pct"/>
          </w:tcPr>
          <w:p/>
        </w:tc>
        <w:tc>
          <w:tcPr>
            <w:tcW w:w="477" w:type="pct"/>
          </w:tcPr>
          <w:p/>
        </w:tc>
        <w:tc>
          <w:tcPr>
            <w:tcW w:w="809" w:type="pct"/>
          </w:tcPr>
          <w:p/>
        </w:tc>
        <w:tc>
          <w:tcPr>
            <w:tcW w:w="952" w:type="pct"/>
          </w:tcPr>
          <w:p/>
        </w:tc>
        <w:tc>
          <w:tcPr>
            <w:tcW w:w="1306"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tcPr>
          <w:p/>
        </w:tc>
        <w:tc>
          <w:tcPr>
            <w:tcW w:w="380" w:type="pct"/>
          </w:tcPr>
          <w:p/>
        </w:tc>
        <w:tc>
          <w:tcPr>
            <w:tcW w:w="680" w:type="pct"/>
          </w:tcPr>
          <w:p/>
        </w:tc>
        <w:tc>
          <w:tcPr>
            <w:tcW w:w="477" w:type="pct"/>
          </w:tcPr>
          <w:p/>
        </w:tc>
        <w:tc>
          <w:tcPr>
            <w:tcW w:w="809" w:type="pct"/>
          </w:tcPr>
          <w:p/>
        </w:tc>
        <w:tc>
          <w:tcPr>
            <w:tcW w:w="952" w:type="pct"/>
          </w:tcPr>
          <w:p/>
        </w:tc>
        <w:tc>
          <w:tcPr>
            <w:tcW w:w="1306"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tcPr>
          <w:p/>
        </w:tc>
        <w:tc>
          <w:tcPr>
            <w:tcW w:w="380" w:type="pct"/>
          </w:tcPr>
          <w:p/>
        </w:tc>
        <w:tc>
          <w:tcPr>
            <w:tcW w:w="680" w:type="pct"/>
          </w:tcPr>
          <w:p/>
        </w:tc>
        <w:tc>
          <w:tcPr>
            <w:tcW w:w="477" w:type="pct"/>
          </w:tcPr>
          <w:p/>
        </w:tc>
        <w:tc>
          <w:tcPr>
            <w:tcW w:w="809" w:type="pct"/>
          </w:tcPr>
          <w:p/>
        </w:tc>
        <w:tc>
          <w:tcPr>
            <w:tcW w:w="952" w:type="pct"/>
          </w:tcPr>
          <w:p/>
        </w:tc>
        <w:tc>
          <w:tcPr>
            <w:tcW w:w="1306"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tcPr>
          <w:p/>
        </w:tc>
        <w:tc>
          <w:tcPr>
            <w:tcW w:w="380" w:type="pct"/>
          </w:tcPr>
          <w:p/>
        </w:tc>
        <w:tc>
          <w:tcPr>
            <w:tcW w:w="680" w:type="pct"/>
          </w:tcPr>
          <w:p/>
        </w:tc>
        <w:tc>
          <w:tcPr>
            <w:tcW w:w="477" w:type="pct"/>
          </w:tcPr>
          <w:p/>
        </w:tc>
        <w:tc>
          <w:tcPr>
            <w:tcW w:w="809" w:type="pct"/>
          </w:tcPr>
          <w:p/>
        </w:tc>
        <w:tc>
          <w:tcPr>
            <w:tcW w:w="952" w:type="pct"/>
          </w:tcPr>
          <w:p/>
        </w:tc>
        <w:tc>
          <w:tcPr>
            <w:tcW w:w="1306"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tcPr>
          <w:p/>
        </w:tc>
        <w:tc>
          <w:tcPr>
            <w:tcW w:w="380" w:type="pct"/>
          </w:tcPr>
          <w:p/>
        </w:tc>
        <w:tc>
          <w:tcPr>
            <w:tcW w:w="680" w:type="pct"/>
          </w:tcPr>
          <w:p/>
        </w:tc>
        <w:tc>
          <w:tcPr>
            <w:tcW w:w="477" w:type="pct"/>
          </w:tcPr>
          <w:p/>
        </w:tc>
        <w:tc>
          <w:tcPr>
            <w:tcW w:w="809" w:type="pct"/>
          </w:tcPr>
          <w:p/>
        </w:tc>
        <w:tc>
          <w:tcPr>
            <w:tcW w:w="952" w:type="pct"/>
          </w:tcPr>
          <w:p/>
        </w:tc>
        <w:tc>
          <w:tcPr>
            <w:tcW w:w="1306"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tcPr>
          <w:p/>
        </w:tc>
        <w:tc>
          <w:tcPr>
            <w:tcW w:w="380" w:type="pct"/>
          </w:tcPr>
          <w:p/>
        </w:tc>
        <w:tc>
          <w:tcPr>
            <w:tcW w:w="680" w:type="pct"/>
          </w:tcPr>
          <w:p/>
        </w:tc>
        <w:tc>
          <w:tcPr>
            <w:tcW w:w="477" w:type="pct"/>
          </w:tcPr>
          <w:p/>
        </w:tc>
        <w:tc>
          <w:tcPr>
            <w:tcW w:w="809" w:type="pct"/>
          </w:tcPr>
          <w:p/>
        </w:tc>
        <w:tc>
          <w:tcPr>
            <w:tcW w:w="952" w:type="pct"/>
          </w:tcPr>
          <w:p/>
        </w:tc>
        <w:tc>
          <w:tcPr>
            <w:tcW w:w="1306"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tcPr>
          <w:p/>
        </w:tc>
        <w:tc>
          <w:tcPr>
            <w:tcW w:w="380" w:type="pct"/>
          </w:tcPr>
          <w:p/>
        </w:tc>
        <w:tc>
          <w:tcPr>
            <w:tcW w:w="680" w:type="pct"/>
          </w:tcPr>
          <w:p/>
        </w:tc>
        <w:tc>
          <w:tcPr>
            <w:tcW w:w="477" w:type="pct"/>
          </w:tcPr>
          <w:p/>
        </w:tc>
        <w:tc>
          <w:tcPr>
            <w:tcW w:w="809" w:type="pct"/>
          </w:tcPr>
          <w:p/>
        </w:tc>
        <w:tc>
          <w:tcPr>
            <w:tcW w:w="952" w:type="pct"/>
          </w:tcPr>
          <w:p/>
        </w:tc>
        <w:tc>
          <w:tcPr>
            <w:tcW w:w="1306"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tcPr>
          <w:p/>
        </w:tc>
        <w:tc>
          <w:tcPr>
            <w:tcW w:w="380" w:type="pct"/>
          </w:tcPr>
          <w:p/>
        </w:tc>
        <w:tc>
          <w:tcPr>
            <w:tcW w:w="680" w:type="pct"/>
          </w:tcPr>
          <w:p/>
        </w:tc>
        <w:tc>
          <w:tcPr>
            <w:tcW w:w="477" w:type="pct"/>
          </w:tcPr>
          <w:p/>
        </w:tc>
        <w:tc>
          <w:tcPr>
            <w:tcW w:w="809" w:type="pct"/>
          </w:tcPr>
          <w:p/>
        </w:tc>
        <w:tc>
          <w:tcPr>
            <w:tcW w:w="952" w:type="pct"/>
          </w:tcPr>
          <w:p/>
        </w:tc>
        <w:tc>
          <w:tcPr>
            <w:tcW w:w="1306"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tcPr>
          <w:p/>
        </w:tc>
        <w:tc>
          <w:tcPr>
            <w:tcW w:w="380" w:type="pct"/>
          </w:tcPr>
          <w:p/>
        </w:tc>
        <w:tc>
          <w:tcPr>
            <w:tcW w:w="680" w:type="pct"/>
          </w:tcPr>
          <w:p/>
        </w:tc>
        <w:tc>
          <w:tcPr>
            <w:tcW w:w="477" w:type="pct"/>
          </w:tcPr>
          <w:p/>
        </w:tc>
        <w:tc>
          <w:tcPr>
            <w:tcW w:w="809" w:type="pct"/>
          </w:tcPr>
          <w:p/>
        </w:tc>
        <w:tc>
          <w:tcPr>
            <w:tcW w:w="952" w:type="pct"/>
          </w:tcPr>
          <w:p/>
        </w:tc>
        <w:tc>
          <w:tcPr>
            <w:tcW w:w="1306"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tcPr>
          <w:p/>
        </w:tc>
        <w:tc>
          <w:tcPr>
            <w:tcW w:w="380" w:type="pct"/>
          </w:tcPr>
          <w:p/>
        </w:tc>
        <w:tc>
          <w:tcPr>
            <w:tcW w:w="680" w:type="pct"/>
          </w:tcPr>
          <w:p/>
        </w:tc>
        <w:tc>
          <w:tcPr>
            <w:tcW w:w="477" w:type="pct"/>
          </w:tcPr>
          <w:p/>
        </w:tc>
        <w:tc>
          <w:tcPr>
            <w:tcW w:w="809" w:type="pct"/>
          </w:tcPr>
          <w:p/>
        </w:tc>
        <w:tc>
          <w:tcPr>
            <w:tcW w:w="952" w:type="pct"/>
          </w:tcPr>
          <w:p/>
        </w:tc>
        <w:tc>
          <w:tcPr>
            <w:tcW w:w="1306"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tcPr>
          <w:p/>
        </w:tc>
        <w:tc>
          <w:tcPr>
            <w:tcW w:w="380" w:type="pct"/>
          </w:tcPr>
          <w:p/>
        </w:tc>
        <w:tc>
          <w:tcPr>
            <w:tcW w:w="680" w:type="pct"/>
          </w:tcPr>
          <w:p/>
        </w:tc>
        <w:tc>
          <w:tcPr>
            <w:tcW w:w="477" w:type="pct"/>
          </w:tcPr>
          <w:p/>
        </w:tc>
        <w:tc>
          <w:tcPr>
            <w:tcW w:w="809" w:type="pct"/>
          </w:tcPr>
          <w:p/>
        </w:tc>
        <w:tc>
          <w:tcPr>
            <w:tcW w:w="952" w:type="pct"/>
          </w:tcPr>
          <w:p/>
        </w:tc>
        <w:tc>
          <w:tcPr>
            <w:tcW w:w="1306"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tcPr>
          <w:p/>
        </w:tc>
        <w:tc>
          <w:tcPr>
            <w:tcW w:w="380" w:type="pct"/>
          </w:tcPr>
          <w:p/>
        </w:tc>
        <w:tc>
          <w:tcPr>
            <w:tcW w:w="680" w:type="pct"/>
          </w:tcPr>
          <w:p/>
        </w:tc>
        <w:tc>
          <w:tcPr>
            <w:tcW w:w="477" w:type="pct"/>
          </w:tcPr>
          <w:p/>
        </w:tc>
        <w:tc>
          <w:tcPr>
            <w:tcW w:w="809" w:type="pct"/>
          </w:tcPr>
          <w:p/>
        </w:tc>
        <w:tc>
          <w:tcPr>
            <w:tcW w:w="952" w:type="pct"/>
          </w:tcPr>
          <w:p/>
        </w:tc>
        <w:tc>
          <w:tcPr>
            <w:tcW w:w="1306"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tcPr>
          <w:p/>
        </w:tc>
        <w:tc>
          <w:tcPr>
            <w:tcW w:w="380" w:type="pct"/>
          </w:tcPr>
          <w:p/>
        </w:tc>
        <w:tc>
          <w:tcPr>
            <w:tcW w:w="680" w:type="pct"/>
          </w:tcPr>
          <w:p/>
        </w:tc>
        <w:tc>
          <w:tcPr>
            <w:tcW w:w="477" w:type="pct"/>
          </w:tcPr>
          <w:p/>
        </w:tc>
        <w:tc>
          <w:tcPr>
            <w:tcW w:w="809" w:type="pct"/>
          </w:tcPr>
          <w:p/>
        </w:tc>
        <w:tc>
          <w:tcPr>
            <w:tcW w:w="952" w:type="pct"/>
          </w:tcPr>
          <w:p/>
        </w:tc>
        <w:tc>
          <w:tcPr>
            <w:tcW w:w="1306"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tcPr>
          <w:p/>
        </w:tc>
        <w:tc>
          <w:tcPr>
            <w:tcW w:w="380" w:type="pct"/>
          </w:tcPr>
          <w:p/>
        </w:tc>
        <w:tc>
          <w:tcPr>
            <w:tcW w:w="680" w:type="pct"/>
          </w:tcPr>
          <w:p/>
        </w:tc>
        <w:tc>
          <w:tcPr>
            <w:tcW w:w="477" w:type="pct"/>
          </w:tcPr>
          <w:p/>
        </w:tc>
        <w:tc>
          <w:tcPr>
            <w:tcW w:w="809" w:type="pct"/>
          </w:tcPr>
          <w:p/>
        </w:tc>
        <w:tc>
          <w:tcPr>
            <w:tcW w:w="952" w:type="pct"/>
          </w:tcPr>
          <w:p/>
        </w:tc>
        <w:tc>
          <w:tcPr>
            <w:tcW w:w="1306"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tcPr>
          <w:p/>
        </w:tc>
        <w:tc>
          <w:tcPr>
            <w:tcW w:w="380" w:type="pct"/>
          </w:tcPr>
          <w:p/>
        </w:tc>
        <w:tc>
          <w:tcPr>
            <w:tcW w:w="680" w:type="pct"/>
          </w:tcPr>
          <w:p/>
        </w:tc>
        <w:tc>
          <w:tcPr>
            <w:tcW w:w="477" w:type="pct"/>
          </w:tcPr>
          <w:p/>
        </w:tc>
        <w:tc>
          <w:tcPr>
            <w:tcW w:w="809" w:type="pct"/>
          </w:tcPr>
          <w:p/>
        </w:tc>
        <w:tc>
          <w:tcPr>
            <w:tcW w:w="952" w:type="pct"/>
          </w:tcPr>
          <w:p/>
        </w:tc>
        <w:tc>
          <w:tcPr>
            <w:tcW w:w="1306"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tcPr>
          <w:p/>
        </w:tc>
        <w:tc>
          <w:tcPr>
            <w:tcW w:w="380" w:type="pct"/>
          </w:tcPr>
          <w:p/>
        </w:tc>
        <w:tc>
          <w:tcPr>
            <w:tcW w:w="680" w:type="pct"/>
          </w:tcPr>
          <w:p/>
        </w:tc>
        <w:tc>
          <w:tcPr>
            <w:tcW w:w="477" w:type="pct"/>
          </w:tcPr>
          <w:p/>
        </w:tc>
        <w:tc>
          <w:tcPr>
            <w:tcW w:w="809" w:type="pct"/>
          </w:tcPr>
          <w:p/>
        </w:tc>
        <w:tc>
          <w:tcPr>
            <w:tcW w:w="952" w:type="pct"/>
          </w:tcPr>
          <w:p/>
        </w:tc>
        <w:tc>
          <w:tcPr>
            <w:tcW w:w="1306"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tcPr>
          <w:p/>
        </w:tc>
        <w:tc>
          <w:tcPr>
            <w:tcW w:w="380" w:type="pct"/>
          </w:tcPr>
          <w:p/>
        </w:tc>
        <w:tc>
          <w:tcPr>
            <w:tcW w:w="680" w:type="pct"/>
          </w:tcPr>
          <w:p/>
        </w:tc>
        <w:tc>
          <w:tcPr>
            <w:tcW w:w="477" w:type="pct"/>
          </w:tcPr>
          <w:p/>
        </w:tc>
        <w:tc>
          <w:tcPr>
            <w:tcW w:w="809" w:type="pct"/>
          </w:tcPr>
          <w:p/>
        </w:tc>
        <w:tc>
          <w:tcPr>
            <w:tcW w:w="952" w:type="pct"/>
          </w:tcPr>
          <w:p/>
        </w:tc>
        <w:tc>
          <w:tcPr>
            <w:tcW w:w="1306"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tcPr>
          <w:p/>
        </w:tc>
        <w:tc>
          <w:tcPr>
            <w:tcW w:w="380" w:type="pct"/>
          </w:tcPr>
          <w:p/>
        </w:tc>
        <w:tc>
          <w:tcPr>
            <w:tcW w:w="680" w:type="pct"/>
          </w:tcPr>
          <w:p/>
        </w:tc>
        <w:tc>
          <w:tcPr>
            <w:tcW w:w="477" w:type="pct"/>
          </w:tcPr>
          <w:p/>
        </w:tc>
        <w:tc>
          <w:tcPr>
            <w:tcW w:w="809" w:type="pct"/>
          </w:tcPr>
          <w:p/>
        </w:tc>
        <w:tc>
          <w:tcPr>
            <w:tcW w:w="952" w:type="pct"/>
          </w:tcPr>
          <w:p/>
        </w:tc>
        <w:tc>
          <w:tcPr>
            <w:tcW w:w="1306"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pct"/>
          </w:tcPr>
          <w:p/>
        </w:tc>
        <w:tc>
          <w:tcPr>
            <w:tcW w:w="380" w:type="pct"/>
          </w:tcPr>
          <w:p/>
        </w:tc>
        <w:tc>
          <w:tcPr>
            <w:tcW w:w="680" w:type="pct"/>
          </w:tcPr>
          <w:p/>
        </w:tc>
        <w:tc>
          <w:tcPr>
            <w:tcW w:w="477" w:type="pct"/>
          </w:tcPr>
          <w:p/>
        </w:tc>
        <w:tc>
          <w:tcPr>
            <w:tcW w:w="809" w:type="pct"/>
          </w:tcPr>
          <w:p/>
        </w:tc>
        <w:tc>
          <w:tcPr>
            <w:tcW w:w="952" w:type="pct"/>
          </w:tcPr>
          <w:p/>
        </w:tc>
        <w:tc>
          <w:tcPr>
            <w:tcW w:w="1306" w:type="pct"/>
          </w:tcPr>
          <w:p/>
        </w:tc>
      </w:tr>
    </w:tbl>
    <w:p>
      <w:pPr>
        <w:pStyle w:val="15"/>
      </w:pPr>
    </w:p>
    <w:p>
      <w:pPr>
        <w:pStyle w:val="15"/>
        <w:sectPr>
          <w:pgSz w:w="11906" w:h="16838"/>
          <w:pgMar w:top="1417" w:right="1134" w:bottom="1134" w:left="1418" w:header="1417" w:footer="1134" w:gutter="0"/>
          <w:pgNumType w:fmt="decimal"/>
          <w:cols w:space="425" w:num="1"/>
          <w:docGrid w:type="lines" w:linePitch="312" w:charSpace="0"/>
        </w:sectPr>
      </w:pPr>
    </w:p>
    <w:p>
      <w:pPr>
        <w:pStyle w:val="12"/>
        <w:adjustRightInd w:val="0"/>
        <w:snapToGrid w:val="0"/>
        <w:spacing w:before="567"/>
        <w:ind w:firstLine="0"/>
        <w:jc w:val="center"/>
        <w:outlineLvl w:val="0"/>
        <w:rPr>
          <w:rFonts w:ascii="黑体" w:hAnsi="黑体" w:eastAsia="黑体" w:cs="黑体"/>
          <w:szCs w:val="21"/>
        </w:rPr>
      </w:pPr>
      <w:bookmarkStart w:id="930" w:name="_Toc31268"/>
      <w:r>
        <w:rPr>
          <w:rFonts w:hint="eastAsia" w:ascii="黑体" w:hAnsi="黑体" w:eastAsia="黑体" w:cs="黑体"/>
          <w:szCs w:val="21"/>
        </w:rPr>
        <w:t xml:space="preserve">附  录  </w:t>
      </w:r>
      <w:r>
        <w:rPr>
          <w:rFonts w:ascii="黑体" w:hAnsi="黑体" w:eastAsia="黑体" w:cs="黑体"/>
          <w:szCs w:val="21"/>
        </w:rPr>
        <w:t>E</w:t>
      </w:r>
      <w:bookmarkEnd w:id="930"/>
    </w:p>
    <w:p>
      <w:pPr>
        <w:pStyle w:val="13"/>
        <w:jc w:val="center"/>
        <w:outlineLvl w:val="0"/>
        <w:rPr>
          <w:rFonts w:ascii="黑体" w:hAnsi="黑体" w:eastAsia="黑体" w:cs="黑体"/>
          <w:sz w:val="21"/>
          <w:szCs w:val="21"/>
        </w:rPr>
      </w:pPr>
      <w:bookmarkStart w:id="931" w:name="_Toc21222"/>
      <w:r>
        <w:rPr>
          <w:rFonts w:hint="eastAsia" w:ascii="黑体" w:hAnsi="黑体" w:eastAsia="黑体" w:cs="黑体"/>
          <w:sz w:val="21"/>
          <w:szCs w:val="21"/>
        </w:rPr>
        <w:t>（资料性）</w:t>
      </w:r>
      <w:bookmarkEnd w:id="931"/>
    </w:p>
    <w:p>
      <w:pPr>
        <w:pStyle w:val="13"/>
        <w:adjustRightInd w:val="0"/>
        <w:spacing w:after="283"/>
        <w:jc w:val="center"/>
        <w:outlineLvl w:val="0"/>
        <w:rPr>
          <w:rFonts w:ascii="黑体" w:hAnsi="黑体" w:eastAsia="黑体"/>
          <w:color w:val="000000"/>
          <w:sz w:val="21"/>
          <w:szCs w:val="21"/>
        </w:rPr>
      </w:pPr>
      <w:bookmarkStart w:id="932" w:name="_Toc28787"/>
      <w:r>
        <w:rPr>
          <w:rFonts w:ascii="黑体" w:hAnsi="黑体" w:eastAsia="黑体"/>
          <w:color w:val="000000"/>
          <w:sz w:val="21"/>
          <w:szCs w:val="21"/>
        </w:rPr>
        <w:t>商业秘密信息</w:t>
      </w:r>
      <w:r>
        <w:rPr>
          <w:rFonts w:hint="eastAsia" w:ascii="黑体" w:hAnsi="黑体" w:eastAsia="黑体"/>
          <w:color w:val="000000"/>
          <w:sz w:val="21"/>
          <w:szCs w:val="21"/>
        </w:rPr>
        <w:t>清单</w:t>
      </w:r>
      <w:bookmarkEnd w:id="932"/>
    </w:p>
    <w:p>
      <w:pPr>
        <w:pStyle w:val="19"/>
      </w:pPr>
      <w:r>
        <w:rPr>
          <w:rFonts w:hint="eastAsia"/>
        </w:rPr>
        <w:t>商业秘密信息清单见E.</w:t>
      </w:r>
      <w:r>
        <w:t>1。</w:t>
      </w:r>
    </w:p>
    <w:p>
      <w:pPr>
        <w:pStyle w:val="82"/>
        <w:numPr>
          <w:ilvl w:val="0"/>
          <w:numId w:val="0"/>
        </w:numPr>
      </w:pPr>
      <w:r>
        <w:rPr>
          <w:rFonts w:hint="eastAsia"/>
        </w:rPr>
        <w:t>表E</w:t>
      </w:r>
      <w:r>
        <w:t xml:space="preserve">.1  </w:t>
      </w:r>
      <w:r>
        <w:rPr>
          <w:rFonts w:hint="eastAsia"/>
        </w:rPr>
        <w:t>商业秘密</w:t>
      </w:r>
      <w:r>
        <w:t>信息</w:t>
      </w:r>
      <w:r>
        <w:rPr>
          <w:rFonts w:hint="eastAsia"/>
        </w:rPr>
        <w:t>清单</w:t>
      </w:r>
    </w:p>
    <w:tbl>
      <w:tblPr>
        <w:tblStyle w:val="31"/>
        <w:tblW w:w="9360"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7"/>
        <w:gridCol w:w="657"/>
        <w:gridCol w:w="659"/>
        <w:gridCol w:w="1054"/>
        <w:gridCol w:w="866"/>
        <w:gridCol w:w="781"/>
        <w:gridCol w:w="781"/>
        <w:gridCol w:w="781"/>
        <w:gridCol w:w="781"/>
        <w:gridCol w:w="781"/>
        <w:gridCol w:w="781"/>
        <w:gridCol w:w="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360" w:type="dxa"/>
            <w:gridSpan w:val="12"/>
            <w:shd w:val="clear" w:color="auto" w:fill="auto"/>
            <w:noWrap/>
            <w:vAlign w:val="center"/>
          </w:tcPr>
          <w:p>
            <w:pPr>
              <w:rPr>
                <w:rFonts w:asciiTheme="minorEastAsia" w:hAnsiTheme="minorEastAsia"/>
                <w:sz w:val="18"/>
                <w:szCs w:val="18"/>
                <w:u w:val="single"/>
                <w:lang w:bidi="ar"/>
              </w:rPr>
            </w:pPr>
            <w:r>
              <w:rPr>
                <w:rFonts w:hint="eastAsia" w:asciiTheme="minorEastAsia" w:hAnsiTheme="minorEastAsia"/>
                <w:sz w:val="18"/>
                <w:szCs w:val="18"/>
                <w:u w:val="single"/>
                <w:lang w:bidi="ar"/>
              </w:rPr>
              <w:t xml:space="preserve">   </w:t>
            </w:r>
            <w:r>
              <w:rPr>
                <w:rFonts w:hint="eastAsia" w:asciiTheme="minorEastAsia" w:hAnsiTheme="minorEastAsia"/>
                <w:sz w:val="18"/>
                <w:szCs w:val="18"/>
                <w:u w:val="single"/>
                <w:lang w:val="en-US" w:eastAsia="zh-CN" w:bidi="ar"/>
              </w:rPr>
              <w:t xml:space="preserve">          </w:t>
            </w:r>
            <w:r>
              <w:rPr>
                <w:rFonts w:hint="eastAsia" w:asciiTheme="minorEastAsia" w:hAnsiTheme="minorEastAsia"/>
                <w:sz w:val="18"/>
                <w:szCs w:val="18"/>
                <w:u w:val="single"/>
                <w:lang w:bidi="ar"/>
              </w:rPr>
              <w:t xml:space="preserve"> </w:t>
            </w:r>
            <w:r>
              <w:rPr>
                <w:rFonts w:hint="eastAsia" w:asciiTheme="minorEastAsia" w:hAnsiTheme="minorEastAsia"/>
                <w:sz w:val="18"/>
                <w:szCs w:val="18"/>
                <w:lang w:bidi="ar"/>
              </w:rPr>
              <w:t>部门商业秘密资产记录表    日期</w:t>
            </w:r>
            <w:r>
              <w:rPr>
                <w:rFonts w:hint="eastAsia" w:asciiTheme="minorEastAsia" w:hAnsiTheme="minorEastAsia"/>
                <w:sz w:val="18"/>
                <w:szCs w:val="18"/>
                <w:u w:val="none"/>
                <w:lang w:bidi="ar"/>
              </w:rPr>
              <w:t>：</w:t>
            </w:r>
            <w:r>
              <w:rPr>
                <w:rFonts w:hint="eastAsia" w:asciiTheme="minorEastAsia" w:hAnsiTheme="minorEastAsia"/>
                <w:sz w:val="18"/>
                <w:szCs w:val="18"/>
                <w:u w:val="single"/>
                <w:lang w:val="en-US" w:eastAsia="zh-CN" w:bidi="ar"/>
              </w:rPr>
              <w:t xml:space="preserve">  </w:t>
            </w:r>
            <w:r>
              <w:rPr>
                <w:rFonts w:hint="eastAsia" w:asciiTheme="minorEastAsia" w:hAnsiTheme="minorEastAsia"/>
                <w:sz w:val="18"/>
                <w:szCs w:val="18"/>
                <w:u w:val="single"/>
                <w:lang w:bidi="ar"/>
              </w:rPr>
              <w:t xml:space="preserve">  </w:t>
            </w:r>
            <w:r>
              <w:rPr>
                <w:rFonts w:hint="eastAsia" w:asciiTheme="minorEastAsia" w:hAnsiTheme="minorEastAsia"/>
                <w:sz w:val="18"/>
                <w:szCs w:val="18"/>
                <w:lang w:bidi="ar"/>
              </w:rPr>
              <w:t>年</w:t>
            </w:r>
            <w:r>
              <w:rPr>
                <w:rFonts w:hint="eastAsia" w:asciiTheme="minorEastAsia" w:hAnsiTheme="minorEastAsia"/>
                <w:i/>
                <w:iCs/>
                <w:sz w:val="18"/>
                <w:szCs w:val="18"/>
                <w:u w:val="single"/>
                <w:lang w:bidi="ar"/>
              </w:rPr>
              <w:t xml:space="preserve"> </w:t>
            </w:r>
            <w:r>
              <w:rPr>
                <w:rFonts w:hint="eastAsia" w:asciiTheme="minorEastAsia" w:hAnsiTheme="minorEastAsia"/>
                <w:i/>
                <w:iCs/>
                <w:sz w:val="18"/>
                <w:szCs w:val="18"/>
                <w:u w:val="single"/>
                <w:lang w:val="en-US" w:eastAsia="zh-CN" w:bidi="ar"/>
              </w:rPr>
              <w:t xml:space="preserve">   </w:t>
            </w:r>
            <w:r>
              <w:rPr>
                <w:rFonts w:hint="eastAsia" w:asciiTheme="minorEastAsia" w:hAnsiTheme="minorEastAsia"/>
                <w:i/>
                <w:iCs/>
                <w:sz w:val="18"/>
                <w:szCs w:val="18"/>
                <w:u w:val="single"/>
                <w:lang w:bidi="ar"/>
              </w:rPr>
              <w:t xml:space="preserve"> </w:t>
            </w:r>
            <w:r>
              <w:rPr>
                <w:rFonts w:hint="eastAsia" w:asciiTheme="minorEastAsia" w:hAnsiTheme="minorEastAsia"/>
                <w:sz w:val="18"/>
                <w:szCs w:val="18"/>
                <w:lang w:bidi="ar"/>
              </w:rPr>
              <w:t>月</w:t>
            </w:r>
            <w:r>
              <w:rPr>
                <w:rFonts w:hint="eastAsia" w:asciiTheme="minorEastAsia" w:hAnsiTheme="minorEastAsia"/>
                <w:sz w:val="18"/>
                <w:szCs w:val="18"/>
                <w:u w:val="single"/>
                <w:lang w:bidi="ar"/>
              </w:rPr>
              <w:t xml:space="preserve"> </w:t>
            </w:r>
            <w:r>
              <w:rPr>
                <w:rFonts w:hint="eastAsia" w:asciiTheme="minorEastAsia" w:hAnsiTheme="minorEastAsia"/>
                <w:sz w:val="18"/>
                <w:szCs w:val="18"/>
                <w:u w:val="single"/>
                <w:lang w:val="en-US" w:eastAsia="zh-CN" w:bidi="ar"/>
              </w:rPr>
              <w:t xml:space="preserve">   </w:t>
            </w:r>
            <w:r>
              <w:rPr>
                <w:rFonts w:hint="eastAsia" w:asciiTheme="minorEastAsia" w:hAnsiTheme="minorEastAsia"/>
                <w:sz w:val="18"/>
                <w:szCs w:val="18"/>
                <w:u w:val="single"/>
                <w:lang w:bidi="ar"/>
              </w:rPr>
              <w:t xml:space="preserve"> </w:t>
            </w:r>
            <w:r>
              <w:rPr>
                <w:rFonts w:hint="eastAsia" w:asciiTheme="minorEastAsia" w:hAnsiTheme="minorEastAsia"/>
                <w:sz w:val="18"/>
                <w:szCs w:val="18"/>
                <w:lang w:bidi="ar"/>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657" w:type="dxa"/>
            <w:shd w:val="clear" w:color="auto" w:fill="auto"/>
            <w:noWrap/>
            <w:vAlign w:val="center"/>
          </w:tcPr>
          <w:p>
            <w:pPr>
              <w:jc w:val="center"/>
              <w:rPr>
                <w:rFonts w:asciiTheme="minorEastAsia" w:hAnsiTheme="minorEastAsia"/>
                <w:sz w:val="18"/>
                <w:szCs w:val="18"/>
              </w:rPr>
            </w:pPr>
            <w:r>
              <w:rPr>
                <w:rFonts w:hint="eastAsia" w:asciiTheme="minorEastAsia" w:hAnsiTheme="minorEastAsia"/>
                <w:sz w:val="18"/>
                <w:szCs w:val="18"/>
                <w:lang w:bidi="ar"/>
              </w:rPr>
              <w:t>工作环节</w:t>
            </w:r>
          </w:p>
        </w:tc>
        <w:tc>
          <w:tcPr>
            <w:tcW w:w="657" w:type="dxa"/>
            <w:shd w:val="clear" w:color="auto" w:fill="auto"/>
            <w:noWrap/>
            <w:vAlign w:val="center"/>
          </w:tcPr>
          <w:p>
            <w:pPr>
              <w:jc w:val="center"/>
              <w:rPr>
                <w:rFonts w:asciiTheme="minorEastAsia" w:hAnsiTheme="minorEastAsia"/>
                <w:sz w:val="18"/>
                <w:szCs w:val="18"/>
              </w:rPr>
            </w:pPr>
            <w:r>
              <w:rPr>
                <w:rFonts w:hint="eastAsia" w:asciiTheme="minorEastAsia" w:hAnsiTheme="minorEastAsia"/>
                <w:sz w:val="18"/>
                <w:szCs w:val="18"/>
                <w:lang w:bidi="ar"/>
              </w:rPr>
              <w:t>环节步骤</w:t>
            </w:r>
          </w:p>
        </w:tc>
        <w:tc>
          <w:tcPr>
            <w:tcW w:w="659" w:type="dxa"/>
            <w:shd w:val="clear" w:color="auto" w:fill="auto"/>
            <w:noWrap/>
            <w:vAlign w:val="center"/>
          </w:tcPr>
          <w:p>
            <w:pPr>
              <w:jc w:val="center"/>
              <w:rPr>
                <w:rFonts w:asciiTheme="minorEastAsia" w:hAnsiTheme="minorEastAsia"/>
                <w:sz w:val="18"/>
                <w:szCs w:val="18"/>
              </w:rPr>
            </w:pPr>
            <w:r>
              <w:rPr>
                <w:rFonts w:hint="eastAsia" w:asciiTheme="minorEastAsia" w:hAnsiTheme="minorEastAsia"/>
                <w:sz w:val="18"/>
                <w:szCs w:val="18"/>
                <w:lang w:bidi="ar"/>
              </w:rPr>
              <w:t>交付物</w:t>
            </w:r>
          </w:p>
        </w:tc>
        <w:tc>
          <w:tcPr>
            <w:tcW w:w="1054" w:type="dxa"/>
            <w:shd w:val="clear" w:color="auto" w:fill="auto"/>
            <w:vAlign w:val="center"/>
          </w:tcPr>
          <w:p>
            <w:pPr>
              <w:rPr>
                <w:rFonts w:asciiTheme="minorEastAsia" w:hAnsiTheme="minorEastAsia"/>
                <w:sz w:val="18"/>
                <w:szCs w:val="18"/>
              </w:rPr>
            </w:pPr>
            <w:r>
              <w:rPr>
                <w:rFonts w:hint="eastAsia" w:asciiTheme="minorEastAsia" w:hAnsiTheme="minorEastAsia"/>
                <w:sz w:val="18"/>
                <w:szCs w:val="18"/>
                <w:lang w:bidi="ar"/>
              </w:rPr>
              <w:t>载体形式</w:t>
            </w:r>
            <w:r>
              <w:rPr>
                <w:rFonts w:hint="eastAsia" w:asciiTheme="minorEastAsia" w:hAnsiTheme="minorEastAsia"/>
                <w:sz w:val="18"/>
                <w:szCs w:val="18"/>
                <w:lang w:bidi="ar"/>
              </w:rPr>
              <w:br w:type="textWrapping"/>
            </w:r>
            <w:r>
              <w:rPr>
                <w:rFonts w:hint="eastAsia" w:asciiTheme="minorEastAsia" w:hAnsiTheme="minorEastAsia"/>
                <w:sz w:val="18"/>
                <w:szCs w:val="18"/>
                <w:lang w:bidi="ar"/>
              </w:rPr>
              <w:t>（电子件/纸件/软件/实体物）</w:t>
            </w:r>
          </w:p>
        </w:tc>
        <w:tc>
          <w:tcPr>
            <w:tcW w:w="866" w:type="dxa"/>
            <w:shd w:val="clear" w:color="auto" w:fill="auto"/>
            <w:noWrap/>
            <w:vAlign w:val="center"/>
          </w:tcPr>
          <w:p>
            <w:pPr>
              <w:rPr>
                <w:rFonts w:asciiTheme="minorEastAsia" w:hAnsiTheme="minorEastAsia"/>
                <w:sz w:val="18"/>
                <w:szCs w:val="18"/>
              </w:rPr>
            </w:pPr>
            <w:r>
              <w:rPr>
                <w:rFonts w:hint="eastAsia" w:asciiTheme="minorEastAsia" w:hAnsiTheme="minorEastAsia"/>
                <w:sz w:val="18"/>
                <w:szCs w:val="18"/>
                <w:lang w:bidi="ar"/>
              </w:rPr>
              <w:t>商业秘密类型（技术秘密/经营秘密）</w:t>
            </w:r>
          </w:p>
        </w:tc>
        <w:tc>
          <w:tcPr>
            <w:tcW w:w="781" w:type="dxa"/>
            <w:shd w:val="clear" w:color="auto" w:fill="auto"/>
            <w:noWrap/>
            <w:vAlign w:val="center"/>
          </w:tcPr>
          <w:p>
            <w:pPr>
              <w:jc w:val="center"/>
              <w:rPr>
                <w:rFonts w:asciiTheme="minorEastAsia" w:hAnsiTheme="minorEastAsia"/>
                <w:sz w:val="18"/>
                <w:szCs w:val="18"/>
              </w:rPr>
            </w:pPr>
            <w:r>
              <w:rPr>
                <w:rFonts w:hint="eastAsia" w:asciiTheme="minorEastAsia" w:hAnsiTheme="minorEastAsia"/>
                <w:sz w:val="18"/>
                <w:szCs w:val="18"/>
                <w:lang w:bidi="ar"/>
              </w:rPr>
              <w:t>秘密点</w:t>
            </w:r>
          </w:p>
        </w:tc>
        <w:tc>
          <w:tcPr>
            <w:tcW w:w="781" w:type="dxa"/>
            <w:shd w:val="clear" w:color="auto" w:fill="auto"/>
            <w:noWrap/>
            <w:vAlign w:val="center"/>
          </w:tcPr>
          <w:p>
            <w:pPr>
              <w:jc w:val="center"/>
              <w:rPr>
                <w:rFonts w:asciiTheme="minorEastAsia" w:hAnsiTheme="minorEastAsia"/>
                <w:sz w:val="18"/>
                <w:szCs w:val="18"/>
              </w:rPr>
            </w:pPr>
            <w:r>
              <w:rPr>
                <w:rFonts w:hint="eastAsia" w:asciiTheme="minorEastAsia" w:hAnsiTheme="minorEastAsia"/>
                <w:sz w:val="18"/>
                <w:szCs w:val="18"/>
                <w:lang w:bidi="ar"/>
              </w:rPr>
              <w:t>密级</w:t>
            </w:r>
          </w:p>
        </w:tc>
        <w:tc>
          <w:tcPr>
            <w:tcW w:w="781" w:type="dxa"/>
            <w:shd w:val="clear" w:color="auto" w:fill="auto"/>
            <w:noWrap/>
            <w:vAlign w:val="center"/>
          </w:tcPr>
          <w:p>
            <w:pPr>
              <w:jc w:val="center"/>
              <w:rPr>
                <w:rFonts w:asciiTheme="minorEastAsia" w:hAnsiTheme="minorEastAsia"/>
                <w:sz w:val="18"/>
                <w:szCs w:val="18"/>
              </w:rPr>
            </w:pPr>
            <w:r>
              <w:rPr>
                <w:rFonts w:hint="eastAsia" w:asciiTheme="minorEastAsia" w:hAnsiTheme="minorEastAsia"/>
                <w:sz w:val="18"/>
                <w:szCs w:val="18"/>
                <w:lang w:bidi="ar"/>
              </w:rPr>
              <w:t>保密期限</w:t>
            </w:r>
          </w:p>
        </w:tc>
        <w:tc>
          <w:tcPr>
            <w:tcW w:w="781" w:type="dxa"/>
            <w:shd w:val="clear" w:color="auto" w:fill="auto"/>
            <w:noWrap/>
            <w:vAlign w:val="center"/>
          </w:tcPr>
          <w:p>
            <w:pPr>
              <w:jc w:val="center"/>
              <w:rPr>
                <w:rFonts w:asciiTheme="minorEastAsia" w:hAnsiTheme="minorEastAsia"/>
                <w:sz w:val="18"/>
                <w:szCs w:val="18"/>
              </w:rPr>
            </w:pPr>
            <w:r>
              <w:rPr>
                <w:rFonts w:hint="eastAsia" w:asciiTheme="minorEastAsia" w:hAnsiTheme="minorEastAsia"/>
                <w:sz w:val="18"/>
                <w:szCs w:val="18"/>
                <w:lang w:bidi="ar"/>
              </w:rPr>
              <w:t>接触范围</w:t>
            </w:r>
          </w:p>
        </w:tc>
        <w:tc>
          <w:tcPr>
            <w:tcW w:w="781" w:type="dxa"/>
            <w:shd w:val="clear" w:color="auto" w:fill="auto"/>
            <w:noWrap/>
            <w:vAlign w:val="center"/>
          </w:tcPr>
          <w:p>
            <w:pPr>
              <w:jc w:val="center"/>
              <w:rPr>
                <w:rFonts w:asciiTheme="minorEastAsia" w:hAnsiTheme="minorEastAsia"/>
                <w:sz w:val="18"/>
                <w:szCs w:val="18"/>
                <w:lang w:bidi="ar"/>
              </w:rPr>
            </w:pPr>
            <w:r>
              <w:rPr>
                <w:rFonts w:hint="eastAsia" w:asciiTheme="minorEastAsia" w:hAnsiTheme="minorEastAsia"/>
                <w:sz w:val="18"/>
                <w:szCs w:val="18"/>
                <w:lang w:bidi="ar"/>
              </w:rPr>
              <w:t>存储位置</w:t>
            </w:r>
          </w:p>
        </w:tc>
        <w:tc>
          <w:tcPr>
            <w:tcW w:w="781" w:type="dxa"/>
            <w:shd w:val="clear" w:color="auto" w:fill="auto"/>
            <w:noWrap/>
            <w:vAlign w:val="center"/>
          </w:tcPr>
          <w:p>
            <w:pPr>
              <w:jc w:val="center"/>
              <w:rPr>
                <w:rFonts w:asciiTheme="minorEastAsia" w:hAnsiTheme="minorEastAsia"/>
                <w:sz w:val="18"/>
                <w:szCs w:val="18"/>
                <w:lang w:bidi="ar"/>
              </w:rPr>
            </w:pPr>
            <w:r>
              <w:rPr>
                <w:rFonts w:hint="eastAsia" w:asciiTheme="minorEastAsia" w:hAnsiTheme="minorEastAsia"/>
                <w:sz w:val="18"/>
                <w:szCs w:val="18"/>
                <w:lang w:bidi="ar"/>
              </w:rPr>
              <w:t>保密员</w:t>
            </w:r>
          </w:p>
          <w:p>
            <w:pPr>
              <w:jc w:val="center"/>
              <w:rPr>
                <w:rFonts w:asciiTheme="minorEastAsia" w:hAnsiTheme="minorEastAsia"/>
                <w:sz w:val="18"/>
                <w:szCs w:val="18"/>
              </w:rPr>
            </w:pPr>
            <w:r>
              <w:rPr>
                <w:rFonts w:hint="eastAsia" w:asciiTheme="minorEastAsia" w:hAnsiTheme="minorEastAsia"/>
                <w:sz w:val="18"/>
                <w:szCs w:val="18"/>
                <w:lang w:bidi="ar"/>
              </w:rPr>
              <w:t>签字</w:t>
            </w:r>
          </w:p>
        </w:tc>
        <w:tc>
          <w:tcPr>
            <w:tcW w:w="781" w:type="dxa"/>
            <w:shd w:val="clear" w:color="auto" w:fill="auto"/>
            <w:noWrap/>
            <w:vAlign w:val="center"/>
          </w:tcPr>
          <w:p>
            <w:pPr>
              <w:jc w:val="center"/>
              <w:rPr>
                <w:rFonts w:asciiTheme="minorEastAsia" w:hAnsiTheme="minorEastAsia"/>
                <w:sz w:val="18"/>
                <w:szCs w:val="18"/>
              </w:rPr>
            </w:pPr>
            <w:r>
              <w:rPr>
                <w:rFonts w:hint="eastAsia" w:asciiTheme="minorEastAsia" w:hAnsiTheme="minorEastAsia"/>
                <w:sz w:val="18"/>
                <w:szCs w:val="18"/>
                <w:lang w:bidi="ar"/>
              </w:rPr>
              <w:t>部门主管签字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57" w:type="dxa"/>
            <w:shd w:val="clear" w:color="auto" w:fill="auto"/>
            <w:noWrap/>
            <w:vAlign w:val="center"/>
          </w:tcPr>
          <w:p>
            <w:pPr>
              <w:rPr>
                <w:rFonts w:asciiTheme="minorEastAsia" w:hAnsiTheme="minorEastAsia"/>
                <w:sz w:val="18"/>
                <w:szCs w:val="18"/>
              </w:rPr>
            </w:pPr>
          </w:p>
        </w:tc>
        <w:tc>
          <w:tcPr>
            <w:tcW w:w="657" w:type="dxa"/>
            <w:shd w:val="clear" w:color="auto" w:fill="auto"/>
            <w:noWrap/>
            <w:vAlign w:val="center"/>
          </w:tcPr>
          <w:p>
            <w:pPr>
              <w:rPr>
                <w:rFonts w:asciiTheme="minorEastAsia" w:hAnsiTheme="minorEastAsia"/>
                <w:sz w:val="18"/>
                <w:szCs w:val="18"/>
              </w:rPr>
            </w:pPr>
          </w:p>
        </w:tc>
        <w:tc>
          <w:tcPr>
            <w:tcW w:w="659" w:type="dxa"/>
            <w:shd w:val="clear" w:color="auto" w:fill="auto"/>
            <w:noWrap/>
            <w:vAlign w:val="center"/>
          </w:tcPr>
          <w:p>
            <w:pPr>
              <w:rPr>
                <w:rFonts w:asciiTheme="minorEastAsia" w:hAnsiTheme="minorEastAsia"/>
                <w:sz w:val="18"/>
                <w:szCs w:val="18"/>
              </w:rPr>
            </w:pPr>
          </w:p>
        </w:tc>
        <w:tc>
          <w:tcPr>
            <w:tcW w:w="1054" w:type="dxa"/>
            <w:shd w:val="clear" w:color="auto" w:fill="auto"/>
            <w:noWrap/>
            <w:vAlign w:val="center"/>
          </w:tcPr>
          <w:p>
            <w:pPr>
              <w:rPr>
                <w:rFonts w:asciiTheme="minorEastAsia" w:hAnsiTheme="minorEastAsia"/>
                <w:sz w:val="18"/>
                <w:szCs w:val="18"/>
              </w:rPr>
            </w:pPr>
          </w:p>
        </w:tc>
        <w:tc>
          <w:tcPr>
            <w:tcW w:w="866" w:type="dxa"/>
            <w:shd w:val="clear" w:color="auto" w:fill="auto"/>
            <w:noWrap/>
            <w:vAlign w:val="center"/>
          </w:tcPr>
          <w:p>
            <w:pPr>
              <w:rPr>
                <w:rFonts w:asciiTheme="minorEastAsia" w:hAnsiTheme="minorEastAsia"/>
                <w:sz w:val="18"/>
                <w:szCs w:val="18"/>
              </w:rPr>
            </w:pPr>
          </w:p>
        </w:tc>
        <w:tc>
          <w:tcPr>
            <w:tcW w:w="781" w:type="dxa"/>
            <w:shd w:val="clear" w:color="auto" w:fill="auto"/>
            <w:noWrap/>
            <w:vAlign w:val="center"/>
          </w:tcPr>
          <w:p>
            <w:pPr>
              <w:jc w:val="center"/>
              <w:rPr>
                <w:rFonts w:asciiTheme="minorEastAsia" w:hAnsiTheme="minorEastAsia"/>
                <w:sz w:val="18"/>
                <w:szCs w:val="18"/>
              </w:rPr>
            </w:pPr>
          </w:p>
        </w:tc>
        <w:tc>
          <w:tcPr>
            <w:tcW w:w="781" w:type="dxa"/>
            <w:shd w:val="clear" w:color="auto" w:fill="auto"/>
            <w:noWrap/>
            <w:vAlign w:val="center"/>
          </w:tcPr>
          <w:p>
            <w:pPr>
              <w:jc w:val="center"/>
              <w:rPr>
                <w:rFonts w:asciiTheme="minorEastAsia" w:hAnsiTheme="minorEastAsia"/>
                <w:sz w:val="18"/>
                <w:szCs w:val="18"/>
              </w:rPr>
            </w:pPr>
          </w:p>
        </w:tc>
        <w:tc>
          <w:tcPr>
            <w:tcW w:w="781" w:type="dxa"/>
            <w:shd w:val="clear" w:color="auto" w:fill="auto"/>
            <w:noWrap/>
            <w:vAlign w:val="center"/>
          </w:tcPr>
          <w:p>
            <w:pPr>
              <w:jc w:val="center"/>
              <w:rPr>
                <w:rFonts w:asciiTheme="minorEastAsia" w:hAnsiTheme="minorEastAsia"/>
                <w:sz w:val="18"/>
                <w:szCs w:val="18"/>
              </w:rPr>
            </w:pPr>
          </w:p>
        </w:tc>
        <w:tc>
          <w:tcPr>
            <w:tcW w:w="781" w:type="dxa"/>
            <w:shd w:val="clear" w:color="auto" w:fill="auto"/>
            <w:noWrap/>
            <w:vAlign w:val="center"/>
          </w:tcPr>
          <w:p>
            <w:pPr>
              <w:jc w:val="center"/>
              <w:rPr>
                <w:rFonts w:asciiTheme="minorEastAsia" w:hAnsiTheme="minorEastAsia"/>
                <w:sz w:val="18"/>
                <w:szCs w:val="18"/>
              </w:rPr>
            </w:pPr>
          </w:p>
        </w:tc>
        <w:tc>
          <w:tcPr>
            <w:tcW w:w="781" w:type="dxa"/>
            <w:shd w:val="clear" w:color="auto" w:fill="auto"/>
            <w:noWrap/>
            <w:vAlign w:val="center"/>
          </w:tcPr>
          <w:p>
            <w:pPr>
              <w:jc w:val="center"/>
              <w:rPr>
                <w:rFonts w:asciiTheme="minorEastAsia" w:hAnsiTheme="minorEastAsia"/>
                <w:sz w:val="18"/>
                <w:szCs w:val="18"/>
              </w:rPr>
            </w:pPr>
          </w:p>
        </w:tc>
        <w:tc>
          <w:tcPr>
            <w:tcW w:w="781" w:type="dxa"/>
            <w:shd w:val="clear" w:color="auto" w:fill="auto"/>
            <w:noWrap/>
            <w:vAlign w:val="center"/>
          </w:tcPr>
          <w:p>
            <w:pPr>
              <w:jc w:val="center"/>
              <w:rPr>
                <w:rFonts w:asciiTheme="minorEastAsia" w:hAnsiTheme="minorEastAsia"/>
                <w:sz w:val="18"/>
                <w:szCs w:val="18"/>
              </w:rPr>
            </w:pPr>
          </w:p>
        </w:tc>
        <w:tc>
          <w:tcPr>
            <w:tcW w:w="781" w:type="dxa"/>
            <w:shd w:val="clear" w:color="auto" w:fill="auto"/>
            <w:noWrap/>
            <w:vAlign w:val="center"/>
          </w:tcPr>
          <w:p>
            <w:pPr>
              <w:jc w:val="cente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57" w:type="dxa"/>
            <w:shd w:val="clear" w:color="auto" w:fill="auto"/>
            <w:noWrap/>
            <w:vAlign w:val="center"/>
          </w:tcPr>
          <w:p>
            <w:pPr>
              <w:rPr>
                <w:rFonts w:asciiTheme="minorEastAsia" w:hAnsiTheme="minorEastAsia"/>
                <w:sz w:val="18"/>
                <w:szCs w:val="18"/>
              </w:rPr>
            </w:pPr>
          </w:p>
        </w:tc>
        <w:tc>
          <w:tcPr>
            <w:tcW w:w="657" w:type="dxa"/>
            <w:shd w:val="clear" w:color="auto" w:fill="auto"/>
            <w:noWrap/>
            <w:vAlign w:val="center"/>
          </w:tcPr>
          <w:p>
            <w:pPr>
              <w:rPr>
                <w:rFonts w:asciiTheme="minorEastAsia" w:hAnsiTheme="minorEastAsia"/>
                <w:sz w:val="18"/>
                <w:szCs w:val="18"/>
              </w:rPr>
            </w:pPr>
          </w:p>
        </w:tc>
        <w:tc>
          <w:tcPr>
            <w:tcW w:w="659" w:type="dxa"/>
            <w:shd w:val="clear" w:color="auto" w:fill="auto"/>
            <w:noWrap/>
            <w:vAlign w:val="center"/>
          </w:tcPr>
          <w:p>
            <w:pPr>
              <w:rPr>
                <w:rFonts w:asciiTheme="minorEastAsia" w:hAnsiTheme="minorEastAsia"/>
                <w:sz w:val="18"/>
                <w:szCs w:val="18"/>
              </w:rPr>
            </w:pPr>
          </w:p>
        </w:tc>
        <w:tc>
          <w:tcPr>
            <w:tcW w:w="1054" w:type="dxa"/>
            <w:shd w:val="clear" w:color="auto" w:fill="auto"/>
            <w:noWrap/>
            <w:vAlign w:val="center"/>
          </w:tcPr>
          <w:p>
            <w:pPr>
              <w:rPr>
                <w:rFonts w:asciiTheme="minorEastAsia" w:hAnsiTheme="minorEastAsia"/>
                <w:sz w:val="18"/>
                <w:szCs w:val="18"/>
              </w:rPr>
            </w:pPr>
          </w:p>
        </w:tc>
        <w:tc>
          <w:tcPr>
            <w:tcW w:w="866" w:type="dxa"/>
            <w:shd w:val="clear" w:color="auto" w:fill="auto"/>
            <w:noWrap/>
            <w:vAlign w:val="center"/>
          </w:tcPr>
          <w:p>
            <w:pPr>
              <w:rPr>
                <w:rFonts w:asciiTheme="minorEastAsia" w:hAnsiTheme="minorEastAsia"/>
                <w:sz w:val="18"/>
                <w:szCs w:val="18"/>
              </w:rPr>
            </w:pPr>
          </w:p>
        </w:tc>
        <w:tc>
          <w:tcPr>
            <w:tcW w:w="781" w:type="dxa"/>
            <w:shd w:val="clear" w:color="auto" w:fill="auto"/>
            <w:noWrap/>
            <w:vAlign w:val="center"/>
          </w:tcPr>
          <w:p>
            <w:pPr>
              <w:jc w:val="center"/>
              <w:rPr>
                <w:rFonts w:asciiTheme="minorEastAsia" w:hAnsiTheme="minorEastAsia"/>
                <w:sz w:val="18"/>
                <w:szCs w:val="18"/>
              </w:rPr>
            </w:pPr>
          </w:p>
        </w:tc>
        <w:tc>
          <w:tcPr>
            <w:tcW w:w="781" w:type="dxa"/>
            <w:shd w:val="clear" w:color="auto" w:fill="auto"/>
            <w:noWrap/>
            <w:vAlign w:val="center"/>
          </w:tcPr>
          <w:p>
            <w:pPr>
              <w:jc w:val="center"/>
              <w:rPr>
                <w:rFonts w:asciiTheme="minorEastAsia" w:hAnsiTheme="minorEastAsia"/>
                <w:sz w:val="18"/>
                <w:szCs w:val="18"/>
              </w:rPr>
            </w:pPr>
          </w:p>
        </w:tc>
        <w:tc>
          <w:tcPr>
            <w:tcW w:w="781" w:type="dxa"/>
            <w:shd w:val="clear" w:color="auto" w:fill="auto"/>
            <w:noWrap/>
            <w:vAlign w:val="center"/>
          </w:tcPr>
          <w:p>
            <w:pPr>
              <w:jc w:val="center"/>
              <w:rPr>
                <w:rFonts w:asciiTheme="minorEastAsia" w:hAnsiTheme="minorEastAsia"/>
                <w:sz w:val="18"/>
                <w:szCs w:val="18"/>
              </w:rPr>
            </w:pPr>
          </w:p>
        </w:tc>
        <w:tc>
          <w:tcPr>
            <w:tcW w:w="781" w:type="dxa"/>
            <w:shd w:val="clear" w:color="auto" w:fill="auto"/>
            <w:noWrap/>
            <w:vAlign w:val="center"/>
          </w:tcPr>
          <w:p>
            <w:pPr>
              <w:jc w:val="center"/>
              <w:rPr>
                <w:rFonts w:asciiTheme="minorEastAsia" w:hAnsiTheme="minorEastAsia"/>
                <w:sz w:val="18"/>
                <w:szCs w:val="18"/>
              </w:rPr>
            </w:pPr>
          </w:p>
        </w:tc>
        <w:tc>
          <w:tcPr>
            <w:tcW w:w="781" w:type="dxa"/>
            <w:shd w:val="clear" w:color="auto" w:fill="auto"/>
            <w:noWrap/>
            <w:vAlign w:val="center"/>
          </w:tcPr>
          <w:p>
            <w:pPr>
              <w:jc w:val="center"/>
              <w:rPr>
                <w:rFonts w:asciiTheme="minorEastAsia" w:hAnsiTheme="minorEastAsia"/>
                <w:sz w:val="18"/>
                <w:szCs w:val="18"/>
              </w:rPr>
            </w:pPr>
          </w:p>
        </w:tc>
        <w:tc>
          <w:tcPr>
            <w:tcW w:w="781" w:type="dxa"/>
            <w:shd w:val="clear" w:color="auto" w:fill="auto"/>
            <w:noWrap/>
            <w:vAlign w:val="center"/>
          </w:tcPr>
          <w:p>
            <w:pPr>
              <w:jc w:val="center"/>
              <w:rPr>
                <w:rFonts w:asciiTheme="minorEastAsia" w:hAnsiTheme="minorEastAsia"/>
                <w:sz w:val="18"/>
                <w:szCs w:val="18"/>
              </w:rPr>
            </w:pPr>
          </w:p>
        </w:tc>
        <w:tc>
          <w:tcPr>
            <w:tcW w:w="781" w:type="dxa"/>
            <w:shd w:val="clear" w:color="auto" w:fill="auto"/>
            <w:noWrap/>
            <w:vAlign w:val="center"/>
          </w:tcPr>
          <w:p>
            <w:pPr>
              <w:jc w:val="center"/>
              <w:rPr>
                <w:rFonts w:asciiTheme="minorEastAsia" w:hAnsiTheme="minorEastAsia"/>
                <w:sz w:val="18"/>
                <w:szCs w:val="18"/>
              </w:rPr>
            </w:pPr>
          </w:p>
        </w:tc>
      </w:tr>
    </w:tbl>
    <w:p>
      <w:pPr>
        <w:pStyle w:val="73"/>
      </w:pPr>
    </w:p>
    <w:p>
      <w:pPr>
        <w:pStyle w:val="15"/>
        <w:sectPr>
          <w:pgSz w:w="11906" w:h="16838"/>
          <w:pgMar w:top="1417" w:right="1134" w:bottom="1134" w:left="1418" w:header="1417" w:footer="1134" w:gutter="0"/>
          <w:pgNumType w:fmt="decimal"/>
          <w:cols w:space="425" w:num="1"/>
          <w:docGrid w:type="lines" w:linePitch="312" w:charSpace="0"/>
        </w:sectPr>
      </w:pPr>
      <w:r>
        <w:br w:type="page"/>
      </w:r>
    </w:p>
    <w:p>
      <w:pPr>
        <w:pStyle w:val="12"/>
        <w:adjustRightInd w:val="0"/>
        <w:snapToGrid w:val="0"/>
        <w:spacing w:before="567"/>
        <w:ind w:firstLine="0"/>
        <w:jc w:val="center"/>
        <w:outlineLvl w:val="0"/>
        <w:rPr>
          <w:rFonts w:ascii="黑体" w:hAnsi="黑体" w:eastAsia="黑体" w:cs="黑体"/>
          <w:szCs w:val="21"/>
        </w:rPr>
      </w:pPr>
      <w:bookmarkStart w:id="933" w:name="_Toc4671"/>
      <w:r>
        <w:rPr>
          <w:rFonts w:hint="eastAsia" w:ascii="黑体" w:hAnsi="黑体" w:eastAsia="黑体" w:cs="黑体"/>
          <w:szCs w:val="21"/>
        </w:rPr>
        <w:t>附  录  F</w:t>
      </w:r>
      <w:bookmarkEnd w:id="933"/>
    </w:p>
    <w:p>
      <w:pPr>
        <w:pStyle w:val="13"/>
        <w:jc w:val="center"/>
        <w:outlineLvl w:val="0"/>
        <w:rPr>
          <w:rFonts w:ascii="黑体" w:hAnsi="黑体" w:eastAsia="黑体" w:cs="黑体"/>
          <w:sz w:val="21"/>
          <w:szCs w:val="21"/>
        </w:rPr>
      </w:pPr>
      <w:bookmarkStart w:id="934" w:name="_Toc10157"/>
      <w:r>
        <w:rPr>
          <w:rFonts w:hint="eastAsia" w:ascii="黑体" w:hAnsi="黑体" w:eastAsia="黑体" w:cs="黑体"/>
          <w:sz w:val="21"/>
          <w:szCs w:val="21"/>
        </w:rPr>
        <w:t>（资料性）</w:t>
      </w:r>
      <w:bookmarkEnd w:id="934"/>
    </w:p>
    <w:p>
      <w:pPr>
        <w:pStyle w:val="13"/>
        <w:adjustRightInd w:val="0"/>
        <w:spacing w:after="283"/>
        <w:jc w:val="center"/>
        <w:outlineLvl w:val="0"/>
        <w:rPr>
          <w:rFonts w:ascii="黑体" w:hAnsi="黑体" w:eastAsia="黑体"/>
          <w:color w:val="000000"/>
          <w:sz w:val="21"/>
          <w:szCs w:val="21"/>
        </w:rPr>
      </w:pPr>
      <w:bookmarkStart w:id="935" w:name="_Toc30815"/>
      <w:r>
        <w:rPr>
          <w:rFonts w:hint="eastAsia" w:ascii="黑体" w:hAnsi="黑体" w:eastAsia="黑体"/>
          <w:color w:val="000000"/>
          <w:sz w:val="21"/>
          <w:szCs w:val="21"/>
        </w:rPr>
        <w:t>保密协议</w:t>
      </w:r>
      <w:bookmarkEnd w:id="935"/>
    </w:p>
    <w:p>
      <w:pPr>
        <w:pStyle w:val="89"/>
      </w:pPr>
      <w:bookmarkStart w:id="936" w:name="_Toc146287380"/>
      <w:bookmarkStart w:id="937" w:name="_Toc148011745"/>
      <w:bookmarkStart w:id="938" w:name="_Toc14061"/>
      <w:bookmarkStart w:id="939" w:name="_Toc28020"/>
      <w:r>
        <w:t>保密</w:t>
      </w:r>
      <w:bookmarkEnd w:id="936"/>
      <w:bookmarkEnd w:id="937"/>
      <w:bookmarkEnd w:id="938"/>
      <w:bookmarkEnd w:id="939"/>
      <w:r>
        <w:rPr>
          <w:rFonts w:hint="eastAsia"/>
        </w:rPr>
        <w:t>协议</w:t>
      </w:r>
    </w:p>
    <w:p>
      <w:pPr>
        <w:rPr>
          <w:rFonts w:asciiTheme="minorEastAsia" w:hAnsiTheme="minorEastAsia"/>
        </w:rPr>
      </w:pPr>
      <w:r>
        <w:rPr>
          <w:rFonts w:hint="eastAsia" w:asciiTheme="minorEastAsia" w:hAnsiTheme="minorEastAsia"/>
        </w:rPr>
        <w:t xml:space="preserve">甲方：                            </w:t>
      </w:r>
    </w:p>
    <w:p>
      <w:pPr>
        <w:rPr>
          <w:rFonts w:asciiTheme="minorEastAsia" w:hAnsiTheme="minorEastAsia"/>
        </w:rPr>
      </w:pPr>
      <w:r>
        <w:rPr>
          <w:rFonts w:hint="eastAsia" w:asciiTheme="minorEastAsia" w:hAnsiTheme="minorEastAsia"/>
        </w:rPr>
        <w:t xml:space="preserve">注册地址：                        </w:t>
      </w:r>
    </w:p>
    <w:p>
      <w:pPr>
        <w:rPr>
          <w:rFonts w:asciiTheme="minorEastAsia" w:hAnsiTheme="minorEastAsia"/>
        </w:rPr>
      </w:pPr>
      <w:r>
        <w:rPr>
          <w:rFonts w:hint="eastAsia" w:asciiTheme="minorEastAsia" w:hAnsiTheme="minorEastAsia"/>
        </w:rPr>
        <w:t xml:space="preserve">联系方式：                        </w:t>
      </w:r>
    </w:p>
    <w:p>
      <w:pPr>
        <w:rPr>
          <w:rFonts w:asciiTheme="minorEastAsia" w:hAnsiTheme="minorEastAsia"/>
        </w:rPr>
      </w:pPr>
    </w:p>
    <w:p>
      <w:pPr>
        <w:rPr>
          <w:rFonts w:asciiTheme="minorEastAsia" w:hAnsiTheme="minorEastAsia"/>
        </w:rPr>
      </w:pPr>
      <w:r>
        <w:rPr>
          <w:rFonts w:hint="eastAsia" w:asciiTheme="minorEastAsia" w:hAnsiTheme="minorEastAsia"/>
        </w:rPr>
        <w:t xml:space="preserve">乙方：                           </w:t>
      </w:r>
    </w:p>
    <w:p>
      <w:pPr>
        <w:rPr>
          <w:rFonts w:asciiTheme="minorEastAsia" w:hAnsiTheme="minorEastAsia"/>
        </w:rPr>
      </w:pPr>
      <w:r>
        <w:rPr>
          <w:rFonts w:hint="eastAsia" w:asciiTheme="minorEastAsia" w:hAnsiTheme="minorEastAsia"/>
        </w:rPr>
        <w:t xml:space="preserve">身份证号码：                     </w:t>
      </w:r>
    </w:p>
    <w:p>
      <w:pPr>
        <w:rPr>
          <w:rFonts w:asciiTheme="minorEastAsia" w:hAnsiTheme="minorEastAsia"/>
        </w:rPr>
      </w:pPr>
      <w:r>
        <w:rPr>
          <w:rFonts w:hint="eastAsia" w:asciiTheme="minorEastAsia" w:hAnsiTheme="minorEastAsia"/>
        </w:rPr>
        <w:t xml:space="preserve">联系方式：                       </w:t>
      </w:r>
    </w:p>
    <w:p>
      <w:pPr>
        <w:ind w:firstLine="420" w:firstLineChars="200"/>
        <w:rPr>
          <w:rFonts w:asciiTheme="minorEastAsia" w:hAnsiTheme="minorEastAsia"/>
        </w:rPr>
      </w:pPr>
      <w:r>
        <w:rPr>
          <w:rFonts w:hint="eastAsia" w:asciiTheme="minorEastAsia" w:hAnsiTheme="minorEastAsia"/>
        </w:rPr>
        <w:t>乙方因在甲方单位履行职务或与甲方存在其他合作关系（根据具体情况，描述甲乙双方的关系），已经（或将要）知悉甲方的商业秘密。甲、乙双方平等协商，依据中国有关法律法规订立本保密协议。双方确认在签署本协议前，已经详细审阅过协议的内容，并完全了解协议各条款的法律含义。</w:t>
      </w:r>
    </w:p>
    <w:p>
      <w:pPr>
        <w:rPr>
          <w:rFonts w:asciiTheme="minorEastAsia" w:hAnsiTheme="minorEastAsia"/>
        </w:rPr>
      </w:pPr>
      <w:r>
        <w:rPr>
          <w:rFonts w:asciiTheme="minorEastAsia" w:hAnsiTheme="minorEastAsia"/>
        </w:rPr>
        <w:t>一、</w:t>
      </w:r>
      <w:r>
        <w:rPr>
          <w:rFonts w:hint="eastAsia" w:asciiTheme="minorEastAsia" w:hAnsiTheme="minorEastAsia"/>
        </w:rPr>
        <w:t>保密的内容和范围</w:t>
      </w:r>
    </w:p>
    <w:p>
      <w:pPr>
        <w:rPr>
          <w:rFonts w:asciiTheme="minorEastAsia" w:hAnsiTheme="minorEastAsia"/>
        </w:rPr>
      </w:pPr>
      <w:r>
        <w:rPr>
          <w:rFonts w:hint="eastAsia" w:asciiTheme="minorEastAsia" w:hAnsiTheme="minorEastAsia"/>
        </w:rPr>
        <w:t>甲、乙双方确认，乙方应承担保密义务的甲方商业秘密范围包括但不限于以下内容：</w:t>
      </w:r>
    </w:p>
    <w:p>
      <w:pPr>
        <w:ind w:firstLine="420" w:firstLineChars="200"/>
        <w:rPr>
          <w:rFonts w:hint="eastAsia" w:asciiTheme="minorEastAsia" w:hAnsiTheme="minorEastAsia"/>
        </w:rPr>
      </w:pPr>
      <w:r>
        <w:rPr>
          <w:rFonts w:hint="eastAsia" w:asciiTheme="minorEastAsia" w:hAnsiTheme="minorEastAsia"/>
        </w:rPr>
        <w:t>1、技术信息。技术信息的范围一般包括技术方案、工程设计、电路设计、制造方法、配方、工艺流程、技术指标、计算机软件、数据库、试验结果、图纸、样品样机、模型模具、操作手册、技术文档、涉及商业秘密的业务函电等。</w:t>
      </w:r>
    </w:p>
    <w:p>
      <w:pPr>
        <w:ind w:firstLine="420" w:firstLineChars="200"/>
        <w:rPr>
          <w:rFonts w:hint="eastAsia" w:asciiTheme="minorEastAsia" w:hAnsiTheme="minorEastAsia"/>
        </w:rPr>
      </w:pPr>
      <w:r>
        <w:rPr>
          <w:rFonts w:hint="eastAsia" w:asciiTheme="minorEastAsia" w:hAnsiTheme="minorEastAsia"/>
        </w:rPr>
        <w:t>2、经营信息。经营信息的范围一般包括客户名单、营销计划、采购资料、定价政策、不公开的财务资料、劳动报酬、进货渠道、产销政策、招投标中的标的及标书内容等。</w:t>
      </w:r>
    </w:p>
    <w:p>
      <w:pPr>
        <w:ind w:firstLine="420" w:firstLineChars="200"/>
        <w:rPr>
          <w:rFonts w:hint="eastAsia" w:asciiTheme="minorEastAsia" w:hAnsiTheme="minorEastAsia"/>
        </w:rPr>
      </w:pPr>
      <w:r>
        <w:rPr>
          <w:rFonts w:hint="eastAsia" w:asciiTheme="minorEastAsia" w:hAnsiTheme="minorEastAsia"/>
          <w:lang w:val="en-US" w:eastAsia="zh-CN"/>
        </w:rPr>
        <w:t>3、</w:t>
      </w:r>
      <w:r>
        <w:rPr>
          <w:rFonts w:hint="eastAsia" w:asciiTheme="minorEastAsia" w:hAnsiTheme="minorEastAsia"/>
        </w:rPr>
        <w:t>公司依照法律规定和有关协议约定对外应承担保密义务的事项等。</w:t>
      </w:r>
    </w:p>
    <w:p>
      <w:pPr>
        <w:rPr>
          <w:rFonts w:asciiTheme="minorEastAsia" w:hAnsiTheme="minorEastAsia"/>
        </w:rPr>
      </w:pPr>
      <w:r>
        <w:rPr>
          <w:rFonts w:asciiTheme="minorEastAsia" w:hAnsiTheme="minorEastAsia"/>
        </w:rPr>
        <w:t>二、</w:t>
      </w:r>
      <w:r>
        <w:rPr>
          <w:rFonts w:hint="eastAsia" w:asciiTheme="minorEastAsia" w:hAnsiTheme="minorEastAsia"/>
        </w:rPr>
        <w:t>乙方的保密义务</w:t>
      </w:r>
    </w:p>
    <w:p>
      <w:pPr>
        <w:ind w:firstLine="420" w:firstLineChars="200"/>
        <w:rPr>
          <w:rFonts w:asciiTheme="minorEastAsia" w:hAnsiTheme="minorEastAsia"/>
        </w:rPr>
      </w:pPr>
      <w:r>
        <w:rPr>
          <w:rFonts w:hint="eastAsia" w:asciiTheme="minorEastAsia" w:hAnsiTheme="minorEastAsia"/>
        </w:rPr>
        <w:t>4、主动采取加密措施对上述所列及之商业秘密进行保护，防止不承担同等保密义务的任何第三方知悉及使用；</w:t>
      </w:r>
    </w:p>
    <w:p>
      <w:pPr>
        <w:ind w:firstLine="420" w:firstLineChars="200"/>
        <w:rPr>
          <w:rFonts w:asciiTheme="minorEastAsia" w:hAnsiTheme="minorEastAsia"/>
        </w:rPr>
      </w:pPr>
      <w:r>
        <w:rPr>
          <w:rFonts w:hint="eastAsia" w:asciiTheme="minorEastAsia" w:hAnsiTheme="minorEastAsia"/>
        </w:rPr>
        <w:t>5、不得刺探或者以其他不正当手段（包括利用计算机进行检索、浏览、复制等）获取与本职工作或本身业务无关的甲方单位的商业秘密；</w:t>
      </w:r>
    </w:p>
    <w:p>
      <w:pPr>
        <w:ind w:firstLine="420" w:firstLineChars="200"/>
      </w:pPr>
      <w:r>
        <w:rPr>
          <w:rFonts w:hint="eastAsia" w:asciiTheme="minorEastAsia" w:hAnsiTheme="minorEastAsia"/>
        </w:rPr>
        <w:t>6、不得向不承担同等保密义务的任何第三人披露甲方单位的商业秘密；</w:t>
      </w:r>
    </w:p>
    <w:p>
      <w:pPr>
        <w:ind w:firstLine="420" w:firstLineChars="200"/>
        <w:rPr>
          <w:rFonts w:asciiTheme="minorEastAsia" w:hAnsiTheme="minorEastAsia"/>
        </w:rPr>
      </w:pPr>
      <w:r>
        <w:rPr>
          <w:rFonts w:hint="eastAsia" w:asciiTheme="minorEastAsia" w:hAnsiTheme="minorEastAsia"/>
        </w:rPr>
        <w:t>7、不得允许（包括出借、赠与、出租、转让等行为）或协助不承担同等保密义务的任何第三人使用甲方单位的商业秘密；</w:t>
      </w:r>
    </w:p>
    <w:p>
      <w:pPr>
        <w:ind w:firstLine="420" w:firstLineChars="200"/>
        <w:rPr>
          <w:rFonts w:asciiTheme="minorEastAsia" w:hAnsiTheme="minorEastAsia"/>
        </w:rPr>
      </w:pPr>
      <w:r>
        <w:rPr>
          <w:rFonts w:hint="eastAsia" w:asciiTheme="minorEastAsia" w:hAnsiTheme="minorEastAsia"/>
        </w:rPr>
        <w:t>8、乙方不论因何种原因终止与甲方单位的劳动关系/合作关系，都不得利用甲方单位的商业秘密为其他与甲方有竞争关系的企业（包括自办企业）服务；</w:t>
      </w:r>
    </w:p>
    <w:p>
      <w:pPr>
        <w:ind w:firstLine="420" w:firstLineChars="200"/>
        <w:rPr>
          <w:rFonts w:asciiTheme="minorEastAsia" w:hAnsiTheme="minorEastAsia"/>
        </w:rPr>
      </w:pPr>
      <w:r>
        <w:rPr>
          <w:rFonts w:hint="eastAsia" w:asciiTheme="minorEastAsia" w:hAnsiTheme="minorEastAsia"/>
        </w:rPr>
        <w:t>9、甲方单位商业秘密所有权始终全部归属甲方，乙方不得利用自身对甲方单位的商业秘密不同程度的了解申请对于甲方单位的商业秘密所有权，在本协议签订前经乙方书面证明已依法具有某些所有权者除外；</w:t>
      </w:r>
    </w:p>
    <w:p>
      <w:pPr>
        <w:ind w:firstLine="420" w:firstLineChars="200"/>
        <w:rPr>
          <w:rFonts w:asciiTheme="minorEastAsia" w:hAnsiTheme="minorEastAsia"/>
        </w:rPr>
      </w:pPr>
      <w:r>
        <w:rPr>
          <w:rFonts w:hint="eastAsia" w:asciiTheme="minorEastAsia" w:hAnsiTheme="minorEastAsia"/>
        </w:rPr>
        <w:t>10、如发现甲方关于甲方单位的商业秘密被泄露或者自己过失泄露秘密，应当采取有效措施防止泄密进一步扩大，并及时向甲方公司报告。</w:t>
      </w:r>
    </w:p>
    <w:p>
      <w:pPr>
        <w:rPr>
          <w:rFonts w:asciiTheme="minorEastAsia" w:hAnsiTheme="minorEastAsia"/>
        </w:rPr>
      </w:pPr>
      <w:r>
        <w:rPr>
          <w:rFonts w:hint="eastAsia" w:asciiTheme="minorEastAsia" w:hAnsiTheme="minorEastAsia"/>
        </w:rPr>
        <w:t>三、商业秘密的停止使用</w:t>
      </w:r>
    </w:p>
    <w:p>
      <w:pPr>
        <w:ind w:firstLine="420" w:firstLineChars="200"/>
        <w:rPr>
          <w:rFonts w:asciiTheme="minorEastAsia" w:hAnsiTheme="minorEastAsia"/>
        </w:rPr>
      </w:pPr>
      <w:r>
        <w:rPr>
          <w:rFonts w:hint="eastAsia" w:asciiTheme="minorEastAsia" w:hAnsiTheme="minorEastAsia"/>
        </w:rPr>
        <w:t>11、在甲、乙双方劳动关系/合作关系无论何种原因终止或解除后，乙方应停止使用所有的甲方商业秘密，而且只要此种商业秘密尚未依法进入公众领域，乙方就不得继续使用，也不得向任何个人、法人或其他经济组织等披露此种商业秘密。</w:t>
      </w:r>
    </w:p>
    <w:p>
      <w:pPr>
        <w:ind w:firstLine="420" w:firstLineChars="200"/>
        <w:rPr>
          <w:rFonts w:asciiTheme="minorEastAsia" w:hAnsiTheme="minorEastAsia"/>
        </w:rPr>
      </w:pPr>
      <w:r>
        <w:rPr>
          <w:rFonts w:hint="eastAsia" w:asciiTheme="minorEastAsia" w:hAnsiTheme="minorEastAsia"/>
        </w:rPr>
        <w:t>12、在甲、乙双方的劳动关系/合作关系存续期间及终止或解除后，一旦甲方要求，乙方应随时将从甲方及甲方项目获得的一切资料文件及其复制件归还甲方或双方销毁。</w:t>
      </w:r>
    </w:p>
    <w:p>
      <w:pPr>
        <w:rPr>
          <w:rFonts w:asciiTheme="minorEastAsia" w:hAnsiTheme="minorEastAsia"/>
        </w:rPr>
      </w:pPr>
      <w:r>
        <w:rPr>
          <w:rFonts w:hint="eastAsia" w:asciiTheme="minorEastAsia" w:hAnsiTheme="minorEastAsia"/>
        </w:rPr>
        <w:t>四、保密期限</w:t>
      </w:r>
    </w:p>
    <w:p>
      <w:pPr>
        <w:ind w:firstLine="420" w:firstLineChars="200"/>
        <w:rPr>
          <w:rFonts w:asciiTheme="minorEastAsia" w:hAnsiTheme="minorEastAsia"/>
        </w:rPr>
      </w:pPr>
      <w:r>
        <w:rPr>
          <w:rFonts w:hint="eastAsia" w:asciiTheme="minorEastAsia" w:hAnsiTheme="minorEastAsia"/>
        </w:rPr>
        <w:t>13、双方同意本协议规定的保密期限为自本协议签署之日起生效，乙方应当遵守本协议直至甲方商业秘密合法公开。</w:t>
      </w:r>
    </w:p>
    <w:p>
      <w:pPr>
        <w:rPr>
          <w:rFonts w:asciiTheme="minorEastAsia" w:hAnsiTheme="minorEastAsia"/>
        </w:rPr>
      </w:pPr>
      <w:r>
        <w:rPr>
          <w:rFonts w:hint="eastAsia" w:asciiTheme="minorEastAsia" w:hAnsiTheme="minorEastAsia"/>
        </w:rPr>
        <w:t>五、违约责任</w:t>
      </w:r>
    </w:p>
    <w:p>
      <w:pPr>
        <w:ind w:firstLine="420" w:firstLineChars="200"/>
        <w:rPr>
          <w:rFonts w:asciiTheme="minorEastAsia" w:hAnsiTheme="minorEastAsia"/>
        </w:rPr>
      </w:pPr>
      <w:r>
        <w:rPr>
          <w:rFonts w:hint="eastAsia" w:asciiTheme="minorEastAsia" w:hAnsiTheme="minorEastAsia"/>
        </w:rPr>
        <w:t>14、如果乙方不履行本协议所规定的保密义务，应当承担违约责任。如果因为乙方的违约行为造成甲方的损失，应当承担下列责任：</w:t>
      </w:r>
    </w:p>
    <w:p>
      <w:pPr>
        <w:rPr>
          <w:rFonts w:asciiTheme="minorEastAsia" w:hAnsiTheme="minorEastAsia"/>
        </w:rPr>
      </w:pPr>
      <w:r>
        <w:rPr>
          <w:rFonts w:hint="eastAsia" w:asciiTheme="minorEastAsia" w:hAnsiTheme="minorEastAsia"/>
        </w:rPr>
        <w:t>（1）包括但不限于赔偿甲方的一切损失和额外费用支出：甲方支付的全部诉讼费用、律师费用、为处理此事所产生的其他费用、甲方因此所导致遭第三方的索赔费用和承担违约赔偿费用、甲方其他相关经济损失等。</w:t>
      </w:r>
    </w:p>
    <w:p>
      <w:pPr>
        <w:rPr>
          <w:rFonts w:asciiTheme="minorEastAsia" w:hAnsiTheme="minorEastAsia"/>
        </w:rPr>
      </w:pPr>
      <w:r>
        <w:rPr>
          <w:rFonts w:hint="eastAsia" w:asciiTheme="minorEastAsia" w:hAnsiTheme="minorEastAsia"/>
        </w:rPr>
        <w:t>（2）给甲方造成不良社会影响和商业信誉影响的，乙方还应当配合甲方消除不良影响，协助甲方追查、追回因乙方违约行为所流出的属于甲方的技术资料和商业信息或所有由甲方提供给乙方的技术资料和商业信息资料、产品及产品零配件等。无法消除不良影响的，或者无法追回、追查的，或者追回前甲方已经遭受损失的，甲方有权按本条第一项（1）条约定内容处理。</w:t>
      </w:r>
    </w:p>
    <w:p>
      <w:pPr>
        <w:rPr>
          <w:rFonts w:asciiTheme="minorEastAsia" w:hAnsiTheme="minorEastAsia"/>
        </w:rPr>
      </w:pPr>
      <w:r>
        <w:rPr>
          <w:rFonts w:hint="eastAsia" w:asciiTheme="minorEastAsia" w:hAnsiTheme="minorEastAsia"/>
        </w:rPr>
        <w:t>六、争议的解决办法</w:t>
      </w:r>
    </w:p>
    <w:p>
      <w:pPr>
        <w:ind w:firstLine="420" w:firstLineChars="200"/>
        <w:rPr>
          <w:rFonts w:asciiTheme="minorEastAsia" w:hAnsiTheme="minorEastAsia"/>
        </w:rPr>
      </w:pPr>
      <w:r>
        <w:rPr>
          <w:rFonts w:hint="eastAsia" w:asciiTheme="minorEastAsia" w:hAnsiTheme="minorEastAsia"/>
        </w:rPr>
        <w:t>15、因执行本协议而发生纠纷，双方协商解决，协商不成，任何一方均应向甲方所在地人民法院提起诉讼。</w:t>
      </w:r>
    </w:p>
    <w:p>
      <w:pPr>
        <w:rPr>
          <w:rFonts w:asciiTheme="minorEastAsia" w:hAnsiTheme="minorEastAsia"/>
        </w:rPr>
      </w:pPr>
      <w:r>
        <w:rPr>
          <w:rFonts w:hint="eastAsia" w:asciiTheme="minorEastAsia" w:hAnsiTheme="minorEastAsia"/>
        </w:rPr>
        <w:t>七、协议的效力和变更</w:t>
      </w:r>
    </w:p>
    <w:p>
      <w:pPr>
        <w:ind w:firstLine="420" w:firstLineChars="200"/>
        <w:rPr>
          <w:rFonts w:asciiTheme="minorEastAsia" w:hAnsiTheme="minorEastAsia"/>
        </w:rPr>
      </w:pPr>
      <w:r>
        <w:rPr>
          <w:rFonts w:hint="eastAsia" w:asciiTheme="minorEastAsia" w:hAnsiTheme="minorEastAsia"/>
        </w:rPr>
        <w:t>16、本协议自双方签字或盖章后生效，之前签订的其他协议与本协议冲突的，以本协议为准。（以下无正文，为各方签字页）</w:t>
      </w:r>
    </w:p>
    <w:p>
      <w:pPr>
        <w:rPr>
          <w:rFonts w:asciiTheme="minorEastAsia" w:hAnsiTheme="minorEastAsia"/>
        </w:rPr>
      </w:pPr>
    </w:p>
    <w:p>
      <w:pPr>
        <w:rPr>
          <w:rFonts w:asciiTheme="minorEastAsia" w:hAnsiTheme="minorEastAsia"/>
        </w:rPr>
      </w:pPr>
      <w:r>
        <w:rPr>
          <w:rFonts w:hint="eastAsia" w:asciiTheme="minorEastAsia" w:hAnsiTheme="minorEastAsia"/>
        </w:rPr>
        <w:t>甲方（签章）：</w:t>
      </w:r>
    </w:p>
    <w:p>
      <w:pPr>
        <w:pStyle w:val="15"/>
      </w:pPr>
    </w:p>
    <w:p>
      <w:pPr>
        <w:rPr>
          <w:rFonts w:asciiTheme="minorEastAsia" w:hAnsiTheme="minorEastAsia"/>
        </w:rPr>
      </w:pPr>
      <w:r>
        <w:rPr>
          <w:rFonts w:hint="eastAsia" w:asciiTheme="minorEastAsia" w:hAnsiTheme="minorEastAsia"/>
        </w:rPr>
        <w:t>乙方（签名）：</w:t>
      </w:r>
    </w:p>
    <w:p>
      <w:pPr>
        <w:pStyle w:val="73"/>
      </w:pPr>
    </w:p>
    <w:p>
      <w:pPr>
        <w:sectPr>
          <w:pgSz w:w="11906" w:h="16838"/>
          <w:pgMar w:top="1417" w:right="1134" w:bottom="1134" w:left="1418" w:header="1417" w:footer="1134" w:gutter="0"/>
          <w:pgNumType w:fmt="decimal"/>
          <w:cols w:space="425" w:num="1"/>
          <w:docGrid w:type="lines" w:linePitch="312" w:charSpace="0"/>
        </w:sectPr>
      </w:pPr>
      <w:r>
        <w:br w:type="page"/>
      </w:r>
    </w:p>
    <w:p>
      <w:pPr>
        <w:pStyle w:val="12"/>
        <w:adjustRightInd w:val="0"/>
        <w:snapToGrid w:val="0"/>
        <w:spacing w:before="567"/>
        <w:ind w:firstLine="0"/>
        <w:jc w:val="center"/>
        <w:outlineLvl w:val="0"/>
        <w:rPr>
          <w:rFonts w:ascii="黑体" w:hAnsi="黑体" w:eastAsia="黑体" w:cs="黑体"/>
          <w:szCs w:val="21"/>
        </w:rPr>
      </w:pPr>
      <w:bookmarkStart w:id="940" w:name="_Toc3848"/>
      <w:r>
        <w:rPr>
          <w:rFonts w:hint="eastAsia" w:ascii="黑体" w:hAnsi="黑体" w:eastAsia="黑体" w:cs="黑体"/>
          <w:szCs w:val="21"/>
        </w:rPr>
        <w:t>附  录  G</w:t>
      </w:r>
      <w:bookmarkEnd w:id="940"/>
    </w:p>
    <w:p>
      <w:pPr>
        <w:pStyle w:val="13"/>
        <w:jc w:val="center"/>
        <w:outlineLvl w:val="0"/>
        <w:rPr>
          <w:rFonts w:ascii="黑体" w:hAnsi="黑体" w:eastAsia="黑体" w:cs="黑体"/>
          <w:sz w:val="21"/>
          <w:szCs w:val="21"/>
        </w:rPr>
      </w:pPr>
      <w:bookmarkStart w:id="941" w:name="_Toc15809"/>
      <w:r>
        <w:rPr>
          <w:rFonts w:hint="eastAsia" w:ascii="黑体" w:hAnsi="黑体" w:eastAsia="黑体" w:cs="黑体"/>
          <w:sz w:val="21"/>
          <w:szCs w:val="21"/>
        </w:rPr>
        <w:t>（资料性）</w:t>
      </w:r>
      <w:bookmarkEnd w:id="941"/>
    </w:p>
    <w:p>
      <w:pPr>
        <w:pStyle w:val="13"/>
        <w:adjustRightInd w:val="0"/>
        <w:spacing w:after="283"/>
        <w:jc w:val="center"/>
        <w:outlineLvl w:val="0"/>
        <w:rPr>
          <w:rFonts w:ascii="黑体" w:hAnsi="黑体" w:eastAsia="黑体"/>
          <w:color w:val="000000"/>
          <w:sz w:val="21"/>
          <w:szCs w:val="21"/>
        </w:rPr>
      </w:pPr>
      <w:bookmarkStart w:id="942" w:name="_Toc29352"/>
      <w:r>
        <w:rPr>
          <w:rFonts w:hint="eastAsia" w:ascii="黑体" w:hAnsi="黑体" w:eastAsia="黑体"/>
          <w:color w:val="000000"/>
          <w:sz w:val="21"/>
          <w:szCs w:val="21"/>
        </w:rPr>
        <w:t>竞业限制协议</w:t>
      </w:r>
      <w:bookmarkEnd w:id="942"/>
    </w:p>
    <w:p>
      <w:pPr>
        <w:pStyle w:val="89"/>
      </w:pPr>
      <w:r>
        <w:rPr>
          <w:rFonts w:hint="eastAsia"/>
        </w:rPr>
        <w:t>竞业限制协议</w:t>
      </w:r>
    </w:p>
    <w:p>
      <w:pPr>
        <w:pStyle w:val="89"/>
      </w:pPr>
    </w:p>
    <w:p>
      <w:pPr>
        <w:keepNext w:val="0"/>
        <w:keepLines w:val="0"/>
        <w:pageBreakBefore w:val="0"/>
        <w:widowControl w:val="0"/>
        <w:kinsoku/>
        <w:wordWrap/>
        <w:overflowPunct/>
        <w:topLinePunct w:val="0"/>
        <w:autoSpaceDE/>
        <w:autoSpaceDN/>
        <w:bidi w:val="0"/>
        <w:adjustRightInd/>
        <w:snapToGrid/>
        <w:spacing w:line="240" w:lineRule="auto"/>
        <w:ind w:left="17" w:firstLine="420" w:firstLineChars="200"/>
        <w:textAlignment w:val="auto"/>
        <w:rPr>
          <w:rFonts w:ascii="宋体" w:hAnsi="宋体"/>
        </w:rPr>
      </w:pPr>
      <w:r>
        <w:rPr>
          <w:rFonts w:hint="eastAsia" w:ascii="宋体" w:hAnsi="宋体"/>
        </w:rPr>
        <w:t xml:space="preserve">甲方：                            </w:t>
      </w:r>
    </w:p>
    <w:p>
      <w:pPr>
        <w:keepNext w:val="0"/>
        <w:keepLines w:val="0"/>
        <w:pageBreakBefore w:val="0"/>
        <w:widowControl w:val="0"/>
        <w:kinsoku/>
        <w:wordWrap/>
        <w:overflowPunct/>
        <w:topLinePunct w:val="0"/>
        <w:autoSpaceDE/>
        <w:autoSpaceDN/>
        <w:bidi w:val="0"/>
        <w:adjustRightInd/>
        <w:snapToGrid/>
        <w:spacing w:line="240" w:lineRule="auto"/>
        <w:ind w:left="17" w:firstLine="420" w:firstLineChars="200"/>
        <w:textAlignment w:val="auto"/>
        <w:rPr>
          <w:rFonts w:ascii="宋体" w:hAnsi="宋体"/>
        </w:rPr>
      </w:pPr>
      <w:r>
        <w:rPr>
          <w:rFonts w:hint="eastAsia" w:ascii="宋体" w:hAnsi="宋体"/>
        </w:rPr>
        <w:t xml:space="preserve">注册地址：                        </w:t>
      </w:r>
    </w:p>
    <w:p>
      <w:pPr>
        <w:keepNext w:val="0"/>
        <w:keepLines w:val="0"/>
        <w:pageBreakBefore w:val="0"/>
        <w:widowControl w:val="0"/>
        <w:kinsoku/>
        <w:wordWrap/>
        <w:overflowPunct/>
        <w:topLinePunct w:val="0"/>
        <w:autoSpaceDE/>
        <w:autoSpaceDN/>
        <w:bidi w:val="0"/>
        <w:adjustRightInd/>
        <w:snapToGrid/>
        <w:spacing w:line="240" w:lineRule="auto"/>
        <w:ind w:left="17" w:firstLine="420" w:firstLineChars="200"/>
        <w:textAlignment w:val="auto"/>
        <w:rPr>
          <w:rFonts w:ascii="宋体" w:hAnsi="宋体"/>
        </w:rPr>
      </w:pPr>
      <w:r>
        <w:rPr>
          <w:rFonts w:hint="eastAsia" w:ascii="宋体" w:hAnsi="宋体"/>
        </w:rPr>
        <w:t xml:space="preserve">联系方式：                        </w:t>
      </w:r>
    </w:p>
    <w:p>
      <w:pPr>
        <w:keepNext w:val="0"/>
        <w:keepLines w:val="0"/>
        <w:pageBreakBefore w:val="0"/>
        <w:widowControl w:val="0"/>
        <w:kinsoku/>
        <w:wordWrap/>
        <w:overflowPunct/>
        <w:topLinePunct w:val="0"/>
        <w:autoSpaceDE/>
        <w:autoSpaceDN/>
        <w:bidi w:val="0"/>
        <w:adjustRightInd/>
        <w:snapToGrid/>
        <w:spacing w:line="240" w:lineRule="auto"/>
        <w:ind w:left="17" w:firstLine="420" w:firstLineChars="200"/>
        <w:textAlignment w:val="auto"/>
        <w:rPr>
          <w:rFonts w:ascii="宋体" w:hAnsi="宋体"/>
        </w:rPr>
      </w:pPr>
    </w:p>
    <w:p>
      <w:pPr>
        <w:keepNext w:val="0"/>
        <w:keepLines w:val="0"/>
        <w:pageBreakBefore w:val="0"/>
        <w:widowControl w:val="0"/>
        <w:kinsoku/>
        <w:wordWrap/>
        <w:overflowPunct/>
        <w:topLinePunct w:val="0"/>
        <w:autoSpaceDE/>
        <w:autoSpaceDN/>
        <w:bidi w:val="0"/>
        <w:adjustRightInd/>
        <w:snapToGrid/>
        <w:spacing w:line="240" w:lineRule="auto"/>
        <w:ind w:left="17" w:firstLine="420" w:firstLineChars="200"/>
        <w:textAlignment w:val="auto"/>
        <w:rPr>
          <w:rFonts w:ascii="宋体" w:hAnsi="宋体"/>
        </w:rPr>
      </w:pPr>
      <w:r>
        <w:rPr>
          <w:rFonts w:hint="eastAsia" w:ascii="宋体" w:hAnsi="宋体"/>
        </w:rPr>
        <w:t xml:space="preserve">乙方：                           </w:t>
      </w:r>
    </w:p>
    <w:p>
      <w:pPr>
        <w:keepNext w:val="0"/>
        <w:keepLines w:val="0"/>
        <w:pageBreakBefore w:val="0"/>
        <w:widowControl w:val="0"/>
        <w:kinsoku/>
        <w:wordWrap/>
        <w:overflowPunct/>
        <w:topLinePunct w:val="0"/>
        <w:autoSpaceDE/>
        <w:autoSpaceDN/>
        <w:bidi w:val="0"/>
        <w:adjustRightInd/>
        <w:snapToGrid/>
        <w:spacing w:line="240" w:lineRule="auto"/>
        <w:ind w:left="17" w:firstLine="420" w:firstLineChars="200"/>
        <w:textAlignment w:val="auto"/>
        <w:rPr>
          <w:rFonts w:ascii="宋体" w:hAnsi="宋体"/>
        </w:rPr>
      </w:pPr>
      <w:r>
        <w:rPr>
          <w:rFonts w:hint="eastAsia" w:ascii="宋体" w:hAnsi="宋体"/>
        </w:rPr>
        <w:t xml:space="preserve">身份证号码：                     </w:t>
      </w:r>
    </w:p>
    <w:p>
      <w:pPr>
        <w:keepNext w:val="0"/>
        <w:keepLines w:val="0"/>
        <w:pageBreakBefore w:val="0"/>
        <w:widowControl w:val="0"/>
        <w:kinsoku/>
        <w:wordWrap/>
        <w:overflowPunct/>
        <w:topLinePunct w:val="0"/>
        <w:autoSpaceDE/>
        <w:autoSpaceDN/>
        <w:bidi w:val="0"/>
        <w:adjustRightInd/>
        <w:snapToGrid/>
        <w:spacing w:line="240" w:lineRule="auto"/>
        <w:ind w:left="17" w:firstLine="420" w:firstLineChars="200"/>
        <w:textAlignment w:val="auto"/>
        <w:rPr>
          <w:rFonts w:hint="eastAsia" w:ascii="宋体" w:hAnsi="宋体"/>
        </w:rPr>
      </w:pPr>
      <w:r>
        <w:rPr>
          <w:rFonts w:hint="eastAsia" w:ascii="宋体" w:hAnsi="宋体"/>
        </w:rPr>
        <w:t xml:space="preserve">联系方式：                       </w:t>
      </w:r>
    </w:p>
    <w:p>
      <w:pPr>
        <w:keepNext w:val="0"/>
        <w:keepLines w:val="0"/>
        <w:pageBreakBefore w:val="0"/>
        <w:widowControl w:val="0"/>
        <w:kinsoku/>
        <w:wordWrap/>
        <w:overflowPunct/>
        <w:topLinePunct w:val="0"/>
        <w:autoSpaceDE/>
        <w:autoSpaceDN/>
        <w:bidi w:val="0"/>
        <w:adjustRightInd/>
        <w:snapToGrid/>
        <w:spacing w:line="240" w:lineRule="auto"/>
        <w:ind w:left="17" w:firstLine="420" w:firstLineChars="200"/>
        <w:textAlignment w:val="auto"/>
        <w:rPr>
          <w:rFonts w:hint="eastAsia" w:ascii="宋体" w:hAnsi="宋体"/>
        </w:rPr>
      </w:pPr>
    </w:p>
    <w:p>
      <w:pPr>
        <w:keepNext w:val="0"/>
        <w:keepLines w:val="0"/>
        <w:pageBreakBefore w:val="0"/>
        <w:widowControl w:val="0"/>
        <w:kinsoku/>
        <w:wordWrap/>
        <w:overflowPunct/>
        <w:topLinePunct w:val="0"/>
        <w:autoSpaceDE/>
        <w:autoSpaceDN/>
        <w:bidi w:val="0"/>
        <w:snapToGrid/>
        <w:spacing w:line="240" w:lineRule="auto"/>
        <w:ind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因在甲方单位履行职务或与甲方存在其他合作关系（根据具体情况，描述甲乙双方的关系），已经（或将要）知悉甲方的商业秘密。甲、乙双方平等协商，依据中国有关法律法规订立本保密协议。双方确认在签署本协议前，已经详细审阅过协议的内容，并完全了解协议各条款的法律含义。</w:t>
      </w:r>
    </w:p>
    <w:p>
      <w:pPr>
        <w:keepNext w:val="0"/>
        <w:keepLines w:val="0"/>
        <w:pageBreakBefore w:val="0"/>
        <w:widowControl w:val="0"/>
        <w:kinsoku/>
        <w:wordWrap/>
        <w:overflowPunct/>
        <w:topLinePunct w:val="0"/>
        <w:autoSpaceDE/>
        <w:autoSpaceDN/>
        <w:bidi w:val="0"/>
        <w:snapToGrid/>
        <w:spacing w:line="240" w:lineRule="auto"/>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一、保密的内容和范围</w:t>
      </w:r>
    </w:p>
    <w:p>
      <w:pPr>
        <w:keepNext w:val="0"/>
        <w:keepLines w:val="0"/>
        <w:pageBreakBefore w:val="0"/>
        <w:widowControl w:val="0"/>
        <w:kinsoku/>
        <w:wordWrap/>
        <w:overflowPunct/>
        <w:topLinePunct w:val="0"/>
        <w:autoSpaceDE/>
        <w:autoSpaceDN/>
        <w:bidi w:val="0"/>
        <w:snapToGrid/>
        <w:spacing w:line="240" w:lineRule="auto"/>
        <w:ind w:left="15"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甲、乙双方确认，乙方应承担保密义务的甲方商业秘密范围包括但不限于以下内容：</w:t>
      </w:r>
    </w:p>
    <w:p>
      <w:pPr>
        <w:keepNext w:val="0"/>
        <w:keepLines w:val="0"/>
        <w:pageBreakBefore w:val="0"/>
        <w:widowControl w:val="0"/>
        <w:kinsoku/>
        <w:wordWrap/>
        <w:overflowPunct/>
        <w:topLinePunct w:val="0"/>
        <w:autoSpaceDE/>
        <w:autoSpaceDN/>
        <w:bidi w:val="0"/>
        <w:snapToGrid/>
        <w:spacing w:line="240" w:lineRule="auto"/>
        <w:ind w:left="15"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技术信息。技术信息的范围一般包括技术方案、工程设计、电路设计、制造方法、配方、工艺流程、技术指标、计算机软件、数据库、试验结果、图纸、样品样机、模型模具、操作手册、技术文档、涉及商业秘密的业务函电等。</w:t>
      </w:r>
    </w:p>
    <w:p>
      <w:pPr>
        <w:keepNext w:val="0"/>
        <w:keepLines w:val="0"/>
        <w:pageBreakBefore w:val="0"/>
        <w:widowControl w:val="0"/>
        <w:kinsoku/>
        <w:wordWrap/>
        <w:overflowPunct/>
        <w:topLinePunct w:val="0"/>
        <w:autoSpaceDE/>
        <w:autoSpaceDN/>
        <w:bidi w:val="0"/>
        <w:snapToGrid/>
        <w:spacing w:line="240" w:lineRule="auto"/>
        <w:ind w:left="15"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2、经营信息。经营信息的范围一般包括客户名单、营销计划、采购资料、定价政策、不公开的财务资料、劳动报酬、进货渠道、产销政策、招投标中的标的及标书内容等。</w:t>
      </w:r>
    </w:p>
    <w:p>
      <w:pPr>
        <w:pStyle w:val="57"/>
        <w:keepNext w:val="0"/>
        <w:keepLines w:val="0"/>
        <w:pageBreakBefore w:val="0"/>
        <w:widowControl w:val="0"/>
        <w:numPr>
          <w:ilvl w:val="0"/>
          <w:numId w:val="67"/>
        </w:numPr>
        <w:kinsoku/>
        <w:wordWrap/>
        <w:overflowPunct/>
        <w:topLinePunct w:val="0"/>
        <w:autoSpaceDE/>
        <w:autoSpaceDN/>
        <w:bidi w:val="0"/>
        <w:adjustRightInd w:val="0"/>
        <w:snapToGrid/>
        <w:spacing w:line="240" w:lineRule="auto"/>
        <w:ind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公司依照法律规定和有关协议约定对外应承担保密义务的事项等。</w:t>
      </w:r>
    </w:p>
    <w:p>
      <w:pPr>
        <w:keepNext w:val="0"/>
        <w:keepLines w:val="0"/>
        <w:pageBreakBefore w:val="0"/>
        <w:widowControl w:val="0"/>
        <w:kinsoku/>
        <w:wordWrap/>
        <w:overflowPunct/>
        <w:topLinePunct w:val="0"/>
        <w:autoSpaceDE/>
        <w:autoSpaceDN/>
        <w:bidi w:val="0"/>
        <w:snapToGrid/>
        <w:spacing w:line="240" w:lineRule="auto"/>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二、乙方的保密义务</w:t>
      </w:r>
    </w:p>
    <w:p>
      <w:pPr>
        <w:keepNext w:val="0"/>
        <w:keepLines w:val="0"/>
        <w:pageBreakBefore w:val="0"/>
        <w:widowControl w:val="0"/>
        <w:kinsoku/>
        <w:wordWrap/>
        <w:overflowPunct/>
        <w:topLinePunct w:val="0"/>
        <w:autoSpaceDE/>
        <w:autoSpaceDN/>
        <w:bidi w:val="0"/>
        <w:snapToGrid/>
        <w:spacing w:line="240" w:lineRule="auto"/>
        <w:ind w:left="15"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4、主动采取加密措施对上述所列及之商业秘密进行保护，防止不承担同等保密义务的任何第三方知悉及使用；</w:t>
      </w:r>
    </w:p>
    <w:p>
      <w:pPr>
        <w:keepNext w:val="0"/>
        <w:keepLines w:val="0"/>
        <w:pageBreakBefore w:val="0"/>
        <w:widowControl w:val="0"/>
        <w:kinsoku/>
        <w:wordWrap/>
        <w:overflowPunct/>
        <w:topLinePunct w:val="0"/>
        <w:autoSpaceDE/>
        <w:autoSpaceDN/>
        <w:bidi w:val="0"/>
        <w:snapToGrid/>
        <w:spacing w:line="240" w:lineRule="auto"/>
        <w:ind w:left="15"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5、不得刺探或者以其他不正当手段（包括利用计算机进行检索、浏览、复制等）获取与本职工作或本身业务无关的甲方单位的商业秘密；</w:t>
      </w:r>
    </w:p>
    <w:p>
      <w:pPr>
        <w:keepNext w:val="0"/>
        <w:keepLines w:val="0"/>
        <w:pageBreakBefore w:val="0"/>
        <w:widowControl w:val="0"/>
        <w:kinsoku/>
        <w:wordWrap/>
        <w:overflowPunct/>
        <w:topLinePunct w:val="0"/>
        <w:autoSpaceDE/>
        <w:autoSpaceDN/>
        <w:bidi w:val="0"/>
        <w:snapToGrid/>
        <w:spacing w:line="240" w:lineRule="auto"/>
        <w:ind w:left="15"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6、不得向不承担同等保密义务的任何第三人披露甲方单位的商业秘密；</w:t>
      </w:r>
    </w:p>
    <w:p>
      <w:pPr>
        <w:keepNext w:val="0"/>
        <w:keepLines w:val="0"/>
        <w:pageBreakBefore w:val="0"/>
        <w:widowControl w:val="0"/>
        <w:kinsoku/>
        <w:wordWrap/>
        <w:overflowPunct/>
        <w:topLinePunct w:val="0"/>
        <w:autoSpaceDE/>
        <w:autoSpaceDN/>
        <w:bidi w:val="0"/>
        <w:snapToGrid/>
        <w:spacing w:line="240" w:lineRule="auto"/>
        <w:ind w:left="15"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7、不得允许（包括出借、赠与、出租、转让等行为）或协助不承担同等保密义务的任何第三人使用甲方单位的商业秘密；</w:t>
      </w:r>
    </w:p>
    <w:p>
      <w:pPr>
        <w:keepNext w:val="0"/>
        <w:keepLines w:val="0"/>
        <w:pageBreakBefore w:val="0"/>
        <w:widowControl w:val="0"/>
        <w:kinsoku/>
        <w:wordWrap/>
        <w:overflowPunct/>
        <w:topLinePunct w:val="0"/>
        <w:autoSpaceDE/>
        <w:autoSpaceDN/>
        <w:bidi w:val="0"/>
        <w:snapToGrid/>
        <w:spacing w:line="240" w:lineRule="auto"/>
        <w:ind w:left="15"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8、乙方不论因何种原因终止与甲方单位的劳动关系/合作关系，都不得利用甲方单位的商业秘密为其他与甲方有竞争关系的企业（包括自办企业）服务；</w:t>
      </w:r>
    </w:p>
    <w:p>
      <w:pPr>
        <w:keepNext w:val="0"/>
        <w:keepLines w:val="0"/>
        <w:pageBreakBefore w:val="0"/>
        <w:widowControl w:val="0"/>
        <w:kinsoku/>
        <w:wordWrap/>
        <w:overflowPunct/>
        <w:topLinePunct w:val="0"/>
        <w:autoSpaceDE/>
        <w:autoSpaceDN/>
        <w:bidi w:val="0"/>
        <w:snapToGrid/>
        <w:spacing w:line="240" w:lineRule="auto"/>
        <w:ind w:left="15"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9、甲方单位商业秘密所有权始终全部归属甲方，乙方不得利用自身对甲方单位的商业秘密不同程度的了解申请对于甲方单位的商业秘密所有权，在本协议签订前经乙方书面证明已依法具有某些所有权者除外；</w:t>
      </w:r>
    </w:p>
    <w:p>
      <w:pPr>
        <w:keepNext w:val="0"/>
        <w:keepLines w:val="0"/>
        <w:pageBreakBefore w:val="0"/>
        <w:widowControl w:val="0"/>
        <w:kinsoku/>
        <w:wordWrap/>
        <w:overflowPunct/>
        <w:topLinePunct w:val="0"/>
        <w:autoSpaceDE/>
        <w:autoSpaceDN/>
        <w:bidi w:val="0"/>
        <w:snapToGrid/>
        <w:spacing w:line="240" w:lineRule="auto"/>
        <w:ind w:left="15"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10、如发现甲方关于甲方单位的商业秘密被泄露或者自己过失泄露秘密，应当采取有效措施防止泄密进一步扩大，并及时向甲方公司报告。</w:t>
      </w:r>
    </w:p>
    <w:p>
      <w:pPr>
        <w:keepNext w:val="0"/>
        <w:keepLines w:val="0"/>
        <w:pageBreakBefore w:val="0"/>
        <w:widowControl w:val="0"/>
        <w:kinsoku/>
        <w:wordWrap/>
        <w:overflowPunct/>
        <w:topLinePunct w:val="0"/>
        <w:autoSpaceDE/>
        <w:autoSpaceDN/>
        <w:bidi w:val="0"/>
        <w:snapToGrid/>
        <w:spacing w:line="240" w:lineRule="auto"/>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三、商业秘密的停止使用</w:t>
      </w:r>
    </w:p>
    <w:p>
      <w:pPr>
        <w:keepNext w:val="0"/>
        <w:keepLines w:val="0"/>
        <w:pageBreakBefore w:val="0"/>
        <w:widowControl w:val="0"/>
        <w:kinsoku/>
        <w:wordWrap/>
        <w:overflowPunct/>
        <w:topLinePunct w:val="0"/>
        <w:autoSpaceDE/>
        <w:autoSpaceDN/>
        <w:bidi w:val="0"/>
        <w:snapToGrid/>
        <w:spacing w:line="240" w:lineRule="auto"/>
        <w:ind w:left="15"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11、在甲、乙双方劳动关系/合作关系无论何种原因终止或解除后，乙方应停止使用所有的甲方商业秘密，而且只要此种商业秘密尚未依法进入公众领域，乙方就不得继续使用，也不得向任何个人、法人或其他经济组织等披露此种商业秘密。</w:t>
      </w:r>
    </w:p>
    <w:p>
      <w:pPr>
        <w:keepNext w:val="0"/>
        <w:keepLines w:val="0"/>
        <w:pageBreakBefore w:val="0"/>
        <w:widowControl w:val="0"/>
        <w:kinsoku/>
        <w:wordWrap/>
        <w:overflowPunct/>
        <w:topLinePunct w:val="0"/>
        <w:autoSpaceDE/>
        <w:autoSpaceDN/>
        <w:bidi w:val="0"/>
        <w:snapToGrid/>
        <w:spacing w:line="240" w:lineRule="auto"/>
        <w:ind w:left="15"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12、在甲、乙双方的劳动关系/合作关系存续期间及终止或解除后，一旦甲方要求，乙方应随时将从甲方及甲方项目获得的一切资料文件及其复制件归还甲方或双方销毁。</w:t>
      </w:r>
    </w:p>
    <w:p>
      <w:pPr>
        <w:keepNext w:val="0"/>
        <w:keepLines w:val="0"/>
        <w:pageBreakBefore w:val="0"/>
        <w:widowControl w:val="0"/>
        <w:kinsoku/>
        <w:wordWrap/>
        <w:overflowPunct/>
        <w:topLinePunct w:val="0"/>
        <w:autoSpaceDE/>
        <w:autoSpaceDN/>
        <w:bidi w:val="0"/>
        <w:snapToGrid/>
        <w:spacing w:line="240" w:lineRule="auto"/>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四、保密期限</w:t>
      </w:r>
    </w:p>
    <w:p>
      <w:pPr>
        <w:keepNext w:val="0"/>
        <w:keepLines w:val="0"/>
        <w:pageBreakBefore w:val="0"/>
        <w:widowControl w:val="0"/>
        <w:kinsoku/>
        <w:wordWrap/>
        <w:overflowPunct/>
        <w:topLinePunct w:val="0"/>
        <w:autoSpaceDE/>
        <w:autoSpaceDN/>
        <w:bidi w:val="0"/>
        <w:snapToGrid/>
        <w:spacing w:line="240" w:lineRule="auto"/>
        <w:ind w:left="15"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13、双方同意本协议规定的保密期限为自本协议签署之日起生效，乙方应当遵守本协议直至甲方商业秘密合法公开。</w:t>
      </w:r>
    </w:p>
    <w:p>
      <w:pPr>
        <w:keepNext w:val="0"/>
        <w:keepLines w:val="0"/>
        <w:pageBreakBefore w:val="0"/>
        <w:widowControl w:val="0"/>
        <w:kinsoku/>
        <w:wordWrap/>
        <w:overflowPunct/>
        <w:topLinePunct w:val="0"/>
        <w:autoSpaceDE/>
        <w:autoSpaceDN/>
        <w:bidi w:val="0"/>
        <w:snapToGrid/>
        <w:spacing w:line="240" w:lineRule="auto"/>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五、违约责任</w:t>
      </w:r>
    </w:p>
    <w:p>
      <w:pPr>
        <w:keepNext w:val="0"/>
        <w:keepLines w:val="0"/>
        <w:pageBreakBefore w:val="0"/>
        <w:widowControl w:val="0"/>
        <w:kinsoku/>
        <w:wordWrap/>
        <w:overflowPunct/>
        <w:topLinePunct w:val="0"/>
        <w:autoSpaceDE/>
        <w:autoSpaceDN/>
        <w:bidi w:val="0"/>
        <w:snapToGrid/>
        <w:spacing w:line="240" w:lineRule="auto"/>
        <w:ind w:left="15"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14、如果乙方不履行本协议所规定的保密义务，应当承担违约责任。如果因为乙方的违约行为造成甲方的损失，应当承担下列责任：</w:t>
      </w:r>
    </w:p>
    <w:p>
      <w:pPr>
        <w:keepNext w:val="0"/>
        <w:keepLines w:val="0"/>
        <w:pageBreakBefore w:val="0"/>
        <w:widowControl w:val="0"/>
        <w:kinsoku/>
        <w:wordWrap/>
        <w:overflowPunct/>
        <w:topLinePunct w:val="0"/>
        <w:autoSpaceDE/>
        <w:autoSpaceDN/>
        <w:bidi w:val="0"/>
        <w:snapToGrid/>
        <w:spacing w:line="240" w:lineRule="auto"/>
        <w:ind w:left="15"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包括但不限于赔偿甲方的一切损失和额外费用支出：甲方支付的全部诉讼费用、律师费用、为处理此事所产生的其他费用、甲方因此所导致遭第三方的索赔费用和承担违约赔偿费用、甲方其他相关经济损失等。</w:t>
      </w:r>
    </w:p>
    <w:p>
      <w:pPr>
        <w:keepNext w:val="0"/>
        <w:keepLines w:val="0"/>
        <w:pageBreakBefore w:val="0"/>
        <w:widowControl w:val="0"/>
        <w:kinsoku/>
        <w:wordWrap/>
        <w:overflowPunct/>
        <w:topLinePunct w:val="0"/>
        <w:autoSpaceDE/>
        <w:autoSpaceDN/>
        <w:bidi w:val="0"/>
        <w:snapToGrid/>
        <w:spacing w:line="240" w:lineRule="auto"/>
        <w:ind w:left="15"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给甲方造成不良社会影响和商业信誉影响的，乙方还应当配合甲方消除不良影响，协助甲方追查、追回因乙方违约行为所流出的属于甲方的技术资料和商业信息或所有由甲方提供给乙方的技术资料和商业信息资料、产品及产品零配件等。无法消除不良影响的，或者无法追回、追查的，或者追回前甲方已经遭受损失的，甲方有权按本条第一项（1）条约定内容处理。</w:t>
      </w:r>
    </w:p>
    <w:p>
      <w:pPr>
        <w:keepNext w:val="0"/>
        <w:keepLines w:val="0"/>
        <w:pageBreakBefore w:val="0"/>
        <w:widowControl w:val="0"/>
        <w:kinsoku/>
        <w:wordWrap/>
        <w:overflowPunct/>
        <w:topLinePunct w:val="0"/>
        <w:autoSpaceDE/>
        <w:autoSpaceDN/>
        <w:bidi w:val="0"/>
        <w:snapToGrid/>
        <w:spacing w:line="240" w:lineRule="auto"/>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六、争议的解决办法</w:t>
      </w:r>
    </w:p>
    <w:p>
      <w:pPr>
        <w:keepNext w:val="0"/>
        <w:keepLines w:val="0"/>
        <w:pageBreakBefore w:val="0"/>
        <w:widowControl w:val="0"/>
        <w:kinsoku/>
        <w:wordWrap/>
        <w:overflowPunct/>
        <w:topLinePunct w:val="0"/>
        <w:autoSpaceDE/>
        <w:autoSpaceDN/>
        <w:bidi w:val="0"/>
        <w:snapToGrid/>
        <w:spacing w:line="240" w:lineRule="auto"/>
        <w:ind w:left="15"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15、因执行本协议而发生纠纷，双方协商解决，协商不成，任何一方均应向甲方所在地人民法院提起诉讼。</w:t>
      </w:r>
    </w:p>
    <w:p>
      <w:pPr>
        <w:keepNext w:val="0"/>
        <w:keepLines w:val="0"/>
        <w:pageBreakBefore w:val="0"/>
        <w:widowControl w:val="0"/>
        <w:kinsoku/>
        <w:wordWrap/>
        <w:overflowPunct/>
        <w:topLinePunct w:val="0"/>
        <w:autoSpaceDE/>
        <w:autoSpaceDN/>
        <w:bidi w:val="0"/>
        <w:snapToGrid/>
        <w:spacing w:line="240" w:lineRule="auto"/>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七、协议的效力和变更</w:t>
      </w:r>
    </w:p>
    <w:p>
      <w:pPr>
        <w:keepNext w:val="0"/>
        <w:keepLines w:val="0"/>
        <w:pageBreakBefore w:val="0"/>
        <w:widowControl w:val="0"/>
        <w:kinsoku/>
        <w:wordWrap/>
        <w:overflowPunct/>
        <w:topLinePunct w:val="0"/>
        <w:autoSpaceDE/>
        <w:autoSpaceDN/>
        <w:bidi w:val="0"/>
        <w:snapToGrid/>
        <w:spacing w:line="240" w:lineRule="auto"/>
        <w:ind w:left="15"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16、本协议自双方签字或盖章后生效，之前签订的其他协议与本协议冲突的，以本协议为准。（以下无正文，为各方签字页）</w:t>
      </w:r>
    </w:p>
    <w:p>
      <w:pPr>
        <w:spacing w:line="360" w:lineRule="auto"/>
        <w:ind w:left="15" w:firstLine="420" w:firstLineChars="200"/>
        <w:rPr>
          <w:rFonts w:ascii="宋体" w:hAnsi="宋体"/>
        </w:rPr>
      </w:pPr>
    </w:p>
    <w:p>
      <w:pPr>
        <w:spacing w:line="360" w:lineRule="auto"/>
        <w:ind w:left="15" w:firstLine="420" w:firstLineChars="200"/>
        <w:rPr>
          <w:rFonts w:ascii="宋体" w:hAnsi="宋体"/>
        </w:rPr>
      </w:pPr>
      <w:r>
        <w:rPr>
          <w:rFonts w:hint="eastAsia" w:ascii="宋体" w:hAnsi="宋体"/>
        </w:rPr>
        <w:t>甲方（签章）：</w:t>
      </w:r>
    </w:p>
    <w:p>
      <w:pPr>
        <w:pStyle w:val="15"/>
      </w:pPr>
    </w:p>
    <w:p>
      <w:pPr>
        <w:spacing w:line="360" w:lineRule="auto"/>
        <w:ind w:left="15" w:firstLine="420" w:firstLineChars="200"/>
        <w:rPr>
          <w:rFonts w:ascii="宋体" w:hAnsi="宋体"/>
        </w:rPr>
      </w:pPr>
      <w:r>
        <w:rPr>
          <w:rFonts w:hint="eastAsia" w:ascii="宋体" w:hAnsi="宋体"/>
        </w:rPr>
        <w:t>乙方（签名）：</w:t>
      </w:r>
    </w:p>
    <w:p>
      <w:pPr>
        <w:sectPr>
          <w:pgSz w:w="11906" w:h="16838"/>
          <w:pgMar w:top="1417" w:right="1134" w:bottom="1134" w:left="1418" w:header="1417" w:footer="1134" w:gutter="0"/>
          <w:pgNumType w:fmt="decimal"/>
          <w:cols w:space="425" w:num="1"/>
          <w:docGrid w:type="lines" w:linePitch="312" w:charSpace="0"/>
        </w:sectPr>
      </w:pPr>
      <w:r>
        <w:br w:type="page"/>
      </w:r>
    </w:p>
    <w:p>
      <w:pPr>
        <w:pStyle w:val="12"/>
        <w:adjustRightInd w:val="0"/>
        <w:snapToGrid w:val="0"/>
        <w:spacing w:before="567"/>
        <w:ind w:firstLine="0"/>
        <w:jc w:val="center"/>
        <w:outlineLvl w:val="0"/>
        <w:rPr>
          <w:rFonts w:ascii="黑体" w:hAnsi="黑体" w:eastAsia="黑体" w:cs="黑体"/>
          <w:szCs w:val="21"/>
        </w:rPr>
      </w:pPr>
      <w:bookmarkStart w:id="943" w:name="_Toc1323"/>
      <w:r>
        <w:rPr>
          <w:rFonts w:hint="eastAsia" w:ascii="黑体" w:hAnsi="黑体" w:eastAsia="黑体" w:cs="黑体"/>
          <w:szCs w:val="21"/>
        </w:rPr>
        <w:t>附  录  H</w:t>
      </w:r>
      <w:bookmarkEnd w:id="943"/>
    </w:p>
    <w:p>
      <w:pPr>
        <w:pStyle w:val="13"/>
        <w:jc w:val="center"/>
        <w:outlineLvl w:val="0"/>
        <w:rPr>
          <w:rFonts w:ascii="黑体" w:hAnsi="黑体" w:eastAsia="黑体" w:cs="黑体"/>
          <w:sz w:val="21"/>
          <w:szCs w:val="21"/>
        </w:rPr>
      </w:pPr>
      <w:bookmarkStart w:id="944" w:name="_Toc7335"/>
      <w:r>
        <w:rPr>
          <w:rFonts w:hint="eastAsia" w:ascii="黑体" w:hAnsi="黑体" w:eastAsia="黑体" w:cs="黑体"/>
          <w:sz w:val="21"/>
          <w:szCs w:val="21"/>
        </w:rPr>
        <w:t>（资料性）</w:t>
      </w:r>
      <w:bookmarkEnd w:id="944"/>
    </w:p>
    <w:p>
      <w:pPr>
        <w:pStyle w:val="13"/>
        <w:adjustRightInd w:val="0"/>
        <w:spacing w:after="283"/>
        <w:jc w:val="center"/>
        <w:outlineLvl w:val="0"/>
        <w:rPr>
          <w:rFonts w:ascii="黑体" w:hAnsi="黑体" w:eastAsia="黑体"/>
          <w:color w:val="000000"/>
          <w:sz w:val="21"/>
          <w:szCs w:val="21"/>
        </w:rPr>
      </w:pPr>
      <w:bookmarkStart w:id="945" w:name="_Toc276"/>
      <w:r>
        <w:rPr>
          <w:rFonts w:hint="eastAsia" w:ascii="黑体" w:hAnsi="黑体" w:eastAsia="黑体"/>
          <w:color w:val="000000"/>
          <w:sz w:val="21"/>
          <w:szCs w:val="21"/>
        </w:rPr>
        <w:t>员工不侵犯他人商业秘密承诺书</w:t>
      </w:r>
      <w:bookmarkEnd w:id="945"/>
    </w:p>
    <w:p>
      <w:pPr>
        <w:pStyle w:val="89"/>
      </w:pPr>
      <w:r>
        <w:t>员工不侵犯他人商业秘密承诺书</w:t>
      </w:r>
    </w:p>
    <w:p>
      <w:pPr>
        <w:pStyle w:val="89"/>
        <w:jc w:val="left"/>
      </w:pPr>
      <w:r>
        <w:rPr>
          <w:rFonts w:hint="eastAsia"/>
        </w:rPr>
        <w:t xml:space="preserve">            公司：</w:t>
      </w:r>
    </w:p>
    <w:p>
      <w:pPr>
        <w:pStyle w:val="89"/>
        <w:jc w:val="left"/>
      </w:pPr>
    </w:p>
    <w:p>
      <w:pPr>
        <w:pStyle w:val="89"/>
        <w:jc w:val="left"/>
      </w:pPr>
      <w:r>
        <w:rPr>
          <w:rFonts w:hint="eastAsia"/>
        </w:rPr>
        <w:t>本人（姓名：     身份证号码：         ）于    年  月  日入职</w:t>
      </w:r>
      <w:r>
        <w:rPr>
          <w:rFonts w:hint="eastAsia"/>
          <w:lang w:eastAsia="zh-Hans"/>
        </w:rPr>
        <w:t>公司</w:t>
      </w:r>
      <w:r>
        <w:rPr>
          <w:rFonts w:hint="eastAsia"/>
        </w:rPr>
        <w:t>，担任      职务。本人自愿、如实就不侵犯他人商业秘密事宜向公司郑重承诺如下：</w:t>
      </w:r>
    </w:p>
    <w:p>
      <w:pPr>
        <w:pStyle w:val="89"/>
        <w:jc w:val="left"/>
      </w:pPr>
      <w:r>
        <w:rPr>
          <w:rFonts w:hint="eastAsia"/>
        </w:rPr>
        <w:t xml:space="preserve">一、本人入职公司之前，关于竞业限制义务情况为      ： </w:t>
      </w:r>
    </w:p>
    <w:p>
      <w:pPr>
        <w:pStyle w:val="89"/>
        <w:jc w:val="left"/>
      </w:pPr>
      <w:r>
        <w:rPr>
          <w:rFonts w:hint="eastAsia"/>
        </w:rPr>
        <w:t>1、未与其他公司签署过竞业限制协议。</w:t>
      </w:r>
    </w:p>
    <w:p>
      <w:pPr>
        <w:pStyle w:val="89"/>
        <w:jc w:val="left"/>
      </w:pPr>
      <w:r>
        <w:rPr>
          <w:rFonts w:hint="eastAsia"/>
        </w:rPr>
        <w:t xml:space="preserve">2、与           </w:t>
      </w:r>
      <w:r>
        <w:t xml:space="preserve">      </w:t>
      </w:r>
      <w:r>
        <w:rPr>
          <w:rFonts w:hint="eastAsia"/>
        </w:rPr>
        <w:t xml:space="preserve"> 公司签署过竞业限制协议，但竞业限制义务已于    年 </w:t>
      </w:r>
      <w:r>
        <w:t xml:space="preserve"> </w:t>
      </w:r>
      <w:r>
        <w:rPr>
          <w:rFonts w:hint="eastAsia"/>
        </w:rPr>
        <w:t xml:space="preserve"> 月 </w:t>
      </w:r>
      <w:r>
        <w:t xml:space="preserve"> </w:t>
      </w:r>
      <w:r>
        <w:rPr>
          <w:rFonts w:hint="eastAsia"/>
        </w:rPr>
        <w:t xml:space="preserve"> 日终止。</w:t>
      </w:r>
    </w:p>
    <w:p>
      <w:pPr>
        <w:pStyle w:val="89"/>
        <w:jc w:val="left"/>
        <w:rPr>
          <w:lang w:eastAsia="zh-Hans"/>
        </w:rPr>
      </w:pPr>
      <w:r>
        <w:rPr>
          <w:rFonts w:hint="eastAsia"/>
        </w:rPr>
        <w:t>3、</w:t>
      </w:r>
      <w:r>
        <w:rPr>
          <w:rFonts w:hint="eastAsia"/>
          <w:lang w:eastAsia="zh-Hans"/>
        </w:rPr>
        <w:t>本人目前负有竞业限制义务，具体情况为：                   。</w:t>
      </w:r>
    </w:p>
    <w:p>
      <w:pPr>
        <w:pStyle w:val="89"/>
        <w:jc w:val="left"/>
      </w:pPr>
      <w:r>
        <w:rPr>
          <w:rFonts w:hint="eastAsia"/>
        </w:rPr>
        <w:t>二、</w:t>
      </w:r>
      <w:r>
        <w:rPr>
          <w:rFonts w:hint="eastAsia"/>
          <w:lang w:eastAsia="zh-Hans"/>
        </w:rPr>
        <w:t>本人承诺</w:t>
      </w:r>
      <w:r>
        <w:rPr>
          <w:rFonts w:hint="eastAsia"/>
        </w:rPr>
        <w:t>在公司工作期间，本人使用相关技术信息所形成的技术方案、图纸、软件、发明创造、技术改进等，均源于本人专业知识及工作经验积累，不涉及侵犯他人商业秘密的情况，</w:t>
      </w:r>
      <w:r>
        <w:rPr>
          <w:rFonts w:hint="eastAsia"/>
          <w:lang w:eastAsia="zh-Hans"/>
        </w:rPr>
        <w:t>后续也不会实施任何侵犯他人商业秘密的行为</w:t>
      </w:r>
      <w:r>
        <w:rPr>
          <w:rFonts w:hint="eastAsia"/>
        </w:rPr>
        <w:t>。</w:t>
      </w:r>
    </w:p>
    <w:p>
      <w:pPr>
        <w:pStyle w:val="89"/>
        <w:jc w:val="left"/>
      </w:pPr>
      <w:r>
        <w:rPr>
          <w:rFonts w:hint="eastAsia"/>
        </w:rPr>
        <w:t>三、在公司工作期间，本人使用相关经营信息所形成的营销策略、经营技巧、客户名单等，均源于本人专业知识及工作经验积累，不涉及侵犯他人商业秘密的情况，</w:t>
      </w:r>
      <w:r>
        <w:rPr>
          <w:rFonts w:hint="eastAsia"/>
          <w:lang w:eastAsia="zh-Hans"/>
        </w:rPr>
        <w:t>后续也不会实施任何侵犯他人商业秘密的行为</w:t>
      </w:r>
      <w:r>
        <w:rPr>
          <w:rFonts w:hint="eastAsia"/>
        </w:rPr>
        <w:t>。</w:t>
      </w:r>
    </w:p>
    <w:p>
      <w:pPr>
        <w:pStyle w:val="89"/>
        <w:jc w:val="left"/>
      </w:pPr>
      <w:r>
        <w:rPr>
          <w:rFonts w:hint="eastAsia"/>
        </w:rPr>
        <w:t>四、本人保证在公司工作期间不侵犯他人商业秘密，如存在侵害他人商业秘密或其他知识产权的情况，本人承担全部法律责任并赔偿公司由此造成的全部损失。</w:t>
      </w:r>
    </w:p>
    <w:p>
      <w:pPr>
        <w:pStyle w:val="89"/>
        <w:jc w:val="left"/>
      </w:pPr>
      <w:r>
        <w:rPr>
          <w:rFonts w:hint="eastAsia"/>
        </w:rPr>
        <w:t xml:space="preserve">                         </w:t>
      </w:r>
      <w:r>
        <w:t xml:space="preserve">                                   </w:t>
      </w:r>
      <w:r>
        <w:rPr>
          <w:rFonts w:hint="eastAsia"/>
        </w:rPr>
        <w:t>承诺人签字：</w:t>
      </w:r>
    </w:p>
    <w:p>
      <w:pPr>
        <w:pStyle w:val="89"/>
        <w:jc w:val="left"/>
      </w:pPr>
      <w:r>
        <w:rPr>
          <w:rFonts w:hint="eastAsia"/>
        </w:rPr>
        <w:t xml:space="preserve">                               </w:t>
      </w:r>
      <w:r>
        <w:t xml:space="preserve">                       </w:t>
      </w:r>
      <w:r>
        <w:rPr>
          <w:rFonts w:hint="eastAsia"/>
        </w:rPr>
        <w:t xml:space="preserve"> 日期：    年  月  日</w:t>
      </w:r>
    </w:p>
    <w:p>
      <w:pPr>
        <w:pStyle w:val="89"/>
        <w:rPr>
          <w:rFonts w:hint="eastAsia"/>
        </w:rPr>
      </w:pPr>
    </w:p>
    <w:p>
      <w:pPr>
        <w:sectPr>
          <w:pgSz w:w="11906" w:h="16838"/>
          <w:pgMar w:top="1417" w:right="1134" w:bottom="1134" w:left="1418" w:header="1417" w:footer="1134" w:gutter="0"/>
          <w:pgNumType w:fmt="decimal"/>
          <w:cols w:space="425" w:num="1"/>
          <w:docGrid w:type="lines" w:linePitch="312" w:charSpace="0"/>
        </w:sectPr>
      </w:pPr>
      <w:r>
        <w:br w:type="page"/>
      </w:r>
    </w:p>
    <w:p>
      <w:pPr>
        <w:pStyle w:val="12"/>
        <w:adjustRightInd w:val="0"/>
        <w:snapToGrid w:val="0"/>
        <w:spacing w:before="567"/>
        <w:ind w:firstLine="0"/>
        <w:jc w:val="center"/>
        <w:outlineLvl w:val="0"/>
        <w:rPr>
          <w:rFonts w:ascii="黑体" w:hAnsi="黑体" w:eastAsia="黑体" w:cs="黑体"/>
          <w:szCs w:val="21"/>
        </w:rPr>
      </w:pPr>
      <w:bookmarkStart w:id="946" w:name="_Toc19292"/>
      <w:r>
        <w:rPr>
          <w:rFonts w:hint="eastAsia" w:ascii="黑体" w:hAnsi="黑体" w:eastAsia="黑体" w:cs="黑体"/>
          <w:szCs w:val="21"/>
        </w:rPr>
        <w:t>附  录  I</w:t>
      </w:r>
      <w:bookmarkEnd w:id="946"/>
    </w:p>
    <w:p>
      <w:pPr>
        <w:pStyle w:val="13"/>
        <w:jc w:val="center"/>
        <w:outlineLvl w:val="0"/>
        <w:rPr>
          <w:rFonts w:ascii="黑体" w:hAnsi="黑体" w:eastAsia="黑体" w:cs="黑体"/>
          <w:sz w:val="21"/>
          <w:szCs w:val="21"/>
        </w:rPr>
      </w:pPr>
      <w:bookmarkStart w:id="947" w:name="_Toc23879"/>
      <w:r>
        <w:rPr>
          <w:rFonts w:hint="eastAsia" w:ascii="黑体" w:hAnsi="黑体" w:eastAsia="黑体" w:cs="黑体"/>
          <w:sz w:val="21"/>
          <w:szCs w:val="21"/>
        </w:rPr>
        <w:t>（资料性）</w:t>
      </w:r>
      <w:bookmarkEnd w:id="947"/>
    </w:p>
    <w:p>
      <w:pPr>
        <w:pStyle w:val="13"/>
        <w:adjustRightInd w:val="0"/>
        <w:spacing w:after="283"/>
        <w:jc w:val="center"/>
        <w:outlineLvl w:val="0"/>
        <w:rPr>
          <w:rFonts w:ascii="黑体" w:hAnsi="黑体" w:eastAsia="黑体"/>
          <w:color w:val="000000"/>
          <w:sz w:val="21"/>
          <w:szCs w:val="21"/>
        </w:rPr>
      </w:pPr>
      <w:bookmarkStart w:id="948" w:name="_Toc3824"/>
      <w:r>
        <w:rPr>
          <w:rFonts w:hint="eastAsia" w:ascii="黑体" w:hAnsi="黑体" w:eastAsia="黑体"/>
          <w:color w:val="000000"/>
          <w:sz w:val="21"/>
          <w:szCs w:val="21"/>
        </w:rPr>
        <w:t>对外信息发布审批表</w:t>
      </w:r>
      <w:bookmarkEnd w:id="948"/>
    </w:p>
    <w:p>
      <w:pPr>
        <w:pStyle w:val="19"/>
      </w:pPr>
      <w:r>
        <w:rPr>
          <w:rFonts w:hint="eastAsia"/>
        </w:rPr>
        <w:t>对外信息发布审批表见I.</w:t>
      </w:r>
      <w:r>
        <w:t>1。</w:t>
      </w:r>
    </w:p>
    <w:p>
      <w:pPr>
        <w:pStyle w:val="82"/>
        <w:numPr>
          <w:ilvl w:val="0"/>
          <w:numId w:val="0"/>
        </w:numPr>
      </w:pPr>
      <w:r>
        <w:rPr>
          <w:rFonts w:hint="eastAsia"/>
        </w:rPr>
        <w:t>表I.1  对外信息发布审批表</w:t>
      </w:r>
    </w:p>
    <w:tbl>
      <w:tblPr>
        <w:tblStyle w:val="31"/>
        <w:tblW w:w="4998" w:type="pct"/>
        <w:tblInd w:w="0" w:type="dxa"/>
        <w:tblLayout w:type="autofit"/>
        <w:tblCellMar>
          <w:top w:w="0" w:type="dxa"/>
          <w:left w:w="108" w:type="dxa"/>
          <w:bottom w:w="0" w:type="dxa"/>
          <w:right w:w="108" w:type="dxa"/>
        </w:tblCellMar>
      </w:tblPr>
      <w:tblGrid>
        <w:gridCol w:w="2141"/>
        <w:gridCol w:w="3922"/>
        <w:gridCol w:w="1471"/>
        <w:gridCol w:w="2032"/>
      </w:tblGrid>
      <w:tr>
        <w:tblPrEx>
          <w:tblCellMar>
            <w:top w:w="0" w:type="dxa"/>
            <w:left w:w="108" w:type="dxa"/>
            <w:bottom w:w="0" w:type="dxa"/>
            <w:right w:w="108" w:type="dxa"/>
          </w:tblCellMar>
        </w:tblPrEx>
        <w:trPr>
          <w:trHeight w:val="140" w:hRule="atLeast"/>
        </w:trPr>
        <w:tc>
          <w:tcPr>
            <w:tcW w:w="1119" w:type="pct"/>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sz w:val="18"/>
                <w:szCs w:val="18"/>
              </w:rPr>
            </w:pPr>
            <w:r>
              <w:rPr>
                <w:rFonts w:hint="eastAsia" w:ascii="宋体" w:hAnsi="宋体" w:eastAsia="宋体"/>
                <w:sz w:val="18"/>
                <w:szCs w:val="18"/>
              </w:rPr>
              <w:t>申请发布部门</w:t>
            </w:r>
          </w:p>
        </w:tc>
        <w:tc>
          <w:tcPr>
            <w:tcW w:w="2050" w:type="pct"/>
            <w:tcBorders>
              <w:top w:val="single" w:color="auto" w:sz="4" w:space="0"/>
              <w:left w:val="nil"/>
              <w:bottom w:val="single" w:color="auto" w:sz="4" w:space="0"/>
              <w:right w:val="single" w:color="auto" w:sz="4" w:space="0"/>
            </w:tcBorders>
            <w:shd w:val="clear" w:color="auto" w:fill="auto"/>
            <w:noWrap/>
            <w:vAlign w:val="center"/>
          </w:tcPr>
          <w:p>
            <w:pPr>
              <w:rPr>
                <w:rFonts w:ascii="宋体" w:hAnsi="宋体" w:eastAsia="宋体"/>
                <w:sz w:val="18"/>
                <w:szCs w:val="18"/>
              </w:rPr>
            </w:pPr>
          </w:p>
        </w:tc>
        <w:tc>
          <w:tcPr>
            <w:tcW w:w="769" w:type="pct"/>
            <w:tcBorders>
              <w:top w:val="single" w:color="auto" w:sz="4" w:space="0"/>
              <w:left w:val="nil"/>
              <w:bottom w:val="single" w:color="auto" w:sz="4" w:space="0"/>
              <w:right w:val="single" w:color="auto" w:sz="4" w:space="0"/>
            </w:tcBorders>
            <w:shd w:val="clear" w:color="auto" w:fill="auto"/>
            <w:noWrap/>
            <w:vAlign w:val="center"/>
          </w:tcPr>
          <w:p>
            <w:pPr>
              <w:rPr>
                <w:rFonts w:ascii="宋体" w:hAnsi="宋体" w:eastAsia="宋体"/>
                <w:sz w:val="18"/>
                <w:szCs w:val="18"/>
              </w:rPr>
            </w:pPr>
            <w:r>
              <w:rPr>
                <w:rFonts w:hint="eastAsia" w:ascii="宋体" w:hAnsi="宋体" w:eastAsia="宋体"/>
                <w:sz w:val="18"/>
                <w:szCs w:val="18"/>
              </w:rPr>
              <w:t>申 请 人</w:t>
            </w:r>
          </w:p>
        </w:tc>
        <w:tc>
          <w:tcPr>
            <w:tcW w:w="1062" w:type="pct"/>
            <w:tcBorders>
              <w:top w:val="single" w:color="auto" w:sz="4" w:space="0"/>
              <w:left w:val="nil"/>
              <w:bottom w:val="single" w:color="auto" w:sz="4" w:space="0"/>
              <w:right w:val="single" w:color="auto" w:sz="4" w:space="0"/>
            </w:tcBorders>
            <w:shd w:val="clear" w:color="auto" w:fill="auto"/>
            <w:noWrap/>
            <w:vAlign w:val="center"/>
          </w:tcPr>
          <w:p>
            <w:pPr>
              <w:rPr>
                <w:rFonts w:ascii="宋体" w:hAnsi="宋体" w:eastAsia="宋体"/>
                <w:sz w:val="18"/>
                <w:szCs w:val="18"/>
              </w:rPr>
            </w:pPr>
          </w:p>
        </w:tc>
      </w:tr>
      <w:tr>
        <w:tblPrEx>
          <w:tblCellMar>
            <w:top w:w="0" w:type="dxa"/>
            <w:left w:w="108" w:type="dxa"/>
            <w:bottom w:w="0" w:type="dxa"/>
            <w:right w:w="108" w:type="dxa"/>
          </w:tblCellMar>
        </w:tblPrEx>
        <w:trPr>
          <w:trHeight w:val="70" w:hRule="atLeast"/>
        </w:trPr>
        <w:tc>
          <w:tcPr>
            <w:tcW w:w="1119" w:type="pct"/>
            <w:tcBorders>
              <w:top w:val="nil"/>
              <w:left w:val="single" w:color="auto" w:sz="4" w:space="0"/>
              <w:bottom w:val="single" w:color="auto" w:sz="4" w:space="0"/>
              <w:right w:val="single" w:color="auto" w:sz="4" w:space="0"/>
            </w:tcBorders>
            <w:shd w:val="clear" w:color="auto" w:fill="auto"/>
            <w:noWrap/>
            <w:vAlign w:val="center"/>
          </w:tcPr>
          <w:p>
            <w:pPr>
              <w:rPr>
                <w:rFonts w:ascii="宋体" w:hAnsi="宋体" w:eastAsia="宋体"/>
                <w:sz w:val="18"/>
                <w:szCs w:val="18"/>
              </w:rPr>
            </w:pPr>
            <w:r>
              <w:rPr>
                <w:rFonts w:hint="eastAsia" w:ascii="宋体" w:hAnsi="宋体" w:eastAsia="宋体"/>
                <w:sz w:val="18"/>
                <w:szCs w:val="18"/>
              </w:rPr>
              <w:t>预发布信息名称</w:t>
            </w:r>
          </w:p>
        </w:tc>
        <w:tc>
          <w:tcPr>
            <w:tcW w:w="2050" w:type="pct"/>
            <w:tcBorders>
              <w:top w:val="nil"/>
              <w:left w:val="nil"/>
              <w:bottom w:val="single" w:color="auto" w:sz="4" w:space="0"/>
              <w:right w:val="single" w:color="auto" w:sz="4" w:space="0"/>
            </w:tcBorders>
            <w:shd w:val="clear" w:color="auto" w:fill="auto"/>
            <w:noWrap/>
            <w:vAlign w:val="center"/>
          </w:tcPr>
          <w:p>
            <w:pPr>
              <w:rPr>
                <w:rFonts w:ascii="宋体" w:hAnsi="宋体" w:eastAsia="宋体"/>
                <w:sz w:val="18"/>
                <w:szCs w:val="18"/>
              </w:rPr>
            </w:pPr>
          </w:p>
        </w:tc>
        <w:tc>
          <w:tcPr>
            <w:tcW w:w="769" w:type="pct"/>
            <w:tcBorders>
              <w:top w:val="nil"/>
              <w:left w:val="nil"/>
              <w:bottom w:val="single" w:color="auto" w:sz="4" w:space="0"/>
              <w:right w:val="single" w:color="auto" w:sz="4" w:space="0"/>
            </w:tcBorders>
            <w:shd w:val="clear" w:color="auto" w:fill="auto"/>
            <w:noWrap/>
            <w:vAlign w:val="center"/>
          </w:tcPr>
          <w:p>
            <w:pPr>
              <w:rPr>
                <w:rFonts w:ascii="宋体" w:hAnsi="宋体" w:eastAsia="宋体"/>
                <w:sz w:val="18"/>
                <w:szCs w:val="18"/>
              </w:rPr>
            </w:pPr>
            <w:r>
              <w:rPr>
                <w:rFonts w:hint="eastAsia" w:ascii="宋体" w:hAnsi="宋体" w:eastAsia="宋体"/>
                <w:sz w:val="18"/>
                <w:szCs w:val="18"/>
              </w:rPr>
              <w:t>申请日期</w:t>
            </w:r>
          </w:p>
        </w:tc>
        <w:tc>
          <w:tcPr>
            <w:tcW w:w="1062" w:type="pct"/>
            <w:tcBorders>
              <w:top w:val="single" w:color="auto" w:sz="4" w:space="0"/>
              <w:left w:val="nil"/>
              <w:bottom w:val="single" w:color="auto" w:sz="4" w:space="0"/>
              <w:right w:val="single" w:color="auto" w:sz="4" w:space="0"/>
            </w:tcBorders>
            <w:shd w:val="clear" w:color="auto" w:fill="auto"/>
            <w:noWrap/>
            <w:vAlign w:val="center"/>
          </w:tcPr>
          <w:p>
            <w:pPr>
              <w:rPr>
                <w:rFonts w:ascii="宋体" w:hAnsi="宋体" w:eastAsia="宋体"/>
                <w:sz w:val="18"/>
                <w:szCs w:val="18"/>
              </w:rPr>
            </w:pPr>
          </w:p>
        </w:tc>
      </w:tr>
      <w:tr>
        <w:tblPrEx>
          <w:tblCellMar>
            <w:top w:w="0" w:type="dxa"/>
            <w:left w:w="108" w:type="dxa"/>
            <w:bottom w:w="0" w:type="dxa"/>
            <w:right w:w="108" w:type="dxa"/>
          </w:tblCellMar>
        </w:tblPrEx>
        <w:trPr>
          <w:trHeight w:val="70" w:hRule="atLeast"/>
        </w:trPr>
        <w:tc>
          <w:tcPr>
            <w:tcW w:w="1119" w:type="pct"/>
            <w:tcBorders>
              <w:top w:val="nil"/>
              <w:left w:val="single" w:color="auto" w:sz="4" w:space="0"/>
              <w:bottom w:val="single" w:color="auto" w:sz="4" w:space="0"/>
              <w:right w:val="single" w:color="auto" w:sz="4" w:space="0"/>
            </w:tcBorders>
            <w:shd w:val="clear" w:color="auto" w:fill="auto"/>
            <w:noWrap/>
            <w:vAlign w:val="center"/>
          </w:tcPr>
          <w:p>
            <w:pPr>
              <w:rPr>
                <w:rFonts w:ascii="宋体" w:hAnsi="宋体" w:eastAsia="宋体"/>
                <w:sz w:val="18"/>
                <w:szCs w:val="18"/>
              </w:rPr>
            </w:pPr>
            <w:r>
              <w:rPr>
                <w:rFonts w:hint="eastAsia" w:ascii="宋体" w:hAnsi="宋体" w:eastAsia="宋体"/>
                <w:sz w:val="18"/>
                <w:szCs w:val="18"/>
              </w:rPr>
              <w:t>预发布日期</w:t>
            </w:r>
          </w:p>
        </w:tc>
        <w:tc>
          <w:tcPr>
            <w:tcW w:w="3881" w:type="pct"/>
            <w:gridSpan w:val="3"/>
            <w:tcBorders>
              <w:top w:val="single" w:color="auto" w:sz="4" w:space="0"/>
              <w:left w:val="nil"/>
              <w:bottom w:val="single" w:color="auto" w:sz="4" w:space="0"/>
              <w:right w:val="single" w:color="auto" w:sz="4" w:space="0"/>
            </w:tcBorders>
            <w:shd w:val="clear" w:color="auto" w:fill="auto"/>
            <w:noWrap/>
            <w:vAlign w:val="center"/>
          </w:tcPr>
          <w:p>
            <w:pPr>
              <w:rPr>
                <w:rFonts w:ascii="宋体" w:hAnsi="宋体" w:eastAsia="宋体"/>
                <w:sz w:val="18"/>
                <w:szCs w:val="18"/>
              </w:rPr>
            </w:pPr>
          </w:p>
        </w:tc>
      </w:tr>
      <w:tr>
        <w:tblPrEx>
          <w:tblCellMar>
            <w:top w:w="0" w:type="dxa"/>
            <w:left w:w="108" w:type="dxa"/>
            <w:bottom w:w="0" w:type="dxa"/>
            <w:right w:w="108" w:type="dxa"/>
          </w:tblCellMar>
        </w:tblPrEx>
        <w:trPr>
          <w:trHeight w:val="70" w:hRule="atLeast"/>
        </w:trPr>
        <w:tc>
          <w:tcPr>
            <w:tcW w:w="1119" w:type="pct"/>
            <w:tcBorders>
              <w:top w:val="nil"/>
              <w:left w:val="single" w:color="auto" w:sz="4" w:space="0"/>
              <w:bottom w:val="single" w:color="auto" w:sz="4" w:space="0"/>
              <w:right w:val="single" w:color="auto" w:sz="4" w:space="0"/>
            </w:tcBorders>
            <w:shd w:val="clear" w:color="auto" w:fill="auto"/>
            <w:noWrap/>
            <w:vAlign w:val="center"/>
          </w:tcPr>
          <w:p>
            <w:pPr>
              <w:rPr>
                <w:rFonts w:ascii="宋体" w:hAnsi="宋体" w:eastAsia="宋体"/>
                <w:sz w:val="18"/>
                <w:szCs w:val="18"/>
              </w:rPr>
            </w:pPr>
            <w:r>
              <w:rPr>
                <w:rFonts w:hint="eastAsia" w:ascii="宋体" w:hAnsi="宋体" w:eastAsia="宋体"/>
                <w:sz w:val="18"/>
                <w:szCs w:val="18"/>
              </w:rPr>
              <w:t>发布方式</w:t>
            </w:r>
          </w:p>
        </w:tc>
        <w:tc>
          <w:tcPr>
            <w:tcW w:w="3881" w:type="pct"/>
            <w:gridSpan w:val="3"/>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8"/>
                <w:szCs w:val="18"/>
              </w:rPr>
            </w:pPr>
            <w:r>
              <w:rPr>
                <w:rFonts w:ascii="宋体" w:hAnsi="宋体" w:eastAsia="宋体"/>
                <w:sz w:val="18"/>
                <w:szCs w:val="18"/>
              </w:rPr>
              <w:fldChar w:fldCharType="begin">
                <w:ffData>
                  <w:enabled/>
                  <w:calcOnExit w:val="0"/>
                  <w:checkBox>
                    <w:sizeAuto/>
                    <w:default w:val="0"/>
                    <w:checked w:val="0"/>
                  </w:checkBox>
                </w:ffData>
              </w:fldChar>
            </w:r>
            <w:r>
              <w:rPr>
                <w:rFonts w:ascii="宋体" w:hAnsi="宋体" w:eastAsia="宋体"/>
                <w:sz w:val="18"/>
                <w:szCs w:val="18"/>
              </w:rPr>
              <w:instrText xml:space="preserve"> FORMCHECKBOX </w:instrText>
            </w:r>
            <w:r>
              <w:rPr>
                <w:rFonts w:ascii="宋体" w:hAnsi="宋体" w:eastAsia="宋体"/>
                <w:sz w:val="18"/>
                <w:szCs w:val="18"/>
              </w:rPr>
              <w:fldChar w:fldCharType="separate"/>
            </w:r>
            <w:r>
              <w:rPr>
                <w:rFonts w:ascii="宋体" w:hAnsi="宋体" w:eastAsia="宋体"/>
                <w:sz w:val="18"/>
                <w:szCs w:val="18"/>
              </w:rPr>
              <w:fldChar w:fldCharType="end"/>
            </w:r>
            <w:r>
              <w:rPr>
                <w:rFonts w:hint="eastAsia" w:ascii="宋体" w:hAnsi="宋体" w:eastAsia="宋体" w:cs="宋体"/>
                <w:color w:val="000000"/>
                <w:sz w:val="18"/>
                <w:szCs w:val="18"/>
              </w:rPr>
              <w:t xml:space="preserve">互联网站   </w:t>
            </w:r>
            <w:r>
              <w:rPr>
                <w:rFonts w:ascii="宋体" w:hAnsi="宋体" w:eastAsia="宋体"/>
                <w:sz w:val="18"/>
                <w:szCs w:val="18"/>
              </w:rPr>
              <w:fldChar w:fldCharType="begin">
                <w:ffData>
                  <w:enabled/>
                  <w:calcOnExit w:val="0"/>
                  <w:checkBox>
                    <w:sizeAuto/>
                    <w:default w:val="0"/>
                    <w:checked w:val="0"/>
                  </w:checkBox>
                </w:ffData>
              </w:fldChar>
            </w:r>
            <w:r>
              <w:rPr>
                <w:rFonts w:ascii="宋体" w:hAnsi="宋体" w:eastAsia="宋体"/>
                <w:sz w:val="18"/>
                <w:szCs w:val="18"/>
              </w:rPr>
              <w:instrText xml:space="preserve"> FORMCHECKBOX </w:instrText>
            </w:r>
            <w:r>
              <w:rPr>
                <w:rFonts w:ascii="宋体" w:hAnsi="宋体" w:eastAsia="宋体"/>
                <w:sz w:val="18"/>
                <w:szCs w:val="18"/>
              </w:rPr>
              <w:fldChar w:fldCharType="separate"/>
            </w:r>
            <w:r>
              <w:rPr>
                <w:rFonts w:ascii="宋体" w:hAnsi="宋体" w:eastAsia="宋体"/>
                <w:sz w:val="18"/>
                <w:szCs w:val="18"/>
              </w:rPr>
              <w:fldChar w:fldCharType="end"/>
            </w:r>
            <w:r>
              <w:rPr>
                <w:rFonts w:hint="eastAsia" w:ascii="宋体" w:hAnsi="宋体" w:eastAsia="宋体" w:cs="宋体"/>
                <w:color w:val="000000"/>
                <w:sz w:val="18"/>
                <w:szCs w:val="18"/>
              </w:rPr>
              <w:t xml:space="preserve">公众号     </w:t>
            </w:r>
            <w:r>
              <w:rPr>
                <w:rFonts w:ascii="宋体" w:hAnsi="宋体" w:eastAsia="宋体"/>
                <w:sz w:val="18"/>
                <w:szCs w:val="18"/>
              </w:rPr>
              <w:fldChar w:fldCharType="begin">
                <w:ffData>
                  <w:enabled/>
                  <w:calcOnExit w:val="0"/>
                  <w:checkBox>
                    <w:sizeAuto/>
                    <w:default w:val="0"/>
                    <w:checked w:val="0"/>
                  </w:checkBox>
                </w:ffData>
              </w:fldChar>
            </w:r>
            <w:r>
              <w:rPr>
                <w:rFonts w:ascii="宋体" w:hAnsi="宋体" w:eastAsia="宋体"/>
                <w:sz w:val="18"/>
                <w:szCs w:val="18"/>
              </w:rPr>
              <w:instrText xml:space="preserve"> FORMCHECKBOX </w:instrText>
            </w:r>
            <w:r>
              <w:rPr>
                <w:rFonts w:ascii="宋体" w:hAnsi="宋体" w:eastAsia="宋体"/>
                <w:sz w:val="18"/>
                <w:szCs w:val="18"/>
              </w:rPr>
              <w:fldChar w:fldCharType="separate"/>
            </w:r>
            <w:r>
              <w:rPr>
                <w:rFonts w:ascii="宋体" w:hAnsi="宋体" w:eastAsia="宋体"/>
                <w:sz w:val="18"/>
                <w:szCs w:val="18"/>
              </w:rPr>
              <w:fldChar w:fldCharType="end"/>
            </w:r>
            <w:r>
              <w:rPr>
                <w:rFonts w:hint="eastAsia" w:ascii="宋体" w:hAnsi="宋体" w:eastAsia="宋体" w:cs="宋体"/>
                <w:color w:val="000000"/>
                <w:sz w:val="18"/>
                <w:szCs w:val="18"/>
              </w:rPr>
              <w:t xml:space="preserve">短信平台   </w:t>
            </w:r>
            <w:r>
              <w:rPr>
                <w:rFonts w:ascii="宋体" w:hAnsi="宋体" w:eastAsia="宋体"/>
                <w:sz w:val="18"/>
                <w:szCs w:val="18"/>
              </w:rPr>
              <w:fldChar w:fldCharType="begin">
                <w:ffData>
                  <w:enabled/>
                  <w:calcOnExit w:val="0"/>
                  <w:checkBox>
                    <w:sizeAuto/>
                    <w:default w:val="0"/>
                    <w:checked w:val="0"/>
                  </w:checkBox>
                </w:ffData>
              </w:fldChar>
            </w:r>
            <w:r>
              <w:rPr>
                <w:rFonts w:ascii="宋体" w:hAnsi="宋体" w:eastAsia="宋体"/>
                <w:sz w:val="18"/>
                <w:szCs w:val="18"/>
              </w:rPr>
              <w:instrText xml:space="preserve"> FORMCHECKBOX </w:instrText>
            </w:r>
            <w:r>
              <w:rPr>
                <w:rFonts w:ascii="宋体" w:hAnsi="宋体" w:eastAsia="宋体"/>
                <w:sz w:val="18"/>
                <w:szCs w:val="18"/>
              </w:rPr>
              <w:fldChar w:fldCharType="separate"/>
            </w:r>
            <w:r>
              <w:rPr>
                <w:rFonts w:ascii="宋体" w:hAnsi="宋体" w:eastAsia="宋体"/>
                <w:sz w:val="18"/>
                <w:szCs w:val="18"/>
              </w:rPr>
              <w:fldChar w:fldCharType="end"/>
            </w:r>
            <w:r>
              <w:rPr>
                <w:rFonts w:hint="eastAsia" w:ascii="宋体" w:hAnsi="宋体" w:eastAsia="宋体" w:cs="宋体"/>
                <w:color w:val="000000"/>
                <w:sz w:val="18"/>
                <w:szCs w:val="18"/>
              </w:rPr>
              <w:t xml:space="preserve">期刊杂志 </w:t>
            </w:r>
          </w:p>
          <w:p>
            <w:pPr>
              <w:rPr>
                <w:rFonts w:ascii="宋体" w:hAnsi="宋体" w:eastAsia="宋体" w:cs="宋体"/>
                <w:color w:val="000000"/>
                <w:sz w:val="18"/>
                <w:szCs w:val="18"/>
                <w:u w:val="single"/>
              </w:rPr>
            </w:pPr>
            <w:r>
              <w:rPr>
                <w:rFonts w:ascii="宋体" w:hAnsi="宋体" w:eastAsia="宋体"/>
                <w:sz w:val="18"/>
                <w:szCs w:val="18"/>
              </w:rPr>
              <w:fldChar w:fldCharType="begin">
                <w:ffData>
                  <w:enabled/>
                  <w:calcOnExit w:val="0"/>
                  <w:checkBox>
                    <w:sizeAuto/>
                    <w:default w:val="0"/>
                    <w:checked w:val="0"/>
                  </w:checkBox>
                </w:ffData>
              </w:fldChar>
            </w:r>
            <w:r>
              <w:rPr>
                <w:rFonts w:ascii="宋体" w:hAnsi="宋体" w:eastAsia="宋体"/>
                <w:sz w:val="18"/>
                <w:szCs w:val="18"/>
              </w:rPr>
              <w:instrText xml:space="preserve"> FORMCHECKBOX </w:instrText>
            </w:r>
            <w:r>
              <w:rPr>
                <w:rFonts w:ascii="宋体" w:hAnsi="宋体" w:eastAsia="宋体"/>
                <w:sz w:val="18"/>
                <w:szCs w:val="18"/>
              </w:rPr>
              <w:fldChar w:fldCharType="separate"/>
            </w:r>
            <w:r>
              <w:rPr>
                <w:rFonts w:ascii="宋体" w:hAnsi="宋体" w:eastAsia="宋体"/>
                <w:sz w:val="18"/>
                <w:szCs w:val="18"/>
              </w:rPr>
              <w:fldChar w:fldCharType="end"/>
            </w:r>
            <w:r>
              <w:rPr>
                <w:rFonts w:hint="eastAsia" w:ascii="宋体" w:hAnsi="宋体" w:eastAsia="宋体" w:cs="宋体"/>
                <w:color w:val="000000"/>
                <w:sz w:val="18"/>
                <w:szCs w:val="18"/>
              </w:rPr>
              <w:t xml:space="preserve">会议讲话   </w:t>
            </w:r>
            <w:r>
              <w:rPr>
                <w:rFonts w:ascii="宋体" w:hAnsi="宋体" w:eastAsia="宋体"/>
                <w:sz w:val="18"/>
                <w:szCs w:val="18"/>
              </w:rPr>
              <w:fldChar w:fldCharType="begin">
                <w:ffData>
                  <w:enabled/>
                  <w:calcOnExit w:val="0"/>
                  <w:checkBox>
                    <w:sizeAuto/>
                    <w:default w:val="0"/>
                    <w:checked w:val="0"/>
                  </w:checkBox>
                </w:ffData>
              </w:fldChar>
            </w:r>
            <w:r>
              <w:rPr>
                <w:rFonts w:ascii="宋体" w:hAnsi="宋体" w:eastAsia="宋体"/>
                <w:sz w:val="18"/>
                <w:szCs w:val="18"/>
              </w:rPr>
              <w:instrText xml:space="preserve"> FORMCHECKBOX </w:instrText>
            </w:r>
            <w:r>
              <w:rPr>
                <w:rFonts w:ascii="宋体" w:hAnsi="宋体" w:eastAsia="宋体"/>
                <w:sz w:val="18"/>
                <w:szCs w:val="18"/>
              </w:rPr>
              <w:fldChar w:fldCharType="separate"/>
            </w:r>
            <w:r>
              <w:rPr>
                <w:rFonts w:ascii="宋体" w:hAnsi="宋体" w:eastAsia="宋体"/>
                <w:sz w:val="18"/>
                <w:szCs w:val="18"/>
              </w:rPr>
              <w:fldChar w:fldCharType="end"/>
            </w:r>
            <w:r>
              <w:rPr>
                <w:rFonts w:hint="eastAsia" w:ascii="宋体" w:hAnsi="宋体" w:eastAsia="宋体" w:cs="宋体"/>
                <w:color w:val="000000"/>
                <w:sz w:val="18"/>
                <w:szCs w:val="18"/>
              </w:rPr>
              <w:t xml:space="preserve">宣传报道   </w:t>
            </w:r>
            <w:r>
              <w:rPr>
                <w:rFonts w:ascii="宋体" w:hAnsi="宋体" w:eastAsia="宋体"/>
                <w:sz w:val="18"/>
                <w:szCs w:val="18"/>
              </w:rPr>
              <w:fldChar w:fldCharType="begin">
                <w:ffData>
                  <w:enabled/>
                  <w:calcOnExit w:val="0"/>
                  <w:checkBox>
                    <w:sizeAuto/>
                    <w:default w:val="0"/>
                    <w:checked w:val="0"/>
                  </w:checkBox>
                </w:ffData>
              </w:fldChar>
            </w:r>
            <w:r>
              <w:rPr>
                <w:rFonts w:ascii="宋体" w:hAnsi="宋体" w:eastAsia="宋体"/>
                <w:sz w:val="18"/>
                <w:szCs w:val="18"/>
              </w:rPr>
              <w:instrText xml:space="preserve"> FORMCHECKBOX </w:instrText>
            </w:r>
            <w:r>
              <w:rPr>
                <w:rFonts w:ascii="宋体" w:hAnsi="宋体" w:eastAsia="宋体"/>
                <w:sz w:val="18"/>
                <w:szCs w:val="18"/>
              </w:rPr>
              <w:fldChar w:fldCharType="separate"/>
            </w:r>
            <w:r>
              <w:rPr>
                <w:rFonts w:ascii="宋体" w:hAnsi="宋体" w:eastAsia="宋体"/>
                <w:sz w:val="18"/>
                <w:szCs w:val="18"/>
              </w:rPr>
              <w:fldChar w:fldCharType="end"/>
            </w:r>
            <w:r>
              <w:rPr>
                <w:rFonts w:hint="eastAsia" w:ascii="宋体" w:hAnsi="宋体" w:eastAsia="宋体" w:cs="宋体"/>
                <w:color w:val="000000"/>
                <w:sz w:val="18"/>
                <w:szCs w:val="18"/>
              </w:rPr>
              <w:t>其它方式</w:t>
            </w:r>
            <w:r>
              <w:rPr>
                <w:rFonts w:hint="eastAsia" w:ascii="宋体" w:hAnsi="宋体" w:eastAsia="宋体" w:cs="宋体"/>
                <w:color w:val="000000"/>
                <w:sz w:val="18"/>
                <w:szCs w:val="18"/>
                <w:u w:val="single"/>
              </w:rPr>
              <w:t xml:space="preserve">            </w:t>
            </w:r>
          </w:p>
        </w:tc>
      </w:tr>
      <w:tr>
        <w:tblPrEx>
          <w:tblCellMar>
            <w:top w:w="0" w:type="dxa"/>
            <w:left w:w="108" w:type="dxa"/>
            <w:bottom w:w="0" w:type="dxa"/>
            <w:right w:w="108" w:type="dxa"/>
          </w:tblCellMar>
        </w:tblPrEx>
        <w:trPr>
          <w:trHeight w:val="2250" w:hRule="atLeast"/>
        </w:trPr>
        <w:tc>
          <w:tcPr>
            <w:tcW w:w="5000" w:type="pct"/>
            <w:gridSpan w:val="4"/>
            <w:tcBorders>
              <w:top w:val="single" w:color="auto" w:sz="4" w:space="0"/>
              <w:left w:val="single" w:color="auto" w:sz="4" w:space="0"/>
              <w:bottom w:val="nil"/>
              <w:right w:val="single" w:color="000000" w:sz="4" w:space="0"/>
            </w:tcBorders>
            <w:shd w:val="clear" w:color="auto" w:fill="auto"/>
          </w:tcPr>
          <w:p>
            <w:pPr>
              <w:rPr>
                <w:rFonts w:ascii="宋体" w:hAnsi="宋体" w:eastAsia="宋体"/>
                <w:sz w:val="18"/>
                <w:szCs w:val="18"/>
              </w:rPr>
            </w:pPr>
            <w:r>
              <w:rPr>
                <w:rFonts w:hint="eastAsia" w:ascii="宋体" w:hAnsi="宋体" w:eastAsia="宋体"/>
                <w:sz w:val="18"/>
                <w:szCs w:val="18"/>
              </w:rPr>
              <w:t>信息内容概述（详细文本附件提供）：</w:t>
            </w:r>
          </w:p>
          <w:p>
            <w:pPr>
              <w:rPr>
                <w:rFonts w:ascii="宋体" w:hAnsi="宋体" w:eastAsia="宋体"/>
                <w:sz w:val="18"/>
                <w:szCs w:val="18"/>
              </w:rPr>
            </w:pPr>
          </w:p>
          <w:p>
            <w:pPr>
              <w:rPr>
                <w:rFonts w:ascii="宋体" w:hAnsi="宋体" w:eastAsia="宋体"/>
                <w:sz w:val="18"/>
                <w:szCs w:val="18"/>
              </w:rPr>
            </w:pPr>
          </w:p>
          <w:p>
            <w:pPr>
              <w:rPr>
                <w:rFonts w:ascii="宋体" w:hAnsi="宋体" w:eastAsia="宋体"/>
                <w:sz w:val="18"/>
                <w:szCs w:val="18"/>
              </w:rPr>
            </w:pPr>
          </w:p>
          <w:p>
            <w:pPr>
              <w:rPr>
                <w:rFonts w:ascii="宋体" w:hAnsi="宋体" w:eastAsia="宋体"/>
                <w:sz w:val="18"/>
                <w:szCs w:val="18"/>
              </w:rPr>
            </w:pPr>
          </w:p>
          <w:p>
            <w:pPr>
              <w:rPr>
                <w:rFonts w:ascii="宋体" w:hAnsi="宋体" w:eastAsia="宋体"/>
                <w:sz w:val="18"/>
                <w:szCs w:val="18"/>
              </w:rPr>
            </w:pPr>
          </w:p>
          <w:p>
            <w:pPr>
              <w:rPr>
                <w:rFonts w:ascii="宋体" w:hAnsi="宋体" w:eastAsia="宋体"/>
                <w:sz w:val="18"/>
                <w:szCs w:val="18"/>
              </w:rPr>
            </w:pPr>
            <w:r>
              <w:rPr>
                <w:rFonts w:hint="eastAsia" w:ascii="宋体" w:hAnsi="宋体" w:eastAsia="宋体"/>
                <w:sz w:val="18"/>
                <w:szCs w:val="18"/>
              </w:rPr>
              <w:t xml:space="preserve">                                                                                                                                                                                                                                                                                                     </w:t>
            </w:r>
          </w:p>
        </w:tc>
      </w:tr>
      <w:tr>
        <w:tblPrEx>
          <w:tblCellMar>
            <w:top w:w="0" w:type="dxa"/>
            <w:left w:w="108" w:type="dxa"/>
            <w:bottom w:w="0" w:type="dxa"/>
            <w:right w:w="108" w:type="dxa"/>
          </w:tblCellMar>
        </w:tblPrEx>
        <w:trPr>
          <w:trHeight w:val="375" w:hRule="atLeast"/>
        </w:trPr>
        <w:tc>
          <w:tcPr>
            <w:tcW w:w="5000" w:type="pct"/>
            <w:gridSpan w:val="4"/>
            <w:tcBorders>
              <w:top w:val="nil"/>
              <w:left w:val="single" w:color="auto" w:sz="4" w:space="0"/>
              <w:bottom w:val="single" w:color="auto" w:sz="4" w:space="0"/>
              <w:right w:val="single" w:color="000000" w:sz="4" w:space="0"/>
            </w:tcBorders>
            <w:shd w:val="clear" w:color="auto" w:fill="auto"/>
            <w:noWrap/>
            <w:vAlign w:val="center"/>
          </w:tcPr>
          <w:p>
            <w:pPr>
              <w:rPr>
                <w:rFonts w:ascii="宋体" w:hAnsi="宋体" w:eastAsia="宋体"/>
                <w:sz w:val="18"/>
                <w:szCs w:val="18"/>
              </w:rPr>
            </w:pPr>
            <w:r>
              <w:rPr>
                <w:rFonts w:hint="eastAsia" w:ascii="宋体" w:hAnsi="宋体" w:eastAsia="宋体"/>
                <w:sz w:val="18"/>
                <w:szCs w:val="18"/>
              </w:rPr>
              <w:t xml:space="preserve">                              申请部门负责人签名：</w:t>
            </w:r>
          </w:p>
        </w:tc>
      </w:tr>
      <w:tr>
        <w:tblPrEx>
          <w:tblCellMar>
            <w:top w:w="0" w:type="dxa"/>
            <w:left w:w="108" w:type="dxa"/>
            <w:bottom w:w="0" w:type="dxa"/>
            <w:right w:w="108" w:type="dxa"/>
          </w:tblCellMar>
        </w:tblPrEx>
        <w:trPr>
          <w:trHeight w:val="375"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sz w:val="18"/>
                <w:szCs w:val="18"/>
              </w:rPr>
            </w:pPr>
            <w:r>
              <w:rPr>
                <w:rFonts w:hint="eastAsia" w:ascii="宋体" w:hAnsi="宋体" w:eastAsia="宋体"/>
                <w:sz w:val="18"/>
                <w:szCs w:val="18"/>
              </w:rPr>
              <w:t>审查意见</w:t>
            </w:r>
          </w:p>
        </w:tc>
      </w:tr>
      <w:tr>
        <w:tblPrEx>
          <w:tblCellMar>
            <w:top w:w="0" w:type="dxa"/>
            <w:left w:w="108" w:type="dxa"/>
            <w:bottom w:w="0" w:type="dxa"/>
            <w:right w:w="108" w:type="dxa"/>
          </w:tblCellMar>
        </w:tblPrEx>
        <w:trPr>
          <w:trHeight w:val="1188"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auto"/>
          </w:tcPr>
          <w:p>
            <w:pPr>
              <w:rPr>
                <w:rFonts w:ascii="宋体" w:hAnsi="宋体" w:eastAsia="宋体"/>
                <w:sz w:val="18"/>
                <w:szCs w:val="18"/>
              </w:rPr>
            </w:pPr>
            <w:r>
              <w:rPr>
                <w:rFonts w:hint="eastAsia" w:ascii="宋体" w:hAnsi="宋体" w:eastAsia="宋体"/>
                <w:sz w:val="18"/>
                <w:szCs w:val="18"/>
              </w:rPr>
              <w:t>商业秘密保护办公室：</w:t>
            </w:r>
          </w:p>
          <w:p>
            <w:pPr>
              <w:rPr>
                <w:rFonts w:ascii="宋体" w:hAnsi="宋体" w:eastAsia="宋体"/>
                <w:sz w:val="18"/>
                <w:szCs w:val="18"/>
              </w:rPr>
            </w:pPr>
          </w:p>
          <w:p>
            <w:pPr>
              <w:rPr>
                <w:rFonts w:ascii="宋体" w:hAnsi="宋体" w:eastAsia="宋体"/>
                <w:sz w:val="18"/>
                <w:szCs w:val="18"/>
              </w:rPr>
            </w:pPr>
          </w:p>
          <w:p>
            <w:pPr>
              <w:rPr>
                <w:rFonts w:ascii="宋体" w:hAnsi="宋体" w:eastAsia="宋体"/>
                <w:sz w:val="18"/>
                <w:szCs w:val="18"/>
              </w:rPr>
            </w:pPr>
          </w:p>
          <w:p>
            <w:pPr>
              <w:rPr>
                <w:rFonts w:ascii="宋体" w:hAnsi="宋体" w:eastAsia="宋体"/>
                <w:sz w:val="18"/>
                <w:szCs w:val="18"/>
              </w:rPr>
            </w:pPr>
          </w:p>
          <w:p>
            <w:pPr>
              <w:rPr>
                <w:rFonts w:ascii="宋体" w:hAnsi="宋体" w:eastAsia="宋体"/>
                <w:sz w:val="18"/>
                <w:szCs w:val="18"/>
              </w:rPr>
            </w:pPr>
          </w:p>
          <w:p>
            <w:pPr>
              <w:rPr>
                <w:rFonts w:ascii="宋体" w:hAnsi="宋体" w:eastAsia="宋体"/>
                <w:sz w:val="18"/>
                <w:szCs w:val="18"/>
              </w:rPr>
            </w:pPr>
            <w:r>
              <w:rPr>
                <w:rFonts w:hint="eastAsia" w:ascii="宋体" w:hAnsi="宋体" w:eastAsia="宋体"/>
                <w:sz w:val="18"/>
                <w:szCs w:val="18"/>
              </w:rPr>
              <w:t xml:space="preserve">                                          负责人：      日期：</w:t>
            </w:r>
          </w:p>
        </w:tc>
      </w:tr>
    </w:tbl>
    <w:p>
      <w:pPr>
        <w:pStyle w:val="13"/>
      </w:pPr>
    </w:p>
    <w:p>
      <w:pPr>
        <w:sectPr>
          <w:pgSz w:w="11906" w:h="16838"/>
          <w:pgMar w:top="1417" w:right="1134" w:bottom="1134" w:left="1418" w:header="1417" w:footer="1134" w:gutter="0"/>
          <w:pgNumType w:fmt="decimal"/>
          <w:cols w:space="425" w:num="1"/>
          <w:docGrid w:type="lines" w:linePitch="312" w:charSpace="0"/>
        </w:sectPr>
      </w:pPr>
      <w:r>
        <w:br w:type="page"/>
      </w:r>
    </w:p>
    <w:p>
      <w:pPr>
        <w:pStyle w:val="12"/>
        <w:adjustRightInd w:val="0"/>
        <w:snapToGrid w:val="0"/>
        <w:spacing w:before="567"/>
        <w:ind w:firstLine="0"/>
        <w:jc w:val="center"/>
        <w:outlineLvl w:val="0"/>
        <w:rPr>
          <w:rFonts w:ascii="黑体" w:hAnsi="黑体" w:eastAsia="黑体" w:cs="黑体"/>
          <w:szCs w:val="21"/>
        </w:rPr>
      </w:pPr>
      <w:bookmarkStart w:id="949" w:name="_Toc22189"/>
      <w:r>
        <w:rPr>
          <w:rFonts w:hint="eastAsia" w:ascii="黑体" w:hAnsi="黑体" w:eastAsia="黑体" w:cs="黑体"/>
          <w:szCs w:val="21"/>
        </w:rPr>
        <w:t>附  录  J</w:t>
      </w:r>
      <w:bookmarkEnd w:id="949"/>
    </w:p>
    <w:p>
      <w:pPr>
        <w:pStyle w:val="13"/>
        <w:jc w:val="center"/>
        <w:outlineLvl w:val="0"/>
        <w:rPr>
          <w:rFonts w:ascii="黑体" w:hAnsi="黑体" w:eastAsia="黑体" w:cs="黑体"/>
          <w:sz w:val="21"/>
          <w:szCs w:val="21"/>
        </w:rPr>
      </w:pPr>
      <w:bookmarkStart w:id="950" w:name="_Toc28796"/>
      <w:r>
        <w:rPr>
          <w:rFonts w:hint="eastAsia" w:ascii="黑体" w:hAnsi="黑体" w:eastAsia="黑体" w:cs="黑体"/>
          <w:sz w:val="21"/>
          <w:szCs w:val="21"/>
        </w:rPr>
        <w:t>（资料性）</w:t>
      </w:r>
      <w:bookmarkEnd w:id="950"/>
    </w:p>
    <w:p>
      <w:pPr>
        <w:pStyle w:val="13"/>
        <w:adjustRightInd w:val="0"/>
        <w:spacing w:after="283"/>
        <w:jc w:val="center"/>
        <w:outlineLvl w:val="0"/>
        <w:rPr>
          <w:rFonts w:ascii="黑体" w:hAnsi="黑体" w:eastAsia="黑体"/>
          <w:color w:val="000000"/>
          <w:sz w:val="21"/>
          <w:szCs w:val="21"/>
        </w:rPr>
      </w:pPr>
      <w:bookmarkStart w:id="951" w:name="_Toc31335"/>
      <w:r>
        <w:rPr>
          <w:rFonts w:hint="eastAsia" w:ascii="黑体" w:hAnsi="黑体" w:eastAsia="黑体"/>
          <w:color w:val="000000"/>
          <w:sz w:val="21"/>
          <w:szCs w:val="21"/>
        </w:rPr>
        <w:t>保密工作检查表</w:t>
      </w:r>
      <w:bookmarkEnd w:id="951"/>
    </w:p>
    <w:p>
      <w:pPr>
        <w:pStyle w:val="19"/>
      </w:pPr>
      <w:r>
        <w:rPr>
          <w:rFonts w:hint="eastAsia"/>
        </w:rPr>
        <w:t>保密工作检查表见J.</w:t>
      </w:r>
      <w:r>
        <w:t>1。</w:t>
      </w:r>
    </w:p>
    <w:p>
      <w:pPr>
        <w:pStyle w:val="82"/>
        <w:numPr>
          <w:ilvl w:val="0"/>
          <w:numId w:val="0"/>
        </w:numPr>
      </w:pPr>
      <w:r>
        <w:rPr>
          <w:rFonts w:hint="eastAsia"/>
        </w:rPr>
        <w:t>表J.1  保密工作检查表</w:t>
      </w:r>
    </w:p>
    <w:tbl>
      <w:tblPr>
        <w:tblStyle w:val="3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84"/>
        <w:gridCol w:w="2393"/>
        <w:gridCol w:w="2391"/>
        <w:gridCol w:w="24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4"/>
          </w:tcPr>
          <w:p>
            <w:pPr>
              <w:rPr>
                <w:rFonts w:asciiTheme="minorEastAsia" w:hAnsiTheme="minorEastAsia"/>
                <w:sz w:val="18"/>
                <w:szCs w:val="18"/>
              </w:rPr>
            </w:pPr>
            <w:r>
              <w:rPr>
                <w:rFonts w:hint="eastAsia" w:asciiTheme="minorEastAsia" w:hAnsiTheme="minorEastAsia"/>
                <w:sz w:val="18"/>
                <w:szCs w:val="18"/>
              </w:rPr>
              <w:t>（一）涉密人员管理检查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pct"/>
          </w:tcPr>
          <w:p>
            <w:pPr>
              <w:rPr>
                <w:rFonts w:asciiTheme="minorEastAsia" w:hAnsiTheme="minorEastAsia"/>
                <w:sz w:val="18"/>
                <w:szCs w:val="18"/>
              </w:rPr>
            </w:pPr>
            <w:r>
              <w:rPr>
                <w:rFonts w:hint="eastAsia" w:asciiTheme="minorEastAsia" w:hAnsiTheme="minorEastAsia"/>
                <w:sz w:val="18"/>
                <w:szCs w:val="18"/>
              </w:rPr>
              <w:t>检查部门</w:t>
            </w:r>
          </w:p>
        </w:tc>
        <w:tc>
          <w:tcPr>
            <w:tcW w:w="1250" w:type="pct"/>
          </w:tcPr>
          <w:p>
            <w:pPr>
              <w:rPr>
                <w:rFonts w:asciiTheme="minorEastAsia" w:hAnsiTheme="minorEastAsia"/>
                <w:sz w:val="18"/>
                <w:szCs w:val="18"/>
              </w:rPr>
            </w:pPr>
            <w:r>
              <w:rPr>
                <w:rFonts w:asciiTheme="minorEastAsia" w:hAnsiTheme="minorEastAsia"/>
                <w:sz w:val="18"/>
                <w:szCs w:val="18"/>
              </w:rPr>
              <w:t>涉密人员清单制定</w:t>
            </w:r>
          </w:p>
        </w:tc>
        <w:tc>
          <w:tcPr>
            <w:tcW w:w="1249" w:type="pct"/>
          </w:tcPr>
          <w:p>
            <w:pPr>
              <w:rPr>
                <w:rFonts w:asciiTheme="minorEastAsia" w:hAnsiTheme="minorEastAsia"/>
                <w:sz w:val="18"/>
                <w:szCs w:val="18"/>
              </w:rPr>
            </w:pPr>
            <w:r>
              <w:rPr>
                <w:rFonts w:asciiTheme="minorEastAsia" w:hAnsiTheme="minorEastAsia"/>
                <w:sz w:val="18"/>
                <w:szCs w:val="18"/>
              </w:rPr>
              <w:t>涉密人员清单</w:t>
            </w:r>
            <w:r>
              <w:rPr>
                <w:rFonts w:hint="eastAsia" w:asciiTheme="minorEastAsia" w:hAnsiTheme="minorEastAsia"/>
                <w:sz w:val="18"/>
                <w:szCs w:val="18"/>
              </w:rPr>
              <w:t>汇报</w:t>
            </w:r>
          </w:p>
        </w:tc>
        <w:tc>
          <w:tcPr>
            <w:tcW w:w="1255" w:type="pct"/>
          </w:tcPr>
          <w:p>
            <w:pPr>
              <w:rPr>
                <w:rFonts w:asciiTheme="minorEastAsia" w:hAnsiTheme="minorEastAsia"/>
                <w:sz w:val="18"/>
                <w:szCs w:val="18"/>
              </w:rPr>
            </w:pPr>
            <w:r>
              <w:rPr>
                <w:rFonts w:hint="eastAsia" w:asciiTheme="minorEastAsia" w:hAnsiTheme="minorEastAsia"/>
                <w:sz w:val="18"/>
                <w:szCs w:val="18"/>
              </w:rPr>
              <w:t>保密协议签订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pct"/>
          </w:tcPr>
          <w:p>
            <w:pPr>
              <w:rPr>
                <w:rFonts w:asciiTheme="minorEastAsia" w:hAnsiTheme="minorEastAsia"/>
                <w:sz w:val="18"/>
                <w:szCs w:val="18"/>
              </w:rPr>
            </w:pPr>
          </w:p>
        </w:tc>
        <w:tc>
          <w:tcPr>
            <w:tcW w:w="1250"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bookmarkStart w:id="952" w:name="选中1"/>
            <w:r>
              <w:rPr>
                <w:rFonts w:hint="eastAsia" w:asciiTheme="minorEastAsia" w:hAnsiTheme="minorEastAsia"/>
                <w:sz w:val="18"/>
                <w:szCs w:val="18"/>
              </w:rPr>
              <w:fldChar w:fldCharType="begin">
                <w:ffData>
                  <w:name w:val="选中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bookmarkEnd w:id="952"/>
            <w:r>
              <w:rPr>
                <w:rFonts w:hint="eastAsia" w:asciiTheme="minorEastAsia" w:hAnsiTheme="minorEastAsia"/>
                <w:sz w:val="18"/>
                <w:szCs w:val="18"/>
              </w:rPr>
              <w:t>完成</w:t>
            </w:r>
          </w:p>
        </w:tc>
        <w:tc>
          <w:tcPr>
            <w:tcW w:w="1249"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选中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55"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选中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pct"/>
          </w:tcPr>
          <w:p>
            <w:pPr>
              <w:rPr>
                <w:rFonts w:asciiTheme="minorEastAsia" w:hAnsiTheme="minorEastAsia"/>
                <w:sz w:val="18"/>
                <w:szCs w:val="18"/>
              </w:rPr>
            </w:pPr>
          </w:p>
        </w:tc>
        <w:tc>
          <w:tcPr>
            <w:tcW w:w="1250"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49"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55"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pct"/>
          </w:tcPr>
          <w:p>
            <w:pPr>
              <w:rPr>
                <w:rFonts w:asciiTheme="minorEastAsia" w:hAnsiTheme="minorEastAsia"/>
                <w:sz w:val="18"/>
                <w:szCs w:val="18"/>
              </w:rPr>
            </w:pPr>
          </w:p>
        </w:tc>
        <w:tc>
          <w:tcPr>
            <w:tcW w:w="1250"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6"/>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49"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6"/>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55"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6"/>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pct"/>
          </w:tcPr>
          <w:p>
            <w:pPr>
              <w:rPr>
                <w:rFonts w:asciiTheme="minorEastAsia" w:hAnsiTheme="minorEastAsia"/>
                <w:sz w:val="18"/>
                <w:szCs w:val="18"/>
              </w:rPr>
            </w:pPr>
          </w:p>
        </w:tc>
        <w:tc>
          <w:tcPr>
            <w:tcW w:w="1250"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7"/>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49"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7"/>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55"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7"/>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4"/>
          </w:tcPr>
          <w:p>
            <w:pPr>
              <w:rPr>
                <w:rFonts w:asciiTheme="minorEastAsia" w:hAnsiTheme="minorEastAsia"/>
                <w:sz w:val="18"/>
                <w:szCs w:val="18"/>
              </w:rPr>
            </w:pPr>
            <w:r>
              <w:rPr>
                <w:rFonts w:hint="eastAsia" w:asciiTheme="minorEastAsia" w:hAnsiTheme="minorEastAsia"/>
                <w:sz w:val="18"/>
                <w:szCs w:val="18"/>
              </w:rPr>
              <w:t>（二）涉密载体管理检查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pct"/>
          </w:tcPr>
          <w:p>
            <w:pPr>
              <w:rPr>
                <w:rFonts w:asciiTheme="minorEastAsia" w:hAnsiTheme="minorEastAsia"/>
                <w:sz w:val="18"/>
                <w:szCs w:val="18"/>
              </w:rPr>
            </w:pPr>
            <w:r>
              <w:rPr>
                <w:rFonts w:hint="eastAsia" w:asciiTheme="minorEastAsia" w:hAnsiTheme="minorEastAsia"/>
                <w:sz w:val="18"/>
                <w:szCs w:val="18"/>
              </w:rPr>
              <w:t>检查部门</w:t>
            </w:r>
          </w:p>
        </w:tc>
        <w:tc>
          <w:tcPr>
            <w:tcW w:w="1250" w:type="pct"/>
          </w:tcPr>
          <w:p>
            <w:pPr>
              <w:rPr>
                <w:rFonts w:asciiTheme="minorEastAsia" w:hAnsiTheme="minorEastAsia"/>
                <w:sz w:val="18"/>
                <w:szCs w:val="18"/>
              </w:rPr>
            </w:pPr>
            <w:r>
              <w:rPr>
                <w:rFonts w:asciiTheme="minorEastAsia" w:hAnsiTheme="minorEastAsia"/>
                <w:sz w:val="18"/>
                <w:szCs w:val="18"/>
              </w:rPr>
              <w:t>涉密</w:t>
            </w:r>
            <w:r>
              <w:rPr>
                <w:rFonts w:hint="eastAsia" w:asciiTheme="minorEastAsia" w:hAnsiTheme="minorEastAsia"/>
                <w:sz w:val="18"/>
                <w:szCs w:val="18"/>
              </w:rPr>
              <w:t>载体清单制定</w:t>
            </w:r>
          </w:p>
        </w:tc>
        <w:tc>
          <w:tcPr>
            <w:tcW w:w="1249" w:type="pct"/>
          </w:tcPr>
          <w:p>
            <w:pPr>
              <w:rPr>
                <w:rFonts w:asciiTheme="minorEastAsia" w:hAnsiTheme="minorEastAsia"/>
                <w:sz w:val="18"/>
                <w:szCs w:val="18"/>
              </w:rPr>
            </w:pPr>
            <w:r>
              <w:rPr>
                <w:rFonts w:asciiTheme="minorEastAsia" w:hAnsiTheme="minorEastAsia"/>
                <w:sz w:val="18"/>
                <w:szCs w:val="18"/>
              </w:rPr>
              <w:t>涉密</w:t>
            </w:r>
            <w:r>
              <w:rPr>
                <w:rFonts w:hint="eastAsia" w:asciiTheme="minorEastAsia" w:hAnsiTheme="minorEastAsia"/>
                <w:sz w:val="18"/>
                <w:szCs w:val="18"/>
              </w:rPr>
              <w:t>载体标识</w:t>
            </w:r>
          </w:p>
        </w:tc>
        <w:tc>
          <w:tcPr>
            <w:tcW w:w="1255" w:type="pct"/>
          </w:tcPr>
          <w:p>
            <w:pPr>
              <w:rPr>
                <w:rFonts w:asciiTheme="minorEastAsia" w:hAnsiTheme="minorEastAsia"/>
                <w:sz w:val="18"/>
                <w:szCs w:val="18"/>
              </w:rPr>
            </w:pPr>
            <w:r>
              <w:rPr>
                <w:rFonts w:asciiTheme="minorEastAsia" w:hAnsiTheme="minorEastAsia"/>
                <w:sz w:val="18"/>
                <w:szCs w:val="18"/>
              </w:rPr>
              <w:t>涉密</w:t>
            </w:r>
            <w:r>
              <w:rPr>
                <w:rFonts w:hint="eastAsia" w:asciiTheme="minorEastAsia" w:hAnsiTheme="minorEastAsia"/>
                <w:sz w:val="18"/>
                <w:szCs w:val="18"/>
              </w:rPr>
              <w:t>载体</w:t>
            </w:r>
            <w:r>
              <w:rPr>
                <w:rFonts w:asciiTheme="minorEastAsia" w:hAnsiTheme="minorEastAsia"/>
                <w:sz w:val="18"/>
                <w:szCs w:val="18"/>
              </w:rPr>
              <w:t>使用记录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pct"/>
          </w:tcPr>
          <w:p>
            <w:pPr>
              <w:rPr>
                <w:rFonts w:asciiTheme="minorEastAsia" w:hAnsiTheme="minorEastAsia"/>
                <w:sz w:val="18"/>
                <w:szCs w:val="18"/>
              </w:rPr>
            </w:pPr>
          </w:p>
        </w:tc>
        <w:tc>
          <w:tcPr>
            <w:tcW w:w="1250"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选中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49"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选中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55"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选中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pct"/>
          </w:tcPr>
          <w:p>
            <w:pPr>
              <w:rPr>
                <w:rFonts w:asciiTheme="minorEastAsia" w:hAnsiTheme="minorEastAsia"/>
                <w:sz w:val="18"/>
                <w:szCs w:val="18"/>
              </w:rPr>
            </w:pPr>
          </w:p>
        </w:tc>
        <w:tc>
          <w:tcPr>
            <w:tcW w:w="1250"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49"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55"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pct"/>
          </w:tcPr>
          <w:p>
            <w:pPr>
              <w:rPr>
                <w:rFonts w:asciiTheme="minorEastAsia" w:hAnsiTheme="minorEastAsia"/>
                <w:sz w:val="18"/>
                <w:szCs w:val="18"/>
              </w:rPr>
            </w:pPr>
          </w:p>
        </w:tc>
        <w:tc>
          <w:tcPr>
            <w:tcW w:w="1250" w:type="pct"/>
          </w:tcPr>
          <w:p>
            <w:pPr>
              <w:rPr>
                <w:rFonts w:asciiTheme="minorEastAsia" w:hAnsiTheme="minorEastAsia"/>
                <w:sz w:val="18"/>
                <w:szCs w:val="18"/>
              </w:rPr>
            </w:pPr>
            <w:r>
              <w:rPr>
                <w:rFonts w:asciiTheme="minorEastAsia" w:hAnsiTheme="minorEastAsia"/>
                <w:sz w:val="18"/>
                <w:szCs w:val="18"/>
              </w:rPr>
              <w:fldChar w:fldCharType="begin">
                <w:ffData>
                  <w:enabled/>
                  <w:calcOnExit w:val="0"/>
                  <w:checkBox>
                    <w:sizeAuto/>
                    <w:default w:val="0"/>
                    <w:checked w:val="0"/>
                  </w:checkBox>
                </w:ffData>
              </w:fldChar>
            </w:r>
            <w:r>
              <w:rPr>
                <w:rFonts w:asciiTheme="minorEastAsia" w:hAnsiTheme="minorEastAsia"/>
                <w:sz w:val="18"/>
                <w:szCs w:val="18"/>
              </w:rPr>
              <w:instrText xml:space="preserve"> FORMCHECKBOX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2"/>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49" w:type="pct"/>
          </w:tcPr>
          <w:p>
            <w:pPr>
              <w:rPr>
                <w:rFonts w:asciiTheme="minorEastAsia" w:hAnsiTheme="minorEastAsia"/>
                <w:sz w:val="18"/>
                <w:szCs w:val="18"/>
              </w:rPr>
            </w:pPr>
            <w:r>
              <w:rPr>
                <w:rFonts w:asciiTheme="minorEastAsia" w:hAnsiTheme="minorEastAsia"/>
                <w:sz w:val="18"/>
                <w:szCs w:val="18"/>
              </w:rPr>
              <w:fldChar w:fldCharType="begin">
                <w:ffData>
                  <w:enabled/>
                  <w:calcOnExit w:val="0"/>
                  <w:checkBox>
                    <w:sizeAuto/>
                    <w:default w:val="0"/>
                    <w:checked w:val="0"/>
                  </w:checkBox>
                </w:ffData>
              </w:fldChar>
            </w:r>
            <w:r>
              <w:rPr>
                <w:rFonts w:asciiTheme="minorEastAsia" w:hAnsiTheme="minorEastAsia"/>
                <w:sz w:val="18"/>
                <w:szCs w:val="18"/>
              </w:rPr>
              <w:instrText xml:space="preserve"> FORMCHECKBOX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2"/>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55" w:type="pct"/>
          </w:tcPr>
          <w:p>
            <w:pPr>
              <w:rPr>
                <w:rFonts w:asciiTheme="minorEastAsia" w:hAnsiTheme="minorEastAsia"/>
                <w:sz w:val="18"/>
                <w:szCs w:val="18"/>
              </w:rPr>
            </w:pPr>
            <w:r>
              <w:rPr>
                <w:rFonts w:asciiTheme="minorEastAsia" w:hAnsiTheme="minorEastAsia"/>
                <w:sz w:val="18"/>
                <w:szCs w:val="18"/>
              </w:rPr>
              <w:fldChar w:fldCharType="begin">
                <w:ffData>
                  <w:enabled/>
                  <w:calcOnExit w:val="0"/>
                  <w:checkBox>
                    <w:sizeAuto/>
                    <w:default w:val="0"/>
                    <w:checked w:val="0"/>
                  </w:checkBox>
                </w:ffData>
              </w:fldChar>
            </w:r>
            <w:r>
              <w:rPr>
                <w:rFonts w:asciiTheme="minorEastAsia" w:hAnsiTheme="minorEastAsia"/>
                <w:sz w:val="18"/>
                <w:szCs w:val="18"/>
              </w:rPr>
              <w:instrText xml:space="preserve"> FORMCHECKBOX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2"/>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pct"/>
          </w:tcPr>
          <w:p>
            <w:pPr>
              <w:rPr>
                <w:rFonts w:asciiTheme="minorEastAsia" w:hAnsiTheme="minorEastAsia"/>
                <w:sz w:val="18"/>
                <w:szCs w:val="18"/>
              </w:rPr>
            </w:pPr>
          </w:p>
        </w:tc>
        <w:tc>
          <w:tcPr>
            <w:tcW w:w="1250"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3"/>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49"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3"/>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55"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3"/>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4"/>
          </w:tcPr>
          <w:p>
            <w:pPr>
              <w:rPr>
                <w:rFonts w:asciiTheme="minorEastAsia" w:hAnsiTheme="minorEastAsia"/>
                <w:sz w:val="18"/>
                <w:szCs w:val="18"/>
              </w:rPr>
            </w:pPr>
            <w:r>
              <w:rPr>
                <w:rFonts w:hint="eastAsia" w:asciiTheme="minorEastAsia" w:hAnsiTheme="minorEastAsia"/>
                <w:sz w:val="18"/>
                <w:szCs w:val="18"/>
              </w:rPr>
              <w:t>（三）涉密信息管理检查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pct"/>
          </w:tcPr>
          <w:p>
            <w:pPr>
              <w:rPr>
                <w:rFonts w:asciiTheme="minorEastAsia" w:hAnsiTheme="minorEastAsia"/>
                <w:sz w:val="18"/>
                <w:szCs w:val="18"/>
              </w:rPr>
            </w:pPr>
            <w:r>
              <w:rPr>
                <w:rFonts w:hint="eastAsia" w:asciiTheme="minorEastAsia" w:hAnsiTheme="minorEastAsia"/>
                <w:sz w:val="18"/>
                <w:szCs w:val="18"/>
              </w:rPr>
              <w:t>检查部门</w:t>
            </w:r>
          </w:p>
        </w:tc>
        <w:tc>
          <w:tcPr>
            <w:tcW w:w="1250" w:type="pct"/>
          </w:tcPr>
          <w:p>
            <w:pPr>
              <w:rPr>
                <w:rFonts w:asciiTheme="minorEastAsia" w:hAnsiTheme="minorEastAsia"/>
                <w:sz w:val="18"/>
                <w:szCs w:val="18"/>
              </w:rPr>
            </w:pPr>
            <w:r>
              <w:rPr>
                <w:rFonts w:asciiTheme="minorEastAsia" w:hAnsiTheme="minorEastAsia"/>
                <w:sz w:val="18"/>
                <w:szCs w:val="18"/>
              </w:rPr>
              <w:t>涉密</w:t>
            </w:r>
            <w:r>
              <w:rPr>
                <w:rFonts w:hint="eastAsia" w:asciiTheme="minorEastAsia" w:hAnsiTheme="minorEastAsia"/>
                <w:sz w:val="18"/>
                <w:szCs w:val="18"/>
              </w:rPr>
              <w:t>信息清单制定</w:t>
            </w:r>
          </w:p>
        </w:tc>
        <w:tc>
          <w:tcPr>
            <w:tcW w:w="1249" w:type="pct"/>
          </w:tcPr>
          <w:p>
            <w:pPr>
              <w:rPr>
                <w:rFonts w:asciiTheme="minorEastAsia" w:hAnsiTheme="minorEastAsia"/>
                <w:sz w:val="18"/>
                <w:szCs w:val="18"/>
              </w:rPr>
            </w:pPr>
            <w:r>
              <w:rPr>
                <w:rFonts w:asciiTheme="minorEastAsia" w:hAnsiTheme="minorEastAsia"/>
                <w:sz w:val="18"/>
                <w:szCs w:val="18"/>
              </w:rPr>
              <w:t>涉密</w:t>
            </w:r>
            <w:r>
              <w:rPr>
                <w:rFonts w:hint="eastAsia" w:asciiTheme="minorEastAsia" w:hAnsiTheme="minorEastAsia"/>
                <w:sz w:val="18"/>
                <w:szCs w:val="18"/>
              </w:rPr>
              <w:t>信息密级标注</w:t>
            </w:r>
          </w:p>
        </w:tc>
        <w:tc>
          <w:tcPr>
            <w:tcW w:w="1255" w:type="pct"/>
          </w:tcPr>
          <w:p>
            <w:pPr>
              <w:rPr>
                <w:rFonts w:asciiTheme="minorEastAsia" w:hAnsiTheme="minorEastAsia"/>
                <w:sz w:val="18"/>
                <w:szCs w:val="18"/>
              </w:rPr>
            </w:pPr>
            <w:r>
              <w:rPr>
                <w:rFonts w:asciiTheme="minorEastAsia" w:hAnsiTheme="minorEastAsia"/>
                <w:sz w:val="18"/>
                <w:szCs w:val="18"/>
              </w:rPr>
              <w:t>涉密</w:t>
            </w:r>
            <w:r>
              <w:rPr>
                <w:rFonts w:hint="eastAsia" w:asciiTheme="minorEastAsia" w:hAnsiTheme="minorEastAsia"/>
                <w:sz w:val="18"/>
                <w:szCs w:val="18"/>
              </w:rPr>
              <w:t>信息</w:t>
            </w:r>
            <w:r>
              <w:rPr>
                <w:rFonts w:asciiTheme="minorEastAsia" w:hAnsiTheme="minorEastAsia"/>
                <w:sz w:val="18"/>
                <w:szCs w:val="18"/>
              </w:rPr>
              <w:t>收发记录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pct"/>
          </w:tcPr>
          <w:p>
            <w:pPr>
              <w:rPr>
                <w:rFonts w:asciiTheme="minorEastAsia" w:hAnsiTheme="minorEastAsia"/>
                <w:sz w:val="18"/>
                <w:szCs w:val="18"/>
              </w:rPr>
            </w:pPr>
          </w:p>
        </w:tc>
        <w:tc>
          <w:tcPr>
            <w:tcW w:w="1250"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选中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49"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选中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55"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选中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pct"/>
          </w:tcPr>
          <w:p>
            <w:pPr>
              <w:rPr>
                <w:rFonts w:asciiTheme="minorEastAsia" w:hAnsiTheme="minorEastAsia"/>
                <w:sz w:val="18"/>
                <w:szCs w:val="18"/>
              </w:rPr>
            </w:pPr>
          </w:p>
        </w:tc>
        <w:tc>
          <w:tcPr>
            <w:tcW w:w="1250"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49"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55"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pct"/>
          </w:tcPr>
          <w:p>
            <w:pPr>
              <w:rPr>
                <w:rFonts w:asciiTheme="minorEastAsia" w:hAnsiTheme="minorEastAsia"/>
                <w:sz w:val="18"/>
                <w:szCs w:val="18"/>
              </w:rPr>
            </w:pPr>
          </w:p>
        </w:tc>
        <w:tc>
          <w:tcPr>
            <w:tcW w:w="1250" w:type="pct"/>
          </w:tcPr>
          <w:p>
            <w:pPr>
              <w:rPr>
                <w:rFonts w:asciiTheme="minorEastAsia" w:hAnsiTheme="minorEastAsia"/>
                <w:sz w:val="18"/>
                <w:szCs w:val="18"/>
              </w:rPr>
            </w:pPr>
            <w:r>
              <w:rPr>
                <w:rFonts w:asciiTheme="minorEastAsia" w:hAnsiTheme="minorEastAsia"/>
                <w:sz w:val="18"/>
                <w:szCs w:val="18"/>
              </w:rPr>
              <w:fldChar w:fldCharType="begin">
                <w:ffData>
                  <w:enabled/>
                  <w:calcOnExit w:val="0"/>
                  <w:checkBox>
                    <w:sizeAuto/>
                    <w:default w:val="0"/>
                    <w:checked w:val="0"/>
                  </w:checkBox>
                </w:ffData>
              </w:fldChar>
            </w:r>
            <w:r>
              <w:rPr>
                <w:rFonts w:asciiTheme="minorEastAsia" w:hAnsiTheme="minorEastAsia"/>
                <w:sz w:val="18"/>
                <w:szCs w:val="18"/>
              </w:rPr>
              <w:instrText xml:space="preserve"> FORMCHECKBOX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2"/>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49" w:type="pct"/>
          </w:tcPr>
          <w:p>
            <w:pPr>
              <w:rPr>
                <w:rFonts w:asciiTheme="minorEastAsia" w:hAnsiTheme="minorEastAsia"/>
                <w:sz w:val="18"/>
                <w:szCs w:val="18"/>
              </w:rPr>
            </w:pPr>
            <w:r>
              <w:rPr>
                <w:rFonts w:asciiTheme="minorEastAsia" w:hAnsiTheme="minorEastAsia"/>
                <w:sz w:val="18"/>
                <w:szCs w:val="18"/>
              </w:rPr>
              <w:fldChar w:fldCharType="begin">
                <w:ffData>
                  <w:enabled/>
                  <w:calcOnExit w:val="0"/>
                  <w:checkBox>
                    <w:sizeAuto/>
                    <w:default w:val="0"/>
                    <w:checked w:val="0"/>
                  </w:checkBox>
                </w:ffData>
              </w:fldChar>
            </w:r>
            <w:r>
              <w:rPr>
                <w:rFonts w:asciiTheme="minorEastAsia" w:hAnsiTheme="minorEastAsia"/>
                <w:sz w:val="18"/>
                <w:szCs w:val="18"/>
              </w:rPr>
              <w:instrText xml:space="preserve"> FORMCHECKBOX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2"/>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55" w:type="pct"/>
          </w:tcPr>
          <w:p>
            <w:pPr>
              <w:rPr>
                <w:rFonts w:asciiTheme="minorEastAsia" w:hAnsiTheme="minorEastAsia"/>
                <w:sz w:val="18"/>
                <w:szCs w:val="18"/>
              </w:rPr>
            </w:pPr>
            <w:r>
              <w:rPr>
                <w:rFonts w:asciiTheme="minorEastAsia" w:hAnsiTheme="minorEastAsia"/>
                <w:sz w:val="18"/>
                <w:szCs w:val="18"/>
              </w:rPr>
              <w:fldChar w:fldCharType="begin">
                <w:ffData>
                  <w:enabled/>
                  <w:calcOnExit w:val="0"/>
                  <w:checkBox>
                    <w:sizeAuto/>
                    <w:default w:val="0"/>
                    <w:checked w:val="0"/>
                  </w:checkBox>
                </w:ffData>
              </w:fldChar>
            </w:r>
            <w:r>
              <w:rPr>
                <w:rFonts w:asciiTheme="minorEastAsia" w:hAnsiTheme="minorEastAsia"/>
                <w:sz w:val="18"/>
                <w:szCs w:val="18"/>
              </w:rPr>
              <w:instrText xml:space="preserve"> FORMCHECKBOX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2"/>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pct"/>
          </w:tcPr>
          <w:p>
            <w:pPr>
              <w:rPr>
                <w:rFonts w:asciiTheme="minorEastAsia" w:hAnsiTheme="minorEastAsia"/>
                <w:sz w:val="18"/>
                <w:szCs w:val="18"/>
              </w:rPr>
            </w:pPr>
          </w:p>
        </w:tc>
        <w:tc>
          <w:tcPr>
            <w:tcW w:w="1250"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3"/>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49"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3"/>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55"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3"/>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4"/>
          </w:tcPr>
          <w:p>
            <w:pPr>
              <w:rPr>
                <w:rFonts w:asciiTheme="minorEastAsia" w:hAnsiTheme="minorEastAsia"/>
                <w:sz w:val="18"/>
                <w:szCs w:val="18"/>
              </w:rPr>
            </w:pPr>
            <w:r>
              <w:rPr>
                <w:rFonts w:hint="eastAsia" w:asciiTheme="minorEastAsia" w:hAnsiTheme="minorEastAsia"/>
                <w:sz w:val="18"/>
                <w:szCs w:val="18"/>
              </w:rPr>
              <w:t>（四）涉密区域管理检查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pct"/>
          </w:tcPr>
          <w:p>
            <w:pPr>
              <w:rPr>
                <w:rFonts w:asciiTheme="minorEastAsia" w:hAnsiTheme="minorEastAsia"/>
                <w:sz w:val="18"/>
                <w:szCs w:val="18"/>
              </w:rPr>
            </w:pPr>
            <w:r>
              <w:rPr>
                <w:rFonts w:hint="eastAsia" w:asciiTheme="minorEastAsia" w:hAnsiTheme="minorEastAsia"/>
                <w:sz w:val="18"/>
                <w:szCs w:val="18"/>
              </w:rPr>
              <w:t>检查部门/部位</w:t>
            </w:r>
          </w:p>
        </w:tc>
        <w:tc>
          <w:tcPr>
            <w:tcW w:w="1250" w:type="pct"/>
          </w:tcPr>
          <w:p>
            <w:pPr>
              <w:rPr>
                <w:rFonts w:asciiTheme="minorEastAsia" w:hAnsiTheme="minorEastAsia"/>
                <w:sz w:val="18"/>
                <w:szCs w:val="18"/>
              </w:rPr>
            </w:pPr>
            <w:r>
              <w:rPr>
                <w:rFonts w:asciiTheme="minorEastAsia" w:hAnsiTheme="minorEastAsia"/>
                <w:sz w:val="18"/>
                <w:szCs w:val="18"/>
              </w:rPr>
              <w:t>涉密</w:t>
            </w:r>
            <w:r>
              <w:rPr>
                <w:rFonts w:hint="eastAsia" w:asciiTheme="minorEastAsia" w:hAnsiTheme="minorEastAsia"/>
                <w:sz w:val="18"/>
                <w:szCs w:val="18"/>
              </w:rPr>
              <w:t>区域标识</w:t>
            </w:r>
          </w:p>
        </w:tc>
        <w:tc>
          <w:tcPr>
            <w:tcW w:w="1249" w:type="pct"/>
          </w:tcPr>
          <w:p>
            <w:pPr>
              <w:rPr>
                <w:rFonts w:asciiTheme="minorEastAsia" w:hAnsiTheme="minorEastAsia"/>
                <w:sz w:val="18"/>
                <w:szCs w:val="18"/>
              </w:rPr>
            </w:pPr>
            <w:r>
              <w:rPr>
                <w:rFonts w:asciiTheme="minorEastAsia" w:hAnsiTheme="minorEastAsia"/>
                <w:sz w:val="18"/>
                <w:szCs w:val="18"/>
              </w:rPr>
              <w:t>门禁</w:t>
            </w:r>
            <w:r>
              <w:rPr>
                <w:rFonts w:hint="eastAsia" w:asciiTheme="minorEastAsia" w:hAnsiTheme="minorEastAsia"/>
                <w:sz w:val="18"/>
                <w:szCs w:val="18"/>
              </w:rPr>
              <w:t>/通行证</w:t>
            </w:r>
          </w:p>
        </w:tc>
        <w:tc>
          <w:tcPr>
            <w:tcW w:w="1255" w:type="pct"/>
          </w:tcPr>
          <w:p>
            <w:pPr>
              <w:rPr>
                <w:rFonts w:asciiTheme="minorEastAsia" w:hAnsiTheme="minorEastAsia"/>
                <w:sz w:val="18"/>
                <w:szCs w:val="18"/>
              </w:rPr>
            </w:pPr>
            <w:r>
              <w:rPr>
                <w:rFonts w:asciiTheme="minorEastAsia" w:hAnsiTheme="minorEastAsia"/>
                <w:sz w:val="18"/>
                <w:szCs w:val="18"/>
              </w:rPr>
              <w:t>涉密</w:t>
            </w:r>
            <w:r>
              <w:rPr>
                <w:rFonts w:hint="eastAsia" w:asciiTheme="minorEastAsia" w:hAnsiTheme="minorEastAsia"/>
                <w:sz w:val="18"/>
                <w:szCs w:val="18"/>
              </w:rPr>
              <w:t>区域参访</w:t>
            </w:r>
            <w:r>
              <w:rPr>
                <w:rFonts w:asciiTheme="minorEastAsia" w:hAnsiTheme="minorEastAsia"/>
                <w:sz w:val="18"/>
                <w:szCs w:val="18"/>
              </w:rPr>
              <w:t>记录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pct"/>
          </w:tcPr>
          <w:p>
            <w:pPr>
              <w:rPr>
                <w:rFonts w:asciiTheme="minorEastAsia" w:hAnsiTheme="minorEastAsia"/>
                <w:sz w:val="18"/>
                <w:szCs w:val="18"/>
              </w:rPr>
            </w:pPr>
          </w:p>
        </w:tc>
        <w:tc>
          <w:tcPr>
            <w:tcW w:w="1250"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选中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49"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选中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55"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选中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pct"/>
          </w:tcPr>
          <w:p>
            <w:pPr>
              <w:rPr>
                <w:rFonts w:asciiTheme="minorEastAsia" w:hAnsiTheme="minorEastAsia"/>
                <w:sz w:val="18"/>
                <w:szCs w:val="18"/>
              </w:rPr>
            </w:pPr>
          </w:p>
        </w:tc>
        <w:tc>
          <w:tcPr>
            <w:tcW w:w="1250"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49"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c>
          <w:tcPr>
            <w:tcW w:w="1255" w:type="pct"/>
          </w:tcPr>
          <w:p>
            <w:pPr>
              <w:rPr>
                <w:rFonts w:asciiTheme="minorEastAsia" w:hAnsiTheme="minorEastAsia"/>
                <w:sz w:val="18"/>
                <w:szCs w:val="18"/>
              </w:rPr>
            </w:pPr>
            <w:r>
              <w:rPr>
                <w:rFonts w:asciiTheme="minorEastAsia" w:hAnsiTheme="minorEastAsia"/>
                <w:sz w:val="18"/>
                <w:szCs w:val="18"/>
              </w:rPr>
              <w:fldChar w:fldCharType="begin">
                <w:ffData>
                  <w:name w:val="选中1"/>
                  <w:enabled/>
                  <w:calcOnExit w:val="0"/>
                  <w:checkBox>
                    <w:sizeAuto/>
                    <w:default w:val="0"/>
                    <w:checked w:val="0"/>
                  </w:checkBox>
                </w:ffData>
              </w:fldChar>
            </w:r>
            <w:r>
              <w:rPr>
                <w:rFonts w:asciiTheme="minorEastAsia" w:hAnsiTheme="minorEastAsia"/>
                <w:sz w:val="18"/>
                <w:szCs w:val="18"/>
              </w:rPr>
              <w:instrText xml:space="preserve"> </w:instrText>
            </w:r>
            <w:r>
              <w:rPr>
                <w:rFonts w:hint="eastAsia" w:asciiTheme="minorEastAsia" w:hAnsiTheme="minorEastAsia"/>
                <w:sz w:val="18"/>
                <w:szCs w:val="18"/>
              </w:rPr>
              <w:instrText xml:space="preserve">FORMCHECKBOX</w:instrText>
            </w:r>
            <w:r>
              <w:rPr>
                <w:rFonts w:asciiTheme="minorEastAsia" w:hAnsiTheme="minorEastAsia"/>
                <w:sz w:val="18"/>
                <w:szCs w:val="18"/>
              </w:rPr>
              <w:instrText xml:space="preserve"> </w:instrText>
            </w:r>
            <w:r>
              <w:rPr>
                <w:rFonts w:asciiTheme="minorEastAsia" w:hAnsiTheme="minorEastAsia"/>
                <w:sz w:val="18"/>
                <w:szCs w:val="18"/>
              </w:rPr>
              <w:fldChar w:fldCharType="separate"/>
            </w:r>
            <w:r>
              <w:rPr>
                <w:rFonts w:asciiTheme="minorEastAsia" w:hAnsiTheme="minorEastAsia"/>
                <w:sz w:val="18"/>
                <w:szCs w:val="18"/>
              </w:rPr>
              <w:fldChar w:fldCharType="end"/>
            </w:r>
            <w:r>
              <w:rPr>
                <w:rFonts w:asciiTheme="minorEastAsia" w:hAnsiTheme="minorEastAsia"/>
                <w:sz w:val="18"/>
                <w:szCs w:val="18"/>
              </w:rPr>
              <w:t>未完成</w:t>
            </w:r>
            <w:r>
              <w:rPr>
                <w:rFonts w:hint="eastAsia" w:asciiTheme="minorEastAsia" w:hAnsiTheme="minorEastAsia"/>
                <w:sz w:val="18"/>
                <w:szCs w:val="18"/>
              </w:rPr>
              <w:t xml:space="preserve">   </w:t>
            </w:r>
            <w:r>
              <w:rPr>
                <w:rFonts w:hint="eastAsia" w:asciiTheme="minorEastAsia" w:hAnsiTheme="minorEastAsia"/>
                <w:sz w:val="18"/>
                <w:szCs w:val="18"/>
              </w:rPr>
              <w:fldChar w:fldCharType="begin">
                <w:ffData>
                  <w:name w:val="CheckBox1"/>
                  <w:enabled/>
                  <w:calcOnExit w:val="0"/>
                  <w:checkBox>
                    <w:sizeAuto/>
                    <w:default w:val="0"/>
                    <w:checked w:val="0"/>
                  </w:checkBox>
                </w:ffData>
              </w:fldChar>
            </w:r>
            <w:r>
              <w:rPr>
                <w:rFonts w:hint="eastAsia" w:asciiTheme="minorEastAsia" w:hAnsiTheme="minorEastAsia"/>
                <w:sz w:val="18"/>
                <w:szCs w:val="18"/>
              </w:rPr>
              <w:instrText xml:space="preserve">FORMCHECKBOX</w:instrText>
            </w:r>
            <w:r>
              <w:rPr>
                <w:rFonts w:asciiTheme="minorEastAsia" w:hAnsiTheme="minorEastAsia"/>
                <w:sz w:val="18"/>
                <w:szCs w:val="18"/>
              </w:rPr>
              <w:fldChar w:fldCharType="separate"/>
            </w:r>
            <w:r>
              <w:rPr>
                <w:rFonts w:hint="eastAsia" w:asciiTheme="minorEastAsia" w:hAnsiTheme="minorEastAsia"/>
                <w:sz w:val="18"/>
                <w:szCs w:val="18"/>
              </w:rPr>
              <w:fldChar w:fldCharType="end"/>
            </w:r>
            <w:r>
              <w:rPr>
                <w:rFonts w:hint="eastAsia" w:asciiTheme="minorEastAsia" w:hAnsiTheme="minorEastAsia"/>
                <w:sz w:val="18"/>
                <w:szCs w:val="18"/>
              </w:rPr>
              <w:t>完成</w:t>
            </w:r>
          </w:p>
        </w:tc>
      </w:tr>
    </w:tbl>
    <w:p>
      <w:pPr>
        <w:pStyle w:val="73"/>
      </w:pPr>
    </w:p>
    <w:p>
      <w:pPr>
        <w:pStyle w:val="15"/>
        <w:sectPr>
          <w:pgSz w:w="11906" w:h="16838"/>
          <w:pgMar w:top="1417" w:right="1134" w:bottom="1134" w:left="1418" w:header="1417" w:footer="1134" w:gutter="0"/>
          <w:pgNumType w:fmt="decimal"/>
          <w:cols w:space="425" w:num="1"/>
          <w:docGrid w:type="lines" w:linePitch="312" w:charSpace="0"/>
        </w:sectPr>
      </w:pPr>
      <w:r>
        <w:br w:type="page"/>
      </w:r>
    </w:p>
    <w:p>
      <w:pPr>
        <w:pStyle w:val="98"/>
        <w:spacing w:before="567" w:after="283" w:afterLines="0"/>
        <w:rPr>
          <w:spacing w:val="105"/>
        </w:rPr>
      </w:pPr>
      <w:bookmarkStart w:id="953" w:name="_Toc164761930"/>
      <w:bookmarkStart w:id="954" w:name="_Toc161059144"/>
      <w:bookmarkStart w:id="955" w:name="_Toc161057469"/>
      <w:bookmarkStart w:id="956" w:name="_Toc164760913"/>
      <w:bookmarkStart w:id="957" w:name="_Toc15384"/>
      <w:bookmarkStart w:id="958" w:name="_Toc5966"/>
      <w:bookmarkStart w:id="959" w:name="_Toc157418273"/>
      <w:bookmarkStart w:id="960" w:name="_Toc157415866"/>
      <w:bookmarkStart w:id="961" w:name="_Toc7038"/>
      <w:bookmarkStart w:id="962" w:name="_Toc164761564"/>
      <w:bookmarkStart w:id="963" w:name="_Toc164762110"/>
      <w:bookmarkStart w:id="964" w:name="_Toc165302384"/>
      <w:bookmarkStart w:id="965" w:name="_Toc29280"/>
      <w:r>
        <w:rPr>
          <w:rFonts w:hint="eastAsia"/>
          <w:spacing w:val="105"/>
        </w:rPr>
        <w:t>参考文献</w:t>
      </w:r>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89"/>
        <w:numPr>
          <w:ilvl w:val="0"/>
          <w:numId w:val="68"/>
        </w:numPr>
        <w:jc w:val="left"/>
      </w:pPr>
      <w:r>
        <w:t xml:space="preserve"> </w:t>
      </w:r>
      <w:r>
        <w:rPr>
          <w:rFonts w:hint="eastAsia"/>
        </w:rPr>
        <w:t>《中华人民共和国反不正当竞争法》</w:t>
      </w:r>
    </w:p>
    <w:p>
      <w:pPr>
        <w:pStyle w:val="89"/>
        <w:numPr>
          <w:ilvl w:val="0"/>
          <w:numId w:val="68"/>
        </w:numPr>
        <w:jc w:val="left"/>
      </w:pPr>
      <w:r>
        <w:t xml:space="preserve"> </w:t>
      </w:r>
      <w:r>
        <w:rPr>
          <w:rFonts w:hint="eastAsia"/>
        </w:rPr>
        <w:t>《中华人民共和国劳动合同法》</w:t>
      </w:r>
    </w:p>
    <w:p>
      <w:pPr>
        <w:pStyle w:val="89"/>
        <w:numPr>
          <w:ilvl w:val="0"/>
          <w:numId w:val="68"/>
        </w:numPr>
        <w:jc w:val="left"/>
      </w:pPr>
      <w:r>
        <w:rPr>
          <w:rFonts w:hint="eastAsia"/>
        </w:rPr>
        <w:t xml:space="preserve"> T/PPAC 701-2021 企业商业秘密管理规范</w:t>
      </w:r>
    </w:p>
    <w:p>
      <w:pPr>
        <w:pStyle w:val="89"/>
        <w:numPr>
          <w:ilvl w:val="0"/>
          <w:numId w:val="68"/>
        </w:numPr>
        <w:jc w:val="left"/>
      </w:pPr>
      <w:r>
        <w:rPr>
          <w:rFonts w:hint="eastAsia"/>
        </w:rPr>
        <w:t xml:space="preserve"> 《最高人民法院关于审理侵犯商业秘密民事案件适用法律若干问题的规定》</w:t>
      </w:r>
    </w:p>
    <w:p>
      <w:pPr>
        <w:pStyle w:val="89"/>
        <w:numPr>
          <w:ilvl w:val="0"/>
          <w:numId w:val="68"/>
        </w:numPr>
        <w:jc w:val="left"/>
      </w:pPr>
      <w:r>
        <w:rPr>
          <w:rFonts w:hint="eastAsia"/>
        </w:rPr>
        <w:t xml:space="preserve"> 《北京知识产权法院侵犯商业秘密民事案件诉讼举证参考》</w:t>
      </w:r>
    </w:p>
    <w:p>
      <w:pPr>
        <w:pStyle w:val="89"/>
        <w:numPr>
          <w:ilvl w:val="0"/>
          <w:numId w:val="68"/>
        </w:numPr>
        <w:jc w:val="left"/>
      </w:pPr>
      <w:r>
        <w:t xml:space="preserve"> </w:t>
      </w:r>
      <w:r>
        <w:rPr>
          <w:rFonts w:hint="eastAsia"/>
        </w:rPr>
        <w:t>《国家重点支持的高新技术领域》</w:t>
      </w:r>
    </w:p>
    <w:p>
      <w:pPr>
        <w:pStyle w:val="89"/>
        <w:numPr>
          <w:ilvl w:val="0"/>
          <w:numId w:val="68"/>
        </w:numPr>
        <w:jc w:val="left"/>
      </w:pPr>
      <w:r>
        <w:rPr>
          <w:rFonts w:hint="eastAsia"/>
        </w:rPr>
        <w:t xml:space="preserve"> 《关于企业职工流动若干问题的通知》</w:t>
      </w:r>
    </w:p>
    <w:p>
      <w:pPr>
        <w:pStyle w:val="89"/>
        <w:numPr>
          <w:ilvl w:val="0"/>
          <w:numId w:val="68"/>
        </w:numPr>
        <w:jc w:val="left"/>
      </w:pPr>
      <w:r>
        <w:rPr>
          <w:rFonts w:hint="eastAsia"/>
        </w:rPr>
        <w:t xml:space="preserve"> 《海外商业秘密保护实务指引》中国（深圳）知识产权保护中心深圳市标准技术研究院.2023.3</w:t>
      </w:r>
    </w:p>
    <w:p>
      <w:pPr>
        <w:pStyle w:val="89"/>
        <w:numPr>
          <w:ilvl w:val="0"/>
          <w:numId w:val="68"/>
        </w:numPr>
        <w:jc w:val="left"/>
      </w:pPr>
      <w:r>
        <w:t xml:space="preserve"> </w:t>
      </w:r>
      <w:r>
        <w:rPr>
          <w:rFonts w:hint="eastAsia"/>
        </w:rPr>
        <w:t>《商业秘密司法保护实务》 孔祥俊著.北京：中国法制出版社，2012.5</w:t>
      </w:r>
    </w:p>
    <w:p>
      <w:pPr>
        <w:pStyle w:val="89"/>
        <w:numPr>
          <w:ilvl w:val="0"/>
          <w:numId w:val="68"/>
        </w:numPr>
        <w:jc w:val="left"/>
      </w:pPr>
      <w:r>
        <w:t xml:space="preserve"> </w:t>
      </w:r>
      <w:r>
        <w:rPr>
          <w:rFonts w:hint="eastAsia"/>
        </w:rPr>
        <w:t>《企业商业秘密管理工作指引》 北京市知识产权维权援助中心编著.北京：知识产权出版社，2020.10</w:t>
      </w:r>
    </w:p>
    <w:bookmarkEnd w:id="20"/>
    <w:p>
      <w:pPr>
        <w:pStyle w:val="89"/>
      </w:pPr>
    </w:p>
    <w:p>
      <w:pPr>
        <w:tabs>
          <w:tab w:val="left" w:pos="5280"/>
        </w:tabs>
        <w:jc w:val="left"/>
        <w:rPr>
          <w:rFonts w:hint="eastAsia"/>
        </w:rPr>
      </w:pPr>
      <w:r>
        <w:rPr>
          <w:rFonts w:ascii="黑体" w:hAnsi="黑体" w:eastAsia="黑体"/>
        </w:rPr>
        <mc:AlternateContent>
          <mc:Choice Requires="wps">
            <w:drawing>
              <wp:anchor distT="0" distB="0" distL="114300" distR="114300" simplePos="0" relativeHeight="251666432" behindDoc="0" locked="0" layoutInCell="1" allowOverlap="1">
                <wp:simplePos x="0" y="0"/>
                <wp:positionH relativeFrom="column">
                  <wp:posOffset>2111375</wp:posOffset>
                </wp:positionH>
                <wp:positionV relativeFrom="paragraph">
                  <wp:posOffset>174625</wp:posOffset>
                </wp:positionV>
                <wp:extent cx="1800225" cy="0"/>
                <wp:effectExtent l="0" t="0" r="0" b="0"/>
                <wp:wrapNone/>
                <wp:docPr id="25" name="直接箭头连接符 5"/>
                <wp:cNvGraphicFramePr/>
                <a:graphic xmlns:a="http://schemas.openxmlformats.org/drawingml/2006/main">
                  <a:graphicData uri="http://schemas.microsoft.com/office/word/2010/wordprocessingShape">
                    <wps:wsp>
                      <wps:cNvCnPr>
                        <a:cxnSpLocks noChangeShapeType="1"/>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6.25pt;margin-top:13.75pt;height:0pt;width:141.75pt;z-index:251666432;mso-width-relative:page;mso-height-relative:page;" filled="f" stroked="t" coordsize="21600,21600" o:gfxdata="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&#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t4S4nYAAAACQEAAA8AAAAAAAAAAQAgAAAAIgAAAGRy&#10;cy9kb3ducmV2LnhtbFBLAQIUABQAAAAIAIdO4kB7ntT+BQIAANkDAAAOAAAAAAAAAAEAIAAAACcB&#10;AABkcnMvZTJvRG9jLnhtbFBLBQYAAAAABgAGAFkBAACeBQAAAAA=&#10;">
                <v:fill on="f" focussize="0,0"/>
                <v:stroke color="#000000" joinstyle="round"/>
                <v:imagedata o:title=""/>
                <o:lock v:ext="edit" aspectratio="f"/>
              </v:shape>
            </w:pict>
          </mc:Fallback>
        </mc:AlternateContent>
      </w:r>
      <w:r>
        <w:rPr>
          <w:rFonts w:hint="eastAsia"/>
        </w:rPr>
        <w:tab/>
      </w:r>
    </w:p>
    <w:sectPr>
      <w:pgSz w:w="11906" w:h="16838"/>
      <w:pgMar w:top="1417" w:right="1134" w:bottom="1134" w:left="1418" w:header="1417" w:footer="113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4A29F47-2A16-4B7A-951C-D2D1E67EA73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8F94BAD-C276-4237-8A4A-55A851829CA7}"/>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embedRegular r:id="rId3" w:fontKey="{9E160028-9EC2-477C-BCC5-A204FE3CE2DE}"/>
  </w:font>
  <w:font w:name="Dotum,Bold">
    <w:altName w:val="黑体"/>
    <w:panose1 w:val="00000000000000000000"/>
    <w:charset w:val="86"/>
    <w:family w:val="auto"/>
    <w:pitch w:val="default"/>
    <w:sig w:usb0="00000000" w:usb1="00000000" w:usb2="00000010" w:usb3="00000000" w:csb0="00040000" w:csb1="00000000"/>
    <w:embedRegular r:id="rId4" w:fontKey="{C932FE69-48A9-4680-9169-3F074E4311ED}"/>
  </w:font>
  <w:font w:name="SimSun,Bold">
    <w:altName w:val="黑体"/>
    <w:panose1 w:val="00000000000000000000"/>
    <w:charset w:val="86"/>
    <w:family w:val="auto"/>
    <w:pitch w:val="default"/>
    <w:sig w:usb0="00000000" w:usb1="00000000" w:usb2="00000010" w:usb3="00000000" w:csb0="00040000" w:csb1="00000000"/>
    <w:embedRegular r:id="rId5" w:fontKey="{8D4C68A9-EB6A-4863-88E1-45EE3237F62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rPr>
        <w:rFonts w:asciiTheme="minorEastAsia" w:hAnsiTheme="minorEastAsia"/>
      </w:rPr>
    </w:pPr>
    <w:r>
      <w:rPr>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III</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21"/>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III</w:t>
                    </w:r>
                    <w:r>
                      <w:rPr>
                        <w:rFonts w:hint="eastAsia" w:ascii="宋体" w:hAnsi="宋体" w:eastAsia="宋体" w:cs="宋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rPr>
        <w:rFonts w:asciiTheme="minorEastAsia" w:hAnsiTheme="minorEastAsia"/>
      </w:rPr>
    </w:pPr>
    <w:r>
      <w:rPr>
        <w:sz w:val="1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II</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21"/>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II</w:t>
                    </w:r>
                    <w:r>
                      <w:rPr>
                        <w:rFonts w:hint="eastAsia" w:ascii="宋体" w:hAnsi="宋体" w:eastAsia="宋体" w:cs="宋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rPr>
        <w:rFonts w:asciiTheme="minorEastAsia" w:hAnsiTheme="minorEastAsia"/>
      </w:rPr>
    </w:pPr>
    <w: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pPr>
                      <w:pStyle w:val="21"/>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rPr>
        <w:rFonts w:asciiTheme="minorEastAsia" w:hAnsiTheme="minorEastAsia"/>
      </w:rPr>
    </w:pPr>
    <w: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II</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pPr>
                      <w:pStyle w:val="21"/>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II</w:t>
                    </w:r>
                    <w:r>
                      <w:rPr>
                        <w:rFonts w:hint="eastAsia" w:asciiTheme="minorEastAsia" w:hAnsiTheme="minorEastAsia" w:cstheme="minor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rPr>
        <w:rFonts w:asciiTheme="minorEastAsia" w:hAnsiTheme="minorEastAsia"/>
      </w:rPr>
    </w:pPr>
    <w:r>
      <w:rPr>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jc w:val="right"/>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21"/>
                      <w:jc w:val="right"/>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rPr>
        <w:rFonts w:asciiTheme="minorEastAsia" w:hAnsiTheme="minorEastAsia"/>
      </w:rPr>
    </w:pPr>
    <w:r>
      <w:rPr>
        <w:sz w:val="18"/>
      </w:rP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21"/>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rPr>
        <w:rFonts w:asciiTheme="minorEastAsia" w:hAnsiTheme="minorEastAsia"/>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Pr>
                          <w:r>
                            <w:ptab w:relativeTo="margin" w:alignment="right" w:leader="none"/>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lang w:val="zh-CN"/>
                            </w:rPr>
                            <w:t>17</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pPr>
                      <w:pStyle w:val="21"/>
                    </w:pPr>
                    <w:r>
                      <w:ptab w:relativeTo="margin" w:alignment="right" w:leader="none"/>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lang w:val="zh-CN"/>
                      </w:rPr>
                      <w:t>17</w:t>
                    </w:r>
                    <w:r>
                      <w:rPr>
                        <w:rFonts w:hint="eastAsia" w:ascii="宋体" w:hAnsi="宋体" w:eastAsia="宋体" w:cs="宋体"/>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rPr>
        <w:rFonts w:asciiTheme="minorEastAsia" w:hAnsiTheme="minorEastAsia"/>
      </w:rPr>
    </w:pP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lang w:val="zh-CN"/>
                            </w:rPr>
                            <w:t>16</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1nbycsAgAAVwQAAA4AAABkcnMvZTJvRG9jLnhtbK1UzY7TMBC+I/EO&#10;lu80bVes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n31dpwuXDwAlxo5Iomu2GiFdtf2zHam&#10;OIGYM91seMs3NZJvmQ/3zGEYUDCeS7jDUkqDJKa3KKmM+/qv8xiPHsFLSYPhyqnGW6JEftDoHQDD&#10;YLjB2A2GPqhbg2lFO1BLMnHBBTmYpTPqC97QKuaAi2mOTDkNg3kbugHHG+RitUpBmDbLwlY/WB6h&#10;o3jerg4BAiZdoyidEr1WmLfUmf5txIH+c5+inv4Hy0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DWdvJywCAABXBAAADgAAAAAAAAABACAAAAAfAQAAZHJzL2Uyb0RvYy54bWxQSwUGAAAAAAYA&#10;BgBZAQAAvQUAAAAA&#10;">
              <v:fill on="f" focussize="0,0"/>
              <v:stroke on="f" weight="0.5pt"/>
              <v:imagedata o:title=""/>
              <o:lock v:ext="edit" aspectratio="f"/>
              <v:textbox inset="0mm,0mm,0mm,0mm" style="mso-fit-shape-to-text:t;">
                <w:txbxContent>
                  <w:p>
                    <w:pPr>
                      <w:pStyle w:val="21"/>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lang w:val="zh-CN"/>
                      </w:rPr>
                      <w:t>16</w:t>
                    </w:r>
                    <w:r>
                      <w:rPr>
                        <w:rFonts w:hint="eastAsia" w:ascii="宋体" w:hAnsi="宋体" w:eastAsia="宋体" w:cs="宋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top w:val="none" w:color="auto" w:sz="0" w:space="0"/>
        <w:left w:val="none" w:color="auto" w:sz="0" w:space="0"/>
        <w:bottom w:val="none" w:color="auto" w:sz="0" w:space="1"/>
        <w:right w:val="none" w:color="auto" w:sz="0" w:space="0"/>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jc w:val="right"/>
      <w:textAlignment w:val="auto"/>
      <w:rPr>
        <w:rStyle w:val="62"/>
        <w:rFonts w:ascii="黑体" w:hAnsi="黑体" w:eastAsia="黑体"/>
        <w:i w:val="0"/>
        <w:color w:val="808080" w:themeColor="text1" w:themeTint="80"/>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XXX—2024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jc w:val="left"/>
      <w:textAlignment w:val="auto"/>
      <w:rPr>
        <w:rStyle w:val="62"/>
        <w:rFonts w:ascii="黑体" w:hAnsi="黑体" w:eastAsia="黑体"/>
        <w:i w:val="0"/>
        <w:color w:val="808080" w:themeColor="text1" w:themeTint="80"/>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XXX—2024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ascii="黑体" w:hAnsi="黑体" w:eastAsia="黑体"/>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4</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jc w:val="right"/>
      <w:textAlignment w:val="auto"/>
      <w:rPr>
        <w:rFonts w:ascii="黑体" w:hAnsi="黑体" w:eastAsia="黑体"/>
      </w:rPr>
    </w:pPr>
    <w:r>
      <w:rPr>
        <w:rFonts w:hint="eastAsia" w:ascii="黑体" w:hAnsi="黑体" w:eastAsia="黑体"/>
      </w:rPr>
      <w:t>DB32</w:t>
    </w:r>
    <w:r>
      <w:rPr>
        <w:rFonts w:ascii="黑体" w:hAnsi="黑体" w:eastAsia="黑体"/>
      </w:rPr>
      <w:t>05</w:t>
    </w:r>
    <w:r>
      <w:rPr>
        <w:rFonts w:hint="eastAsia" w:ascii="黑体" w:hAnsi="黑体" w:eastAsia="黑体"/>
      </w:rPr>
      <w:t>/T XXX—2024</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0"/>
      <w:adjustRightInd w:val="0"/>
      <w:snapToGrid w:val="0"/>
      <w:spacing w:after="283"/>
      <w:rPr>
        <w:rStyle w:val="62"/>
        <w:rFonts w:ascii="黑体" w:hAnsi="黑体" w:eastAsia="黑体"/>
        <w:i w:val="0"/>
        <w:color w:val="808080" w:themeColor="text1" w:themeTint="80"/>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textAlignment w:val="auto"/>
      <w:rPr>
        <w:rFonts w:hint="eastAsia" w:ascii="黑体" w:hAnsi="黑体" w:eastAsia="黑体" w:cstheme="minorBidi"/>
        <w:kern w:val="2"/>
        <w:sz w:val="21"/>
        <w:szCs w:val="22"/>
        <w:lang w:val="en-US" w:eastAsia="zh-CN" w:bidi="ar-SA"/>
      </w:rPr>
    </w:pPr>
    <w:r>
      <w:rPr>
        <w:rFonts w:hint="eastAsia" w:ascii="黑体" w:hAnsi="黑体" w:eastAsia="黑体" w:cstheme="minorBidi"/>
        <w:kern w:val="2"/>
        <w:sz w:val="21"/>
        <w:szCs w:val="22"/>
        <w:lang w:val="en-US" w:eastAsia="zh-CN" w:bidi="ar-SA"/>
      </w:rPr>
      <w:t>DB3205/T XXX—2024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0"/>
      <w:adjustRightInd w:val="0"/>
      <w:snapToGrid w:val="0"/>
      <w:spacing w:after="283"/>
      <w:rPr>
        <w:rStyle w:val="62"/>
        <w:rFonts w:ascii="黑体" w:hAnsi="黑体" w:eastAsia="黑体"/>
        <w:i w:val="0"/>
        <w:color w:val="808080" w:themeColor="text1" w:themeTint="80"/>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4</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0"/>
      <w:adjustRightInd w:val="0"/>
      <w:snapToGrid w:val="0"/>
      <w:spacing w:after="283"/>
      <w:rPr>
        <w:rFonts w:ascii="黑体" w:hAnsi="黑体" w:eastAsia="黑体"/>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A8BD44"/>
    <w:multiLevelType w:val="multilevel"/>
    <w:tmpl w:val="00A8BD44"/>
    <w:lvl w:ilvl="0" w:tentative="0">
      <w:start w:val="1"/>
      <w:numFmt w:val="lowerLetter"/>
      <w:pStyle w:val="105"/>
      <w:lvlText w:val="%1)"/>
      <w:lvlJc w:val="left"/>
      <w:pPr>
        <w:tabs>
          <w:tab w:val="left" w:pos="851"/>
        </w:tabs>
        <w:ind w:left="420" w:hanging="380"/>
      </w:pPr>
      <w:rPr>
        <w:rFonts w:hint="eastAsia" w:ascii="宋体" w:hAnsi="Times New Roman" w:eastAsia="宋体"/>
        <w:sz w:val="21"/>
      </w:rPr>
    </w:lvl>
    <w:lvl w:ilvl="1" w:tentative="0">
      <w:start w:val="1"/>
      <w:numFmt w:val="decimal"/>
      <w:pStyle w:val="100"/>
      <w:lvlText w:val="%2)"/>
      <w:lvlJc w:val="left"/>
      <w:pPr>
        <w:tabs>
          <w:tab w:val="left" w:pos="1276"/>
        </w:tabs>
        <w:ind w:left="1276" w:hanging="425"/>
      </w:pPr>
      <w:rPr>
        <w:rFonts w:hint="eastAsia" w:ascii="宋体" w:hAnsi="Times New Roman" w:eastAsia="宋体"/>
        <w:sz w:val="21"/>
      </w:rPr>
    </w:lvl>
    <w:lvl w:ilvl="2" w:tentative="0">
      <w:start w:val="1"/>
      <w:numFmt w:val="decimal"/>
      <w:pStyle w:val="102"/>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02837933"/>
    <w:multiLevelType w:val="multilevel"/>
    <w:tmpl w:val="02837933"/>
    <w:lvl w:ilvl="0" w:tentative="0">
      <w:start w:val="1"/>
      <w:numFmt w:val="decimal"/>
      <w:pStyle w:val="135"/>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2">
    <w:nsid w:val="032315BE"/>
    <w:multiLevelType w:val="multilevel"/>
    <w:tmpl w:val="032315BE"/>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205"/>
      <w:suff w:val="nothing"/>
      <w:lvlText w:val="%1%2.%3　"/>
      <w:lvlJc w:val="left"/>
      <w:pPr>
        <w:ind w:left="0" w:firstLine="0"/>
      </w:pPr>
    </w:lvl>
    <w:lvl w:ilvl="3" w:tentative="0">
      <w:start w:val="1"/>
      <w:numFmt w:val="decimal"/>
      <w:pStyle w:val="174"/>
      <w:suff w:val="nothing"/>
      <w:lvlText w:val="%1%2.%3.%4　"/>
      <w:lvlJc w:val="left"/>
      <w:pPr>
        <w:ind w:left="0" w:firstLine="0"/>
      </w:pPr>
    </w:lvl>
    <w:lvl w:ilvl="4" w:tentative="0">
      <w:start w:val="1"/>
      <w:numFmt w:val="decimal"/>
      <w:pStyle w:val="199"/>
      <w:suff w:val="nothing"/>
      <w:lvlText w:val="%1%2.%3.%4.%5　"/>
      <w:lvlJc w:val="left"/>
      <w:pPr>
        <w:ind w:left="0" w:firstLine="0"/>
      </w:pPr>
    </w:lvl>
    <w:lvl w:ilvl="5" w:tentative="0">
      <w:start w:val="1"/>
      <w:numFmt w:val="decimal"/>
      <w:pStyle w:val="201"/>
      <w:suff w:val="nothing"/>
      <w:lvlText w:val="%1%2.%3.%4.%5.%6　"/>
      <w:lvlJc w:val="left"/>
      <w:pPr>
        <w:ind w:left="0" w:firstLine="0"/>
      </w:pPr>
    </w:lvl>
    <w:lvl w:ilvl="6" w:tentative="0">
      <w:start w:val="1"/>
      <w:numFmt w:val="decimal"/>
      <w:pStyle w:val="204"/>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4">
    <w:nsid w:val="079102AD"/>
    <w:multiLevelType w:val="multilevel"/>
    <w:tmpl w:val="079102AD"/>
    <w:lvl w:ilvl="0" w:tentative="0">
      <w:start w:val="1"/>
      <w:numFmt w:val="decimal"/>
      <w:pStyle w:val="106"/>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5">
    <w:nsid w:val="07ED3FEA"/>
    <w:multiLevelType w:val="multilevel"/>
    <w:tmpl w:val="07ED3FEA"/>
    <w:lvl w:ilvl="0" w:tentative="0">
      <w:start w:val="1"/>
      <w:numFmt w:val="none"/>
      <w:pStyle w:val="71"/>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0AE367E9"/>
    <w:multiLevelType w:val="multilevel"/>
    <w:tmpl w:val="0AE367E9"/>
    <w:lvl w:ilvl="0" w:tentative="0">
      <w:start w:val="1"/>
      <w:numFmt w:val="none"/>
      <w:pStyle w:val="219"/>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7">
    <w:nsid w:val="0BDC1670"/>
    <w:multiLevelType w:val="multilevel"/>
    <w:tmpl w:val="0BDC1670"/>
    <w:lvl w:ilvl="0" w:tentative="0">
      <w:start w:val="1"/>
      <w:numFmt w:val="decimal"/>
      <w:pStyle w:val="13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D051F45"/>
    <w:multiLevelType w:val="multilevel"/>
    <w:tmpl w:val="0D051F45"/>
    <w:lvl w:ilvl="0" w:tentative="0">
      <w:start w:val="1"/>
      <w:numFmt w:val="lowerRoman"/>
      <w:pStyle w:val="21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9">
    <w:nsid w:val="115478FF"/>
    <w:multiLevelType w:val="multilevel"/>
    <w:tmpl w:val="115478FF"/>
    <w:lvl w:ilvl="0" w:tentative="0">
      <w:start w:val="3"/>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0">
    <w:nsid w:val="15EF0C26"/>
    <w:multiLevelType w:val="multilevel"/>
    <w:tmpl w:val="15EF0C26"/>
    <w:lvl w:ilvl="0" w:tentative="0">
      <w:start w:val="1"/>
      <w:numFmt w:val="lowerLetter"/>
      <w:pStyle w:val="77"/>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1">
    <w:nsid w:val="1AD20F90"/>
    <w:multiLevelType w:val="multilevel"/>
    <w:tmpl w:val="1AD20F90"/>
    <w:lvl w:ilvl="0" w:tentative="0">
      <w:start w:val="1"/>
      <w:numFmt w:val="none"/>
      <w:pStyle w:val="168"/>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1AF15012"/>
    <w:multiLevelType w:val="multilevel"/>
    <w:tmpl w:val="1AF15012"/>
    <w:lvl w:ilvl="0" w:tentative="0">
      <w:start w:val="1"/>
      <w:numFmt w:val="upperLetter"/>
      <w:pStyle w:val="153"/>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3">
    <w:nsid w:val="1DF197E5"/>
    <w:multiLevelType w:val="singleLevel"/>
    <w:tmpl w:val="1DF197E5"/>
    <w:lvl w:ilvl="0" w:tentative="0">
      <w:start w:val="1"/>
      <w:numFmt w:val="decimal"/>
      <w:suff w:val="space"/>
      <w:lvlText w:val="[%1]"/>
      <w:lvlJc w:val="left"/>
    </w:lvl>
  </w:abstractNum>
  <w:abstractNum w:abstractNumId="14">
    <w:nsid w:val="1EAA1992"/>
    <w:multiLevelType w:val="multilevel"/>
    <w:tmpl w:val="1EAA1992"/>
    <w:lvl w:ilvl="0" w:tentative="0">
      <w:start w:val="1"/>
      <w:numFmt w:val="none"/>
      <w:pStyle w:val="157"/>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5">
    <w:nsid w:val="1FC91163"/>
    <w:multiLevelType w:val="multilevel"/>
    <w:tmpl w:val="1FC91163"/>
    <w:lvl w:ilvl="0" w:tentative="0">
      <w:start w:val="1"/>
      <w:numFmt w:val="decimal"/>
      <w:pStyle w:val="72"/>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74"/>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76"/>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6">
    <w:nsid w:val="2B51362D"/>
    <w:multiLevelType w:val="multilevel"/>
    <w:tmpl w:val="2B51362D"/>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7">
    <w:nsid w:val="2C5917C3"/>
    <w:multiLevelType w:val="multilevel"/>
    <w:tmpl w:val="2C5917C3"/>
    <w:lvl w:ilvl="0" w:tentative="0">
      <w:start w:val="1"/>
      <w:numFmt w:val="none"/>
      <w:suff w:val="nothing"/>
      <w:lvlText w:val="%1——"/>
      <w:lvlJc w:val="left"/>
      <w:pPr>
        <w:ind w:left="833" w:hanging="408"/>
      </w:pPr>
      <w:rPr>
        <w:rFonts w:hint="eastAsia"/>
        <w:lang w:val="en-US"/>
      </w:rPr>
    </w:lvl>
    <w:lvl w:ilvl="1" w:tentative="0">
      <w:start w:val="1"/>
      <w:numFmt w:val="bullet"/>
      <w:pStyle w:val="78"/>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8">
    <w:nsid w:val="32B18393"/>
    <w:multiLevelType w:val="singleLevel"/>
    <w:tmpl w:val="32B18393"/>
    <w:lvl w:ilvl="0" w:tentative="0">
      <w:start w:val="1"/>
      <w:numFmt w:val="decimal"/>
      <w:lvlText w:val="%1."/>
      <w:lvlJc w:val="left"/>
      <w:pPr>
        <w:ind w:left="425" w:hanging="425"/>
      </w:pPr>
      <w:rPr>
        <w:rFonts w:hint="default"/>
      </w:rPr>
    </w:lvl>
  </w:abstractNum>
  <w:abstractNum w:abstractNumId="19">
    <w:nsid w:val="32F04FB2"/>
    <w:multiLevelType w:val="multilevel"/>
    <w:tmpl w:val="32F04FB2"/>
    <w:lvl w:ilvl="0" w:tentative="0">
      <w:start w:val="1"/>
      <w:numFmt w:val="lowerLetter"/>
      <w:pStyle w:val="163"/>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0">
    <w:nsid w:val="44C50F90"/>
    <w:multiLevelType w:val="multilevel"/>
    <w:tmpl w:val="44C50F90"/>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1">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97"/>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2">
    <w:nsid w:val="4B733A5F"/>
    <w:multiLevelType w:val="multilevel"/>
    <w:tmpl w:val="4B733A5F"/>
    <w:lvl w:ilvl="0" w:tentative="0">
      <w:start w:val="1"/>
      <w:numFmt w:val="decimal"/>
      <w:pStyle w:val="221"/>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3">
    <w:nsid w:val="4E5D0534"/>
    <w:multiLevelType w:val="multilevel"/>
    <w:tmpl w:val="4E5D0534"/>
    <w:lvl w:ilvl="0" w:tentative="0">
      <w:start w:val="1"/>
      <w:numFmt w:val="decimal"/>
      <w:pStyle w:val="173"/>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4">
    <w:nsid w:val="54632751"/>
    <w:multiLevelType w:val="multilevel"/>
    <w:tmpl w:val="54632751"/>
    <w:lvl w:ilvl="0" w:tentative="0">
      <w:start w:val="1"/>
      <w:numFmt w:val="none"/>
      <w:pStyle w:val="158"/>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5">
    <w:nsid w:val="557C2AF5"/>
    <w:multiLevelType w:val="multilevel"/>
    <w:tmpl w:val="557C2AF5"/>
    <w:lvl w:ilvl="0" w:tentative="0">
      <w:start w:val="1"/>
      <w:numFmt w:val="decimal"/>
      <w:pStyle w:val="101"/>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6">
    <w:nsid w:val="5603797C"/>
    <w:multiLevelType w:val="multilevel"/>
    <w:tmpl w:val="5603797C"/>
    <w:lvl w:ilvl="0" w:tentative="0">
      <w:start w:val="1"/>
      <w:numFmt w:val="upperLetter"/>
      <w:pStyle w:val="235"/>
      <w:suff w:val="space"/>
      <w:lvlText w:val="%1"/>
      <w:lvlJc w:val="left"/>
      <w:pPr>
        <w:ind w:left="425" w:hanging="425"/>
      </w:pPr>
      <w:rPr>
        <w:rFonts w:hint="eastAsia"/>
      </w:rPr>
    </w:lvl>
    <w:lvl w:ilvl="1" w:tentative="0">
      <w:start w:val="1"/>
      <w:numFmt w:val="decimal"/>
      <w:pStyle w:val="147"/>
      <w:suff w:val="space"/>
      <w:lvlText w:val="表%1.%2"/>
      <w:lvlJc w:val="center"/>
      <w:pPr>
        <w:ind w:left="3545"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7">
    <w:nsid w:val="564D2089"/>
    <w:multiLevelType w:val="multilevel"/>
    <w:tmpl w:val="564D2089"/>
    <w:lvl w:ilvl="0" w:tentative="0">
      <w:start w:val="1"/>
      <w:numFmt w:val="none"/>
      <w:pStyle w:val="169"/>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644622F9"/>
    <w:multiLevelType w:val="multilevel"/>
    <w:tmpl w:val="644622F9"/>
    <w:lvl w:ilvl="0" w:tentative="0">
      <w:start w:val="1"/>
      <w:numFmt w:val="upperRoman"/>
      <w:pStyle w:val="21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9">
    <w:nsid w:val="646260FA"/>
    <w:multiLevelType w:val="multilevel"/>
    <w:tmpl w:val="646260FA"/>
    <w:lvl w:ilvl="0" w:tentative="0">
      <w:start w:val="1"/>
      <w:numFmt w:val="decimal"/>
      <w:pStyle w:val="82"/>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0">
    <w:nsid w:val="654A26C9"/>
    <w:multiLevelType w:val="multilevel"/>
    <w:tmpl w:val="654A26C9"/>
    <w:lvl w:ilvl="0" w:tentative="0">
      <w:start w:val="1"/>
      <w:numFmt w:val="none"/>
      <w:pStyle w:val="225"/>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31">
    <w:nsid w:val="657D3FBC"/>
    <w:multiLevelType w:val="multilevel"/>
    <w:tmpl w:val="657D3FBC"/>
    <w:lvl w:ilvl="0" w:tentative="0">
      <w:start w:val="1"/>
      <w:numFmt w:val="upperLetter"/>
      <w:pStyle w:val="81"/>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96"/>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32">
    <w:nsid w:val="664BA963"/>
    <w:multiLevelType w:val="multilevel"/>
    <w:tmpl w:val="664BA963"/>
    <w:lvl w:ilvl="0" w:tentative="0">
      <w:start w:val="1"/>
      <w:numFmt w:val="lowerLetter"/>
      <w:lvlText w:val="%1)"/>
      <w:lvlJc w:val="left"/>
      <w:pPr>
        <w:tabs>
          <w:tab w:val="left" w:pos="431"/>
        </w:tabs>
        <w:ind w:left="431" w:hanging="426"/>
      </w:pPr>
      <w:rPr>
        <w:rFonts w:hint="eastAsia" w:ascii="宋体" w:hAnsi="Times New Roman" w:eastAsia="宋体"/>
        <w:sz w:val="21"/>
      </w:rPr>
    </w:lvl>
    <w:lvl w:ilvl="1" w:tentative="0">
      <w:start w:val="1"/>
      <w:numFmt w:val="decimal"/>
      <w:lvlText w:val="%2)"/>
      <w:lvlJc w:val="left"/>
      <w:pPr>
        <w:tabs>
          <w:tab w:val="left" w:pos="856"/>
        </w:tabs>
        <w:ind w:left="856" w:hanging="425"/>
      </w:pPr>
      <w:rPr>
        <w:rFonts w:hint="eastAsia" w:ascii="宋体" w:hAnsi="Times New Roman" w:eastAsia="宋体"/>
        <w:sz w:val="21"/>
      </w:rPr>
    </w:lvl>
    <w:lvl w:ilvl="2" w:tentative="0">
      <w:start w:val="1"/>
      <w:numFmt w:val="decimal"/>
      <w:lvlText w:val="(%3)"/>
      <w:lvlJc w:val="left"/>
      <w:pPr>
        <w:tabs>
          <w:tab w:val="left" w:pos="-420"/>
        </w:tabs>
        <w:ind w:left="1281" w:hanging="425"/>
      </w:pPr>
      <w:rPr>
        <w:rFonts w:hint="eastAsia" w:ascii="宋体" w:hAnsi="Times New Roman" w:eastAsia="宋体"/>
        <w:sz w:val="21"/>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33">
    <w:nsid w:val="69506ABF"/>
    <w:multiLevelType w:val="multilevel"/>
    <w:tmpl w:val="69506ABF"/>
    <w:lvl w:ilvl="0" w:tentative="0">
      <w:start w:val="1"/>
      <w:numFmt w:val="bullet"/>
      <w:pStyle w:val="224"/>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4">
    <w:nsid w:val="6CA41985"/>
    <w:multiLevelType w:val="multilevel"/>
    <w:tmpl w:val="6CA41985"/>
    <w:lvl w:ilvl="0" w:tentative="0">
      <w:start w:val="1"/>
      <w:numFmt w:val="decimal"/>
      <w:pStyle w:val="161"/>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6CE42AC1"/>
    <w:multiLevelType w:val="multilevel"/>
    <w:tmpl w:val="6CE42AC1"/>
    <w:lvl w:ilvl="0" w:tentative="0">
      <w:start w:val="1"/>
      <w:numFmt w:val="lowerLetter"/>
      <w:pStyle w:val="21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88"/>
      <w:suff w:val="nothing"/>
      <w:lvlText w:val="%1%2　"/>
      <w:lvlJc w:val="left"/>
      <w:pPr>
        <w:ind w:left="0" w:firstLine="0"/>
      </w:pPr>
      <w:rPr>
        <w:rFonts w:hint="eastAsia" w:ascii="黑体" w:eastAsia="黑体"/>
        <w:b w:val="0"/>
        <w:i w:val="0"/>
        <w:sz w:val="21"/>
      </w:rPr>
    </w:lvl>
    <w:lvl w:ilvl="2" w:tentative="0">
      <w:start w:val="1"/>
      <w:numFmt w:val="decimal"/>
      <w:pStyle w:val="87"/>
      <w:suff w:val="nothing"/>
      <w:lvlText w:val="%1%2.%3　"/>
      <w:lvlJc w:val="left"/>
      <w:pPr>
        <w:ind w:left="0" w:firstLine="0"/>
      </w:pPr>
      <w:rPr>
        <w:rFonts w:hint="default" w:ascii="黑体" w:hAnsi="Times New Roman" w:eastAsia="黑体" w:cs="Times New Roman"/>
        <w:b w:val="0"/>
        <w:bCs w:val="0"/>
        <w:i w:val="0"/>
        <w:iCs w:val="0"/>
        <w:caps w:val="0"/>
        <w:smallCaps w:val="0"/>
        <w:strike w:val="0"/>
        <w:dstrike w:val="0"/>
        <w:vanish w:val="0"/>
        <w:color w:val="auto"/>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92"/>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7">
    <w:nsid w:val="6DBF04F4"/>
    <w:multiLevelType w:val="multilevel"/>
    <w:tmpl w:val="6DBF04F4"/>
    <w:lvl w:ilvl="0" w:tentative="0">
      <w:start w:val="1"/>
      <w:numFmt w:val="none"/>
      <w:pStyle w:val="80"/>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8">
    <w:nsid w:val="6DF35F19"/>
    <w:multiLevelType w:val="multilevel"/>
    <w:tmpl w:val="6DF35F19"/>
    <w:lvl w:ilvl="0" w:tentative="0">
      <w:start w:val="1"/>
      <w:numFmt w:val="decimal"/>
      <w:pStyle w:val="172"/>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9">
    <w:nsid w:val="76933334"/>
    <w:multiLevelType w:val="multilevel"/>
    <w:tmpl w:val="76933334"/>
    <w:lvl w:ilvl="0" w:tentative="0">
      <w:start w:val="1"/>
      <w:numFmt w:val="none"/>
      <w:pStyle w:val="194"/>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5"/>
  </w:num>
  <w:num w:numId="2">
    <w:abstractNumId w:val="15"/>
  </w:num>
  <w:num w:numId="3">
    <w:abstractNumId w:val="10"/>
  </w:num>
  <w:num w:numId="4">
    <w:abstractNumId w:val="17"/>
  </w:num>
  <w:num w:numId="5">
    <w:abstractNumId w:val="37"/>
  </w:num>
  <w:num w:numId="6">
    <w:abstractNumId w:val="31"/>
  </w:num>
  <w:num w:numId="7">
    <w:abstractNumId w:val="29"/>
  </w:num>
  <w:num w:numId="8">
    <w:abstractNumId w:val="36"/>
  </w:num>
  <w:num w:numId="9">
    <w:abstractNumId w:val="21"/>
  </w:num>
  <w:num w:numId="10">
    <w:abstractNumId w:val="0"/>
  </w:num>
  <w:num w:numId="11">
    <w:abstractNumId w:val="25"/>
  </w:num>
  <w:num w:numId="12">
    <w:abstractNumId w:val="4"/>
  </w:num>
  <w:num w:numId="13">
    <w:abstractNumId w:val="1"/>
  </w:num>
  <w:num w:numId="14">
    <w:abstractNumId w:val="7"/>
  </w:num>
  <w:num w:numId="15">
    <w:abstractNumId w:val="26"/>
  </w:num>
  <w:num w:numId="16">
    <w:abstractNumId w:val="12"/>
  </w:num>
  <w:num w:numId="17">
    <w:abstractNumId w:val="14"/>
  </w:num>
  <w:num w:numId="18">
    <w:abstractNumId w:val="24"/>
  </w:num>
  <w:num w:numId="19">
    <w:abstractNumId w:val="34"/>
  </w:num>
  <w:num w:numId="20">
    <w:abstractNumId w:val="19"/>
  </w:num>
  <w:num w:numId="21">
    <w:abstractNumId w:val="11"/>
  </w:num>
  <w:num w:numId="22">
    <w:abstractNumId w:val="27"/>
  </w:num>
  <w:num w:numId="23">
    <w:abstractNumId w:val="38"/>
  </w:num>
  <w:num w:numId="24">
    <w:abstractNumId w:val="23"/>
  </w:num>
  <w:num w:numId="25">
    <w:abstractNumId w:val="3"/>
  </w:num>
  <w:num w:numId="26">
    <w:abstractNumId w:val="39"/>
  </w:num>
  <w:num w:numId="27">
    <w:abstractNumId w:val="28"/>
  </w:num>
  <w:num w:numId="28">
    <w:abstractNumId w:val="8"/>
  </w:num>
  <w:num w:numId="29">
    <w:abstractNumId w:val="35"/>
  </w:num>
  <w:num w:numId="30">
    <w:abstractNumId w:val="6"/>
  </w:num>
  <w:num w:numId="31">
    <w:abstractNumId w:val="22"/>
  </w:num>
  <w:num w:numId="32">
    <w:abstractNumId w:val="33"/>
  </w:num>
  <w:num w:numId="33">
    <w:abstractNumId w:val="30"/>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num>
  <w:num w:numId="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
  </w:num>
  <w:num w:numId="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6"/>
  </w:num>
  <w:num w:numId="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8"/>
  </w:num>
  <w:num w:numId="67">
    <w:abstractNumId w:val="9"/>
  </w:num>
  <w:num w:numId="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1"/>
  <w:bordersDoNotSurroundHeader w:val="1"/>
  <w:bordersDoNotSurroundFooter w:val="1"/>
  <w:documentProtection w:edit="trackedChanges"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xMDg2ZDVmODAxZDIyMjVlZjY0Zjk3MTNiYWIwMTc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686E"/>
    <w:rsid w:val="00056E11"/>
    <w:rsid w:val="0006343E"/>
    <w:rsid w:val="00065304"/>
    <w:rsid w:val="00071463"/>
    <w:rsid w:val="00074037"/>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1F7798"/>
    <w:rsid w:val="00211953"/>
    <w:rsid w:val="002209AC"/>
    <w:rsid w:val="00220A99"/>
    <w:rsid w:val="00222A27"/>
    <w:rsid w:val="00223A5B"/>
    <w:rsid w:val="00223BD4"/>
    <w:rsid w:val="00230CF6"/>
    <w:rsid w:val="00230F2F"/>
    <w:rsid w:val="00247720"/>
    <w:rsid w:val="00251127"/>
    <w:rsid w:val="00251550"/>
    <w:rsid w:val="002517ED"/>
    <w:rsid w:val="00262444"/>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1F73"/>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7B9E"/>
    <w:rsid w:val="00417738"/>
    <w:rsid w:val="0042003E"/>
    <w:rsid w:val="004212D3"/>
    <w:rsid w:val="00422051"/>
    <w:rsid w:val="0042333A"/>
    <w:rsid w:val="00426BC8"/>
    <w:rsid w:val="00430DD2"/>
    <w:rsid w:val="004426FC"/>
    <w:rsid w:val="0044581A"/>
    <w:rsid w:val="00451407"/>
    <w:rsid w:val="00451847"/>
    <w:rsid w:val="00454031"/>
    <w:rsid w:val="0045451F"/>
    <w:rsid w:val="0045494A"/>
    <w:rsid w:val="004574AE"/>
    <w:rsid w:val="004610BF"/>
    <w:rsid w:val="00471508"/>
    <w:rsid w:val="004926A0"/>
    <w:rsid w:val="00495E4E"/>
    <w:rsid w:val="004A0644"/>
    <w:rsid w:val="004A132F"/>
    <w:rsid w:val="004A6AB6"/>
    <w:rsid w:val="004B01AE"/>
    <w:rsid w:val="004B12F5"/>
    <w:rsid w:val="004B2D06"/>
    <w:rsid w:val="004B540D"/>
    <w:rsid w:val="004C2F70"/>
    <w:rsid w:val="004C5E71"/>
    <w:rsid w:val="004D09E4"/>
    <w:rsid w:val="004D424C"/>
    <w:rsid w:val="004D5B9A"/>
    <w:rsid w:val="004E01DA"/>
    <w:rsid w:val="004E3E2D"/>
    <w:rsid w:val="004E4186"/>
    <w:rsid w:val="004E4DE6"/>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701EA"/>
    <w:rsid w:val="00575480"/>
    <w:rsid w:val="00591331"/>
    <w:rsid w:val="005928C2"/>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D1713"/>
    <w:rsid w:val="006D3593"/>
    <w:rsid w:val="006D384B"/>
    <w:rsid w:val="006D7F23"/>
    <w:rsid w:val="006E42DF"/>
    <w:rsid w:val="006E6B90"/>
    <w:rsid w:val="00705B6D"/>
    <w:rsid w:val="0070744F"/>
    <w:rsid w:val="007078CB"/>
    <w:rsid w:val="00711444"/>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A4FA9"/>
    <w:rsid w:val="007B71FE"/>
    <w:rsid w:val="007B7740"/>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25F79"/>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25F"/>
    <w:rsid w:val="008A6F52"/>
    <w:rsid w:val="008A778B"/>
    <w:rsid w:val="008A7A04"/>
    <w:rsid w:val="008B2AA1"/>
    <w:rsid w:val="008B398E"/>
    <w:rsid w:val="008B4744"/>
    <w:rsid w:val="008B4CD3"/>
    <w:rsid w:val="008C1198"/>
    <w:rsid w:val="008C23EA"/>
    <w:rsid w:val="008C6DE2"/>
    <w:rsid w:val="008C754A"/>
    <w:rsid w:val="008D32D9"/>
    <w:rsid w:val="008D50F3"/>
    <w:rsid w:val="008D6AC9"/>
    <w:rsid w:val="008E1D3D"/>
    <w:rsid w:val="008E73CE"/>
    <w:rsid w:val="008F7846"/>
    <w:rsid w:val="00900625"/>
    <w:rsid w:val="00900D6C"/>
    <w:rsid w:val="00902C03"/>
    <w:rsid w:val="009056B3"/>
    <w:rsid w:val="00905EC8"/>
    <w:rsid w:val="00906EE2"/>
    <w:rsid w:val="00912AA0"/>
    <w:rsid w:val="00914E1E"/>
    <w:rsid w:val="0092183B"/>
    <w:rsid w:val="00922FAC"/>
    <w:rsid w:val="009304BF"/>
    <w:rsid w:val="00932FD3"/>
    <w:rsid w:val="00941A12"/>
    <w:rsid w:val="00941B18"/>
    <w:rsid w:val="0094396F"/>
    <w:rsid w:val="009449CC"/>
    <w:rsid w:val="00945592"/>
    <w:rsid w:val="00953360"/>
    <w:rsid w:val="009534B7"/>
    <w:rsid w:val="0095703E"/>
    <w:rsid w:val="0096181B"/>
    <w:rsid w:val="00961EC7"/>
    <w:rsid w:val="00970C6E"/>
    <w:rsid w:val="00975728"/>
    <w:rsid w:val="00992159"/>
    <w:rsid w:val="0099488E"/>
    <w:rsid w:val="009956AD"/>
    <w:rsid w:val="00996CA4"/>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977D7"/>
    <w:rsid w:val="00AA0DC4"/>
    <w:rsid w:val="00AA377C"/>
    <w:rsid w:val="00AA425D"/>
    <w:rsid w:val="00AB238A"/>
    <w:rsid w:val="00AB2CAF"/>
    <w:rsid w:val="00AB64F6"/>
    <w:rsid w:val="00AD00A8"/>
    <w:rsid w:val="00AD428E"/>
    <w:rsid w:val="00AD74A7"/>
    <w:rsid w:val="00AE49BE"/>
    <w:rsid w:val="00AE55AC"/>
    <w:rsid w:val="00AE5F8A"/>
    <w:rsid w:val="00AF53DB"/>
    <w:rsid w:val="00AF7AFE"/>
    <w:rsid w:val="00B01237"/>
    <w:rsid w:val="00B02086"/>
    <w:rsid w:val="00B06017"/>
    <w:rsid w:val="00B10919"/>
    <w:rsid w:val="00B1286A"/>
    <w:rsid w:val="00B1318E"/>
    <w:rsid w:val="00B17747"/>
    <w:rsid w:val="00B21CF9"/>
    <w:rsid w:val="00B309C2"/>
    <w:rsid w:val="00B319F3"/>
    <w:rsid w:val="00B33754"/>
    <w:rsid w:val="00B36BE0"/>
    <w:rsid w:val="00B37391"/>
    <w:rsid w:val="00B42D11"/>
    <w:rsid w:val="00B42FF5"/>
    <w:rsid w:val="00B44A01"/>
    <w:rsid w:val="00B450A3"/>
    <w:rsid w:val="00B61230"/>
    <w:rsid w:val="00B61250"/>
    <w:rsid w:val="00B618E8"/>
    <w:rsid w:val="00B634DB"/>
    <w:rsid w:val="00B64FF7"/>
    <w:rsid w:val="00B66014"/>
    <w:rsid w:val="00B759FB"/>
    <w:rsid w:val="00B857D0"/>
    <w:rsid w:val="00B97265"/>
    <w:rsid w:val="00BA4CDD"/>
    <w:rsid w:val="00BA70BA"/>
    <w:rsid w:val="00BA7E3E"/>
    <w:rsid w:val="00BB0517"/>
    <w:rsid w:val="00BC34A7"/>
    <w:rsid w:val="00BC6585"/>
    <w:rsid w:val="00BC76F2"/>
    <w:rsid w:val="00BD3F71"/>
    <w:rsid w:val="00BD44B5"/>
    <w:rsid w:val="00BE3C8C"/>
    <w:rsid w:val="00BE537A"/>
    <w:rsid w:val="00BE6581"/>
    <w:rsid w:val="00BF4AEF"/>
    <w:rsid w:val="00C042FA"/>
    <w:rsid w:val="00C1161C"/>
    <w:rsid w:val="00C150AD"/>
    <w:rsid w:val="00C16AD7"/>
    <w:rsid w:val="00C20320"/>
    <w:rsid w:val="00C2384C"/>
    <w:rsid w:val="00C245B1"/>
    <w:rsid w:val="00C27A7C"/>
    <w:rsid w:val="00C30043"/>
    <w:rsid w:val="00C33755"/>
    <w:rsid w:val="00C344C7"/>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BC0"/>
    <w:rsid w:val="00C7008A"/>
    <w:rsid w:val="00C72B93"/>
    <w:rsid w:val="00C7460A"/>
    <w:rsid w:val="00C774B2"/>
    <w:rsid w:val="00C83947"/>
    <w:rsid w:val="00C84D5C"/>
    <w:rsid w:val="00C91A53"/>
    <w:rsid w:val="00C93A0F"/>
    <w:rsid w:val="00C93CF3"/>
    <w:rsid w:val="00CA2979"/>
    <w:rsid w:val="00CA3ECD"/>
    <w:rsid w:val="00CA5E90"/>
    <w:rsid w:val="00CB084A"/>
    <w:rsid w:val="00CB251A"/>
    <w:rsid w:val="00CB69C0"/>
    <w:rsid w:val="00CB6A26"/>
    <w:rsid w:val="00CC212B"/>
    <w:rsid w:val="00CE0575"/>
    <w:rsid w:val="00CE1209"/>
    <w:rsid w:val="00CE274E"/>
    <w:rsid w:val="00CE5A6D"/>
    <w:rsid w:val="00CF2291"/>
    <w:rsid w:val="00CF737D"/>
    <w:rsid w:val="00D069E0"/>
    <w:rsid w:val="00D137EA"/>
    <w:rsid w:val="00D169F2"/>
    <w:rsid w:val="00D20D83"/>
    <w:rsid w:val="00D2420F"/>
    <w:rsid w:val="00D256C0"/>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1394"/>
    <w:rsid w:val="00D85470"/>
    <w:rsid w:val="00D86D72"/>
    <w:rsid w:val="00D914B1"/>
    <w:rsid w:val="00D91668"/>
    <w:rsid w:val="00D965AB"/>
    <w:rsid w:val="00D965BD"/>
    <w:rsid w:val="00DA7326"/>
    <w:rsid w:val="00DB3696"/>
    <w:rsid w:val="00DC418F"/>
    <w:rsid w:val="00DD4EC4"/>
    <w:rsid w:val="00DD5468"/>
    <w:rsid w:val="00DD6F40"/>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615"/>
    <w:rsid w:val="00EE4642"/>
    <w:rsid w:val="00EF0721"/>
    <w:rsid w:val="00EF20A1"/>
    <w:rsid w:val="00F12CCA"/>
    <w:rsid w:val="00F16A12"/>
    <w:rsid w:val="00F16BA1"/>
    <w:rsid w:val="00F200FB"/>
    <w:rsid w:val="00F233DA"/>
    <w:rsid w:val="00F26471"/>
    <w:rsid w:val="00F31218"/>
    <w:rsid w:val="00F435EB"/>
    <w:rsid w:val="00F535DE"/>
    <w:rsid w:val="00F53832"/>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C4373"/>
    <w:rsid w:val="00FC741B"/>
    <w:rsid w:val="00FC7C26"/>
    <w:rsid w:val="00FD0995"/>
    <w:rsid w:val="00FD4916"/>
    <w:rsid w:val="00FD6E30"/>
    <w:rsid w:val="00FE06BE"/>
    <w:rsid w:val="00FE26D3"/>
    <w:rsid w:val="00FE6BAA"/>
    <w:rsid w:val="00FE7CB2"/>
    <w:rsid w:val="00FF2E8A"/>
    <w:rsid w:val="00FF47E6"/>
    <w:rsid w:val="01AA3BAA"/>
    <w:rsid w:val="01B97F5E"/>
    <w:rsid w:val="02670DCF"/>
    <w:rsid w:val="034D2939"/>
    <w:rsid w:val="043164D2"/>
    <w:rsid w:val="04DB69C7"/>
    <w:rsid w:val="056C2AC8"/>
    <w:rsid w:val="078D3A1F"/>
    <w:rsid w:val="08D94A4A"/>
    <w:rsid w:val="09332050"/>
    <w:rsid w:val="09652865"/>
    <w:rsid w:val="097D3D26"/>
    <w:rsid w:val="09E13289"/>
    <w:rsid w:val="0ADA2F69"/>
    <w:rsid w:val="0AE10BBF"/>
    <w:rsid w:val="0B4B7E79"/>
    <w:rsid w:val="0BBA5614"/>
    <w:rsid w:val="0BBD0185"/>
    <w:rsid w:val="0D011260"/>
    <w:rsid w:val="0F5D4929"/>
    <w:rsid w:val="10F22B45"/>
    <w:rsid w:val="11EA4A5D"/>
    <w:rsid w:val="123426ED"/>
    <w:rsid w:val="1330335A"/>
    <w:rsid w:val="13492913"/>
    <w:rsid w:val="140915D6"/>
    <w:rsid w:val="14AB42D7"/>
    <w:rsid w:val="159863B1"/>
    <w:rsid w:val="1614131D"/>
    <w:rsid w:val="16B6476F"/>
    <w:rsid w:val="17B47564"/>
    <w:rsid w:val="1986454E"/>
    <w:rsid w:val="19BD2F50"/>
    <w:rsid w:val="19D653D3"/>
    <w:rsid w:val="19E576EB"/>
    <w:rsid w:val="1A9F3EA8"/>
    <w:rsid w:val="1AF62448"/>
    <w:rsid w:val="1CE617B0"/>
    <w:rsid w:val="1D475092"/>
    <w:rsid w:val="1D641A3B"/>
    <w:rsid w:val="1E901E0D"/>
    <w:rsid w:val="1EFC4C0E"/>
    <w:rsid w:val="1F3709E9"/>
    <w:rsid w:val="1F5511FE"/>
    <w:rsid w:val="1F791B4A"/>
    <w:rsid w:val="1FF922F7"/>
    <w:rsid w:val="203A6C9D"/>
    <w:rsid w:val="2132712B"/>
    <w:rsid w:val="21B40591"/>
    <w:rsid w:val="21B938DD"/>
    <w:rsid w:val="235D1A58"/>
    <w:rsid w:val="23893375"/>
    <w:rsid w:val="23D049E7"/>
    <w:rsid w:val="24F31A54"/>
    <w:rsid w:val="262E49A9"/>
    <w:rsid w:val="291C47AB"/>
    <w:rsid w:val="299E589B"/>
    <w:rsid w:val="29DD2289"/>
    <w:rsid w:val="2A0674B9"/>
    <w:rsid w:val="2A19342E"/>
    <w:rsid w:val="2A9E6EDA"/>
    <w:rsid w:val="2AC259E9"/>
    <w:rsid w:val="2ADE7F6A"/>
    <w:rsid w:val="2F033AB7"/>
    <w:rsid w:val="2FC604F2"/>
    <w:rsid w:val="30512DC8"/>
    <w:rsid w:val="305807BF"/>
    <w:rsid w:val="30BA0FA5"/>
    <w:rsid w:val="32697E49"/>
    <w:rsid w:val="33525555"/>
    <w:rsid w:val="355276CD"/>
    <w:rsid w:val="37875802"/>
    <w:rsid w:val="397A5D84"/>
    <w:rsid w:val="3A38257A"/>
    <w:rsid w:val="3A773D1D"/>
    <w:rsid w:val="3B337E5E"/>
    <w:rsid w:val="3C0C2E90"/>
    <w:rsid w:val="3C153A08"/>
    <w:rsid w:val="3D6F398A"/>
    <w:rsid w:val="3D9E1027"/>
    <w:rsid w:val="3E6447D3"/>
    <w:rsid w:val="3FCB4391"/>
    <w:rsid w:val="407103DB"/>
    <w:rsid w:val="41DD26A1"/>
    <w:rsid w:val="42653F95"/>
    <w:rsid w:val="432D5ADB"/>
    <w:rsid w:val="455B5C08"/>
    <w:rsid w:val="459E4A6E"/>
    <w:rsid w:val="45E5444B"/>
    <w:rsid w:val="46024881"/>
    <w:rsid w:val="46432AD9"/>
    <w:rsid w:val="48C6265B"/>
    <w:rsid w:val="491679AE"/>
    <w:rsid w:val="4A496D4D"/>
    <w:rsid w:val="4B793EB9"/>
    <w:rsid w:val="4CC8541E"/>
    <w:rsid w:val="4D7C7F66"/>
    <w:rsid w:val="4E497F1B"/>
    <w:rsid w:val="4E72372F"/>
    <w:rsid w:val="4E826BA1"/>
    <w:rsid w:val="4FB262DF"/>
    <w:rsid w:val="502913D8"/>
    <w:rsid w:val="506A1CDA"/>
    <w:rsid w:val="513145D7"/>
    <w:rsid w:val="51DB264E"/>
    <w:rsid w:val="52013E99"/>
    <w:rsid w:val="52884ADC"/>
    <w:rsid w:val="54EF45B2"/>
    <w:rsid w:val="55927B54"/>
    <w:rsid w:val="561C68FE"/>
    <w:rsid w:val="56FA05E0"/>
    <w:rsid w:val="57205312"/>
    <w:rsid w:val="575B4970"/>
    <w:rsid w:val="58953240"/>
    <w:rsid w:val="58EA0B58"/>
    <w:rsid w:val="597102CD"/>
    <w:rsid w:val="5AA42EE1"/>
    <w:rsid w:val="5AB20E18"/>
    <w:rsid w:val="5ADD04B0"/>
    <w:rsid w:val="5E127A94"/>
    <w:rsid w:val="5EC2103E"/>
    <w:rsid w:val="5F3651D2"/>
    <w:rsid w:val="61E0223F"/>
    <w:rsid w:val="62275A9D"/>
    <w:rsid w:val="62A274F4"/>
    <w:rsid w:val="63473BF7"/>
    <w:rsid w:val="64490C49"/>
    <w:rsid w:val="66832C22"/>
    <w:rsid w:val="67451519"/>
    <w:rsid w:val="68706054"/>
    <w:rsid w:val="688A0DE6"/>
    <w:rsid w:val="68917B90"/>
    <w:rsid w:val="68F02F9E"/>
    <w:rsid w:val="691D1DC4"/>
    <w:rsid w:val="69CF4947"/>
    <w:rsid w:val="6A4626EF"/>
    <w:rsid w:val="6A6B34D5"/>
    <w:rsid w:val="6A7C706D"/>
    <w:rsid w:val="6ADF74D7"/>
    <w:rsid w:val="6BCA186A"/>
    <w:rsid w:val="6C0563E5"/>
    <w:rsid w:val="6C6C0C3F"/>
    <w:rsid w:val="6C89702F"/>
    <w:rsid w:val="6C917B8F"/>
    <w:rsid w:val="6DAD049D"/>
    <w:rsid w:val="6DBB7FED"/>
    <w:rsid w:val="6ECD387A"/>
    <w:rsid w:val="6F1468E1"/>
    <w:rsid w:val="6F2F03DB"/>
    <w:rsid w:val="6FF139B8"/>
    <w:rsid w:val="70064409"/>
    <w:rsid w:val="72127AC6"/>
    <w:rsid w:val="748E5C99"/>
    <w:rsid w:val="74BF2C7A"/>
    <w:rsid w:val="75682D8E"/>
    <w:rsid w:val="75A31161"/>
    <w:rsid w:val="75D25B10"/>
    <w:rsid w:val="76442929"/>
    <w:rsid w:val="76C27A63"/>
    <w:rsid w:val="795409C4"/>
    <w:rsid w:val="7AF60F49"/>
    <w:rsid w:val="7BBE3424"/>
    <w:rsid w:val="7E0328BC"/>
    <w:rsid w:val="7FAC1FBF"/>
    <w:rsid w:val="7FF57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39" w:name="toc 8"/>
    <w:lsdException w:uiPriority="39" w:name="toc 9"/>
    <w:lsdException w:qFormat="1" w:unhideWhenUsed="0" w:uiPriority="0" w:semiHidden="0" w:name="Normal Indent"/>
    <w:lsdException w:qFormat="1" w:unhideWhenUsed="0" w:uiPriority="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0" w:name="table of figures"/>
    <w:lsdException w:uiPriority="99" w:name="envelope address"/>
    <w:lsdException w:qFormat="1" w:unhideWhenUsed="0" w:uiPriority="0" w:semiHidden="0" w:name="envelope return"/>
    <w:lsdException w:qFormat="1" w:uiPriority="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0"/>
    <w:autoRedefine/>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41"/>
    <w:autoRedefine/>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2"/>
    <w:autoRedefine/>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43"/>
    <w:autoRedefine/>
    <w:qFormat/>
    <w:uiPriority w:val="0"/>
    <w:pPr>
      <w:keepNext/>
      <w:keepLines/>
      <w:tabs>
        <w:tab w:val="left" w:pos="5700"/>
      </w:tabs>
      <w:adjustRightInd w:val="0"/>
      <w:spacing w:before="280" w:after="290" w:line="376" w:lineRule="auto"/>
      <w:jc w:val="left"/>
      <w:outlineLvl w:val="3"/>
    </w:pPr>
    <w:rPr>
      <w:rFonts w:ascii="Arial" w:hAnsi="Arial" w:eastAsia="黑体" w:cs="Times New Roman"/>
      <w:b/>
      <w:bCs/>
      <w:sz w:val="28"/>
      <w:szCs w:val="28"/>
    </w:rPr>
  </w:style>
  <w:style w:type="paragraph" w:styleId="6">
    <w:name w:val="heading 5"/>
    <w:basedOn w:val="1"/>
    <w:next w:val="1"/>
    <w:link w:val="44"/>
    <w:autoRedefine/>
    <w:qFormat/>
    <w:uiPriority w:val="0"/>
    <w:pPr>
      <w:keepNext/>
      <w:keepLines/>
      <w:tabs>
        <w:tab w:val="left" w:pos="5700"/>
      </w:tabs>
      <w:spacing w:before="280" w:after="290" w:line="376" w:lineRule="auto"/>
      <w:jc w:val="left"/>
      <w:outlineLvl w:val="4"/>
    </w:pPr>
    <w:rPr>
      <w:rFonts w:ascii="Calibri" w:hAnsi="Calibri" w:eastAsia="宋体" w:cs="Times New Roman"/>
      <w:b/>
      <w:bCs/>
      <w:sz w:val="28"/>
      <w:szCs w:val="28"/>
    </w:rPr>
  </w:style>
  <w:style w:type="paragraph" w:styleId="7">
    <w:name w:val="heading 6"/>
    <w:basedOn w:val="1"/>
    <w:next w:val="1"/>
    <w:link w:val="45"/>
    <w:autoRedefine/>
    <w:qFormat/>
    <w:uiPriority w:val="0"/>
    <w:pPr>
      <w:keepNext/>
      <w:keepLines/>
      <w:tabs>
        <w:tab w:val="left" w:pos="5700"/>
      </w:tabs>
      <w:spacing w:before="240" w:after="64" w:line="320" w:lineRule="auto"/>
      <w:jc w:val="left"/>
      <w:outlineLvl w:val="5"/>
    </w:pPr>
    <w:rPr>
      <w:rFonts w:ascii="Arial" w:hAnsi="Arial" w:eastAsia="黑体" w:cs="Times New Roman"/>
      <w:b/>
      <w:bCs/>
      <w:sz w:val="24"/>
      <w:szCs w:val="24"/>
    </w:rPr>
  </w:style>
  <w:style w:type="paragraph" w:styleId="8">
    <w:name w:val="heading 7"/>
    <w:basedOn w:val="1"/>
    <w:next w:val="1"/>
    <w:link w:val="46"/>
    <w:autoRedefine/>
    <w:qFormat/>
    <w:uiPriority w:val="0"/>
    <w:pPr>
      <w:keepNext/>
      <w:keepLines/>
      <w:tabs>
        <w:tab w:val="left" w:pos="5700"/>
      </w:tabs>
      <w:spacing w:before="240" w:after="64" w:line="320" w:lineRule="auto"/>
      <w:jc w:val="left"/>
      <w:outlineLvl w:val="6"/>
    </w:pPr>
    <w:rPr>
      <w:rFonts w:ascii="Calibri" w:hAnsi="Calibri" w:eastAsia="宋体" w:cs="Times New Roman"/>
      <w:b/>
      <w:bCs/>
      <w:sz w:val="24"/>
      <w:szCs w:val="24"/>
    </w:rPr>
  </w:style>
  <w:style w:type="paragraph" w:styleId="9">
    <w:name w:val="heading 8"/>
    <w:basedOn w:val="1"/>
    <w:next w:val="1"/>
    <w:link w:val="47"/>
    <w:autoRedefine/>
    <w:qFormat/>
    <w:uiPriority w:val="0"/>
    <w:pPr>
      <w:keepNext/>
      <w:keepLines/>
      <w:tabs>
        <w:tab w:val="left" w:pos="5700"/>
      </w:tabs>
      <w:spacing w:before="240" w:after="64" w:line="320" w:lineRule="auto"/>
      <w:jc w:val="left"/>
      <w:outlineLvl w:val="7"/>
    </w:pPr>
    <w:rPr>
      <w:rFonts w:ascii="Arial" w:hAnsi="Arial" w:eastAsia="黑体" w:cs="Times New Roman"/>
      <w:sz w:val="24"/>
      <w:szCs w:val="24"/>
    </w:rPr>
  </w:style>
  <w:style w:type="paragraph" w:styleId="10">
    <w:name w:val="heading 9"/>
    <w:basedOn w:val="1"/>
    <w:next w:val="1"/>
    <w:link w:val="48"/>
    <w:autoRedefine/>
    <w:qFormat/>
    <w:uiPriority w:val="0"/>
    <w:pPr>
      <w:keepNext/>
      <w:keepLines/>
      <w:tabs>
        <w:tab w:val="left" w:pos="5700"/>
      </w:tabs>
      <w:spacing w:before="240" w:after="64" w:line="320" w:lineRule="auto"/>
      <w:jc w:val="left"/>
      <w:outlineLvl w:val="8"/>
    </w:pPr>
    <w:rPr>
      <w:rFonts w:ascii="Arial" w:hAnsi="Arial" w:eastAsia="黑体" w:cs="Times New Roman"/>
      <w:szCs w:val="21"/>
    </w:rPr>
  </w:style>
  <w:style w:type="character" w:default="1" w:styleId="33">
    <w:name w:val="Default Paragraph Font"/>
    <w:autoRedefine/>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left" w:pos="5700"/>
        <w:tab w:val="right" w:leader="dot" w:pos="9344"/>
      </w:tabs>
      <w:adjustRightInd w:val="0"/>
      <w:spacing w:line="300" w:lineRule="exact"/>
      <w:ind w:left="1259"/>
      <w:jc w:val="left"/>
    </w:pPr>
    <w:rPr>
      <w:rFonts w:ascii="宋体" w:hAnsi="Calibri" w:eastAsia="宋体" w:cs="Times New Roman"/>
      <w:szCs w:val="21"/>
    </w:rPr>
  </w:style>
  <w:style w:type="paragraph" w:styleId="12">
    <w:name w:val="Normal Indent"/>
    <w:basedOn w:val="1"/>
    <w:next w:val="13"/>
    <w:autoRedefine/>
    <w:qFormat/>
    <w:uiPriority w:val="0"/>
    <w:pPr>
      <w:ind w:firstLine="420"/>
    </w:pPr>
  </w:style>
  <w:style w:type="paragraph" w:styleId="13">
    <w:name w:val="envelope return"/>
    <w:basedOn w:val="1"/>
    <w:autoRedefine/>
    <w:qFormat/>
    <w:uiPriority w:val="0"/>
    <w:pPr>
      <w:snapToGrid w:val="0"/>
    </w:pPr>
    <w:rPr>
      <w:rFonts w:ascii="Arial" w:hAnsi="Arial" w:eastAsia="仿宋_GB2312"/>
      <w:sz w:val="32"/>
    </w:rPr>
  </w:style>
  <w:style w:type="paragraph" w:styleId="14">
    <w:name w:val="annotation text"/>
    <w:basedOn w:val="1"/>
    <w:link w:val="49"/>
    <w:autoRedefine/>
    <w:unhideWhenUsed/>
    <w:qFormat/>
    <w:uiPriority w:val="0"/>
    <w:pPr>
      <w:jc w:val="left"/>
    </w:pPr>
  </w:style>
  <w:style w:type="paragraph" w:styleId="15">
    <w:name w:val="Body Text"/>
    <w:basedOn w:val="1"/>
    <w:link w:val="39"/>
    <w:autoRedefine/>
    <w:qFormat/>
    <w:uiPriority w:val="0"/>
    <w:pPr>
      <w:spacing w:before="156" w:beforeLines="50" w:after="156" w:afterLines="50"/>
    </w:pPr>
  </w:style>
  <w:style w:type="paragraph" w:styleId="16">
    <w:name w:val="toc 5"/>
    <w:basedOn w:val="1"/>
    <w:next w:val="1"/>
    <w:autoRedefine/>
    <w:unhideWhenUsed/>
    <w:qFormat/>
    <w:uiPriority w:val="39"/>
    <w:pPr>
      <w:tabs>
        <w:tab w:val="left" w:pos="5700"/>
      </w:tabs>
      <w:adjustRightInd w:val="0"/>
      <w:spacing w:line="400" w:lineRule="exact"/>
      <w:ind w:left="839"/>
      <w:jc w:val="left"/>
    </w:pPr>
    <w:rPr>
      <w:rFonts w:ascii="宋体" w:hAnsi="Calibri" w:eastAsia="宋体" w:cs="Times New Roman"/>
      <w:szCs w:val="21"/>
    </w:rPr>
  </w:style>
  <w:style w:type="paragraph" w:styleId="17">
    <w:name w:val="toc 3"/>
    <w:basedOn w:val="1"/>
    <w:next w:val="1"/>
    <w:autoRedefine/>
    <w:unhideWhenUsed/>
    <w:qFormat/>
    <w:uiPriority w:val="39"/>
    <w:pPr>
      <w:ind w:left="840" w:leftChars="400"/>
    </w:pPr>
  </w:style>
  <w:style w:type="paragraph" w:styleId="18">
    <w:name w:val="Date"/>
    <w:basedOn w:val="1"/>
    <w:next w:val="1"/>
    <w:link w:val="50"/>
    <w:autoRedefine/>
    <w:semiHidden/>
    <w:unhideWhenUsed/>
    <w:qFormat/>
    <w:uiPriority w:val="99"/>
    <w:pPr>
      <w:ind w:left="100" w:leftChars="2500"/>
    </w:pPr>
  </w:style>
  <w:style w:type="paragraph" w:styleId="19">
    <w:name w:val="Body Text Indent 2"/>
    <w:basedOn w:val="1"/>
    <w:link w:val="51"/>
    <w:autoRedefine/>
    <w:qFormat/>
    <w:uiPriority w:val="0"/>
    <w:pPr>
      <w:spacing w:line="276" w:lineRule="auto"/>
      <w:ind w:firstLine="420" w:firstLineChars="200"/>
    </w:pPr>
    <w:rPr>
      <w:rFonts w:ascii="宋体" w:hAnsi="宋体" w:eastAsia="宋体" w:cs="Times New Roman"/>
      <w:snapToGrid w:val="0"/>
      <w:kern w:val="0"/>
      <w:szCs w:val="24"/>
    </w:rPr>
  </w:style>
  <w:style w:type="paragraph" w:styleId="20">
    <w:name w:val="Balloon Text"/>
    <w:basedOn w:val="1"/>
    <w:link w:val="52"/>
    <w:autoRedefine/>
    <w:semiHidden/>
    <w:unhideWhenUsed/>
    <w:qFormat/>
    <w:uiPriority w:val="99"/>
    <w:rPr>
      <w:sz w:val="18"/>
      <w:szCs w:val="18"/>
    </w:rPr>
  </w:style>
  <w:style w:type="paragraph" w:styleId="21">
    <w:name w:val="footer"/>
    <w:basedOn w:val="1"/>
    <w:link w:val="53"/>
    <w:autoRedefine/>
    <w:unhideWhenUsed/>
    <w:qFormat/>
    <w:uiPriority w:val="99"/>
    <w:pPr>
      <w:tabs>
        <w:tab w:val="center" w:pos="4153"/>
        <w:tab w:val="right" w:pos="8306"/>
      </w:tabs>
      <w:snapToGrid w:val="0"/>
      <w:jc w:val="left"/>
    </w:pPr>
    <w:rPr>
      <w:sz w:val="18"/>
      <w:szCs w:val="18"/>
    </w:rPr>
  </w:style>
  <w:style w:type="paragraph" w:styleId="22">
    <w:name w:val="header"/>
    <w:basedOn w:val="1"/>
    <w:link w:val="5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autoRedefine/>
    <w:unhideWhenUsed/>
    <w:qFormat/>
    <w:uiPriority w:val="39"/>
  </w:style>
  <w:style w:type="paragraph" w:styleId="24">
    <w:name w:val="toc 4"/>
    <w:basedOn w:val="1"/>
    <w:next w:val="1"/>
    <w:autoRedefine/>
    <w:unhideWhenUsed/>
    <w:qFormat/>
    <w:uiPriority w:val="39"/>
    <w:pPr>
      <w:tabs>
        <w:tab w:val="left" w:pos="5700"/>
        <w:tab w:val="right" w:leader="dot" w:pos="9344"/>
      </w:tabs>
      <w:adjustRightInd w:val="0"/>
      <w:spacing w:line="300" w:lineRule="exact"/>
      <w:ind w:left="629"/>
      <w:jc w:val="left"/>
    </w:pPr>
    <w:rPr>
      <w:rFonts w:ascii="宋体" w:hAnsi="Calibri" w:eastAsia="宋体" w:cs="Times New Roman"/>
      <w:szCs w:val="21"/>
    </w:rPr>
  </w:style>
  <w:style w:type="paragraph" w:styleId="25">
    <w:name w:val="Subtitle"/>
    <w:basedOn w:val="1"/>
    <w:next w:val="1"/>
    <w:link w:val="55"/>
    <w:autoRedefine/>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26">
    <w:name w:val="footnote text"/>
    <w:basedOn w:val="1"/>
    <w:next w:val="1"/>
    <w:link w:val="121"/>
    <w:autoRedefine/>
    <w:semiHidden/>
    <w:qFormat/>
    <w:uiPriority w:val="0"/>
    <w:pPr>
      <w:tabs>
        <w:tab w:val="left" w:pos="5700"/>
      </w:tabs>
      <w:snapToGrid w:val="0"/>
      <w:spacing w:line="300" w:lineRule="exact"/>
      <w:ind w:left="400" w:leftChars="200" w:hanging="200" w:hangingChars="200"/>
      <w:jc w:val="left"/>
    </w:pPr>
    <w:rPr>
      <w:rFonts w:ascii="宋体" w:hAnsi="Calibri" w:eastAsia="宋体" w:cs="Times New Roman"/>
      <w:sz w:val="18"/>
      <w:szCs w:val="18"/>
    </w:rPr>
  </w:style>
  <w:style w:type="paragraph" w:styleId="27">
    <w:name w:val="toc 6"/>
    <w:basedOn w:val="1"/>
    <w:next w:val="1"/>
    <w:autoRedefine/>
    <w:unhideWhenUsed/>
    <w:qFormat/>
    <w:uiPriority w:val="39"/>
    <w:pPr>
      <w:tabs>
        <w:tab w:val="left" w:pos="5700"/>
      </w:tabs>
      <w:adjustRightInd w:val="0"/>
      <w:spacing w:line="300" w:lineRule="exact"/>
      <w:ind w:left="1049"/>
      <w:jc w:val="left"/>
    </w:pPr>
    <w:rPr>
      <w:rFonts w:ascii="宋体" w:hAnsi="Calibri" w:eastAsia="宋体" w:cs="Times New Roman"/>
      <w:szCs w:val="21"/>
    </w:rPr>
  </w:style>
  <w:style w:type="paragraph" w:styleId="28">
    <w:name w:val="toc 2"/>
    <w:basedOn w:val="1"/>
    <w:next w:val="1"/>
    <w:autoRedefine/>
    <w:unhideWhenUsed/>
    <w:qFormat/>
    <w:uiPriority w:val="39"/>
    <w:pPr>
      <w:tabs>
        <w:tab w:val="right" w:leader="dot" w:pos="9344"/>
      </w:tabs>
      <w:ind w:left="420" w:leftChars="200"/>
    </w:pPr>
  </w:style>
  <w:style w:type="paragraph" w:styleId="29">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styleId="30">
    <w:name w:val="Title"/>
    <w:basedOn w:val="1"/>
    <w:next w:val="1"/>
    <w:link w:val="56"/>
    <w:autoRedefine/>
    <w:qFormat/>
    <w:uiPriority w:val="0"/>
    <w:pPr>
      <w:spacing w:before="240" w:after="60"/>
      <w:jc w:val="center"/>
      <w:outlineLvl w:val="0"/>
    </w:pPr>
    <w:rPr>
      <w:rFonts w:eastAsia="宋体" w:asciiTheme="majorHAnsi" w:hAnsiTheme="majorHAnsi" w:cstheme="majorBidi"/>
      <w:b/>
      <w:bCs/>
      <w:sz w:val="32"/>
      <w:szCs w:val="32"/>
    </w:rPr>
  </w:style>
  <w:style w:type="table" w:styleId="32">
    <w:name w:val="Table Grid"/>
    <w:basedOn w:val="31"/>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4">
    <w:name w:val="Strong"/>
    <w:autoRedefine/>
    <w:qFormat/>
    <w:uiPriority w:val="0"/>
    <w:rPr>
      <w:b/>
      <w:bCs/>
    </w:rPr>
  </w:style>
  <w:style w:type="character" w:styleId="35">
    <w:name w:val="page number"/>
    <w:autoRedefine/>
    <w:qFormat/>
    <w:uiPriority w:val="0"/>
    <w:rPr>
      <w:rFonts w:ascii="宋体" w:hAnsi="Times New Roman" w:eastAsia="宋体"/>
      <w:sz w:val="18"/>
    </w:rPr>
  </w:style>
  <w:style w:type="character" w:styleId="36">
    <w:name w:val="Emphasis"/>
    <w:autoRedefine/>
    <w:qFormat/>
    <w:uiPriority w:val="20"/>
    <w:rPr>
      <w:i/>
      <w:iCs/>
    </w:rPr>
  </w:style>
  <w:style w:type="character" w:styleId="37">
    <w:name w:val="Hyperlink"/>
    <w:basedOn w:val="33"/>
    <w:autoRedefine/>
    <w:unhideWhenUsed/>
    <w:qFormat/>
    <w:uiPriority w:val="99"/>
    <w:rPr>
      <w:color w:val="0000FF" w:themeColor="hyperlink"/>
      <w:u w:val="single"/>
      <w14:textFill>
        <w14:solidFill>
          <w14:schemeClr w14:val="hlink"/>
        </w14:solidFill>
      </w14:textFill>
    </w:rPr>
  </w:style>
  <w:style w:type="character" w:styleId="38">
    <w:name w:val="annotation reference"/>
    <w:basedOn w:val="33"/>
    <w:autoRedefine/>
    <w:semiHidden/>
    <w:unhideWhenUsed/>
    <w:qFormat/>
    <w:uiPriority w:val="99"/>
    <w:rPr>
      <w:sz w:val="21"/>
      <w:szCs w:val="21"/>
    </w:rPr>
  </w:style>
  <w:style w:type="character" w:customStyle="1" w:styleId="39">
    <w:name w:val="正文文本 Char"/>
    <w:link w:val="15"/>
    <w:autoRedefine/>
    <w:qFormat/>
    <w:uiPriority w:val="0"/>
    <w:rPr>
      <w:rFonts w:asciiTheme="minorHAnsi" w:hAnsiTheme="minorHAnsi" w:eastAsiaTheme="minorEastAsia" w:cstheme="minorBidi"/>
      <w:kern w:val="2"/>
      <w:sz w:val="21"/>
      <w:szCs w:val="22"/>
    </w:rPr>
  </w:style>
  <w:style w:type="character" w:customStyle="1" w:styleId="40">
    <w:name w:val="标题 1 Char"/>
    <w:basedOn w:val="33"/>
    <w:link w:val="2"/>
    <w:autoRedefine/>
    <w:qFormat/>
    <w:uiPriority w:val="0"/>
    <w:rPr>
      <w:rFonts w:ascii="Calibri" w:hAnsi="Calibri" w:eastAsia="宋体" w:cs="Times New Roman"/>
      <w:b/>
      <w:bCs/>
      <w:kern w:val="44"/>
      <w:sz w:val="44"/>
      <w:szCs w:val="44"/>
    </w:rPr>
  </w:style>
  <w:style w:type="character" w:customStyle="1" w:styleId="41">
    <w:name w:val="标题 2 Char"/>
    <w:basedOn w:val="33"/>
    <w:link w:val="3"/>
    <w:autoRedefine/>
    <w:qFormat/>
    <w:uiPriority w:val="0"/>
    <w:rPr>
      <w:rFonts w:asciiTheme="majorHAnsi" w:hAnsiTheme="majorHAnsi" w:eastAsiaTheme="majorEastAsia" w:cstheme="majorBidi"/>
      <w:b/>
      <w:bCs/>
      <w:sz w:val="32"/>
      <w:szCs w:val="32"/>
    </w:rPr>
  </w:style>
  <w:style w:type="character" w:customStyle="1" w:styleId="42">
    <w:name w:val="标题 3 Char"/>
    <w:basedOn w:val="33"/>
    <w:link w:val="4"/>
    <w:autoRedefine/>
    <w:qFormat/>
    <w:uiPriority w:val="0"/>
    <w:rPr>
      <w:b/>
      <w:bCs/>
      <w:sz w:val="32"/>
      <w:szCs w:val="32"/>
    </w:rPr>
  </w:style>
  <w:style w:type="character" w:customStyle="1" w:styleId="43">
    <w:name w:val="标题 4 Char"/>
    <w:basedOn w:val="33"/>
    <w:link w:val="5"/>
    <w:qFormat/>
    <w:uiPriority w:val="0"/>
    <w:rPr>
      <w:rFonts w:ascii="Arial" w:hAnsi="Arial" w:eastAsia="黑体"/>
      <w:b/>
      <w:bCs/>
      <w:kern w:val="2"/>
      <w:sz w:val="28"/>
      <w:szCs w:val="28"/>
    </w:rPr>
  </w:style>
  <w:style w:type="character" w:customStyle="1" w:styleId="44">
    <w:name w:val="标题 5 Char"/>
    <w:basedOn w:val="33"/>
    <w:link w:val="6"/>
    <w:qFormat/>
    <w:uiPriority w:val="0"/>
    <w:rPr>
      <w:rFonts w:ascii="Calibri" w:hAnsi="Calibri"/>
      <w:b/>
      <w:bCs/>
      <w:kern w:val="2"/>
      <w:sz w:val="28"/>
      <w:szCs w:val="28"/>
    </w:rPr>
  </w:style>
  <w:style w:type="character" w:customStyle="1" w:styleId="45">
    <w:name w:val="标题 6 Char"/>
    <w:basedOn w:val="33"/>
    <w:link w:val="7"/>
    <w:autoRedefine/>
    <w:qFormat/>
    <w:uiPriority w:val="0"/>
    <w:rPr>
      <w:rFonts w:ascii="Arial" w:hAnsi="Arial" w:eastAsia="黑体"/>
      <w:b/>
      <w:bCs/>
      <w:kern w:val="2"/>
      <w:sz w:val="24"/>
      <w:szCs w:val="24"/>
    </w:rPr>
  </w:style>
  <w:style w:type="character" w:customStyle="1" w:styleId="46">
    <w:name w:val="标题 7 Char"/>
    <w:basedOn w:val="33"/>
    <w:link w:val="8"/>
    <w:qFormat/>
    <w:uiPriority w:val="0"/>
    <w:rPr>
      <w:rFonts w:ascii="Calibri" w:hAnsi="Calibri"/>
      <w:b/>
      <w:bCs/>
      <w:kern w:val="2"/>
      <w:sz w:val="24"/>
      <w:szCs w:val="24"/>
    </w:rPr>
  </w:style>
  <w:style w:type="character" w:customStyle="1" w:styleId="47">
    <w:name w:val="标题 8 Char"/>
    <w:basedOn w:val="33"/>
    <w:link w:val="9"/>
    <w:autoRedefine/>
    <w:qFormat/>
    <w:uiPriority w:val="0"/>
    <w:rPr>
      <w:rFonts w:ascii="Arial" w:hAnsi="Arial" w:eastAsia="黑体"/>
      <w:kern w:val="2"/>
      <w:sz w:val="24"/>
      <w:szCs w:val="24"/>
    </w:rPr>
  </w:style>
  <w:style w:type="character" w:customStyle="1" w:styleId="48">
    <w:name w:val="标题 9 Char"/>
    <w:basedOn w:val="33"/>
    <w:link w:val="10"/>
    <w:autoRedefine/>
    <w:qFormat/>
    <w:uiPriority w:val="0"/>
    <w:rPr>
      <w:rFonts w:ascii="Arial" w:hAnsi="Arial" w:eastAsia="黑体"/>
      <w:kern w:val="2"/>
      <w:sz w:val="21"/>
      <w:szCs w:val="21"/>
    </w:rPr>
  </w:style>
  <w:style w:type="character" w:customStyle="1" w:styleId="49">
    <w:name w:val="批注文字 Char"/>
    <w:basedOn w:val="33"/>
    <w:link w:val="14"/>
    <w:autoRedefine/>
    <w:qFormat/>
    <w:uiPriority w:val="0"/>
    <w:rPr>
      <w:rFonts w:asciiTheme="minorHAnsi" w:hAnsiTheme="minorHAnsi" w:eastAsiaTheme="minorEastAsia" w:cstheme="minorBidi"/>
      <w:kern w:val="2"/>
      <w:sz w:val="21"/>
      <w:szCs w:val="22"/>
    </w:rPr>
  </w:style>
  <w:style w:type="character" w:customStyle="1" w:styleId="50">
    <w:name w:val="日期 Char"/>
    <w:basedOn w:val="33"/>
    <w:link w:val="18"/>
    <w:autoRedefine/>
    <w:semiHidden/>
    <w:qFormat/>
    <w:uiPriority w:val="99"/>
  </w:style>
  <w:style w:type="character" w:customStyle="1" w:styleId="51">
    <w:name w:val="正文文本缩进 2 Char"/>
    <w:basedOn w:val="33"/>
    <w:link w:val="19"/>
    <w:autoRedefine/>
    <w:qFormat/>
    <w:uiPriority w:val="0"/>
    <w:rPr>
      <w:rFonts w:ascii="宋体" w:hAnsi="宋体" w:eastAsia="宋体" w:cs="Times New Roman"/>
      <w:snapToGrid w:val="0"/>
      <w:kern w:val="0"/>
      <w:szCs w:val="24"/>
    </w:rPr>
  </w:style>
  <w:style w:type="character" w:customStyle="1" w:styleId="52">
    <w:name w:val="批注框文本 Char"/>
    <w:basedOn w:val="33"/>
    <w:link w:val="20"/>
    <w:autoRedefine/>
    <w:semiHidden/>
    <w:qFormat/>
    <w:uiPriority w:val="99"/>
    <w:rPr>
      <w:sz w:val="18"/>
      <w:szCs w:val="18"/>
    </w:rPr>
  </w:style>
  <w:style w:type="character" w:customStyle="1" w:styleId="53">
    <w:name w:val="页脚 Char"/>
    <w:basedOn w:val="33"/>
    <w:link w:val="21"/>
    <w:autoRedefine/>
    <w:qFormat/>
    <w:uiPriority w:val="99"/>
    <w:rPr>
      <w:sz w:val="18"/>
      <w:szCs w:val="18"/>
    </w:rPr>
  </w:style>
  <w:style w:type="character" w:customStyle="1" w:styleId="54">
    <w:name w:val="页眉 Char"/>
    <w:basedOn w:val="33"/>
    <w:link w:val="22"/>
    <w:autoRedefine/>
    <w:qFormat/>
    <w:uiPriority w:val="99"/>
    <w:rPr>
      <w:sz w:val="18"/>
      <w:szCs w:val="18"/>
    </w:rPr>
  </w:style>
  <w:style w:type="character" w:customStyle="1" w:styleId="55">
    <w:name w:val="副标题 Char"/>
    <w:basedOn w:val="33"/>
    <w:link w:val="25"/>
    <w:autoRedefine/>
    <w:qFormat/>
    <w:uiPriority w:val="11"/>
    <w:rPr>
      <w:rFonts w:eastAsia="宋体" w:asciiTheme="majorHAnsi" w:hAnsiTheme="majorHAnsi" w:cstheme="majorBidi"/>
      <w:b/>
      <w:bCs/>
      <w:kern w:val="28"/>
      <w:sz w:val="32"/>
      <w:szCs w:val="32"/>
    </w:rPr>
  </w:style>
  <w:style w:type="character" w:customStyle="1" w:styleId="56">
    <w:name w:val="标题 Char"/>
    <w:basedOn w:val="33"/>
    <w:link w:val="30"/>
    <w:autoRedefine/>
    <w:qFormat/>
    <w:uiPriority w:val="0"/>
    <w:rPr>
      <w:rFonts w:eastAsia="宋体" w:asciiTheme="majorHAnsi" w:hAnsiTheme="majorHAnsi" w:cstheme="majorBidi"/>
      <w:b/>
      <w:bCs/>
      <w:sz w:val="32"/>
      <w:szCs w:val="32"/>
    </w:rPr>
  </w:style>
  <w:style w:type="paragraph" w:styleId="57">
    <w:name w:val="List Paragraph"/>
    <w:basedOn w:val="1"/>
    <w:autoRedefine/>
    <w:qFormat/>
    <w:uiPriority w:val="99"/>
    <w:pPr>
      <w:ind w:firstLine="420" w:firstLineChars="200"/>
    </w:pPr>
  </w:style>
  <w:style w:type="paragraph" w:customStyle="1" w:styleId="58">
    <w:name w:val="标准标志"/>
    <w:next w:val="1"/>
    <w:autoRedefine/>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9">
    <w:name w:val="Char Char Char Char"/>
    <w:basedOn w:val="1"/>
    <w:autoRedefine/>
    <w:qFormat/>
    <w:uiPriority w:val="0"/>
    <w:pPr>
      <w:widowControl/>
      <w:spacing w:after="160" w:line="240" w:lineRule="exact"/>
      <w:jc w:val="left"/>
    </w:pPr>
    <w:rPr>
      <w:rFonts w:ascii="Arial" w:hAnsi="Arial" w:eastAsia="Times New Roman" w:cs="Verdana"/>
      <w:b/>
      <w:kern w:val="0"/>
      <w:sz w:val="24"/>
      <w:szCs w:val="20"/>
      <w:lang w:eastAsia="en-US"/>
    </w:rPr>
  </w:style>
  <w:style w:type="paragraph" w:styleId="60">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61">
    <w:name w:val="封面标准号1"/>
    <w:autoRedefine/>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62">
    <w:name w:val="不明显强调1"/>
    <w:basedOn w:val="33"/>
    <w:autoRedefine/>
    <w:qFormat/>
    <w:uiPriority w:val="19"/>
    <w:rPr>
      <w:i/>
      <w:iCs/>
      <w:color w:val="808080" w:themeColor="text1" w:themeTint="80"/>
      <w14:textFill>
        <w14:solidFill>
          <w14:schemeClr w14:val="tx1">
            <w14:lumMod w14:val="50000"/>
            <w14:lumOff w14:val="50000"/>
          </w14:schemeClr>
        </w14:solidFill>
      </w14:textFill>
    </w:rPr>
  </w:style>
  <w:style w:type="paragraph" w:customStyle="1" w:styleId="63">
    <w:name w:val="三级条标题"/>
    <w:basedOn w:val="1"/>
    <w:next w:val="1"/>
    <w:autoRedefine/>
    <w:qFormat/>
    <w:uiPriority w:val="0"/>
    <w:pPr>
      <w:widowControl/>
      <w:ind w:left="855"/>
      <w:outlineLvl w:val="4"/>
    </w:pPr>
    <w:rPr>
      <w:rFonts w:ascii="黑体" w:hAnsi="Times New Roman" w:eastAsia="黑体" w:cs="Times New Roman"/>
      <w:kern w:val="0"/>
      <w:szCs w:val="20"/>
    </w:rPr>
  </w:style>
  <w:style w:type="paragraph" w:customStyle="1" w:styleId="64">
    <w:name w:val="附录章标题"/>
    <w:next w:val="1"/>
    <w:autoRedefine/>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65">
    <w:name w:val="附录表标题"/>
    <w:next w:val="1"/>
    <w:autoRedefine/>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66">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67">
    <w:name w:val="high-light-bg4"/>
    <w:basedOn w:val="33"/>
    <w:autoRedefine/>
    <w:qFormat/>
    <w:uiPriority w:val="0"/>
  </w:style>
  <w:style w:type="character" w:customStyle="1" w:styleId="68">
    <w:name w:val="ordinary-span-edit2"/>
    <w:basedOn w:val="33"/>
    <w:autoRedefine/>
    <w:qFormat/>
    <w:uiPriority w:val="0"/>
  </w:style>
  <w:style w:type="paragraph" w:customStyle="1" w:styleId="69">
    <w:name w:val="正文1"/>
    <w:autoRedefine/>
    <w:qFormat/>
    <w:uiPriority w:val="0"/>
    <w:pPr>
      <w:jc w:val="both"/>
    </w:pPr>
    <w:rPr>
      <w:rFonts w:ascii="Calibri" w:hAnsi="Calibri" w:eastAsia="宋体" w:cs="宋体"/>
      <w:kern w:val="2"/>
      <w:sz w:val="21"/>
      <w:szCs w:val="21"/>
      <w:lang w:val="en-US" w:eastAsia="zh-CN" w:bidi="ar-SA"/>
    </w:rPr>
  </w:style>
  <w:style w:type="character" w:customStyle="1" w:styleId="70">
    <w:name w:val="dash6b63_6587__char1"/>
    <w:autoRedefine/>
    <w:qFormat/>
    <w:uiPriority w:val="0"/>
    <w:rPr>
      <w:rFonts w:hint="default" w:ascii="Times New Roman" w:hAnsi="Times New Roman" w:cs="Times New Roman"/>
      <w:sz w:val="20"/>
      <w:szCs w:val="20"/>
      <w:u w:val="none"/>
    </w:rPr>
  </w:style>
  <w:style w:type="paragraph" w:customStyle="1" w:styleId="71">
    <w:name w:val="标准文件_前言、引言标题"/>
    <w:next w:val="1"/>
    <w:autoRedefine/>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72">
    <w:name w:val="章标题"/>
    <w:next w:val="73"/>
    <w:autoRedefine/>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73">
    <w:name w:val="段"/>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74">
    <w:name w:val="一级条标题"/>
    <w:next w:val="73"/>
    <w:autoRedefine/>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75">
    <w:name w:val="二级无"/>
    <w:basedOn w:val="76"/>
    <w:autoRedefine/>
    <w:qFormat/>
    <w:uiPriority w:val="0"/>
    <w:pPr>
      <w:spacing w:before="0" w:beforeLines="0" w:after="0" w:afterLines="0"/>
    </w:pPr>
    <w:rPr>
      <w:rFonts w:ascii="宋体" w:eastAsia="宋体"/>
    </w:rPr>
  </w:style>
  <w:style w:type="paragraph" w:customStyle="1" w:styleId="76">
    <w:name w:val="二级条标题"/>
    <w:basedOn w:val="74"/>
    <w:next w:val="73"/>
    <w:autoRedefine/>
    <w:qFormat/>
    <w:uiPriority w:val="0"/>
    <w:pPr>
      <w:numPr>
        <w:ilvl w:val="2"/>
      </w:numPr>
      <w:spacing w:before="50" w:after="50"/>
      <w:outlineLvl w:val="3"/>
    </w:pPr>
  </w:style>
  <w:style w:type="paragraph" w:customStyle="1" w:styleId="77">
    <w:name w:val="字母编号列项（一级）"/>
    <w:autoRedefine/>
    <w:qFormat/>
    <w:uiPriority w:val="0"/>
    <w:pPr>
      <w:numPr>
        <w:ilvl w:val="0"/>
        <w:numId w:val="3"/>
      </w:numPr>
      <w:jc w:val="both"/>
    </w:pPr>
    <w:rPr>
      <w:rFonts w:ascii="宋体" w:hAnsi="Times New Roman" w:eastAsia="宋体" w:cs="Times New Roman"/>
      <w:sz w:val="21"/>
      <w:lang w:val="en-US" w:eastAsia="zh-CN" w:bidi="ar-SA"/>
    </w:rPr>
  </w:style>
  <w:style w:type="paragraph" w:customStyle="1" w:styleId="78">
    <w:name w:val="列项●（二级）"/>
    <w:autoRedefine/>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79">
    <w:name w:val="注：（正文）"/>
    <w:basedOn w:val="80"/>
    <w:next w:val="73"/>
    <w:autoRedefine/>
    <w:qFormat/>
    <w:uiPriority w:val="0"/>
  </w:style>
  <w:style w:type="paragraph" w:customStyle="1" w:styleId="80">
    <w:name w:val="注："/>
    <w:next w:val="73"/>
    <w:autoRedefine/>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81">
    <w:name w:val="附录标识"/>
    <w:basedOn w:val="1"/>
    <w:next w:val="73"/>
    <w:autoRedefine/>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82">
    <w:name w:val="正文表标题"/>
    <w:next w:val="73"/>
    <w:autoRedefine/>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83">
    <w:name w:val="Other|1"/>
    <w:basedOn w:val="1"/>
    <w:autoRedefine/>
    <w:qFormat/>
    <w:uiPriority w:val="0"/>
    <w:rPr>
      <w:rFonts w:ascii="宋体" w:hAnsi="宋体" w:cs="宋体"/>
      <w:sz w:val="19"/>
      <w:szCs w:val="19"/>
      <w:lang w:val="zh-CN" w:bidi="zh-CN"/>
    </w:rPr>
  </w:style>
  <w:style w:type="paragraph" w:customStyle="1" w:styleId="84">
    <w:name w:val="终结线"/>
    <w:basedOn w:val="1"/>
    <w:autoRedefine/>
    <w:qFormat/>
    <w:uiPriority w:val="0"/>
    <w:pPr>
      <w:framePr w:hSpace="181" w:vSpace="181" w:wrap="around" w:vAnchor="text" w:hAnchor="margin" w:xAlign="center" w:y="285"/>
    </w:pPr>
  </w:style>
  <w:style w:type="paragraph" w:customStyle="1" w:styleId="85">
    <w:name w:val="标准文件_术语条一"/>
    <w:basedOn w:val="86"/>
    <w:next w:val="89"/>
    <w:autoRedefine/>
    <w:qFormat/>
    <w:uiPriority w:val="0"/>
  </w:style>
  <w:style w:type="paragraph" w:customStyle="1" w:styleId="86">
    <w:name w:val="标准文件_一级无标题"/>
    <w:basedOn w:val="87"/>
    <w:autoRedefine/>
    <w:qFormat/>
    <w:uiPriority w:val="0"/>
    <w:pPr>
      <w:spacing w:before="0" w:beforeLines="0" w:after="0" w:afterLines="0"/>
      <w:outlineLvl w:val="9"/>
    </w:pPr>
    <w:rPr>
      <w:rFonts w:ascii="宋体" w:eastAsia="宋体"/>
    </w:rPr>
  </w:style>
  <w:style w:type="paragraph" w:customStyle="1" w:styleId="87">
    <w:name w:val="标准文件_一级条标题"/>
    <w:basedOn w:val="88"/>
    <w:next w:val="89"/>
    <w:autoRedefine/>
    <w:qFormat/>
    <w:uiPriority w:val="0"/>
    <w:pPr>
      <w:numPr>
        <w:ilvl w:val="2"/>
      </w:numPr>
      <w:spacing w:before="50" w:beforeLines="50" w:after="50" w:afterLines="50"/>
      <w:outlineLvl w:val="1"/>
    </w:pPr>
  </w:style>
  <w:style w:type="paragraph" w:customStyle="1" w:styleId="88">
    <w:name w:val="标准文件_章标题"/>
    <w:next w:val="89"/>
    <w:autoRedefine/>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89">
    <w:name w:val="标准文件_段"/>
    <w:link w:val="90"/>
    <w:autoRedefine/>
    <w:qFormat/>
    <w:uiPriority w:val="0"/>
    <w:pPr>
      <w:autoSpaceDE w:val="0"/>
      <w:autoSpaceDN w:val="0"/>
      <w:jc w:val="center"/>
    </w:pPr>
    <w:rPr>
      <w:rFonts w:ascii="宋体" w:hAnsi="Times New Roman" w:eastAsia="宋体" w:cs="Times New Roman"/>
      <w:sz w:val="21"/>
      <w:lang w:val="en-US" w:eastAsia="zh-CN" w:bidi="ar-SA"/>
    </w:rPr>
  </w:style>
  <w:style w:type="character" w:customStyle="1" w:styleId="90">
    <w:name w:val="标准文件_段 Char"/>
    <w:link w:val="89"/>
    <w:autoRedefine/>
    <w:qFormat/>
    <w:uiPriority w:val="0"/>
    <w:rPr>
      <w:rFonts w:ascii="宋体"/>
      <w:sz w:val="21"/>
    </w:rPr>
  </w:style>
  <w:style w:type="paragraph" w:customStyle="1" w:styleId="91">
    <w:name w:val="标准文件_二级无标题"/>
    <w:basedOn w:val="92"/>
    <w:autoRedefine/>
    <w:qFormat/>
    <w:uiPriority w:val="0"/>
    <w:pPr>
      <w:spacing w:before="0" w:beforeLines="0" w:after="0" w:afterLines="0"/>
      <w:outlineLvl w:val="9"/>
    </w:pPr>
    <w:rPr>
      <w:rFonts w:ascii="宋体" w:eastAsia="宋体"/>
    </w:rPr>
  </w:style>
  <w:style w:type="paragraph" w:customStyle="1" w:styleId="92">
    <w:name w:val="标准文件_二级条标题"/>
    <w:next w:val="89"/>
    <w:autoRedefine/>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93">
    <w:name w:val="标准文件_页脚奇数页"/>
    <w:autoRedefine/>
    <w:qFormat/>
    <w:uiPriority w:val="0"/>
    <w:pPr>
      <w:ind w:right="227"/>
      <w:jc w:val="right"/>
    </w:pPr>
    <w:rPr>
      <w:rFonts w:ascii="宋体" w:hAnsi="Times New Roman" w:eastAsia="宋体" w:cs="Times New Roman"/>
      <w:sz w:val="18"/>
      <w:lang w:val="en-US" w:eastAsia="zh-CN" w:bidi="ar-SA"/>
    </w:rPr>
  </w:style>
  <w:style w:type="paragraph" w:customStyle="1" w:styleId="94">
    <w:name w:val="标准文件_页脚偶数页"/>
    <w:autoRedefine/>
    <w:qFormat/>
    <w:uiPriority w:val="0"/>
    <w:pPr>
      <w:ind w:left="198"/>
    </w:pPr>
    <w:rPr>
      <w:rFonts w:ascii="宋体" w:hAnsi="Times New Roman" w:eastAsia="宋体" w:cs="Times New Roman"/>
      <w:sz w:val="18"/>
      <w:lang w:val="en-US" w:eastAsia="zh-CN" w:bidi="ar-SA"/>
    </w:rPr>
  </w:style>
  <w:style w:type="paragraph" w:customStyle="1" w:styleId="95">
    <w:name w:val="说明文字"/>
    <w:basedOn w:val="1"/>
    <w:autoRedefine/>
    <w:qFormat/>
    <w:uiPriority w:val="0"/>
  </w:style>
  <w:style w:type="paragraph" w:customStyle="1" w:styleId="96">
    <w:name w:val="标准文件_附录一级条标题"/>
    <w:next w:val="89"/>
    <w:autoRedefine/>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97">
    <w:name w:val="标准文件_附录图标题"/>
    <w:next w:val="89"/>
    <w:autoRedefine/>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98">
    <w:name w:val="标准文件_参考文献标题"/>
    <w:basedOn w:val="1"/>
    <w:next w:val="1"/>
    <w:autoRedefine/>
    <w:qFormat/>
    <w:uiPriority w:val="0"/>
    <w:pPr>
      <w:widowControl/>
      <w:shd w:val="clear" w:color="FFFFFF" w:fill="FFFFFF"/>
      <w:spacing w:before="580" w:after="50" w:afterLines="50"/>
      <w:jc w:val="center"/>
      <w:outlineLvl w:val="0"/>
    </w:pPr>
    <w:rPr>
      <w:rFonts w:ascii="黑体" w:eastAsia="黑体"/>
      <w:kern w:val="0"/>
    </w:rPr>
  </w:style>
  <w:style w:type="paragraph" w:customStyle="1" w:styleId="99">
    <w:name w:val="标准文件_三级条标题"/>
    <w:basedOn w:val="92"/>
    <w:next w:val="89"/>
    <w:autoRedefine/>
    <w:qFormat/>
    <w:uiPriority w:val="0"/>
    <w:pPr>
      <w:widowControl/>
      <w:numPr>
        <w:ilvl w:val="0"/>
        <w:numId w:val="0"/>
      </w:numPr>
      <w:ind w:left="1986"/>
      <w:outlineLvl w:val="3"/>
    </w:pPr>
  </w:style>
  <w:style w:type="paragraph" w:customStyle="1" w:styleId="100">
    <w:name w:val="标准文件_数字编号列项（二级）"/>
    <w:autoRedefine/>
    <w:qFormat/>
    <w:uiPriority w:val="0"/>
    <w:pPr>
      <w:numPr>
        <w:ilvl w:val="1"/>
        <w:numId w:val="10"/>
      </w:numPr>
      <w:jc w:val="both"/>
    </w:pPr>
    <w:rPr>
      <w:rFonts w:ascii="宋体" w:hAnsi="Times New Roman" w:eastAsia="宋体" w:cs="Times New Roman"/>
      <w:sz w:val="21"/>
      <w:lang w:val="en-US" w:eastAsia="zh-CN" w:bidi="ar-SA"/>
    </w:rPr>
  </w:style>
  <w:style w:type="paragraph" w:customStyle="1" w:styleId="101">
    <w:name w:val="标准文件_正文图标题"/>
    <w:next w:val="89"/>
    <w:autoRedefine/>
    <w:qFormat/>
    <w:uiPriority w:val="0"/>
    <w:pPr>
      <w:numPr>
        <w:ilvl w:val="0"/>
        <w:numId w:val="11"/>
      </w:numPr>
      <w:spacing w:before="156" w:beforeLines="50" w:after="156" w:afterLines="50"/>
      <w:jc w:val="center"/>
    </w:pPr>
    <w:rPr>
      <w:rFonts w:ascii="黑体" w:hAnsi="Times New Roman" w:eastAsia="黑体" w:cs="Times New Roman"/>
      <w:sz w:val="21"/>
      <w:lang w:val="en-US" w:eastAsia="zh-CN" w:bidi="ar-SA"/>
    </w:rPr>
  </w:style>
  <w:style w:type="paragraph" w:customStyle="1" w:styleId="102">
    <w:name w:val="标准文件_编号列项（三级）"/>
    <w:autoRedefine/>
    <w:qFormat/>
    <w:uiPriority w:val="0"/>
    <w:pPr>
      <w:numPr>
        <w:ilvl w:val="2"/>
        <w:numId w:val="10"/>
      </w:numPr>
    </w:pPr>
    <w:rPr>
      <w:rFonts w:ascii="宋体" w:hAnsi="Times New Roman" w:eastAsia="宋体" w:cs="Times New Roman"/>
      <w:sz w:val="21"/>
      <w:lang w:val="en-US" w:eastAsia="zh-CN" w:bidi="ar-SA"/>
    </w:rPr>
  </w:style>
  <w:style w:type="paragraph" w:customStyle="1" w:styleId="103">
    <w:name w:val="标准文件_三级无标题"/>
    <w:basedOn w:val="99"/>
    <w:autoRedefine/>
    <w:qFormat/>
    <w:uiPriority w:val="0"/>
    <w:pPr>
      <w:spacing w:before="0" w:beforeLines="0" w:after="0" w:afterLines="0"/>
      <w:ind w:left="0"/>
      <w:outlineLvl w:val="9"/>
    </w:pPr>
    <w:rPr>
      <w:rFonts w:ascii="宋体" w:eastAsia="宋体"/>
    </w:rPr>
  </w:style>
  <w:style w:type="paragraph" w:customStyle="1" w:styleId="104">
    <w:name w:val="标准文件_四级无标题"/>
    <w:basedOn w:val="1"/>
    <w:autoRedefine/>
    <w:qFormat/>
    <w:uiPriority w:val="0"/>
    <w:rPr>
      <w:rFonts w:ascii="宋体" w:hAnsi="黑体" w:eastAsia="宋体" w:cs="Times New Roman"/>
      <w:kern w:val="0"/>
      <w:szCs w:val="52"/>
    </w:rPr>
  </w:style>
  <w:style w:type="paragraph" w:customStyle="1" w:styleId="105">
    <w:name w:val="标准文件_字母编号列项（一级）"/>
    <w:autoRedefine/>
    <w:qFormat/>
    <w:uiPriority w:val="0"/>
    <w:pPr>
      <w:numPr>
        <w:ilvl w:val="0"/>
        <w:numId w:val="10"/>
      </w:numPr>
      <w:jc w:val="both"/>
    </w:pPr>
    <w:rPr>
      <w:rFonts w:ascii="宋体" w:hAnsi="Times New Roman" w:eastAsia="宋体" w:cs="Times New Roman"/>
      <w:sz w:val="21"/>
      <w:lang w:val="en-US" w:eastAsia="zh-CN" w:bidi="ar-SA"/>
    </w:rPr>
  </w:style>
  <w:style w:type="paragraph" w:customStyle="1" w:styleId="106">
    <w:name w:val="标准文件_注×："/>
    <w:autoRedefine/>
    <w:qFormat/>
    <w:uiPriority w:val="0"/>
    <w:pPr>
      <w:widowControl w:val="0"/>
      <w:numPr>
        <w:ilvl w:val="0"/>
        <w:numId w:val="12"/>
      </w:numPr>
      <w:autoSpaceDE w:val="0"/>
      <w:autoSpaceDN w:val="0"/>
      <w:jc w:val="both"/>
    </w:pPr>
    <w:rPr>
      <w:rFonts w:ascii="宋体" w:hAnsi="Times New Roman" w:eastAsia="宋体" w:cs="Times New Roman"/>
      <w:sz w:val="18"/>
      <w:szCs w:val="18"/>
      <w:lang w:val="en-US" w:eastAsia="zh-CN" w:bidi="ar-SA"/>
    </w:rPr>
  </w:style>
  <w:style w:type="paragraph" w:customStyle="1" w:styleId="107">
    <w:name w:val="标准文件_目次、标准名称标题"/>
    <w:basedOn w:val="71"/>
    <w:next w:val="89"/>
    <w:autoRedefine/>
    <w:qFormat/>
    <w:uiPriority w:val="0"/>
    <w:pPr>
      <w:numPr>
        <w:numId w:val="0"/>
      </w:numPr>
      <w:spacing w:line="460" w:lineRule="exact"/>
    </w:pPr>
  </w:style>
  <w:style w:type="paragraph" w:customStyle="1" w:styleId="108">
    <w:name w:val="标准文件_引言四级无标题"/>
    <w:basedOn w:val="1"/>
    <w:next w:val="89"/>
    <w:autoRedefine/>
    <w:qFormat/>
    <w:uiPriority w:val="0"/>
    <w:pPr>
      <w:widowControl/>
      <w:autoSpaceDE w:val="0"/>
      <w:autoSpaceDN w:val="0"/>
      <w:spacing w:line="276" w:lineRule="auto"/>
      <w:jc w:val="center"/>
    </w:pPr>
    <w:rPr>
      <w:rFonts w:ascii="宋体" w:hAnsi="宋体" w:eastAsia="宋体" w:cs="Times New Roman"/>
      <w:kern w:val="0"/>
      <w:szCs w:val="20"/>
    </w:rPr>
  </w:style>
  <w:style w:type="paragraph" w:customStyle="1" w:styleId="109">
    <w:name w:val="标准文件_引言五级无标题"/>
    <w:basedOn w:val="1"/>
    <w:next w:val="89"/>
    <w:autoRedefine/>
    <w:qFormat/>
    <w:uiPriority w:val="0"/>
    <w:pPr>
      <w:widowControl/>
      <w:autoSpaceDE w:val="0"/>
      <w:autoSpaceDN w:val="0"/>
      <w:spacing w:line="276" w:lineRule="auto"/>
      <w:jc w:val="center"/>
    </w:pPr>
    <w:rPr>
      <w:rFonts w:ascii="宋体" w:hAnsi="宋体" w:eastAsia="宋体" w:cs="Times New Roman"/>
      <w:kern w:val="0"/>
      <w:szCs w:val="20"/>
    </w:rPr>
  </w:style>
  <w:style w:type="paragraph" w:customStyle="1" w:styleId="110">
    <w:name w:val="标准文件_四级条标题"/>
    <w:next w:val="89"/>
    <w:autoRedefine/>
    <w:qFormat/>
    <w:uiPriority w:val="0"/>
    <w:pPr>
      <w:widowControl w:val="0"/>
      <w:spacing w:before="50" w:beforeLines="50" w:after="50" w:afterLines="50"/>
      <w:jc w:val="both"/>
      <w:outlineLvl w:val="4"/>
    </w:pPr>
    <w:rPr>
      <w:rFonts w:ascii="黑体" w:hAnsi="Times New Roman" w:eastAsia="黑体" w:cs="Times New Roman"/>
      <w:sz w:val="21"/>
      <w:lang w:val="en-US" w:eastAsia="zh-CN" w:bidi="ar-SA"/>
    </w:rPr>
  </w:style>
  <w:style w:type="paragraph" w:customStyle="1" w:styleId="111">
    <w:name w:val="标准文件_五级条标题"/>
    <w:next w:val="89"/>
    <w:autoRedefine/>
    <w:qFormat/>
    <w:uiPriority w:val="0"/>
    <w:pPr>
      <w:widowControl w:val="0"/>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12">
    <w:name w:val="前言标题"/>
    <w:next w:val="1"/>
    <w:autoRedefine/>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3">
    <w:name w:val="标准文件_引言一级条标题"/>
    <w:basedOn w:val="89"/>
    <w:next w:val="89"/>
    <w:autoRedefine/>
    <w:qFormat/>
    <w:uiPriority w:val="0"/>
    <w:pPr>
      <w:spacing w:before="50" w:beforeLines="50" w:after="50" w:afterLines="50"/>
    </w:pPr>
    <w:rPr>
      <w:rFonts w:ascii="黑体" w:hAnsi="宋体" w:eastAsia="黑体"/>
    </w:rPr>
  </w:style>
  <w:style w:type="paragraph" w:customStyle="1" w:styleId="114">
    <w:name w:val="标准文件_引言二级条标题"/>
    <w:basedOn w:val="89"/>
    <w:next w:val="89"/>
    <w:autoRedefine/>
    <w:qFormat/>
    <w:uiPriority w:val="0"/>
    <w:pPr>
      <w:spacing w:before="50" w:beforeLines="50" w:after="50" w:afterLines="50"/>
    </w:pPr>
    <w:rPr>
      <w:rFonts w:ascii="黑体" w:hAnsi="宋体" w:eastAsia="黑体"/>
    </w:rPr>
  </w:style>
  <w:style w:type="paragraph" w:customStyle="1" w:styleId="115">
    <w:name w:val="标准文件_引言三级条标题"/>
    <w:basedOn w:val="89"/>
    <w:next w:val="89"/>
    <w:autoRedefine/>
    <w:qFormat/>
    <w:uiPriority w:val="0"/>
    <w:pPr>
      <w:spacing w:before="50" w:beforeLines="50" w:after="50" w:afterLines="50"/>
    </w:pPr>
    <w:rPr>
      <w:rFonts w:ascii="黑体" w:hAnsi="宋体" w:eastAsia="黑体"/>
    </w:rPr>
  </w:style>
  <w:style w:type="paragraph" w:customStyle="1" w:styleId="116">
    <w:name w:val="标准文件_引言四级条标题"/>
    <w:basedOn w:val="89"/>
    <w:next w:val="89"/>
    <w:autoRedefine/>
    <w:qFormat/>
    <w:uiPriority w:val="0"/>
    <w:pPr>
      <w:spacing w:before="50" w:beforeLines="50" w:after="50" w:afterLines="50"/>
    </w:pPr>
    <w:rPr>
      <w:rFonts w:ascii="黑体" w:hAnsi="宋体" w:eastAsia="黑体"/>
    </w:rPr>
  </w:style>
  <w:style w:type="paragraph" w:customStyle="1" w:styleId="117">
    <w:name w:val="标准文件_引言五级条标题"/>
    <w:basedOn w:val="89"/>
    <w:next w:val="89"/>
    <w:autoRedefine/>
    <w:qFormat/>
    <w:uiPriority w:val="0"/>
    <w:pPr>
      <w:spacing w:before="50" w:beforeLines="50" w:after="50" w:afterLines="50"/>
    </w:pPr>
    <w:rPr>
      <w:rFonts w:ascii="黑体" w:hAnsi="宋体" w:eastAsia="黑体"/>
    </w:rPr>
  </w:style>
  <w:style w:type="paragraph" w:customStyle="1" w:styleId="118">
    <w:name w:val="标准文件_表格"/>
    <w:basedOn w:val="89"/>
    <w:autoRedefine/>
    <w:qFormat/>
    <w:uiPriority w:val="0"/>
    <w:pPr>
      <w:widowControl w:val="0"/>
      <w:spacing w:before="156" w:after="156"/>
    </w:pPr>
    <w:rPr>
      <w:rFonts w:hAnsi="宋体"/>
      <w:sz w:val="18"/>
    </w:rPr>
  </w:style>
  <w:style w:type="character" w:customStyle="1" w:styleId="119">
    <w:name w:val="font81"/>
    <w:basedOn w:val="33"/>
    <w:autoRedefine/>
    <w:qFormat/>
    <w:uiPriority w:val="0"/>
    <w:rPr>
      <w:rFonts w:hint="eastAsia" w:ascii="宋体" w:hAnsi="宋体" w:eastAsia="宋体" w:cs="宋体"/>
      <w:b/>
      <w:bCs/>
      <w:color w:val="000000"/>
      <w:sz w:val="18"/>
      <w:szCs w:val="18"/>
      <w:u w:val="none"/>
    </w:rPr>
  </w:style>
  <w:style w:type="paragraph" w:customStyle="1" w:styleId="120">
    <w:name w:val="标准文件_注："/>
    <w:next w:val="89"/>
    <w:autoRedefine/>
    <w:qFormat/>
    <w:uiPriority w:val="0"/>
    <w:pPr>
      <w:widowControl w:val="0"/>
      <w:autoSpaceDE w:val="0"/>
      <w:autoSpaceDN w:val="0"/>
      <w:ind w:left="737" w:hanging="374"/>
      <w:jc w:val="both"/>
    </w:pPr>
    <w:rPr>
      <w:rFonts w:ascii="宋体" w:hAnsi="Times New Roman" w:eastAsia="宋体" w:cs="Times New Roman"/>
      <w:sz w:val="18"/>
      <w:szCs w:val="18"/>
      <w:lang w:val="en-US" w:eastAsia="zh-CN" w:bidi="ar-SA"/>
    </w:rPr>
  </w:style>
  <w:style w:type="character" w:customStyle="1" w:styleId="121">
    <w:name w:val="脚注文本 Char"/>
    <w:basedOn w:val="33"/>
    <w:link w:val="26"/>
    <w:semiHidden/>
    <w:qFormat/>
    <w:uiPriority w:val="0"/>
    <w:rPr>
      <w:rFonts w:ascii="宋体" w:hAnsi="Calibri"/>
      <w:kern w:val="2"/>
      <w:sz w:val="18"/>
      <w:szCs w:val="18"/>
    </w:rPr>
  </w:style>
  <w:style w:type="paragraph" w:customStyle="1" w:styleId="122">
    <w:name w:val="样式a"/>
    <w:basedOn w:val="1"/>
    <w:next w:val="3"/>
    <w:autoRedefine/>
    <w:qFormat/>
    <w:uiPriority w:val="0"/>
    <w:pPr>
      <w:tabs>
        <w:tab w:val="left" w:pos="5700"/>
      </w:tabs>
      <w:spacing w:after="100" w:afterLines="100" w:line="360" w:lineRule="auto"/>
      <w:ind w:firstLine="480" w:firstLineChars="200"/>
      <w:jc w:val="left"/>
    </w:pPr>
    <w:rPr>
      <w:rFonts w:hint="eastAsia" w:ascii="仿宋" w:hAnsi="仿宋" w:eastAsia="仿宋" w:cs="仿宋"/>
      <w:b/>
      <w:sz w:val="28"/>
      <w:szCs w:val="24"/>
    </w:rPr>
  </w:style>
  <w:style w:type="paragraph" w:styleId="123">
    <w:name w:val="Quote"/>
    <w:basedOn w:val="1"/>
    <w:next w:val="1"/>
    <w:link w:val="124"/>
    <w:autoRedefine/>
    <w:qFormat/>
    <w:uiPriority w:val="29"/>
    <w:pPr>
      <w:tabs>
        <w:tab w:val="left" w:pos="5700"/>
      </w:tabs>
      <w:adjustRightInd w:val="0"/>
      <w:spacing w:line="400" w:lineRule="exact"/>
      <w:jc w:val="left"/>
    </w:pPr>
    <w:rPr>
      <w:rFonts w:ascii="Calibri" w:hAnsi="Calibri" w:eastAsia="宋体" w:cs="Times New Roman"/>
      <w:i/>
      <w:iCs/>
      <w:color w:val="000000"/>
      <w:szCs w:val="21"/>
    </w:rPr>
  </w:style>
  <w:style w:type="character" w:customStyle="1" w:styleId="124">
    <w:name w:val="引用 Char"/>
    <w:basedOn w:val="33"/>
    <w:link w:val="123"/>
    <w:qFormat/>
    <w:uiPriority w:val="29"/>
    <w:rPr>
      <w:rFonts w:ascii="Calibri" w:hAnsi="Calibri"/>
      <w:i/>
      <w:iCs/>
      <w:color w:val="000000"/>
      <w:kern w:val="2"/>
      <w:sz w:val="21"/>
      <w:szCs w:val="21"/>
    </w:rPr>
  </w:style>
  <w:style w:type="paragraph" w:customStyle="1" w:styleId="125">
    <w:name w:val="标准称谓"/>
    <w:next w:val="1"/>
    <w:autoRedefine/>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126">
    <w:name w:val="标准书眉一"/>
    <w:autoRedefine/>
    <w:qFormat/>
    <w:uiPriority w:val="0"/>
    <w:pPr>
      <w:jc w:val="both"/>
    </w:pPr>
    <w:rPr>
      <w:rFonts w:ascii="Times New Roman" w:hAnsi="Times New Roman" w:eastAsia="宋体" w:cs="Times New Roman"/>
      <w:lang w:val="en-US" w:eastAsia="zh-CN" w:bidi="ar-SA"/>
    </w:rPr>
  </w:style>
  <w:style w:type="paragraph" w:customStyle="1" w:styleId="127">
    <w:name w:val="标准文件_ICS"/>
    <w:basedOn w:val="1"/>
    <w:autoRedefine/>
    <w:qFormat/>
    <w:uiPriority w:val="0"/>
    <w:pPr>
      <w:tabs>
        <w:tab w:val="left" w:pos="5700"/>
      </w:tabs>
      <w:adjustRightInd w:val="0"/>
      <w:spacing w:line="0" w:lineRule="atLeast"/>
      <w:jc w:val="left"/>
    </w:pPr>
    <w:rPr>
      <w:rFonts w:ascii="黑体" w:hAnsi="宋体" w:eastAsia="黑体" w:cs="Times New Roman"/>
      <w:szCs w:val="21"/>
    </w:rPr>
  </w:style>
  <w:style w:type="paragraph" w:customStyle="1" w:styleId="128">
    <w:name w:val="标准文件_标准正文"/>
    <w:basedOn w:val="1"/>
    <w:next w:val="89"/>
    <w:autoRedefine/>
    <w:qFormat/>
    <w:uiPriority w:val="0"/>
    <w:pPr>
      <w:tabs>
        <w:tab w:val="left" w:pos="5700"/>
      </w:tabs>
      <w:adjustRightInd w:val="0"/>
      <w:snapToGrid w:val="0"/>
      <w:spacing w:line="400" w:lineRule="exact"/>
      <w:ind w:firstLine="200" w:firstLineChars="200"/>
      <w:jc w:val="left"/>
    </w:pPr>
    <w:rPr>
      <w:rFonts w:ascii="Calibri" w:hAnsi="Calibri" w:eastAsia="宋体" w:cs="Times New Roman"/>
      <w:kern w:val="0"/>
      <w:szCs w:val="21"/>
    </w:rPr>
  </w:style>
  <w:style w:type="paragraph" w:customStyle="1" w:styleId="129">
    <w:name w:val="标准文件_版本"/>
    <w:basedOn w:val="128"/>
    <w:autoRedefine/>
    <w:qFormat/>
    <w:uiPriority w:val="0"/>
    <w:pPr>
      <w:adjustRightInd/>
      <w:snapToGrid/>
      <w:ind w:firstLine="0" w:firstLineChars="0"/>
    </w:pPr>
    <w:rPr>
      <w:rFonts w:ascii="宋体" w:hAnsi="宋体"/>
      <w:kern w:val="2"/>
    </w:rPr>
  </w:style>
  <w:style w:type="paragraph" w:customStyle="1" w:styleId="130">
    <w:name w:val="标准文件_标准部门"/>
    <w:basedOn w:val="1"/>
    <w:autoRedefine/>
    <w:qFormat/>
    <w:uiPriority w:val="0"/>
    <w:pPr>
      <w:tabs>
        <w:tab w:val="left" w:pos="5700"/>
      </w:tabs>
      <w:adjustRightInd w:val="0"/>
      <w:spacing w:line="400" w:lineRule="exact"/>
      <w:jc w:val="center"/>
    </w:pPr>
    <w:rPr>
      <w:rFonts w:ascii="黑体" w:hAnsi="Calibri" w:eastAsia="黑体" w:cs="Times New Roman"/>
      <w:kern w:val="0"/>
      <w:sz w:val="44"/>
      <w:szCs w:val="21"/>
    </w:rPr>
  </w:style>
  <w:style w:type="paragraph" w:customStyle="1" w:styleId="131">
    <w:name w:val="标准文件_标准代替"/>
    <w:basedOn w:val="1"/>
    <w:next w:val="1"/>
    <w:autoRedefine/>
    <w:qFormat/>
    <w:uiPriority w:val="0"/>
    <w:pPr>
      <w:tabs>
        <w:tab w:val="left" w:pos="5700"/>
      </w:tabs>
      <w:adjustRightInd w:val="0"/>
      <w:spacing w:line="310" w:lineRule="exact"/>
      <w:jc w:val="right"/>
    </w:pPr>
    <w:rPr>
      <w:rFonts w:ascii="宋体" w:hAnsi="宋体" w:eastAsia="宋体" w:cs="Times New Roman"/>
      <w:kern w:val="0"/>
      <w:szCs w:val="21"/>
    </w:rPr>
  </w:style>
  <w:style w:type="paragraph" w:customStyle="1" w:styleId="132">
    <w:name w:val="标准文件_标准名称标题"/>
    <w:basedOn w:val="1"/>
    <w:next w:val="1"/>
    <w:autoRedefine/>
    <w:qFormat/>
    <w:uiPriority w:val="0"/>
    <w:pPr>
      <w:widowControl/>
      <w:shd w:val="clear" w:color="FFFFFF" w:fill="FFFFFF"/>
      <w:tabs>
        <w:tab w:val="left" w:pos="5700"/>
      </w:tabs>
      <w:spacing w:before="640" w:after="100" w:line="400" w:lineRule="exact"/>
      <w:jc w:val="center"/>
    </w:pPr>
    <w:rPr>
      <w:rFonts w:ascii="黑体" w:hAnsi="Calibri" w:eastAsia="黑体" w:cs="Times New Roman"/>
      <w:kern w:val="0"/>
      <w:sz w:val="32"/>
      <w:szCs w:val="21"/>
    </w:rPr>
  </w:style>
  <w:style w:type="paragraph" w:customStyle="1" w:styleId="133">
    <w:name w:val="标准文件_页眉奇数页"/>
    <w:next w:val="1"/>
    <w:autoRedefine/>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134">
    <w:name w:val="标准文件_页眉偶数页"/>
    <w:basedOn w:val="133"/>
    <w:next w:val="1"/>
    <w:autoRedefine/>
    <w:qFormat/>
    <w:uiPriority w:val="0"/>
    <w:pPr>
      <w:jc w:val="left"/>
    </w:pPr>
  </w:style>
  <w:style w:type="paragraph" w:customStyle="1" w:styleId="135">
    <w:name w:val="标准文件_参考文献条目"/>
    <w:autoRedefine/>
    <w:qFormat/>
    <w:uiPriority w:val="0"/>
    <w:pPr>
      <w:numPr>
        <w:ilvl w:val="0"/>
        <w:numId w:val="13"/>
      </w:numPr>
    </w:pPr>
    <w:rPr>
      <w:rFonts w:ascii="宋体" w:hAnsi="Times New Roman" w:eastAsia="宋体" w:cs="Times New Roman"/>
      <w:lang w:val="en-US" w:eastAsia="zh-CN" w:bidi="ar-SA"/>
    </w:rPr>
  </w:style>
  <w:style w:type="character" w:customStyle="1" w:styleId="136">
    <w:name w:val="标准文件_发布"/>
    <w:autoRedefine/>
    <w:qFormat/>
    <w:uiPriority w:val="0"/>
    <w:rPr>
      <w:rFonts w:ascii="黑体" w:eastAsia="黑体"/>
      <w:spacing w:val="0"/>
      <w:w w:val="100"/>
      <w:position w:val="3"/>
      <w:sz w:val="28"/>
    </w:rPr>
  </w:style>
  <w:style w:type="paragraph" w:customStyle="1" w:styleId="137">
    <w:name w:val="标准文件_方框数字列项"/>
    <w:basedOn w:val="89"/>
    <w:autoRedefine/>
    <w:qFormat/>
    <w:uiPriority w:val="0"/>
    <w:pPr>
      <w:numPr>
        <w:ilvl w:val="0"/>
        <w:numId w:val="14"/>
      </w:numPr>
      <w:spacing w:before="156" w:after="156"/>
      <w:ind w:firstLine="0"/>
    </w:pPr>
    <w:rPr>
      <w:rFonts w:hAnsi="宋体"/>
    </w:rPr>
  </w:style>
  <w:style w:type="paragraph" w:customStyle="1" w:styleId="138">
    <w:name w:val="标准文件_封面标准编号"/>
    <w:basedOn w:val="1"/>
    <w:next w:val="131"/>
    <w:autoRedefine/>
    <w:qFormat/>
    <w:uiPriority w:val="0"/>
    <w:pPr>
      <w:tabs>
        <w:tab w:val="left" w:pos="5700"/>
      </w:tabs>
      <w:adjustRightInd w:val="0"/>
      <w:spacing w:line="310" w:lineRule="exact"/>
      <w:jc w:val="right"/>
    </w:pPr>
    <w:rPr>
      <w:rFonts w:ascii="黑体" w:hAnsi="Calibri" w:eastAsia="黑体" w:cs="Times New Roman"/>
      <w:kern w:val="0"/>
      <w:sz w:val="28"/>
      <w:szCs w:val="21"/>
    </w:rPr>
  </w:style>
  <w:style w:type="paragraph" w:customStyle="1" w:styleId="139">
    <w:name w:val="标准文件_封面标准分类号"/>
    <w:basedOn w:val="1"/>
    <w:autoRedefine/>
    <w:qFormat/>
    <w:uiPriority w:val="0"/>
    <w:pPr>
      <w:tabs>
        <w:tab w:val="left" w:pos="5700"/>
      </w:tabs>
      <w:adjustRightInd w:val="0"/>
      <w:spacing w:line="400" w:lineRule="exact"/>
      <w:jc w:val="left"/>
    </w:pPr>
    <w:rPr>
      <w:rFonts w:ascii="黑体" w:hAnsi="Calibri" w:eastAsia="黑体" w:cs="Times New Roman"/>
      <w:b/>
      <w:kern w:val="0"/>
      <w:sz w:val="28"/>
      <w:szCs w:val="21"/>
    </w:rPr>
  </w:style>
  <w:style w:type="paragraph" w:customStyle="1" w:styleId="140">
    <w:name w:val="标准文件_封面标准名称"/>
    <w:basedOn w:val="1"/>
    <w:autoRedefine/>
    <w:qFormat/>
    <w:uiPriority w:val="0"/>
    <w:pPr>
      <w:tabs>
        <w:tab w:val="left" w:pos="5700"/>
      </w:tabs>
      <w:adjustRightInd w:val="0"/>
      <w:jc w:val="center"/>
    </w:pPr>
    <w:rPr>
      <w:rFonts w:ascii="黑体" w:hAnsi="Calibri" w:eastAsia="黑体" w:cs="Times New Roman"/>
      <w:kern w:val="0"/>
      <w:sz w:val="52"/>
      <w:szCs w:val="21"/>
    </w:rPr>
  </w:style>
  <w:style w:type="paragraph" w:customStyle="1" w:styleId="141">
    <w:name w:val="标准文件_封面标准英文名称"/>
    <w:basedOn w:val="1"/>
    <w:autoRedefine/>
    <w:qFormat/>
    <w:uiPriority w:val="0"/>
    <w:pPr>
      <w:tabs>
        <w:tab w:val="left" w:pos="5700"/>
      </w:tabs>
      <w:adjustRightInd w:val="0"/>
      <w:jc w:val="center"/>
    </w:pPr>
    <w:rPr>
      <w:rFonts w:ascii="黑体" w:hAnsi="Calibri" w:eastAsia="黑体" w:cs="Times New Roman"/>
      <w:b/>
      <w:sz w:val="28"/>
      <w:szCs w:val="21"/>
    </w:rPr>
  </w:style>
  <w:style w:type="paragraph" w:customStyle="1" w:styleId="142">
    <w:name w:val="标准文件_封面发布日期"/>
    <w:basedOn w:val="1"/>
    <w:autoRedefine/>
    <w:qFormat/>
    <w:uiPriority w:val="0"/>
    <w:pPr>
      <w:tabs>
        <w:tab w:val="left" w:pos="5700"/>
      </w:tabs>
      <w:adjustRightInd w:val="0"/>
      <w:spacing w:line="310" w:lineRule="exact"/>
      <w:jc w:val="left"/>
    </w:pPr>
    <w:rPr>
      <w:rFonts w:ascii="黑体" w:hAnsi="Calibri" w:eastAsia="黑体" w:cs="Times New Roman"/>
      <w:kern w:val="0"/>
      <w:sz w:val="28"/>
      <w:szCs w:val="21"/>
    </w:rPr>
  </w:style>
  <w:style w:type="paragraph" w:customStyle="1" w:styleId="143">
    <w:name w:val="标准文件_封面密级"/>
    <w:basedOn w:val="1"/>
    <w:autoRedefine/>
    <w:qFormat/>
    <w:uiPriority w:val="0"/>
    <w:pPr>
      <w:tabs>
        <w:tab w:val="left" w:pos="5700"/>
      </w:tabs>
      <w:adjustRightInd w:val="0"/>
      <w:spacing w:line="400" w:lineRule="exact"/>
      <w:jc w:val="left"/>
    </w:pPr>
    <w:rPr>
      <w:rFonts w:ascii="Calibri" w:hAnsi="Calibri" w:eastAsia="黑体" w:cs="Times New Roman"/>
      <w:sz w:val="32"/>
      <w:szCs w:val="21"/>
    </w:rPr>
  </w:style>
  <w:style w:type="paragraph" w:customStyle="1" w:styleId="144">
    <w:name w:val="标准文件_封面实施日期"/>
    <w:basedOn w:val="1"/>
    <w:autoRedefine/>
    <w:qFormat/>
    <w:uiPriority w:val="0"/>
    <w:pPr>
      <w:tabs>
        <w:tab w:val="left" w:pos="5700"/>
      </w:tabs>
      <w:adjustRightInd w:val="0"/>
      <w:spacing w:line="310" w:lineRule="exact"/>
      <w:jc w:val="right"/>
    </w:pPr>
    <w:rPr>
      <w:rFonts w:ascii="黑体" w:hAnsi="Calibri" w:eastAsia="黑体" w:cs="Times New Roman"/>
      <w:sz w:val="28"/>
      <w:szCs w:val="21"/>
    </w:rPr>
  </w:style>
  <w:style w:type="paragraph" w:customStyle="1" w:styleId="145">
    <w:name w:val="标准文件_封面抬头"/>
    <w:basedOn w:val="89"/>
    <w:autoRedefine/>
    <w:qFormat/>
    <w:uiPriority w:val="0"/>
    <w:pPr>
      <w:adjustRightInd w:val="0"/>
      <w:spacing w:before="156" w:after="156" w:line="800" w:lineRule="exact"/>
      <w:jc w:val="distribute"/>
    </w:pPr>
    <w:rPr>
      <w:rFonts w:ascii="黑体" w:hAnsi="宋体" w:eastAsia="黑体"/>
      <w:b/>
      <w:sz w:val="64"/>
    </w:rPr>
  </w:style>
  <w:style w:type="paragraph" w:customStyle="1" w:styleId="146">
    <w:name w:val="标准文件_附录标识"/>
    <w:next w:val="89"/>
    <w:autoRedefine/>
    <w:qFormat/>
    <w:uiPriority w:val="0"/>
    <w:pPr>
      <w:shd w:val="clear" w:color="FFFFFF" w:fill="FFFFFF"/>
      <w:tabs>
        <w:tab w:val="left" w:pos="6406"/>
      </w:tabs>
      <w:spacing w:before="560" w:after="156" w:afterLines="50"/>
      <w:ind w:left="-709" w:right="-427"/>
      <w:jc w:val="center"/>
      <w:outlineLvl w:val="0"/>
    </w:pPr>
    <w:rPr>
      <w:rFonts w:ascii="黑体" w:hAnsi="Times New Roman" w:eastAsia="黑体" w:cs="Times New Roman"/>
      <w:sz w:val="21"/>
      <w:lang w:val="en-US" w:eastAsia="zh-CN" w:bidi="ar-SA"/>
    </w:rPr>
  </w:style>
  <w:style w:type="paragraph" w:customStyle="1" w:styleId="147">
    <w:name w:val="标准文件_附录表标题"/>
    <w:next w:val="89"/>
    <w:autoRedefine/>
    <w:qFormat/>
    <w:uiPriority w:val="0"/>
    <w:pPr>
      <w:numPr>
        <w:ilvl w:val="1"/>
        <w:numId w:val="1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148">
    <w:name w:val="标准文件_附录二级条标题"/>
    <w:basedOn w:val="96"/>
    <w:next w:val="89"/>
    <w:autoRedefine/>
    <w:qFormat/>
    <w:uiPriority w:val="0"/>
    <w:pPr>
      <w:widowControl/>
      <w:numPr>
        <w:ilvl w:val="0"/>
        <w:numId w:val="0"/>
      </w:numPr>
      <w:wordWrap w:val="0"/>
      <w:overflowPunct w:val="0"/>
      <w:autoSpaceDE w:val="0"/>
      <w:autoSpaceDN w:val="0"/>
      <w:textAlignment w:val="baseline"/>
      <w:outlineLvl w:val="3"/>
    </w:pPr>
  </w:style>
  <w:style w:type="paragraph" w:customStyle="1" w:styleId="149">
    <w:name w:val="标准文件_附录公式"/>
    <w:basedOn w:val="128"/>
    <w:next w:val="128"/>
    <w:autoRedefine/>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150">
    <w:name w:val="标准文件_附录三级条标题"/>
    <w:next w:val="89"/>
    <w:autoRedefine/>
    <w:qFormat/>
    <w:uiPriority w:val="0"/>
    <w:pPr>
      <w:widowControl w:val="0"/>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151">
    <w:name w:val="标准文件_附录四级条标题"/>
    <w:next w:val="89"/>
    <w:autoRedefine/>
    <w:qFormat/>
    <w:uiPriority w:val="0"/>
    <w:pPr>
      <w:widowControl w:val="0"/>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152">
    <w:name w:val="标准文件_附录五级条标题"/>
    <w:next w:val="89"/>
    <w:autoRedefine/>
    <w:qFormat/>
    <w:uiPriority w:val="0"/>
    <w:pPr>
      <w:widowControl w:val="0"/>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153">
    <w:name w:val="标准文件_附录英文标识"/>
    <w:next w:val="15"/>
    <w:autoRedefine/>
    <w:qFormat/>
    <w:uiPriority w:val="0"/>
    <w:pPr>
      <w:numPr>
        <w:ilvl w:val="0"/>
        <w:numId w:val="16"/>
      </w:numPr>
      <w:tabs>
        <w:tab w:val="left" w:pos="6406"/>
      </w:tabs>
      <w:spacing w:before="220" w:after="320"/>
      <w:jc w:val="center"/>
      <w:outlineLvl w:val="0"/>
    </w:pPr>
    <w:rPr>
      <w:rFonts w:ascii="黑体" w:hAnsi="Times New Roman" w:eastAsia="黑体" w:cs="Times New Roman"/>
      <w:sz w:val="21"/>
      <w:lang w:val="en-US" w:eastAsia="zh-CN" w:bidi="ar-SA"/>
    </w:rPr>
  </w:style>
  <w:style w:type="paragraph" w:customStyle="1" w:styleId="154">
    <w:name w:val="标准文件_附录章标题"/>
    <w:next w:val="89"/>
    <w:autoRedefine/>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55">
    <w:name w:val="标准文件_公式后的破折号"/>
    <w:basedOn w:val="89"/>
    <w:next w:val="89"/>
    <w:autoRedefine/>
    <w:qFormat/>
    <w:uiPriority w:val="0"/>
    <w:pPr>
      <w:spacing w:before="156" w:after="156"/>
      <w:ind w:left="488" w:leftChars="200" w:hanging="289" w:hangingChars="290"/>
    </w:pPr>
    <w:rPr>
      <w:rFonts w:hAnsi="宋体"/>
    </w:rPr>
  </w:style>
  <w:style w:type="paragraph" w:customStyle="1" w:styleId="156">
    <w:name w:val="标准文件_目录标题"/>
    <w:basedOn w:val="1"/>
    <w:autoRedefine/>
    <w:qFormat/>
    <w:uiPriority w:val="0"/>
    <w:pPr>
      <w:tabs>
        <w:tab w:val="left" w:pos="5700"/>
      </w:tabs>
      <w:adjustRightInd w:val="0"/>
      <w:spacing w:before="480" w:after="150" w:afterLines="150"/>
      <w:jc w:val="center"/>
    </w:pPr>
    <w:rPr>
      <w:rFonts w:ascii="黑体" w:hAnsi="Calibri" w:eastAsia="黑体" w:cs="Times New Roman"/>
      <w:sz w:val="32"/>
      <w:szCs w:val="21"/>
    </w:rPr>
  </w:style>
  <w:style w:type="paragraph" w:customStyle="1" w:styleId="157">
    <w:name w:val="标准文件_破折号列项"/>
    <w:autoRedefine/>
    <w:qFormat/>
    <w:uiPriority w:val="0"/>
    <w:pPr>
      <w:numPr>
        <w:ilvl w:val="0"/>
        <w:numId w:val="17"/>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158">
    <w:name w:val="标准文件_破折号列项（二级）"/>
    <w:basedOn w:val="157"/>
    <w:autoRedefine/>
    <w:qFormat/>
    <w:uiPriority w:val="0"/>
    <w:pPr>
      <w:numPr>
        <w:ilvl w:val="0"/>
        <w:numId w:val="18"/>
      </w:numPr>
    </w:pPr>
  </w:style>
  <w:style w:type="character" w:customStyle="1" w:styleId="159">
    <w:name w:val="不明显参考1"/>
    <w:autoRedefine/>
    <w:qFormat/>
    <w:uiPriority w:val="31"/>
    <w:rPr>
      <w:smallCaps/>
      <w:color w:val="C0504D"/>
      <w:u w:val="single"/>
    </w:rPr>
  </w:style>
  <w:style w:type="paragraph" w:customStyle="1" w:styleId="160">
    <w:name w:val="标准文件_示例后续"/>
    <w:basedOn w:val="1"/>
    <w:autoRedefine/>
    <w:qFormat/>
    <w:uiPriority w:val="0"/>
    <w:pPr>
      <w:tabs>
        <w:tab w:val="left" w:pos="5700"/>
      </w:tabs>
      <w:ind w:firstLine="200" w:firstLineChars="200"/>
      <w:jc w:val="left"/>
    </w:pPr>
    <w:rPr>
      <w:rFonts w:ascii="Calibri" w:hAnsi="Calibri" w:eastAsia="宋体" w:cs="Times New Roman"/>
      <w:sz w:val="18"/>
      <w:szCs w:val="24"/>
    </w:rPr>
  </w:style>
  <w:style w:type="paragraph" w:customStyle="1" w:styleId="161">
    <w:name w:val="标准文件_数字编号列项"/>
    <w:autoRedefine/>
    <w:qFormat/>
    <w:uiPriority w:val="0"/>
    <w:pPr>
      <w:numPr>
        <w:ilvl w:val="0"/>
        <w:numId w:val="19"/>
      </w:numPr>
      <w:jc w:val="both"/>
    </w:pPr>
    <w:rPr>
      <w:rFonts w:ascii="宋体" w:hAnsi="宋体" w:eastAsia="宋体" w:cs="Times New Roman"/>
      <w:sz w:val="21"/>
      <w:lang w:val="en-US" w:eastAsia="zh-CN" w:bidi="ar-SA"/>
    </w:rPr>
  </w:style>
  <w:style w:type="paragraph" w:customStyle="1" w:styleId="162">
    <w:name w:val="标准文件_条文脚注"/>
    <w:basedOn w:val="26"/>
    <w:autoRedefine/>
    <w:qFormat/>
    <w:uiPriority w:val="0"/>
    <w:pPr>
      <w:adjustRightInd w:val="0"/>
      <w:spacing w:line="240" w:lineRule="auto"/>
      <w:ind w:left="0" w:leftChars="0" w:firstLine="200" w:firstLineChars="200"/>
      <w:jc w:val="both"/>
    </w:pPr>
    <w:rPr>
      <w:rFonts w:hAnsi="宋体"/>
    </w:rPr>
  </w:style>
  <w:style w:type="paragraph" w:customStyle="1" w:styleId="163">
    <w:name w:val="标准文件_图表脚注"/>
    <w:basedOn w:val="1"/>
    <w:next w:val="89"/>
    <w:autoRedefine/>
    <w:qFormat/>
    <w:uiPriority w:val="0"/>
    <w:pPr>
      <w:numPr>
        <w:ilvl w:val="0"/>
        <w:numId w:val="20"/>
      </w:numPr>
      <w:tabs>
        <w:tab w:val="left" w:pos="5700"/>
      </w:tabs>
      <w:adjustRightInd w:val="0"/>
      <w:jc w:val="left"/>
    </w:pPr>
    <w:rPr>
      <w:rFonts w:ascii="宋体" w:hAnsi="宋体" w:eastAsia="宋体" w:cs="Times New Roman"/>
      <w:sz w:val="18"/>
      <w:szCs w:val="21"/>
    </w:rPr>
  </w:style>
  <w:style w:type="character" w:customStyle="1" w:styleId="164">
    <w:name w:val="标准文件_图表脚注内容"/>
    <w:autoRedefine/>
    <w:qFormat/>
    <w:uiPriority w:val="0"/>
    <w:rPr>
      <w:rFonts w:ascii="宋体" w:hAnsi="宋体" w:eastAsia="宋体" w:cs="Times New Roman"/>
      <w:spacing w:val="0"/>
      <w:sz w:val="18"/>
      <w:vertAlign w:val="superscript"/>
    </w:rPr>
  </w:style>
  <w:style w:type="paragraph" w:customStyle="1" w:styleId="165">
    <w:name w:val="标准文件_一致程度"/>
    <w:basedOn w:val="1"/>
    <w:autoRedefine/>
    <w:qFormat/>
    <w:uiPriority w:val="0"/>
    <w:pPr>
      <w:tabs>
        <w:tab w:val="left" w:pos="5700"/>
      </w:tabs>
      <w:adjustRightInd w:val="0"/>
      <w:spacing w:line="440" w:lineRule="exact"/>
      <w:jc w:val="center"/>
    </w:pPr>
    <w:rPr>
      <w:rFonts w:ascii="Calibri" w:hAnsi="Calibri" w:eastAsia="宋体" w:cs="Times New Roman"/>
      <w:sz w:val="28"/>
      <w:szCs w:val="21"/>
    </w:rPr>
  </w:style>
  <w:style w:type="paragraph" w:customStyle="1" w:styleId="166">
    <w:name w:val="标准文件_引言标题"/>
    <w:next w:val="1"/>
    <w:autoRedefine/>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67">
    <w:name w:val="标准文件_英文图表脚注"/>
    <w:basedOn w:val="128"/>
    <w:autoRedefine/>
    <w:qFormat/>
    <w:uiPriority w:val="0"/>
    <w:pPr>
      <w:widowControl/>
      <w:adjustRightInd/>
      <w:snapToGrid/>
      <w:spacing w:line="240" w:lineRule="auto"/>
      <w:ind w:left="79" w:hanging="79" w:hangingChars="80"/>
    </w:pPr>
    <w:rPr>
      <w:rFonts w:ascii="宋体" w:hAnsi="宋体"/>
    </w:rPr>
  </w:style>
  <w:style w:type="paragraph" w:customStyle="1" w:styleId="168">
    <w:name w:val="标准文件_英文注："/>
    <w:basedOn w:val="1"/>
    <w:next w:val="89"/>
    <w:autoRedefine/>
    <w:qFormat/>
    <w:uiPriority w:val="0"/>
    <w:pPr>
      <w:numPr>
        <w:ilvl w:val="0"/>
        <w:numId w:val="21"/>
      </w:numPr>
      <w:tabs>
        <w:tab w:val="left" w:pos="420"/>
        <w:tab w:val="left" w:pos="5700"/>
      </w:tabs>
      <w:autoSpaceDE w:val="0"/>
      <w:autoSpaceDN w:val="0"/>
      <w:adjustRightInd w:val="0"/>
      <w:jc w:val="left"/>
    </w:pPr>
    <w:rPr>
      <w:rFonts w:ascii="宋体" w:hAnsi="宋体" w:eastAsia="宋体" w:cs="Times New Roman"/>
      <w:kern w:val="0"/>
      <w:sz w:val="18"/>
      <w:szCs w:val="20"/>
    </w:rPr>
  </w:style>
  <w:style w:type="paragraph" w:customStyle="1" w:styleId="169">
    <w:name w:val="标准文件_英文注×："/>
    <w:basedOn w:val="1"/>
    <w:autoRedefine/>
    <w:qFormat/>
    <w:uiPriority w:val="0"/>
    <w:pPr>
      <w:numPr>
        <w:ilvl w:val="0"/>
        <w:numId w:val="22"/>
      </w:numPr>
      <w:tabs>
        <w:tab w:val="left" w:pos="210"/>
        <w:tab w:val="left" w:pos="5700"/>
      </w:tabs>
      <w:autoSpaceDE w:val="0"/>
      <w:autoSpaceDN w:val="0"/>
      <w:adjustRightInd w:val="0"/>
      <w:jc w:val="left"/>
    </w:pPr>
    <w:rPr>
      <w:rFonts w:ascii="宋体" w:hAnsi="宋体" w:eastAsia="宋体" w:cs="Times New Roman"/>
      <w:kern w:val="0"/>
      <w:szCs w:val="20"/>
    </w:rPr>
  </w:style>
  <w:style w:type="paragraph" w:customStyle="1" w:styleId="170">
    <w:name w:val="标准文件_正文表标题"/>
    <w:next w:val="89"/>
    <w:autoRedefine/>
    <w:qFormat/>
    <w:uiPriority w:val="0"/>
    <w:p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71">
    <w:name w:val="标准文件_正文公式"/>
    <w:basedOn w:val="1"/>
    <w:next w:val="128"/>
    <w:autoRedefine/>
    <w:qFormat/>
    <w:uiPriority w:val="0"/>
    <w:pPr>
      <w:tabs>
        <w:tab w:val="center" w:pos="4678"/>
        <w:tab w:val="left" w:pos="5700"/>
        <w:tab w:val="right" w:leader="middleDot" w:pos="9356"/>
      </w:tabs>
      <w:adjustRightInd w:val="0"/>
      <w:jc w:val="left"/>
    </w:pPr>
    <w:rPr>
      <w:rFonts w:ascii="宋体" w:hAnsi="宋体" w:eastAsia="宋体" w:cs="Times New Roman"/>
      <w:szCs w:val="21"/>
    </w:rPr>
  </w:style>
  <w:style w:type="paragraph" w:customStyle="1" w:styleId="172">
    <w:name w:val="标准文件_正文英文表标题"/>
    <w:next w:val="89"/>
    <w:autoRedefine/>
    <w:qFormat/>
    <w:uiPriority w:val="0"/>
    <w:pPr>
      <w:numPr>
        <w:ilvl w:val="0"/>
        <w:numId w:val="23"/>
      </w:numPr>
      <w:jc w:val="center"/>
    </w:pPr>
    <w:rPr>
      <w:rFonts w:ascii="黑体" w:hAnsi="Times New Roman" w:eastAsia="黑体" w:cs="Times New Roman"/>
      <w:sz w:val="21"/>
      <w:lang w:val="en-US" w:eastAsia="zh-CN" w:bidi="ar-SA"/>
    </w:rPr>
  </w:style>
  <w:style w:type="paragraph" w:customStyle="1" w:styleId="173">
    <w:name w:val="标准文件_正文英文图标题"/>
    <w:next w:val="89"/>
    <w:autoRedefine/>
    <w:qFormat/>
    <w:uiPriority w:val="0"/>
    <w:pPr>
      <w:numPr>
        <w:ilvl w:val="0"/>
        <w:numId w:val="24"/>
      </w:numPr>
      <w:jc w:val="center"/>
    </w:pPr>
    <w:rPr>
      <w:rFonts w:ascii="黑体" w:hAnsi="Times New Roman" w:eastAsia="黑体" w:cs="Times New Roman"/>
      <w:sz w:val="21"/>
      <w:lang w:val="en-US" w:eastAsia="zh-CN" w:bidi="ar-SA"/>
    </w:rPr>
  </w:style>
  <w:style w:type="paragraph" w:customStyle="1" w:styleId="174">
    <w:name w:val="二级无标题条"/>
    <w:basedOn w:val="1"/>
    <w:autoRedefine/>
    <w:qFormat/>
    <w:uiPriority w:val="0"/>
    <w:pPr>
      <w:numPr>
        <w:ilvl w:val="3"/>
        <w:numId w:val="25"/>
      </w:numPr>
      <w:tabs>
        <w:tab w:val="left" w:pos="5700"/>
      </w:tabs>
      <w:jc w:val="left"/>
    </w:pPr>
    <w:rPr>
      <w:rFonts w:ascii="宋体" w:hAnsi="宋体" w:eastAsia="宋体" w:cs="Times New Roman"/>
      <w:szCs w:val="24"/>
    </w:rPr>
  </w:style>
  <w:style w:type="paragraph" w:customStyle="1" w:styleId="175">
    <w:name w:val="发布部门"/>
    <w:next w:val="89"/>
    <w:autoRedefine/>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76">
    <w:name w:val="发布日期"/>
    <w:autoRedefine/>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77">
    <w:name w:val="封面标准代替信息"/>
    <w:basedOn w:val="1"/>
    <w:autoRedefine/>
    <w:qFormat/>
    <w:uiPriority w:val="0"/>
    <w:pPr>
      <w:framePr w:w="9138" w:h="1244" w:hRule="exact" w:wrap="auto" w:vAnchor="page" w:hAnchor="margin" w:y="2908"/>
      <w:tabs>
        <w:tab w:val="left" w:pos="5700"/>
      </w:tabs>
      <w:kinsoku w:val="0"/>
      <w:overflowPunct w:val="0"/>
      <w:autoSpaceDE w:val="0"/>
      <w:autoSpaceDN w:val="0"/>
      <w:adjustRightInd w:val="0"/>
      <w:spacing w:before="57" w:line="280" w:lineRule="exact"/>
      <w:jc w:val="right"/>
      <w:textAlignment w:val="center"/>
    </w:pPr>
    <w:rPr>
      <w:rFonts w:ascii="宋体" w:hAnsi="Times New Roman" w:eastAsia="宋体" w:cs="Times New Roman"/>
      <w:kern w:val="0"/>
      <w:szCs w:val="20"/>
    </w:rPr>
  </w:style>
  <w:style w:type="paragraph" w:customStyle="1" w:styleId="178">
    <w:name w:val="封面标准名称"/>
    <w:autoRedefine/>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79">
    <w:name w:val="封面标准文稿类别"/>
    <w:autoRedefine/>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80">
    <w:name w:val="封面标准英文名称"/>
    <w:autoRedefine/>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81">
    <w:name w:val="封面一致性程度标识"/>
    <w:autoRedefine/>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82">
    <w:name w:val="封面正文"/>
    <w:autoRedefine/>
    <w:qFormat/>
    <w:uiPriority w:val="0"/>
    <w:pPr>
      <w:jc w:val="both"/>
    </w:pPr>
    <w:rPr>
      <w:rFonts w:ascii="Times New Roman" w:hAnsi="Times New Roman" w:eastAsia="宋体" w:cs="Times New Roman"/>
      <w:lang w:val="en-US" w:eastAsia="zh-CN" w:bidi="ar-SA"/>
    </w:rPr>
  </w:style>
  <w:style w:type="paragraph" w:customStyle="1" w:styleId="183">
    <w:name w:val="附录二级无标题条"/>
    <w:basedOn w:val="1"/>
    <w:next w:val="89"/>
    <w:autoRedefine/>
    <w:qFormat/>
    <w:uiPriority w:val="0"/>
    <w:pPr>
      <w:widowControl/>
      <w:tabs>
        <w:tab w:val="left" w:pos="5700"/>
      </w:tabs>
      <w:wordWrap w:val="0"/>
      <w:overflowPunct w:val="0"/>
      <w:autoSpaceDE w:val="0"/>
      <w:autoSpaceDN w:val="0"/>
      <w:jc w:val="left"/>
      <w:textAlignment w:val="baseline"/>
      <w:outlineLvl w:val="3"/>
    </w:pPr>
    <w:rPr>
      <w:rFonts w:ascii="宋体" w:hAnsi="宋体" w:eastAsia="宋体" w:cs="Times New Roman"/>
      <w:kern w:val="21"/>
      <w:szCs w:val="21"/>
    </w:rPr>
  </w:style>
  <w:style w:type="paragraph" w:customStyle="1" w:styleId="184">
    <w:name w:val="附录三级无标题条"/>
    <w:basedOn w:val="183"/>
    <w:next w:val="89"/>
    <w:autoRedefine/>
    <w:qFormat/>
    <w:uiPriority w:val="0"/>
    <w:pPr>
      <w:outlineLvl w:val="4"/>
    </w:pPr>
  </w:style>
  <w:style w:type="paragraph" w:customStyle="1" w:styleId="185">
    <w:name w:val="附录四级无标题条"/>
    <w:basedOn w:val="184"/>
    <w:next w:val="89"/>
    <w:autoRedefine/>
    <w:qFormat/>
    <w:uiPriority w:val="0"/>
    <w:pPr>
      <w:outlineLvl w:val="5"/>
    </w:pPr>
  </w:style>
  <w:style w:type="paragraph" w:customStyle="1" w:styleId="186">
    <w:name w:val="附录图"/>
    <w:next w:val="89"/>
    <w:autoRedefine/>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87">
    <w:name w:val="标准文件_一级项"/>
    <w:autoRedefine/>
    <w:qFormat/>
    <w:uiPriority w:val="0"/>
    <w:pPr>
      <w:tabs>
        <w:tab w:val="left" w:pos="851"/>
      </w:tabs>
      <w:ind w:left="851" w:hanging="426"/>
    </w:pPr>
    <w:rPr>
      <w:rFonts w:ascii="宋体" w:hAnsi="Times New Roman" w:eastAsia="宋体" w:cs="Times New Roman"/>
      <w:sz w:val="21"/>
      <w:lang w:val="en-US" w:eastAsia="zh-CN" w:bidi="ar-SA"/>
    </w:rPr>
  </w:style>
  <w:style w:type="paragraph" w:customStyle="1" w:styleId="188">
    <w:name w:val="附录五级无标题条"/>
    <w:basedOn w:val="185"/>
    <w:next w:val="89"/>
    <w:autoRedefine/>
    <w:qFormat/>
    <w:uiPriority w:val="0"/>
    <w:pPr>
      <w:outlineLvl w:val="6"/>
    </w:pPr>
  </w:style>
  <w:style w:type="paragraph" w:customStyle="1" w:styleId="189">
    <w:name w:val="附录性质"/>
    <w:basedOn w:val="1"/>
    <w:autoRedefine/>
    <w:qFormat/>
    <w:uiPriority w:val="0"/>
    <w:pPr>
      <w:widowControl/>
      <w:tabs>
        <w:tab w:val="left" w:pos="5700"/>
      </w:tabs>
      <w:spacing w:line="400" w:lineRule="exact"/>
      <w:jc w:val="center"/>
    </w:pPr>
    <w:rPr>
      <w:rFonts w:ascii="黑体" w:hAnsi="Calibri" w:eastAsia="黑体" w:cs="Times New Roman"/>
      <w:szCs w:val="21"/>
    </w:rPr>
  </w:style>
  <w:style w:type="paragraph" w:customStyle="1" w:styleId="190">
    <w:name w:val="附录一级无标题条"/>
    <w:basedOn w:val="154"/>
    <w:next w:val="89"/>
    <w:autoRedefine/>
    <w:qFormat/>
    <w:uiPriority w:val="0"/>
    <w:pPr>
      <w:autoSpaceDN w:val="0"/>
      <w:outlineLvl w:val="2"/>
    </w:pPr>
    <w:rPr>
      <w:rFonts w:ascii="宋体" w:hAnsi="宋体" w:eastAsia="宋体"/>
    </w:rPr>
  </w:style>
  <w:style w:type="character" w:customStyle="1" w:styleId="191">
    <w:name w:val="个人答复风格"/>
    <w:autoRedefine/>
    <w:qFormat/>
    <w:uiPriority w:val="0"/>
    <w:rPr>
      <w:rFonts w:ascii="Arial" w:hAnsi="Arial" w:eastAsia="宋体" w:cs="Arial"/>
      <w:color w:val="auto"/>
      <w:spacing w:val="0"/>
      <w:sz w:val="20"/>
    </w:rPr>
  </w:style>
  <w:style w:type="character" w:customStyle="1" w:styleId="192">
    <w:name w:val="个人撰写风格"/>
    <w:autoRedefine/>
    <w:qFormat/>
    <w:uiPriority w:val="0"/>
    <w:rPr>
      <w:rFonts w:ascii="Arial" w:hAnsi="Arial" w:eastAsia="宋体" w:cs="Arial"/>
      <w:color w:val="auto"/>
      <w:spacing w:val="0"/>
      <w:sz w:val="20"/>
    </w:rPr>
  </w:style>
  <w:style w:type="paragraph" w:customStyle="1" w:styleId="193">
    <w:name w:val="脚注后续"/>
    <w:autoRedefine/>
    <w:qFormat/>
    <w:uiPriority w:val="0"/>
    <w:pPr>
      <w:ind w:left="350" w:leftChars="350"/>
      <w:jc w:val="both"/>
    </w:pPr>
    <w:rPr>
      <w:rFonts w:ascii="宋体" w:hAnsi="Times New Roman" w:eastAsia="宋体" w:cs="Times New Roman"/>
      <w:sz w:val="18"/>
      <w:lang w:val="en-US" w:eastAsia="zh-CN" w:bidi="ar-SA"/>
    </w:rPr>
  </w:style>
  <w:style w:type="paragraph" w:customStyle="1" w:styleId="194">
    <w:name w:val="列项——"/>
    <w:autoRedefine/>
    <w:qFormat/>
    <w:uiPriority w:val="0"/>
    <w:pPr>
      <w:widowControl w:val="0"/>
      <w:numPr>
        <w:ilvl w:val="0"/>
        <w:numId w:val="26"/>
      </w:numPr>
      <w:jc w:val="both"/>
    </w:pPr>
    <w:rPr>
      <w:rFonts w:ascii="宋体" w:hAnsi="宋体" w:eastAsia="宋体" w:cs="Times New Roman"/>
      <w:sz w:val="21"/>
      <w:lang w:val="en-US" w:eastAsia="zh-CN" w:bidi="ar-SA"/>
    </w:rPr>
  </w:style>
  <w:style w:type="paragraph" w:customStyle="1" w:styleId="195">
    <w:name w:val="列项·"/>
    <w:basedOn w:val="89"/>
    <w:autoRedefine/>
    <w:qFormat/>
    <w:uiPriority w:val="0"/>
    <w:pPr>
      <w:tabs>
        <w:tab w:val="left" w:pos="840"/>
      </w:tabs>
      <w:spacing w:before="156" w:after="156"/>
      <w:ind w:firstLine="420"/>
    </w:pPr>
    <w:rPr>
      <w:rFonts w:hAnsi="宋体"/>
    </w:rPr>
  </w:style>
  <w:style w:type="paragraph" w:customStyle="1" w:styleId="196">
    <w:name w:val="目次、索引正文"/>
    <w:autoRedefine/>
    <w:qFormat/>
    <w:uiPriority w:val="0"/>
    <w:pPr>
      <w:spacing w:line="320" w:lineRule="exact"/>
      <w:jc w:val="both"/>
    </w:pPr>
    <w:rPr>
      <w:rFonts w:ascii="宋体" w:hAnsi="Times New Roman" w:eastAsia="宋体" w:cs="Times New Roman"/>
      <w:sz w:val="21"/>
      <w:lang w:val="en-US" w:eastAsia="zh-CN" w:bidi="ar-SA"/>
    </w:rPr>
  </w:style>
  <w:style w:type="paragraph" w:customStyle="1" w:styleId="197">
    <w:name w:val="其他标准称谓"/>
    <w:autoRedefine/>
    <w:qFormat/>
    <w:uiPriority w:val="0"/>
    <w:pPr>
      <w:spacing w:line="0" w:lineRule="atLeast"/>
      <w:jc w:val="distribute"/>
    </w:pPr>
    <w:rPr>
      <w:rFonts w:ascii="黑体" w:hAnsi="宋体" w:eastAsia="黑体" w:cs="Times New Roman"/>
      <w:sz w:val="52"/>
      <w:lang w:val="en-US" w:eastAsia="zh-CN" w:bidi="ar-SA"/>
    </w:rPr>
  </w:style>
  <w:style w:type="paragraph" w:customStyle="1" w:styleId="198">
    <w:name w:val="其他发布部门"/>
    <w:basedOn w:val="175"/>
    <w:autoRedefine/>
    <w:qFormat/>
    <w:uiPriority w:val="0"/>
    <w:pPr>
      <w:framePr w:wrap="around"/>
      <w:spacing w:line="0" w:lineRule="atLeast"/>
    </w:pPr>
    <w:rPr>
      <w:rFonts w:ascii="黑体" w:eastAsia="黑体"/>
      <w:b w:val="0"/>
    </w:rPr>
  </w:style>
  <w:style w:type="paragraph" w:customStyle="1" w:styleId="199">
    <w:name w:val="三级无标题条"/>
    <w:basedOn w:val="1"/>
    <w:autoRedefine/>
    <w:qFormat/>
    <w:uiPriority w:val="0"/>
    <w:pPr>
      <w:numPr>
        <w:ilvl w:val="4"/>
        <w:numId w:val="25"/>
      </w:numPr>
      <w:tabs>
        <w:tab w:val="left" w:pos="5700"/>
      </w:tabs>
      <w:jc w:val="left"/>
    </w:pPr>
    <w:rPr>
      <w:rFonts w:ascii="宋体" w:hAnsi="宋体" w:eastAsia="宋体" w:cs="Times New Roman"/>
      <w:szCs w:val="24"/>
    </w:rPr>
  </w:style>
  <w:style w:type="paragraph" w:customStyle="1" w:styleId="200">
    <w:name w:val="实施日期"/>
    <w:basedOn w:val="176"/>
    <w:autoRedefine/>
    <w:qFormat/>
    <w:uiPriority w:val="0"/>
    <w:pPr>
      <w:framePr w:hSpace="0" w:wrap="around" w:xAlign="right"/>
      <w:jc w:val="right"/>
    </w:pPr>
  </w:style>
  <w:style w:type="paragraph" w:customStyle="1" w:styleId="201">
    <w:name w:val="四级无标题条"/>
    <w:basedOn w:val="1"/>
    <w:autoRedefine/>
    <w:qFormat/>
    <w:uiPriority w:val="0"/>
    <w:pPr>
      <w:numPr>
        <w:ilvl w:val="5"/>
        <w:numId w:val="25"/>
      </w:numPr>
      <w:tabs>
        <w:tab w:val="left" w:pos="5700"/>
      </w:tabs>
      <w:jc w:val="left"/>
    </w:pPr>
    <w:rPr>
      <w:rFonts w:ascii="宋体" w:hAnsi="宋体" w:eastAsia="宋体" w:cs="Times New Roman"/>
      <w:szCs w:val="24"/>
    </w:rPr>
  </w:style>
  <w:style w:type="paragraph" w:customStyle="1" w:styleId="202">
    <w:name w:val="文献分类号"/>
    <w:autoRedefine/>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203">
    <w:name w:val="无标题条"/>
    <w:next w:val="89"/>
    <w:autoRedefine/>
    <w:qFormat/>
    <w:uiPriority w:val="0"/>
    <w:pPr>
      <w:jc w:val="both"/>
    </w:pPr>
    <w:rPr>
      <w:rFonts w:ascii="宋体" w:hAnsi="宋体" w:eastAsia="宋体" w:cs="Times New Roman"/>
      <w:sz w:val="21"/>
      <w:lang w:val="en-US" w:eastAsia="zh-CN" w:bidi="ar-SA"/>
    </w:rPr>
  </w:style>
  <w:style w:type="paragraph" w:customStyle="1" w:styleId="204">
    <w:name w:val="五级无标题条"/>
    <w:basedOn w:val="1"/>
    <w:autoRedefine/>
    <w:qFormat/>
    <w:uiPriority w:val="0"/>
    <w:pPr>
      <w:numPr>
        <w:ilvl w:val="6"/>
        <w:numId w:val="25"/>
      </w:numPr>
      <w:tabs>
        <w:tab w:val="left" w:pos="5700"/>
      </w:tabs>
      <w:spacing w:line="400" w:lineRule="exact"/>
      <w:jc w:val="left"/>
    </w:pPr>
    <w:rPr>
      <w:rFonts w:ascii="Calibri" w:hAnsi="Calibri" w:eastAsia="宋体" w:cs="Times New Roman"/>
      <w:szCs w:val="24"/>
    </w:rPr>
  </w:style>
  <w:style w:type="paragraph" w:customStyle="1" w:styleId="205">
    <w:name w:val="一级无标题条"/>
    <w:basedOn w:val="1"/>
    <w:autoRedefine/>
    <w:qFormat/>
    <w:uiPriority w:val="0"/>
    <w:pPr>
      <w:numPr>
        <w:ilvl w:val="2"/>
        <w:numId w:val="25"/>
      </w:numPr>
      <w:tabs>
        <w:tab w:val="left" w:pos="5700"/>
      </w:tabs>
      <w:spacing w:before="10" w:after="10"/>
      <w:jc w:val="left"/>
    </w:pPr>
    <w:rPr>
      <w:rFonts w:ascii="宋体" w:hAnsi="宋体" w:eastAsia="宋体" w:cs="Times New Roman"/>
      <w:szCs w:val="24"/>
    </w:rPr>
  </w:style>
  <w:style w:type="paragraph" w:customStyle="1" w:styleId="206">
    <w:name w:val="注:后续"/>
    <w:autoRedefine/>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207">
    <w:name w:val="注×:后续"/>
    <w:basedOn w:val="206"/>
    <w:autoRedefine/>
    <w:qFormat/>
    <w:uiPriority w:val="0"/>
    <w:pPr>
      <w:ind w:left="1406" w:leftChars="0" w:hanging="499" w:firstLineChars="0"/>
    </w:pPr>
  </w:style>
  <w:style w:type="paragraph" w:customStyle="1" w:styleId="208">
    <w:name w:val="标准文件_五级无标题"/>
    <w:basedOn w:val="111"/>
    <w:autoRedefine/>
    <w:qFormat/>
    <w:uiPriority w:val="0"/>
    <w:pPr>
      <w:spacing w:before="0" w:beforeLines="0" w:after="0" w:afterLines="0"/>
      <w:outlineLvl w:val="9"/>
    </w:pPr>
    <w:rPr>
      <w:rFonts w:ascii="宋体" w:eastAsia="宋体"/>
    </w:rPr>
  </w:style>
  <w:style w:type="paragraph" w:customStyle="1" w:styleId="209">
    <w:name w:val="标准_四级无标题"/>
    <w:basedOn w:val="110"/>
    <w:next w:val="89"/>
    <w:autoRedefine/>
    <w:qFormat/>
    <w:uiPriority w:val="0"/>
    <w:rPr>
      <w:rFonts w:eastAsia="宋体"/>
    </w:rPr>
  </w:style>
  <w:style w:type="paragraph" w:customStyle="1" w:styleId="210">
    <w:name w:val="标准文件_大写罗马数字编号列项"/>
    <w:basedOn w:val="89"/>
    <w:autoRedefine/>
    <w:qFormat/>
    <w:uiPriority w:val="0"/>
    <w:pPr>
      <w:numPr>
        <w:ilvl w:val="0"/>
        <w:numId w:val="27"/>
      </w:numPr>
      <w:spacing w:before="156" w:after="156"/>
      <w:ind w:firstLine="0"/>
    </w:pPr>
    <w:rPr>
      <w:rFonts w:ascii="Times New Roman" w:hAnsi="宋体" w:cs="Arial"/>
      <w:szCs w:val="28"/>
    </w:rPr>
  </w:style>
  <w:style w:type="paragraph" w:customStyle="1" w:styleId="211">
    <w:name w:val="标准文件_小写罗马数字编号列项"/>
    <w:basedOn w:val="89"/>
    <w:autoRedefine/>
    <w:qFormat/>
    <w:uiPriority w:val="0"/>
    <w:pPr>
      <w:numPr>
        <w:ilvl w:val="0"/>
        <w:numId w:val="28"/>
      </w:numPr>
      <w:spacing w:before="156" w:after="156"/>
      <w:ind w:firstLine="0"/>
    </w:pPr>
    <w:rPr>
      <w:rFonts w:hAnsi="宋体" w:cs="Arial"/>
      <w:szCs w:val="28"/>
    </w:rPr>
  </w:style>
  <w:style w:type="paragraph" w:customStyle="1" w:styleId="212">
    <w:name w:val="标准文件_附录标题"/>
    <w:basedOn w:val="146"/>
    <w:autoRedefine/>
    <w:qFormat/>
    <w:uiPriority w:val="0"/>
    <w:pPr>
      <w:spacing w:after="280"/>
      <w:ind w:left="0"/>
      <w:outlineLvl w:val="9"/>
    </w:pPr>
  </w:style>
  <w:style w:type="paragraph" w:customStyle="1" w:styleId="213">
    <w:name w:val="标准文件_二级项"/>
    <w:autoRedefine/>
    <w:qFormat/>
    <w:uiPriority w:val="0"/>
    <w:rPr>
      <w:rFonts w:ascii="宋体" w:hAnsi="Times New Roman" w:eastAsia="宋体" w:cs="Times New Roman"/>
      <w:sz w:val="21"/>
      <w:lang w:val="en-US" w:eastAsia="zh-CN" w:bidi="ar-SA"/>
    </w:rPr>
  </w:style>
  <w:style w:type="paragraph" w:customStyle="1" w:styleId="214">
    <w:name w:val="标准文件_三级项"/>
    <w:basedOn w:val="1"/>
    <w:autoRedefine/>
    <w:qFormat/>
    <w:uiPriority w:val="0"/>
    <w:pPr>
      <w:tabs>
        <w:tab w:val="left" w:pos="5700"/>
      </w:tabs>
      <w:adjustRightInd w:val="0"/>
      <w:spacing w:line="536870612" w:lineRule="auto"/>
      <w:ind w:left="851" w:hanging="426"/>
      <w:jc w:val="left"/>
    </w:pPr>
    <w:rPr>
      <w:rFonts w:ascii="Times New Roman" w:hAnsi="Times New Roman" w:eastAsia="宋体" w:cs="Times New Roman"/>
      <w:szCs w:val="21"/>
    </w:rPr>
  </w:style>
  <w:style w:type="paragraph" w:customStyle="1" w:styleId="215">
    <w:name w:val="图表脚注说明"/>
    <w:basedOn w:val="1"/>
    <w:next w:val="89"/>
    <w:autoRedefine/>
    <w:qFormat/>
    <w:uiPriority w:val="0"/>
    <w:pPr>
      <w:numPr>
        <w:ilvl w:val="0"/>
        <w:numId w:val="29"/>
      </w:numPr>
      <w:tabs>
        <w:tab w:val="left" w:pos="5700"/>
      </w:tabs>
      <w:jc w:val="left"/>
    </w:pPr>
    <w:rPr>
      <w:rFonts w:ascii="宋体" w:hAnsi="Times New Roman" w:eastAsia="宋体" w:cs="Times New Roman"/>
      <w:sz w:val="18"/>
      <w:szCs w:val="18"/>
    </w:rPr>
  </w:style>
  <w:style w:type="paragraph" w:customStyle="1" w:styleId="216">
    <w:name w:val="标准文件_索引字母"/>
    <w:next w:val="89"/>
    <w:autoRedefine/>
    <w:qFormat/>
    <w:uiPriority w:val="0"/>
    <w:pPr>
      <w:jc w:val="center"/>
    </w:pPr>
    <w:rPr>
      <w:rFonts w:ascii="宋体" w:hAnsi="宋体" w:eastAsia="Times New Roman" w:cs="Times New Roman"/>
      <w:b/>
      <w:kern w:val="2"/>
      <w:sz w:val="21"/>
      <w:lang w:val="en-US" w:eastAsia="zh-CN" w:bidi="ar-SA"/>
    </w:rPr>
  </w:style>
  <w:style w:type="paragraph" w:customStyle="1" w:styleId="217">
    <w:name w:val="标准文件_附录前"/>
    <w:next w:val="89"/>
    <w:autoRedefine/>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218">
    <w:name w:val="标准文件_正文标准名称"/>
    <w:autoRedefine/>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219">
    <w:name w:val="标准文件_示例："/>
    <w:next w:val="220"/>
    <w:autoRedefine/>
    <w:qFormat/>
    <w:uiPriority w:val="0"/>
    <w:pPr>
      <w:widowControl w:val="0"/>
      <w:numPr>
        <w:ilvl w:val="0"/>
        <w:numId w:val="30"/>
      </w:numPr>
      <w:jc w:val="both"/>
    </w:pPr>
    <w:rPr>
      <w:rFonts w:ascii="宋体" w:hAnsi="Times New Roman" w:eastAsia="宋体" w:cs="Times New Roman"/>
      <w:sz w:val="18"/>
      <w:szCs w:val="18"/>
      <w:lang w:val="en-US" w:eastAsia="zh-CN" w:bidi="ar-SA"/>
    </w:rPr>
  </w:style>
  <w:style w:type="paragraph" w:customStyle="1" w:styleId="220">
    <w:name w:val="标准文件_示例内容"/>
    <w:basedOn w:val="89"/>
    <w:autoRedefine/>
    <w:qFormat/>
    <w:uiPriority w:val="0"/>
    <w:pPr>
      <w:spacing w:before="156" w:after="156"/>
      <w:ind w:firstLine="420"/>
    </w:pPr>
    <w:rPr>
      <w:rFonts w:hAnsi="宋体"/>
      <w:sz w:val="18"/>
    </w:rPr>
  </w:style>
  <w:style w:type="paragraph" w:customStyle="1" w:styleId="221">
    <w:name w:val="标准文件_示例×："/>
    <w:basedOn w:val="1"/>
    <w:next w:val="220"/>
    <w:autoRedefine/>
    <w:qFormat/>
    <w:uiPriority w:val="0"/>
    <w:pPr>
      <w:widowControl/>
      <w:numPr>
        <w:ilvl w:val="0"/>
        <w:numId w:val="31"/>
      </w:numPr>
      <w:tabs>
        <w:tab w:val="left" w:pos="5700"/>
      </w:tabs>
      <w:jc w:val="left"/>
    </w:pPr>
    <w:rPr>
      <w:rFonts w:ascii="宋体" w:hAnsi="Times New Roman" w:eastAsia="宋体" w:cs="Times New Roman"/>
      <w:kern w:val="0"/>
      <w:sz w:val="18"/>
      <w:szCs w:val="18"/>
    </w:rPr>
  </w:style>
  <w:style w:type="paragraph" w:customStyle="1" w:styleId="222">
    <w:name w:val="标准文件_表格续"/>
    <w:basedOn w:val="89"/>
    <w:next w:val="89"/>
    <w:autoRedefine/>
    <w:qFormat/>
    <w:uiPriority w:val="0"/>
    <w:pPr>
      <w:spacing w:before="156" w:after="156"/>
      <w:ind w:firstLine="420"/>
    </w:pPr>
    <w:rPr>
      <w:rFonts w:ascii="黑体" w:hAnsi="黑体" w:eastAsia="黑体"/>
    </w:rPr>
  </w:style>
  <w:style w:type="paragraph" w:customStyle="1" w:styleId="223">
    <w:name w:val="标准文件_二级项2"/>
    <w:basedOn w:val="89"/>
    <w:autoRedefine/>
    <w:qFormat/>
    <w:uiPriority w:val="0"/>
    <w:pPr>
      <w:spacing w:before="156" w:after="156"/>
      <w:ind w:left="851"/>
    </w:pPr>
    <w:rPr>
      <w:rFonts w:hAnsi="宋体"/>
    </w:rPr>
  </w:style>
  <w:style w:type="paragraph" w:customStyle="1" w:styleId="224">
    <w:name w:val="标准文件_三级项2"/>
    <w:basedOn w:val="89"/>
    <w:autoRedefine/>
    <w:qFormat/>
    <w:uiPriority w:val="0"/>
    <w:pPr>
      <w:numPr>
        <w:ilvl w:val="0"/>
        <w:numId w:val="32"/>
      </w:numPr>
      <w:spacing w:before="156" w:after="156" w:line="300" w:lineRule="exact"/>
    </w:pPr>
    <w:rPr>
      <w:rFonts w:ascii="Times New Roman" w:hAnsi="宋体"/>
    </w:rPr>
  </w:style>
  <w:style w:type="paragraph" w:customStyle="1" w:styleId="225">
    <w:name w:val="标准文件_一级项2"/>
    <w:basedOn w:val="89"/>
    <w:autoRedefine/>
    <w:qFormat/>
    <w:uiPriority w:val="0"/>
    <w:pPr>
      <w:numPr>
        <w:ilvl w:val="0"/>
        <w:numId w:val="33"/>
      </w:numPr>
      <w:spacing w:before="156" w:after="156" w:line="300" w:lineRule="exact"/>
    </w:pPr>
    <w:rPr>
      <w:rFonts w:ascii="Times New Roman" w:hAnsi="宋体"/>
    </w:rPr>
  </w:style>
  <w:style w:type="paragraph" w:customStyle="1" w:styleId="226">
    <w:name w:val="标准文件_提示"/>
    <w:basedOn w:val="89"/>
    <w:next w:val="89"/>
    <w:autoRedefine/>
    <w:qFormat/>
    <w:uiPriority w:val="0"/>
    <w:pPr>
      <w:spacing w:before="156" w:after="156"/>
      <w:ind w:firstLine="420"/>
    </w:pPr>
    <w:rPr>
      <w:rFonts w:ascii="黑体" w:hAnsi="宋体" w:eastAsia="黑体"/>
    </w:rPr>
  </w:style>
  <w:style w:type="character" w:customStyle="1" w:styleId="227">
    <w:name w:val="标准文件_来源"/>
    <w:basedOn w:val="33"/>
    <w:autoRedefine/>
    <w:qFormat/>
    <w:uiPriority w:val="1"/>
    <w:rPr>
      <w:rFonts w:eastAsia="宋体"/>
      <w:sz w:val="21"/>
    </w:rPr>
  </w:style>
  <w:style w:type="paragraph" w:customStyle="1" w:styleId="228">
    <w:name w:val="标准文件_图表说明"/>
    <w:autoRedefine/>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229">
    <w:name w:val="其他发布日期"/>
    <w:basedOn w:val="176"/>
    <w:autoRedefine/>
    <w:qFormat/>
    <w:uiPriority w:val="0"/>
    <w:pPr>
      <w:framePr w:w="3997" w:h="471" w:hRule="exact" w:hSpace="0" w:vSpace="181" w:wrap="around" w:vAnchor="page" w:hAnchor="page" w:x="1419" w:y="14097"/>
    </w:pPr>
  </w:style>
  <w:style w:type="paragraph" w:customStyle="1" w:styleId="230">
    <w:name w:val="其他实施日期"/>
    <w:basedOn w:val="200"/>
    <w:autoRedefine/>
    <w:qFormat/>
    <w:uiPriority w:val="0"/>
    <w:pPr>
      <w:framePr w:w="3997" w:h="471" w:hRule="exact" w:vSpace="181" w:wrap="around" w:vAnchor="page" w:hAnchor="page" w:x="7089" w:y="14097"/>
    </w:pPr>
  </w:style>
  <w:style w:type="paragraph" w:customStyle="1" w:styleId="231">
    <w:name w:val="标准文件_文件编号"/>
    <w:basedOn w:val="89"/>
    <w:autoRedefine/>
    <w:qFormat/>
    <w:uiPriority w:val="0"/>
    <w:pPr>
      <w:framePr w:w="9356" w:h="624" w:hRule="exact" w:hSpace="181" w:vSpace="181" w:wrap="auto" w:vAnchor="page" w:hAnchor="page" w:x="1419" w:y="3284"/>
      <w:wordWrap w:val="0"/>
      <w:spacing w:before="156" w:after="156" w:line="280" w:lineRule="exact"/>
      <w:jc w:val="right"/>
    </w:pPr>
    <w:rPr>
      <w:rFonts w:ascii="黑体" w:hAnsi="宋体" w:eastAsia="黑体"/>
      <w:bCs/>
      <w:sz w:val="28"/>
      <w:szCs w:val="28"/>
    </w:rPr>
  </w:style>
  <w:style w:type="paragraph" w:customStyle="1" w:styleId="232">
    <w:name w:val="标准文件_替换文件编号"/>
    <w:basedOn w:val="231"/>
    <w:autoRedefine/>
    <w:qFormat/>
    <w:uiPriority w:val="0"/>
    <w:pPr>
      <w:spacing w:before="57"/>
    </w:pPr>
    <w:rPr>
      <w:sz w:val="21"/>
    </w:rPr>
  </w:style>
  <w:style w:type="paragraph" w:customStyle="1" w:styleId="233">
    <w:name w:val="标准文件_文件名称"/>
    <w:basedOn w:val="89"/>
    <w:next w:val="89"/>
    <w:autoRedefine/>
    <w:qFormat/>
    <w:uiPriority w:val="0"/>
    <w:pPr>
      <w:framePr w:w="9639" w:h="6976" w:hRule="exact" w:wrap="auto" w:vAnchor="page" w:hAnchor="page" w:y="6408"/>
      <w:autoSpaceDE/>
      <w:autoSpaceDN/>
      <w:spacing w:before="156" w:after="156" w:line="700" w:lineRule="exact"/>
    </w:pPr>
    <w:rPr>
      <w:rFonts w:ascii="黑体" w:hAnsi="黑体" w:eastAsia="黑体"/>
      <w:bCs/>
      <w:sz w:val="52"/>
    </w:rPr>
  </w:style>
  <w:style w:type="paragraph" w:customStyle="1" w:styleId="234">
    <w:name w:val="标准文件_附录图标号"/>
    <w:basedOn w:val="89"/>
    <w:next w:val="89"/>
    <w:autoRedefine/>
    <w:qFormat/>
    <w:uiPriority w:val="0"/>
    <w:pPr>
      <w:spacing w:before="156" w:after="156" w:line="14" w:lineRule="exact"/>
      <w:ind w:left="420"/>
    </w:pPr>
    <w:rPr>
      <w:rFonts w:ascii="黑体" w:hAnsi="黑体" w:eastAsia="黑体"/>
      <w:vanish/>
      <w:sz w:val="2"/>
      <w:szCs w:val="21"/>
    </w:rPr>
  </w:style>
  <w:style w:type="paragraph" w:customStyle="1" w:styleId="235">
    <w:name w:val="标准文件_附录表标号"/>
    <w:basedOn w:val="89"/>
    <w:next w:val="89"/>
    <w:autoRedefine/>
    <w:qFormat/>
    <w:uiPriority w:val="0"/>
    <w:pPr>
      <w:numPr>
        <w:ilvl w:val="0"/>
        <w:numId w:val="15"/>
      </w:numPr>
      <w:spacing w:before="156" w:after="156" w:line="14" w:lineRule="exact"/>
      <w:ind w:firstLine="0"/>
    </w:pPr>
    <w:rPr>
      <w:rFonts w:hAnsi="宋体" w:eastAsia="黑体"/>
      <w:vanish/>
      <w:sz w:val="2"/>
    </w:rPr>
  </w:style>
  <w:style w:type="paragraph" w:customStyle="1" w:styleId="236">
    <w:name w:val="标准文件_注后"/>
    <w:basedOn w:val="89"/>
    <w:autoRedefine/>
    <w:qFormat/>
    <w:uiPriority w:val="0"/>
    <w:pPr>
      <w:spacing w:before="156" w:after="156"/>
      <w:ind w:left="811"/>
    </w:pPr>
    <w:rPr>
      <w:rFonts w:hAnsi="宋体"/>
      <w:sz w:val="18"/>
    </w:rPr>
  </w:style>
  <w:style w:type="paragraph" w:customStyle="1" w:styleId="237">
    <w:name w:val="标准文件_注X后"/>
    <w:basedOn w:val="89"/>
    <w:autoRedefine/>
    <w:qFormat/>
    <w:uiPriority w:val="0"/>
    <w:pPr>
      <w:spacing w:before="156" w:after="156"/>
      <w:ind w:left="811"/>
    </w:pPr>
    <w:rPr>
      <w:rFonts w:hAnsi="宋体"/>
      <w:sz w:val="18"/>
    </w:rPr>
  </w:style>
  <w:style w:type="paragraph" w:customStyle="1" w:styleId="238">
    <w:name w:val="标准文件_示例后"/>
    <w:basedOn w:val="89"/>
    <w:autoRedefine/>
    <w:qFormat/>
    <w:uiPriority w:val="0"/>
    <w:pPr>
      <w:spacing w:before="156" w:after="156"/>
      <w:ind w:left="964"/>
    </w:pPr>
    <w:rPr>
      <w:rFonts w:hAnsi="宋体"/>
      <w:sz w:val="18"/>
    </w:rPr>
  </w:style>
  <w:style w:type="paragraph" w:customStyle="1" w:styleId="239">
    <w:name w:val="标准文件_示例X后"/>
    <w:basedOn w:val="89"/>
    <w:link w:val="240"/>
    <w:autoRedefine/>
    <w:qFormat/>
    <w:uiPriority w:val="0"/>
    <w:pPr>
      <w:spacing w:before="156" w:after="156"/>
      <w:ind w:left="1049"/>
    </w:pPr>
    <w:rPr>
      <w:rFonts w:hAnsi="宋体"/>
      <w:sz w:val="18"/>
    </w:rPr>
  </w:style>
  <w:style w:type="character" w:customStyle="1" w:styleId="240">
    <w:name w:val="标准文件_示例X后 字符"/>
    <w:basedOn w:val="90"/>
    <w:link w:val="239"/>
    <w:autoRedefine/>
    <w:qFormat/>
    <w:uiPriority w:val="0"/>
    <w:rPr>
      <w:rFonts w:ascii="宋体" w:hAnsi="宋体"/>
      <w:sz w:val="18"/>
    </w:rPr>
  </w:style>
  <w:style w:type="paragraph" w:customStyle="1" w:styleId="241">
    <w:name w:val="标准文件_索引项"/>
    <w:basedOn w:val="89"/>
    <w:next w:val="89"/>
    <w:autoRedefine/>
    <w:qFormat/>
    <w:uiPriority w:val="0"/>
    <w:pPr>
      <w:tabs>
        <w:tab w:val="right" w:leader="dot" w:pos="9356"/>
      </w:tabs>
      <w:spacing w:before="156" w:after="156"/>
      <w:ind w:left="210" w:hanging="210"/>
    </w:pPr>
    <w:rPr>
      <w:rFonts w:hAnsi="宋体"/>
    </w:rPr>
  </w:style>
  <w:style w:type="paragraph" w:customStyle="1" w:styleId="242">
    <w:name w:val="标准文件_附录一级无标题"/>
    <w:basedOn w:val="96"/>
    <w:autoRedefine/>
    <w:qFormat/>
    <w:uiPriority w:val="0"/>
    <w:pPr>
      <w:numPr>
        <w:ilvl w:val="0"/>
        <w:numId w:val="0"/>
      </w:numPr>
      <w:tabs>
        <w:tab w:val="left" w:pos="760"/>
      </w:tabs>
      <w:spacing w:before="0" w:beforeLines="0" w:after="0" w:afterLines="0" w:line="276" w:lineRule="auto"/>
      <w:ind w:left="1264" w:hanging="413"/>
      <w:outlineLvl w:val="9"/>
    </w:pPr>
    <w:rPr>
      <w:rFonts w:ascii="宋体" w:eastAsia="宋体"/>
    </w:rPr>
  </w:style>
  <w:style w:type="paragraph" w:customStyle="1" w:styleId="243">
    <w:name w:val="标准文件_附录二级无标题"/>
    <w:basedOn w:val="148"/>
    <w:autoRedefine/>
    <w:qFormat/>
    <w:uiPriority w:val="0"/>
    <w:pPr>
      <w:spacing w:before="0" w:beforeLines="0" w:after="0" w:afterLines="0" w:line="276" w:lineRule="auto"/>
      <w:outlineLvl w:val="9"/>
    </w:pPr>
    <w:rPr>
      <w:rFonts w:ascii="宋体" w:eastAsia="宋体"/>
    </w:rPr>
  </w:style>
  <w:style w:type="paragraph" w:customStyle="1" w:styleId="244">
    <w:name w:val="标准文件_附录三级无标题"/>
    <w:basedOn w:val="150"/>
    <w:autoRedefine/>
    <w:qFormat/>
    <w:uiPriority w:val="0"/>
    <w:pPr>
      <w:spacing w:before="0" w:beforeLines="0" w:after="0" w:afterLines="0" w:line="276" w:lineRule="auto"/>
      <w:outlineLvl w:val="9"/>
    </w:pPr>
    <w:rPr>
      <w:rFonts w:ascii="宋体" w:eastAsia="宋体"/>
    </w:rPr>
  </w:style>
  <w:style w:type="paragraph" w:customStyle="1" w:styleId="245">
    <w:name w:val="标准文件_附录四级无标题"/>
    <w:basedOn w:val="151"/>
    <w:autoRedefine/>
    <w:qFormat/>
    <w:uiPriority w:val="0"/>
    <w:pPr>
      <w:spacing w:before="0" w:beforeLines="0" w:after="0" w:afterLines="0" w:line="276" w:lineRule="auto"/>
      <w:outlineLvl w:val="9"/>
    </w:pPr>
    <w:rPr>
      <w:rFonts w:ascii="宋体" w:eastAsia="宋体"/>
    </w:rPr>
  </w:style>
  <w:style w:type="paragraph" w:customStyle="1" w:styleId="246">
    <w:name w:val="标准文件_附录五级无标题"/>
    <w:basedOn w:val="152"/>
    <w:autoRedefine/>
    <w:qFormat/>
    <w:uiPriority w:val="0"/>
    <w:pPr>
      <w:spacing w:before="0" w:beforeLines="0" w:after="0" w:afterLines="0" w:line="276" w:lineRule="auto"/>
      <w:outlineLvl w:val="9"/>
    </w:pPr>
    <w:rPr>
      <w:rFonts w:ascii="宋体" w:eastAsia="宋体"/>
    </w:rPr>
  </w:style>
  <w:style w:type="paragraph" w:customStyle="1" w:styleId="247">
    <w:name w:val="标准文件_引言一级无标题"/>
    <w:basedOn w:val="113"/>
    <w:next w:val="89"/>
    <w:autoRedefine/>
    <w:qFormat/>
    <w:uiPriority w:val="0"/>
    <w:pPr>
      <w:spacing w:before="0" w:beforeLines="0" w:after="0" w:afterLines="0" w:line="276" w:lineRule="auto"/>
    </w:pPr>
    <w:rPr>
      <w:rFonts w:ascii="宋体" w:eastAsia="宋体"/>
    </w:rPr>
  </w:style>
  <w:style w:type="paragraph" w:customStyle="1" w:styleId="248">
    <w:name w:val="标准文件_引言二级无标题"/>
    <w:basedOn w:val="114"/>
    <w:next w:val="89"/>
    <w:autoRedefine/>
    <w:qFormat/>
    <w:uiPriority w:val="0"/>
    <w:pPr>
      <w:spacing w:before="0" w:beforeLines="0" w:after="0" w:afterLines="0" w:line="276" w:lineRule="auto"/>
    </w:pPr>
    <w:rPr>
      <w:rFonts w:ascii="宋体" w:eastAsia="宋体"/>
    </w:rPr>
  </w:style>
  <w:style w:type="paragraph" w:customStyle="1" w:styleId="249">
    <w:name w:val="标准文件_引言三级无标题"/>
    <w:basedOn w:val="115"/>
    <w:autoRedefine/>
    <w:qFormat/>
    <w:uiPriority w:val="0"/>
    <w:pPr>
      <w:spacing w:before="0" w:beforeLines="0" w:after="0" w:afterLines="0" w:line="276" w:lineRule="auto"/>
    </w:pPr>
    <w:rPr>
      <w:rFonts w:ascii="宋体" w:eastAsia="宋体"/>
    </w:rPr>
  </w:style>
  <w:style w:type="paragraph" w:customStyle="1" w:styleId="250">
    <w:name w:val="标准文件_索引标题"/>
    <w:basedOn w:val="98"/>
    <w:next w:val="89"/>
    <w:autoRedefine/>
    <w:qFormat/>
    <w:uiPriority w:val="0"/>
    <w:pPr>
      <w:tabs>
        <w:tab w:val="left" w:pos="5700"/>
      </w:tabs>
    </w:pPr>
    <w:rPr>
      <w:rFonts w:hAnsi="黑体" w:cs="Times New Roman"/>
      <w:szCs w:val="21"/>
    </w:rPr>
  </w:style>
  <w:style w:type="paragraph" w:customStyle="1" w:styleId="251">
    <w:name w:val="标准文件_脚注内容"/>
    <w:basedOn w:val="89"/>
    <w:autoRedefine/>
    <w:qFormat/>
    <w:uiPriority w:val="0"/>
    <w:pPr>
      <w:spacing w:before="156" w:after="156"/>
      <w:ind w:left="400" w:leftChars="200" w:hanging="200" w:hangingChars="200"/>
    </w:pPr>
    <w:rPr>
      <w:rFonts w:hAnsi="宋体"/>
      <w:sz w:val="15"/>
    </w:rPr>
  </w:style>
  <w:style w:type="paragraph" w:customStyle="1" w:styleId="252">
    <w:name w:val="标准文件_术语条二"/>
    <w:basedOn w:val="91"/>
    <w:next w:val="89"/>
    <w:autoRedefine/>
    <w:qFormat/>
    <w:uiPriority w:val="0"/>
    <w:pPr>
      <w:numPr>
        <w:ilvl w:val="0"/>
        <w:numId w:val="0"/>
      </w:numPr>
    </w:pPr>
  </w:style>
  <w:style w:type="paragraph" w:customStyle="1" w:styleId="253">
    <w:name w:val="标准文件_术语条三"/>
    <w:basedOn w:val="103"/>
    <w:next w:val="89"/>
    <w:autoRedefine/>
    <w:qFormat/>
    <w:uiPriority w:val="0"/>
  </w:style>
  <w:style w:type="paragraph" w:customStyle="1" w:styleId="254">
    <w:name w:val="标准文件_术语条四"/>
    <w:basedOn w:val="104"/>
    <w:next w:val="89"/>
    <w:autoRedefine/>
    <w:qFormat/>
    <w:uiPriority w:val="0"/>
  </w:style>
  <w:style w:type="paragraph" w:customStyle="1" w:styleId="255">
    <w:name w:val="标准文件_术语条五"/>
    <w:basedOn w:val="208"/>
    <w:next w:val="89"/>
    <w:autoRedefine/>
    <w:qFormat/>
    <w:uiPriority w:val="0"/>
  </w:style>
  <w:style w:type="paragraph" w:customStyle="1" w:styleId="256">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57">
    <w:name w:val="发布"/>
    <w:basedOn w:val="33"/>
    <w:autoRedefine/>
    <w:qFormat/>
    <w:uiPriority w:val="0"/>
    <w:rPr>
      <w:rFonts w:ascii="黑体" w:eastAsia="黑体"/>
      <w:spacing w:val="85"/>
      <w:w w:val="100"/>
      <w:position w:val="3"/>
      <w:sz w:val="28"/>
      <w:szCs w:val="28"/>
    </w:rPr>
  </w:style>
  <w:style w:type="character" w:customStyle="1" w:styleId="258">
    <w:name w:val="font01"/>
    <w:basedOn w:val="33"/>
    <w:autoRedefine/>
    <w:qFormat/>
    <w:uiPriority w:val="0"/>
    <w:rPr>
      <w:rFonts w:hint="eastAsia" w:ascii="宋体" w:hAnsi="宋体" w:eastAsia="宋体" w:cs="宋体"/>
      <w:b/>
      <w:bCs/>
      <w:color w:val="000000"/>
      <w:sz w:val="24"/>
      <w:szCs w:val="24"/>
      <w:u w:val="none"/>
    </w:rPr>
  </w:style>
  <w:style w:type="character" w:customStyle="1" w:styleId="259">
    <w:name w:val="font21"/>
    <w:basedOn w:val="33"/>
    <w:autoRedefine/>
    <w:qFormat/>
    <w:uiPriority w:val="0"/>
    <w:rPr>
      <w:rFonts w:hint="eastAsia" w:ascii="微软雅黑" w:hAnsi="微软雅黑" w:eastAsia="微软雅黑" w:cs="微软雅黑"/>
      <w:color w:val="000000"/>
      <w:sz w:val="22"/>
      <w:szCs w:val="22"/>
      <w:u w:val="none"/>
    </w:rPr>
  </w:style>
  <w:style w:type="character" w:customStyle="1" w:styleId="260">
    <w:name w:val="font11"/>
    <w:basedOn w:val="33"/>
    <w:autoRedefine/>
    <w:qFormat/>
    <w:uiPriority w:val="0"/>
    <w:rPr>
      <w:rFonts w:hint="eastAsia" w:ascii="微软雅黑" w:hAnsi="微软雅黑" w:eastAsia="微软雅黑" w:cs="微软雅黑"/>
      <w:color w:val="000000"/>
      <w:sz w:val="22"/>
      <w:szCs w:val="22"/>
      <w:u w:val="single"/>
    </w:rPr>
  </w:style>
  <w:style w:type="character" w:customStyle="1" w:styleId="261">
    <w:name w:val="font31"/>
    <w:basedOn w:val="33"/>
    <w:autoRedefine/>
    <w:qFormat/>
    <w:uiPriority w:val="0"/>
    <w:rPr>
      <w:rFonts w:hint="eastAsia" w:ascii="微软雅黑" w:hAnsi="微软雅黑" w:eastAsia="微软雅黑" w:cs="微软雅黑"/>
      <w:i/>
      <w:iCs/>
      <w:color w:val="000000"/>
      <w:sz w:val="22"/>
      <w:szCs w:val="22"/>
      <w:u w:val="single"/>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6DFBE2-D3DA-4E86-AEEF-1B437F95EF53}">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34</Pages>
  <Words>17495</Words>
  <Characters>17835</Characters>
  <Lines>154</Lines>
  <Paragraphs>43</Paragraphs>
  <TotalTime>8</TotalTime>
  <ScaleCrop>false</ScaleCrop>
  <LinksUpToDate>false</LinksUpToDate>
  <CharactersWithSpaces>21270</CharactersWithSpaces>
  <Application>WPS Office_12.1.0.16894_F1E327BC-269C-435d-A152-05C5408002CA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2022-12-21T07:00:00Z</dcterms:created>
  <dc:creator>wy</dc:creator>
  <cp:lastModifiedBy>TZ</cp:lastModifiedBy>
  <cp:lastPrinted>2022-09-06T01:26:00Z</cp:lastPrinted>
  <dcterms:modified xsi:type="dcterms:W3CDTF">2024-04-30T09:10:57Z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2052-12.1.0.16894</vt:lpwstr>
  </property>
  <property fmtid="{D5CDD505-2E9C-101B-9397-08002B2CF9AE}" pid="3" name="ICV">
    <vt:lpwstr>14F4A6BF9D0E45B7AF3EC4B37F696EAF_13</vt:lpwstr>
  </property>
</Properties>
</file>