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黑体" w:hAnsi="黑体" w:eastAsia="黑体" w:cs="Times New Roman"/>
          <w:highlight w:val="none"/>
          <w:lang w:val="en-US" w:eastAsia="zh-CN"/>
        </w:rPr>
      </w:pPr>
      <w:r>
        <w:rPr>
          <w:rFonts w:ascii="黑体" w:hAnsi="黑体" w:eastAsia="黑体" w:cs="Times New Roman"/>
          <w:highlight w:val="none"/>
        </w:rPr>
        <mc:AlternateContent>
          <mc:Choice Requires="wps">
            <w:drawing>
              <wp:anchor distT="0" distB="0" distL="114300" distR="114300" simplePos="0" relativeHeight="251659264" behindDoc="0" locked="0" layoutInCell="1" allowOverlap="1">
                <wp:simplePos x="0" y="0"/>
                <wp:positionH relativeFrom="column">
                  <wp:posOffset>2859405</wp:posOffset>
                </wp:positionH>
                <wp:positionV relativeFrom="topMargin">
                  <wp:posOffset>465455</wp:posOffset>
                </wp:positionV>
                <wp:extent cx="3696970" cy="792480"/>
                <wp:effectExtent l="0" t="0" r="0" b="0"/>
                <wp:wrapNone/>
                <wp:docPr id="7" name="Text Box 2"/>
                <wp:cNvGraphicFramePr/>
                <a:graphic xmlns:a="http://schemas.openxmlformats.org/drawingml/2006/main">
                  <a:graphicData uri="http://schemas.microsoft.com/office/word/2010/wordprocessingShape">
                    <wps:wsp>
                      <wps:cNvSpPr txBox="true">
                        <a:spLocks noChangeArrowheads="true"/>
                      </wps:cNvSpPr>
                      <wps:spPr bwMode="auto">
                        <a:xfrm>
                          <a:off x="0" y="0"/>
                          <a:ext cx="3696970" cy="792480"/>
                        </a:xfrm>
                        <a:prstGeom prst="rect">
                          <a:avLst/>
                        </a:prstGeom>
                        <a:noFill/>
                        <a:ln>
                          <a:noFill/>
                        </a:ln>
                      </wps:spPr>
                      <wps:txbx>
                        <w:txbxContent>
                          <w:p>
                            <w:pPr>
                              <w:pStyle w:val="31"/>
                              <w:shd w:val="clear"/>
                              <w:wordWrap w:val="0"/>
                              <w:ind w:right="471" w:firstLine="625" w:firstLineChars="50"/>
                              <w:jc w:val="both"/>
                              <w:rPr>
                                <w:rFonts w:eastAsia="方正小标宋_GBK"/>
                                <w:sz w:val="84"/>
                                <w:szCs w:val="84"/>
                              </w:rPr>
                            </w:pPr>
                            <w:r>
                              <w:rPr>
                                <w:rFonts w:eastAsia="方正小标宋_GBK"/>
                                <w:szCs w:val="84"/>
                              </w:rPr>
                              <w:t>DB3205</w:t>
                            </w:r>
                          </w:p>
                        </w:txbxContent>
                      </wps:txbx>
                      <wps:bodyPr rot="0" vert="horz" wrap="square" lIns="91440" tIns="45720" rIns="91440" bIns="45720" anchor="t" anchorCtr="false" upright="true">
                        <a:spAutoFit/>
                      </wps:bodyPr>
                    </wps:wsp>
                  </a:graphicData>
                </a:graphic>
              </wp:anchor>
            </w:drawing>
          </mc:Choice>
          <mc:Fallback>
            <w:pict>
              <v:shape id="Text Box 2" o:spid="_x0000_s1026" o:spt="202" type="#_x0000_t202" style="position:absolute;left:0pt;margin-left:296.05pt;margin-top:36.65pt;height:62.4pt;width:291.1pt;mso-position-horizontal-relative:page;mso-position-vertical-relative:page;z-index:251659264;mso-width-relative:page;mso-height-relative:page;" filled="f" stroked="f" coordsize="21600,21600" o:gfxdata="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BYAAABkcnMvUEsBAhQAFAAAAAgAh07iQHp1+O7YAAAACwEAAA8AAAAAAAAAAQAgAAAAOAAA&#10;AGRycy9kb3ducmV2LnhtbFBLAQIUABQAAAAIAIdO4kDM3w308gEAANMDAAAOAAAAAAAAAAEAIAAA&#10;AD0BAABkcnMvZTJvRG9jLnhtbFBLBQYAAAAABgAGAFkBAAChBQAAAAA=&#10;">
                <v:fill on="f" focussize="0,0"/>
                <v:stroke on="f"/>
                <v:imagedata o:title=""/>
                <o:lock v:ext="edit" aspectratio="f"/>
                <v:textbox style="mso-fit-shape-to-text:t;">
                  <w:txbxContent>
                    <w:p>
                      <w:pPr>
                        <w:pStyle w:val="31"/>
                        <w:shd w:val="clear"/>
                        <w:wordWrap w:val="0"/>
                        <w:ind w:right="471" w:firstLine="625" w:firstLineChars="50"/>
                        <w:jc w:val="both"/>
                        <w:rPr>
                          <w:rFonts w:eastAsia="方正小标宋_GBK"/>
                          <w:sz w:val="84"/>
                          <w:szCs w:val="84"/>
                        </w:rPr>
                      </w:pPr>
                      <w:r>
                        <w:rPr>
                          <w:rFonts w:eastAsia="方正小标宋_GBK"/>
                          <w:szCs w:val="84"/>
                        </w:rPr>
                        <w:t>DB3205</w:t>
                      </w:r>
                    </w:p>
                  </w:txbxContent>
                </v:textbox>
              </v:shape>
            </w:pict>
          </mc:Fallback>
        </mc:AlternateContent>
      </w:r>
      <w:r>
        <w:rPr>
          <w:rFonts w:ascii="黑体" w:hAnsi="黑体" w:eastAsia="黑体" w:cs="Times New Roman"/>
          <w:highlight w:val="none"/>
        </w:rPr>
        <w:t xml:space="preserve">ICS </w:t>
      </w:r>
      <w:r>
        <w:rPr>
          <w:rFonts w:hint="eastAsia" w:ascii="黑体" w:hAnsi="黑体" w:eastAsia="黑体" w:cs="Times New Roman"/>
          <w:highlight w:val="none"/>
          <w:lang w:val="en-US" w:eastAsia="zh-CN"/>
        </w:rPr>
        <w:t>01</w:t>
      </w:r>
      <w:r>
        <w:rPr>
          <w:rFonts w:ascii="黑体" w:hAnsi="黑体" w:eastAsia="黑体" w:cs="Times New Roman"/>
          <w:highlight w:val="none"/>
        </w:rPr>
        <w:t>.</w:t>
      </w:r>
      <w:r>
        <w:rPr>
          <w:rFonts w:hint="eastAsia" w:ascii="黑体" w:hAnsi="黑体" w:eastAsia="黑体" w:cs="Times New Roman"/>
          <w:highlight w:val="none"/>
          <w:lang w:val="en-US" w:eastAsia="zh-CN"/>
        </w:rPr>
        <w:t>040</w:t>
      </w:r>
      <w:r>
        <w:rPr>
          <w:rFonts w:ascii="黑体" w:hAnsi="黑体" w:eastAsia="黑体" w:cs="Times New Roman"/>
          <w:highlight w:val="none"/>
        </w:rPr>
        <w:t>.</w:t>
      </w:r>
      <w:r>
        <w:rPr>
          <w:rFonts w:hint="eastAsia" w:ascii="黑体" w:hAnsi="黑体" w:eastAsia="黑体" w:cs="Times New Roman"/>
          <w:highlight w:val="none"/>
          <w:lang w:val="en-US" w:eastAsia="zh-CN"/>
        </w:rPr>
        <w:t>03</w:t>
      </w:r>
    </w:p>
    <w:p>
      <w:pPr>
        <w:rPr>
          <w:rFonts w:ascii="黑体" w:hAnsi="黑体" w:eastAsia="黑体" w:cs="Times New Roman"/>
          <w:highlight w:val="none"/>
        </w:rPr>
      </w:pPr>
      <w:r>
        <w:rPr>
          <w:rFonts w:ascii="黑体" w:hAnsi="黑体" w:eastAsia="黑体" w:cs="Times New Roman"/>
          <w:highlight w:val="none"/>
        </w:rPr>
        <w:t xml:space="preserve">CCS </w:t>
      </w:r>
      <w:r>
        <w:rPr>
          <w:rFonts w:hint="eastAsia" w:ascii="黑体" w:hAnsi="黑体" w:eastAsia="黑体" w:cs="Times New Roman"/>
          <w:highlight w:val="none"/>
          <w:lang w:val="en-US" w:eastAsia="zh-CN"/>
        </w:rPr>
        <w:t>A</w:t>
      </w:r>
      <w:r>
        <w:rPr>
          <w:rFonts w:ascii="黑体" w:hAnsi="黑体" w:eastAsia="黑体" w:cs="Times New Roman"/>
          <w:highlight w:val="none"/>
        </w:rPr>
        <w:t xml:space="preserve"> </w:t>
      </w:r>
      <w:r>
        <w:rPr>
          <w:rFonts w:hint="eastAsia" w:ascii="黑体" w:hAnsi="黑体" w:eastAsia="黑体" w:cs="Times New Roman"/>
          <w:highlight w:val="none"/>
          <w:lang w:val="en-US" w:eastAsia="zh-CN"/>
        </w:rPr>
        <w:t>14</w:t>
      </w:r>
    </w:p>
    <w:p>
      <w:pPr>
        <w:rPr>
          <w:rFonts w:ascii="黑体" w:hAnsi="黑体" w:eastAsia="黑体"/>
        </w:rPr>
      </w:pPr>
    </w:p>
    <w:p>
      <w:pPr>
        <w:autoSpaceDE w:val="0"/>
        <w:autoSpaceDN w:val="0"/>
        <w:adjustRightInd w:val="0"/>
        <w:jc w:val="distribute"/>
        <w:rPr>
          <w:rFonts w:ascii="方正小标宋_GBK" w:eastAsia="方正小标宋_GBK" w:cs="Dotum,Bold"/>
          <w:bCs/>
          <w:snapToGrid w:val="0"/>
          <w:kern w:val="0"/>
          <w:sz w:val="52"/>
          <w:szCs w:val="52"/>
        </w:rPr>
      </w:pPr>
      <w:r>
        <w:rPr>
          <w:rFonts w:ascii="黑体" w:hAnsi="黑体" w:eastAsia="黑体"/>
        </w:rPr>
        <mc:AlternateContent>
          <mc:Choice Requires="wps">
            <w:drawing>
              <wp:anchor distT="0" distB="0" distL="114300" distR="114300" simplePos="0" relativeHeight="251662336" behindDoc="0" locked="0" layoutInCell="1" allowOverlap="1">
                <wp:simplePos x="0" y="0"/>
                <wp:positionH relativeFrom="column">
                  <wp:posOffset>80645</wp:posOffset>
                </wp:positionH>
                <wp:positionV relativeFrom="topMargin">
                  <wp:posOffset>1181100</wp:posOffset>
                </wp:positionV>
                <wp:extent cx="6120130" cy="615950"/>
                <wp:effectExtent l="4445" t="4445" r="9525" b="8255"/>
                <wp:wrapNone/>
                <wp:docPr id="3" name="Text Box 18"/>
                <wp:cNvGraphicFramePr/>
                <a:graphic xmlns:a="http://schemas.openxmlformats.org/drawingml/2006/main">
                  <a:graphicData uri="http://schemas.microsoft.com/office/word/2010/wordprocessingShape">
                    <wps:wsp>
                      <wps:cNvSpPr txBox="true">
                        <a:spLocks noChangeArrowheads="true"/>
                      </wps:cNvSpPr>
                      <wps:spPr bwMode="auto">
                        <a:xfrm>
                          <a:off x="0" y="0"/>
                          <a:ext cx="6120130" cy="615950"/>
                        </a:xfrm>
                        <a:prstGeom prst="rect">
                          <a:avLst/>
                        </a:prstGeom>
                        <a:noFill/>
                        <a:ln w="0">
                          <a:solidFill>
                            <a:schemeClr val="bg1">
                              <a:lumMod val="100000"/>
                              <a:lumOff val="0"/>
                            </a:schemeClr>
                          </a:solidFill>
                          <a:miter lim="800000"/>
                        </a:ln>
                      </wps:spPr>
                      <wps:txbx>
                        <w:txbxContent>
                          <w:p>
                            <w:pPr>
                              <w:jc w:val="distribute"/>
                            </w:pPr>
                            <w:r>
                              <w:rPr>
                                <w:rFonts w:hint="eastAsia" w:ascii="方正小标宋_GBK" w:hAnsi="宋体" w:eastAsia="方正小标宋_GBK" w:cs="SimSun,Bold"/>
                                <w:bCs/>
                                <w:snapToGrid w:val="0"/>
                                <w:kern w:val="0"/>
                                <w:sz w:val="52"/>
                                <w:szCs w:val="52"/>
                              </w:rPr>
                              <w:t>苏州市地方标准</w:t>
                            </w:r>
                          </w:p>
                        </w:txbxContent>
                      </wps:txbx>
                      <wps:bodyPr rot="0" vert="horz" wrap="square" lIns="91440" tIns="45720" rIns="91440" bIns="45720" anchor="t" anchorCtr="false" upright="true">
                        <a:noAutofit/>
                      </wps:bodyPr>
                    </wps:wsp>
                  </a:graphicData>
                </a:graphic>
              </wp:anchor>
            </w:drawing>
          </mc:Choice>
          <mc:Fallback>
            <w:pict>
              <v:shape id="Text Box 18" o:spid="_x0000_s1026" o:spt="202" type="#_x0000_t202" style="position:absolute;left:0pt;margin-left:77.25pt;margin-top:93pt;height:48.5pt;width:481.9pt;mso-position-horizontal-relative:page;mso-position-vertical-relative:page;z-index:251662336;mso-width-relative:page;mso-height-relative:page;" filled="f" stroked="t" coordsize="21600,21600" o:gfxdata="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WAAAAZHJzL1BLAQIUABQAAAAIAIdO4kCfvVzw1wAAAAoBAAAPAAAAAAAAAAEAIAAAADgA&#10;AABkcnMvZG93bnJldi54bWxQSwECFAAUAAAACACHTuJAI3tgmi0CAABQBAAADgAAAAAAAAABACAA&#10;AAA8AQAAZHJzL2Uyb0RvYy54bWxQSwUGAAAAAAYABgBZAQAA2wUAAAAA&#10;">
                <v:fill on="f" focussize="0,0"/>
                <v:stroke weight="0pt" color="#FFFFFF [3228]" miterlimit="8" joinstyle="miter"/>
                <v:imagedata o:title=""/>
                <o:lock v:ext="edit" aspectratio="f"/>
                <v:textbox>
                  <w:txbxContent>
                    <w:p>
                      <w:pPr>
                        <w:jc w:val="distribute"/>
                      </w:pPr>
                      <w:r>
                        <w:rPr>
                          <w:rFonts w:hint="eastAsia" w:ascii="方正小标宋_GBK" w:hAnsi="宋体" w:eastAsia="方正小标宋_GBK" w:cs="SimSun,Bold"/>
                          <w:bCs/>
                          <w:snapToGrid w:val="0"/>
                          <w:kern w:val="0"/>
                          <w:sz w:val="52"/>
                          <w:szCs w:val="52"/>
                        </w:rPr>
                        <w:t>苏州市地方标准</w:t>
                      </w:r>
                    </w:p>
                  </w:txbxContent>
                </v:textbox>
              </v:shape>
            </w:pict>
          </mc:Fallback>
        </mc:AlternateContent>
      </w:r>
    </w:p>
    <w:p>
      <w:pPr>
        <w:spacing w:line="510" w:lineRule="exact"/>
        <w:rPr>
          <w:rFonts w:ascii="黑体" w:hAnsi="黑体" w:eastAsia="黑体"/>
          <w:kern w:val="0"/>
          <w:sz w:val="28"/>
          <w:szCs w:val="28"/>
        </w:rPr>
      </w:pPr>
      <w:r>
        <w:rPr>
          <w:rFonts w:hint="eastAsia" w:ascii="黑体" w:hAnsi="黑体" w:eastAsia="黑体"/>
        </w:rPr>
        <w:t xml:space="preserve">                                                                   </w:t>
      </w:r>
      <w:r>
        <w:rPr>
          <w:rFonts w:hint="eastAsia" w:ascii="黑体" w:hAnsi="黑体" w:eastAsia="黑体"/>
          <w:kern w:val="0"/>
          <w:sz w:val="28"/>
          <w:szCs w:val="28"/>
        </w:rPr>
        <w:t xml:space="preserve">  </w:t>
      </w:r>
    </w:p>
    <w:p>
      <w:pPr>
        <w:autoSpaceDE w:val="0"/>
        <w:autoSpaceDN w:val="0"/>
        <w:adjustRightInd w:val="0"/>
        <w:spacing w:line="3686" w:lineRule="exact"/>
        <w:jc w:val="center"/>
        <w:rPr>
          <w:rFonts w:ascii="黑体" w:hAnsi="黑体" w:eastAsia="黑体"/>
        </w:rPr>
      </w:pPr>
      <w:r>
        <w:rPr>
          <w:rFonts w:ascii="黑体" w:hAnsi="黑体" w:eastAsia="黑体"/>
        </w:rPr>
        <mc:AlternateContent>
          <mc:Choice Requires="wps">
            <w:drawing>
              <wp:anchor distT="0" distB="0" distL="114300" distR="114300" simplePos="0" relativeHeight="251663360" behindDoc="0" locked="0" layoutInCell="1" allowOverlap="1">
                <wp:simplePos x="0" y="0"/>
                <wp:positionH relativeFrom="rightMargin">
                  <wp:posOffset>-1857375</wp:posOffset>
                </wp:positionH>
                <wp:positionV relativeFrom="topMargin">
                  <wp:posOffset>2238375</wp:posOffset>
                </wp:positionV>
                <wp:extent cx="1927225" cy="304800"/>
                <wp:effectExtent l="4445" t="4445" r="11430" b="14605"/>
                <wp:wrapNone/>
                <wp:docPr id="6" name="Text Box 19"/>
                <wp:cNvGraphicFramePr/>
                <a:graphic xmlns:a="http://schemas.openxmlformats.org/drawingml/2006/main">
                  <a:graphicData uri="http://schemas.microsoft.com/office/word/2010/wordprocessingShape">
                    <wps:wsp>
                      <wps:cNvSpPr txBox="true">
                        <a:spLocks noChangeArrowheads="true"/>
                      </wps:cNvSpPr>
                      <wps:spPr bwMode="auto">
                        <a:xfrm>
                          <a:off x="0" y="0"/>
                          <a:ext cx="1927344" cy="304800"/>
                        </a:xfrm>
                        <a:prstGeom prst="rect">
                          <a:avLst/>
                        </a:prstGeom>
                        <a:noFill/>
                        <a:ln w="0">
                          <a:solidFill>
                            <a:schemeClr val="bg1">
                              <a:lumMod val="100000"/>
                              <a:lumOff val="0"/>
                            </a:schemeClr>
                          </a:solidFill>
                          <a:miter lim="800000"/>
                        </a:ln>
                      </wps:spPr>
                      <wps:txbx>
                        <w:txbxContent>
                          <w:p>
                            <w:pPr>
                              <w:spacing w:line="400" w:lineRule="exact"/>
                              <w:jc w:val="left"/>
                              <w:rPr>
                                <w:rFonts w:ascii="黑体" w:hAnsi="黑体" w:eastAsia="黑体"/>
                                <w:kern w:val="0"/>
                                <w:sz w:val="28"/>
                                <w:szCs w:val="28"/>
                              </w:rPr>
                            </w:pPr>
                            <w:r>
                              <w:rPr>
                                <w:rFonts w:ascii="黑体" w:hAnsi="黑体" w:eastAsia="黑体"/>
                                <w:kern w:val="0"/>
                                <w:sz w:val="28"/>
                                <w:szCs w:val="28"/>
                              </w:rPr>
                              <w:t>DB3205/T XXX</w:t>
                            </w:r>
                            <w:r>
                              <w:rPr>
                                <w:rFonts w:hint="eastAsia" w:ascii="黑体" w:hAnsi="黑体" w:eastAsia="黑体"/>
                                <w:kern w:val="0"/>
                                <w:sz w:val="28"/>
                                <w:szCs w:val="28"/>
                              </w:rPr>
                              <w:t>—</w:t>
                            </w:r>
                            <w:r>
                              <w:rPr>
                                <w:rFonts w:hint="eastAsia" w:ascii="黑体" w:hAnsi="黑体" w:eastAsia="黑体"/>
                                <w:kern w:val="0"/>
                                <w:sz w:val="28"/>
                                <w:szCs w:val="28"/>
                                <w:lang w:val="en-US" w:eastAsia="zh-CN"/>
                              </w:rPr>
                              <w:t>2024</w:t>
                            </w:r>
                          </w:p>
                        </w:txbxContent>
                      </wps:txbx>
                      <wps:bodyPr rot="0" vert="horz" wrap="square" lIns="91440" tIns="45720" rIns="91440" bIns="45720" anchor="t" anchorCtr="false" upright="true">
                        <a:noAutofit/>
                      </wps:bodyPr>
                    </wps:wsp>
                  </a:graphicData>
                </a:graphic>
              </wp:anchor>
            </w:drawing>
          </mc:Choice>
          <mc:Fallback>
            <w:pict>
              <v:shape id="Text Box 19" o:spid="_x0000_s1026" o:spt="202" type="#_x0000_t202" style="position:absolute;left:0pt;margin-left:406.5pt;margin-top:176.25pt;height:24pt;width:151.75pt;mso-position-horizontal-relative:page;mso-position-vertical-relative:page;z-index:251663360;mso-width-relative:page;mso-height-relative:page;" filled="f" stroked="t" coordsize="21600,21600" o:gfxdata="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WAAAAZHJzL1BLAQIUABQAAAAIAIdO4kA3VpqJ2AAAAAsBAAAPAAAAAAAAAAEAIAAA&#10;ADgAAABkcnMvZG93bnJldi54bWxQSwECFAAUAAAACACHTuJAa8iVdy8CAABQBAAADgAAAAAAAAAB&#10;ACAAAAA9AQAAZHJzL2Uyb0RvYy54bWxQSwUGAAAAAAYABgBZAQAA3gUAAAAA&#10;">
                <v:fill on="f" focussize="0,0"/>
                <v:stroke weight="0pt" color="#FFFFFF [3228]" miterlimit="8" joinstyle="miter"/>
                <v:imagedata o:title=""/>
                <o:lock v:ext="edit" aspectratio="f"/>
                <v:textbox>
                  <w:txbxContent>
                    <w:p>
                      <w:pPr>
                        <w:spacing w:line="400" w:lineRule="exact"/>
                        <w:jc w:val="left"/>
                        <w:rPr>
                          <w:rFonts w:ascii="黑体" w:hAnsi="黑体" w:eastAsia="黑体"/>
                          <w:kern w:val="0"/>
                          <w:sz w:val="28"/>
                          <w:szCs w:val="28"/>
                        </w:rPr>
                      </w:pPr>
                      <w:r>
                        <w:rPr>
                          <w:rFonts w:ascii="黑体" w:hAnsi="黑体" w:eastAsia="黑体"/>
                          <w:kern w:val="0"/>
                          <w:sz w:val="28"/>
                          <w:szCs w:val="28"/>
                        </w:rPr>
                        <w:t>DB3205/T XXX</w:t>
                      </w:r>
                      <w:r>
                        <w:rPr>
                          <w:rFonts w:hint="eastAsia" w:ascii="黑体" w:hAnsi="黑体" w:eastAsia="黑体"/>
                          <w:kern w:val="0"/>
                          <w:sz w:val="28"/>
                          <w:szCs w:val="28"/>
                        </w:rPr>
                        <w:t>—</w:t>
                      </w:r>
                      <w:r>
                        <w:rPr>
                          <w:rFonts w:hint="eastAsia" w:ascii="黑体" w:hAnsi="黑体" w:eastAsia="黑体"/>
                          <w:kern w:val="0"/>
                          <w:sz w:val="28"/>
                          <w:szCs w:val="28"/>
                          <w:lang w:val="en-US" w:eastAsia="zh-CN"/>
                        </w:rPr>
                        <w:t>2024</w:t>
                      </w:r>
                    </w:p>
                  </w:txbxContent>
                </v:textbox>
              </v:shape>
            </w:pict>
          </mc:Fallback>
        </mc:AlternateContent>
      </w:r>
      <w:r>
        <w:rPr>
          <w:rFonts w:ascii="黑体" w:hAnsi="黑体" w:eastAsia="黑体"/>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topMargin">
                  <wp:posOffset>2708910</wp:posOffset>
                </wp:positionV>
                <wp:extent cx="6115050" cy="0"/>
                <wp:effectExtent l="0" t="6350" r="0" b="6350"/>
                <wp:wrapNone/>
                <wp:docPr id="8" name="AutoShape 13"/>
                <wp:cNvGraphicFramePr/>
                <a:graphic xmlns:a="http://schemas.openxmlformats.org/drawingml/2006/main">
                  <a:graphicData uri="http://schemas.microsoft.com/office/word/2010/wordprocessingShape">
                    <wps:wsp>
                      <wps:cNvCnPr>
                        <a:cxnSpLocks noChangeShapeType="true"/>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70.9pt;margin-top:213.3pt;height:0pt;width:481.5pt;mso-position-horizontal-relative:page;mso-position-vertical-relative:page;z-index:251660288;mso-width-relative:page;mso-height-relative:page;" filled="f" stroked="t" coordsize="21600,21600" o:gfxdata="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CIy4Wx0wAAAAgBAAAPAAAAAAAAAAEAIAAAADgAAABk&#10;cnMvZG93bnJldi54bWxQSwECFAAUAAAACACHTuJAbdKPlLwBAABpAwAADgAAAAAAAAABACAAAAA4&#10;AQAAZHJzL2Uyb0RvYy54bWxQSwUGAAAAAAYABgBZAQAAZgUAAAAA&#10;">
                <v:fill on="f" focussize="0,0"/>
                <v:stroke weight="1pt" color="#000000" joinstyle="round"/>
                <v:imagedata o:title=""/>
                <o:lock v:ext="edit" aspectratio="f"/>
              </v:shape>
            </w:pict>
          </mc:Fallback>
        </mc:AlternateContent>
      </w:r>
      <w:r>
        <w:rPr>
          <w:rFonts w:ascii="黑体" w:hAnsi="黑体" w:eastAsia="黑体"/>
        </w:rPr>
        <mc:AlternateContent>
          <mc:Choice Requires="wps">
            <w:drawing>
              <wp:anchor distT="0" distB="0" distL="114300" distR="114300" simplePos="0" relativeHeight="251661312" behindDoc="0" locked="0" layoutInCell="1" allowOverlap="1">
                <wp:simplePos x="0" y="0"/>
                <wp:positionH relativeFrom="column">
                  <wp:posOffset>80645</wp:posOffset>
                </wp:positionH>
                <wp:positionV relativeFrom="topMargin">
                  <wp:posOffset>4140835</wp:posOffset>
                </wp:positionV>
                <wp:extent cx="5924550" cy="3248025"/>
                <wp:effectExtent l="4445" t="4445" r="14605" b="5080"/>
                <wp:wrapNone/>
                <wp:docPr id="4" name="Text Box 17"/>
                <wp:cNvGraphicFramePr/>
                <a:graphic xmlns:a="http://schemas.openxmlformats.org/drawingml/2006/main">
                  <a:graphicData uri="http://schemas.microsoft.com/office/word/2010/wordprocessingShape">
                    <wps:wsp>
                      <wps:cNvSpPr txBox="true">
                        <a:spLocks noChangeArrowheads="true"/>
                      </wps:cNvSpPr>
                      <wps:spPr bwMode="auto">
                        <a:xfrm>
                          <a:off x="0" y="0"/>
                          <a:ext cx="5924550" cy="3248025"/>
                        </a:xfrm>
                        <a:prstGeom prst="rect">
                          <a:avLst/>
                        </a:prstGeom>
                        <a:noFill/>
                        <a:ln w="0">
                          <a:solidFill>
                            <a:schemeClr val="bg1">
                              <a:lumMod val="100000"/>
                              <a:lumOff val="0"/>
                            </a:schemeClr>
                          </a:solidFill>
                          <a:miter lim="800000"/>
                        </a:ln>
                      </wps:spPr>
                      <wps:txbx>
                        <w:txbxContent>
                          <w:p>
                            <w:pPr>
                              <w:jc w:val="center"/>
                              <w:rPr>
                                <w:rFonts w:hint="eastAsia" w:ascii="黑体" w:hAnsi="宋体" w:eastAsia="黑体" w:cstheme="minorBidi"/>
                                <w:sz w:val="52"/>
                                <w:szCs w:val="52"/>
                                <w:lang w:val="en-US" w:eastAsia="zh-CN"/>
                              </w:rPr>
                            </w:pPr>
                            <w:r>
                              <w:rPr>
                                <w:rFonts w:hint="eastAsia" w:ascii="黑体" w:hAnsi="宋体" w:eastAsia="黑体" w:cstheme="minorBidi"/>
                                <w:sz w:val="52"/>
                                <w:szCs w:val="52"/>
                                <w:lang w:val="en-US" w:eastAsia="zh-CN"/>
                              </w:rPr>
                              <w:t>档案服务外包项目监理工作规范</w:t>
                            </w:r>
                          </w:p>
                          <w:p>
                            <w:pPr>
                              <w:jc w:val="center"/>
                              <w:rPr>
                                <w:rFonts w:hint="default" w:ascii="黑体" w:hAnsi="黑体" w:eastAsia="黑体" w:cstheme="minorBidi"/>
                                <w:kern w:val="0"/>
                                <w:sz w:val="28"/>
                                <w:szCs w:val="21"/>
                                <w:lang w:val="en-US" w:eastAsia="zh-CN"/>
                              </w:rPr>
                            </w:pPr>
                            <w:r>
                              <w:rPr>
                                <w:rFonts w:hint="eastAsia" w:ascii="黑体" w:hAnsi="黑体" w:eastAsia="黑体" w:cstheme="minorBidi"/>
                                <w:kern w:val="0"/>
                                <w:sz w:val="28"/>
                                <w:szCs w:val="21"/>
                                <w:lang w:val="en-US" w:eastAsia="zh-CN"/>
                              </w:rPr>
                              <w:t>Specification for supervision of archives service outsourcing project</w:t>
                            </w:r>
                          </w:p>
                          <w:p>
                            <w:pPr>
                              <w:jc w:val="center"/>
                              <w:rPr>
                                <w:rFonts w:asciiTheme="minorEastAsia" w:hAnsiTheme="minorEastAsia"/>
                                <w:sz w:val="24"/>
                              </w:rPr>
                            </w:pPr>
                            <w:r>
                              <w:rPr>
                                <w:rFonts w:hint="eastAsia" w:asciiTheme="minorEastAsia" w:hAnsiTheme="minorEastAsia"/>
                                <w:sz w:val="24"/>
                              </w:rPr>
                              <w:t>（报批稿）</w:t>
                            </w:r>
                          </w:p>
                        </w:txbxContent>
                      </wps:txbx>
                      <wps:bodyPr rot="0" vert="horz" wrap="square" lIns="91440" tIns="45720" rIns="91440" bIns="45720" anchor="t" anchorCtr="false" upright="true">
                        <a:noAutofit/>
                      </wps:bodyPr>
                    </wps:wsp>
                  </a:graphicData>
                </a:graphic>
              </wp:anchor>
            </w:drawing>
          </mc:Choice>
          <mc:Fallback>
            <w:pict>
              <v:shape id="Text Box 17" o:spid="_x0000_s1026" o:spt="202" type="#_x0000_t202" style="position:absolute;left:0pt;margin-left:77.25pt;margin-top:326.05pt;height:255.75pt;width:466.5pt;mso-position-horizontal-relative:page;mso-position-vertical-relative:page;z-index:251661312;mso-width-relative:page;mso-height-relative:page;" filled="f" stroked="t" coordsize="21600,21600" o:gfxdata="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WAAAAZHJzL1BLAQIUABQAAAAIAIdO4kAMSN8S2QAAAAsBAAAPAAAAAAAAAAEAIAAA&#10;ADgAAABkcnMvZG93bnJldi54bWxQSwECFAAUAAAACACHTuJA2iZNOi4CAABRBAAADgAAAAAAAAAB&#10;ACAAAAA+AQAAZHJzL2Uyb0RvYy54bWxQSwUGAAAAAAYABgBZAQAA3gUAAAAA&#10;">
                <v:fill on="f" focussize="0,0"/>
                <v:stroke weight="0pt" color="#FFFFFF [3228]" miterlimit="8" joinstyle="miter"/>
                <v:imagedata o:title=""/>
                <o:lock v:ext="edit" aspectratio="f"/>
                <v:textbox>
                  <w:txbxContent>
                    <w:p>
                      <w:pPr>
                        <w:jc w:val="center"/>
                        <w:rPr>
                          <w:rFonts w:hint="eastAsia" w:ascii="黑体" w:hAnsi="宋体" w:eastAsia="黑体" w:cstheme="minorBidi"/>
                          <w:sz w:val="52"/>
                          <w:szCs w:val="52"/>
                          <w:lang w:val="en-US" w:eastAsia="zh-CN"/>
                        </w:rPr>
                      </w:pPr>
                      <w:r>
                        <w:rPr>
                          <w:rFonts w:hint="eastAsia" w:ascii="黑体" w:hAnsi="宋体" w:eastAsia="黑体" w:cstheme="minorBidi"/>
                          <w:sz w:val="52"/>
                          <w:szCs w:val="52"/>
                          <w:lang w:val="en-US" w:eastAsia="zh-CN"/>
                        </w:rPr>
                        <w:t>档案服务外包项目监理工作规范</w:t>
                      </w:r>
                    </w:p>
                    <w:p>
                      <w:pPr>
                        <w:jc w:val="center"/>
                        <w:rPr>
                          <w:rFonts w:hint="default" w:ascii="黑体" w:hAnsi="黑体" w:eastAsia="黑体" w:cstheme="minorBidi"/>
                          <w:kern w:val="0"/>
                          <w:sz w:val="28"/>
                          <w:szCs w:val="21"/>
                          <w:lang w:val="en-US" w:eastAsia="zh-CN"/>
                        </w:rPr>
                      </w:pPr>
                      <w:r>
                        <w:rPr>
                          <w:rFonts w:hint="eastAsia" w:ascii="黑体" w:hAnsi="黑体" w:eastAsia="黑体" w:cstheme="minorBidi"/>
                          <w:kern w:val="0"/>
                          <w:sz w:val="28"/>
                          <w:szCs w:val="21"/>
                          <w:lang w:val="en-US" w:eastAsia="zh-CN"/>
                        </w:rPr>
                        <w:t>Specification for supervision of archives service outsourcing project</w:t>
                      </w:r>
                    </w:p>
                    <w:p>
                      <w:pPr>
                        <w:jc w:val="center"/>
                        <w:rPr>
                          <w:rFonts w:asciiTheme="minorEastAsia" w:hAnsiTheme="minorEastAsia"/>
                          <w:sz w:val="24"/>
                        </w:rPr>
                      </w:pPr>
                      <w:r>
                        <w:rPr>
                          <w:rFonts w:hint="eastAsia" w:asciiTheme="minorEastAsia" w:hAnsiTheme="minorEastAsia"/>
                          <w:sz w:val="24"/>
                        </w:rPr>
                        <w:t>（报批稿）</w:t>
                      </w:r>
                    </w:p>
                  </w:txbxContent>
                </v:textbox>
              </v:shape>
            </w:pict>
          </mc:Fallback>
        </mc:AlternateContent>
      </w: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r>
        <w:rPr>
          <w:rFonts w:hint="eastAsia" w:ascii="黑体" w:hAnsi="黑体" w:eastAsia="黑体"/>
        </w:rPr>
        <w:t xml:space="preserve">                                                                                          </w:t>
      </w:r>
    </w:p>
    <w:p>
      <w:pPr>
        <w:pStyle w:val="2"/>
        <w:keepNext w:val="0"/>
        <w:keepLines w:val="0"/>
        <w:pageBreakBefore w:val="0"/>
        <w:widowControl w:val="0"/>
        <w:kinsoku/>
        <w:wordWrap/>
        <w:overflowPunct/>
        <w:topLinePunct w:val="0"/>
        <w:autoSpaceDE/>
        <w:autoSpaceDN/>
        <w:bidi w:val="0"/>
        <w:adjustRightInd/>
        <w:snapToGrid/>
        <w:spacing w:after="0" w:afterLines="0"/>
        <w:textAlignment w:val="auto"/>
      </w:pPr>
    </w:p>
    <w:p>
      <w:pPr>
        <w:pStyle w:val="2"/>
        <w:keepNext w:val="0"/>
        <w:keepLines w:val="0"/>
        <w:pageBreakBefore w:val="0"/>
        <w:widowControl w:val="0"/>
        <w:kinsoku/>
        <w:wordWrap/>
        <w:overflowPunct/>
        <w:topLinePunct w:val="0"/>
        <w:autoSpaceDE/>
        <w:autoSpaceDN/>
        <w:bidi w:val="0"/>
        <w:adjustRightInd/>
        <w:snapToGrid/>
        <w:spacing w:after="0" w:afterLines="0"/>
        <w:textAlignment w:val="auto"/>
      </w:pPr>
    </w:p>
    <w:p>
      <w:pPr>
        <w:pStyle w:val="2"/>
        <w:keepNext w:val="0"/>
        <w:keepLines w:val="0"/>
        <w:pageBreakBefore w:val="0"/>
        <w:widowControl w:val="0"/>
        <w:kinsoku/>
        <w:wordWrap/>
        <w:overflowPunct/>
        <w:topLinePunct w:val="0"/>
        <w:autoSpaceDE/>
        <w:autoSpaceDN/>
        <w:bidi w:val="0"/>
        <w:adjustRightInd/>
        <w:snapToGrid/>
        <w:spacing w:after="0" w:afterLines="0"/>
        <w:textAlignment w:val="auto"/>
      </w:pPr>
    </w:p>
    <w:p>
      <w:pPr>
        <w:keepNext w:val="0"/>
        <w:keepLines w:val="0"/>
        <w:pageBreakBefore w:val="0"/>
        <w:widowControl w:val="0"/>
        <w:kinsoku/>
        <w:wordWrap/>
        <w:overflowPunct/>
        <w:topLinePunct w:val="0"/>
        <w:autoSpaceDE/>
        <w:autoSpaceDN/>
        <w:bidi w:val="0"/>
        <w:adjustRightInd/>
        <w:snapToGrid/>
        <w:textAlignment w:val="auto"/>
        <w:rPr>
          <w:rFonts w:ascii="黑体" w:hAnsi="黑体" w:eastAsia="黑体"/>
        </w:rPr>
      </w:pPr>
    </w:p>
    <w:p>
      <w:pPr>
        <w:keepNext w:val="0"/>
        <w:keepLines w:val="0"/>
        <w:pageBreakBefore w:val="0"/>
        <w:widowControl w:val="0"/>
        <w:kinsoku/>
        <w:wordWrap/>
        <w:overflowPunct/>
        <w:topLinePunct w:val="0"/>
        <w:autoSpaceDE/>
        <w:autoSpaceDN/>
        <w:bidi w:val="0"/>
        <w:adjustRightInd/>
        <w:snapToGrid/>
        <w:textAlignment w:val="auto"/>
        <w:rPr>
          <w:rFonts w:ascii="黑体" w:hAnsi="黑体" w:eastAsia="黑体"/>
        </w:rPr>
      </w:pPr>
    </w:p>
    <w:p>
      <w:pPr>
        <w:keepNext w:val="0"/>
        <w:keepLines w:val="0"/>
        <w:pageBreakBefore w:val="0"/>
        <w:widowControl w:val="0"/>
        <w:kinsoku/>
        <w:wordWrap/>
        <w:overflowPunct/>
        <w:topLinePunct w:val="0"/>
        <w:autoSpaceDE/>
        <w:autoSpaceDN/>
        <w:bidi w:val="0"/>
        <w:adjustRightInd/>
        <w:snapToGrid/>
        <w:textAlignment w:val="auto"/>
        <w:rPr>
          <w:rFonts w:ascii="黑体" w:hAnsi="黑体" w:eastAsia="黑体"/>
        </w:rPr>
      </w:pPr>
    </w:p>
    <w:p>
      <w:pPr>
        <w:keepNext w:val="0"/>
        <w:keepLines w:val="0"/>
        <w:pageBreakBefore w:val="0"/>
        <w:widowControl w:val="0"/>
        <w:kinsoku/>
        <w:wordWrap/>
        <w:overflowPunct/>
        <w:topLinePunct w:val="0"/>
        <w:autoSpaceDE/>
        <w:autoSpaceDN/>
        <w:bidi w:val="0"/>
        <w:adjustRightInd/>
        <w:snapToGrid/>
        <w:textAlignment w:val="auto"/>
        <w:rPr>
          <w:rFonts w:ascii="黑体" w:hAnsi="黑体" w:eastAsia="黑体"/>
        </w:rPr>
      </w:pPr>
    </w:p>
    <w:p>
      <w:pPr>
        <w:keepNext w:val="0"/>
        <w:keepLines w:val="0"/>
        <w:pageBreakBefore w:val="0"/>
        <w:widowControl w:val="0"/>
        <w:kinsoku/>
        <w:wordWrap/>
        <w:overflowPunct/>
        <w:topLinePunct w:val="0"/>
        <w:autoSpaceDE/>
        <w:autoSpaceDN/>
        <w:bidi w:val="0"/>
        <w:adjustRightInd/>
        <w:snapToGrid/>
        <w:textAlignment w:val="auto"/>
        <w:rPr>
          <w:rFonts w:ascii="黑体" w:hAnsi="黑体" w:eastAsia="黑体"/>
        </w:rPr>
      </w:pPr>
    </w:p>
    <w:p>
      <w:pPr>
        <w:keepNext w:val="0"/>
        <w:keepLines w:val="0"/>
        <w:pageBreakBefore w:val="0"/>
        <w:widowControl w:val="0"/>
        <w:kinsoku/>
        <w:wordWrap/>
        <w:overflowPunct/>
        <w:topLinePunct w:val="0"/>
        <w:autoSpaceDE/>
        <w:autoSpaceDN/>
        <w:bidi w:val="0"/>
        <w:adjustRightInd/>
        <w:snapToGrid/>
        <w:textAlignment w:val="auto"/>
        <w:rPr>
          <w:rFonts w:ascii="黑体" w:hAnsi="黑体" w:eastAsia="黑体"/>
        </w:rPr>
      </w:pPr>
    </w:p>
    <w:p>
      <w:pPr>
        <w:keepNext w:val="0"/>
        <w:keepLines w:val="0"/>
        <w:pageBreakBefore w:val="0"/>
        <w:widowControl w:val="0"/>
        <w:kinsoku/>
        <w:wordWrap/>
        <w:overflowPunct/>
        <w:topLinePunct w:val="0"/>
        <w:autoSpaceDE/>
        <w:autoSpaceDN/>
        <w:bidi w:val="0"/>
        <w:adjustRightInd/>
        <w:snapToGrid/>
        <w:textAlignment w:val="auto"/>
        <w:rPr>
          <w:rFonts w:ascii="黑体" w:hAnsi="黑体" w:eastAsia="黑体"/>
        </w:rPr>
      </w:pPr>
    </w:p>
    <w:p>
      <w:pPr>
        <w:keepNext w:val="0"/>
        <w:keepLines w:val="0"/>
        <w:pageBreakBefore w:val="0"/>
        <w:widowControl w:val="0"/>
        <w:kinsoku/>
        <w:wordWrap/>
        <w:overflowPunct/>
        <w:topLinePunct w:val="0"/>
        <w:autoSpaceDE/>
        <w:autoSpaceDN/>
        <w:bidi w:val="0"/>
        <w:adjustRightInd/>
        <w:snapToGrid/>
        <w:textAlignment w:val="auto"/>
        <w:rPr>
          <w:rFonts w:ascii="黑体" w:hAnsi="黑体" w:eastAsia="黑体"/>
        </w:rPr>
      </w:pPr>
    </w:p>
    <w:p>
      <w:pPr>
        <w:keepNext w:val="0"/>
        <w:keepLines w:val="0"/>
        <w:pageBreakBefore w:val="0"/>
        <w:widowControl w:val="0"/>
        <w:kinsoku/>
        <w:wordWrap/>
        <w:overflowPunct/>
        <w:topLinePunct w:val="0"/>
        <w:autoSpaceDE/>
        <w:autoSpaceDN/>
        <w:bidi w:val="0"/>
        <w:adjustRightInd/>
        <w:snapToGrid/>
        <w:textAlignment w:val="auto"/>
        <w:rPr>
          <w:rFonts w:ascii="黑体" w:hAnsi="黑体" w:eastAsia="黑体"/>
        </w:rPr>
      </w:pPr>
    </w:p>
    <w:p>
      <w:pPr>
        <w:keepNext w:val="0"/>
        <w:keepLines w:val="0"/>
        <w:pageBreakBefore w:val="0"/>
        <w:widowControl w:val="0"/>
        <w:kinsoku/>
        <w:wordWrap/>
        <w:overflowPunct/>
        <w:topLinePunct w:val="0"/>
        <w:autoSpaceDE/>
        <w:autoSpaceDN/>
        <w:bidi w:val="0"/>
        <w:adjustRightInd/>
        <w:snapToGrid/>
        <w:textAlignment w:val="auto"/>
        <w:rPr>
          <w:rFonts w:ascii="黑体" w:hAnsi="黑体" w:eastAsia="黑体"/>
        </w:rPr>
      </w:pPr>
    </w:p>
    <w:p>
      <w:pPr>
        <w:keepNext w:val="0"/>
        <w:keepLines w:val="0"/>
        <w:pageBreakBefore w:val="0"/>
        <w:widowControl w:val="0"/>
        <w:kinsoku/>
        <w:wordWrap/>
        <w:overflowPunct/>
        <w:topLinePunct w:val="0"/>
        <w:autoSpaceDE/>
        <w:autoSpaceDN/>
        <w:bidi w:val="0"/>
        <w:adjustRightInd/>
        <w:snapToGrid/>
        <w:textAlignment w:val="auto"/>
        <w:rPr>
          <w:rFonts w:ascii="黑体" w:hAnsi="黑体" w:eastAsia="黑体"/>
        </w:rPr>
      </w:pPr>
    </w:p>
    <w:p>
      <w:pPr>
        <w:keepNext w:val="0"/>
        <w:keepLines w:val="0"/>
        <w:pageBreakBefore w:val="0"/>
        <w:widowControl w:val="0"/>
        <w:kinsoku/>
        <w:wordWrap/>
        <w:overflowPunct/>
        <w:topLinePunct w:val="0"/>
        <w:autoSpaceDE/>
        <w:autoSpaceDN/>
        <w:bidi w:val="0"/>
        <w:adjustRightInd/>
        <w:snapToGrid/>
        <w:textAlignment w:val="auto"/>
        <w:rPr>
          <w:rFonts w:ascii="黑体" w:hAnsi="黑体" w:eastAsia="黑体"/>
        </w:rPr>
      </w:pPr>
    </w:p>
    <w:p>
      <w:pPr>
        <w:keepNext w:val="0"/>
        <w:keepLines w:val="0"/>
        <w:pageBreakBefore w:val="0"/>
        <w:widowControl w:val="0"/>
        <w:kinsoku/>
        <w:wordWrap/>
        <w:overflowPunct/>
        <w:topLinePunct w:val="0"/>
        <w:autoSpaceDE/>
        <w:autoSpaceDN/>
        <w:bidi w:val="0"/>
        <w:adjustRightInd/>
        <w:snapToGrid/>
        <w:textAlignment w:val="auto"/>
        <w:rPr>
          <w:rFonts w:ascii="黑体" w:hAnsi="黑体" w:eastAsia="黑体"/>
        </w:rPr>
      </w:pPr>
    </w:p>
    <w:p>
      <w:pPr>
        <w:pStyle w:val="2"/>
        <w:keepNext w:val="0"/>
        <w:keepLines w:val="0"/>
        <w:pageBreakBefore w:val="0"/>
        <w:widowControl w:val="0"/>
        <w:kinsoku/>
        <w:wordWrap/>
        <w:overflowPunct/>
        <w:topLinePunct w:val="0"/>
        <w:autoSpaceDE/>
        <w:autoSpaceDN/>
        <w:bidi w:val="0"/>
        <w:adjustRightInd/>
        <w:snapToGrid/>
        <w:spacing w:after="0" w:afterLines="0"/>
        <w:textAlignment w:val="auto"/>
      </w:pPr>
    </w:p>
    <w:p>
      <w:pPr>
        <w:rPr>
          <w:rFonts w:ascii="黑体" w:hAnsi="黑体" w:eastAsia="黑体"/>
          <w:sz w:val="28"/>
          <w:szCs w:val="28"/>
        </w:rPr>
      </w:pPr>
      <w:r>
        <w:rPr>
          <w:rFonts w:hint="default" w:ascii="黑体" w:hAnsi="黑体" w:eastAsia="黑体"/>
          <w:sz w:val="28"/>
          <w:szCs w:val="28"/>
          <w:lang w:val="en-US"/>
        </w:rPr>
        <mc:AlternateContent>
          <mc:Choice Requires="wps">
            <w:drawing>
              <wp:anchor distT="0" distB="0" distL="114300" distR="114300" simplePos="0" relativeHeight="251667456" behindDoc="0" locked="0" layoutInCell="1" allowOverlap="1">
                <wp:simplePos x="0" y="0"/>
                <wp:positionH relativeFrom="margin">
                  <wp:posOffset>-14605</wp:posOffset>
                </wp:positionH>
                <wp:positionV relativeFrom="topMargin">
                  <wp:posOffset>9133205</wp:posOffset>
                </wp:positionV>
                <wp:extent cx="6115050" cy="0"/>
                <wp:effectExtent l="0" t="6350" r="0" b="6350"/>
                <wp:wrapNone/>
                <wp:docPr id="26" name="AutoShape 13"/>
                <wp:cNvGraphicFramePr/>
                <a:graphic xmlns:a="http://schemas.openxmlformats.org/drawingml/2006/main">
                  <a:graphicData uri="http://schemas.microsoft.com/office/word/2010/wordprocessingShape">
                    <wps:wsp>
                      <wps:cNvCnPr>
                        <a:cxnSpLocks noChangeShapeType="true"/>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69.75pt;margin-top:719.15pt;height:0pt;width:481.5pt;mso-position-horizontal-relative:page;mso-position-vertical-relative:page;z-index:251667456;mso-width-relative:page;mso-height-relative:page;" filled="f" stroked="t" coordsize="21600,21600" o:gfxdata="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FgAAAGRycy9QSwECFAAUAAAACACHTuJArzIFx9YAAAAMAQAADwAAAAAAAAABACAAAAA4&#10;AAAAZHJzL2Rvd25yZXYueG1sUEsBAhQAFAAAAAgAh07iQGMBUYq9AQAAagMAAA4AAAAAAAAAAQAg&#10;AAAAOwEAAGRycy9lMm9Eb2MueG1sUEsFBgAAAAAGAAYAWQEAAGoFAAAAAA==&#10;">
                <v:fill on="f" focussize="0,0"/>
                <v:stroke weight="1pt" color="#000000" joinstyle="round"/>
                <v:imagedata o:title=""/>
                <o:lock v:ext="edit" aspectratio="f"/>
              </v:shape>
            </w:pict>
          </mc:Fallback>
        </mc:AlternateContent>
      </w:r>
      <w:r>
        <w:rPr>
          <w:rFonts w:hint="eastAsia" w:ascii="黑体" w:hAnsi="黑体" w:eastAsia="黑体"/>
          <w:sz w:val="28"/>
          <w:szCs w:val="28"/>
          <w:lang w:val="en-US" w:eastAsia="zh-CN"/>
        </w:rPr>
        <w:t>2024</w:t>
      </w:r>
      <w:r>
        <w:rPr>
          <w:rFonts w:hint="eastAsia" w:ascii="黑体" w:hAnsi="黑体" w:eastAsia="黑体"/>
          <w:sz w:val="28"/>
          <w:szCs w:val="28"/>
        </w:rPr>
        <w:t xml:space="preserve">-XX-XX发布                                       </w:t>
      </w:r>
      <w:r>
        <w:rPr>
          <w:rFonts w:hint="eastAsia" w:ascii="黑体" w:hAnsi="黑体" w:eastAsia="黑体"/>
          <w:sz w:val="28"/>
          <w:szCs w:val="28"/>
          <w:lang w:val="en-US" w:eastAsia="zh-CN"/>
        </w:rPr>
        <w:t>2024</w:t>
      </w:r>
      <w:r>
        <w:rPr>
          <w:rFonts w:hint="eastAsia" w:ascii="黑体" w:hAnsi="黑体" w:eastAsia="黑体"/>
          <w:sz w:val="28"/>
          <w:szCs w:val="28"/>
        </w:rPr>
        <w:t>-XX-XX实施</w:t>
      </w:r>
    </w:p>
    <w:p>
      <w:pPr>
        <w:spacing w:line="1247" w:lineRule="exact"/>
        <w:jc w:val="center"/>
        <w:outlineLvl w:val="0"/>
        <w:rPr>
          <w:rFonts w:hint="eastAsia" w:ascii="黑体" w:hAnsi="黑体" w:eastAsia="黑体"/>
          <w:sz w:val="28"/>
          <w:szCs w:val="28"/>
        </w:rPr>
      </w:pPr>
      <w:bookmarkStart w:id="0" w:name="_Toc18385"/>
      <w:bookmarkStart w:id="1" w:name="_Toc3547"/>
      <w:r>
        <w:rPr>
          <w:rFonts w:hint="eastAsia" w:ascii="方正小标宋_GBK" w:eastAsia="方正小标宋_GBK"/>
          <w:sz w:val="44"/>
          <w:szCs w:val="44"/>
        </w:rPr>
        <w:t>苏州市市场监督管理局</w:t>
      </w:r>
      <w:r>
        <w:rPr>
          <w:rFonts w:hint="eastAsia" w:ascii="方正小标宋_GBK" w:hAnsi="宋体" w:eastAsia="方正小标宋_GBK" w:cs="SimSun,Bold"/>
          <w:bCs/>
          <w:snapToGrid w:val="0"/>
          <w:kern w:val="0"/>
          <w:sz w:val="44"/>
          <w:szCs w:val="52"/>
        </w:rPr>
        <w:t xml:space="preserve">  </w:t>
      </w:r>
      <w:r>
        <w:rPr>
          <w:rFonts w:hint="eastAsia" w:ascii="黑体" w:hAnsi="黑体" w:eastAsia="黑体"/>
          <w:sz w:val="28"/>
          <w:szCs w:val="28"/>
        </w:rPr>
        <w:t>发 布</w:t>
      </w:r>
      <w:bookmarkEnd w:id="0"/>
      <w:bookmarkEnd w:id="1"/>
    </w:p>
    <w:p>
      <w:pPr>
        <w:pStyle w:val="2"/>
      </w:pPr>
    </w:p>
    <w:p>
      <w:pPr>
        <w:rPr>
          <w:rFonts w:ascii="黑体" w:hAnsi="黑体" w:eastAsia="黑体"/>
          <w:sz w:val="28"/>
          <w:szCs w:val="28"/>
        </w:rPr>
        <w:sectPr>
          <w:pgSz w:w="11906" w:h="16838"/>
          <w:pgMar w:top="567" w:right="851" w:bottom="1134" w:left="1418" w:header="0" w:footer="0" w:gutter="0"/>
          <w:cols w:space="425" w:num="1"/>
          <w:docGrid w:type="lines" w:linePitch="312" w:charSpace="0"/>
        </w:sectPr>
      </w:pPr>
    </w:p>
    <w:p>
      <w:pPr>
        <w:snapToGrid w:val="0"/>
        <w:spacing w:before="567" w:after="680"/>
        <w:jc w:val="center"/>
        <w:rPr>
          <w:rFonts w:ascii="黑体" w:hAnsi="黑体" w:eastAsia="黑体"/>
          <w:sz w:val="32"/>
          <w:szCs w:val="32"/>
        </w:rPr>
      </w:pPr>
      <w:r>
        <w:rPr>
          <w:rFonts w:hint="eastAsia" w:ascii="黑体" w:hAnsi="黑体" w:eastAsia="黑体"/>
          <w:sz w:val="32"/>
          <w:szCs w:val="32"/>
        </w:rPr>
        <w:t>目</w:t>
      </w:r>
      <w:r>
        <w:rPr>
          <w:rFonts w:hint="eastAsia" w:ascii="黑体" w:hAnsi="黑体" w:eastAsia="黑体"/>
          <w:bCs/>
          <w:sz w:val="32"/>
          <w:szCs w:val="32"/>
        </w:rPr>
        <w:t xml:space="preserve">    </w:t>
      </w:r>
      <w:r>
        <w:rPr>
          <w:rFonts w:hint="eastAsia" w:ascii="黑体" w:hAnsi="黑体" w:eastAsia="黑体"/>
          <w:sz w:val="32"/>
          <w:szCs w:val="32"/>
        </w:rPr>
        <w:t>次</w:t>
      </w:r>
    </w:p>
    <w:p>
      <w:pPr>
        <w:pStyle w:val="13"/>
        <w:keepNext w:val="0"/>
        <w:keepLines w:val="0"/>
        <w:pageBreakBefore w:val="0"/>
        <w:widowControl/>
        <w:tabs>
          <w:tab w:val="right" w:leader="dot" w:pos="9354"/>
        </w:tabs>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Cs w:val="21"/>
        </w:rPr>
        <w:fldChar w:fldCharType="begin"/>
      </w:r>
      <w:r>
        <w:rPr>
          <w:rFonts w:hint="eastAsia" w:asciiTheme="minorEastAsia" w:hAnsiTheme="minorEastAsia" w:eastAsiaTheme="minorEastAsia" w:cstheme="minorEastAsia"/>
          <w:szCs w:val="21"/>
        </w:rPr>
        <w:instrText xml:space="preserve"> TOC \o "1-3" \h \z \u </w:instrText>
      </w:r>
      <w:r>
        <w:rPr>
          <w:rFonts w:hint="eastAsia" w:asciiTheme="minorEastAsia" w:hAnsiTheme="minorEastAsia" w:eastAsiaTheme="minorEastAsia" w:cstheme="minorEastAsia"/>
          <w:szCs w:val="21"/>
        </w:rPr>
        <w:fldChar w:fldCharType="separate"/>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_Toc7288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kern w:val="0"/>
          <w:sz w:val="21"/>
          <w:szCs w:val="21"/>
          <w:lang w:val="en-US" w:eastAsia="zh-CN"/>
        </w:rPr>
        <w:t>前言</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_Toc7288 \h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II</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13"/>
        <w:keepNext w:val="0"/>
        <w:keepLines w:val="0"/>
        <w:pageBreakBefore w:val="0"/>
        <w:widowControl/>
        <w:tabs>
          <w:tab w:val="right" w:leader="dot" w:pos="9354"/>
        </w:tabs>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_Toc29165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i w:val="0"/>
          <w:sz w:val="21"/>
          <w:szCs w:val="21"/>
        </w:rPr>
        <w:t xml:space="preserve">1 </w:t>
      </w:r>
      <w:r>
        <w:rPr>
          <w:rFonts w:hint="eastAsia" w:asciiTheme="minorEastAsia" w:hAnsiTheme="minorEastAsia" w:cstheme="minorEastAsia"/>
          <w:i w:val="0"/>
          <w:sz w:val="21"/>
          <w:szCs w:val="21"/>
          <w:lang w:val="en-US" w:eastAsia="zh-CN"/>
        </w:rPr>
        <w:t xml:space="preserve"> </w:t>
      </w:r>
      <w:r>
        <w:rPr>
          <w:rFonts w:hint="eastAsia" w:asciiTheme="minorEastAsia" w:hAnsiTheme="minorEastAsia" w:eastAsiaTheme="minorEastAsia" w:cstheme="minorEastAsia"/>
          <w:sz w:val="21"/>
          <w:szCs w:val="21"/>
        </w:rPr>
        <w:t>范围</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_Toc29165 \h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13"/>
        <w:keepNext w:val="0"/>
        <w:keepLines w:val="0"/>
        <w:pageBreakBefore w:val="0"/>
        <w:widowControl/>
        <w:tabs>
          <w:tab w:val="right" w:leader="dot" w:pos="9354"/>
        </w:tabs>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_Toc9792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i w:val="0"/>
          <w:sz w:val="21"/>
          <w:szCs w:val="21"/>
        </w:rPr>
        <w:t xml:space="preserve">2 </w:t>
      </w:r>
      <w:r>
        <w:rPr>
          <w:rFonts w:hint="eastAsia" w:asciiTheme="minorEastAsia" w:hAnsiTheme="minorEastAsia" w:cstheme="minorEastAsia"/>
          <w:i w:val="0"/>
          <w:sz w:val="21"/>
          <w:szCs w:val="21"/>
          <w:lang w:val="en-US" w:eastAsia="zh-CN"/>
        </w:rPr>
        <w:t xml:space="preserve"> </w:t>
      </w:r>
      <w:r>
        <w:rPr>
          <w:rFonts w:hint="eastAsia" w:asciiTheme="minorEastAsia" w:hAnsiTheme="minorEastAsia" w:eastAsiaTheme="minorEastAsia" w:cstheme="minorEastAsia"/>
          <w:sz w:val="21"/>
          <w:szCs w:val="21"/>
        </w:rPr>
        <w:t>规范性引用文件</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_Toc9792 \h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13"/>
        <w:keepNext w:val="0"/>
        <w:keepLines w:val="0"/>
        <w:pageBreakBefore w:val="0"/>
        <w:widowControl/>
        <w:tabs>
          <w:tab w:val="right" w:leader="dot" w:pos="9354"/>
        </w:tabs>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_Toc2402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i w:val="0"/>
          <w:sz w:val="21"/>
          <w:szCs w:val="21"/>
        </w:rPr>
        <w:t xml:space="preserve">3 </w:t>
      </w:r>
      <w:r>
        <w:rPr>
          <w:rFonts w:hint="eastAsia" w:asciiTheme="minorEastAsia" w:hAnsiTheme="minorEastAsia" w:cstheme="minorEastAsia"/>
          <w:i w:val="0"/>
          <w:sz w:val="21"/>
          <w:szCs w:val="21"/>
          <w:lang w:val="en-US" w:eastAsia="zh-CN"/>
        </w:rPr>
        <w:t xml:space="preserve"> </w:t>
      </w:r>
      <w:r>
        <w:rPr>
          <w:rFonts w:hint="eastAsia" w:asciiTheme="minorEastAsia" w:hAnsiTheme="minorEastAsia" w:eastAsiaTheme="minorEastAsia" w:cstheme="minorEastAsia"/>
          <w:sz w:val="21"/>
          <w:szCs w:val="21"/>
        </w:rPr>
        <w:t>术语和定义</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_Toc2402 \h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13"/>
        <w:keepNext w:val="0"/>
        <w:keepLines w:val="0"/>
        <w:pageBreakBefore w:val="0"/>
        <w:widowControl/>
        <w:tabs>
          <w:tab w:val="right" w:leader="dot" w:pos="9354"/>
        </w:tabs>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_Toc17691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i w:val="0"/>
          <w:sz w:val="21"/>
          <w:szCs w:val="21"/>
        </w:rPr>
        <w:t xml:space="preserve">4 </w:t>
      </w:r>
      <w:r>
        <w:rPr>
          <w:rFonts w:hint="eastAsia" w:asciiTheme="minorEastAsia" w:hAnsiTheme="minorEastAsia" w:cstheme="minorEastAsia"/>
          <w:i w:val="0"/>
          <w:sz w:val="21"/>
          <w:szCs w:val="21"/>
          <w:lang w:val="en-US" w:eastAsia="zh-CN"/>
        </w:rPr>
        <w:t xml:space="preserve"> </w:t>
      </w:r>
      <w:r>
        <w:rPr>
          <w:rFonts w:hint="eastAsia" w:asciiTheme="minorEastAsia" w:hAnsiTheme="minorEastAsia" w:eastAsiaTheme="minorEastAsia" w:cstheme="minorEastAsia"/>
          <w:sz w:val="21"/>
          <w:szCs w:val="21"/>
        </w:rPr>
        <w:t>总体要求</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_Toc17691 \h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3</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13"/>
        <w:keepNext w:val="0"/>
        <w:keepLines w:val="0"/>
        <w:pageBreakBefore w:val="0"/>
        <w:widowControl/>
        <w:tabs>
          <w:tab w:val="right" w:leader="dot" w:pos="9354"/>
        </w:tabs>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_Toc29681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i w:val="0"/>
          <w:sz w:val="21"/>
          <w:szCs w:val="21"/>
        </w:rPr>
        <w:t xml:space="preserve">5 </w:t>
      </w:r>
      <w:r>
        <w:rPr>
          <w:rFonts w:hint="eastAsia" w:asciiTheme="minorEastAsia" w:hAnsiTheme="minorEastAsia" w:cstheme="minorEastAsia"/>
          <w:i w:val="0"/>
          <w:sz w:val="21"/>
          <w:szCs w:val="21"/>
          <w:lang w:val="en-US" w:eastAsia="zh-CN"/>
        </w:rPr>
        <w:t xml:space="preserve"> </w:t>
      </w:r>
      <w:r>
        <w:rPr>
          <w:rFonts w:hint="eastAsia" w:asciiTheme="minorEastAsia" w:hAnsiTheme="minorEastAsia" w:eastAsiaTheme="minorEastAsia" w:cstheme="minorEastAsia"/>
          <w:sz w:val="21"/>
          <w:szCs w:val="21"/>
          <w:lang w:val="en-US" w:eastAsia="zh-CN"/>
        </w:rPr>
        <w:t>档案监理范围</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_Toc29681 \h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3</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13"/>
        <w:keepNext w:val="0"/>
        <w:keepLines w:val="0"/>
        <w:pageBreakBefore w:val="0"/>
        <w:widowControl/>
        <w:tabs>
          <w:tab w:val="right" w:leader="dot" w:pos="9354"/>
        </w:tabs>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_Toc13173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i w:val="0"/>
          <w:kern w:val="2"/>
          <w:sz w:val="21"/>
          <w:szCs w:val="21"/>
          <w:lang w:val="en-US" w:eastAsia="zh-CN" w:bidi="ar-SA"/>
        </w:rPr>
        <w:t xml:space="preserve">6 </w:t>
      </w:r>
      <w:r>
        <w:rPr>
          <w:rFonts w:hint="eastAsia" w:asciiTheme="minorEastAsia" w:hAnsiTheme="minorEastAsia" w:cstheme="minorEastAsia"/>
          <w:i w:val="0"/>
          <w:kern w:val="2"/>
          <w:sz w:val="21"/>
          <w:szCs w:val="21"/>
          <w:lang w:val="en-US" w:eastAsia="zh-CN" w:bidi="ar-SA"/>
        </w:rPr>
        <w:t xml:space="preserve"> </w:t>
      </w:r>
      <w:r>
        <w:rPr>
          <w:rFonts w:hint="eastAsia" w:asciiTheme="minorEastAsia" w:hAnsiTheme="minorEastAsia" w:eastAsiaTheme="minorEastAsia" w:cstheme="minorEastAsia"/>
          <w:sz w:val="21"/>
          <w:szCs w:val="21"/>
          <w:lang w:val="en-US" w:eastAsia="zh-CN"/>
        </w:rPr>
        <w:t>工作模型</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_Toc13173 \h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3</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13"/>
        <w:keepNext w:val="0"/>
        <w:keepLines w:val="0"/>
        <w:pageBreakBefore w:val="0"/>
        <w:widowControl/>
        <w:tabs>
          <w:tab w:val="right" w:leader="dot" w:pos="9354"/>
        </w:tabs>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_Toc18935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i w:val="0"/>
          <w:sz w:val="21"/>
          <w:szCs w:val="21"/>
          <w:lang w:val="en-US" w:eastAsia="zh-CN"/>
        </w:rPr>
        <w:t xml:space="preserve">7 </w:t>
      </w:r>
      <w:r>
        <w:rPr>
          <w:rFonts w:hint="eastAsia" w:asciiTheme="minorEastAsia" w:hAnsiTheme="minorEastAsia" w:cstheme="minorEastAsia"/>
          <w:i w:val="0"/>
          <w:sz w:val="21"/>
          <w:szCs w:val="21"/>
          <w:lang w:val="en-US" w:eastAsia="zh-CN"/>
        </w:rPr>
        <w:t xml:space="preserve"> </w:t>
      </w:r>
      <w:r>
        <w:rPr>
          <w:rFonts w:hint="eastAsia" w:asciiTheme="minorEastAsia" w:hAnsiTheme="minorEastAsia" w:eastAsiaTheme="minorEastAsia" w:cstheme="minorEastAsia"/>
          <w:sz w:val="21"/>
          <w:szCs w:val="21"/>
          <w:lang w:val="en-US" w:eastAsia="zh-CN"/>
        </w:rPr>
        <w:t>监理方</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_Toc18935 \h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4</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14"/>
        <w:keepNext w:val="0"/>
        <w:keepLines w:val="0"/>
        <w:pageBreakBefore w:val="0"/>
        <w:widowControl/>
        <w:tabs>
          <w:tab w:val="right" w:leader="dot" w:pos="9354"/>
        </w:tabs>
        <w:kinsoku/>
        <w:wordWrap/>
        <w:overflowPunct/>
        <w:topLinePunct w:val="0"/>
        <w:autoSpaceDE/>
        <w:autoSpaceDN/>
        <w:bidi w:val="0"/>
        <w:adjustRightInd/>
        <w:snapToGrid/>
        <w:spacing w:after="0" w:line="240" w:lineRule="auto"/>
        <w:ind w:left="420" w:left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_Toc18813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sz w:val="21"/>
          <w:szCs w:val="21"/>
          <w:vertAlign w:val="baseline"/>
          <w:lang w:val="en-US" w:eastAsia="zh-CN"/>
        </w:rPr>
        <w:t xml:space="preserve">7.1 </w:t>
      </w:r>
      <w:r>
        <w:rPr>
          <w:rFonts w:hint="eastAsia" w:asciiTheme="minorEastAsia" w:hAnsiTheme="minorEastAsia" w:cstheme="minorEastAsia"/>
          <w:bCs w:val="0"/>
          <w:i w:val="0"/>
          <w:iCs w:val="0"/>
          <w:caps w:val="0"/>
          <w:smallCaps w:val="0"/>
          <w:strike w:val="0"/>
          <w:dstrike w:val="0"/>
          <w:vanish w:val="0"/>
          <w:spacing w:val="0"/>
          <w:kern w:val="0"/>
          <w:position w:val="0"/>
          <w:sz w:val="21"/>
          <w:szCs w:val="21"/>
          <w:vertAlign w:val="baseline"/>
          <w:lang w:val="en-US" w:eastAsia="zh-CN"/>
        </w:rPr>
        <w:t xml:space="preserve"> </w:t>
      </w:r>
      <w:r>
        <w:rPr>
          <w:rFonts w:hint="eastAsia" w:asciiTheme="minorEastAsia" w:hAnsiTheme="minorEastAsia" w:eastAsiaTheme="minorEastAsia" w:cstheme="minorEastAsia"/>
          <w:sz w:val="21"/>
          <w:szCs w:val="21"/>
          <w:lang w:val="en-US" w:eastAsia="zh-CN"/>
        </w:rPr>
        <w:t>监理资质</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_Toc18813 \h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4</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14"/>
        <w:keepNext w:val="0"/>
        <w:keepLines w:val="0"/>
        <w:pageBreakBefore w:val="0"/>
        <w:widowControl/>
        <w:tabs>
          <w:tab w:val="right" w:leader="dot" w:pos="9354"/>
        </w:tabs>
        <w:kinsoku/>
        <w:wordWrap/>
        <w:overflowPunct/>
        <w:topLinePunct w:val="0"/>
        <w:autoSpaceDE/>
        <w:autoSpaceDN/>
        <w:bidi w:val="0"/>
        <w:adjustRightInd/>
        <w:snapToGrid/>
        <w:spacing w:after="0" w:line="240" w:lineRule="auto"/>
        <w:ind w:left="420" w:left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_Toc21515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sz w:val="21"/>
          <w:szCs w:val="21"/>
          <w:vertAlign w:val="baseline"/>
          <w:lang w:val="en-US" w:eastAsia="zh-CN"/>
        </w:rPr>
        <w:t xml:space="preserve">7.2 </w:t>
      </w:r>
      <w:r>
        <w:rPr>
          <w:rFonts w:hint="eastAsia" w:asciiTheme="minorEastAsia" w:hAnsiTheme="minorEastAsia" w:cstheme="minorEastAsia"/>
          <w:bCs w:val="0"/>
          <w:i w:val="0"/>
          <w:iCs w:val="0"/>
          <w:caps w:val="0"/>
          <w:smallCaps w:val="0"/>
          <w:strike w:val="0"/>
          <w:dstrike w:val="0"/>
          <w:vanish w:val="0"/>
          <w:spacing w:val="0"/>
          <w:kern w:val="0"/>
          <w:position w:val="0"/>
          <w:sz w:val="21"/>
          <w:szCs w:val="21"/>
          <w:vertAlign w:val="baseline"/>
          <w:lang w:val="en-US" w:eastAsia="zh-CN"/>
        </w:rPr>
        <w:t xml:space="preserve"> </w:t>
      </w:r>
      <w:r>
        <w:rPr>
          <w:rFonts w:hint="eastAsia" w:asciiTheme="minorEastAsia" w:hAnsiTheme="minorEastAsia" w:eastAsiaTheme="minorEastAsia" w:cstheme="minorEastAsia"/>
          <w:sz w:val="21"/>
          <w:szCs w:val="21"/>
          <w:lang w:val="en-US" w:eastAsia="zh-CN"/>
        </w:rPr>
        <w:t>人员资质</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_Toc21515 \h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5</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13"/>
        <w:keepNext w:val="0"/>
        <w:keepLines w:val="0"/>
        <w:pageBreakBefore w:val="0"/>
        <w:widowControl/>
        <w:tabs>
          <w:tab w:val="right" w:leader="dot" w:pos="9354"/>
        </w:tabs>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_Toc25778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i w:val="0"/>
          <w:sz w:val="21"/>
          <w:szCs w:val="21"/>
          <w:lang w:val="en-US" w:eastAsia="zh-CN"/>
        </w:rPr>
        <w:t xml:space="preserve">8 </w:t>
      </w:r>
      <w:r>
        <w:rPr>
          <w:rFonts w:hint="eastAsia" w:asciiTheme="minorEastAsia" w:hAnsiTheme="minorEastAsia" w:cstheme="minorEastAsia"/>
          <w:i w:val="0"/>
          <w:sz w:val="21"/>
          <w:szCs w:val="21"/>
          <w:lang w:val="en-US" w:eastAsia="zh-CN"/>
        </w:rPr>
        <w:t xml:space="preserve"> </w:t>
      </w:r>
      <w:r>
        <w:rPr>
          <w:rFonts w:hint="eastAsia" w:asciiTheme="minorEastAsia" w:hAnsiTheme="minorEastAsia" w:eastAsiaTheme="minorEastAsia" w:cstheme="minorEastAsia"/>
          <w:sz w:val="21"/>
          <w:szCs w:val="21"/>
          <w:lang w:val="en-US" w:eastAsia="zh-CN"/>
        </w:rPr>
        <w:t>档案监理准备</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_Toc25778 \h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5</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14"/>
        <w:keepNext w:val="0"/>
        <w:keepLines w:val="0"/>
        <w:pageBreakBefore w:val="0"/>
        <w:widowControl/>
        <w:tabs>
          <w:tab w:val="right" w:leader="dot" w:pos="9354"/>
        </w:tabs>
        <w:kinsoku/>
        <w:wordWrap/>
        <w:overflowPunct/>
        <w:topLinePunct w:val="0"/>
        <w:autoSpaceDE/>
        <w:autoSpaceDN/>
        <w:bidi w:val="0"/>
        <w:adjustRightInd/>
        <w:snapToGrid/>
        <w:spacing w:after="0" w:line="240" w:lineRule="auto"/>
        <w:ind w:left="420" w:left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_Toc32438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en-US" w:eastAsia="zh-CN"/>
        </w:rPr>
        <w:t>8.1  合同订立</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_Toc32438 \h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5</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14"/>
        <w:keepNext w:val="0"/>
        <w:keepLines w:val="0"/>
        <w:pageBreakBefore w:val="0"/>
        <w:widowControl/>
        <w:tabs>
          <w:tab w:val="right" w:leader="dot" w:pos="9354"/>
        </w:tabs>
        <w:kinsoku/>
        <w:wordWrap/>
        <w:overflowPunct/>
        <w:topLinePunct w:val="0"/>
        <w:autoSpaceDE/>
        <w:autoSpaceDN/>
        <w:bidi w:val="0"/>
        <w:adjustRightInd/>
        <w:snapToGrid/>
        <w:spacing w:after="0" w:line="240" w:lineRule="auto"/>
        <w:ind w:left="420" w:left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_Toc30191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en-US" w:eastAsia="zh-CN"/>
        </w:rPr>
        <w:t>8.2  规划编制</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_Toc30191 \h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5</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14"/>
        <w:keepNext w:val="0"/>
        <w:keepLines w:val="0"/>
        <w:pageBreakBefore w:val="0"/>
        <w:widowControl/>
        <w:tabs>
          <w:tab w:val="right" w:leader="dot" w:pos="9354"/>
        </w:tabs>
        <w:kinsoku/>
        <w:wordWrap/>
        <w:overflowPunct/>
        <w:topLinePunct w:val="0"/>
        <w:autoSpaceDE/>
        <w:autoSpaceDN/>
        <w:bidi w:val="0"/>
        <w:adjustRightInd/>
        <w:snapToGrid/>
        <w:spacing w:after="0" w:line="240" w:lineRule="auto"/>
        <w:ind w:left="420" w:left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_Toc1250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 xml:space="preserve">8.3 </w:t>
      </w:r>
      <w:r>
        <w:rPr>
          <w:rFonts w:hint="eastAsia" w:asciiTheme="minorEastAsia" w:hAnsiTheme="minorEastAsia" w:eastAsiaTheme="minorEastAsia" w:cstheme="minorEastAsia"/>
          <w:sz w:val="21"/>
          <w:szCs w:val="21"/>
          <w:lang w:val="en-US" w:eastAsia="zh-CN"/>
        </w:rPr>
        <w:t xml:space="preserve"> 细则编制</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_Toc1250 \h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5</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14"/>
        <w:keepNext w:val="0"/>
        <w:keepLines w:val="0"/>
        <w:pageBreakBefore w:val="0"/>
        <w:widowControl/>
        <w:tabs>
          <w:tab w:val="right" w:leader="dot" w:pos="9354"/>
        </w:tabs>
        <w:kinsoku/>
        <w:wordWrap/>
        <w:overflowPunct/>
        <w:topLinePunct w:val="0"/>
        <w:autoSpaceDE/>
        <w:autoSpaceDN/>
        <w:bidi w:val="0"/>
        <w:adjustRightInd/>
        <w:snapToGrid/>
        <w:spacing w:after="0" w:line="240" w:lineRule="auto"/>
        <w:ind w:left="420" w:left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_Toc27875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 xml:space="preserve">8.4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机构</w:t>
      </w:r>
      <w:r>
        <w:rPr>
          <w:rFonts w:hint="eastAsia" w:asciiTheme="minorEastAsia" w:hAnsiTheme="minorEastAsia" w:eastAsiaTheme="minorEastAsia" w:cstheme="minorEastAsia"/>
          <w:sz w:val="21"/>
          <w:szCs w:val="21"/>
          <w:lang w:val="en-US" w:eastAsia="zh-CN"/>
        </w:rPr>
        <w:t>设置</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_Toc27875 \h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6</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14"/>
        <w:keepNext w:val="0"/>
        <w:keepLines w:val="0"/>
        <w:pageBreakBefore w:val="0"/>
        <w:widowControl/>
        <w:tabs>
          <w:tab w:val="right" w:leader="dot" w:pos="9354"/>
        </w:tabs>
        <w:kinsoku/>
        <w:wordWrap/>
        <w:overflowPunct/>
        <w:topLinePunct w:val="0"/>
        <w:autoSpaceDE/>
        <w:autoSpaceDN/>
        <w:bidi w:val="0"/>
        <w:adjustRightInd/>
        <w:snapToGrid/>
        <w:spacing w:after="0" w:line="240" w:lineRule="auto"/>
        <w:ind w:left="420" w:left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_Toc24131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 xml:space="preserve">8.5 </w:t>
      </w:r>
      <w:r>
        <w:rPr>
          <w:rFonts w:hint="eastAsia" w:asciiTheme="minorEastAsia" w:hAnsiTheme="minorEastAsia" w:eastAsiaTheme="minorEastAsia" w:cstheme="minorEastAsia"/>
          <w:sz w:val="21"/>
          <w:szCs w:val="21"/>
          <w:lang w:val="en-US" w:eastAsia="zh-CN"/>
        </w:rPr>
        <w:t xml:space="preserve"> 设施设备</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_Toc24131 \h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6</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14"/>
        <w:keepNext w:val="0"/>
        <w:keepLines w:val="0"/>
        <w:pageBreakBefore w:val="0"/>
        <w:widowControl/>
        <w:tabs>
          <w:tab w:val="right" w:leader="dot" w:pos="9354"/>
        </w:tabs>
        <w:kinsoku/>
        <w:wordWrap/>
        <w:overflowPunct/>
        <w:topLinePunct w:val="0"/>
        <w:autoSpaceDE/>
        <w:autoSpaceDN/>
        <w:bidi w:val="0"/>
        <w:adjustRightInd/>
        <w:snapToGrid/>
        <w:spacing w:after="0" w:line="240" w:lineRule="auto"/>
        <w:ind w:left="420" w:left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_Toc5671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en-US" w:eastAsia="zh-CN"/>
        </w:rPr>
        <w:t>8.6  人员配置</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_Toc5671 \h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6</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13"/>
        <w:keepNext w:val="0"/>
        <w:keepLines w:val="0"/>
        <w:pageBreakBefore w:val="0"/>
        <w:widowControl/>
        <w:tabs>
          <w:tab w:val="right" w:leader="dot" w:pos="9354"/>
        </w:tabs>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_Toc29153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i w:val="0"/>
          <w:sz w:val="21"/>
          <w:szCs w:val="21"/>
          <w:lang w:val="en-US" w:eastAsia="zh-CN"/>
        </w:rPr>
        <w:t xml:space="preserve">9 </w:t>
      </w:r>
      <w:r>
        <w:rPr>
          <w:rFonts w:hint="eastAsia" w:asciiTheme="minorEastAsia" w:hAnsiTheme="minorEastAsia" w:cstheme="minorEastAsia"/>
          <w:i w:val="0"/>
          <w:sz w:val="21"/>
          <w:szCs w:val="21"/>
          <w:lang w:val="en-US" w:eastAsia="zh-CN"/>
        </w:rPr>
        <w:t xml:space="preserve"> </w:t>
      </w:r>
      <w:r>
        <w:rPr>
          <w:rFonts w:hint="eastAsia" w:asciiTheme="minorEastAsia" w:hAnsiTheme="minorEastAsia" w:eastAsiaTheme="minorEastAsia" w:cstheme="minorEastAsia"/>
          <w:sz w:val="21"/>
          <w:szCs w:val="21"/>
          <w:lang w:val="en-US" w:eastAsia="zh-CN"/>
        </w:rPr>
        <w:t>档案监理实施</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_Toc29153 \h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7</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14"/>
        <w:keepNext w:val="0"/>
        <w:keepLines w:val="0"/>
        <w:pageBreakBefore w:val="0"/>
        <w:widowControl/>
        <w:tabs>
          <w:tab w:val="right" w:leader="dot" w:pos="9354"/>
        </w:tabs>
        <w:kinsoku/>
        <w:wordWrap/>
        <w:overflowPunct/>
        <w:topLinePunct w:val="0"/>
        <w:autoSpaceDE/>
        <w:autoSpaceDN/>
        <w:bidi w:val="0"/>
        <w:adjustRightInd/>
        <w:snapToGrid/>
        <w:spacing w:after="0" w:line="240" w:lineRule="auto"/>
        <w:ind w:left="420" w:left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_Toc7729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en-US" w:eastAsia="zh-CN"/>
        </w:rPr>
        <w:t>9.1  一般要求</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_Toc7729 \h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7</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14"/>
        <w:keepNext w:val="0"/>
        <w:keepLines w:val="0"/>
        <w:pageBreakBefore w:val="0"/>
        <w:widowControl/>
        <w:tabs>
          <w:tab w:val="right" w:leader="dot" w:pos="9354"/>
        </w:tabs>
        <w:kinsoku/>
        <w:wordWrap/>
        <w:overflowPunct/>
        <w:topLinePunct w:val="0"/>
        <w:autoSpaceDE/>
        <w:autoSpaceDN/>
        <w:bidi w:val="0"/>
        <w:adjustRightInd/>
        <w:snapToGrid/>
        <w:spacing w:after="0" w:line="240" w:lineRule="auto"/>
        <w:ind w:left="420" w:left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_Toc15805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en-US" w:eastAsia="zh-CN"/>
        </w:rPr>
        <w:t>9.2  项目招标阶段</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_Toc15805 \h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8</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14"/>
        <w:keepNext w:val="0"/>
        <w:keepLines w:val="0"/>
        <w:pageBreakBefore w:val="0"/>
        <w:widowControl/>
        <w:tabs>
          <w:tab w:val="right" w:leader="dot" w:pos="9354"/>
        </w:tabs>
        <w:kinsoku/>
        <w:wordWrap/>
        <w:overflowPunct/>
        <w:topLinePunct w:val="0"/>
        <w:autoSpaceDE/>
        <w:autoSpaceDN/>
        <w:bidi w:val="0"/>
        <w:adjustRightInd/>
        <w:snapToGrid/>
        <w:spacing w:after="0" w:line="240" w:lineRule="auto"/>
        <w:ind w:left="420" w:left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_Toc2260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 xml:space="preserve">9.3 </w:t>
      </w:r>
      <w:r>
        <w:rPr>
          <w:rFonts w:hint="eastAsia" w:asciiTheme="minorEastAsia" w:hAnsiTheme="minorEastAsia" w:eastAsiaTheme="minorEastAsia" w:cstheme="minorEastAsia"/>
          <w:sz w:val="21"/>
          <w:szCs w:val="21"/>
          <w:lang w:val="en-US" w:eastAsia="zh-CN"/>
        </w:rPr>
        <w:t xml:space="preserve"> 项目实施设计阶段</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_Toc2260 \h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9</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14"/>
        <w:keepNext w:val="0"/>
        <w:keepLines w:val="0"/>
        <w:pageBreakBefore w:val="0"/>
        <w:widowControl/>
        <w:tabs>
          <w:tab w:val="right" w:leader="dot" w:pos="9354"/>
        </w:tabs>
        <w:kinsoku/>
        <w:wordWrap/>
        <w:overflowPunct/>
        <w:topLinePunct w:val="0"/>
        <w:autoSpaceDE/>
        <w:autoSpaceDN/>
        <w:bidi w:val="0"/>
        <w:adjustRightInd/>
        <w:snapToGrid/>
        <w:spacing w:after="0" w:line="240" w:lineRule="auto"/>
        <w:ind w:left="420" w:left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_Toc9418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 xml:space="preserve">9.4 </w:t>
      </w:r>
      <w:r>
        <w:rPr>
          <w:rFonts w:hint="eastAsia" w:asciiTheme="minorEastAsia" w:hAnsiTheme="minorEastAsia" w:eastAsiaTheme="minorEastAsia" w:cstheme="minorEastAsia"/>
          <w:sz w:val="21"/>
          <w:szCs w:val="21"/>
          <w:lang w:val="en-US" w:eastAsia="zh-CN"/>
        </w:rPr>
        <w:t xml:space="preserve"> 项目</w:t>
      </w:r>
      <w:r>
        <w:rPr>
          <w:rFonts w:hint="eastAsia" w:asciiTheme="minorEastAsia" w:hAnsiTheme="minorEastAsia" w:eastAsiaTheme="minorEastAsia" w:cstheme="minorEastAsia"/>
          <w:sz w:val="21"/>
          <w:szCs w:val="21"/>
        </w:rPr>
        <w:t>实施阶段</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_Toc9418 \h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11</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14"/>
        <w:keepNext w:val="0"/>
        <w:keepLines w:val="0"/>
        <w:pageBreakBefore w:val="0"/>
        <w:widowControl/>
        <w:tabs>
          <w:tab w:val="right" w:leader="dot" w:pos="9354"/>
        </w:tabs>
        <w:kinsoku/>
        <w:wordWrap/>
        <w:overflowPunct/>
        <w:topLinePunct w:val="0"/>
        <w:autoSpaceDE/>
        <w:autoSpaceDN/>
        <w:bidi w:val="0"/>
        <w:adjustRightInd/>
        <w:snapToGrid/>
        <w:spacing w:after="0" w:line="240" w:lineRule="auto"/>
        <w:ind w:left="420" w:left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_Toc10723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en-US" w:eastAsia="zh-CN"/>
        </w:rPr>
        <w:t>9.5  项目验收阶段</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_Toc10723 \h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14</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13"/>
        <w:keepNext w:val="0"/>
        <w:keepLines w:val="0"/>
        <w:pageBreakBefore w:val="0"/>
        <w:widowControl/>
        <w:tabs>
          <w:tab w:val="right" w:leader="dot" w:pos="9354"/>
        </w:tabs>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_Toc23962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i w:val="0"/>
          <w:sz w:val="21"/>
          <w:szCs w:val="21"/>
          <w:lang w:val="en-US" w:eastAsia="zh-CN"/>
        </w:rPr>
        <w:t xml:space="preserve">10 </w:t>
      </w:r>
      <w:r>
        <w:rPr>
          <w:rFonts w:hint="eastAsia" w:asciiTheme="minorEastAsia" w:hAnsiTheme="minorEastAsia" w:cstheme="minorEastAsia"/>
          <w:i w:val="0"/>
          <w:sz w:val="21"/>
          <w:szCs w:val="21"/>
          <w:lang w:val="en-US" w:eastAsia="zh-CN"/>
        </w:rPr>
        <w:t xml:space="preserve"> </w:t>
      </w:r>
      <w:r>
        <w:rPr>
          <w:rFonts w:hint="eastAsia" w:asciiTheme="minorEastAsia" w:hAnsiTheme="minorEastAsia" w:eastAsiaTheme="minorEastAsia" w:cstheme="minorEastAsia"/>
          <w:sz w:val="21"/>
          <w:szCs w:val="21"/>
          <w:lang w:val="en-US" w:eastAsia="zh-CN"/>
        </w:rPr>
        <w:t>档案监理评价与改进</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_Toc23962 \h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16</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13"/>
        <w:keepNext w:val="0"/>
        <w:keepLines w:val="0"/>
        <w:pageBreakBefore w:val="0"/>
        <w:widowControl/>
        <w:tabs>
          <w:tab w:val="right" w:leader="dot" w:pos="9354"/>
        </w:tabs>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_Toc21342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en-US" w:eastAsia="zh-CN"/>
        </w:rPr>
        <w:t>附录A</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_Toc3880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en-US" w:eastAsia="zh-CN"/>
        </w:rPr>
        <w:t xml:space="preserve">（资料性）  </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_Toc17239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en-US" w:eastAsia="zh-CN"/>
        </w:rPr>
        <w:t>监理回退通知单</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_Toc17239 \h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17</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13"/>
        <w:keepNext w:val="0"/>
        <w:keepLines w:val="0"/>
        <w:pageBreakBefore w:val="0"/>
        <w:widowControl/>
        <w:tabs>
          <w:tab w:val="right" w:leader="dot" w:pos="9354"/>
        </w:tabs>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_Toc25620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en-US" w:eastAsia="zh-CN"/>
        </w:rPr>
        <w:t>附录B</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_Toc11819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en-US" w:eastAsia="zh-CN"/>
        </w:rPr>
        <w:t xml:space="preserve">（资料性）  </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_Toc24173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en-US" w:eastAsia="zh-CN"/>
        </w:rPr>
        <w:t>监理回退通知回复单</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_Toc24173 \h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18</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13"/>
        <w:keepNext w:val="0"/>
        <w:keepLines w:val="0"/>
        <w:pageBreakBefore w:val="0"/>
        <w:widowControl/>
        <w:tabs>
          <w:tab w:val="right" w:leader="dot" w:pos="9354"/>
        </w:tabs>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_Toc10183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en-US" w:eastAsia="zh-CN"/>
        </w:rPr>
        <w:t>附录C</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_Toc27724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en-US" w:eastAsia="zh-CN"/>
        </w:rPr>
        <w:t xml:space="preserve">（资料性）  </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_Toc28724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en-US" w:eastAsia="zh-CN"/>
        </w:rPr>
        <w:t>回退问题修改反馈表</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_Toc28724 \h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19</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13"/>
        <w:keepNext w:val="0"/>
        <w:keepLines w:val="0"/>
        <w:pageBreakBefore w:val="0"/>
        <w:widowControl/>
        <w:tabs>
          <w:tab w:val="right" w:leader="dot" w:pos="9354"/>
        </w:tabs>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_Toc5766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en-US" w:eastAsia="zh-CN"/>
        </w:rPr>
        <w:t>附录D</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_Toc23069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en-US" w:eastAsia="zh-CN"/>
        </w:rPr>
        <w:t xml:space="preserve">（资料性）  </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_Toc17824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en-US" w:eastAsia="zh-CN"/>
        </w:rPr>
        <w:t>监理抽检问题登记表—图像</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_Toc17824 \h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20</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13"/>
        <w:keepNext w:val="0"/>
        <w:keepLines w:val="0"/>
        <w:pageBreakBefore w:val="0"/>
        <w:widowControl/>
        <w:tabs>
          <w:tab w:val="right" w:leader="dot" w:pos="9354"/>
        </w:tabs>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_Toc4721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en-US" w:eastAsia="zh-CN"/>
        </w:rPr>
        <w:t>附录E</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_Toc10076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en-US" w:eastAsia="zh-CN"/>
        </w:rPr>
        <w:t xml:space="preserve">（资料性）  </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_Toc14901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en-US" w:eastAsia="zh-CN"/>
        </w:rPr>
        <w:t>监理抽检问题登记表—目录</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_Toc14901 \h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21</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13"/>
        <w:keepNext w:val="0"/>
        <w:keepLines w:val="0"/>
        <w:pageBreakBefore w:val="0"/>
        <w:widowControl/>
        <w:tabs>
          <w:tab w:val="right" w:leader="dot" w:pos="9354"/>
        </w:tabs>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_Toc462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en-US" w:eastAsia="zh-CN"/>
        </w:rPr>
        <w:t>附录F</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_Toc3008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en-US" w:eastAsia="zh-CN"/>
        </w:rPr>
        <w:t xml:space="preserve">（资料性）  </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_Toc26662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en-US" w:eastAsia="zh-CN"/>
        </w:rPr>
        <w:t>监理抽检问题登记表—实体</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_Toc26662 \h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22</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13"/>
        <w:keepNext w:val="0"/>
        <w:keepLines w:val="0"/>
        <w:pageBreakBefore w:val="0"/>
        <w:widowControl/>
        <w:tabs>
          <w:tab w:val="right" w:leader="dot" w:pos="9354"/>
        </w:tabs>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_Toc20211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en-US" w:eastAsia="zh-CN"/>
        </w:rPr>
        <w:t>附录G</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_Toc9855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en-US" w:eastAsia="zh-CN"/>
        </w:rPr>
        <w:t xml:space="preserve">（资料性）  </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_Toc15413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en-US" w:eastAsia="zh-CN"/>
        </w:rPr>
        <w:t>监理抽检合格通知单</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_Toc15413 \h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23</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13"/>
        <w:keepNext w:val="0"/>
        <w:keepLines w:val="0"/>
        <w:pageBreakBefore w:val="0"/>
        <w:widowControl/>
        <w:tabs>
          <w:tab w:val="right" w:leader="dot" w:pos="9354"/>
        </w:tabs>
        <w:kinsoku/>
        <w:wordWrap/>
        <w:overflowPunct/>
        <w:topLinePunct w:val="0"/>
        <w:autoSpaceDE/>
        <w:autoSpaceDN/>
        <w:bidi w:val="0"/>
        <w:adjustRightInd/>
        <w:snapToGrid/>
        <w:spacing w:line="240" w:lineRule="auto"/>
        <w:textAlignment w:val="auto"/>
        <w:rPr>
          <w:rFonts w:hint="eastAsia" w:ascii="宋体" w:hAnsi="宋体" w:eastAsia="宋体" w:cs="宋体"/>
        </w:rPr>
      </w:pPr>
      <w:r>
        <w:rPr>
          <w:rFonts w:hint="eastAsia" w:asciiTheme="minorEastAsia" w:hAnsiTheme="minorEastAsia" w:eastAsiaTheme="minorEastAsia" w:cstheme="minorEastAsia"/>
          <w:szCs w:val="21"/>
        </w:rPr>
        <w:fldChar w:fldCharType="end"/>
      </w:r>
      <w:r>
        <w:rPr>
          <w:rFonts w:hint="eastAsia" w:asciiTheme="minorEastAsia" w:hAnsiTheme="minorEastAsia" w:eastAsiaTheme="minorEastAsia" w:cstheme="minorEastAsia"/>
          <w:szCs w:val="21"/>
        </w:rPr>
        <w:fldChar w:fldCharType="begin"/>
      </w:r>
      <w:r>
        <w:rPr>
          <w:rFonts w:hint="eastAsia" w:asciiTheme="minorEastAsia" w:hAnsiTheme="minorEastAsia" w:eastAsiaTheme="minorEastAsia" w:cstheme="minorEastAsia"/>
          <w:szCs w:val="21"/>
        </w:rPr>
        <w:instrText xml:space="preserve"> TOC \o "1-3" \h \z \u </w:instrText>
      </w:r>
      <w:r>
        <w:rPr>
          <w:rFonts w:hint="eastAsia" w:asciiTheme="minorEastAsia" w:hAnsiTheme="minorEastAsia" w:eastAsiaTheme="minorEastAsia" w:cstheme="minorEastAsia"/>
          <w:szCs w:val="21"/>
        </w:rPr>
        <w:fldChar w:fldCharType="separate"/>
      </w:r>
    </w:p>
    <w:p>
      <w:pPr>
        <w:snapToGrid w:val="0"/>
        <w:jc w:val="left"/>
        <w:rPr>
          <w:rFonts w:ascii="宋体" w:hAnsi="宋体" w:eastAsia="宋体" w:cs="宋体"/>
          <w:szCs w:val="21"/>
        </w:rPr>
      </w:pPr>
      <w:r>
        <w:rPr>
          <w:rFonts w:hint="eastAsia" w:asciiTheme="minorEastAsia" w:hAnsiTheme="minorEastAsia" w:eastAsiaTheme="minorEastAsia" w:cstheme="minorEastAsia"/>
          <w:szCs w:val="21"/>
        </w:rPr>
        <w:fldChar w:fldCharType="end"/>
      </w:r>
    </w:p>
    <w:p>
      <w:pPr>
        <w:pStyle w:val="2"/>
        <w:rPr>
          <w:rFonts w:ascii="宋体" w:hAnsi="宋体" w:eastAsia="宋体" w:cs="宋体"/>
          <w:szCs w:val="21"/>
        </w:rPr>
      </w:pPr>
    </w:p>
    <w:p>
      <w:pPr>
        <w:pStyle w:val="2"/>
        <w:rPr>
          <w:rFonts w:ascii="宋体" w:hAnsi="宋体" w:eastAsia="宋体" w:cs="宋体"/>
          <w:szCs w:val="21"/>
        </w:rPr>
      </w:pPr>
    </w:p>
    <w:p>
      <w:pPr>
        <w:pStyle w:val="34"/>
        <w:keepNext w:val="0"/>
        <w:keepLines w:val="0"/>
        <w:pageBreakBefore w:val="0"/>
        <w:widowControl/>
        <w:shd w:val="clear"/>
        <w:kinsoku/>
        <w:wordWrap/>
        <w:overflowPunct/>
        <w:topLinePunct w:val="0"/>
        <w:autoSpaceDE/>
        <w:autoSpaceDN/>
        <w:bidi w:val="0"/>
        <w:adjustRightInd/>
        <w:snapToGrid/>
        <w:spacing w:before="567" w:after="680" w:afterLines="0"/>
        <w:ind w:left="425" w:hanging="425"/>
        <w:textAlignment w:val="auto"/>
        <w:rPr>
          <w:spacing w:val="320"/>
          <w:highlight w:val="none"/>
        </w:rPr>
        <w:sectPr>
          <w:headerReference r:id="rId3" w:type="default"/>
          <w:footerReference r:id="rId5" w:type="default"/>
          <w:headerReference r:id="rId4" w:type="even"/>
          <w:footerReference r:id="rId6" w:type="even"/>
          <w:pgSz w:w="11906" w:h="16838"/>
          <w:pgMar w:top="1417" w:right="1134" w:bottom="1134" w:left="1418" w:header="1417" w:footer="1134" w:gutter="0"/>
          <w:pgNumType w:fmt="upperRoman" w:start="1"/>
          <w:cols w:space="425" w:num="1"/>
          <w:docGrid w:type="lines" w:linePitch="312" w:charSpace="0"/>
        </w:sectPr>
      </w:pPr>
    </w:p>
    <w:p>
      <w:pPr>
        <w:pStyle w:val="2"/>
        <w:sectPr>
          <w:headerReference r:id="rId7" w:type="default"/>
          <w:footerReference r:id="rId8" w:type="default"/>
          <w:footerReference r:id="rId9" w:type="even"/>
          <w:pgSz w:w="11906" w:h="16838"/>
          <w:pgMar w:top="1417" w:right="1134" w:bottom="1134" w:left="1418" w:header="1417" w:footer="1134" w:gutter="0"/>
          <w:pgNumType w:fmt="upperRoman" w:start="2"/>
          <w:cols w:space="425" w:num="1"/>
          <w:docGrid w:type="lines" w:linePitch="312" w:charSpace="0"/>
        </w:sectPr>
      </w:pPr>
      <w:bookmarkStart w:id="2" w:name="_Toc7288"/>
    </w:p>
    <w:p>
      <w:pPr>
        <w:keepNext w:val="0"/>
        <w:keepLines w:val="0"/>
        <w:pageBreakBefore w:val="0"/>
        <w:widowControl w:val="0"/>
        <w:shd w:val="clear"/>
        <w:kinsoku/>
        <w:wordWrap/>
        <w:overflowPunct/>
        <w:topLinePunct w:val="0"/>
        <w:autoSpaceDE/>
        <w:autoSpaceDN/>
        <w:bidi w:val="0"/>
        <w:adjustRightInd/>
        <w:snapToGrid w:val="0"/>
        <w:spacing w:before="567" w:after="680"/>
        <w:ind w:firstLine="0" w:firstLineChars="0"/>
        <w:jc w:val="center"/>
        <w:textAlignment w:val="auto"/>
        <w:outlineLvl w:val="0"/>
        <w:rPr>
          <w:rFonts w:hint="eastAsia" w:ascii="黑体" w:hAnsi="黑体" w:eastAsia="黑体" w:cs="黑体"/>
          <w:kern w:val="0"/>
          <w:sz w:val="32"/>
          <w:szCs w:val="32"/>
          <w:lang w:val="en-US" w:eastAsia="zh-CN"/>
        </w:rPr>
      </w:pPr>
      <w:r>
        <w:rPr>
          <w:rFonts w:hint="eastAsia" w:ascii="黑体" w:hAnsi="黑体" w:eastAsia="黑体" w:cs="黑体"/>
          <w:kern w:val="0"/>
          <w:sz w:val="32"/>
          <w:szCs w:val="32"/>
          <w:lang w:val="en-US" w:eastAsia="zh-CN"/>
        </w:rPr>
        <w:t>前    言</w:t>
      </w:r>
      <w:bookmarkEnd w:id="2"/>
    </w:p>
    <w:p>
      <w:pPr>
        <w:shd w:val="clear"/>
        <w:snapToGrid w:val="0"/>
        <w:ind w:firstLine="420" w:firstLineChars="200"/>
        <w:rPr>
          <w:rFonts w:ascii="宋体" w:hAnsi="宋体" w:eastAsia="宋体" w:cs="宋体"/>
          <w:kern w:val="0"/>
          <w:szCs w:val="21"/>
        </w:rPr>
      </w:pPr>
      <w:r>
        <w:rPr>
          <w:rFonts w:hint="eastAsia" w:ascii="宋体" w:hAnsi="宋体" w:eastAsia="宋体" w:cs="宋体"/>
          <w:kern w:val="0"/>
          <w:szCs w:val="21"/>
        </w:rPr>
        <w:t>本文件按照</w:t>
      </w:r>
      <w:r>
        <w:rPr>
          <w:rFonts w:ascii="宋体" w:hAnsi="宋体" w:eastAsia="宋体" w:cs="宋体"/>
          <w:kern w:val="0"/>
          <w:szCs w:val="21"/>
        </w:rPr>
        <w:t>GB</w:t>
      </w:r>
      <w:r>
        <w:rPr>
          <w:rFonts w:hint="eastAsia" w:ascii="宋体" w:hAnsi="宋体" w:eastAsia="宋体" w:cs="宋体"/>
          <w:kern w:val="0"/>
          <w:szCs w:val="21"/>
        </w:rPr>
        <w:t>/</w:t>
      </w:r>
      <w:r>
        <w:rPr>
          <w:rFonts w:ascii="宋体" w:hAnsi="宋体" w:eastAsia="宋体" w:cs="宋体"/>
          <w:kern w:val="0"/>
          <w:szCs w:val="21"/>
        </w:rPr>
        <w:t>T</w:t>
      </w:r>
      <w:r>
        <w:rPr>
          <w:rFonts w:hint="eastAsia" w:ascii="宋体" w:hAnsi="宋体" w:eastAsia="宋体" w:cs="宋体"/>
          <w:kern w:val="0"/>
          <w:szCs w:val="21"/>
        </w:rPr>
        <w:t xml:space="preserve"> </w:t>
      </w:r>
      <w:r>
        <w:rPr>
          <w:rFonts w:ascii="宋体" w:hAnsi="宋体" w:eastAsia="宋体" w:cs="宋体"/>
          <w:kern w:val="0"/>
          <w:szCs w:val="21"/>
        </w:rPr>
        <w:t>1.1—2020</w:t>
      </w:r>
      <w:r>
        <w:rPr>
          <w:rFonts w:hint="eastAsia" w:ascii="宋体" w:hAnsi="宋体" w:eastAsia="宋体" w:cs="宋体"/>
          <w:kern w:val="0"/>
          <w:szCs w:val="21"/>
        </w:rPr>
        <w:t>《标准</w:t>
      </w:r>
      <w:r>
        <w:rPr>
          <w:rFonts w:ascii="宋体" w:hAnsi="宋体" w:eastAsia="宋体" w:cs="宋体"/>
          <w:kern w:val="0"/>
          <w:szCs w:val="21"/>
        </w:rPr>
        <w:t>化工作导则</w:t>
      </w:r>
      <w:r>
        <w:rPr>
          <w:rFonts w:hint="eastAsia" w:ascii="宋体" w:hAnsi="宋体" w:eastAsia="宋体" w:cs="宋体"/>
          <w:kern w:val="0"/>
          <w:szCs w:val="21"/>
        </w:rPr>
        <w:t xml:space="preserve">  第1部分：</w:t>
      </w:r>
      <w:r>
        <w:rPr>
          <w:rFonts w:ascii="宋体" w:hAnsi="宋体" w:eastAsia="宋体" w:cs="宋体"/>
          <w:kern w:val="0"/>
          <w:szCs w:val="21"/>
        </w:rPr>
        <w:t>标准化文件的</w:t>
      </w:r>
      <w:r>
        <w:rPr>
          <w:rFonts w:hint="eastAsia" w:ascii="宋体" w:hAnsi="宋体" w:eastAsia="宋体" w:cs="宋体"/>
          <w:kern w:val="0"/>
          <w:szCs w:val="21"/>
        </w:rPr>
        <w:t>结构</w:t>
      </w:r>
      <w:r>
        <w:rPr>
          <w:rFonts w:ascii="宋体" w:hAnsi="宋体" w:eastAsia="宋体" w:cs="宋体"/>
          <w:kern w:val="0"/>
          <w:szCs w:val="21"/>
        </w:rPr>
        <w:t>和起草规则</w:t>
      </w:r>
      <w:r>
        <w:rPr>
          <w:rFonts w:hint="eastAsia" w:ascii="宋体" w:hAnsi="宋体" w:eastAsia="宋体" w:cs="宋体"/>
          <w:kern w:val="0"/>
          <w:szCs w:val="21"/>
        </w:rPr>
        <w:t>》的</w:t>
      </w:r>
      <w:r>
        <w:rPr>
          <w:rFonts w:ascii="宋体" w:hAnsi="宋体" w:eastAsia="宋体" w:cs="宋体"/>
          <w:kern w:val="0"/>
          <w:szCs w:val="21"/>
        </w:rPr>
        <w:t>规定</w:t>
      </w:r>
      <w:r>
        <w:rPr>
          <w:rFonts w:hint="eastAsia" w:ascii="宋体" w:hAnsi="宋体" w:eastAsia="宋体" w:cs="宋体"/>
          <w:kern w:val="0"/>
          <w:szCs w:val="21"/>
        </w:rPr>
        <w:t>起草。</w:t>
      </w:r>
    </w:p>
    <w:p>
      <w:pPr>
        <w:keepNext w:val="0"/>
        <w:keepLines w:val="0"/>
        <w:pageBreakBefore w:val="0"/>
        <w:shd w:val="clear"/>
        <w:kinsoku/>
        <w:overflowPunct/>
        <w:topLinePunct w:val="0"/>
        <w:bidi w:val="0"/>
        <w:snapToGrid w:val="0"/>
        <w:ind w:firstLine="420" w:firstLineChars="200"/>
        <w:textAlignment w:val="auto"/>
        <w:outlineLvl w:val="9"/>
        <w:rPr>
          <w:rFonts w:ascii="宋体" w:hAnsi="宋体" w:eastAsia="宋体" w:cs="宋体"/>
          <w:kern w:val="0"/>
          <w:szCs w:val="21"/>
        </w:rPr>
      </w:pPr>
      <w:r>
        <w:rPr>
          <w:rFonts w:hint="eastAsia" w:ascii="宋体" w:hAnsi="宋体" w:eastAsia="宋体" w:cs="宋体"/>
          <w:kern w:val="0"/>
          <w:szCs w:val="21"/>
        </w:rPr>
        <w:t>请注意本文件</w:t>
      </w:r>
      <w:r>
        <w:rPr>
          <w:rFonts w:ascii="宋体" w:hAnsi="宋体" w:eastAsia="宋体" w:cs="宋体"/>
          <w:kern w:val="0"/>
          <w:szCs w:val="21"/>
        </w:rPr>
        <w:t>的某些内容可能涉及专利</w:t>
      </w:r>
      <w:r>
        <w:rPr>
          <w:rFonts w:hint="eastAsia" w:ascii="宋体" w:hAnsi="宋体" w:eastAsia="宋体" w:cs="宋体"/>
          <w:kern w:val="0"/>
          <w:szCs w:val="21"/>
        </w:rPr>
        <w:t>。</w:t>
      </w:r>
      <w:r>
        <w:rPr>
          <w:rFonts w:ascii="宋体" w:hAnsi="宋体" w:eastAsia="宋体" w:cs="宋体"/>
          <w:kern w:val="0"/>
          <w:szCs w:val="21"/>
        </w:rPr>
        <w:t>本文件的</w:t>
      </w:r>
      <w:r>
        <w:rPr>
          <w:rFonts w:hint="eastAsia" w:ascii="宋体" w:hAnsi="宋体" w:eastAsia="宋体" w:cs="宋体"/>
          <w:kern w:val="0"/>
          <w:szCs w:val="21"/>
        </w:rPr>
        <w:t>发布</w:t>
      </w:r>
      <w:r>
        <w:rPr>
          <w:rFonts w:ascii="宋体" w:hAnsi="宋体" w:eastAsia="宋体" w:cs="宋体"/>
          <w:kern w:val="0"/>
          <w:szCs w:val="21"/>
        </w:rPr>
        <w:t>机构不承担识别专利的责任。</w:t>
      </w:r>
    </w:p>
    <w:p>
      <w:pPr>
        <w:keepNext w:val="0"/>
        <w:keepLines w:val="0"/>
        <w:pageBreakBefore w:val="0"/>
        <w:shd w:val="clear"/>
        <w:kinsoku/>
        <w:overflowPunct/>
        <w:topLinePunct w:val="0"/>
        <w:bidi w:val="0"/>
        <w:snapToGrid w:val="0"/>
        <w:ind w:firstLine="420" w:firstLineChars="200"/>
        <w:textAlignment w:val="auto"/>
        <w:outlineLvl w:val="9"/>
        <w:rPr>
          <w:rFonts w:hint="eastAsia" w:ascii="宋体" w:hAnsi="宋体" w:eastAsia="宋体" w:cs="宋体"/>
          <w:kern w:val="0"/>
          <w:szCs w:val="21"/>
          <w:lang w:eastAsia="zh-CN"/>
        </w:rPr>
      </w:pPr>
      <w:r>
        <w:rPr>
          <w:rFonts w:hint="eastAsia" w:ascii="宋体" w:hAnsi="宋体" w:eastAsia="宋体" w:cs="宋体"/>
          <w:kern w:val="0"/>
          <w:szCs w:val="21"/>
          <w:lang w:val="en-US" w:eastAsia="zh-CN"/>
        </w:rPr>
        <w:t>本文件由</w:t>
      </w:r>
      <w:r>
        <w:rPr>
          <w:rFonts w:hint="eastAsia" w:ascii="宋体" w:hAnsi="宋体" w:cs="宋体"/>
          <w:kern w:val="0"/>
          <w:szCs w:val="21"/>
          <w:lang w:val="en-US" w:eastAsia="zh-CN"/>
        </w:rPr>
        <w:t>苏州市档案局</w:t>
      </w:r>
      <w:r>
        <w:rPr>
          <w:rFonts w:hint="eastAsia" w:ascii="宋体" w:hAnsi="宋体" w:eastAsia="宋体" w:cs="宋体"/>
          <w:kern w:val="0"/>
          <w:szCs w:val="21"/>
        </w:rPr>
        <w:t>提出</w:t>
      </w:r>
      <w:r>
        <w:rPr>
          <w:rFonts w:hint="eastAsia" w:ascii="宋体" w:hAnsi="宋体" w:cs="宋体"/>
          <w:kern w:val="0"/>
          <w:szCs w:val="21"/>
          <w:lang w:eastAsia="zh-CN"/>
        </w:rPr>
        <w:t>并归口</w:t>
      </w:r>
      <w:r>
        <w:rPr>
          <w:rFonts w:hint="eastAsia" w:ascii="宋体" w:hAnsi="宋体" w:eastAsia="宋体" w:cs="宋体"/>
          <w:kern w:val="0"/>
          <w:szCs w:val="21"/>
          <w:lang w:eastAsia="zh-CN"/>
        </w:rPr>
        <w:t>。</w:t>
      </w:r>
    </w:p>
    <w:p>
      <w:pPr>
        <w:keepNext w:val="0"/>
        <w:keepLines w:val="0"/>
        <w:pageBreakBefore w:val="0"/>
        <w:shd w:val="clear"/>
        <w:kinsoku/>
        <w:overflowPunct/>
        <w:topLinePunct w:val="0"/>
        <w:bidi w:val="0"/>
        <w:snapToGrid w:val="0"/>
        <w:ind w:firstLine="420" w:firstLineChars="200"/>
        <w:textAlignment w:val="auto"/>
        <w:outlineLvl w:val="9"/>
        <w:rPr>
          <w:rFonts w:hint="eastAsia" w:ascii="宋体" w:hAnsi="宋体" w:eastAsia="宋体" w:cs="宋体"/>
          <w:kern w:val="0"/>
          <w:szCs w:val="21"/>
          <w:lang w:val="en-US" w:eastAsia="zh-CN"/>
        </w:rPr>
      </w:pPr>
      <w:r>
        <w:rPr>
          <w:rFonts w:hint="eastAsia" w:ascii="宋体" w:hAnsi="宋体" w:eastAsia="宋体" w:cs="宋体"/>
          <w:kern w:val="0"/>
          <w:szCs w:val="21"/>
        </w:rPr>
        <w:t>本文件起草单位：</w:t>
      </w:r>
      <w:bookmarkStart w:id="163" w:name="_GoBack"/>
      <w:r>
        <w:rPr>
          <w:rFonts w:hint="eastAsia" w:ascii="宋体" w:hAnsi="宋体" w:eastAsia="宋体" w:cs="宋体"/>
          <w:kern w:val="0"/>
          <w:szCs w:val="21"/>
          <w:lang w:val="en-US" w:eastAsia="zh-CN"/>
        </w:rPr>
        <w:t>苏州市档案学会、中国人民大学信息</w:t>
      </w:r>
      <w:r>
        <w:rPr>
          <w:rFonts w:hint="eastAsia" w:ascii="宋体" w:hAnsi="宋体" w:cs="宋体"/>
          <w:kern w:val="0"/>
          <w:szCs w:val="21"/>
          <w:lang w:val="en-US" w:eastAsia="zh-CN"/>
        </w:rPr>
        <w:t>资源</w:t>
      </w:r>
      <w:r>
        <w:rPr>
          <w:rFonts w:hint="eastAsia" w:ascii="宋体" w:hAnsi="宋体" w:eastAsia="宋体" w:cs="宋体"/>
          <w:kern w:val="0"/>
          <w:szCs w:val="21"/>
          <w:lang w:val="en-US" w:eastAsia="zh-CN"/>
        </w:rPr>
        <w:t>管理学院、苏州市档案馆、苏州君欣悦企业管理服务有限公司</w:t>
      </w:r>
      <w:bookmarkEnd w:id="163"/>
      <w:r>
        <w:rPr>
          <w:rFonts w:hint="eastAsia" w:ascii="宋体" w:hAnsi="宋体" w:eastAsia="宋体" w:cs="宋体"/>
          <w:kern w:val="0"/>
          <w:szCs w:val="21"/>
          <w:lang w:val="en-US" w:eastAsia="zh-CN"/>
        </w:rPr>
        <w:t>。</w:t>
      </w:r>
    </w:p>
    <w:p>
      <w:pPr>
        <w:keepNext w:val="0"/>
        <w:keepLines w:val="0"/>
        <w:pageBreakBefore w:val="0"/>
        <w:shd w:val="clear"/>
        <w:kinsoku/>
        <w:overflowPunct/>
        <w:topLinePunct w:val="0"/>
        <w:bidi w:val="0"/>
        <w:snapToGrid w:val="0"/>
        <w:ind w:firstLine="420" w:firstLineChars="200"/>
        <w:textAlignment w:val="auto"/>
        <w:outlineLvl w:val="9"/>
        <w:rPr>
          <w:rFonts w:hint="eastAsia" w:ascii="宋体" w:hAnsi="宋体" w:eastAsia="宋体" w:cs="宋体"/>
          <w:kern w:val="0"/>
          <w:szCs w:val="21"/>
          <w:lang w:val="en-US" w:eastAsia="zh-CN"/>
        </w:rPr>
      </w:pPr>
      <w:r>
        <w:rPr>
          <w:rFonts w:hint="eastAsia" w:ascii="宋体" w:hAnsi="宋体" w:eastAsia="宋体" w:cs="宋体"/>
          <w:kern w:val="0"/>
          <w:szCs w:val="21"/>
        </w:rPr>
        <w:t>本文件主要起草人：</w:t>
      </w:r>
      <w:r>
        <w:rPr>
          <w:rFonts w:hint="eastAsia" w:ascii="宋体" w:hAnsi="宋体" w:eastAsia="宋体" w:cs="宋体"/>
          <w:kern w:val="0"/>
          <w:szCs w:val="21"/>
          <w:lang w:val="en-US" w:eastAsia="zh-CN"/>
        </w:rPr>
        <w:t>吴飞、徐拥军、谈隽、徐诗成、李孟秋、柴兴转</w:t>
      </w:r>
      <w:r>
        <w:rPr>
          <w:rFonts w:hint="eastAsia" w:ascii="宋体" w:hAnsi="宋体" w:cs="宋体"/>
          <w:kern w:val="0"/>
          <w:szCs w:val="21"/>
          <w:lang w:val="en-US" w:eastAsia="zh-CN"/>
        </w:rPr>
        <w:t>、</w:t>
      </w:r>
      <w:r>
        <w:rPr>
          <w:rFonts w:hint="eastAsia" w:ascii="宋体" w:hAnsi="宋体" w:eastAsia="宋体" w:cs="宋体"/>
          <w:kern w:val="0"/>
          <w:szCs w:val="21"/>
          <w:lang w:val="en-US" w:eastAsia="zh-CN"/>
        </w:rPr>
        <w:t>吴伟刚、卜鉴民。</w:t>
      </w:r>
    </w:p>
    <w:p>
      <w:pPr>
        <w:pStyle w:val="2"/>
      </w:pPr>
    </w:p>
    <w:p>
      <w:pPr>
        <w:keepNext w:val="0"/>
        <w:keepLines w:val="0"/>
        <w:pageBreakBefore w:val="0"/>
        <w:kinsoku/>
        <w:overflowPunct/>
        <w:topLinePunct w:val="0"/>
        <w:bidi w:val="0"/>
        <w:snapToGrid w:val="0"/>
        <w:ind w:firstLine="420" w:firstLineChars="200"/>
        <w:textAlignment w:val="auto"/>
        <w:outlineLvl w:val="9"/>
        <w:rPr>
          <w:rFonts w:ascii="宋体" w:hAnsi="宋体" w:eastAsia="宋体" w:cs="宋体"/>
          <w:kern w:val="0"/>
          <w:szCs w:val="21"/>
        </w:rPr>
        <w:sectPr>
          <w:headerReference r:id="rId10" w:type="default"/>
          <w:footerReference r:id="rId12" w:type="default"/>
          <w:headerReference r:id="rId11" w:type="even"/>
          <w:footerReference r:id="rId13" w:type="even"/>
          <w:pgSz w:w="11906" w:h="16838"/>
          <w:pgMar w:top="1417" w:right="1134" w:bottom="1134" w:left="1418" w:header="1417" w:footer="1134" w:gutter="0"/>
          <w:pgNumType w:fmt="upperRoman" w:start="2"/>
          <w:cols w:space="425" w:num="1"/>
          <w:docGrid w:type="lines" w:linePitch="312" w:charSpace="0"/>
        </w:sectPr>
      </w:pPr>
    </w:p>
    <w:p>
      <w:pPr>
        <w:pStyle w:val="2"/>
      </w:pPr>
    </w:p>
    <w:p>
      <w:pPr>
        <w:keepNext w:val="0"/>
        <w:keepLines w:val="0"/>
        <w:pageBreakBefore w:val="0"/>
        <w:kinsoku/>
        <w:overflowPunct/>
        <w:topLinePunct w:val="0"/>
        <w:bidi w:val="0"/>
        <w:snapToGrid w:val="0"/>
        <w:ind w:firstLine="420" w:firstLineChars="200"/>
        <w:textAlignment w:val="auto"/>
        <w:outlineLvl w:val="9"/>
        <w:rPr>
          <w:rFonts w:ascii="宋体" w:hAnsi="宋体" w:eastAsia="宋体" w:cs="宋体"/>
          <w:kern w:val="0"/>
          <w:szCs w:val="21"/>
        </w:rPr>
        <w:sectPr>
          <w:headerReference r:id="rId14" w:type="default"/>
          <w:footerReference r:id="rId16" w:type="default"/>
          <w:headerReference r:id="rId15" w:type="even"/>
          <w:footerReference r:id="rId17" w:type="even"/>
          <w:pgSz w:w="11906" w:h="16838"/>
          <w:pgMar w:top="567" w:right="850" w:bottom="1134" w:left="1418" w:header="1417" w:footer="1134" w:gutter="0"/>
          <w:pgNumType w:fmt="upperRoman" w:start="2"/>
          <w:cols w:space="425" w:num="1"/>
          <w:docGrid w:type="lines" w:linePitch="312" w:charSpace="0"/>
        </w:sectPr>
      </w:pPr>
    </w:p>
    <w:p>
      <w:pPr>
        <w:widowControl/>
        <w:spacing w:before="567" w:after="680"/>
        <w:jc w:val="center"/>
        <w:rPr>
          <w:rFonts w:hint="eastAsia" w:ascii="黑体" w:hAnsi="宋体" w:eastAsia="黑体" w:cstheme="minorBidi"/>
          <w:sz w:val="32"/>
          <w:szCs w:val="32"/>
          <w:lang w:val="en-US" w:eastAsia="zh-CN"/>
        </w:rPr>
      </w:pPr>
      <w:r>
        <w:rPr>
          <w:rFonts w:hint="eastAsia" w:ascii="黑体" w:hAnsi="宋体" w:eastAsia="黑体" w:cstheme="minorBidi"/>
          <w:sz w:val="32"/>
          <w:szCs w:val="32"/>
          <w:lang w:val="en-US" w:eastAsia="zh-CN"/>
        </w:rPr>
        <w:t>档案服务外包项目监理工作规范</w:t>
      </w:r>
    </w:p>
    <w:p>
      <w:pPr>
        <w:pStyle w:val="29"/>
        <w:spacing w:before="312" w:after="312"/>
        <w:rPr>
          <w:rFonts w:hint="eastAsia"/>
        </w:rPr>
      </w:pPr>
      <w:bookmarkStart w:id="3" w:name="_Toc48028397"/>
      <w:bookmarkStart w:id="4" w:name="_Toc10375"/>
      <w:bookmarkStart w:id="5" w:name="_Toc87811223"/>
      <w:bookmarkStart w:id="6" w:name="_Toc48028304"/>
      <w:bookmarkStart w:id="7" w:name="_Toc122448156"/>
      <w:bookmarkStart w:id="8" w:name="_Toc87811368"/>
      <w:bookmarkStart w:id="9" w:name="_Toc66965087"/>
      <w:bookmarkStart w:id="10" w:name="_Toc51147912"/>
      <w:bookmarkStart w:id="11" w:name="_Toc21213"/>
      <w:bookmarkStart w:id="12" w:name="_Toc48049835"/>
      <w:bookmarkStart w:id="13" w:name="_Toc47964470"/>
      <w:bookmarkStart w:id="14" w:name="_Toc67393169"/>
      <w:bookmarkStart w:id="15" w:name="_Toc46494722"/>
      <w:bookmarkStart w:id="16" w:name="_Toc47973642"/>
      <w:bookmarkStart w:id="17" w:name="_Toc40454690"/>
      <w:bookmarkStart w:id="18" w:name="_Toc47973431"/>
      <w:bookmarkStart w:id="19" w:name="_Toc48050151"/>
      <w:bookmarkStart w:id="20" w:name="_Toc48572088"/>
      <w:bookmarkStart w:id="21" w:name="_Toc47964512"/>
      <w:bookmarkStart w:id="22" w:name="_Toc51663569"/>
      <w:bookmarkStart w:id="23" w:name="_Toc30515"/>
      <w:bookmarkStart w:id="24" w:name="_Toc115339701"/>
      <w:bookmarkStart w:id="25" w:name="_Toc48569571"/>
      <w:bookmarkStart w:id="26" w:name="_Toc15741"/>
      <w:bookmarkStart w:id="27" w:name="_Toc67401897"/>
      <w:bookmarkStart w:id="28" w:name="_Toc29165"/>
      <w:r>
        <w:rPr>
          <w:rFonts w:hint="eastAsia"/>
        </w:rPr>
        <w:t>范围</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36"/>
        <w:keepNext w:val="0"/>
        <w:keepLines w:val="0"/>
        <w:pageBreakBefore w:val="0"/>
        <w:kinsoku/>
        <w:overflowPunct/>
        <w:topLinePunct w:val="0"/>
        <w:bidi w:val="0"/>
        <w:textAlignment w:val="auto"/>
        <w:outlineLvl w:val="9"/>
        <w:rPr>
          <w:rFonts w:hint="eastAsia"/>
        </w:rPr>
      </w:pPr>
      <w:r>
        <w:rPr>
          <w:rFonts w:hint="eastAsia"/>
          <w:lang w:val="en-US" w:eastAsia="zh-CN"/>
        </w:rPr>
        <w:t>本文件规定了档案服务外包项目监理工作的</w:t>
      </w:r>
      <w:r>
        <w:rPr>
          <w:rFonts w:hint="eastAsia" w:asciiTheme="minorEastAsia" w:hAnsiTheme="minorEastAsia" w:eastAsiaTheme="minorEastAsia" w:cstheme="minorEastAsia"/>
          <w:sz w:val="21"/>
          <w:szCs w:val="21"/>
        </w:rPr>
        <w:t>总体要求</w:t>
      </w:r>
      <w:r>
        <w:rPr>
          <w:rFonts w:hint="eastAsia"/>
          <w:lang w:val="en-US" w:eastAsia="zh-CN"/>
        </w:rPr>
        <w:t>、</w:t>
      </w:r>
      <w:r>
        <w:rPr>
          <w:rFonts w:hint="eastAsia" w:asciiTheme="minorEastAsia" w:hAnsiTheme="minorEastAsia" w:eastAsiaTheme="minorEastAsia" w:cstheme="minorEastAsia"/>
          <w:sz w:val="21"/>
          <w:szCs w:val="21"/>
          <w:lang w:val="en-US" w:eastAsia="zh-CN"/>
        </w:rPr>
        <w:t>档案监理范围、工作模型、监理方、监理准备、监理实施和评价与改进</w:t>
      </w:r>
      <w:r>
        <w:rPr>
          <w:rFonts w:hint="eastAsia"/>
          <w:lang w:val="en-US" w:eastAsia="zh-CN"/>
        </w:rPr>
        <w:t>。</w:t>
      </w:r>
    </w:p>
    <w:p>
      <w:pPr>
        <w:pStyle w:val="36"/>
        <w:keepNext w:val="0"/>
        <w:keepLines w:val="0"/>
        <w:pageBreakBefore w:val="0"/>
        <w:kinsoku/>
        <w:overflowPunct/>
        <w:topLinePunct w:val="0"/>
        <w:bidi w:val="0"/>
        <w:textAlignment w:val="auto"/>
        <w:outlineLvl w:val="9"/>
        <w:rPr>
          <w:rFonts w:hint="eastAsia"/>
          <w:lang w:val="en-US" w:eastAsia="zh-CN"/>
        </w:rPr>
      </w:pPr>
      <w:r>
        <w:rPr>
          <w:rFonts w:hint="eastAsia"/>
          <w:lang w:val="en-US" w:eastAsia="zh-CN"/>
        </w:rPr>
        <w:t>本文件适用于机关、企事业单位和其他社会组织开展的档案服务外包项目监理工作。</w:t>
      </w:r>
    </w:p>
    <w:p>
      <w:pPr>
        <w:pStyle w:val="29"/>
        <w:keepNext w:val="0"/>
        <w:keepLines w:val="0"/>
        <w:pageBreakBefore w:val="0"/>
        <w:widowControl/>
        <w:kinsoku/>
        <w:wordWrap/>
        <w:overflowPunct/>
        <w:topLinePunct w:val="0"/>
        <w:autoSpaceDE/>
        <w:autoSpaceDN/>
        <w:bidi w:val="0"/>
        <w:adjustRightInd/>
        <w:snapToGrid/>
        <w:spacing w:before="312" w:after="312"/>
        <w:textAlignment w:val="auto"/>
        <w:outlineLvl w:val="0"/>
        <w:rPr>
          <w:rFonts w:hint="eastAsia"/>
        </w:rPr>
      </w:pPr>
      <w:bookmarkStart w:id="29" w:name="_Toc48050152"/>
      <w:bookmarkStart w:id="30" w:name="_Toc29099"/>
      <w:bookmarkStart w:id="31" w:name="_Toc48049836"/>
      <w:bookmarkStart w:id="32" w:name="_Toc27351"/>
      <w:bookmarkStart w:id="33" w:name="_Toc115339702"/>
      <w:bookmarkStart w:id="34" w:name="_Toc67393170"/>
      <w:bookmarkStart w:id="35" w:name="_Toc48028305"/>
      <w:bookmarkStart w:id="36" w:name="_Toc47964471"/>
      <w:bookmarkStart w:id="37" w:name="_Toc51147913"/>
      <w:bookmarkStart w:id="38" w:name="_Toc48569572"/>
      <w:bookmarkStart w:id="39" w:name="_Toc67401898"/>
      <w:bookmarkStart w:id="40" w:name="_Toc48028398"/>
      <w:bookmarkStart w:id="41" w:name="_Toc48572089"/>
      <w:bookmarkStart w:id="42" w:name="_Toc46494723"/>
      <w:bookmarkStart w:id="43" w:name="_Toc47973643"/>
      <w:bookmarkStart w:id="44" w:name="_Toc51663570"/>
      <w:bookmarkStart w:id="45" w:name="_Toc122448157"/>
      <w:bookmarkStart w:id="46" w:name="_Toc5397"/>
      <w:bookmarkStart w:id="47" w:name="_Toc66965088"/>
      <w:bookmarkStart w:id="48" w:name="_Toc47964513"/>
      <w:bookmarkStart w:id="49" w:name="_Toc27904"/>
      <w:bookmarkStart w:id="50" w:name="_Toc47973432"/>
      <w:bookmarkStart w:id="51" w:name="_Toc40454691"/>
      <w:bookmarkStart w:id="52" w:name="_Toc87811224"/>
      <w:bookmarkStart w:id="53" w:name="_Toc87811369"/>
      <w:bookmarkStart w:id="54" w:name="_Toc9792"/>
      <w:r>
        <w:rPr>
          <w:rFonts w:hint="eastAsia"/>
        </w:rPr>
        <w:t>规范性引用文件</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36"/>
        <w:keepNext w:val="0"/>
        <w:keepLines w:val="0"/>
        <w:pageBreakBefore w:val="0"/>
        <w:kinsoku/>
        <w:overflowPunct/>
        <w:topLinePunct w:val="0"/>
        <w:bidi w:val="0"/>
        <w:textAlignment w:val="auto"/>
        <w:outlineLvl w:val="9"/>
        <w:rPr>
          <w:rFonts w:hint="eastAsia"/>
        </w:rPr>
      </w:pPr>
      <w:r>
        <w:rPr>
          <w:rFonts w:hint="eastAsia"/>
          <w:lang w:val="en-US" w:eastAsia="zh-CN"/>
        </w:rPr>
        <w:t>下列文件中的内容通过文中的规范性引用而构成本文件必不可少的条款。其中，注日期的引用文件，仅该日期对应的版本适用于本文件；不注日期的引用文件，其最新版本（包括所有的修改单）适用于本文件。</w:t>
      </w:r>
    </w:p>
    <w:p>
      <w:pPr>
        <w:pStyle w:val="36"/>
        <w:keepNext w:val="0"/>
        <w:keepLines w:val="0"/>
        <w:pageBreakBefore w:val="0"/>
        <w:kinsoku/>
        <w:overflowPunct/>
        <w:topLinePunct w:val="0"/>
        <w:bidi w:val="0"/>
        <w:textAlignment w:val="auto"/>
        <w:outlineLvl w:val="9"/>
        <w:rPr>
          <w:rFonts w:hint="eastAsia"/>
        </w:rPr>
      </w:pPr>
      <w:r>
        <w:rPr>
          <w:rFonts w:hint="eastAsia"/>
        </w:rPr>
        <w:t>GB/T 19668.1</w:t>
      </w:r>
      <w:r>
        <w:rPr>
          <w:rFonts w:hint="eastAsia"/>
          <w:lang w:val="en-US" w:eastAsia="zh-CN"/>
        </w:rPr>
        <w:t xml:space="preserve">  信息技术服务 监理</w:t>
      </w:r>
      <w:r>
        <w:rPr>
          <w:rFonts w:hint="eastAsia"/>
        </w:rPr>
        <w:t xml:space="preserve"> 第1部分：总则</w:t>
      </w:r>
    </w:p>
    <w:p>
      <w:pPr>
        <w:pStyle w:val="36"/>
        <w:keepNext w:val="0"/>
        <w:keepLines w:val="0"/>
        <w:pageBreakBefore w:val="0"/>
        <w:kinsoku/>
        <w:overflowPunct/>
        <w:topLinePunct w:val="0"/>
        <w:bidi w:val="0"/>
        <w:textAlignment w:val="auto"/>
        <w:outlineLvl w:val="9"/>
        <w:rPr>
          <w:rFonts w:hint="eastAsia"/>
          <w:lang w:val="en-US" w:eastAsia="zh-CN"/>
        </w:rPr>
      </w:pPr>
      <w:r>
        <w:rPr>
          <w:rFonts w:hint="eastAsia"/>
        </w:rPr>
        <w:t>DA/T 68</w:t>
      </w:r>
      <w:r>
        <w:rPr>
          <w:rFonts w:hint="eastAsia"/>
          <w:lang w:val="en-US" w:eastAsia="zh-CN"/>
        </w:rPr>
        <w:t xml:space="preserve">.1  </w:t>
      </w:r>
      <w:r>
        <w:rPr>
          <w:rFonts w:hint="eastAsia"/>
        </w:rPr>
        <w:t>档案服务外包工作规范</w:t>
      </w:r>
      <w:r>
        <w:rPr>
          <w:rFonts w:hint="eastAsia"/>
          <w:lang w:val="en-US" w:eastAsia="zh-CN"/>
        </w:rPr>
        <w:t xml:space="preserve"> 第1部分：总则</w:t>
      </w:r>
    </w:p>
    <w:p>
      <w:pPr>
        <w:pStyle w:val="29"/>
        <w:keepNext w:val="0"/>
        <w:keepLines w:val="0"/>
        <w:pageBreakBefore w:val="0"/>
        <w:widowControl/>
        <w:kinsoku/>
        <w:wordWrap/>
        <w:overflowPunct/>
        <w:topLinePunct w:val="0"/>
        <w:autoSpaceDE/>
        <w:autoSpaceDN/>
        <w:bidi w:val="0"/>
        <w:adjustRightInd/>
        <w:snapToGrid/>
        <w:spacing w:before="312" w:after="312"/>
        <w:textAlignment w:val="auto"/>
        <w:outlineLvl w:val="0"/>
        <w:rPr>
          <w:rFonts w:hint="eastAsia"/>
          <w:szCs w:val="21"/>
        </w:rPr>
      </w:pPr>
      <w:bookmarkStart w:id="55" w:name="_Toc67401899"/>
      <w:bookmarkStart w:id="56" w:name="_Toc87811370"/>
      <w:bookmarkStart w:id="57" w:name="_Toc87811225"/>
      <w:bookmarkStart w:id="58" w:name="_Toc122448158"/>
      <w:bookmarkStart w:id="59" w:name="_Toc115339703"/>
      <w:bookmarkStart w:id="60" w:name="_Toc67393171"/>
      <w:bookmarkStart w:id="61" w:name="_Toc2402"/>
      <w:r>
        <w:rPr>
          <w:rFonts w:hint="eastAsia"/>
          <w:szCs w:val="21"/>
        </w:rPr>
        <w:t>术语和定义</w:t>
      </w:r>
      <w:bookmarkEnd w:id="55"/>
      <w:bookmarkEnd w:id="56"/>
      <w:bookmarkEnd w:id="57"/>
      <w:bookmarkEnd w:id="58"/>
      <w:bookmarkEnd w:id="59"/>
      <w:bookmarkEnd w:id="60"/>
      <w:bookmarkEnd w:id="61"/>
    </w:p>
    <w:p>
      <w:pPr>
        <w:pStyle w:val="36"/>
        <w:keepNext w:val="0"/>
        <w:keepLines w:val="0"/>
        <w:pageBreakBefore w:val="0"/>
        <w:kinsoku/>
        <w:overflowPunct/>
        <w:topLinePunct w:val="0"/>
        <w:bidi w:val="0"/>
        <w:textAlignment w:val="auto"/>
        <w:outlineLvl w:val="9"/>
        <w:rPr>
          <w:rFonts w:hint="eastAsia"/>
        </w:rPr>
      </w:pPr>
      <w:r>
        <w:rPr>
          <w:rFonts w:hint="eastAsia"/>
        </w:rPr>
        <w:t>下列术语和定义适用于本文件。</w:t>
      </w:r>
    </w:p>
    <w:p>
      <w:pPr>
        <w:pStyle w:val="26"/>
        <w:keepNext w:val="0"/>
        <w:keepLines w:val="0"/>
        <w:pageBreakBefore w:val="0"/>
        <w:kinsoku/>
        <w:overflowPunct/>
        <w:topLinePunct w:val="0"/>
        <w:bidi w:val="0"/>
        <w:ind w:left="420" w:hanging="420" w:hangingChars="200"/>
        <w:textAlignment w:val="auto"/>
        <w:outlineLvl w:val="9"/>
        <w:rPr>
          <w:rFonts w:hint="eastAsia" w:ascii="黑体" w:hAnsi="黑体" w:eastAsia="黑体"/>
        </w:rPr>
      </w:pPr>
    </w:p>
    <w:p>
      <w:pPr>
        <w:pStyle w:val="26"/>
        <w:keepNext w:val="0"/>
        <w:keepLines w:val="0"/>
        <w:pageBreakBefore w:val="0"/>
        <w:numPr>
          <w:ilvl w:val="0"/>
          <w:numId w:val="0"/>
        </w:numPr>
        <w:kinsoku/>
        <w:overflowPunct/>
        <w:topLinePunct w:val="0"/>
        <w:bidi w:val="0"/>
        <w:ind w:left="420"/>
        <w:textAlignment w:val="auto"/>
        <w:outlineLvl w:val="9"/>
        <w:rPr>
          <w:rFonts w:hint="default" w:ascii="黑体" w:hAnsi="黑体" w:eastAsia="黑体"/>
          <w:highlight w:val="none"/>
          <w:lang w:val="en-US" w:eastAsia="zh-CN"/>
        </w:rPr>
      </w:pPr>
      <w:r>
        <w:rPr>
          <w:rFonts w:hint="eastAsia" w:ascii="黑体" w:hAnsi="黑体" w:eastAsia="黑体"/>
          <w:highlight w:val="none"/>
          <w:lang w:val="en-US" w:eastAsia="zh-CN"/>
        </w:rPr>
        <w:t>监理  supervision</w:t>
      </w:r>
    </w:p>
    <w:p>
      <w:pPr>
        <w:pStyle w:val="36"/>
        <w:keepNext w:val="0"/>
        <w:keepLines w:val="0"/>
        <w:pageBreakBefore w:val="0"/>
        <w:kinsoku/>
        <w:overflowPunct/>
        <w:topLinePunct w:val="0"/>
        <w:bidi w:val="0"/>
        <w:textAlignment w:val="auto"/>
        <w:outlineLvl w:val="9"/>
        <w:rPr>
          <w:rFonts w:hint="eastAsia"/>
          <w:lang w:val="en-US" w:eastAsia="zh-CN"/>
        </w:rPr>
      </w:pPr>
      <w:r>
        <w:rPr>
          <w:rFonts w:hint="eastAsia"/>
          <w:lang w:val="en-US" w:eastAsia="zh-CN"/>
        </w:rPr>
        <w:t>执行者根据一定的行为准则，对某些业务行为进行监督管理，使这些行为符合相应准则和合约要求，以协助行为主体实现其行为目的的活动。</w:t>
      </w:r>
    </w:p>
    <w:p>
      <w:pPr>
        <w:pStyle w:val="26"/>
        <w:keepNext w:val="0"/>
        <w:keepLines w:val="0"/>
        <w:pageBreakBefore w:val="0"/>
        <w:kinsoku/>
        <w:overflowPunct/>
        <w:topLinePunct w:val="0"/>
        <w:bidi w:val="0"/>
        <w:ind w:left="420" w:hanging="420" w:hangingChars="200"/>
        <w:textAlignment w:val="auto"/>
        <w:outlineLvl w:val="9"/>
        <w:rPr>
          <w:rFonts w:hint="eastAsia" w:ascii="黑体" w:hAnsi="黑体" w:eastAsia="黑体"/>
        </w:rPr>
      </w:pPr>
      <w:bookmarkStart w:id="62" w:name="_Toc67393172"/>
      <w:bookmarkEnd w:id="62"/>
      <w:bookmarkStart w:id="63" w:name="_Toc500938708"/>
      <w:bookmarkEnd w:id="63"/>
      <w:bookmarkStart w:id="64" w:name="_Toc502157201"/>
      <w:bookmarkEnd w:id="64"/>
      <w:bookmarkStart w:id="65" w:name="_Toc87811226"/>
      <w:bookmarkEnd w:id="65"/>
      <w:bookmarkStart w:id="66" w:name="_Toc67401900"/>
      <w:bookmarkEnd w:id="66"/>
      <w:bookmarkStart w:id="67" w:name="_Toc87811371"/>
      <w:bookmarkEnd w:id="67"/>
      <w:bookmarkStart w:id="68" w:name="_Toc500955126"/>
      <w:bookmarkEnd w:id="68"/>
    </w:p>
    <w:p>
      <w:pPr>
        <w:pStyle w:val="26"/>
        <w:keepNext w:val="0"/>
        <w:keepLines w:val="0"/>
        <w:pageBreakBefore w:val="0"/>
        <w:numPr>
          <w:ilvl w:val="0"/>
          <w:numId w:val="0"/>
        </w:numPr>
        <w:kinsoku/>
        <w:overflowPunct/>
        <w:topLinePunct w:val="0"/>
        <w:bidi w:val="0"/>
        <w:ind w:left="420"/>
        <w:textAlignment w:val="auto"/>
        <w:outlineLvl w:val="9"/>
        <w:rPr>
          <w:rFonts w:hint="eastAsia" w:ascii="黑体" w:hAnsi="黑体" w:eastAsia="黑体"/>
          <w:highlight w:val="none"/>
          <w:lang w:val="en-US" w:eastAsia="zh-CN"/>
        </w:rPr>
      </w:pPr>
      <w:r>
        <w:rPr>
          <w:rFonts w:hint="eastAsia" w:ascii="黑体" w:hAnsi="黑体" w:eastAsia="黑体"/>
          <w:highlight w:val="none"/>
          <w:lang w:val="en-US" w:eastAsia="zh-CN"/>
        </w:rPr>
        <w:t>档案服务外包项目  archives service outsourcing project</w:t>
      </w:r>
    </w:p>
    <w:p>
      <w:pPr>
        <w:pStyle w:val="36"/>
        <w:keepNext w:val="0"/>
        <w:keepLines w:val="0"/>
        <w:pageBreakBefore w:val="0"/>
        <w:kinsoku/>
        <w:overflowPunct/>
        <w:topLinePunct w:val="0"/>
        <w:bidi w:val="0"/>
        <w:textAlignment w:val="auto"/>
        <w:outlineLvl w:val="9"/>
        <w:rPr>
          <w:rFonts w:hint="eastAsia"/>
          <w:lang w:val="en-US" w:eastAsia="zh-CN"/>
        </w:rPr>
      </w:pPr>
      <w:r>
        <w:rPr>
          <w:rFonts w:hint="eastAsia"/>
          <w:lang w:val="en-US" w:eastAsia="zh-CN"/>
        </w:rPr>
        <w:t>某一机构将不属于国家法律法规限制范围内的档案，以项目形式外包给其他机构进行管理，委托其为本机构提供档案服务的行为。</w:t>
      </w:r>
    </w:p>
    <w:p>
      <w:pPr>
        <w:pStyle w:val="26"/>
        <w:keepNext w:val="0"/>
        <w:keepLines w:val="0"/>
        <w:pageBreakBefore w:val="0"/>
        <w:kinsoku/>
        <w:overflowPunct/>
        <w:topLinePunct w:val="0"/>
        <w:bidi w:val="0"/>
        <w:ind w:left="420" w:hanging="420" w:hangingChars="200"/>
        <w:textAlignment w:val="auto"/>
        <w:outlineLvl w:val="9"/>
        <w:rPr>
          <w:rFonts w:hint="eastAsia" w:ascii="黑体" w:hAnsi="黑体" w:eastAsia="黑体"/>
        </w:rPr>
      </w:pPr>
    </w:p>
    <w:p>
      <w:pPr>
        <w:pStyle w:val="26"/>
        <w:keepNext w:val="0"/>
        <w:keepLines w:val="0"/>
        <w:pageBreakBefore w:val="0"/>
        <w:numPr>
          <w:ilvl w:val="0"/>
          <w:numId w:val="0"/>
        </w:numPr>
        <w:kinsoku/>
        <w:overflowPunct/>
        <w:topLinePunct w:val="0"/>
        <w:bidi w:val="0"/>
        <w:ind w:left="420"/>
        <w:textAlignment w:val="auto"/>
        <w:outlineLvl w:val="9"/>
        <w:rPr>
          <w:rFonts w:hint="eastAsia" w:ascii="黑体" w:hAnsi="黑体" w:eastAsia="黑体"/>
          <w:highlight w:val="none"/>
          <w:lang w:val="en-US" w:eastAsia="zh-CN"/>
        </w:rPr>
      </w:pPr>
      <w:r>
        <w:rPr>
          <w:rFonts w:hint="eastAsia" w:ascii="黑体" w:hAnsi="黑体" w:eastAsia="黑体"/>
          <w:highlight w:val="none"/>
          <w:lang w:val="en-US" w:eastAsia="zh-CN"/>
        </w:rPr>
        <w:t>档案监理  archival supervision</w:t>
      </w:r>
    </w:p>
    <w:p>
      <w:pPr>
        <w:pStyle w:val="36"/>
        <w:keepNext w:val="0"/>
        <w:keepLines w:val="0"/>
        <w:pageBreakBefore w:val="0"/>
        <w:kinsoku/>
        <w:overflowPunct/>
        <w:topLinePunct w:val="0"/>
        <w:bidi w:val="0"/>
        <w:textAlignment w:val="auto"/>
        <w:outlineLvl w:val="9"/>
        <w:rPr>
          <w:rFonts w:hint="eastAsia"/>
          <w:lang w:val="en-US" w:eastAsia="zh-CN"/>
        </w:rPr>
      </w:pPr>
      <w:r>
        <w:rPr>
          <w:rFonts w:hint="eastAsia"/>
          <w:lang w:val="en-US" w:eastAsia="zh-CN"/>
        </w:rPr>
        <w:t>具有合法资质的档案监理单位，依据国家有关法律法规标准、档案服务外包监理合同等，在档案服务外包项目（3.2）实施的各阶段内对其开展质量控制、经费控制、进度控制和合同管理、信息管理、安全生产管理以及协调相关方关系，并达标完成档案服务外包项目任务的服务活动。本文件中，档案监理是对档案服务外包项目监理的简称。</w:t>
      </w:r>
    </w:p>
    <w:p>
      <w:pPr>
        <w:pStyle w:val="26"/>
        <w:keepNext w:val="0"/>
        <w:keepLines w:val="0"/>
        <w:pageBreakBefore w:val="0"/>
        <w:kinsoku/>
        <w:overflowPunct/>
        <w:topLinePunct w:val="0"/>
        <w:bidi w:val="0"/>
        <w:ind w:left="420" w:hanging="420" w:hangingChars="200"/>
        <w:textAlignment w:val="auto"/>
        <w:outlineLvl w:val="9"/>
        <w:rPr>
          <w:rFonts w:hint="eastAsia" w:ascii="黑体" w:hAnsi="黑体" w:eastAsia="黑体"/>
        </w:rPr>
      </w:pPr>
    </w:p>
    <w:p>
      <w:pPr>
        <w:pStyle w:val="26"/>
        <w:keepNext w:val="0"/>
        <w:keepLines w:val="0"/>
        <w:pageBreakBefore w:val="0"/>
        <w:numPr>
          <w:ilvl w:val="0"/>
          <w:numId w:val="0"/>
        </w:numPr>
        <w:kinsoku/>
        <w:overflowPunct/>
        <w:topLinePunct w:val="0"/>
        <w:bidi w:val="0"/>
        <w:ind w:left="420"/>
        <w:textAlignment w:val="auto"/>
        <w:outlineLvl w:val="9"/>
        <w:rPr>
          <w:rFonts w:hint="default" w:ascii="黑体" w:hAnsi="黑体" w:eastAsia="黑体"/>
          <w:highlight w:val="none"/>
          <w:lang w:val="en-US" w:eastAsia="zh-CN"/>
        </w:rPr>
      </w:pPr>
      <w:r>
        <w:rPr>
          <w:rFonts w:hint="eastAsia" w:ascii="黑体" w:hAnsi="黑体" w:eastAsia="黑体"/>
          <w:highlight w:val="none"/>
          <w:lang w:val="en-US" w:eastAsia="zh-CN"/>
        </w:rPr>
        <w:t>监理方  s</w:t>
      </w:r>
      <w:r>
        <w:rPr>
          <w:rFonts w:hint="default" w:ascii="黑体" w:hAnsi="黑体" w:eastAsia="黑体"/>
          <w:highlight w:val="none"/>
          <w:lang w:val="en-US" w:eastAsia="zh-CN"/>
        </w:rPr>
        <w:t>upervis</w:t>
      </w:r>
      <w:r>
        <w:rPr>
          <w:rFonts w:hint="eastAsia" w:ascii="黑体" w:hAnsi="黑体" w:eastAsia="黑体"/>
          <w:highlight w:val="none"/>
          <w:lang w:val="en-US" w:eastAsia="zh-CN"/>
        </w:rPr>
        <w:t>or</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outlineLvl w:val="9"/>
        <w:rPr>
          <w:rFonts w:hint="eastAsia" w:ascii="宋体" w:hAnsi="Times New Roman" w:eastAsia="宋体" w:cs="Times New Roman"/>
          <w:kern w:val="0"/>
          <w:sz w:val="21"/>
          <w:szCs w:val="20"/>
          <w:lang w:val="en-US" w:eastAsia="zh-CN" w:bidi="ar-SA"/>
        </w:rPr>
      </w:pPr>
      <w:r>
        <w:rPr>
          <w:rFonts w:hint="eastAsia" w:ascii="宋体" w:hAnsi="Times New Roman" w:eastAsia="宋体" w:cs="Times New Roman"/>
          <w:kern w:val="0"/>
          <w:sz w:val="21"/>
          <w:szCs w:val="20"/>
          <w:lang w:val="en-US" w:eastAsia="zh-CN" w:bidi="ar-SA"/>
        </w:rPr>
        <w:t>依法成立并取得相应监理单位资质，从事档案监理（3.3）与相关服务活动的机构。</w:t>
      </w:r>
    </w:p>
    <w:p>
      <w:pPr>
        <w:pStyle w:val="26"/>
        <w:keepNext w:val="0"/>
        <w:keepLines w:val="0"/>
        <w:pageBreakBefore w:val="0"/>
        <w:kinsoku/>
        <w:overflowPunct/>
        <w:topLinePunct w:val="0"/>
        <w:bidi w:val="0"/>
        <w:ind w:left="420" w:hanging="420" w:hangingChars="200"/>
        <w:textAlignment w:val="auto"/>
        <w:outlineLvl w:val="9"/>
        <w:rPr>
          <w:rFonts w:hint="eastAsia" w:ascii="黑体" w:hAnsi="黑体" w:eastAsia="黑体"/>
        </w:rPr>
      </w:pPr>
    </w:p>
    <w:p>
      <w:pPr>
        <w:pStyle w:val="26"/>
        <w:keepNext w:val="0"/>
        <w:keepLines w:val="0"/>
        <w:pageBreakBefore w:val="0"/>
        <w:numPr>
          <w:ilvl w:val="0"/>
          <w:numId w:val="0"/>
        </w:numPr>
        <w:kinsoku/>
        <w:overflowPunct/>
        <w:topLinePunct w:val="0"/>
        <w:bidi w:val="0"/>
        <w:ind w:left="420"/>
        <w:textAlignment w:val="auto"/>
        <w:outlineLvl w:val="9"/>
        <w:rPr>
          <w:rFonts w:hint="default" w:ascii="黑体" w:hAnsi="黑体" w:eastAsia="黑体"/>
          <w:highlight w:val="none"/>
          <w:lang w:val="en-US" w:eastAsia="zh-CN"/>
        </w:rPr>
      </w:pPr>
      <w:r>
        <w:rPr>
          <w:rFonts w:hint="eastAsia" w:ascii="黑体" w:hAnsi="黑体" w:eastAsia="黑体"/>
          <w:highlight w:val="none"/>
          <w:lang w:val="en-US" w:eastAsia="zh-CN"/>
        </w:rPr>
        <w:t>监理机构  project s</w:t>
      </w:r>
      <w:r>
        <w:rPr>
          <w:rFonts w:hint="default" w:ascii="黑体" w:hAnsi="黑体" w:eastAsia="黑体"/>
          <w:highlight w:val="none"/>
          <w:lang w:val="en-US" w:eastAsia="zh-CN"/>
        </w:rPr>
        <w:t>upervision</w:t>
      </w:r>
      <w:r>
        <w:rPr>
          <w:rFonts w:hint="eastAsia" w:ascii="黑体" w:hAnsi="黑体" w:eastAsia="黑体"/>
          <w:highlight w:val="none"/>
          <w:lang w:val="en-US" w:eastAsia="zh-CN"/>
        </w:rPr>
        <w:t xml:space="preserve"> department</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outlineLvl w:val="9"/>
        <w:rPr>
          <w:rFonts w:hint="eastAsia" w:ascii="宋体" w:hAnsi="Times New Roman" w:eastAsia="宋体" w:cs="Times New Roman"/>
          <w:kern w:val="0"/>
          <w:sz w:val="21"/>
          <w:szCs w:val="20"/>
          <w:lang w:val="en-US" w:eastAsia="zh-CN" w:bidi="ar-SA"/>
        </w:rPr>
      </w:pPr>
      <w:r>
        <w:rPr>
          <w:rFonts w:hint="eastAsia" w:ascii="宋体" w:hAnsi="Times New Roman" w:eastAsia="宋体" w:cs="Times New Roman"/>
          <w:kern w:val="0"/>
          <w:sz w:val="21"/>
          <w:szCs w:val="20"/>
          <w:lang w:val="en-US" w:eastAsia="zh-CN" w:bidi="ar-SA"/>
        </w:rPr>
        <w:t>监理方（3.4）为履行档案服务外包项目监理合同所成立的组织机构。</w:t>
      </w:r>
    </w:p>
    <w:p>
      <w:pPr>
        <w:pStyle w:val="26"/>
        <w:keepNext w:val="0"/>
        <w:keepLines w:val="0"/>
        <w:pageBreakBefore w:val="0"/>
        <w:kinsoku/>
        <w:overflowPunct/>
        <w:topLinePunct w:val="0"/>
        <w:bidi w:val="0"/>
        <w:ind w:left="420" w:hanging="420" w:hangingChars="200"/>
        <w:textAlignment w:val="auto"/>
        <w:outlineLvl w:val="9"/>
        <w:rPr>
          <w:rFonts w:hint="eastAsia" w:ascii="黑体" w:hAnsi="黑体" w:eastAsia="黑体"/>
        </w:rPr>
      </w:pPr>
    </w:p>
    <w:p>
      <w:pPr>
        <w:pStyle w:val="26"/>
        <w:keepNext w:val="0"/>
        <w:keepLines w:val="0"/>
        <w:pageBreakBefore w:val="0"/>
        <w:numPr>
          <w:ilvl w:val="0"/>
          <w:numId w:val="0"/>
        </w:numPr>
        <w:kinsoku/>
        <w:overflowPunct/>
        <w:topLinePunct w:val="0"/>
        <w:bidi w:val="0"/>
        <w:ind w:left="420"/>
        <w:textAlignment w:val="auto"/>
        <w:outlineLvl w:val="9"/>
        <w:rPr>
          <w:rFonts w:hint="eastAsia" w:ascii="黑体" w:hAnsi="黑体" w:eastAsia="黑体"/>
          <w:highlight w:val="none"/>
          <w:lang w:val="en-US" w:eastAsia="zh-CN"/>
        </w:rPr>
      </w:pPr>
      <w:r>
        <w:rPr>
          <w:rFonts w:hint="eastAsia" w:ascii="黑体" w:hAnsi="黑体" w:eastAsia="黑体"/>
          <w:highlight w:val="none"/>
          <w:lang w:val="en-US" w:eastAsia="zh-CN"/>
        </w:rPr>
        <w:t>档案监理工程师  archival s</w:t>
      </w:r>
      <w:r>
        <w:rPr>
          <w:rFonts w:hint="default" w:ascii="黑体" w:hAnsi="黑体" w:eastAsia="黑体"/>
          <w:highlight w:val="none"/>
          <w:lang w:val="en-US" w:eastAsia="zh-CN"/>
        </w:rPr>
        <w:t>upervision</w:t>
      </w:r>
      <w:r>
        <w:rPr>
          <w:rFonts w:hint="eastAsia" w:ascii="黑体" w:hAnsi="黑体" w:eastAsia="黑体"/>
          <w:highlight w:val="none"/>
          <w:lang w:val="en-US" w:eastAsia="zh-CN"/>
        </w:rPr>
        <w:t xml:space="preserve"> engineer</w:t>
      </w:r>
    </w:p>
    <w:p>
      <w:pPr>
        <w:pStyle w:val="36"/>
        <w:keepNext w:val="0"/>
        <w:keepLines w:val="0"/>
        <w:pageBreakBefore w:val="0"/>
        <w:kinsoku/>
        <w:overflowPunct/>
        <w:topLinePunct w:val="0"/>
        <w:bidi w:val="0"/>
        <w:textAlignment w:val="auto"/>
        <w:outlineLvl w:val="9"/>
        <w:rPr>
          <w:rFonts w:hint="eastAsia"/>
          <w:lang w:val="en-US" w:eastAsia="zh-CN"/>
        </w:rPr>
      </w:pPr>
      <w:r>
        <w:rPr>
          <w:rFonts w:hint="eastAsia"/>
          <w:lang w:val="en-US" w:eastAsia="zh-CN"/>
        </w:rPr>
        <w:t>监理方（3.4）为履行档案服务外包项目监理合同所成立的组织机构。</w:t>
      </w:r>
    </w:p>
    <w:p>
      <w:pPr>
        <w:pStyle w:val="26"/>
        <w:keepNext w:val="0"/>
        <w:keepLines w:val="0"/>
        <w:pageBreakBefore w:val="0"/>
        <w:kinsoku/>
        <w:overflowPunct/>
        <w:topLinePunct w:val="0"/>
        <w:bidi w:val="0"/>
        <w:ind w:left="420" w:hanging="420" w:hangingChars="200"/>
        <w:textAlignment w:val="auto"/>
        <w:outlineLvl w:val="9"/>
        <w:rPr>
          <w:rFonts w:hint="eastAsia" w:ascii="黑体" w:hAnsi="黑体" w:eastAsia="黑体"/>
        </w:rPr>
      </w:pPr>
    </w:p>
    <w:p>
      <w:pPr>
        <w:pStyle w:val="26"/>
        <w:keepNext w:val="0"/>
        <w:keepLines w:val="0"/>
        <w:pageBreakBefore w:val="0"/>
        <w:numPr>
          <w:ilvl w:val="0"/>
          <w:numId w:val="0"/>
        </w:numPr>
        <w:kinsoku/>
        <w:overflowPunct/>
        <w:topLinePunct w:val="0"/>
        <w:bidi w:val="0"/>
        <w:ind w:left="420"/>
        <w:textAlignment w:val="auto"/>
        <w:outlineLvl w:val="9"/>
        <w:rPr>
          <w:rFonts w:hint="eastAsia" w:ascii="黑体" w:hAnsi="黑体" w:eastAsia="黑体"/>
          <w:highlight w:val="none"/>
          <w:lang w:val="en-US" w:eastAsia="zh-CN"/>
        </w:rPr>
      </w:pPr>
      <w:r>
        <w:rPr>
          <w:rFonts w:hint="eastAsia" w:ascii="黑体" w:hAnsi="黑体" w:eastAsia="黑体"/>
          <w:highlight w:val="none"/>
          <w:lang w:val="en-US" w:eastAsia="zh-CN"/>
        </w:rPr>
        <w:t>总监理工程师  chief supervision engineer</w:t>
      </w:r>
    </w:p>
    <w:p>
      <w:pPr>
        <w:pStyle w:val="36"/>
        <w:keepNext w:val="0"/>
        <w:keepLines w:val="0"/>
        <w:pageBreakBefore w:val="0"/>
        <w:kinsoku/>
        <w:overflowPunct/>
        <w:topLinePunct w:val="0"/>
        <w:bidi w:val="0"/>
        <w:textAlignment w:val="auto"/>
        <w:outlineLvl w:val="9"/>
        <w:rPr>
          <w:rFonts w:hint="eastAsia"/>
          <w:lang w:val="en-US" w:eastAsia="zh-CN"/>
        </w:rPr>
      </w:pPr>
      <w:r>
        <w:rPr>
          <w:rFonts w:hint="eastAsia"/>
          <w:lang w:val="en-US" w:eastAsia="zh-CN"/>
        </w:rPr>
        <w:t>由监理方（3.4）法定代表人书面任命，负责履行档案服务外包项目监理合同，主持监理机构（3.5）工作的档案监理工程师（3.6）。</w:t>
      </w:r>
    </w:p>
    <w:p>
      <w:pPr>
        <w:pStyle w:val="26"/>
        <w:keepNext w:val="0"/>
        <w:keepLines w:val="0"/>
        <w:pageBreakBefore w:val="0"/>
        <w:kinsoku/>
        <w:overflowPunct/>
        <w:topLinePunct w:val="0"/>
        <w:bidi w:val="0"/>
        <w:ind w:left="420" w:hanging="420" w:hangingChars="200"/>
        <w:textAlignment w:val="auto"/>
        <w:outlineLvl w:val="9"/>
        <w:rPr>
          <w:rFonts w:hint="eastAsia" w:ascii="黑体" w:hAnsi="黑体" w:eastAsia="黑体"/>
        </w:rPr>
      </w:pPr>
    </w:p>
    <w:p>
      <w:pPr>
        <w:pStyle w:val="26"/>
        <w:keepNext w:val="0"/>
        <w:keepLines w:val="0"/>
        <w:pageBreakBefore w:val="0"/>
        <w:numPr>
          <w:ilvl w:val="0"/>
          <w:numId w:val="0"/>
        </w:numPr>
        <w:kinsoku/>
        <w:overflowPunct/>
        <w:topLinePunct w:val="0"/>
        <w:bidi w:val="0"/>
        <w:ind w:left="420"/>
        <w:textAlignment w:val="auto"/>
        <w:outlineLvl w:val="9"/>
        <w:rPr>
          <w:rFonts w:hint="default" w:ascii="黑体" w:hAnsi="黑体" w:eastAsia="黑体"/>
          <w:highlight w:val="none"/>
          <w:lang w:val="en-US" w:eastAsia="zh-CN"/>
        </w:rPr>
      </w:pPr>
      <w:r>
        <w:rPr>
          <w:rFonts w:hint="eastAsia" w:ascii="黑体" w:hAnsi="黑体" w:eastAsia="黑体"/>
          <w:highlight w:val="none"/>
          <w:lang w:val="en-US" w:eastAsia="zh-CN"/>
        </w:rPr>
        <w:t>总监理工程师代表  representative of chief s</w:t>
      </w:r>
      <w:r>
        <w:rPr>
          <w:rFonts w:hint="default" w:ascii="黑体" w:hAnsi="黑体" w:eastAsia="黑体"/>
          <w:highlight w:val="none"/>
          <w:lang w:val="en-US" w:eastAsia="zh-CN"/>
        </w:rPr>
        <w:t>upervision</w:t>
      </w:r>
      <w:r>
        <w:rPr>
          <w:rFonts w:hint="eastAsia" w:ascii="黑体" w:hAnsi="黑体" w:eastAsia="黑体"/>
          <w:highlight w:val="none"/>
          <w:lang w:val="en-US" w:eastAsia="zh-CN"/>
        </w:rPr>
        <w:t xml:space="preserve"> engineer</w:t>
      </w:r>
    </w:p>
    <w:p>
      <w:pPr>
        <w:pStyle w:val="36"/>
        <w:keepNext w:val="0"/>
        <w:keepLines w:val="0"/>
        <w:pageBreakBefore w:val="0"/>
        <w:kinsoku/>
        <w:overflowPunct/>
        <w:topLinePunct w:val="0"/>
        <w:bidi w:val="0"/>
        <w:textAlignment w:val="auto"/>
        <w:outlineLvl w:val="9"/>
        <w:rPr>
          <w:rFonts w:hint="eastAsia"/>
          <w:lang w:val="en-US" w:eastAsia="zh-CN"/>
        </w:rPr>
      </w:pPr>
      <w:r>
        <w:rPr>
          <w:rFonts w:hint="eastAsia"/>
          <w:lang w:val="en-US" w:eastAsia="zh-CN"/>
        </w:rPr>
        <w:t>经监理方（3.4）法定代表人同意，由总监理工程师（3.7）书面授权，代表总监理工程师行使其部分职责和权力，具有档案监理从业资格并经档案监理业务培训的人员（见6.2）。</w:t>
      </w:r>
    </w:p>
    <w:p>
      <w:pPr>
        <w:pStyle w:val="26"/>
        <w:keepNext w:val="0"/>
        <w:keepLines w:val="0"/>
        <w:pageBreakBefore w:val="0"/>
        <w:kinsoku/>
        <w:overflowPunct/>
        <w:topLinePunct w:val="0"/>
        <w:bidi w:val="0"/>
        <w:ind w:left="420" w:hanging="420" w:hangingChars="200"/>
        <w:textAlignment w:val="auto"/>
        <w:outlineLvl w:val="9"/>
        <w:rPr>
          <w:rFonts w:hint="eastAsia" w:ascii="黑体" w:hAnsi="黑体" w:eastAsia="黑体"/>
        </w:rPr>
      </w:pPr>
    </w:p>
    <w:p>
      <w:pPr>
        <w:pStyle w:val="26"/>
        <w:keepNext w:val="0"/>
        <w:keepLines w:val="0"/>
        <w:pageBreakBefore w:val="0"/>
        <w:numPr>
          <w:ilvl w:val="0"/>
          <w:numId w:val="0"/>
        </w:numPr>
        <w:kinsoku/>
        <w:overflowPunct/>
        <w:topLinePunct w:val="0"/>
        <w:bidi w:val="0"/>
        <w:ind w:left="420"/>
        <w:textAlignment w:val="auto"/>
        <w:outlineLvl w:val="9"/>
        <w:rPr>
          <w:rFonts w:hint="eastAsia" w:ascii="黑体" w:hAnsi="黑体" w:eastAsia="黑体"/>
          <w:highlight w:val="none"/>
          <w:lang w:val="en-US" w:eastAsia="zh-CN"/>
        </w:rPr>
      </w:pPr>
      <w:r>
        <w:rPr>
          <w:rFonts w:hint="eastAsia" w:ascii="黑体" w:hAnsi="黑体" w:eastAsia="黑体"/>
          <w:highlight w:val="none"/>
          <w:lang w:val="en-US" w:eastAsia="zh-CN"/>
        </w:rPr>
        <w:t>专业监理工程师  speciality s</w:t>
      </w:r>
      <w:r>
        <w:rPr>
          <w:rFonts w:hint="default" w:ascii="黑体" w:hAnsi="黑体" w:eastAsia="黑体"/>
          <w:highlight w:val="none"/>
          <w:lang w:val="en-US" w:eastAsia="zh-CN"/>
        </w:rPr>
        <w:t>upervision</w:t>
      </w:r>
      <w:r>
        <w:rPr>
          <w:rFonts w:hint="eastAsia" w:ascii="黑体" w:hAnsi="黑体" w:eastAsia="黑体"/>
          <w:highlight w:val="none"/>
          <w:lang w:val="en-US" w:eastAsia="zh-CN"/>
        </w:rPr>
        <w:t xml:space="preserve"> engineer</w:t>
      </w:r>
    </w:p>
    <w:p>
      <w:pPr>
        <w:pStyle w:val="36"/>
        <w:keepNext w:val="0"/>
        <w:keepLines w:val="0"/>
        <w:pageBreakBefore w:val="0"/>
        <w:kinsoku/>
        <w:overflowPunct/>
        <w:topLinePunct w:val="0"/>
        <w:bidi w:val="0"/>
        <w:textAlignment w:val="auto"/>
        <w:outlineLvl w:val="9"/>
        <w:rPr>
          <w:rFonts w:hint="eastAsia"/>
          <w:lang w:val="en-US" w:eastAsia="zh-CN"/>
        </w:rPr>
      </w:pPr>
      <w:r>
        <w:rPr>
          <w:rFonts w:hint="eastAsia"/>
          <w:lang w:val="en-US" w:eastAsia="zh-CN"/>
        </w:rPr>
        <w:t>由总监理工程师（3.7）授权，负责实施同一档案服务外包项目监理工作，有相应监理文件签发权，具有档案监理从业资格并经档案监理业务培训的人员（见6.2）。</w:t>
      </w:r>
    </w:p>
    <w:p>
      <w:pPr>
        <w:pStyle w:val="26"/>
        <w:keepNext w:val="0"/>
        <w:keepLines w:val="0"/>
        <w:pageBreakBefore w:val="0"/>
        <w:kinsoku/>
        <w:overflowPunct/>
        <w:topLinePunct w:val="0"/>
        <w:bidi w:val="0"/>
        <w:ind w:left="420" w:hanging="420" w:hangingChars="200"/>
        <w:textAlignment w:val="auto"/>
        <w:outlineLvl w:val="9"/>
        <w:rPr>
          <w:rFonts w:hint="eastAsia" w:ascii="黑体" w:hAnsi="黑体" w:eastAsia="黑体"/>
        </w:rPr>
      </w:pPr>
    </w:p>
    <w:p>
      <w:pPr>
        <w:pStyle w:val="26"/>
        <w:keepNext w:val="0"/>
        <w:keepLines w:val="0"/>
        <w:pageBreakBefore w:val="0"/>
        <w:numPr>
          <w:ilvl w:val="0"/>
          <w:numId w:val="0"/>
        </w:numPr>
        <w:kinsoku/>
        <w:overflowPunct/>
        <w:topLinePunct w:val="0"/>
        <w:bidi w:val="0"/>
        <w:ind w:left="420"/>
        <w:textAlignment w:val="auto"/>
        <w:outlineLvl w:val="9"/>
        <w:rPr>
          <w:rFonts w:hint="eastAsia" w:ascii="黑体" w:hAnsi="黑体" w:eastAsia="黑体"/>
          <w:highlight w:val="none"/>
          <w:lang w:val="en-US" w:eastAsia="zh-CN"/>
        </w:rPr>
      </w:pPr>
      <w:r>
        <w:rPr>
          <w:rFonts w:hint="eastAsia" w:ascii="黑体" w:hAnsi="黑体" w:eastAsia="黑体"/>
          <w:highlight w:val="none"/>
          <w:lang w:val="en-US" w:eastAsia="zh-CN"/>
        </w:rPr>
        <w:t>监理辅助人员  s</w:t>
      </w:r>
      <w:r>
        <w:rPr>
          <w:rFonts w:hint="default" w:ascii="黑体" w:hAnsi="黑体" w:eastAsia="黑体"/>
          <w:highlight w:val="none"/>
          <w:lang w:val="en-US" w:eastAsia="zh-CN"/>
        </w:rPr>
        <w:t>upervision</w:t>
      </w:r>
      <w:r>
        <w:rPr>
          <w:rFonts w:hint="eastAsia" w:ascii="黑体" w:hAnsi="黑体" w:eastAsia="黑体"/>
          <w:highlight w:val="none"/>
          <w:lang w:val="en-US" w:eastAsia="zh-CN"/>
        </w:rPr>
        <w:t xml:space="preserve"> assistant</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outlineLvl w:val="9"/>
        <w:rPr>
          <w:rFonts w:hint="eastAsia" w:ascii="宋体" w:hAnsi="Times New Roman" w:eastAsia="宋体" w:cs="Times New Roman"/>
          <w:kern w:val="0"/>
          <w:sz w:val="21"/>
          <w:szCs w:val="20"/>
          <w:lang w:val="en-US" w:eastAsia="zh-CN" w:bidi="ar-SA"/>
        </w:rPr>
      </w:pPr>
      <w:r>
        <w:rPr>
          <w:rFonts w:hint="eastAsia" w:ascii="宋体" w:hAnsi="Times New Roman" w:eastAsia="宋体" w:cs="Times New Roman"/>
          <w:kern w:val="0"/>
          <w:sz w:val="21"/>
          <w:szCs w:val="20"/>
          <w:lang w:val="en-US" w:eastAsia="zh-CN" w:bidi="ar-SA"/>
        </w:rPr>
        <w:t>从事具体档案监理工作，具有</w:t>
      </w:r>
      <w:r>
        <w:rPr>
          <w:rFonts w:hint="eastAsia" w:ascii="宋体" w:hAnsi="Times New Roman" w:cs="Times New Roman"/>
          <w:kern w:val="0"/>
          <w:sz w:val="21"/>
          <w:szCs w:val="20"/>
          <w:lang w:val="en-US" w:eastAsia="zh-CN" w:bidi="ar-SA"/>
        </w:rPr>
        <w:t>高中或</w:t>
      </w:r>
      <w:r>
        <w:rPr>
          <w:rFonts w:hint="eastAsia" w:ascii="宋体" w:hAnsi="Times New Roman" w:eastAsia="宋体" w:cs="Times New Roman"/>
          <w:kern w:val="0"/>
          <w:sz w:val="21"/>
          <w:szCs w:val="20"/>
          <w:lang w:val="en-US" w:eastAsia="zh-CN" w:bidi="ar-SA"/>
        </w:rPr>
        <w:t>中专及以上学历并经过档案监理业务培训的人员（见6.2）。</w:t>
      </w:r>
    </w:p>
    <w:p>
      <w:pPr>
        <w:pStyle w:val="26"/>
        <w:keepNext w:val="0"/>
        <w:keepLines w:val="0"/>
        <w:pageBreakBefore w:val="0"/>
        <w:kinsoku/>
        <w:overflowPunct/>
        <w:topLinePunct w:val="0"/>
        <w:bidi w:val="0"/>
        <w:ind w:left="420" w:hanging="420" w:hangingChars="200"/>
        <w:textAlignment w:val="auto"/>
        <w:outlineLvl w:val="9"/>
        <w:rPr>
          <w:rFonts w:hint="eastAsia" w:ascii="黑体" w:hAnsi="黑体" w:eastAsia="黑体"/>
        </w:rPr>
      </w:pPr>
    </w:p>
    <w:p>
      <w:pPr>
        <w:pStyle w:val="26"/>
        <w:keepNext w:val="0"/>
        <w:keepLines w:val="0"/>
        <w:pageBreakBefore w:val="0"/>
        <w:numPr>
          <w:ilvl w:val="0"/>
          <w:numId w:val="0"/>
        </w:numPr>
        <w:kinsoku/>
        <w:overflowPunct/>
        <w:topLinePunct w:val="0"/>
        <w:bidi w:val="0"/>
        <w:ind w:left="420"/>
        <w:textAlignment w:val="auto"/>
        <w:outlineLvl w:val="9"/>
        <w:rPr>
          <w:rFonts w:hint="default" w:ascii="黑体" w:hAnsi="黑体" w:eastAsia="黑体"/>
          <w:highlight w:val="none"/>
          <w:lang w:val="en-US" w:eastAsia="zh-CN"/>
        </w:rPr>
      </w:pPr>
      <w:r>
        <w:rPr>
          <w:rFonts w:hint="eastAsia" w:ascii="黑体" w:hAnsi="黑体" w:eastAsia="黑体"/>
          <w:highlight w:val="none"/>
          <w:lang w:val="en-US" w:eastAsia="zh-CN"/>
        </w:rPr>
        <w:t>监理规划  s</w:t>
      </w:r>
      <w:r>
        <w:rPr>
          <w:rFonts w:hint="default" w:ascii="黑体" w:hAnsi="黑体" w:eastAsia="黑体"/>
          <w:highlight w:val="none"/>
          <w:lang w:val="en-US" w:eastAsia="zh-CN"/>
        </w:rPr>
        <w:t>upervision</w:t>
      </w:r>
      <w:r>
        <w:rPr>
          <w:rFonts w:hint="eastAsia" w:ascii="黑体" w:hAnsi="黑体" w:eastAsia="黑体"/>
          <w:highlight w:val="none"/>
          <w:lang w:val="en-US" w:eastAsia="zh-CN"/>
        </w:rPr>
        <w:t xml:space="preserve"> planning</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outlineLvl w:val="9"/>
        <w:rPr>
          <w:rFonts w:hint="eastAsia" w:ascii="宋体" w:hAnsi="Times New Roman" w:eastAsia="宋体" w:cs="Times New Roman"/>
          <w:kern w:val="0"/>
          <w:sz w:val="21"/>
          <w:szCs w:val="20"/>
          <w:lang w:val="en-US" w:eastAsia="zh-CN" w:bidi="ar-SA"/>
        </w:rPr>
      </w:pPr>
      <w:r>
        <w:rPr>
          <w:rFonts w:hint="eastAsia" w:ascii="宋体" w:hAnsi="Times New Roman" w:eastAsia="宋体" w:cs="Times New Roman"/>
          <w:kern w:val="0"/>
          <w:sz w:val="21"/>
          <w:szCs w:val="20"/>
          <w:lang w:val="en-US" w:eastAsia="zh-CN" w:bidi="ar-SA"/>
        </w:rPr>
        <w:t>监理机构（3.5）全面开展档案监理工作的指导性文件。</w:t>
      </w:r>
    </w:p>
    <w:p>
      <w:pPr>
        <w:pStyle w:val="26"/>
        <w:keepNext w:val="0"/>
        <w:keepLines w:val="0"/>
        <w:pageBreakBefore w:val="0"/>
        <w:kinsoku/>
        <w:overflowPunct/>
        <w:topLinePunct w:val="0"/>
        <w:bidi w:val="0"/>
        <w:ind w:left="420" w:hanging="420" w:hangingChars="200"/>
        <w:textAlignment w:val="auto"/>
        <w:outlineLvl w:val="9"/>
        <w:rPr>
          <w:rFonts w:hint="eastAsia" w:ascii="黑体" w:hAnsi="黑体" w:eastAsia="黑体"/>
        </w:rPr>
      </w:pPr>
    </w:p>
    <w:p>
      <w:pPr>
        <w:pStyle w:val="26"/>
        <w:keepNext w:val="0"/>
        <w:keepLines w:val="0"/>
        <w:pageBreakBefore w:val="0"/>
        <w:numPr>
          <w:ilvl w:val="0"/>
          <w:numId w:val="0"/>
        </w:numPr>
        <w:kinsoku/>
        <w:overflowPunct/>
        <w:topLinePunct w:val="0"/>
        <w:bidi w:val="0"/>
        <w:ind w:left="420"/>
        <w:textAlignment w:val="auto"/>
        <w:outlineLvl w:val="9"/>
        <w:rPr>
          <w:rFonts w:hint="default" w:ascii="黑体" w:hAnsi="黑体" w:eastAsia="黑体"/>
          <w:highlight w:val="none"/>
          <w:lang w:val="en-US" w:eastAsia="zh-CN"/>
        </w:rPr>
      </w:pPr>
      <w:r>
        <w:rPr>
          <w:rFonts w:hint="eastAsia" w:ascii="黑体" w:hAnsi="黑体" w:eastAsia="黑体"/>
          <w:highlight w:val="none"/>
          <w:lang w:val="en-US" w:eastAsia="zh-CN"/>
        </w:rPr>
        <w:t>监理细则  s</w:t>
      </w:r>
      <w:r>
        <w:rPr>
          <w:rFonts w:hint="default" w:ascii="黑体" w:hAnsi="黑体" w:eastAsia="黑体"/>
          <w:highlight w:val="none"/>
          <w:lang w:val="en-US" w:eastAsia="zh-CN"/>
        </w:rPr>
        <w:t>upervision</w:t>
      </w:r>
      <w:r>
        <w:rPr>
          <w:rFonts w:hint="eastAsia" w:ascii="黑体" w:hAnsi="黑体" w:eastAsia="黑体"/>
          <w:highlight w:val="none"/>
          <w:lang w:val="en-US" w:eastAsia="zh-CN"/>
        </w:rPr>
        <w:t xml:space="preserve"> rules</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outlineLvl w:val="9"/>
        <w:rPr>
          <w:rFonts w:ascii="仿宋" w:hAnsi="仿宋" w:eastAsia="仿宋" w:cs="仿宋"/>
          <w:sz w:val="28"/>
          <w:szCs w:val="28"/>
        </w:rPr>
      </w:pPr>
      <w:r>
        <w:rPr>
          <w:rFonts w:hint="eastAsia" w:asciiTheme="minorEastAsia" w:hAnsiTheme="minorEastAsia" w:eastAsiaTheme="minorEastAsia" w:cstheme="minorEastAsia"/>
          <w:sz w:val="21"/>
          <w:szCs w:val="21"/>
        </w:rPr>
        <w:t>针对某一专业或某一方面档案监理工作的操作性文件。</w:t>
      </w:r>
    </w:p>
    <w:p>
      <w:pPr>
        <w:pStyle w:val="26"/>
        <w:keepNext w:val="0"/>
        <w:keepLines w:val="0"/>
        <w:pageBreakBefore w:val="0"/>
        <w:kinsoku/>
        <w:overflowPunct/>
        <w:topLinePunct w:val="0"/>
        <w:bidi w:val="0"/>
        <w:ind w:left="420" w:hanging="420" w:hangingChars="200"/>
        <w:textAlignment w:val="auto"/>
        <w:outlineLvl w:val="9"/>
        <w:rPr>
          <w:rFonts w:hint="eastAsia" w:ascii="黑体" w:hAnsi="黑体" w:eastAsia="黑体"/>
        </w:rPr>
      </w:pPr>
    </w:p>
    <w:p>
      <w:pPr>
        <w:pStyle w:val="26"/>
        <w:keepNext w:val="0"/>
        <w:keepLines w:val="0"/>
        <w:pageBreakBefore w:val="0"/>
        <w:numPr>
          <w:ilvl w:val="0"/>
          <w:numId w:val="0"/>
        </w:numPr>
        <w:kinsoku/>
        <w:overflowPunct/>
        <w:topLinePunct w:val="0"/>
        <w:bidi w:val="0"/>
        <w:ind w:left="420"/>
        <w:textAlignment w:val="auto"/>
        <w:outlineLvl w:val="9"/>
        <w:rPr>
          <w:rFonts w:hint="default" w:ascii="黑体" w:hAnsi="黑体" w:eastAsia="黑体"/>
          <w:highlight w:val="none"/>
          <w:lang w:val="en-US" w:eastAsia="zh-CN"/>
        </w:rPr>
      </w:pPr>
      <w:r>
        <w:rPr>
          <w:rFonts w:hint="eastAsia" w:ascii="黑体" w:hAnsi="黑体" w:eastAsia="黑体"/>
          <w:highlight w:val="none"/>
          <w:lang w:val="en-US" w:eastAsia="zh-CN"/>
        </w:rPr>
        <w:t>监理例会  s</w:t>
      </w:r>
      <w:r>
        <w:rPr>
          <w:rFonts w:hint="default" w:ascii="黑体" w:hAnsi="黑体" w:eastAsia="黑体"/>
          <w:highlight w:val="none"/>
          <w:lang w:val="en-US" w:eastAsia="zh-CN"/>
        </w:rPr>
        <w:t>upervision</w:t>
      </w:r>
      <w:r>
        <w:rPr>
          <w:rFonts w:hint="eastAsia" w:ascii="黑体" w:hAnsi="黑体" w:eastAsia="黑体"/>
          <w:highlight w:val="none"/>
          <w:lang w:val="en-US" w:eastAsia="zh-CN"/>
        </w:rPr>
        <w:t xml:space="preserve"> regular meeting</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档案监理</w:t>
      </w:r>
      <w:r>
        <w:rPr>
          <w:rFonts w:hint="eastAsia" w:asciiTheme="minorEastAsia" w:hAnsiTheme="minorEastAsia" w:eastAsiaTheme="minorEastAsia" w:cstheme="minorEastAsia"/>
          <w:sz w:val="21"/>
          <w:szCs w:val="21"/>
          <w:lang w:val="en-US" w:eastAsia="zh-CN"/>
        </w:rPr>
        <w:t>工作</w:t>
      </w:r>
      <w:r>
        <w:rPr>
          <w:rFonts w:hint="eastAsia" w:asciiTheme="minorEastAsia" w:hAnsiTheme="minorEastAsia" w:eastAsiaTheme="minorEastAsia" w:cstheme="minorEastAsia"/>
          <w:sz w:val="21"/>
          <w:szCs w:val="21"/>
        </w:rPr>
        <w:t>开展过程中，由监理</w:t>
      </w:r>
      <w:r>
        <w:rPr>
          <w:rFonts w:hint="eastAsia" w:asciiTheme="minorEastAsia" w:hAnsiTheme="minorEastAsia" w:eastAsiaTheme="minorEastAsia" w:cstheme="minorEastAsia"/>
          <w:sz w:val="21"/>
          <w:szCs w:val="21"/>
          <w:lang w:val="en-US" w:eastAsia="zh-CN"/>
        </w:rPr>
        <w:t>机构</w:t>
      </w:r>
      <w:r>
        <w:rPr>
          <w:rFonts w:hint="eastAsia" w:asciiTheme="minorEastAsia" w:hAnsiTheme="minorEastAsia" w:eastAsiaTheme="minorEastAsia" w:cstheme="minorEastAsia"/>
          <w:sz w:val="21"/>
          <w:szCs w:val="21"/>
        </w:rPr>
        <w:t>（3.</w:t>
      </w:r>
      <w:r>
        <w:rPr>
          <w:rFonts w:hint="eastAsia" w:asciiTheme="minorEastAsia" w:hAnsiTheme="minorEastAsia" w:eastAsiaTheme="minorEastAsia" w:cstheme="minorEastAsia"/>
          <w:sz w:val="21"/>
          <w:szCs w:val="21"/>
          <w:lang w:val="en-US" w:eastAsia="zh-CN"/>
        </w:rPr>
        <w:t>5</w:t>
      </w:r>
      <w:r>
        <w:rPr>
          <w:rFonts w:hint="eastAsia" w:asciiTheme="minorEastAsia" w:hAnsiTheme="minorEastAsia" w:eastAsiaTheme="minorEastAsia" w:cstheme="minorEastAsia"/>
          <w:sz w:val="21"/>
          <w:szCs w:val="21"/>
        </w:rPr>
        <w:t>）组织承包方进行会议周期相对固定的工作协调例会。</w:t>
      </w:r>
    </w:p>
    <w:p>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outlineLvl w:val="9"/>
        <w:rPr>
          <w:rFonts w:hint="default" w:asciiTheme="minorEastAsia" w:hAnsiTheme="minorEastAsia" w:eastAsiaTheme="minorEastAsia" w:cstheme="minorEastAsia"/>
          <w:sz w:val="18"/>
          <w:szCs w:val="18"/>
          <w:lang w:val="en-US" w:eastAsia="zh-CN"/>
        </w:rPr>
      </w:pPr>
      <w:r>
        <w:rPr>
          <w:rFonts w:hint="eastAsia" w:ascii="黑体" w:hAnsi="黑体" w:eastAsia="黑体" w:cs="黑体"/>
          <w:sz w:val="18"/>
          <w:szCs w:val="18"/>
          <w:vertAlign w:val="baseline"/>
          <w:lang w:val="en-US" w:eastAsia="zh-CN"/>
        </w:rPr>
        <w:t>注：</w:t>
      </w:r>
      <w:r>
        <w:rPr>
          <w:rFonts w:hint="eastAsia" w:asciiTheme="minorEastAsia" w:hAnsiTheme="minorEastAsia" w:eastAsiaTheme="minorEastAsia" w:cstheme="minorEastAsia"/>
          <w:sz w:val="18"/>
          <w:szCs w:val="18"/>
          <w:lang w:val="en-US" w:eastAsia="zh-CN"/>
        </w:rPr>
        <w:t>本文件中，承包方采用</w:t>
      </w:r>
      <w:r>
        <w:rPr>
          <w:rFonts w:hint="eastAsia" w:asciiTheme="minorEastAsia" w:hAnsiTheme="minorEastAsia" w:eastAsiaTheme="minorEastAsia" w:cstheme="minorEastAsia"/>
          <w:sz w:val="18"/>
          <w:szCs w:val="18"/>
        </w:rPr>
        <w:t>DA/T68.1—2020，</w:t>
      </w:r>
      <w:r>
        <w:rPr>
          <w:rFonts w:hint="eastAsia" w:asciiTheme="minorEastAsia" w:hAnsiTheme="minorEastAsia" w:eastAsiaTheme="minorEastAsia" w:cstheme="minorEastAsia"/>
          <w:sz w:val="18"/>
          <w:szCs w:val="18"/>
          <w:lang w:val="en-US" w:eastAsia="zh-CN"/>
        </w:rPr>
        <w:t>3.5的定义。</w:t>
      </w:r>
    </w:p>
    <w:p>
      <w:pPr>
        <w:pStyle w:val="26"/>
        <w:keepNext w:val="0"/>
        <w:keepLines w:val="0"/>
        <w:pageBreakBefore w:val="0"/>
        <w:kinsoku/>
        <w:overflowPunct/>
        <w:topLinePunct w:val="0"/>
        <w:bidi w:val="0"/>
        <w:ind w:left="420" w:hanging="420" w:hangingChars="200"/>
        <w:textAlignment w:val="auto"/>
        <w:outlineLvl w:val="9"/>
        <w:rPr>
          <w:rFonts w:hint="eastAsia" w:ascii="黑体" w:hAnsi="黑体" w:eastAsia="黑体"/>
        </w:rPr>
      </w:pPr>
    </w:p>
    <w:p>
      <w:pPr>
        <w:pStyle w:val="26"/>
        <w:keepNext w:val="0"/>
        <w:keepLines w:val="0"/>
        <w:pageBreakBefore w:val="0"/>
        <w:numPr>
          <w:ilvl w:val="0"/>
          <w:numId w:val="0"/>
        </w:numPr>
        <w:kinsoku/>
        <w:overflowPunct/>
        <w:topLinePunct w:val="0"/>
        <w:bidi w:val="0"/>
        <w:ind w:left="420"/>
        <w:textAlignment w:val="auto"/>
        <w:outlineLvl w:val="9"/>
        <w:rPr>
          <w:rFonts w:hint="default" w:ascii="黑体" w:hAnsi="黑体" w:eastAsia="黑体"/>
          <w:highlight w:val="none"/>
          <w:lang w:val="en-US" w:eastAsia="zh-CN"/>
        </w:rPr>
      </w:pPr>
      <w:r>
        <w:rPr>
          <w:rFonts w:hint="eastAsia" w:ascii="黑体" w:hAnsi="黑体" w:eastAsia="黑体"/>
          <w:highlight w:val="none"/>
          <w:lang w:val="en-US" w:eastAsia="zh-CN"/>
        </w:rPr>
        <w:t>项目变更  project change</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由于非监理方（3.</w:t>
      </w:r>
      <w:r>
        <w:rPr>
          <w:rFonts w:hint="eastAsia" w:asciiTheme="minorEastAsia" w:hAnsiTheme="minorEastAsia" w:eastAsiaTheme="minorEastAsia" w:cstheme="minorEastAsia"/>
          <w:sz w:val="21"/>
          <w:szCs w:val="21"/>
          <w:lang w:val="en-US" w:eastAsia="zh-CN"/>
        </w:rPr>
        <w:t>4</w:t>
      </w:r>
      <w:r>
        <w:rPr>
          <w:rFonts w:hint="eastAsia" w:asciiTheme="minorEastAsia" w:hAnsiTheme="minorEastAsia" w:eastAsiaTheme="minorEastAsia" w:cstheme="minorEastAsia"/>
          <w:sz w:val="21"/>
          <w:szCs w:val="21"/>
        </w:rPr>
        <w:t>）原因造成的项目合同内容发生变更的行为。</w:t>
      </w:r>
    </w:p>
    <w:p>
      <w:pPr>
        <w:pStyle w:val="26"/>
        <w:keepNext w:val="0"/>
        <w:keepLines w:val="0"/>
        <w:pageBreakBefore w:val="0"/>
        <w:kinsoku/>
        <w:overflowPunct/>
        <w:topLinePunct w:val="0"/>
        <w:bidi w:val="0"/>
        <w:ind w:left="420" w:hanging="420" w:hangingChars="200"/>
        <w:textAlignment w:val="auto"/>
        <w:outlineLvl w:val="9"/>
        <w:rPr>
          <w:rFonts w:hint="eastAsia" w:ascii="黑体" w:hAnsi="黑体" w:eastAsia="黑体"/>
        </w:rPr>
      </w:pPr>
    </w:p>
    <w:p>
      <w:pPr>
        <w:pStyle w:val="26"/>
        <w:keepNext w:val="0"/>
        <w:keepLines w:val="0"/>
        <w:pageBreakBefore w:val="0"/>
        <w:numPr>
          <w:ilvl w:val="0"/>
          <w:numId w:val="0"/>
        </w:numPr>
        <w:kinsoku/>
        <w:overflowPunct/>
        <w:topLinePunct w:val="0"/>
        <w:bidi w:val="0"/>
        <w:ind w:left="420"/>
        <w:textAlignment w:val="auto"/>
        <w:outlineLvl w:val="9"/>
        <w:rPr>
          <w:rFonts w:hint="default" w:ascii="黑体" w:hAnsi="黑体" w:eastAsia="黑体"/>
          <w:highlight w:val="none"/>
          <w:lang w:val="en-US" w:eastAsia="zh-CN"/>
        </w:rPr>
      </w:pPr>
      <w:r>
        <w:rPr>
          <w:rFonts w:hint="eastAsia" w:ascii="黑体" w:hAnsi="黑体" w:eastAsia="黑体"/>
          <w:highlight w:val="none"/>
          <w:lang w:val="en-US" w:eastAsia="zh-CN"/>
        </w:rPr>
        <w:t>项目延期  project duration extension</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由于非承包方原因造成项目合同工期延长的时间。</w:t>
      </w:r>
    </w:p>
    <w:p>
      <w:pPr>
        <w:pStyle w:val="26"/>
        <w:keepNext w:val="0"/>
        <w:keepLines w:val="0"/>
        <w:pageBreakBefore w:val="0"/>
        <w:kinsoku/>
        <w:overflowPunct/>
        <w:topLinePunct w:val="0"/>
        <w:bidi w:val="0"/>
        <w:ind w:left="420" w:hanging="420" w:hangingChars="200"/>
        <w:textAlignment w:val="auto"/>
        <w:outlineLvl w:val="9"/>
        <w:rPr>
          <w:rFonts w:hint="eastAsia" w:ascii="黑体" w:hAnsi="黑体" w:eastAsia="黑体"/>
        </w:rPr>
      </w:pPr>
    </w:p>
    <w:p>
      <w:pPr>
        <w:pStyle w:val="26"/>
        <w:keepNext w:val="0"/>
        <w:keepLines w:val="0"/>
        <w:pageBreakBefore w:val="0"/>
        <w:numPr>
          <w:ilvl w:val="0"/>
          <w:numId w:val="0"/>
        </w:numPr>
        <w:kinsoku/>
        <w:overflowPunct/>
        <w:topLinePunct w:val="0"/>
        <w:bidi w:val="0"/>
        <w:ind w:left="420"/>
        <w:textAlignment w:val="auto"/>
        <w:outlineLvl w:val="9"/>
        <w:rPr>
          <w:rFonts w:hint="default" w:ascii="黑体" w:hAnsi="黑体" w:eastAsia="黑体"/>
          <w:highlight w:val="none"/>
          <w:lang w:val="en-US" w:eastAsia="zh-CN"/>
        </w:rPr>
      </w:pPr>
      <w:r>
        <w:rPr>
          <w:rFonts w:hint="eastAsia" w:ascii="黑体" w:hAnsi="黑体" w:eastAsia="黑体"/>
          <w:highlight w:val="none"/>
          <w:lang w:val="en-US" w:eastAsia="zh-CN"/>
        </w:rPr>
        <w:t>费用索赔  fee claims</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承包方在受到外界干扰事件影响使自身项目成本增加而蒙受经济损失的情况下，按照合同规定提出的要求补偿损失的要求。</w:t>
      </w:r>
    </w:p>
    <w:p>
      <w:pPr>
        <w:pStyle w:val="26"/>
        <w:keepNext w:val="0"/>
        <w:keepLines w:val="0"/>
        <w:pageBreakBefore w:val="0"/>
        <w:kinsoku/>
        <w:overflowPunct/>
        <w:topLinePunct w:val="0"/>
        <w:bidi w:val="0"/>
        <w:ind w:left="420" w:hanging="420" w:hangingChars="200"/>
        <w:textAlignment w:val="auto"/>
        <w:outlineLvl w:val="9"/>
        <w:rPr>
          <w:rFonts w:hint="eastAsia" w:ascii="黑体" w:hAnsi="黑体" w:eastAsia="黑体"/>
        </w:rPr>
      </w:pPr>
    </w:p>
    <w:p>
      <w:pPr>
        <w:pStyle w:val="26"/>
        <w:keepNext w:val="0"/>
        <w:keepLines w:val="0"/>
        <w:pageBreakBefore w:val="0"/>
        <w:numPr>
          <w:ilvl w:val="0"/>
          <w:numId w:val="0"/>
        </w:numPr>
        <w:kinsoku/>
        <w:overflowPunct/>
        <w:topLinePunct w:val="0"/>
        <w:bidi w:val="0"/>
        <w:ind w:left="420"/>
        <w:textAlignment w:val="auto"/>
        <w:outlineLvl w:val="9"/>
        <w:rPr>
          <w:rFonts w:hint="default" w:ascii="黑体" w:hAnsi="黑体" w:eastAsia="黑体"/>
          <w:highlight w:val="none"/>
          <w:lang w:val="en-US" w:eastAsia="zh-CN"/>
        </w:rPr>
      </w:pPr>
      <w:r>
        <w:rPr>
          <w:rFonts w:hint="eastAsia" w:ascii="黑体" w:hAnsi="黑体" w:eastAsia="黑体"/>
          <w:highlight w:val="none"/>
          <w:lang w:val="en-US" w:eastAsia="zh-CN"/>
        </w:rPr>
        <w:t>监理日志  daily record of s</w:t>
      </w:r>
      <w:r>
        <w:rPr>
          <w:rFonts w:hint="default" w:ascii="黑体" w:hAnsi="黑体" w:eastAsia="黑体"/>
          <w:highlight w:val="none"/>
          <w:lang w:val="en-US" w:eastAsia="zh-CN"/>
        </w:rPr>
        <w:t>upervision</w:t>
      </w:r>
    </w:p>
    <w:p>
      <w:pPr>
        <w:keepNext w:val="0"/>
        <w:keepLines w:val="0"/>
        <w:pageBreakBefore w:val="0"/>
        <w:kinsoku/>
        <w:overflowPunct/>
        <w:topLinePunct w:val="0"/>
        <w:bidi w:val="0"/>
        <w:spacing w:line="240" w:lineRule="auto"/>
        <w:ind w:firstLine="420" w:firstLineChars="200"/>
        <w:textAlignment w:val="auto"/>
        <w:outlineLvl w:val="9"/>
        <w:rPr>
          <w:rFonts w:ascii="仿宋" w:hAnsi="仿宋" w:eastAsia="仿宋" w:cs="仿宋"/>
          <w:sz w:val="28"/>
          <w:szCs w:val="28"/>
        </w:rPr>
      </w:pPr>
      <w:r>
        <w:rPr>
          <w:rFonts w:hint="eastAsia" w:asciiTheme="minorEastAsia" w:hAnsiTheme="minorEastAsia" w:eastAsiaTheme="minorEastAsia" w:cstheme="minorEastAsia"/>
          <w:sz w:val="21"/>
          <w:szCs w:val="21"/>
        </w:rPr>
        <w:t>监理机构（3.</w:t>
      </w:r>
      <w:r>
        <w:rPr>
          <w:rFonts w:hint="eastAsia" w:asciiTheme="minorEastAsia" w:hAnsiTheme="minorEastAsia" w:eastAsiaTheme="minorEastAsia" w:cstheme="minorEastAsia"/>
          <w:sz w:val="21"/>
          <w:szCs w:val="21"/>
          <w:lang w:val="en-US" w:eastAsia="zh-CN"/>
        </w:rPr>
        <w:t>5</w:t>
      </w:r>
      <w:r>
        <w:rPr>
          <w:rFonts w:hint="eastAsia" w:asciiTheme="minorEastAsia" w:hAnsiTheme="minorEastAsia" w:eastAsiaTheme="minorEastAsia" w:cstheme="minorEastAsia"/>
          <w:sz w:val="21"/>
          <w:szCs w:val="21"/>
        </w:rPr>
        <w:t>）每日对档案监理工作及项目进展情况所做的记录。</w:t>
      </w:r>
    </w:p>
    <w:p>
      <w:pPr>
        <w:pStyle w:val="26"/>
        <w:keepNext w:val="0"/>
        <w:keepLines w:val="0"/>
        <w:pageBreakBefore w:val="0"/>
        <w:kinsoku/>
        <w:overflowPunct/>
        <w:topLinePunct w:val="0"/>
        <w:bidi w:val="0"/>
        <w:ind w:left="420" w:hanging="420" w:hangingChars="200"/>
        <w:textAlignment w:val="auto"/>
        <w:outlineLvl w:val="9"/>
        <w:rPr>
          <w:rFonts w:hint="eastAsia" w:ascii="黑体" w:hAnsi="黑体" w:eastAsia="黑体"/>
        </w:rPr>
      </w:pPr>
    </w:p>
    <w:p>
      <w:pPr>
        <w:pStyle w:val="26"/>
        <w:keepNext w:val="0"/>
        <w:keepLines w:val="0"/>
        <w:pageBreakBefore w:val="0"/>
        <w:numPr>
          <w:ilvl w:val="0"/>
          <w:numId w:val="0"/>
        </w:numPr>
        <w:kinsoku/>
        <w:overflowPunct/>
        <w:topLinePunct w:val="0"/>
        <w:bidi w:val="0"/>
        <w:ind w:left="420"/>
        <w:textAlignment w:val="auto"/>
        <w:outlineLvl w:val="9"/>
        <w:rPr>
          <w:rFonts w:hint="default" w:ascii="黑体" w:hAnsi="黑体" w:eastAsia="黑体"/>
          <w:highlight w:val="none"/>
          <w:lang w:val="en-US" w:eastAsia="zh-CN"/>
        </w:rPr>
      </w:pPr>
      <w:r>
        <w:rPr>
          <w:rFonts w:hint="eastAsia" w:ascii="黑体" w:hAnsi="黑体" w:eastAsia="黑体"/>
          <w:highlight w:val="none"/>
          <w:lang w:val="en-US" w:eastAsia="zh-CN"/>
        </w:rPr>
        <w:t>监理意见  s</w:t>
      </w:r>
      <w:r>
        <w:rPr>
          <w:rFonts w:hint="default" w:ascii="黑体" w:hAnsi="黑体" w:eastAsia="黑体"/>
          <w:highlight w:val="none"/>
          <w:lang w:val="en-US" w:eastAsia="zh-CN"/>
        </w:rPr>
        <w:t>upervision</w:t>
      </w:r>
      <w:r>
        <w:rPr>
          <w:rFonts w:hint="eastAsia" w:ascii="黑体" w:hAnsi="黑体" w:eastAsia="黑体"/>
          <w:highlight w:val="none"/>
          <w:lang w:val="en-US" w:eastAsia="zh-CN"/>
        </w:rPr>
        <w:t xml:space="preserve"> suggestion</w:t>
      </w:r>
    </w:p>
    <w:p>
      <w:pPr>
        <w:keepNext w:val="0"/>
        <w:keepLines w:val="0"/>
        <w:pageBreakBefore w:val="0"/>
        <w:kinsoku/>
        <w:overflowPunct/>
        <w:topLinePunct w:val="0"/>
        <w:bidi w:val="0"/>
        <w:spacing w:line="240" w:lineRule="auto"/>
        <w:ind w:firstLine="420" w:firstLineChars="20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监理机构（3.</w:t>
      </w:r>
      <w:r>
        <w:rPr>
          <w:rFonts w:hint="eastAsia" w:asciiTheme="minorEastAsia" w:hAnsiTheme="minorEastAsia" w:eastAsiaTheme="minorEastAsia" w:cstheme="minorEastAsia"/>
          <w:sz w:val="21"/>
          <w:szCs w:val="21"/>
          <w:lang w:val="en-US" w:eastAsia="zh-CN"/>
        </w:rPr>
        <w:t>5</w:t>
      </w:r>
      <w:r>
        <w:rPr>
          <w:rFonts w:hint="eastAsia" w:asciiTheme="minorEastAsia" w:hAnsiTheme="minorEastAsia" w:eastAsiaTheme="minorEastAsia" w:cstheme="minorEastAsia"/>
          <w:sz w:val="21"/>
          <w:szCs w:val="21"/>
        </w:rPr>
        <w:t>）在档案服务外包项目进展过程中所提出的不符合项目合同标准的修改性意见。</w:t>
      </w:r>
    </w:p>
    <w:p>
      <w:pPr>
        <w:pStyle w:val="26"/>
        <w:keepNext w:val="0"/>
        <w:keepLines w:val="0"/>
        <w:pageBreakBefore w:val="0"/>
        <w:kinsoku/>
        <w:overflowPunct/>
        <w:topLinePunct w:val="0"/>
        <w:bidi w:val="0"/>
        <w:ind w:left="420" w:hanging="420" w:hangingChars="200"/>
        <w:textAlignment w:val="auto"/>
        <w:outlineLvl w:val="9"/>
        <w:rPr>
          <w:rFonts w:hint="eastAsia" w:ascii="黑体" w:hAnsi="黑体" w:eastAsia="黑体"/>
        </w:rPr>
      </w:pPr>
    </w:p>
    <w:p>
      <w:pPr>
        <w:pStyle w:val="26"/>
        <w:keepNext w:val="0"/>
        <w:keepLines w:val="0"/>
        <w:pageBreakBefore w:val="0"/>
        <w:numPr>
          <w:ilvl w:val="0"/>
          <w:numId w:val="0"/>
        </w:numPr>
        <w:kinsoku/>
        <w:overflowPunct/>
        <w:topLinePunct w:val="0"/>
        <w:bidi w:val="0"/>
        <w:ind w:left="420"/>
        <w:textAlignment w:val="auto"/>
        <w:outlineLvl w:val="9"/>
        <w:rPr>
          <w:rFonts w:hint="default" w:ascii="黑体" w:hAnsi="黑体" w:eastAsia="黑体"/>
          <w:highlight w:val="none"/>
          <w:lang w:val="en-US" w:eastAsia="zh-CN"/>
        </w:rPr>
      </w:pPr>
      <w:r>
        <w:rPr>
          <w:rFonts w:hint="eastAsia" w:ascii="黑体" w:hAnsi="黑体" w:eastAsia="黑体"/>
          <w:highlight w:val="none"/>
          <w:lang w:val="en-US" w:eastAsia="zh-CN"/>
        </w:rPr>
        <w:t>监理报告  s</w:t>
      </w:r>
      <w:r>
        <w:rPr>
          <w:rFonts w:hint="default" w:ascii="黑体" w:hAnsi="黑体" w:eastAsia="黑体"/>
          <w:highlight w:val="none"/>
          <w:lang w:val="en-US" w:eastAsia="zh-CN"/>
        </w:rPr>
        <w:t>upervision</w:t>
      </w:r>
      <w:r>
        <w:rPr>
          <w:rFonts w:hint="eastAsia" w:ascii="黑体" w:hAnsi="黑体" w:eastAsia="黑体"/>
          <w:highlight w:val="none"/>
          <w:lang w:val="en-US" w:eastAsia="zh-CN"/>
        </w:rPr>
        <w:t xml:space="preserve"> report</w:t>
      </w:r>
    </w:p>
    <w:p>
      <w:pPr>
        <w:keepNext w:val="0"/>
        <w:keepLines w:val="0"/>
        <w:pageBreakBefore w:val="0"/>
        <w:kinsoku/>
        <w:overflowPunct/>
        <w:topLinePunct w:val="0"/>
        <w:bidi w:val="0"/>
        <w:spacing w:line="240" w:lineRule="auto"/>
        <w:ind w:firstLine="420" w:firstLineChars="20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监理机构（3.</w:t>
      </w:r>
      <w:r>
        <w:rPr>
          <w:rFonts w:hint="eastAsia" w:asciiTheme="minorEastAsia" w:hAnsiTheme="minorEastAsia" w:eastAsiaTheme="minorEastAsia" w:cstheme="minorEastAsia"/>
          <w:sz w:val="21"/>
          <w:szCs w:val="21"/>
          <w:lang w:val="en-US" w:eastAsia="zh-CN"/>
        </w:rPr>
        <w:t>5</w:t>
      </w:r>
      <w:r>
        <w:rPr>
          <w:rFonts w:hint="eastAsia" w:asciiTheme="minorEastAsia" w:hAnsiTheme="minorEastAsia" w:eastAsiaTheme="minorEastAsia" w:cstheme="minorEastAsia"/>
          <w:sz w:val="21"/>
          <w:szCs w:val="21"/>
        </w:rPr>
        <w:t>）在档案服务外包项目结束后向发包方提交的档案监理工作及档案服务外包项目实施情况等的总体性分析总结报告。</w:t>
      </w:r>
    </w:p>
    <w:p>
      <w:pPr>
        <w:keepNext w:val="0"/>
        <w:keepLines w:val="0"/>
        <w:pageBreakBefore w:val="0"/>
        <w:kinsoku/>
        <w:overflowPunct/>
        <w:topLinePunct w:val="0"/>
        <w:bidi w:val="0"/>
        <w:spacing w:line="240" w:lineRule="auto"/>
        <w:ind w:firstLine="360" w:firstLineChars="200"/>
        <w:textAlignment w:val="auto"/>
        <w:outlineLvl w:val="9"/>
        <w:rPr>
          <w:rFonts w:hint="eastAsia" w:asciiTheme="minorEastAsia" w:hAnsiTheme="minorEastAsia" w:eastAsiaTheme="minorEastAsia" w:cstheme="minorEastAsia"/>
          <w:sz w:val="18"/>
          <w:szCs w:val="18"/>
          <w:lang w:val="en-US" w:eastAsia="zh-CN"/>
        </w:rPr>
      </w:pPr>
      <w:r>
        <w:rPr>
          <w:rFonts w:hint="eastAsia" w:ascii="黑体" w:hAnsi="黑体" w:eastAsia="黑体" w:cs="黑体"/>
          <w:sz w:val="18"/>
          <w:szCs w:val="18"/>
          <w:lang w:val="en-US" w:eastAsia="zh-CN"/>
        </w:rPr>
        <w:t>注：</w:t>
      </w:r>
      <w:r>
        <w:rPr>
          <w:rFonts w:hint="eastAsia" w:asciiTheme="minorEastAsia" w:hAnsiTheme="minorEastAsia" w:eastAsiaTheme="minorEastAsia" w:cstheme="minorEastAsia"/>
          <w:sz w:val="18"/>
          <w:szCs w:val="18"/>
          <w:lang w:val="en-US" w:eastAsia="zh-CN"/>
        </w:rPr>
        <w:t>本文件中，发包方采用</w:t>
      </w:r>
      <w:r>
        <w:rPr>
          <w:rFonts w:hint="eastAsia" w:asciiTheme="minorEastAsia" w:hAnsiTheme="minorEastAsia" w:eastAsiaTheme="minorEastAsia" w:cstheme="minorEastAsia"/>
          <w:sz w:val="18"/>
          <w:szCs w:val="18"/>
        </w:rPr>
        <w:t>DA/T68.1—2020，</w:t>
      </w:r>
      <w:r>
        <w:rPr>
          <w:rFonts w:hint="eastAsia" w:asciiTheme="minorEastAsia" w:hAnsiTheme="minorEastAsia" w:eastAsiaTheme="minorEastAsia" w:cstheme="minorEastAsia"/>
          <w:sz w:val="18"/>
          <w:szCs w:val="18"/>
          <w:lang w:val="en-US" w:eastAsia="zh-CN"/>
        </w:rPr>
        <w:t>3.4的定义。</w:t>
      </w:r>
    </w:p>
    <w:p>
      <w:pPr>
        <w:pStyle w:val="26"/>
        <w:keepNext w:val="0"/>
        <w:keepLines w:val="0"/>
        <w:pageBreakBefore w:val="0"/>
        <w:kinsoku/>
        <w:overflowPunct/>
        <w:topLinePunct w:val="0"/>
        <w:bidi w:val="0"/>
        <w:ind w:left="420" w:hanging="420" w:hangingChars="200"/>
        <w:textAlignment w:val="auto"/>
        <w:outlineLvl w:val="9"/>
        <w:rPr>
          <w:rFonts w:hint="eastAsia" w:ascii="黑体" w:hAnsi="黑体" w:eastAsia="黑体"/>
        </w:rPr>
      </w:pPr>
    </w:p>
    <w:p>
      <w:pPr>
        <w:pStyle w:val="26"/>
        <w:keepNext w:val="0"/>
        <w:keepLines w:val="0"/>
        <w:pageBreakBefore w:val="0"/>
        <w:numPr>
          <w:ilvl w:val="0"/>
          <w:numId w:val="0"/>
        </w:numPr>
        <w:kinsoku/>
        <w:overflowPunct/>
        <w:topLinePunct w:val="0"/>
        <w:bidi w:val="0"/>
        <w:ind w:left="420"/>
        <w:textAlignment w:val="auto"/>
        <w:outlineLvl w:val="9"/>
        <w:rPr>
          <w:rFonts w:hint="default" w:ascii="黑体" w:hAnsi="黑体" w:eastAsia="黑体"/>
          <w:highlight w:val="none"/>
          <w:lang w:val="en-US" w:eastAsia="zh-CN"/>
        </w:rPr>
      </w:pPr>
      <w:r>
        <w:rPr>
          <w:rFonts w:hint="eastAsia" w:ascii="黑体" w:hAnsi="黑体" w:eastAsia="黑体"/>
          <w:highlight w:val="none"/>
          <w:lang w:val="en-US" w:eastAsia="zh-CN"/>
        </w:rPr>
        <w:t>签认  signature and approval</w:t>
      </w:r>
    </w:p>
    <w:p>
      <w:pPr>
        <w:keepNext w:val="0"/>
        <w:keepLines w:val="0"/>
        <w:pageBreakBefore w:val="0"/>
        <w:kinsoku/>
        <w:overflowPunct/>
        <w:topLinePunct w:val="0"/>
        <w:bidi w:val="0"/>
        <w:spacing w:line="240" w:lineRule="auto"/>
        <w:ind w:firstLine="420" w:firstLineChars="20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在档案监理过程中，发包方、监理方（3.</w:t>
      </w:r>
      <w:r>
        <w:rPr>
          <w:rFonts w:hint="eastAsia" w:asciiTheme="minorEastAsia" w:hAnsiTheme="minorEastAsia" w:eastAsiaTheme="minorEastAsia" w:cstheme="minorEastAsia"/>
          <w:sz w:val="21"/>
          <w:szCs w:val="21"/>
          <w:lang w:val="en-US" w:eastAsia="zh-CN"/>
        </w:rPr>
        <w:t>4</w:t>
      </w:r>
      <w:r>
        <w:rPr>
          <w:rFonts w:hint="eastAsia" w:asciiTheme="minorEastAsia" w:hAnsiTheme="minorEastAsia" w:eastAsiaTheme="minorEastAsia" w:cstheme="minorEastAsia"/>
          <w:sz w:val="21"/>
          <w:szCs w:val="21"/>
        </w:rPr>
        <w:t>）、承包方中任何一方签署并认可其他方所提供文件的活动。</w:t>
      </w:r>
    </w:p>
    <w:p>
      <w:pPr>
        <w:pStyle w:val="29"/>
        <w:keepNext w:val="0"/>
        <w:keepLines w:val="0"/>
        <w:pageBreakBefore w:val="0"/>
        <w:widowControl/>
        <w:kinsoku/>
        <w:wordWrap/>
        <w:overflowPunct/>
        <w:topLinePunct w:val="0"/>
        <w:autoSpaceDE/>
        <w:autoSpaceDN/>
        <w:bidi w:val="0"/>
        <w:adjustRightInd/>
        <w:snapToGrid/>
        <w:spacing w:before="312" w:after="312"/>
        <w:textAlignment w:val="auto"/>
        <w:outlineLvl w:val="0"/>
        <w:rPr>
          <w:rFonts w:hint="eastAsia"/>
        </w:rPr>
      </w:pPr>
      <w:bookmarkStart w:id="69" w:name="_Toc122448159"/>
      <w:bookmarkStart w:id="70" w:name="_Toc17691"/>
      <w:r>
        <w:rPr>
          <w:rFonts w:hint="eastAsia"/>
        </w:rPr>
        <w:t>总体要求</w:t>
      </w:r>
      <w:bookmarkEnd w:id="69"/>
      <w:bookmarkEnd w:id="70"/>
    </w:p>
    <w:p>
      <w:pPr>
        <w:pStyle w:val="28"/>
        <w:keepNext w:val="0"/>
        <w:keepLines w:val="0"/>
        <w:pageBreakBefore w:val="0"/>
        <w:widowControl/>
        <w:kinsoku/>
        <w:wordWrap/>
        <w:overflowPunct/>
        <w:topLinePunct w:val="0"/>
        <w:autoSpaceDE/>
        <w:autoSpaceDN/>
        <w:bidi w:val="0"/>
        <w:adjustRightInd/>
        <w:snapToGrid/>
        <w:spacing w:before="0" w:beforeLines="0" w:after="0" w:afterLines="0"/>
        <w:textAlignment w:val="auto"/>
        <w:outlineLvl w:val="9"/>
        <w:rPr>
          <w:rFonts w:hint="eastAsia"/>
        </w:rPr>
      </w:pPr>
      <w:bookmarkStart w:id="71" w:name="_Toc26563"/>
      <w:bookmarkStart w:id="72" w:name="_Toc29249"/>
      <w:bookmarkStart w:id="73" w:name="_Toc28630"/>
      <w:r>
        <w:rPr>
          <w:rFonts w:hint="eastAsia" w:asciiTheme="minorEastAsia" w:hAnsiTheme="minorEastAsia" w:eastAsiaTheme="minorEastAsia" w:cstheme="minorEastAsia"/>
          <w:kern w:val="2"/>
          <w:sz w:val="21"/>
          <w:szCs w:val="21"/>
          <w:lang w:val="en-US" w:eastAsia="zh-CN" w:bidi="ar-SA"/>
        </w:rPr>
        <w:t>档案监理方在档案监理活动中应保持独立，不受其他因素影响，秉承客观、中立、公正的原则，采用科学方法对承包方进行评价，并如实向发包方进行反馈，避免夸大或疏漏。</w:t>
      </w:r>
      <w:bookmarkEnd w:id="71"/>
      <w:bookmarkEnd w:id="72"/>
      <w:bookmarkEnd w:id="73"/>
    </w:p>
    <w:p>
      <w:pPr>
        <w:pStyle w:val="28"/>
        <w:keepNext w:val="0"/>
        <w:keepLines w:val="0"/>
        <w:pageBreakBefore w:val="0"/>
        <w:widowControl/>
        <w:kinsoku/>
        <w:wordWrap/>
        <w:overflowPunct/>
        <w:topLinePunct w:val="0"/>
        <w:autoSpaceDE/>
        <w:autoSpaceDN/>
        <w:bidi w:val="0"/>
        <w:adjustRightInd/>
        <w:snapToGrid/>
        <w:spacing w:before="0" w:beforeLines="0" w:after="0" w:afterLines="0"/>
        <w:textAlignment w:val="auto"/>
        <w:outlineLvl w:val="9"/>
        <w:rPr>
          <w:rFonts w:hint="eastAsia" w:asciiTheme="minorEastAsia" w:hAnsiTheme="minorEastAsia" w:eastAsiaTheme="minorEastAsia" w:cstheme="minorEastAsia"/>
          <w:kern w:val="2"/>
          <w:sz w:val="21"/>
          <w:szCs w:val="21"/>
          <w:lang w:val="en-US" w:eastAsia="zh-CN" w:bidi="ar-SA"/>
        </w:rPr>
      </w:pPr>
      <w:bookmarkStart w:id="74" w:name="_Toc26749"/>
      <w:bookmarkStart w:id="75" w:name="_Toc23248"/>
      <w:r>
        <w:rPr>
          <w:rFonts w:hint="eastAsia" w:asciiTheme="minorEastAsia" w:hAnsiTheme="minorEastAsia" w:eastAsiaTheme="minorEastAsia" w:cstheme="minorEastAsia"/>
          <w:kern w:val="2"/>
          <w:sz w:val="21"/>
          <w:szCs w:val="21"/>
          <w:lang w:val="en-US" w:eastAsia="zh-CN" w:bidi="ar-SA"/>
        </w:rPr>
        <w:t>档案监理方在档案监理活动中应坚持法规遵从，以法律法规为准绳，掌握目前监理行业相关法律法规以及档案行业法律法规对于档案监理活动的有关规定，主动与业务范围内档案监理活动进行对照，确保档案监理活动遵守法律法规的相关规定。</w:t>
      </w:r>
      <w:bookmarkEnd w:id="74"/>
      <w:bookmarkEnd w:id="75"/>
    </w:p>
    <w:p>
      <w:pPr>
        <w:pStyle w:val="28"/>
        <w:keepNext w:val="0"/>
        <w:keepLines w:val="0"/>
        <w:pageBreakBefore w:val="0"/>
        <w:widowControl/>
        <w:kinsoku/>
        <w:wordWrap/>
        <w:overflowPunct/>
        <w:topLinePunct w:val="0"/>
        <w:autoSpaceDE/>
        <w:autoSpaceDN/>
        <w:bidi w:val="0"/>
        <w:adjustRightInd/>
        <w:snapToGrid/>
        <w:spacing w:before="0" w:beforeLines="0" w:after="0" w:afterLines="0" w:line="240" w:lineRule="auto"/>
        <w:textAlignment w:val="auto"/>
        <w:outlineLvl w:val="9"/>
        <w:rPr>
          <w:rFonts w:hint="eastAsia" w:asciiTheme="minorEastAsia" w:hAnsiTheme="minorEastAsia" w:eastAsiaTheme="minorEastAsia" w:cstheme="minorEastAsia"/>
          <w:kern w:val="2"/>
          <w:sz w:val="21"/>
          <w:szCs w:val="21"/>
          <w:lang w:val="en-US" w:eastAsia="zh-CN" w:bidi="ar-SA"/>
        </w:rPr>
      </w:pPr>
      <w:bookmarkStart w:id="76" w:name="_Toc24142"/>
      <w:bookmarkStart w:id="77" w:name="_Toc30368"/>
      <w:r>
        <w:rPr>
          <w:rFonts w:hint="eastAsia" w:asciiTheme="minorEastAsia" w:hAnsiTheme="minorEastAsia" w:eastAsiaTheme="minorEastAsia" w:cstheme="minorEastAsia"/>
          <w:kern w:val="2"/>
          <w:sz w:val="21"/>
          <w:szCs w:val="21"/>
          <w:lang w:val="en-US" w:eastAsia="zh-CN" w:bidi="ar-SA"/>
        </w:rPr>
        <w:t>档案监理方在档案监理活动中应坚持全过程控制，在合同确定的监理阶段和监理目标内，采取有效监理措施，落实档案监理活动的“三控三管一协调”。</w:t>
      </w:r>
      <w:bookmarkEnd w:id="76"/>
      <w:bookmarkEnd w:id="77"/>
    </w:p>
    <w:p>
      <w:pPr>
        <w:pStyle w:val="28"/>
        <w:keepNext w:val="0"/>
        <w:keepLines w:val="0"/>
        <w:pageBreakBefore w:val="0"/>
        <w:widowControl/>
        <w:numPr>
          <w:ilvl w:val="2"/>
          <w:numId w:val="0"/>
        </w:numPr>
        <w:kinsoku/>
        <w:wordWrap/>
        <w:overflowPunct/>
        <w:topLinePunct w:val="0"/>
        <w:autoSpaceDE/>
        <w:autoSpaceDN/>
        <w:bidi w:val="0"/>
        <w:adjustRightInd/>
        <w:snapToGrid/>
        <w:spacing w:before="0" w:beforeLines="0" w:after="0" w:afterLines="0" w:line="240" w:lineRule="auto"/>
        <w:ind w:leftChars="0" w:firstLine="360" w:firstLineChars="200"/>
        <w:textAlignment w:val="auto"/>
        <w:outlineLvl w:val="9"/>
        <w:rPr>
          <w:rFonts w:hint="eastAsia" w:asciiTheme="minorEastAsia" w:hAnsiTheme="minorEastAsia" w:eastAsiaTheme="minorEastAsia" w:cstheme="minorEastAsia"/>
          <w:kern w:val="2"/>
          <w:sz w:val="21"/>
          <w:szCs w:val="21"/>
          <w:lang w:val="en-US" w:eastAsia="zh-CN" w:bidi="ar-SA"/>
        </w:rPr>
      </w:pPr>
      <w:bookmarkStart w:id="78" w:name="_Toc13507"/>
      <w:bookmarkStart w:id="79" w:name="_Toc10718"/>
      <w:r>
        <w:rPr>
          <w:rFonts w:hint="eastAsia" w:ascii="黑体" w:hAnsi="黑体" w:eastAsia="黑体" w:cs="黑体"/>
          <w:kern w:val="2"/>
          <w:sz w:val="18"/>
          <w:szCs w:val="18"/>
          <w:lang w:val="en-US" w:eastAsia="zh-CN" w:bidi="ar-SA"/>
        </w:rPr>
        <w:t>注：</w:t>
      </w:r>
      <w:r>
        <w:rPr>
          <w:rFonts w:hint="eastAsia" w:asciiTheme="minorEastAsia" w:hAnsiTheme="minorEastAsia" w:eastAsiaTheme="minorEastAsia" w:cstheme="minorEastAsia"/>
          <w:kern w:val="2"/>
          <w:sz w:val="18"/>
          <w:szCs w:val="18"/>
          <w:lang w:val="en-US" w:eastAsia="zh-CN" w:bidi="ar-SA"/>
        </w:rPr>
        <w:t>“三控三管一协调”指质量控制、进度控制、投资控制、合同管理、信息管理、安全生产管理与协调。</w:t>
      </w:r>
      <w:bookmarkEnd w:id="78"/>
      <w:bookmarkEnd w:id="79"/>
    </w:p>
    <w:p>
      <w:pPr>
        <w:pStyle w:val="28"/>
        <w:keepNext w:val="0"/>
        <w:keepLines w:val="0"/>
        <w:pageBreakBefore w:val="0"/>
        <w:widowControl/>
        <w:kinsoku/>
        <w:wordWrap/>
        <w:overflowPunct/>
        <w:topLinePunct w:val="0"/>
        <w:autoSpaceDE/>
        <w:autoSpaceDN/>
        <w:bidi w:val="0"/>
        <w:adjustRightInd/>
        <w:snapToGrid/>
        <w:spacing w:before="0" w:beforeLines="0" w:after="0" w:afterLines="0"/>
        <w:textAlignment w:val="auto"/>
        <w:outlineLvl w:val="9"/>
        <w:rPr>
          <w:rFonts w:hint="eastAsia"/>
          <w:lang w:val="en-US" w:eastAsia="zh-CN"/>
        </w:rPr>
      </w:pPr>
      <w:bookmarkStart w:id="80" w:name="_Toc25955"/>
      <w:bookmarkStart w:id="81" w:name="_Toc1354"/>
      <w:r>
        <w:rPr>
          <w:rFonts w:hint="eastAsia" w:asciiTheme="minorEastAsia" w:hAnsiTheme="minorEastAsia" w:eastAsiaTheme="minorEastAsia" w:cstheme="minorEastAsia"/>
          <w:kern w:val="2"/>
          <w:sz w:val="21"/>
          <w:szCs w:val="21"/>
          <w:lang w:val="en-US" w:eastAsia="zh-CN" w:bidi="ar-SA"/>
        </w:rPr>
        <w:t>档案监理明确尊重档案主管部门的监管地位，发包方、承包方、监理方接受档案主管部门的监督指导，应主动报告监理过程中存在的重大问题。在法律法规及合同约束下，发包方、承包方、监理方、监管机构在各自权利责任范围内采取管理措施，促进档案监理活动的顺利开展，确保档案安全。</w:t>
      </w:r>
      <w:bookmarkEnd w:id="80"/>
      <w:bookmarkEnd w:id="81"/>
    </w:p>
    <w:p>
      <w:pPr>
        <w:pStyle w:val="29"/>
        <w:keepNext w:val="0"/>
        <w:keepLines w:val="0"/>
        <w:pageBreakBefore w:val="0"/>
        <w:widowControl/>
        <w:kinsoku/>
        <w:wordWrap/>
        <w:overflowPunct/>
        <w:topLinePunct w:val="0"/>
        <w:autoSpaceDE/>
        <w:autoSpaceDN/>
        <w:bidi w:val="0"/>
        <w:adjustRightInd/>
        <w:snapToGrid/>
        <w:spacing w:before="312" w:after="312"/>
        <w:textAlignment w:val="auto"/>
        <w:outlineLvl w:val="0"/>
        <w:rPr>
          <w:rFonts w:hint="eastAsia"/>
        </w:rPr>
      </w:pPr>
      <w:bookmarkStart w:id="82" w:name="_Toc29681"/>
      <w:r>
        <w:rPr>
          <w:rFonts w:hint="eastAsia"/>
          <w:lang w:val="en-US" w:eastAsia="zh-CN"/>
        </w:rPr>
        <w:t>档案监理范围</w:t>
      </w:r>
      <w:bookmarkEnd w:id="82"/>
    </w:p>
    <w:p>
      <w:pPr>
        <w:pStyle w:val="9"/>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outlineLvl w:val="9"/>
        <w:rPr>
          <w:rFonts w:hint="eastAsia"/>
          <w:lang w:val="en-US" w:eastAsia="zh-CN"/>
        </w:rPr>
      </w:pPr>
      <w:r>
        <w:rPr>
          <w:rFonts w:hint="eastAsia"/>
          <w:lang w:val="en-US" w:eastAsia="zh-CN"/>
        </w:rPr>
        <w:t>档案监理范围包括但不限于：</w:t>
      </w:r>
    </w:p>
    <w:p>
      <w:pPr>
        <w:pStyle w:val="39"/>
        <w:keepNext w:val="0"/>
        <w:keepLines w:val="0"/>
        <w:pageBreakBefore w:val="0"/>
        <w:widowControl/>
        <w:numPr>
          <w:ilvl w:val="0"/>
          <w:numId w:val="6"/>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档案寄存服务；</w:t>
      </w:r>
    </w:p>
    <w:p>
      <w:pPr>
        <w:pStyle w:val="39"/>
        <w:keepNext w:val="0"/>
        <w:keepLines w:val="0"/>
        <w:pageBreakBefore w:val="0"/>
        <w:widowControl/>
        <w:numPr>
          <w:ilvl w:val="0"/>
          <w:numId w:val="6"/>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档案数字化服务；</w:t>
      </w:r>
    </w:p>
    <w:p>
      <w:pPr>
        <w:pStyle w:val="39"/>
        <w:keepNext w:val="0"/>
        <w:keepLines w:val="0"/>
        <w:pageBreakBefore w:val="0"/>
        <w:widowControl/>
        <w:numPr>
          <w:ilvl w:val="0"/>
          <w:numId w:val="6"/>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档案整理服务；</w:t>
      </w:r>
    </w:p>
    <w:p>
      <w:pPr>
        <w:pStyle w:val="39"/>
        <w:keepNext w:val="0"/>
        <w:keepLines w:val="0"/>
        <w:pageBreakBefore w:val="0"/>
        <w:widowControl/>
        <w:numPr>
          <w:ilvl w:val="0"/>
          <w:numId w:val="6"/>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档案管理咨询服务；</w:t>
      </w:r>
    </w:p>
    <w:p>
      <w:pPr>
        <w:pStyle w:val="39"/>
        <w:keepNext w:val="0"/>
        <w:keepLines w:val="0"/>
        <w:pageBreakBefore w:val="0"/>
        <w:widowControl/>
        <w:numPr>
          <w:ilvl w:val="0"/>
          <w:numId w:val="6"/>
        </w:numPr>
        <w:kinsoku/>
        <w:wordWrap/>
        <w:overflowPunct/>
        <w:topLinePunct w:val="0"/>
        <w:autoSpaceDE/>
        <w:autoSpaceDN/>
        <w:bidi w:val="0"/>
        <w:adjustRightInd/>
        <w:snapToGrid/>
        <w:ind w:left="840" w:leftChars="200" w:hanging="420" w:hangingChars="200"/>
        <w:textAlignment w:val="auto"/>
        <w:rPr>
          <w:rFonts w:hint="default"/>
          <w:lang w:val="en-US" w:eastAsia="zh-CN"/>
        </w:rPr>
      </w:pPr>
      <w:r>
        <w:rPr>
          <w:rFonts w:hint="eastAsia"/>
          <w:lang w:val="en-US" w:eastAsia="zh-CN"/>
        </w:rPr>
        <w:t>档案开发利用服务；</w:t>
      </w:r>
    </w:p>
    <w:p>
      <w:pPr>
        <w:pStyle w:val="39"/>
        <w:keepNext w:val="0"/>
        <w:keepLines w:val="0"/>
        <w:pageBreakBefore w:val="0"/>
        <w:widowControl/>
        <w:numPr>
          <w:ilvl w:val="0"/>
          <w:numId w:val="6"/>
        </w:numPr>
        <w:kinsoku/>
        <w:wordWrap/>
        <w:overflowPunct/>
        <w:topLinePunct w:val="0"/>
        <w:autoSpaceDE/>
        <w:autoSpaceDN/>
        <w:bidi w:val="0"/>
        <w:adjustRightInd/>
        <w:snapToGrid/>
        <w:ind w:left="840" w:leftChars="200" w:hanging="420" w:hangingChars="200"/>
        <w:textAlignment w:val="auto"/>
        <w:rPr>
          <w:rFonts w:hint="default"/>
          <w:lang w:val="en-US" w:eastAsia="zh-CN"/>
        </w:rPr>
      </w:pPr>
      <w:r>
        <w:rPr>
          <w:rFonts w:hint="eastAsia"/>
          <w:lang w:val="en-US" w:eastAsia="zh-CN"/>
        </w:rPr>
        <w:t>档案销毁服务；</w:t>
      </w:r>
    </w:p>
    <w:p>
      <w:pPr>
        <w:pStyle w:val="39"/>
        <w:keepNext w:val="0"/>
        <w:keepLines w:val="0"/>
        <w:pageBreakBefore w:val="0"/>
        <w:widowControl/>
        <w:numPr>
          <w:ilvl w:val="0"/>
          <w:numId w:val="6"/>
        </w:numPr>
        <w:kinsoku/>
        <w:wordWrap/>
        <w:overflowPunct/>
        <w:topLinePunct w:val="0"/>
        <w:autoSpaceDE/>
        <w:autoSpaceDN/>
        <w:bidi w:val="0"/>
        <w:adjustRightInd/>
        <w:snapToGrid/>
        <w:ind w:left="840" w:leftChars="200" w:hanging="420" w:hangingChars="200"/>
        <w:textAlignment w:val="auto"/>
        <w:rPr>
          <w:rFonts w:hint="default"/>
          <w:lang w:val="en-US" w:eastAsia="zh-CN"/>
        </w:rPr>
      </w:pPr>
      <w:r>
        <w:rPr>
          <w:rFonts w:hint="eastAsia"/>
          <w:lang w:val="en-US" w:eastAsia="zh-CN"/>
        </w:rPr>
        <w:t>档案数据采集服务。</w:t>
      </w:r>
    </w:p>
    <w:p>
      <w:pPr>
        <w:pStyle w:val="29"/>
        <w:keepNext w:val="0"/>
        <w:keepLines w:val="0"/>
        <w:pageBreakBefore w:val="0"/>
        <w:widowControl/>
        <w:kinsoku/>
        <w:wordWrap/>
        <w:overflowPunct/>
        <w:topLinePunct w:val="0"/>
        <w:autoSpaceDE/>
        <w:autoSpaceDN/>
        <w:bidi w:val="0"/>
        <w:adjustRightInd/>
        <w:snapToGrid/>
        <w:spacing w:before="312" w:after="312"/>
        <w:textAlignment w:val="auto"/>
        <w:outlineLvl w:val="0"/>
        <w:rPr>
          <w:rFonts w:hint="eastAsia" w:ascii="黑体" w:hAnsi="黑体" w:eastAsia="黑体" w:cs="黑体"/>
          <w:kern w:val="2"/>
          <w:sz w:val="21"/>
          <w:szCs w:val="21"/>
          <w:lang w:val="en-US" w:eastAsia="zh-CN" w:bidi="ar-SA"/>
        </w:rPr>
      </w:pPr>
      <w:bookmarkStart w:id="83" w:name="_Toc13173"/>
      <w:r>
        <w:rPr>
          <w:rFonts w:hint="eastAsia"/>
          <w:lang w:val="en-US" w:eastAsia="zh-CN"/>
        </w:rPr>
        <w:t>工作模型</w:t>
      </w:r>
      <w:bookmarkEnd w:id="83"/>
    </w:p>
    <w:p>
      <w:pPr>
        <w:pStyle w:val="28"/>
        <w:keepNext w:val="0"/>
        <w:keepLines w:val="0"/>
        <w:pageBreakBefore w:val="0"/>
        <w:kinsoku/>
        <w:wordWrap/>
        <w:overflowPunct/>
        <w:topLinePunct w:val="0"/>
        <w:autoSpaceDE/>
        <w:autoSpaceDN/>
        <w:bidi w:val="0"/>
        <w:adjustRightInd/>
        <w:snapToGrid/>
        <w:spacing w:before="0" w:beforeLines="0" w:after="0" w:afterLines="0" w:line="240" w:lineRule="auto"/>
        <w:textAlignment w:val="auto"/>
        <w:outlineLvl w:val="9"/>
        <w:rPr>
          <w:rFonts w:hint="eastAsia" w:asciiTheme="minorEastAsia" w:hAnsiTheme="minorEastAsia" w:eastAsiaTheme="minorEastAsia" w:cstheme="minorEastAsia"/>
          <w:kern w:val="2"/>
          <w:sz w:val="21"/>
          <w:szCs w:val="21"/>
          <w:lang w:val="en-US" w:eastAsia="zh-CN" w:bidi="ar-SA"/>
        </w:rPr>
      </w:pPr>
      <w:bookmarkStart w:id="84" w:name="_Toc3570"/>
      <w:bookmarkStart w:id="85" w:name="_Toc16336"/>
      <w:r>
        <w:rPr>
          <w:rFonts w:hint="eastAsia" w:asciiTheme="minorEastAsia" w:hAnsiTheme="minorEastAsia" w:eastAsiaTheme="minorEastAsia" w:cstheme="minorEastAsia"/>
          <w:kern w:val="2"/>
          <w:sz w:val="21"/>
          <w:szCs w:val="21"/>
          <w:lang w:val="en-US" w:eastAsia="zh-CN" w:bidi="ar-SA"/>
        </w:rPr>
        <w:t>档案监理规范工作模型由监理支撑要素、监理主体、监理阶段、监理内容和安全合规五部分组成，关系如图</w:t>
      </w:r>
      <w:r>
        <w:rPr>
          <w:rFonts w:hint="default" w:asciiTheme="minorEastAsia" w:hAnsiTheme="minorEastAsia" w:eastAsiaTheme="minorEastAsia" w:cstheme="minorEastAsia"/>
          <w:kern w:val="2"/>
          <w:sz w:val="21"/>
          <w:szCs w:val="21"/>
          <w:lang w:val="en-US" w:eastAsia="zh-CN" w:bidi="ar-SA"/>
        </w:rPr>
        <w:t>1</w:t>
      </w:r>
      <w:r>
        <w:rPr>
          <w:rFonts w:hint="eastAsia" w:asciiTheme="minorEastAsia" w:hAnsiTheme="minorEastAsia" w:eastAsiaTheme="minorEastAsia" w:cstheme="minorEastAsia"/>
          <w:kern w:val="2"/>
          <w:sz w:val="21"/>
          <w:szCs w:val="21"/>
          <w:lang w:val="en-US" w:eastAsia="zh-CN" w:bidi="ar-SA"/>
        </w:rPr>
        <w:t>所示。</w:t>
      </w:r>
      <w:bookmarkEnd w:id="84"/>
      <w:bookmarkEnd w:id="85"/>
    </w:p>
    <w:p>
      <w:pPr>
        <w:pStyle w:val="9"/>
        <w:keepNext w:val="0"/>
        <w:keepLines w:val="0"/>
        <w:pageBreakBefore w:val="0"/>
        <w:kinsoku/>
        <w:wordWrap/>
        <w:overflowPunct/>
        <w:topLinePunct w:val="0"/>
        <w:autoSpaceDE/>
        <w:autoSpaceDN/>
        <w:bidi w:val="0"/>
        <w:adjustRightInd/>
        <w:snapToGrid/>
        <w:jc w:val="center"/>
        <w:textAlignment w:val="auto"/>
        <w:outlineLvl w:val="9"/>
        <w:rPr>
          <w:rFonts w:hint="eastAsia" w:ascii="宋体" w:hAnsi="宋体" w:eastAsia="宋体" w:cs="宋体"/>
          <w:sz w:val="24"/>
          <w:lang w:eastAsia="zh-CN"/>
        </w:rPr>
      </w:pPr>
      <w:r>
        <w:rPr>
          <w:rFonts w:hint="eastAsia" w:ascii="宋体" w:hAnsi="宋体" w:eastAsia="宋体" w:cs="宋体"/>
          <w:sz w:val="24"/>
          <w:lang w:eastAsia="zh-CN"/>
        </w:rPr>
        <w:drawing>
          <wp:inline distT="0" distB="0" distL="114300" distR="114300">
            <wp:extent cx="4312920" cy="3204210"/>
            <wp:effectExtent l="0" t="0" r="11430" b="15240"/>
            <wp:docPr id="29" name="图片 29" descr="档案服务外包监理模型"/>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9" name="图片 29" descr="档案服务外包监理模型"/>
                    <pic:cNvPicPr>
                      <a:picLocks noChangeAspect="true"/>
                    </pic:cNvPicPr>
                  </pic:nvPicPr>
                  <pic:blipFill>
                    <a:blip r:embed="rId31"/>
                    <a:stretch>
                      <a:fillRect/>
                    </a:stretch>
                  </pic:blipFill>
                  <pic:spPr>
                    <a:xfrm>
                      <a:off x="0" y="0"/>
                      <a:ext cx="4312920" cy="3204210"/>
                    </a:xfrm>
                    <a:prstGeom prst="rect">
                      <a:avLst/>
                    </a:prstGeom>
                  </pic:spPr>
                </pic:pic>
              </a:graphicData>
            </a:graphic>
          </wp:inline>
        </w:drawing>
      </w:r>
    </w:p>
    <w:p>
      <w:pPr>
        <w:pStyle w:val="9"/>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outlineLvl w:val="9"/>
        <w:rPr>
          <w:rFonts w:hint="eastAsia" w:ascii="黑体" w:hAnsi="黑体" w:eastAsia="黑体" w:cs="黑体"/>
          <w:lang w:val="en-US" w:eastAsia="zh-CN"/>
        </w:rPr>
      </w:pPr>
      <w:r>
        <w:rPr>
          <w:rFonts w:hint="eastAsia" w:ascii="黑体" w:hAnsi="黑体" w:eastAsia="黑体" w:cs="黑体"/>
          <w:lang w:val="en-US" w:eastAsia="zh-CN"/>
        </w:rPr>
        <w:t>图1  档案监理规范工作模型</w:t>
      </w:r>
    </w:p>
    <w:p>
      <w:pPr>
        <w:pStyle w:val="28"/>
        <w:keepNext w:val="0"/>
        <w:keepLines w:val="0"/>
        <w:pageBreakBefore w:val="0"/>
        <w:kinsoku/>
        <w:wordWrap/>
        <w:overflowPunct/>
        <w:topLinePunct w:val="0"/>
        <w:autoSpaceDE/>
        <w:autoSpaceDN/>
        <w:bidi w:val="0"/>
        <w:adjustRightInd/>
        <w:snapToGrid/>
        <w:spacing w:before="0" w:beforeLines="0" w:after="0" w:afterLines="0" w:line="240" w:lineRule="auto"/>
        <w:textAlignment w:val="auto"/>
        <w:outlineLvl w:val="9"/>
        <w:rPr>
          <w:rFonts w:hint="eastAsia" w:asciiTheme="minorEastAsia" w:hAnsiTheme="minorEastAsia" w:eastAsiaTheme="minorEastAsia" w:cstheme="minorEastAsia"/>
          <w:kern w:val="2"/>
          <w:sz w:val="21"/>
          <w:szCs w:val="21"/>
          <w:lang w:val="en-US" w:eastAsia="zh-CN" w:bidi="ar-SA"/>
        </w:rPr>
      </w:pPr>
      <w:bookmarkStart w:id="86" w:name="_Toc2652"/>
      <w:bookmarkStart w:id="87" w:name="_Toc16659"/>
      <w:r>
        <w:rPr>
          <w:rFonts w:hint="eastAsia" w:asciiTheme="minorEastAsia" w:hAnsiTheme="minorEastAsia" w:eastAsiaTheme="minorEastAsia" w:cstheme="minorEastAsia"/>
          <w:kern w:val="2"/>
          <w:sz w:val="21"/>
          <w:szCs w:val="21"/>
          <w:lang w:val="en-US" w:eastAsia="zh-CN" w:bidi="ar-SA"/>
        </w:rPr>
        <w:t>档案监理工作应全过程、全方位遵从安全合规要求，监督、协调、理顺各方关系和问题，保证档案服务外包项目顺利开展。</w:t>
      </w:r>
      <w:bookmarkEnd w:id="86"/>
      <w:bookmarkEnd w:id="87"/>
    </w:p>
    <w:p>
      <w:pPr>
        <w:pStyle w:val="28"/>
        <w:keepNext w:val="0"/>
        <w:keepLines w:val="0"/>
        <w:pageBreakBefore w:val="0"/>
        <w:kinsoku/>
        <w:wordWrap/>
        <w:overflowPunct/>
        <w:topLinePunct w:val="0"/>
        <w:autoSpaceDE/>
        <w:autoSpaceDN/>
        <w:bidi w:val="0"/>
        <w:adjustRightInd/>
        <w:snapToGrid/>
        <w:spacing w:before="0" w:beforeLines="0" w:after="0" w:afterLines="0" w:line="240" w:lineRule="auto"/>
        <w:textAlignment w:val="auto"/>
        <w:outlineLvl w:val="9"/>
        <w:rPr>
          <w:rFonts w:hint="eastAsia" w:ascii="Calibri" w:hAnsi="Calibri" w:eastAsia="宋体" w:cs="Times New Roman"/>
          <w:kern w:val="2"/>
          <w:sz w:val="21"/>
          <w:szCs w:val="21"/>
          <w:lang w:val="en-US" w:eastAsia="zh-CN" w:bidi="ar-SA"/>
        </w:rPr>
      </w:pPr>
      <w:bookmarkStart w:id="88" w:name="_Toc21026"/>
      <w:bookmarkStart w:id="89" w:name="_Toc30422"/>
      <w:r>
        <w:rPr>
          <w:rFonts w:hint="eastAsia" w:asciiTheme="minorEastAsia" w:hAnsiTheme="minorEastAsia" w:eastAsiaTheme="minorEastAsia" w:cstheme="minorEastAsia"/>
          <w:kern w:val="2"/>
          <w:sz w:val="21"/>
          <w:szCs w:val="21"/>
          <w:lang w:val="en-US" w:eastAsia="zh-CN" w:bidi="ar-SA"/>
        </w:rPr>
        <w:t>安全合规主要包括法规遵循、生产安全与档案安全。在档案监理过程中，一切监理活动均应在法规制度许可的范围内进行，不应与法规制度相冲突。生产安全要求监理方在档案服务外包过程中认真履行监理责任，协调承包方的相关生产活动，排除隐患，确保档案服务外包项目安全实施并完成。档案安全要求在档案服务外包过程中确保档案的实体安全和信息安全，确保档案本身及信息内容无损坏、丢失、泄漏等。</w:t>
      </w:r>
      <w:bookmarkEnd w:id="88"/>
      <w:bookmarkEnd w:id="89"/>
    </w:p>
    <w:p>
      <w:pPr>
        <w:pStyle w:val="28"/>
        <w:keepNext w:val="0"/>
        <w:keepLines w:val="0"/>
        <w:pageBreakBefore w:val="0"/>
        <w:kinsoku/>
        <w:wordWrap/>
        <w:overflowPunct/>
        <w:topLinePunct w:val="0"/>
        <w:autoSpaceDE/>
        <w:autoSpaceDN/>
        <w:bidi w:val="0"/>
        <w:adjustRightInd/>
        <w:snapToGrid/>
        <w:spacing w:before="0" w:beforeLines="0" w:after="0" w:afterLines="0" w:line="240" w:lineRule="auto"/>
        <w:textAlignment w:val="auto"/>
        <w:outlineLvl w:val="9"/>
        <w:rPr>
          <w:rFonts w:hint="eastAsia"/>
          <w:sz w:val="21"/>
          <w:szCs w:val="21"/>
          <w:lang w:val="en-US" w:eastAsia="zh-CN"/>
        </w:rPr>
      </w:pPr>
      <w:bookmarkStart w:id="90" w:name="_Toc28801"/>
      <w:bookmarkStart w:id="91" w:name="_Toc25421"/>
      <w:r>
        <w:rPr>
          <w:rFonts w:hint="eastAsia" w:asciiTheme="minorEastAsia" w:hAnsiTheme="minorEastAsia" w:eastAsiaTheme="minorEastAsia" w:cstheme="minorEastAsia"/>
          <w:kern w:val="2"/>
          <w:sz w:val="21"/>
          <w:szCs w:val="21"/>
          <w:lang w:val="en-US" w:eastAsia="zh-CN" w:bidi="ar-SA"/>
        </w:rPr>
        <w:t>监理主体包括参与档案监理的所有行为主体，即发包方、承包方与监理方。发包方是档案监理服务的需求主体，承包方是档案监理服务的对象主体，监理方是提供档案监理服务的供给主体。发包方和承包方应签订合同建立委托与受托关系；监理方应签订合同受发包方委托为其提供监理服务，承包方应接受监理方对其业务活动的监督。在监理过程中，各主体均应接受监管机构的指导与监督。</w:t>
      </w:r>
      <w:bookmarkEnd w:id="90"/>
      <w:bookmarkEnd w:id="91"/>
    </w:p>
    <w:p>
      <w:pPr>
        <w:pStyle w:val="28"/>
        <w:keepNext w:val="0"/>
        <w:keepLines w:val="0"/>
        <w:pageBreakBefore w:val="0"/>
        <w:kinsoku/>
        <w:wordWrap/>
        <w:overflowPunct/>
        <w:topLinePunct w:val="0"/>
        <w:autoSpaceDE/>
        <w:autoSpaceDN/>
        <w:bidi w:val="0"/>
        <w:adjustRightInd/>
        <w:snapToGrid/>
        <w:spacing w:before="0" w:beforeLines="0" w:after="0" w:afterLines="0" w:line="240" w:lineRule="auto"/>
        <w:textAlignment w:val="auto"/>
        <w:outlineLvl w:val="9"/>
        <w:rPr>
          <w:rFonts w:hint="eastAsia"/>
          <w:sz w:val="21"/>
          <w:szCs w:val="21"/>
          <w:lang w:val="en-US" w:eastAsia="zh-CN"/>
        </w:rPr>
      </w:pPr>
      <w:bookmarkStart w:id="92" w:name="_Toc12417"/>
      <w:bookmarkStart w:id="93" w:name="_Toc17174"/>
      <w:r>
        <w:rPr>
          <w:rFonts w:hint="eastAsia" w:asciiTheme="minorEastAsia" w:hAnsiTheme="minorEastAsia" w:eastAsiaTheme="minorEastAsia" w:cstheme="minorEastAsia"/>
          <w:kern w:val="2"/>
          <w:sz w:val="21"/>
          <w:szCs w:val="21"/>
          <w:lang w:val="en-US" w:eastAsia="zh-CN" w:bidi="ar-SA"/>
        </w:rPr>
        <w:t>监理支撑要素包括法规标准、合同、监理规划、监理细则等文本，监理人员，监理设施，监管指导等四类。法规标准是开展监理活动的法律依托；监理合同是监理单位开展监理活动的法律依据；监理规划是开展监理工作的大纲性文件，规定了监理工作的方向；监理细则是基于监理规划所具体规定的操作性规范。监理人员包括总监理工程师、专业监理工程师、监理辅助人员等监理人员。监理设施是监理单位和发包方根据监理工作需要为监理机构配备的办公和生活设施工具。监管指导是监管机构对发包方、承包方与监理方档案业务进行的监督、指导、协调和管理等。</w:t>
      </w:r>
      <w:bookmarkEnd w:id="92"/>
      <w:bookmarkEnd w:id="93"/>
    </w:p>
    <w:p>
      <w:pPr>
        <w:pStyle w:val="28"/>
        <w:keepNext w:val="0"/>
        <w:keepLines w:val="0"/>
        <w:pageBreakBefore w:val="0"/>
        <w:kinsoku/>
        <w:wordWrap/>
        <w:overflowPunct/>
        <w:topLinePunct w:val="0"/>
        <w:autoSpaceDE/>
        <w:autoSpaceDN/>
        <w:bidi w:val="0"/>
        <w:adjustRightInd/>
        <w:snapToGrid/>
        <w:spacing w:before="0" w:beforeLines="0" w:after="0" w:afterLines="0" w:line="240" w:lineRule="auto"/>
        <w:textAlignment w:val="auto"/>
        <w:outlineLvl w:val="9"/>
        <w:rPr>
          <w:rFonts w:hint="eastAsia" w:ascii="黑体" w:hAnsi="黑体" w:eastAsia="黑体" w:cs="黑体"/>
          <w:sz w:val="21"/>
          <w:szCs w:val="21"/>
        </w:rPr>
      </w:pPr>
      <w:bookmarkStart w:id="94" w:name="_Toc2274"/>
      <w:bookmarkStart w:id="95" w:name="_Toc27291"/>
      <w:r>
        <w:rPr>
          <w:rFonts w:hint="eastAsia" w:asciiTheme="minorEastAsia" w:hAnsiTheme="minorEastAsia" w:eastAsiaTheme="minorEastAsia" w:cstheme="minorEastAsia"/>
          <w:kern w:val="2"/>
          <w:sz w:val="21"/>
          <w:szCs w:val="21"/>
          <w:lang w:val="en-US" w:eastAsia="zh-CN" w:bidi="ar-SA"/>
        </w:rPr>
        <w:t>监理阶段可覆盖档案服务外包项目招标阶段、实施设计阶段、实施阶段和验收阶段四个阶段。在实施监理的各阶段中，均应采取相应的监理手段，保障每个阶段的目标都达成后才能进入下一阶段，保证档案监理工作的全环节可管可控。发包方可以根据自身需要灵活选择监理方，确保档案监理活动的专业性。</w:t>
      </w:r>
      <w:bookmarkEnd w:id="94"/>
      <w:bookmarkEnd w:id="95"/>
    </w:p>
    <w:p>
      <w:pPr>
        <w:pStyle w:val="29"/>
        <w:keepNext w:val="0"/>
        <w:keepLines w:val="0"/>
        <w:pageBreakBefore w:val="0"/>
        <w:widowControl/>
        <w:kinsoku/>
        <w:wordWrap/>
        <w:overflowPunct/>
        <w:topLinePunct w:val="0"/>
        <w:autoSpaceDE/>
        <w:autoSpaceDN/>
        <w:bidi w:val="0"/>
        <w:adjustRightInd/>
        <w:snapToGrid/>
        <w:spacing w:before="312" w:after="312"/>
        <w:textAlignment w:val="auto"/>
        <w:outlineLvl w:val="0"/>
        <w:rPr>
          <w:rFonts w:hint="eastAsia"/>
          <w:lang w:val="en-US" w:eastAsia="zh-CN"/>
        </w:rPr>
      </w:pPr>
      <w:bookmarkStart w:id="96" w:name="_Toc18935"/>
      <w:r>
        <w:rPr>
          <w:rFonts w:hint="eastAsia"/>
          <w:lang w:val="en-US" w:eastAsia="zh-CN"/>
        </w:rPr>
        <w:t>监理方</w:t>
      </w:r>
      <w:bookmarkEnd w:id="96"/>
    </w:p>
    <w:p>
      <w:pPr>
        <w:pStyle w:val="28"/>
        <w:keepNext w:val="0"/>
        <w:keepLines w:val="0"/>
        <w:pageBreakBefore w:val="0"/>
        <w:widowControl/>
        <w:kinsoku/>
        <w:wordWrap/>
        <w:overflowPunct/>
        <w:topLinePunct w:val="0"/>
        <w:autoSpaceDE/>
        <w:autoSpaceDN/>
        <w:bidi w:val="0"/>
        <w:adjustRightInd/>
        <w:snapToGrid/>
        <w:spacing w:before="156" w:after="156"/>
        <w:textAlignment w:val="auto"/>
        <w:outlineLvl w:val="1"/>
        <w:rPr>
          <w:rFonts w:hint="default"/>
          <w:lang w:val="en-US" w:eastAsia="zh-CN"/>
        </w:rPr>
      </w:pPr>
      <w:bookmarkStart w:id="97" w:name="_Toc18813"/>
      <w:bookmarkStart w:id="98" w:name="_Toc17227"/>
      <w:r>
        <w:rPr>
          <w:rFonts w:hint="eastAsia"/>
          <w:lang w:val="en-US" w:eastAsia="zh-CN"/>
        </w:rPr>
        <w:t>监理资质</w:t>
      </w:r>
      <w:bookmarkEnd w:id="97"/>
      <w:bookmarkEnd w:id="98"/>
    </w:p>
    <w:p>
      <w:pPr>
        <w:pStyle w:val="9"/>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outlineLvl w:val="9"/>
        <w:rPr>
          <w:rFonts w:hint="eastAsia"/>
          <w:lang w:val="en-US" w:eastAsia="zh-CN"/>
        </w:rPr>
      </w:pPr>
      <w:r>
        <w:rPr>
          <w:rFonts w:hint="eastAsia"/>
          <w:lang w:val="en-US" w:eastAsia="zh-CN"/>
        </w:rPr>
        <w:t>从事档案监理的机构参照《苏州市档案监理单位资质管理规定》或国家相关规定取得档案监理单位资质。</w:t>
      </w:r>
    </w:p>
    <w:p>
      <w:pPr>
        <w:pStyle w:val="28"/>
        <w:keepNext w:val="0"/>
        <w:keepLines w:val="0"/>
        <w:pageBreakBefore w:val="0"/>
        <w:widowControl/>
        <w:kinsoku/>
        <w:wordWrap/>
        <w:overflowPunct/>
        <w:topLinePunct w:val="0"/>
        <w:autoSpaceDE/>
        <w:autoSpaceDN/>
        <w:bidi w:val="0"/>
        <w:adjustRightInd/>
        <w:snapToGrid/>
        <w:spacing w:before="156" w:after="156"/>
        <w:textAlignment w:val="auto"/>
        <w:outlineLvl w:val="1"/>
        <w:rPr>
          <w:rFonts w:hint="default"/>
          <w:lang w:val="en-US" w:eastAsia="zh-CN"/>
        </w:rPr>
      </w:pPr>
      <w:bookmarkStart w:id="99" w:name="_Toc21515"/>
      <w:r>
        <w:rPr>
          <w:rFonts w:hint="eastAsia"/>
          <w:lang w:val="en-US" w:eastAsia="zh-CN"/>
        </w:rPr>
        <w:t>人员资质</w:t>
      </w:r>
      <w:bookmarkEnd w:id="99"/>
    </w:p>
    <w:p>
      <w:pPr>
        <w:pStyle w:val="9"/>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outlineLvl w:val="9"/>
        <w:rPr>
          <w:rFonts w:hint="eastAsia"/>
          <w:lang w:val="en-US" w:eastAsia="zh-CN"/>
        </w:rPr>
      </w:pPr>
      <w:r>
        <w:rPr>
          <w:rFonts w:hint="eastAsia"/>
          <w:lang w:val="en-US" w:eastAsia="zh-CN"/>
        </w:rPr>
        <w:t>承担档案监理工作的人员应具有一定档案专业能力，参与过相关培训，通过《苏州市档案监理从业资格考试》取得档案监理从业资格，或从国家规定的其他合法渠道获取相应资格。</w:t>
      </w:r>
    </w:p>
    <w:p>
      <w:pPr>
        <w:pStyle w:val="29"/>
        <w:keepNext w:val="0"/>
        <w:keepLines w:val="0"/>
        <w:pageBreakBefore w:val="0"/>
        <w:widowControl/>
        <w:kinsoku/>
        <w:wordWrap/>
        <w:overflowPunct/>
        <w:topLinePunct w:val="0"/>
        <w:autoSpaceDE/>
        <w:autoSpaceDN/>
        <w:bidi w:val="0"/>
        <w:adjustRightInd/>
        <w:snapToGrid/>
        <w:spacing w:before="312" w:after="312"/>
        <w:textAlignment w:val="auto"/>
        <w:outlineLvl w:val="0"/>
        <w:rPr>
          <w:rFonts w:hint="default"/>
          <w:lang w:val="en-US" w:eastAsia="zh-CN"/>
        </w:rPr>
      </w:pPr>
      <w:bookmarkStart w:id="100" w:name="_Toc25778"/>
      <w:r>
        <w:rPr>
          <w:rFonts w:hint="eastAsia"/>
          <w:lang w:val="en-US" w:eastAsia="zh-CN"/>
        </w:rPr>
        <w:t>档案监理准备</w:t>
      </w:r>
      <w:bookmarkEnd w:id="100"/>
    </w:p>
    <w:p>
      <w:pPr>
        <w:pStyle w:val="28"/>
        <w:keepNext w:val="0"/>
        <w:keepLines w:val="0"/>
        <w:pageBreakBefore w:val="0"/>
        <w:widowControl/>
        <w:kinsoku/>
        <w:wordWrap/>
        <w:overflowPunct/>
        <w:topLinePunct w:val="0"/>
        <w:autoSpaceDE/>
        <w:autoSpaceDN/>
        <w:bidi w:val="0"/>
        <w:adjustRightInd/>
        <w:snapToGrid/>
        <w:spacing w:before="156" w:after="156"/>
        <w:ind w:left="0"/>
        <w:textAlignment w:val="auto"/>
        <w:outlineLvl w:val="1"/>
        <w:rPr>
          <w:rFonts w:hint="eastAsia"/>
          <w:lang w:val="en-US" w:eastAsia="zh-CN"/>
        </w:rPr>
      </w:pPr>
      <w:bookmarkStart w:id="101" w:name="_Toc32438"/>
      <w:bookmarkStart w:id="102" w:name="_Toc14420"/>
      <w:r>
        <w:rPr>
          <w:rFonts w:hint="eastAsia"/>
          <w:lang w:val="en-US" w:eastAsia="zh-CN"/>
        </w:rPr>
        <w:t>合同订立</w:t>
      </w:r>
      <w:bookmarkEnd w:id="101"/>
      <w:bookmarkEnd w:id="102"/>
    </w:p>
    <w:p>
      <w:pPr>
        <w:pStyle w:val="9"/>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outlineLvl w:val="9"/>
        <w:rPr>
          <w:rFonts w:hint="eastAsia"/>
          <w:lang w:val="en-US" w:eastAsia="zh-CN"/>
        </w:rPr>
      </w:pPr>
      <w:r>
        <w:rPr>
          <w:rFonts w:hint="eastAsia"/>
          <w:lang w:val="en-US" w:eastAsia="zh-CN"/>
        </w:rPr>
        <w:t>监理方应与发包方签订合同，接受其委托为其提供监理服务；承包方应接受监理方对其业务活动的监督。档案监理合同内容主要包括档案监理业务内容、双方的权利和义务、监理费用的支付、违约责任及争议的解决办法和双方约定的其他事项。</w:t>
      </w:r>
    </w:p>
    <w:p>
      <w:pPr>
        <w:pStyle w:val="28"/>
        <w:keepNext w:val="0"/>
        <w:keepLines w:val="0"/>
        <w:pageBreakBefore w:val="0"/>
        <w:widowControl/>
        <w:kinsoku/>
        <w:wordWrap/>
        <w:overflowPunct/>
        <w:topLinePunct w:val="0"/>
        <w:autoSpaceDE/>
        <w:autoSpaceDN/>
        <w:bidi w:val="0"/>
        <w:adjustRightInd/>
        <w:snapToGrid/>
        <w:spacing w:before="156" w:after="156"/>
        <w:ind w:left="0"/>
        <w:textAlignment w:val="auto"/>
        <w:outlineLvl w:val="1"/>
        <w:rPr>
          <w:rFonts w:hint="default"/>
          <w:lang w:val="en-US" w:eastAsia="zh-CN"/>
        </w:rPr>
      </w:pPr>
      <w:bookmarkStart w:id="103" w:name="_Toc30191"/>
      <w:bookmarkStart w:id="104" w:name="_Toc23284"/>
      <w:r>
        <w:rPr>
          <w:rFonts w:hint="eastAsia"/>
          <w:lang w:val="en-US" w:eastAsia="zh-CN"/>
        </w:rPr>
        <w:t>规划编制</w:t>
      </w:r>
      <w:bookmarkEnd w:id="103"/>
      <w:bookmarkEnd w:id="104"/>
    </w:p>
    <w:p>
      <w:pPr>
        <w:pStyle w:val="37"/>
        <w:keepNext w:val="0"/>
        <w:keepLines w:val="0"/>
        <w:pageBreakBefore w:val="0"/>
        <w:kinsoku/>
        <w:wordWrap/>
        <w:overflowPunct/>
        <w:topLinePunct w:val="0"/>
        <w:autoSpaceDE/>
        <w:autoSpaceDN/>
        <w:bidi w:val="0"/>
        <w:adjustRightInd/>
        <w:snapToGrid/>
        <w:spacing w:before="0" w:beforeLines="0" w:after="0" w:afterLines="0"/>
        <w:textAlignment w:val="auto"/>
        <w:outlineLvl w:val="9"/>
        <w:rPr>
          <w:rFonts w:hint="eastAsia"/>
          <w:lang w:val="en-US" w:eastAsia="zh-CN"/>
        </w:rPr>
      </w:pPr>
      <w:r>
        <w:rPr>
          <w:rFonts w:hint="eastAsia"/>
          <w:lang w:val="en-US" w:eastAsia="zh-CN"/>
        </w:rPr>
        <w:t>档案监理规划的编制应针对档案服务外包项目的实际情况，明确监理机构的工作目标，确定具体的档案监理工作制度、方法和措施。</w:t>
      </w:r>
    </w:p>
    <w:p>
      <w:pPr>
        <w:pStyle w:val="37"/>
        <w:keepNext w:val="0"/>
        <w:keepLines w:val="0"/>
        <w:pageBreakBefore w:val="0"/>
        <w:kinsoku/>
        <w:wordWrap/>
        <w:overflowPunct/>
        <w:topLinePunct w:val="0"/>
        <w:autoSpaceDE/>
        <w:autoSpaceDN/>
        <w:bidi w:val="0"/>
        <w:adjustRightInd/>
        <w:snapToGrid/>
        <w:spacing w:before="0" w:beforeLines="0" w:after="0" w:afterLines="0" w:line="240" w:lineRule="auto"/>
        <w:textAlignment w:val="auto"/>
        <w:outlineLvl w:val="9"/>
        <w:rPr>
          <w:rFonts w:hint="eastAsia" w:ascii="Calibri" w:hAnsi="Calibri" w:eastAsia="宋体" w:cs="Times New Roman"/>
          <w:kern w:val="2"/>
          <w:sz w:val="21"/>
          <w:szCs w:val="24"/>
          <w:lang w:val="en-US" w:eastAsia="zh-CN" w:bidi="ar-SA"/>
        </w:rPr>
      </w:pPr>
      <w:r>
        <w:rPr>
          <w:rFonts w:hint="eastAsia"/>
          <w:lang w:val="en-US" w:eastAsia="zh-CN"/>
        </w:rPr>
        <w:t>档案监理规划编制程序如下：</w:t>
      </w:r>
    </w:p>
    <w:p>
      <w:pPr>
        <w:pStyle w:val="39"/>
        <w:keepNext w:val="0"/>
        <w:keepLines w:val="0"/>
        <w:pageBreakBefore w:val="0"/>
        <w:widowControl/>
        <w:numPr>
          <w:ilvl w:val="0"/>
          <w:numId w:val="7"/>
        </w:numPr>
        <w:kinsoku/>
        <w:wordWrap/>
        <w:overflowPunct/>
        <w:topLinePunct w:val="0"/>
        <w:autoSpaceDE/>
        <w:autoSpaceDN/>
        <w:bidi w:val="0"/>
        <w:adjustRightInd/>
        <w:snapToGrid/>
        <w:ind w:left="0" w:leftChars="0" w:firstLine="420" w:firstLineChars="0"/>
        <w:textAlignment w:val="auto"/>
        <w:outlineLvl w:val="9"/>
        <w:rPr>
          <w:rFonts w:hint="eastAsia"/>
          <w:lang w:val="en-US" w:eastAsia="zh-CN"/>
        </w:rPr>
      </w:pPr>
      <w:r>
        <w:rPr>
          <w:rFonts w:hint="eastAsia"/>
          <w:lang w:val="en-US" w:eastAsia="zh-CN"/>
        </w:rPr>
        <w:t>在签订档案监理合同后，总监理工程师应主持编制档案监理规划；</w:t>
      </w:r>
    </w:p>
    <w:p>
      <w:pPr>
        <w:pStyle w:val="39"/>
        <w:keepNext w:val="0"/>
        <w:keepLines w:val="0"/>
        <w:pageBreakBefore w:val="0"/>
        <w:widowControl/>
        <w:numPr>
          <w:ilvl w:val="0"/>
          <w:numId w:val="7"/>
        </w:numPr>
        <w:kinsoku/>
        <w:wordWrap/>
        <w:overflowPunct/>
        <w:topLinePunct w:val="0"/>
        <w:autoSpaceDE/>
        <w:autoSpaceDN/>
        <w:bidi w:val="0"/>
        <w:adjustRightInd/>
        <w:snapToGrid/>
        <w:ind w:left="0" w:leftChars="0" w:firstLine="420" w:firstLineChars="0"/>
        <w:textAlignment w:val="auto"/>
        <w:outlineLvl w:val="9"/>
        <w:rPr>
          <w:rFonts w:hint="eastAsia"/>
          <w:lang w:val="en-US" w:eastAsia="zh-CN"/>
        </w:rPr>
      </w:pPr>
      <w:r>
        <w:rPr>
          <w:rFonts w:hint="eastAsia"/>
          <w:lang w:val="en-US" w:eastAsia="zh-CN"/>
        </w:rPr>
        <w:t>档案监理规划编制完成后，应经监理方技术负责人审批；</w:t>
      </w:r>
    </w:p>
    <w:p>
      <w:pPr>
        <w:pStyle w:val="39"/>
        <w:keepNext w:val="0"/>
        <w:keepLines w:val="0"/>
        <w:pageBreakBefore w:val="0"/>
        <w:widowControl/>
        <w:numPr>
          <w:ilvl w:val="0"/>
          <w:numId w:val="7"/>
        </w:numPr>
        <w:kinsoku/>
        <w:wordWrap/>
        <w:overflowPunct/>
        <w:topLinePunct w:val="0"/>
        <w:autoSpaceDE/>
        <w:autoSpaceDN/>
        <w:bidi w:val="0"/>
        <w:adjustRightInd/>
        <w:snapToGrid/>
        <w:ind w:left="0" w:leftChars="0" w:firstLine="420" w:firstLineChars="0"/>
        <w:textAlignment w:val="auto"/>
        <w:outlineLvl w:val="9"/>
        <w:rPr>
          <w:rFonts w:hint="eastAsia"/>
          <w:lang w:val="en-US" w:eastAsia="zh-CN"/>
        </w:rPr>
      </w:pPr>
      <w:r>
        <w:rPr>
          <w:rFonts w:hint="eastAsia"/>
          <w:lang w:val="en-US" w:eastAsia="zh-CN"/>
        </w:rPr>
        <w:t>将档案监理规划报送发包方签认后生效。</w:t>
      </w:r>
    </w:p>
    <w:p>
      <w:pPr>
        <w:pStyle w:val="37"/>
        <w:keepNext w:val="0"/>
        <w:keepLines w:val="0"/>
        <w:pageBreakBefore w:val="0"/>
        <w:kinsoku/>
        <w:wordWrap/>
        <w:overflowPunct/>
        <w:topLinePunct w:val="0"/>
        <w:autoSpaceDE/>
        <w:autoSpaceDN/>
        <w:bidi w:val="0"/>
        <w:adjustRightInd/>
        <w:snapToGrid/>
        <w:spacing w:before="0" w:beforeLines="0" w:after="0" w:afterLines="0" w:line="240" w:lineRule="auto"/>
        <w:textAlignment w:val="auto"/>
        <w:outlineLvl w:val="9"/>
        <w:rPr>
          <w:rFonts w:hint="eastAsia" w:ascii="Calibri" w:hAnsi="Calibri" w:eastAsia="宋体" w:cs="Times New Roman"/>
          <w:kern w:val="2"/>
          <w:sz w:val="21"/>
          <w:szCs w:val="24"/>
          <w:lang w:val="en-US" w:eastAsia="zh-CN" w:bidi="ar-SA"/>
        </w:rPr>
      </w:pPr>
      <w:r>
        <w:rPr>
          <w:rFonts w:hint="eastAsia"/>
          <w:lang w:val="en-US" w:eastAsia="zh-CN"/>
        </w:rPr>
        <w:t>档案监理规划编制依据如下：</w:t>
      </w:r>
    </w:p>
    <w:p>
      <w:pPr>
        <w:pStyle w:val="39"/>
        <w:keepNext w:val="0"/>
        <w:keepLines w:val="0"/>
        <w:pageBreakBefore w:val="0"/>
        <w:widowControl/>
        <w:numPr>
          <w:ilvl w:val="0"/>
          <w:numId w:val="8"/>
        </w:numPr>
        <w:kinsoku/>
        <w:wordWrap/>
        <w:overflowPunct/>
        <w:topLinePunct w:val="0"/>
        <w:autoSpaceDE/>
        <w:autoSpaceDN/>
        <w:bidi w:val="0"/>
        <w:adjustRightInd/>
        <w:snapToGrid/>
        <w:ind w:left="840" w:leftChars="200" w:hanging="420" w:hangingChars="200"/>
        <w:textAlignment w:val="auto"/>
        <w:outlineLvl w:val="9"/>
        <w:rPr>
          <w:rFonts w:hint="eastAsia"/>
        </w:rPr>
      </w:pPr>
      <w:r>
        <w:rPr>
          <w:rFonts w:hint="eastAsia" w:ascii="Calibri" w:hAnsi="Calibri" w:eastAsia="宋体" w:cs="Times New Roman"/>
          <w:kern w:val="2"/>
          <w:sz w:val="21"/>
          <w:szCs w:val="24"/>
          <w:lang w:val="en-US" w:eastAsia="zh-CN" w:bidi="ar-SA"/>
        </w:rPr>
        <w:t>档案服务外包项目的相关法律、法规及审批文件；</w:t>
      </w:r>
    </w:p>
    <w:p>
      <w:pPr>
        <w:pStyle w:val="39"/>
        <w:keepNext w:val="0"/>
        <w:keepLines w:val="0"/>
        <w:pageBreakBefore w:val="0"/>
        <w:widowControl/>
        <w:numPr>
          <w:ilvl w:val="0"/>
          <w:numId w:val="8"/>
        </w:numPr>
        <w:kinsoku/>
        <w:wordWrap/>
        <w:overflowPunct/>
        <w:topLinePunct w:val="0"/>
        <w:autoSpaceDE/>
        <w:autoSpaceDN/>
        <w:bidi w:val="0"/>
        <w:adjustRightInd/>
        <w:snapToGrid/>
        <w:ind w:left="0" w:leftChars="0" w:firstLine="420" w:firstLineChars="200"/>
        <w:textAlignment w:val="auto"/>
        <w:outlineLvl w:val="9"/>
        <w:rPr>
          <w:rFonts w:hint="eastAsia"/>
        </w:rPr>
      </w:pPr>
      <w:r>
        <w:rPr>
          <w:rFonts w:hint="eastAsia" w:ascii="Calibri" w:hAnsi="Calibri" w:eastAsia="宋体" w:cs="Times New Roman"/>
          <w:kern w:val="2"/>
          <w:sz w:val="21"/>
          <w:szCs w:val="24"/>
          <w:lang w:val="en-US" w:eastAsia="zh-CN" w:bidi="ar-SA"/>
        </w:rPr>
        <w:t>档案服务外包项目有关的标准、设计文件和技术资料；</w:t>
      </w:r>
    </w:p>
    <w:p>
      <w:pPr>
        <w:pStyle w:val="39"/>
        <w:keepNext w:val="0"/>
        <w:keepLines w:val="0"/>
        <w:pageBreakBefore w:val="0"/>
        <w:widowControl/>
        <w:numPr>
          <w:ilvl w:val="0"/>
          <w:numId w:val="8"/>
        </w:numPr>
        <w:kinsoku/>
        <w:wordWrap/>
        <w:overflowPunct/>
        <w:topLinePunct w:val="0"/>
        <w:autoSpaceDE/>
        <w:autoSpaceDN/>
        <w:bidi w:val="0"/>
        <w:adjustRightInd/>
        <w:snapToGrid/>
        <w:ind w:left="0" w:leftChars="0" w:firstLine="420" w:firstLineChars="200"/>
        <w:textAlignment w:val="auto"/>
        <w:outlineLvl w:val="9"/>
        <w:rPr>
          <w:rFonts w:hint="eastAsia"/>
        </w:rPr>
      </w:pPr>
      <w:r>
        <w:rPr>
          <w:rFonts w:hint="eastAsia"/>
          <w:lang w:val="en-US" w:eastAsia="zh-CN"/>
        </w:rPr>
        <w:t>档案监理合同、承包合同及档案服务外包项目相关的其他文件。</w:t>
      </w:r>
    </w:p>
    <w:p>
      <w:pPr>
        <w:pStyle w:val="37"/>
        <w:keepNext w:val="0"/>
        <w:keepLines w:val="0"/>
        <w:pageBreakBefore w:val="0"/>
        <w:kinsoku/>
        <w:wordWrap/>
        <w:overflowPunct/>
        <w:topLinePunct w:val="0"/>
        <w:autoSpaceDE/>
        <w:autoSpaceDN/>
        <w:bidi w:val="0"/>
        <w:adjustRightInd/>
        <w:snapToGrid/>
        <w:spacing w:before="0" w:beforeLines="0" w:after="0" w:afterLines="0" w:line="240" w:lineRule="auto"/>
        <w:textAlignment w:val="auto"/>
        <w:outlineLvl w:val="9"/>
        <w:rPr>
          <w:rFonts w:hint="eastAsia" w:ascii="黑体" w:hAnsi="黑体" w:eastAsia="黑体" w:cs="黑体"/>
          <w:kern w:val="2"/>
          <w:sz w:val="21"/>
          <w:szCs w:val="21"/>
          <w:lang w:val="en-US" w:eastAsia="zh-CN" w:bidi="ar-SA"/>
        </w:rPr>
      </w:pPr>
      <w:r>
        <w:rPr>
          <w:rFonts w:hint="eastAsia"/>
          <w:lang w:val="en-US" w:eastAsia="zh-CN"/>
        </w:rPr>
        <w:t xml:space="preserve"> 档案监理规划内容至少包括：</w:t>
      </w:r>
    </w:p>
    <w:p>
      <w:pPr>
        <w:pStyle w:val="39"/>
        <w:keepNext w:val="0"/>
        <w:keepLines w:val="0"/>
        <w:pageBreakBefore w:val="0"/>
        <w:widowControl/>
        <w:numPr>
          <w:ilvl w:val="0"/>
          <w:numId w:val="9"/>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档案服务外包项目概况；</w:t>
      </w:r>
    </w:p>
    <w:p>
      <w:pPr>
        <w:pStyle w:val="39"/>
        <w:keepNext w:val="0"/>
        <w:keepLines w:val="0"/>
        <w:pageBreakBefore w:val="0"/>
        <w:widowControl/>
        <w:numPr>
          <w:ilvl w:val="0"/>
          <w:numId w:val="9"/>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档案监理依据；</w:t>
      </w:r>
    </w:p>
    <w:p>
      <w:pPr>
        <w:pStyle w:val="39"/>
        <w:keepNext w:val="0"/>
        <w:keepLines w:val="0"/>
        <w:pageBreakBefore w:val="0"/>
        <w:widowControl/>
        <w:numPr>
          <w:ilvl w:val="0"/>
          <w:numId w:val="9"/>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档案监理范围；</w:t>
      </w:r>
    </w:p>
    <w:p>
      <w:pPr>
        <w:pStyle w:val="39"/>
        <w:keepNext w:val="0"/>
        <w:keepLines w:val="0"/>
        <w:pageBreakBefore w:val="0"/>
        <w:widowControl/>
        <w:numPr>
          <w:ilvl w:val="0"/>
          <w:numId w:val="9"/>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档案监理目标；</w:t>
      </w:r>
    </w:p>
    <w:p>
      <w:pPr>
        <w:pStyle w:val="39"/>
        <w:keepNext w:val="0"/>
        <w:keepLines w:val="0"/>
        <w:pageBreakBefore w:val="0"/>
        <w:widowControl/>
        <w:numPr>
          <w:ilvl w:val="0"/>
          <w:numId w:val="9"/>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档案监理内容；</w:t>
      </w:r>
    </w:p>
    <w:p>
      <w:pPr>
        <w:pStyle w:val="39"/>
        <w:keepNext w:val="0"/>
        <w:keepLines w:val="0"/>
        <w:pageBreakBefore w:val="0"/>
        <w:widowControl/>
        <w:numPr>
          <w:ilvl w:val="0"/>
          <w:numId w:val="9"/>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监理机构的组织及监理人员的职责；</w:t>
      </w:r>
    </w:p>
    <w:p>
      <w:pPr>
        <w:pStyle w:val="39"/>
        <w:keepNext w:val="0"/>
        <w:keepLines w:val="0"/>
        <w:pageBreakBefore w:val="0"/>
        <w:widowControl/>
        <w:numPr>
          <w:ilvl w:val="0"/>
          <w:numId w:val="9"/>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监理设施；</w:t>
      </w:r>
    </w:p>
    <w:p>
      <w:pPr>
        <w:pStyle w:val="39"/>
        <w:keepNext w:val="0"/>
        <w:keepLines w:val="0"/>
        <w:pageBreakBefore w:val="0"/>
        <w:widowControl/>
        <w:numPr>
          <w:ilvl w:val="0"/>
          <w:numId w:val="9"/>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档案监理工作方法及措施；</w:t>
      </w:r>
    </w:p>
    <w:p>
      <w:pPr>
        <w:pStyle w:val="39"/>
        <w:keepNext w:val="0"/>
        <w:keepLines w:val="0"/>
        <w:pageBreakBefore w:val="0"/>
        <w:widowControl/>
        <w:numPr>
          <w:ilvl w:val="0"/>
          <w:numId w:val="9"/>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档案监理工作制度。</w:t>
      </w:r>
    </w:p>
    <w:p>
      <w:pPr>
        <w:pStyle w:val="37"/>
        <w:keepNext w:val="0"/>
        <w:keepLines w:val="0"/>
        <w:pageBreakBefore w:val="0"/>
        <w:kinsoku/>
        <w:wordWrap/>
        <w:overflowPunct/>
        <w:topLinePunct w:val="0"/>
        <w:autoSpaceDE/>
        <w:autoSpaceDN/>
        <w:bidi w:val="0"/>
        <w:adjustRightInd/>
        <w:snapToGrid/>
        <w:spacing w:before="0" w:beforeLines="0" w:after="0" w:afterLines="0" w:line="240" w:lineRule="auto"/>
        <w:textAlignment w:val="auto"/>
        <w:outlineLvl w:val="9"/>
        <w:rPr>
          <w:rFonts w:hint="eastAsia" w:ascii="黑体" w:hAnsi="黑体" w:eastAsia="黑体" w:cs="黑体"/>
          <w:kern w:val="2"/>
          <w:sz w:val="21"/>
          <w:szCs w:val="21"/>
          <w:lang w:val="en-US" w:eastAsia="zh-CN" w:bidi="ar-SA"/>
        </w:rPr>
      </w:pPr>
      <w:r>
        <w:rPr>
          <w:rFonts w:hint="eastAsia" w:ascii="Calibri" w:hAnsi="Calibri" w:eastAsia="宋体" w:cs="Times New Roman"/>
          <w:kern w:val="2"/>
          <w:sz w:val="21"/>
          <w:szCs w:val="24"/>
          <w:lang w:val="en-US" w:eastAsia="zh-CN" w:bidi="ar-SA"/>
        </w:rPr>
        <w:t>在档案监理工作</w:t>
      </w:r>
      <w:r>
        <w:rPr>
          <w:rFonts w:hint="eastAsia" w:cs="Times New Roman"/>
          <w:kern w:val="2"/>
          <w:sz w:val="21"/>
          <w:szCs w:val="24"/>
          <w:lang w:val="en-US" w:eastAsia="zh-CN" w:bidi="ar-SA"/>
        </w:rPr>
        <w:t>开展</w:t>
      </w:r>
      <w:r>
        <w:rPr>
          <w:rFonts w:hint="eastAsia" w:ascii="Calibri" w:hAnsi="Calibri" w:eastAsia="宋体" w:cs="Times New Roman"/>
          <w:kern w:val="2"/>
          <w:sz w:val="21"/>
          <w:szCs w:val="24"/>
          <w:lang w:val="en-US" w:eastAsia="zh-CN" w:bidi="ar-SA"/>
        </w:rPr>
        <w:t>过程中，如实际情况或条件发生重大变化需要调整监理规划内容时，应由总监理工程师组织专业监理工程师修改，经监理方审批后报送发包方签认。</w:t>
      </w:r>
      <w:bookmarkStart w:id="105" w:name="_Toc30278"/>
      <w:bookmarkStart w:id="106" w:name="_Toc22264"/>
    </w:p>
    <w:p>
      <w:pPr>
        <w:pStyle w:val="28"/>
        <w:keepNext w:val="0"/>
        <w:keepLines w:val="0"/>
        <w:pageBreakBefore w:val="0"/>
        <w:widowControl/>
        <w:kinsoku/>
        <w:wordWrap/>
        <w:overflowPunct/>
        <w:topLinePunct w:val="0"/>
        <w:autoSpaceDE/>
        <w:autoSpaceDN/>
        <w:bidi w:val="0"/>
        <w:adjustRightInd/>
        <w:snapToGrid/>
        <w:spacing w:before="156" w:after="156"/>
        <w:textAlignment w:val="auto"/>
        <w:outlineLvl w:val="1"/>
        <w:rPr>
          <w:rFonts w:hint="default" w:ascii="Times New Roman" w:hAnsi="Times New Roman" w:eastAsia="黑体" w:cs="Times New Roman"/>
          <w:sz w:val="28"/>
          <w:szCs w:val="28"/>
        </w:rPr>
      </w:pPr>
      <w:bookmarkStart w:id="107" w:name="_Toc1250"/>
      <w:r>
        <w:rPr>
          <w:rFonts w:hint="eastAsia" w:ascii="黑体" w:hAnsi="黑体" w:eastAsia="黑体" w:cs="黑体"/>
          <w:kern w:val="2"/>
          <w:sz w:val="21"/>
          <w:szCs w:val="21"/>
          <w:lang w:val="en-US" w:eastAsia="zh-CN" w:bidi="ar-SA"/>
        </w:rPr>
        <w:t>细则</w:t>
      </w:r>
      <w:bookmarkEnd w:id="105"/>
      <w:r>
        <w:rPr>
          <w:rFonts w:hint="eastAsia" w:ascii="黑体" w:hAnsi="黑体" w:eastAsia="黑体" w:cs="黑体"/>
          <w:kern w:val="2"/>
          <w:sz w:val="21"/>
          <w:szCs w:val="21"/>
          <w:lang w:val="en-US" w:eastAsia="zh-CN" w:bidi="ar-SA"/>
        </w:rPr>
        <w:t>编制</w:t>
      </w:r>
      <w:bookmarkEnd w:id="106"/>
      <w:bookmarkEnd w:id="107"/>
    </w:p>
    <w:p>
      <w:pPr>
        <w:pStyle w:val="37"/>
        <w:keepNext w:val="0"/>
        <w:keepLines w:val="0"/>
        <w:pageBreakBefore w:val="0"/>
        <w:kinsoku/>
        <w:overflowPunct/>
        <w:topLinePunct w:val="0"/>
        <w:bidi w:val="0"/>
        <w:spacing w:line="240" w:lineRule="auto"/>
        <w:textAlignment w:val="auto"/>
        <w:outlineLvl w:val="9"/>
        <w:rPr>
          <w:rFonts w:ascii="仿宋" w:hAnsi="仿宋" w:eastAsia="仿宋" w:cs="仿宋"/>
          <w:sz w:val="28"/>
          <w:szCs w:val="28"/>
        </w:rPr>
      </w:pPr>
      <w:r>
        <w:rPr>
          <w:rFonts w:hint="eastAsia" w:ascii="Calibri" w:hAnsi="Calibri" w:eastAsia="宋体" w:cs="Times New Roman"/>
          <w:kern w:val="2"/>
          <w:sz w:val="21"/>
          <w:szCs w:val="24"/>
          <w:lang w:val="en-US" w:eastAsia="zh-CN" w:bidi="ar-SA"/>
        </w:rPr>
        <w:t>档案监理细则</w:t>
      </w:r>
      <w:r>
        <w:rPr>
          <w:rFonts w:hint="eastAsia" w:cs="Times New Roman"/>
          <w:kern w:val="2"/>
          <w:sz w:val="21"/>
          <w:szCs w:val="24"/>
          <w:lang w:val="en-US" w:eastAsia="zh-CN" w:bidi="ar-SA"/>
        </w:rPr>
        <w:t>的编制</w:t>
      </w:r>
      <w:r>
        <w:rPr>
          <w:rFonts w:hint="eastAsia" w:ascii="Calibri" w:hAnsi="Calibri" w:eastAsia="宋体" w:cs="Times New Roman"/>
          <w:kern w:val="2"/>
          <w:sz w:val="21"/>
          <w:szCs w:val="24"/>
          <w:lang w:val="en-US" w:eastAsia="zh-CN" w:bidi="ar-SA"/>
        </w:rPr>
        <w:t>应符合档案监理规划的要求，结合档案服务外包项目的专业特点，具有可操作性。</w:t>
      </w:r>
    </w:p>
    <w:p>
      <w:pPr>
        <w:pStyle w:val="37"/>
        <w:keepNext w:val="0"/>
        <w:keepLines w:val="0"/>
        <w:pageBreakBefore w:val="0"/>
        <w:kinsoku/>
        <w:wordWrap/>
        <w:overflowPunct/>
        <w:topLinePunct w:val="0"/>
        <w:autoSpaceDE/>
        <w:autoSpaceDN/>
        <w:bidi w:val="0"/>
        <w:adjustRightInd/>
        <w:snapToGrid/>
        <w:spacing w:before="0" w:beforeLines="0" w:after="0" w:afterLines="0" w:line="240" w:lineRule="auto"/>
        <w:textAlignment w:val="auto"/>
        <w:outlineLvl w:val="9"/>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档案监理细则编制程序如下：</w:t>
      </w:r>
    </w:p>
    <w:p>
      <w:pPr>
        <w:pStyle w:val="39"/>
        <w:keepNext w:val="0"/>
        <w:keepLines w:val="0"/>
        <w:pageBreakBefore w:val="0"/>
        <w:widowControl/>
        <w:numPr>
          <w:ilvl w:val="0"/>
          <w:numId w:val="10"/>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专业监理工程师依据档案监理规划，编制档案监理细则；</w:t>
      </w:r>
    </w:p>
    <w:p>
      <w:pPr>
        <w:pStyle w:val="39"/>
        <w:keepNext w:val="0"/>
        <w:keepLines w:val="0"/>
        <w:pageBreakBefore w:val="0"/>
        <w:widowControl/>
        <w:numPr>
          <w:ilvl w:val="0"/>
          <w:numId w:val="10"/>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档案监理细则应经总监理工程师批准。</w:t>
      </w:r>
    </w:p>
    <w:p>
      <w:pPr>
        <w:pStyle w:val="37"/>
        <w:keepNext w:val="0"/>
        <w:keepLines w:val="0"/>
        <w:pageBreakBefore w:val="0"/>
        <w:kinsoku/>
        <w:wordWrap/>
        <w:overflowPunct/>
        <w:topLinePunct w:val="0"/>
        <w:autoSpaceDE/>
        <w:autoSpaceDN/>
        <w:bidi w:val="0"/>
        <w:adjustRightInd/>
        <w:snapToGrid/>
        <w:spacing w:before="0" w:beforeLines="0" w:after="0" w:afterLines="0"/>
        <w:textAlignment w:val="auto"/>
        <w:outlineLvl w:val="9"/>
        <w:rPr>
          <w:rFonts w:hint="eastAsia" w:ascii="仿宋" w:hAnsi="仿宋" w:eastAsia="黑体" w:cs="仿宋"/>
          <w:sz w:val="28"/>
          <w:szCs w:val="28"/>
          <w:lang w:val="en-US" w:eastAsia="zh-CN"/>
        </w:rPr>
      </w:pPr>
      <w:r>
        <w:rPr>
          <w:rFonts w:hint="eastAsia" w:ascii="Calibri" w:hAnsi="Calibri" w:eastAsia="宋体" w:cs="Times New Roman"/>
          <w:kern w:val="2"/>
          <w:sz w:val="21"/>
          <w:szCs w:val="24"/>
          <w:lang w:val="en-US" w:eastAsia="zh-CN" w:bidi="ar-SA"/>
        </w:rPr>
        <w:t>档案监理细则编制依据如下：</w:t>
      </w:r>
    </w:p>
    <w:p>
      <w:pPr>
        <w:pStyle w:val="39"/>
        <w:keepNext w:val="0"/>
        <w:keepLines w:val="0"/>
        <w:pageBreakBefore w:val="0"/>
        <w:widowControl/>
        <w:numPr>
          <w:ilvl w:val="0"/>
          <w:numId w:val="11"/>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被签认的档案监理规划；</w:t>
      </w:r>
    </w:p>
    <w:p>
      <w:pPr>
        <w:pStyle w:val="39"/>
        <w:keepNext w:val="0"/>
        <w:keepLines w:val="0"/>
        <w:pageBreakBefore w:val="0"/>
        <w:widowControl/>
        <w:numPr>
          <w:ilvl w:val="0"/>
          <w:numId w:val="11"/>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与档案服务外包项目相关的标准、设计文件和技术资料；</w:t>
      </w:r>
    </w:p>
    <w:p>
      <w:pPr>
        <w:pStyle w:val="39"/>
        <w:keepNext w:val="0"/>
        <w:keepLines w:val="0"/>
        <w:pageBreakBefore w:val="0"/>
        <w:widowControl/>
        <w:numPr>
          <w:ilvl w:val="0"/>
          <w:numId w:val="11"/>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档案服务外包项目实施方案及相关文件。</w:t>
      </w:r>
    </w:p>
    <w:p>
      <w:pPr>
        <w:pStyle w:val="37"/>
        <w:keepNext w:val="0"/>
        <w:keepLines w:val="0"/>
        <w:pageBreakBefore w:val="0"/>
        <w:kinsoku/>
        <w:wordWrap/>
        <w:overflowPunct/>
        <w:topLinePunct w:val="0"/>
        <w:autoSpaceDE/>
        <w:autoSpaceDN/>
        <w:bidi w:val="0"/>
        <w:adjustRightInd/>
        <w:snapToGrid/>
        <w:spacing w:before="0" w:beforeLines="0" w:after="0" w:afterLines="0"/>
        <w:textAlignment w:val="auto"/>
        <w:outlineLvl w:val="9"/>
        <w:rPr>
          <w:rFonts w:hint="default" w:ascii="Times New Roman" w:hAnsi="Times New Roman" w:eastAsia="黑体" w:cs="Times New Roman"/>
          <w:sz w:val="28"/>
          <w:szCs w:val="28"/>
          <w:lang w:val="en-US" w:eastAsia="zh-CN"/>
        </w:rPr>
      </w:pPr>
      <w:r>
        <w:rPr>
          <w:rFonts w:hint="eastAsia" w:ascii="Calibri" w:hAnsi="Calibri" w:eastAsia="宋体" w:cs="Times New Roman"/>
          <w:kern w:val="2"/>
          <w:sz w:val="21"/>
          <w:szCs w:val="24"/>
          <w:lang w:val="en-US" w:eastAsia="zh-CN" w:bidi="ar-SA"/>
        </w:rPr>
        <w:t>档案监理细则内容至少包括：</w:t>
      </w:r>
    </w:p>
    <w:p>
      <w:pPr>
        <w:pStyle w:val="39"/>
        <w:keepNext w:val="0"/>
        <w:keepLines w:val="0"/>
        <w:pageBreakBefore w:val="0"/>
        <w:widowControl/>
        <w:numPr>
          <w:ilvl w:val="0"/>
          <w:numId w:val="12"/>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档案服务外包项目实施中主要涉及专业的特点及要求；</w:t>
      </w:r>
    </w:p>
    <w:p>
      <w:pPr>
        <w:pStyle w:val="39"/>
        <w:keepNext w:val="0"/>
        <w:keepLines w:val="0"/>
        <w:pageBreakBefore w:val="0"/>
        <w:widowControl/>
        <w:numPr>
          <w:ilvl w:val="0"/>
          <w:numId w:val="12"/>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档案监理工作流程；</w:t>
      </w:r>
    </w:p>
    <w:p>
      <w:pPr>
        <w:pStyle w:val="39"/>
        <w:keepNext w:val="0"/>
        <w:keepLines w:val="0"/>
        <w:pageBreakBefore w:val="0"/>
        <w:widowControl/>
        <w:numPr>
          <w:ilvl w:val="0"/>
          <w:numId w:val="12"/>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档案监理工作的控制要点及目标；</w:t>
      </w:r>
    </w:p>
    <w:p>
      <w:pPr>
        <w:pStyle w:val="39"/>
        <w:keepNext w:val="0"/>
        <w:keepLines w:val="0"/>
        <w:pageBreakBefore w:val="0"/>
        <w:widowControl/>
        <w:numPr>
          <w:ilvl w:val="0"/>
          <w:numId w:val="12"/>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档案监理方法及措施。</w:t>
      </w:r>
    </w:p>
    <w:p>
      <w:pPr>
        <w:pStyle w:val="37"/>
        <w:keepNext w:val="0"/>
        <w:keepLines w:val="0"/>
        <w:pageBreakBefore w:val="0"/>
        <w:widowControl w:val="0"/>
        <w:kinsoku/>
        <w:wordWrap/>
        <w:overflowPunct/>
        <w:topLinePunct w:val="0"/>
        <w:autoSpaceDE/>
        <w:autoSpaceDN/>
        <w:bidi w:val="0"/>
        <w:adjustRightInd/>
        <w:snapToGrid/>
        <w:textAlignment w:val="auto"/>
        <w:outlineLvl w:val="9"/>
        <w:rPr>
          <w:rFonts w:ascii="仿宋" w:hAnsi="仿宋" w:eastAsia="仿宋" w:cs="仿宋"/>
          <w:sz w:val="28"/>
          <w:szCs w:val="28"/>
        </w:rPr>
      </w:pPr>
      <w:r>
        <w:rPr>
          <w:rFonts w:hint="eastAsia" w:ascii="Calibri" w:hAnsi="Calibri" w:eastAsia="宋体" w:cs="Times New Roman"/>
          <w:kern w:val="2"/>
          <w:sz w:val="21"/>
          <w:szCs w:val="24"/>
          <w:lang w:val="en-US" w:eastAsia="zh-CN" w:bidi="ar-SA"/>
        </w:rPr>
        <w:t>在档案监理工作实施过程中，档案监理细则应根据情况进行补充、修改和完善，并报总监理工程师批准。</w:t>
      </w:r>
    </w:p>
    <w:p>
      <w:pPr>
        <w:pStyle w:val="28"/>
        <w:keepNext w:val="0"/>
        <w:keepLines w:val="0"/>
        <w:pageBreakBefore w:val="0"/>
        <w:widowControl/>
        <w:kinsoku/>
        <w:wordWrap/>
        <w:overflowPunct/>
        <w:topLinePunct w:val="0"/>
        <w:autoSpaceDE/>
        <w:autoSpaceDN/>
        <w:bidi w:val="0"/>
        <w:adjustRightInd/>
        <w:snapToGrid/>
        <w:spacing w:before="156" w:after="156"/>
        <w:textAlignment w:val="auto"/>
        <w:outlineLvl w:val="1"/>
        <w:rPr>
          <w:rFonts w:hint="default" w:ascii="Times New Roman" w:hAnsi="Times New Roman" w:eastAsia="黑体" w:cs="Times New Roman"/>
          <w:sz w:val="28"/>
          <w:szCs w:val="28"/>
        </w:rPr>
      </w:pPr>
      <w:bookmarkStart w:id="108" w:name="_Toc20213"/>
      <w:bookmarkStart w:id="109" w:name="_Toc27875"/>
      <w:r>
        <w:rPr>
          <w:rFonts w:hint="eastAsia" w:ascii="黑体" w:hAnsi="黑体" w:eastAsia="黑体" w:cs="黑体"/>
          <w:sz w:val="21"/>
          <w:szCs w:val="21"/>
        </w:rPr>
        <w:t>机构</w:t>
      </w:r>
      <w:r>
        <w:rPr>
          <w:rFonts w:hint="eastAsia" w:ascii="黑体" w:hAnsi="黑体" w:eastAsia="黑体" w:cs="黑体"/>
          <w:sz w:val="21"/>
          <w:szCs w:val="21"/>
          <w:lang w:val="en-US" w:eastAsia="zh-CN"/>
        </w:rPr>
        <w:t>设置</w:t>
      </w:r>
      <w:bookmarkEnd w:id="108"/>
      <w:bookmarkEnd w:id="109"/>
    </w:p>
    <w:p>
      <w:pPr>
        <w:pStyle w:val="37"/>
        <w:keepNext w:val="0"/>
        <w:keepLines w:val="0"/>
        <w:pageBreakBefore w:val="0"/>
        <w:kinsoku/>
        <w:overflowPunct/>
        <w:topLinePunct w:val="0"/>
        <w:bidi w:val="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监理方在履行档案监理合同时，应建立监理机构，监理机构在完成档案监理合同规定的监理工作后方可撤销。</w:t>
      </w:r>
    </w:p>
    <w:p>
      <w:pPr>
        <w:pStyle w:val="37"/>
        <w:keepNext w:val="0"/>
        <w:keepLines w:val="0"/>
        <w:pageBreakBefore w:val="0"/>
        <w:kinsoku/>
        <w:overflowPunct/>
        <w:topLinePunct w:val="0"/>
        <w:bidi w:val="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监理机构的组织形式和规模，应根据档案监理合同约定的档案服务外包项目类别、规模、内容、技术复杂程度、实施工期和</w:t>
      </w:r>
      <w:r>
        <w:rPr>
          <w:rFonts w:hint="eastAsia" w:asciiTheme="minorEastAsia" w:hAnsiTheme="minorEastAsia" w:eastAsiaTheme="minorEastAsia" w:cstheme="minorEastAsia"/>
          <w:sz w:val="21"/>
          <w:szCs w:val="21"/>
          <w:lang w:val="en-US" w:eastAsia="zh-CN"/>
        </w:rPr>
        <w:t>实施</w:t>
      </w:r>
      <w:r>
        <w:rPr>
          <w:rFonts w:hint="eastAsia" w:asciiTheme="minorEastAsia" w:hAnsiTheme="minorEastAsia" w:eastAsiaTheme="minorEastAsia" w:cstheme="minorEastAsia"/>
          <w:sz w:val="21"/>
          <w:szCs w:val="21"/>
        </w:rPr>
        <w:t>环境等因素确定。</w:t>
      </w:r>
    </w:p>
    <w:p>
      <w:pPr>
        <w:pStyle w:val="37"/>
        <w:keepNext w:val="0"/>
        <w:keepLines w:val="0"/>
        <w:pageBreakBefore w:val="0"/>
        <w:kinsoku/>
        <w:overflowPunct/>
        <w:topLinePunct w:val="0"/>
        <w:bidi w:val="0"/>
        <w:textAlignment w:val="auto"/>
        <w:outlineLvl w:val="9"/>
        <w:rPr>
          <w:rFonts w:ascii="仿宋" w:hAnsi="仿宋" w:eastAsia="仿宋" w:cs="仿宋"/>
          <w:sz w:val="28"/>
          <w:szCs w:val="28"/>
        </w:rPr>
      </w:pPr>
      <w:r>
        <w:rPr>
          <w:rFonts w:hint="eastAsia" w:asciiTheme="minorEastAsia" w:hAnsiTheme="minorEastAsia" w:eastAsiaTheme="minorEastAsia" w:cstheme="minorEastAsia"/>
          <w:sz w:val="21"/>
          <w:szCs w:val="21"/>
        </w:rPr>
        <w:t>监理方应在档案监理合同签订后将监理机构的组织形式、人员构成及对</w:t>
      </w:r>
      <w:r>
        <w:rPr>
          <w:rFonts w:hint="eastAsia" w:asciiTheme="minorEastAsia" w:hAnsiTheme="minorEastAsia" w:eastAsiaTheme="minorEastAsia" w:cstheme="minorEastAsia"/>
          <w:sz w:val="21"/>
          <w:szCs w:val="21"/>
          <w:lang w:eastAsia="zh-CN"/>
        </w:rPr>
        <w:t>总监理工程师</w:t>
      </w:r>
      <w:r>
        <w:rPr>
          <w:rFonts w:hint="eastAsia" w:asciiTheme="minorEastAsia" w:hAnsiTheme="minorEastAsia" w:eastAsiaTheme="minorEastAsia" w:cstheme="minorEastAsia"/>
          <w:sz w:val="21"/>
          <w:szCs w:val="21"/>
        </w:rPr>
        <w:t>的任命书面通知发包方。</w:t>
      </w:r>
    </w:p>
    <w:p>
      <w:pPr>
        <w:pStyle w:val="28"/>
        <w:keepNext w:val="0"/>
        <w:keepLines w:val="0"/>
        <w:pageBreakBefore w:val="0"/>
        <w:widowControl/>
        <w:kinsoku/>
        <w:wordWrap/>
        <w:overflowPunct/>
        <w:topLinePunct w:val="0"/>
        <w:autoSpaceDE/>
        <w:autoSpaceDN/>
        <w:bidi w:val="0"/>
        <w:adjustRightInd/>
        <w:snapToGrid/>
        <w:spacing w:before="156" w:after="156"/>
        <w:textAlignment w:val="auto"/>
        <w:outlineLvl w:val="1"/>
        <w:rPr>
          <w:rFonts w:hint="default" w:ascii="Times New Roman" w:hAnsi="Times New Roman" w:eastAsia="黑体" w:cs="Times New Roman"/>
          <w:sz w:val="28"/>
          <w:szCs w:val="28"/>
        </w:rPr>
      </w:pPr>
      <w:bookmarkStart w:id="110" w:name="_Toc7121"/>
      <w:bookmarkStart w:id="111" w:name="_Toc24131"/>
      <w:r>
        <w:rPr>
          <w:rFonts w:hint="eastAsia" w:ascii="黑体" w:hAnsi="黑体" w:eastAsia="黑体" w:cs="黑体"/>
          <w:sz w:val="21"/>
          <w:szCs w:val="21"/>
          <w:lang w:val="en-US" w:eastAsia="zh-CN"/>
        </w:rPr>
        <w:t>设施设备</w:t>
      </w:r>
      <w:bookmarkEnd w:id="110"/>
      <w:bookmarkEnd w:id="111"/>
    </w:p>
    <w:p>
      <w:pPr>
        <w:pStyle w:val="37"/>
        <w:keepNext w:val="0"/>
        <w:keepLines w:val="0"/>
        <w:pageBreakBefore w:val="0"/>
        <w:kinsoku/>
        <w:overflowPunct/>
        <w:topLinePunct w:val="0"/>
        <w:bidi w:val="0"/>
        <w:textAlignment w:val="auto"/>
        <w:outlineLvl w:val="9"/>
        <w:rPr>
          <w:rFonts w:ascii="仿宋" w:hAnsi="仿宋" w:eastAsia="仿宋" w:cs="仿宋"/>
          <w:sz w:val="28"/>
          <w:szCs w:val="28"/>
        </w:rPr>
      </w:pPr>
      <w:r>
        <w:rPr>
          <w:rFonts w:hint="eastAsia" w:asciiTheme="minorEastAsia" w:hAnsiTheme="minorEastAsia" w:eastAsiaTheme="minorEastAsia" w:cstheme="minorEastAsia"/>
          <w:sz w:val="21"/>
          <w:szCs w:val="21"/>
          <w:lang w:val="en-US" w:eastAsia="zh-CN"/>
        </w:rPr>
        <w:t>监理方</w:t>
      </w:r>
      <w:r>
        <w:rPr>
          <w:rFonts w:hint="eastAsia" w:asciiTheme="minorEastAsia" w:hAnsiTheme="minorEastAsia" w:eastAsiaTheme="minorEastAsia" w:cstheme="minorEastAsia"/>
          <w:sz w:val="21"/>
          <w:szCs w:val="21"/>
        </w:rPr>
        <w:t>根据档案服务外包项目类别、规模、技术复杂程度，按档案监理合同的约定，</w:t>
      </w:r>
      <w:r>
        <w:rPr>
          <w:rFonts w:hint="eastAsia" w:asciiTheme="minorEastAsia" w:hAnsiTheme="minorEastAsia" w:eastAsiaTheme="minorEastAsia" w:cstheme="minorEastAsia"/>
          <w:sz w:val="21"/>
          <w:szCs w:val="21"/>
          <w:lang w:val="en-US" w:eastAsia="zh-CN"/>
        </w:rPr>
        <w:t>为监理机构</w:t>
      </w:r>
      <w:r>
        <w:rPr>
          <w:rFonts w:hint="eastAsia" w:asciiTheme="minorEastAsia" w:hAnsiTheme="minorEastAsia" w:eastAsiaTheme="minorEastAsia" w:cstheme="minorEastAsia"/>
          <w:sz w:val="21"/>
          <w:szCs w:val="21"/>
        </w:rPr>
        <w:t>配备满足档案监理工作需要的设备和工具等。</w:t>
      </w:r>
    </w:p>
    <w:p>
      <w:pPr>
        <w:pStyle w:val="37"/>
        <w:keepNext w:val="0"/>
        <w:keepLines w:val="0"/>
        <w:pageBreakBefore w:val="0"/>
        <w:kinsoku/>
        <w:overflowPunct/>
        <w:topLinePunct w:val="0"/>
        <w:bidi w:val="0"/>
        <w:textAlignment w:val="auto"/>
        <w:outlineLvl w:val="9"/>
        <w:rPr>
          <w:rFonts w:ascii="仿宋" w:hAnsi="仿宋" w:eastAsia="仿宋" w:cs="仿宋"/>
          <w:sz w:val="28"/>
          <w:szCs w:val="28"/>
        </w:rPr>
      </w:pPr>
      <w:r>
        <w:rPr>
          <w:rFonts w:hint="eastAsia" w:asciiTheme="minorEastAsia" w:hAnsiTheme="minorEastAsia" w:eastAsiaTheme="minorEastAsia" w:cstheme="minorEastAsia"/>
          <w:sz w:val="21"/>
          <w:szCs w:val="21"/>
        </w:rPr>
        <w:t>发包方应按档案监理合同的约定，</w:t>
      </w:r>
      <w:r>
        <w:rPr>
          <w:rFonts w:hint="eastAsia" w:asciiTheme="minorEastAsia" w:hAnsiTheme="minorEastAsia" w:eastAsiaTheme="minorEastAsia" w:cstheme="minorEastAsia"/>
          <w:sz w:val="21"/>
          <w:szCs w:val="21"/>
          <w:lang w:val="en-US" w:eastAsia="zh-CN"/>
        </w:rPr>
        <w:t>为监理机构</w:t>
      </w:r>
      <w:r>
        <w:rPr>
          <w:rFonts w:hint="eastAsia" w:asciiTheme="minorEastAsia" w:hAnsiTheme="minorEastAsia" w:eastAsiaTheme="minorEastAsia" w:cstheme="minorEastAsia"/>
          <w:sz w:val="21"/>
          <w:szCs w:val="21"/>
        </w:rPr>
        <w:t>提供档案监理工作需要的办公、通讯、生活等设施</w:t>
      </w:r>
      <w:r>
        <w:rPr>
          <w:rFonts w:hint="eastAsia" w:asciiTheme="minorEastAsia" w:hAnsiTheme="minorEastAsia" w:eastAsiaTheme="minorEastAsia" w:cstheme="minorEastAsia"/>
          <w:sz w:val="21"/>
          <w:szCs w:val="21"/>
          <w:lang w:eastAsia="zh-CN"/>
        </w:rPr>
        <w:t>。</w:t>
      </w:r>
    </w:p>
    <w:p>
      <w:pPr>
        <w:pStyle w:val="37"/>
        <w:keepNext w:val="0"/>
        <w:keepLines w:val="0"/>
        <w:pageBreakBefore w:val="0"/>
        <w:kinsoku/>
        <w:overflowPunct/>
        <w:topLinePunct w:val="0"/>
        <w:bidi w:val="0"/>
        <w:textAlignment w:val="auto"/>
        <w:outlineLvl w:val="9"/>
        <w:rPr>
          <w:rFonts w:ascii="仿宋" w:hAnsi="仿宋" w:eastAsia="仿宋" w:cs="仿宋"/>
          <w:sz w:val="28"/>
          <w:szCs w:val="28"/>
        </w:rPr>
      </w:pPr>
      <w:r>
        <w:rPr>
          <w:rFonts w:hint="eastAsia" w:asciiTheme="minorEastAsia" w:hAnsiTheme="minorEastAsia" w:eastAsiaTheme="minorEastAsia" w:cstheme="minorEastAsia"/>
          <w:sz w:val="21"/>
          <w:szCs w:val="21"/>
        </w:rPr>
        <w:t>监理机构应妥善保管和使用发包方提供的设施，在完成档案监理工作后交还发包方。</w:t>
      </w:r>
    </w:p>
    <w:p>
      <w:pPr>
        <w:pStyle w:val="28"/>
        <w:keepNext w:val="0"/>
        <w:keepLines w:val="0"/>
        <w:pageBreakBefore w:val="0"/>
        <w:widowControl/>
        <w:kinsoku/>
        <w:wordWrap/>
        <w:overflowPunct/>
        <w:topLinePunct w:val="0"/>
        <w:autoSpaceDE/>
        <w:autoSpaceDN/>
        <w:bidi w:val="0"/>
        <w:adjustRightInd/>
        <w:snapToGrid/>
        <w:spacing w:before="156" w:after="156"/>
        <w:textAlignment w:val="auto"/>
        <w:outlineLvl w:val="1"/>
        <w:rPr>
          <w:rFonts w:hint="eastAsia" w:ascii="Times New Roman" w:hAnsi="Times New Roman" w:eastAsia="黑体" w:cs="Times New Roman"/>
          <w:sz w:val="28"/>
          <w:szCs w:val="28"/>
          <w:lang w:val="en-US" w:eastAsia="zh-CN"/>
        </w:rPr>
      </w:pPr>
      <w:bookmarkStart w:id="112" w:name="_Toc5671"/>
      <w:bookmarkStart w:id="113" w:name="_Toc27634"/>
      <w:r>
        <w:rPr>
          <w:rFonts w:hint="eastAsia" w:ascii="黑体" w:hAnsi="黑体" w:eastAsia="黑体" w:cs="黑体"/>
          <w:sz w:val="21"/>
          <w:szCs w:val="21"/>
          <w:lang w:val="en-US" w:eastAsia="zh-CN"/>
        </w:rPr>
        <w:t>人员配置</w:t>
      </w:r>
      <w:bookmarkEnd w:id="112"/>
      <w:bookmarkEnd w:id="113"/>
    </w:p>
    <w:p>
      <w:pPr>
        <w:pStyle w:val="37"/>
        <w:keepNext w:val="0"/>
        <w:keepLines w:val="0"/>
        <w:pageBreakBefore w:val="0"/>
        <w:kinsoku/>
        <w:wordWrap/>
        <w:overflowPunct/>
        <w:topLinePunct w:val="0"/>
        <w:autoSpaceDE/>
        <w:autoSpaceDN/>
        <w:bidi w:val="0"/>
        <w:adjustRightInd/>
        <w:snapToGrid/>
        <w:spacing w:before="0" w:beforeLines="0" w:after="0" w:afterLine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监理人员</w:t>
      </w:r>
      <w:r>
        <w:rPr>
          <w:rFonts w:hint="eastAsia" w:asciiTheme="minorEastAsia" w:hAnsiTheme="minorEastAsia" w:eastAsiaTheme="minorEastAsia" w:cstheme="minorEastAsia"/>
          <w:sz w:val="21"/>
          <w:szCs w:val="21"/>
          <w:lang w:val="en-US" w:eastAsia="zh-CN"/>
        </w:rPr>
        <w:t>由监理方选拔配置，一般可由以下几类人员构成</w:t>
      </w:r>
      <w:r>
        <w:rPr>
          <w:rFonts w:hint="eastAsia" w:asciiTheme="minorEastAsia" w:hAnsiTheme="minorEastAsia" w:eastAsiaTheme="minorEastAsia" w:cstheme="minorEastAsia"/>
          <w:sz w:val="21"/>
          <w:szCs w:val="21"/>
        </w:rPr>
        <w:t>：</w:t>
      </w:r>
    </w:p>
    <w:p>
      <w:pPr>
        <w:pStyle w:val="39"/>
        <w:keepNext w:val="0"/>
        <w:keepLines w:val="0"/>
        <w:pageBreakBefore w:val="0"/>
        <w:widowControl/>
        <w:numPr>
          <w:ilvl w:val="0"/>
          <w:numId w:val="13"/>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总监理工程师，一般不宜更换总监理工程师，当更换总监理工程师时，应征得发包方同意，并书面通知发包方；</w:t>
      </w:r>
    </w:p>
    <w:p>
      <w:pPr>
        <w:pStyle w:val="39"/>
        <w:keepNext w:val="0"/>
        <w:keepLines w:val="0"/>
        <w:pageBreakBefore w:val="0"/>
        <w:widowControl/>
        <w:numPr>
          <w:ilvl w:val="0"/>
          <w:numId w:val="13"/>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总监理工程师代表，必要时配备；</w:t>
      </w:r>
    </w:p>
    <w:p>
      <w:pPr>
        <w:pStyle w:val="39"/>
        <w:keepNext w:val="0"/>
        <w:keepLines w:val="0"/>
        <w:pageBreakBefore w:val="0"/>
        <w:widowControl/>
        <w:numPr>
          <w:ilvl w:val="0"/>
          <w:numId w:val="13"/>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专业监理工程师；</w:t>
      </w:r>
    </w:p>
    <w:p>
      <w:pPr>
        <w:pStyle w:val="39"/>
        <w:keepNext w:val="0"/>
        <w:keepLines w:val="0"/>
        <w:pageBreakBefore w:val="0"/>
        <w:widowControl/>
        <w:numPr>
          <w:ilvl w:val="0"/>
          <w:numId w:val="13"/>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监理辅助人员。</w:t>
      </w:r>
    </w:p>
    <w:p>
      <w:pPr>
        <w:pStyle w:val="37"/>
        <w:keepNext w:val="0"/>
        <w:keepLines w:val="0"/>
        <w:pageBreakBefore w:val="0"/>
        <w:kinsoku/>
        <w:wordWrap/>
        <w:overflowPunct/>
        <w:topLinePunct w:val="0"/>
        <w:autoSpaceDE/>
        <w:autoSpaceDN/>
        <w:bidi w:val="0"/>
        <w:adjustRightInd/>
        <w:snapToGrid/>
        <w:spacing w:before="0" w:beforeLines="0" w:after="0" w:afterLine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总监理工程师</w:t>
      </w:r>
      <w:r>
        <w:rPr>
          <w:rFonts w:hint="eastAsia" w:asciiTheme="minorEastAsia" w:hAnsiTheme="minorEastAsia" w:eastAsiaTheme="minorEastAsia" w:cstheme="minorEastAsia"/>
          <w:sz w:val="21"/>
          <w:szCs w:val="21"/>
        </w:rPr>
        <w:t>应履行如下职责：</w:t>
      </w:r>
    </w:p>
    <w:p>
      <w:pPr>
        <w:pStyle w:val="39"/>
        <w:keepNext w:val="0"/>
        <w:keepLines w:val="0"/>
        <w:pageBreakBefore w:val="0"/>
        <w:widowControl/>
        <w:numPr>
          <w:ilvl w:val="0"/>
          <w:numId w:val="14"/>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全面负责档案监理合同的实施</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14"/>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确定监理机构人员分工</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14"/>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主持编写档案监理规划、审批档案监理细则</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14"/>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负责管理监理机构日常工作，定期向监理方报告</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14"/>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检查和监督监理人员的工作，根据档案服务外包项目的进展情况可进行监理人员调配，对不称职的监理人员应调换其工作</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14"/>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主持档案监理工作会议，签发监理机构的文件和指令</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14"/>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审查承包方资质，并提出审查意见</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14"/>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审定承包方的开工申请、实施方案、</w:t>
      </w:r>
      <w:r>
        <w:rPr>
          <w:rFonts w:hint="eastAsia" w:asciiTheme="minorEastAsia" w:hAnsiTheme="minorEastAsia" w:eastAsiaTheme="minorEastAsia" w:cstheme="minorEastAsia"/>
          <w:sz w:val="21"/>
          <w:szCs w:val="21"/>
          <w:lang w:val="en-US" w:eastAsia="zh-CN"/>
        </w:rPr>
        <w:t>实施</w:t>
      </w:r>
      <w:r>
        <w:rPr>
          <w:rFonts w:hint="eastAsia" w:asciiTheme="minorEastAsia" w:hAnsiTheme="minorEastAsia" w:eastAsiaTheme="minorEastAsia" w:cstheme="minorEastAsia"/>
          <w:sz w:val="21"/>
          <w:szCs w:val="21"/>
        </w:rPr>
        <w:t>进度计划</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14"/>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组织编写并签发监理月报、监理工作阶段报告、专题报告和档案监理工作总结</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14"/>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主持审查和处理项目</w:t>
      </w:r>
      <w:r>
        <w:rPr>
          <w:rFonts w:hint="eastAsia" w:asciiTheme="minorEastAsia" w:hAnsiTheme="minorEastAsia" w:eastAsiaTheme="minorEastAsia" w:cstheme="minorEastAsia"/>
          <w:sz w:val="21"/>
          <w:szCs w:val="21"/>
          <w:lang w:val="en-US" w:eastAsia="zh-CN"/>
        </w:rPr>
        <w:t>实施</w:t>
      </w:r>
      <w:r>
        <w:rPr>
          <w:rFonts w:hint="eastAsia" w:asciiTheme="minorEastAsia" w:hAnsiTheme="minorEastAsia" w:eastAsiaTheme="minorEastAsia" w:cstheme="minorEastAsia"/>
          <w:sz w:val="21"/>
          <w:szCs w:val="21"/>
        </w:rPr>
        <w:t>变更</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14"/>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参与项目质量和其他事故调查</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14"/>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审查承包方竣工验收申请，组织有关人员进行竣工测试验收，签认竣工验收文件</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14"/>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主持整理档案服务外包项目的监理资料</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14"/>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审核签认承包方的付款申请、付款证书和竣工结算</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14"/>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调解发包方与承包方的合同争议，参与索赔的处理，审批项目延期</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14"/>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组织发包方与承包方完成项目移交。</w:t>
      </w:r>
    </w:p>
    <w:p>
      <w:pPr>
        <w:pStyle w:val="37"/>
        <w:keepNext w:val="0"/>
        <w:keepLines w:val="0"/>
        <w:pageBreakBefore w:val="0"/>
        <w:kinsoku/>
        <w:wordWrap/>
        <w:overflowPunct/>
        <w:topLinePunct w:val="0"/>
        <w:autoSpaceDE/>
        <w:autoSpaceDN/>
        <w:bidi w:val="0"/>
        <w:adjustRightInd/>
        <w:snapToGrid/>
        <w:spacing w:before="0" w:beforeLines="0" w:after="0" w:afterLine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总监理工程师</w:t>
      </w:r>
      <w:r>
        <w:rPr>
          <w:rFonts w:hint="eastAsia" w:asciiTheme="minorEastAsia" w:hAnsiTheme="minorEastAsia" w:eastAsiaTheme="minorEastAsia" w:cstheme="minorEastAsia"/>
          <w:sz w:val="21"/>
          <w:szCs w:val="21"/>
        </w:rPr>
        <w:t>代表应履行如下职责：</w:t>
      </w:r>
    </w:p>
    <w:p>
      <w:pPr>
        <w:pStyle w:val="39"/>
        <w:keepNext w:val="0"/>
        <w:keepLines w:val="0"/>
        <w:pageBreakBefore w:val="0"/>
        <w:widowControl/>
        <w:numPr>
          <w:ilvl w:val="0"/>
          <w:numId w:val="15"/>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按</w:t>
      </w:r>
      <w:r>
        <w:rPr>
          <w:rFonts w:hint="eastAsia" w:asciiTheme="minorEastAsia" w:hAnsiTheme="minorEastAsia" w:eastAsiaTheme="minorEastAsia" w:cstheme="minorEastAsia"/>
          <w:sz w:val="21"/>
          <w:szCs w:val="21"/>
          <w:lang w:eastAsia="zh-CN"/>
        </w:rPr>
        <w:t>总监理工程师</w:t>
      </w:r>
      <w:r>
        <w:rPr>
          <w:rFonts w:hint="eastAsia" w:asciiTheme="minorEastAsia" w:hAnsiTheme="minorEastAsia" w:eastAsiaTheme="minorEastAsia" w:cstheme="minorEastAsia"/>
          <w:sz w:val="21"/>
          <w:szCs w:val="21"/>
        </w:rPr>
        <w:t>的授权，行使</w:t>
      </w:r>
      <w:r>
        <w:rPr>
          <w:rFonts w:hint="eastAsia" w:asciiTheme="minorEastAsia" w:hAnsiTheme="minorEastAsia" w:eastAsiaTheme="minorEastAsia" w:cstheme="minorEastAsia"/>
          <w:sz w:val="21"/>
          <w:szCs w:val="21"/>
          <w:lang w:eastAsia="zh-CN"/>
        </w:rPr>
        <w:t>总监理工程师</w:t>
      </w:r>
      <w:r>
        <w:rPr>
          <w:rFonts w:hint="eastAsia" w:asciiTheme="minorEastAsia" w:hAnsiTheme="minorEastAsia" w:eastAsiaTheme="minorEastAsia" w:cstheme="minorEastAsia"/>
          <w:sz w:val="21"/>
          <w:szCs w:val="21"/>
        </w:rPr>
        <w:t>的部分职责和权力</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15"/>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总监理工程师</w:t>
      </w:r>
      <w:r>
        <w:rPr>
          <w:rFonts w:hint="eastAsia" w:asciiTheme="minorEastAsia" w:hAnsiTheme="minorEastAsia" w:eastAsiaTheme="minorEastAsia" w:cstheme="minorEastAsia"/>
          <w:sz w:val="21"/>
          <w:szCs w:val="21"/>
        </w:rPr>
        <w:t>不得将下列工作委托</w:t>
      </w:r>
      <w:r>
        <w:rPr>
          <w:rFonts w:hint="eastAsia" w:asciiTheme="minorEastAsia" w:hAnsiTheme="minorEastAsia" w:eastAsiaTheme="minorEastAsia" w:cstheme="minorEastAsia"/>
          <w:sz w:val="21"/>
          <w:szCs w:val="21"/>
          <w:lang w:eastAsia="zh-CN"/>
        </w:rPr>
        <w:t>总监理工程师</w:t>
      </w:r>
      <w:r>
        <w:rPr>
          <w:rFonts w:hint="eastAsia" w:asciiTheme="minorEastAsia" w:hAnsiTheme="minorEastAsia" w:eastAsiaTheme="minorEastAsia" w:cstheme="minorEastAsia"/>
          <w:sz w:val="21"/>
          <w:szCs w:val="21"/>
        </w:rPr>
        <w:t>代表</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16"/>
        </w:numPr>
        <w:kinsoku/>
        <w:wordWrap/>
        <w:overflowPunct/>
        <w:topLinePunct w:val="0"/>
        <w:autoSpaceDE/>
        <w:autoSpaceDN/>
        <w:bidi w:val="0"/>
        <w:adjustRightInd/>
        <w:snapToGrid/>
        <w:ind w:left="1260" w:leftChars="4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主持编写档案监理规划，审批档案监理细则</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16"/>
        </w:numPr>
        <w:kinsoku/>
        <w:wordWrap/>
        <w:overflowPunct/>
        <w:topLinePunct w:val="0"/>
        <w:autoSpaceDE/>
        <w:autoSpaceDN/>
        <w:bidi w:val="0"/>
        <w:adjustRightInd/>
        <w:snapToGrid/>
        <w:ind w:left="1260" w:leftChars="4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调解发包方与承包方的合同争议，参与索赔的处理，审批项目延期</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16"/>
        </w:numPr>
        <w:kinsoku/>
        <w:wordWrap/>
        <w:overflowPunct/>
        <w:topLinePunct w:val="0"/>
        <w:autoSpaceDE/>
        <w:autoSpaceDN/>
        <w:bidi w:val="0"/>
        <w:adjustRightInd/>
        <w:snapToGrid/>
        <w:ind w:left="1260" w:leftChars="4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根据项目的进展情况进行监理人员的调配，调换不称职的监理人员</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16"/>
        </w:numPr>
        <w:kinsoku/>
        <w:wordWrap/>
        <w:overflowPunct/>
        <w:topLinePunct w:val="0"/>
        <w:autoSpaceDE/>
        <w:autoSpaceDN/>
        <w:bidi w:val="0"/>
        <w:adjustRightInd/>
        <w:snapToGrid/>
        <w:ind w:left="1260" w:leftChars="400" w:hanging="420" w:hangingChars="20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审核签认承包方的付款申请、付款证书和竣工结算。</w:t>
      </w:r>
    </w:p>
    <w:p>
      <w:pPr>
        <w:pStyle w:val="37"/>
        <w:keepNext w:val="0"/>
        <w:keepLines w:val="0"/>
        <w:pageBreakBefore w:val="0"/>
        <w:kinsoku/>
        <w:wordWrap/>
        <w:overflowPunct/>
        <w:topLinePunct w:val="0"/>
        <w:autoSpaceDE/>
        <w:autoSpaceDN/>
        <w:bidi w:val="0"/>
        <w:adjustRightInd/>
        <w:snapToGrid/>
        <w:spacing w:before="0" w:beforeLines="0" w:after="0" w:afterLine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专业监理工程师</w:t>
      </w:r>
      <w:r>
        <w:rPr>
          <w:rFonts w:hint="eastAsia" w:asciiTheme="minorEastAsia" w:hAnsiTheme="minorEastAsia" w:eastAsiaTheme="minorEastAsia" w:cstheme="minorEastAsia"/>
          <w:sz w:val="21"/>
          <w:szCs w:val="21"/>
        </w:rPr>
        <w:t>应履行如下职责：</w:t>
      </w:r>
    </w:p>
    <w:p>
      <w:pPr>
        <w:pStyle w:val="39"/>
        <w:keepNext w:val="0"/>
        <w:keepLines w:val="0"/>
        <w:pageBreakBefore w:val="0"/>
        <w:widowControl/>
        <w:numPr>
          <w:ilvl w:val="0"/>
          <w:numId w:val="17"/>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负责编制档案监理规划中本专业部分的内容及本专业的监理细则</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17"/>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负责本专业监理工作的具体实施</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17"/>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组织、指导、检查和监督监理辅助人员的工作</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17"/>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协助</w:t>
      </w:r>
      <w:r>
        <w:rPr>
          <w:rFonts w:hint="eastAsia" w:asciiTheme="minorEastAsia" w:hAnsiTheme="minorEastAsia" w:eastAsiaTheme="minorEastAsia" w:cstheme="minorEastAsia"/>
          <w:sz w:val="21"/>
          <w:szCs w:val="21"/>
          <w:lang w:eastAsia="zh-CN"/>
        </w:rPr>
        <w:t>总监理工程师</w:t>
      </w:r>
      <w:r>
        <w:rPr>
          <w:rFonts w:hint="eastAsia" w:asciiTheme="minorEastAsia" w:hAnsiTheme="minorEastAsia" w:eastAsiaTheme="minorEastAsia" w:cstheme="minorEastAsia"/>
          <w:sz w:val="21"/>
          <w:szCs w:val="21"/>
        </w:rPr>
        <w:t>审查承包方的涉及本专业的计划、方案、申请、变更</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17"/>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负责核查项目中所用的设备、材料和软件</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17"/>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负责本专业监理资料的收集、汇总及整理，参与编写监理月报</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17"/>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定期向</w:t>
      </w:r>
      <w:r>
        <w:rPr>
          <w:rFonts w:hint="eastAsia" w:asciiTheme="minorEastAsia" w:hAnsiTheme="minorEastAsia" w:eastAsiaTheme="minorEastAsia" w:cstheme="minorEastAsia"/>
          <w:sz w:val="21"/>
          <w:szCs w:val="21"/>
          <w:lang w:eastAsia="zh-CN"/>
        </w:rPr>
        <w:t>总监理工程师</w:t>
      </w:r>
      <w:r>
        <w:rPr>
          <w:rFonts w:hint="eastAsia" w:asciiTheme="minorEastAsia" w:hAnsiTheme="minorEastAsia" w:eastAsiaTheme="minorEastAsia" w:cstheme="minorEastAsia"/>
          <w:sz w:val="21"/>
          <w:szCs w:val="21"/>
        </w:rPr>
        <w:t>提交本专业监理工作实施情况报告，对重大问题及时向</w:t>
      </w:r>
      <w:r>
        <w:rPr>
          <w:rFonts w:hint="eastAsia" w:asciiTheme="minorEastAsia" w:hAnsiTheme="minorEastAsia" w:eastAsiaTheme="minorEastAsia" w:cstheme="minorEastAsia"/>
          <w:sz w:val="21"/>
          <w:szCs w:val="21"/>
          <w:lang w:eastAsia="zh-CN"/>
        </w:rPr>
        <w:t>总监理工程师</w:t>
      </w:r>
      <w:r>
        <w:rPr>
          <w:rFonts w:hint="eastAsia" w:asciiTheme="minorEastAsia" w:hAnsiTheme="minorEastAsia" w:eastAsiaTheme="minorEastAsia" w:cstheme="minorEastAsia"/>
          <w:sz w:val="21"/>
          <w:szCs w:val="21"/>
        </w:rPr>
        <w:t>报告</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17"/>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负责本专业工作量的审定</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17"/>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协助组织本专业环节项目测试、验收</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17"/>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填写监理日志。</w:t>
      </w:r>
    </w:p>
    <w:p>
      <w:pPr>
        <w:pStyle w:val="37"/>
        <w:keepNext w:val="0"/>
        <w:keepLines w:val="0"/>
        <w:pageBreakBefore w:val="0"/>
        <w:kinsoku/>
        <w:wordWrap/>
        <w:overflowPunct/>
        <w:topLinePunct w:val="0"/>
        <w:autoSpaceDE/>
        <w:autoSpaceDN/>
        <w:bidi w:val="0"/>
        <w:adjustRightInd/>
        <w:snapToGrid/>
        <w:spacing w:before="0" w:beforeLines="0" w:after="0" w:afterLines="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监理辅助人员应履行如下职责</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18"/>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在</w:t>
      </w:r>
      <w:r>
        <w:rPr>
          <w:rFonts w:hint="eastAsia" w:asciiTheme="minorEastAsia" w:hAnsiTheme="minorEastAsia" w:eastAsiaTheme="minorEastAsia" w:cstheme="minorEastAsia"/>
          <w:sz w:val="21"/>
          <w:szCs w:val="21"/>
          <w:lang w:eastAsia="zh-CN"/>
        </w:rPr>
        <w:t>专业监理工程师</w:t>
      </w:r>
      <w:r>
        <w:rPr>
          <w:rFonts w:hint="eastAsia" w:asciiTheme="minorEastAsia" w:hAnsiTheme="minorEastAsia" w:eastAsiaTheme="minorEastAsia" w:cstheme="minorEastAsia"/>
          <w:sz w:val="21"/>
          <w:szCs w:val="21"/>
        </w:rPr>
        <w:t>的指导下开展档案监理工作</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18"/>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协助</w:t>
      </w:r>
      <w:r>
        <w:rPr>
          <w:rFonts w:hint="eastAsia" w:asciiTheme="minorEastAsia" w:hAnsiTheme="minorEastAsia" w:eastAsiaTheme="minorEastAsia" w:cstheme="minorEastAsia"/>
          <w:sz w:val="21"/>
          <w:szCs w:val="21"/>
          <w:lang w:eastAsia="zh-CN"/>
        </w:rPr>
        <w:t>专业监理工程师</w:t>
      </w:r>
      <w:r>
        <w:rPr>
          <w:rFonts w:hint="eastAsia" w:asciiTheme="minorEastAsia" w:hAnsiTheme="minorEastAsia" w:eastAsiaTheme="minorEastAsia" w:cstheme="minorEastAsia"/>
          <w:sz w:val="21"/>
          <w:szCs w:val="21"/>
        </w:rPr>
        <w:t>完成工作量的核定</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18"/>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担任现场监理工作，发现问题及时向</w:t>
      </w:r>
      <w:r>
        <w:rPr>
          <w:rFonts w:hint="eastAsia" w:asciiTheme="minorEastAsia" w:hAnsiTheme="minorEastAsia" w:eastAsiaTheme="minorEastAsia" w:cstheme="minorEastAsia"/>
          <w:sz w:val="21"/>
          <w:szCs w:val="21"/>
          <w:lang w:eastAsia="zh-CN"/>
        </w:rPr>
        <w:t>专业监理工程师</w:t>
      </w:r>
      <w:r>
        <w:rPr>
          <w:rFonts w:hint="eastAsia" w:asciiTheme="minorEastAsia" w:hAnsiTheme="minorEastAsia" w:eastAsiaTheme="minorEastAsia" w:cstheme="minorEastAsia"/>
          <w:sz w:val="21"/>
          <w:szCs w:val="21"/>
        </w:rPr>
        <w:t>报告</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18"/>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对承包方实施计划和进度进行检查并记录</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18"/>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对承包方实施过程中的软件和设备安装、调试、测试进行监督并记录</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18"/>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填写监理日志。</w:t>
      </w:r>
    </w:p>
    <w:p>
      <w:pPr>
        <w:pStyle w:val="29"/>
        <w:keepNext w:val="0"/>
        <w:keepLines w:val="0"/>
        <w:pageBreakBefore w:val="0"/>
        <w:widowControl/>
        <w:kinsoku/>
        <w:wordWrap/>
        <w:overflowPunct/>
        <w:topLinePunct w:val="0"/>
        <w:autoSpaceDE/>
        <w:autoSpaceDN/>
        <w:bidi w:val="0"/>
        <w:adjustRightInd/>
        <w:snapToGrid/>
        <w:spacing w:before="312" w:after="312"/>
        <w:textAlignment w:val="auto"/>
        <w:outlineLvl w:val="0"/>
        <w:rPr>
          <w:rFonts w:hint="eastAsia"/>
          <w:lang w:val="en-US" w:eastAsia="zh-CN"/>
        </w:rPr>
      </w:pPr>
      <w:bookmarkStart w:id="114" w:name="_Toc6111"/>
      <w:bookmarkStart w:id="115" w:name="_Toc29153"/>
      <w:r>
        <w:rPr>
          <w:rFonts w:hint="eastAsia" w:ascii="黑体" w:hAnsi="黑体" w:eastAsia="黑体" w:cs="黑体"/>
          <w:lang w:val="en-US" w:eastAsia="zh-CN"/>
        </w:rPr>
        <w:t>档案监理实施</w:t>
      </w:r>
      <w:bookmarkEnd w:id="114"/>
      <w:bookmarkEnd w:id="115"/>
    </w:p>
    <w:p>
      <w:pPr>
        <w:pStyle w:val="28"/>
        <w:keepNext w:val="0"/>
        <w:keepLines w:val="0"/>
        <w:pageBreakBefore w:val="0"/>
        <w:widowControl/>
        <w:kinsoku/>
        <w:wordWrap/>
        <w:overflowPunct/>
        <w:topLinePunct w:val="0"/>
        <w:autoSpaceDE/>
        <w:autoSpaceDN/>
        <w:bidi w:val="0"/>
        <w:adjustRightInd/>
        <w:snapToGrid/>
        <w:spacing w:before="156" w:after="156"/>
        <w:textAlignment w:val="auto"/>
        <w:outlineLvl w:val="1"/>
        <w:rPr>
          <w:rFonts w:hint="eastAsia"/>
          <w:lang w:val="en-US" w:eastAsia="zh-CN"/>
        </w:rPr>
      </w:pPr>
      <w:bookmarkStart w:id="116" w:name="_Toc15833"/>
      <w:bookmarkStart w:id="117" w:name="_Toc7729"/>
      <w:r>
        <w:rPr>
          <w:rFonts w:hint="eastAsia" w:ascii="黑体" w:hAnsi="黑体" w:eastAsia="黑体" w:cs="黑体"/>
          <w:lang w:val="en-US" w:eastAsia="zh-CN"/>
        </w:rPr>
        <w:t>一般要求</w:t>
      </w:r>
      <w:bookmarkEnd w:id="116"/>
      <w:bookmarkEnd w:id="117"/>
    </w:p>
    <w:p>
      <w:pPr>
        <w:pStyle w:val="30"/>
        <w:keepNext w:val="0"/>
        <w:keepLines w:val="0"/>
        <w:pageBreakBefore w:val="0"/>
        <w:kinsoku/>
        <w:overflowPunct/>
        <w:topLinePunct w:val="0"/>
        <w:bidi w:val="0"/>
        <w:ind w:firstLine="420"/>
        <w:textAlignment w:val="auto"/>
        <w:outlineLvl w:val="9"/>
        <w:rPr>
          <w:rFonts w:hint="eastAsia"/>
          <w:lang w:val="en-US" w:eastAsia="zh-CN"/>
        </w:rPr>
      </w:pPr>
      <w:r>
        <w:rPr>
          <w:rFonts w:hint="eastAsia"/>
          <w:lang w:val="en-US" w:eastAsia="zh-CN"/>
        </w:rPr>
        <w:t>档案监理工作可分阶段开展，宜采用全过程监理，也可根据需要在特定阶段开展档案监理。各阶段档案监理目标可根据实际情况加以调整。监理工作起始和结束的具体时间可由发包方与监理方根据项目实际情况，依据档案监理合同中有关条款执行。</w:t>
      </w:r>
    </w:p>
    <w:p>
      <w:pPr>
        <w:pStyle w:val="28"/>
        <w:keepNext w:val="0"/>
        <w:keepLines w:val="0"/>
        <w:pageBreakBefore w:val="0"/>
        <w:widowControl/>
        <w:kinsoku/>
        <w:wordWrap/>
        <w:overflowPunct/>
        <w:topLinePunct w:val="0"/>
        <w:autoSpaceDE/>
        <w:autoSpaceDN/>
        <w:bidi w:val="0"/>
        <w:adjustRightInd/>
        <w:snapToGrid/>
        <w:spacing w:before="156" w:after="156"/>
        <w:textAlignment w:val="auto"/>
        <w:outlineLvl w:val="1"/>
        <w:rPr>
          <w:rFonts w:hint="eastAsia" w:ascii="黑体" w:hAnsi="黑体" w:eastAsia="黑体" w:cs="黑体"/>
          <w:lang w:val="en-US" w:eastAsia="zh-CN"/>
        </w:rPr>
      </w:pPr>
      <w:bookmarkStart w:id="118" w:name="_Toc15805"/>
      <w:bookmarkStart w:id="119" w:name="_Toc4761"/>
      <w:r>
        <w:rPr>
          <w:rFonts w:hint="eastAsia" w:ascii="黑体" w:hAnsi="黑体" w:eastAsia="黑体" w:cs="黑体"/>
          <w:lang w:val="en-US" w:eastAsia="zh-CN"/>
        </w:rPr>
        <w:t>项目招标阶段</w:t>
      </w:r>
      <w:bookmarkEnd w:id="118"/>
      <w:bookmarkEnd w:id="119"/>
    </w:p>
    <w:p>
      <w:pPr>
        <w:pStyle w:val="37"/>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9"/>
        <w:rPr>
          <w:rFonts w:ascii="仿宋" w:hAnsi="仿宋" w:eastAsia="仿宋" w:cs="仿宋"/>
          <w:sz w:val="21"/>
          <w:szCs w:val="21"/>
        </w:rPr>
      </w:pPr>
      <w:r>
        <w:rPr>
          <w:rFonts w:hint="eastAsia" w:ascii="黑体" w:hAnsi="黑体" w:eastAsia="黑体" w:cs="黑体"/>
          <w:kern w:val="2"/>
          <w:sz w:val="21"/>
          <w:szCs w:val="21"/>
          <w:lang w:val="en-US" w:eastAsia="zh-CN" w:bidi="ar-SA"/>
        </w:rPr>
        <w:t>档案监理质量控制</w:t>
      </w:r>
    </w:p>
    <w:p>
      <w:pPr>
        <w:pStyle w:val="37"/>
        <w:keepNext w:val="0"/>
        <w:keepLines w:val="0"/>
        <w:pageBreakBefore w:val="0"/>
        <w:widowControl w:val="0"/>
        <w:numPr>
          <w:ilvl w:val="3"/>
          <w:numId w:val="0"/>
        </w:numPr>
        <w:kinsoku/>
        <w:wordWrap/>
        <w:overflowPunct/>
        <w:topLinePunct w:val="0"/>
        <w:autoSpaceDE/>
        <w:autoSpaceDN/>
        <w:bidi w:val="0"/>
        <w:adjustRightInd/>
        <w:snapToGrid/>
        <w:spacing w:before="0" w:beforeLines="0" w:after="0" w:afterLines="0"/>
        <w:ind w:leftChars="0" w:firstLine="420" w:firstLineChars="200"/>
        <w:textAlignment w:val="auto"/>
        <w:outlineLvl w:val="9"/>
        <w:rPr>
          <w:rFonts w:hint="eastAsia" w:ascii="宋体" w:hAnsi="宋体" w:eastAsia="宋体" w:cs="宋体"/>
          <w:sz w:val="21"/>
          <w:lang w:val="en-US" w:eastAsia="zh-CN" w:bidi="ar-SA"/>
        </w:rPr>
      </w:pPr>
      <w:r>
        <w:rPr>
          <w:rFonts w:hint="eastAsia" w:ascii="宋体" w:hAnsi="宋体" w:eastAsia="宋体" w:cs="宋体"/>
          <w:sz w:val="21"/>
          <w:lang w:val="en-US" w:eastAsia="zh-CN" w:bidi="ar-SA"/>
        </w:rPr>
        <w:t>项目招标阶段的档案监理质量控制要求如下：</w:t>
      </w:r>
    </w:p>
    <w:p>
      <w:pPr>
        <w:pStyle w:val="39"/>
        <w:keepNext w:val="0"/>
        <w:keepLines w:val="0"/>
        <w:pageBreakBefore w:val="0"/>
        <w:widowControl/>
        <w:numPr>
          <w:ilvl w:val="0"/>
          <w:numId w:val="19"/>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监理机构应就不同业务需求的功能及其整体价值向发包方提供咨询建议，协助发包方科学确定业务需求，并将其作为档案监理工作的依据之一</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19"/>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监理机构宜参与招标书的编制</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19"/>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监理机构应对招标书的下列内容提出监理意见</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20"/>
        </w:numPr>
        <w:kinsoku/>
        <w:wordWrap/>
        <w:overflowPunct/>
        <w:topLinePunct w:val="0"/>
        <w:autoSpaceDE/>
        <w:autoSpaceDN/>
        <w:bidi w:val="0"/>
        <w:adjustRightInd/>
        <w:snapToGrid/>
        <w:ind w:left="1260" w:leftChars="4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技术和质量的要求</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20"/>
        </w:numPr>
        <w:kinsoku/>
        <w:wordWrap/>
        <w:overflowPunct/>
        <w:topLinePunct w:val="0"/>
        <w:autoSpaceDE/>
        <w:autoSpaceDN/>
        <w:bidi w:val="0"/>
        <w:adjustRightInd/>
        <w:snapToGrid/>
        <w:ind w:left="1260" w:leftChars="4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项目所涉及的主要产品和服务的要求</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20"/>
        </w:numPr>
        <w:kinsoku/>
        <w:wordWrap/>
        <w:overflowPunct/>
        <w:topLinePunct w:val="0"/>
        <w:autoSpaceDE/>
        <w:autoSpaceDN/>
        <w:bidi w:val="0"/>
        <w:adjustRightInd/>
        <w:snapToGrid/>
        <w:ind w:left="1260" w:leftChars="4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投标单位资格的要求</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20"/>
        </w:numPr>
        <w:kinsoku/>
        <w:wordWrap/>
        <w:overflowPunct/>
        <w:topLinePunct w:val="0"/>
        <w:autoSpaceDE/>
        <w:autoSpaceDN/>
        <w:bidi w:val="0"/>
        <w:adjustRightInd/>
        <w:snapToGrid/>
        <w:ind w:left="1260" w:leftChars="4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验收方法、接收准则</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20"/>
        </w:numPr>
        <w:kinsoku/>
        <w:wordWrap/>
        <w:overflowPunct/>
        <w:topLinePunct w:val="0"/>
        <w:autoSpaceDE/>
        <w:autoSpaceDN/>
        <w:bidi w:val="0"/>
        <w:adjustRightInd/>
        <w:snapToGrid/>
        <w:ind w:left="1260" w:leftChars="4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时间进度的要求</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19"/>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监理机构可参与招标答疑工作，协助业主单位对档案服务外包项目所涉及的功能、技术指标向投标单位解释，并保存会议纪要和相关文件</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19"/>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监理机构宜对评标的评定标准提出监理意见</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19"/>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监理机构可协助评标，对投标书与招标书的符合性及投标书的合理性提出监理意见。</w:t>
      </w:r>
    </w:p>
    <w:p>
      <w:pPr>
        <w:pStyle w:val="37"/>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9"/>
        <w:rPr>
          <w:rFonts w:hint="default" w:ascii="黑体" w:hAnsi="黑体" w:eastAsia="黑体" w:cs="黑体"/>
          <w:kern w:val="2"/>
          <w:sz w:val="21"/>
          <w:szCs w:val="21"/>
          <w:lang w:val="en-US" w:eastAsia="zh-CN" w:bidi="ar-SA"/>
        </w:rPr>
      </w:pPr>
      <w:r>
        <w:rPr>
          <w:rFonts w:hint="eastAsia" w:ascii="黑体" w:hAnsi="黑体" w:eastAsia="黑体" w:cs="黑体"/>
          <w:kern w:val="2"/>
          <w:sz w:val="21"/>
          <w:szCs w:val="21"/>
          <w:lang w:val="en-US" w:eastAsia="zh-CN" w:bidi="ar-SA"/>
        </w:rPr>
        <w:t>档案监理进度控制</w:t>
      </w:r>
    </w:p>
    <w:p>
      <w:pPr>
        <w:pStyle w:val="37"/>
        <w:keepNext w:val="0"/>
        <w:keepLines w:val="0"/>
        <w:pageBreakBefore w:val="0"/>
        <w:widowControl w:val="0"/>
        <w:numPr>
          <w:ilvl w:val="3"/>
          <w:numId w:val="0"/>
        </w:numPr>
        <w:kinsoku/>
        <w:wordWrap/>
        <w:overflowPunct/>
        <w:topLinePunct w:val="0"/>
        <w:autoSpaceDE/>
        <w:autoSpaceDN/>
        <w:bidi w:val="0"/>
        <w:adjustRightInd/>
        <w:snapToGrid/>
        <w:spacing w:before="0" w:beforeLines="0" w:after="0" w:afterLines="0"/>
        <w:ind w:leftChars="0" w:firstLine="420" w:firstLineChars="200"/>
        <w:textAlignment w:val="auto"/>
        <w:outlineLvl w:val="9"/>
        <w:rPr>
          <w:rFonts w:hint="eastAsia" w:ascii="宋体" w:hAnsi="宋体" w:eastAsia="宋体" w:cs="宋体"/>
          <w:sz w:val="21"/>
          <w:lang w:val="en-US" w:eastAsia="zh-CN" w:bidi="ar-SA"/>
        </w:rPr>
      </w:pPr>
      <w:r>
        <w:rPr>
          <w:rFonts w:hint="eastAsia" w:ascii="宋体" w:hAnsi="宋体" w:eastAsia="宋体" w:cs="宋体"/>
          <w:sz w:val="21"/>
          <w:lang w:val="en-US" w:eastAsia="zh-CN" w:bidi="ar-SA"/>
        </w:rPr>
        <w:t>项目招标阶段的档案监理进度控制要求如下：</w:t>
      </w:r>
    </w:p>
    <w:p>
      <w:pPr>
        <w:pStyle w:val="39"/>
        <w:keepNext w:val="0"/>
        <w:keepLines w:val="0"/>
        <w:pageBreakBefore w:val="0"/>
        <w:widowControl/>
        <w:numPr>
          <w:ilvl w:val="0"/>
          <w:numId w:val="21"/>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监理机构宜参与发包方招标前的准备工作。协助发包方编制本项目的工作计划。工作计划应包含</w:t>
      </w:r>
      <w:r>
        <w:rPr>
          <w:rFonts w:hint="eastAsia" w:asciiTheme="minorEastAsia" w:hAnsiTheme="minorEastAsia" w:eastAsiaTheme="minorEastAsia" w:cstheme="minorEastAsia"/>
          <w:sz w:val="21"/>
          <w:szCs w:val="21"/>
          <w:lang w:val="en-US" w:eastAsia="zh-CN"/>
        </w:rPr>
        <w:t>下列</w:t>
      </w:r>
      <w:r>
        <w:rPr>
          <w:rFonts w:hint="eastAsia" w:asciiTheme="minorEastAsia" w:hAnsiTheme="minorEastAsia" w:eastAsiaTheme="minorEastAsia" w:cstheme="minorEastAsia"/>
          <w:sz w:val="21"/>
          <w:szCs w:val="21"/>
        </w:rPr>
        <w:t>内容：</w:t>
      </w:r>
    </w:p>
    <w:p>
      <w:pPr>
        <w:pStyle w:val="39"/>
        <w:keepNext w:val="0"/>
        <w:keepLines w:val="0"/>
        <w:pageBreakBefore w:val="0"/>
        <w:widowControl/>
        <w:numPr>
          <w:ilvl w:val="0"/>
          <w:numId w:val="22"/>
        </w:numPr>
        <w:kinsoku/>
        <w:wordWrap/>
        <w:overflowPunct/>
        <w:topLinePunct w:val="0"/>
        <w:autoSpaceDE/>
        <w:autoSpaceDN/>
        <w:bidi w:val="0"/>
        <w:adjustRightInd/>
        <w:snapToGrid/>
        <w:ind w:left="1260" w:leftChars="4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项目建设内容；</w:t>
      </w:r>
    </w:p>
    <w:p>
      <w:pPr>
        <w:pStyle w:val="39"/>
        <w:keepNext w:val="0"/>
        <w:keepLines w:val="0"/>
        <w:pageBreakBefore w:val="0"/>
        <w:widowControl/>
        <w:numPr>
          <w:ilvl w:val="0"/>
          <w:numId w:val="22"/>
        </w:numPr>
        <w:kinsoku/>
        <w:wordWrap/>
        <w:overflowPunct/>
        <w:topLinePunct w:val="0"/>
        <w:autoSpaceDE/>
        <w:autoSpaceDN/>
        <w:bidi w:val="0"/>
        <w:adjustRightInd/>
        <w:snapToGrid/>
        <w:ind w:left="1260" w:leftChars="4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组织管理；</w:t>
      </w:r>
    </w:p>
    <w:p>
      <w:pPr>
        <w:pStyle w:val="39"/>
        <w:keepNext w:val="0"/>
        <w:keepLines w:val="0"/>
        <w:pageBreakBefore w:val="0"/>
        <w:widowControl/>
        <w:numPr>
          <w:ilvl w:val="0"/>
          <w:numId w:val="22"/>
        </w:numPr>
        <w:kinsoku/>
        <w:wordWrap/>
        <w:overflowPunct/>
        <w:topLinePunct w:val="0"/>
        <w:autoSpaceDE/>
        <w:autoSpaceDN/>
        <w:bidi w:val="0"/>
        <w:adjustRightInd/>
        <w:snapToGrid/>
        <w:ind w:left="1260" w:leftChars="4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项目建设的准备工作；</w:t>
      </w:r>
    </w:p>
    <w:p>
      <w:pPr>
        <w:pStyle w:val="39"/>
        <w:keepNext w:val="0"/>
        <w:keepLines w:val="0"/>
        <w:pageBreakBefore w:val="0"/>
        <w:widowControl/>
        <w:numPr>
          <w:ilvl w:val="0"/>
          <w:numId w:val="22"/>
        </w:numPr>
        <w:kinsoku/>
        <w:wordWrap/>
        <w:overflowPunct/>
        <w:topLinePunct w:val="0"/>
        <w:autoSpaceDE/>
        <w:autoSpaceDN/>
        <w:bidi w:val="0"/>
        <w:adjustRightInd/>
        <w:snapToGrid/>
        <w:ind w:left="1260" w:leftChars="4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总包、分包方式；</w:t>
      </w:r>
    </w:p>
    <w:p>
      <w:pPr>
        <w:pStyle w:val="39"/>
        <w:keepNext w:val="0"/>
        <w:keepLines w:val="0"/>
        <w:pageBreakBefore w:val="0"/>
        <w:widowControl/>
        <w:numPr>
          <w:ilvl w:val="0"/>
          <w:numId w:val="22"/>
        </w:numPr>
        <w:kinsoku/>
        <w:wordWrap/>
        <w:overflowPunct/>
        <w:topLinePunct w:val="0"/>
        <w:autoSpaceDE/>
        <w:autoSpaceDN/>
        <w:bidi w:val="0"/>
        <w:adjustRightInd/>
        <w:snapToGrid/>
        <w:ind w:left="1260" w:leftChars="4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项目实施的阶段划分及验收；</w:t>
      </w:r>
    </w:p>
    <w:p>
      <w:pPr>
        <w:pStyle w:val="39"/>
        <w:keepNext w:val="0"/>
        <w:keepLines w:val="0"/>
        <w:pageBreakBefore w:val="0"/>
        <w:widowControl/>
        <w:numPr>
          <w:ilvl w:val="0"/>
          <w:numId w:val="22"/>
        </w:numPr>
        <w:kinsoku/>
        <w:wordWrap/>
        <w:overflowPunct/>
        <w:topLinePunct w:val="0"/>
        <w:autoSpaceDE/>
        <w:autoSpaceDN/>
        <w:bidi w:val="0"/>
        <w:adjustRightInd/>
        <w:snapToGrid/>
        <w:ind w:left="1260" w:leftChars="400" w:hanging="420" w:hangingChars="20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质量管理计划。</w:t>
      </w:r>
    </w:p>
    <w:p>
      <w:pPr>
        <w:pStyle w:val="39"/>
        <w:keepNext w:val="0"/>
        <w:keepLines w:val="0"/>
        <w:pageBreakBefore w:val="0"/>
        <w:widowControl/>
        <w:numPr>
          <w:ilvl w:val="0"/>
          <w:numId w:val="21"/>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监理机构应分析项目的内容及过程，应对项目进度提出监理意见</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21"/>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监理机构可对招标书中项目进度安排及项目进度控制措施提出监理意见</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21"/>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监理机构应对本阶段的工作进度提出监理意见</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21"/>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监理机构应要求对项目合同中涉及的产品和服务的提供时间做出说明，并对发包方的安排提出监理意见。</w:t>
      </w:r>
    </w:p>
    <w:p>
      <w:pPr>
        <w:pStyle w:val="37"/>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9"/>
        <w:rPr>
          <w:rFonts w:hint="default" w:ascii="黑体" w:hAnsi="黑体" w:eastAsia="黑体" w:cs="黑体"/>
          <w:kern w:val="2"/>
          <w:sz w:val="21"/>
          <w:szCs w:val="21"/>
          <w:lang w:val="en-US" w:eastAsia="zh-CN" w:bidi="ar-SA"/>
        </w:rPr>
      </w:pPr>
      <w:r>
        <w:rPr>
          <w:rFonts w:hint="eastAsia" w:ascii="黑体" w:hAnsi="黑体" w:eastAsia="黑体" w:cs="黑体"/>
          <w:kern w:val="2"/>
          <w:sz w:val="21"/>
          <w:szCs w:val="21"/>
          <w:lang w:val="en-US" w:eastAsia="zh-CN" w:bidi="ar-SA"/>
        </w:rPr>
        <w:t>档案监理投资控制</w:t>
      </w:r>
    </w:p>
    <w:p>
      <w:pPr>
        <w:pStyle w:val="37"/>
        <w:keepNext w:val="0"/>
        <w:keepLines w:val="0"/>
        <w:pageBreakBefore w:val="0"/>
        <w:widowControl w:val="0"/>
        <w:numPr>
          <w:ilvl w:val="3"/>
          <w:numId w:val="0"/>
        </w:numPr>
        <w:kinsoku/>
        <w:wordWrap/>
        <w:overflowPunct/>
        <w:topLinePunct w:val="0"/>
        <w:autoSpaceDE/>
        <w:autoSpaceDN/>
        <w:bidi w:val="0"/>
        <w:adjustRightInd/>
        <w:snapToGrid/>
        <w:spacing w:before="0" w:beforeLines="0" w:after="0" w:afterLines="0"/>
        <w:ind w:leftChars="0" w:firstLine="420" w:firstLineChars="200"/>
        <w:textAlignment w:val="auto"/>
        <w:outlineLvl w:val="9"/>
        <w:rPr>
          <w:rFonts w:hint="eastAsia" w:ascii="宋体" w:hAnsi="宋体" w:eastAsia="宋体" w:cs="宋体"/>
          <w:sz w:val="21"/>
          <w:lang w:val="en-US" w:eastAsia="zh-CN" w:bidi="ar-SA"/>
        </w:rPr>
      </w:pPr>
      <w:r>
        <w:rPr>
          <w:rFonts w:hint="eastAsia" w:ascii="宋体" w:hAnsi="宋体" w:eastAsia="宋体" w:cs="宋体"/>
          <w:sz w:val="21"/>
          <w:lang w:val="en-US" w:eastAsia="zh-CN" w:bidi="ar-SA"/>
        </w:rPr>
        <w:t>项目招标阶段的档案监理投资控制要求如下：</w:t>
      </w:r>
    </w:p>
    <w:p>
      <w:pPr>
        <w:pStyle w:val="39"/>
        <w:keepNext w:val="0"/>
        <w:keepLines w:val="0"/>
        <w:pageBreakBefore w:val="0"/>
        <w:widowControl/>
        <w:numPr>
          <w:ilvl w:val="0"/>
          <w:numId w:val="23"/>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监理机构应协助发包方对项目的目标、范围和功能进行科学合理界定，并确定项目的预算</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23"/>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监理机构应协助发包方根据项目预算，在招标书中对项目的目标、范围、内容和产品及服务的技术要求做出明确说明。</w:t>
      </w:r>
    </w:p>
    <w:p>
      <w:pPr>
        <w:pStyle w:val="37"/>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9"/>
        <w:rPr>
          <w:rFonts w:hint="default" w:ascii="黑体" w:hAnsi="黑体" w:eastAsia="黑体" w:cs="黑体"/>
          <w:kern w:val="2"/>
          <w:sz w:val="21"/>
          <w:szCs w:val="21"/>
          <w:lang w:val="en-US" w:eastAsia="zh-CN" w:bidi="ar-SA"/>
        </w:rPr>
      </w:pPr>
      <w:r>
        <w:rPr>
          <w:rFonts w:hint="eastAsia" w:ascii="黑体" w:hAnsi="黑体" w:eastAsia="黑体" w:cs="黑体"/>
          <w:kern w:val="2"/>
          <w:sz w:val="21"/>
          <w:szCs w:val="21"/>
          <w:lang w:val="en-US" w:eastAsia="zh-CN" w:bidi="ar-SA"/>
        </w:rPr>
        <w:t>档案监理合同管理</w:t>
      </w:r>
    </w:p>
    <w:p>
      <w:pPr>
        <w:pStyle w:val="37"/>
        <w:keepNext w:val="0"/>
        <w:keepLines w:val="0"/>
        <w:pageBreakBefore w:val="0"/>
        <w:widowControl w:val="0"/>
        <w:numPr>
          <w:ilvl w:val="3"/>
          <w:numId w:val="0"/>
        </w:numPr>
        <w:kinsoku/>
        <w:wordWrap/>
        <w:overflowPunct/>
        <w:topLinePunct w:val="0"/>
        <w:autoSpaceDE/>
        <w:autoSpaceDN/>
        <w:bidi w:val="0"/>
        <w:adjustRightInd/>
        <w:snapToGrid/>
        <w:spacing w:before="0" w:beforeLines="0" w:after="0" w:afterLines="0"/>
        <w:ind w:leftChars="0" w:firstLine="420" w:firstLineChars="200"/>
        <w:textAlignment w:val="auto"/>
        <w:outlineLvl w:val="9"/>
        <w:rPr>
          <w:rFonts w:hint="eastAsia" w:ascii="宋体" w:hAnsi="宋体" w:eastAsia="宋体" w:cs="宋体"/>
          <w:sz w:val="21"/>
          <w:szCs w:val="21"/>
        </w:rPr>
      </w:pPr>
      <w:r>
        <w:rPr>
          <w:rFonts w:hint="eastAsia" w:ascii="宋体" w:hAnsi="宋体" w:eastAsia="宋体" w:cs="宋体"/>
          <w:sz w:val="21"/>
          <w:szCs w:val="21"/>
          <w:lang w:val="en-US" w:eastAsia="zh-CN" w:bidi="ar-SA"/>
        </w:rPr>
        <w:t>项目招标阶段的档案监理合同管理要求如下：</w:t>
      </w:r>
    </w:p>
    <w:p>
      <w:pPr>
        <w:pStyle w:val="39"/>
        <w:keepNext w:val="0"/>
        <w:keepLines w:val="0"/>
        <w:pageBreakBefore w:val="0"/>
        <w:widowControl/>
        <w:numPr>
          <w:ilvl w:val="0"/>
          <w:numId w:val="24"/>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监理机构应参与合同的签订过程，在合同中应明确要求承包方接受监理机构的监理</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24"/>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监理机构应建议发包方在合同中明确规定项目所包含的功能、技术要求、测试标准、验收要求和质量责任</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24"/>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监理机构应建议发包方在合同中明确项目阶段划分及其质量和进度要求，并以此作为项目阶段性付款的依据。</w:t>
      </w:r>
    </w:p>
    <w:p>
      <w:pPr>
        <w:pStyle w:val="37"/>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9"/>
        <w:rPr>
          <w:rFonts w:hint="default" w:ascii="黑体" w:hAnsi="黑体" w:eastAsia="黑体" w:cs="黑体"/>
          <w:kern w:val="2"/>
          <w:sz w:val="21"/>
          <w:szCs w:val="21"/>
          <w:lang w:val="en-US" w:eastAsia="zh-CN" w:bidi="ar-SA"/>
        </w:rPr>
      </w:pPr>
      <w:r>
        <w:rPr>
          <w:rFonts w:hint="eastAsia" w:ascii="黑体" w:hAnsi="黑体" w:eastAsia="黑体" w:cs="黑体"/>
          <w:kern w:val="2"/>
          <w:sz w:val="21"/>
          <w:szCs w:val="21"/>
          <w:lang w:val="en-US" w:eastAsia="zh-CN" w:bidi="ar-SA"/>
        </w:rPr>
        <w:t>档案监理信息管理</w:t>
      </w:r>
    </w:p>
    <w:p>
      <w:pPr>
        <w:pStyle w:val="37"/>
        <w:keepNext w:val="0"/>
        <w:keepLines w:val="0"/>
        <w:pageBreakBefore w:val="0"/>
        <w:widowControl w:val="0"/>
        <w:numPr>
          <w:ilvl w:val="3"/>
          <w:numId w:val="0"/>
        </w:numPr>
        <w:kinsoku/>
        <w:wordWrap/>
        <w:overflowPunct/>
        <w:topLinePunct w:val="0"/>
        <w:autoSpaceDE/>
        <w:autoSpaceDN/>
        <w:bidi w:val="0"/>
        <w:adjustRightInd/>
        <w:snapToGrid/>
        <w:spacing w:before="0" w:beforeLines="0" w:after="0" w:afterLines="0"/>
        <w:ind w:leftChars="0" w:firstLine="420" w:firstLineChars="200"/>
        <w:textAlignment w:val="auto"/>
        <w:outlineLvl w:val="9"/>
        <w:rPr>
          <w:rFonts w:hint="eastAsia" w:ascii="宋体" w:hAnsi="宋体" w:eastAsia="宋体" w:cs="宋体"/>
          <w:sz w:val="21"/>
          <w:lang w:val="en-US" w:eastAsia="zh-CN" w:bidi="ar-SA"/>
        </w:rPr>
      </w:pPr>
      <w:r>
        <w:rPr>
          <w:rFonts w:hint="eastAsia" w:ascii="宋体" w:hAnsi="宋体" w:eastAsia="宋体" w:cs="宋体"/>
          <w:sz w:val="21"/>
          <w:lang w:val="en-US" w:eastAsia="zh-CN" w:bidi="ar-SA"/>
        </w:rPr>
        <w:t>项目招标阶段的档案监理信息管理要求如下：</w:t>
      </w:r>
    </w:p>
    <w:p>
      <w:pPr>
        <w:pStyle w:val="39"/>
        <w:keepNext w:val="0"/>
        <w:keepLines w:val="0"/>
        <w:pageBreakBefore w:val="0"/>
        <w:widowControl/>
        <w:numPr>
          <w:ilvl w:val="0"/>
          <w:numId w:val="25"/>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监理机构应与发包方及相关单位建立信息沟通机制，保持各方对项目目标、范围和业务需求等理解的一致性</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25"/>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监理机构应向发包方提供与项目建设有关的法律、法规和标准等信息</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25"/>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监理机构应妥善管理项目招标阶段所产生的与档案监理相关的文档资料，包括需求说明、招投标文件和监理文档等</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25"/>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监理机构应向发包方和承包方明确应提交的文档要求。</w:t>
      </w:r>
    </w:p>
    <w:p>
      <w:pPr>
        <w:pStyle w:val="37"/>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9"/>
        <w:rPr>
          <w:rFonts w:hint="eastAsia" w:ascii="黑体" w:hAnsi="黑体" w:eastAsia="黑体" w:cs="黑体"/>
          <w:kern w:val="2"/>
          <w:sz w:val="21"/>
          <w:szCs w:val="21"/>
          <w:lang w:val="en-US" w:eastAsia="zh-CN" w:bidi="ar-SA"/>
        </w:rPr>
      </w:pPr>
      <w:r>
        <w:rPr>
          <w:rFonts w:hint="eastAsia" w:ascii="黑体" w:hAnsi="黑体" w:eastAsia="黑体" w:cs="黑体"/>
          <w:kern w:val="2"/>
          <w:sz w:val="21"/>
          <w:szCs w:val="21"/>
          <w:lang w:val="en-US" w:eastAsia="zh-CN" w:bidi="ar-SA"/>
        </w:rPr>
        <w:t>档案监理安全生产管理</w:t>
      </w:r>
    </w:p>
    <w:p>
      <w:pPr>
        <w:pStyle w:val="37"/>
        <w:keepNext w:val="0"/>
        <w:keepLines w:val="0"/>
        <w:pageBreakBefore w:val="0"/>
        <w:widowControl w:val="0"/>
        <w:numPr>
          <w:ilvl w:val="3"/>
          <w:numId w:val="0"/>
        </w:numPr>
        <w:kinsoku/>
        <w:wordWrap/>
        <w:overflowPunct/>
        <w:topLinePunct w:val="0"/>
        <w:autoSpaceDE/>
        <w:autoSpaceDN/>
        <w:bidi w:val="0"/>
        <w:adjustRightInd/>
        <w:snapToGrid/>
        <w:spacing w:before="0" w:beforeLines="0" w:after="0" w:afterLines="0"/>
        <w:ind w:leftChars="0" w:firstLine="420" w:firstLineChars="200"/>
        <w:textAlignment w:val="auto"/>
        <w:outlineLvl w:val="9"/>
        <w:rPr>
          <w:rFonts w:hint="eastAsia" w:ascii="宋体" w:hAnsi="宋体" w:eastAsia="宋体" w:cs="宋体"/>
          <w:sz w:val="21"/>
          <w:lang w:val="en-US" w:eastAsia="zh-CN" w:bidi="ar-SA"/>
        </w:rPr>
      </w:pPr>
      <w:r>
        <w:rPr>
          <w:rFonts w:hint="eastAsia" w:ascii="宋体" w:hAnsi="宋体" w:eastAsia="宋体" w:cs="宋体"/>
          <w:sz w:val="21"/>
          <w:lang w:val="en-US" w:eastAsia="zh-CN" w:bidi="ar-SA"/>
        </w:rPr>
        <w:t>项目招标阶段的档案监理安全生产管理要求如下：</w:t>
      </w:r>
    </w:p>
    <w:p>
      <w:pPr>
        <w:pStyle w:val="39"/>
        <w:keepNext w:val="0"/>
        <w:keepLines w:val="0"/>
        <w:pageBreakBefore w:val="0"/>
        <w:widowControl/>
        <w:numPr>
          <w:ilvl w:val="0"/>
          <w:numId w:val="26"/>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监理机构应推动发包方在招标书中明确档案服务外包项目的安全生产管理目标、内容和风险因素；</w:t>
      </w:r>
    </w:p>
    <w:p>
      <w:pPr>
        <w:pStyle w:val="39"/>
        <w:keepNext w:val="0"/>
        <w:keepLines w:val="0"/>
        <w:pageBreakBefore w:val="0"/>
        <w:widowControl/>
        <w:numPr>
          <w:ilvl w:val="0"/>
          <w:numId w:val="26"/>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监理机构应建议发包方将安全生产管理纳入评标标准；</w:t>
      </w:r>
    </w:p>
    <w:p>
      <w:pPr>
        <w:pStyle w:val="39"/>
        <w:keepNext w:val="0"/>
        <w:keepLines w:val="0"/>
        <w:pageBreakBefore w:val="0"/>
        <w:widowControl/>
        <w:numPr>
          <w:ilvl w:val="0"/>
          <w:numId w:val="26"/>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监理机构应协助发包方评估投标书中有关安全生产管理的方案有效性，协助审查投标方的安全生产资质及过往安全生产实践情况；</w:t>
      </w:r>
    </w:p>
    <w:p>
      <w:pPr>
        <w:pStyle w:val="39"/>
        <w:keepNext w:val="0"/>
        <w:keepLines w:val="0"/>
        <w:pageBreakBefore w:val="0"/>
        <w:widowControl/>
        <w:numPr>
          <w:ilvl w:val="0"/>
          <w:numId w:val="26"/>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监理机构应建议发包方在合同中明确三方的安全生产管理责任、目标及方案等。</w:t>
      </w:r>
    </w:p>
    <w:p>
      <w:pPr>
        <w:pStyle w:val="37"/>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9"/>
        <w:rPr>
          <w:rFonts w:hint="default" w:ascii="黑体" w:hAnsi="黑体" w:eastAsia="黑体" w:cs="黑体"/>
          <w:kern w:val="2"/>
          <w:sz w:val="21"/>
          <w:szCs w:val="21"/>
          <w:lang w:val="en-US" w:eastAsia="zh-CN" w:bidi="ar-SA"/>
        </w:rPr>
      </w:pPr>
      <w:r>
        <w:rPr>
          <w:rFonts w:hint="eastAsia" w:ascii="黑体" w:hAnsi="黑体" w:eastAsia="黑体" w:cs="黑体"/>
          <w:kern w:val="2"/>
          <w:sz w:val="21"/>
          <w:szCs w:val="21"/>
          <w:lang w:val="en-US" w:eastAsia="zh-CN" w:bidi="ar-SA"/>
        </w:rPr>
        <w:t>档案监理协调</w:t>
      </w:r>
    </w:p>
    <w:p>
      <w:pPr>
        <w:pStyle w:val="37"/>
        <w:keepNext w:val="0"/>
        <w:keepLines w:val="0"/>
        <w:pageBreakBefore w:val="0"/>
        <w:widowControl w:val="0"/>
        <w:numPr>
          <w:ilvl w:val="3"/>
          <w:numId w:val="0"/>
        </w:numPr>
        <w:kinsoku/>
        <w:wordWrap/>
        <w:overflowPunct/>
        <w:topLinePunct w:val="0"/>
        <w:autoSpaceDE/>
        <w:autoSpaceDN/>
        <w:bidi w:val="0"/>
        <w:adjustRightInd/>
        <w:snapToGrid/>
        <w:ind w:leftChars="0" w:firstLine="420" w:firstLineChars="200"/>
        <w:textAlignment w:val="auto"/>
        <w:outlineLvl w:val="9"/>
        <w:rPr>
          <w:rFonts w:hint="eastAsia" w:ascii="宋体" w:hAnsi="宋体" w:eastAsia="宋体" w:cs="宋体"/>
          <w:sz w:val="21"/>
          <w:szCs w:val="21"/>
        </w:rPr>
      </w:pPr>
      <w:r>
        <w:rPr>
          <w:rFonts w:hint="eastAsia" w:ascii="宋体" w:hAnsi="宋体" w:eastAsia="宋体" w:cs="宋体"/>
          <w:sz w:val="21"/>
          <w:szCs w:val="21"/>
          <w:lang w:val="en-US" w:eastAsia="zh-CN" w:bidi="ar-SA"/>
        </w:rPr>
        <w:t>项目招标阶段的档案监理协调要求如下：</w:t>
      </w:r>
    </w:p>
    <w:p>
      <w:pPr>
        <w:pStyle w:val="39"/>
        <w:keepNext w:val="0"/>
        <w:keepLines w:val="0"/>
        <w:pageBreakBefore w:val="0"/>
        <w:widowControl/>
        <w:numPr>
          <w:ilvl w:val="0"/>
          <w:numId w:val="27"/>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监理机构应与发包方确定相互间工作协调的机制</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27"/>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监理机构应对项目招标阶段协调结果做项目备忘录</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27"/>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rPr>
      </w:pPr>
      <w:r>
        <w:rPr>
          <w:rFonts w:hint="eastAsia" w:asciiTheme="minorEastAsia" w:hAnsiTheme="minorEastAsia" w:eastAsiaTheme="minorEastAsia" w:cstheme="minorEastAsia"/>
          <w:sz w:val="21"/>
          <w:szCs w:val="21"/>
        </w:rPr>
        <w:t>项目合同签订后，发包方和承包方有关项目的协调工作应通过监</w:t>
      </w:r>
      <w:r>
        <w:rPr>
          <w:rFonts w:hint="eastAsia" w:ascii="宋体" w:hAnsi="宋体" w:eastAsia="宋体" w:cs="宋体"/>
          <w:sz w:val="21"/>
          <w:szCs w:val="21"/>
        </w:rPr>
        <w:t>理机构进行。</w:t>
      </w:r>
    </w:p>
    <w:p>
      <w:pPr>
        <w:pStyle w:val="28"/>
        <w:keepNext w:val="0"/>
        <w:keepLines w:val="0"/>
        <w:pageBreakBefore w:val="0"/>
        <w:widowControl/>
        <w:kinsoku/>
        <w:wordWrap/>
        <w:overflowPunct/>
        <w:topLinePunct w:val="0"/>
        <w:autoSpaceDE/>
        <w:autoSpaceDN/>
        <w:bidi w:val="0"/>
        <w:adjustRightInd/>
        <w:snapToGrid/>
        <w:spacing w:before="156" w:after="156"/>
        <w:textAlignment w:val="auto"/>
        <w:outlineLvl w:val="1"/>
        <w:rPr>
          <w:rFonts w:ascii="仿宋" w:hAnsi="仿宋" w:eastAsia="仿宋" w:cs="仿宋"/>
          <w:sz w:val="28"/>
          <w:szCs w:val="28"/>
        </w:rPr>
      </w:pPr>
      <w:bookmarkStart w:id="120" w:name="_Toc13435"/>
      <w:bookmarkStart w:id="121" w:name="_Toc2260"/>
      <w:r>
        <w:rPr>
          <w:rFonts w:hint="eastAsia" w:ascii="黑体" w:hAnsi="黑体" w:eastAsia="黑体" w:cs="黑体"/>
          <w:sz w:val="21"/>
          <w:szCs w:val="21"/>
          <w:lang w:val="en-US" w:eastAsia="zh-CN"/>
        </w:rPr>
        <w:t>项目实施设计阶段</w:t>
      </w:r>
      <w:bookmarkEnd w:id="120"/>
      <w:bookmarkEnd w:id="121"/>
    </w:p>
    <w:p>
      <w:pPr>
        <w:pStyle w:val="37"/>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9"/>
        <w:rPr>
          <w:rFonts w:hint="eastAsia" w:ascii="黑体" w:hAnsi="黑体" w:eastAsia="黑体" w:cs="黑体"/>
          <w:kern w:val="2"/>
          <w:sz w:val="21"/>
          <w:szCs w:val="21"/>
          <w:lang w:val="en-US" w:eastAsia="zh-CN" w:bidi="ar-SA"/>
        </w:rPr>
      </w:pPr>
      <w:r>
        <w:rPr>
          <w:rFonts w:hint="eastAsia" w:ascii="黑体" w:hAnsi="黑体" w:eastAsia="黑体" w:cs="黑体"/>
          <w:kern w:val="2"/>
          <w:sz w:val="21"/>
          <w:szCs w:val="21"/>
          <w:lang w:val="en-US" w:eastAsia="zh-CN" w:bidi="ar-SA"/>
        </w:rPr>
        <w:t>档案监理质量控制</w:t>
      </w:r>
    </w:p>
    <w:p>
      <w:pPr>
        <w:pStyle w:val="37"/>
        <w:keepNext w:val="0"/>
        <w:keepLines w:val="0"/>
        <w:pageBreakBefore w:val="0"/>
        <w:widowControl w:val="0"/>
        <w:numPr>
          <w:ilvl w:val="3"/>
          <w:numId w:val="0"/>
        </w:numPr>
        <w:kinsoku/>
        <w:wordWrap/>
        <w:overflowPunct/>
        <w:topLinePunct w:val="0"/>
        <w:autoSpaceDE/>
        <w:autoSpaceDN/>
        <w:bidi w:val="0"/>
        <w:adjustRightInd/>
        <w:snapToGrid/>
        <w:spacing w:before="0" w:beforeLines="0" w:after="0" w:afterLines="0"/>
        <w:ind w:leftChars="0" w:firstLine="420" w:firstLineChars="200"/>
        <w:textAlignment w:val="auto"/>
        <w:outlineLvl w:val="9"/>
        <w:rPr>
          <w:rFonts w:hint="eastAsia" w:ascii="宋体" w:hAnsi="宋体" w:eastAsia="宋体" w:cs="宋体"/>
          <w:sz w:val="21"/>
          <w:lang w:val="en-US" w:eastAsia="zh-CN" w:bidi="ar-SA"/>
        </w:rPr>
      </w:pPr>
      <w:r>
        <w:rPr>
          <w:rFonts w:hint="eastAsia" w:ascii="宋体" w:hAnsi="宋体" w:eastAsia="宋体" w:cs="宋体"/>
          <w:sz w:val="21"/>
          <w:lang w:val="en-US" w:eastAsia="zh-CN" w:bidi="ar-SA"/>
        </w:rPr>
        <w:t>项目实施设计阶段的档案监理质量控制要求如下：</w:t>
      </w:r>
    </w:p>
    <w:p>
      <w:pPr>
        <w:pStyle w:val="39"/>
        <w:keepNext w:val="0"/>
        <w:keepLines w:val="0"/>
        <w:pageBreakBefore w:val="0"/>
        <w:widowControl/>
        <w:numPr>
          <w:ilvl w:val="0"/>
          <w:numId w:val="28"/>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监理机构应建议发包方和承包方充分考虑目标产品与服务和当前管理体系的兼容与衔接过渡问题</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28"/>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承包方提交项目</w:t>
      </w:r>
      <w:r>
        <w:rPr>
          <w:rFonts w:hint="eastAsia" w:asciiTheme="minorEastAsia" w:hAnsiTheme="minorEastAsia" w:eastAsiaTheme="minorEastAsia" w:cstheme="minorEastAsia"/>
          <w:sz w:val="21"/>
          <w:szCs w:val="21"/>
          <w:lang w:val="en-US" w:eastAsia="zh-CN"/>
        </w:rPr>
        <w:t>实施</w:t>
      </w:r>
      <w:r>
        <w:rPr>
          <w:rFonts w:hint="eastAsia" w:asciiTheme="minorEastAsia" w:hAnsiTheme="minorEastAsia" w:eastAsiaTheme="minorEastAsia" w:cstheme="minorEastAsia"/>
          <w:sz w:val="21"/>
          <w:szCs w:val="21"/>
        </w:rPr>
        <w:t>设计方案报审表后，监理机构应审核</w:t>
      </w:r>
      <w:r>
        <w:rPr>
          <w:rFonts w:hint="eastAsia" w:asciiTheme="minorEastAsia" w:hAnsiTheme="minorEastAsia" w:eastAsiaTheme="minorEastAsia" w:cstheme="minorEastAsia"/>
          <w:sz w:val="21"/>
          <w:szCs w:val="21"/>
          <w:lang w:val="en-US" w:eastAsia="zh-CN"/>
        </w:rPr>
        <w:t>与项目需求的符合性、合理性、可行性、完整性等。</w:t>
      </w:r>
      <w:r>
        <w:rPr>
          <w:rFonts w:hint="eastAsia" w:asciiTheme="minorEastAsia" w:hAnsiTheme="minorEastAsia" w:eastAsiaTheme="minorEastAsia" w:cstheme="minorEastAsia"/>
          <w:sz w:val="21"/>
          <w:szCs w:val="21"/>
        </w:rPr>
        <w:t>内容审核后，签署档案监理审核意见。项目设计方案无问题时，监理机构应在项目设计方案报审表中签认</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否则，监理机构应签发监理</w:t>
      </w:r>
      <w:r>
        <w:rPr>
          <w:rFonts w:hint="eastAsia" w:asciiTheme="minorEastAsia" w:hAnsiTheme="minorEastAsia" w:eastAsiaTheme="minorEastAsia" w:cstheme="minorEastAsia"/>
          <w:sz w:val="21"/>
          <w:szCs w:val="21"/>
          <w:lang w:val="en-US" w:eastAsia="zh-CN"/>
        </w:rPr>
        <w:t>回退</w:t>
      </w:r>
      <w:r>
        <w:rPr>
          <w:rFonts w:hint="eastAsia" w:asciiTheme="minorEastAsia" w:hAnsiTheme="minorEastAsia" w:eastAsiaTheme="minorEastAsia" w:cstheme="minorEastAsia"/>
          <w:sz w:val="21"/>
          <w:szCs w:val="21"/>
        </w:rPr>
        <w:t>通知单</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lang w:val="en-US" w:eastAsia="zh-CN"/>
        </w:rPr>
        <w:t>见附录A</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eastAsia="zh-CN"/>
        </w:rPr>
        <w:t>责令承包方整改，</w:t>
      </w:r>
      <w:r>
        <w:rPr>
          <w:rFonts w:hint="eastAsia" w:asciiTheme="minorEastAsia" w:hAnsiTheme="minorEastAsia" w:eastAsiaTheme="minorEastAsia" w:cstheme="minorEastAsia"/>
          <w:sz w:val="21"/>
          <w:szCs w:val="21"/>
          <w:lang w:val="en-US" w:eastAsia="zh-CN"/>
        </w:rPr>
        <w:t>反馈监理回退通知回复单和回退问题修改反馈表（见附录B、C）</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28"/>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必要时，监理机构应协助发包方组织专业人员评审项目设计方案，项目设计方案存在缺陷时，监理机构应签发监理</w:t>
      </w:r>
      <w:r>
        <w:rPr>
          <w:rFonts w:hint="eastAsia" w:asciiTheme="minorEastAsia" w:hAnsiTheme="minorEastAsia" w:eastAsiaTheme="minorEastAsia" w:cstheme="minorEastAsia"/>
          <w:sz w:val="21"/>
          <w:szCs w:val="21"/>
          <w:lang w:val="en-US" w:eastAsia="zh-CN"/>
        </w:rPr>
        <w:t>回退</w:t>
      </w:r>
      <w:r>
        <w:rPr>
          <w:rFonts w:hint="eastAsia" w:asciiTheme="minorEastAsia" w:hAnsiTheme="minorEastAsia" w:eastAsiaTheme="minorEastAsia" w:cstheme="minorEastAsia"/>
          <w:sz w:val="21"/>
          <w:szCs w:val="21"/>
        </w:rPr>
        <w:t>通知单，</w:t>
      </w:r>
      <w:r>
        <w:rPr>
          <w:rFonts w:hint="eastAsia" w:asciiTheme="minorEastAsia" w:hAnsiTheme="minorEastAsia" w:eastAsiaTheme="minorEastAsia" w:cstheme="minorEastAsia"/>
          <w:sz w:val="21"/>
          <w:szCs w:val="21"/>
          <w:lang w:eastAsia="zh-CN"/>
        </w:rPr>
        <w:t>责令承包方整改，</w:t>
      </w:r>
      <w:r>
        <w:rPr>
          <w:rFonts w:hint="eastAsia" w:asciiTheme="minorEastAsia" w:hAnsiTheme="minorEastAsia" w:eastAsiaTheme="minorEastAsia" w:cstheme="minorEastAsia"/>
          <w:sz w:val="21"/>
          <w:szCs w:val="21"/>
          <w:lang w:val="en-US" w:eastAsia="zh-CN"/>
        </w:rPr>
        <w:t>反馈监理回退通知回复单和回退问题修改反馈表，</w:t>
      </w:r>
      <w:r>
        <w:rPr>
          <w:rFonts w:hint="eastAsia" w:asciiTheme="minorEastAsia" w:hAnsiTheme="minorEastAsia" w:eastAsiaTheme="minorEastAsia" w:cstheme="minorEastAsia"/>
          <w:sz w:val="21"/>
          <w:szCs w:val="21"/>
        </w:rPr>
        <w:t>并跟踪承包方对“评审整改意见”的落实</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28"/>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监理机构应根据项目设计方案，确定对项目进行阶段性质量监督、控制的措施及方法，作为档案监理细则的内容</w:t>
      </w:r>
      <w:r>
        <w:rPr>
          <w:rFonts w:hint="eastAsia" w:asciiTheme="minorEastAsia" w:hAnsiTheme="minorEastAsia" w:eastAsiaTheme="minorEastAsia" w:cstheme="minorEastAsia"/>
          <w:sz w:val="21"/>
          <w:szCs w:val="21"/>
          <w:lang w:eastAsia="zh-CN"/>
        </w:rPr>
        <w:t>；</w:t>
      </w:r>
    </w:p>
    <w:p>
      <w:pPr>
        <w:pStyle w:val="39"/>
        <w:keepNext w:val="0"/>
        <w:keepLines w:val="0"/>
        <w:pageBreakBefore w:val="0"/>
        <w:widowControl/>
        <w:numPr>
          <w:ilvl w:val="0"/>
          <w:numId w:val="28"/>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承包方提交项目阶段性测试验收方案报审表后，监理机构应组织发包方及相关人员对项目阶段性测试验收方案进行审核</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审核后签署档案监理审核意见</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项目阶段性测试验收方案无问题时，监理机构应在测试验收方案报审表中签认</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否则，监理机构应签发</w:t>
      </w:r>
      <w:r>
        <w:rPr>
          <w:rFonts w:hint="eastAsia" w:asciiTheme="minorEastAsia" w:hAnsiTheme="minorEastAsia" w:eastAsiaTheme="minorEastAsia" w:cstheme="minorEastAsia"/>
          <w:sz w:val="21"/>
          <w:szCs w:val="21"/>
          <w:lang w:eastAsia="zh-CN"/>
        </w:rPr>
        <w:t>监理回退通知单</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eastAsia="zh-CN"/>
        </w:rPr>
        <w:t>责令承包方整改，</w:t>
      </w:r>
      <w:r>
        <w:rPr>
          <w:rFonts w:hint="eastAsia" w:asciiTheme="minorEastAsia" w:hAnsiTheme="minorEastAsia" w:eastAsiaTheme="minorEastAsia" w:cstheme="minorEastAsia"/>
          <w:sz w:val="21"/>
          <w:szCs w:val="21"/>
          <w:lang w:val="en-US" w:eastAsia="zh-CN"/>
        </w:rPr>
        <w:t>反馈监理回退通知回复单和回退问题修改反馈表</w:t>
      </w:r>
      <w:r>
        <w:rPr>
          <w:rFonts w:hint="eastAsia" w:asciiTheme="minorEastAsia" w:hAnsiTheme="minorEastAsia" w:eastAsiaTheme="minorEastAsia" w:cstheme="minorEastAsia"/>
          <w:sz w:val="21"/>
          <w:szCs w:val="21"/>
        </w:rPr>
        <w:t>。</w:t>
      </w:r>
    </w:p>
    <w:p>
      <w:pPr>
        <w:pStyle w:val="37"/>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9"/>
        <w:rPr>
          <w:rFonts w:hint="eastAsia" w:ascii="黑体" w:hAnsi="黑体" w:eastAsia="黑体" w:cs="黑体"/>
          <w:kern w:val="2"/>
          <w:sz w:val="21"/>
          <w:szCs w:val="21"/>
          <w:lang w:val="en-US" w:eastAsia="zh-CN" w:bidi="ar-SA"/>
        </w:rPr>
      </w:pPr>
      <w:r>
        <w:rPr>
          <w:rFonts w:hint="eastAsia" w:ascii="黑体" w:hAnsi="黑体" w:eastAsia="黑体" w:cs="黑体"/>
          <w:kern w:val="2"/>
          <w:sz w:val="21"/>
          <w:szCs w:val="21"/>
          <w:lang w:val="en-US" w:eastAsia="zh-CN" w:bidi="ar-SA"/>
        </w:rPr>
        <w:t>档案监理进度控制</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项目实施</w:t>
      </w:r>
      <w:r>
        <w:rPr>
          <w:rFonts w:hint="eastAsia" w:ascii="宋体" w:hAnsi="宋体" w:eastAsia="宋体" w:cs="宋体"/>
          <w:sz w:val="21"/>
          <w:szCs w:val="21"/>
        </w:rPr>
        <w:t>设计阶段的档案监理进度控制</w:t>
      </w:r>
      <w:r>
        <w:rPr>
          <w:rFonts w:hint="eastAsia" w:ascii="宋体" w:hAnsi="宋体" w:eastAsia="宋体" w:cs="宋体"/>
          <w:sz w:val="21"/>
          <w:szCs w:val="21"/>
          <w:lang w:val="en-US" w:eastAsia="zh-CN"/>
        </w:rPr>
        <w:t>要求</w:t>
      </w:r>
      <w:r>
        <w:rPr>
          <w:rFonts w:hint="eastAsia" w:ascii="宋体" w:hAnsi="宋体" w:eastAsia="宋体" w:cs="宋体"/>
          <w:sz w:val="21"/>
          <w:szCs w:val="21"/>
        </w:rPr>
        <w:t>如下</w:t>
      </w:r>
      <w:r>
        <w:rPr>
          <w:rFonts w:hint="eastAsia" w:ascii="宋体" w:hAnsi="宋体" w:eastAsia="宋体" w:cs="宋体"/>
          <w:sz w:val="21"/>
          <w:szCs w:val="21"/>
          <w:lang w:eastAsia="zh-CN"/>
        </w:rPr>
        <w:t>：</w:t>
      </w:r>
    </w:p>
    <w:p>
      <w:pPr>
        <w:pStyle w:val="39"/>
        <w:keepNext w:val="0"/>
        <w:keepLines w:val="0"/>
        <w:pageBreakBefore w:val="0"/>
        <w:widowControl/>
        <w:numPr>
          <w:ilvl w:val="0"/>
          <w:numId w:val="29"/>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承包方提交</w:t>
      </w:r>
      <w:r>
        <w:rPr>
          <w:rFonts w:hint="eastAsia" w:asciiTheme="minorEastAsia" w:hAnsiTheme="minorEastAsia" w:eastAsiaTheme="minorEastAsia" w:cstheme="minorEastAsia"/>
          <w:sz w:val="21"/>
          <w:szCs w:val="21"/>
          <w:lang w:val="en-US" w:eastAsia="zh-CN"/>
        </w:rPr>
        <w:t>实施</w:t>
      </w:r>
      <w:r>
        <w:rPr>
          <w:rFonts w:hint="eastAsia" w:asciiTheme="minorEastAsia" w:hAnsiTheme="minorEastAsia" w:eastAsiaTheme="minorEastAsia" w:cstheme="minorEastAsia"/>
          <w:sz w:val="21"/>
          <w:szCs w:val="21"/>
        </w:rPr>
        <w:t>设计阶段进度计划报审表后，监理机构应依据合同对</w:t>
      </w:r>
      <w:r>
        <w:rPr>
          <w:rFonts w:hint="eastAsia" w:asciiTheme="minorEastAsia" w:hAnsiTheme="minorEastAsia" w:eastAsiaTheme="minorEastAsia" w:cstheme="minorEastAsia"/>
          <w:sz w:val="21"/>
          <w:szCs w:val="21"/>
          <w:lang w:val="en-US" w:eastAsia="zh-CN"/>
        </w:rPr>
        <w:t>实施</w:t>
      </w:r>
      <w:r>
        <w:rPr>
          <w:rFonts w:hint="eastAsia" w:asciiTheme="minorEastAsia" w:hAnsiTheme="minorEastAsia" w:eastAsiaTheme="minorEastAsia" w:cstheme="minorEastAsia"/>
          <w:sz w:val="21"/>
          <w:szCs w:val="21"/>
        </w:rPr>
        <w:t>设计阶段进度计划进行审核，审核后签署档案监理审核意见。</w:t>
      </w:r>
      <w:r>
        <w:rPr>
          <w:rFonts w:hint="eastAsia" w:asciiTheme="minorEastAsia" w:hAnsiTheme="minorEastAsia" w:eastAsiaTheme="minorEastAsia" w:cstheme="minorEastAsia"/>
          <w:sz w:val="21"/>
          <w:szCs w:val="21"/>
          <w:lang w:val="en-US" w:eastAsia="zh-CN"/>
        </w:rPr>
        <w:t>实施</w:t>
      </w:r>
      <w:r>
        <w:rPr>
          <w:rFonts w:hint="eastAsia" w:asciiTheme="minorEastAsia" w:hAnsiTheme="minorEastAsia" w:eastAsiaTheme="minorEastAsia" w:cstheme="minorEastAsia"/>
          <w:sz w:val="21"/>
          <w:szCs w:val="21"/>
        </w:rPr>
        <w:t>设计阶段进度计划无问题时，监理机构应在进度计划报审表中签认</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否则，监理机构应签发</w:t>
      </w:r>
      <w:r>
        <w:rPr>
          <w:rFonts w:hint="eastAsia" w:asciiTheme="minorEastAsia" w:hAnsiTheme="minorEastAsia" w:eastAsiaTheme="minorEastAsia" w:cstheme="minorEastAsia"/>
          <w:sz w:val="21"/>
          <w:szCs w:val="21"/>
          <w:lang w:eastAsia="zh-CN"/>
        </w:rPr>
        <w:t>监理回退通知单</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eastAsia="zh-CN"/>
        </w:rPr>
        <w:t>责令承包方整改，反馈监理回退通知回复单和回退问题修改反馈表；</w:t>
      </w:r>
    </w:p>
    <w:p>
      <w:pPr>
        <w:pStyle w:val="39"/>
        <w:keepNext w:val="0"/>
        <w:keepLines w:val="0"/>
        <w:pageBreakBefore w:val="0"/>
        <w:widowControl/>
        <w:numPr>
          <w:ilvl w:val="0"/>
          <w:numId w:val="29"/>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承包方提交项目进度计划报审表后，监理机构应审核项目进度计划的可行性、合理性和各阶段工作成果的判定依据及其可操作性，审核后签署档案监理审核意见。项目进度方案无问题时，监理机构应在进度计划报审表中签认</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否则，监理机构应签发</w:t>
      </w:r>
      <w:r>
        <w:rPr>
          <w:rFonts w:hint="eastAsia" w:asciiTheme="minorEastAsia" w:hAnsiTheme="minorEastAsia" w:eastAsiaTheme="minorEastAsia" w:cstheme="minorEastAsia"/>
          <w:sz w:val="21"/>
          <w:szCs w:val="21"/>
          <w:lang w:eastAsia="zh-CN"/>
        </w:rPr>
        <w:t>监理回退通知单</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eastAsia="zh-CN"/>
        </w:rPr>
        <w:t>责令承包方整改，反馈监理回退通知回复单和回退问题修改反馈表；</w:t>
      </w:r>
    </w:p>
    <w:p>
      <w:pPr>
        <w:pStyle w:val="39"/>
        <w:keepNext w:val="0"/>
        <w:keepLines w:val="0"/>
        <w:pageBreakBefore w:val="0"/>
        <w:widowControl/>
        <w:numPr>
          <w:ilvl w:val="0"/>
          <w:numId w:val="29"/>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监理机构应根据承包方项目进度计划，确定阶段性进度监督、控制的措施及方法，作为档案监理细则的内容。</w:t>
      </w:r>
    </w:p>
    <w:p>
      <w:pPr>
        <w:pStyle w:val="37"/>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9"/>
        <w:rPr>
          <w:rFonts w:hint="eastAsia" w:ascii="黑体" w:hAnsi="黑体" w:eastAsia="黑体" w:cs="黑体"/>
          <w:kern w:val="2"/>
          <w:sz w:val="21"/>
          <w:szCs w:val="21"/>
          <w:lang w:val="en-US" w:eastAsia="zh-CN" w:bidi="ar-SA"/>
        </w:rPr>
      </w:pPr>
      <w:r>
        <w:rPr>
          <w:rFonts w:hint="eastAsia" w:ascii="黑体" w:hAnsi="黑体" w:eastAsia="黑体" w:cs="黑体"/>
          <w:kern w:val="2"/>
          <w:sz w:val="21"/>
          <w:szCs w:val="21"/>
          <w:lang w:val="en-US" w:eastAsia="zh-CN" w:bidi="ar-SA"/>
        </w:rPr>
        <w:t>档案监理投资控制</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项目实施设计阶段的档案监理投资控制要求如下：</w:t>
      </w:r>
    </w:p>
    <w:p>
      <w:pPr>
        <w:pStyle w:val="39"/>
        <w:keepNext w:val="0"/>
        <w:keepLines w:val="0"/>
        <w:pageBreakBefore w:val="0"/>
        <w:widowControl/>
        <w:numPr>
          <w:ilvl w:val="0"/>
          <w:numId w:val="30"/>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监理机构应依据招投标文件、合同，审核项目计划、设计方案中所说明的项目目标、范围、内容、产品和服务，对可能的投资变化，向发包方提出监理意见；</w:t>
      </w:r>
    </w:p>
    <w:p>
      <w:pPr>
        <w:pStyle w:val="39"/>
        <w:keepNext w:val="0"/>
        <w:keepLines w:val="0"/>
        <w:pageBreakBefore w:val="0"/>
        <w:widowControl/>
        <w:numPr>
          <w:ilvl w:val="0"/>
          <w:numId w:val="30"/>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kern w:val="0"/>
          <w:sz w:val="21"/>
          <w:szCs w:val="21"/>
          <w:lang w:val="en-US" w:eastAsia="zh-CN" w:bidi="ar-SA"/>
        </w:rPr>
      </w:pPr>
      <w:r>
        <w:rPr>
          <w:rFonts w:hint="eastAsia" w:asciiTheme="minorEastAsia" w:hAnsiTheme="minorEastAsia" w:eastAsiaTheme="minorEastAsia" w:cstheme="minorEastAsia"/>
          <w:sz w:val="21"/>
          <w:szCs w:val="21"/>
          <w:lang w:val="en-US" w:eastAsia="zh-CN"/>
        </w:rPr>
        <w:t>监理机构应控制设计变更，变更应由三方达成共识，并</w:t>
      </w:r>
      <w:r>
        <w:rPr>
          <w:rFonts w:hint="eastAsia" w:ascii="宋体" w:hAnsi="宋体" w:eastAsia="宋体" w:cs="宋体"/>
          <w:kern w:val="0"/>
          <w:sz w:val="21"/>
          <w:szCs w:val="21"/>
          <w:lang w:val="en-US" w:eastAsia="zh-CN" w:bidi="ar-SA"/>
        </w:rPr>
        <w:t>做项目备忘录。</w:t>
      </w:r>
    </w:p>
    <w:p>
      <w:pPr>
        <w:pStyle w:val="37"/>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9"/>
        <w:rPr>
          <w:rFonts w:hint="eastAsia" w:ascii="黑体" w:hAnsi="黑体" w:eastAsia="黑体" w:cs="黑体"/>
          <w:kern w:val="2"/>
          <w:sz w:val="21"/>
          <w:szCs w:val="21"/>
          <w:lang w:val="en-US" w:eastAsia="zh-CN" w:bidi="ar-SA"/>
        </w:rPr>
      </w:pPr>
      <w:r>
        <w:rPr>
          <w:rFonts w:hint="eastAsia" w:ascii="黑体" w:hAnsi="黑体" w:eastAsia="黑体" w:cs="黑体"/>
          <w:kern w:val="2"/>
          <w:sz w:val="21"/>
          <w:szCs w:val="21"/>
          <w:lang w:val="en-US" w:eastAsia="zh-CN" w:bidi="ar-SA"/>
        </w:rPr>
        <w:t>档案监理合同管理</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项目实施设计阶段的档案监理合同管理要求如下：</w:t>
      </w:r>
    </w:p>
    <w:p>
      <w:pPr>
        <w:pStyle w:val="39"/>
        <w:keepNext w:val="0"/>
        <w:keepLines w:val="0"/>
        <w:pageBreakBefore w:val="0"/>
        <w:widowControl/>
        <w:numPr>
          <w:ilvl w:val="0"/>
          <w:numId w:val="31"/>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监理机构应及时处理发包方或承包方合同变更的申请，协助保持合同、协议及其附件内容的时效性、一致性；</w:t>
      </w:r>
    </w:p>
    <w:p>
      <w:pPr>
        <w:pStyle w:val="39"/>
        <w:keepNext w:val="0"/>
        <w:keepLines w:val="0"/>
        <w:pageBreakBefore w:val="0"/>
        <w:widowControl/>
        <w:numPr>
          <w:ilvl w:val="0"/>
          <w:numId w:val="31"/>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监理机构应及时对合同的变更结果做项目备忘录。</w:t>
      </w:r>
    </w:p>
    <w:p>
      <w:pPr>
        <w:pStyle w:val="37"/>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9"/>
        <w:rPr>
          <w:rFonts w:hint="eastAsia" w:ascii="黑体" w:hAnsi="黑体" w:eastAsia="黑体" w:cs="黑体"/>
          <w:kern w:val="2"/>
          <w:sz w:val="21"/>
          <w:szCs w:val="21"/>
          <w:lang w:val="en-US" w:eastAsia="zh-CN" w:bidi="ar-SA"/>
        </w:rPr>
      </w:pPr>
      <w:r>
        <w:rPr>
          <w:rFonts w:hint="eastAsia" w:ascii="黑体" w:hAnsi="黑体" w:eastAsia="黑体" w:cs="黑体"/>
          <w:kern w:val="2"/>
          <w:sz w:val="21"/>
          <w:szCs w:val="21"/>
          <w:lang w:val="en-US" w:eastAsia="zh-CN" w:bidi="ar-SA"/>
        </w:rPr>
        <w:t>档案监理信息管理</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项目实施设计阶段的档案监理信息管理要求如下：</w:t>
      </w:r>
    </w:p>
    <w:p>
      <w:pPr>
        <w:pStyle w:val="39"/>
        <w:keepNext w:val="0"/>
        <w:keepLines w:val="0"/>
        <w:pageBreakBefore w:val="0"/>
        <w:widowControl/>
        <w:numPr>
          <w:ilvl w:val="0"/>
          <w:numId w:val="32"/>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监理机构应建立发包方、承包方信息沟通机制，并要求各方在项目工作中贯彻执行；</w:t>
      </w:r>
    </w:p>
    <w:p>
      <w:pPr>
        <w:pStyle w:val="39"/>
        <w:keepNext w:val="0"/>
        <w:keepLines w:val="0"/>
        <w:pageBreakBefore w:val="0"/>
        <w:widowControl/>
        <w:numPr>
          <w:ilvl w:val="0"/>
          <w:numId w:val="32"/>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监理机构应对实施设计阶段三方共同参与的过程和活动做项目备忘录，并由三方签认；</w:t>
      </w:r>
    </w:p>
    <w:p>
      <w:pPr>
        <w:pStyle w:val="39"/>
        <w:keepNext w:val="0"/>
        <w:keepLines w:val="0"/>
        <w:pageBreakBefore w:val="0"/>
        <w:widowControl/>
        <w:numPr>
          <w:ilvl w:val="0"/>
          <w:numId w:val="32"/>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监理机构应要求发包方、承包方妥善保管有关的文档资料；</w:t>
      </w:r>
    </w:p>
    <w:p>
      <w:pPr>
        <w:pStyle w:val="39"/>
        <w:keepNext w:val="0"/>
        <w:keepLines w:val="0"/>
        <w:pageBreakBefore w:val="0"/>
        <w:widowControl/>
        <w:numPr>
          <w:ilvl w:val="0"/>
          <w:numId w:val="32"/>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监理机构应妥善保管项目实施设计阶段的文档，如项目计划、设计方案及监理文档，并监督检查项目文档的时效性和可用性；</w:t>
      </w:r>
    </w:p>
    <w:p>
      <w:pPr>
        <w:pStyle w:val="39"/>
        <w:keepNext w:val="0"/>
        <w:keepLines w:val="0"/>
        <w:pageBreakBefore w:val="0"/>
        <w:widowControl/>
        <w:numPr>
          <w:ilvl w:val="0"/>
          <w:numId w:val="32"/>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监理机构应对项目中各方提出保密要求的信息实施保密，尊重各方的知识产权。</w:t>
      </w:r>
    </w:p>
    <w:p>
      <w:pPr>
        <w:pStyle w:val="37"/>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9"/>
        <w:rPr>
          <w:rFonts w:hint="eastAsia" w:ascii="黑体" w:hAnsi="黑体" w:eastAsia="黑体" w:cs="黑体"/>
          <w:kern w:val="2"/>
          <w:sz w:val="21"/>
          <w:szCs w:val="21"/>
          <w:lang w:val="en-US" w:eastAsia="zh-CN" w:bidi="ar-SA"/>
        </w:rPr>
      </w:pPr>
      <w:r>
        <w:rPr>
          <w:rFonts w:hint="eastAsia" w:ascii="黑体" w:hAnsi="黑体" w:eastAsia="黑体" w:cs="黑体"/>
          <w:kern w:val="2"/>
          <w:sz w:val="21"/>
          <w:szCs w:val="21"/>
          <w:lang w:val="en-US" w:eastAsia="zh-CN" w:bidi="ar-SA"/>
        </w:rPr>
        <w:t>档案监理安全生产管理</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Times New Roman" w:hAnsi="Times New Roman" w:eastAsia="黑体" w:cs="Times New Roman"/>
          <w:sz w:val="21"/>
          <w:szCs w:val="21"/>
        </w:rPr>
      </w:pPr>
      <w:r>
        <w:rPr>
          <w:rFonts w:hint="eastAsia" w:asciiTheme="minorEastAsia" w:hAnsiTheme="minorEastAsia" w:eastAsiaTheme="minorEastAsia" w:cstheme="minorEastAsia"/>
          <w:sz w:val="21"/>
          <w:szCs w:val="21"/>
          <w:lang w:val="en-US" w:eastAsia="zh-CN"/>
        </w:rPr>
        <w:t>项目实施设计阶段的档案监理安全生产管理要求如下：</w:t>
      </w:r>
    </w:p>
    <w:p>
      <w:pPr>
        <w:pStyle w:val="39"/>
        <w:keepNext w:val="0"/>
        <w:keepLines w:val="0"/>
        <w:pageBreakBefore w:val="0"/>
        <w:widowControl/>
        <w:numPr>
          <w:ilvl w:val="0"/>
          <w:numId w:val="33"/>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监理机构应推动发包方、承包方协商将项目质量管理、进度管理、投资管理、项目文档信息管理纳入安全生产管理范畴，将协商结果写入安全生产管理方案，保证档案服务外包项目安全顺利实施；</w:t>
      </w:r>
    </w:p>
    <w:p>
      <w:pPr>
        <w:pStyle w:val="39"/>
        <w:keepNext w:val="0"/>
        <w:keepLines w:val="0"/>
        <w:pageBreakBefore w:val="0"/>
        <w:widowControl/>
        <w:numPr>
          <w:ilvl w:val="0"/>
          <w:numId w:val="33"/>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监理机构应对承包方安全生产管理方案中的安全生产管理措施、内容、全面性、有效性等进行审核，签署档案监理审核意见。必要时可进行安全生产实验观摩，安全生产管理方案无问题时，监理机构应在安全生产管理方案报审表中签认；否则，监理机构应签发监理回退通知单，责令承包方整改，反馈监理回退通知回复单和回退问题修改反馈表；</w:t>
      </w:r>
    </w:p>
    <w:p>
      <w:pPr>
        <w:pStyle w:val="39"/>
        <w:keepNext w:val="0"/>
        <w:keepLines w:val="0"/>
        <w:pageBreakBefore w:val="0"/>
        <w:widowControl/>
        <w:numPr>
          <w:ilvl w:val="0"/>
          <w:numId w:val="33"/>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监理机构应协同三方建立安全生产管理应急处置体系，定期召开安全生产管理专题会议，并在每次监理例会中通报安全生产情况，排除安全生产隐患。</w:t>
      </w:r>
    </w:p>
    <w:p>
      <w:pPr>
        <w:pStyle w:val="37"/>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9"/>
        <w:rPr>
          <w:rFonts w:hint="eastAsia" w:ascii="黑体" w:hAnsi="黑体" w:eastAsia="黑体" w:cs="黑体"/>
          <w:kern w:val="2"/>
          <w:sz w:val="21"/>
          <w:szCs w:val="21"/>
          <w:lang w:val="en-US" w:eastAsia="zh-CN" w:bidi="ar-SA"/>
        </w:rPr>
      </w:pPr>
      <w:r>
        <w:rPr>
          <w:rFonts w:hint="eastAsia" w:ascii="黑体" w:hAnsi="黑体" w:eastAsia="黑体" w:cs="黑体"/>
          <w:kern w:val="2"/>
          <w:sz w:val="21"/>
          <w:szCs w:val="21"/>
          <w:lang w:val="en-US" w:eastAsia="zh-CN" w:bidi="ar-SA"/>
        </w:rPr>
        <w:t>档案监理协调</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Times New Roman" w:hAnsi="Times New Roman" w:eastAsia="黑体" w:cs="Times New Roman"/>
          <w:sz w:val="21"/>
          <w:szCs w:val="21"/>
        </w:rPr>
      </w:pPr>
      <w:r>
        <w:rPr>
          <w:rFonts w:hint="eastAsia" w:asciiTheme="minorEastAsia" w:hAnsiTheme="minorEastAsia" w:eastAsiaTheme="minorEastAsia" w:cstheme="minorEastAsia"/>
          <w:kern w:val="0"/>
          <w:sz w:val="21"/>
          <w:szCs w:val="21"/>
          <w:lang w:val="en-US" w:eastAsia="zh-CN" w:bidi="ar-SA"/>
        </w:rPr>
        <w:t>项目实施设计阶段的档案监理协调要求如下：</w:t>
      </w:r>
    </w:p>
    <w:p>
      <w:pPr>
        <w:pStyle w:val="39"/>
        <w:keepNext w:val="0"/>
        <w:keepLines w:val="0"/>
        <w:pageBreakBefore w:val="0"/>
        <w:widowControl/>
        <w:numPr>
          <w:ilvl w:val="0"/>
          <w:numId w:val="34"/>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监理机构应与发包方、承包方确定项目实施设计阶段的协调形式和方法，如监理例会和专题会议等，并在项目过程中执行；</w:t>
      </w:r>
    </w:p>
    <w:p>
      <w:pPr>
        <w:pStyle w:val="39"/>
        <w:keepNext w:val="0"/>
        <w:keepLines w:val="0"/>
        <w:pageBreakBefore w:val="0"/>
        <w:widowControl/>
        <w:numPr>
          <w:ilvl w:val="0"/>
          <w:numId w:val="34"/>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监理机构应协调发包方调动适当的资源，配合承包方完成项目设计前期的调查和分析工作；</w:t>
      </w:r>
    </w:p>
    <w:p>
      <w:pPr>
        <w:pStyle w:val="39"/>
        <w:keepNext w:val="0"/>
        <w:keepLines w:val="0"/>
        <w:pageBreakBefore w:val="0"/>
        <w:widowControl/>
        <w:numPr>
          <w:ilvl w:val="0"/>
          <w:numId w:val="34"/>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监理机构应对实施设计阶段出现的变更提出监理意见，协调发包方、承包方达成一致；</w:t>
      </w:r>
    </w:p>
    <w:p>
      <w:pPr>
        <w:pStyle w:val="39"/>
        <w:keepNext w:val="0"/>
        <w:keepLines w:val="0"/>
        <w:pageBreakBefore w:val="0"/>
        <w:widowControl/>
        <w:numPr>
          <w:ilvl w:val="0"/>
          <w:numId w:val="34"/>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监理机构应对实施设计阶段协调的结果做项目备忘录。</w:t>
      </w:r>
    </w:p>
    <w:p>
      <w:pPr>
        <w:pStyle w:val="28"/>
        <w:keepNext w:val="0"/>
        <w:keepLines w:val="0"/>
        <w:pageBreakBefore w:val="0"/>
        <w:widowControl/>
        <w:kinsoku/>
        <w:wordWrap/>
        <w:overflowPunct/>
        <w:topLinePunct w:val="0"/>
        <w:autoSpaceDE/>
        <w:autoSpaceDN/>
        <w:bidi w:val="0"/>
        <w:adjustRightInd/>
        <w:snapToGrid/>
        <w:spacing w:before="156" w:after="156"/>
        <w:textAlignment w:val="auto"/>
        <w:outlineLvl w:val="1"/>
        <w:rPr>
          <w:rFonts w:hint="eastAsia" w:ascii="黑体" w:hAnsi="黑体" w:eastAsia="黑体" w:cs="黑体"/>
          <w:sz w:val="21"/>
          <w:szCs w:val="21"/>
        </w:rPr>
      </w:pPr>
      <w:bookmarkStart w:id="122" w:name="_Toc20959"/>
      <w:bookmarkStart w:id="123" w:name="_Toc9418"/>
      <w:r>
        <w:rPr>
          <w:rFonts w:hint="eastAsia" w:ascii="黑体" w:hAnsi="黑体" w:eastAsia="黑体" w:cs="黑体"/>
          <w:sz w:val="21"/>
          <w:szCs w:val="21"/>
          <w:lang w:val="en-US" w:eastAsia="zh-CN"/>
        </w:rPr>
        <w:t>项目</w:t>
      </w:r>
      <w:r>
        <w:rPr>
          <w:rFonts w:hint="eastAsia" w:ascii="黑体" w:hAnsi="黑体" w:eastAsia="黑体" w:cs="黑体"/>
          <w:sz w:val="21"/>
          <w:szCs w:val="21"/>
        </w:rPr>
        <w:t>实施阶段</w:t>
      </w:r>
      <w:bookmarkEnd w:id="122"/>
      <w:bookmarkEnd w:id="123"/>
    </w:p>
    <w:p>
      <w:pPr>
        <w:pStyle w:val="37"/>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9"/>
        <w:rPr>
          <w:rFonts w:hint="eastAsia" w:ascii="黑体" w:hAnsi="黑体" w:eastAsia="黑体" w:cs="黑体"/>
          <w:kern w:val="2"/>
          <w:sz w:val="21"/>
          <w:szCs w:val="21"/>
          <w:lang w:val="en-US" w:eastAsia="zh-CN" w:bidi="ar-SA"/>
        </w:rPr>
      </w:pPr>
      <w:r>
        <w:rPr>
          <w:rFonts w:hint="eastAsia" w:ascii="黑体" w:hAnsi="黑体" w:eastAsia="黑体" w:cs="黑体"/>
          <w:kern w:val="2"/>
          <w:sz w:val="21"/>
          <w:szCs w:val="21"/>
          <w:lang w:val="en-US" w:eastAsia="zh-CN" w:bidi="ar-SA"/>
        </w:rPr>
        <w:t>档案监理质量控制</w:t>
      </w:r>
    </w:p>
    <w:p>
      <w:pPr>
        <w:spacing w:line="24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项目实施阶段的档案监理质量控制要求如下：</w:t>
      </w:r>
    </w:p>
    <w:p>
      <w:pPr>
        <w:pStyle w:val="39"/>
        <w:keepNext w:val="0"/>
        <w:keepLines w:val="0"/>
        <w:pageBreakBefore w:val="0"/>
        <w:widowControl/>
        <w:numPr>
          <w:ilvl w:val="0"/>
          <w:numId w:val="35"/>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项目实施前，承包方应提交质量管理计划报审表，由监理机构组织审核，审核后签署档案监理审核意见。质量管理计划无问题时，监理机构应在质量管理计划报审表中签认；否则，监理机构应签发监理回退通知单，责令承包方整改，反馈监理回退通知回复单和回退问题修改反馈表；</w:t>
      </w:r>
    </w:p>
    <w:p>
      <w:pPr>
        <w:pStyle w:val="39"/>
        <w:keepNext w:val="0"/>
        <w:keepLines w:val="0"/>
        <w:pageBreakBefore w:val="0"/>
        <w:widowControl/>
        <w:numPr>
          <w:ilvl w:val="0"/>
          <w:numId w:val="35"/>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项目实施前，监理机构应组织发包方、承包方召开项目实施准备会议，要求承包方落实实施计划、实施方案和必要的准备工作，会议内容做会议纪要，并经三方签认；</w:t>
      </w:r>
    </w:p>
    <w:p>
      <w:pPr>
        <w:pStyle w:val="39"/>
        <w:keepNext w:val="0"/>
        <w:keepLines w:val="0"/>
        <w:pageBreakBefore w:val="0"/>
        <w:widowControl/>
        <w:numPr>
          <w:ilvl w:val="0"/>
          <w:numId w:val="35"/>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项目实施前，承包方应提交项目实施方案报审表，由监理机构组织审核实施方案，审核后签署监理意见。项目实施方案无问题时，监理机构应在项目实施方案报审表中签认；否则，监理机构应签发监理回退通知单，责令承包方整改，反馈监理回退通知回复单和回退问题修改反馈表。监理机构应审核的内容如下：</w:t>
      </w:r>
    </w:p>
    <w:p>
      <w:pPr>
        <w:pStyle w:val="39"/>
        <w:keepNext w:val="0"/>
        <w:keepLines w:val="0"/>
        <w:pageBreakBefore w:val="0"/>
        <w:widowControl/>
        <w:numPr>
          <w:ilvl w:val="0"/>
          <w:numId w:val="36"/>
        </w:numPr>
        <w:kinsoku/>
        <w:wordWrap/>
        <w:overflowPunct/>
        <w:topLinePunct w:val="0"/>
        <w:autoSpaceDE/>
        <w:autoSpaceDN/>
        <w:bidi w:val="0"/>
        <w:adjustRightInd/>
        <w:snapToGrid/>
        <w:ind w:left="1260" w:leftChars="4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实施方案的合理性和可行性；</w:t>
      </w:r>
    </w:p>
    <w:p>
      <w:pPr>
        <w:pStyle w:val="39"/>
        <w:keepNext w:val="0"/>
        <w:keepLines w:val="0"/>
        <w:pageBreakBefore w:val="0"/>
        <w:widowControl/>
        <w:numPr>
          <w:ilvl w:val="0"/>
          <w:numId w:val="36"/>
        </w:numPr>
        <w:kinsoku/>
        <w:wordWrap/>
        <w:overflowPunct/>
        <w:topLinePunct w:val="0"/>
        <w:autoSpaceDE/>
        <w:autoSpaceDN/>
        <w:bidi w:val="0"/>
        <w:adjustRightInd/>
        <w:snapToGrid/>
        <w:ind w:left="1260" w:leftChars="4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实施方案与合同、设计方案和实施计划的符合性；</w:t>
      </w:r>
    </w:p>
    <w:p>
      <w:pPr>
        <w:pStyle w:val="39"/>
        <w:keepNext w:val="0"/>
        <w:keepLines w:val="0"/>
        <w:pageBreakBefore w:val="0"/>
        <w:widowControl/>
        <w:numPr>
          <w:ilvl w:val="0"/>
          <w:numId w:val="36"/>
        </w:numPr>
        <w:kinsoku/>
        <w:wordWrap/>
        <w:overflowPunct/>
        <w:topLinePunct w:val="0"/>
        <w:autoSpaceDE/>
        <w:autoSpaceDN/>
        <w:bidi w:val="0"/>
        <w:adjustRightInd/>
        <w:snapToGrid/>
        <w:ind w:left="1260" w:leftChars="4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项目实施的组织机构。</w:t>
      </w:r>
    </w:p>
    <w:p>
      <w:pPr>
        <w:pStyle w:val="39"/>
        <w:keepNext w:val="0"/>
        <w:keepLines w:val="0"/>
        <w:pageBreakBefore w:val="0"/>
        <w:widowControl/>
        <w:numPr>
          <w:ilvl w:val="0"/>
          <w:numId w:val="35"/>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监理机构应组织对承包方提供的产品及服务进行验收，对验收结果做验收记录，并经三方签认；对不符合合同或相关标准规定的产品及服务应拒绝签认。没有被签认的产品及服务不得在项目实施中应用。产品及服务验收应包括如下内容：</w:t>
      </w:r>
    </w:p>
    <w:p>
      <w:pPr>
        <w:pStyle w:val="39"/>
        <w:keepNext w:val="0"/>
        <w:keepLines w:val="0"/>
        <w:pageBreakBefore w:val="0"/>
        <w:widowControl/>
        <w:numPr>
          <w:ilvl w:val="0"/>
          <w:numId w:val="37"/>
        </w:numPr>
        <w:kinsoku/>
        <w:wordWrap/>
        <w:overflowPunct/>
        <w:topLinePunct w:val="0"/>
        <w:autoSpaceDE/>
        <w:autoSpaceDN/>
        <w:bidi w:val="0"/>
        <w:adjustRightInd/>
        <w:snapToGrid/>
        <w:ind w:left="1260" w:leftChars="4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产品及服务应与合同要求和产品文档的说明一致；</w:t>
      </w:r>
    </w:p>
    <w:p>
      <w:pPr>
        <w:pStyle w:val="39"/>
        <w:keepNext w:val="0"/>
        <w:keepLines w:val="0"/>
        <w:pageBreakBefore w:val="0"/>
        <w:widowControl/>
        <w:numPr>
          <w:ilvl w:val="0"/>
          <w:numId w:val="37"/>
        </w:numPr>
        <w:kinsoku/>
        <w:wordWrap/>
        <w:overflowPunct/>
        <w:topLinePunct w:val="0"/>
        <w:autoSpaceDE/>
        <w:autoSpaceDN/>
        <w:bidi w:val="0"/>
        <w:adjustRightInd/>
        <w:snapToGrid/>
        <w:ind w:left="1260" w:leftChars="4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产品及服务的有效性和真实性；</w:t>
      </w:r>
    </w:p>
    <w:p>
      <w:pPr>
        <w:pStyle w:val="39"/>
        <w:keepNext w:val="0"/>
        <w:keepLines w:val="0"/>
        <w:pageBreakBefore w:val="0"/>
        <w:widowControl/>
        <w:numPr>
          <w:ilvl w:val="0"/>
          <w:numId w:val="37"/>
        </w:numPr>
        <w:kinsoku/>
        <w:wordWrap/>
        <w:overflowPunct/>
        <w:topLinePunct w:val="0"/>
        <w:autoSpaceDE/>
        <w:autoSpaceDN/>
        <w:bidi w:val="0"/>
        <w:adjustRightInd/>
        <w:snapToGrid/>
        <w:ind w:left="1260" w:leftChars="4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必要时，监理机构可依据合同、技术标准或事先约定的方法检测产品及服务的质量，对于数量较大的同类型产品及服务，监理机构可采取抽样方法；</w:t>
      </w:r>
    </w:p>
    <w:p>
      <w:pPr>
        <w:pStyle w:val="39"/>
        <w:keepNext w:val="0"/>
        <w:keepLines w:val="0"/>
        <w:pageBreakBefore w:val="0"/>
        <w:widowControl/>
        <w:numPr>
          <w:ilvl w:val="0"/>
          <w:numId w:val="37"/>
        </w:numPr>
        <w:kinsoku/>
        <w:wordWrap/>
        <w:overflowPunct/>
        <w:topLinePunct w:val="0"/>
        <w:autoSpaceDE/>
        <w:autoSpaceDN/>
        <w:bidi w:val="0"/>
        <w:adjustRightInd/>
        <w:snapToGrid/>
        <w:ind w:left="1260" w:leftChars="4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必要时，监理机构应要求承包方提交第三方测试机构出具的测试报告，并核验产品认证证书、检测报告的真实性、有效性；第三方测试机构应经发包方和监理机构同意。</w:t>
      </w:r>
    </w:p>
    <w:p>
      <w:pPr>
        <w:pStyle w:val="39"/>
        <w:keepNext w:val="0"/>
        <w:keepLines w:val="0"/>
        <w:pageBreakBefore w:val="0"/>
        <w:widowControl/>
        <w:numPr>
          <w:ilvl w:val="0"/>
          <w:numId w:val="35"/>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监理机构应按计划检查承包方项目实施状况、人员与实施方案的一致性；</w:t>
      </w:r>
    </w:p>
    <w:p>
      <w:pPr>
        <w:pStyle w:val="39"/>
        <w:keepNext w:val="0"/>
        <w:keepLines w:val="0"/>
        <w:pageBreakBefore w:val="0"/>
        <w:widowControl/>
        <w:numPr>
          <w:ilvl w:val="0"/>
          <w:numId w:val="35"/>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监理机构应执行已确定的阶段性质量监督、控制措施及方法，并做监理日志；定期或不定期抽查，填写监理抽查问题登记表（见附录D、E、F）；出现项目质量问题时，经确认后监理机构签发监理回退通知单，报发包方、承包方，责令承包方整改，反馈监理回退通知回复单和回退问题修改反馈表；</w:t>
      </w:r>
    </w:p>
    <w:p>
      <w:pPr>
        <w:pStyle w:val="39"/>
        <w:keepNext w:val="0"/>
        <w:keepLines w:val="0"/>
        <w:pageBreakBefore w:val="0"/>
        <w:widowControl/>
        <w:numPr>
          <w:ilvl w:val="0"/>
          <w:numId w:val="35"/>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监理机构应及时处理承包方提交的项目中关键环节的实施申请，审核其合理性后签认，报发包方批准；</w:t>
      </w:r>
    </w:p>
    <w:p>
      <w:pPr>
        <w:pStyle w:val="39"/>
        <w:keepNext w:val="0"/>
        <w:keepLines w:val="0"/>
        <w:pageBreakBefore w:val="0"/>
        <w:widowControl/>
        <w:numPr>
          <w:ilvl w:val="0"/>
          <w:numId w:val="35"/>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必要时，监理机构应检查承包方重要项目步骤的衔接工作，做监理日志。未经监理项目师检查认可，承包方不能进行与之相关的下一步骤的实施；</w:t>
      </w:r>
    </w:p>
    <w:p>
      <w:pPr>
        <w:pStyle w:val="39"/>
        <w:keepNext w:val="0"/>
        <w:keepLines w:val="0"/>
        <w:pageBreakBefore w:val="0"/>
        <w:widowControl/>
        <w:numPr>
          <w:ilvl w:val="0"/>
          <w:numId w:val="35"/>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监理机构应及时处理项目变更申请，审核变更的合理性（具体按9.4.4处理），保证项目总体质量不受影响；</w:t>
      </w:r>
    </w:p>
    <w:p>
      <w:pPr>
        <w:pStyle w:val="39"/>
        <w:keepNext w:val="0"/>
        <w:keepLines w:val="0"/>
        <w:pageBreakBefore w:val="0"/>
        <w:widowControl/>
        <w:numPr>
          <w:ilvl w:val="0"/>
          <w:numId w:val="35"/>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有分包单位时，监理机构应组织审核分包单位的项目实施资格，禁止不具备项目实施资格的分包单位参与项目实施；</w:t>
      </w:r>
    </w:p>
    <w:p>
      <w:pPr>
        <w:pStyle w:val="39"/>
        <w:keepNext w:val="0"/>
        <w:keepLines w:val="0"/>
        <w:pageBreakBefore w:val="0"/>
        <w:widowControl/>
        <w:numPr>
          <w:ilvl w:val="0"/>
          <w:numId w:val="35"/>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Theme="minorEastAsia" w:hAnsiTheme="minorEastAsia" w:eastAsiaTheme="minorEastAsia" w:cstheme="minorEastAsia"/>
          <w:sz w:val="21"/>
          <w:szCs w:val="21"/>
          <w:lang w:val="en-US" w:eastAsia="zh-CN"/>
        </w:rPr>
        <w:t>监理机构可参照以下程</w:t>
      </w:r>
      <w:r>
        <w:rPr>
          <w:rFonts w:hint="eastAsia" w:ascii="宋体" w:hAnsi="宋体" w:eastAsia="宋体" w:cs="宋体"/>
          <w:sz w:val="21"/>
          <w:szCs w:val="21"/>
          <w:lang w:val="en-US" w:eastAsia="zh-CN"/>
        </w:rPr>
        <w:t>序处理项目中出现的质量事故：</w:t>
      </w:r>
    </w:p>
    <w:p>
      <w:pPr>
        <w:pStyle w:val="39"/>
        <w:keepNext w:val="0"/>
        <w:keepLines w:val="0"/>
        <w:pageBreakBefore w:val="0"/>
        <w:widowControl/>
        <w:numPr>
          <w:ilvl w:val="0"/>
          <w:numId w:val="38"/>
        </w:numPr>
        <w:kinsoku/>
        <w:wordWrap/>
        <w:overflowPunct/>
        <w:topLinePunct w:val="0"/>
        <w:autoSpaceDE/>
        <w:autoSpaceDN/>
        <w:bidi w:val="0"/>
        <w:adjustRightInd/>
        <w:snapToGrid/>
        <w:ind w:left="1260" w:leftChars="4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监理机构应要求承包方在事故发生后立即采取措施，尽可能控制其影响范围，并及时签发停工令，报发包方；</w:t>
      </w:r>
    </w:p>
    <w:p>
      <w:pPr>
        <w:pStyle w:val="39"/>
        <w:keepNext w:val="0"/>
        <w:keepLines w:val="0"/>
        <w:pageBreakBefore w:val="0"/>
        <w:widowControl/>
        <w:numPr>
          <w:ilvl w:val="0"/>
          <w:numId w:val="38"/>
        </w:numPr>
        <w:kinsoku/>
        <w:wordWrap/>
        <w:overflowPunct/>
        <w:topLinePunct w:val="0"/>
        <w:autoSpaceDE/>
        <w:autoSpaceDN/>
        <w:bidi w:val="0"/>
        <w:adjustRightInd/>
        <w:snapToGrid/>
        <w:ind w:left="1260" w:leftChars="4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监理机构应在接到事故申报后立即组织有关人员检查事故状况、分析原因，与发包方、承包方共同确认初步处理意见；</w:t>
      </w:r>
    </w:p>
    <w:p>
      <w:pPr>
        <w:pStyle w:val="39"/>
        <w:keepNext w:val="0"/>
        <w:keepLines w:val="0"/>
        <w:pageBreakBefore w:val="0"/>
        <w:widowControl/>
        <w:numPr>
          <w:ilvl w:val="0"/>
          <w:numId w:val="38"/>
        </w:numPr>
        <w:kinsoku/>
        <w:wordWrap/>
        <w:overflowPunct/>
        <w:topLinePunct w:val="0"/>
        <w:autoSpaceDE/>
        <w:autoSpaceDN/>
        <w:bidi w:val="0"/>
        <w:adjustRightInd/>
        <w:snapToGrid/>
        <w:ind w:left="1260" w:leftChars="4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监理机构应监督承包方采取措施，查清事故原因，审核承包方提出的事故解决方案及预防措施，提出监理意见，提交发包方签认；</w:t>
      </w:r>
    </w:p>
    <w:p>
      <w:pPr>
        <w:pStyle w:val="39"/>
        <w:keepNext w:val="0"/>
        <w:keepLines w:val="0"/>
        <w:pageBreakBefore w:val="0"/>
        <w:widowControl/>
        <w:numPr>
          <w:ilvl w:val="0"/>
          <w:numId w:val="38"/>
        </w:numPr>
        <w:kinsoku/>
        <w:wordWrap/>
        <w:overflowPunct/>
        <w:topLinePunct w:val="0"/>
        <w:autoSpaceDE/>
        <w:autoSpaceDN/>
        <w:bidi w:val="0"/>
        <w:adjustRightInd/>
        <w:snapToGrid/>
        <w:ind w:left="1260" w:leftChars="4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监理机构应审查承包方报送的事故报告及复工申请，条件具备时，经总监理工程师签发复工令。</w:t>
      </w:r>
    </w:p>
    <w:p>
      <w:pPr>
        <w:pStyle w:val="39"/>
        <w:keepNext w:val="0"/>
        <w:keepLines w:val="0"/>
        <w:pageBreakBefore w:val="0"/>
        <w:widowControl/>
        <w:numPr>
          <w:ilvl w:val="0"/>
          <w:numId w:val="35"/>
        </w:numPr>
        <w:kinsoku/>
        <w:wordWrap/>
        <w:overflowPunct/>
        <w:topLinePunct w:val="0"/>
        <w:autoSpaceDE/>
        <w:autoSpaceDN/>
        <w:bidi w:val="0"/>
        <w:adjustRightInd/>
        <w:snapToGrid/>
        <w:ind w:left="840" w:leftChars="2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宋体" w:hAnsi="宋体" w:eastAsia="宋体" w:cs="宋体"/>
          <w:sz w:val="21"/>
          <w:szCs w:val="21"/>
          <w:lang w:val="en-US" w:eastAsia="zh-CN"/>
        </w:rPr>
        <w:t>监理机构若发现项目实施过程存在重大质量隐患，应及时向承包方签发停工令，并报发包方，监督承包方进行整改。整改完毕后，及时处理承包方的复工申请。</w:t>
      </w:r>
    </w:p>
    <w:p>
      <w:pPr>
        <w:pStyle w:val="37"/>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9"/>
        <w:rPr>
          <w:rFonts w:hint="eastAsia" w:ascii="黑体" w:hAnsi="黑体" w:eastAsia="黑体" w:cs="黑体"/>
          <w:kern w:val="2"/>
          <w:sz w:val="21"/>
          <w:szCs w:val="21"/>
          <w:lang w:val="en-US" w:eastAsia="zh-CN" w:bidi="ar-SA"/>
        </w:rPr>
      </w:pPr>
      <w:r>
        <w:rPr>
          <w:rFonts w:hint="eastAsia" w:ascii="黑体" w:hAnsi="黑体" w:eastAsia="黑体" w:cs="黑体"/>
          <w:kern w:val="2"/>
          <w:sz w:val="21"/>
          <w:szCs w:val="21"/>
          <w:lang w:val="en-US" w:eastAsia="zh-CN" w:bidi="ar-SA"/>
        </w:rPr>
        <w:t>档案监理进度控制</w:t>
      </w:r>
    </w:p>
    <w:p>
      <w:pPr>
        <w:spacing w:line="24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项目实施阶段的档案监理进度控制要求如下：</w:t>
      </w:r>
    </w:p>
    <w:p>
      <w:pPr>
        <w:pStyle w:val="39"/>
        <w:keepNext w:val="0"/>
        <w:keepLines w:val="0"/>
        <w:pageBreakBefore w:val="0"/>
        <w:widowControl/>
        <w:numPr>
          <w:ilvl w:val="0"/>
          <w:numId w:val="39"/>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机构应审核承包方项目实施计划的合理性，审核后签署档案监理审核意见。实施计划无问题时，监理机构应在实施计划报审表中签认；否则，监理机构应签发监理回退通知单，责令承包方整改，反馈监理回退通知回复单和回退问题修改反馈表；</w:t>
      </w:r>
    </w:p>
    <w:p>
      <w:pPr>
        <w:pStyle w:val="39"/>
        <w:keepNext w:val="0"/>
        <w:keepLines w:val="0"/>
        <w:pageBreakBefore w:val="0"/>
        <w:widowControl/>
        <w:numPr>
          <w:ilvl w:val="0"/>
          <w:numId w:val="39"/>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承包方提交开工申请后，监理机构应审核开工申请，检查项目准备情况。项目实施条件具备时，总监理工程师应签发开工令，并报发包方签认，通知承包方开始项目实施；</w:t>
      </w:r>
    </w:p>
    <w:p>
      <w:pPr>
        <w:pStyle w:val="39"/>
        <w:keepNext w:val="0"/>
        <w:keepLines w:val="0"/>
        <w:pageBreakBefore w:val="0"/>
        <w:widowControl/>
        <w:numPr>
          <w:ilvl w:val="0"/>
          <w:numId w:val="39"/>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承包方提交阶段性进度计划报审表后，监理机构审核阶段性进度计划合理性，审核后签署档案监理审核意见。阶段性进度计划无问题时，监理机构应在阶段性进度计划报审表中签认；否则，监理机构应签发监理回退通知单；</w:t>
      </w:r>
    </w:p>
    <w:p>
      <w:pPr>
        <w:pStyle w:val="39"/>
        <w:keepNext w:val="0"/>
        <w:keepLines w:val="0"/>
        <w:pageBreakBefore w:val="0"/>
        <w:widowControl/>
        <w:numPr>
          <w:ilvl w:val="0"/>
          <w:numId w:val="39"/>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监理机构应定期检查、记录项目的实际进度情况，确保实际进度与计划相一致；</w:t>
      </w:r>
    </w:p>
    <w:p>
      <w:pPr>
        <w:pStyle w:val="39"/>
        <w:keepNext w:val="0"/>
        <w:keepLines w:val="0"/>
        <w:pageBreakBefore w:val="0"/>
        <w:widowControl/>
        <w:numPr>
          <w:ilvl w:val="0"/>
          <w:numId w:val="39"/>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监理机构应及时处理项目延期申请，宜按下述程序处理项目延期：</w:t>
      </w:r>
    </w:p>
    <w:p>
      <w:pPr>
        <w:pStyle w:val="39"/>
        <w:keepNext w:val="0"/>
        <w:keepLines w:val="0"/>
        <w:pageBreakBefore w:val="0"/>
        <w:widowControl/>
        <w:numPr>
          <w:ilvl w:val="0"/>
          <w:numId w:val="40"/>
        </w:numPr>
        <w:kinsoku/>
        <w:wordWrap/>
        <w:overflowPunct/>
        <w:topLinePunct w:val="0"/>
        <w:autoSpaceDE/>
        <w:autoSpaceDN/>
        <w:bidi w:val="0"/>
        <w:adjustRightInd/>
        <w:snapToGrid/>
        <w:ind w:left="1260" w:leftChars="4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监理机构应根据项目情况确认其合理性，并与发包方、承包方协商确认后，由总监理工程师对项目延期申请予以签认；</w:t>
      </w:r>
    </w:p>
    <w:p>
      <w:pPr>
        <w:pStyle w:val="39"/>
        <w:keepNext w:val="0"/>
        <w:keepLines w:val="0"/>
        <w:pageBreakBefore w:val="0"/>
        <w:widowControl/>
        <w:numPr>
          <w:ilvl w:val="0"/>
          <w:numId w:val="40"/>
        </w:numPr>
        <w:kinsoku/>
        <w:wordWrap/>
        <w:overflowPunct/>
        <w:topLinePunct w:val="0"/>
        <w:autoSpaceDE/>
        <w:autoSpaceDN/>
        <w:bidi w:val="0"/>
        <w:adjustRightInd/>
        <w:snapToGrid/>
        <w:ind w:left="1260" w:leftChars="4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项目延期影响项目总体进度计划时，监理机构应要求承包方修改项目总体进度计划，经三方签认后，做项目备忘录。</w:t>
      </w:r>
    </w:p>
    <w:p>
      <w:pPr>
        <w:pStyle w:val="39"/>
        <w:keepNext w:val="0"/>
        <w:keepLines w:val="0"/>
        <w:pageBreakBefore w:val="0"/>
        <w:widowControl/>
        <w:numPr>
          <w:ilvl w:val="0"/>
          <w:numId w:val="39"/>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监理机构应组织审查进度纠偏措施的合理性、可行性，签发监理回退通知单，报发包方，并要求承包方按计划进行修改。</w:t>
      </w:r>
    </w:p>
    <w:p>
      <w:pPr>
        <w:pStyle w:val="37"/>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9"/>
        <w:rPr>
          <w:rFonts w:hint="eastAsia" w:ascii="黑体" w:hAnsi="黑体" w:eastAsia="黑体" w:cs="黑体"/>
          <w:kern w:val="2"/>
          <w:sz w:val="21"/>
          <w:szCs w:val="21"/>
          <w:lang w:val="en-US" w:eastAsia="zh-CN" w:bidi="ar-SA"/>
        </w:rPr>
      </w:pPr>
      <w:r>
        <w:rPr>
          <w:rFonts w:hint="eastAsia" w:ascii="黑体" w:hAnsi="黑体" w:eastAsia="黑体" w:cs="黑体"/>
          <w:kern w:val="2"/>
          <w:sz w:val="21"/>
          <w:szCs w:val="21"/>
          <w:lang w:val="en-US" w:eastAsia="zh-CN" w:bidi="ar-SA"/>
        </w:rPr>
        <w:t>档案监理投资控制</w:t>
      </w:r>
    </w:p>
    <w:p>
      <w:pPr>
        <w:spacing w:line="24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项目实施阶段的档案监理投资控制要求如下：</w:t>
      </w:r>
    </w:p>
    <w:p>
      <w:pPr>
        <w:pStyle w:val="39"/>
        <w:keepNext w:val="0"/>
        <w:keepLines w:val="0"/>
        <w:pageBreakBefore w:val="0"/>
        <w:widowControl/>
        <w:numPr>
          <w:ilvl w:val="0"/>
          <w:numId w:val="41"/>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总监理工程师应依据合同及其补充协议，审核承包方提交的项目阶段性报告和付款申请，总监理工程师签发项目款支付意见，报发包方签认；</w:t>
      </w:r>
    </w:p>
    <w:p>
      <w:pPr>
        <w:pStyle w:val="39"/>
        <w:keepNext w:val="0"/>
        <w:keepLines w:val="0"/>
        <w:pageBreakBefore w:val="0"/>
        <w:widowControl/>
        <w:numPr>
          <w:ilvl w:val="0"/>
          <w:numId w:val="41"/>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机构应从目标产品或服务的质量、进度和投资等方面审查项目变更，由于变更引起投资的改变应按照合同的相关条款执行。在合同中没有规定的，应在变更实施前与发包方、承包方协商确定变更导致的投资变化，并做项目备忘录；</w:t>
      </w:r>
    </w:p>
    <w:p>
      <w:pPr>
        <w:pStyle w:val="39"/>
        <w:keepNext w:val="0"/>
        <w:keepLines w:val="0"/>
        <w:pageBreakBefore w:val="0"/>
        <w:widowControl/>
        <w:numPr>
          <w:ilvl w:val="0"/>
          <w:numId w:val="41"/>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监理机构应及时处理索赔申请，宜按下列程序处理：</w:t>
      </w:r>
    </w:p>
    <w:p>
      <w:pPr>
        <w:pStyle w:val="39"/>
        <w:keepNext w:val="0"/>
        <w:keepLines w:val="0"/>
        <w:pageBreakBefore w:val="0"/>
        <w:widowControl/>
        <w:numPr>
          <w:ilvl w:val="0"/>
          <w:numId w:val="42"/>
        </w:numPr>
        <w:kinsoku/>
        <w:wordWrap/>
        <w:overflowPunct/>
        <w:topLinePunct w:val="0"/>
        <w:autoSpaceDE/>
        <w:autoSpaceDN/>
        <w:bidi w:val="0"/>
        <w:adjustRightInd/>
        <w:snapToGrid/>
        <w:ind w:left="1260" w:leftChars="4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申请方应在合同规定的期限内向监理机构提交索赔申请；</w:t>
      </w:r>
    </w:p>
    <w:p>
      <w:pPr>
        <w:pStyle w:val="39"/>
        <w:keepNext w:val="0"/>
        <w:keepLines w:val="0"/>
        <w:pageBreakBefore w:val="0"/>
        <w:widowControl/>
        <w:numPr>
          <w:ilvl w:val="0"/>
          <w:numId w:val="42"/>
        </w:numPr>
        <w:kinsoku/>
        <w:wordWrap/>
        <w:overflowPunct/>
        <w:topLinePunct w:val="0"/>
        <w:autoSpaceDE/>
        <w:autoSpaceDN/>
        <w:bidi w:val="0"/>
        <w:adjustRightInd/>
        <w:snapToGrid/>
        <w:ind w:left="1260" w:leftChars="4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总监理工程师指定监理项目师收集与索赔有关的资料；</w:t>
      </w:r>
    </w:p>
    <w:p>
      <w:pPr>
        <w:pStyle w:val="39"/>
        <w:keepNext w:val="0"/>
        <w:keepLines w:val="0"/>
        <w:pageBreakBefore w:val="0"/>
        <w:widowControl/>
        <w:numPr>
          <w:ilvl w:val="0"/>
          <w:numId w:val="42"/>
        </w:numPr>
        <w:kinsoku/>
        <w:wordWrap/>
        <w:overflowPunct/>
        <w:topLinePunct w:val="0"/>
        <w:autoSpaceDE/>
        <w:autoSpaceDN/>
        <w:bidi w:val="0"/>
        <w:adjustRightInd/>
        <w:snapToGrid/>
        <w:ind w:left="1260" w:leftChars="4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总监理工程师进行索赔审查，与发包方、承包方协商索赔费用；</w:t>
      </w:r>
    </w:p>
    <w:p>
      <w:pPr>
        <w:pStyle w:val="39"/>
        <w:keepNext w:val="0"/>
        <w:keepLines w:val="0"/>
        <w:pageBreakBefore w:val="0"/>
        <w:widowControl/>
        <w:numPr>
          <w:ilvl w:val="0"/>
          <w:numId w:val="42"/>
        </w:numPr>
        <w:kinsoku/>
        <w:wordWrap/>
        <w:overflowPunct/>
        <w:topLinePunct w:val="0"/>
        <w:autoSpaceDE/>
        <w:autoSpaceDN/>
        <w:bidi w:val="0"/>
        <w:adjustRightInd/>
        <w:snapToGrid/>
        <w:ind w:left="1260" w:leftChars="4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总监理工程师应在合同规定的期限内签发索赔通知，或在合同规定的期限内发出要求申请方提交详细资料的监理通知；</w:t>
      </w:r>
    </w:p>
    <w:p>
      <w:pPr>
        <w:pStyle w:val="39"/>
        <w:keepNext w:val="0"/>
        <w:keepLines w:val="0"/>
        <w:pageBreakBefore w:val="0"/>
        <w:widowControl/>
        <w:numPr>
          <w:ilvl w:val="0"/>
          <w:numId w:val="42"/>
        </w:numPr>
        <w:kinsoku/>
        <w:wordWrap/>
        <w:overflowPunct/>
        <w:topLinePunct w:val="0"/>
        <w:autoSpaceDE/>
        <w:autoSpaceDN/>
        <w:bidi w:val="0"/>
        <w:adjustRightInd/>
        <w:snapToGrid/>
        <w:ind w:left="1260" w:leftChars="4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当申请方的索赔要求与项目延期要求相关联时，总监理工程师应综合考虑项目延期和费用索赔的关系，做出费用索赔和项目延期的建议。</w:t>
      </w:r>
    </w:p>
    <w:p>
      <w:pPr>
        <w:pStyle w:val="37"/>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9"/>
        <w:rPr>
          <w:rFonts w:hint="eastAsia" w:ascii="黑体" w:hAnsi="黑体" w:eastAsia="黑体" w:cs="黑体"/>
          <w:kern w:val="2"/>
          <w:sz w:val="21"/>
          <w:szCs w:val="21"/>
          <w:lang w:val="en-US" w:eastAsia="zh-CN" w:bidi="ar-SA"/>
        </w:rPr>
      </w:pPr>
      <w:r>
        <w:rPr>
          <w:rFonts w:hint="eastAsia" w:ascii="黑体" w:hAnsi="黑体" w:eastAsia="黑体" w:cs="黑体"/>
          <w:kern w:val="2"/>
          <w:sz w:val="21"/>
          <w:szCs w:val="21"/>
          <w:lang w:val="en-US" w:eastAsia="zh-CN" w:bidi="ar-SA"/>
        </w:rPr>
        <w:t>合同管理</w:t>
      </w:r>
    </w:p>
    <w:p>
      <w:pPr>
        <w:spacing w:line="24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档案监理实施阶段的合同管理要求如下：</w:t>
      </w:r>
    </w:p>
    <w:p>
      <w:pPr>
        <w:pStyle w:val="39"/>
        <w:keepNext w:val="0"/>
        <w:keepLines w:val="0"/>
        <w:pageBreakBefore w:val="0"/>
        <w:widowControl/>
        <w:numPr>
          <w:ilvl w:val="0"/>
          <w:numId w:val="43"/>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监理机构应监督合同执行情况，定期向发包方、承包方提交监理报告；</w:t>
      </w:r>
    </w:p>
    <w:p>
      <w:pPr>
        <w:pStyle w:val="39"/>
        <w:keepNext w:val="0"/>
        <w:keepLines w:val="0"/>
        <w:pageBreakBefore w:val="0"/>
        <w:widowControl/>
        <w:numPr>
          <w:ilvl w:val="0"/>
          <w:numId w:val="43"/>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监理机构宜按以下程序处理项目变更：</w:t>
      </w:r>
    </w:p>
    <w:p>
      <w:pPr>
        <w:pStyle w:val="39"/>
        <w:keepNext w:val="0"/>
        <w:keepLines w:val="0"/>
        <w:pageBreakBefore w:val="0"/>
        <w:widowControl/>
        <w:numPr>
          <w:ilvl w:val="0"/>
          <w:numId w:val="44"/>
        </w:numPr>
        <w:kinsoku/>
        <w:wordWrap/>
        <w:overflowPunct/>
        <w:topLinePunct w:val="0"/>
        <w:autoSpaceDE/>
        <w:autoSpaceDN/>
        <w:bidi w:val="0"/>
        <w:adjustRightInd/>
        <w:snapToGrid/>
        <w:ind w:left="1260" w:leftChars="4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发包方或承包方提出的项目变更，应编制变更文件，提交总监理工程师，由总监理工程师组织审核，并由三方在项目变更单上予以签认；</w:t>
      </w:r>
    </w:p>
    <w:p>
      <w:pPr>
        <w:pStyle w:val="39"/>
        <w:keepNext w:val="0"/>
        <w:keepLines w:val="0"/>
        <w:pageBreakBefore w:val="0"/>
        <w:widowControl/>
        <w:numPr>
          <w:ilvl w:val="0"/>
          <w:numId w:val="44"/>
        </w:numPr>
        <w:kinsoku/>
        <w:wordWrap/>
        <w:overflowPunct/>
        <w:topLinePunct w:val="0"/>
        <w:autoSpaceDE/>
        <w:autoSpaceDN/>
        <w:bidi w:val="0"/>
        <w:adjustRightInd/>
        <w:snapToGrid/>
        <w:ind w:left="1260" w:leftChars="4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监理机构应了解项目变更的实际情况，收集相关资料或信息；</w:t>
      </w:r>
    </w:p>
    <w:p>
      <w:pPr>
        <w:pStyle w:val="39"/>
        <w:keepNext w:val="0"/>
        <w:keepLines w:val="0"/>
        <w:pageBreakBefore w:val="0"/>
        <w:widowControl/>
        <w:numPr>
          <w:ilvl w:val="0"/>
          <w:numId w:val="44"/>
        </w:numPr>
        <w:kinsoku/>
        <w:wordWrap/>
        <w:overflowPunct/>
        <w:topLinePunct w:val="0"/>
        <w:autoSpaceDE/>
        <w:autoSpaceDN/>
        <w:bidi w:val="0"/>
        <w:adjustRightInd/>
        <w:snapToGrid/>
        <w:ind w:left="1260" w:leftChars="4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监理机构应根据实际情况，参考变更文件及其他有关资料，按照合同的有关条款，对项目变更范围、内容、实施难度以及变更的投资和工期做出评估，签发监理回退通知单，并报发包方、承包方；</w:t>
      </w:r>
    </w:p>
    <w:p>
      <w:pPr>
        <w:pStyle w:val="39"/>
        <w:keepNext w:val="0"/>
        <w:keepLines w:val="0"/>
        <w:pageBreakBefore w:val="0"/>
        <w:widowControl/>
        <w:numPr>
          <w:ilvl w:val="0"/>
          <w:numId w:val="44"/>
        </w:numPr>
        <w:kinsoku/>
        <w:wordWrap/>
        <w:overflowPunct/>
        <w:topLinePunct w:val="0"/>
        <w:autoSpaceDE/>
        <w:autoSpaceDN/>
        <w:bidi w:val="0"/>
        <w:adjustRightInd/>
        <w:snapToGrid/>
        <w:ind w:left="1260" w:leftChars="4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监理机构应对项目变更过程及结果做项目备忘录。监理机构应要求承包方在变更文件签署前，不得实施项目变更；</w:t>
      </w:r>
    </w:p>
    <w:p>
      <w:pPr>
        <w:pStyle w:val="39"/>
        <w:keepNext w:val="0"/>
        <w:keepLines w:val="0"/>
        <w:pageBreakBefore w:val="0"/>
        <w:widowControl/>
        <w:numPr>
          <w:ilvl w:val="0"/>
          <w:numId w:val="44"/>
        </w:numPr>
        <w:kinsoku/>
        <w:wordWrap/>
        <w:overflowPunct/>
        <w:topLinePunct w:val="0"/>
        <w:autoSpaceDE/>
        <w:autoSpaceDN/>
        <w:bidi w:val="0"/>
        <w:adjustRightInd/>
        <w:snapToGrid/>
        <w:ind w:left="1260" w:leftChars="400" w:hanging="420" w:hangingChars="200"/>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监理机构应根据项目变更文件监督单位实施。</w:t>
      </w:r>
    </w:p>
    <w:p>
      <w:pPr>
        <w:pStyle w:val="39"/>
        <w:keepNext w:val="0"/>
        <w:keepLines w:val="0"/>
        <w:pageBreakBefore w:val="0"/>
        <w:widowControl/>
        <w:numPr>
          <w:ilvl w:val="0"/>
          <w:numId w:val="43"/>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监理机构应及时协调合同纠纷，公正地调查分析，提出监理意见。</w:t>
      </w:r>
    </w:p>
    <w:p>
      <w:pPr>
        <w:pStyle w:val="37"/>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9"/>
        <w:rPr>
          <w:rFonts w:hint="eastAsia" w:ascii="黑体" w:hAnsi="黑体" w:eastAsia="黑体" w:cs="黑体"/>
          <w:kern w:val="2"/>
          <w:sz w:val="21"/>
          <w:szCs w:val="21"/>
          <w:lang w:val="en-US" w:eastAsia="zh-CN" w:bidi="ar-SA"/>
        </w:rPr>
      </w:pPr>
      <w:r>
        <w:rPr>
          <w:rFonts w:hint="eastAsia" w:ascii="黑体" w:hAnsi="黑体" w:eastAsia="黑体" w:cs="黑体"/>
          <w:kern w:val="2"/>
          <w:sz w:val="21"/>
          <w:szCs w:val="21"/>
          <w:lang w:val="en-US" w:eastAsia="zh-CN" w:bidi="ar-SA"/>
        </w:rPr>
        <w:t>档案监理信息管理</w:t>
      </w:r>
    </w:p>
    <w:p>
      <w:pPr>
        <w:spacing w:line="24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项目实施阶段的档案监理信息管理要求如下：</w:t>
      </w:r>
    </w:p>
    <w:p>
      <w:pPr>
        <w:pStyle w:val="39"/>
        <w:keepNext w:val="0"/>
        <w:keepLines w:val="0"/>
        <w:pageBreakBefore w:val="0"/>
        <w:widowControl/>
        <w:numPr>
          <w:ilvl w:val="0"/>
          <w:numId w:val="45"/>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监理机构应妥善管理项目实施阶段所产生的开工令、停工令、监理通知、监理报告、监理日志和项目备忘录等资料；</w:t>
      </w:r>
    </w:p>
    <w:p>
      <w:pPr>
        <w:pStyle w:val="39"/>
        <w:keepNext w:val="0"/>
        <w:keepLines w:val="0"/>
        <w:pageBreakBefore w:val="0"/>
        <w:widowControl/>
        <w:numPr>
          <w:ilvl w:val="0"/>
          <w:numId w:val="45"/>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监理机构应对项目实施阶段三方共同参与的过程和活动做项目备忘录，并由三方确认；</w:t>
      </w:r>
    </w:p>
    <w:p>
      <w:pPr>
        <w:pStyle w:val="39"/>
        <w:keepNext w:val="0"/>
        <w:keepLines w:val="0"/>
        <w:pageBreakBefore w:val="0"/>
        <w:widowControl/>
        <w:numPr>
          <w:ilvl w:val="0"/>
          <w:numId w:val="45"/>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监理机构应监督发包方、承包方按照既定的要求编制和管理项目文档，如实施计划、实施方案、产品及服务验收报告、索赔申请和变更申请等。</w:t>
      </w:r>
    </w:p>
    <w:p>
      <w:pPr>
        <w:pStyle w:val="37"/>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9"/>
        <w:rPr>
          <w:rFonts w:hint="eastAsia" w:ascii="黑体" w:hAnsi="黑体" w:eastAsia="黑体" w:cs="黑体"/>
          <w:kern w:val="2"/>
          <w:sz w:val="21"/>
          <w:szCs w:val="21"/>
          <w:lang w:val="en-US" w:eastAsia="zh-CN" w:bidi="ar-SA"/>
        </w:rPr>
      </w:pPr>
      <w:r>
        <w:rPr>
          <w:rFonts w:hint="eastAsia" w:ascii="黑体" w:hAnsi="黑体" w:eastAsia="黑体" w:cs="黑体"/>
          <w:kern w:val="2"/>
          <w:sz w:val="21"/>
          <w:szCs w:val="21"/>
          <w:lang w:val="en-US" w:eastAsia="zh-CN" w:bidi="ar-SA"/>
        </w:rPr>
        <w:t>档案监理安全生产管理</w:t>
      </w:r>
    </w:p>
    <w:p>
      <w:pPr>
        <w:spacing w:line="24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项目实施阶段的档案监理安全生产管理要求如下：</w:t>
      </w:r>
    </w:p>
    <w:p>
      <w:pPr>
        <w:pStyle w:val="39"/>
        <w:keepNext w:val="0"/>
        <w:keepLines w:val="0"/>
        <w:pageBreakBefore w:val="0"/>
        <w:widowControl/>
        <w:numPr>
          <w:ilvl w:val="0"/>
          <w:numId w:val="46"/>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机构应审查承包方实施方案中的安全生产管理方案与设计方案中的安全生产管理方案是否一致。一致则签署档案监理审核意见。不一致则需审核评估实施方案中的安全生产管理措施、内容、全面性、有效性等进行审核，安全生产管理方案无问题时，监理机构应在安全生产管理方案报审表中签认；否则，监理机构应签发监理回退通知单，责令承包方整改，反馈监理回退通知回复单和回退问题修改反馈表，并严禁私自更改方案；</w:t>
      </w:r>
    </w:p>
    <w:p>
      <w:pPr>
        <w:pStyle w:val="39"/>
        <w:keepNext w:val="0"/>
        <w:keepLines w:val="0"/>
        <w:pageBreakBefore w:val="0"/>
        <w:widowControl/>
        <w:numPr>
          <w:ilvl w:val="0"/>
          <w:numId w:val="46"/>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监理机构应建立安全监理制度，督促监理人员按制度进行安全监理；</w:t>
      </w:r>
    </w:p>
    <w:p>
      <w:pPr>
        <w:pStyle w:val="39"/>
        <w:keepNext w:val="0"/>
        <w:keepLines w:val="0"/>
        <w:pageBreakBefore w:val="0"/>
        <w:widowControl/>
        <w:numPr>
          <w:ilvl w:val="0"/>
          <w:numId w:val="46"/>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监理机构应监督检查承包方自行开展的安全生产管理实施情况，对未正常开展自我安全生产管理的承包方签发监理回退通知单，责令整改；</w:t>
      </w:r>
    </w:p>
    <w:p>
      <w:pPr>
        <w:pStyle w:val="39"/>
        <w:keepNext w:val="0"/>
        <w:keepLines w:val="0"/>
        <w:pageBreakBefore w:val="0"/>
        <w:widowControl/>
        <w:numPr>
          <w:ilvl w:val="0"/>
          <w:numId w:val="46"/>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监理机构应通过关键环节跟踪、档案巡视、档案现场抽样及平行监测等手段对发包方、承包方进行安全生产监督，对发现的隐患及时责令整改；</w:t>
      </w:r>
    </w:p>
    <w:p>
      <w:pPr>
        <w:pStyle w:val="39"/>
        <w:keepNext w:val="0"/>
        <w:keepLines w:val="0"/>
        <w:pageBreakBefore w:val="0"/>
        <w:widowControl/>
        <w:numPr>
          <w:ilvl w:val="0"/>
          <w:numId w:val="46"/>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安全生产事故发生时，应第一时间报告总监理工程师，由总监理工程师决定是否签发停工令；总监理工程师应将安全生产事故情况书面通知发包方，并立即启动整改修复工作，举一反三倒查隐患，并将处置情况书面通知发包方；</w:t>
      </w:r>
    </w:p>
    <w:p>
      <w:pPr>
        <w:pStyle w:val="39"/>
        <w:keepNext w:val="0"/>
        <w:keepLines w:val="0"/>
        <w:pageBreakBefore w:val="0"/>
        <w:widowControl/>
        <w:numPr>
          <w:ilvl w:val="0"/>
          <w:numId w:val="46"/>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监理人员应及时将安全生产监理情况记入监理日志。</w:t>
      </w:r>
    </w:p>
    <w:p>
      <w:pPr>
        <w:pStyle w:val="37"/>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9"/>
        <w:rPr>
          <w:rFonts w:hint="eastAsia" w:ascii="黑体" w:hAnsi="黑体" w:eastAsia="黑体" w:cs="黑体"/>
          <w:kern w:val="2"/>
          <w:sz w:val="21"/>
          <w:szCs w:val="21"/>
          <w:lang w:val="en-US" w:eastAsia="zh-CN" w:bidi="ar-SA"/>
        </w:rPr>
      </w:pPr>
      <w:r>
        <w:rPr>
          <w:rFonts w:hint="eastAsia" w:ascii="黑体" w:hAnsi="黑体" w:eastAsia="黑体" w:cs="黑体"/>
          <w:kern w:val="2"/>
          <w:sz w:val="21"/>
          <w:szCs w:val="21"/>
          <w:lang w:val="en-US" w:eastAsia="zh-CN" w:bidi="ar-SA"/>
        </w:rPr>
        <w:t>档案监理协调</w:t>
      </w:r>
    </w:p>
    <w:p>
      <w:pPr>
        <w:spacing w:line="24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项目实施阶段的档案监理协调要求如下：</w:t>
      </w:r>
    </w:p>
    <w:p>
      <w:pPr>
        <w:pStyle w:val="39"/>
        <w:keepNext w:val="0"/>
        <w:keepLines w:val="0"/>
        <w:pageBreakBefore w:val="0"/>
        <w:widowControl/>
        <w:numPr>
          <w:ilvl w:val="0"/>
          <w:numId w:val="47"/>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监理机构应与发包方、承包方共同建立实施阶段协调的机制，如监理例会、专题会议等；</w:t>
      </w:r>
    </w:p>
    <w:p>
      <w:pPr>
        <w:pStyle w:val="39"/>
        <w:keepNext w:val="0"/>
        <w:keepLines w:val="0"/>
        <w:pageBreakBefore w:val="0"/>
        <w:widowControl/>
        <w:numPr>
          <w:ilvl w:val="0"/>
          <w:numId w:val="47"/>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监理项目师应根据需要及时组织专题会议，解决项目实施过程中的各种专项问题，并做会议纪要，提交发包方、承包方；</w:t>
      </w:r>
    </w:p>
    <w:p>
      <w:pPr>
        <w:pStyle w:val="39"/>
        <w:keepNext w:val="0"/>
        <w:keepLines w:val="0"/>
        <w:pageBreakBefore w:val="0"/>
        <w:widowControl/>
        <w:numPr>
          <w:ilvl w:val="0"/>
          <w:numId w:val="47"/>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监理机构应协调发包方、承包方对项目变更的范围和内容等，达成一致意见；</w:t>
      </w:r>
    </w:p>
    <w:p>
      <w:pPr>
        <w:pStyle w:val="39"/>
        <w:keepNext w:val="0"/>
        <w:keepLines w:val="0"/>
        <w:pageBreakBefore w:val="0"/>
        <w:widowControl/>
        <w:numPr>
          <w:ilvl w:val="0"/>
          <w:numId w:val="47"/>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监理机构应协调发包方、承包方对索赔的意见达成一致；</w:t>
      </w:r>
    </w:p>
    <w:p>
      <w:pPr>
        <w:pStyle w:val="39"/>
        <w:keepNext w:val="0"/>
        <w:keepLines w:val="0"/>
        <w:pageBreakBefore w:val="0"/>
        <w:widowControl/>
        <w:numPr>
          <w:ilvl w:val="0"/>
          <w:numId w:val="47"/>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监理机构协调发包方配合承包方的项目实施。</w:t>
      </w:r>
    </w:p>
    <w:p>
      <w:pPr>
        <w:pStyle w:val="28"/>
        <w:keepNext w:val="0"/>
        <w:keepLines w:val="0"/>
        <w:pageBreakBefore w:val="0"/>
        <w:widowControl/>
        <w:kinsoku/>
        <w:wordWrap/>
        <w:overflowPunct/>
        <w:topLinePunct w:val="0"/>
        <w:autoSpaceDE/>
        <w:autoSpaceDN/>
        <w:bidi w:val="0"/>
        <w:adjustRightInd/>
        <w:snapToGrid/>
        <w:spacing w:before="156" w:after="156"/>
        <w:textAlignment w:val="auto"/>
        <w:outlineLvl w:val="1"/>
        <w:rPr>
          <w:rFonts w:hint="eastAsia" w:ascii="黑体" w:hAnsi="黑体" w:eastAsia="黑体" w:cs="黑体"/>
          <w:sz w:val="21"/>
          <w:szCs w:val="21"/>
          <w:lang w:val="en-US" w:eastAsia="zh-CN"/>
        </w:rPr>
      </w:pPr>
      <w:bookmarkStart w:id="124" w:name="_Toc10723"/>
      <w:bookmarkStart w:id="125" w:name="_Toc1607"/>
      <w:r>
        <w:rPr>
          <w:rFonts w:hint="eastAsia" w:ascii="黑体" w:hAnsi="黑体" w:eastAsia="黑体" w:cs="黑体"/>
          <w:sz w:val="21"/>
          <w:szCs w:val="21"/>
          <w:lang w:val="en-US" w:eastAsia="zh-CN"/>
        </w:rPr>
        <w:t>项目验收阶段</w:t>
      </w:r>
      <w:bookmarkEnd w:id="124"/>
      <w:bookmarkEnd w:id="125"/>
    </w:p>
    <w:p>
      <w:pPr>
        <w:pStyle w:val="37"/>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9"/>
        <w:rPr>
          <w:rFonts w:hint="eastAsia" w:ascii="黑体" w:hAnsi="黑体" w:eastAsia="黑体" w:cs="黑体"/>
          <w:kern w:val="2"/>
          <w:sz w:val="21"/>
          <w:szCs w:val="21"/>
          <w:lang w:val="en-US" w:eastAsia="zh-CN" w:bidi="ar-SA"/>
        </w:rPr>
      </w:pPr>
      <w:r>
        <w:rPr>
          <w:rFonts w:hint="eastAsia" w:ascii="黑体" w:hAnsi="黑体" w:eastAsia="黑体" w:cs="黑体"/>
          <w:kern w:val="2"/>
          <w:sz w:val="21"/>
          <w:szCs w:val="21"/>
          <w:lang w:val="en-US" w:eastAsia="zh-CN" w:bidi="ar-SA"/>
        </w:rPr>
        <w:t>档案监理质量控制</w:t>
      </w:r>
    </w:p>
    <w:p>
      <w:pPr>
        <w:spacing w:line="440" w:lineRule="exact"/>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项目验收阶段的档案监理质量控制要求如下：</w:t>
      </w:r>
    </w:p>
    <w:p>
      <w:pPr>
        <w:pStyle w:val="39"/>
        <w:keepNext w:val="0"/>
        <w:keepLines w:val="0"/>
        <w:pageBreakBefore w:val="0"/>
        <w:widowControl/>
        <w:numPr>
          <w:ilvl w:val="0"/>
          <w:numId w:val="48"/>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机构应及时处理承包方提交的初验申请，审核初验的必备条件。监理机构签认后，报发包方签认。具备初验条件时，监理机构在监理抽检合格通知单（见附录G）和初验报审表中予以签认，并报发包方签认；否则，监理机构应签发监理回退通知单，责令承包方整改，反馈监理回退通知回复单和回退问题修改反馈表；</w:t>
      </w:r>
    </w:p>
    <w:p>
      <w:pPr>
        <w:pStyle w:val="39"/>
        <w:keepNext w:val="0"/>
        <w:keepLines w:val="0"/>
        <w:pageBreakBefore w:val="0"/>
        <w:widowControl/>
        <w:numPr>
          <w:ilvl w:val="0"/>
          <w:numId w:val="48"/>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机构应协助发包方审核承包方提交的验收计划及其方案，明确验收目标、各方责任、验收内容、验收标准、验收方式和验收结果等内容，审核后签署档案监理审核意见。验收计划及其方案无问题时，监理机构应在初验报审表中予以签认；否则，监理机构应签发监理回退通知单，责令承包方整改，反馈监理回退通知回复单和回退问题修改反馈表；</w:t>
      </w:r>
    </w:p>
    <w:p>
      <w:pPr>
        <w:pStyle w:val="39"/>
        <w:keepNext w:val="0"/>
        <w:keepLines w:val="0"/>
        <w:pageBreakBefore w:val="0"/>
        <w:widowControl/>
        <w:numPr>
          <w:ilvl w:val="0"/>
          <w:numId w:val="48"/>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监理机构应协助发包方对初验中发现的质量问题进行评估，根据质量问题的性质和影响范围，确定整改要求和整改后的验收方式，以监理回退通知单的形式告知承包方。必要时，应组织重新验收；</w:t>
      </w:r>
    </w:p>
    <w:p>
      <w:pPr>
        <w:pStyle w:val="39"/>
        <w:keepNext w:val="0"/>
        <w:keepLines w:val="0"/>
        <w:pageBreakBefore w:val="0"/>
        <w:widowControl/>
        <w:numPr>
          <w:ilvl w:val="0"/>
          <w:numId w:val="48"/>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监理机构应敦促承包方根据整改要求提出整改方案，并监督整改过程；</w:t>
      </w:r>
    </w:p>
    <w:p>
      <w:pPr>
        <w:pStyle w:val="39"/>
        <w:keepNext w:val="0"/>
        <w:keepLines w:val="0"/>
        <w:pageBreakBefore w:val="0"/>
        <w:widowControl/>
        <w:numPr>
          <w:ilvl w:val="0"/>
          <w:numId w:val="48"/>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监理机构与发包方、承包方一起对初验结果进行确认，共同签署初验合格报告；</w:t>
      </w:r>
    </w:p>
    <w:p>
      <w:pPr>
        <w:pStyle w:val="39"/>
        <w:keepNext w:val="0"/>
        <w:keepLines w:val="0"/>
        <w:pageBreakBefore w:val="0"/>
        <w:widowControl/>
        <w:numPr>
          <w:ilvl w:val="0"/>
          <w:numId w:val="48"/>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监理机构应有计划地监督目标产品或服务的试运行，督促承包方解决试运行中出现的质量问题；</w:t>
      </w:r>
    </w:p>
    <w:p>
      <w:pPr>
        <w:pStyle w:val="39"/>
        <w:keepNext w:val="0"/>
        <w:keepLines w:val="0"/>
        <w:pageBreakBefore w:val="0"/>
        <w:widowControl/>
        <w:numPr>
          <w:ilvl w:val="0"/>
          <w:numId w:val="48"/>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机构协助发包方组织项目终验。监理机构应及时处理承包方提交的终验申请，终验报审表由监理机构签认后报发包方签认。具备终验条件时，监理机构在监理抽检合格通知单和终验报审表中予以签认，并报发包方签认；否则，监理机构应签发监理回退通知单，责令承包方整改，反馈监理回退通知回复单和回退问题修改反馈表；</w:t>
      </w:r>
    </w:p>
    <w:p>
      <w:pPr>
        <w:pStyle w:val="39"/>
        <w:keepNext w:val="0"/>
        <w:keepLines w:val="0"/>
        <w:pageBreakBefore w:val="0"/>
        <w:widowControl/>
        <w:numPr>
          <w:ilvl w:val="0"/>
          <w:numId w:val="48"/>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对于项目中的关键性技术指标，监理机构应要求承包方出具第三方测试机构的测试报告。第三方测试机构应经发包方和监理机构同意；</w:t>
      </w:r>
    </w:p>
    <w:p>
      <w:pPr>
        <w:pStyle w:val="39"/>
        <w:keepNext w:val="0"/>
        <w:keepLines w:val="0"/>
        <w:pageBreakBefore w:val="0"/>
        <w:widowControl/>
        <w:numPr>
          <w:ilvl w:val="0"/>
          <w:numId w:val="48"/>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监理机构应督促承包方完成项目实施方案中确定的培训，并对培训效果做出评估。</w:t>
      </w:r>
    </w:p>
    <w:p>
      <w:pPr>
        <w:pStyle w:val="37"/>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9"/>
        <w:rPr>
          <w:rFonts w:hint="eastAsia" w:ascii="黑体" w:hAnsi="黑体" w:eastAsia="黑体" w:cs="黑体"/>
          <w:kern w:val="2"/>
          <w:sz w:val="21"/>
          <w:szCs w:val="21"/>
          <w:lang w:val="en-US" w:eastAsia="zh-CN" w:bidi="ar-SA"/>
        </w:rPr>
      </w:pPr>
      <w:r>
        <w:rPr>
          <w:rFonts w:hint="eastAsia" w:ascii="黑体" w:hAnsi="黑体" w:eastAsia="黑体" w:cs="黑体"/>
          <w:kern w:val="2"/>
          <w:sz w:val="21"/>
          <w:szCs w:val="21"/>
          <w:lang w:val="en-US" w:eastAsia="zh-CN" w:bidi="ar-SA"/>
        </w:rPr>
        <w:t>档案监理进度控制</w:t>
      </w:r>
    </w:p>
    <w:p>
      <w:pPr>
        <w:spacing w:line="24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项目验收阶段的档案监理进度控制要求如下：</w:t>
      </w:r>
    </w:p>
    <w:p>
      <w:pPr>
        <w:pStyle w:val="39"/>
        <w:keepNext w:val="0"/>
        <w:keepLines w:val="0"/>
        <w:pageBreakBefore w:val="0"/>
        <w:widowControl/>
        <w:numPr>
          <w:ilvl w:val="0"/>
          <w:numId w:val="49"/>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监理机构应对验收阶段进度安排提出监理意见；</w:t>
      </w:r>
    </w:p>
    <w:p>
      <w:pPr>
        <w:pStyle w:val="39"/>
        <w:keepNext w:val="0"/>
        <w:keepLines w:val="0"/>
        <w:pageBreakBefore w:val="0"/>
        <w:widowControl/>
        <w:numPr>
          <w:ilvl w:val="0"/>
          <w:numId w:val="49"/>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监理机构应审核承包方初验、终验和项目整改计划的可行性，以监理回退通知单的形式告知承包方；</w:t>
      </w:r>
    </w:p>
    <w:p>
      <w:pPr>
        <w:pStyle w:val="39"/>
        <w:keepNext w:val="0"/>
        <w:keepLines w:val="0"/>
        <w:pageBreakBefore w:val="0"/>
        <w:widowControl/>
        <w:numPr>
          <w:ilvl w:val="0"/>
          <w:numId w:val="49"/>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监理机构应要求发包方、承包方以初验合格报告作为启动试运行的依据，以终验报告作为项目验收结束的依据。</w:t>
      </w:r>
    </w:p>
    <w:p>
      <w:pPr>
        <w:pStyle w:val="37"/>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9"/>
        <w:rPr>
          <w:rFonts w:hint="eastAsia" w:ascii="黑体" w:hAnsi="黑体" w:eastAsia="黑体" w:cs="黑体"/>
          <w:kern w:val="2"/>
          <w:sz w:val="21"/>
          <w:szCs w:val="21"/>
          <w:lang w:val="en-US" w:eastAsia="zh-CN" w:bidi="ar-SA"/>
        </w:rPr>
      </w:pPr>
      <w:r>
        <w:rPr>
          <w:rFonts w:hint="eastAsia" w:ascii="黑体" w:hAnsi="黑体" w:eastAsia="黑体" w:cs="黑体"/>
          <w:kern w:val="2"/>
          <w:sz w:val="21"/>
          <w:szCs w:val="21"/>
          <w:lang w:val="en-US" w:eastAsia="zh-CN" w:bidi="ar-SA"/>
        </w:rPr>
        <w:t>档案监理投资控制</w:t>
      </w:r>
    </w:p>
    <w:p>
      <w:pPr>
        <w:spacing w:line="24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项目验收阶段的档案监理投资控制要求如下：</w:t>
      </w:r>
    </w:p>
    <w:p>
      <w:pPr>
        <w:pStyle w:val="39"/>
        <w:keepNext w:val="0"/>
        <w:keepLines w:val="0"/>
        <w:pageBreakBefore w:val="0"/>
        <w:widowControl/>
        <w:numPr>
          <w:ilvl w:val="0"/>
          <w:numId w:val="50"/>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总监理工程师审核承包方提交的阶段性付款申请，根据合同规定的付款条件，签发项目款支付意见；</w:t>
      </w:r>
    </w:p>
    <w:p>
      <w:pPr>
        <w:pStyle w:val="39"/>
        <w:keepNext w:val="0"/>
        <w:keepLines w:val="0"/>
        <w:pageBreakBefore w:val="0"/>
        <w:widowControl/>
        <w:numPr>
          <w:ilvl w:val="0"/>
          <w:numId w:val="50"/>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监理机构应协助发包方进行项目决算。</w:t>
      </w:r>
    </w:p>
    <w:p>
      <w:pPr>
        <w:pStyle w:val="37"/>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9"/>
        <w:rPr>
          <w:rFonts w:hint="eastAsia" w:ascii="黑体" w:hAnsi="黑体" w:eastAsia="黑体" w:cs="黑体"/>
          <w:kern w:val="2"/>
          <w:sz w:val="21"/>
          <w:szCs w:val="21"/>
          <w:lang w:val="en-US" w:eastAsia="zh-CN" w:bidi="ar-SA"/>
        </w:rPr>
      </w:pPr>
      <w:r>
        <w:rPr>
          <w:rFonts w:hint="eastAsia" w:ascii="黑体" w:hAnsi="黑体" w:eastAsia="黑体" w:cs="黑体"/>
          <w:kern w:val="2"/>
          <w:sz w:val="21"/>
          <w:szCs w:val="21"/>
          <w:lang w:val="en-US" w:eastAsia="zh-CN" w:bidi="ar-SA"/>
        </w:rPr>
        <w:t>档案监理合同管理</w:t>
      </w:r>
    </w:p>
    <w:p>
      <w:pPr>
        <w:spacing w:line="24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项目验收阶段的档案监理合同管理要求如下：</w:t>
      </w:r>
    </w:p>
    <w:p>
      <w:pPr>
        <w:pStyle w:val="39"/>
        <w:keepNext w:val="0"/>
        <w:keepLines w:val="0"/>
        <w:pageBreakBefore w:val="0"/>
        <w:widowControl/>
        <w:numPr>
          <w:ilvl w:val="0"/>
          <w:numId w:val="51"/>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监理机构应及时向发包方、承包方通报合同、协议及相关变更所规定项目内容的执行情况，提出监理意见；</w:t>
      </w:r>
    </w:p>
    <w:p>
      <w:pPr>
        <w:pStyle w:val="39"/>
        <w:keepNext w:val="0"/>
        <w:keepLines w:val="0"/>
        <w:pageBreakBefore w:val="0"/>
        <w:widowControl/>
        <w:numPr>
          <w:ilvl w:val="0"/>
          <w:numId w:val="51"/>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监理机构宜协助发包方、承包方签署其他补充协议。</w:t>
      </w:r>
    </w:p>
    <w:p>
      <w:pPr>
        <w:pStyle w:val="37"/>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9"/>
        <w:rPr>
          <w:rFonts w:hint="eastAsia" w:ascii="黑体" w:hAnsi="黑体" w:eastAsia="黑体" w:cs="黑体"/>
          <w:kern w:val="2"/>
          <w:sz w:val="21"/>
          <w:szCs w:val="21"/>
          <w:lang w:val="en-US" w:eastAsia="zh-CN" w:bidi="ar-SA"/>
        </w:rPr>
      </w:pPr>
      <w:r>
        <w:rPr>
          <w:rFonts w:hint="eastAsia" w:ascii="黑体" w:hAnsi="黑体" w:eastAsia="黑体" w:cs="黑体"/>
          <w:kern w:val="2"/>
          <w:sz w:val="21"/>
          <w:szCs w:val="21"/>
          <w:lang w:val="en-US" w:eastAsia="zh-CN" w:bidi="ar-SA"/>
        </w:rPr>
        <w:t>档案监理信息管理</w:t>
      </w:r>
    </w:p>
    <w:p>
      <w:pPr>
        <w:spacing w:line="24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项目验收阶段的档案监理信息管理要求如下：</w:t>
      </w:r>
    </w:p>
    <w:p>
      <w:pPr>
        <w:pStyle w:val="39"/>
        <w:keepNext w:val="0"/>
        <w:keepLines w:val="0"/>
        <w:pageBreakBefore w:val="0"/>
        <w:widowControl/>
        <w:numPr>
          <w:ilvl w:val="0"/>
          <w:numId w:val="52"/>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监理机构应管理项目验收阶段的文档，如初验报审、初验报告、终验报审和终验报告等相关文档；</w:t>
      </w:r>
    </w:p>
    <w:p>
      <w:pPr>
        <w:pStyle w:val="39"/>
        <w:keepNext w:val="0"/>
        <w:keepLines w:val="0"/>
        <w:pageBreakBefore w:val="0"/>
        <w:widowControl/>
        <w:numPr>
          <w:ilvl w:val="0"/>
          <w:numId w:val="52"/>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监理机构应敦促发包方、承包方按照事先约定，编制、签署和妥善保存验收阶段的项目文档；</w:t>
      </w:r>
    </w:p>
    <w:p>
      <w:pPr>
        <w:pStyle w:val="39"/>
        <w:keepNext w:val="0"/>
        <w:keepLines w:val="0"/>
        <w:pageBreakBefore w:val="0"/>
        <w:widowControl/>
        <w:numPr>
          <w:ilvl w:val="0"/>
          <w:numId w:val="52"/>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监理机构应敦促发包方、承包方及时整理并归档全部项目文档；</w:t>
      </w:r>
    </w:p>
    <w:p>
      <w:pPr>
        <w:pStyle w:val="39"/>
        <w:keepNext w:val="0"/>
        <w:keepLines w:val="0"/>
        <w:pageBreakBefore w:val="0"/>
        <w:widowControl/>
        <w:numPr>
          <w:ilvl w:val="0"/>
          <w:numId w:val="52"/>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监理机构应整理与项目有关的全部监理文档，并提交发包方。</w:t>
      </w:r>
    </w:p>
    <w:p>
      <w:pPr>
        <w:pStyle w:val="37"/>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9"/>
        <w:rPr>
          <w:rFonts w:hint="eastAsia" w:ascii="黑体" w:hAnsi="黑体" w:eastAsia="黑体" w:cs="黑体"/>
          <w:kern w:val="2"/>
          <w:sz w:val="21"/>
          <w:szCs w:val="21"/>
          <w:lang w:val="en-US" w:eastAsia="zh-CN" w:bidi="ar-SA"/>
        </w:rPr>
      </w:pPr>
      <w:r>
        <w:rPr>
          <w:rFonts w:hint="eastAsia" w:ascii="黑体" w:hAnsi="黑体" w:eastAsia="黑体" w:cs="黑体"/>
          <w:kern w:val="2"/>
          <w:sz w:val="21"/>
          <w:szCs w:val="21"/>
          <w:lang w:val="en-US" w:eastAsia="zh-CN" w:bidi="ar-SA"/>
        </w:rPr>
        <w:t>档案监理安全生产管理</w:t>
      </w:r>
    </w:p>
    <w:p>
      <w:pPr>
        <w:spacing w:line="24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项目验收阶段的档案监理安全生产管理要求如下：</w:t>
      </w:r>
    </w:p>
    <w:p>
      <w:pPr>
        <w:pStyle w:val="39"/>
        <w:keepNext w:val="0"/>
        <w:keepLines w:val="0"/>
        <w:pageBreakBefore w:val="0"/>
        <w:widowControl/>
        <w:numPr>
          <w:ilvl w:val="0"/>
          <w:numId w:val="53"/>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监理机构应将承包方处理完毕所有整改通知事项作为初验申请必备条件；</w:t>
      </w:r>
    </w:p>
    <w:p>
      <w:pPr>
        <w:pStyle w:val="39"/>
        <w:keepNext w:val="0"/>
        <w:keepLines w:val="0"/>
        <w:pageBreakBefore w:val="0"/>
        <w:widowControl/>
        <w:numPr>
          <w:ilvl w:val="0"/>
          <w:numId w:val="53"/>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机构应将目标产品或服务维护档案真实性、完整性、可靠性、安全性的能力纳入初验和终验的审查中，对未达到合同要求的环节签发监理回退通知单，责令承包方整改，反馈监理回退通知回复单和回退问题修改反馈表；</w:t>
      </w:r>
    </w:p>
    <w:p>
      <w:pPr>
        <w:pStyle w:val="39"/>
        <w:keepNext w:val="0"/>
        <w:keepLines w:val="0"/>
        <w:pageBreakBefore w:val="0"/>
        <w:widowControl/>
        <w:numPr>
          <w:ilvl w:val="0"/>
          <w:numId w:val="53"/>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在目标产品或服务品质保障期限内出现的安全运营状况，监理机构应督促承包方及时处置，保障顺利运行。</w:t>
      </w:r>
    </w:p>
    <w:p>
      <w:pPr>
        <w:pStyle w:val="37"/>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9"/>
        <w:rPr>
          <w:rFonts w:hint="eastAsia" w:ascii="黑体" w:hAnsi="黑体" w:eastAsia="黑体" w:cs="黑体"/>
          <w:kern w:val="2"/>
          <w:sz w:val="21"/>
          <w:szCs w:val="21"/>
          <w:lang w:val="en-US" w:eastAsia="zh-CN" w:bidi="ar-SA"/>
        </w:rPr>
      </w:pPr>
      <w:r>
        <w:rPr>
          <w:rFonts w:hint="eastAsia" w:ascii="黑体" w:hAnsi="黑体" w:eastAsia="黑体" w:cs="黑体"/>
          <w:kern w:val="2"/>
          <w:sz w:val="21"/>
          <w:szCs w:val="21"/>
          <w:lang w:val="en-US" w:eastAsia="zh-CN" w:bidi="ar-SA"/>
        </w:rPr>
        <w:t>档案监理协调</w:t>
      </w:r>
    </w:p>
    <w:p>
      <w:pPr>
        <w:spacing w:line="24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项目</w:t>
      </w:r>
      <w:r>
        <w:rPr>
          <w:rFonts w:hint="eastAsia" w:ascii="宋体" w:hAnsi="宋体" w:eastAsia="宋体" w:cs="宋体"/>
          <w:sz w:val="21"/>
          <w:szCs w:val="21"/>
        </w:rPr>
        <w:t>验收阶段的档案监理协调</w:t>
      </w:r>
      <w:r>
        <w:rPr>
          <w:rFonts w:hint="eastAsia" w:ascii="宋体" w:hAnsi="宋体" w:eastAsia="宋体" w:cs="宋体"/>
          <w:sz w:val="21"/>
          <w:szCs w:val="21"/>
          <w:lang w:val="en-US" w:eastAsia="zh-CN"/>
        </w:rPr>
        <w:t>要求</w:t>
      </w:r>
      <w:r>
        <w:rPr>
          <w:rFonts w:hint="eastAsia" w:ascii="宋体" w:hAnsi="宋体" w:eastAsia="宋体" w:cs="宋体"/>
          <w:sz w:val="21"/>
          <w:szCs w:val="21"/>
        </w:rPr>
        <w:t>如下：</w:t>
      </w:r>
    </w:p>
    <w:p>
      <w:pPr>
        <w:pStyle w:val="39"/>
        <w:keepNext w:val="0"/>
        <w:keepLines w:val="0"/>
        <w:pageBreakBefore w:val="0"/>
        <w:widowControl/>
        <w:numPr>
          <w:ilvl w:val="0"/>
          <w:numId w:val="54"/>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监理机构应协调发包方、承包方在验收计划、验收目标、验收范围、验收内容、验收方法和验收标准等方面达成一致，填报项目备忘录，并经三方签认；</w:t>
      </w:r>
    </w:p>
    <w:p>
      <w:pPr>
        <w:pStyle w:val="39"/>
        <w:keepNext w:val="0"/>
        <w:keepLines w:val="0"/>
        <w:pageBreakBefore w:val="0"/>
        <w:widowControl/>
        <w:numPr>
          <w:ilvl w:val="0"/>
          <w:numId w:val="54"/>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监理机构应协调发包方配合验收阶段的工作；</w:t>
      </w:r>
    </w:p>
    <w:p>
      <w:pPr>
        <w:pStyle w:val="39"/>
        <w:keepNext w:val="0"/>
        <w:keepLines w:val="0"/>
        <w:pageBreakBefore w:val="0"/>
        <w:widowControl/>
        <w:numPr>
          <w:ilvl w:val="0"/>
          <w:numId w:val="54"/>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监理机构应及时对验收阶段协调的结果填报项目备忘录，并经三方签认；</w:t>
      </w:r>
    </w:p>
    <w:p>
      <w:pPr>
        <w:pStyle w:val="39"/>
        <w:keepNext w:val="0"/>
        <w:keepLines w:val="0"/>
        <w:pageBreakBefore w:val="0"/>
        <w:widowControl/>
        <w:numPr>
          <w:ilvl w:val="0"/>
          <w:numId w:val="54"/>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监理机构应协助发包方、承包方完成项目移交工作。</w:t>
      </w:r>
    </w:p>
    <w:p>
      <w:pPr>
        <w:pStyle w:val="29"/>
        <w:keepNext w:val="0"/>
        <w:keepLines w:val="0"/>
        <w:pageBreakBefore w:val="0"/>
        <w:widowControl/>
        <w:kinsoku/>
        <w:wordWrap/>
        <w:overflowPunct/>
        <w:topLinePunct w:val="0"/>
        <w:autoSpaceDE/>
        <w:autoSpaceDN/>
        <w:bidi w:val="0"/>
        <w:adjustRightInd/>
        <w:snapToGrid/>
        <w:spacing w:before="312" w:after="312"/>
        <w:textAlignment w:val="auto"/>
        <w:outlineLvl w:val="0"/>
        <w:rPr>
          <w:rFonts w:hint="eastAsia" w:ascii="黑体" w:hAnsi="黑体" w:eastAsia="黑体" w:cs="黑体"/>
          <w:sz w:val="21"/>
          <w:szCs w:val="21"/>
          <w:lang w:val="en-US" w:eastAsia="zh-CN"/>
        </w:rPr>
      </w:pPr>
      <w:bookmarkStart w:id="126" w:name="_Toc23962"/>
      <w:bookmarkStart w:id="127" w:name="_Toc16966"/>
      <w:r>
        <w:rPr>
          <w:rFonts w:hint="eastAsia" w:ascii="黑体" w:hAnsi="黑体" w:eastAsia="黑体" w:cs="黑体"/>
          <w:sz w:val="21"/>
          <w:szCs w:val="21"/>
          <w:lang w:val="en-US" w:eastAsia="zh-CN"/>
        </w:rPr>
        <w:t>档案监理评价与改进</w:t>
      </w:r>
      <w:bookmarkEnd w:id="126"/>
      <w:bookmarkEnd w:id="127"/>
    </w:p>
    <w:p>
      <w:pPr>
        <w:pStyle w:val="28"/>
        <w:keepNext w:val="0"/>
        <w:keepLines w:val="0"/>
        <w:pageBreakBefore w:val="0"/>
        <w:widowControl/>
        <w:kinsoku/>
        <w:wordWrap/>
        <w:overflowPunct/>
        <w:topLinePunct w:val="0"/>
        <w:autoSpaceDE/>
        <w:autoSpaceDN/>
        <w:bidi w:val="0"/>
        <w:adjustRightInd/>
        <w:snapToGrid/>
        <w:spacing w:before="0" w:beforeLines="0" w:after="0" w:afterLines="0" w:line="240" w:lineRule="auto"/>
        <w:textAlignment w:val="auto"/>
        <w:outlineLvl w:val="9"/>
        <w:rPr>
          <w:rFonts w:hint="eastAsia" w:asciiTheme="minorEastAsia" w:hAnsiTheme="minorEastAsia" w:eastAsiaTheme="minorEastAsia" w:cstheme="minorEastAsia"/>
          <w:kern w:val="0"/>
          <w:sz w:val="21"/>
          <w:szCs w:val="21"/>
          <w:lang w:val="en-US" w:eastAsia="zh-CN" w:bidi="ar-SA"/>
        </w:rPr>
      </w:pPr>
      <w:bookmarkStart w:id="128" w:name="_Toc4003"/>
      <w:bookmarkStart w:id="129" w:name="_Toc20389"/>
      <w:r>
        <w:rPr>
          <w:rFonts w:hint="eastAsia" w:asciiTheme="minorEastAsia" w:hAnsiTheme="minorEastAsia" w:eastAsiaTheme="minorEastAsia" w:cstheme="minorEastAsia"/>
          <w:kern w:val="0"/>
          <w:sz w:val="21"/>
          <w:szCs w:val="21"/>
          <w:lang w:val="en-US" w:eastAsia="zh-CN" w:bidi="ar-SA"/>
        </w:rPr>
        <w:t>发包方、承包方、监管机构都可对监理方、监理机构的档案监理活动作出评价，监理方应正视各方评价，对指出的问题及时改进。</w:t>
      </w:r>
      <w:bookmarkEnd w:id="128"/>
      <w:bookmarkEnd w:id="129"/>
    </w:p>
    <w:p>
      <w:pPr>
        <w:pStyle w:val="28"/>
        <w:keepNext w:val="0"/>
        <w:keepLines w:val="0"/>
        <w:pageBreakBefore w:val="0"/>
        <w:widowControl/>
        <w:kinsoku/>
        <w:wordWrap/>
        <w:overflowPunct/>
        <w:topLinePunct w:val="0"/>
        <w:autoSpaceDE/>
        <w:autoSpaceDN/>
        <w:bidi w:val="0"/>
        <w:adjustRightInd/>
        <w:snapToGrid/>
        <w:spacing w:before="0" w:beforeLines="0" w:after="0" w:afterLines="0" w:line="240" w:lineRule="auto"/>
        <w:textAlignment w:val="auto"/>
        <w:outlineLvl w:val="9"/>
        <w:rPr>
          <w:rFonts w:hint="eastAsia" w:asciiTheme="minorEastAsia" w:hAnsiTheme="minorEastAsia" w:eastAsiaTheme="minorEastAsia" w:cstheme="minorEastAsia"/>
          <w:kern w:val="0"/>
          <w:sz w:val="21"/>
          <w:szCs w:val="21"/>
          <w:lang w:val="en-US" w:eastAsia="zh-CN" w:bidi="ar-SA"/>
        </w:rPr>
      </w:pPr>
      <w:bookmarkStart w:id="130" w:name="_Toc30733"/>
      <w:bookmarkStart w:id="131" w:name="_Toc3937"/>
      <w:r>
        <w:rPr>
          <w:rFonts w:hint="eastAsia" w:asciiTheme="minorEastAsia" w:hAnsiTheme="minorEastAsia" w:eastAsiaTheme="minorEastAsia" w:cstheme="minorEastAsia"/>
          <w:kern w:val="0"/>
          <w:sz w:val="21"/>
          <w:szCs w:val="21"/>
          <w:lang w:val="en-US" w:eastAsia="zh-CN" w:bidi="ar-SA"/>
        </w:rPr>
        <w:t>发包方、承包方可在档案监理进行及验收时以书面形式，对监理方、监理机构的档案监理活动作出评价，并递交总监理工程师或监理方负责人；承包方可同时将书面评价递交发包方；监管机构在指导监督活动中可对监理方、监理机构的档案监理活动作出书面评价，并递交总监理工程师或监理方负责人。</w:t>
      </w:r>
      <w:bookmarkEnd w:id="130"/>
      <w:bookmarkEnd w:id="131"/>
    </w:p>
    <w:p>
      <w:pPr>
        <w:pStyle w:val="28"/>
        <w:keepNext w:val="0"/>
        <w:keepLines w:val="0"/>
        <w:pageBreakBefore w:val="0"/>
        <w:widowControl/>
        <w:kinsoku/>
        <w:wordWrap/>
        <w:overflowPunct/>
        <w:topLinePunct w:val="0"/>
        <w:autoSpaceDE/>
        <w:autoSpaceDN/>
        <w:bidi w:val="0"/>
        <w:adjustRightInd/>
        <w:snapToGrid/>
        <w:spacing w:before="0" w:beforeLines="0" w:after="0" w:afterLines="0" w:line="240" w:lineRule="auto"/>
        <w:textAlignment w:val="auto"/>
        <w:outlineLvl w:val="9"/>
        <w:rPr>
          <w:rFonts w:hint="default" w:asciiTheme="minorEastAsia" w:hAnsiTheme="minorEastAsia" w:eastAsiaTheme="minorEastAsia" w:cstheme="minorEastAsia"/>
          <w:kern w:val="0"/>
          <w:sz w:val="21"/>
          <w:szCs w:val="21"/>
          <w:lang w:val="en-US" w:eastAsia="zh-CN" w:bidi="ar-SA"/>
        </w:rPr>
      </w:pPr>
      <w:bookmarkStart w:id="132" w:name="_Toc5217"/>
      <w:bookmarkStart w:id="133" w:name="_Toc5700"/>
      <w:r>
        <w:rPr>
          <w:rFonts w:hint="eastAsia" w:asciiTheme="minorEastAsia" w:hAnsiTheme="minorEastAsia" w:eastAsiaTheme="minorEastAsia" w:cstheme="minorEastAsia"/>
          <w:kern w:val="0"/>
          <w:sz w:val="21"/>
          <w:szCs w:val="21"/>
          <w:lang w:val="en-US" w:eastAsia="zh-CN" w:bidi="ar-SA"/>
        </w:rPr>
        <w:t>总监理工程师或监理方负责人收到书面评价或监管机构的整改通知后，应及时研究、尽快回应或整改。</w:t>
      </w:r>
      <w:bookmarkEnd w:id="132"/>
      <w:bookmarkEnd w:id="133"/>
    </w:p>
    <w:p>
      <w:pPr>
        <w:pStyle w:val="28"/>
        <w:keepNext w:val="0"/>
        <w:keepLines w:val="0"/>
        <w:pageBreakBefore w:val="0"/>
        <w:widowControl/>
        <w:kinsoku/>
        <w:wordWrap/>
        <w:overflowPunct/>
        <w:topLinePunct w:val="0"/>
        <w:autoSpaceDE/>
        <w:autoSpaceDN/>
        <w:bidi w:val="0"/>
        <w:adjustRightInd/>
        <w:snapToGrid/>
        <w:spacing w:before="0" w:beforeLines="0" w:after="0" w:afterLines="0" w:line="240" w:lineRule="auto"/>
        <w:textAlignment w:val="auto"/>
        <w:outlineLvl w:val="9"/>
        <w:rPr>
          <w:rFonts w:hint="default" w:asciiTheme="minorEastAsia" w:hAnsiTheme="minorEastAsia" w:eastAsiaTheme="minorEastAsia" w:cstheme="minorEastAsia"/>
          <w:kern w:val="0"/>
          <w:sz w:val="21"/>
          <w:szCs w:val="21"/>
          <w:lang w:val="en-US" w:eastAsia="zh-CN" w:bidi="ar-SA"/>
        </w:rPr>
      </w:pPr>
      <w:bookmarkStart w:id="134" w:name="_Toc22600"/>
      <w:bookmarkStart w:id="135" w:name="_Toc24419"/>
      <w:r>
        <w:rPr>
          <w:rFonts w:hint="eastAsia" w:asciiTheme="minorEastAsia" w:hAnsiTheme="minorEastAsia" w:eastAsiaTheme="minorEastAsia" w:cstheme="minorEastAsia"/>
          <w:kern w:val="0"/>
          <w:sz w:val="21"/>
          <w:szCs w:val="21"/>
          <w:lang w:val="en-US" w:eastAsia="zh-CN" w:bidi="ar-SA"/>
        </w:rPr>
        <w:t>发包方与监理方可就书面评价相关情形进行协商，提前纳入档案监理合同中。</w:t>
      </w:r>
      <w:bookmarkEnd w:id="134"/>
      <w:bookmarkEnd w:id="135"/>
    </w:p>
    <w:p>
      <w:pPr>
        <w:pStyle w:val="36"/>
        <w:keepNext w:val="0"/>
        <w:keepLines w:val="0"/>
        <w:pageBreakBefore w:val="0"/>
        <w:kinsoku/>
        <w:overflowPunct/>
        <w:topLinePunct w:val="0"/>
        <w:bidi w:val="0"/>
        <w:textAlignment w:val="auto"/>
        <w:outlineLvl w:val="9"/>
        <w:rPr>
          <w:rFonts w:hint="eastAsia"/>
        </w:rPr>
      </w:pPr>
    </w:p>
    <w:p>
      <w:pPr>
        <w:pStyle w:val="36"/>
        <w:keepNext w:val="0"/>
        <w:keepLines w:val="0"/>
        <w:pageBreakBefore w:val="0"/>
        <w:kinsoku/>
        <w:overflowPunct/>
        <w:topLinePunct w:val="0"/>
        <w:bidi w:val="0"/>
        <w:textAlignment w:val="auto"/>
        <w:outlineLvl w:val="9"/>
        <w:rPr>
          <w:rFonts w:hint="eastAsia"/>
        </w:rPr>
        <w:sectPr>
          <w:headerReference r:id="rId18" w:type="default"/>
          <w:footerReference r:id="rId20" w:type="default"/>
          <w:headerReference r:id="rId19" w:type="even"/>
          <w:footerReference r:id="rId21" w:type="even"/>
          <w:pgSz w:w="11906" w:h="16838"/>
          <w:pgMar w:top="1417" w:right="1134" w:bottom="1134" w:left="1418" w:header="1417" w:footer="1134" w:gutter="0"/>
          <w:pgNumType w:start="1"/>
          <w:cols w:space="425" w:num="1"/>
          <w:docGrid w:type="lines" w:linePitch="312" w:charSpace="0"/>
        </w:sectPr>
      </w:pPr>
    </w:p>
    <w:p>
      <w:pPr>
        <w:pStyle w:val="7"/>
        <w:keepNext w:val="0"/>
        <w:keepLines w:val="0"/>
        <w:pageBreakBefore w:val="0"/>
        <w:widowControl w:val="0"/>
        <w:kinsoku/>
        <w:wordWrap/>
        <w:overflowPunct/>
        <w:topLinePunct w:val="0"/>
        <w:autoSpaceDE/>
        <w:autoSpaceDN/>
        <w:bidi w:val="0"/>
        <w:adjustRightInd w:val="0"/>
        <w:snapToGrid w:val="0"/>
        <w:spacing w:before="567"/>
        <w:ind w:left="0" w:leftChars="0" w:firstLine="0" w:firstLineChars="0"/>
        <w:jc w:val="center"/>
        <w:textAlignment w:val="auto"/>
        <w:outlineLvl w:val="0"/>
        <w:rPr>
          <w:rFonts w:hint="eastAsia" w:ascii="黑体" w:hAnsi="黑体" w:eastAsia="黑体" w:cs="黑体"/>
          <w:sz w:val="21"/>
          <w:szCs w:val="21"/>
          <w:lang w:val="en-US" w:eastAsia="zh-CN"/>
        </w:rPr>
      </w:pPr>
      <w:bookmarkStart w:id="136" w:name="_Toc21342"/>
      <w:bookmarkStart w:id="137" w:name="_Toc27120"/>
      <w:r>
        <w:rPr>
          <w:rFonts w:hint="eastAsia" w:ascii="黑体" w:hAnsi="黑体" w:eastAsia="黑体" w:cs="黑体"/>
          <w:sz w:val="21"/>
          <w:szCs w:val="21"/>
          <w:lang w:val="en-US" w:eastAsia="zh-CN"/>
        </w:rPr>
        <w:t>附  录  A</w:t>
      </w:r>
      <w:bookmarkEnd w:id="136"/>
      <w:bookmarkEnd w:id="137"/>
    </w:p>
    <w:p>
      <w:pPr>
        <w:pStyle w:val="8"/>
        <w:keepNext w:val="0"/>
        <w:keepLines w:val="0"/>
        <w:pageBreakBefore w:val="0"/>
        <w:widowControl w:val="0"/>
        <w:kinsoku/>
        <w:wordWrap/>
        <w:overflowPunct/>
        <w:topLinePunct w:val="0"/>
        <w:autoSpaceDE/>
        <w:autoSpaceDN/>
        <w:bidi w:val="0"/>
        <w:snapToGrid w:val="0"/>
        <w:jc w:val="center"/>
        <w:textAlignment w:val="auto"/>
        <w:outlineLvl w:val="0"/>
        <w:rPr>
          <w:rFonts w:hint="eastAsia" w:ascii="黑体" w:hAnsi="黑体" w:eastAsia="黑体" w:cs="黑体"/>
          <w:sz w:val="21"/>
          <w:szCs w:val="21"/>
          <w:lang w:val="en-US" w:eastAsia="zh-CN"/>
        </w:rPr>
      </w:pPr>
      <w:bookmarkStart w:id="138" w:name="_Toc21414"/>
      <w:bookmarkStart w:id="139" w:name="_Toc3880"/>
      <w:bookmarkStart w:id="140" w:name="_Toc23324"/>
      <w:r>
        <w:rPr>
          <w:rFonts w:hint="eastAsia" w:ascii="黑体" w:hAnsi="黑体" w:eastAsia="黑体" w:cs="黑体"/>
          <w:sz w:val="21"/>
          <w:szCs w:val="21"/>
          <w:lang w:val="en-US" w:eastAsia="zh-CN"/>
        </w:rPr>
        <w:t>（资料性）</w:t>
      </w:r>
      <w:bookmarkEnd w:id="138"/>
      <w:bookmarkEnd w:id="139"/>
      <w:bookmarkEnd w:id="140"/>
    </w:p>
    <w:p>
      <w:pPr>
        <w:pStyle w:val="8"/>
        <w:keepNext w:val="0"/>
        <w:keepLines w:val="0"/>
        <w:pageBreakBefore w:val="0"/>
        <w:widowControl w:val="0"/>
        <w:kinsoku/>
        <w:wordWrap/>
        <w:overflowPunct/>
        <w:topLinePunct w:val="0"/>
        <w:autoSpaceDE/>
        <w:autoSpaceDN/>
        <w:bidi w:val="0"/>
        <w:adjustRightInd w:val="0"/>
        <w:snapToGrid w:val="0"/>
        <w:spacing w:after="283"/>
        <w:jc w:val="center"/>
        <w:textAlignment w:val="auto"/>
        <w:outlineLvl w:val="0"/>
        <w:rPr>
          <w:rFonts w:hint="eastAsia" w:ascii="黑体" w:hAnsi="黑体" w:eastAsia="黑体"/>
          <w:color w:val="000000"/>
          <w:sz w:val="21"/>
          <w:szCs w:val="21"/>
          <w:lang w:val="en-US" w:eastAsia="zh-CN"/>
        </w:rPr>
      </w:pPr>
      <w:bookmarkStart w:id="141" w:name="_Toc17239"/>
      <w:r>
        <w:rPr>
          <w:rFonts w:hint="eastAsia" w:ascii="黑体" w:hAnsi="黑体" w:eastAsia="黑体"/>
          <w:color w:val="000000"/>
          <w:sz w:val="21"/>
          <w:szCs w:val="21"/>
          <w:lang w:val="en-US" w:eastAsia="zh-CN"/>
        </w:rPr>
        <w:t>监理回退通知单</w:t>
      </w:r>
      <w:bookmarkEnd w:id="141"/>
    </w:p>
    <w:p>
      <w:pPr>
        <w:pStyle w:val="10"/>
        <w:keepNext w:val="0"/>
        <w:keepLines w:val="0"/>
        <w:pageBreakBefore w:val="0"/>
        <w:widowControl w:val="0"/>
        <w:kinsoku/>
        <w:wordWrap/>
        <w:overflowPunct/>
        <w:topLinePunct w:val="0"/>
        <w:autoSpaceDE/>
        <w:autoSpaceDN/>
        <w:bidi w:val="0"/>
        <w:adjustRightInd w:val="0"/>
        <w:snapToGrid w:val="0"/>
        <w:spacing w:line="240" w:lineRule="auto"/>
        <w:textAlignment w:val="auto"/>
        <w:outlineLvl w:val="9"/>
      </w:pPr>
      <w:r>
        <w:rPr>
          <w:rFonts w:hint="eastAsia"/>
          <w:lang w:val="en-US" w:eastAsia="zh-CN"/>
        </w:rPr>
        <w:t>监理回退通知单</w:t>
      </w:r>
      <w:r>
        <w:rPr>
          <w:rFonts w:hint="eastAsia"/>
          <w:lang w:eastAsia="zh-CN"/>
        </w:rPr>
        <w:t>见表</w:t>
      </w:r>
      <w:r>
        <w:rPr>
          <w:rFonts w:hint="eastAsia"/>
          <w:lang w:val="en-US" w:eastAsia="zh-CN"/>
        </w:rPr>
        <w:t>A.1。</w:t>
      </w:r>
    </w:p>
    <w:p>
      <w:pPr>
        <w:pStyle w:val="42"/>
        <w:keepNext w:val="0"/>
        <w:keepLines w:val="0"/>
        <w:pageBreakBefore w:val="0"/>
        <w:numPr>
          <w:ilvl w:val="0"/>
          <w:numId w:val="0"/>
        </w:numPr>
        <w:kinsoku/>
        <w:overflowPunct/>
        <w:topLinePunct w:val="0"/>
        <w:bidi w:val="0"/>
        <w:textAlignment w:val="auto"/>
        <w:outlineLvl w:val="9"/>
        <w:rPr>
          <w:rFonts w:hint="eastAsia"/>
          <w:lang w:val="en-US" w:eastAsia="zh-CN"/>
        </w:rPr>
      </w:pPr>
      <w:r>
        <w:rPr>
          <w:rFonts w:hint="eastAsia"/>
        </w:rPr>
        <w:t>表</w:t>
      </w:r>
      <w:r>
        <w:rPr>
          <w:rFonts w:hint="eastAsia"/>
          <w:lang w:val="en-US" w:eastAsia="zh-CN"/>
        </w:rPr>
        <w:t>A</w:t>
      </w:r>
      <w:r>
        <w:rPr>
          <w:rFonts w:hint="eastAsia"/>
        </w:rPr>
        <w:t>.1</w:t>
      </w:r>
      <w:r>
        <w:rPr>
          <w:rFonts w:hint="eastAsia"/>
          <w:lang w:val="en-US" w:eastAsia="zh-CN"/>
        </w:rPr>
        <w:t xml:space="preserve"> </w:t>
      </w:r>
      <w:r>
        <w:rPr>
          <w:rFonts w:hint="eastAsia"/>
        </w:rPr>
        <w:t xml:space="preserve"> </w:t>
      </w:r>
      <w:r>
        <w:rPr>
          <w:rFonts w:hint="eastAsia"/>
          <w:lang w:val="en-US" w:eastAsia="zh-CN"/>
        </w:rPr>
        <w:t>监理回退通知单</w:t>
      </w:r>
    </w:p>
    <w:p>
      <w:pPr>
        <w:keepNext w:val="0"/>
        <w:keepLines w:val="0"/>
        <w:pageBreakBefore w:val="0"/>
        <w:kinsoku/>
        <w:overflowPunct/>
        <w:topLinePunct w:val="0"/>
        <w:bidi w:val="0"/>
        <w:spacing w:before="156" w:beforeLines="50" w:line="240" w:lineRule="atLeast"/>
        <w:ind w:firstLine="180" w:firstLineChars="100"/>
        <w:jc w:val="left"/>
        <w:textAlignment w:val="auto"/>
        <w:outlineLvl w:val="9"/>
        <w:rPr>
          <w:rFonts w:ascii="黑体" w:eastAsia="黑体"/>
          <w:bCs/>
          <w:sz w:val="18"/>
          <w:szCs w:val="18"/>
        </w:rPr>
      </w:pPr>
      <w:r>
        <w:rPr>
          <w:rFonts w:hint="eastAsia" w:ascii="黑体" w:hAnsi="黑体" w:eastAsia="黑体"/>
          <w:sz w:val="18"/>
          <w:szCs w:val="18"/>
        </w:rPr>
        <w:t xml:space="preserve">致：                                         </w:t>
      </w:r>
      <w:r>
        <w:rPr>
          <w:rFonts w:hint="eastAsia" w:ascii="黑体" w:hAnsi="黑体" w:eastAsia="黑体"/>
          <w:sz w:val="18"/>
          <w:szCs w:val="18"/>
          <w:lang w:val="en-US" w:eastAsia="zh-CN"/>
        </w:rPr>
        <w:t xml:space="preserve">             </w:t>
      </w:r>
      <w:r>
        <w:rPr>
          <w:rFonts w:hint="eastAsia" w:ascii="黑体" w:hAnsi="黑体" w:eastAsia="黑体"/>
          <w:sz w:val="18"/>
          <w:szCs w:val="18"/>
        </w:rPr>
        <w:t xml:space="preserve">      </w:t>
      </w:r>
      <w:r>
        <w:rPr>
          <w:rFonts w:hint="eastAsia" w:ascii="黑体" w:hAnsi="黑体" w:eastAsia="黑体"/>
          <w:bCs/>
          <w:sz w:val="18"/>
          <w:szCs w:val="18"/>
        </w:rPr>
        <w:t>编号：</w:t>
      </w:r>
    </w:p>
    <w:tbl>
      <w:tblPr>
        <w:tblStyle w:val="15"/>
        <w:tblW w:w="9073" w:type="dxa"/>
        <w:jc w:val="center"/>
        <w:tblBorders>
          <w:top w:val="thinThickLargeGap" w:color="auto" w:sz="24" w:space="0"/>
          <w:left w:val="thinThickLargeGap" w:color="auto" w:sz="24" w:space="0"/>
          <w:bottom w:val="thickThinLargeGap" w:color="auto" w:sz="24" w:space="0"/>
          <w:right w:val="thickThinLargeGap" w:color="auto" w:sz="24" w:space="0"/>
          <w:insideH w:val="single" w:color="auto" w:sz="6" w:space="0"/>
          <w:insideV w:val="single" w:color="auto" w:sz="6" w:space="0"/>
        </w:tblBorders>
        <w:tblLayout w:type="fixed"/>
        <w:tblCellMar>
          <w:top w:w="0" w:type="dxa"/>
          <w:left w:w="108" w:type="dxa"/>
          <w:bottom w:w="0" w:type="dxa"/>
          <w:right w:w="108" w:type="dxa"/>
        </w:tblCellMar>
      </w:tblPr>
      <w:tblGrid>
        <w:gridCol w:w="1116"/>
        <w:gridCol w:w="1418"/>
        <w:gridCol w:w="270"/>
        <w:gridCol w:w="849"/>
        <w:gridCol w:w="2123"/>
        <w:gridCol w:w="1126"/>
        <w:gridCol w:w="2171"/>
      </w:tblGrid>
      <w:tr>
        <w:tblPrEx>
          <w:tblBorders>
            <w:top w:val="thinThickLargeGap" w:color="auto" w:sz="24" w:space="0"/>
            <w:left w:val="thinThickLargeGap" w:color="auto" w:sz="24" w:space="0"/>
            <w:bottom w:val="thickThinLargeGap" w:color="auto" w:sz="24" w:space="0"/>
            <w:right w:val="thickThinLargeGap" w:color="auto" w:sz="24" w:space="0"/>
            <w:insideH w:val="single" w:color="auto" w:sz="6" w:space="0"/>
            <w:insideV w:val="single" w:color="auto" w:sz="6" w:space="0"/>
          </w:tblBorders>
          <w:tblCellMar>
            <w:top w:w="0" w:type="dxa"/>
            <w:left w:w="108" w:type="dxa"/>
            <w:bottom w:w="0" w:type="dxa"/>
            <w:right w:w="108" w:type="dxa"/>
          </w:tblCellMar>
        </w:tblPrEx>
        <w:trPr>
          <w:trHeight w:val="851" w:hRule="atLeast"/>
          <w:jc w:val="center"/>
        </w:trPr>
        <w:tc>
          <w:tcPr>
            <w:tcW w:w="1116" w:type="dxa"/>
            <w:tcBorders>
              <w:top w:val="thinThickLargeGap" w:color="auto" w:sz="24" w:space="0"/>
            </w:tcBorders>
            <w:vAlign w:val="center"/>
          </w:tcPr>
          <w:p>
            <w:pPr>
              <w:keepNext w:val="0"/>
              <w:keepLines w:val="0"/>
              <w:pageBreakBefore w:val="0"/>
              <w:kinsoku/>
              <w:overflowPunct/>
              <w:topLinePunct w:val="0"/>
              <w:bidi w:val="0"/>
              <w:jc w:val="center"/>
              <w:textAlignment w:val="auto"/>
              <w:outlineLvl w:val="9"/>
              <w:rPr>
                <w:b/>
                <w:sz w:val="18"/>
                <w:szCs w:val="18"/>
              </w:rPr>
            </w:pPr>
            <w:r>
              <w:rPr>
                <w:rFonts w:hint="eastAsia"/>
                <w:b/>
                <w:sz w:val="18"/>
                <w:szCs w:val="18"/>
              </w:rPr>
              <w:t>项目名称</w:t>
            </w:r>
          </w:p>
        </w:tc>
        <w:tc>
          <w:tcPr>
            <w:tcW w:w="7957" w:type="dxa"/>
            <w:gridSpan w:val="6"/>
            <w:tcBorders>
              <w:top w:val="thinThickLargeGap" w:color="auto" w:sz="24" w:space="0"/>
              <w:bottom w:val="single" w:color="auto" w:sz="4" w:space="0"/>
              <w:right w:val="thinThickLargeGap" w:color="auto" w:sz="24" w:space="0"/>
            </w:tcBorders>
            <w:vAlign w:val="center"/>
          </w:tcPr>
          <w:p>
            <w:pPr>
              <w:keepNext w:val="0"/>
              <w:keepLines w:val="0"/>
              <w:pageBreakBefore w:val="0"/>
              <w:kinsoku/>
              <w:overflowPunct/>
              <w:topLinePunct w:val="0"/>
              <w:bidi w:val="0"/>
              <w:textAlignment w:val="auto"/>
              <w:outlineLvl w:val="9"/>
              <w:rPr>
                <w:sz w:val="18"/>
                <w:szCs w:val="18"/>
              </w:rPr>
            </w:pPr>
          </w:p>
        </w:tc>
      </w:tr>
      <w:tr>
        <w:tblPrEx>
          <w:tblBorders>
            <w:top w:val="thinThickLargeGap" w:color="auto" w:sz="24" w:space="0"/>
            <w:left w:val="thinThickLargeGap" w:color="auto" w:sz="24" w:space="0"/>
            <w:bottom w:val="thickThinLargeGap" w:color="auto" w:sz="24" w:space="0"/>
            <w:right w:val="thickThinLargeGap" w:color="auto" w:sz="24" w:space="0"/>
            <w:insideH w:val="single" w:color="auto" w:sz="6" w:space="0"/>
            <w:insideV w:val="single" w:color="auto" w:sz="6" w:space="0"/>
          </w:tblBorders>
          <w:tblCellMar>
            <w:top w:w="0" w:type="dxa"/>
            <w:left w:w="108" w:type="dxa"/>
            <w:bottom w:w="0" w:type="dxa"/>
            <w:right w:w="108" w:type="dxa"/>
          </w:tblCellMar>
        </w:tblPrEx>
        <w:trPr>
          <w:trHeight w:val="851" w:hRule="atLeast"/>
          <w:jc w:val="center"/>
        </w:trPr>
        <w:tc>
          <w:tcPr>
            <w:tcW w:w="1116" w:type="dxa"/>
            <w:vAlign w:val="center"/>
          </w:tcPr>
          <w:p>
            <w:pPr>
              <w:keepNext w:val="0"/>
              <w:keepLines w:val="0"/>
              <w:pageBreakBefore w:val="0"/>
              <w:kinsoku/>
              <w:overflowPunct/>
              <w:topLinePunct w:val="0"/>
              <w:bidi w:val="0"/>
              <w:textAlignment w:val="auto"/>
              <w:outlineLvl w:val="9"/>
              <w:rPr>
                <w:b/>
                <w:sz w:val="18"/>
                <w:szCs w:val="18"/>
              </w:rPr>
            </w:pPr>
            <w:r>
              <w:rPr>
                <w:rFonts w:hint="eastAsia"/>
                <w:b/>
                <w:sz w:val="18"/>
                <w:szCs w:val="18"/>
              </w:rPr>
              <w:t xml:space="preserve">回退内容  </w:t>
            </w:r>
          </w:p>
        </w:tc>
        <w:tc>
          <w:tcPr>
            <w:tcW w:w="1418" w:type="dxa"/>
            <w:tcBorders>
              <w:top w:val="single" w:color="auto" w:sz="4" w:space="0"/>
              <w:right w:val="single" w:color="auto" w:sz="4" w:space="0"/>
            </w:tcBorders>
            <w:vAlign w:val="center"/>
          </w:tcPr>
          <w:p>
            <w:pPr>
              <w:keepNext w:val="0"/>
              <w:keepLines w:val="0"/>
              <w:pageBreakBefore w:val="0"/>
              <w:kinsoku/>
              <w:overflowPunct/>
              <w:topLinePunct w:val="0"/>
              <w:bidi w:val="0"/>
              <w:textAlignment w:val="auto"/>
              <w:outlineLvl w:val="9"/>
              <w:rPr>
                <w:sz w:val="18"/>
                <w:szCs w:val="18"/>
              </w:rPr>
            </w:pPr>
          </w:p>
        </w:tc>
        <w:tc>
          <w:tcPr>
            <w:tcW w:w="1119" w:type="dxa"/>
            <w:gridSpan w:val="2"/>
            <w:tcBorders>
              <w:top w:val="single" w:color="auto" w:sz="4" w:space="0"/>
              <w:left w:val="single" w:color="auto" w:sz="4" w:space="0"/>
              <w:right w:val="single" w:color="auto" w:sz="4" w:space="0"/>
            </w:tcBorders>
            <w:vAlign w:val="center"/>
          </w:tcPr>
          <w:p>
            <w:pPr>
              <w:keepNext w:val="0"/>
              <w:keepLines w:val="0"/>
              <w:pageBreakBefore w:val="0"/>
              <w:kinsoku/>
              <w:overflowPunct/>
              <w:topLinePunct w:val="0"/>
              <w:bidi w:val="0"/>
              <w:textAlignment w:val="auto"/>
              <w:outlineLvl w:val="9"/>
              <w:rPr>
                <w:sz w:val="18"/>
                <w:szCs w:val="18"/>
              </w:rPr>
            </w:pPr>
            <w:r>
              <w:rPr>
                <w:rFonts w:hint="eastAsia"/>
                <w:b/>
                <w:sz w:val="18"/>
                <w:szCs w:val="18"/>
              </w:rPr>
              <w:t>回退批次</w:t>
            </w:r>
          </w:p>
        </w:tc>
        <w:tc>
          <w:tcPr>
            <w:tcW w:w="2123" w:type="dxa"/>
            <w:tcBorders>
              <w:top w:val="single" w:color="auto" w:sz="4" w:space="0"/>
              <w:left w:val="single" w:color="auto" w:sz="4" w:space="0"/>
              <w:right w:val="single" w:color="auto" w:sz="4" w:space="0"/>
            </w:tcBorders>
            <w:vAlign w:val="center"/>
          </w:tcPr>
          <w:p>
            <w:pPr>
              <w:keepNext w:val="0"/>
              <w:keepLines w:val="0"/>
              <w:pageBreakBefore w:val="0"/>
              <w:kinsoku/>
              <w:overflowPunct/>
              <w:topLinePunct w:val="0"/>
              <w:bidi w:val="0"/>
              <w:textAlignment w:val="auto"/>
              <w:outlineLvl w:val="9"/>
              <w:rPr>
                <w:sz w:val="18"/>
                <w:szCs w:val="18"/>
              </w:rPr>
            </w:pPr>
            <w:r>
              <w:rPr>
                <w:sz w:val="18"/>
                <w:szCs w:val="18"/>
              </w:rPr>
              <w:t>第</w:t>
            </w:r>
            <w:r>
              <w:rPr>
                <w:rFonts w:hint="eastAsia"/>
                <w:sz w:val="18"/>
                <w:szCs w:val="18"/>
              </w:rPr>
              <w:t xml:space="preserve"> </w:t>
            </w:r>
            <w:r>
              <w:rPr>
                <w:sz w:val="18"/>
                <w:szCs w:val="18"/>
              </w:rPr>
              <w:t>批次（第</w:t>
            </w:r>
            <w:r>
              <w:rPr>
                <w:rFonts w:hint="eastAsia"/>
                <w:sz w:val="18"/>
                <w:szCs w:val="18"/>
              </w:rPr>
              <w:t xml:space="preserve">  </w:t>
            </w:r>
            <w:r>
              <w:rPr>
                <w:sz w:val="18"/>
                <w:szCs w:val="18"/>
              </w:rPr>
              <w:t>次）</w:t>
            </w:r>
          </w:p>
        </w:tc>
        <w:tc>
          <w:tcPr>
            <w:tcW w:w="1126" w:type="dxa"/>
            <w:tcBorders>
              <w:top w:val="single" w:color="auto" w:sz="4" w:space="0"/>
              <w:left w:val="single" w:color="auto" w:sz="4" w:space="0"/>
              <w:right w:val="single" w:color="auto" w:sz="4" w:space="0"/>
            </w:tcBorders>
            <w:vAlign w:val="center"/>
          </w:tcPr>
          <w:p>
            <w:pPr>
              <w:keepNext w:val="0"/>
              <w:keepLines w:val="0"/>
              <w:pageBreakBefore w:val="0"/>
              <w:kinsoku/>
              <w:overflowPunct/>
              <w:topLinePunct w:val="0"/>
              <w:bidi w:val="0"/>
              <w:textAlignment w:val="auto"/>
              <w:outlineLvl w:val="9"/>
              <w:rPr>
                <w:sz w:val="18"/>
                <w:szCs w:val="18"/>
              </w:rPr>
            </w:pPr>
            <w:r>
              <w:rPr>
                <w:rFonts w:hint="eastAsia"/>
                <w:b/>
                <w:sz w:val="18"/>
                <w:szCs w:val="18"/>
              </w:rPr>
              <w:t>回退时间</w:t>
            </w:r>
          </w:p>
        </w:tc>
        <w:tc>
          <w:tcPr>
            <w:tcW w:w="2171" w:type="dxa"/>
            <w:tcBorders>
              <w:top w:val="single" w:color="auto" w:sz="4" w:space="0"/>
              <w:left w:val="single" w:color="auto" w:sz="4" w:space="0"/>
              <w:right w:val="thinThickLargeGap" w:color="auto" w:sz="24" w:space="0"/>
            </w:tcBorders>
            <w:vAlign w:val="center"/>
          </w:tcPr>
          <w:p>
            <w:pPr>
              <w:keepNext w:val="0"/>
              <w:keepLines w:val="0"/>
              <w:pageBreakBefore w:val="0"/>
              <w:kinsoku/>
              <w:overflowPunct/>
              <w:topLinePunct w:val="0"/>
              <w:bidi w:val="0"/>
              <w:textAlignment w:val="auto"/>
              <w:outlineLvl w:val="9"/>
              <w:rPr>
                <w:sz w:val="18"/>
                <w:szCs w:val="18"/>
              </w:rPr>
            </w:pPr>
            <w:r>
              <w:rPr>
                <w:rFonts w:asciiTheme="minorEastAsia" w:hAnsiTheme="minorEastAsia"/>
                <w:sz w:val="18"/>
                <w:szCs w:val="18"/>
              </w:rPr>
              <w:t>年</w:t>
            </w:r>
            <w:r>
              <w:rPr>
                <w:rFonts w:hint="eastAsia" w:asciiTheme="minorEastAsia" w:hAnsiTheme="minorEastAsia"/>
                <w:sz w:val="18"/>
                <w:szCs w:val="18"/>
              </w:rPr>
              <w:t xml:space="preserve">  </w:t>
            </w:r>
            <w:r>
              <w:rPr>
                <w:rFonts w:asciiTheme="minorEastAsia" w:hAnsiTheme="minorEastAsia"/>
                <w:sz w:val="18"/>
                <w:szCs w:val="18"/>
              </w:rPr>
              <w:t>月</w:t>
            </w:r>
            <w:r>
              <w:rPr>
                <w:rFonts w:hint="eastAsia" w:asciiTheme="minorEastAsia" w:hAnsiTheme="minorEastAsia"/>
                <w:sz w:val="18"/>
                <w:szCs w:val="18"/>
              </w:rPr>
              <w:t xml:space="preserve">  </w:t>
            </w:r>
            <w:r>
              <w:rPr>
                <w:rFonts w:asciiTheme="minorEastAsia" w:hAnsiTheme="minorEastAsia"/>
                <w:sz w:val="18"/>
                <w:szCs w:val="18"/>
              </w:rPr>
              <w:t>日</w:t>
            </w:r>
          </w:p>
        </w:tc>
      </w:tr>
      <w:tr>
        <w:tblPrEx>
          <w:tblBorders>
            <w:top w:val="thinThickLargeGap" w:color="auto" w:sz="24" w:space="0"/>
            <w:left w:val="thinThickLargeGap" w:color="auto" w:sz="24" w:space="0"/>
            <w:bottom w:val="thickThinLargeGap" w:color="auto" w:sz="24" w:space="0"/>
            <w:right w:val="thickThinLargeGap" w:color="auto" w:sz="24" w:space="0"/>
            <w:insideH w:val="single" w:color="auto" w:sz="6" w:space="0"/>
            <w:insideV w:val="single" w:color="auto" w:sz="6" w:space="0"/>
          </w:tblBorders>
          <w:tblCellMar>
            <w:top w:w="0" w:type="dxa"/>
            <w:left w:w="108" w:type="dxa"/>
            <w:bottom w:w="0" w:type="dxa"/>
            <w:right w:w="108" w:type="dxa"/>
          </w:tblCellMar>
        </w:tblPrEx>
        <w:trPr>
          <w:trHeight w:val="2815" w:hRule="atLeast"/>
          <w:jc w:val="center"/>
        </w:trPr>
        <w:tc>
          <w:tcPr>
            <w:tcW w:w="1116" w:type="dxa"/>
            <w:tcBorders>
              <w:top w:val="single" w:color="auto" w:sz="4" w:space="0"/>
              <w:left w:val="thinThickLargeGap" w:color="auto" w:sz="24" w:space="0"/>
              <w:bottom w:val="single" w:color="auto" w:sz="4" w:space="0"/>
              <w:right w:val="single" w:color="auto" w:sz="4" w:space="0"/>
            </w:tcBorders>
            <w:vAlign w:val="center"/>
          </w:tcPr>
          <w:p>
            <w:pPr>
              <w:keepNext w:val="0"/>
              <w:keepLines w:val="0"/>
              <w:pageBreakBefore w:val="0"/>
              <w:kinsoku/>
              <w:overflowPunct/>
              <w:topLinePunct w:val="0"/>
              <w:bidi w:val="0"/>
              <w:jc w:val="center"/>
              <w:textAlignment w:val="auto"/>
              <w:outlineLvl w:val="9"/>
              <w:rPr>
                <w:b/>
                <w:sz w:val="18"/>
                <w:szCs w:val="18"/>
              </w:rPr>
            </w:pPr>
            <w:r>
              <w:rPr>
                <w:rFonts w:hint="eastAsia"/>
                <w:b/>
                <w:sz w:val="18"/>
                <w:szCs w:val="18"/>
              </w:rPr>
              <w:t>回退原因</w:t>
            </w:r>
            <w:r>
              <w:rPr>
                <w:b/>
                <w:sz w:val="18"/>
                <w:szCs w:val="18"/>
              </w:rPr>
              <w:t>描述</w:t>
            </w:r>
          </w:p>
        </w:tc>
        <w:tc>
          <w:tcPr>
            <w:tcW w:w="7957" w:type="dxa"/>
            <w:gridSpan w:val="6"/>
            <w:tcBorders>
              <w:top w:val="single" w:color="auto" w:sz="4" w:space="0"/>
              <w:left w:val="single" w:color="auto" w:sz="4" w:space="0"/>
              <w:bottom w:val="single" w:color="auto" w:sz="4" w:space="0"/>
              <w:right w:val="thinThickLargeGap" w:color="auto" w:sz="24" w:space="0"/>
            </w:tcBorders>
          </w:tcPr>
          <w:p>
            <w:pPr>
              <w:keepNext w:val="0"/>
              <w:keepLines w:val="0"/>
              <w:pageBreakBefore w:val="0"/>
              <w:kinsoku/>
              <w:overflowPunct/>
              <w:topLinePunct w:val="0"/>
              <w:bidi w:val="0"/>
              <w:ind w:firstLine="540" w:firstLineChars="300"/>
              <w:textAlignment w:val="auto"/>
              <w:outlineLvl w:val="9"/>
              <w:rPr>
                <w:rFonts w:asciiTheme="minorEastAsia" w:hAnsiTheme="minorEastAsia"/>
                <w:sz w:val="18"/>
                <w:szCs w:val="18"/>
              </w:rPr>
            </w:pPr>
          </w:p>
        </w:tc>
      </w:tr>
      <w:tr>
        <w:tblPrEx>
          <w:tblBorders>
            <w:top w:val="thinThickLargeGap" w:color="auto" w:sz="24" w:space="0"/>
            <w:left w:val="thinThickLargeGap" w:color="auto" w:sz="24" w:space="0"/>
            <w:bottom w:val="thickThinLargeGap" w:color="auto" w:sz="24" w:space="0"/>
            <w:right w:val="thickThinLargeGap" w:color="auto" w:sz="24" w:space="0"/>
            <w:insideH w:val="single" w:color="auto" w:sz="6" w:space="0"/>
            <w:insideV w:val="single" w:color="auto" w:sz="6" w:space="0"/>
          </w:tblBorders>
          <w:tblCellMar>
            <w:top w:w="0" w:type="dxa"/>
            <w:left w:w="108" w:type="dxa"/>
            <w:bottom w:w="0" w:type="dxa"/>
            <w:right w:w="108" w:type="dxa"/>
          </w:tblCellMar>
        </w:tblPrEx>
        <w:trPr>
          <w:trHeight w:val="2586" w:hRule="atLeast"/>
          <w:jc w:val="center"/>
        </w:trPr>
        <w:tc>
          <w:tcPr>
            <w:tcW w:w="1116" w:type="dxa"/>
            <w:tcBorders>
              <w:top w:val="single" w:color="auto" w:sz="4" w:space="0"/>
              <w:bottom w:val="single" w:color="auto" w:sz="4" w:space="0"/>
              <w:right w:val="single" w:color="auto" w:sz="4" w:space="0"/>
            </w:tcBorders>
            <w:vAlign w:val="center"/>
          </w:tcPr>
          <w:p>
            <w:pPr>
              <w:keepNext w:val="0"/>
              <w:keepLines w:val="0"/>
              <w:pageBreakBefore w:val="0"/>
              <w:kinsoku/>
              <w:wordWrap w:val="0"/>
              <w:overflowPunct/>
              <w:topLinePunct w:val="0"/>
              <w:bidi w:val="0"/>
              <w:spacing w:line="400" w:lineRule="exact"/>
              <w:jc w:val="center"/>
              <w:textAlignment w:val="auto"/>
              <w:outlineLvl w:val="9"/>
              <w:rPr>
                <w:b/>
                <w:sz w:val="18"/>
                <w:szCs w:val="18"/>
              </w:rPr>
            </w:pPr>
            <w:r>
              <w:rPr>
                <w:rFonts w:hint="eastAsia"/>
                <w:b/>
                <w:sz w:val="18"/>
                <w:szCs w:val="18"/>
              </w:rPr>
              <w:t>批次整改</w:t>
            </w:r>
          </w:p>
          <w:p>
            <w:pPr>
              <w:keepNext w:val="0"/>
              <w:keepLines w:val="0"/>
              <w:pageBreakBefore w:val="0"/>
              <w:kinsoku/>
              <w:wordWrap w:val="0"/>
              <w:overflowPunct/>
              <w:topLinePunct w:val="0"/>
              <w:bidi w:val="0"/>
              <w:spacing w:line="400" w:lineRule="exact"/>
              <w:jc w:val="center"/>
              <w:textAlignment w:val="auto"/>
              <w:outlineLvl w:val="9"/>
              <w:rPr>
                <w:rFonts w:ascii="宋体" w:hAnsi="宋体"/>
                <w:sz w:val="18"/>
                <w:szCs w:val="18"/>
              </w:rPr>
            </w:pPr>
            <w:r>
              <w:rPr>
                <w:rFonts w:hint="eastAsia"/>
                <w:b/>
                <w:sz w:val="18"/>
                <w:szCs w:val="18"/>
              </w:rPr>
              <w:t>要求</w:t>
            </w:r>
          </w:p>
        </w:tc>
        <w:tc>
          <w:tcPr>
            <w:tcW w:w="7957" w:type="dxa"/>
            <w:gridSpan w:val="6"/>
            <w:tcBorders>
              <w:top w:val="single" w:color="auto" w:sz="4" w:space="0"/>
              <w:left w:val="single" w:color="auto" w:sz="4" w:space="0"/>
              <w:bottom w:val="single" w:color="auto" w:sz="4" w:space="0"/>
              <w:right w:val="thinThickLargeGap" w:color="auto" w:sz="24" w:space="0"/>
            </w:tcBorders>
          </w:tcPr>
          <w:p>
            <w:pPr>
              <w:keepNext w:val="0"/>
              <w:keepLines w:val="0"/>
              <w:pageBreakBefore w:val="0"/>
              <w:kinsoku/>
              <w:overflowPunct/>
              <w:topLinePunct w:val="0"/>
              <w:bidi w:val="0"/>
              <w:spacing w:before="156" w:beforeLines="50"/>
              <w:textAlignment w:val="auto"/>
              <w:outlineLvl w:val="9"/>
              <w:rPr>
                <w:rFonts w:ascii="宋体" w:hAnsi="宋体"/>
                <w:sz w:val="18"/>
                <w:szCs w:val="18"/>
              </w:rPr>
            </w:pPr>
          </w:p>
        </w:tc>
      </w:tr>
      <w:tr>
        <w:tblPrEx>
          <w:tblBorders>
            <w:top w:val="thinThickLargeGap" w:color="auto" w:sz="24" w:space="0"/>
            <w:left w:val="thinThickLargeGap" w:color="auto" w:sz="24" w:space="0"/>
            <w:bottom w:val="thickThinLargeGap" w:color="auto" w:sz="24" w:space="0"/>
            <w:right w:val="thickThinLargeGap" w:color="auto" w:sz="24" w:space="0"/>
            <w:insideH w:val="single" w:color="auto" w:sz="6" w:space="0"/>
            <w:insideV w:val="single" w:color="auto" w:sz="6" w:space="0"/>
          </w:tblBorders>
          <w:tblCellMar>
            <w:top w:w="0" w:type="dxa"/>
            <w:left w:w="108" w:type="dxa"/>
            <w:bottom w:w="0" w:type="dxa"/>
            <w:right w:w="108" w:type="dxa"/>
          </w:tblCellMar>
        </w:tblPrEx>
        <w:trPr>
          <w:trHeight w:val="1021" w:hRule="atLeast"/>
          <w:jc w:val="center"/>
        </w:trPr>
        <w:tc>
          <w:tcPr>
            <w:tcW w:w="1116" w:type="dxa"/>
            <w:tcBorders>
              <w:top w:val="single" w:color="auto" w:sz="4" w:space="0"/>
              <w:bottom w:val="single" w:color="auto" w:sz="6" w:space="0"/>
              <w:right w:val="single" w:color="auto" w:sz="4" w:space="0"/>
            </w:tcBorders>
            <w:vAlign w:val="center"/>
          </w:tcPr>
          <w:p>
            <w:pPr>
              <w:keepNext w:val="0"/>
              <w:keepLines w:val="0"/>
              <w:pageBreakBefore w:val="0"/>
              <w:kinsoku/>
              <w:wordWrap w:val="0"/>
              <w:overflowPunct/>
              <w:topLinePunct w:val="0"/>
              <w:bidi w:val="0"/>
              <w:spacing w:line="400" w:lineRule="exact"/>
              <w:textAlignment w:val="auto"/>
              <w:outlineLvl w:val="9"/>
              <w:rPr>
                <w:b/>
                <w:sz w:val="18"/>
                <w:szCs w:val="18"/>
              </w:rPr>
            </w:pPr>
            <w:r>
              <w:rPr>
                <w:rFonts w:hint="eastAsia"/>
                <w:b/>
                <w:sz w:val="18"/>
                <w:szCs w:val="18"/>
              </w:rPr>
              <w:t>批次整改</w:t>
            </w:r>
          </w:p>
          <w:p>
            <w:pPr>
              <w:keepNext w:val="0"/>
              <w:keepLines w:val="0"/>
              <w:pageBreakBefore w:val="0"/>
              <w:kinsoku/>
              <w:wordWrap w:val="0"/>
              <w:overflowPunct/>
              <w:topLinePunct w:val="0"/>
              <w:bidi w:val="0"/>
              <w:spacing w:line="400" w:lineRule="exact"/>
              <w:jc w:val="center"/>
              <w:textAlignment w:val="auto"/>
              <w:outlineLvl w:val="9"/>
              <w:rPr>
                <w:sz w:val="18"/>
                <w:szCs w:val="18"/>
              </w:rPr>
            </w:pPr>
            <w:r>
              <w:rPr>
                <w:rFonts w:hint="eastAsia"/>
                <w:b/>
                <w:sz w:val="18"/>
                <w:szCs w:val="18"/>
              </w:rPr>
              <w:t>时间</w:t>
            </w:r>
          </w:p>
        </w:tc>
        <w:tc>
          <w:tcPr>
            <w:tcW w:w="7957" w:type="dxa"/>
            <w:gridSpan w:val="6"/>
            <w:tcBorders>
              <w:top w:val="single" w:color="auto" w:sz="4" w:space="0"/>
              <w:left w:val="single" w:color="auto" w:sz="4" w:space="0"/>
              <w:bottom w:val="single" w:color="auto" w:sz="6" w:space="0"/>
              <w:right w:val="thinThickLargeGap" w:color="auto" w:sz="24" w:space="0"/>
            </w:tcBorders>
          </w:tcPr>
          <w:p>
            <w:pPr>
              <w:keepNext w:val="0"/>
              <w:keepLines w:val="0"/>
              <w:pageBreakBefore w:val="0"/>
              <w:kinsoku/>
              <w:overflowPunct/>
              <w:topLinePunct w:val="0"/>
              <w:bidi w:val="0"/>
              <w:spacing w:line="400" w:lineRule="exact"/>
              <w:ind w:firstLine="360" w:firstLineChars="200"/>
              <w:textAlignment w:val="auto"/>
              <w:outlineLvl w:val="9"/>
              <w:rPr>
                <w:sz w:val="18"/>
                <w:szCs w:val="18"/>
              </w:rPr>
            </w:pPr>
          </w:p>
        </w:tc>
      </w:tr>
      <w:tr>
        <w:tblPrEx>
          <w:tblBorders>
            <w:top w:val="thinThickLargeGap" w:color="auto" w:sz="24" w:space="0"/>
            <w:left w:val="thinThickLargeGap" w:color="auto" w:sz="24" w:space="0"/>
            <w:bottom w:val="thickThinLargeGap" w:color="auto" w:sz="24" w:space="0"/>
            <w:right w:val="thickThinLargeGap" w:color="auto" w:sz="24" w:space="0"/>
            <w:insideH w:val="single" w:color="auto" w:sz="6" w:space="0"/>
            <w:insideV w:val="single" w:color="auto" w:sz="6" w:space="0"/>
          </w:tblBorders>
          <w:tblCellMar>
            <w:top w:w="0" w:type="dxa"/>
            <w:left w:w="108" w:type="dxa"/>
            <w:bottom w:w="0" w:type="dxa"/>
            <w:right w:w="108" w:type="dxa"/>
          </w:tblCellMar>
        </w:tblPrEx>
        <w:trPr>
          <w:trHeight w:val="1251" w:hRule="atLeast"/>
          <w:jc w:val="center"/>
        </w:trPr>
        <w:tc>
          <w:tcPr>
            <w:tcW w:w="2804" w:type="dxa"/>
            <w:gridSpan w:val="3"/>
            <w:tcBorders>
              <w:bottom w:val="thickThinLargeGap" w:color="auto" w:sz="24" w:space="0"/>
              <w:right w:val="single" w:color="auto" w:sz="4" w:space="0"/>
            </w:tcBorders>
            <w:vAlign w:val="center"/>
          </w:tcPr>
          <w:p>
            <w:pPr>
              <w:keepNext w:val="0"/>
              <w:keepLines w:val="0"/>
              <w:pageBreakBefore w:val="0"/>
              <w:kinsoku/>
              <w:overflowPunct/>
              <w:topLinePunct w:val="0"/>
              <w:bidi w:val="0"/>
              <w:textAlignment w:val="auto"/>
              <w:outlineLvl w:val="9"/>
              <w:rPr>
                <w:sz w:val="18"/>
                <w:szCs w:val="18"/>
              </w:rPr>
            </w:pPr>
            <w:r>
              <w:rPr>
                <w:rFonts w:hint="eastAsia"/>
                <w:sz w:val="18"/>
                <w:szCs w:val="18"/>
                <w:lang w:val="en-US" w:eastAsia="zh-CN"/>
              </w:rPr>
              <w:t>发包</w:t>
            </w:r>
            <w:r>
              <w:rPr>
                <w:rFonts w:hint="eastAsia"/>
                <w:sz w:val="18"/>
                <w:szCs w:val="18"/>
              </w:rPr>
              <w:t>方</w:t>
            </w:r>
            <w:r>
              <w:rPr>
                <w:rFonts w:hint="eastAsia"/>
                <w:sz w:val="18"/>
                <w:szCs w:val="18"/>
                <w:lang w:val="en-US" w:eastAsia="zh-CN"/>
              </w:rPr>
              <w:t>代表</w:t>
            </w:r>
            <w:r>
              <w:rPr>
                <w:rFonts w:hint="eastAsia"/>
                <w:sz w:val="18"/>
                <w:szCs w:val="18"/>
              </w:rPr>
              <w:t>签字：</w:t>
            </w:r>
          </w:p>
          <w:p>
            <w:pPr>
              <w:keepNext w:val="0"/>
              <w:keepLines w:val="0"/>
              <w:pageBreakBefore w:val="0"/>
              <w:kinsoku/>
              <w:overflowPunct/>
              <w:topLinePunct w:val="0"/>
              <w:bidi w:val="0"/>
              <w:textAlignment w:val="auto"/>
              <w:outlineLvl w:val="9"/>
              <w:rPr>
                <w:sz w:val="18"/>
                <w:szCs w:val="18"/>
              </w:rPr>
            </w:pPr>
          </w:p>
          <w:p>
            <w:pPr>
              <w:keepNext w:val="0"/>
              <w:keepLines w:val="0"/>
              <w:pageBreakBefore w:val="0"/>
              <w:kinsoku/>
              <w:overflowPunct/>
              <w:topLinePunct w:val="0"/>
              <w:bidi w:val="0"/>
              <w:textAlignment w:val="auto"/>
              <w:outlineLvl w:val="9"/>
              <w:rPr>
                <w:sz w:val="18"/>
                <w:szCs w:val="18"/>
              </w:rPr>
            </w:pPr>
            <w:r>
              <w:rPr>
                <w:rFonts w:hint="eastAsia"/>
                <w:sz w:val="18"/>
                <w:szCs w:val="18"/>
              </w:rPr>
              <w:t>日      期：</w:t>
            </w:r>
          </w:p>
        </w:tc>
        <w:tc>
          <w:tcPr>
            <w:tcW w:w="2972" w:type="dxa"/>
            <w:gridSpan w:val="2"/>
            <w:tcBorders>
              <w:left w:val="single" w:color="auto" w:sz="4" w:space="0"/>
              <w:bottom w:val="thickThinLargeGap" w:color="auto" w:sz="24" w:space="0"/>
            </w:tcBorders>
            <w:vAlign w:val="center"/>
          </w:tcPr>
          <w:p>
            <w:pPr>
              <w:keepNext w:val="0"/>
              <w:keepLines w:val="0"/>
              <w:pageBreakBefore w:val="0"/>
              <w:kinsoku/>
              <w:overflowPunct/>
              <w:topLinePunct w:val="0"/>
              <w:bidi w:val="0"/>
              <w:textAlignment w:val="auto"/>
              <w:outlineLvl w:val="9"/>
              <w:rPr>
                <w:sz w:val="18"/>
                <w:szCs w:val="18"/>
              </w:rPr>
            </w:pPr>
            <w:r>
              <w:rPr>
                <w:rFonts w:hint="eastAsia"/>
                <w:sz w:val="18"/>
                <w:szCs w:val="18"/>
              </w:rPr>
              <w:t>监理方</w:t>
            </w:r>
            <w:r>
              <w:rPr>
                <w:rFonts w:hint="eastAsia"/>
                <w:sz w:val="18"/>
                <w:szCs w:val="18"/>
                <w:lang w:val="en-US" w:eastAsia="zh-CN"/>
              </w:rPr>
              <w:t>代表</w:t>
            </w:r>
            <w:r>
              <w:rPr>
                <w:rFonts w:hint="eastAsia"/>
                <w:sz w:val="18"/>
                <w:szCs w:val="18"/>
              </w:rPr>
              <w:t>签字：</w:t>
            </w:r>
          </w:p>
          <w:p>
            <w:pPr>
              <w:keepNext w:val="0"/>
              <w:keepLines w:val="0"/>
              <w:pageBreakBefore w:val="0"/>
              <w:kinsoku/>
              <w:overflowPunct/>
              <w:topLinePunct w:val="0"/>
              <w:bidi w:val="0"/>
              <w:textAlignment w:val="auto"/>
              <w:outlineLvl w:val="9"/>
              <w:rPr>
                <w:sz w:val="18"/>
                <w:szCs w:val="18"/>
              </w:rPr>
            </w:pPr>
          </w:p>
          <w:p>
            <w:pPr>
              <w:keepNext w:val="0"/>
              <w:keepLines w:val="0"/>
              <w:pageBreakBefore w:val="0"/>
              <w:kinsoku/>
              <w:overflowPunct/>
              <w:topLinePunct w:val="0"/>
              <w:bidi w:val="0"/>
              <w:textAlignment w:val="auto"/>
              <w:outlineLvl w:val="9"/>
              <w:rPr>
                <w:sz w:val="18"/>
                <w:szCs w:val="18"/>
              </w:rPr>
            </w:pPr>
            <w:r>
              <w:rPr>
                <w:rFonts w:hint="eastAsia"/>
                <w:sz w:val="18"/>
                <w:szCs w:val="18"/>
              </w:rPr>
              <w:t>日      期：</w:t>
            </w:r>
          </w:p>
        </w:tc>
        <w:tc>
          <w:tcPr>
            <w:tcW w:w="3297" w:type="dxa"/>
            <w:gridSpan w:val="2"/>
            <w:tcBorders>
              <w:bottom w:val="thickThinLargeGap" w:color="auto" w:sz="24" w:space="0"/>
              <w:right w:val="thinThickLargeGap" w:color="auto" w:sz="24" w:space="0"/>
            </w:tcBorders>
            <w:vAlign w:val="center"/>
          </w:tcPr>
          <w:p>
            <w:pPr>
              <w:keepNext w:val="0"/>
              <w:keepLines w:val="0"/>
              <w:pageBreakBefore w:val="0"/>
              <w:kinsoku/>
              <w:overflowPunct/>
              <w:topLinePunct w:val="0"/>
              <w:bidi w:val="0"/>
              <w:textAlignment w:val="auto"/>
              <w:outlineLvl w:val="9"/>
              <w:rPr>
                <w:sz w:val="18"/>
                <w:szCs w:val="18"/>
              </w:rPr>
            </w:pPr>
            <w:r>
              <w:rPr>
                <w:rFonts w:hint="eastAsia"/>
                <w:sz w:val="18"/>
                <w:szCs w:val="18"/>
                <w:lang w:val="en-US" w:eastAsia="zh-CN"/>
              </w:rPr>
              <w:t>承包</w:t>
            </w:r>
            <w:r>
              <w:rPr>
                <w:rFonts w:hint="eastAsia"/>
                <w:sz w:val="18"/>
                <w:szCs w:val="18"/>
              </w:rPr>
              <w:t>方</w:t>
            </w:r>
            <w:r>
              <w:rPr>
                <w:rFonts w:hint="eastAsia"/>
                <w:sz w:val="18"/>
                <w:szCs w:val="18"/>
                <w:lang w:val="en-US" w:eastAsia="zh-CN"/>
              </w:rPr>
              <w:t>代表</w:t>
            </w:r>
            <w:r>
              <w:rPr>
                <w:rFonts w:hint="eastAsia"/>
                <w:sz w:val="18"/>
                <w:szCs w:val="18"/>
              </w:rPr>
              <w:t>签字：</w:t>
            </w:r>
          </w:p>
          <w:p>
            <w:pPr>
              <w:keepNext w:val="0"/>
              <w:keepLines w:val="0"/>
              <w:pageBreakBefore w:val="0"/>
              <w:kinsoku/>
              <w:overflowPunct/>
              <w:topLinePunct w:val="0"/>
              <w:bidi w:val="0"/>
              <w:textAlignment w:val="auto"/>
              <w:outlineLvl w:val="9"/>
              <w:rPr>
                <w:sz w:val="18"/>
                <w:szCs w:val="18"/>
              </w:rPr>
            </w:pPr>
          </w:p>
          <w:p>
            <w:pPr>
              <w:keepNext w:val="0"/>
              <w:keepLines w:val="0"/>
              <w:pageBreakBefore w:val="0"/>
              <w:kinsoku/>
              <w:overflowPunct/>
              <w:topLinePunct w:val="0"/>
              <w:bidi w:val="0"/>
              <w:textAlignment w:val="auto"/>
              <w:outlineLvl w:val="9"/>
              <w:rPr>
                <w:sz w:val="18"/>
                <w:szCs w:val="18"/>
              </w:rPr>
            </w:pPr>
            <w:r>
              <w:rPr>
                <w:rFonts w:hint="eastAsia"/>
                <w:sz w:val="18"/>
                <w:szCs w:val="18"/>
              </w:rPr>
              <w:t>日      期：</w:t>
            </w:r>
          </w:p>
        </w:tc>
      </w:tr>
    </w:tbl>
    <w:p>
      <w:pPr>
        <w:pStyle w:val="36"/>
        <w:keepNext w:val="0"/>
        <w:keepLines w:val="0"/>
        <w:pageBreakBefore w:val="0"/>
        <w:kinsoku/>
        <w:overflowPunct/>
        <w:topLinePunct w:val="0"/>
        <w:bidi w:val="0"/>
        <w:textAlignment w:val="auto"/>
        <w:outlineLvl w:val="9"/>
      </w:pPr>
    </w:p>
    <w:p>
      <w:pPr>
        <w:pStyle w:val="36"/>
        <w:keepNext w:val="0"/>
        <w:keepLines w:val="0"/>
        <w:pageBreakBefore w:val="0"/>
        <w:kinsoku/>
        <w:overflowPunct/>
        <w:topLinePunct w:val="0"/>
        <w:bidi w:val="0"/>
        <w:textAlignment w:val="auto"/>
        <w:outlineLvl w:val="9"/>
        <w:sectPr>
          <w:pgSz w:w="11906" w:h="16838"/>
          <w:pgMar w:top="1417" w:right="1134" w:bottom="1134" w:left="1418" w:header="1417" w:footer="1134" w:gutter="0"/>
          <w:cols w:space="425" w:num="1"/>
          <w:docGrid w:type="lines" w:linePitch="312" w:charSpace="0"/>
        </w:sectPr>
      </w:pPr>
    </w:p>
    <w:p>
      <w:pPr>
        <w:pStyle w:val="7"/>
        <w:keepNext w:val="0"/>
        <w:keepLines w:val="0"/>
        <w:pageBreakBefore w:val="0"/>
        <w:widowControl w:val="0"/>
        <w:kinsoku/>
        <w:wordWrap/>
        <w:overflowPunct/>
        <w:topLinePunct w:val="0"/>
        <w:autoSpaceDE/>
        <w:autoSpaceDN/>
        <w:bidi w:val="0"/>
        <w:adjustRightInd w:val="0"/>
        <w:snapToGrid w:val="0"/>
        <w:spacing w:before="567"/>
        <w:ind w:left="0" w:leftChars="0" w:firstLine="0" w:firstLineChars="0"/>
        <w:jc w:val="center"/>
        <w:textAlignment w:val="auto"/>
        <w:outlineLvl w:val="0"/>
        <w:rPr>
          <w:rFonts w:hint="eastAsia" w:ascii="黑体" w:hAnsi="黑体" w:eastAsia="黑体" w:cs="黑体"/>
          <w:sz w:val="21"/>
          <w:szCs w:val="21"/>
          <w:lang w:val="en-US" w:eastAsia="zh-CN"/>
        </w:rPr>
      </w:pPr>
      <w:bookmarkStart w:id="142" w:name="_Toc25620"/>
      <w:r>
        <w:rPr>
          <w:rFonts w:hint="eastAsia" w:ascii="黑体" w:hAnsi="黑体" w:eastAsia="黑体" w:cs="黑体"/>
          <w:sz w:val="21"/>
          <w:szCs w:val="21"/>
          <w:lang w:val="en-US" w:eastAsia="zh-CN"/>
        </w:rPr>
        <w:t>附  录  B</w:t>
      </w:r>
      <w:bookmarkEnd w:id="142"/>
    </w:p>
    <w:p>
      <w:pPr>
        <w:pStyle w:val="8"/>
        <w:keepNext w:val="0"/>
        <w:keepLines w:val="0"/>
        <w:pageBreakBefore w:val="0"/>
        <w:widowControl w:val="0"/>
        <w:kinsoku/>
        <w:wordWrap/>
        <w:overflowPunct/>
        <w:topLinePunct w:val="0"/>
        <w:autoSpaceDE/>
        <w:autoSpaceDN/>
        <w:bidi w:val="0"/>
        <w:snapToGrid w:val="0"/>
        <w:jc w:val="center"/>
        <w:textAlignment w:val="auto"/>
        <w:outlineLvl w:val="0"/>
        <w:rPr>
          <w:rFonts w:hint="eastAsia" w:ascii="黑体" w:hAnsi="黑体" w:eastAsia="黑体" w:cs="黑体"/>
          <w:sz w:val="21"/>
          <w:szCs w:val="21"/>
          <w:lang w:val="en-US" w:eastAsia="zh-CN"/>
        </w:rPr>
      </w:pPr>
      <w:bookmarkStart w:id="143" w:name="_Toc11819"/>
      <w:bookmarkStart w:id="144" w:name="_Toc12726"/>
      <w:r>
        <w:rPr>
          <w:rFonts w:hint="eastAsia" w:ascii="黑体" w:hAnsi="黑体" w:eastAsia="黑体" w:cs="黑体"/>
          <w:sz w:val="21"/>
          <w:szCs w:val="21"/>
          <w:lang w:val="en-US" w:eastAsia="zh-CN"/>
        </w:rPr>
        <w:t>（资料性）</w:t>
      </w:r>
      <w:bookmarkEnd w:id="143"/>
      <w:bookmarkEnd w:id="144"/>
    </w:p>
    <w:p>
      <w:pPr>
        <w:pStyle w:val="8"/>
        <w:keepNext w:val="0"/>
        <w:keepLines w:val="0"/>
        <w:pageBreakBefore w:val="0"/>
        <w:widowControl w:val="0"/>
        <w:kinsoku/>
        <w:wordWrap/>
        <w:overflowPunct/>
        <w:topLinePunct w:val="0"/>
        <w:autoSpaceDE/>
        <w:autoSpaceDN/>
        <w:bidi w:val="0"/>
        <w:adjustRightInd w:val="0"/>
        <w:snapToGrid w:val="0"/>
        <w:spacing w:after="283"/>
        <w:jc w:val="center"/>
        <w:textAlignment w:val="auto"/>
        <w:outlineLvl w:val="0"/>
        <w:rPr>
          <w:rFonts w:hint="default" w:ascii="黑体" w:hAnsi="黑体" w:eastAsia="黑体"/>
          <w:color w:val="000000"/>
          <w:sz w:val="21"/>
          <w:szCs w:val="21"/>
          <w:lang w:val="en-US" w:eastAsia="zh-CN"/>
        </w:rPr>
      </w:pPr>
      <w:bookmarkStart w:id="145" w:name="_Toc24173"/>
      <w:r>
        <w:rPr>
          <w:rFonts w:hint="eastAsia" w:ascii="黑体" w:hAnsi="黑体" w:eastAsia="黑体"/>
          <w:color w:val="000000"/>
          <w:sz w:val="21"/>
          <w:szCs w:val="21"/>
          <w:lang w:val="en-US" w:eastAsia="zh-CN"/>
        </w:rPr>
        <w:t>监理回退通知回复单</w:t>
      </w:r>
      <w:bookmarkEnd w:id="145"/>
    </w:p>
    <w:p>
      <w:pPr>
        <w:pStyle w:val="10"/>
        <w:keepNext w:val="0"/>
        <w:keepLines w:val="0"/>
        <w:pageBreakBefore w:val="0"/>
        <w:widowControl w:val="0"/>
        <w:kinsoku/>
        <w:wordWrap/>
        <w:overflowPunct/>
        <w:topLinePunct w:val="0"/>
        <w:autoSpaceDE/>
        <w:autoSpaceDN/>
        <w:bidi w:val="0"/>
        <w:adjustRightInd w:val="0"/>
        <w:snapToGrid w:val="0"/>
        <w:spacing w:line="240" w:lineRule="auto"/>
        <w:ind w:left="0" w:leftChars="0" w:firstLine="420" w:firstLineChars="200"/>
        <w:textAlignment w:val="auto"/>
        <w:outlineLvl w:val="9"/>
      </w:pPr>
      <w:r>
        <w:rPr>
          <w:rFonts w:hint="eastAsia"/>
          <w:lang w:val="en-US" w:eastAsia="zh-CN"/>
        </w:rPr>
        <w:t>监理回退通知回复单</w:t>
      </w:r>
      <w:r>
        <w:rPr>
          <w:rFonts w:hint="eastAsia"/>
          <w:lang w:eastAsia="zh-CN"/>
        </w:rPr>
        <w:t>见表</w:t>
      </w:r>
      <w:r>
        <w:rPr>
          <w:rFonts w:hint="eastAsia"/>
          <w:lang w:val="en-US" w:eastAsia="zh-CN"/>
        </w:rPr>
        <w:t>B.1。</w:t>
      </w:r>
    </w:p>
    <w:p>
      <w:pPr>
        <w:pStyle w:val="42"/>
        <w:keepNext w:val="0"/>
        <w:keepLines w:val="0"/>
        <w:pageBreakBefore w:val="0"/>
        <w:numPr>
          <w:ilvl w:val="0"/>
          <w:numId w:val="0"/>
        </w:numPr>
        <w:kinsoku/>
        <w:overflowPunct/>
        <w:topLinePunct w:val="0"/>
        <w:bidi w:val="0"/>
        <w:textAlignment w:val="auto"/>
        <w:outlineLvl w:val="9"/>
        <w:rPr>
          <w:rFonts w:hint="eastAsia"/>
          <w:lang w:val="en-US" w:eastAsia="zh-CN"/>
        </w:rPr>
      </w:pPr>
      <w:r>
        <w:rPr>
          <w:rFonts w:hint="eastAsia"/>
        </w:rPr>
        <w:t>表</w:t>
      </w:r>
      <w:r>
        <w:rPr>
          <w:rFonts w:hint="eastAsia"/>
          <w:lang w:val="en-US" w:eastAsia="zh-CN"/>
        </w:rPr>
        <w:t>B</w:t>
      </w:r>
      <w:r>
        <w:rPr>
          <w:rFonts w:hint="eastAsia"/>
        </w:rPr>
        <w:t>.1</w:t>
      </w:r>
      <w:r>
        <w:rPr>
          <w:rFonts w:hint="eastAsia"/>
          <w:lang w:val="en-US" w:eastAsia="zh-CN"/>
        </w:rPr>
        <w:t xml:space="preserve"> </w:t>
      </w:r>
      <w:r>
        <w:rPr>
          <w:rFonts w:hint="eastAsia"/>
        </w:rPr>
        <w:t xml:space="preserve"> </w:t>
      </w:r>
      <w:r>
        <w:rPr>
          <w:rFonts w:hint="eastAsia"/>
          <w:lang w:val="en-US" w:eastAsia="zh-CN"/>
        </w:rPr>
        <w:t>监理回退通知回复单</w:t>
      </w:r>
    </w:p>
    <w:p>
      <w:pPr>
        <w:keepNext w:val="0"/>
        <w:keepLines w:val="0"/>
        <w:pageBreakBefore w:val="0"/>
        <w:kinsoku/>
        <w:overflowPunct/>
        <w:topLinePunct w:val="0"/>
        <w:bidi w:val="0"/>
        <w:spacing w:before="156" w:beforeLines="50" w:line="240" w:lineRule="atLeast"/>
        <w:ind w:left="0" w:leftChars="0" w:firstLine="180" w:firstLineChars="100"/>
        <w:jc w:val="left"/>
        <w:textAlignment w:val="auto"/>
        <w:outlineLvl w:val="9"/>
        <w:rPr>
          <w:rFonts w:ascii="黑体" w:eastAsia="黑体"/>
          <w:bCs/>
          <w:sz w:val="18"/>
          <w:szCs w:val="18"/>
        </w:rPr>
      </w:pPr>
      <w:r>
        <w:rPr>
          <w:rFonts w:hint="eastAsia" w:ascii="黑体" w:hAnsi="黑体" w:eastAsia="黑体"/>
          <w:sz w:val="18"/>
          <w:szCs w:val="18"/>
        </w:rPr>
        <w:t xml:space="preserve">致：                                              </w:t>
      </w:r>
      <w:r>
        <w:rPr>
          <w:rFonts w:hint="eastAsia" w:ascii="黑体" w:hAnsi="黑体" w:eastAsia="黑体"/>
          <w:sz w:val="18"/>
          <w:szCs w:val="18"/>
          <w:lang w:val="en-US" w:eastAsia="zh-CN"/>
        </w:rPr>
        <w:t xml:space="preserve">                </w:t>
      </w:r>
      <w:r>
        <w:rPr>
          <w:rFonts w:hint="eastAsia" w:ascii="黑体" w:hAnsi="黑体" w:eastAsia="黑体"/>
          <w:bCs/>
          <w:sz w:val="18"/>
          <w:szCs w:val="18"/>
        </w:rPr>
        <w:t>编号：</w:t>
      </w:r>
    </w:p>
    <w:tbl>
      <w:tblPr>
        <w:tblStyle w:val="15"/>
        <w:tblW w:w="9073" w:type="dxa"/>
        <w:jc w:val="center"/>
        <w:tblBorders>
          <w:top w:val="thinThickLargeGap" w:color="auto" w:sz="24" w:space="0"/>
          <w:left w:val="thinThickLargeGap" w:color="auto" w:sz="24" w:space="0"/>
          <w:bottom w:val="thickThinLargeGap" w:color="auto" w:sz="24" w:space="0"/>
          <w:right w:val="thickThinLargeGap" w:color="auto" w:sz="24" w:space="0"/>
          <w:insideH w:val="single" w:color="auto" w:sz="6" w:space="0"/>
          <w:insideV w:val="single" w:color="auto" w:sz="6" w:space="0"/>
        </w:tblBorders>
        <w:tblLayout w:type="fixed"/>
        <w:tblCellMar>
          <w:top w:w="0" w:type="dxa"/>
          <w:left w:w="108" w:type="dxa"/>
          <w:bottom w:w="0" w:type="dxa"/>
          <w:right w:w="108" w:type="dxa"/>
        </w:tblCellMar>
      </w:tblPr>
      <w:tblGrid>
        <w:gridCol w:w="1116"/>
        <w:gridCol w:w="1418"/>
        <w:gridCol w:w="270"/>
        <w:gridCol w:w="849"/>
        <w:gridCol w:w="2123"/>
        <w:gridCol w:w="1126"/>
        <w:gridCol w:w="2171"/>
      </w:tblGrid>
      <w:tr>
        <w:tblPrEx>
          <w:tblBorders>
            <w:top w:val="thinThickLargeGap" w:color="auto" w:sz="24" w:space="0"/>
            <w:left w:val="thinThickLargeGap" w:color="auto" w:sz="24" w:space="0"/>
            <w:bottom w:val="thickThinLargeGap" w:color="auto" w:sz="24" w:space="0"/>
            <w:right w:val="thickThinLargeGap" w:color="auto" w:sz="24" w:space="0"/>
            <w:insideH w:val="single" w:color="auto" w:sz="6" w:space="0"/>
            <w:insideV w:val="single" w:color="auto" w:sz="6" w:space="0"/>
          </w:tblBorders>
          <w:tblCellMar>
            <w:top w:w="0" w:type="dxa"/>
            <w:left w:w="108" w:type="dxa"/>
            <w:bottom w:w="0" w:type="dxa"/>
            <w:right w:w="108" w:type="dxa"/>
          </w:tblCellMar>
        </w:tblPrEx>
        <w:trPr>
          <w:trHeight w:val="851" w:hRule="atLeast"/>
          <w:jc w:val="center"/>
        </w:trPr>
        <w:tc>
          <w:tcPr>
            <w:tcW w:w="1116" w:type="dxa"/>
            <w:tcBorders>
              <w:top w:val="thinThickLargeGap" w:color="auto" w:sz="24" w:space="0"/>
            </w:tcBorders>
            <w:vAlign w:val="center"/>
          </w:tcPr>
          <w:p>
            <w:pPr>
              <w:keepNext w:val="0"/>
              <w:keepLines w:val="0"/>
              <w:pageBreakBefore w:val="0"/>
              <w:kinsoku/>
              <w:overflowPunct/>
              <w:topLinePunct w:val="0"/>
              <w:bidi w:val="0"/>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项目名称</w:t>
            </w:r>
          </w:p>
        </w:tc>
        <w:tc>
          <w:tcPr>
            <w:tcW w:w="7957" w:type="dxa"/>
            <w:gridSpan w:val="6"/>
            <w:tcBorders>
              <w:top w:val="thinThickLargeGap" w:color="auto" w:sz="24" w:space="0"/>
              <w:bottom w:val="single" w:color="auto" w:sz="4" w:space="0"/>
              <w:right w:val="thinThickLargeGap" w:color="auto" w:sz="24" w:space="0"/>
            </w:tcBorders>
            <w:vAlign w:val="center"/>
          </w:tcPr>
          <w:p>
            <w:pPr>
              <w:keepNext w:val="0"/>
              <w:keepLines w:val="0"/>
              <w:pageBreakBefore w:val="0"/>
              <w:kinsoku/>
              <w:overflowPunct/>
              <w:topLinePunct w:val="0"/>
              <w:bidi w:val="0"/>
              <w:textAlignment w:val="auto"/>
              <w:outlineLvl w:val="9"/>
              <w:rPr>
                <w:rFonts w:hint="eastAsia" w:asciiTheme="minorEastAsia" w:hAnsiTheme="minorEastAsia" w:eastAsiaTheme="minorEastAsia" w:cstheme="minorEastAsia"/>
                <w:sz w:val="18"/>
                <w:szCs w:val="18"/>
              </w:rPr>
            </w:pPr>
          </w:p>
        </w:tc>
      </w:tr>
      <w:tr>
        <w:tblPrEx>
          <w:tblBorders>
            <w:top w:val="thinThickLargeGap" w:color="auto" w:sz="24" w:space="0"/>
            <w:left w:val="thinThickLargeGap" w:color="auto" w:sz="24" w:space="0"/>
            <w:bottom w:val="thickThinLargeGap" w:color="auto" w:sz="24" w:space="0"/>
            <w:right w:val="thickThinLargeGap" w:color="auto" w:sz="24" w:space="0"/>
            <w:insideH w:val="single" w:color="auto" w:sz="6" w:space="0"/>
            <w:insideV w:val="single" w:color="auto" w:sz="6" w:space="0"/>
          </w:tblBorders>
          <w:tblCellMar>
            <w:top w:w="0" w:type="dxa"/>
            <w:left w:w="108" w:type="dxa"/>
            <w:bottom w:w="0" w:type="dxa"/>
            <w:right w:w="108" w:type="dxa"/>
          </w:tblCellMar>
        </w:tblPrEx>
        <w:trPr>
          <w:trHeight w:val="851" w:hRule="atLeast"/>
          <w:jc w:val="center"/>
        </w:trPr>
        <w:tc>
          <w:tcPr>
            <w:tcW w:w="1116" w:type="dxa"/>
            <w:vAlign w:val="center"/>
          </w:tcPr>
          <w:p>
            <w:pPr>
              <w:keepNext w:val="0"/>
              <w:keepLines w:val="0"/>
              <w:pageBreakBefore w:val="0"/>
              <w:kinsoku/>
              <w:overflowPunct/>
              <w:topLinePunct w:val="0"/>
              <w:bidi w:val="0"/>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 xml:space="preserve">修改内容  </w:t>
            </w:r>
          </w:p>
        </w:tc>
        <w:tc>
          <w:tcPr>
            <w:tcW w:w="1418" w:type="dxa"/>
            <w:tcBorders>
              <w:top w:val="single" w:color="auto" w:sz="4" w:space="0"/>
              <w:right w:val="single" w:color="auto" w:sz="4" w:space="0"/>
            </w:tcBorders>
            <w:vAlign w:val="center"/>
          </w:tcPr>
          <w:p>
            <w:pPr>
              <w:keepNext w:val="0"/>
              <w:keepLines w:val="0"/>
              <w:pageBreakBefore w:val="0"/>
              <w:kinsoku/>
              <w:overflowPunct/>
              <w:topLinePunct w:val="0"/>
              <w:bidi w:val="0"/>
              <w:textAlignment w:val="auto"/>
              <w:outlineLvl w:val="9"/>
              <w:rPr>
                <w:rFonts w:hint="eastAsia" w:asciiTheme="minorEastAsia" w:hAnsiTheme="minorEastAsia" w:eastAsiaTheme="minorEastAsia" w:cstheme="minorEastAsia"/>
                <w:sz w:val="18"/>
                <w:szCs w:val="18"/>
              </w:rPr>
            </w:pPr>
          </w:p>
        </w:tc>
        <w:tc>
          <w:tcPr>
            <w:tcW w:w="1119" w:type="dxa"/>
            <w:gridSpan w:val="2"/>
            <w:tcBorders>
              <w:top w:val="single" w:color="auto" w:sz="4" w:space="0"/>
              <w:left w:val="single" w:color="auto" w:sz="4" w:space="0"/>
              <w:right w:val="single" w:color="auto" w:sz="4" w:space="0"/>
            </w:tcBorders>
            <w:vAlign w:val="center"/>
          </w:tcPr>
          <w:p>
            <w:pPr>
              <w:keepNext w:val="0"/>
              <w:keepLines w:val="0"/>
              <w:pageBreakBefore w:val="0"/>
              <w:kinsoku/>
              <w:overflowPunct/>
              <w:topLinePunct w:val="0"/>
              <w:bidi w:val="0"/>
              <w:textAlignment w:val="auto"/>
              <w:outlineLvl w:val="9"/>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sz w:val="18"/>
                <w:szCs w:val="18"/>
              </w:rPr>
              <w:t>修改批次</w:t>
            </w:r>
          </w:p>
        </w:tc>
        <w:tc>
          <w:tcPr>
            <w:tcW w:w="2123" w:type="dxa"/>
            <w:tcBorders>
              <w:top w:val="single" w:color="auto" w:sz="4" w:space="0"/>
              <w:left w:val="single" w:color="auto" w:sz="4" w:space="0"/>
              <w:right w:val="single" w:color="auto" w:sz="4" w:space="0"/>
            </w:tcBorders>
            <w:vAlign w:val="center"/>
          </w:tcPr>
          <w:p>
            <w:pPr>
              <w:keepNext w:val="0"/>
              <w:keepLines w:val="0"/>
              <w:pageBreakBefore w:val="0"/>
              <w:kinsoku/>
              <w:overflowPunct/>
              <w:topLinePunct w:val="0"/>
              <w:bidi w:val="0"/>
              <w:textAlignment w:val="auto"/>
              <w:outlineLvl w:val="9"/>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第 批次（第 次）</w:t>
            </w:r>
          </w:p>
        </w:tc>
        <w:tc>
          <w:tcPr>
            <w:tcW w:w="1126" w:type="dxa"/>
            <w:tcBorders>
              <w:top w:val="single" w:color="auto" w:sz="4" w:space="0"/>
              <w:left w:val="single" w:color="auto" w:sz="4" w:space="0"/>
              <w:right w:val="single" w:color="auto" w:sz="4" w:space="0"/>
            </w:tcBorders>
            <w:vAlign w:val="center"/>
          </w:tcPr>
          <w:p>
            <w:pPr>
              <w:keepNext w:val="0"/>
              <w:keepLines w:val="0"/>
              <w:pageBreakBefore w:val="0"/>
              <w:kinsoku/>
              <w:overflowPunct/>
              <w:topLinePunct w:val="0"/>
              <w:bidi w:val="0"/>
              <w:textAlignment w:val="auto"/>
              <w:outlineLvl w:val="9"/>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sz w:val="18"/>
                <w:szCs w:val="18"/>
              </w:rPr>
              <w:t>修改时间</w:t>
            </w:r>
          </w:p>
        </w:tc>
        <w:tc>
          <w:tcPr>
            <w:tcW w:w="2171" w:type="dxa"/>
            <w:tcBorders>
              <w:top w:val="single" w:color="auto" w:sz="4" w:space="0"/>
              <w:left w:val="single" w:color="auto" w:sz="4" w:space="0"/>
              <w:right w:val="thinThickLargeGap" w:color="auto" w:sz="24" w:space="0"/>
            </w:tcBorders>
            <w:vAlign w:val="center"/>
          </w:tcPr>
          <w:p>
            <w:pPr>
              <w:keepNext w:val="0"/>
              <w:keepLines w:val="0"/>
              <w:pageBreakBefore w:val="0"/>
              <w:kinsoku/>
              <w:overflowPunct/>
              <w:topLinePunct w:val="0"/>
              <w:bidi w:val="0"/>
              <w:textAlignment w:val="auto"/>
              <w:outlineLvl w:val="9"/>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年  月  日</w:t>
            </w:r>
          </w:p>
        </w:tc>
      </w:tr>
      <w:tr>
        <w:tblPrEx>
          <w:tblBorders>
            <w:top w:val="thinThickLargeGap" w:color="auto" w:sz="24" w:space="0"/>
            <w:left w:val="thinThickLargeGap" w:color="auto" w:sz="24" w:space="0"/>
            <w:bottom w:val="thickThinLargeGap" w:color="auto" w:sz="24" w:space="0"/>
            <w:right w:val="thickThinLargeGap" w:color="auto" w:sz="24" w:space="0"/>
            <w:insideH w:val="single" w:color="auto" w:sz="6" w:space="0"/>
            <w:insideV w:val="single" w:color="auto" w:sz="6" w:space="0"/>
          </w:tblBorders>
          <w:tblCellMar>
            <w:top w:w="0" w:type="dxa"/>
            <w:left w:w="108" w:type="dxa"/>
            <w:bottom w:w="0" w:type="dxa"/>
            <w:right w:w="108" w:type="dxa"/>
          </w:tblCellMar>
        </w:tblPrEx>
        <w:trPr>
          <w:trHeight w:val="3969" w:hRule="atLeast"/>
          <w:jc w:val="center"/>
        </w:trPr>
        <w:tc>
          <w:tcPr>
            <w:tcW w:w="1116" w:type="dxa"/>
            <w:tcBorders>
              <w:top w:val="single" w:color="auto" w:sz="4" w:space="0"/>
              <w:left w:val="thinThickLargeGap" w:color="auto" w:sz="24" w:space="0"/>
              <w:bottom w:val="single" w:color="auto" w:sz="4" w:space="0"/>
              <w:right w:val="single" w:color="auto" w:sz="4" w:space="0"/>
            </w:tcBorders>
            <w:vAlign w:val="center"/>
          </w:tcPr>
          <w:p>
            <w:pPr>
              <w:keepNext w:val="0"/>
              <w:keepLines w:val="0"/>
              <w:pageBreakBefore w:val="0"/>
              <w:kinsoku/>
              <w:overflowPunct/>
              <w:topLinePunct w:val="0"/>
              <w:bidi w:val="0"/>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修改内容描述</w:t>
            </w:r>
          </w:p>
        </w:tc>
        <w:tc>
          <w:tcPr>
            <w:tcW w:w="7957" w:type="dxa"/>
            <w:gridSpan w:val="6"/>
            <w:tcBorders>
              <w:top w:val="single" w:color="auto" w:sz="4" w:space="0"/>
              <w:left w:val="single" w:color="auto" w:sz="4" w:space="0"/>
              <w:bottom w:val="single" w:color="auto" w:sz="4" w:space="0"/>
              <w:right w:val="thinThickLargeGap" w:color="auto" w:sz="24" w:space="0"/>
            </w:tcBorders>
          </w:tcPr>
          <w:p>
            <w:pPr>
              <w:keepNext w:val="0"/>
              <w:keepLines w:val="0"/>
              <w:pageBreakBefore w:val="0"/>
              <w:kinsoku/>
              <w:overflowPunct/>
              <w:topLinePunct w:val="0"/>
              <w:bidi w:val="0"/>
              <w:ind w:firstLine="540" w:firstLineChars="300"/>
              <w:textAlignment w:val="auto"/>
              <w:outlineLvl w:val="9"/>
              <w:rPr>
                <w:rFonts w:hint="eastAsia" w:asciiTheme="minorEastAsia" w:hAnsiTheme="minorEastAsia" w:eastAsiaTheme="minorEastAsia" w:cstheme="minorEastAsia"/>
                <w:sz w:val="18"/>
                <w:szCs w:val="18"/>
              </w:rPr>
            </w:pPr>
          </w:p>
          <w:p>
            <w:pPr>
              <w:keepNext w:val="0"/>
              <w:keepLines w:val="0"/>
              <w:pageBreakBefore w:val="0"/>
              <w:kinsoku/>
              <w:overflowPunct/>
              <w:topLinePunct w:val="0"/>
              <w:bidi w:val="0"/>
              <w:ind w:firstLine="540" w:firstLineChars="300"/>
              <w:textAlignment w:val="auto"/>
              <w:outlineLvl w:val="9"/>
              <w:rPr>
                <w:rFonts w:hint="eastAsia" w:asciiTheme="minorEastAsia" w:hAnsiTheme="minorEastAsia" w:eastAsiaTheme="minorEastAsia" w:cstheme="minorEastAsia"/>
                <w:sz w:val="18"/>
                <w:szCs w:val="18"/>
              </w:rPr>
            </w:pPr>
          </w:p>
          <w:p>
            <w:pPr>
              <w:keepNext w:val="0"/>
              <w:keepLines w:val="0"/>
              <w:pageBreakBefore w:val="0"/>
              <w:kinsoku/>
              <w:overflowPunct/>
              <w:topLinePunct w:val="0"/>
              <w:bidi w:val="0"/>
              <w:ind w:firstLine="540" w:firstLineChars="300"/>
              <w:textAlignment w:val="auto"/>
              <w:outlineLvl w:val="9"/>
              <w:rPr>
                <w:rFonts w:hint="eastAsia" w:asciiTheme="minorEastAsia" w:hAnsiTheme="minorEastAsia" w:eastAsiaTheme="minorEastAsia" w:cstheme="minorEastAsia"/>
                <w:sz w:val="18"/>
                <w:szCs w:val="18"/>
              </w:rPr>
            </w:pPr>
          </w:p>
          <w:p>
            <w:pPr>
              <w:keepNext w:val="0"/>
              <w:keepLines w:val="0"/>
              <w:pageBreakBefore w:val="0"/>
              <w:kinsoku/>
              <w:overflowPunct/>
              <w:topLinePunct w:val="0"/>
              <w:bidi w:val="0"/>
              <w:ind w:firstLine="540" w:firstLineChars="300"/>
              <w:textAlignment w:val="auto"/>
              <w:outlineLvl w:val="9"/>
              <w:rPr>
                <w:rFonts w:hint="eastAsia" w:asciiTheme="minorEastAsia" w:hAnsiTheme="minorEastAsia" w:eastAsiaTheme="minorEastAsia" w:cstheme="minorEastAsia"/>
                <w:sz w:val="18"/>
                <w:szCs w:val="18"/>
              </w:rPr>
            </w:pPr>
          </w:p>
          <w:p>
            <w:pPr>
              <w:keepNext w:val="0"/>
              <w:keepLines w:val="0"/>
              <w:pageBreakBefore w:val="0"/>
              <w:kinsoku/>
              <w:overflowPunct/>
              <w:topLinePunct w:val="0"/>
              <w:bidi w:val="0"/>
              <w:ind w:firstLine="540" w:firstLineChars="300"/>
              <w:textAlignment w:val="auto"/>
              <w:outlineLvl w:val="9"/>
              <w:rPr>
                <w:rFonts w:hint="eastAsia" w:asciiTheme="minorEastAsia" w:hAnsiTheme="minorEastAsia" w:eastAsiaTheme="minorEastAsia" w:cstheme="minorEastAsia"/>
                <w:sz w:val="18"/>
                <w:szCs w:val="18"/>
              </w:rPr>
            </w:pPr>
          </w:p>
          <w:p>
            <w:pPr>
              <w:keepNext w:val="0"/>
              <w:keepLines w:val="0"/>
              <w:pageBreakBefore w:val="0"/>
              <w:kinsoku/>
              <w:overflowPunct/>
              <w:topLinePunct w:val="0"/>
              <w:bidi w:val="0"/>
              <w:ind w:firstLine="540" w:firstLineChars="300"/>
              <w:textAlignment w:val="auto"/>
              <w:outlineLvl w:val="9"/>
              <w:rPr>
                <w:rFonts w:hint="eastAsia" w:asciiTheme="minorEastAsia" w:hAnsiTheme="minorEastAsia" w:eastAsiaTheme="minorEastAsia" w:cstheme="minorEastAsia"/>
                <w:sz w:val="18"/>
                <w:szCs w:val="18"/>
              </w:rPr>
            </w:pPr>
          </w:p>
          <w:p>
            <w:pPr>
              <w:keepNext w:val="0"/>
              <w:keepLines w:val="0"/>
              <w:pageBreakBefore w:val="0"/>
              <w:kinsoku/>
              <w:overflowPunct/>
              <w:topLinePunct w:val="0"/>
              <w:bidi w:val="0"/>
              <w:ind w:firstLine="540" w:firstLineChars="300"/>
              <w:textAlignment w:val="auto"/>
              <w:outlineLvl w:val="9"/>
              <w:rPr>
                <w:rFonts w:hint="eastAsia" w:asciiTheme="minorEastAsia" w:hAnsiTheme="minorEastAsia" w:eastAsiaTheme="minorEastAsia" w:cstheme="minorEastAsia"/>
                <w:sz w:val="18"/>
                <w:szCs w:val="18"/>
              </w:rPr>
            </w:pPr>
          </w:p>
          <w:p>
            <w:pPr>
              <w:keepNext w:val="0"/>
              <w:keepLines w:val="0"/>
              <w:pageBreakBefore w:val="0"/>
              <w:kinsoku/>
              <w:overflowPunct/>
              <w:topLinePunct w:val="0"/>
              <w:bidi w:val="0"/>
              <w:ind w:firstLine="540" w:firstLineChars="300"/>
              <w:textAlignment w:val="auto"/>
              <w:outlineLvl w:val="9"/>
              <w:rPr>
                <w:rFonts w:hint="eastAsia" w:asciiTheme="minorEastAsia" w:hAnsiTheme="minorEastAsia" w:eastAsiaTheme="minorEastAsia" w:cstheme="minorEastAsia"/>
                <w:sz w:val="18"/>
                <w:szCs w:val="18"/>
              </w:rPr>
            </w:pPr>
          </w:p>
          <w:p>
            <w:pPr>
              <w:keepNext w:val="0"/>
              <w:keepLines w:val="0"/>
              <w:pageBreakBefore w:val="0"/>
              <w:kinsoku/>
              <w:overflowPunct/>
              <w:topLinePunct w:val="0"/>
              <w:bidi w:val="0"/>
              <w:ind w:firstLine="540" w:firstLineChars="300"/>
              <w:textAlignment w:val="auto"/>
              <w:outlineLvl w:val="9"/>
              <w:rPr>
                <w:rFonts w:hint="eastAsia" w:asciiTheme="minorEastAsia" w:hAnsiTheme="minorEastAsia" w:eastAsiaTheme="minorEastAsia" w:cstheme="minorEastAsia"/>
                <w:sz w:val="18"/>
                <w:szCs w:val="18"/>
              </w:rPr>
            </w:pPr>
          </w:p>
          <w:p>
            <w:pPr>
              <w:keepNext w:val="0"/>
              <w:keepLines w:val="0"/>
              <w:pageBreakBefore w:val="0"/>
              <w:kinsoku/>
              <w:overflowPunct/>
              <w:topLinePunct w:val="0"/>
              <w:bidi w:val="0"/>
              <w:textAlignment w:val="auto"/>
              <w:outlineLvl w:val="9"/>
              <w:rPr>
                <w:rFonts w:hint="eastAsia" w:asciiTheme="minorEastAsia" w:hAnsiTheme="minorEastAsia" w:eastAsiaTheme="minorEastAsia" w:cstheme="minorEastAsia"/>
                <w:sz w:val="18"/>
                <w:szCs w:val="18"/>
              </w:rPr>
            </w:pPr>
          </w:p>
        </w:tc>
      </w:tr>
      <w:tr>
        <w:tblPrEx>
          <w:tblBorders>
            <w:top w:val="thinThickLargeGap" w:color="auto" w:sz="24" w:space="0"/>
            <w:left w:val="thinThickLargeGap" w:color="auto" w:sz="24" w:space="0"/>
            <w:bottom w:val="thickThinLargeGap" w:color="auto" w:sz="24" w:space="0"/>
            <w:right w:val="thickThinLargeGap" w:color="auto" w:sz="24" w:space="0"/>
            <w:insideH w:val="single" w:color="auto" w:sz="6" w:space="0"/>
            <w:insideV w:val="single" w:color="auto" w:sz="6" w:space="0"/>
          </w:tblBorders>
          <w:tblCellMar>
            <w:top w:w="0" w:type="dxa"/>
            <w:left w:w="108" w:type="dxa"/>
            <w:bottom w:w="0" w:type="dxa"/>
            <w:right w:w="108" w:type="dxa"/>
          </w:tblCellMar>
        </w:tblPrEx>
        <w:trPr>
          <w:trHeight w:val="1415" w:hRule="atLeast"/>
          <w:jc w:val="center"/>
        </w:trPr>
        <w:tc>
          <w:tcPr>
            <w:tcW w:w="2804" w:type="dxa"/>
            <w:gridSpan w:val="3"/>
            <w:tcBorders>
              <w:bottom w:val="thickThinLargeGap" w:color="auto" w:sz="24" w:space="0"/>
              <w:right w:val="single" w:color="auto" w:sz="4" w:space="0"/>
            </w:tcBorders>
            <w:vAlign w:val="center"/>
          </w:tcPr>
          <w:p>
            <w:pPr>
              <w:keepNext w:val="0"/>
              <w:keepLines w:val="0"/>
              <w:pageBreakBefore w:val="0"/>
              <w:kinsoku/>
              <w:overflowPunct/>
              <w:topLinePunct w:val="0"/>
              <w:bidi w:val="0"/>
              <w:textAlignment w:val="auto"/>
              <w:outlineLvl w:val="9"/>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eastAsia="zh-CN"/>
              </w:rPr>
              <w:t>发包方</w:t>
            </w:r>
            <w:r>
              <w:rPr>
                <w:rFonts w:hint="eastAsia"/>
                <w:sz w:val="18"/>
                <w:szCs w:val="18"/>
                <w:lang w:val="en-US" w:eastAsia="zh-CN"/>
              </w:rPr>
              <w:t>代表</w:t>
            </w:r>
            <w:r>
              <w:rPr>
                <w:rFonts w:hint="eastAsia" w:asciiTheme="minorEastAsia" w:hAnsiTheme="minorEastAsia" w:eastAsiaTheme="minorEastAsia" w:cstheme="minorEastAsia"/>
                <w:sz w:val="18"/>
                <w:szCs w:val="18"/>
              </w:rPr>
              <w:t>签字：</w:t>
            </w:r>
          </w:p>
          <w:p>
            <w:pPr>
              <w:keepNext w:val="0"/>
              <w:keepLines w:val="0"/>
              <w:pageBreakBefore w:val="0"/>
              <w:kinsoku/>
              <w:overflowPunct/>
              <w:topLinePunct w:val="0"/>
              <w:bidi w:val="0"/>
              <w:textAlignment w:val="auto"/>
              <w:outlineLvl w:val="9"/>
              <w:rPr>
                <w:rFonts w:hint="eastAsia" w:asciiTheme="minorEastAsia" w:hAnsiTheme="minorEastAsia" w:eastAsiaTheme="minorEastAsia" w:cstheme="minorEastAsia"/>
                <w:sz w:val="18"/>
                <w:szCs w:val="18"/>
              </w:rPr>
            </w:pPr>
          </w:p>
          <w:p>
            <w:pPr>
              <w:keepNext w:val="0"/>
              <w:keepLines w:val="0"/>
              <w:pageBreakBefore w:val="0"/>
              <w:kinsoku/>
              <w:overflowPunct/>
              <w:topLinePunct w:val="0"/>
              <w:bidi w:val="0"/>
              <w:textAlignment w:val="auto"/>
              <w:outlineLvl w:val="9"/>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日      期：</w:t>
            </w:r>
          </w:p>
        </w:tc>
        <w:tc>
          <w:tcPr>
            <w:tcW w:w="2972" w:type="dxa"/>
            <w:gridSpan w:val="2"/>
            <w:tcBorders>
              <w:left w:val="single" w:color="auto" w:sz="4" w:space="0"/>
              <w:bottom w:val="thickThinLargeGap" w:color="auto" w:sz="24" w:space="0"/>
            </w:tcBorders>
            <w:vAlign w:val="center"/>
          </w:tcPr>
          <w:p>
            <w:pPr>
              <w:keepNext w:val="0"/>
              <w:keepLines w:val="0"/>
              <w:pageBreakBefore w:val="0"/>
              <w:kinsoku/>
              <w:overflowPunct/>
              <w:topLinePunct w:val="0"/>
              <w:bidi w:val="0"/>
              <w:textAlignment w:val="auto"/>
              <w:outlineLvl w:val="9"/>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监理方</w:t>
            </w:r>
            <w:r>
              <w:rPr>
                <w:rFonts w:hint="eastAsia"/>
                <w:sz w:val="18"/>
                <w:szCs w:val="18"/>
                <w:lang w:val="en-US" w:eastAsia="zh-CN"/>
              </w:rPr>
              <w:t>代表</w:t>
            </w:r>
            <w:r>
              <w:rPr>
                <w:rFonts w:hint="eastAsia" w:asciiTheme="minorEastAsia" w:hAnsiTheme="minorEastAsia" w:eastAsiaTheme="minorEastAsia" w:cstheme="minorEastAsia"/>
                <w:sz w:val="18"/>
                <w:szCs w:val="18"/>
              </w:rPr>
              <w:t>签字：</w:t>
            </w:r>
          </w:p>
          <w:p>
            <w:pPr>
              <w:keepNext w:val="0"/>
              <w:keepLines w:val="0"/>
              <w:pageBreakBefore w:val="0"/>
              <w:kinsoku/>
              <w:overflowPunct/>
              <w:topLinePunct w:val="0"/>
              <w:bidi w:val="0"/>
              <w:textAlignment w:val="auto"/>
              <w:outlineLvl w:val="9"/>
              <w:rPr>
                <w:rFonts w:hint="eastAsia" w:asciiTheme="minorEastAsia" w:hAnsiTheme="minorEastAsia" w:eastAsiaTheme="minorEastAsia" w:cstheme="minorEastAsia"/>
                <w:sz w:val="18"/>
                <w:szCs w:val="18"/>
              </w:rPr>
            </w:pPr>
          </w:p>
          <w:p>
            <w:pPr>
              <w:keepNext w:val="0"/>
              <w:keepLines w:val="0"/>
              <w:pageBreakBefore w:val="0"/>
              <w:kinsoku/>
              <w:overflowPunct/>
              <w:topLinePunct w:val="0"/>
              <w:bidi w:val="0"/>
              <w:textAlignment w:val="auto"/>
              <w:outlineLvl w:val="9"/>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日      期：</w:t>
            </w:r>
          </w:p>
        </w:tc>
        <w:tc>
          <w:tcPr>
            <w:tcW w:w="3297" w:type="dxa"/>
            <w:gridSpan w:val="2"/>
            <w:tcBorders>
              <w:bottom w:val="thickThinLargeGap" w:color="auto" w:sz="24" w:space="0"/>
              <w:right w:val="thinThickLargeGap" w:color="auto" w:sz="24" w:space="0"/>
            </w:tcBorders>
            <w:vAlign w:val="center"/>
          </w:tcPr>
          <w:p>
            <w:pPr>
              <w:keepNext w:val="0"/>
              <w:keepLines w:val="0"/>
              <w:pageBreakBefore w:val="0"/>
              <w:kinsoku/>
              <w:overflowPunct/>
              <w:topLinePunct w:val="0"/>
              <w:bidi w:val="0"/>
              <w:textAlignment w:val="auto"/>
              <w:outlineLvl w:val="9"/>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eastAsia="zh-CN"/>
              </w:rPr>
              <w:t>承包方</w:t>
            </w:r>
            <w:r>
              <w:rPr>
                <w:rFonts w:hint="eastAsia"/>
                <w:sz w:val="18"/>
                <w:szCs w:val="18"/>
                <w:lang w:val="en-US" w:eastAsia="zh-CN"/>
              </w:rPr>
              <w:t>代表</w:t>
            </w:r>
            <w:r>
              <w:rPr>
                <w:rFonts w:hint="eastAsia" w:asciiTheme="minorEastAsia" w:hAnsiTheme="minorEastAsia" w:eastAsiaTheme="minorEastAsia" w:cstheme="minorEastAsia"/>
                <w:sz w:val="18"/>
                <w:szCs w:val="18"/>
              </w:rPr>
              <w:t>签字：</w:t>
            </w:r>
          </w:p>
          <w:p>
            <w:pPr>
              <w:keepNext w:val="0"/>
              <w:keepLines w:val="0"/>
              <w:pageBreakBefore w:val="0"/>
              <w:kinsoku/>
              <w:overflowPunct/>
              <w:topLinePunct w:val="0"/>
              <w:bidi w:val="0"/>
              <w:textAlignment w:val="auto"/>
              <w:outlineLvl w:val="9"/>
              <w:rPr>
                <w:rFonts w:hint="eastAsia" w:asciiTheme="minorEastAsia" w:hAnsiTheme="minorEastAsia" w:eastAsiaTheme="minorEastAsia" w:cstheme="minorEastAsia"/>
                <w:sz w:val="18"/>
                <w:szCs w:val="18"/>
              </w:rPr>
            </w:pPr>
          </w:p>
          <w:p>
            <w:pPr>
              <w:keepNext w:val="0"/>
              <w:keepLines w:val="0"/>
              <w:pageBreakBefore w:val="0"/>
              <w:kinsoku/>
              <w:overflowPunct/>
              <w:topLinePunct w:val="0"/>
              <w:bidi w:val="0"/>
              <w:textAlignment w:val="auto"/>
              <w:outlineLvl w:val="9"/>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日      期：</w:t>
            </w:r>
          </w:p>
        </w:tc>
      </w:tr>
    </w:tbl>
    <w:p>
      <w:pPr>
        <w:pStyle w:val="40"/>
        <w:keepNext w:val="0"/>
        <w:keepLines w:val="0"/>
        <w:pageBreakBefore w:val="0"/>
        <w:numPr>
          <w:ilvl w:val="1"/>
          <w:numId w:val="0"/>
        </w:numPr>
        <w:kinsoku/>
        <w:overflowPunct/>
        <w:topLinePunct w:val="0"/>
        <w:bidi w:val="0"/>
        <w:spacing w:before="156" w:after="156"/>
        <w:textAlignment w:val="auto"/>
        <w:outlineLvl w:val="9"/>
        <w:rPr>
          <w:rFonts w:ascii="黑体" w:hAnsi="黑体" w:eastAsia="黑体"/>
        </w:rPr>
        <w:sectPr>
          <w:footerReference r:id="rId22" w:type="default"/>
          <w:footerReference r:id="rId23" w:type="even"/>
          <w:pgSz w:w="11906" w:h="16838"/>
          <w:pgMar w:top="1417" w:right="1134" w:bottom="1134" w:left="1418" w:header="1417" w:footer="1134" w:gutter="0"/>
          <w:pgNumType w:fmt="decimal"/>
          <w:cols w:space="425" w:num="1"/>
          <w:docGrid w:type="lines" w:linePitch="312" w:charSpace="0"/>
        </w:sectPr>
      </w:pPr>
    </w:p>
    <w:p>
      <w:pPr>
        <w:pStyle w:val="7"/>
        <w:keepNext w:val="0"/>
        <w:keepLines w:val="0"/>
        <w:pageBreakBefore w:val="0"/>
        <w:widowControl w:val="0"/>
        <w:kinsoku/>
        <w:wordWrap/>
        <w:overflowPunct/>
        <w:topLinePunct w:val="0"/>
        <w:autoSpaceDE/>
        <w:autoSpaceDN/>
        <w:bidi w:val="0"/>
        <w:adjustRightInd w:val="0"/>
        <w:snapToGrid w:val="0"/>
        <w:spacing w:before="567"/>
        <w:ind w:left="0" w:leftChars="0" w:firstLine="0" w:firstLineChars="0"/>
        <w:jc w:val="center"/>
        <w:textAlignment w:val="auto"/>
        <w:outlineLvl w:val="0"/>
        <w:rPr>
          <w:rFonts w:hint="default" w:ascii="黑体" w:hAnsi="黑体" w:eastAsia="黑体" w:cs="黑体"/>
          <w:sz w:val="21"/>
          <w:szCs w:val="21"/>
          <w:lang w:val="en-US" w:eastAsia="zh-CN"/>
        </w:rPr>
      </w:pPr>
      <w:bookmarkStart w:id="146" w:name="_Toc10183"/>
      <w:r>
        <w:rPr>
          <w:rFonts w:hint="eastAsia" w:ascii="黑体" w:hAnsi="黑体" w:eastAsia="黑体" w:cs="黑体"/>
          <w:sz w:val="21"/>
          <w:szCs w:val="21"/>
          <w:lang w:val="en-US" w:eastAsia="zh-CN"/>
        </w:rPr>
        <w:t>附  录  C</w:t>
      </w:r>
      <w:bookmarkEnd w:id="146"/>
    </w:p>
    <w:p>
      <w:pPr>
        <w:pStyle w:val="8"/>
        <w:keepNext w:val="0"/>
        <w:keepLines w:val="0"/>
        <w:pageBreakBefore w:val="0"/>
        <w:widowControl w:val="0"/>
        <w:kinsoku/>
        <w:wordWrap/>
        <w:overflowPunct/>
        <w:topLinePunct w:val="0"/>
        <w:autoSpaceDE/>
        <w:autoSpaceDN/>
        <w:bidi w:val="0"/>
        <w:snapToGrid w:val="0"/>
        <w:jc w:val="center"/>
        <w:textAlignment w:val="auto"/>
        <w:outlineLvl w:val="0"/>
        <w:rPr>
          <w:rFonts w:hint="eastAsia" w:ascii="黑体" w:hAnsi="黑体" w:eastAsia="黑体" w:cs="黑体"/>
          <w:sz w:val="21"/>
          <w:szCs w:val="21"/>
          <w:lang w:val="en-US" w:eastAsia="zh-CN"/>
        </w:rPr>
      </w:pPr>
      <w:bookmarkStart w:id="147" w:name="_Toc27724"/>
      <w:r>
        <w:rPr>
          <w:rFonts w:hint="eastAsia" w:ascii="黑体" w:hAnsi="黑体" w:eastAsia="黑体" w:cs="黑体"/>
          <w:sz w:val="21"/>
          <w:szCs w:val="21"/>
          <w:lang w:val="en-US" w:eastAsia="zh-CN"/>
        </w:rPr>
        <w:t>（资料性）</w:t>
      </w:r>
      <w:bookmarkEnd w:id="147"/>
    </w:p>
    <w:p>
      <w:pPr>
        <w:pStyle w:val="8"/>
        <w:keepNext w:val="0"/>
        <w:keepLines w:val="0"/>
        <w:pageBreakBefore w:val="0"/>
        <w:widowControl w:val="0"/>
        <w:kinsoku/>
        <w:wordWrap/>
        <w:overflowPunct/>
        <w:topLinePunct w:val="0"/>
        <w:autoSpaceDE/>
        <w:autoSpaceDN/>
        <w:bidi w:val="0"/>
        <w:adjustRightInd w:val="0"/>
        <w:snapToGrid w:val="0"/>
        <w:spacing w:after="283"/>
        <w:jc w:val="center"/>
        <w:textAlignment w:val="auto"/>
        <w:outlineLvl w:val="0"/>
        <w:rPr>
          <w:rFonts w:hint="default" w:ascii="黑体" w:hAnsi="黑体" w:eastAsia="黑体"/>
          <w:color w:val="000000"/>
          <w:sz w:val="21"/>
          <w:szCs w:val="21"/>
          <w:lang w:val="en-US" w:eastAsia="zh-CN"/>
        </w:rPr>
      </w:pPr>
      <w:bookmarkStart w:id="148" w:name="_Toc28724"/>
      <w:r>
        <w:rPr>
          <w:rFonts w:hint="eastAsia" w:ascii="黑体" w:hAnsi="黑体" w:eastAsia="黑体"/>
          <w:color w:val="000000"/>
          <w:sz w:val="21"/>
          <w:szCs w:val="21"/>
          <w:lang w:val="en-US" w:eastAsia="zh-CN"/>
        </w:rPr>
        <w:t>回退问题修改反馈表</w:t>
      </w:r>
      <w:bookmarkEnd w:id="148"/>
    </w:p>
    <w:p>
      <w:pPr>
        <w:pStyle w:val="10"/>
        <w:keepNext w:val="0"/>
        <w:keepLines w:val="0"/>
        <w:pageBreakBefore w:val="0"/>
        <w:widowControl w:val="0"/>
        <w:kinsoku/>
        <w:wordWrap/>
        <w:overflowPunct/>
        <w:topLinePunct w:val="0"/>
        <w:autoSpaceDE/>
        <w:autoSpaceDN/>
        <w:bidi w:val="0"/>
        <w:adjustRightInd w:val="0"/>
        <w:snapToGrid w:val="0"/>
        <w:spacing w:line="240" w:lineRule="auto"/>
        <w:ind w:left="0" w:leftChars="0" w:firstLine="420" w:firstLineChars="200"/>
        <w:textAlignment w:val="auto"/>
        <w:outlineLvl w:val="9"/>
      </w:pPr>
      <w:r>
        <w:rPr>
          <w:rFonts w:hint="eastAsia"/>
          <w:lang w:val="en-US" w:eastAsia="zh-CN"/>
        </w:rPr>
        <w:t>回退问题修改反馈表</w:t>
      </w:r>
      <w:r>
        <w:rPr>
          <w:rFonts w:hint="eastAsia"/>
          <w:lang w:eastAsia="zh-CN"/>
        </w:rPr>
        <w:t>见表</w:t>
      </w:r>
      <w:r>
        <w:rPr>
          <w:rFonts w:hint="eastAsia"/>
          <w:lang w:val="en-US" w:eastAsia="zh-CN"/>
        </w:rPr>
        <w:t>C.1。</w:t>
      </w:r>
    </w:p>
    <w:p>
      <w:pPr>
        <w:pStyle w:val="42"/>
        <w:keepNext w:val="0"/>
        <w:keepLines w:val="0"/>
        <w:pageBreakBefore w:val="0"/>
        <w:numPr>
          <w:ilvl w:val="0"/>
          <w:numId w:val="0"/>
        </w:numPr>
        <w:kinsoku/>
        <w:overflowPunct/>
        <w:topLinePunct w:val="0"/>
        <w:bidi w:val="0"/>
        <w:textAlignment w:val="auto"/>
        <w:outlineLvl w:val="9"/>
        <w:rPr>
          <w:rFonts w:ascii="黑体" w:hAnsi="黑体" w:eastAsia="黑体"/>
        </w:rPr>
      </w:pPr>
      <w:r>
        <w:rPr>
          <w:rFonts w:hint="eastAsia"/>
        </w:rPr>
        <w:t>表</w:t>
      </w:r>
      <w:r>
        <w:rPr>
          <w:rFonts w:hint="eastAsia"/>
          <w:lang w:val="en-US" w:eastAsia="zh-CN"/>
        </w:rPr>
        <w:t>C</w:t>
      </w:r>
      <w:r>
        <w:rPr>
          <w:rFonts w:hint="eastAsia"/>
        </w:rPr>
        <w:t>.1</w:t>
      </w:r>
      <w:r>
        <w:rPr>
          <w:rFonts w:hint="eastAsia"/>
          <w:lang w:val="en-US" w:eastAsia="zh-CN"/>
        </w:rPr>
        <w:t xml:space="preserve"> </w:t>
      </w:r>
      <w:r>
        <w:rPr>
          <w:rFonts w:hint="eastAsia"/>
        </w:rPr>
        <w:t xml:space="preserve"> </w:t>
      </w:r>
      <w:r>
        <w:rPr>
          <w:rFonts w:hint="eastAsia"/>
          <w:lang w:val="en-US" w:eastAsia="zh-CN"/>
        </w:rPr>
        <w:t>回退问题修改反馈表</w:t>
      </w:r>
    </w:p>
    <w:tbl>
      <w:tblPr>
        <w:tblStyle w:val="16"/>
        <w:tblW w:w="0" w:type="auto"/>
        <w:tblInd w:w="4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9"/>
        <w:gridCol w:w="1650"/>
        <w:gridCol w:w="2782"/>
        <w:gridCol w:w="1172"/>
        <w:gridCol w:w="14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9" w:type="dxa"/>
            <w:vAlign w:val="top"/>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kern w:val="2"/>
                <w:sz w:val="18"/>
                <w:szCs w:val="18"/>
                <w:lang w:val="en-US" w:eastAsia="zh-CN" w:bidi="ar-SA"/>
              </w:rPr>
            </w:pPr>
            <w:r>
              <w:rPr>
                <w:rFonts w:hint="eastAsia" w:asciiTheme="minorEastAsia" w:hAnsiTheme="minorEastAsia" w:eastAsiaTheme="minorEastAsia" w:cstheme="minorEastAsia"/>
                <w:b/>
                <w:sz w:val="18"/>
                <w:szCs w:val="18"/>
              </w:rPr>
              <w:t>序号</w:t>
            </w:r>
          </w:p>
        </w:tc>
        <w:tc>
          <w:tcPr>
            <w:tcW w:w="1650" w:type="dxa"/>
            <w:vAlign w:val="top"/>
          </w:tcPr>
          <w:p>
            <w:pPr>
              <w:keepNext w:val="0"/>
              <w:keepLines w:val="0"/>
              <w:pageBreakBefore w:val="0"/>
              <w:kinsoku/>
              <w:overflowPunct/>
              <w:topLinePunct w:val="0"/>
              <w:bidi w:val="0"/>
              <w:spacing w:line="440" w:lineRule="exact"/>
              <w:jc w:val="center"/>
              <w:textAlignment w:val="auto"/>
              <w:outlineLvl w:val="9"/>
              <w:rPr>
                <w:rFonts w:hint="default" w:asciiTheme="minorEastAsia" w:hAnsiTheme="minorEastAsia" w:eastAsiaTheme="minorEastAsia" w:cstheme="minorEastAsia"/>
                <w:b/>
                <w:kern w:val="2"/>
                <w:sz w:val="18"/>
                <w:szCs w:val="18"/>
                <w:lang w:val="en-US" w:eastAsia="zh-CN" w:bidi="ar-SA"/>
              </w:rPr>
            </w:pPr>
            <w:r>
              <w:rPr>
                <w:rFonts w:hint="eastAsia" w:asciiTheme="minorEastAsia" w:hAnsiTheme="minorEastAsia" w:eastAsiaTheme="minorEastAsia" w:cstheme="minorEastAsia"/>
                <w:b/>
                <w:sz w:val="18"/>
                <w:szCs w:val="18"/>
              </w:rPr>
              <w:t>档号</w:t>
            </w:r>
            <w:r>
              <w:rPr>
                <w:rFonts w:hint="eastAsia" w:asciiTheme="minorEastAsia" w:hAnsiTheme="minorEastAsia" w:eastAsiaTheme="minorEastAsia" w:cstheme="minorEastAsia"/>
                <w:b/>
                <w:sz w:val="18"/>
                <w:szCs w:val="18"/>
                <w:lang w:val="en-US" w:eastAsia="zh-CN"/>
              </w:rPr>
              <w:t>/文件名</w:t>
            </w:r>
          </w:p>
        </w:tc>
        <w:tc>
          <w:tcPr>
            <w:tcW w:w="3954" w:type="dxa"/>
            <w:gridSpan w:val="2"/>
            <w:vAlign w:val="top"/>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kern w:val="2"/>
                <w:sz w:val="18"/>
                <w:szCs w:val="18"/>
                <w:lang w:val="en-US" w:eastAsia="zh-CN" w:bidi="ar-SA"/>
              </w:rPr>
            </w:pPr>
            <w:r>
              <w:rPr>
                <w:rFonts w:hint="eastAsia" w:asciiTheme="minorEastAsia" w:hAnsiTheme="minorEastAsia" w:eastAsiaTheme="minorEastAsia" w:cstheme="minorEastAsia"/>
                <w:b/>
                <w:sz w:val="18"/>
                <w:szCs w:val="18"/>
              </w:rPr>
              <w:t>问题描述</w:t>
            </w:r>
          </w:p>
        </w:tc>
        <w:tc>
          <w:tcPr>
            <w:tcW w:w="1405" w:type="dxa"/>
            <w:vAlign w:val="top"/>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kern w:val="2"/>
                <w:sz w:val="18"/>
                <w:szCs w:val="18"/>
                <w:lang w:val="en-US" w:eastAsia="zh-CN" w:bidi="ar-SA"/>
              </w:rPr>
            </w:pPr>
            <w:r>
              <w:rPr>
                <w:rFonts w:hint="eastAsia" w:asciiTheme="minorEastAsia" w:hAnsiTheme="minorEastAsia" w:eastAsiaTheme="minorEastAsia" w:cstheme="minorEastAsia"/>
                <w:b/>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lang w:val="en-US" w:eastAsia="zh-CN"/>
              </w:rPr>
            </w:pPr>
            <w:r>
              <w:rPr>
                <w:rFonts w:hint="eastAsia" w:asciiTheme="minorEastAsia" w:hAnsiTheme="minorEastAsia" w:eastAsiaTheme="minorEastAsia" w:cstheme="minorEastAsia"/>
                <w:b/>
                <w:sz w:val="18"/>
                <w:szCs w:val="18"/>
                <w:lang w:val="en-US" w:eastAsia="zh-CN"/>
              </w:rPr>
              <w:t>1</w:t>
            </w:r>
          </w:p>
        </w:tc>
        <w:tc>
          <w:tcPr>
            <w:tcW w:w="1650"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3954" w:type="dxa"/>
            <w:gridSpan w:val="2"/>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1405"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lang w:val="en-US" w:eastAsia="zh-CN"/>
              </w:rPr>
            </w:pPr>
            <w:r>
              <w:rPr>
                <w:rFonts w:hint="eastAsia" w:asciiTheme="minorEastAsia" w:hAnsiTheme="minorEastAsia" w:eastAsiaTheme="minorEastAsia" w:cstheme="minorEastAsia"/>
                <w:b/>
                <w:sz w:val="18"/>
                <w:szCs w:val="18"/>
                <w:lang w:val="en-US" w:eastAsia="zh-CN"/>
              </w:rPr>
              <w:t>2</w:t>
            </w:r>
          </w:p>
        </w:tc>
        <w:tc>
          <w:tcPr>
            <w:tcW w:w="1650"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3954" w:type="dxa"/>
            <w:gridSpan w:val="2"/>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1405"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5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lang w:val="en-US" w:eastAsia="zh-CN"/>
              </w:rPr>
            </w:pPr>
            <w:r>
              <w:rPr>
                <w:rFonts w:hint="eastAsia" w:asciiTheme="minorEastAsia" w:hAnsiTheme="minorEastAsia" w:eastAsiaTheme="minorEastAsia" w:cstheme="minorEastAsia"/>
                <w:b/>
                <w:sz w:val="18"/>
                <w:szCs w:val="18"/>
                <w:lang w:val="en-US" w:eastAsia="zh-CN"/>
              </w:rPr>
              <w:t>3</w:t>
            </w:r>
          </w:p>
        </w:tc>
        <w:tc>
          <w:tcPr>
            <w:tcW w:w="1650"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3954" w:type="dxa"/>
            <w:gridSpan w:val="2"/>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1405"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lang w:val="en-US" w:eastAsia="zh-CN"/>
              </w:rPr>
            </w:pPr>
            <w:r>
              <w:rPr>
                <w:rFonts w:hint="eastAsia" w:asciiTheme="minorEastAsia" w:hAnsiTheme="minorEastAsia" w:eastAsiaTheme="minorEastAsia" w:cstheme="minorEastAsia"/>
                <w:b/>
                <w:sz w:val="18"/>
                <w:szCs w:val="18"/>
                <w:lang w:val="en-US" w:eastAsia="zh-CN"/>
              </w:rPr>
              <w:t>4</w:t>
            </w:r>
          </w:p>
        </w:tc>
        <w:tc>
          <w:tcPr>
            <w:tcW w:w="1650"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3954" w:type="dxa"/>
            <w:gridSpan w:val="2"/>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1405"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lang w:val="en-US" w:eastAsia="zh-CN"/>
              </w:rPr>
            </w:pPr>
            <w:r>
              <w:rPr>
                <w:rFonts w:hint="eastAsia" w:asciiTheme="minorEastAsia" w:hAnsiTheme="minorEastAsia" w:eastAsiaTheme="minorEastAsia" w:cstheme="minorEastAsia"/>
                <w:b/>
                <w:sz w:val="18"/>
                <w:szCs w:val="18"/>
                <w:lang w:val="en-US" w:eastAsia="zh-CN"/>
              </w:rPr>
              <w:t>5</w:t>
            </w:r>
          </w:p>
        </w:tc>
        <w:tc>
          <w:tcPr>
            <w:tcW w:w="1650"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3954" w:type="dxa"/>
            <w:gridSpan w:val="2"/>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1405"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9" w:type="dxa"/>
          </w:tcPr>
          <w:p>
            <w:pPr>
              <w:keepNext w:val="0"/>
              <w:keepLines w:val="0"/>
              <w:pageBreakBefore w:val="0"/>
              <w:kinsoku/>
              <w:overflowPunct/>
              <w:topLinePunct w:val="0"/>
              <w:bidi w:val="0"/>
              <w:spacing w:line="440" w:lineRule="exact"/>
              <w:jc w:val="center"/>
              <w:textAlignment w:val="auto"/>
              <w:outlineLvl w:val="9"/>
              <w:rPr>
                <w:rFonts w:hint="default" w:asciiTheme="minorEastAsia" w:hAnsiTheme="minorEastAsia" w:eastAsiaTheme="minorEastAsia" w:cstheme="minorEastAsia"/>
                <w:b/>
                <w:sz w:val="18"/>
                <w:szCs w:val="18"/>
                <w:lang w:val="en-US" w:eastAsia="zh-CN"/>
              </w:rPr>
            </w:pPr>
            <w:r>
              <w:rPr>
                <w:rFonts w:hint="eastAsia" w:asciiTheme="minorEastAsia" w:hAnsiTheme="minorEastAsia" w:eastAsiaTheme="minorEastAsia" w:cstheme="minorEastAsia"/>
                <w:b/>
                <w:sz w:val="18"/>
                <w:szCs w:val="18"/>
                <w:lang w:val="en-US" w:eastAsia="zh-CN"/>
              </w:rPr>
              <w:t>6</w:t>
            </w:r>
          </w:p>
        </w:tc>
        <w:tc>
          <w:tcPr>
            <w:tcW w:w="1650"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3954" w:type="dxa"/>
            <w:gridSpan w:val="2"/>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1405"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59" w:type="dxa"/>
          </w:tcPr>
          <w:p>
            <w:pPr>
              <w:keepNext w:val="0"/>
              <w:keepLines w:val="0"/>
              <w:pageBreakBefore w:val="0"/>
              <w:kinsoku/>
              <w:overflowPunct/>
              <w:topLinePunct w:val="0"/>
              <w:bidi w:val="0"/>
              <w:spacing w:line="440" w:lineRule="exact"/>
              <w:jc w:val="center"/>
              <w:textAlignment w:val="auto"/>
              <w:outlineLvl w:val="9"/>
              <w:rPr>
                <w:rFonts w:hint="default" w:asciiTheme="minorEastAsia" w:hAnsiTheme="minorEastAsia" w:eastAsiaTheme="minorEastAsia" w:cstheme="minorEastAsia"/>
                <w:b/>
                <w:sz w:val="18"/>
                <w:szCs w:val="18"/>
                <w:lang w:val="en-US" w:eastAsia="zh-CN"/>
              </w:rPr>
            </w:pPr>
            <w:r>
              <w:rPr>
                <w:rFonts w:hint="eastAsia" w:asciiTheme="minorEastAsia" w:hAnsiTheme="minorEastAsia" w:eastAsiaTheme="minorEastAsia" w:cstheme="minorEastAsia"/>
                <w:b/>
                <w:sz w:val="18"/>
                <w:szCs w:val="18"/>
                <w:lang w:val="en-US" w:eastAsia="zh-CN"/>
              </w:rPr>
              <w:t>7</w:t>
            </w:r>
          </w:p>
        </w:tc>
        <w:tc>
          <w:tcPr>
            <w:tcW w:w="1650"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3954" w:type="dxa"/>
            <w:gridSpan w:val="2"/>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1405"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9" w:type="dxa"/>
          </w:tcPr>
          <w:p>
            <w:pPr>
              <w:keepNext w:val="0"/>
              <w:keepLines w:val="0"/>
              <w:pageBreakBefore w:val="0"/>
              <w:kinsoku/>
              <w:overflowPunct/>
              <w:topLinePunct w:val="0"/>
              <w:bidi w:val="0"/>
              <w:spacing w:line="440" w:lineRule="exact"/>
              <w:jc w:val="center"/>
              <w:textAlignment w:val="auto"/>
              <w:outlineLvl w:val="9"/>
              <w:rPr>
                <w:rFonts w:hint="default" w:asciiTheme="minorEastAsia" w:hAnsiTheme="minorEastAsia" w:eastAsiaTheme="minorEastAsia" w:cstheme="minorEastAsia"/>
                <w:b/>
                <w:sz w:val="18"/>
                <w:szCs w:val="18"/>
                <w:lang w:val="en-US" w:eastAsia="zh-CN"/>
              </w:rPr>
            </w:pPr>
            <w:r>
              <w:rPr>
                <w:rFonts w:hint="eastAsia" w:asciiTheme="minorEastAsia" w:hAnsiTheme="minorEastAsia" w:eastAsiaTheme="minorEastAsia" w:cstheme="minorEastAsia"/>
                <w:b/>
                <w:sz w:val="18"/>
                <w:szCs w:val="18"/>
                <w:lang w:val="en-US" w:eastAsia="zh-CN"/>
              </w:rPr>
              <w:t>8</w:t>
            </w:r>
          </w:p>
        </w:tc>
        <w:tc>
          <w:tcPr>
            <w:tcW w:w="1650"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3954" w:type="dxa"/>
            <w:gridSpan w:val="2"/>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1405"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9" w:type="dxa"/>
          </w:tcPr>
          <w:p>
            <w:pPr>
              <w:keepNext w:val="0"/>
              <w:keepLines w:val="0"/>
              <w:pageBreakBefore w:val="0"/>
              <w:kinsoku/>
              <w:overflowPunct/>
              <w:topLinePunct w:val="0"/>
              <w:bidi w:val="0"/>
              <w:spacing w:line="440" w:lineRule="exact"/>
              <w:jc w:val="center"/>
              <w:textAlignment w:val="auto"/>
              <w:outlineLvl w:val="9"/>
              <w:rPr>
                <w:rFonts w:hint="default" w:asciiTheme="minorEastAsia" w:hAnsiTheme="minorEastAsia" w:eastAsiaTheme="minorEastAsia" w:cstheme="minorEastAsia"/>
                <w:b/>
                <w:sz w:val="18"/>
                <w:szCs w:val="18"/>
                <w:lang w:val="en-US" w:eastAsia="zh-CN"/>
              </w:rPr>
            </w:pPr>
            <w:r>
              <w:rPr>
                <w:rFonts w:hint="eastAsia" w:asciiTheme="minorEastAsia" w:hAnsiTheme="minorEastAsia" w:eastAsiaTheme="minorEastAsia" w:cstheme="minorEastAsia"/>
                <w:b/>
                <w:sz w:val="18"/>
                <w:szCs w:val="18"/>
                <w:lang w:val="en-US" w:eastAsia="zh-CN"/>
              </w:rPr>
              <w:t>9</w:t>
            </w:r>
          </w:p>
        </w:tc>
        <w:tc>
          <w:tcPr>
            <w:tcW w:w="1650"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3954" w:type="dxa"/>
            <w:gridSpan w:val="2"/>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1405"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9" w:type="dxa"/>
          </w:tcPr>
          <w:p>
            <w:pPr>
              <w:keepNext w:val="0"/>
              <w:keepLines w:val="0"/>
              <w:pageBreakBefore w:val="0"/>
              <w:kinsoku/>
              <w:overflowPunct/>
              <w:topLinePunct w:val="0"/>
              <w:bidi w:val="0"/>
              <w:spacing w:line="440" w:lineRule="exact"/>
              <w:jc w:val="center"/>
              <w:textAlignment w:val="auto"/>
              <w:outlineLvl w:val="9"/>
              <w:rPr>
                <w:rFonts w:hint="default" w:asciiTheme="minorEastAsia" w:hAnsiTheme="minorEastAsia" w:eastAsiaTheme="minorEastAsia" w:cstheme="minorEastAsia"/>
                <w:b/>
                <w:sz w:val="18"/>
                <w:szCs w:val="18"/>
                <w:lang w:val="en-US" w:eastAsia="zh-CN"/>
              </w:rPr>
            </w:pPr>
            <w:r>
              <w:rPr>
                <w:rFonts w:hint="eastAsia" w:asciiTheme="minorEastAsia" w:hAnsiTheme="minorEastAsia" w:eastAsiaTheme="minorEastAsia" w:cstheme="minorEastAsia"/>
                <w:b/>
                <w:sz w:val="18"/>
                <w:szCs w:val="18"/>
                <w:lang w:val="en-US" w:eastAsia="zh-CN"/>
              </w:rPr>
              <w:t>10</w:t>
            </w:r>
          </w:p>
        </w:tc>
        <w:tc>
          <w:tcPr>
            <w:tcW w:w="1650"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3954" w:type="dxa"/>
            <w:gridSpan w:val="2"/>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1405"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5" w:hRule="atLeast"/>
        </w:trPr>
        <w:tc>
          <w:tcPr>
            <w:tcW w:w="3109" w:type="dxa"/>
            <w:gridSpan w:val="2"/>
          </w:tcPr>
          <w:p>
            <w:pPr>
              <w:keepNext w:val="0"/>
              <w:keepLines w:val="0"/>
              <w:pageBreakBefore w:val="0"/>
              <w:kinsoku/>
              <w:overflowPunct/>
              <w:topLinePunct w:val="0"/>
              <w:bidi w:val="0"/>
              <w:textAlignment w:val="auto"/>
              <w:outlineLvl w:val="9"/>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eastAsia="zh-CN"/>
              </w:rPr>
              <w:t>发包方</w:t>
            </w:r>
            <w:r>
              <w:rPr>
                <w:rFonts w:hint="eastAsia"/>
                <w:sz w:val="18"/>
                <w:szCs w:val="18"/>
                <w:lang w:val="en-US" w:eastAsia="zh-CN"/>
              </w:rPr>
              <w:t>代表</w:t>
            </w:r>
            <w:r>
              <w:rPr>
                <w:rFonts w:hint="eastAsia" w:asciiTheme="minorEastAsia" w:hAnsiTheme="minorEastAsia" w:eastAsiaTheme="minorEastAsia" w:cstheme="minorEastAsia"/>
                <w:sz w:val="18"/>
                <w:szCs w:val="18"/>
              </w:rPr>
              <w:t>签字：</w:t>
            </w:r>
          </w:p>
          <w:p>
            <w:pPr>
              <w:keepNext w:val="0"/>
              <w:keepLines w:val="0"/>
              <w:pageBreakBefore w:val="0"/>
              <w:kinsoku/>
              <w:overflowPunct/>
              <w:topLinePunct w:val="0"/>
              <w:bidi w:val="0"/>
              <w:textAlignment w:val="auto"/>
              <w:outlineLvl w:val="9"/>
              <w:rPr>
                <w:rFonts w:hint="eastAsia" w:asciiTheme="minorEastAsia" w:hAnsiTheme="minorEastAsia" w:eastAsiaTheme="minorEastAsia" w:cstheme="minorEastAsia"/>
                <w:sz w:val="18"/>
                <w:szCs w:val="18"/>
              </w:rPr>
            </w:pPr>
          </w:p>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sz w:val="18"/>
                <w:szCs w:val="18"/>
              </w:rPr>
              <w:t>日      期：</w:t>
            </w:r>
          </w:p>
        </w:tc>
        <w:tc>
          <w:tcPr>
            <w:tcW w:w="2782" w:type="dxa"/>
          </w:tcPr>
          <w:p>
            <w:pPr>
              <w:keepNext w:val="0"/>
              <w:keepLines w:val="0"/>
              <w:pageBreakBefore w:val="0"/>
              <w:kinsoku/>
              <w:overflowPunct/>
              <w:topLinePunct w:val="0"/>
              <w:bidi w:val="0"/>
              <w:textAlignment w:val="auto"/>
              <w:outlineLvl w:val="9"/>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监理方</w:t>
            </w:r>
            <w:r>
              <w:rPr>
                <w:rFonts w:hint="eastAsia"/>
                <w:sz w:val="18"/>
                <w:szCs w:val="18"/>
                <w:lang w:val="en-US" w:eastAsia="zh-CN"/>
              </w:rPr>
              <w:t>代表</w:t>
            </w:r>
            <w:r>
              <w:rPr>
                <w:rFonts w:hint="eastAsia" w:asciiTheme="minorEastAsia" w:hAnsiTheme="minorEastAsia" w:eastAsiaTheme="minorEastAsia" w:cstheme="minorEastAsia"/>
                <w:sz w:val="18"/>
                <w:szCs w:val="18"/>
              </w:rPr>
              <w:t>签字：</w:t>
            </w:r>
          </w:p>
          <w:p>
            <w:pPr>
              <w:keepNext w:val="0"/>
              <w:keepLines w:val="0"/>
              <w:pageBreakBefore w:val="0"/>
              <w:kinsoku/>
              <w:overflowPunct/>
              <w:topLinePunct w:val="0"/>
              <w:bidi w:val="0"/>
              <w:textAlignment w:val="auto"/>
              <w:outlineLvl w:val="9"/>
              <w:rPr>
                <w:rFonts w:hint="eastAsia" w:asciiTheme="minorEastAsia" w:hAnsiTheme="minorEastAsia" w:eastAsiaTheme="minorEastAsia" w:cstheme="minorEastAsia"/>
                <w:sz w:val="18"/>
                <w:szCs w:val="18"/>
              </w:rPr>
            </w:pPr>
          </w:p>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sz w:val="18"/>
                <w:szCs w:val="18"/>
              </w:rPr>
              <w:t>日      期：</w:t>
            </w:r>
          </w:p>
        </w:tc>
        <w:tc>
          <w:tcPr>
            <w:tcW w:w="2577" w:type="dxa"/>
            <w:gridSpan w:val="2"/>
          </w:tcPr>
          <w:p>
            <w:pPr>
              <w:keepNext w:val="0"/>
              <w:keepLines w:val="0"/>
              <w:pageBreakBefore w:val="0"/>
              <w:kinsoku/>
              <w:overflowPunct/>
              <w:topLinePunct w:val="0"/>
              <w:bidi w:val="0"/>
              <w:textAlignment w:val="auto"/>
              <w:outlineLvl w:val="9"/>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eastAsia="zh-CN"/>
              </w:rPr>
              <w:t>承包方</w:t>
            </w:r>
            <w:r>
              <w:rPr>
                <w:rFonts w:hint="eastAsia"/>
                <w:sz w:val="18"/>
                <w:szCs w:val="18"/>
                <w:lang w:val="en-US" w:eastAsia="zh-CN"/>
              </w:rPr>
              <w:t>代表</w:t>
            </w:r>
            <w:r>
              <w:rPr>
                <w:rFonts w:hint="eastAsia" w:asciiTheme="minorEastAsia" w:hAnsiTheme="minorEastAsia" w:eastAsiaTheme="minorEastAsia" w:cstheme="minorEastAsia"/>
                <w:sz w:val="18"/>
                <w:szCs w:val="18"/>
              </w:rPr>
              <w:t>签字：</w:t>
            </w:r>
          </w:p>
          <w:p>
            <w:pPr>
              <w:keepNext w:val="0"/>
              <w:keepLines w:val="0"/>
              <w:pageBreakBefore w:val="0"/>
              <w:kinsoku/>
              <w:overflowPunct/>
              <w:topLinePunct w:val="0"/>
              <w:bidi w:val="0"/>
              <w:textAlignment w:val="auto"/>
              <w:outlineLvl w:val="9"/>
              <w:rPr>
                <w:rFonts w:hint="eastAsia" w:asciiTheme="minorEastAsia" w:hAnsiTheme="minorEastAsia" w:eastAsiaTheme="minorEastAsia" w:cstheme="minorEastAsia"/>
                <w:sz w:val="18"/>
                <w:szCs w:val="18"/>
              </w:rPr>
            </w:pPr>
          </w:p>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sz w:val="18"/>
                <w:szCs w:val="18"/>
              </w:rPr>
              <w:t>日      期：</w:t>
            </w:r>
          </w:p>
        </w:tc>
      </w:tr>
    </w:tbl>
    <w:p>
      <w:pPr>
        <w:pStyle w:val="30"/>
        <w:keepNext w:val="0"/>
        <w:keepLines w:val="0"/>
        <w:pageBreakBefore w:val="0"/>
        <w:kinsoku/>
        <w:overflowPunct/>
        <w:topLinePunct w:val="0"/>
        <w:bidi w:val="0"/>
        <w:textAlignment w:val="auto"/>
        <w:outlineLvl w:val="9"/>
        <w:sectPr>
          <w:footerReference r:id="rId24" w:type="default"/>
          <w:footerReference r:id="rId25" w:type="even"/>
          <w:pgSz w:w="11906" w:h="16838"/>
          <w:pgMar w:top="1417" w:right="1134" w:bottom="1134" w:left="1418" w:header="1417" w:footer="1134" w:gutter="0"/>
          <w:pgNumType w:fmt="decimal"/>
          <w:cols w:space="425" w:num="1"/>
          <w:docGrid w:type="lines" w:linePitch="312" w:charSpace="0"/>
        </w:sectPr>
      </w:pPr>
    </w:p>
    <w:p>
      <w:pPr>
        <w:pStyle w:val="7"/>
        <w:keepNext w:val="0"/>
        <w:keepLines w:val="0"/>
        <w:pageBreakBefore w:val="0"/>
        <w:widowControl w:val="0"/>
        <w:kinsoku/>
        <w:wordWrap/>
        <w:overflowPunct/>
        <w:topLinePunct w:val="0"/>
        <w:autoSpaceDE/>
        <w:autoSpaceDN/>
        <w:bidi w:val="0"/>
        <w:adjustRightInd w:val="0"/>
        <w:snapToGrid w:val="0"/>
        <w:spacing w:before="567"/>
        <w:ind w:left="0" w:leftChars="0" w:firstLine="0" w:firstLineChars="0"/>
        <w:jc w:val="center"/>
        <w:textAlignment w:val="auto"/>
        <w:outlineLvl w:val="0"/>
        <w:rPr>
          <w:rFonts w:hint="eastAsia" w:ascii="黑体" w:hAnsi="黑体" w:eastAsia="黑体" w:cs="黑体"/>
          <w:sz w:val="21"/>
          <w:szCs w:val="21"/>
          <w:lang w:val="en-US" w:eastAsia="zh-CN"/>
        </w:rPr>
      </w:pPr>
      <w:bookmarkStart w:id="149" w:name="_Toc5766"/>
      <w:r>
        <w:rPr>
          <w:rFonts w:hint="eastAsia" w:ascii="黑体" w:hAnsi="黑体" w:eastAsia="黑体" w:cs="黑体"/>
          <w:sz w:val="21"/>
          <w:szCs w:val="21"/>
          <w:lang w:val="en-US" w:eastAsia="zh-CN"/>
        </w:rPr>
        <w:t>附  录  D</w:t>
      </w:r>
      <w:bookmarkEnd w:id="149"/>
    </w:p>
    <w:p>
      <w:pPr>
        <w:pStyle w:val="8"/>
        <w:keepNext w:val="0"/>
        <w:keepLines w:val="0"/>
        <w:pageBreakBefore w:val="0"/>
        <w:widowControl w:val="0"/>
        <w:kinsoku/>
        <w:wordWrap/>
        <w:overflowPunct/>
        <w:topLinePunct w:val="0"/>
        <w:autoSpaceDE/>
        <w:autoSpaceDN/>
        <w:bidi w:val="0"/>
        <w:snapToGrid w:val="0"/>
        <w:jc w:val="center"/>
        <w:textAlignment w:val="auto"/>
        <w:outlineLvl w:val="0"/>
        <w:rPr>
          <w:rFonts w:hint="eastAsia" w:ascii="黑体" w:hAnsi="黑体" w:eastAsia="黑体" w:cs="黑体"/>
          <w:sz w:val="21"/>
          <w:szCs w:val="21"/>
          <w:lang w:val="en-US" w:eastAsia="zh-CN"/>
        </w:rPr>
      </w:pPr>
      <w:bookmarkStart w:id="150" w:name="_Toc23069"/>
      <w:r>
        <w:rPr>
          <w:rFonts w:hint="eastAsia" w:ascii="黑体" w:hAnsi="黑体" w:eastAsia="黑体" w:cs="黑体"/>
          <w:sz w:val="21"/>
          <w:szCs w:val="21"/>
          <w:lang w:val="en-US" w:eastAsia="zh-CN"/>
        </w:rPr>
        <w:t>（资料性）</w:t>
      </w:r>
      <w:bookmarkEnd w:id="150"/>
    </w:p>
    <w:p>
      <w:pPr>
        <w:pStyle w:val="8"/>
        <w:keepNext w:val="0"/>
        <w:keepLines w:val="0"/>
        <w:pageBreakBefore w:val="0"/>
        <w:widowControl w:val="0"/>
        <w:kinsoku/>
        <w:wordWrap/>
        <w:overflowPunct/>
        <w:topLinePunct w:val="0"/>
        <w:autoSpaceDE/>
        <w:autoSpaceDN/>
        <w:bidi w:val="0"/>
        <w:adjustRightInd w:val="0"/>
        <w:snapToGrid w:val="0"/>
        <w:spacing w:after="283"/>
        <w:jc w:val="center"/>
        <w:textAlignment w:val="auto"/>
        <w:outlineLvl w:val="0"/>
        <w:rPr>
          <w:rFonts w:hint="eastAsia" w:ascii="黑体" w:hAnsi="黑体" w:eastAsia="黑体"/>
          <w:color w:val="000000"/>
          <w:sz w:val="21"/>
          <w:szCs w:val="21"/>
          <w:lang w:val="en-US" w:eastAsia="zh-CN"/>
        </w:rPr>
      </w:pPr>
      <w:bookmarkStart w:id="151" w:name="_Toc17824"/>
      <w:r>
        <w:rPr>
          <w:rFonts w:hint="eastAsia" w:ascii="黑体" w:hAnsi="黑体" w:eastAsia="黑体"/>
          <w:color w:val="000000"/>
          <w:sz w:val="21"/>
          <w:szCs w:val="21"/>
          <w:lang w:val="en-US" w:eastAsia="zh-CN"/>
        </w:rPr>
        <w:t>监理抽检问题登记表—图像</w:t>
      </w:r>
      <w:bookmarkEnd w:id="151"/>
    </w:p>
    <w:p>
      <w:pPr>
        <w:pStyle w:val="10"/>
        <w:keepNext w:val="0"/>
        <w:keepLines w:val="0"/>
        <w:pageBreakBefore w:val="0"/>
        <w:widowControl w:val="0"/>
        <w:kinsoku/>
        <w:wordWrap/>
        <w:overflowPunct/>
        <w:topLinePunct w:val="0"/>
        <w:autoSpaceDE/>
        <w:autoSpaceDN/>
        <w:bidi w:val="0"/>
        <w:adjustRightInd w:val="0"/>
        <w:snapToGrid w:val="0"/>
        <w:spacing w:line="240" w:lineRule="auto"/>
        <w:ind w:left="0" w:leftChars="0" w:firstLine="420" w:firstLineChars="200"/>
        <w:textAlignment w:val="auto"/>
        <w:outlineLvl w:val="9"/>
      </w:pPr>
      <w:r>
        <w:rPr>
          <w:rFonts w:hint="eastAsia"/>
          <w:lang w:val="en-US" w:eastAsia="zh-CN"/>
        </w:rPr>
        <w:t>监理抽检问题登记表—图像</w:t>
      </w:r>
      <w:r>
        <w:rPr>
          <w:rFonts w:hint="eastAsia"/>
          <w:lang w:eastAsia="zh-CN"/>
        </w:rPr>
        <w:t>见表</w:t>
      </w:r>
      <w:r>
        <w:rPr>
          <w:rFonts w:hint="eastAsia"/>
          <w:lang w:val="en-US" w:eastAsia="zh-CN"/>
        </w:rPr>
        <w:t>D.1。</w:t>
      </w:r>
    </w:p>
    <w:p>
      <w:pPr>
        <w:pStyle w:val="42"/>
        <w:keepNext w:val="0"/>
        <w:keepLines w:val="0"/>
        <w:pageBreakBefore w:val="0"/>
        <w:numPr>
          <w:ilvl w:val="0"/>
          <w:numId w:val="0"/>
        </w:numPr>
        <w:kinsoku/>
        <w:overflowPunct/>
        <w:topLinePunct w:val="0"/>
        <w:bidi w:val="0"/>
        <w:textAlignment w:val="auto"/>
        <w:outlineLvl w:val="9"/>
        <w:rPr>
          <w:rFonts w:hint="default" w:eastAsia="黑体"/>
          <w:lang w:val="en-US" w:eastAsia="zh-CN"/>
        </w:rPr>
      </w:pPr>
      <w:r>
        <w:rPr>
          <w:rFonts w:hint="eastAsia"/>
        </w:rPr>
        <w:t>表</w:t>
      </w:r>
      <w:r>
        <w:rPr>
          <w:rFonts w:hint="eastAsia"/>
          <w:lang w:val="en-US" w:eastAsia="zh-CN"/>
        </w:rPr>
        <w:t>D</w:t>
      </w:r>
      <w:r>
        <w:rPr>
          <w:rFonts w:hint="eastAsia"/>
        </w:rPr>
        <w:t>.1</w:t>
      </w:r>
      <w:r>
        <w:rPr>
          <w:rFonts w:hint="eastAsia"/>
          <w:lang w:val="en-US" w:eastAsia="zh-CN"/>
        </w:rPr>
        <w:t xml:space="preserve"> </w:t>
      </w:r>
      <w:r>
        <w:rPr>
          <w:rFonts w:hint="eastAsia"/>
        </w:rPr>
        <w:t xml:space="preserve"> </w:t>
      </w:r>
      <w:r>
        <w:rPr>
          <w:rFonts w:hint="eastAsia"/>
          <w:lang w:val="en-US" w:eastAsia="zh-CN"/>
        </w:rPr>
        <w:t>监理抽检问题登记表—图像</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9"/>
        <w:gridCol w:w="1351"/>
        <w:gridCol w:w="1420"/>
        <w:gridCol w:w="1420"/>
        <w:gridCol w:w="1421"/>
        <w:gridCol w:w="14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0" w:type="dxa"/>
            <w:gridSpan w:val="4"/>
          </w:tcPr>
          <w:p>
            <w:pPr>
              <w:keepNext w:val="0"/>
              <w:keepLines w:val="0"/>
              <w:pageBreakBefore w:val="0"/>
              <w:kinsoku/>
              <w:overflowPunct/>
              <w:topLinePunct w:val="0"/>
              <w:bidi w:val="0"/>
              <w:spacing w:line="440" w:lineRule="exact"/>
              <w:textAlignment w:val="auto"/>
              <w:outlineLvl w:val="9"/>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sz w:val="18"/>
                <w:szCs w:val="18"/>
              </w:rPr>
              <w:t>项目名称：</w:t>
            </w:r>
          </w:p>
        </w:tc>
        <w:tc>
          <w:tcPr>
            <w:tcW w:w="2842" w:type="dxa"/>
            <w:gridSpan w:val="2"/>
          </w:tcPr>
          <w:p>
            <w:pPr>
              <w:keepNext w:val="0"/>
              <w:keepLines w:val="0"/>
              <w:pageBreakBefore w:val="0"/>
              <w:kinsoku/>
              <w:overflowPunct/>
              <w:topLinePunct w:val="0"/>
              <w:bidi w:val="0"/>
              <w:spacing w:line="440" w:lineRule="exact"/>
              <w:textAlignment w:val="auto"/>
              <w:outlineLvl w:val="9"/>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sz w:val="18"/>
                <w:szCs w:val="18"/>
              </w:rPr>
              <w:t>批次号：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0" w:type="dxa"/>
            <w:gridSpan w:val="3"/>
          </w:tcPr>
          <w:p>
            <w:pPr>
              <w:keepNext w:val="0"/>
              <w:keepLines w:val="0"/>
              <w:pageBreakBefore w:val="0"/>
              <w:kinsoku/>
              <w:overflowPunct/>
              <w:topLinePunct w:val="0"/>
              <w:bidi w:val="0"/>
              <w:spacing w:line="440" w:lineRule="exact"/>
              <w:textAlignment w:val="auto"/>
              <w:outlineLvl w:val="9"/>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sz w:val="18"/>
                <w:szCs w:val="18"/>
              </w:rPr>
              <w:t>全宗号：</w:t>
            </w:r>
          </w:p>
        </w:tc>
        <w:tc>
          <w:tcPr>
            <w:tcW w:w="4262" w:type="dxa"/>
            <w:gridSpan w:val="3"/>
          </w:tcPr>
          <w:p>
            <w:pPr>
              <w:keepNext w:val="0"/>
              <w:keepLines w:val="0"/>
              <w:pageBreakBefore w:val="0"/>
              <w:kinsoku/>
              <w:overflowPunct/>
              <w:topLinePunct w:val="0"/>
              <w:bidi w:val="0"/>
              <w:spacing w:line="440" w:lineRule="exact"/>
              <w:textAlignment w:val="auto"/>
              <w:outlineLvl w:val="9"/>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sz w:val="18"/>
                <w:szCs w:val="18"/>
              </w:rPr>
              <w:t>年度号：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9" w:type="dxa"/>
          </w:tcPr>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递交量（页）</w:t>
            </w:r>
          </w:p>
        </w:tc>
        <w:tc>
          <w:tcPr>
            <w:tcW w:w="1351" w:type="dxa"/>
          </w:tcPr>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b/>
                <w:sz w:val="18"/>
                <w:szCs w:val="18"/>
              </w:rPr>
            </w:pPr>
          </w:p>
        </w:tc>
        <w:tc>
          <w:tcPr>
            <w:tcW w:w="1420" w:type="dxa"/>
          </w:tcPr>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抽检量（页）</w:t>
            </w:r>
          </w:p>
        </w:tc>
        <w:tc>
          <w:tcPr>
            <w:tcW w:w="1420" w:type="dxa"/>
          </w:tcPr>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sz w:val="18"/>
                <w:szCs w:val="18"/>
              </w:rPr>
            </w:pPr>
          </w:p>
        </w:tc>
        <w:tc>
          <w:tcPr>
            <w:tcW w:w="1421" w:type="dxa"/>
          </w:tcPr>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sz w:val="18"/>
                <w:szCs w:val="18"/>
              </w:rPr>
              <w:t>抽检率</w:t>
            </w:r>
          </w:p>
        </w:tc>
        <w:tc>
          <w:tcPr>
            <w:tcW w:w="1421" w:type="dxa"/>
          </w:tcPr>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89" w:type="dxa"/>
          </w:tcPr>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问题页数（页）</w:t>
            </w:r>
          </w:p>
        </w:tc>
        <w:tc>
          <w:tcPr>
            <w:tcW w:w="1351" w:type="dxa"/>
          </w:tcPr>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b/>
                <w:sz w:val="18"/>
                <w:szCs w:val="18"/>
              </w:rPr>
            </w:pPr>
          </w:p>
        </w:tc>
        <w:tc>
          <w:tcPr>
            <w:tcW w:w="1420" w:type="dxa"/>
          </w:tcPr>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抽检合格率</w:t>
            </w:r>
          </w:p>
        </w:tc>
        <w:tc>
          <w:tcPr>
            <w:tcW w:w="4262" w:type="dxa"/>
            <w:gridSpan w:val="3"/>
          </w:tcPr>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6"/>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sz w:val="18"/>
                <w:szCs w:val="18"/>
              </w:rPr>
              <w:t>问题记录—图像（第 批次）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序号</w:t>
            </w:r>
          </w:p>
        </w:tc>
        <w:tc>
          <w:tcPr>
            <w:tcW w:w="1351" w:type="dxa"/>
          </w:tcPr>
          <w:p>
            <w:pPr>
              <w:keepNext w:val="0"/>
              <w:keepLines w:val="0"/>
              <w:pageBreakBefore w:val="0"/>
              <w:kinsoku/>
              <w:overflowPunct/>
              <w:topLinePunct w:val="0"/>
              <w:bidi w:val="0"/>
              <w:spacing w:line="440" w:lineRule="exact"/>
              <w:jc w:val="center"/>
              <w:textAlignment w:val="auto"/>
              <w:outlineLvl w:val="9"/>
              <w:rPr>
                <w:rFonts w:hint="default" w:asciiTheme="minorEastAsia" w:hAnsiTheme="minorEastAsia" w:eastAsiaTheme="minorEastAsia" w:cstheme="minorEastAsia"/>
                <w:b/>
                <w:sz w:val="18"/>
                <w:szCs w:val="18"/>
                <w:lang w:val="en-US" w:eastAsia="zh-CN"/>
              </w:rPr>
            </w:pPr>
            <w:r>
              <w:rPr>
                <w:rFonts w:hint="eastAsia" w:asciiTheme="minorEastAsia" w:hAnsiTheme="minorEastAsia" w:eastAsiaTheme="minorEastAsia" w:cstheme="minorEastAsia"/>
                <w:b/>
                <w:sz w:val="18"/>
                <w:szCs w:val="18"/>
              </w:rPr>
              <w:t>档号</w:t>
            </w:r>
            <w:r>
              <w:rPr>
                <w:rFonts w:hint="eastAsia" w:asciiTheme="minorEastAsia" w:hAnsiTheme="minorEastAsia" w:eastAsiaTheme="minorEastAsia" w:cstheme="minorEastAsia"/>
                <w:b/>
                <w:sz w:val="18"/>
                <w:szCs w:val="18"/>
                <w:lang w:val="en-US" w:eastAsia="zh-CN"/>
              </w:rPr>
              <w:t>/文件名</w:t>
            </w:r>
          </w:p>
        </w:tc>
        <w:tc>
          <w:tcPr>
            <w:tcW w:w="2840" w:type="dxa"/>
            <w:gridSpan w:val="2"/>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问题描述</w:t>
            </w:r>
          </w:p>
        </w:tc>
        <w:tc>
          <w:tcPr>
            <w:tcW w:w="142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问题页数</w:t>
            </w:r>
          </w:p>
        </w:tc>
        <w:tc>
          <w:tcPr>
            <w:tcW w:w="142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1</w:t>
            </w:r>
          </w:p>
        </w:tc>
        <w:tc>
          <w:tcPr>
            <w:tcW w:w="135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2840" w:type="dxa"/>
            <w:gridSpan w:val="2"/>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142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142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8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2</w:t>
            </w:r>
          </w:p>
        </w:tc>
        <w:tc>
          <w:tcPr>
            <w:tcW w:w="135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2840" w:type="dxa"/>
            <w:gridSpan w:val="2"/>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142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142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3</w:t>
            </w:r>
          </w:p>
        </w:tc>
        <w:tc>
          <w:tcPr>
            <w:tcW w:w="135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2840" w:type="dxa"/>
            <w:gridSpan w:val="2"/>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142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142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4</w:t>
            </w:r>
          </w:p>
        </w:tc>
        <w:tc>
          <w:tcPr>
            <w:tcW w:w="135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2840" w:type="dxa"/>
            <w:gridSpan w:val="2"/>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142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142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5</w:t>
            </w:r>
          </w:p>
        </w:tc>
        <w:tc>
          <w:tcPr>
            <w:tcW w:w="135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2840" w:type="dxa"/>
            <w:gridSpan w:val="2"/>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142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142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8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6</w:t>
            </w:r>
          </w:p>
        </w:tc>
        <w:tc>
          <w:tcPr>
            <w:tcW w:w="135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2840" w:type="dxa"/>
            <w:gridSpan w:val="2"/>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142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142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7</w:t>
            </w:r>
          </w:p>
        </w:tc>
        <w:tc>
          <w:tcPr>
            <w:tcW w:w="135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2840" w:type="dxa"/>
            <w:gridSpan w:val="2"/>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142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142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8</w:t>
            </w:r>
          </w:p>
        </w:tc>
        <w:tc>
          <w:tcPr>
            <w:tcW w:w="135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2840" w:type="dxa"/>
            <w:gridSpan w:val="2"/>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142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142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6"/>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sz w:val="18"/>
                <w:szCs w:val="18"/>
              </w:rPr>
              <w:t>问题描述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8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序号</w:t>
            </w:r>
          </w:p>
        </w:tc>
        <w:tc>
          <w:tcPr>
            <w:tcW w:w="7033" w:type="dxa"/>
            <w:gridSpan w:val="5"/>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1</w:t>
            </w:r>
          </w:p>
        </w:tc>
        <w:tc>
          <w:tcPr>
            <w:tcW w:w="7033" w:type="dxa"/>
            <w:gridSpan w:val="5"/>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2</w:t>
            </w:r>
          </w:p>
        </w:tc>
        <w:tc>
          <w:tcPr>
            <w:tcW w:w="7033" w:type="dxa"/>
            <w:gridSpan w:val="5"/>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3</w:t>
            </w:r>
          </w:p>
        </w:tc>
        <w:tc>
          <w:tcPr>
            <w:tcW w:w="7033" w:type="dxa"/>
            <w:gridSpan w:val="5"/>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48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4</w:t>
            </w:r>
          </w:p>
        </w:tc>
        <w:tc>
          <w:tcPr>
            <w:tcW w:w="7033" w:type="dxa"/>
            <w:gridSpan w:val="5"/>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gridSpan w:val="2"/>
          </w:tcPr>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lang w:eastAsia="zh-CN"/>
              </w:rPr>
              <w:t>发包方</w:t>
            </w:r>
            <w:r>
              <w:rPr>
                <w:rFonts w:hint="eastAsia"/>
                <w:sz w:val="18"/>
                <w:szCs w:val="18"/>
                <w:lang w:val="en-US" w:eastAsia="zh-CN"/>
              </w:rPr>
              <w:t>代表</w:t>
            </w:r>
            <w:r>
              <w:rPr>
                <w:rFonts w:hint="eastAsia" w:asciiTheme="minorEastAsia" w:hAnsiTheme="minorEastAsia" w:eastAsiaTheme="minorEastAsia" w:cstheme="minorEastAsia"/>
                <w:bCs/>
                <w:sz w:val="18"/>
                <w:szCs w:val="18"/>
              </w:rPr>
              <w:t>签字：</w:t>
            </w:r>
          </w:p>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日      期：</w:t>
            </w:r>
          </w:p>
        </w:tc>
        <w:tc>
          <w:tcPr>
            <w:tcW w:w="2840" w:type="dxa"/>
            <w:gridSpan w:val="2"/>
          </w:tcPr>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监理方</w:t>
            </w:r>
            <w:r>
              <w:rPr>
                <w:rFonts w:hint="eastAsia"/>
                <w:sz w:val="18"/>
                <w:szCs w:val="18"/>
                <w:lang w:val="en-US" w:eastAsia="zh-CN"/>
              </w:rPr>
              <w:t>代表</w:t>
            </w:r>
            <w:r>
              <w:rPr>
                <w:rFonts w:hint="eastAsia" w:asciiTheme="minorEastAsia" w:hAnsiTheme="minorEastAsia" w:eastAsiaTheme="minorEastAsia" w:cstheme="minorEastAsia"/>
                <w:bCs/>
                <w:sz w:val="18"/>
                <w:szCs w:val="18"/>
              </w:rPr>
              <w:t>签字：</w:t>
            </w:r>
          </w:p>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日      期：</w:t>
            </w:r>
          </w:p>
        </w:tc>
        <w:tc>
          <w:tcPr>
            <w:tcW w:w="2842" w:type="dxa"/>
            <w:gridSpan w:val="2"/>
          </w:tcPr>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lang w:eastAsia="zh-CN"/>
              </w:rPr>
              <w:t>承包方</w:t>
            </w:r>
            <w:r>
              <w:rPr>
                <w:rFonts w:hint="eastAsia"/>
                <w:sz w:val="18"/>
                <w:szCs w:val="18"/>
                <w:lang w:val="en-US" w:eastAsia="zh-CN"/>
              </w:rPr>
              <w:t>代表</w:t>
            </w:r>
            <w:r>
              <w:rPr>
                <w:rFonts w:hint="eastAsia" w:asciiTheme="minorEastAsia" w:hAnsiTheme="minorEastAsia" w:eastAsiaTheme="minorEastAsia" w:cstheme="minorEastAsia"/>
                <w:bCs/>
                <w:sz w:val="18"/>
                <w:szCs w:val="18"/>
              </w:rPr>
              <w:t>签字：</w:t>
            </w:r>
          </w:p>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日      期：</w:t>
            </w:r>
          </w:p>
        </w:tc>
      </w:tr>
    </w:tbl>
    <w:p>
      <w:pPr>
        <w:pStyle w:val="30"/>
        <w:keepNext w:val="0"/>
        <w:keepLines w:val="0"/>
        <w:pageBreakBefore w:val="0"/>
        <w:kinsoku/>
        <w:overflowPunct/>
        <w:topLinePunct w:val="0"/>
        <w:bidi w:val="0"/>
        <w:textAlignment w:val="auto"/>
        <w:outlineLvl w:val="9"/>
        <w:rPr>
          <w:rFonts w:ascii="黑体" w:hAnsi="黑体" w:eastAsia="黑体"/>
        </w:rPr>
      </w:pPr>
    </w:p>
    <w:p>
      <w:pPr>
        <w:pStyle w:val="30"/>
        <w:keepNext w:val="0"/>
        <w:keepLines w:val="0"/>
        <w:pageBreakBefore w:val="0"/>
        <w:kinsoku/>
        <w:overflowPunct/>
        <w:topLinePunct w:val="0"/>
        <w:bidi w:val="0"/>
        <w:textAlignment w:val="auto"/>
        <w:outlineLvl w:val="9"/>
        <w:rPr>
          <w:rFonts w:ascii="黑体" w:hAnsi="黑体" w:eastAsia="黑体"/>
        </w:rPr>
      </w:pPr>
    </w:p>
    <w:p>
      <w:pPr>
        <w:pStyle w:val="30"/>
        <w:keepNext w:val="0"/>
        <w:keepLines w:val="0"/>
        <w:pageBreakBefore w:val="0"/>
        <w:kinsoku/>
        <w:overflowPunct/>
        <w:topLinePunct w:val="0"/>
        <w:bidi w:val="0"/>
        <w:textAlignment w:val="auto"/>
        <w:outlineLvl w:val="9"/>
        <w:rPr>
          <w:rFonts w:ascii="黑体" w:hAnsi="黑体" w:eastAsia="黑体"/>
        </w:rPr>
        <w:sectPr>
          <w:footerReference r:id="rId26" w:type="default"/>
          <w:footerReference r:id="rId27" w:type="even"/>
          <w:pgSz w:w="11906" w:h="16838"/>
          <w:pgMar w:top="1417" w:right="1134" w:bottom="1134" w:left="1418" w:header="1417" w:footer="1134" w:gutter="0"/>
          <w:pgNumType w:fmt="decimal"/>
          <w:cols w:space="425" w:num="1"/>
          <w:docGrid w:type="lines" w:linePitch="312" w:charSpace="0"/>
        </w:sectPr>
      </w:pPr>
    </w:p>
    <w:p>
      <w:pPr>
        <w:pStyle w:val="7"/>
        <w:keepNext w:val="0"/>
        <w:keepLines w:val="0"/>
        <w:pageBreakBefore w:val="0"/>
        <w:widowControl w:val="0"/>
        <w:kinsoku/>
        <w:wordWrap/>
        <w:overflowPunct/>
        <w:topLinePunct w:val="0"/>
        <w:autoSpaceDE/>
        <w:autoSpaceDN/>
        <w:bidi w:val="0"/>
        <w:adjustRightInd w:val="0"/>
        <w:snapToGrid w:val="0"/>
        <w:spacing w:before="567"/>
        <w:ind w:left="0" w:leftChars="0" w:firstLine="0" w:firstLineChars="0"/>
        <w:jc w:val="center"/>
        <w:textAlignment w:val="auto"/>
        <w:outlineLvl w:val="0"/>
        <w:rPr>
          <w:rFonts w:hint="eastAsia" w:ascii="黑体" w:hAnsi="黑体" w:eastAsia="黑体" w:cs="黑体"/>
          <w:sz w:val="21"/>
          <w:szCs w:val="21"/>
          <w:lang w:val="en-US" w:eastAsia="zh-CN"/>
        </w:rPr>
      </w:pPr>
      <w:bookmarkStart w:id="152" w:name="_Toc4721"/>
      <w:r>
        <w:rPr>
          <w:rFonts w:hint="eastAsia" w:ascii="黑体" w:hAnsi="黑体" w:eastAsia="黑体" w:cs="黑体"/>
          <w:sz w:val="21"/>
          <w:szCs w:val="21"/>
          <w:lang w:val="en-US" w:eastAsia="zh-CN"/>
        </w:rPr>
        <w:t>附  录  E</w:t>
      </w:r>
      <w:bookmarkEnd w:id="152"/>
    </w:p>
    <w:p>
      <w:pPr>
        <w:pStyle w:val="8"/>
        <w:keepNext w:val="0"/>
        <w:keepLines w:val="0"/>
        <w:pageBreakBefore w:val="0"/>
        <w:widowControl w:val="0"/>
        <w:kinsoku/>
        <w:wordWrap/>
        <w:overflowPunct/>
        <w:topLinePunct w:val="0"/>
        <w:autoSpaceDE/>
        <w:autoSpaceDN/>
        <w:bidi w:val="0"/>
        <w:snapToGrid w:val="0"/>
        <w:jc w:val="center"/>
        <w:textAlignment w:val="auto"/>
        <w:outlineLvl w:val="0"/>
        <w:rPr>
          <w:rFonts w:hint="eastAsia" w:ascii="黑体" w:hAnsi="黑体" w:eastAsia="黑体" w:cs="黑体"/>
          <w:sz w:val="21"/>
          <w:szCs w:val="21"/>
          <w:lang w:val="en-US" w:eastAsia="zh-CN"/>
        </w:rPr>
      </w:pPr>
      <w:bookmarkStart w:id="153" w:name="_Toc10076"/>
      <w:r>
        <w:rPr>
          <w:rFonts w:hint="eastAsia" w:ascii="黑体" w:hAnsi="黑体" w:eastAsia="黑体" w:cs="黑体"/>
          <w:sz w:val="21"/>
          <w:szCs w:val="21"/>
          <w:lang w:val="en-US" w:eastAsia="zh-CN"/>
        </w:rPr>
        <w:t>（资料性）</w:t>
      </w:r>
      <w:bookmarkEnd w:id="153"/>
    </w:p>
    <w:p>
      <w:pPr>
        <w:pStyle w:val="8"/>
        <w:keepNext w:val="0"/>
        <w:keepLines w:val="0"/>
        <w:pageBreakBefore w:val="0"/>
        <w:widowControl w:val="0"/>
        <w:kinsoku/>
        <w:wordWrap/>
        <w:overflowPunct/>
        <w:topLinePunct w:val="0"/>
        <w:autoSpaceDE/>
        <w:autoSpaceDN/>
        <w:bidi w:val="0"/>
        <w:adjustRightInd w:val="0"/>
        <w:snapToGrid w:val="0"/>
        <w:spacing w:after="283"/>
        <w:jc w:val="center"/>
        <w:textAlignment w:val="auto"/>
        <w:outlineLvl w:val="0"/>
        <w:rPr>
          <w:rFonts w:hint="eastAsia" w:ascii="黑体" w:hAnsi="黑体" w:eastAsia="黑体"/>
          <w:color w:val="000000"/>
          <w:sz w:val="21"/>
          <w:szCs w:val="21"/>
          <w:lang w:val="en-US" w:eastAsia="zh-CN"/>
        </w:rPr>
      </w:pPr>
      <w:bookmarkStart w:id="154" w:name="_Toc14901"/>
      <w:r>
        <w:rPr>
          <w:rFonts w:hint="eastAsia" w:ascii="黑体" w:hAnsi="黑体" w:eastAsia="黑体"/>
          <w:color w:val="000000"/>
          <w:sz w:val="21"/>
          <w:szCs w:val="21"/>
          <w:lang w:val="en-US" w:eastAsia="zh-CN"/>
        </w:rPr>
        <w:t>监理抽检问题登记表—目录</w:t>
      </w:r>
      <w:bookmarkEnd w:id="154"/>
    </w:p>
    <w:p>
      <w:pPr>
        <w:pStyle w:val="10"/>
        <w:keepNext w:val="0"/>
        <w:keepLines w:val="0"/>
        <w:pageBreakBefore w:val="0"/>
        <w:widowControl w:val="0"/>
        <w:kinsoku/>
        <w:wordWrap/>
        <w:overflowPunct/>
        <w:topLinePunct w:val="0"/>
        <w:autoSpaceDE/>
        <w:autoSpaceDN/>
        <w:bidi w:val="0"/>
        <w:adjustRightInd w:val="0"/>
        <w:snapToGrid w:val="0"/>
        <w:spacing w:line="240" w:lineRule="auto"/>
        <w:textAlignment w:val="auto"/>
        <w:outlineLvl w:val="9"/>
      </w:pPr>
      <w:r>
        <w:rPr>
          <w:rFonts w:hint="eastAsia"/>
          <w:lang w:val="en-US" w:eastAsia="zh-CN"/>
        </w:rPr>
        <w:t>监理抽检问题登记表—图像</w:t>
      </w:r>
      <w:r>
        <w:rPr>
          <w:rFonts w:hint="eastAsia"/>
          <w:lang w:eastAsia="zh-CN"/>
        </w:rPr>
        <w:t>见表</w:t>
      </w:r>
      <w:r>
        <w:rPr>
          <w:rFonts w:hint="eastAsia"/>
          <w:lang w:val="en-US" w:eastAsia="zh-CN"/>
        </w:rPr>
        <w:t>E.1。</w:t>
      </w:r>
    </w:p>
    <w:p>
      <w:pPr>
        <w:pStyle w:val="42"/>
        <w:keepNext w:val="0"/>
        <w:keepLines w:val="0"/>
        <w:pageBreakBefore w:val="0"/>
        <w:numPr>
          <w:ilvl w:val="0"/>
          <w:numId w:val="0"/>
        </w:numPr>
        <w:kinsoku/>
        <w:overflowPunct/>
        <w:topLinePunct w:val="0"/>
        <w:bidi w:val="0"/>
        <w:textAlignment w:val="auto"/>
        <w:outlineLvl w:val="9"/>
        <w:rPr>
          <w:rFonts w:hint="default" w:eastAsia="黑体"/>
          <w:lang w:val="en-US" w:eastAsia="zh-CN"/>
        </w:rPr>
      </w:pPr>
      <w:r>
        <w:rPr>
          <w:rFonts w:hint="eastAsia"/>
        </w:rPr>
        <w:t>表</w:t>
      </w:r>
      <w:r>
        <w:rPr>
          <w:rFonts w:hint="eastAsia"/>
          <w:lang w:val="en-US" w:eastAsia="zh-CN"/>
        </w:rPr>
        <w:t>E</w:t>
      </w:r>
      <w:r>
        <w:rPr>
          <w:rFonts w:hint="eastAsia"/>
        </w:rPr>
        <w:t>.1</w:t>
      </w:r>
      <w:r>
        <w:rPr>
          <w:rFonts w:hint="eastAsia"/>
          <w:lang w:val="en-US" w:eastAsia="zh-CN"/>
        </w:rPr>
        <w:t xml:space="preserve"> </w:t>
      </w:r>
      <w:r>
        <w:rPr>
          <w:rFonts w:hint="eastAsia"/>
        </w:rPr>
        <w:t xml:space="preserve"> </w:t>
      </w:r>
      <w:r>
        <w:rPr>
          <w:rFonts w:hint="eastAsia"/>
          <w:lang w:val="en-US" w:eastAsia="zh-CN"/>
        </w:rPr>
        <w:t>监理抽检问题登记表—目录</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9"/>
        <w:gridCol w:w="1351"/>
        <w:gridCol w:w="1420"/>
        <w:gridCol w:w="1420"/>
        <w:gridCol w:w="1421"/>
        <w:gridCol w:w="14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680" w:type="dxa"/>
            <w:gridSpan w:val="4"/>
          </w:tcPr>
          <w:p>
            <w:pPr>
              <w:keepNext w:val="0"/>
              <w:keepLines w:val="0"/>
              <w:pageBreakBefore w:val="0"/>
              <w:kinsoku/>
              <w:overflowPunct/>
              <w:topLinePunct w:val="0"/>
              <w:bidi w:val="0"/>
              <w:spacing w:line="440" w:lineRule="exact"/>
              <w:textAlignment w:val="auto"/>
              <w:outlineLvl w:val="9"/>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sz w:val="18"/>
                <w:szCs w:val="18"/>
              </w:rPr>
              <w:t>项目名称：</w:t>
            </w:r>
          </w:p>
        </w:tc>
        <w:tc>
          <w:tcPr>
            <w:tcW w:w="2842" w:type="dxa"/>
            <w:gridSpan w:val="2"/>
          </w:tcPr>
          <w:p>
            <w:pPr>
              <w:keepNext w:val="0"/>
              <w:keepLines w:val="0"/>
              <w:pageBreakBefore w:val="0"/>
              <w:kinsoku/>
              <w:overflowPunct/>
              <w:topLinePunct w:val="0"/>
              <w:bidi w:val="0"/>
              <w:spacing w:line="440" w:lineRule="exact"/>
              <w:textAlignment w:val="auto"/>
              <w:outlineLvl w:val="9"/>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sz w:val="18"/>
                <w:szCs w:val="18"/>
              </w:rPr>
              <w:t>批次号：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260" w:type="dxa"/>
            <w:gridSpan w:val="3"/>
          </w:tcPr>
          <w:p>
            <w:pPr>
              <w:keepNext w:val="0"/>
              <w:keepLines w:val="0"/>
              <w:pageBreakBefore w:val="0"/>
              <w:kinsoku/>
              <w:overflowPunct/>
              <w:topLinePunct w:val="0"/>
              <w:bidi w:val="0"/>
              <w:spacing w:line="440" w:lineRule="exact"/>
              <w:textAlignment w:val="auto"/>
              <w:outlineLvl w:val="9"/>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sz w:val="18"/>
                <w:szCs w:val="18"/>
              </w:rPr>
              <w:t>全宗号：</w:t>
            </w:r>
          </w:p>
        </w:tc>
        <w:tc>
          <w:tcPr>
            <w:tcW w:w="4262" w:type="dxa"/>
            <w:gridSpan w:val="3"/>
          </w:tcPr>
          <w:p>
            <w:pPr>
              <w:keepNext w:val="0"/>
              <w:keepLines w:val="0"/>
              <w:pageBreakBefore w:val="0"/>
              <w:kinsoku/>
              <w:overflowPunct/>
              <w:topLinePunct w:val="0"/>
              <w:bidi w:val="0"/>
              <w:spacing w:line="440" w:lineRule="exact"/>
              <w:textAlignment w:val="auto"/>
              <w:outlineLvl w:val="9"/>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sz w:val="18"/>
                <w:szCs w:val="18"/>
              </w:rPr>
              <w:t>年度号：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89" w:type="dxa"/>
          </w:tcPr>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递交量（页）</w:t>
            </w:r>
          </w:p>
        </w:tc>
        <w:tc>
          <w:tcPr>
            <w:tcW w:w="1351" w:type="dxa"/>
          </w:tcPr>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b/>
                <w:sz w:val="18"/>
                <w:szCs w:val="18"/>
              </w:rPr>
            </w:pPr>
          </w:p>
        </w:tc>
        <w:tc>
          <w:tcPr>
            <w:tcW w:w="1420" w:type="dxa"/>
          </w:tcPr>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抽检量（页）</w:t>
            </w:r>
          </w:p>
        </w:tc>
        <w:tc>
          <w:tcPr>
            <w:tcW w:w="1420" w:type="dxa"/>
          </w:tcPr>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sz w:val="18"/>
                <w:szCs w:val="18"/>
              </w:rPr>
            </w:pPr>
          </w:p>
        </w:tc>
        <w:tc>
          <w:tcPr>
            <w:tcW w:w="1421" w:type="dxa"/>
          </w:tcPr>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sz w:val="18"/>
                <w:szCs w:val="18"/>
              </w:rPr>
              <w:t>抽检率</w:t>
            </w:r>
          </w:p>
        </w:tc>
        <w:tc>
          <w:tcPr>
            <w:tcW w:w="1421" w:type="dxa"/>
          </w:tcPr>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89" w:type="dxa"/>
          </w:tcPr>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问题页数（页）</w:t>
            </w:r>
          </w:p>
        </w:tc>
        <w:tc>
          <w:tcPr>
            <w:tcW w:w="1351" w:type="dxa"/>
          </w:tcPr>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b/>
                <w:sz w:val="18"/>
                <w:szCs w:val="18"/>
              </w:rPr>
            </w:pPr>
          </w:p>
        </w:tc>
        <w:tc>
          <w:tcPr>
            <w:tcW w:w="1420" w:type="dxa"/>
          </w:tcPr>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抽检合格率</w:t>
            </w:r>
          </w:p>
        </w:tc>
        <w:tc>
          <w:tcPr>
            <w:tcW w:w="4262" w:type="dxa"/>
            <w:gridSpan w:val="3"/>
          </w:tcPr>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522" w:type="dxa"/>
            <w:gridSpan w:val="6"/>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sz w:val="18"/>
                <w:szCs w:val="18"/>
              </w:rPr>
              <w:t>问题记录—目录（第 批次）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8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序号</w:t>
            </w:r>
          </w:p>
        </w:tc>
        <w:tc>
          <w:tcPr>
            <w:tcW w:w="135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档号</w:t>
            </w:r>
            <w:r>
              <w:rPr>
                <w:rFonts w:hint="eastAsia" w:asciiTheme="minorEastAsia" w:hAnsiTheme="minorEastAsia" w:eastAsiaTheme="minorEastAsia" w:cstheme="minorEastAsia"/>
                <w:b/>
                <w:sz w:val="18"/>
                <w:szCs w:val="18"/>
                <w:lang w:val="en-US" w:eastAsia="zh-CN"/>
              </w:rPr>
              <w:t>/文件名</w:t>
            </w:r>
          </w:p>
        </w:tc>
        <w:tc>
          <w:tcPr>
            <w:tcW w:w="4261" w:type="dxa"/>
            <w:gridSpan w:val="3"/>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问题描述</w:t>
            </w:r>
          </w:p>
        </w:tc>
        <w:tc>
          <w:tcPr>
            <w:tcW w:w="142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8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1</w:t>
            </w:r>
          </w:p>
        </w:tc>
        <w:tc>
          <w:tcPr>
            <w:tcW w:w="135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4261" w:type="dxa"/>
            <w:gridSpan w:val="3"/>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142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8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2</w:t>
            </w:r>
          </w:p>
        </w:tc>
        <w:tc>
          <w:tcPr>
            <w:tcW w:w="135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4261" w:type="dxa"/>
            <w:gridSpan w:val="3"/>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142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8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3</w:t>
            </w:r>
          </w:p>
        </w:tc>
        <w:tc>
          <w:tcPr>
            <w:tcW w:w="135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4261" w:type="dxa"/>
            <w:gridSpan w:val="3"/>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142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8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4</w:t>
            </w:r>
          </w:p>
        </w:tc>
        <w:tc>
          <w:tcPr>
            <w:tcW w:w="135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4261" w:type="dxa"/>
            <w:gridSpan w:val="3"/>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142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8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5</w:t>
            </w:r>
          </w:p>
        </w:tc>
        <w:tc>
          <w:tcPr>
            <w:tcW w:w="135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4261" w:type="dxa"/>
            <w:gridSpan w:val="3"/>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142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8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6</w:t>
            </w:r>
          </w:p>
        </w:tc>
        <w:tc>
          <w:tcPr>
            <w:tcW w:w="135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4261" w:type="dxa"/>
            <w:gridSpan w:val="3"/>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142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8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7</w:t>
            </w:r>
          </w:p>
        </w:tc>
        <w:tc>
          <w:tcPr>
            <w:tcW w:w="135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4261" w:type="dxa"/>
            <w:gridSpan w:val="3"/>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142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8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8</w:t>
            </w:r>
          </w:p>
        </w:tc>
        <w:tc>
          <w:tcPr>
            <w:tcW w:w="135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4261" w:type="dxa"/>
            <w:gridSpan w:val="3"/>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142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522" w:type="dxa"/>
            <w:gridSpan w:val="6"/>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sz w:val="18"/>
                <w:szCs w:val="18"/>
              </w:rPr>
              <w:t>问题描述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8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序号</w:t>
            </w:r>
          </w:p>
        </w:tc>
        <w:tc>
          <w:tcPr>
            <w:tcW w:w="7033" w:type="dxa"/>
            <w:gridSpan w:val="5"/>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8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1</w:t>
            </w:r>
          </w:p>
        </w:tc>
        <w:tc>
          <w:tcPr>
            <w:tcW w:w="7033" w:type="dxa"/>
            <w:gridSpan w:val="5"/>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8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2</w:t>
            </w:r>
          </w:p>
        </w:tc>
        <w:tc>
          <w:tcPr>
            <w:tcW w:w="7033" w:type="dxa"/>
            <w:gridSpan w:val="5"/>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8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3</w:t>
            </w:r>
          </w:p>
        </w:tc>
        <w:tc>
          <w:tcPr>
            <w:tcW w:w="7033" w:type="dxa"/>
            <w:gridSpan w:val="5"/>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48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4</w:t>
            </w:r>
          </w:p>
        </w:tc>
        <w:tc>
          <w:tcPr>
            <w:tcW w:w="7033" w:type="dxa"/>
            <w:gridSpan w:val="5"/>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5</w:t>
            </w:r>
          </w:p>
        </w:tc>
        <w:tc>
          <w:tcPr>
            <w:tcW w:w="7033" w:type="dxa"/>
            <w:gridSpan w:val="5"/>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gridSpan w:val="2"/>
          </w:tcPr>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lang w:eastAsia="zh-CN"/>
              </w:rPr>
              <w:t>发包方</w:t>
            </w:r>
            <w:r>
              <w:rPr>
                <w:rFonts w:hint="eastAsia"/>
                <w:sz w:val="18"/>
                <w:szCs w:val="18"/>
                <w:lang w:val="en-US" w:eastAsia="zh-CN"/>
              </w:rPr>
              <w:t>代表</w:t>
            </w:r>
            <w:r>
              <w:rPr>
                <w:rFonts w:hint="eastAsia" w:asciiTheme="minorEastAsia" w:hAnsiTheme="minorEastAsia" w:eastAsiaTheme="minorEastAsia" w:cstheme="minorEastAsia"/>
                <w:bCs/>
                <w:sz w:val="18"/>
                <w:szCs w:val="18"/>
              </w:rPr>
              <w:t>签字：</w:t>
            </w:r>
          </w:p>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日      期：</w:t>
            </w:r>
          </w:p>
        </w:tc>
        <w:tc>
          <w:tcPr>
            <w:tcW w:w="2840" w:type="dxa"/>
            <w:gridSpan w:val="2"/>
          </w:tcPr>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监理方</w:t>
            </w:r>
            <w:r>
              <w:rPr>
                <w:rFonts w:hint="eastAsia"/>
                <w:sz w:val="18"/>
                <w:szCs w:val="18"/>
                <w:lang w:val="en-US" w:eastAsia="zh-CN"/>
              </w:rPr>
              <w:t>代表</w:t>
            </w:r>
            <w:r>
              <w:rPr>
                <w:rFonts w:hint="eastAsia" w:asciiTheme="minorEastAsia" w:hAnsiTheme="minorEastAsia" w:eastAsiaTheme="minorEastAsia" w:cstheme="minorEastAsia"/>
                <w:bCs/>
                <w:sz w:val="18"/>
                <w:szCs w:val="18"/>
              </w:rPr>
              <w:t>签字：</w:t>
            </w:r>
          </w:p>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日      期：</w:t>
            </w:r>
          </w:p>
        </w:tc>
        <w:tc>
          <w:tcPr>
            <w:tcW w:w="2842" w:type="dxa"/>
            <w:gridSpan w:val="2"/>
          </w:tcPr>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lang w:eastAsia="zh-CN"/>
              </w:rPr>
              <w:t>承包方</w:t>
            </w:r>
            <w:r>
              <w:rPr>
                <w:rFonts w:hint="eastAsia"/>
                <w:sz w:val="18"/>
                <w:szCs w:val="18"/>
                <w:lang w:val="en-US" w:eastAsia="zh-CN"/>
              </w:rPr>
              <w:t>代表</w:t>
            </w:r>
            <w:r>
              <w:rPr>
                <w:rFonts w:hint="eastAsia" w:asciiTheme="minorEastAsia" w:hAnsiTheme="minorEastAsia" w:eastAsiaTheme="minorEastAsia" w:cstheme="minorEastAsia"/>
                <w:bCs/>
                <w:sz w:val="18"/>
                <w:szCs w:val="18"/>
              </w:rPr>
              <w:t>签字：</w:t>
            </w:r>
          </w:p>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日      期：</w:t>
            </w:r>
          </w:p>
        </w:tc>
      </w:tr>
    </w:tbl>
    <w:p>
      <w:pPr>
        <w:pStyle w:val="36"/>
        <w:keepNext w:val="0"/>
        <w:keepLines w:val="0"/>
        <w:pageBreakBefore w:val="0"/>
        <w:kinsoku/>
        <w:overflowPunct/>
        <w:topLinePunct w:val="0"/>
        <w:bidi w:val="0"/>
        <w:textAlignment w:val="auto"/>
        <w:outlineLvl w:val="9"/>
      </w:pPr>
    </w:p>
    <w:p>
      <w:pPr>
        <w:pStyle w:val="36"/>
        <w:keepNext w:val="0"/>
        <w:keepLines w:val="0"/>
        <w:pageBreakBefore w:val="0"/>
        <w:kinsoku/>
        <w:overflowPunct/>
        <w:topLinePunct w:val="0"/>
        <w:bidi w:val="0"/>
        <w:textAlignment w:val="auto"/>
        <w:outlineLvl w:val="9"/>
        <w:sectPr>
          <w:pgSz w:w="11906" w:h="16838"/>
          <w:pgMar w:top="1417" w:right="1134" w:bottom="1134" w:left="1418" w:header="1417" w:footer="1134" w:gutter="0"/>
          <w:cols w:space="425" w:num="1"/>
          <w:docGrid w:type="lines" w:linePitch="312" w:charSpace="0"/>
        </w:sectPr>
      </w:pPr>
    </w:p>
    <w:p>
      <w:pPr>
        <w:pStyle w:val="7"/>
        <w:keepNext w:val="0"/>
        <w:keepLines w:val="0"/>
        <w:pageBreakBefore w:val="0"/>
        <w:widowControl w:val="0"/>
        <w:kinsoku/>
        <w:wordWrap/>
        <w:overflowPunct/>
        <w:topLinePunct w:val="0"/>
        <w:autoSpaceDE/>
        <w:autoSpaceDN/>
        <w:bidi w:val="0"/>
        <w:adjustRightInd w:val="0"/>
        <w:snapToGrid w:val="0"/>
        <w:spacing w:before="567"/>
        <w:ind w:left="0" w:leftChars="0" w:firstLine="0" w:firstLineChars="0"/>
        <w:jc w:val="center"/>
        <w:textAlignment w:val="auto"/>
        <w:outlineLvl w:val="0"/>
        <w:rPr>
          <w:rFonts w:hint="eastAsia" w:ascii="黑体" w:hAnsi="黑体" w:eastAsia="黑体" w:cs="黑体"/>
          <w:sz w:val="21"/>
          <w:szCs w:val="21"/>
          <w:lang w:val="en-US" w:eastAsia="zh-CN"/>
        </w:rPr>
      </w:pPr>
      <w:bookmarkStart w:id="155" w:name="_Toc462"/>
      <w:bookmarkStart w:id="156" w:name="_Toc21896"/>
      <w:r>
        <w:rPr>
          <w:rFonts w:hint="eastAsia" w:ascii="黑体" w:hAnsi="黑体" w:eastAsia="黑体" w:cs="黑体"/>
          <w:sz w:val="21"/>
          <w:szCs w:val="21"/>
          <w:lang w:val="en-US" w:eastAsia="zh-CN"/>
        </w:rPr>
        <w:t>附  录  F</w:t>
      </w:r>
      <w:bookmarkEnd w:id="155"/>
    </w:p>
    <w:p>
      <w:pPr>
        <w:pStyle w:val="8"/>
        <w:keepNext w:val="0"/>
        <w:keepLines w:val="0"/>
        <w:pageBreakBefore w:val="0"/>
        <w:widowControl w:val="0"/>
        <w:kinsoku/>
        <w:wordWrap/>
        <w:overflowPunct/>
        <w:topLinePunct w:val="0"/>
        <w:autoSpaceDE/>
        <w:autoSpaceDN/>
        <w:bidi w:val="0"/>
        <w:snapToGrid w:val="0"/>
        <w:jc w:val="center"/>
        <w:textAlignment w:val="auto"/>
        <w:outlineLvl w:val="0"/>
        <w:rPr>
          <w:rFonts w:hint="eastAsia" w:ascii="黑体" w:hAnsi="黑体" w:eastAsia="黑体" w:cs="黑体"/>
          <w:sz w:val="21"/>
          <w:szCs w:val="21"/>
          <w:lang w:val="en-US" w:eastAsia="zh-CN"/>
        </w:rPr>
      </w:pPr>
      <w:bookmarkStart w:id="157" w:name="_Toc3008"/>
      <w:r>
        <w:rPr>
          <w:rFonts w:hint="eastAsia" w:ascii="黑体" w:hAnsi="黑体" w:eastAsia="黑体" w:cs="黑体"/>
          <w:sz w:val="21"/>
          <w:szCs w:val="21"/>
          <w:lang w:val="en-US" w:eastAsia="zh-CN"/>
        </w:rPr>
        <w:t>（资料性）</w:t>
      </w:r>
      <w:bookmarkEnd w:id="157"/>
    </w:p>
    <w:p>
      <w:pPr>
        <w:pStyle w:val="8"/>
        <w:keepNext w:val="0"/>
        <w:keepLines w:val="0"/>
        <w:pageBreakBefore w:val="0"/>
        <w:widowControl w:val="0"/>
        <w:kinsoku/>
        <w:wordWrap/>
        <w:overflowPunct/>
        <w:topLinePunct w:val="0"/>
        <w:autoSpaceDE/>
        <w:autoSpaceDN/>
        <w:bidi w:val="0"/>
        <w:adjustRightInd w:val="0"/>
        <w:snapToGrid w:val="0"/>
        <w:spacing w:after="283"/>
        <w:jc w:val="center"/>
        <w:textAlignment w:val="auto"/>
        <w:outlineLvl w:val="0"/>
        <w:rPr>
          <w:rFonts w:hint="eastAsia" w:ascii="黑体" w:hAnsi="黑体" w:eastAsia="黑体"/>
          <w:color w:val="000000"/>
          <w:sz w:val="21"/>
          <w:szCs w:val="21"/>
          <w:lang w:val="en-US" w:eastAsia="zh-CN"/>
        </w:rPr>
      </w:pPr>
      <w:bookmarkStart w:id="158" w:name="_Toc26662"/>
      <w:r>
        <w:rPr>
          <w:rFonts w:hint="eastAsia" w:ascii="黑体" w:hAnsi="黑体" w:eastAsia="黑体"/>
          <w:color w:val="000000"/>
          <w:sz w:val="21"/>
          <w:szCs w:val="21"/>
          <w:lang w:val="en-US" w:eastAsia="zh-CN"/>
        </w:rPr>
        <w:t>监理抽检问题登记表—实体</w:t>
      </w:r>
      <w:bookmarkEnd w:id="158"/>
    </w:p>
    <w:p>
      <w:pPr>
        <w:pStyle w:val="10"/>
        <w:keepNext w:val="0"/>
        <w:keepLines w:val="0"/>
        <w:pageBreakBefore w:val="0"/>
        <w:widowControl w:val="0"/>
        <w:kinsoku/>
        <w:wordWrap/>
        <w:overflowPunct/>
        <w:topLinePunct w:val="0"/>
        <w:autoSpaceDE/>
        <w:autoSpaceDN/>
        <w:bidi w:val="0"/>
        <w:adjustRightInd w:val="0"/>
        <w:snapToGrid w:val="0"/>
        <w:spacing w:line="240" w:lineRule="auto"/>
        <w:textAlignment w:val="auto"/>
        <w:outlineLvl w:val="9"/>
        <w:rPr>
          <w:rFonts w:hint="eastAsia"/>
          <w:lang w:val="en-US" w:eastAsia="zh-CN"/>
        </w:rPr>
      </w:pPr>
      <w:r>
        <w:rPr>
          <w:rFonts w:hint="eastAsia"/>
          <w:lang w:val="en-US" w:eastAsia="zh-CN"/>
        </w:rPr>
        <w:t>监理抽检问题登记表—实体</w:t>
      </w:r>
      <w:r>
        <w:rPr>
          <w:rFonts w:hint="eastAsia"/>
          <w:lang w:eastAsia="zh-CN"/>
        </w:rPr>
        <w:t>见表</w:t>
      </w:r>
      <w:r>
        <w:rPr>
          <w:rFonts w:hint="eastAsia"/>
          <w:lang w:val="en-US" w:eastAsia="zh-CN"/>
        </w:rPr>
        <w:t>F.1。</w:t>
      </w:r>
    </w:p>
    <w:p>
      <w:pPr>
        <w:pStyle w:val="42"/>
        <w:keepNext w:val="0"/>
        <w:keepLines w:val="0"/>
        <w:pageBreakBefore w:val="0"/>
        <w:numPr>
          <w:ilvl w:val="0"/>
          <w:numId w:val="0"/>
        </w:numPr>
        <w:kinsoku/>
        <w:overflowPunct/>
        <w:topLinePunct w:val="0"/>
        <w:bidi w:val="0"/>
        <w:textAlignment w:val="auto"/>
        <w:outlineLvl w:val="9"/>
        <w:rPr>
          <w:rFonts w:hint="eastAsia"/>
          <w:lang w:val="en-US" w:eastAsia="zh-CN"/>
        </w:rPr>
      </w:pPr>
      <w:r>
        <w:rPr>
          <w:rFonts w:hint="eastAsia"/>
        </w:rPr>
        <w:t>表</w:t>
      </w:r>
      <w:r>
        <w:rPr>
          <w:rFonts w:hint="eastAsia"/>
          <w:lang w:val="en-US" w:eastAsia="zh-CN"/>
        </w:rPr>
        <w:t>F</w:t>
      </w:r>
      <w:r>
        <w:rPr>
          <w:rFonts w:hint="eastAsia"/>
        </w:rPr>
        <w:t>.1</w:t>
      </w:r>
      <w:r>
        <w:rPr>
          <w:rFonts w:hint="eastAsia"/>
          <w:lang w:val="en-US" w:eastAsia="zh-CN"/>
        </w:rPr>
        <w:t xml:space="preserve"> </w:t>
      </w:r>
      <w:r>
        <w:rPr>
          <w:rFonts w:hint="eastAsia"/>
        </w:rPr>
        <w:t xml:space="preserve"> </w:t>
      </w:r>
      <w:r>
        <w:rPr>
          <w:rFonts w:hint="eastAsia"/>
          <w:lang w:val="en-US" w:eastAsia="zh-CN"/>
        </w:rPr>
        <w:t>监理抽检问题登记表—实体</w:t>
      </w:r>
    </w:p>
    <w:bookmarkEnd w:id="156"/>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9"/>
        <w:gridCol w:w="1351"/>
        <w:gridCol w:w="1420"/>
        <w:gridCol w:w="1420"/>
        <w:gridCol w:w="1421"/>
        <w:gridCol w:w="14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0" w:type="dxa"/>
            <w:gridSpan w:val="4"/>
          </w:tcPr>
          <w:p>
            <w:pPr>
              <w:keepNext w:val="0"/>
              <w:keepLines w:val="0"/>
              <w:pageBreakBefore w:val="0"/>
              <w:kinsoku/>
              <w:overflowPunct/>
              <w:topLinePunct w:val="0"/>
              <w:bidi w:val="0"/>
              <w:spacing w:line="440" w:lineRule="exact"/>
              <w:textAlignment w:val="auto"/>
              <w:outlineLvl w:val="9"/>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sz w:val="18"/>
                <w:szCs w:val="18"/>
              </w:rPr>
              <w:t>项目名称：</w:t>
            </w:r>
          </w:p>
        </w:tc>
        <w:tc>
          <w:tcPr>
            <w:tcW w:w="2842" w:type="dxa"/>
            <w:gridSpan w:val="2"/>
          </w:tcPr>
          <w:p>
            <w:pPr>
              <w:keepNext w:val="0"/>
              <w:keepLines w:val="0"/>
              <w:pageBreakBefore w:val="0"/>
              <w:kinsoku/>
              <w:overflowPunct/>
              <w:topLinePunct w:val="0"/>
              <w:bidi w:val="0"/>
              <w:spacing w:line="440" w:lineRule="exact"/>
              <w:textAlignment w:val="auto"/>
              <w:outlineLvl w:val="9"/>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sz w:val="18"/>
                <w:szCs w:val="18"/>
              </w:rPr>
              <w:t>批次号：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0" w:type="dxa"/>
            <w:gridSpan w:val="3"/>
          </w:tcPr>
          <w:p>
            <w:pPr>
              <w:keepNext w:val="0"/>
              <w:keepLines w:val="0"/>
              <w:pageBreakBefore w:val="0"/>
              <w:kinsoku/>
              <w:overflowPunct/>
              <w:topLinePunct w:val="0"/>
              <w:bidi w:val="0"/>
              <w:spacing w:line="440" w:lineRule="exact"/>
              <w:textAlignment w:val="auto"/>
              <w:outlineLvl w:val="9"/>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sz w:val="18"/>
                <w:szCs w:val="18"/>
              </w:rPr>
              <w:t>全宗号：</w:t>
            </w:r>
          </w:p>
        </w:tc>
        <w:tc>
          <w:tcPr>
            <w:tcW w:w="4262" w:type="dxa"/>
            <w:gridSpan w:val="3"/>
          </w:tcPr>
          <w:p>
            <w:pPr>
              <w:keepNext w:val="0"/>
              <w:keepLines w:val="0"/>
              <w:pageBreakBefore w:val="0"/>
              <w:kinsoku/>
              <w:overflowPunct/>
              <w:topLinePunct w:val="0"/>
              <w:bidi w:val="0"/>
              <w:spacing w:line="440" w:lineRule="exact"/>
              <w:textAlignment w:val="auto"/>
              <w:outlineLvl w:val="9"/>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sz w:val="18"/>
                <w:szCs w:val="18"/>
              </w:rPr>
              <w:t>年度号：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9" w:type="dxa"/>
          </w:tcPr>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递交量（页）</w:t>
            </w:r>
          </w:p>
        </w:tc>
        <w:tc>
          <w:tcPr>
            <w:tcW w:w="1351" w:type="dxa"/>
          </w:tcPr>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b/>
                <w:sz w:val="18"/>
                <w:szCs w:val="18"/>
              </w:rPr>
            </w:pPr>
          </w:p>
        </w:tc>
        <w:tc>
          <w:tcPr>
            <w:tcW w:w="1420" w:type="dxa"/>
          </w:tcPr>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抽检量（页）</w:t>
            </w:r>
          </w:p>
        </w:tc>
        <w:tc>
          <w:tcPr>
            <w:tcW w:w="1420" w:type="dxa"/>
          </w:tcPr>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sz w:val="18"/>
                <w:szCs w:val="18"/>
              </w:rPr>
            </w:pPr>
          </w:p>
        </w:tc>
        <w:tc>
          <w:tcPr>
            <w:tcW w:w="1421" w:type="dxa"/>
          </w:tcPr>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sz w:val="18"/>
                <w:szCs w:val="18"/>
              </w:rPr>
              <w:t>抽检率</w:t>
            </w:r>
          </w:p>
        </w:tc>
        <w:tc>
          <w:tcPr>
            <w:tcW w:w="1421" w:type="dxa"/>
          </w:tcPr>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89" w:type="dxa"/>
          </w:tcPr>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问题页数（页）</w:t>
            </w:r>
          </w:p>
        </w:tc>
        <w:tc>
          <w:tcPr>
            <w:tcW w:w="1351" w:type="dxa"/>
          </w:tcPr>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b/>
                <w:sz w:val="18"/>
                <w:szCs w:val="18"/>
              </w:rPr>
            </w:pPr>
          </w:p>
        </w:tc>
        <w:tc>
          <w:tcPr>
            <w:tcW w:w="1420" w:type="dxa"/>
          </w:tcPr>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抽检合格率</w:t>
            </w:r>
          </w:p>
        </w:tc>
        <w:tc>
          <w:tcPr>
            <w:tcW w:w="4262" w:type="dxa"/>
            <w:gridSpan w:val="3"/>
          </w:tcPr>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6"/>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sz w:val="18"/>
                <w:szCs w:val="18"/>
              </w:rPr>
              <w:t>问题记录—实体（第 批次）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序号</w:t>
            </w:r>
          </w:p>
        </w:tc>
        <w:tc>
          <w:tcPr>
            <w:tcW w:w="135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档号</w:t>
            </w:r>
            <w:r>
              <w:rPr>
                <w:rFonts w:hint="eastAsia" w:asciiTheme="minorEastAsia" w:hAnsiTheme="minorEastAsia" w:eastAsiaTheme="minorEastAsia" w:cstheme="minorEastAsia"/>
                <w:b/>
                <w:sz w:val="18"/>
                <w:szCs w:val="18"/>
                <w:lang w:val="en-US" w:eastAsia="zh-CN"/>
              </w:rPr>
              <w:t>/文件名</w:t>
            </w:r>
          </w:p>
        </w:tc>
        <w:tc>
          <w:tcPr>
            <w:tcW w:w="4261" w:type="dxa"/>
            <w:gridSpan w:val="3"/>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问题描述</w:t>
            </w:r>
          </w:p>
        </w:tc>
        <w:tc>
          <w:tcPr>
            <w:tcW w:w="142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1</w:t>
            </w:r>
          </w:p>
        </w:tc>
        <w:tc>
          <w:tcPr>
            <w:tcW w:w="135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4261" w:type="dxa"/>
            <w:gridSpan w:val="3"/>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142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8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2</w:t>
            </w:r>
          </w:p>
        </w:tc>
        <w:tc>
          <w:tcPr>
            <w:tcW w:w="135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4261" w:type="dxa"/>
            <w:gridSpan w:val="3"/>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142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3</w:t>
            </w:r>
          </w:p>
        </w:tc>
        <w:tc>
          <w:tcPr>
            <w:tcW w:w="135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4261" w:type="dxa"/>
            <w:gridSpan w:val="3"/>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142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4</w:t>
            </w:r>
          </w:p>
        </w:tc>
        <w:tc>
          <w:tcPr>
            <w:tcW w:w="135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4261" w:type="dxa"/>
            <w:gridSpan w:val="3"/>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142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5</w:t>
            </w:r>
          </w:p>
        </w:tc>
        <w:tc>
          <w:tcPr>
            <w:tcW w:w="135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4261" w:type="dxa"/>
            <w:gridSpan w:val="3"/>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142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8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6</w:t>
            </w:r>
          </w:p>
        </w:tc>
        <w:tc>
          <w:tcPr>
            <w:tcW w:w="135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4261" w:type="dxa"/>
            <w:gridSpan w:val="3"/>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142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7</w:t>
            </w:r>
          </w:p>
        </w:tc>
        <w:tc>
          <w:tcPr>
            <w:tcW w:w="135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4261" w:type="dxa"/>
            <w:gridSpan w:val="3"/>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142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8</w:t>
            </w:r>
          </w:p>
        </w:tc>
        <w:tc>
          <w:tcPr>
            <w:tcW w:w="135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4261" w:type="dxa"/>
            <w:gridSpan w:val="3"/>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c>
          <w:tcPr>
            <w:tcW w:w="1421"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6"/>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sz w:val="18"/>
                <w:szCs w:val="18"/>
              </w:rPr>
              <w:t>问题描述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8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序号</w:t>
            </w:r>
          </w:p>
        </w:tc>
        <w:tc>
          <w:tcPr>
            <w:tcW w:w="7033" w:type="dxa"/>
            <w:gridSpan w:val="5"/>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1</w:t>
            </w:r>
          </w:p>
        </w:tc>
        <w:tc>
          <w:tcPr>
            <w:tcW w:w="7033" w:type="dxa"/>
            <w:gridSpan w:val="5"/>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2</w:t>
            </w:r>
          </w:p>
        </w:tc>
        <w:tc>
          <w:tcPr>
            <w:tcW w:w="7033" w:type="dxa"/>
            <w:gridSpan w:val="5"/>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3</w:t>
            </w:r>
          </w:p>
        </w:tc>
        <w:tc>
          <w:tcPr>
            <w:tcW w:w="7033" w:type="dxa"/>
            <w:gridSpan w:val="5"/>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489" w:type="dxa"/>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4</w:t>
            </w:r>
          </w:p>
        </w:tc>
        <w:tc>
          <w:tcPr>
            <w:tcW w:w="7033" w:type="dxa"/>
            <w:gridSpan w:val="5"/>
          </w:tcPr>
          <w:p>
            <w:pPr>
              <w:keepNext w:val="0"/>
              <w:keepLines w:val="0"/>
              <w:pageBreakBefore w:val="0"/>
              <w:kinsoku/>
              <w:overflowPunct/>
              <w:topLinePunct w:val="0"/>
              <w:bidi w:val="0"/>
              <w:spacing w:line="440" w:lineRule="exact"/>
              <w:jc w:val="center"/>
              <w:textAlignment w:val="auto"/>
              <w:outlineLvl w:val="9"/>
              <w:rPr>
                <w:rFonts w:hint="eastAsia" w:asciiTheme="minorEastAsia" w:hAnsiTheme="minorEastAsia" w:eastAsiaTheme="minorEastAsia" w:cstheme="minorEastAsia"/>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gridSpan w:val="2"/>
          </w:tcPr>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lang w:eastAsia="zh-CN"/>
              </w:rPr>
              <w:t>发包方</w:t>
            </w:r>
            <w:r>
              <w:rPr>
                <w:rFonts w:hint="eastAsia"/>
                <w:sz w:val="18"/>
                <w:szCs w:val="18"/>
                <w:lang w:val="en-US" w:eastAsia="zh-CN"/>
              </w:rPr>
              <w:t>代表</w:t>
            </w:r>
            <w:r>
              <w:rPr>
                <w:rFonts w:hint="eastAsia" w:asciiTheme="minorEastAsia" w:hAnsiTheme="minorEastAsia" w:eastAsiaTheme="minorEastAsia" w:cstheme="minorEastAsia"/>
                <w:bCs/>
                <w:sz w:val="18"/>
                <w:szCs w:val="18"/>
              </w:rPr>
              <w:t>签字：</w:t>
            </w:r>
          </w:p>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日      期：</w:t>
            </w:r>
          </w:p>
        </w:tc>
        <w:tc>
          <w:tcPr>
            <w:tcW w:w="2840" w:type="dxa"/>
            <w:gridSpan w:val="2"/>
          </w:tcPr>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监理方</w:t>
            </w:r>
            <w:r>
              <w:rPr>
                <w:rFonts w:hint="eastAsia"/>
                <w:sz w:val="18"/>
                <w:szCs w:val="18"/>
                <w:lang w:val="en-US" w:eastAsia="zh-CN"/>
              </w:rPr>
              <w:t>代表</w:t>
            </w:r>
            <w:r>
              <w:rPr>
                <w:rFonts w:hint="eastAsia" w:asciiTheme="minorEastAsia" w:hAnsiTheme="minorEastAsia" w:eastAsiaTheme="minorEastAsia" w:cstheme="minorEastAsia"/>
                <w:bCs/>
                <w:sz w:val="18"/>
                <w:szCs w:val="18"/>
              </w:rPr>
              <w:t>签字：</w:t>
            </w:r>
          </w:p>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日      期：</w:t>
            </w:r>
          </w:p>
        </w:tc>
        <w:tc>
          <w:tcPr>
            <w:tcW w:w="2842" w:type="dxa"/>
            <w:gridSpan w:val="2"/>
          </w:tcPr>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lang w:eastAsia="zh-CN"/>
              </w:rPr>
              <w:t>承包方</w:t>
            </w:r>
            <w:r>
              <w:rPr>
                <w:rFonts w:hint="eastAsia"/>
                <w:sz w:val="18"/>
                <w:szCs w:val="18"/>
                <w:lang w:val="en-US" w:eastAsia="zh-CN"/>
              </w:rPr>
              <w:t>代表</w:t>
            </w:r>
            <w:r>
              <w:rPr>
                <w:rFonts w:hint="eastAsia" w:asciiTheme="minorEastAsia" w:hAnsiTheme="minorEastAsia" w:eastAsiaTheme="minorEastAsia" w:cstheme="minorEastAsia"/>
                <w:bCs/>
                <w:sz w:val="18"/>
                <w:szCs w:val="18"/>
              </w:rPr>
              <w:t>签字：</w:t>
            </w:r>
          </w:p>
          <w:p>
            <w:pPr>
              <w:keepNext w:val="0"/>
              <w:keepLines w:val="0"/>
              <w:pageBreakBefore w:val="0"/>
              <w:kinsoku/>
              <w:overflowPunct/>
              <w:topLinePunct w:val="0"/>
              <w:bidi w:val="0"/>
              <w:spacing w:line="440" w:lineRule="exact"/>
              <w:jc w:val="left"/>
              <w:textAlignment w:val="auto"/>
              <w:outlineLvl w:val="9"/>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日      期：</w:t>
            </w:r>
          </w:p>
        </w:tc>
      </w:tr>
    </w:tbl>
    <w:p>
      <w:pPr>
        <w:pStyle w:val="36"/>
        <w:keepNext w:val="0"/>
        <w:keepLines w:val="0"/>
        <w:pageBreakBefore w:val="0"/>
        <w:kinsoku/>
        <w:overflowPunct/>
        <w:topLinePunct w:val="0"/>
        <w:bidi w:val="0"/>
        <w:textAlignment w:val="auto"/>
        <w:outlineLvl w:val="9"/>
        <w:sectPr>
          <w:pgSz w:w="11906" w:h="16838"/>
          <w:pgMar w:top="1417" w:right="1134" w:bottom="1134" w:left="1418" w:header="1417" w:footer="1134" w:gutter="0"/>
          <w:cols w:space="425" w:num="1"/>
          <w:docGrid w:type="lines" w:linePitch="312" w:charSpace="0"/>
        </w:sectPr>
      </w:pPr>
      <w:bookmarkStart w:id="159" w:name="_Toc19944"/>
    </w:p>
    <w:p>
      <w:pPr>
        <w:pStyle w:val="7"/>
        <w:keepNext w:val="0"/>
        <w:keepLines w:val="0"/>
        <w:pageBreakBefore w:val="0"/>
        <w:widowControl w:val="0"/>
        <w:kinsoku/>
        <w:wordWrap/>
        <w:overflowPunct/>
        <w:topLinePunct w:val="0"/>
        <w:autoSpaceDE/>
        <w:autoSpaceDN/>
        <w:bidi w:val="0"/>
        <w:adjustRightInd w:val="0"/>
        <w:snapToGrid w:val="0"/>
        <w:spacing w:before="567"/>
        <w:ind w:left="0" w:leftChars="0" w:firstLine="0" w:firstLineChars="0"/>
        <w:jc w:val="center"/>
        <w:textAlignment w:val="auto"/>
        <w:outlineLvl w:val="0"/>
        <w:rPr>
          <w:rFonts w:hint="eastAsia" w:ascii="黑体" w:hAnsi="黑体" w:eastAsia="黑体" w:cs="黑体"/>
          <w:sz w:val="21"/>
          <w:szCs w:val="21"/>
          <w:lang w:val="en-US" w:eastAsia="zh-CN"/>
        </w:rPr>
      </w:pPr>
      <w:bookmarkStart w:id="160" w:name="_Toc20211"/>
      <w:r>
        <w:rPr>
          <w:rFonts w:hint="eastAsia" w:ascii="黑体" w:hAnsi="黑体" w:eastAsia="黑体" w:cs="黑体"/>
          <w:sz w:val="21"/>
          <w:szCs w:val="21"/>
          <w:lang w:val="en-US" w:eastAsia="zh-CN"/>
        </w:rPr>
        <w:t>附  录  G</w:t>
      </w:r>
      <w:bookmarkEnd w:id="160"/>
    </w:p>
    <w:p>
      <w:pPr>
        <w:pStyle w:val="8"/>
        <w:keepNext w:val="0"/>
        <w:keepLines w:val="0"/>
        <w:pageBreakBefore w:val="0"/>
        <w:widowControl w:val="0"/>
        <w:kinsoku/>
        <w:wordWrap/>
        <w:overflowPunct/>
        <w:topLinePunct w:val="0"/>
        <w:autoSpaceDE/>
        <w:autoSpaceDN/>
        <w:bidi w:val="0"/>
        <w:snapToGrid w:val="0"/>
        <w:jc w:val="center"/>
        <w:textAlignment w:val="auto"/>
        <w:outlineLvl w:val="0"/>
        <w:rPr>
          <w:rFonts w:hint="eastAsia" w:ascii="黑体" w:hAnsi="黑体" w:eastAsia="黑体" w:cs="黑体"/>
          <w:sz w:val="21"/>
          <w:szCs w:val="21"/>
          <w:lang w:val="en-US" w:eastAsia="zh-CN"/>
        </w:rPr>
      </w:pPr>
      <w:bookmarkStart w:id="161" w:name="_Toc9855"/>
      <w:r>
        <w:rPr>
          <w:rFonts w:hint="eastAsia" w:ascii="黑体" w:hAnsi="黑体" w:eastAsia="黑体" w:cs="黑体"/>
          <w:sz w:val="21"/>
          <w:szCs w:val="21"/>
          <w:lang w:val="en-US" w:eastAsia="zh-CN"/>
        </w:rPr>
        <w:t>（资料性）</w:t>
      </w:r>
      <w:bookmarkEnd w:id="161"/>
    </w:p>
    <w:p>
      <w:pPr>
        <w:pStyle w:val="8"/>
        <w:keepNext w:val="0"/>
        <w:keepLines w:val="0"/>
        <w:pageBreakBefore w:val="0"/>
        <w:widowControl w:val="0"/>
        <w:kinsoku/>
        <w:wordWrap/>
        <w:overflowPunct/>
        <w:topLinePunct w:val="0"/>
        <w:autoSpaceDE/>
        <w:autoSpaceDN/>
        <w:bidi w:val="0"/>
        <w:adjustRightInd w:val="0"/>
        <w:snapToGrid w:val="0"/>
        <w:spacing w:after="283"/>
        <w:jc w:val="center"/>
        <w:textAlignment w:val="auto"/>
        <w:outlineLvl w:val="0"/>
        <w:rPr>
          <w:rFonts w:hint="eastAsia" w:ascii="黑体" w:hAnsi="黑体" w:eastAsia="黑体"/>
          <w:color w:val="000000"/>
          <w:sz w:val="21"/>
          <w:szCs w:val="21"/>
          <w:lang w:val="en-US" w:eastAsia="zh-CN"/>
        </w:rPr>
      </w:pPr>
      <w:bookmarkStart w:id="162" w:name="_Toc15413"/>
      <w:r>
        <w:rPr>
          <w:rFonts w:hint="eastAsia" w:ascii="黑体" w:hAnsi="黑体" w:eastAsia="黑体"/>
          <w:color w:val="000000"/>
          <w:sz w:val="21"/>
          <w:szCs w:val="21"/>
          <w:lang w:val="en-US" w:eastAsia="zh-CN"/>
        </w:rPr>
        <w:t>监理抽检合格通知单</w:t>
      </w:r>
      <w:bookmarkEnd w:id="162"/>
    </w:p>
    <w:p>
      <w:pPr>
        <w:pStyle w:val="10"/>
        <w:keepNext w:val="0"/>
        <w:keepLines w:val="0"/>
        <w:pageBreakBefore w:val="0"/>
        <w:widowControl w:val="0"/>
        <w:kinsoku/>
        <w:wordWrap/>
        <w:overflowPunct/>
        <w:topLinePunct w:val="0"/>
        <w:autoSpaceDE/>
        <w:autoSpaceDN/>
        <w:bidi w:val="0"/>
        <w:adjustRightInd w:val="0"/>
        <w:snapToGrid w:val="0"/>
        <w:spacing w:line="240" w:lineRule="auto"/>
        <w:textAlignment w:val="auto"/>
        <w:outlineLvl w:val="9"/>
        <w:rPr>
          <w:rFonts w:hint="eastAsia"/>
          <w:lang w:val="en-US" w:eastAsia="zh-CN"/>
        </w:rPr>
      </w:pPr>
      <w:r>
        <w:rPr>
          <w:rFonts w:hint="eastAsia"/>
          <w:lang w:val="en-US" w:eastAsia="zh-CN"/>
        </w:rPr>
        <w:t>监理抽检合格通知单见表G.1。</w:t>
      </w:r>
    </w:p>
    <w:p>
      <w:pPr>
        <w:pStyle w:val="42"/>
        <w:keepNext w:val="0"/>
        <w:keepLines w:val="0"/>
        <w:pageBreakBefore w:val="0"/>
        <w:numPr>
          <w:ilvl w:val="0"/>
          <w:numId w:val="0"/>
        </w:numPr>
        <w:kinsoku/>
        <w:overflowPunct/>
        <w:topLinePunct w:val="0"/>
        <w:bidi w:val="0"/>
        <w:textAlignment w:val="auto"/>
        <w:outlineLvl w:val="9"/>
        <w:rPr>
          <w:rFonts w:hint="eastAsia"/>
          <w:lang w:val="en-US" w:eastAsia="zh-CN"/>
        </w:rPr>
      </w:pPr>
      <w:r>
        <w:rPr>
          <w:rFonts w:hint="eastAsia"/>
        </w:rPr>
        <w:t>表</w:t>
      </w:r>
      <w:r>
        <w:rPr>
          <w:rFonts w:hint="eastAsia"/>
          <w:lang w:val="en-US" w:eastAsia="zh-CN"/>
        </w:rPr>
        <w:t>G</w:t>
      </w:r>
      <w:r>
        <w:rPr>
          <w:rFonts w:hint="eastAsia"/>
        </w:rPr>
        <w:t>.1</w:t>
      </w:r>
      <w:r>
        <w:rPr>
          <w:rFonts w:hint="eastAsia"/>
          <w:lang w:val="en-US" w:eastAsia="zh-CN"/>
        </w:rPr>
        <w:t xml:space="preserve"> </w:t>
      </w:r>
      <w:r>
        <w:rPr>
          <w:rFonts w:hint="eastAsia"/>
        </w:rPr>
        <w:t xml:space="preserve"> </w:t>
      </w:r>
      <w:r>
        <w:rPr>
          <w:rFonts w:hint="eastAsia"/>
          <w:lang w:val="en-US" w:eastAsia="zh-CN"/>
        </w:rPr>
        <w:t>监理抽检合格通知单</w:t>
      </w:r>
    </w:p>
    <w:p>
      <w:pPr>
        <w:keepNext w:val="0"/>
        <w:keepLines w:val="0"/>
        <w:pageBreakBefore w:val="0"/>
        <w:kinsoku/>
        <w:overflowPunct/>
        <w:topLinePunct w:val="0"/>
        <w:bidi w:val="0"/>
        <w:spacing w:before="156" w:beforeLines="50" w:line="240" w:lineRule="atLeast"/>
        <w:ind w:firstLine="180" w:firstLineChars="100"/>
        <w:jc w:val="left"/>
        <w:textAlignment w:val="auto"/>
        <w:outlineLvl w:val="9"/>
        <w:rPr>
          <w:rFonts w:ascii="黑体" w:hAnsi="黑体" w:eastAsia="黑体"/>
          <w:bCs/>
          <w:sz w:val="18"/>
          <w:szCs w:val="18"/>
        </w:rPr>
      </w:pPr>
      <w:r>
        <w:rPr>
          <w:rFonts w:hint="eastAsia" w:ascii="黑体" w:hAnsi="黑体" w:eastAsia="黑体"/>
          <w:sz w:val="18"/>
          <w:szCs w:val="18"/>
        </w:rPr>
        <w:t xml:space="preserve">致：                                        </w:t>
      </w:r>
      <w:r>
        <w:rPr>
          <w:rFonts w:hint="eastAsia" w:ascii="黑体" w:hAnsi="黑体" w:eastAsia="黑体"/>
          <w:sz w:val="18"/>
          <w:szCs w:val="18"/>
          <w:lang w:val="en-US" w:eastAsia="zh-CN"/>
        </w:rPr>
        <w:t xml:space="preserve">                 </w:t>
      </w:r>
      <w:r>
        <w:rPr>
          <w:rFonts w:hint="eastAsia" w:ascii="黑体" w:hAnsi="黑体" w:eastAsia="黑体"/>
          <w:sz w:val="18"/>
          <w:szCs w:val="18"/>
        </w:rPr>
        <w:t xml:space="preserve">       </w:t>
      </w:r>
      <w:r>
        <w:rPr>
          <w:rFonts w:hint="eastAsia" w:ascii="黑体" w:hAnsi="黑体" w:eastAsia="黑体"/>
          <w:bCs/>
          <w:sz w:val="18"/>
          <w:szCs w:val="18"/>
        </w:rPr>
        <w:t>编号：</w:t>
      </w:r>
    </w:p>
    <w:tbl>
      <w:tblPr>
        <w:tblStyle w:val="15"/>
        <w:tblW w:w="8835" w:type="dxa"/>
        <w:jc w:val="center"/>
        <w:tblBorders>
          <w:top w:val="thinThickLargeGap" w:color="auto" w:sz="24" w:space="0"/>
          <w:left w:val="thinThickLargeGap" w:color="auto" w:sz="24" w:space="0"/>
          <w:bottom w:val="thickThinLargeGap" w:color="auto" w:sz="24" w:space="0"/>
          <w:right w:val="thickThinLargeGap" w:color="auto" w:sz="24" w:space="0"/>
          <w:insideH w:val="single" w:color="auto" w:sz="6" w:space="0"/>
          <w:insideV w:val="single" w:color="auto" w:sz="6" w:space="0"/>
        </w:tblBorders>
        <w:tblLayout w:type="fixed"/>
        <w:tblCellMar>
          <w:top w:w="0" w:type="dxa"/>
          <w:left w:w="108" w:type="dxa"/>
          <w:bottom w:w="0" w:type="dxa"/>
          <w:right w:w="108" w:type="dxa"/>
        </w:tblCellMar>
      </w:tblPr>
      <w:tblGrid>
        <w:gridCol w:w="1087"/>
        <w:gridCol w:w="1381"/>
        <w:gridCol w:w="495"/>
        <w:gridCol w:w="595"/>
        <w:gridCol w:w="1711"/>
        <w:gridCol w:w="634"/>
        <w:gridCol w:w="818"/>
        <w:gridCol w:w="2114"/>
      </w:tblGrid>
      <w:tr>
        <w:tblPrEx>
          <w:tblBorders>
            <w:top w:val="thinThickLargeGap" w:color="auto" w:sz="24" w:space="0"/>
            <w:left w:val="thinThickLargeGap" w:color="auto" w:sz="24" w:space="0"/>
            <w:bottom w:val="thickThinLargeGap" w:color="auto" w:sz="24" w:space="0"/>
            <w:right w:val="thickThinLargeGap" w:color="auto" w:sz="24" w:space="0"/>
            <w:insideH w:val="single" w:color="auto" w:sz="6" w:space="0"/>
            <w:insideV w:val="single" w:color="auto" w:sz="6" w:space="0"/>
          </w:tblBorders>
          <w:tblCellMar>
            <w:top w:w="0" w:type="dxa"/>
            <w:left w:w="108" w:type="dxa"/>
            <w:bottom w:w="0" w:type="dxa"/>
            <w:right w:w="108" w:type="dxa"/>
          </w:tblCellMar>
        </w:tblPrEx>
        <w:trPr>
          <w:trHeight w:val="795" w:hRule="atLeast"/>
          <w:jc w:val="center"/>
        </w:trPr>
        <w:tc>
          <w:tcPr>
            <w:tcW w:w="1087" w:type="dxa"/>
            <w:tcBorders>
              <w:top w:val="thinThickLargeGap" w:color="auto" w:sz="24" w:space="0"/>
            </w:tcBorders>
            <w:vAlign w:val="center"/>
          </w:tcPr>
          <w:p>
            <w:pPr>
              <w:keepNext w:val="0"/>
              <w:keepLines w:val="0"/>
              <w:pageBreakBefore w:val="0"/>
              <w:kinsoku/>
              <w:overflowPunct/>
              <w:topLinePunct w:val="0"/>
              <w:bidi w:val="0"/>
              <w:jc w:val="center"/>
              <w:textAlignment w:val="auto"/>
              <w:outlineLvl w:val="9"/>
              <w:rPr>
                <w:rFonts w:asciiTheme="minorEastAsia" w:hAnsiTheme="minorEastAsia"/>
                <w:b/>
                <w:sz w:val="18"/>
                <w:szCs w:val="18"/>
              </w:rPr>
            </w:pPr>
            <w:r>
              <w:rPr>
                <w:rFonts w:hint="eastAsia" w:asciiTheme="minorEastAsia" w:hAnsiTheme="minorEastAsia"/>
                <w:b/>
                <w:sz w:val="18"/>
                <w:szCs w:val="18"/>
              </w:rPr>
              <w:t>项目名称</w:t>
            </w:r>
          </w:p>
        </w:tc>
        <w:tc>
          <w:tcPr>
            <w:tcW w:w="7748" w:type="dxa"/>
            <w:gridSpan w:val="7"/>
            <w:tcBorders>
              <w:top w:val="thinThickLargeGap" w:color="auto" w:sz="24" w:space="0"/>
              <w:bottom w:val="single" w:color="auto" w:sz="4" w:space="0"/>
              <w:right w:val="thinThickLargeGap" w:color="auto" w:sz="24" w:space="0"/>
            </w:tcBorders>
            <w:vAlign w:val="center"/>
          </w:tcPr>
          <w:p>
            <w:pPr>
              <w:keepNext w:val="0"/>
              <w:keepLines w:val="0"/>
              <w:pageBreakBefore w:val="0"/>
              <w:kinsoku/>
              <w:overflowPunct/>
              <w:topLinePunct w:val="0"/>
              <w:bidi w:val="0"/>
              <w:textAlignment w:val="auto"/>
              <w:outlineLvl w:val="9"/>
              <w:rPr>
                <w:rFonts w:asciiTheme="minorEastAsia" w:hAnsiTheme="minorEastAsia"/>
                <w:sz w:val="18"/>
                <w:szCs w:val="18"/>
              </w:rPr>
            </w:pPr>
          </w:p>
        </w:tc>
      </w:tr>
      <w:tr>
        <w:tblPrEx>
          <w:tblBorders>
            <w:top w:val="thinThickLargeGap" w:color="auto" w:sz="24" w:space="0"/>
            <w:left w:val="thinThickLargeGap" w:color="auto" w:sz="24" w:space="0"/>
            <w:bottom w:val="thickThinLargeGap" w:color="auto" w:sz="24" w:space="0"/>
            <w:right w:val="thickThinLargeGap" w:color="auto" w:sz="24" w:space="0"/>
            <w:insideH w:val="single" w:color="auto" w:sz="6" w:space="0"/>
            <w:insideV w:val="single" w:color="auto" w:sz="6" w:space="0"/>
          </w:tblBorders>
          <w:tblCellMar>
            <w:top w:w="0" w:type="dxa"/>
            <w:left w:w="108" w:type="dxa"/>
            <w:bottom w:w="0" w:type="dxa"/>
            <w:right w:w="108" w:type="dxa"/>
          </w:tblCellMar>
        </w:tblPrEx>
        <w:trPr>
          <w:trHeight w:val="834" w:hRule="atLeast"/>
          <w:jc w:val="center"/>
        </w:trPr>
        <w:tc>
          <w:tcPr>
            <w:tcW w:w="1087" w:type="dxa"/>
            <w:vAlign w:val="center"/>
          </w:tcPr>
          <w:p>
            <w:pPr>
              <w:keepNext w:val="0"/>
              <w:keepLines w:val="0"/>
              <w:pageBreakBefore w:val="0"/>
              <w:kinsoku/>
              <w:overflowPunct/>
              <w:topLinePunct w:val="0"/>
              <w:bidi w:val="0"/>
              <w:textAlignment w:val="auto"/>
              <w:outlineLvl w:val="9"/>
              <w:rPr>
                <w:rFonts w:asciiTheme="minorEastAsia" w:hAnsiTheme="minorEastAsia"/>
                <w:b/>
                <w:sz w:val="18"/>
                <w:szCs w:val="18"/>
              </w:rPr>
            </w:pPr>
            <w:r>
              <w:rPr>
                <w:rFonts w:hint="eastAsia" w:asciiTheme="minorEastAsia" w:hAnsiTheme="minorEastAsia"/>
                <w:b/>
                <w:sz w:val="18"/>
                <w:szCs w:val="18"/>
              </w:rPr>
              <w:t xml:space="preserve">抽检对象  </w:t>
            </w:r>
          </w:p>
        </w:tc>
        <w:tc>
          <w:tcPr>
            <w:tcW w:w="1381" w:type="dxa"/>
            <w:tcBorders>
              <w:top w:val="single" w:color="auto" w:sz="4" w:space="0"/>
              <w:right w:val="single" w:color="auto" w:sz="4" w:space="0"/>
            </w:tcBorders>
            <w:vAlign w:val="center"/>
          </w:tcPr>
          <w:p>
            <w:pPr>
              <w:keepNext w:val="0"/>
              <w:keepLines w:val="0"/>
              <w:pageBreakBefore w:val="0"/>
              <w:kinsoku/>
              <w:overflowPunct/>
              <w:topLinePunct w:val="0"/>
              <w:bidi w:val="0"/>
              <w:textAlignment w:val="auto"/>
              <w:outlineLvl w:val="9"/>
              <w:rPr>
                <w:rFonts w:asciiTheme="minorEastAsia" w:hAnsiTheme="minorEastAsia"/>
                <w:sz w:val="18"/>
                <w:szCs w:val="18"/>
              </w:rPr>
            </w:pPr>
          </w:p>
        </w:tc>
        <w:tc>
          <w:tcPr>
            <w:tcW w:w="1090" w:type="dxa"/>
            <w:gridSpan w:val="2"/>
            <w:tcBorders>
              <w:top w:val="single" w:color="auto" w:sz="4" w:space="0"/>
              <w:left w:val="single" w:color="auto" w:sz="4" w:space="0"/>
              <w:right w:val="single" w:color="auto" w:sz="4" w:space="0"/>
            </w:tcBorders>
            <w:vAlign w:val="center"/>
          </w:tcPr>
          <w:p>
            <w:pPr>
              <w:keepNext w:val="0"/>
              <w:keepLines w:val="0"/>
              <w:pageBreakBefore w:val="0"/>
              <w:kinsoku/>
              <w:overflowPunct/>
              <w:topLinePunct w:val="0"/>
              <w:bidi w:val="0"/>
              <w:textAlignment w:val="auto"/>
              <w:outlineLvl w:val="9"/>
              <w:rPr>
                <w:rFonts w:asciiTheme="minorEastAsia" w:hAnsiTheme="minorEastAsia"/>
                <w:sz w:val="18"/>
                <w:szCs w:val="18"/>
              </w:rPr>
            </w:pPr>
            <w:r>
              <w:rPr>
                <w:rFonts w:hint="eastAsia" w:asciiTheme="minorEastAsia" w:hAnsiTheme="minorEastAsia"/>
                <w:b/>
                <w:sz w:val="18"/>
                <w:szCs w:val="18"/>
              </w:rPr>
              <w:t>抽检批次</w:t>
            </w:r>
          </w:p>
        </w:tc>
        <w:tc>
          <w:tcPr>
            <w:tcW w:w="1711" w:type="dxa"/>
            <w:tcBorders>
              <w:top w:val="single" w:color="auto" w:sz="4" w:space="0"/>
              <w:left w:val="single" w:color="auto" w:sz="4" w:space="0"/>
              <w:right w:val="single" w:color="auto" w:sz="4" w:space="0"/>
            </w:tcBorders>
            <w:vAlign w:val="center"/>
          </w:tcPr>
          <w:p>
            <w:pPr>
              <w:keepNext w:val="0"/>
              <w:keepLines w:val="0"/>
              <w:pageBreakBefore w:val="0"/>
              <w:kinsoku/>
              <w:overflowPunct/>
              <w:topLinePunct w:val="0"/>
              <w:bidi w:val="0"/>
              <w:textAlignment w:val="auto"/>
              <w:outlineLvl w:val="9"/>
              <w:rPr>
                <w:rFonts w:asciiTheme="minorEastAsia" w:hAnsiTheme="minorEastAsia"/>
                <w:sz w:val="18"/>
                <w:szCs w:val="18"/>
              </w:rPr>
            </w:pPr>
            <w:r>
              <w:rPr>
                <w:rFonts w:asciiTheme="minorEastAsia" w:hAnsiTheme="minorEastAsia"/>
                <w:sz w:val="18"/>
                <w:szCs w:val="18"/>
              </w:rPr>
              <w:t>第</w:t>
            </w:r>
            <w:r>
              <w:rPr>
                <w:rFonts w:hint="eastAsia" w:asciiTheme="minorEastAsia" w:hAnsiTheme="minorEastAsia"/>
                <w:sz w:val="18"/>
                <w:szCs w:val="18"/>
              </w:rPr>
              <w:t xml:space="preserve"> </w:t>
            </w:r>
            <w:r>
              <w:rPr>
                <w:rFonts w:asciiTheme="minorEastAsia" w:hAnsiTheme="minorEastAsia"/>
                <w:sz w:val="18"/>
                <w:szCs w:val="18"/>
              </w:rPr>
              <w:t>批次</w:t>
            </w:r>
          </w:p>
        </w:tc>
        <w:tc>
          <w:tcPr>
            <w:tcW w:w="1452" w:type="dxa"/>
            <w:gridSpan w:val="2"/>
            <w:tcBorders>
              <w:top w:val="single" w:color="auto" w:sz="4" w:space="0"/>
              <w:left w:val="single" w:color="auto" w:sz="4" w:space="0"/>
              <w:right w:val="single" w:color="auto" w:sz="4" w:space="0"/>
            </w:tcBorders>
            <w:vAlign w:val="center"/>
          </w:tcPr>
          <w:p>
            <w:pPr>
              <w:keepNext w:val="0"/>
              <w:keepLines w:val="0"/>
              <w:pageBreakBefore w:val="0"/>
              <w:kinsoku/>
              <w:overflowPunct/>
              <w:topLinePunct w:val="0"/>
              <w:bidi w:val="0"/>
              <w:textAlignment w:val="auto"/>
              <w:outlineLvl w:val="9"/>
              <w:rPr>
                <w:rFonts w:asciiTheme="minorEastAsia" w:hAnsiTheme="minorEastAsia"/>
                <w:sz w:val="18"/>
                <w:szCs w:val="18"/>
              </w:rPr>
            </w:pPr>
            <w:r>
              <w:rPr>
                <w:rFonts w:hint="eastAsia" w:asciiTheme="minorEastAsia" w:hAnsiTheme="minorEastAsia"/>
                <w:b/>
                <w:sz w:val="18"/>
                <w:szCs w:val="18"/>
              </w:rPr>
              <w:t>抽检时间</w:t>
            </w:r>
          </w:p>
        </w:tc>
        <w:tc>
          <w:tcPr>
            <w:tcW w:w="2114" w:type="dxa"/>
            <w:tcBorders>
              <w:top w:val="single" w:color="auto" w:sz="4" w:space="0"/>
              <w:left w:val="single" w:color="auto" w:sz="4" w:space="0"/>
              <w:right w:val="thinThickLargeGap" w:color="auto" w:sz="24" w:space="0"/>
            </w:tcBorders>
            <w:vAlign w:val="center"/>
          </w:tcPr>
          <w:p>
            <w:pPr>
              <w:keepNext w:val="0"/>
              <w:keepLines w:val="0"/>
              <w:pageBreakBefore w:val="0"/>
              <w:kinsoku/>
              <w:overflowPunct/>
              <w:topLinePunct w:val="0"/>
              <w:bidi w:val="0"/>
              <w:ind w:firstLine="180" w:firstLineChars="100"/>
              <w:textAlignment w:val="auto"/>
              <w:outlineLvl w:val="9"/>
              <w:rPr>
                <w:rFonts w:asciiTheme="minorEastAsia" w:hAnsiTheme="minorEastAsia"/>
                <w:sz w:val="18"/>
                <w:szCs w:val="18"/>
              </w:rPr>
            </w:pPr>
            <w:r>
              <w:rPr>
                <w:rFonts w:asciiTheme="minorEastAsia" w:hAnsiTheme="minorEastAsia"/>
                <w:sz w:val="18"/>
                <w:szCs w:val="18"/>
              </w:rPr>
              <w:t>年</w:t>
            </w:r>
            <w:r>
              <w:rPr>
                <w:rFonts w:hint="eastAsia" w:asciiTheme="minorEastAsia" w:hAnsiTheme="minorEastAsia"/>
                <w:sz w:val="18"/>
                <w:szCs w:val="18"/>
              </w:rPr>
              <w:t xml:space="preserve">  </w:t>
            </w:r>
            <w:r>
              <w:rPr>
                <w:rFonts w:asciiTheme="minorEastAsia" w:hAnsiTheme="minorEastAsia"/>
                <w:sz w:val="18"/>
                <w:szCs w:val="18"/>
              </w:rPr>
              <w:t>月</w:t>
            </w:r>
            <w:r>
              <w:rPr>
                <w:rFonts w:hint="eastAsia" w:asciiTheme="minorEastAsia" w:hAnsiTheme="minorEastAsia"/>
                <w:sz w:val="18"/>
                <w:szCs w:val="18"/>
              </w:rPr>
              <w:t xml:space="preserve">  </w:t>
            </w:r>
            <w:r>
              <w:rPr>
                <w:rFonts w:asciiTheme="minorEastAsia" w:hAnsiTheme="minorEastAsia"/>
                <w:sz w:val="18"/>
                <w:szCs w:val="18"/>
              </w:rPr>
              <w:t>日</w:t>
            </w:r>
          </w:p>
        </w:tc>
      </w:tr>
      <w:tr>
        <w:tblPrEx>
          <w:tblBorders>
            <w:top w:val="thinThickLargeGap" w:color="auto" w:sz="24" w:space="0"/>
            <w:left w:val="thinThickLargeGap" w:color="auto" w:sz="24" w:space="0"/>
            <w:bottom w:val="thickThinLargeGap" w:color="auto" w:sz="24" w:space="0"/>
            <w:right w:val="thickThinLargeGap" w:color="auto" w:sz="24" w:space="0"/>
            <w:insideH w:val="single" w:color="auto" w:sz="6" w:space="0"/>
            <w:insideV w:val="single" w:color="auto" w:sz="6" w:space="0"/>
          </w:tblBorders>
          <w:tblCellMar>
            <w:top w:w="0" w:type="dxa"/>
            <w:left w:w="108" w:type="dxa"/>
            <w:bottom w:w="0" w:type="dxa"/>
            <w:right w:w="108" w:type="dxa"/>
          </w:tblCellMar>
        </w:tblPrEx>
        <w:trPr>
          <w:trHeight w:val="845" w:hRule="atLeast"/>
          <w:jc w:val="center"/>
        </w:trPr>
        <w:tc>
          <w:tcPr>
            <w:tcW w:w="1087" w:type="dxa"/>
            <w:vAlign w:val="center"/>
          </w:tcPr>
          <w:p>
            <w:pPr>
              <w:keepNext w:val="0"/>
              <w:keepLines w:val="0"/>
              <w:pageBreakBefore w:val="0"/>
              <w:kinsoku/>
              <w:overflowPunct/>
              <w:topLinePunct w:val="0"/>
              <w:bidi w:val="0"/>
              <w:textAlignment w:val="auto"/>
              <w:outlineLvl w:val="9"/>
              <w:rPr>
                <w:rFonts w:asciiTheme="minorEastAsia" w:hAnsiTheme="minorEastAsia"/>
                <w:b/>
                <w:sz w:val="18"/>
                <w:szCs w:val="18"/>
              </w:rPr>
            </w:pPr>
            <w:r>
              <w:rPr>
                <w:rFonts w:hint="eastAsia" w:asciiTheme="minorEastAsia" w:hAnsiTheme="minorEastAsia"/>
                <w:b/>
                <w:sz w:val="18"/>
                <w:szCs w:val="18"/>
              </w:rPr>
              <w:t>递交数量</w:t>
            </w:r>
          </w:p>
        </w:tc>
        <w:tc>
          <w:tcPr>
            <w:tcW w:w="1381" w:type="dxa"/>
            <w:tcBorders>
              <w:top w:val="single" w:color="auto" w:sz="4" w:space="0"/>
              <w:right w:val="single" w:color="auto" w:sz="4" w:space="0"/>
            </w:tcBorders>
            <w:vAlign w:val="center"/>
          </w:tcPr>
          <w:p>
            <w:pPr>
              <w:keepNext w:val="0"/>
              <w:keepLines w:val="0"/>
              <w:pageBreakBefore w:val="0"/>
              <w:kinsoku/>
              <w:overflowPunct/>
              <w:topLinePunct w:val="0"/>
              <w:bidi w:val="0"/>
              <w:textAlignment w:val="auto"/>
              <w:outlineLvl w:val="9"/>
              <w:rPr>
                <w:rFonts w:asciiTheme="minorEastAsia" w:hAnsiTheme="minorEastAsia"/>
                <w:sz w:val="18"/>
                <w:szCs w:val="18"/>
              </w:rPr>
            </w:pPr>
          </w:p>
        </w:tc>
        <w:tc>
          <w:tcPr>
            <w:tcW w:w="1090" w:type="dxa"/>
            <w:gridSpan w:val="2"/>
            <w:tcBorders>
              <w:top w:val="single" w:color="auto" w:sz="4" w:space="0"/>
              <w:left w:val="single" w:color="auto" w:sz="4" w:space="0"/>
              <w:right w:val="single" w:color="auto" w:sz="4" w:space="0"/>
            </w:tcBorders>
            <w:vAlign w:val="center"/>
          </w:tcPr>
          <w:p>
            <w:pPr>
              <w:keepNext w:val="0"/>
              <w:keepLines w:val="0"/>
              <w:pageBreakBefore w:val="0"/>
              <w:kinsoku/>
              <w:overflowPunct/>
              <w:topLinePunct w:val="0"/>
              <w:bidi w:val="0"/>
              <w:textAlignment w:val="auto"/>
              <w:outlineLvl w:val="9"/>
              <w:rPr>
                <w:rFonts w:asciiTheme="minorEastAsia" w:hAnsiTheme="minorEastAsia"/>
                <w:b/>
                <w:sz w:val="18"/>
                <w:szCs w:val="18"/>
              </w:rPr>
            </w:pPr>
            <w:r>
              <w:rPr>
                <w:rFonts w:hint="eastAsia" w:asciiTheme="minorEastAsia" w:hAnsiTheme="minorEastAsia"/>
                <w:b/>
                <w:sz w:val="18"/>
                <w:szCs w:val="18"/>
              </w:rPr>
              <w:t>抽检数量</w:t>
            </w:r>
          </w:p>
        </w:tc>
        <w:tc>
          <w:tcPr>
            <w:tcW w:w="1711" w:type="dxa"/>
            <w:tcBorders>
              <w:top w:val="single" w:color="auto" w:sz="4" w:space="0"/>
              <w:left w:val="single" w:color="auto" w:sz="4" w:space="0"/>
              <w:right w:val="single" w:color="auto" w:sz="4" w:space="0"/>
            </w:tcBorders>
            <w:vAlign w:val="center"/>
          </w:tcPr>
          <w:p>
            <w:pPr>
              <w:keepNext w:val="0"/>
              <w:keepLines w:val="0"/>
              <w:pageBreakBefore w:val="0"/>
              <w:kinsoku/>
              <w:overflowPunct/>
              <w:topLinePunct w:val="0"/>
              <w:bidi w:val="0"/>
              <w:textAlignment w:val="auto"/>
              <w:outlineLvl w:val="9"/>
              <w:rPr>
                <w:rFonts w:asciiTheme="minorEastAsia" w:hAnsiTheme="minorEastAsia"/>
                <w:sz w:val="18"/>
                <w:szCs w:val="18"/>
              </w:rPr>
            </w:pPr>
          </w:p>
        </w:tc>
        <w:tc>
          <w:tcPr>
            <w:tcW w:w="1452" w:type="dxa"/>
            <w:gridSpan w:val="2"/>
            <w:tcBorders>
              <w:top w:val="single" w:color="auto" w:sz="4" w:space="0"/>
              <w:left w:val="single" w:color="auto" w:sz="4" w:space="0"/>
              <w:right w:val="single" w:color="auto" w:sz="4" w:space="0"/>
            </w:tcBorders>
            <w:vAlign w:val="center"/>
          </w:tcPr>
          <w:p>
            <w:pPr>
              <w:keepNext w:val="0"/>
              <w:keepLines w:val="0"/>
              <w:pageBreakBefore w:val="0"/>
              <w:kinsoku/>
              <w:overflowPunct/>
              <w:topLinePunct w:val="0"/>
              <w:bidi w:val="0"/>
              <w:textAlignment w:val="auto"/>
              <w:outlineLvl w:val="9"/>
              <w:rPr>
                <w:rFonts w:asciiTheme="minorEastAsia" w:hAnsiTheme="minorEastAsia"/>
                <w:b/>
                <w:sz w:val="18"/>
                <w:szCs w:val="18"/>
              </w:rPr>
            </w:pPr>
            <w:r>
              <w:rPr>
                <w:rFonts w:hint="eastAsia" w:asciiTheme="minorEastAsia" w:hAnsiTheme="minorEastAsia"/>
                <w:b/>
                <w:sz w:val="18"/>
                <w:szCs w:val="18"/>
              </w:rPr>
              <w:t>抽检合格率</w:t>
            </w:r>
          </w:p>
        </w:tc>
        <w:tc>
          <w:tcPr>
            <w:tcW w:w="2114" w:type="dxa"/>
            <w:tcBorders>
              <w:top w:val="single" w:color="auto" w:sz="4" w:space="0"/>
              <w:left w:val="single" w:color="auto" w:sz="4" w:space="0"/>
              <w:right w:val="thinThickLargeGap" w:color="auto" w:sz="24" w:space="0"/>
            </w:tcBorders>
            <w:vAlign w:val="center"/>
          </w:tcPr>
          <w:p>
            <w:pPr>
              <w:keepNext w:val="0"/>
              <w:keepLines w:val="0"/>
              <w:pageBreakBefore w:val="0"/>
              <w:kinsoku/>
              <w:overflowPunct/>
              <w:topLinePunct w:val="0"/>
              <w:bidi w:val="0"/>
              <w:textAlignment w:val="auto"/>
              <w:outlineLvl w:val="9"/>
              <w:rPr>
                <w:rFonts w:asciiTheme="minorEastAsia" w:hAnsiTheme="minorEastAsia"/>
                <w:sz w:val="18"/>
                <w:szCs w:val="18"/>
              </w:rPr>
            </w:pPr>
          </w:p>
        </w:tc>
      </w:tr>
      <w:tr>
        <w:tblPrEx>
          <w:tblBorders>
            <w:top w:val="thinThickLargeGap" w:color="auto" w:sz="24" w:space="0"/>
            <w:left w:val="thinThickLargeGap" w:color="auto" w:sz="24" w:space="0"/>
            <w:bottom w:val="thickThinLargeGap" w:color="auto" w:sz="24" w:space="0"/>
            <w:right w:val="thickThinLargeGap" w:color="auto" w:sz="24" w:space="0"/>
            <w:insideH w:val="single" w:color="auto" w:sz="6" w:space="0"/>
            <w:insideV w:val="single" w:color="auto" w:sz="6" w:space="0"/>
          </w:tblBorders>
        </w:tblPrEx>
        <w:trPr>
          <w:trHeight w:val="5052" w:hRule="atLeast"/>
          <w:jc w:val="center"/>
        </w:trPr>
        <w:tc>
          <w:tcPr>
            <w:tcW w:w="1087" w:type="dxa"/>
            <w:tcBorders>
              <w:top w:val="single" w:color="auto" w:sz="4" w:space="0"/>
              <w:bottom w:val="single" w:color="auto" w:sz="4" w:space="0"/>
              <w:right w:val="single" w:color="auto" w:sz="4" w:space="0"/>
            </w:tcBorders>
            <w:vAlign w:val="center"/>
          </w:tcPr>
          <w:p>
            <w:pPr>
              <w:keepNext w:val="0"/>
              <w:keepLines w:val="0"/>
              <w:pageBreakBefore w:val="0"/>
              <w:kinsoku/>
              <w:overflowPunct/>
              <w:topLinePunct w:val="0"/>
              <w:bidi w:val="0"/>
              <w:textAlignment w:val="auto"/>
              <w:outlineLvl w:val="9"/>
              <w:rPr>
                <w:rFonts w:asciiTheme="minorEastAsia" w:hAnsiTheme="minorEastAsia"/>
                <w:sz w:val="18"/>
                <w:szCs w:val="18"/>
              </w:rPr>
            </w:pPr>
            <w:r>
              <w:rPr>
                <w:rFonts w:hint="eastAsia" w:asciiTheme="minorEastAsia" w:hAnsiTheme="minorEastAsia"/>
                <w:b/>
                <w:sz w:val="18"/>
                <w:szCs w:val="18"/>
              </w:rPr>
              <w:t>抽检结果</w:t>
            </w:r>
          </w:p>
        </w:tc>
        <w:tc>
          <w:tcPr>
            <w:tcW w:w="7748" w:type="dxa"/>
            <w:gridSpan w:val="7"/>
            <w:tcBorders>
              <w:top w:val="single" w:color="auto" w:sz="4" w:space="0"/>
              <w:left w:val="single" w:color="auto" w:sz="4" w:space="0"/>
              <w:bottom w:val="single" w:color="auto" w:sz="4" w:space="0"/>
              <w:right w:val="thinThickLargeGap" w:color="auto" w:sz="24" w:space="0"/>
            </w:tcBorders>
          </w:tcPr>
          <w:p>
            <w:pPr>
              <w:keepNext w:val="0"/>
              <w:keepLines w:val="0"/>
              <w:pageBreakBefore w:val="0"/>
              <w:kinsoku/>
              <w:overflowPunct/>
              <w:topLinePunct w:val="0"/>
              <w:bidi w:val="0"/>
              <w:spacing w:before="156" w:beforeLines="50"/>
              <w:textAlignment w:val="auto"/>
              <w:outlineLvl w:val="9"/>
              <w:rPr>
                <w:rFonts w:asciiTheme="minorEastAsia" w:hAnsiTheme="minorEastAsia"/>
                <w:sz w:val="18"/>
                <w:szCs w:val="18"/>
              </w:rPr>
            </w:pPr>
          </w:p>
          <w:p>
            <w:pPr>
              <w:keepNext w:val="0"/>
              <w:keepLines w:val="0"/>
              <w:pageBreakBefore w:val="0"/>
              <w:kinsoku/>
              <w:overflowPunct/>
              <w:topLinePunct w:val="0"/>
              <w:bidi w:val="0"/>
              <w:spacing w:before="156" w:beforeLines="50"/>
              <w:textAlignment w:val="auto"/>
              <w:outlineLvl w:val="9"/>
              <w:rPr>
                <w:rFonts w:asciiTheme="minorEastAsia" w:hAnsiTheme="minorEastAsia"/>
                <w:sz w:val="18"/>
                <w:szCs w:val="18"/>
              </w:rPr>
            </w:pPr>
          </w:p>
          <w:p>
            <w:pPr>
              <w:keepNext w:val="0"/>
              <w:keepLines w:val="0"/>
              <w:pageBreakBefore w:val="0"/>
              <w:kinsoku/>
              <w:overflowPunct/>
              <w:topLinePunct w:val="0"/>
              <w:bidi w:val="0"/>
              <w:spacing w:before="156" w:beforeLines="50"/>
              <w:textAlignment w:val="auto"/>
              <w:outlineLvl w:val="9"/>
              <w:rPr>
                <w:rFonts w:asciiTheme="minorEastAsia" w:hAnsiTheme="minorEastAsia"/>
                <w:sz w:val="18"/>
                <w:szCs w:val="18"/>
              </w:rPr>
            </w:pPr>
          </w:p>
          <w:p>
            <w:pPr>
              <w:keepNext w:val="0"/>
              <w:keepLines w:val="0"/>
              <w:pageBreakBefore w:val="0"/>
              <w:kinsoku/>
              <w:overflowPunct/>
              <w:topLinePunct w:val="0"/>
              <w:bidi w:val="0"/>
              <w:spacing w:before="156" w:beforeLines="50"/>
              <w:textAlignment w:val="auto"/>
              <w:outlineLvl w:val="9"/>
              <w:rPr>
                <w:rFonts w:asciiTheme="minorEastAsia" w:hAnsiTheme="minorEastAsia"/>
                <w:sz w:val="18"/>
                <w:szCs w:val="18"/>
              </w:rPr>
            </w:pPr>
          </w:p>
          <w:p>
            <w:pPr>
              <w:keepNext w:val="0"/>
              <w:keepLines w:val="0"/>
              <w:pageBreakBefore w:val="0"/>
              <w:kinsoku/>
              <w:overflowPunct/>
              <w:topLinePunct w:val="0"/>
              <w:bidi w:val="0"/>
              <w:spacing w:before="156" w:beforeLines="50"/>
              <w:textAlignment w:val="auto"/>
              <w:outlineLvl w:val="9"/>
              <w:rPr>
                <w:rFonts w:asciiTheme="minorEastAsia" w:hAnsiTheme="minorEastAsia"/>
                <w:sz w:val="18"/>
                <w:szCs w:val="18"/>
              </w:rPr>
            </w:pPr>
          </w:p>
          <w:p>
            <w:pPr>
              <w:keepNext w:val="0"/>
              <w:keepLines w:val="0"/>
              <w:pageBreakBefore w:val="0"/>
              <w:kinsoku/>
              <w:overflowPunct/>
              <w:topLinePunct w:val="0"/>
              <w:bidi w:val="0"/>
              <w:spacing w:before="156" w:beforeLines="50"/>
              <w:textAlignment w:val="auto"/>
              <w:outlineLvl w:val="9"/>
              <w:rPr>
                <w:rFonts w:asciiTheme="minorEastAsia" w:hAnsiTheme="minorEastAsia"/>
                <w:sz w:val="18"/>
                <w:szCs w:val="18"/>
              </w:rPr>
            </w:pPr>
          </w:p>
          <w:p>
            <w:pPr>
              <w:keepNext w:val="0"/>
              <w:keepLines w:val="0"/>
              <w:pageBreakBefore w:val="0"/>
              <w:kinsoku/>
              <w:overflowPunct/>
              <w:topLinePunct w:val="0"/>
              <w:bidi w:val="0"/>
              <w:spacing w:before="156" w:beforeLines="50"/>
              <w:textAlignment w:val="auto"/>
              <w:outlineLvl w:val="9"/>
              <w:rPr>
                <w:rFonts w:asciiTheme="minorEastAsia" w:hAnsiTheme="minorEastAsia"/>
                <w:sz w:val="18"/>
                <w:szCs w:val="18"/>
              </w:rPr>
            </w:pPr>
          </w:p>
        </w:tc>
      </w:tr>
      <w:tr>
        <w:tblPrEx>
          <w:tblBorders>
            <w:top w:val="thinThickLargeGap" w:color="auto" w:sz="24" w:space="0"/>
            <w:left w:val="thinThickLargeGap" w:color="auto" w:sz="24" w:space="0"/>
            <w:bottom w:val="thickThinLargeGap" w:color="auto" w:sz="24" w:space="0"/>
            <w:right w:val="thickThinLargeGap" w:color="auto" w:sz="24" w:space="0"/>
            <w:insideH w:val="single" w:color="auto" w:sz="6" w:space="0"/>
            <w:insideV w:val="single" w:color="auto" w:sz="6" w:space="0"/>
          </w:tblBorders>
          <w:tblCellMar>
            <w:top w:w="0" w:type="dxa"/>
            <w:left w:w="108" w:type="dxa"/>
            <w:bottom w:w="0" w:type="dxa"/>
            <w:right w:w="108" w:type="dxa"/>
          </w:tblCellMar>
        </w:tblPrEx>
        <w:trPr>
          <w:trHeight w:val="1453" w:hRule="atLeast"/>
          <w:jc w:val="center"/>
        </w:trPr>
        <w:tc>
          <w:tcPr>
            <w:tcW w:w="2963" w:type="dxa"/>
            <w:gridSpan w:val="3"/>
            <w:tcBorders>
              <w:bottom w:val="thickThinLargeGap" w:color="auto" w:sz="24" w:space="0"/>
              <w:right w:val="single" w:color="auto" w:sz="4" w:space="0"/>
            </w:tcBorders>
            <w:vAlign w:val="center"/>
          </w:tcPr>
          <w:p>
            <w:pPr>
              <w:keepNext w:val="0"/>
              <w:keepLines w:val="0"/>
              <w:pageBreakBefore w:val="0"/>
              <w:kinsoku/>
              <w:overflowPunct/>
              <w:topLinePunct w:val="0"/>
              <w:bidi w:val="0"/>
              <w:textAlignment w:val="auto"/>
              <w:outlineLvl w:val="9"/>
              <w:rPr>
                <w:sz w:val="18"/>
                <w:szCs w:val="18"/>
              </w:rPr>
            </w:pPr>
            <w:r>
              <w:rPr>
                <w:rFonts w:hint="eastAsia"/>
                <w:sz w:val="18"/>
                <w:szCs w:val="18"/>
                <w:lang w:eastAsia="zh-CN"/>
              </w:rPr>
              <w:t>发包方</w:t>
            </w:r>
            <w:r>
              <w:rPr>
                <w:rFonts w:hint="eastAsia"/>
                <w:sz w:val="18"/>
                <w:szCs w:val="18"/>
                <w:lang w:val="en-US" w:eastAsia="zh-CN"/>
              </w:rPr>
              <w:t>代表</w:t>
            </w:r>
            <w:r>
              <w:rPr>
                <w:rFonts w:hint="eastAsia"/>
                <w:sz w:val="18"/>
                <w:szCs w:val="18"/>
              </w:rPr>
              <w:t>签字：</w:t>
            </w:r>
          </w:p>
          <w:p>
            <w:pPr>
              <w:keepNext w:val="0"/>
              <w:keepLines w:val="0"/>
              <w:pageBreakBefore w:val="0"/>
              <w:kinsoku/>
              <w:overflowPunct/>
              <w:topLinePunct w:val="0"/>
              <w:bidi w:val="0"/>
              <w:textAlignment w:val="auto"/>
              <w:outlineLvl w:val="9"/>
              <w:rPr>
                <w:sz w:val="18"/>
                <w:szCs w:val="18"/>
              </w:rPr>
            </w:pPr>
          </w:p>
          <w:p>
            <w:pPr>
              <w:keepNext w:val="0"/>
              <w:keepLines w:val="0"/>
              <w:pageBreakBefore w:val="0"/>
              <w:kinsoku/>
              <w:overflowPunct/>
              <w:topLinePunct w:val="0"/>
              <w:bidi w:val="0"/>
              <w:textAlignment w:val="auto"/>
              <w:outlineLvl w:val="9"/>
              <w:rPr>
                <w:sz w:val="18"/>
                <w:szCs w:val="18"/>
              </w:rPr>
            </w:pPr>
            <w:r>
              <w:rPr>
                <w:rFonts w:hint="eastAsia"/>
                <w:sz w:val="18"/>
                <w:szCs w:val="18"/>
              </w:rPr>
              <w:t>日      期：</w:t>
            </w:r>
          </w:p>
        </w:tc>
        <w:tc>
          <w:tcPr>
            <w:tcW w:w="2940" w:type="dxa"/>
            <w:gridSpan w:val="3"/>
            <w:tcBorders>
              <w:left w:val="single" w:color="auto" w:sz="4" w:space="0"/>
              <w:bottom w:val="thickThinLargeGap" w:color="auto" w:sz="24" w:space="0"/>
              <w:right w:val="single" w:color="auto" w:sz="4" w:space="0"/>
            </w:tcBorders>
            <w:vAlign w:val="center"/>
          </w:tcPr>
          <w:p>
            <w:pPr>
              <w:keepNext w:val="0"/>
              <w:keepLines w:val="0"/>
              <w:pageBreakBefore w:val="0"/>
              <w:kinsoku/>
              <w:overflowPunct/>
              <w:topLinePunct w:val="0"/>
              <w:bidi w:val="0"/>
              <w:textAlignment w:val="auto"/>
              <w:outlineLvl w:val="9"/>
              <w:rPr>
                <w:sz w:val="18"/>
                <w:szCs w:val="18"/>
              </w:rPr>
            </w:pPr>
            <w:r>
              <w:rPr>
                <w:rFonts w:hint="eastAsia"/>
                <w:sz w:val="18"/>
                <w:szCs w:val="18"/>
              </w:rPr>
              <w:t>监理方</w:t>
            </w:r>
            <w:r>
              <w:rPr>
                <w:rFonts w:hint="eastAsia"/>
                <w:sz w:val="18"/>
                <w:szCs w:val="18"/>
                <w:lang w:val="en-US" w:eastAsia="zh-CN"/>
              </w:rPr>
              <w:t>代表</w:t>
            </w:r>
            <w:r>
              <w:rPr>
                <w:rFonts w:hint="eastAsia"/>
                <w:sz w:val="18"/>
                <w:szCs w:val="18"/>
              </w:rPr>
              <w:t>签字：</w:t>
            </w:r>
          </w:p>
          <w:p>
            <w:pPr>
              <w:keepNext w:val="0"/>
              <w:keepLines w:val="0"/>
              <w:pageBreakBefore w:val="0"/>
              <w:kinsoku/>
              <w:overflowPunct/>
              <w:topLinePunct w:val="0"/>
              <w:bidi w:val="0"/>
              <w:textAlignment w:val="auto"/>
              <w:outlineLvl w:val="9"/>
              <w:rPr>
                <w:sz w:val="18"/>
                <w:szCs w:val="18"/>
              </w:rPr>
            </w:pPr>
          </w:p>
          <w:p>
            <w:pPr>
              <w:keepNext w:val="0"/>
              <w:keepLines w:val="0"/>
              <w:pageBreakBefore w:val="0"/>
              <w:kinsoku/>
              <w:overflowPunct/>
              <w:topLinePunct w:val="0"/>
              <w:bidi w:val="0"/>
              <w:textAlignment w:val="auto"/>
              <w:outlineLvl w:val="9"/>
              <w:rPr>
                <w:sz w:val="18"/>
                <w:szCs w:val="18"/>
              </w:rPr>
            </w:pPr>
            <w:r>
              <w:rPr>
                <w:rFonts w:hint="eastAsia"/>
                <w:sz w:val="18"/>
                <w:szCs w:val="18"/>
              </w:rPr>
              <w:t>日      期：</w:t>
            </w:r>
          </w:p>
        </w:tc>
        <w:tc>
          <w:tcPr>
            <w:tcW w:w="2932" w:type="dxa"/>
            <w:gridSpan w:val="2"/>
            <w:tcBorders>
              <w:left w:val="single" w:color="auto" w:sz="4" w:space="0"/>
              <w:bottom w:val="thickThinLargeGap" w:color="auto" w:sz="24" w:space="0"/>
              <w:right w:val="thinThickLargeGap" w:color="auto" w:sz="24" w:space="0"/>
            </w:tcBorders>
            <w:vAlign w:val="center"/>
          </w:tcPr>
          <w:p>
            <w:pPr>
              <w:keepNext w:val="0"/>
              <w:keepLines w:val="0"/>
              <w:pageBreakBefore w:val="0"/>
              <w:kinsoku/>
              <w:overflowPunct/>
              <w:topLinePunct w:val="0"/>
              <w:bidi w:val="0"/>
              <w:textAlignment w:val="auto"/>
              <w:outlineLvl w:val="9"/>
              <w:rPr>
                <w:sz w:val="18"/>
                <w:szCs w:val="18"/>
              </w:rPr>
            </w:pPr>
            <w:r>
              <w:rPr>
                <w:rFonts w:hint="eastAsia"/>
                <w:sz w:val="18"/>
                <w:szCs w:val="18"/>
                <w:lang w:eastAsia="zh-CN"/>
              </w:rPr>
              <w:t>承包方</w:t>
            </w:r>
            <w:r>
              <w:rPr>
                <w:rFonts w:hint="eastAsia"/>
                <w:sz w:val="18"/>
                <w:szCs w:val="18"/>
                <w:lang w:val="en-US" w:eastAsia="zh-CN"/>
              </w:rPr>
              <w:t>代表</w:t>
            </w:r>
            <w:r>
              <w:rPr>
                <w:rFonts w:hint="eastAsia"/>
                <w:sz w:val="18"/>
                <w:szCs w:val="18"/>
              </w:rPr>
              <w:t>签字：</w:t>
            </w:r>
          </w:p>
          <w:p>
            <w:pPr>
              <w:keepNext w:val="0"/>
              <w:keepLines w:val="0"/>
              <w:pageBreakBefore w:val="0"/>
              <w:kinsoku/>
              <w:overflowPunct/>
              <w:topLinePunct w:val="0"/>
              <w:bidi w:val="0"/>
              <w:textAlignment w:val="auto"/>
              <w:outlineLvl w:val="9"/>
              <w:rPr>
                <w:sz w:val="18"/>
                <w:szCs w:val="18"/>
              </w:rPr>
            </w:pPr>
          </w:p>
          <w:p>
            <w:pPr>
              <w:keepNext w:val="0"/>
              <w:keepLines w:val="0"/>
              <w:pageBreakBefore w:val="0"/>
              <w:kinsoku/>
              <w:overflowPunct/>
              <w:topLinePunct w:val="0"/>
              <w:bidi w:val="0"/>
              <w:textAlignment w:val="auto"/>
              <w:outlineLvl w:val="9"/>
              <w:rPr>
                <w:sz w:val="18"/>
                <w:szCs w:val="18"/>
              </w:rPr>
            </w:pPr>
            <w:r>
              <w:rPr>
                <w:rFonts w:hint="eastAsia"/>
                <w:sz w:val="18"/>
                <w:szCs w:val="18"/>
              </w:rPr>
              <w:t>日      期：</w:t>
            </w:r>
          </w:p>
        </w:tc>
      </w:tr>
      <w:bookmarkEnd w:id="159"/>
    </w:tbl>
    <w:p>
      <w:pPr>
        <w:pStyle w:val="30"/>
      </w:pPr>
    </w:p>
    <w:p>
      <w:pPr>
        <w:tabs>
          <w:tab w:val="left" w:pos="6335"/>
        </w:tabs>
        <w:bidi w:val="0"/>
        <w:jc w:val="left"/>
      </w:pPr>
      <w:r>
        <w:rPr>
          <w:rFonts w:ascii="黑体" w:hAnsi="黑体" w:eastAsia="黑体"/>
        </w:rPr>
        <mc:AlternateContent>
          <mc:Choice Requires="wps">
            <w:drawing>
              <wp:anchor distT="0" distB="0" distL="114300" distR="114300" simplePos="0" relativeHeight="251670528" behindDoc="0" locked="0" layoutInCell="1" allowOverlap="1">
                <wp:simplePos x="0" y="0"/>
                <wp:positionH relativeFrom="column">
                  <wp:posOffset>2111375</wp:posOffset>
                </wp:positionH>
                <wp:positionV relativeFrom="paragraph">
                  <wp:posOffset>174625</wp:posOffset>
                </wp:positionV>
                <wp:extent cx="1800225" cy="0"/>
                <wp:effectExtent l="0" t="0" r="0" b="0"/>
                <wp:wrapNone/>
                <wp:docPr id="25" name="直接箭头连接符 5"/>
                <wp:cNvGraphicFramePr/>
                <a:graphic xmlns:a="http://schemas.openxmlformats.org/drawingml/2006/main">
                  <a:graphicData uri="http://schemas.microsoft.com/office/word/2010/wordprocessingShape">
                    <wps:wsp>
                      <wps:cNvCnPr>
                        <a:cxnSpLocks noChangeShapeType="true"/>
                      </wps:cNvCnPr>
                      <wps:spPr bwMode="auto">
                        <a:xfrm>
                          <a:off x="2970530" y="3605530"/>
                          <a:ext cx="1800225" cy="0"/>
                        </a:xfrm>
                        <a:prstGeom prst="straightConnector1">
                          <a:avLst/>
                        </a:prstGeom>
                        <a:noFill/>
                        <a:ln w="9525">
                          <a:solidFill>
                            <a:srgbClr val="000000"/>
                          </a:solidFill>
                          <a:round/>
                        </a:ln>
                        <a:effectLst/>
                      </wps:spPr>
                      <wps:bodyPr/>
                    </wps:wsp>
                  </a:graphicData>
                </a:graphic>
              </wp:anchor>
            </w:drawing>
          </mc:Choice>
          <mc:Fallback>
            <w:pict>
              <v:shape id="直接箭头连接符 5" o:spid="_x0000_s1026" o:spt="32" type="#_x0000_t32" style="position:absolute;left:0pt;margin-left:166.25pt;margin-top:13.75pt;height:0pt;width:141.75pt;z-index:251670528;mso-width-relative:page;mso-height-relative:page;" filled="f" stroked="t" coordsize="21600,21600" o:gfxdata="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t4S4nYAAAACQEAAA8AAAAAAAAAAQAgAAAAOAAAAGRycy9k&#10;b3ducmV2LnhtbFBLAQIUABQAAAAIAIdO4kCI+o+p7AEAAI4DAAAOAAAAAAAAAAEAIAAAAD0BAABk&#10;cnMvZTJvRG9jLnhtbFBLBQYAAAAABgAGAFkBAACbBQAAAAA=&#10;">
                <v:fill on="f" focussize="0,0"/>
                <v:stroke color="#000000" joinstyle="round"/>
                <v:imagedata o:title=""/>
                <o:lock v:ext="edit" aspectratio="f"/>
              </v:shape>
            </w:pict>
          </mc:Fallback>
        </mc:AlternateContent>
      </w:r>
    </w:p>
    <w:sectPr>
      <w:footerReference r:id="rId28" w:type="default"/>
      <w:footerReference r:id="rId29" w:type="even"/>
      <w:pgSz w:w="11906" w:h="16838"/>
      <w:pgMar w:top="1440" w:right="1800" w:bottom="1440" w:left="1800" w:header="1417" w:footer="1134"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2000000" w:usb3="00000000" w:csb0="2000019F"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Calibri Light">
    <w:altName w:val="DejaVu Sans"/>
    <w:panose1 w:val="020F0302020204030204"/>
    <w:charset w:val="00"/>
    <w:family w:val="swiss"/>
    <w:pitch w:val="default"/>
    <w:sig w:usb0="00000000" w:usb1="00000000" w:usb2="00000009" w:usb3="00000000" w:csb0="200001FF" w:csb1="00000000"/>
  </w:font>
  <w:font w:name="方正小标宋_GBK">
    <w:panose1 w:val="02000000000000000000"/>
    <w:charset w:val="86"/>
    <w:family w:val="script"/>
    <w:pitch w:val="default"/>
    <w:sig w:usb0="00000001" w:usb1="08000000" w:usb2="00000000" w:usb3="00000000" w:csb0="00040000" w:csb1="00000000"/>
  </w:font>
  <w:font w:name="Dotum,Bold">
    <w:altName w:val="黑体"/>
    <w:panose1 w:val="00000000000000000000"/>
    <w:charset w:val="86"/>
    <w:family w:val="auto"/>
    <w:pitch w:val="default"/>
    <w:sig w:usb0="00000000" w:usb1="00000000" w:usb2="00000010" w:usb3="00000000" w:csb0="00040000" w:csb1="00000000"/>
  </w:font>
  <w:font w:name="SimSun,Bold">
    <w:altName w:val="黑体"/>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FreeSerif">
    <w:panose1 w:val="02020603050405020304"/>
    <w:charset w:val="00"/>
    <w:family w:val="auto"/>
    <w:pitch w:val="default"/>
    <w:sig w:usb0="E59FAFFF" w:usb1="C200FDFF" w:usb2="43501B29" w:usb3="04000043" w:csb0="600101FF" w:csb1="FFFF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rPr>
        <w:rFonts w:asciiTheme="minorEastAsia" w:hAnsiTheme="minorEastAsia"/>
      </w:rPr>
    </w:pPr>
    <w:r>
      <w:rPr>
        <w:sz w:val="18"/>
      </w:rPr>
      <mc:AlternateContent>
        <mc:Choice Requires="wps">
          <w:drawing>
            <wp:anchor distT="0" distB="0" distL="114300" distR="114300" simplePos="0" relativeHeight="251671552" behindDoc="0" locked="0" layoutInCell="1" allowOverlap="1">
              <wp:simplePos x="0" y="0"/>
              <wp:positionH relativeFrom="margin">
                <wp:align>right</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155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MpAKUdAgAAKwQAAA4AAAAAAAAAAQAgAAAANQEAAGRycy9lMm9Eb2MueG1sUEsF&#10;BgAAAAAGAAYAWQEAAMQFAAAAAA==&#10;">
              <v:fill on="f" focussize="0,0"/>
              <v:stroke on="f" weight="0.5pt"/>
              <v:imagedata o:title=""/>
              <o:lock v:ext="edit" aspectratio="f"/>
              <v:textbox inset="0mm,0mm,0mm,0mm" style="mso-fit-shape-to-text:t;">
                <w:txbxContent>
                  <w:p>
                    <w:pPr>
                      <w:pStyle w:val="11"/>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asciiTheme="minorEastAsia" w:hAnsiTheme="minorEastAsia"/>
      </w:rPr>
    </w:pPr>
    <w:r>
      <w:rPr>
        <w:sz w:val="18"/>
      </w:rPr>
      <mc:AlternateContent>
        <mc:Choice Requires="wps">
          <w:drawing>
            <wp:anchor distT="0" distB="0" distL="114300" distR="114300" simplePos="0" relativeHeight="251672576" behindDoc="0" locked="0" layoutInCell="1" allowOverlap="1">
              <wp:simplePos x="0" y="0"/>
              <wp:positionH relativeFrom="margin">
                <wp:align>right</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257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CB6+YZGwIAACsEAAAOAAAAAAAAAAEAIAAAADUBAABkcnMvZTJvRG9jLnhtbFBLBQYA&#10;AAAABgAGAFkBAADCBQ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rPr>
        <w:rFonts w:asciiTheme="minorEastAsia" w:hAnsiTheme="minor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asciiTheme="minorEastAsia" w:hAnsiTheme="minor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rPr>
        <w:rFonts w:asciiTheme="minorEastAsia" w:hAnsiTheme="minorEastAsia"/>
      </w:rPr>
    </w:pPr>
    <w:r>
      <mc:AlternateContent>
        <mc:Choice Requires="wps">
          <w:drawing>
            <wp:anchor distT="0" distB="0" distL="114300" distR="114300" simplePos="0" relativeHeight="251668480" behindDoc="0" locked="0" layoutInCell="1" allowOverlap="1">
              <wp:simplePos x="0" y="0"/>
              <wp:positionH relativeFrom="margin">
                <wp:align>right</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I</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848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WAAAAZHJzL1BLAQIUABQAAAAIAIdO4kCz&#10;SVju0AAAAAUBAAAPAAAAAAAAAAEAIAAAADgAAABkcnMvZG93bnJldi54bWxQSwECFAAUAAAACACH&#10;TuJANq4ZgRYCAAAbBAAADgAAAAAAAAABACAAAAA1AQAAZHJzL2Uyb0RvYy54bWxQSwUGAAAAAAYA&#10;BgBZAQAAvQUAAAAA&#10;">
              <v:fill on="f" focussize="0,0"/>
              <v:stroke on="f" weight="0.5pt"/>
              <v:imagedata o:title=""/>
              <o:lock v:ext="edit" aspectratio="f"/>
              <v:textbox inset="0mm,0mm,0mm,0mm" style="mso-fit-shape-to-text:t;">
                <w:txbxContent>
                  <w:p>
                    <w:pPr>
                      <w:pStyle w:val="11"/>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I</w:t>
                    </w:r>
                    <w:r>
                      <w:rPr>
                        <w:rFonts w:asciiTheme="minorEastAsia" w:hAnsiTheme="minor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asciiTheme="minorEastAsia" w:hAnsiTheme="minorEastAsia"/>
      </w:rPr>
    </w:pPr>
    <w:r>
      <w:rPr>
        <w:sz w:val="18"/>
      </w:rPr>
      <mc:AlternateContent>
        <mc:Choice Requires="wps">
          <w:drawing>
            <wp:anchor distT="0" distB="0" distL="114300" distR="114300" simplePos="0" relativeHeight="251669504" behindDoc="0" locked="0" layoutInCell="1" allowOverlap="1">
              <wp:simplePos x="0" y="0"/>
              <wp:positionH relativeFrom="margin">
                <wp:align>right</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950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aVq7HgIAACs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LNJWO7QAAAABQEAAA8AAAAAAAAAAQAgAAAAOAAAAGRycy9kb3ducmV2LnhtbFBLAQIU&#10;ABQAAAAIAIdO4kAkaVq7HgIAACsEAAAOAAAAAAAAAAEAIAAAADUBAABkcnMvZTJvRG9jLnhtbFBL&#10;BQYAAAAABgAGAFkBAADFBQAAAAA=&#10;">
              <v:fill on="f" focussize="0,0"/>
              <v:stroke on="f" weight="0.5pt"/>
              <v:imagedata o:title=""/>
              <o:lock v:ext="edit" aspectratio="f"/>
              <v:textbox inset="0mm,0mm,0mm,0mm" style="mso-fit-shape-to-text:t;">
                <w:txbxContent>
                  <w:p>
                    <w:pPr>
                      <w:pStyle w:val="11"/>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rPr>
        <w:rFonts w:asciiTheme="minorEastAsia" w:hAnsiTheme="minorEastAsia"/>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asciiTheme="minorEastAsia" w:hAnsiTheme="minorEastAsia"/>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rPr>
        <w:rFonts w:asciiTheme="minorEastAsia" w:hAnsiTheme="minorEastAsia"/>
      </w:rPr>
    </w:pPr>
    <w:r>
      <mc:AlternateContent>
        <mc:Choice Requires="wps">
          <w:drawing>
            <wp:anchor distT="0" distB="0" distL="114300" distR="114300" simplePos="0" relativeHeight="251664384" behindDoc="0" locked="0" layoutInCell="1" allowOverlap="1">
              <wp:simplePos x="0" y="0"/>
              <wp:positionH relativeFrom="margin">
                <wp:align>left</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cR+mXFQIAABsEAAAOAAAAAAAAAAEAIAAAADUBAABkcnMvZTJvRG9jLnhtbFBLBQYAAAAABgAG&#10;AFkBAAC8BQAAAAA=&#10;">
              <v:fill on="f" focussize="0,0"/>
              <v:stroke on="f" weight="0.5pt"/>
              <v:imagedata o:title=""/>
              <o:lock v:ext="edit" aspectratio="f"/>
              <v:textbox inset="0mm,0mm,0mm,0mm" style="mso-fit-shape-to-text:t;">
                <w:txbxContent>
                  <w:p>
                    <w:pPr>
                      <w:pStyle w:val="11"/>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w:t>
                    </w:r>
                    <w:r>
                      <w:rPr>
                        <w:rFonts w:asciiTheme="minorEastAsia" w:hAnsiTheme="minor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asciiTheme="minorEastAsia" w:hAnsiTheme="minorEastAsia"/>
      </w:rPr>
    </w:pPr>
    <w:r>
      <mc:AlternateContent>
        <mc:Choice Requires="wps">
          <w:drawing>
            <wp:anchor distT="0" distB="0" distL="114300" distR="114300" simplePos="0" relativeHeight="251665408" behindDoc="0" locked="0" layoutInCell="1" allowOverlap="1">
              <wp:simplePos x="0" y="0"/>
              <wp:positionH relativeFrom="margin">
                <wp:align>left</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10</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fi8L5FQIAABsEAAAOAAAAAAAAAAEAIAAAADUBAABkcnMvZTJvRG9jLnhtbFBLBQYAAAAABgAG&#10;AFkBAAC8BQAAAAA=&#10;">
              <v:fill on="f" focussize="0,0"/>
              <v:stroke on="f" weight="0.5pt"/>
              <v:imagedata o:title=""/>
              <o:lock v:ext="edit" aspectratio="f"/>
              <v:textbox inset="0mm,0mm,0mm,0mm" style="mso-fit-shape-to-text:t;">
                <w:txbxContent>
                  <w:p>
                    <w:pPr>
                      <w:pStyle w:val="11"/>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10</w:t>
                    </w:r>
                    <w:r>
                      <w:rPr>
                        <w:rFonts w:asciiTheme="minorEastAsia" w:hAnsiTheme="minor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rPr>
        <w:rFonts w:asciiTheme="minorEastAsia" w:hAnsiTheme="minorEastAsia"/>
      </w:rPr>
    </w:pPr>
    <w:r>
      <w:rPr>
        <w:sz w:val="18"/>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11</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uEOqPxwCAAArBAAADgAAAAAAAAABACAAAAA1AQAAZHJzL2Uyb0RvYy54bWxQSwUG&#10;AAAAAAYABgBZAQAAwwUAAAAA&#10;">
              <v:fill on="f" focussize="0,0"/>
              <v:stroke on="f" weight="0.5pt"/>
              <v:imagedata o:title=""/>
              <o:lock v:ext="edit" aspectratio="f"/>
              <v:textbox inset="0mm,0mm,0mm,0mm" style="mso-fit-shape-to-text:t;">
                <w:txbxContent>
                  <w:p>
                    <w:pPr>
                      <w:pStyle w:val="11"/>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11</w:t>
                    </w:r>
                    <w:r>
                      <w:rPr>
                        <w:rFonts w:hint="eastAsia" w:asciiTheme="minorEastAsia" w:hAnsiTheme="minorEastAsia" w:eastAsiaTheme="minorEastAsia" w:cstheme="minor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asciiTheme="minorEastAsia" w:hAnsiTheme="minorEastAsia"/>
      </w:rPr>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MqBTIMdAgAAKwQAAA4AAAAAAAAAAQAgAAAANQEAAGRycy9lMm9Eb2MueG1sUEsF&#10;BgAAAAAGAAYAWQEAAMQFAAAAAA==&#10;">
              <v:fill on="f" focussize="0,0"/>
              <v:stroke on="f" weight="0.5pt"/>
              <v:imagedata o:title=""/>
              <o:lock v:ext="edit" aspectratio="f"/>
              <v:textbox inset="0mm,0mm,0mm,0mm" style="mso-fit-shape-to-text:t;">
                <w:txbxContent>
                  <w:p>
                    <w:pPr>
                      <w:pStyle w:val="11"/>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rPr>
        <w:rFonts w:asciiTheme="minorEastAsia" w:hAnsiTheme="minorEastAsia"/>
      </w:rPr>
    </w:pPr>
    <w:r>
      <w:rPr>
        <w:sz w:val="18"/>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11</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af7QUdAgAAKwQAAA4AAAAAAAAAAQAgAAAANQEAAGRycy9lMm9Eb2MueG1sUEsF&#10;BgAAAAAGAAYAWQEAAMQFAAAAAA==&#10;">
              <v:fill on="f" focussize="0,0"/>
              <v:stroke on="f" weight="0.5pt"/>
              <v:imagedata o:title=""/>
              <o:lock v:ext="edit" aspectratio="f"/>
              <v:textbox inset="0mm,0mm,0mm,0mm" style="mso-fit-shape-to-text:t;">
                <w:txbxContent>
                  <w:p>
                    <w:pPr>
                      <w:pStyle w:val="11"/>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11</w:t>
                    </w:r>
                    <w:r>
                      <w:rPr>
                        <w:rFonts w:hint="eastAsia" w:asciiTheme="minorEastAsia" w:hAnsiTheme="minorEastAsia" w:eastAsiaTheme="minorEastAsia" w:cstheme="minorEastAsia"/>
                      </w:rP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asciiTheme="minorEastAsia" w:hAnsiTheme="minorEastAsia"/>
      </w:rPr>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Crcv4UdAgAAKwQAAA4AAAAAAAAAAQAgAAAANQEAAGRycy9lMm9Eb2MueG1sUEsF&#10;BgAAAAAGAAYAWQEAAMQFAAAAAA==&#10;">
              <v:fill on="f" focussize="0,0"/>
              <v:stroke on="f" weight="0.5pt"/>
              <v:imagedata o:title=""/>
              <o:lock v:ext="edit" aspectratio="f"/>
              <v:textbox inset="0mm,0mm,0mm,0mm" style="mso-fit-shape-to-text:t;">
                <w:txbxContent>
                  <w:p>
                    <w:pPr>
                      <w:pStyle w:val="11"/>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rPr>
        <w:rFonts w:asciiTheme="minorEastAsia" w:hAnsiTheme="minorEastAsia"/>
      </w:rPr>
    </w:pPr>
    <w:r>
      <w:rPr>
        <w:sz w:val="18"/>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11</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2c5ZsdAgAAKwQAAA4AAAAAAAAAAQAgAAAANQEAAGRycy9lMm9Eb2MueG1sUEsF&#10;BgAAAAAGAAYAWQEAAMQFAAAAAA==&#10;">
              <v:fill on="f" focussize="0,0"/>
              <v:stroke on="f" weight="0.5pt"/>
              <v:imagedata o:title=""/>
              <o:lock v:ext="edit" aspectratio="f"/>
              <v:textbox inset="0mm,0mm,0mm,0mm" style="mso-fit-shape-to-text:t;">
                <w:txbxContent>
                  <w:p>
                    <w:pPr>
                      <w:pStyle w:val="11"/>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11</w:t>
                    </w:r>
                    <w:r>
                      <w:rPr>
                        <w:rFonts w:hint="eastAsia" w:asciiTheme="minorEastAsia" w:hAnsiTheme="minorEastAsia" w:eastAsiaTheme="minorEastAsia" w:cstheme="minorEastAsia"/>
                      </w:rP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asciiTheme="minorEastAsia" w:hAnsiTheme="minorEastAsia"/>
      </w:rPr>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239b8HAIAACs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dt/W/BwCAAArBAAADgAAAAAAAAABACAAAAA1AQAAZHJzL2Uyb0RvYy54bWxQSwUG&#10;AAAAAAYABgBZAQAAwwUAAAAA&#10;">
              <v:fill on="f" focussize="0,0"/>
              <v:stroke on="f" weight="0.5pt"/>
              <v:imagedata o:title=""/>
              <o:lock v:ext="edit" aspectratio="f"/>
              <v:textbox inset="0mm,0mm,0mm,0mm" style="mso-fit-shape-to-text:t;">
                <w:txbxContent>
                  <w:p>
                    <w:pPr>
                      <w:pStyle w:val="11"/>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rPr>
        <w:rFonts w:asciiTheme="minorEastAsia" w:hAnsiTheme="minorEastAsia"/>
      </w:rPr>
    </w:pPr>
    <w:r>
      <w:rPr>
        <w:sz w:val="18"/>
      </w:rPr>
      <mc:AlternateContent>
        <mc:Choice Requires="wps">
          <w:drawing>
            <wp:anchor distT="0" distB="0" distL="114300" distR="114300" simplePos="0" relativeHeight="251673600"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11</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360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8TPSHQIAACkEAAAOAAAAZHJz&#10;L2Uyb0RvYy54bWytU82O0zAQviPxDpbvNGlRV1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9eT/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IDxM9IdAgAAKQQAAA4AAAAAAAAAAQAgAAAANQEAAGRycy9lMm9Eb2MueG1sUEsF&#10;BgAAAAAGAAYAWQEAAMQFAAAAAA==&#10;">
              <v:fill on="f" focussize="0,0"/>
              <v:stroke on="f" weight="0.5pt"/>
              <v:imagedata o:title=""/>
              <o:lock v:ext="edit" aspectratio="f"/>
              <v:textbox inset="0mm,0mm,0mm,0mm" style="mso-fit-shape-to-text:t;">
                <w:txbxContent>
                  <w:p>
                    <w:pPr>
                      <w:pStyle w:val="11"/>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11</w:t>
                    </w:r>
                    <w:r>
                      <w:rPr>
                        <w:rFonts w:hint="eastAsia" w:asciiTheme="minorEastAsia" w:hAnsiTheme="minorEastAsia" w:eastAsiaTheme="minorEastAsia" w:cstheme="minorEastAsia"/>
                      </w:rP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asciiTheme="minorEastAsia" w:hAnsiTheme="minorEastAsia"/>
      </w:rPr>
    </w:pPr>
    <w:r>
      <w:rPr>
        <w:sz w:val="18"/>
      </w:rPr>
      <mc:AlternateContent>
        <mc:Choice Requires="wps">
          <w:drawing>
            <wp:anchor distT="0" distB="0" distL="114300" distR="114300" simplePos="0" relativeHeight="251674624"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462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K8tgzBwCAAApBAAADgAAAAAAAAABACAAAAA1AQAAZHJzL2Uyb0RvYy54bWxQSwUG&#10;AAAAAAYABgBZAQAAwwUAAAAA&#10;">
              <v:fill on="f" focussize="0,0"/>
              <v:stroke on="f" weight="0.5pt"/>
              <v:imagedata o:title=""/>
              <o:lock v:ext="edit" aspectratio="f"/>
              <v:textbox inset="0mm,0mm,0mm,0mm" style="mso-fit-shape-to-text:t;">
                <w:txbxContent>
                  <w:p>
                    <w:pPr>
                      <w:pStyle w:val="11"/>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Style w:val="35"/>
        <w:rFonts w:ascii="黑体" w:hAnsi="黑体" w:eastAsia="黑体"/>
        <w:i w:val="0"/>
        <w:color w:val="808080" w:themeColor="text1" w:themeTint="80"/>
        <w14:textFill>
          <w14:solidFill>
            <w14:schemeClr w14:val="tx1">
              <w14:lumMod w14:val="50000"/>
              <w14:lumOff w14:val="50000"/>
            </w14:schemeClr>
          </w14:solidFill>
        </w14:textFill>
      </w:rPr>
    </w:pP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lang w:val="en-US" w:eastAsia="zh-CN"/>
      </w:rPr>
      <w:t>4</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Fonts w:hint="eastAsia" w:ascii="黑体" w:hAnsi="黑体" w:eastAsia="黑体"/>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Style w:val="35"/>
        <w:rFonts w:ascii="黑体" w:hAnsi="黑体" w:eastAsia="黑体"/>
        <w:i w:val="0"/>
        <w:color w:val="808080" w:themeColor="text1" w:themeTint="80"/>
        <w14:textFill>
          <w14:solidFill>
            <w14:schemeClr w14:val="tx1">
              <w14:lumMod w14:val="50000"/>
              <w14:lumOff w14:val="50000"/>
            </w14:schemeClr>
          </w14:solidFill>
        </w14:textFill>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Style w:val="35"/>
        <w:rFonts w:ascii="黑体" w:hAnsi="黑体" w:eastAsia="黑体"/>
        <w:i w:val="0"/>
        <w:color w:val="808080" w:themeColor="text1" w:themeTint="80"/>
        <w14:textFill>
          <w14:solidFill>
            <w14:schemeClr w14:val="tx1">
              <w14:lumMod w14:val="50000"/>
              <w14:lumOff w14:val="50000"/>
            </w14:schemeClr>
          </w14:solidFill>
        </w14:textFill>
      </w:rPr>
    </w:pP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lang w:val="en-US" w:eastAsia="zh-CN"/>
      </w:rPr>
      <w:t>4</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Fonts w:hint="eastAsia" w:ascii="黑体" w:hAnsi="黑体" w:eastAsia="黑体"/>
        <w:lang w:eastAsia="zh-CN"/>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lang w:val="en-US" w:eastAsia="zh-CN"/>
      </w:rPr>
      <w:t>4</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Style w:val="35"/>
        <w:rFonts w:ascii="黑体" w:hAnsi="黑体" w:eastAsia="黑体"/>
        <w:i w:val="0"/>
        <w:color w:val="808080" w:themeColor="text1" w:themeTint="80"/>
        <w14:textFill>
          <w14:solidFill>
            <w14:schemeClr w14:val="tx1">
              <w14:lumMod w14:val="50000"/>
              <w14:lumOff w14:val="50000"/>
            </w14:schemeClr>
          </w14:solidFill>
        </w14:textFill>
      </w:rPr>
    </w:pP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lang w:val="en-US" w:eastAsia="zh-CN"/>
      </w:rPr>
      <w:t>4</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Fonts w:hint="eastAsia" w:ascii="黑体" w:hAnsi="黑体" w:eastAsia="黑体"/>
        <w:lang w:eastAsia="zh-CN"/>
      </w:rPr>
    </w:pPr>
    <w:r>
      <w:ptab w:relativeTo="margin" w:alignment="left" w:leader="none"/>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1"/>
      <w:keepNext w:val="0"/>
      <w:keepLines w:val="0"/>
      <w:pageBreakBefore w:val="0"/>
      <w:widowControl w:val="0"/>
      <w:kinsoku/>
      <w:wordWrap/>
      <w:overflowPunct/>
      <w:topLinePunct w:val="0"/>
      <w:autoSpaceDE/>
      <w:autoSpaceDN/>
      <w:bidi w:val="0"/>
      <w:adjustRightInd w:val="0"/>
      <w:snapToGrid w:val="0"/>
      <w:spacing w:after="283"/>
      <w:jc w:val="right"/>
      <w:textAlignment w:val="auto"/>
      <w:rPr>
        <w:rStyle w:val="35"/>
        <w:rFonts w:hint="eastAsia" w:ascii="黑体" w:hAnsi="黑体" w:eastAsia="黑体"/>
        <w:i w:val="0"/>
        <w:color w:val="808080" w:themeColor="text1" w:themeTint="80"/>
        <w:lang w:eastAsia="zh-CN"/>
        <w14:textFill>
          <w14:solidFill>
            <w14:schemeClr w14:val="tx1">
              <w14:lumMod w14:val="50000"/>
              <w14:lumOff w14:val="50000"/>
            </w14:schemeClr>
          </w14:solidFill>
        </w14:textFill>
      </w:rPr>
    </w:pPr>
    <w:r>
      <w:ptab w:relativeTo="margin" w:alignment="righ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lang w:val="en-US" w:eastAsia="zh-CN"/>
      </w:rPr>
      <w:t>4</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autoSpaceDE/>
      <w:autoSpaceDN/>
      <w:bidi w:val="0"/>
      <w:adjustRightInd w:val="0"/>
      <w:snapToGrid w:val="0"/>
      <w:spacing w:after="283"/>
      <w:textAlignment w:val="auto"/>
      <w:rPr>
        <w:rFonts w:hint="eastAsia" w:ascii="黑体" w:hAnsi="黑体" w:eastAsia="黑体"/>
        <w:lang w:eastAsia="zh-CN"/>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lang w:val="en-US" w:eastAsia="zh-CN"/>
      </w:rPr>
      <w:t>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3076BE"/>
    <w:multiLevelType w:val="singleLevel"/>
    <w:tmpl w:val="853076BE"/>
    <w:lvl w:ilvl="0" w:tentative="0">
      <w:start w:val="1"/>
      <w:numFmt w:val="decimal"/>
      <w:lvlText w:val="%1)"/>
      <w:lvlJc w:val="left"/>
      <w:pPr>
        <w:ind w:left="425" w:hanging="425"/>
      </w:pPr>
      <w:rPr>
        <w:rFonts w:hint="default" w:ascii="宋体" w:hAnsi="宋体" w:eastAsia="宋体" w:cs="宋体"/>
        <w:sz w:val="21"/>
        <w:szCs w:val="21"/>
      </w:rPr>
    </w:lvl>
  </w:abstractNum>
  <w:abstractNum w:abstractNumId="1">
    <w:nsid w:val="8C54664A"/>
    <w:multiLevelType w:val="singleLevel"/>
    <w:tmpl w:val="8C54664A"/>
    <w:lvl w:ilvl="0" w:tentative="0">
      <w:start w:val="1"/>
      <w:numFmt w:val="lowerLetter"/>
      <w:suff w:val="space"/>
      <w:lvlText w:val="%1）"/>
      <w:lvlJc w:val="left"/>
      <w:pPr>
        <w:ind w:left="0" w:leftChars="0" w:firstLine="420" w:firstLineChars="0"/>
      </w:pPr>
      <w:rPr>
        <w:rFonts w:hint="default" w:ascii="宋体" w:hAnsi="宋体" w:eastAsia="宋体" w:cs="宋体"/>
        <w:sz w:val="21"/>
        <w:szCs w:val="21"/>
      </w:rPr>
    </w:lvl>
  </w:abstractNum>
  <w:abstractNum w:abstractNumId="2">
    <w:nsid w:val="8F32A4F9"/>
    <w:multiLevelType w:val="singleLevel"/>
    <w:tmpl w:val="8F32A4F9"/>
    <w:lvl w:ilvl="0" w:tentative="0">
      <w:start w:val="1"/>
      <w:numFmt w:val="lowerLetter"/>
      <w:suff w:val="space"/>
      <w:lvlText w:val="%1）"/>
      <w:lvlJc w:val="left"/>
      <w:rPr>
        <w:rFonts w:hint="default" w:ascii="宋体" w:hAnsi="宋体" w:eastAsia="宋体" w:cs="宋体"/>
        <w:sz w:val="21"/>
        <w:szCs w:val="21"/>
      </w:rPr>
    </w:lvl>
  </w:abstractNum>
  <w:abstractNum w:abstractNumId="3">
    <w:nsid w:val="8F89CA1A"/>
    <w:multiLevelType w:val="singleLevel"/>
    <w:tmpl w:val="8F89CA1A"/>
    <w:lvl w:ilvl="0" w:tentative="0">
      <w:start w:val="1"/>
      <w:numFmt w:val="lowerLetter"/>
      <w:suff w:val="space"/>
      <w:lvlText w:val="%1）"/>
      <w:lvlJc w:val="left"/>
      <w:rPr>
        <w:rFonts w:hint="default" w:ascii="宋体" w:hAnsi="宋体" w:eastAsia="宋体" w:cs="宋体"/>
        <w:sz w:val="21"/>
        <w:szCs w:val="21"/>
      </w:rPr>
    </w:lvl>
  </w:abstractNum>
  <w:abstractNum w:abstractNumId="4">
    <w:nsid w:val="95C8D9F3"/>
    <w:multiLevelType w:val="singleLevel"/>
    <w:tmpl w:val="95C8D9F3"/>
    <w:lvl w:ilvl="0" w:tentative="0">
      <w:start w:val="1"/>
      <w:numFmt w:val="lowerLetter"/>
      <w:suff w:val="space"/>
      <w:lvlText w:val="%1）"/>
      <w:lvlJc w:val="left"/>
      <w:rPr>
        <w:rFonts w:hint="default" w:ascii="宋体" w:hAnsi="宋体" w:eastAsia="宋体" w:cs="宋体"/>
        <w:sz w:val="21"/>
        <w:szCs w:val="21"/>
      </w:rPr>
    </w:lvl>
  </w:abstractNum>
  <w:abstractNum w:abstractNumId="5">
    <w:nsid w:val="97781B41"/>
    <w:multiLevelType w:val="singleLevel"/>
    <w:tmpl w:val="97781B41"/>
    <w:lvl w:ilvl="0" w:tentative="0">
      <w:start w:val="1"/>
      <w:numFmt w:val="lowerLetter"/>
      <w:suff w:val="space"/>
      <w:lvlText w:val="%1）"/>
      <w:lvlJc w:val="left"/>
      <w:rPr>
        <w:rFonts w:hint="default" w:ascii="宋体" w:hAnsi="宋体" w:eastAsia="宋体" w:cs="宋体"/>
        <w:sz w:val="21"/>
        <w:szCs w:val="21"/>
      </w:rPr>
    </w:lvl>
  </w:abstractNum>
  <w:abstractNum w:abstractNumId="6">
    <w:nsid w:val="9FF6DA0A"/>
    <w:multiLevelType w:val="singleLevel"/>
    <w:tmpl w:val="9FF6DA0A"/>
    <w:lvl w:ilvl="0" w:tentative="0">
      <w:start w:val="1"/>
      <w:numFmt w:val="lowerLetter"/>
      <w:suff w:val="space"/>
      <w:lvlText w:val="%1）"/>
      <w:lvlJc w:val="left"/>
      <w:rPr>
        <w:rFonts w:hint="default" w:ascii="宋体" w:hAnsi="宋体" w:eastAsia="宋体" w:cs="宋体"/>
        <w:sz w:val="21"/>
        <w:szCs w:val="21"/>
      </w:rPr>
    </w:lvl>
  </w:abstractNum>
  <w:abstractNum w:abstractNumId="7">
    <w:nsid w:val="A05E8571"/>
    <w:multiLevelType w:val="singleLevel"/>
    <w:tmpl w:val="A05E8571"/>
    <w:lvl w:ilvl="0" w:tentative="0">
      <w:start w:val="1"/>
      <w:numFmt w:val="lowerLetter"/>
      <w:suff w:val="space"/>
      <w:lvlText w:val="%1）"/>
      <w:lvlJc w:val="left"/>
      <w:rPr>
        <w:rFonts w:hint="default" w:ascii="宋体" w:hAnsi="宋体" w:eastAsia="宋体" w:cs="宋体"/>
        <w:sz w:val="21"/>
        <w:szCs w:val="21"/>
      </w:rPr>
    </w:lvl>
  </w:abstractNum>
  <w:abstractNum w:abstractNumId="8">
    <w:nsid w:val="A146D957"/>
    <w:multiLevelType w:val="singleLevel"/>
    <w:tmpl w:val="A146D957"/>
    <w:lvl w:ilvl="0" w:tentative="0">
      <w:start w:val="1"/>
      <w:numFmt w:val="lowerLetter"/>
      <w:suff w:val="space"/>
      <w:lvlText w:val="%1）"/>
      <w:lvlJc w:val="left"/>
      <w:rPr>
        <w:rFonts w:hint="default" w:ascii="宋体" w:hAnsi="宋体" w:eastAsia="宋体" w:cs="宋体"/>
        <w:sz w:val="21"/>
        <w:szCs w:val="21"/>
      </w:rPr>
    </w:lvl>
  </w:abstractNum>
  <w:abstractNum w:abstractNumId="9">
    <w:nsid w:val="AC9CE73A"/>
    <w:multiLevelType w:val="singleLevel"/>
    <w:tmpl w:val="AC9CE73A"/>
    <w:lvl w:ilvl="0" w:tentative="0">
      <w:start w:val="1"/>
      <w:numFmt w:val="lowerLetter"/>
      <w:suff w:val="space"/>
      <w:lvlText w:val="%1）"/>
      <w:lvlJc w:val="left"/>
      <w:rPr>
        <w:rFonts w:hint="default" w:ascii="宋体" w:hAnsi="宋体" w:eastAsia="宋体" w:cs="宋体"/>
        <w:sz w:val="21"/>
        <w:szCs w:val="21"/>
      </w:rPr>
    </w:lvl>
  </w:abstractNum>
  <w:abstractNum w:abstractNumId="10">
    <w:nsid w:val="AE314BCC"/>
    <w:multiLevelType w:val="singleLevel"/>
    <w:tmpl w:val="AE314BCC"/>
    <w:lvl w:ilvl="0" w:tentative="0">
      <w:start w:val="1"/>
      <w:numFmt w:val="lowerLetter"/>
      <w:suff w:val="space"/>
      <w:lvlText w:val="%1）"/>
      <w:lvlJc w:val="left"/>
      <w:rPr>
        <w:rFonts w:hint="default" w:ascii="宋体" w:hAnsi="宋体" w:eastAsia="宋体" w:cs="宋体"/>
        <w:sz w:val="21"/>
        <w:szCs w:val="21"/>
      </w:rPr>
    </w:lvl>
  </w:abstractNum>
  <w:abstractNum w:abstractNumId="11">
    <w:nsid w:val="BC43E4A7"/>
    <w:multiLevelType w:val="singleLevel"/>
    <w:tmpl w:val="BC43E4A7"/>
    <w:lvl w:ilvl="0" w:tentative="0">
      <w:start w:val="1"/>
      <w:numFmt w:val="lowerLetter"/>
      <w:suff w:val="space"/>
      <w:lvlText w:val="%1）"/>
      <w:lvlJc w:val="left"/>
      <w:rPr>
        <w:rFonts w:hint="default" w:ascii="宋体" w:hAnsi="宋体" w:eastAsia="宋体" w:cs="宋体"/>
        <w:sz w:val="21"/>
        <w:szCs w:val="21"/>
      </w:rPr>
    </w:lvl>
  </w:abstractNum>
  <w:abstractNum w:abstractNumId="12">
    <w:nsid w:val="BFC6FBAF"/>
    <w:multiLevelType w:val="singleLevel"/>
    <w:tmpl w:val="BFC6FBAF"/>
    <w:lvl w:ilvl="0" w:tentative="0">
      <w:start w:val="1"/>
      <w:numFmt w:val="decimal"/>
      <w:lvlText w:val="%1)"/>
      <w:lvlJc w:val="left"/>
      <w:pPr>
        <w:ind w:left="425" w:hanging="425"/>
      </w:pPr>
      <w:rPr>
        <w:rFonts w:hint="default"/>
      </w:rPr>
    </w:lvl>
  </w:abstractNum>
  <w:abstractNum w:abstractNumId="13">
    <w:nsid w:val="C0168590"/>
    <w:multiLevelType w:val="singleLevel"/>
    <w:tmpl w:val="C0168590"/>
    <w:lvl w:ilvl="0" w:tentative="0">
      <w:start w:val="1"/>
      <w:numFmt w:val="lowerLetter"/>
      <w:suff w:val="space"/>
      <w:lvlText w:val="%1）"/>
      <w:lvlJc w:val="left"/>
      <w:rPr>
        <w:rFonts w:hint="default" w:ascii="宋体" w:hAnsi="宋体" w:eastAsia="宋体" w:cs="宋体"/>
        <w:sz w:val="21"/>
        <w:szCs w:val="21"/>
      </w:rPr>
    </w:lvl>
  </w:abstractNum>
  <w:abstractNum w:abstractNumId="14">
    <w:nsid w:val="C3BDD737"/>
    <w:multiLevelType w:val="singleLevel"/>
    <w:tmpl w:val="C3BDD737"/>
    <w:lvl w:ilvl="0" w:tentative="0">
      <w:start w:val="1"/>
      <w:numFmt w:val="lowerLetter"/>
      <w:suff w:val="space"/>
      <w:lvlText w:val="%1）"/>
      <w:lvlJc w:val="left"/>
      <w:rPr>
        <w:rFonts w:hint="default" w:ascii="宋体" w:hAnsi="宋体" w:eastAsia="宋体" w:cs="宋体"/>
        <w:sz w:val="21"/>
        <w:szCs w:val="21"/>
      </w:rPr>
    </w:lvl>
  </w:abstractNum>
  <w:abstractNum w:abstractNumId="15">
    <w:nsid w:val="D27B0915"/>
    <w:multiLevelType w:val="singleLevel"/>
    <w:tmpl w:val="D27B0915"/>
    <w:lvl w:ilvl="0" w:tentative="0">
      <w:start w:val="1"/>
      <w:numFmt w:val="lowerLetter"/>
      <w:suff w:val="space"/>
      <w:lvlText w:val="%1）"/>
      <w:lvlJc w:val="left"/>
      <w:rPr>
        <w:rFonts w:hint="default" w:ascii="宋体" w:hAnsi="宋体" w:eastAsia="宋体" w:cs="宋体"/>
        <w:sz w:val="21"/>
        <w:szCs w:val="21"/>
      </w:rPr>
    </w:lvl>
  </w:abstractNum>
  <w:abstractNum w:abstractNumId="16">
    <w:nsid w:val="D38E2181"/>
    <w:multiLevelType w:val="singleLevel"/>
    <w:tmpl w:val="D38E2181"/>
    <w:lvl w:ilvl="0" w:tentative="0">
      <w:start w:val="1"/>
      <w:numFmt w:val="lowerLetter"/>
      <w:suff w:val="space"/>
      <w:lvlText w:val="%1）"/>
      <w:lvlJc w:val="left"/>
      <w:rPr>
        <w:rFonts w:hint="default" w:ascii="宋体" w:hAnsi="宋体" w:eastAsia="宋体" w:cs="宋体"/>
        <w:sz w:val="21"/>
        <w:szCs w:val="21"/>
      </w:rPr>
    </w:lvl>
  </w:abstractNum>
  <w:abstractNum w:abstractNumId="17">
    <w:nsid w:val="DD95B9C5"/>
    <w:multiLevelType w:val="singleLevel"/>
    <w:tmpl w:val="DD95B9C5"/>
    <w:lvl w:ilvl="0" w:tentative="0">
      <w:start w:val="1"/>
      <w:numFmt w:val="lowerLetter"/>
      <w:suff w:val="space"/>
      <w:lvlText w:val="%1）"/>
      <w:lvlJc w:val="left"/>
      <w:rPr>
        <w:rFonts w:hint="default" w:ascii="宋体" w:hAnsi="宋体" w:eastAsia="宋体" w:cs="宋体"/>
        <w:sz w:val="21"/>
        <w:szCs w:val="21"/>
      </w:rPr>
    </w:lvl>
  </w:abstractNum>
  <w:abstractNum w:abstractNumId="18">
    <w:nsid w:val="E4E53F94"/>
    <w:multiLevelType w:val="singleLevel"/>
    <w:tmpl w:val="E4E53F94"/>
    <w:lvl w:ilvl="0" w:tentative="0">
      <w:start w:val="1"/>
      <w:numFmt w:val="decimal"/>
      <w:lvlText w:val="%1)"/>
      <w:lvlJc w:val="left"/>
      <w:pPr>
        <w:ind w:left="425" w:hanging="425"/>
      </w:pPr>
      <w:rPr>
        <w:rFonts w:hint="default" w:ascii="宋体" w:hAnsi="宋体" w:eastAsia="宋体" w:cs="宋体"/>
        <w:sz w:val="21"/>
        <w:szCs w:val="21"/>
      </w:rPr>
    </w:lvl>
  </w:abstractNum>
  <w:abstractNum w:abstractNumId="19">
    <w:nsid w:val="EAEE13F4"/>
    <w:multiLevelType w:val="singleLevel"/>
    <w:tmpl w:val="EAEE13F4"/>
    <w:lvl w:ilvl="0" w:tentative="0">
      <w:start w:val="1"/>
      <w:numFmt w:val="lowerLetter"/>
      <w:suff w:val="space"/>
      <w:lvlText w:val="%1）"/>
      <w:lvlJc w:val="left"/>
      <w:rPr>
        <w:rFonts w:hint="default" w:ascii="宋体" w:hAnsi="宋体" w:eastAsia="宋体" w:cs="宋体"/>
        <w:sz w:val="21"/>
        <w:szCs w:val="21"/>
      </w:rPr>
    </w:lvl>
  </w:abstractNum>
  <w:abstractNum w:abstractNumId="20">
    <w:nsid w:val="ED9F55D0"/>
    <w:multiLevelType w:val="singleLevel"/>
    <w:tmpl w:val="ED9F55D0"/>
    <w:lvl w:ilvl="0" w:tentative="0">
      <w:start w:val="1"/>
      <w:numFmt w:val="lowerLetter"/>
      <w:suff w:val="space"/>
      <w:lvlText w:val="%1）"/>
      <w:lvlJc w:val="left"/>
      <w:rPr>
        <w:rFonts w:hint="default" w:ascii="宋体" w:hAnsi="宋体" w:eastAsia="宋体" w:cs="宋体"/>
        <w:sz w:val="21"/>
        <w:szCs w:val="21"/>
      </w:rPr>
    </w:lvl>
  </w:abstractNum>
  <w:abstractNum w:abstractNumId="21">
    <w:nsid w:val="EEC94072"/>
    <w:multiLevelType w:val="singleLevel"/>
    <w:tmpl w:val="EEC94072"/>
    <w:lvl w:ilvl="0" w:tentative="0">
      <w:start w:val="1"/>
      <w:numFmt w:val="lowerLetter"/>
      <w:suff w:val="space"/>
      <w:lvlText w:val="%1）"/>
      <w:lvlJc w:val="left"/>
      <w:rPr>
        <w:rFonts w:hint="default" w:ascii="宋体" w:hAnsi="宋体" w:eastAsia="宋体" w:cs="宋体"/>
        <w:sz w:val="21"/>
        <w:szCs w:val="21"/>
      </w:rPr>
    </w:lvl>
  </w:abstractNum>
  <w:abstractNum w:abstractNumId="22">
    <w:nsid w:val="EFF7255F"/>
    <w:multiLevelType w:val="singleLevel"/>
    <w:tmpl w:val="EFF7255F"/>
    <w:lvl w:ilvl="0" w:tentative="0">
      <w:start w:val="1"/>
      <w:numFmt w:val="lowerLetter"/>
      <w:suff w:val="space"/>
      <w:lvlText w:val="%1）"/>
      <w:lvlJc w:val="left"/>
      <w:pPr>
        <w:ind w:left="0" w:leftChars="0" w:firstLine="420" w:firstLineChars="0"/>
      </w:pPr>
      <w:rPr>
        <w:rFonts w:hint="default" w:ascii="宋体" w:hAnsi="宋体" w:eastAsia="宋体" w:cs="宋体"/>
        <w:sz w:val="21"/>
        <w:szCs w:val="21"/>
      </w:rPr>
    </w:lvl>
  </w:abstractNum>
  <w:abstractNum w:abstractNumId="23">
    <w:nsid w:val="F08C529E"/>
    <w:multiLevelType w:val="singleLevel"/>
    <w:tmpl w:val="F08C529E"/>
    <w:lvl w:ilvl="0" w:tentative="0">
      <w:start w:val="1"/>
      <w:numFmt w:val="lowerLetter"/>
      <w:suff w:val="space"/>
      <w:lvlText w:val="%1）"/>
      <w:lvlJc w:val="left"/>
      <w:rPr>
        <w:rFonts w:hint="default" w:ascii="宋体" w:hAnsi="宋体" w:eastAsia="宋体" w:cs="宋体"/>
        <w:sz w:val="21"/>
        <w:szCs w:val="21"/>
      </w:rPr>
    </w:lvl>
  </w:abstractNum>
  <w:abstractNum w:abstractNumId="24">
    <w:nsid w:val="01AA219C"/>
    <w:multiLevelType w:val="singleLevel"/>
    <w:tmpl w:val="01AA219C"/>
    <w:lvl w:ilvl="0" w:tentative="0">
      <w:start w:val="1"/>
      <w:numFmt w:val="lowerLetter"/>
      <w:suff w:val="space"/>
      <w:lvlText w:val="%1）"/>
      <w:lvlJc w:val="left"/>
      <w:rPr>
        <w:rFonts w:hint="default" w:ascii="宋体" w:hAnsi="宋体" w:eastAsia="宋体" w:cs="宋体"/>
        <w:sz w:val="21"/>
        <w:szCs w:val="21"/>
      </w:rPr>
    </w:lvl>
  </w:abstractNum>
  <w:abstractNum w:abstractNumId="25">
    <w:nsid w:val="07ED3FEA"/>
    <w:multiLevelType w:val="multilevel"/>
    <w:tmpl w:val="07ED3FEA"/>
    <w:lvl w:ilvl="0" w:tentative="0">
      <w:start w:val="1"/>
      <w:numFmt w:val="none"/>
      <w:pStyle w:val="34"/>
      <w:lvlText w:val="%1"/>
      <w:lvlJc w:val="left"/>
      <w:pPr>
        <w:ind w:left="425" w:hanging="425"/>
      </w:pPr>
      <w:rPr>
        <w:rFonts w:hint="eastAsia"/>
      </w:rPr>
    </w:lvl>
    <w:lvl w:ilvl="1" w:tentative="0">
      <w:start w:val="1"/>
      <w:numFmt w:val="decimal"/>
      <w:suff w:val="nothing"/>
      <w:lvlText w:val="%10.%2 "/>
      <w:lvlJc w:val="left"/>
      <w:pPr>
        <w:ind w:left="0" w:firstLine="0"/>
      </w:pPr>
      <w:rPr>
        <w:rFonts w:hint="eastAsia" w:ascii="黑体" w:eastAsia="黑体" w:hAnsiTheme="minorHAnsi"/>
        <w:b w:val="0"/>
        <w:i w:val="0"/>
        <w:sz w:val="21"/>
      </w:rPr>
    </w:lvl>
    <w:lvl w:ilvl="2" w:tentative="0">
      <w:start w:val="1"/>
      <w:numFmt w:val="decimal"/>
      <w:suff w:val="nothing"/>
      <w:lvlText w:val="%10.%2.%3 "/>
      <w:lvlJc w:val="left"/>
      <w:pPr>
        <w:ind w:left="0" w:firstLine="0"/>
      </w:pPr>
      <w:rPr>
        <w:rFonts w:hint="eastAsia" w:ascii="黑体" w:eastAsia="黑体" w:hAnsiTheme="minorHAnsi"/>
        <w:b w:val="0"/>
        <w:i w:val="0"/>
        <w:sz w:val="21"/>
      </w:rPr>
    </w:lvl>
    <w:lvl w:ilvl="3" w:tentative="0">
      <w:start w:val="1"/>
      <w:numFmt w:val="decimal"/>
      <w:suff w:val="nothing"/>
      <w:lvlText w:val="%10.%2.%3.%4 "/>
      <w:lvlJc w:val="left"/>
      <w:pPr>
        <w:ind w:left="0" w:firstLine="0"/>
      </w:pPr>
      <w:rPr>
        <w:rFonts w:hint="eastAsia" w:ascii="黑体" w:eastAsia="黑体" w:hAnsiTheme="minorHAnsi"/>
        <w:b w:val="0"/>
        <w:i w:val="0"/>
        <w:sz w:val="21"/>
      </w:rPr>
    </w:lvl>
    <w:lvl w:ilvl="4" w:tentative="0">
      <w:start w:val="1"/>
      <w:numFmt w:val="decimal"/>
      <w:suff w:val="nothing"/>
      <w:lvlText w:val="%10.%2.%3.%4.%5 "/>
      <w:lvlJc w:val="left"/>
      <w:pPr>
        <w:ind w:left="0" w:firstLine="0"/>
      </w:pPr>
      <w:rPr>
        <w:rFonts w:hint="eastAsia" w:ascii="黑体" w:eastAsia="黑体" w:hAnsiTheme="minorHAnsi"/>
        <w:b w:val="0"/>
        <w:i w:val="0"/>
        <w:sz w:val="21"/>
      </w:rPr>
    </w:lvl>
    <w:lvl w:ilvl="5" w:tentative="0">
      <w:start w:val="1"/>
      <w:numFmt w:val="decimal"/>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6">
    <w:nsid w:val="0AF26C84"/>
    <w:multiLevelType w:val="singleLevel"/>
    <w:tmpl w:val="0AF26C84"/>
    <w:lvl w:ilvl="0" w:tentative="0">
      <w:start w:val="1"/>
      <w:numFmt w:val="lowerLetter"/>
      <w:suff w:val="space"/>
      <w:lvlText w:val="%1）"/>
      <w:lvlJc w:val="left"/>
      <w:rPr>
        <w:rFonts w:hint="default" w:ascii="宋体" w:hAnsi="宋体" w:eastAsia="宋体" w:cs="宋体"/>
        <w:sz w:val="21"/>
        <w:szCs w:val="21"/>
      </w:rPr>
    </w:lvl>
  </w:abstractNum>
  <w:abstractNum w:abstractNumId="27">
    <w:nsid w:val="15AE447C"/>
    <w:multiLevelType w:val="singleLevel"/>
    <w:tmpl w:val="15AE447C"/>
    <w:lvl w:ilvl="0" w:tentative="0">
      <w:start w:val="1"/>
      <w:numFmt w:val="lowerLetter"/>
      <w:suff w:val="space"/>
      <w:lvlText w:val="%1）"/>
      <w:lvlJc w:val="left"/>
      <w:rPr>
        <w:rFonts w:hint="default" w:ascii="宋体" w:hAnsi="宋体" w:eastAsia="宋体" w:cs="宋体"/>
        <w:sz w:val="21"/>
        <w:szCs w:val="21"/>
      </w:rPr>
    </w:lvl>
  </w:abstractNum>
  <w:abstractNum w:abstractNumId="28">
    <w:nsid w:val="15EF0C26"/>
    <w:multiLevelType w:val="multilevel"/>
    <w:tmpl w:val="15EF0C26"/>
    <w:lvl w:ilvl="0" w:tentative="0">
      <w:start w:val="1"/>
      <w:numFmt w:val="lowerLetter"/>
      <w:pStyle w:val="39"/>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9">
    <w:nsid w:val="16E11442"/>
    <w:multiLevelType w:val="singleLevel"/>
    <w:tmpl w:val="16E11442"/>
    <w:lvl w:ilvl="0" w:tentative="0">
      <w:start w:val="1"/>
      <w:numFmt w:val="lowerLetter"/>
      <w:suff w:val="space"/>
      <w:lvlText w:val="%1）"/>
      <w:lvlJc w:val="left"/>
      <w:rPr>
        <w:rFonts w:hint="default" w:ascii="宋体" w:hAnsi="宋体" w:eastAsia="宋体" w:cs="宋体"/>
        <w:sz w:val="21"/>
        <w:szCs w:val="21"/>
      </w:rPr>
    </w:lvl>
  </w:abstractNum>
  <w:abstractNum w:abstractNumId="30">
    <w:nsid w:val="173509C4"/>
    <w:multiLevelType w:val="singleLevel"/>
    <w:tmpl w:val="173509C4"/>
    <w:lvl w:ilvl="0" w:tentative="0">
      <w:start w:val="1"/>
      <w:numFmt w:val="decimal"/>
      <w:lvlText w:val="%1)"/>
      <w:lvlJc w:val="left"/>
      <w:pPr>
        <w:ind w:left="425" w:hanging="425"/>
      </w:pPr>
      <w:rPr>
        <w:rFonts w:hint="default" w:ascii="宋体" w:hAnsi="宋体" w:eastAsia="宋体" w:cs="宋体"/>
        <w:sz w:val="21"/>
        <w:szCs w:val="21"/>
      </w:rPr>
    </w:lvl>
  </w:abstractNum>
  <w:abstractNum w:abstractNumId="31">
    <w:nsid w:val="184EEDA6"/>
    <w:multiLevelType w:val="singleLevel"/>
    <w:tmpl w:val="184EEDA6"/>
    <w:lvl w:ilvl="0" w:tentative="0">
      <w:start w:val="1"/>
      <w:numFmt w:val="lowerLetter"/>
      <w:suff w:val="space"/>
      <w:lvlText w:val="%1）"/>
      <w:lvlJc w:val="left"/>
      <w:rPr>
        <w:rFonts w:hint="default" w:ascii="宋体" w:hAnsi="宋体" w:eastAsia="宋体" w:cs="宋体"/>
        <w:sz w:val="21"/>
        <w:szCs w:val="21"/>
      </w:rPr>
    </w:lvl>
  </w:abstractNum>
  <w:abstractNum w:abstractNumId="32">
    <w:nsid w:val="1976A9B7"/>
    <w:multiLevelType w:val="singleLevel"/>
    <w:tmpl w:val="1976A9B7"/>
    <w:lvl w:ilvl="0" w:tentative="0">
      <w:start w:val="1"/>
      <w:numFmt w:val="lowerLetter"/>
      <w:suff w:val="space"/>
      <w:lvlText w:val="%1）"/>
      <w:lvlJc w:val="left"/>
      <w:rPr>
        <w:rFonts w:hint="default" w:ascii="宋体" w:hAnsi="宋体" w:eastAsia="宋体" w:cs="宋体"/>
        <w:sz w:val="21"/>
        <w:szCs w:val="21"/>
      </w:rPr>
    </w:lvl>
  </w:abstractNum>
  <w:abstractNum w:abstractNumId="33">
    <w:nsid w:val="263A3617"/>
    <w:multiLevelType w:val="singleLevel"/>
    <w:tmpl w:val="263A3617"/>
    <w:lvl w:ilvl="0" w:tentative="0">
      <w:start w:val="1"/>
      <w:numFmt w:val="lowerLetter"/>
      <w:suff w:val="space"/>
      <w:lvlText w:val="%1）"/>
      <w:lvlJc w:val="left"/>
      <w:rPr>
        <w:rFonts w:hint="default" w:ascii="宋体" w:hAnsi="宋体" w:eastAsia="宋体" w:cs="宋体"/>
        <w:sz w:val="21"/>
        <w:szCs w:val="21"/>
      </w:rPr>
    </w:lvl>
  </w:abstractNum>
  <w:abstractNum w:abstractNumId="34">
    <w:nsid w:val="2C9B156C"/>
    <w:multiLevelType w:val="singleLevel"/>
    <w:tmpl w:val="2C9B156C"/>
    <w:lvl w:ilvl="0" w:tentative="0">
      <w:start w:val="1"/>
      <w:numFmt w:val="lowerLetter"/>
      <w:suff w:val="space"/>
      <w:lvlText w:val="%1）"/>
      <w:lvlJc w:val="left"/>
      <w:rPr>
        <w:rFonts w:hint="default" w:ascii="宋体" w:hAnsi="宋体" w:eastAsia="宋体" w:cs="宋体"/>
        <w:sz w:val="21"/>
        <w:szCs w:val="21"/>
      </w:rPr>
    </w:lvl>
  </w:abstractNum>
  <w:abstractNum w:abstractNumId="35">
    <w:nsid w:val="2EBC9254"/>
    <w:multiLevelType w:val="singleLevel"/>
    <w:tmpl w:val="2EBC9254"/>
    <w:lvl w:ilvl="0" w:tentative="0">
      <w:start w:val="1"/>
      <w:numFmt w:val="decimal"/>
      <w:lvlText w:val="%1)"/>
      <w:lvlJc w:val="left"/>
      <w:pPr>
        <w:ind w:left="425" w:hanging="425"/>
      </w:pPr>
      <w:rPr>
        <w:rFonts w:hint="default" w:ascii="宋体" w:hAnsi="宋体" w:eastAsia="宋体" w:cs="宋体"/>
        <w:sz w:val="21"/>
        <w:szCs w:val="21"/>
      </w:rPr>
    </w:lvl>
  </w:abstractNum>
  <w:abstractNum w:abstractNumId="36">
    <w:nsid w:val="3677C51F"/>
    <w:multiLevelType w:val="singleLevel"/>
    <w:tmpl w:val="3677C51F"/>
    <w:lvl w:ilvl="0" w:tentative="0">
      <w:start w:val="1"/>
      <w:numFmt w:val="lowerLetter"/>
      <w:suff w:val="space"/>
      <w:lvlText w:val="%1）"/>
      <w:lvlJc w:val="left"/>
      <w:rPr>
        <w:rFonts w:hint="default" w:ascii="宋体" w:hAnsi="宋体" w:eastAsia="宋体" w:cs="宋体"/>
        <w:sz w:val="21"/>
        <w:szCs w:val="21"/>
      </w:rPr>
    </w:lvl>
  </w:abstractNum>
  <w:abstractNum w:abstractNumId="37">
    <w:nsid w:val="483DC7F8"/>
    <w:multiLevelType w:val="singleLevel"/>
    <w:tmpl w:val="483DC7F8"/>
    <w:lvl w:ilvl="0" w:tentative="0">
      <w:start w:val="1"/>
      <w:numFmt w:val="decimal"/>
      <w:lvlText w:val="%1)"/>
      <w:lvlJc w:val="left"/>
      <w:pPr>
        <w:ind w:left="425" w:hanging="425"/>
      </w:pPr>
      <w:rPr>
        <w:rFonts w:hint="default" w:ascii="宋体" w:hAnsi="宋体" w:eastAsia="宋体" w:cs="宋体"/>
        <w:sz w:val="21"/>
        <w:szCs w:val="21"/>
      </w:rPr>
    </w:lvl>
  </w:abstractNum>
  <w:abstractNum w:abstractNumId="38">
    <w:nsid w:val="50E473FC"/>
    <w:multiLevelType w:val="singleLevel"/>
    <w:tmpl w:val="50E473FC"/>
    <w:lvl w:ilvl="0" w:tentative="0">
      <w:start w:val="1"/>
      <w:numFmt w:val="lowerLetter"/>
      <w:suff w:val="space"/>
      <w:lvlText w:val="%1）"/>
      <w:lvlJc w:val="left"/>
      <w:rPr>
        <w:rFonts w:hint="default" w:ascii="宋体" w:hAnsi="宋体" w:eastAsia="宋体" w:cs="宋体"/>
        <w:sz w:val="21"/>
        <w:szCs w:val="21"/>
      </w:rPr>
    </w:lvl>
  </w:abstractNum>
  <w:abstractNum w:abstractNumId="39">
    <w:nsid w:val="50FDF213"/>
    <w:multiLevelType w:val="singleLevel"/>
    <w:tmpl w:val="50FDF213"/>
    <w:lvl w:ilvl="0" w:tentative="0">
      <w:start w:val="1"/>
      <w:numFmt w:val="lowerLetter"/>
      <w:suff w:val="space"/>
      <w:lvlText w:val="%1）"/>
      <w:lvlJc w:val="left"/>
      <w:rPr>
        <w:rFonts w:hint="default" w:ascii="宋体" w:hAnsi="宋体" w:eastAsia="宋体" w:cs="宋体"/>
        <w:sz w:val="21"/>
        <w:szCs w:val="21"/>
      </w:rPr>
    </w:lvl>
  </w:abstractNum>
  <w:abstractNum w:abstractNumId="40">
    <w:nsid w:val="51810A6F"/>
    <w:multiLevelType w:val="singleLevel"/>
    <w:tmpl w:val="51810A6F"/>
    <w:lvl w:ilvl="0" w:tentative="0">
      <w:start w:val="1"/>
      <w:numFmt w:val="decimal"/>
      <w:lvlText w:val="%1)"/>
      <w:lvlJc w:val="left"/>
      <w:pPr>
        <w:ind w:left="425" w:hanging="425"/>
      </w:pPr>
      <w:rPr>
        <w:rFonts w:hint="default" w:ascii="宋体" w:hAnsi="宋体" w:eastAsia="宋体" w:cs="宋体"/>
        <w:sz w:val="21"/>
        <w:szCs w:val="21"/>
      </w:rPr>
    </w:lvl>
  </w:abstractNum>
  <w:abstractNum w:abstractNumId="41">
    <w:nsid w:val="5282F8F8"/>
    <w:multiLevelType w:val="singleLevel"/>
    <w:tmpl w:val="5282F8F8"/>
    <w:lvl w:ilvl="0" w:tentative="0">
      <w:start w:val="1"/>
      <w:numFmt w:val="lowerLetter"/>
      <w:suff w:val="space"/>
      <w:lvlText w:val="%1）"/>
      <w:lvlJc w:val="left"/>
      <w:rPr>
        <w:rFonts w:hint="default" w:ascii="宋体" w:hAnsi="宋体" w:eastAsia="宋体" w:cs="宋体"/>
        <w:sz w:val="21"/>
        <w:szCs w:val="21"/>
      </w:rPr>
    </w:lvl>
  </w:abstractNum>
  <w:abstractNum w:abstractNumId="42">
    <w:nsid w:val="5AE858F4"/>
    <w:multiLevelType w:val="singleLevel"/>
    <w:tmpl w:val="5AE858F4"/>
    <w:lvl w:ilvl="0" w:tentative="0">
      <w:start w:val="1"/>
      <w:numFmt w:val="decimal"/>
      <w:lvlText w:val="%1)"/>
      <w:lvlJc w:val="left"/>
      <w:pPr>
        <w:ind w:left="425" w:hanging="425"/>
      </w:pPr>
      <w:rPr>
        <w:rFonts w:hint="default" w:ascii="宋体" w:hAnsi="宋体" w:eastAsia="宋体" w:cs="宋体"/>
        <w:sz w:val="21"/>
        <w:szCs w:val="21"/>
      </w:rPr>
    </w:lvl>
  </w:abstractNum>
  <w:abstractNum w:abstractNumId="43">
    <w:nsid w:val="646260FA"/>
    <w:multiLevelType w:val="multilevel"/>
    <w:tmpl w:val="646260FA"/>
    <w:lvl w:ilvl="0" w:tentative="0">
      <w:start w:val="1"/>
      <w:numFmt w:val="decimal"/>
      <w:pStyle w:val="42"/>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44">
    <w:nsid w:val="6558193F"/>
    <w:multiLevelType w:val="singleLevel"/>
    <w:tmpl w:val="6558193F"/>
    <w:lvl w:ilvl="0" w:tentative="0">
      <w:start w:val="1"/>
      <w:numFmt w:val="decimal"/>
      <w:lvlText w:val="%1)"/>
      <w:lvlJc w:val="left"/>
      <w:pPr>
        <w:ind w:left="425" w:hanging="425"/>
      </w:pPr>
      <w:rPr>
        <w:rFonts w:hint="default" w:ascii="宋体" w:hAnsi="宋体" w:eastAsia="宋体" w:cs="宋体"/>
        <w:sz w:val="21"/>
        <w:szCs w:val="21"/>
      </w:rPr>
    </w:lvl>
  </w:abstractNum>
  <w:abstractNum w:abstractNumId="45">
    <w:nsid w:val="657D3FBC"/>
    <w:multiLevelType w:val="multilevel"/>
    <w:tmpl w:val="657D3FBC"/>
    <w:lvl w:ilvl="0" w:tentative="0">
      <w:start w:val="1"/>
      <w:numFmt w:val="upperLetter"/>
      <w:suff w:val="nothing"/>
      <w:lvlText w:val="附　录　%1"/>
      <w:lvlJc w:val="left"/>
      <w:pPr>
        <w:ind w:left="4410" w:firstLine="0"/>
      </w:pPr>
      <w:rPr>
        <w:rFonts w:hint="eastAsia" w:ascii="黑体" w:hAnsi="Times New Roman" w:eastAsia="黑体"/>
        <w:b w:val="0"/>
        <w:i w:val="0"/>
        <w:spacing w:val="0"/>
        <w:w w:val="100"/>
        <w:sz w:val="21"/>
      </w:rPr>
    </w:lvl>
    <w:lvl w:ilvl="1" w:tentative="0">
      <w:start w:val="1"/>
      <w:numFmt w:val="decimal"/>
      <w:pStyle w:val="40"/>
      <w:suff w:val="nothing"/>
      <w:lvlText w:val="%1.%2　"/>
      <w:lvlJc w:val="left"/>
      <w:pPr>
        <w:ind w:left="44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4410" w:firstLine="0"/>
      </w:pPr>
      <w:rPr>
        <w:rFonts w:hint="eastAsia" w:ascii="黑体" w:hAnsi="Times New Roman" w:eastAsia="黑体"/>
        <w:b w:val="0"/>
        <w:i w:val="0"/>
        <w:sz w:val="21"/>
      </w:rPr>
    </w:lvl>
    <w:lvl w:ilvl="3" w:tentative="0">
      <w:start w:val="1"/>
      <w:numFmt w:val="decimal"/>
      <w:suff w:val="nothing"/>
      <w:lvlText w:val="%1.%2.%3.%4　"/>
      <w:lvlJc w:val="left"/>
      <w:pPr>
        <w:ind w:left="4410" w:firstLine="0"/>
      </w:pPr>
      <w:rPr>
        <w:rFonts w:hint="eastAsia" w:ascii="黑体" w:hAnsi="Times New Roman" w:eastAsia="黑体"/>
        <w:b w:val="0"/>
        <w:i w:val="0"/>
        <w:sz w:val="21"/>
      </w:rPr>
    </w:lvl>
    <w:lvl w:ilvl="4" w:tentative="0">
      <w:start w:val="1"/>
      <w:numFmt w:val="decimal"/>
      <w:suff w:val="nothing"/>
      <w:lvlText w:val="%1.%2.%3.%4.%5　"/>
      <w:lvlJc w:val="left"/>
      <w:pPr>
        <w:ind w:left="4410" w:firstLine="0"/>
      </w:pPr>
      <w:rPr>
        <w:rFonts w:hint="eastAsia" w:ascii="黑体" w:hAnsi="Times New Roman" w:eastAsia="黑体"/>
        <w:b w:val="0"/>
        <w:i w:val="0"/>
        <w:sz w:val="21"/>
      </w:rPr>
    </w:lvl>
    <w:lvl w:ilvl="5" w:tentative="0">
      <w:start w:val="1"/>
      <w:numFmt w:val="decimal"/>
      <w:suff w:val="nothing"/>
      <w:lvlText w:val="%1.%2.%3.%4.%5.%6　"/>
      <w:lvlJc w:val="left"/>
      <w:pPr>
        <w:ind w:left="4410" w:firstLine="0"/>
      </w:pPr>
      <w:rPr>
        <w:rFonts w:hint="eastAsia" w:ascii="黑体" w:hAnsi="Times New Roman" w:eastAsia="黑体"/>
        <w:b w:val="0"/>
        <w:i w:val="0"/>
        <w:sz w:val="21"/>
      </w:rPr>
    </w:lvl>
    <w:lvl w:ilvl="6" w:tentative="0">
      <w:start w:val="1"/>
      <w:numFmt w:val="decimal"/>
      <w:suff w:val="nothing"/>
      <w:lvlText w:val="%1.%2.%3.%4.%5.%6.%7　"/>
      <w:lvlJc w:val="left"/>
      <w:pPr>
        <w:ind w:left="441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8804" w:hanging="1418"/>
      </w:pPr>
      <w:rPr>
        <w:rFonts w:hint="eastAsia"/>
      </w:rPr>
    </w:lvl>
    <w:lvl w:ilvl="8" w:tentative="0">
      <w:start w:val="1"/>
      <w:numFmt w:val="decimal"/>
      <w:lvlText w:val="%1.%2.%3.%4.%5.%6.%7.%8.%9"/>
      <w:lvlJc w:val="left"/>
      <w:pPr>
        <w:tabs>
          <w:tab w:val="left" w:pos="5102"/>
        </w:tabs>
        <w:ind w:left="9512" w:hanging="1700"/>
      </w:pPr>
      <w:rPr>
        <w:rFonts w:hint="eastAsia"/>
      </w:rPr>
    </w:lvl>
  </w:abstractNum>
  <w:abstractNum w:abstractNumId="46">
    <w:nsid w:val="66E44569"/>
    <w:multiLevelType w:val="singleLevel"/>
    <w:tmpl w:val="66E44569"/>
    <w:lvl w:ilvl="0" w:tentative="0">
      <w:start w:val="1"/>
      <w:numFmt w:val="lowerLetter"/>
      <w:suff w:val="space"/>
      <w:lvlText w:val="%1）"/>
      <w:lvlJc w:val="left"/>
      <w:rPr>
        <w:rFonts w:hint="default" w:ascii="宋体" w:hAnsi="宋体" w:eastAsia="宋体" w:cs="宋体"/>
        <w:sz w:val="21"/>
        <w:szCs w:val="21"/>
      </w:rPr>
    </w:lvl>
  </w:abstractNum>
  <w:abstractNum w:abstractNumId="47">
    <w:nsid w:val="68316829"/>
    <w:multiLevelType w:val="singleLevel"/>
    <w:tmpl w:val="68316829"/>
    <w:lvl w:ilvl="0" w:tentative="0">
      <w:start w:val="1"/>
      <w:numFmt w:val="lowerLetter"/>
      <w:suff w:val="space"/>
      <w:lvlText w:val="%1）"/>
      <w:lvlJc w:val="left"/>
      <w:rPr>
        <w:rFonts w:hint="default" w:ascii="宋体" w:hAnsi="宋体" w:eastAsia="宋体" w:cs="宋体"/>
        <w:sz w:val="21"/>
        <w:szCs w:val="21"/>
      </w:rPr>
    </w:lvl>
  </w:abstractNum>
  <w:abstractNum w:abstractNumId="48">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29"/>
      <w:suff w:val="nothing"/>
      <w:lvlText w:val="%1%2　"/>
      <w:lvlJc w:val="left"/>
      <w:pPr>
        <w:ind w:left="0" w:firstLine="0"/>
      </w:pPr>
      <w:rPr>
        <w:rFonts w:hint="eastAsia" w:ascii="黑体" w:eastAsia="黑体"/>
        <w:b w:val="0"/>
        <w:i w:val="0"/>
        <w:color w:val="000000"/>
        <w:sz w:val="21"/>
      </w:rPr>
    </w:lvl>
    <w:lvl w:ilvl="2" w:tentative="0">
      <w:start w:val="1"/>
      <w:numFmt w:val="decimal"/>
      <w:pStyle w:val="28"/>
      <w:suff w:val="nothing"/>
      <w:lvlText w:val="%1%2.%3　"/>
      <w:lvlJc w:val="left"/>
      <w:pPr>
        <w:ind w:left="85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pStyle w:val="38"/>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49">
    <w:nsid w:val="70CBAD45"/>
    <w:multiLevelType w:val="singleLevel"/>
    <w:tmpl w:val="70CBAD45"/>
    <w:lvl w:ilvl="0" w:tentative="0">
      <w:start w:val="1"/>
      <w:numFmt w:val="lowerLetter"/>
      <w:suff w:val="space"/>
      <w:lvlText w:val="%1）"/>
      <w:lvlJc w:val="left"/>
      <w:rPr>
        <w:rFonts w:hint="default" w:ascii="宋体" w:hAnsi="宋体" w:eastAsia="宋体" w:cs="宋体"/>
        <w:sz w:val="21"/>
        <w:szCs w:val="21"/>
      </w:rPr>
    </w:lvl>
  </w:abstractNum>
  <w:abstractNum w:abstractNumId="50">
    <w:nsid w:val="7237F218"/>
    <w:multiLevelType w:val="singleLevel"/>
    <w:tmpl w:val="7237F218"/>
    <w:lvl w:ilvl="0" w:tentative="0">
      <w:start w:val="1"/>
      <w:numFmt w:val="lowerLetter"/>
      <w:suff w:val="space"/>
      <w:lvlText w:val="%1）"/>
      <w:lvlJc w:val="left"/>
      <w:rPr>
        <w:rFonts w:hint="default" w:ascii="宋体" w:hAnsi="宋体" w:eastAsia="宋体" w:cs="宋体"/>
        <w:sz w:val="21"/>
        <w:szCs w:val="21"/>
      </w:rPr>
    </w:lvl>
  </w:abstractNum>
  <w:abstractNum w:abstractNumId="51">
    <w:nsid w:val="737B6346"/>
    <w:multiLevelType w:val="singleLevel"/>
    <w:tmpl w:val="737B6346"/>
    <w:lvl w:ilvl="0" w:tentative="0">
      <w:start w:val="1"/>
      <w:numFmt w:val="lowerLetter"/>
      <w:suff w:val="space"/>
      <w:lvlText w:val="%1）"/>
      <w:lvlJc w:val="left"/>
      <w:rPr>
        <w:rFonts w:hint="default" w:ascii="宋体" w:hAnsi="宋体" w:eastAsia="宋体" w:cs="宋体"/>
        <w:sz w:val="21"/>
        <w:szCs w:val="21"/>
      </w:rPr>
    </w:lvl>
  </w:abstractNum>
  <w:abstractNum w:abstractNumId="52">
    <w:nsid w:val="7810ECDF"/>
    <w:multiLevelType w:val="singleLevel"/>
    <w:tmpl w:val="7810ECDF"/>
    <w:lvl w:ilvl="0" w:tentative="0">
      <w:start w:val="1"/>
      <w:numFmt w:val="lowerLetter"/>
      <w:suff w:val="space"/>
      <w:lvlText w:val="%1）"/>
      <w:lvlJc w:val="left"/>
      <w:rPr>
        <w:rFonts w:hint="default" w:ascii="宋体" w:hAnsi="宋体" w:eastAsia="宋体" w:cs="宋体"/>
        <w:sz w:val="21"/>
        <w:szCs w:val="21"/>
      </w:rPr>
    </w:lvl>
  </w:abstractNum>
  <w:abstractNum w:abstractNumId="53">
    <w:nsid w:val="790DB7D9"/>
    <w:multiLevelType w:val="singleLevel"/>
    <w:tmpl w:val="790DB7D9"/>
    <w:lvl w:ilvl="0" w:tentative="0">
      <w:start w:val="1"/>
      <w:numFmt w:val="lowerLetter"/>
      <w:suff w:val="space"/>
      <w:lvlText w:val="%1）"/>
      <w:lvlJc w:val="left"/>
      <w:rPr>
        <w:rFonts w:hint="default" w:ascii="宋体" w:hAnsi="宋体" w:eastAsia="宋体" w:cs="宋体"/>
        <w:sz w:val="21"/>
        <w:szCs w:val="21"/>
      </w:rPr>
    </w:lvl>
  </w:abstractNum>
  <w:num w:numId="1">
    <w:abstractNumId w:val="48"/>
  </w:num>
  <w:num w:numId="2">
    <w:abstractNumId w:val="25"/>
  </w:num>
  <w:num w:numId="3">
    <w:abstractNumId w:val="28"/>
  </w:num>
  <w:num w:numId="4">
    <w:abstractNumId w:val="45"/>
  </w:num>
  <w:num w:numId="5">
    <w:abstractNumId w:val="43"/>
  </w:num>
  <w:num w:numId="6">
    <w:abstractNumId w:val="10"/>
  </w:num>
  <w:num w:numId="7">
    <w:abstractNumId w:val="1"/>
  </w:num>
  <w:num w:numId="8">
    <w:abstractNumId w:val="19"/>
  </w:num>
  <w:num w:numId="9">
    <w:abstractNumId w:val="36"/>
  </w:num>
  <w:num w:numId="10">
    <w:abstractNumId w:val="11"/>
  </w:num>
  <w:num w:numId="11">
    <w:abstractNumId w:val="16"/>
  </w:num>
  <w:num w:numId="12">
    <w:abstractNumId w:val="41"/>
  </w:num>
  <w:num w:numId="13">
    <w:abstractNumId w:val="8"/>
  </w:num>
  <w:num w:numId="14">
    <w:abstractNumId w:val="22"/>
  </w:num>
  <w:num w:numId="15">
    <w:abstractNumId w:val="24"/>
  </w:num>
  <w:num w:numId="16">
    <w:abstractNumId w:val="35"/>
  </w:num>
  <w:num w:numId="17">
    <w:abstractNumId w:val="34"/>
  </w:num>
  <w:num w:numId="18">
    <w:abstractNumId w:val="29"/>
  </w:num>
  <w:num w:numId="19">
    <w:abstractNumId w:val="39"/>
  </w:num>
  <w:num w:numId="20">
    <w:abstractNumId w:val="37"/>
  </w:num>
  <w:num w:numId="21">
    <w:abstractNumId w:val="5"/>
  </w:num>
  <w:num w:numId="22">
    <w:abstractNumId w:val="18"/>
  </w:num>
  <w:num w:numId="23">
    <w:abstractNumId w:val="38"/>
  </w:num>
  <w:num w:numId="24">
    <w:abstractNumId w:val="32"/>
  </w:num>
  <w:num w:numId="25">
    <w:abstractNumId w:val="31"/>
  </w:num>
  <w:num w:numId="26">
    <w:abstractNumId w:val="26"/>
  </w:num>
  <w:num w:numId="27">
    <w:abstractNumId w:val="2"/>
  </w:num>
  <w:num w:numId="28">
    <w:abstractNumId w:val="3"/>
  </w:num>
  <w:num w:numId="29">
    <w:abstractNumId w:val="21"/>
  </w:num>
  <w:num w:numId="30">
    <w:abstractNumId w:val="14"/>
  </w:num>
  <w:num w:numId="31">
    <w:abstractNumId w:val="20"/>
  </w:num>
  <w:num w:numId="32">
    <w:abstractNumId w:val="47"/>
  </w:num>
  <w:num w:numId="33">
    <w:abstractNumId w:val="15"/>
  </w:num>
  <w:num w:numId="34">
    <w:abstractNumId w:val="4"/>
  </w:num>
  <w:num w:numId="35">
    <w:abstractNumId w:val="13"/>
  </w:num>
  <w:num w:numId="36">
    <w:abstractNumId w:val="12"/>
  </w:num>
  <w:num w:numId="37">
    <w:abstractNumId w:val="42"/>
  </w:num>
  <w:num w:numId="38">
    <w:abstractNumId w:val="0"/>
  </w:num>
  <w:num w:numId="39">
    <w:abstractNumId w:val="49"/>
  </w:num>
  <w:num w:numId="40">
    <w:abstractNumId w:val="40"/>
  </w:num>
  <w:num w:numId="41">
    <w:abstractNumId w:val="27"/>
  </w:num>
  <w:num w:numId="42">
    <w:abstractNumId w:val="30"/>
  </w:num>
  <w:num w:numId="43">
    <w:abstractNumId w:val="51"/>
  </w:num>
  <w:num w:numId="44">
    <w:abstractNumId w:val="44"/>
  </w:num>
  <w:num w:numId="45">
    <w:abstractNumId w:val="53"/>
  </w:num>
  <w:num w:numId="46">
    <w:abstractNumId w:val="23"/>
  </w:num>
  <w:num w:numId="47">
    <w:abstractNumId w:val="33"/>
  </w:num>
  <w:num w:numId="48">
    <w:abstractNumId w:val="9"/>
  </w:num>
  <w:num w:numId="49">
    <w:abstractNumId w:val="52"/>
  </w:num>
  <w:num w:numId="50">
    <w:abstractNumId w:val="17"/>
  </w:num>
  <w:num w:numId="51">
    <w:abstractNumId w:val="7"/>
  </w:num>
  <w:num w:numId="52">
    <w:abstractNumId w:val="46"/>
  </w:num>
  <w:num w:numId="53">
    <w:abstractNumId w:val="6"/>
  </w:num>
  <w:num w:numId="54">
    <w:abstractNumId w:val="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false"/>
  <w:bordersDoNotSurroundFooter w:val="false"/>
  <w:documentProtection w:enforcement="0"/>
  <w:defaultTabStop w:val="420"/>
  <w:evenAndOddHeaders w:val="true"/>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IxMDg2ZDVmODAxZDIyMjVlZjY0Zjk3MTNiYWIwMTcifQ=="/>
  </w:docVars>
  <w:rsids>
    <w:rsidRoot w:val="00172A27"/>
    <w:rsid w:val="0004619E"/>
    <w:rsid w:val="00172A27"/>
    <w:rsid w:val="00342BCE"/>
    <w:rsid w:val="00544BBC"/>
    <w:rsid w:val="0058429F"/>
    <w:rsid w:val="006E717F"/>
    <w:rsid w:val="00916E69"/>
    <w:rsid w:val="009A6017"/>
    <w:rsid w:val="00AE4405"/>
    <w:rsid w:val="00B8345D"/>
    <w:rsid w:val="00BA6917"/>
    <w:rsid w:val="00BB2E61"/>
    <w:rsid w:val="00DF6F6C"/>
    <w:rsid w:val="018572F4"/>
    <w:rsid w:val="01877B89"/>
    <w:rsid w:val="02924A37"/>
    <w:rsid w:val="02FD32FC"/>
    <w:rsid w:val="037B0740"/>
    <w:rsid w:val="0A442EC0"/>
    <w:rsid w:val="0B325638"/>
    <w:rsid w:val="0CF73ECA"/>
    <w:rsid w:val="0DAB5675"/>
    <w:rsid w:val="0E16689C"/>
    <w:rsid w:val="0E417312"/>
    <w:rsid w:val="116755FA"/>
    <w:rsid w:val="126E450A"/>
    <w:rsid w:val="12B61BD1"/>
    <w:rsid w:val="1524017C"/>
    <w:rsid w:val="15481E95"/>
    <w:rsid w:val="159E329B"/>
    <w:rsid w:val="18501B8B"/>
    <w:rsid w:val="190D2516"/>
    <w:rsid w:val="1A404921"/>
    <w:rsid w:val="1A970C65"/>
    <w:rsid w:val="1AE87205"/>
    <w:rsid w:val="1BF21E2B"/>
    <w:rsid w:val="1D192F82"/>
    <w:rsid w:val="1D5A4550"/>
    <w:rsid w:val="1D7E7C3A"/>
    <w:rsid w:val="1DA62437"/>
    <w:rsid w:val="1DF773EB"/>
    <w:rsid w:val="1E982596"/>
    <w:rsid w:val="1F5A46D7"/>
    <w:rsid w:val="20850C02"/>
    <w:rsid w:val="209E7347"/>
    <w:rsid w:val="20F7664E"/>
    <w:rsid w:val="235A0DAE"/>
    <w:rsid w:val="23D5432C"/>
    <w:rsid w:val="24312F92"/>
    <w:rsid w:val="24627ED2"/>
    <w:rsid w:val="24A563F4"/>
    <w:rsid w:val="262B341D"/>
    <w:rsid w:val="286B525F"/>
    <w:rsid w:val="29155ADE"/>
    <w:rsid w:val="293B7B75"/>
    <w:rsid w:val="2A4C6984"/>
    <w:rsid w:val="2B8732AF"/>
    <w:rsid w:val="2B875D1E"/>
    <w:rsid w:val="2C3F40C0"/>
    <w:rsid w:val="2DE454B1"/>
    <w:rsid w:val="2E9436D8"/>
    <w:rsid w:val="305D267B"/>
    <w:rsid w:val="30900FE2"/>
    <w:rsid w:val="31DB12EF"/>
    <w:rsid w:val="32491A0D"/>
    <w:rsid w:val="33DE722D"/>
    <w:rsid w:val="34474DD2"/>
    <w:rsid w:val="347E456C"/>
    <w:rsid w:val="34C71A6F"/>
    <w:rsid w:val="38665C6D"/>
    <w:rsid w:val="3AF3295B"/>
    <w:rsid w:val="3B8008D4"/>
    <w:rsid w:val="3B8E36A8"/>
    <w:rsid w:val="3BAA7040"/>
    <w:rsid w:val="3BC67CFB"/>
    <w:rsid w:val="3CA408E8"/>
    <w:rsid w:val="3DA81D11"/>
    <w:rsid w:val="3DDD0555"/>
    <w:rsid w:val="3EE96FBE"/>
    <w:rsid w:val="3F273BCB"/>
    <w:rsid w:val="405C2BD7"/>
    <w:rsid w:val="410F4FB7"/>
    <w:rsid w:val="41176A1F"/>
    <w:rsid w:val="44957B12"/>
    <w:rsid w:val="4577128F"/>
    <w:rsid w:val="458823DD"/>
    <w:rsid w:val="45BC3E4D"/>
    <w:rsid w:val="45FD1795"/>
    <w:rsid w:val="46672A7F"/>
    <w:rsid w:val="47F47C79"/>
    <w:rsid w:val="48941769"/>
    <w:rsid w:val="49874EA6"/>
    <w:rsid w:val="49A9651B"/>
    <w:rsid w:val="4AC72EBA"/>
    <w:rsid w:val="4AE36CBE"/>
    <w:rsid w:val="4B224833"/>
    <w:rsid w:val="4B910898"/>
    <w:rsid w:val="4D5E5119"/>
    <w:rsid w:val="4D8B1D7C"/>
    <w:rsid w:val="4DDD3C5A"/>
    <w:rsid w:val="4E2415BF"/>
    <w:rsid w:val="4EFA49BE"/>
    <w:rsid w:val="4F536B85"/>
    <w:rsid w:val="4F8E5B53"/>
    <w:rsid w:val="509B3CE9"/>
    <w:rsid w:val="51377B7E"/>
    <w:rsid w:val="51E412C0"/>
    <w:rsid w:val="52577B98"/>
    <w:rsid w:val="52BA49B4"/>
    <w:rsid w:val="53997F8B"/>
    <w:rsid w:val="53A90B9E"/>
    <w:rsid w:val="54515B9C"/>
    <w:rsid w:val="5463180B"/>
    <w:rsid w:val="547B19E4"/>
    <w:rsid w:val="547D1CF3"/>
    <w:rsid w:val="549A28A4"/>
    <w:rsid w:val="55C20964"/>
    <w:rsid w:val="56B31DB6"/>
    <w:rsid w:val="571E5A0F"/>
    <w:rsid w:val="57584917"/>
    <w:rsid w:val="578F4217"/>
    <w:rsid w:val="58315248"/>
    <w:rsid w:val="588502C1"/>
    <w:rsid w:val="589409E0"/>
    <w:rsid w:val="58C61EBA"/>
    <w:rsid w:val="597A4A53"/>
    <w:rsid w:val="59943512"/>
    <w:rsid w:val="5C5E3DDD"/>
    <w:rsid w:val="5C71038F"/>
    <w:rsid w:val="5E0D6C7E"/>
    <w:rsid w:val="5E2D26B3"/>
    <w:rsid w:val="5E717410"/>
    <w:rsid w:val="5EBE47A1"/>
    <w:rsid w:val="5F210AEF"/>
    <w:rsid w:val="5F681B51"/>
    <w:rsid w:val="5F857FB7"/>
    <w:rsid w:val="5F8D54E0"/>
    <w:rsid w:val="601F46D4"/>
    <w:rsid w:val="60332AD0"/>
    <w:rsid w:val="61BB7B25"/>
    <w:rsid w:val="61FC43E0"/>
    <w:rsid w:val="623942A4"/>
    <w:rsid w:val="62403F13"/>
    <w:rsid w:val="63D41FBE"/>
    <w:rsid w:val="63F80B3D"/>
    <w:rsid w:val="65E70669"/>
    <w:rsid w:val="66D25B39"/>
    <w:rsid w:val="67200F40"/>
    <w:rsid w:val="68E106E1"/>
    <w:rsid w:val="690F26DC"/>
    <w:rsid w:val="69AE1F78"/>
    <w:rsid w:val="6AE61115"/>
    <w:rsid w:val="6CFA7F2C"/>
    <w:rsid w:val="6DF36179"/>
    <w:rsid w:val="6F235519"/>
    <w:rsid w:val="6FDB21DD"/>
    <w:rsid w:val="701E1C51"/>
    <w:rsid w:val="71DC5DE0"/>
    <w:rsid w:val="724C7C4B"/>
    <w:rsid w:val="724D42CB"/>
    <w:rsid w:val="72B003E5"/>
    <w:rsid w:val="73665BC9"/>
    <w:rsid w:val="74505C29"/>
    <w:rsid w:val="750B4374"/>
    <w:rsid w:val="75A66EA3"/>
    <w:rsid w:val="76147BCB"/>
    <w:rsid w:val="7655689B"/>
    <w:rsid w:val="768E192C"/>
    <w:rsid w:val="76B63338"/>
    <w:rsid w:val="7808174F"/>
    <w:rsid w:val="793950AA"/>
    <w:rsid w:val="7A2A0BD1"/>
    <w:rsid w:val="7A334ACD"/>
    <w:rsid w:val="7A384946"/>
    <w:rsid w:val="7A4761FE"/>
    <w:rsid w:val="7BAE26A8"/>
    <w:rsid w:val="7C85064D"/>
    <w:rsid w:val="7DBE5D90"/>
    <w:rsid w:val="7E3C26A6"/>
    <w:rsid w:val="7F0D35B6"/>
    <w:rsid w:val="7F515562"/>
    <w:rsid w:val="7F6B743D"/>
    <w:rsid w:val="7F9F0AC2"/>
    <w:rsid w:val="C1AB37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jc w:val="left"/>
      <w:outlineLvl w:val="0"/>
    </w:pPr>
    <w:rPr>
      <w:rFonts w:eastAsia="黑体" w:cs="Arial"/>
      <w:bCs/>
      <w:kern w:val="44"/>
      <w:sz w:val="24"/>
      <w:szCs w:val="44"/>
    </w:rPr>
  </w:style>
  <w:style w:type="paragraph" w:styleId="4">
    <w:name w:val="heading 2"/>
    <w:basedOn w:val="1"/>
    <w:next w:val="1"/>
    <w:semiHidden/>
    <w:unhideWhenUsed/>
    <w:qFormat/>
    <w:uiPriority w:val="0"/>
    <w:pPr>
      <w:keepNext/>
      <w:keepLines/>
      <w:spacing w:before="260" w:after="260" w:line="415" w:lineRule="auto"/>
      <w:jc w:val="left"/>
      <w:outlineLvl w:val="1"/>
    </w:pPr>
    <w:rPr>
      <w:rFonts w:ascii="Cambria" w:hAnsi="Cambria" w:eastAsia="黑体"/>
      <w:bCs/>
      <w:sz w:val="24"/>
      <w:szCs w:val="32"/>
    </w:rPr>
  </w:style>
  <w:style w:type="paragraph" w:styleId="5">
    <w:name w:val="heading 3"/>
    <w:basedOn w:val="1"/>
    <w:next w:val="1"/>
    <w:semiHidden/>
    <w:unhideWhenUsed/>
    <w:qFormat/>
    <w:uiPriority w:val="0"/>
    <w:pPr>
      <w:keepNext/>
      <w:keepLines/>
      <w:spacing w:before="260" w:after="260" w:line="415" w:lineRule="auto"/>
      <w:jc w:val="left"/>
      <w:outlineLvl w:val="2"/>
    </w:pPr>
    <w:rPr>
      <w:rFonts w:eastAsia="楷体" w:cs="Arial"/>
      <w:b/>
      <w:bCs/>
      <w:sz w:val="24"/>
      <w:szCs w:val="32"/>
    </w:rPr>
  </w:style>
  <w:style w:type="paragraph" w:styleId="6">
    <w:name w:val="heading 4"/>
    <w:basedOn w:val="1"/>
    <w:next w:val="1"/>
    <w:semiHidden/>
    <w:unhideWhenUsed/>
    <w:qFormat/>
    <w:uiPriority w:val="0"/>
    <w:pPr>
      <w:keepNext/>
      <w:keepLines/>
      <w:spacing w:before="280" w:after="290" w:line="372" w:lineRule="auto"/>
      <w:jc w:val="left"/>
      <w:outlineLvl w:val="3"/>
    </w:pPr>
    <w:rPr>
      <w:rFonts w:ascii="Arial" w:hAnsi="Arial" w:eastAsia="楷体"/>
      <w:b/>
      <w:sz w:val="28"/>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7">
    <w:name w:val="Normal Indent"/>
    <w:basedOn w:val="1"/>
    <w:next w:val="8"/>
    <w:qFormat/>
    <w:uiPriority w:val="0"/>
    <w:pPr>
      <w:ind w:firstLine="420"/>
    </w:pPr>
  </w:style>
  <w:style w:type="paragraph" w:styleId="8">
    <w:name w:val="envelope return"/>
    <w:basedOn w:val="1"/>
    <w:qFormat/>
    <w:uiPriority w:val="0"/>
    <w:pPr>
      <w:snapToGrid w:val="0"/>
    </w:pPr>
    <w:rPr>
      <w:rFonts w:ascii="Arial" w:hAnsi="Arial" w:eastAsia="仿宋_GB2312"/>
      <w:sz w:val="32"/>
    </w:rPr>
  </w:style>
  <w:style w:type="paragraph" w:styleId="9">
    <w:name w:val="annotation text"/>
    <w:basedOn w:val="1"/>
    <w:qFormat/>
    <w:uiPriority w:val="0"/>
    <w:pPr>
      <w:jc w:val="left"/>
    </w:pPr>
  </w:style>
  <w:style w:type="paragraph" w:styleId="10">
    <w:name w:val="Body Text Indent 2"/>
    <w:basedOn w:val="1"/>
    <w:qFormat/>
    <w:uiPriority w:val="0"/>
    <w:pPr>
      <w:spacing w:line="276" w:lineRule="auto"/>
      <w:ind w:firstLine="420" w:firstLineChars="200"/>
    </w:pPr>
    <w:rPr>
      <w:rFonts w:ascii="宋体" w:hAnsi="宋体" w:eastAsia="宋体" w:cs="Times New Roman"/>
      <w:snapToGrid w:val="0"/>
      <w:kern w:val="0"/>
      <w:szCs w:val="24"/>
    </w:rPr>
  </w:style>
  <w:style w:type="paragraph" w:styleId="11">
    <w:name w:val="footer"/>
    <w:basedOn w:val="1"/>
    <w:qFormat/>
    <w:uiPriority w:val="99"/>
    <w:pPr>
      <w:tabs>
        <w:tab w:val="center" w:pos="4153"/>
        <w:tab w:val="right" w:pos="8306"/>
      </w:tabs>
      <w:snapToGrid w:val="0"/>
      <w:jc w:val="left"/>
    </w:pPr>
    <w:rPr>
      <w:sz w:val="18"/>
      <w:szCs w:val="18"/>
    </w:rPr>
  </w:style>
  <w:style w:type="paragraph" w:styleId="12">
    <w:name w:val="header"/>
    <w:basedOn w:val="1"/>
    <w:link w:val="21"/>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pPr>
      <w:widowControl/>
      <w:spacing w:after="100" w:line="259" w:lineRule="auto"/>
      <w:jc w:val="left"/>
    </w:pPr>
    <w:rPr>
      <w:rFonts w:asciiTheme="minorHAnsi" w:hAnsiTheme="minorHAnsi" w:eastAsiaTheme="minorEastAsia"/>
      <w:kern w:val="0"/>
      <w:sz w:val="22"/>
      <w:szCs w:val="22"/>
    </w:rPr>
  </w:style>
  <w:style w:type="paragraph" w:styleId="14">
    <w:name w:val="toc 2"/>
    <w:basedOn w:val="1"/>
    <w:next w:val="1"/>
    <w:unhideWhenUsed/>
    <w:qFormat/>
    <w:uiPriority w:val="39"/>
    <w:pPr>
      <w:widowControl/>
      <w:spacing w:after="100" w:line="259" w:lineRule="auto"/>
      <w:ind w:left="220"/>
      <w:jc w:val="left"/>
    </w:pPr>
    <w:rPr>
      <w:rFonts w:asciiTheme="minorHAnsi" w:hAnsiTheme="minorHAnsi" w:eastAsiaTheme="minorEastAsia"/>
      <w:kern w:val="0"/>
      <w:sz w:val="22"/>
      <w:szCs w:val="22"/>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Hyperlink"/>
    <w:basedOn w:val="17"/>
    <w:unhideWhenUsed/>
    <w:qFormat/>
    <w:uiPriority w:val="99"/>
    <w:rPr>
      <w:color w:val="0563C1" w:themeColor="hyperlink"/>
      <w:u w:val="single"/>
      <w14:textFill>
        <w14:solidFill>
          <w14:schemeClr w14:val="hlink"/>
        </w14:solidFill>
      </w14:textFill>
    </w:rPr>
  </w:style>
  <w:style w:type="character" w:styleId="19">
    <w:name w:val="annotation reference"/>
    <w:basedOn w:val="17"/>
    <w:qFormat/>
    <w:uiPriority w:val="0"/>
    <w:rPr>
      <w:sz w:val="21"/>
      <w:szCs w:val="21"/>
    </w:rPr>
  </w:style>
  <w:style w:type="paragraph" w:customStyle="1" w:styleId="20">
    <w:name w:val="TOC 标题1"/>
    <w:basedOn w:val="3"/>
    <w:next w:val="1"/>
    <w:unhideWhenUsed/>
    <w:qFormat/>
    <w:uiPriority w:val="39"/>
    <w:pPr>
      <w:widowControl/>
      <w:spacing w:before="240" w:after="0" w:line="259" w:lineRule="auto"/>
      <w:outlineLvl w:val="9"/>
    </w:pPr>
    <w:rPr>
      <w:rFonts w:asciiTheme="majorHAnsi" w:hAnsiTheme="majorHAnsi" w:eastAsiaTheme="majorEastAsia" w:cstheme="majorBidi"/>
      <w:bCs w:val="0"/>
      <w:color w:val="2E75B6" w:themeColor="accent1" w:themeShade="BF"/>
      <w:kern w:val="0"/>
      <w:sz w:val="32"/>
      <w:szCs w:val="32"/>
    </w:rPr>
  </w:style>
  <w:style w:type="character" w:customStyle="1" w:styleId="21">
    <w:name w:val="页眉 字符"/>
    <w:basedOn w:val="17"/>
    <w:link w:val="12"/>
    <w:qFormat/>
    <w:uiPriority w:val="0"/>
    <w:rPr>
      <w:rFonts w:ascii="Calibri" w:hAnsi="Calibri"/>
      <w:kern w:val="2"/>
      <w:sz w:val="18"/>
      <w:szCs w:val="18"/>
    </w:rPr>
  </w:style>
  <w:style w:type="table" w:customStyle="1" w:styleId="22">
    <w:name w:val="Table Normal"/>
    <w:semiHidden/>
    <w:unhideWhenUsed/>
    <w:qFormat/>
    <w:uiPriority w:val="0"/>
    <w:tblPr>
      <w:tblCellMar>
        <w:top w:w="0" w:type="dxa"/>
        <w:left w:w="0" w:type="dxa"/>
        <w:bottom w:w="0" w:type="dxa"/>
        <w:right w:w="0" w:type="dxa"/>
      </w:tblCellMar>
    </w:tblPr>
  </w:style>
  <w:style w:type="paragraph" w:customStyle="1" w:styleId="23">
    <w:name w:val="WPSOffice手动目录 1"/>
    <w:qFormat/>
    <w:uiPriority w:val="0"/>
    <w:pPr>
      <w:ind w:leftChars="0"/>
    </w:pPr>
    <w:rPr>
      <w:rFonts w:ascii="Times New Roman" w:hAnsi="Times New Roman" w:eastAsia="宋体" w:cs="Times New Roman"/>
      <w:sz w:val="20"/>
      <w:szCs w:val="20"/>
    </w:rPr>
  </w:style>
  <w:style w:type="paragraph" w:customStyle="1" w:styleId="24">
    <w:name w:val="WPSOffice手动目录 2"/>
    <w:qFormat/>
    <w:uiPriority w:val="0"/>
    <w:pPr>
      <w:ind w:leftChars="200"/>
    </w:pPr>
    <w:rPr>
      <w:rFonts w:ascii="Times New Roman" w:hAnsi="Times New Roman" w:eastAsia="宋体" w:cs="Times New Roman"/>
      <w:sz w:val="20"/>
      <w:szCs w:val="20"/>
    </w:rPr>
  </w:style>
  <w:style w:type="paragraph" w:customStyle="1" w:styleId="25">
    <w:name w:val="WPSOffice手动目录 3"/>
    <w:qFormat/>
    <w:uiPriority w:val="0"/>
    <w:pPr>
      <w:ind w:leftChars="400"/>
    </w:pPr>
    <w:rPr>
      <w:rFonts w:ascii="Times New Roman" w:hAnsi="Times New Roman" w:eastAsia="宋体" w:cs="Times New Roman"/>
      <w:sz w:val="20"/>
      <w:szCs w:val="20"/>
    </w:rPr>
  </w:style>
  <w:style w:type="paragraph" w:customStyle="1" w:styleId="26">
    <w:name w:val="标准文件_术语条一"/>
    <w:basedOn w:val="27"/>
    <w:next w:val="30"/>
    <w:qFormat/>
    <w:uiPriority w:val="0"/>
  </w:style>
  <w:style w:type="paragraph" w:customStyle="1" w:styleId="27">
    <w:name w:val="标准文件_一级无标题"/>
    <w:basedOn w:val="28"/>
    <w:qFormat/>
    <w:uiPriority w:val="0"/>
    <w:pPr>
      <w:spacing w:before="0" w:beforeLines="0" w:after="0" w:afterLines="0"/>
      <w:outlineLvl w:val="9"/>
    </w:pPr>
    <w:rPr>
      <w:rFonts w:ascii="宋体" w:eastAsia="宋体"/>
    </w:rPr>
  </w:style>
  <w:style w:type="paragraph" w:customStyle="1" w:styleId="28">
    <w:name w:val="标准文件_一级条标题"/>
    <w:basedOn w:val="29"/>
    <w:next w:val="30"/>
    <w:qFormat/>
    <w:uiPriority w:val="0"/>
    <w:pPr>
      <w:numPr>
        <w:ilvl w:val="2"/>
      </w:numPr>
      <w:spacing w:before="50" w:beforeLines="50" w:after="50" w:afterLines="50"/>
      <w:ind w:left="0"/>
      <w:outlineLvl w:val="1"/>
    </w:pPr>
  </w:style>
  <w:style w:type="paragraph" w:customStyle="1" w:styleId="29">
    <w:name w:val="标准文件_章标题"/>
    <w:next w:val="30"/>
    <w:qFormat/>
    <w:uiPriority w:val="0"/>
    <w:pPr>
      <w:numPr>
        <w:ilvl w:val="1"/>
        <w:numId w:val="1"/>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30">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1">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32">
    <w:name w:val="说明文字"/>
    <w:basedOn w:val="1"/>
    <w:qFormat/>
    <w:uiPriority w:val="0"/>
    <w:pPr>
      <w:ind w:firstLine="0" w:firstLineChars="0"/>
    </w:pPr>
    <w:rPr>
      <w:sz w:val="21"/>
    </w:rPr>
  </w:style>
  <w:style w:type="character" w:customStyle="1" w:styleId="33">
    <w:name w:val="high-light-bg4"/>
    <w:basedOn w:val="17"/>
    <w:qFormat/>
    <w:uiPriority w:val="0"/>
  </w:style>
  <w:style w:type="paragraph" w:customStyle="1" w:styleId="34">
    <w:name w:val="标准文件_前言、引言标题"/>
    <w:next w:val="1"/>
    <w:qFormat/>
    <w:uiPriority w:val="0"/>
    <w:pPr>
      <w:numPr>
        <w:ilvl w:val="0"/>
        <w:numId w:val="2"/>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character" w:customStyle="1" w:styleId="35">
    <w:name w:val="不明显强调1"/>
    <w:basedOn w:val="17"/>
    <w:qFormat/>
    <w:uiPriority w:val="19"/>
    <w:rPr>
      <w:i/>
      <w:iCs/>
      <w:color w:val="808080" w:themeColor="text1" w:themeTint="80"/>
      <w14:textFill>
        <w14:solidFill>
          <w14:schemeClr w14:val="tx1">
            <w14:lumMod w14:val="50000"/>
            <w14:lumOff w14:val="50000"/>
          </w14:schemeClr>
        </w14:solidFill>
      </w14:textFill>
    </w:rPr>
  </w:style>
  <w:style w:type="paragraph" w:customStyle="1" w:styleId="36">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37">
    <w:name w:val="标准文件_二级无标题"/>
    <w:basedOn w:val="38"/>
    <w:qFormat/>
    <w:uiPriority w:val="0"/>
    <w:pPr>
      <w:spacing w:before="0" w:beforeLines="0" w:after="0" w:afterLines="0"/>
      <w:outlineLvl w:val="9"/>
    </w:pPr>
    <w:rPr>
      <w:rFonts w:ascii="宋体" w:eastAsia="宋体"/>
    </w:rPr>
  </w:style>
  <w:style w:type="paragraph" w:customStyle="1" w:styleId="38">
    <w:name w:val="标准文件_二级条标题"/>
    <w:next w:val="30"/>
    <w:qFormat/>
    <w:uiPriority w:val="0"/>
    <w:pPr>
      <w:widowControl w:val="0"/>
      <w:numPr>
        <w:ilvl w:val="3"/>
        <w:numId w:val="1"/>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39">
    <w:name w:val="字母编号列项（一级）"/>
    <w:qFormat/>
    <w:uiPriority w:val="0"/>
    <w:pPr>
      <w:numPr>
        <w:ilvl w:val="0"/>
        <w:numId w:val="3"/>
      </w:numPr>
      <w:jc w:val="both"/>
    </w:pPr>
    <w:rPr>
      <w:rFonts w:ascii="宋体" w:hAnsi="Times New Roman" w:eastAsia="宋体" w:cs="Times New Roman"/>
      <w:sz w:val="21"/>
      <w:lang w:val="en-US" w:eastAsia="zh-CN" w:bidi="ar-SA"/>
    </w:rPr>
  </w:style>
  <w:style w:type="paragraph" w:customStyle="1" w:styleId="40">
    <w:name w:val="标准文件_附录一级条标题"/>
    <w:next w:val="30"/>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styleId="41">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customStyle="1" w:styleId="42">
    <w:name w:val="正文表标题"/>
    <w:next w:val="36"/>
    <w:qFormat/>
    <w:uiPriority w:val="0"/>
    <w:pPr>
      <w:numPr>
        <w:ilvl w:val="0"/>
        <w:numId w:val="5"/>
      </w:numPr>
      <w:tabs>
        <w:tab w:val="left" w:pos="360"/>
      </w:tabs>
      <w:spacing w:before="156" w:beforeLines="50" w:after="156" w:afterLines="50"/>
      <w:jc w:val="center"/>
    </w:pPr>
    <w:rPr>
      <w:rFonts w:ascii="黑体" w:hAnsi="Times New Roman" w:eastAsia="黑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image" Target="media/image1.jpeg"/><Relationship Id="rId30" Type="http://schemas.openxmlformats.org/officeDocument/2006/relationships/theme" Target="theme/theme1.xml"/><Relationship Id="rId3" Type="http://schemas.openxmlformats.org/officeDocument/2006/relationships/header" Target="header1.xml"/><Relationship Id="rId29" Type="http://schemas.openxmlformats.org/officeDocument/2006/relationships/footer" Target="footer18.xml"/><Relationship Id="rId28" Type="http://schemas.openxmlformats.org/officeDocument/2006/relationships/footer" Target="footer17.xml"/><Relationship Id="rId27" Type="http://schemas.openxmlformats.org/officeDocument/2006/relationships/footer" Target="footer16.xml"/><Relationship Id="rId26" Type="http://schemas.openxmlformats.org/officeDocument/2006/relationships/footer" Target="footer15.xml"/><Relationship Id="rId25" Type="http://schemas.openxmlformats.org/officeDocument/2006/relationships/footer" Target="footer14.xml"/><Relationship Id="rId24" Type="http://schemas.openxmlformats.org/officeDocument/2006/relationships/footer" Target="footer13.xml"/><Relationship Id="rId23" Type="http://schemas.openxmlformats.org/officeDocument/2006/relationships/footer" Target="footer12.xml"/><Relationship Id="rId22" Type="http://schemas.openxmlformats.org/officeDocument/2006/relationships/footer" Target="footer11.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header" Target="header8.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Kingsoft</Company>
  <Pages>31</Pages>
  <Words>16588</Words>
  <Characters>17554</Characters>
  <Lines>139</Lines>
  <Paragraphs>39</Paragraphs>
  <TotalTime>2</TotalTime>
  <ScaleCrop>false</ScaleCrop>
  <LinksUpToDate>false</LinksUpToDate>
  <CharactersWithSpaces>18625</CharactersWithSpaces>
  <Application>WPS Office_11.8.2.9793_F1E327BC-269C-435d-A152-05C5408002CA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一木双子皿的秋</dc:creator>
  <cp:lastModifiedBy>sugou</cp:lastModifiedBy>
  <dcterms:modified xsi:type="dcterms:W3CDTF">2024-04-22T10:44:04Z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2052-11.8.2.9793</vt:lpwstr>
  </property>
  <property fmtid="{D5CDD505-2E9C-101B-9397-08002B2CF9AE}" pid="3" name="ICV">
    <vt:lpwstr>F98A7D9F87864133A2D9D07BC0477C9C_13</vt:lpwstr>
  </property>
</Properties>
</file>