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03.120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w:t>
      </w:r>
      <w:r>
        <w:rPr>
          <w:rFonts w:ascii="黑体" w:hAnsi="黑体" w:eastAsia="黑体" w:cs="Times New Roman"/>
        </w:rPr>
        <w:t xml:space="preserve"> </w:t>
      </w:r>
      <w:r>
        <w:rPr>
          <w:rFonts w:hint="eastAsia" w:ascii="黑体" w:hAnsi="黑体" w:eastAsia="黑体" w:cs="Times New Roman"/>
          <w:lang w:val="en-US" w:eastAsia="zh-CN"/>
        </w:rPr>
        <w:t>00</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eonEPYAAAACgEAAA8A&#10;AAAAAAAAAQAgAAAAIgAAAGRycy9kb3ducmV2LnhtbFBLAQIUABQAAAAIAIdO4kD2AeosFwIAADIE&#10;AAAOAAAAAAAAAAEAIAAAACcBAABkcnMvZTJvRG9jLnhtbFBLBQYAAAAABgAGAFkBAACwBQAAA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dd+2wAAAAsB&#10;AAAPAAAAAAAAAAEAIAAAACIAAABkcnMvZG93bnJldi54bWxQSwECFAAUAAAACACHTuJAzkxZKRgC&#10;AAAyBAAADgAAAAAAAAABACAAAAAqAQAAZHJzL2Uyb0RvYy54bWxQSwUGAAAAAAYABgBZAQAAtAUA&#10;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企业产品标准自我声明公开规范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Publicity specification for self declaration of enterprise product standards</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HMG462QAAAAsBAAAP&#10;AAAAAAAAAAEAIAAAACIAAABkcnMvZG93bnJldi54bWxQSwECFAAUAAAACACHTuJAwAXEWxcCAAAz&#10;BAAADgAAAAAAAAABACAAAAAoAQAAZHJzL2Uyb0RvYy54bWxQSwUGAAAAAAYABgBZAQAAsQUAAA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企业产品标准自我声明公开规范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Publicity specification for self declaration of enterprise product standards</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8"/>
      </w:pPr>
    </w:p>
    <w:p>
      <w:pPr>
        <w:pStyle w:val="8"/>
      </w:pPr>
    </w:p>
    <w:p>
      <w:pPr>
        <w:pStyle w:val="8"/>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2024</w:t>
      </w:r>
      <w:r>
        <w:rPr>
          <w:rFonts w:hint="eastAsia" w:ascii="黑体" w:hAnsi="黑体" w:eastAsia="黑体"/>
          <w:sz w:val="28"/>
          <w:szCs w:val="28"/>
        </w:rPr>
        <w:t xml:space="preserve">-XX-XX发布                                       </w:t>
      </w:r>
      <w:r>
        <w:rPr>
          <w:rFonts w:hint="eastAsia" w:ascii="黑体" w:hAnsi="黑体" w:eastAsia="黑体"/>
          <w:sz w:val="28"/>
          <w:szCs w:val="28"/>
          <w:lang w:val="en-US" w:eastAsia="zh-CN"/>
        </w:rPr>
        <w:t>2024</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pPr>
    </w:p>
    <w:p>
      <w:pPr>
        <w:rPr>
          <w:rFonts w:ascii="黑体" w:hAnsi="黑体" w:eastAsia="黑体"/>
          <w:sz w:val="28"/>
          <w:szCs w:val="28"/>
        </w:rPr>
        <w:sectPr>
          <w:headerReference r:id="rId3" w:type="default"/>
          <w:headerReference r:id="rId4" w:type="even"/>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_Toc8994 </w:instrText>
      </w:r>
      <w:r>
        <w:rPr>
          <w:rFonts w:hint="eastAsia" w:ascii="宋体" w:hAnsi="宋体" w:eastAsia="宋体" w:cs="宋体"/>
          <w:szCs w:val="21"/>
        </w:rPr>
        <w:fldChar w:fldCharType="separate"/>
      </w:r>
      <w:r>
        <w:rPr>
          <w:rFonts w:hint="eastAsia" w:ascii="宋体" w:hAnsi="宋体" w:eastAsia="宋体" w:cs="宋体"/>
          <w:kern w:val="0"/>
          <w:szCs w:val="32"/>
          <w:lang w:val="en-US" w:eastAsia="zh-CN"/>
        </w:rPr>
        <w:t>前言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_Toc8994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_Toc23181 </w:instrText>
      </w:r>
      <w:r>
        <w:rPr>
          <w:rFonts w:hint="eastAsia" w:ascii="宋体" w:hAnsi="宋体" w:eastAsia="宋体" w:cs="宋体"/>
          <w:szCs w:val="21"/>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_Toc23181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_Toc2186 </w:instrText>
      </w:r>
      <w:r>
        <w:rPr>
          <w:rFonts w:hint="eastAsia" w:ascii="宋体" w:hAnsi="宋体" w:eastAsia="宋体" w:cs="宋体"/>
          <w:szCs w:val="21"/>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_Toc2186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_Toc22532 </w:instrText>
      </w:r>
      <w:r>
        <w:rPr>
          <w:rFonts w:hint="eastAsia" w:ascii="宋体" w:hAnsi="宋体" w:eastAsia="宋体" w:cs="宋体"/>
          <w:szCs w:val="21"/>
        </w:rPr>
        <w:fldChar w:fldCharType="separate"/>
      </w:r>
      <w:r>
        <w:rPr>
          <w:rFonts w:hint="eastAsia" w:ascii="宋体" w:hAnsi="宋体" w:eastAsia="宋体" w:cs="宋体"/>
          <w:i w:val="0"/>
          <w:szCs w:val="21"/>
        </w:rPr>
        <w:t xml:space="preserve">3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_Toc22532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_Toc6837 </w:instrText>
      </w:r>
      <w:r>
        <w:rPr>
          <w:rFonts w:hint="eastAsia" w:ascii="宋体" w:hAnsi="宋体" w:eastAsia="宋体" w:cs="宋体"/>
          <w:szCs w:val="21"/>
        </w:rPr>
        <w:fldChar w:fldCharType="separate"/>
      </w:r>
      <w:r>
        <w:rPr>
          <w:rFonts w:hint="eastAsia" w:ascii="宋体" w:hAnsi="宋体" w:eastAsia="宋体" w:cs="宋体"/>
          <w:i w:val="0"/>
        </w:rPr>
        <w:t xml:space="preserve">4 </w:t>
      </w:r>
      <w:r>
        <w:rPr>
          <w:rFonts w:hint="eastAsia" w:ascii="宋体" w:hAnsi="宋体" w:eastAsia="宋体" w:cs="宋体"/>
          <w:lang w:val="en-US" w:eastAsia="zh-CN"/>
        </w:rPr>
        <w:t>通则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_Toc6837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_Toc18166 </w:instrText>
      </w:r>
      <w:r>
        <w:rPr>
          <w:rFonts w:hint="eastAsia" w:ascii="宋体" w:hAnsi="宋体" w:eastAsia="宋体" w:cs="宋体"/>
          <w:szCs w:val="21"/>
        </w:rPr>
        <w:fldChar w:fldCharType="separate"/>
      </w:r>
      <w:r>
        <w:rPr>
          <w:rFonts w:hint="eastAsia" w:ascii="宋体" w:hAnsi="宋体" w:eastAsia="宋体" w:cs="宋体"/>
          <w:i w:val="0"/>
          <w:lang w:val="en-US" w:eastAsia="zh-CN"/>
        </w:rPr>
        <w:t xml:space="preserve">5 </w:t>
      </w:r>
      <w:r>
        <w:rPr>
          <w:rFonts w:hint="eastAsia" w:ascii="宋体" w:hAnsi="宋体" w:eastAsia="宋体" w:cs="宋体"/>
          <w:lang w:val="en-US" w:eastAsia="zh-CN"/>
        </w:rPr>
        <w:t>自我声明公开要求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_Toc18166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_Toc3620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宋体" w:hAnsi="宋体" w:eastAsia="宋体" w:cs="宋体"/>
          <w:lang w:val="en-US" w:eastAsia="zh-CN"/>
        </w:rPr>
        <w:t>公开时限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_Toc3620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_Toc6649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宋体" w:hAnsi="宋体" w:eastAsia="宋体" w:cs="宋体"/>
          <w:lang w:val="en-US" w:eastAsia="zh-CN"/>
        </w:rPr>
        <w:t>公开自评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_Toc6649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_Toc17095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宋体" w:hAnsi="宋体" w:eastAsia="宋体" w:cs="宋体"/>
          <w:lang w:val="en-US" w:eastAsia="zh-CN"/>
        </w:rPr>
        <w:t>公开形式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_Toc17095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_Toc21035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ascii="宋体" w:hAnsi="宋体" w:eastAsia="宋体" w:cs="宋体"/>
          <w:lang w:val="en-US" w:eastAsia="zh-CN"/>
        </w:rPr>
        <w:t>公开信息</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_Toc21035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_Toc16067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5.5 </w:t>
      </w:r>
      <w:r>
        <w:rPr>
          <w:rFonts w:hint="eastAsia" w:ascii="宋体" w:hAnsi="宋体" w:eastAsia="宋体" w:cs="宋体"/>
        </w:rPr>
        <w:t>声明信息变更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_Toc16067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_Toc12029 </w:instrText>
      </w:r>
      <w:r>
        <w:rPr>
          <w:rFonts w:hint="eastAsia" w:ascii="宋体" w:hAnsi="宋体" w:eastAsia="宋体" w:cs="宋体"/>
          <w:szCs w:val="21"/>
        </w:rPr>
        <w:fldChar w:fldCharType="separate"/>
      </w:r>
      <w:r>
        <w:rPr>
          <w:rFonts w:hint="eastAsia" w:ascii="宋体" w:hAnsi="宋体" w:eastAsia="宋体" w:cs="宋体"/>
          <w:szCs w:val="21"/>
          <w:lang w:val="en-US" w:eastAsia="zh-CN"/>
        </w:rPr>
        <w:t>附录A</w:t>
      </w:r>
      <w:r>
        <w:rPr>
          <w:rFonts w:hint="eastAsia" w:ascii="宋体" w:hAnsi="宋体" w:eastAsia="宋体" w:cs="宋体"/>
          <w:szCs w:val="21"/>
        </w:rPr>
        <w:fldChar w:fldCharType="end"/>
      </w:r>
      <w:r>
        <w:rPr>
          <w:rFonts w:hint="eastAsia" w:ascii="宋体" w:hAnsi="宋体" w:eastAsia="宋体" w:cs="宋体"/>
          <w:szCs w:val="21"/>
        </w:rPr>
        <w:fldChar w:fldCharType="begin"/>
      </w:r>
      <w:r>
        <w:rPr>
          <w:rFonts w:hint="eastAsia" w:ascii="宋体" w:hAnsi="宋体" w:eastAsia="宋体" w:cs="宋体"/>
          <w:szCs w:val="21"/>
        </w:rPr>
        <w:instrText xml:space="preserve"> HYPERLINK \l _Toc30621 </w:instrText>
      </w:r>
      <w:r>
        <w:rPr>
          <w:rFonts w:hint="eastAsia" w:ascii="宋体" w:hAnsi="宋体" w:eastAsia="宋体" w:cs="宋体"/>
          <w:szCs w:val="21"/>
        </w:rPr>
        <w:fldChar w:fldCharType="separate"/>
      </w:r>
      <w:r>
        <w:rPr>
          <w:rFonts w:hint="eastAsia" w:ascii="宋体" w:hAnsi="宋体" w:eastAsia="宋体" w:cs="宋体"/>
          <w:szCs w:val="21"/>
          <w:lang w:val="en-US" w:eastAsia="zh-CN"/>
        </w:rPr>
        <w:t>（资料性）</w:t>
      </w:r>
      <w:r>
        <w:rPr>
          <w:rFonts w:hint="eastAsia" w:ascii="宋体" w:hAnsi="宋体" w:eastAsia="宋体" w:cs="宋体"/>
          <w:szCs w:val="21"/>
        </w:rPr>
        <w:fldChar w:fldCharType="end"/>
      </w:r>
      <w:r>
        <w:rPr>
          <w:rFonts w:hint="eastAsia" w:ascii="宋体" w:hAnsi="宋体" w:eastAsia="宋体" w:cs="宋体"/>
          <w:szCs w:val="21"/>
          <w:lang w:val="en-US" w:eastAsia="zh-CN"/>
        </w:rPr>
        <w:t xml:space="preserve"> </w:t>
      </w:r>
      <w:r>
        <w:rPr>
          <w:rFonts w:hint="eastAsia" w:ascii="宋体" w:hAnsi="宋体" w:eastAsia="宋体" w:cs="宋体"/>
          <w:szCs w:val="21"/>
        </w:rPr>
        <w:fldChar w:fldCharType="begin"/>
      </w:r>
      <w:r>
        <w:rPr>
          <w:rFonts w:hint="eastAsia" w:ascii="宋体" w:hAnsi="宋体" w:eastAsia="宋体" w:cs="宋体"/>
          <w:szCs w:val="21"/>
        </w:rPr>
        <w:instrText xml:space="preserve"> HYPERLINK \l _Toc7818 </w:instrText>
      </w:r>
      <w:r>
        <w:rPr>
          <w:rFonts w:hint="eastAsia" w:ascii="宋体" w:hAnsi="宋体" w:eastAsia="宋体" w:cs="宋体"/>
          <w:szCs w:val="21"/>
        </w:rPr>
        <w:fldChar w:fldCharType="separate"/>
      </w:r>
      <w:r>
        <w:rPr>
          <w:rFonts w:hint="eastAsia" w:ascii="宋体" w:hAnsi="宋体" w:eastAsia="宋体" w:cs="宋体"/>
          <w:szCs w:val="21"/>
          <w:lang w:val="en-US" w:eastAsia="zh-CN"/>
        </w:rPr>
        <w:t>企业产品标准自评表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_Toc7818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_Toc328 </w:instrText>
      </w:r>
      <w:r>
        <w:rPr>
          <w:rFonts w:hint="eastAsia" w:ascii="宋体" w:hAnsi="宋体" w:eastAsia="宋体" w:cs="宋体"/>
          <w:szCs w:val="21"/>
        </w:rPr>
        <w:fldChar w:fldCharType="separate"/>
      </w:r>
      <w:r>
        <w:rPr>
          <w:rFonts w:hint="eastAsia" w:ascii="宋体" w:hAnsi="宋体" w:eastAsia="宋体" w:cs="宋体"/>
          <w:szCs w:val="21"/>
          <w:lang w:val="en-US" w:eastAsia="zh-CN"/>
        </w:rPr>
        <w:t>附录B</w:t>
      </w:r>
      <w:r>
        <w:rPr>
          <w:rFonts w:hint="eastAsia" w:ascii="宋体" w:hAnsi="宋体" w:eastAsia="宋体" w:cs="宋体"/>
          <w:szCs w:val="21"/>
        </w:rPr>
        <w:fldChar w:fldCharType="end"/>
      </w:r>
      <w:r>
        <w:rPr>
          <w:rFonts w:hint="eastAsia" w:ascii="宋体" w:hAnsi="宋体" w:eastAsia="宋体" w:cs="宋体"/>
          <w:szCs w:val="21"/>
        </w:rPr>
        <w:fldChar w:fldCharType="begin"/>
      </w:r>
      <w:r>
        <w:rPr>
          <w:rFonts w:hint="eastAsia" w:ascii="宋体" w:hAnsi="宋体" w:eastAsia="宋体" w:cs="宋体"/>
          <w:szCs w:val="21"/>
        </w:rPr>
        <w:instrText xml:space="preserve"> HYPERLINK \l _Toc1195 </w:instrText>
      </w:r>
      <w:r>
        <w:rPr>
          <w:rFonts w:hint="eastAsia" w:ascii="宋体" w:hAnsi="宋体" w:eastAsia="宋体" w:cs="宋体"/>
          <w:szCs w:val="21"/>
        </w:rPr>
        <w:fldChar w:fldCharType="separate"/>
      </w:r>
      <w:r>
        <w:rPr>
          <w:rFonts w:hint="eastAsia" w:ascii="宋体" w:hAnsi="宋体" w:eastAsia="宋体" w:cs="宋体"/>
          <w:szCs w:val="21"/>
          <w:lang w:val="en-US" w:eastAsia="zh-CN"/>
        </w:rPr>
        <w:t>（资料性）</w:t>
      </w:r>
      <w:r>
        <w:rPr>
          <w:rFonts w:hint="eastAsia" w:ascii="宋体" w:hAnsi="宋体" w:eastAsia="宋体" w:cs="宋体"/>
          <w:szCs w:val="21"/>
        </w:rPr>
        <w:fldChar w:fldCharType="end"/>
      </w:r>
      <w:r>
        <w:rPr>
          <w:rFonts w:hint="eastAsia" w:ascii="宋体" w:hAnsi="宋体" w:eastAsia="宋体" w:cs="宋体"/>
          <w:szCs w:val="21"/>
          <w:lang w:val="en-US" w:eastAsia="zh-CN"/>
        </w:rPr>
        <w:t xml:space="preserve"> </w:t>
      </w:r>
      <w:r>
        <w:rPr>
          <w:rFonts w:hint="eastAsia" w:ascii="宋体" w:hAnsi="宋体" w:eastAsia="宋体" w:cs="宋体"/>
          <w:szCs w:val="21"/>
        </w:rPr>
        <w:fldChar w:fldCharType="begin"/>
      </w:r>
      <w:r>
        <w:rPr>
          <w:rFonts w:hint="eastAsia" w:ascii="宋体" w:hAnsi="宋体" w:eastAsia="宋体" w:cs="宋体"/>
          <w:szCs w:val="21"/>
        </w:rPr>
        <w:instrText xml:space="preserve"> HYPERLINK \l _Toc8479 </w:instrText>
      </w:r>
      <w:r>
        <w:rPr>
          <w:rFonts w:hint="eastAsia" w:ascii="宋体" w:hAnsi="宋体" w:eastAsia="宋体" w:cs="宋体"/>
          <w:szCs w:val="21"/>
        </w:rPr>
        <w:fldChar w:fldCharType="separate"/>
      </w:r>
      <w:r>
        <w:rPr>
          <w:rFonts w:hint="eastAsia" w:ascii="宋体" w:hAnsi="宋体" w:eastAsia="宋体" w:cs="宋体"/>
          <w:szCs w:val="21"/>
          <w:lang w:val="en-US" w:eastAsia="zh-CN"/>
        </w:rPr>
        <w:t>企业产品标准制定及自我声明公开流程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_Toc8479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_Toc16550 </w:instrText>
      </w:r>
      <w:r>
        <w:rPr>
          <w:rFonts w:hint="eastAsia" w:ascii="宋体" w:hAnsi="宋体" w:eastAsia="宋体" w:cs="宋体"/>
          <w:szCs w:val="21"/>
        </w:rPr>
        <w:fldChar w:fldCharType="separate"/>
      </w:r>
      <w:r>
        <w:rPr>
          <w:rFonts w:hint="eastAsia" w:ascii="宋体" w:hAnsi="宋体" w:eastAsia="宋体" w:cs="宋体"/>
          <w:szCs w:val="21"/>
          <w:lang w:val="en-US" w:eastAsia="zh-CN"/>
        </w:rPr>
        <w:t>附录C</w:t>
      </w:r>
      <w:r>
        <w:rPr>
          <w:rFonts w:hint="eastAsia" w:ascii="宋体" w:hAnsi="宋体" w:eastAsia="宋体" w:cs="宋体"/>
          <w:szCs w:val="21"/>
        </w:rPr>
        <w:fldChar w:fldCharType="end"/>
      </w:r>
      <w:r>
        <w:rPr>
          <w:rFonts w:hint="eastAsia" w:ascii="宋体" w:hAnsi="宋体" w:eastAsia="宋体" w:cs="宋体"/>
          <w:szCs w:val="21"/>
        </w:rPr>
        <w:fldChar w:fldCharType="begin"/>
      </w:r>
      <w:r>
        <w:rPr>
          <w:rFonts w:hint="eastAsia" w:ascii="宋体" w:hAnsi="宋体" w:eastAsia="宋体" w:cs="宋体"/>
          <w:szCs w:val="21"/>
        </w:rPr>
        <w:instrText xml:space="preserve"> HYPERLINK \l _Toc15588 </w:instrText>
      </w:r>
      <w:r>
        <w:rPr>
          <w:rFonts w:hint="eastAsia" w:ascii="宋体" w:hAnsi="宋体" w:eastAsia="宋体" w:cs="宋体"/>
          <w:szCs w:val="21"/>
        </w:rPr>
        <w:fldChar w:fldCharType="separate"/>
      </w:r>
      <w:r>
        <w:rPr>
          <w:rFonts w:hint="eastAsia" w:ascii="宋体" w:hAnsi="宋体" w:eastAsia="宋体" w:cs="宋体"/>
          <w:szCs w:val="21"/>
          <w:lang w:val="en-US" w:eastAsia="zh-CN"/>
        </w:rPr>
        <w:t>（规范性）</w:t>
      </w:r>
      <w:r>
        <w:rPr>
          <w:rFonts w:hint="eastAsia" w:ascii="宋体" w:hAnsi="宋体" w:eastAsia="宋体" w:cs="宋体"/>
          <w:szCs w:val="21"/>
        </w:rPr>
        <w:fldChar w:fldCharType="end"/>
      </w:r>
      <w:r>
        <w:rPr>
          <w:rFonts w:hint="eastAsia" w:ascii="宋体" w:hAnsi="宋体" w:eastAsia="宋体" w:cs="宋体"/>
          <w:szCs w:val="21"/>
          <w:lang w:val="en-US" w:eastAsia="zh-CN"/>
        </w:rPr>
        <w:t xml:space="preserve"> </w:t>
      </w:r>
      <w:r>
        <w:rPr>
          <w:rFonts w:hint="eastAsia" w:ascii="宋体" w:hAnsi="宋体" w:eastAsia="宋体" w:cs="宋体"/>
          <w:szCs w:val="21"/>
        </w:rPr>
        <w:fldChar w:fldCharType="begin"/>
      </w:r>
      <w:r>
        <w:rPr>
          <w:rFonts w:hint="eastAsia" w:ascii="宋体" w:hAnsi="宋体" w:eastAsia="宋体" w:cs="宋体"/>
          <w:szCs w:val="21"/>
        </w:rPr>
        <w:instrText xml:space="preserve"> HYPERLINK \l _Toc13930 </w:instrText>
      </w:r>
      <w:r>
        <w:rPr>
          <w:rFonts w:hint="eastAsia" w:ascii="宋体" w:hAnsi="宋体" w:eastAsia="宋体" w:cs="宋体"/>
          <w:szCs w:val="21"/>
        </w:rPr>
        <w:fldChar w:fldCharType="separate"/>
      </w:r>
      <w:r>
        <w:rPr>
          <w:rFonts w:hint="eastAsia" w:ascii="宋体" w:hAnsi="宋体" w:eastAsia="宋体" w:cs="宋体"/>
          <w:szCs w:val="21"/>
          <w:lang w:val="en-US" w:eastAsia="zh-CN"/>
        </w:rPr>
        <w:t>企业产品标准编制规则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_Toc13930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keepNext w:val="0"/>
        <w:keepLines w:val="0"/>
        <w:pageBreakBefore w:val="0"/>
        <w:widowControl w:val="0"/>
        <w:kinsoku/>
        <w:wordWrap/>
        <w:overflowPunct/>
        <w:topLinePunct w:val="0"/>
        <w:autoSpaceDE/>
        <w:autoSpaceDN/>
        <w:bidi w:val="0"/>
        <w:adjustRightInd/>
        <w:snapToGrid w:val="0"/>
        <w:jc w:val="left"/>
        <w:textAlignment w:val="auto"/>
        <w:rPr>
          <w:rFonts w:ascii="宋体" w:hAnsi="宋体" w:eastAsia="宋体" w:cs="宋体"/>
          <w:szCs w:val="21"/>
        </w:rPr>
      </w:pPr>
      <w:r>
        <w:rPr>
          <w:rFonts w:hint="eastAsia" w:ascii="宋体" w:hAnsi="宋体" w:eastAsia="宋体" w:cs="宋体"/>
          <w:szCs w:val="21"/>
        </w:rPr>
        <w:fldChar w:fldCharType="end"/>
      </w:r>
    </w:p>
    <w:p>
      <w:pPr>
        <w:pStyle w:val="8"/>
        <w:rPr>
          <w:rFonts w:ascii="宋体" w:hAnsi="宋体" w:eastAsia="宋体" w:cs="宋体"/>
          <w:szCs w:val="21"/>
        </w:rPr>
      </w:pPr>
    </w:p>
    <w:p>
      <w:pPr>
        <w:pStyle w:val="8"/>
        <w:rPr>
          <w:rFonts w:ascii="宋体" w:hAnsi="宋体" w:eastAsia="宋体" w:cs="宋体"/>
          <w:szCs w:val="21"/>
        </w:rPr>
      </w:pPr>
    </w:p>
    <w:p>
      <w:pPr>
        <w:pStyle w:val="8"/>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5" w:type="default"/>
          <w:footerReference r:id="rId7" w:type="default"/>
          <w:headerReference r:id="rId6" w:type="even"/>
          <w:footerReference r:id="rId8" w:type="even"/>
          <w:pgSz w:w="11906" w:h="16838"/>
          <w:pgMar w:top="1417" w:right="1134" w:bottom="1134" w:left="1418" w:header="1417" w:footer="1134" w:gutter="0"/>
          <w:pgNumType w:fmt="upperRoman" w:start="1"/>
          <w:cols w:space="425" w:num="1"/>
          <w:docGrid w:type="lines" w:linePitch="312" w:charSpace="0"/>
        </w:sectPr>
      </w:pPr>
    </w:p>
    <w:p>
      <w:pPr>
        <w:pStyle w:val="8"/>
        <w:sectPr>
          <w:footerReference r:id="rId9" w:type="default"/>
          <w:footerReference r:id="rId10" w:type="even"/>
          <w:pgSz w:w="11906" w:h="16838"/>
          <w:pgMar w:top="1417" w:right="1134" w:bottom="1134" w:left="1418" w:header="1417" w:footer="1134" w:gutter="0"/>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8994"/>
      <w:r>
        <w:rPr>
          <w:rFonts w:hint="eastAsia" w:ascii="黑体" w:hAnsi="黑体" w:eastAsia="黑体" w:cs="黑体"/>
          <w:kern w:val="0"/>
          <w:sz w:val="32"/>
          <w:szCs w:val="32"/>
          <w:lang w:val="en-US" w:eastAsia="zh-CN"/>
        </w:rPr>
        <w:t>前    言</w:t>
      </w:r>
      <w:bookmarkEnd w:id="2"/>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w:t>
      </w:r>
      <w:r>
        <w:rPr>
          <w:rFonts w:hint="eastAsia" w:ascii="宋体" w:hAnsi="宋体" w:eastAsia="宋体" w:cs="宋体"/>
          <w:kern w:val="0"/>
          <w:szCs w:val="21"/>
          <w:lang w:val="en-US" w:eastAsia="zh-CN"/>
        </w:rPr>
        <w:t>给出</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pStyle w:val="8"/>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请注意本文件的某些内容可能涉及专利。本文件的发布机构不承担识别专利的责任。</w:t>
      </w:r>
    </w:p>
    <w:p>
      <w:pPr>
        <w:pStyle w:val="8"/>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本文件由苏州市市场监督管理局提出并归口。</w:t>
      </w:r>
    </w:p>
    <w:p>
      <w:pPr>
        <w:pStyle w:val="8"/>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本文件起草单位：苏州市质量和标准化院、苏州市标准化协会、江苏科电检测技术有限公司、凯博易控车辆科技（苏州）股份有限公司、苏州华检工标信息技术有限公司、苏州市产品质量监督检验院。</w:t>
      </w:r>
    </w:p>
    <w:p>
      <w:pPr>
        <w:pStyle w:val="8"/>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宋体"/>
          <w:lang w:val="en-US" w:eastAsia="zh-CN"/>
        </w:rPr>
      </w:pPr>
      <w:r>
        <w:rPr>
          <w:rFonts w:hint="eastAsia" w:ascii="宋体" w:hAnsi="宋体" w:eastAsia="宋体" w:cs="宋体"/>
          <w:kern w:val="0"/>
          <w:szCs w:val="21"/>
          <w:lang w:val="en-US" w:eastAsia="zh-CN"/>
        </w:rPr>
        <w:t>本文件主要起草人：张硕、夏燕、胡静、殷芳、汤峥、潘阮、沈燕秋、唐颖颖、刘杰、吴新晖、朱肖肖、王敏、孙法辉。</w:t>
      </w:r>
    </w:p>
    <w:p>
      <w:pPr>
        <w:shd w:val="clea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sectPr>
          <w:footerReference r:id="rId12" w:type="default"/>
          <w:headerReference r:id="rId11" w:type="even"/>
          <w:footerReference r:id="rId13" w:type="even"/>
          <w:pgSz w:w="11906" w:h="16838"/>
          <w:pgMar w:top="1417" w:right="1134" w:bottom="1134" w:left="1418" w:header="1417" w:footer="1134" w:gutter="0"/>
          <w:pgNumType w:fmt="upperRoman" w:start="2"/>
          <w:cols w:space="425" w:num="1"/>
          <w:docGrid w:type="lines" w:linePitch="312" w:charSpace="0"/>
        </w:sectPr>
      </w:pPr>
    </w:p>
    <w:p>
      <w:pPr>
        <w:pStyle w:val="8"/>
      </w:pPr>
    </w:p>
    <w:p>
      <w:pPr>
        <w:widowControl/>
        <w:rPr>
          <w:rFonts w:ascii="黑体" w:hAnsi="黑体" w:eastAsia="黑体"/>
          <w:bCs/>
          <w:sz w:val="32"/>
          <w:szCs w:val="32"/>
        </w:rPr>
        <w:sectPr>
          <w:footerReference r:id="rId15" w:type="default"/>
          <w:headerReference r:id="rId14" w:type="even"/>
          <w:footerReference r:id="rId16" w:type="even"/>
          <w:pgSz w:w="11906" w:h="16838"/>
          <w:pgMar w:top="1417" w:right="1134" w:bottom="1134" w:left="1418" w:header="1417" w:footer="1134" w:gutter="0"/>
          <w:pgNumType w:fmt="upperRoman" w:start="2"/>
          <w:cols w:space="425" w:num="1"/>
          <w:docGrid w:type="lines" w:linePitch="312" w:charSpace="0"/>
        </w:sectPr>
      </w:pPr>
      <w:bookmarkStart w:id="3" w:name="SectionMark4"/>
    </w:p>
    <w:p>
      <w:pPr>
        <w:widowControl/>
        <w:spacing w:before="567" w:after="680"/>
        <w:jc w:val="center"/>
        <w:rPr>
          <w:rFonts w:hint="default" w:ascii="黑体" w:hAnsi="黑体" w:eastAsia="黑体"/>
          <w:bCs/>
          <w:sz w:val="32"/>
          <w:szCs w:val="32"/>
          <w:lang w:val="en-US" w:eastAsia="zh-CN"/>
        </w:rPr>
      </w:pPr>
      <w:r>
        <w:rPr>
          <w:rFonts w:hint="eastAsia" w:ascii="黑体" w:hAnsi="宋体" w:eastAsia="黑体"/>
          <w:sz w:val="32"/>
          <w:szCs w:val="32"/>
          <w:lang w:val="en-US" w:eastAsia="zh-CN"/>
        </w:rPr>
        <w:t>企业产品标准自我声明公开规范</w:t>
      </w:r>
    </w:p>
    <w:bookmarkEnd w:id="3"/>
    <w:p>
      <w:pPr>
        <w:pStyle w:val="66"/>
        <w:spacing w:before="312" w:after="312"/>
        <w:rPr>
          <w:rFonts w:hint="eastAsia"/>
        </w:rPr>
      </w:pPr>
      <w:bookmarkStart w:id="4" w:name="_Toc47964512"/>
      <w:bookmarkStart w:id="5" w:name="_Toc66965087"/>
      <w:bookmarkStart w:id="6" w:name="_Toc48028304"/>
      <w:bookmarkStart w:id="7" w:name="_Toc30515"/>
      <w:bookmarkStart w:id="8" w:name="_Toc122448156"/>
      <w:bookmarkStart w:id="9" w:name="_Toc48050151"/>
      <w:bookmarkStart w:id="10" w:name="_Toc87811223"/>
      <w:bookmarkStart w:id="11" w:name="_Toc10375"/>
      <w:bookmarkStart w:id="12" w:name="_Toc51663569"/>
      <w:bookmarkStart w:id="13" w:name="_Toc40454690"/>
      <w:bookmarkStart w:id="14" w:name="_Toc48569571"/>
      <w:bookmarkStart w:id="15" w:name="_Toc87811368"/>
      <w:bookmarkStart w:id="16" w:name="_Toc48028397"/>
      <w:bookmarkStart w:id="17" w:name="_Toc47973642"/>
      <w:bookmarkStart w:id="18" w:name="_Toc48049835"/>
      <w:bookmarkStart w:id="19" w:name="_Toc21213"/>
      <w:bookmarkStart w:id="20" w:name="_Toc48572088"/>
      <w:bookmarkStart w:id="21" w:name="_Toc67401897"/>
      <w:bookmarkStart w:id="22" w:name="_Toc47973431"/>
      <w:bookmarkStart w:id="23" w:name="_Toc67393169"/>
      <w:bookmarkStart w:id="24" w:name="_Toc23181"/>
      <w:bookmarkStart w:id="25" w:name="_Toc15741"/>
      <w:bookmarkStart w:id="26" w:name="_Toc46494722"/>
      <w:bookmarkStart w:id="27" w:name="_Toc51147912"/>
      <w:bookmarkStart w:id="28" w:name="_Toc115339701"/>
      <w:bookmarkStart w:id="29" w:name="_Toc47964470"/>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1"/>
        <w:rPr>
          <w:rFonts w:hint="eastAsia"/>
        </w:rPr>
      </w:pPr>
      <w:r>
        <w:rPr>
          <w:rFonts w:hint="eastAsia"/>
        </w:rPr>
        <w:t>本文件规定了企业产品标准自我声明公开的通则、自我声明公开要求内容。</w:t>
      </w:r>
    </w:p>
    <w:p>
      <w:pPr>
        <w:pStyle w:val="51"/>
        <w:rPr>
          <w:rFonts w:hint="eastAsia"/>
        </w:rPr>
      </w:pPr>
      <w:r>
        <w:rPr>
          <w:rFonts w:hint="eastAsia"/>
        </w:rPr>
        <w:t>本文件适用于在苏州市注册的企业用于生产、加工、销售的产品标准自我声明公开相关工作。企业服务标准可参照本文件执行，不适用于按规定应进行备案的产品标准。</w:t>
      </w:r>
    </w:p>
    <w:p>
      <w:pPr>
        <w:pStyle w:val="66"/>
        <w:spacing w:before="312" w:after="312"/>
        <w:rPr>
          <w:rFonts w:hint="eastAsia"/>
        </w:rPr>
      </w:pPr>
      <w:bookmarkStart w:id="30" w:name="_Toc47964471"/>
      <w:bookmarkStart w:id="31" w:name="_Toc48049836"/>
      <w:bookmarkStart w:id="32" w:name="_Toc67401898"/>
      <w:bookmarkStart w:id="33" w:name="_Toc29099"/>
      <w:bookmarkStart w:id="34" w:name="_Toc27904"/>
      <w:bookmarkStart w:id="35" w:name="_Toc66965088"/>
      <w:bookmarkStart w:id="36" w:name="_Toc48028305"/>
      <w:bookmarkStart w:id="37" w:name="_Toc48028398"/>
      <w:bookmarkStart w:id="38" w:name="_Toc47964513"/>
      <w:bookmarkStart w:id="39" w:name="_Toc40454691"/>
      <w:bookmarkStart w:id="40" w:name="_Toc27351"/>
      <w:bookmarkStart w:id="41" w:name="_Toc115339702"/>
      <w:bookmarkStart w:id="42" w:name="_Toc47973432"/>
      <w:bookmarkStart w:id="43" w:name="_Toc48050152"/>
      <w:bookmarkStart w:id="44" w:name="_Toc122448157"/>
      <w:bookmarkStart w:id="45" w:name="_Toc87811224"/>
      <w:bookmarkStart w:id="46" w:name="_Toc47973643"/>
      <w:bookmarkStart w:id="47" w:name="_Toc87811369"/>
      <w:bookmarkStart w:id="48" w:name="_Toc51663570"/>
      <w:bookmarkStart w:id="49" w:name="_Toc46494723"/>
      <w:bookmarkStart w:id="50" w:name="_Toc67393170"/>
      <w:bookmarkStart w:id="51" w:name="_Toc51147913"/>
      <w:bookmarkStart w:id="52" w:name="_Toc5397"/>
      <w:bookmarkStart w:id="53" w:name="_Toc2186"/>
      <w:bookmarkStart w:id="54" w:name="_Toc48572089"/>
      <w:bookmarkStart w:id="55" w:name="_Toc48569572"/>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1"/>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rPr>
          <w:rFonts w:hint="eastAsia"/>
        </w:rPr>
      </w:pPr>
      <w:r>
        <w:rPr>
          <w:rFonts w:hint="eastAsia"/>
        </w:rPr>
        <w:t>GB/T 1.1  标准化工作导则 第 1 部分：标准化文件的结构和起草规则</w:t>
      </w:r>
    </w:p>
    <w:p>
      <w:pPr>
        <w:pStyle w:val="51"/>
        <w:rPr>
          <w:rFonts w:hint="eastAsia"/>
        </w:rPr>
      </w:pPr>
      <w:r>
        <w:rPr>
          <w:rFonts w:hint="eastAsia"/>
        </w:rPr>
        <w:t>GB/T 20000.1  标准化工作指南 第 1 部分：标准化和相关活动的通用术语</w:t>
      </w:r>
    </w:p>
    <w:p>
      <w:pPr>
        <w:pStyle w:val="51"/>
        <w:rPr>
          <w:rFonts w:hint="eastAsia"/>
        </w:rPr>
      </w:pPr>
      <w:r>
        <w:rPr>
          <w:rFonts w:hint="eastAsia"/>
        </w:rPr>
        <w:t>GB/T 20001.10  标准编写规则 第 10 部分：产品标准</w:t>
      </w:r>
    </w:p>
    <w:p>
      <w:pPr>
        <w:pStyle w:val="66"/>
        <w:spacing w:before="312" w:after="312"/>
        <w:rPr>
          <w:rFonts w:hint="eastAsia"/>
          <w:szCs w:val="21"/>
        </w:rPr>
      </w:pPr>
      <w:bookmarkStart w:id="56" w:name="_Toc67401899"/>
      <w:bookmarkStart w:id="57" w:name="_Toc122448158"/>
      <w:bookmarkStart w:id="58" w:name="_Toc22532"/>
      <w:bookmarkStart w:id="59" w:name="_Toc87811225"/>
      <w:bookmarkStart w:id="60" w:name="_Toc67393171"/>
      <w:bookmarkStart w:id="61" w:name="_Toc87811370"/>
      <w:bookmarkStart w:id="62" w:name="_Toc115339703"/>
      <w:r>
        <w:rPr>
          <w:rFonts w:hint="eastAsia"/>
          <w:szCs w:val="21"/>
        </w:rPr>
        <w:t>术语和定义</w:t>
      </w:r>
      <w:bookmarkEnd w:id="56"/>
      <w:bookmarkEnd w:id="57"/>
      <w:bookmarkEnd w:id="58"/>
      <w:bookmarkEnd w:id="59"/>
      <w:bookmarkEnd w:id="60"/>
      <w:bookmarkEnd w:id="61"/>
      <w:bookmarkEnd w:id="62"/>
    </w:p>
    <w:p>
      <w:pPr>
        <w:pStyle w:val="51"/>
        <w:rPr>
          <w:rFonts w:hint="eastAsia"/>
        </w:rPr>
      </w:pPr>
      <w:r>
        <w:rPr>
          <w:rFonts w:hint="eastAsia"/>
        </w:rPr>
        <w:t>GB/T 20000.1界定的以及下列术语和定义适用于本文件。</w:t>
      </w:r>
    </w:p>
    <w:p>
      <w:pPr>
        <w:pStyle w:val="63"/>
        <w:ind w:left="420" w:hanging="420" w:hangingChars="200"/>
        <w:rPr>
          <w:rFonts w:hint="eastAsia" w:ascii="黑体" w:hAnsi="黑体" w:eastAsia="黑体"/>
        </w:rPr>
      </w:pPr>
    </w:p>
    <w:p>
      <w:pPr>
        <w:pStyle w:val="63"/>
        <w:numPr>
          <w:ilvl w:val="0"/>
          <w:numId w:val="0"/>
        </w:numPr>
        <w:ind w:left="420"/>
        <w:rPr>
          <w:rFonts w:hint="default" w:ascii="黑体" w:hAnsi="黑体" w:eastAsia="黑体"/>
          <w:highlight w:val="none"/>
          <w:lang w:val="en-US" w:eastAsia="zh-CN"/>
        </w:rPr>
      </w:pPr>
      <w:r>
        <w:rPr>
          <w:rFonts w:hint="eastAsia" w:ascii="黑体" w:hAnsi="黑体" w:eastAsia="黑体"/>
          <w:highlight w:val="none"/>
          <w:lang w:val="en-US" w:eastAsia="zh-CN"/>
        </w:rPr>
        <w:t>企业标准</w:t>
      </w:r>
      <w:r>
        <w:rPr>
          <w:rFonts w:hint="eastAsia" w:ascii="黑体" w:hAnsi="黑体" w:eastAsia="黑体"/>
          <w:highlight w:val="none"/>
        </w:rPr>
        <w:t xml:space="preserve"> </w:t>
      </w:r>
      <w:r>
        <w:rPr>
          <w:rFonts w:hint="eastAsia" w:ascii="黑体" w:hAnsi="黑体" w:eastAsia="黑体"/>
          <w:highlight w:val="none"/>
          <w:lang w:val="en-US" w:eastAsia="zh-CN"/>
        </w:rPr>
        <w:t xml:space="preserve"> enterprise standards</w:t>
      </w:r>
    </w:p>
    <w:p>
      <w:pPr>
        <w:pStyle w:val="51"/>
        <w:rPr>
          <w:rFonts w:hint="eastAsia"/>
          <w:lang w:val="en-US" w:eastAsia="zh-CN"/>
        </w:rPr>
      </w:pPr>
      <w:r>
        <w:rPr>
          <w:rFonts w:hint="eastAsia"/>
          <w:lang w:val="en-US" w:eastAsia="zh-CN"/>
        </w:rPr>
        <w:t>对企业范围内需要协调、统一的技术要求，管理要求和工作要求所制定的标准。</w:t>
      </w:r>
    </w:p>
    <w:p>
      <w:pPr>
        <w:pStyle w:val="51"/>
        <w:rPr>
          <w:rFonts w:hint="eastAsia"/>
          <w:sz w:val="18"/>
          <w:szCs w:val="16"/>
          <w:lang w:val="en-US" w:eastAsia="zh-CN"/>
        </w:rPr>
      </w:pPr>
      <w:r>
        <w:rPr>
          <w:rFonts w:hint="eastAsia" w:ascii="黑体" w:hAnsi="黑体" w:eastAsia="黑体" w:cs="黑体"/>
          <w:sz w:val="18"/>
          <w:szCs w:val="16"/>
          <w:lang w:val="en-US" w:eastAsia="zh-CN"/>
        </w:rPr>
        <w:t>注：</w:t>
      </w:r>
      <w:r>
        <w:rPr>
          <w:rFonts w:hint="eastAsia"/>
          <w:sz w:val="18"/>
          <w:szCs w:val="16"/>
          <w:lang w:val="en-US" w:eastAsia="zh-CN"/>
        </w:rPr>
        <w:t>企业标准是企业组织生产、经营活动的依据。</w:t>
      </w:r>
    </w:p>
    <w:p>
      <w:pPr>
        <w:pStyle w:val="51"/>
        <w:rPr>
          <w:rFonts w:hint="default" w:eastAsia="宋体"/>
          <w:lang w:val="en-US" w:eastAsia="zh-CN"/>
        </w:rPr>
      </w:pPr>
      <w:r>
        <w:rPr>
          <w:rFonts w:hint="eastAsia"/>
          <w:lang w:val="en-US" w:eastAsia="zh-CN"/>
        </w:rPr>
        <w:t>[来源：GB/T 20000.1—2014，5.3.6]。</w:t>
      </w:r>
    </w:p>
    <w:p>
      <w:pPr>
        <w:pStyle w:val="63"/>
        <w:ind w:left="420" w:hanging="420" w:hangingChars="200"/>
        <w:rPr>
          <w:rFonts w:hint="eastAsia" w:ascii="黑体" w:hAnsi="黑体" w:eastAsia="黑体"/>
        </w:rPr>
      </w:pPr>
      <w:bookmarkStart w:id="63" w:name="_Toc67401900"/>
      <w:bookmarkEnd w:id="63"/>
      <w:bookmarkStart w:id="64" w:name="_Toc500955126"/>
      <w:bookmarkEnd w:id="64"/>
      <w:bookmarkStart w:id="65" w:name="_Toc67393172"/>
      <w:bookmarkEnd w:id="65"/>
      <w:bookmarkStart w:id="66" w:name="_Toc502157201"/>
      <w:bookmarkEnd w:id="66"/>
      <w:bookmarkStart w:id="67" w:name="_Toc87811226"/>
      <w:bookmarkEnd w:id="67"/>
      <w:bookmarkStart w:id="68" w:name="_Toc500938708"/>
      <w:bookmarkEnd w:id="68"/>
      <w:bookmarkStart w:id="69" w:name="_Toc87811371"/>
      <w:bookmarkEnd w:id="69"/>
    </w:p>
    <w:p>
      <w:pPr>
        <w:pStyle w:val="63"/>
        <w:numPr>
          <w:ilvl w:val="0"/>
          <w:numId w:val="0"/>
        </w:numPr>
        <w:ind w:left="420"/>
        <w:rPr>
          <w:rFonts w:hint="default" w:ascii="黑体" w:hAnsi="黑体" w:eastAsia="黑体"/>
          <w:highlight w:val="none"/>
          <w:lang w:val="en-US" w:eastAsia="zh-CN"/>
        </w:rPr>
      </w:pPr>
      <w:r>
        <w:rPr>
          <w:rFonts w:hint="eastAsia" w:ascii="黑体" w:hAnsi="黑体" w:eastAsia="黑体"/>
          <w:highlight w:val="none"/>
          <w:lang w:val="en-US" w:eastAsia="zh-CN"/>
        </w:rPr>
        <w:t>产品标准</w:t>
      </w:r>
      <w:r>
        <w:rPr>
          <w:rFonts w:hint="eastAsia" w:ascii="黑体" w:hAnsi="黑体" w:eastAsia="黑体"/>
          <w:highlight w:val="none"/>
        </w:rPr>
        <w:t xml:space="preserve"> </w:t>
      </w:r>
      <w:r>
        <w:rPr>
          <w:rFonts w:hint="eastAsia" w:ascii="黑体" w:hAnsi="黑体" w:eastAsia="黑体"/>
          <w:highlight w:val="none"/>
          <w:lang w:val="en-US" w:eastAsia="zh-CN"/>
        </w:rPr>
        <w:t xml:space="preserve"> product standards</w:t>
      </w:r>
    </w:p>
    <w:p>
      <w:pPr>
        <w:pStyle w:val="51"/>
        <w:rPr>
          <w:rFonts w:hint="eastAsia"/>
          <w:lang w:val="en-US" w:eastAsia="zh-CN"/>
        </w:rPr>
      </w:pPr>
      <w:r>
        <w:rPr>
          <w:rFonts w:hint="eastAsia"/>
          <w:lang w:val="en-US" w:eastAsia="zh-CN"/>
        </w:rPr>
        <w:t>规定产品需要满足的要求以保证其适用性的标准。</w:t>
      </w:r>
    </w:p>
    <w:p>
      <w:pPr>
        <w:pStyle w:val="51"/>
        <w:keepNext w:val="0"/>
        <w:keepLines w:val="0"/>
        <w:pageBreakBefore w:val="0"/>
        <w:widowControl/>
        <w:kinsoku/>
        <w:wordWrap/>
        <w:overflowPunct/>
        <w:topLinePunct w:val="0"/>
        <w:autoSpaceDE w:val="0"/>
        <w:autoSpaceDN w:val="0"/>
        <w:bidi w:val="0"/>
        <w:adjustRightInd/>
        <w:snapToGrid/>
        <w:ind w:left="870" w:leftChars="200" w:hanging="450" w:hangingChars="250"/>
        <w:textAlignment w:val="auto"/>
        <w:rPr>
          <w:rFonts w:hint="eastAsia"/>
          <w:sz w:val="18"/>
          <w:szCs w:val="16"/>
          <w:lang w:val="en-US" w:eastAsia="zh-CN"/>
        </w:rPr>
      </w:pPr>
      <w:r>
        <w:rPr>
          <w:rFonts w:hint="eastAsia" w:ascii="黑体" w:hAnsi="黑体" w:eastAsia="黑体" w:cs="黑体"/>
          <w:sz w:val="18"/>
          <w:szCs w:val="16"/>
          <w:lang w:val="en-US" w:eastAsia="zh-CN"/>
        </w:rPr>
        <w:t>注1：</w:t>
      </w:r>
      <w:r>
        <w:rPr>
          <w:rFonts w:hint="eastAsia"/>
          <w:sz w:val="18"/>
          <w:szCs w:val="16"/>
          <w:lang w:val="en-US" w:eastAsia="zh-CN"/>
        </w:rPr>
        <w:t>产品标准除了包括适用性的要求外，也可直接包括或以引用的方式包括诸如术语、取样、检测、包装和标签等方面的要求，有时还可包括工艺要求。</w:t>
      </w:r>
    </w:p>
    <w:p>
      <w:pPr>
        <w:pStyle w:val="51"/>
        <w:keepNext w:val="0"/>
        <w:keepLines w:val="0"/>
        <w:pageBreakBefore w:val="0"/>
        <w:widowControl/>
        <w:kinsoku/>
        <w:wordWrap/>
        <w:overflowPunct/>
        <w:topLinePunct w:val="0"/>
        <w:autoSpaceDE w:val="0"/>
        <w:autoSpaceDN w:val="0"/>
        <w:bidi w:val="0"/>
        <w:adjustRightInd/>
        <w:snapToGrid/>
        <w:ind w:left="870" w:leftChars="200" w:hanging="450" w:hangingChars="250"/>
        <w:textAlignment w:val="auto"/>
        <w:rPr>
          <w:rFonts w:hint="eastAsia"/>
          <w:sz w:val="18"/>
          <w:szCs w:val="16"/>
          <w:lang w:val="en-US" w:eastAsia="zh-CN"/>
        </w:rPr>
      </w:pPr>
      <w:r>
        <w:rPr>
          <w:rFonts w:hint="eastAsia" w:ascii="黑体" w:hAnsi="黑体" w:eastAsia="黑体" w:cs="黑体"/>
          <w:sz w:val="18"/>
          <w:szCs w:val="16"/>
          <w:lang w:val="en-US" w:eastAsia="zh-CN"/>
        </w:rPr>
        <w:t>注2：</w:t>
      </w:r>
      <w:r>
        <w:rPr>
          <w:rFonts w:hint="eastAsia"/>
          <w:sz w:val="18"/>
          <w:szCs w:val="16"/>
          <w:lang w:val="en-US" w:eastAsia="zh-CN"/>
        </w:rPr>
        <w:t>产品标准根据其规定的是全部的还是部分的必要要求，可区分为完整的标准和非完整的标准。由此，产品标准又可分为不同类别的标准，例如尺寸类、材料类和交货技术通则类产品标准。</w:t>
      </w:r>
    </w:p>
    <w:p>
      <w:pPr>
        <w:pStyle w:val="51"/>
        <w:keepNext w:val="0"/>
        <w:keepLines w:val="0"/>
        <w:pageBreakBefore w:val="0"/>
        <w:widowControl/>
        <w:kinsoku/>
        <w:wordWrap/>
        <w:overflowPunct/>
        <w:topLinePunct w:val="0"/>
        <w:autoSpaceDE w:val="0"/>
        <w:autoSpaceDN w:val="0"/>
        <w:bidi w:val="0"/>
        <w:adjustRightInd/>
        <w:snapToGrid/>
        <w:ind w:left="870" w:leftChars="200" w:hanging="450" w:hangingChars="250"/>
        <w:textAlignment w:val="auto"/>
        <w:rPr>
          <w:rFonts w:hint="eastAsia"/>
          <w:sz w:val="18"/>
          <w:szCs w:val="16"/>
          <w:lang w:val="en-US" w:eastAsia="zh-CN"/>
        </w:rPr>
      </w:pPr>
      <w:r>
        <w:rPr>
          <w:rFonts w:hint="eastAsia" w:ascii="黑体" w:hAnsi="黑体" w:eastAsia="黑体" w:cs="黑体"/>
          <w:sz w:val="18"/>
          <w:szCs w:val="16"/>
          <w:lang w:val="en-US" w:eastAsia="zh-CN"/>
        </w:rPr>
        <w:t>注3：</w:t>
      </w:r>
      <w:r>
        <w:rPr>
          <w:rFonts w:hint="eastAsia"/>
          <w:sz w:val="18"/>
          <w:szCs w:val="16"/>
          <w:lang w:val="en-US" w:eastAsia="zh-CN"/>
        </w:rPr>
        <w:t>若标准仅包括分类、试验方法、标准和标签等内容中的一项，则该标准分别属于分类标准、试验方法标准和标志标准，而不属于产品标准。</w:t>
      </w:r>
    </w:p>
    <w:p>
      <w:pPr>
        <w:pStyle w:val="51"/>
        <w:rPr>
          <w:rFonts w:hint="eastAsia"/>
          <w:lang w:val="en-US" w:eastAsia="zh-CN"/>
        </w:rPr>
      </w:pPr>
      <w:r>
        <w:rPr>
          <w:rFonts w:hint="eastAsia"/>
          <w:lang w:val="en-US" w:eastAsia="zh-CN"/>
        </w:rPr>
        <w:t>[来源：GB/T 20000.1—2014，7.9]。</w:t>
      </w:r>
    </w:p>
    <w:p>
      <w:pPr>
        <w:pStyle w:val="66"/>
        <w:spacing w:before="312" w:after="312"/>
        <w:rPr>
          <w:rFonts w:hint="eastAsia"/>
        </w:rPr>
      </w:pPr>
      <w:bookmarkStart w:id="70" w:name="_Toc6837"/>
      <w:r>
        <w:rPr>
          <w:rFonts w:hint="eastAsia"/>
          <w:lang w:val="en-US" w:eastAsia="zh-CN"/>
        </w:rPr>
        <w:t>通则</w:t>
      </w:r>
      <w:bookmarkEnd w:id="70"/>
    </w:p>
    <w:p>
      <w:pPr>
        <w:pStyle w:val="64"/>
      </w:pPr>
      <w:bookmarkStart w:id="71" w:name="_Toc500938711"/>
      <w:bookmarkStart w:id="72" w:name="_Toc500955133"/>
      <w:bookmarkStart w:id="73" w:name="_Toc67393179"/>
      <w:bookmarkStart w:id="74" w:name="_Toc502157208"/>
      <w:r>
        <w:rPr>
          <w:rFonts w:hint="eastAsia"/>
        </w:rPr>
        <w:t>保证公开声明信息的完整、真实、准确、合法。</w:t>
      </w:r>
    </w:p>
    <w:p>
      <w:pPr>
        <w:pStyle w:val="64"/>
      </w:pPr>
      <w:r>
        <w:rPr>
          <w:rFonts w:hint="eastAsia"/>
        </w:rPr>
        <w:t>遵循“管备分开、即告即备、公开承诺、失信惩戒”的原则。</w:t>
      </w:r>
    </w:p>
    <w:p>
      <w:pPr>
        <w:pStyle w:val="66"/>
        <w:bidi w:val="0"/>
        <w:ind w:left="0" w:leftChars="0" w:firstLine="0" w:firstLineChars="0"/>
        <w:rPr>
          <w:rFonts w:hint="eastAsia"/>
          <w:lang w:val="en-US" w:eastAsia="zh-CN"/>
        </w:rPr>
      </w:pPr>
      <w:bookmarkStart w:id="75" w:name="_Toc18166"/>
      <w:bookmarkStart w:id="76" w:name="_Toc67401904"/>
      <w:r>
        <w:rPr>
          <w:rFonts w:hint="eastAsia"/>
          <w:lang w:val="en-US" w:eastAsia="zh-CN"/>
        </w:rPr>
        <w:t>自我声明公开要求</w:t>
      </w:r>
      <w:bookmarkEnd w:id="75"/>
    </w:p>
    <w:p>
      <w:pPr>
        <w:pStyle w:val="65"/>
        <w:bidi w:val="0"/>
        <w:ind w:left="0" w:leftChars="0" w:firstLine="0" w:firstLineChars="0"/>
        <w:rPr>
          <w:rFonts w:hint="eastAsia"/>
        </w:rPr>
      </w:pPr>
      <w:bookmarkStart w:id="77" w:name="_Toc3620"/>
      <w:r>
        <w:rPr>
          <w:rFonts w:hint="eastAsia"/>
          <w:lang w:val="en-US" w:eastAsia="zh-CN"/>
        </w:rPr>
        <w:t>公开时限</w:t>
      </w:r>
      <w:bookmarkEnd w:id="77"/>
    </w:p>
    <w:p>
      <w:pPr>
        <w:pStyle w:val="68"/>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企业自企业产品标准发布后30日内进行自我声明公开。</w:t>
      </w:r>
    </w:p>
    <w:p>
      <w:pPr>
        <w:pStyle w:val="65"/>
        <w:bidi w:val="0"/>
        <w:ind w:left="0" w:leftChars="0" w:firstLine="0" w:firstLineChars="0"/>
        <w:rPr>
          <w:rFonts w:hint="eastAsia"/>
          <w:lang w:val="en-US" w:eastAsia="zh-CN"/>
        </w:rPr>
      </w:pPr>
      <w:bookmarkStart w:id="78" w:name="_Toc6649"/>
      <w:r>
        <w:rPr>
          <w:rFonts w:hint="eastAsia"/>
          <w:lang w:val="en-US" w:eastAsia="zh-CN"/>
        </w:rPr>
        <w:t>公开自评</w:t>
      </w:r>
      <w:bookmarkEnd w:id="78"/>
    </w:p>
    <w:p>
      <w:pPr>
        <w:pStyle w:val="68"/>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rPr>
      </w:pPr>
      <w:r>
        <w:rPr>
          <w:rFonts w:hint="eastAsia" w:ascii="宋体" w:hAnsi="Times New Roman" w:eastAsia="宋体" w:cs="Times New Roman"/>
          <w:sz w:val="21"/>
          <w:lang w:val="en-US" w:eastAsia="zh-CN" w:bidi="ar-SA"/>
        </w:rPr>
        <w:t>企业产品标准在企业标准信息公共服务平台公开前，参照附录A中的《企业产品标准自评表》，对标准公开信息及标准内容进行自评，确保公开信息无误。</w:t>
      </w:r>
    </w:p>
    <w:bookmarkEnd w:id="71"/>
    <w:bookmarkEnd w:id="72"/>
    <w:bookmarkEnd w:id="73"/>
    <w:bookmarkEnd w:id="74"/>
    <w:bookmarkEnd w:id="76"/>
    <w:p>
      <w:pPr>
        <w:pStyle w:val="65"/>
        <w:spacing w:before="156" w:after="156"/>
        <w:rPr>
          <w:rFonts w:hint="eastAsia"/>
          <w:lang w:val="en-US" w:eastAsia="zh-CN"/>
        </w:rPr>
      </w:pPr>
      <w:bookmarkStart w:id="79" w:name="_Toc17095"/>
      <w:r>
        <w:rPr>
          <w:rFonts w:hint="eastAsia"/>
          <w:lang w:val="en-US" w:eastAsia="zh-CN"/>
        </w:rPr>
        <w:t>公开形式</w:t>
      </w:r>
      <w:bookmarkEnd w:id="79"/>
    </w:p>
    <w:p>
      <w:pPr>
        <w:pStyle w:val="68"/>
      </w:pPr>
      <w:r>
        <w:rPr>
          <w:rFonts w:hint="eastAsia"/>
          <w:lang w:val="en-US" w:eastAsia="zh-CN"/>
        </w:rPr>
        <w:t>宜</w:t>
      </w:r>
      <w:r>
        <w:rPr>
          <w:rFonts w:hint="eastAsia"/>
        </w:rPr>
        <w:t>在国家统一的企业标准信息公共服务平台上自我声明公开产品标准信息。</w:t>
      </w:r>
      <w:r>
        <w:rPr>
          <w:rFonts w:hint="eastAsia"/>
          <w:lang w:val="en-US" w:eastAsia="zh-CN"/>
        </w:rPr>
        <w:t>具体公开流程见附录</w:t>
      </w:r>
      <w:r>
        <w:rPr>
          <w:rFonts w:hint="eastAsia" w:hAnsi="宋体" w:cs="宋体"/>
          <w:lang w:val="en-US" w:eastAsia="zh-CN"/>
        </w:rPr>
        <w:t>B</w:t>
      </w:r>
      <w:r>
        <w:rPr>
          <w:rFonts w:hint="eastAsia" w:ascii="宋体" w:hAnsi="宋体" w:eastAsia="宋体" w:cs="宋体"/>
          <w:lang w:eastAsia="zh-CN"/>
        </w:rPr>
        <w:t>。</w:t>
      </w:r>
    </w:p>
    <w:p>
      <w:pPr>
        <w:pStyle w:val="68"/>
      </w:pPr>
      <w:r>
        <w:rPr>
          <w:rFonts w:hint="eastAsia"/>
        </w:rPr>
        <w:t>通过其他渠道进行自我声明公开的，在国家统一的企业标准信息公共服务平台明示公开渠道，并确保自我声明公开的信息可获取、可追溯和防篡改。</w:t>
      </w:r>
    </w:p>
    <w:p>
      <w:pPr>
        <w:pStyle w:val="65"/>
        <w:spacing w:before="156" w:after="156"/>
        <w:rPr>
          <w:rFonts w:hint="eastAsia"/>
          <w:lang w:val="en-US" w:eastAsia="zh-CN"/>
        </w:rPr>
      </w:pPr>
      <w:bookmarkStart w:id="80" w:name="_Toc21035"/>
      <w:r>
        <w:rPr>
          <w:rFonts w:hint="eastAsia"/>
          <w:lang w:val="en-US" w:eastAsia="zh-CN"/>
        </w:rPr>
        <w:t>公开信息</w:t>
      </w:r>
      <w:bookmarkEnd w:id="80"/>
    </w:p>
    <w:p>
      <w:pPr>
        <w:pStyle w:val="69"/>
        <w:spacing w:before="156" w:after="156"/>
      </w:pPr>
      <w:bookmarkStart w:id="81" w:name="_Toc155613933"/>
      <w:bookmarkStart w:id="82" w:name="_Toc12628"/>
      <w:bookmarkStart w:id="83" w:name="_Toc31368"/>
      <w:bookmarkStart w:id="84" w:name="_Toc16904"/>
      <w:bookmarkStart w:id="85" w:name="_Toc6544"/>
      <w:r>
        <w:rPr>
          <w:rFonts w:hint="eastAsia"/>
        </w:rPr>
        <w:t>企业基本信息</w:t>
      </w:r>
      <w:bookmarkEnd w:id="81"/>
      <w:bookmarkEnd w:id="82"/>
      <w:bookmarkEnd w:id="83"/>
      <w:bookmarkEnd w:id="84"/>
      <w:bookmarkEnd w:id="85"/>
    </w:p>
    <w:p>
      <w:pPr>
        <w:pStyle w:val="67"/>
        <w:ind w:firstLine="420"/>
      </w:pPr>
      <w:r>
        <w:rPr>
          <w:rFonts w:hint="eastAsia"/>
        </w:rPr>
        <w:t>包括统一社会信用代码、企业名称、注册地址、企业法定代表人等。</w:t>
      </w:r>
    </w:p>
    <w:p>
      <w:pPr>
        <w:pStyle w:val="69"/>
        <w:spacing w:before="156" w:after="156"/>
      </w:pPr>
      <w:bookmarkStart w:id="86" w:name="_Toc6590"/>
      <w:bookmarkStart w:id="87" w:name="_Toc155613934"/>
      <w:bookmarkStart w:id="88" w:name="_Toc25087"/>
      <w:bookmarkStart w:id="89" w:name="_Toc10662"/>
      <w:bookmarkStart w:id="90" w:name="_Toc19350"/>
      <w:r>
        <w:rPr>
          <w:rFonts w:hint="eastAsia"/>
        </w:rPr>
        <w:t>企业产品标准信息</w:t>
      </w:r>
      <w:bookmarkEnd w:id="86"/>
      <w:bookmarkEnd w:id="87"/>
      <w:bookmarkEnd w:id="88"/>
      <w:bookmarkEnd w:id="89"/>
      <w:bookmarkEnd w:id="90"/>
    </w:p>
    <w:p>
      <w:pPr>
        <w:pStyle w:val="76"/>
      </w:pPr>
      <w:r>
        <w:rPr>
          <w:rFonts w:hint="eastAsia"/>
        </w:rPr>
        <w:t>执行国家标准、行业标准、地方标准、团体标准的，</w:t>
      </w:r>
      <w:r>
        <w:rPr>
          <w:rFonts w:hint="eastAsia"/>
          <w:lang w:val="en-US" w:eastAsia="zh-CN"/>
        </w:rPr>
        <w:t>公开执行标准编号及名称</w:t>
      </w:r>
      <w:r>
        <w:rPr>
          <w:rFonts w:hint="eastAsia"/>
        </w:rPr>
        <w:t>。</w:t>
      </w:r>
    </w:p>
    <w:p>
      <w:pPr>
        <w:pStyle w:val="76"/>
      </w:pPr>
      <w:r>
        <w:rPr>
          <w:rFonts w:hint="eastAsia"/>
          <w:lang w:val="en-US" w:eastAsia="zh-CN"/>
        </w:rPr>
        <w:t>执行自行制定或联合制定企业产品标准的，</w:t>
      </w:r>
      <w:r>
        <w:rPr>
          <w:rFonts w:hint="eastAsia"/>
        </w:rPr>
        <w:t>公开产品的功能指标、性能指标及对应的试验方法、检验方法或者评价方法</w:t>
      </w:r>
      <w:r>
        <w:rPr>
          <w:rFonts w:hint="eastAsia"/>
          <w:lang w:eastAsia="zh-CN"/>
        </w:rPr>
        <w:t>。</w:t>
      </w:r>
      <w:r>
        <w:rPr>
          <w:rFonts w:hint="eastAsia"/>
          <w:lang w:val="en-US" w:eastAsia="zh-CN"/>
        </w:rPr>
        <w:t>鼓励公开企业产品标准全文，</w:t>
      </w:r>
      <w:r>
        <w:rPr>
          <w:rFonts w:hint="eastAsia"/>
          <w:lang w:eastAsia="zh-CN"/>
        </w:rPr>
        <w:t>不宜公开企业技术秘密和商业秘密，</w:t>
      </w:r>
      <w:r>
        <w:rPr>
          <w:rFonts w:hint="eastAsia"/>
        </w:rPr>
        <w:t>标准中涉密内容可省略并注明“此处涉密”</w:t>
      </w:r>
      <w:r>
        <w:rPr>
          <w:rFonts w:hint="eastAsia"/>
          <w:lang w:eastAsia="zh-CN"/>
        </w:rPr>
        <w:t>，</w:t>
      </w:r>
      <w:r>
        <w:rPr>
          <w:rFonts w:hint="eastAsia"/>
          <w:lang w:val="en-US" w:eastAsia="zh-CN"/>
        </w:rPr>
        <w:t>企业产品标准编制规则</w:t>
      </w:r>
      <w:r>
        <w:rPr>
          <w:rFonts w:hint="eastAsia"/>
          <w:highlight w:val="none"/>
          <w:lang w:val="en-US" w:eastAsia="zh-CN"/>
        </w:rPr>
        <w:t>见附录C</w:t>
      </w:r>
      <w:r>
        <w:rPr>
          <w:rFonts w:hint="eastAsia"/>
          <w:lang w:val="en-US" w:eastAsia="zh-CN"/>
        </w:rPr>
        <w:t>。</w:t>
      </w:r>
    </w:p>
    <w:p>
      <w:pPr>
        <w:pStyle w:val="76"/>
      </w:pPr>
      <w:r>
        <w:rPr>
          <w:rFonts w:hint="eastAsia"/>
        </w:rPr>
        <w:t>企业标准信息公共服务平台中填写的标准</w:t>
      </w:r>
      <w:r>
        <w:rPr>
          <w:rFonts w:hint="eastAsia"/>
          <w:lang w:val="en-US" w:eastAsia="zh-CN"/>
        </w:rPr>
        <w:t>编号和</w:t>
      </w:r>
      <w:r>
        <w:rPr>
          <w:rFonts w:hint="eastAsia"/>
        </w:rPr>
        <w:t>名称，与企业</w:t>
      </w:r>
      <w:r>
        <w:rPr>
          <w:rFonts w:hint="eastAsia"/>
          <w:lang w:val="en-US" w:eastAsia="zh-CN"/>
        </w:rPr>
        <w:t>产品</w:t>
      </w:r>
      <w:r>
        <w:rPr>
          <w:rFonts w:hint="eastAsia"/>
        </w:rPr>
        <w:t>标准文本中的信息相一致。</w:t>
      </w:r>
    </w:p>
    <w:p>
      <w:pPr>
        <w:pStyle w:val="69"/>
        <w:spacing w:before="156" w:after="156"/>
      </w:pPr>
      <w:bookmarkStart w:id="91" w:name="_Toc7521"/>
      <w:bookmarkStart w:id="92" w:name="_Toc29574"/>
      <w:bookmarkStart w:id="93" w:name="_Toc16381"/>
      <w:bookmarkStart w:id="94" w:name="_Toc155613935"/>
      <w:bookmarkStart w:id="95" w:name="_Toc17038"/>
      <w:r>
        <w:rPr>
          <w:rFonts w:hint="eastAsia"/>
        </w:rPr>
        <w:t>执行该标准的产品信息</w:t>
      </w:r>
      <w:bookmarkEnd w:id="91"/>
      <w:bookmarkEnd w:id="92"/>
      <w:bookmarkEnd w:id="93"/>
      <w:bookmarkEnd w:id="94"/>
      <w:bookmarkEnd w:id="95"/>
    </w:p>
    <w:p>
      <w:pPr>
        <w:pStyle w:val="67"/>
        <w:ind w:firstLine="420"/>
        <w:rPr>
          <w:rFonts w:hint="eastAsia" w:eastAsia="宋体"/>
          <w:lang w:val="en-US" w:eastAsia="zh-CN"/>
        </w:rPr>
      </w:pPr>
      <w:r>
        <w:rPr>
          <w:rFonts w:hint="eastAsia"/>
        </w:rPr>
        <w:t>根据实际生产填写</w:t>
      </w:r>
      <w:r>
        <w:rPr>
          <w:rFonts w:hint="eastAsia"/>
          <w:lang w:val="en-US" w:eastAsia="zh-CN"/>
        </w:rPr>
        <w:t>产品名称、产品型号、产品分类、产品通用名、产品条码、产品品牌和规格</w:t>
      </w:r>
      <w:r>
        <w:rPr>
          <w:rFonts w:hint="eastAsia"/>
        </w:rPr>
        <w:t>等</w:t>
      </w:r>
      <w:r>
        <w:rPr>
          <w:rFonts w:hint="eastAsia"/>
          <w:lang w:eastAsia="zh-CN"/>
        </w:rPr>
        <w:t>。</w:t>
      </w:r>
    </w:p>
    <w:p>
      <w:pPr>
        <w:pStyle w:val="69"/>
        <w:spacing w:before="156" w:after="156"/>
      </w:pPr>
      <w:bookmarkStart w:id="96" w:name="_Toc155613936"/>
      <w:bookmarkStart w:id="97" w:name="_Toc27551"/>
      <w:bookmarkStart w:id="98" w:name="_Toc7066"/>
      <w:bookmarkStart w:id="99" w:name="_Toc19220"/>
      <w:bookmarkStart w:id="100" w:name="_Toc25701"/>
      <w:r>
        <w:rPr>
          <w:rFonts w:hint="eastAsia"/>
        </w:rPr>
        <w:t>企业声明信息</w:t>
      </w:r>
      <w:bookmarkEnd w:id="96"/>
      <w:bookmarkEnd w:id="97"/>
      <w:bookmarkEnd w:id="98"/>
      <w:bookmarkEnd w:id="99"/>
      <w:bookmarkEnd w:id="100"/>
    </w:p>
    <w:p>
      <w:pPr>
        <w:pStyle w:val="67"/>
        <w:ind w:firstLine="420"/>
        <w:rPr>
          <w:rFonts w:hint="eastAsia"/>
          <w:lang w:val="en-US" w:eastAsia="zh-CN"/>
        </w:rPr>
      </w:pPr>
      <w:r>
        <w:rPr>
          <w:rFonts w:hint="eastAsia"/>
          <w:lang w:val="en-US" w:eastAsia="zh-CN"/>
        </w:rPr>
        <w:t>企业声明信息包括企业产品标准与相关法律法规和强制性标准的符合性、材料的真实性以及企业的法律责任以及其他应公开的信息。</w:t>
      </w:r>
    </w:p>
    <w:p>
      <w:pPr>
        <w:pStyle w:val="65"/>
        <w:spacing w:before="156" w:after="156"/>
      </w:pPr>
      <w:bookmarkStart w:id="101" w:name="_Toc16067"/>
      <w:bookmarkStart w:id="102" w:name="_Toc8892"/>
      <w:r>
        <w:rPr>
          <w:rFonts w:hint="eastAsia"/>
        </w:rPr>
        <w:t>声明信息变更</w:t>
      </w:r>
      <w:bookmarkEnd w:id="101"/>
      <w:bookmarkEnd w:id="102"/>
    </w:p>
    <w:p>
      <w:pPr>
        <w:pStyle w:val="68"/>
        <w:rPr>
          <w:highlight w:val="none"/>
        </w:rPr>
      </w:pPr>
      <w:r>
        <w:rPr>
          <w:rFonts w:hint="eastAsia"/>
        </w:rPr>
        <w:t>企业自我声明公开的信息发生变更时(如企业名称发生变更、执行标准发生变更)</w:t>
      </w:r>
      <w:r>
        <w:rPr>
          <w:rFonts w:hint="eastAsia"/>
          <w:lang w:val="en-US" w:eastAsia="zh-CN"/>
        </w:rPr>
        <w:t>,</w:t>
      </w:r>
      <w:r>
        <w:rPr>
          <w:rFonts w:hint="eastAsia"/>
        </w:rPr>
        <w:t>及时对自我声明公开的内容进行更新。</w:t>
      </w:r>
      <w:r>
        <w:rPr>
          <w:rFonts w:hint="eastAsia"/>
          <w:highlight w:val="none"/>
        </w:rPr>
        <w:t>企业</w:t>
      </w:r>
      <w:r>
        <w:rPr>
          <w:rFonts w:hint="eastAsia"/>
          <w:highlight w:val="none"/>
          <w:lang w:val="en-US" w:eastAsia="zh-CN"/>
        </w:rPr>
        <w:t>在</w:t>
      </w:r>
      <w:r>
        <w:rPr>
          <w:rFonts w:hint="eastAsia"/>
          <w:highlight w:val="none"/>
        </w:rPr>
        <w:t>办理注销登记后，对有关企业</w:t>
      </w:r>
      <w:r>
        <w:rPr>
          <w:rFonts w:hint="eastAsia"/>
          <w:highlight w:val="none"/>
          <w:lang w:val="en-US" w:eastAsia="zh-CN"/>
        </w:rPr>
        <w:t>产品</w:t>
      </w:r>
      <w:r>
        <w:rPr>
          <w:rFonts w:hint="eastAsia"/>
          <w:highlight w:val="none"/>
        </w:rPr>
        <w:t>标准予以废止</w:t>
      </w:r>
      <w:r>
        <w:rPr>
          <w:rFonts w:hint="eastAsia"/>
          <w:highlight w:val="none"/>
          <w:lang w:eastAsia="zh-CN"/>
        </w:rPr>
        <w:t>。</w:t>
      </w:r>
    </w:p>
    <w:p>
      <w:pPr>
        <w:pStyle w:val="68"/>
        <w:rPr>
          <w:rFonts w:hint="default"/>
          <w:lang w:val="en-US" w:eastAsia="zh-CN"/>
        </w:rPr>
      </w:pPr>
      <w:r>
        <w:rPr>
          <w:rFonts w:hint="eastAsia"/>
          <w:highlight w:val="none"/>
        </w:rPr>
        <w:t>企业</w:t>
      </w:r>
      <w:r>
        <w:rPr>
          <w:rFonts w:hint="eastAsia"/>
          <w:highlight w:val="none"/>
          <w:lang w:val="en-US" w:eastAsia="zh-CN"/>
        </w:rPr>
        <w:t>按附录C.2.4</w:t>
      </w:r>
      <w:r>
        <w:rPr>
          <w:rFonts w:hint="eastAsia"/>
          <w:highlight w:val="none"/>
        </w:rPr>
        <w:t>要求</w:t>
      </w:r>
      <w:r>
        <w:rPr>
          <w:rFonts w:hint="eastAsia"/>
          <w:highlight w:val="none"/>
          <w:lang w:val="en-US" w:eastAsia="zh-CN"/>
        </w:rPr>
        <w:t>需</w:t>
      </w:r>
      <w:r>
        <w:rPr>
          <w:rFonts w:hint="eastAsia"/>
          <w:highlight w:val="none"/>
        </w:rPr>
        <w:t>进行复审时</w:t>
      </w:r>
      <w:r>
        <w:rPr>
          <w:rFonts w:hint="eastAsia"/>
        </w:rPr>
        <w:t>，复审结论为修订的，修订后重新进行企业产品标准自我声明公开，企业</w:t>
      </w:r>
      <w:r>
        <w:rPr>
          <w:rFonts w:hint="eastAsia"/>
          <w:lang w:val="en-US" w:eastAsia="zh-CN"/>
        </w:rPr>
        <w:t>产品</w:t>
      </w:r>
      <w:r>
        <w:rPr>
          <w:rFonts w:hint="eastAsia"/>
        </w:rPr>
        <w:t>标准编号中的年</w:t>
      </w:r>
      <w:r>
        <w:rPr>
          <w:rFonts w:hint="eastAsia"/>
          <w:lang w:val="en-US" w:eastAsia="zh-CN"/>
        </w:rPr>
        <w:t>份</w:t>
      </w:r>
      <w:r>
        <w:rPr>
          <w:rFonts w:hint="eastAsia"/>
        </w:rPr>
        <w:t>号和同年内修订次数自动更新。经复审为废止的，在国家统一的企业标准信息公共服务平台上声明</w:t>
      </w:r>
      <w:r>
        <w:rPr>
          <w:rFonts w:hint="eastAsia"/>
          <w:lang w:val="en-US" w:eastAsia="zh-CN"/>
        </w:rPr>
        <w:t>废止</w:t>
      </w:r>
      <w:r>
        <w:rPr>
          <w:rFonts w:hint="eastAsia"/>
        </w:rPr>
        <w:t>。逾期未声明公开的，视为企业仍然执行该产品标准，</w:t>
      </w:r>
      <w:r>
        <w:rPr>
          <w:rFonts w:hint="eastAsia"/>
          <w:highlight w:val="none"/>
        </w:rPr>
        <w:t>企业对其实施后果承担法律责任。</w:t>
      </w:r>
    </w:p>
    <w:p>
      <w:pPr>
        <w:pStyle w:val="51"/>
        <w:rPr>
          <w:rFonts w:hint="eastAsia"/>
        </w:rPr>
        <w:sectPr>
          <w:headerReference r:id="rId17" w:type="default"/>
          <w:footerReference r:id="rId19" w:type="default"/>
          <w:headerReference r:id="rId18" w:type="even"/>
          <w:footerReference r:id="rId20" w:type="even"/>
          <w:pgSz w:w="11906" w:h="16838"/>
          <w:pgMar w:top="1417" w:right="1134" w:bottom="1134" w:left="1418" w:header="1417" w:footer="1134" w:gutter="0"/>
          <w:pgNumType w:start="1"/>
          <w:cols w:space="425" w:num="1"/>
          <w:docGrid w:type="lines" w:linePitch="312" w:charSpace="0"/>
        </w:sectPr>
      </w:pPr>
    </w:p>
    <w:p>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03" w:name="_Toc27120"/>
      <w:bookmarkStart w:id="104" w:name="_Toc12029"/>
      <w:r>
        <w:rPr>
          <w:rFonts w:hint="eastAsia" w:ascii="黑体" w:hAnsi="黑体" w:eastAsia="黑体" w:cs="黑体"/>
          <w:sz w:val="21"/>
          <w:szCs w:val="21"/>
          <w:lang w:val="en-US" w:eastAsia="zh-CN"/>
        </w:rPr>
        <w:t>附  录  A</w:t>
      </w:r>
      <w:bookmarkEnd w:id="103"/>
      <w:bookmarkEnd w:id="104"/>
    </w:p>
    <w:p>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05" w:name="_Toc23324"/>
      <w:bookmarkStart w:id="106" w:name="_Toc30621"/>
      <w:bookmarkStart w:id="107" w:name="_Toc21414"/>
      <w:r>
        <w:rPr>
          <w:rFonts w:hint="eastAsia" w:ascii="黑体" w:hAnsi="黑体" w:eastAsia="黑体" w:cs="黑体"/>
          <w:sz w:val="21"/>
          <w:szCs w:val="21"/>
          <w:lang w:val="en-US" w:eastAsia="zh-CN"/>
        </w:rPr>
        <w:t>（资料性）</w:t>
      </w:r>
      <w:bookmarkEnd w:id="105"/>
      <w:bookmarkEnd w:id="106"/>
      <w:bookmarkEnd w:id="107"/>
    </w:p>
    <w:p>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08" w:name="_Toc7818"/>
      <w:bookmarkStart w:id="109" w:name="_Toc13971"/>
      <w:r>
        <w:rPr>
          <w:rFonts w:hint="eastAsia" w:ascii="黑体" w:hAnsi="黑体" w:eastAsia="黑体"/>
          <w:color w:val="000000"/>
          <w:sz w:val="21"/>
          <w:szCs w:val="21"/>
          <w:lang w:val="en-US" w:eastAsia="zh-CN"/>
        </w:rPr>
        <w:t>企业产品标准自评表</w:t>
      </w:r>
      <w:bookmarkEnd w:id="108"/>
      <w:bookmarkEnd w:id="109"/>
    </w:p>
    <w:p>
      <w:pPr>
        <w:pStyle w:val="67"/>
        <w:ind w:firstLine="420"/>
        <w:rPr>
          <w:rFonts w:hint="eastAsia"/>
          <w:lang w:val="en-US" w:eastAsia="zh-CN"/>
        </w:rPr>
      </w:pPr>
      <w:r>
        <w:rPr>
          <w:rFonts w:hint="eastAsia"/>
          <w:lang w:val="en-US" w:eastAsia="zh-CN"/>
        </w:rPr>
        <w:t>企业产品标准自评表如表A.1所示。</w:t>
      </w:r>
    </w:p>
    <w:p>
      <w:pPr>
        <w:pStyle w:val="78"/>
        <w:keepNext w:val="0"/>
        <w:keepLines w:val="0"/>
        <w:pageBreakBefore w:val="0"/>
        <w:widowControl/>
        <w:numPr>
          <w:ilvl w:val="1"/>
          <w:numId w:val="0"/>
        </w:numPr>
        <w:kinsoku/>
        <w:wordWrap/>
        <w:overflowPunct/>
        <w:topLinePunct w:val="0"/>
        <w:autoSpaceDE/>
        <w:autoSpaceDN/>
        <w:bidi w:val="0"/>
        <w:adjustRightInd w:val="0"/>
        <w:snapToGrid w:val="0"/>
        <w:spacing w:before="156" w:after="156"/>
        <w:ind w:left="0" w:leftChars="0" w:firstLine="0" w:firstLineChars="0"/>
        <w:textAlignment w:val="baseline"/>
        <w:rPr>
          <w:highlight w:val="none"/>
        </w:rPr>
      </w:pPr>
      <w:r>
        <w:rPr>
          <w:rFonts w:hint="eastAsia" w:ascii="黑体" w:hAnsi="Times New Roman" w:eastAsia="黑体" w:cs="Times New Roman"/>
          <w:kern w:val="21"/>
          <w:sz w:val="21"/>
          <w:lang w:val="en-US" w:eastAsia="zh-CN" w:bidi="ar-SA"/>
        </w:rPr>
        <w:t>表A.1</w:t>
      </w:r>
      <w:r>
        <w:rPr>
          <w:rFonts w:hint="eastAsia"/>
          <w:highlight w:val="none"/>
        </w:rPr>
        <w:t xml:space="preserve"> </w:t>
      </w:r>
      <w:r>
        <w:rPr>
          <w:highlight w:val="none"/>
        </w:rPr>
        <w:t xml:space="preserve"> </w:t>
      </w:r>
      <w:r>
        <w:rPr>
          <w:rFonts w:hint="eastAsia"/>
          <w:highlight w:val="none"/>
        </w:rPr>
        <w:t>企业产品标准自评表</w:t>
      </w:r>
    </w:p>
    <w:tbl>
      <w:tblPr>
        <w:tblStyle w:val="79"/>
        <w:tblW w:w="8864" w:type="dxa"/>
        <w:jc w:val="center"/>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Layout w:type="fixed"/>
        <w:tblCellMar>
          <w:top w:w="0" w:type="dxa"/>
          <w:left w:w="0" w:type="dxa"/>
          <w:bottom w:w="0" w:type="dxa"/>
          <w:right w:w="0" w:type="dxa"/>
        </w:tblCellMar>
      </w:tblPr>
      <w:tblGrid>
        <w:gridCol w:w="636"/>
        <w:gridCol w:w="1827"/>
        <w:gridCol w:w="5400"/>
        <w:gridCol w:w="1001"/>
      </w:tblGrid>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PrEx>
        <w:trPr>
          <w:trHeight w:val="369" w:hRule="atLeast"/>
          <w:jc w:val="center"/>
        </w:trPr>
        <w:tc>
          <w:tcPr>
            <w:tcW w:w="636" w:type="dxa"/>
            <w:tcBorders>
              <w:bottom w:val="single" w:color="000000" w:sz="8" w:space="0"/>
            </w:tcBorders>
            <w:vAlign w:val="center"/>
          </w:tcPr>
          <w:p>
            <w:pPr>
              <w:keepNext w:val="0"/>
              <w:keepLines w:val="0"/>
              <w:pageBreakBefore w:val="0"/>
              <w:wordWrap/>
              <w:overflowPunct/>
              <w:topLinePunct w:val="0"/>
              <w:bidi w:val="0"/>
              <w:adjustRightInd w:val="0"/>
              <w:spacing w:line="240" w:lineRule="auto"/>
              <w:ind w:left="0" w:right="0" w:firstLine="0"/>
              <w:jc w:val="center"/>
              <w:rPr>
                <w:rFonts w:hint="eastAsia" w:ascii="宋体" w:hAnsi="宋体" w:eastAsia="宋体" w:cs="宋体"/>
                <w:sz w:val="18"/>
                <w:szCs w:val="18"/>
              </w:rPr>
            </w:pPr>
            <w:r>
              <w:rPr>
                <w:rFonts w:hint="eastAsia" w:ascii="宋体" w:hAnsi="宋体" w:eastAsia="宋体" w:cs="宋体"/>
                <w:spacing w:val="-2"/>
                <w:sz w:val="18"/>
                <w:szCs w:val="18"/>
              </w:rPr>
              <w:t>备注</w:t>
            </w:r>
          </w:p>
        </w:tc>
        <w:tc>
          <w:tcPr>
            <w:tcW w:w="1827" w:type="dxa"/>
            <w:tcBorders>
              <w:bottom w:val="single" w:color="000000" w:sz="8" w:space="0"/>
            </w:tcBorders>
            <w:vAlign w:val="center"/>
          </w:tcPr>
          <w:p>
            <w:pPr>
              <w:keepNext w:val="0"/>
              <w:keepLines w:val="0"/>
              <w:pageBreakBefore w:val="0"/>
              <w:wordWrap/>
              <w:overflowPunct/>
              <w:topLinePunct w:val="0"/>
              <w:bidi w:val="0"/>
              <w:adjustRightInd w:val="0"/>
              <w:spacing w:line="240" w:lineRule="auto"/>
              <w:ind w:left="0" w:right="0" w:firstLine="0"/>
              <w:jc w:val="center"/>
              <w:rPr>
                <w:rFonts w:hint="eastAsia" w:ascii="宋体" w:hAnsi="宋体" w:eastAsia="宋体" w:cs="宋体"/>
                <w:sz w:val="18"/>
                <w:szCs w:val="18"/>
              </w:rPr>
            </w:pPr>
            <w:r>
              <w:rPr>
                <w:rFonts w:hint="eastAsia" w:ascii="宋体" w:hAnsi="宋体" w:eastAsia="宋体" w:cs="宋体"/>
                <w:spacing w:val="-2"/>
                <w:sz w:val="18"/>
                <w:szCs w:val="18"/>
              </w:rPr>
              <w:t>评价项目</w:t>
            </w:r>
          </w:p>
        </w:tc>
        <w:tc>
          <w:tcPr>
            <w:tcW w:w="5400" w:type="dxa"/>
            <w:tcBorders>
              <w:bottom w:val="single" w:color="000000" w:sz="8" w:space="0"/>
            </w:tcBorders>
            <w:vAlign w:val="center"/>
          </w:tcPr>
          <w:p>
            <w:pPr>
              <w:keepNext w:val="0"/>
              <w:keepLines w:val="0"/>
              <w:pageBreakBefore w:val="0"/>
              <w:wordWrap/>
              <w:overflowPunct/>
              <w:topLinePunct w:val="0"/>
              <w:bidi w:val="0"/>
              <w:adjustRightInd w:val="0"/>
              <w:spacing w:line="240" w:lineRule="auto"/>
              <w:ind w:left="0" w:right="0" w:firstLine="0"/>
              <w:jc w:val="center"/>
              <w:rPr>
                <w:rFonts w:hint="eastAsia" w:ascii="宋体" w:hAnsi="宋体" w:eastAsia="宋体" w:cs="宋体"/>
                <w:sz w:val="18"/>
                <w:szCs w:val="18"/>
              </w:rPr>
            </w:pPr>
            <w:r>
              <w:rPr>
                <w:rFonts w:hint="eastAsia" w:ascii="宋体" w:hAnsi="宋体" w:eastAsia="宋体" w:cs="宋体"/>
                <w:spacing w:val="-2"/>
                <w:sz w:val="18"/>
                <w:szCs w:val="18"/>
              </w:rPr>
              <w:t>评价细则</w:t>
            </w:r>
          </w:p>
        </w:tc>
        <w:tc>
          <w:tcPr>
            <w:tcW w:w="1001" w:type="dxa"/>
            <w:tcBorders>
              <w:bottom w:val="single" w:color="000000" w:sz="8" w:space="0"/>
            </w:tcBorders>
            <w:vAlign w:val="center"/>
          </w:tcPr>
          <w:p>
            <w:pPr>
              <w:keepNext w:val="0"/>
              <w:keepLines w:val="0"/>
              <w:pageBreakBefore w:val="0"/>
              <w:wordWrap/>
              <w:overflowPunct/>
              <w:topLinePunct w:val="0"/>
              <w:bidi w:val="0"/>
              <w:adjustRightInd w:val="0"/>
              <w:spacing w:line="240" w:lineRule="auto"/>
              <w:ind w:left="0" w:right="0" w:firstLine="0"/>
              <w:jc w:val="center"/>
              <w:rPr>
                <w:rFonts w:hint="eastAsia" w:ascii="宋体" w:hAnsi="宋体" w:eastAsia="宋体" w:cs="宋体"/>
                <w:sz w:val="18"/>
                <w:szCs w:val="18"/>
              </w:rPr>
            </w:pPr>
            <w:r>
              <w:rPr>
                <w:rFonts w:hint="eastAsia" w:ascii="宋体" w:hAnsi="宋体" w:cs="宋体"/>
                <w:spacing w:val="-2"/>
                <w:sz w:val="18"/>
                <w:szCs w:val="18"/>
                <w:lang w:val="en-US" w:eastAsia="zh-CN"/>
              </w:rPr>
              <w:t>评价</w:t>
            </w:r>
            <w:r>
              <w:rPr>
                <w:rFonts w:hint="eastAsia" w:ascii="宋体" w:hAnsi="宋体" w:eastAsia="宋体" w:cs="宋体"/>
                <w:spacing w:val="-2"/>
                <w:sz w:val="18"/>
                <w:szCs w:val="18"/>
              </w:rPr>
              <w:t>记录</w:t>
            </w: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restart"/>
            <w:tcBorders>
              <w:top w:val="single" w:color="000000" w:sz="8"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r>
              <w:rPr>
                <w:rFonts w:hint="eastAsia" w:ascii="宋体" w:hAnsi="宋体" w:eastAsia="宋体" w:cs="宋体"/>
                <w:spacing w:val="-3"/>
                <w:sz w:val="18"/>
                <w:szCs w:val="18"/>
              </w:rPr>
              <w:t>必选项</w:t>
            </w:r>
          </w:p>
        </w:tc>
        <w:tc>
          <w:tcPr>
            <w:tcW w:w="1827" w:type="dxa"/>
            <w:tcBorders>
              <w:top w:val="single" w:color="000000" w:sz="8"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18"/>
                <w:szCs w:val="18"/>
              </w:rPr>
            </w:pPr>
            <w:r>
              <w:rPr>
                <w:rFonts w:hint="eastAsia" w:ascii="宋体" w:hAnsi="宋体" w:eastAsia="宋体" w:cs="宋体"/>
                <w:spacing w:val="-2"/>
                <w:sz w:val="18"/>
                <w:szCs w:val="18"/>
              </w:rPr>
              <w:t>与法律法规</w:t>
            </w:r>
            <w:r>
              <w:rPr>
                <w:rFonts w:hint="eastAsia" w:ascii="宋体" w:hAnsi="宋体" w:eastAsia="宋体" w:cs="宋体"/>
                <w:spacing w:val="-2"/>
                <w:sz w:val="18"/>
                <w:szCs w:val="18"/>
                <w:lang w:eastAsia="zh-CN"/>
              </w:rPr>
              <w:t>、</w:t>
            </w:r>
            <w:r>
              <w:rPr>
                <w:rFonts w:hint="eastAsia" w:ascii="宋体" w:hAnsi="宋体" w:eastAsia="宋体" w:cs="宋体"/>
                <w:spacing w:val="-2"/>
                <w:sz w:val="18"/>
                <w:szCs w:val="18"/>
              </w:rPr>
              <w:t>相关产业</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r>
              <w:rPr>
                <w:rFonts w:hint="eastAsia" w:ascii="宋体" w:hAnsi="宋体" w:eastAsia="宋体" w:cs="宋体"/>
                <w:spacing w:val="-2"/>
                <w:sz w:val="18"/>
                <w:szCs w:val="18"/>
              </w:rPr>
              <w:t>政策符合性</w:t>
            </w:r>
          </w:p>
        </w:tc>
        <w:tc>
          <w:tcPr>
            <w:tcW w:w="5400" w:type="dxa"/>
            <w:tcBorders>
              <w:top w:val="single" w:color="000000" w:sz="8"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rPr>
            </w:pPr>
            <w:r>
              <w:rPr>
                <w:rFonts w:hint="eastAsia" w:ascii="宋体" w:hAnsi="宋体" w:eastAsia="宋体" w:cs="宋体"/>
                <w:spacing w:val="0"/>
                <w:sz w:val="18"/>
                <w:szCs w:val="18"/>
              </w:rPr>
              <w:t>应符合国家法律法规</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相关产业政策的要求</w:t>
            </w:r>
          </w:p>
        </w:tc>
        <w:tc>
          <w:tcPr>
            <w:tcW w:w="1001" w:type="dxa"/>
            <w:tcBorders>
              <w:top w:val="single" w:color="000000" w:sz="8" w:space="0"/>
            </w:tcBorders>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tc>
        <w:tc>
          <w:tcPr>
            <w:tcW w:w="182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r>
              <w:rPr>
                <w:rFonts w:hint="eastAsia" w:ascii="宋体" w:hAnsi="宋体" w:eastAsia="宋体" w:cs="宋体"/>
                <w:spacing w:val="-2"/>
                <w:sz w:val="18"/>
                <w:szCs w:val="18"/>
              </w:rPr>
              <w:t>与强制性标准符合性</w:t>
            </w: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rPr>
            </w:pPr>
            <w:r>
              <w:rPr>
                <w:rFonts w:hint="eastAsia" w:ascii="宋体" w:hAnsi="宋体" w:eastAsia="宋体" w:cs="宋体"/>
                <w:spacing w:val="0"/>
                <w:sz w:val="18"/>
                <w:szCs w:val="18"/>
              </w:rPr>
              <w:t>应符合强制性标准的要求</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tc>
        <w:tc>
          <w:tcPr>
            <w:tcW w:w="182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与推荐性标准一致性</w:t>
            </w: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企业产品标准公开的功能指标和性能指标项目少于或者低于推荐性标准的，应在标准前言、产品标识或者说明书中说明，并在自我声明公开时进行明示</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tc>
        <w:tc>
          <w:tcPr>
            <w:tcW w:w="1827"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lang w:val="en-US" w:eastAsia="zh-CN"/>
              </w:rPr>
            </w:pPr>
            <w:r>
              <w:rPr>
                <w:rFonts w:hint="eastAsia" w:ascii="宋体" w:hAnsi="宋体" w:eastAsia="宋体" w:cs="宋体"/>
                <w:spacing w:val="-5"/>
                <w:sz w:val="18"/>
                <w:szCs w:val="18"/>
              </w:rPr>
              <w:t>自我声明公开</w:t>
            </w:r>
            <w:r>
              <w:rPr>
                <w:rFonts w:hint="eastAsia" w:ascii="宋体" w:hAnsi="宋体" w:eastAsia="宋体" w:cs="宋体"/>
                <w:spacing w:val="-5"/>
                <w:sz w:val="18"/>
                <w:szCs w:val="18"/>
                <w:lang w:val="en-US" w:eastAsia="zh-CN"/>
              </w:rPr>
              <w:t>内容</w:t>
            </w: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1</w:t>
            </w:r>
            <w:r>
              <w:rPr>
                <w:rFonts w:hint="eastAsia" w:ascii="宋体" w:hAnsi="宋体" w:cs="宋体"/>
                <w:spacing w:val="0"/>
                <w:sz w:val="18"/>
                <w:szCs w:val="18"/>
                <w:lang w:val="en-US" w:eastAsia="zh-CN"/>
              </w:rPr>
              <w:t>.</w:t>
            </w:r>
            <w:r>
              <w:rPr>
                <w:rFonts w:hint="eastAsia" w:ascii="宋体" w:hAnsi="宋体" w:eastAsia="宋体" w:cs="宋体"/>
                <w:spacing w:val="0"/>
                <w:sz w:val="18"/>
                <w:szCs w:val="18"/>
                <w:lang w:val="en-US" w:eastAsia="zh-CN"/>
              </w:rPr>
              <w:t>企业应自企业产品标准发布后30日内进行自我声明公开</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182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2</w:t>
            </w:r>
            <w:r>
              <w:rPr>
                <w:rFonts w:hint="eastAsia" w:ascii="宋体" w:hAnsi="宋体" w:cs="宋体"/>
                <w:spacing w:val="0"/>
                <w:sz w:val="18"/>
                <w:szCs w:val="18"/>
                <w:lang w:val="en-US" w:eastAsia="zh-CN"/>
              </w:rPr>
              <w:t>.</w:t>
            </w:r>
            <w:r>
              <w:rPr>
                <w:rFonts w:hint="eastAsia" w:ascii="宋体" w:hAnsi="宋体" w:eastAsia="宋体" w:cs="宋体"/>
                <w:spacing w:val="0"/>
                <w:sz w:val="18"/>
                <w:szCs w:val="18"/>
                <w:lang w:val="en-US" w:eastAsia="zh-CN"/>
              </w:rPr>
              <w:t>企业自主选择公开标准全文或功能指标和性能指标</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1827"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3</w:t>
            </w:r>
            <w:r>
              <w:rPr>
                <w:rFonts w:hint="eastAsia" w:ascii="宋体" w:hAnsi="宋体" w:cs="宋体"/>
                <w:spacing w:val="0"/>
                <w:sz w:val="18"/>
                <w:szCs w:val="18"/>
                <w:lang w:val="en-US" w:eastAsia="zh-CN"/>
              </w:rPr>
              <w:t>.</w:t>
            </w:r>
            <w:r>
              <w:rPr>
                <w:rFonts w:hint="eastAsia" w:ascii="宋体" w:hAnsi="宋体" w:eastAsia="宋体" w:cs="宋体"/>
                <w:spacing w:val="0"/>
                <w:sz w:val="18"/>
                <w:szCs w:val="18"/>
                <w:lang w:val="en-US" w:eastAsia="zh-CN"/>
              </w:rPr>
              <w:t>企业产品标准编号、名称应公开，且标准编号、名称应与公示平台及标准文本中对应信息一致</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1827"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rPr>
            </w:pPr>
            <w:r>
              <w:rPr>
                <w:rFonts w:hint="eastAsia" w:ascii="宋体" w:hAnsi="宋体" w:eastAsia="宋体" w:cs="宋体"/>
                <w:spacing w:val="0"/>
                <w:sz w:val="18"/>
                <w:szCs w:val="18"/>
                <w:lang w:val="en-US" w:eastAsia="zh-CN"/>
              </w:rPr>
              <w:t>4</w:t>
            </w:r>
            <w:r>
              <w:rPr>
                <w:rFonts w:hint="eastAsia" w:ascii="宋体" w:hAnsi="宋体" w:cs="宋体"/>
                <w:spacing w:val="0"/>
                <w:sz w:val="18"/>
                <w:szCs w:val="18"/>
                <w:lang w:val="en-US" w:eastAsia="zh-CN"/>
              </w:rPr>
              <w:t>.</w:t>
            </w:r>
            <w:r>
              <w:rPr>
                <w:rFonts w:hint="eastAsia" w:ascii="宋体" w:hAnsi="宋体" w:eastAsia="宋体" w:cs="宋体"/>
                <w:spacing w:val="0"/>
                <w:sz w:val="18"/>
                <w:szCs w:val="18"/>
                <w:lang w:val="en-US" w:eastAsia="zh-CN"/>
              </w:rPr>
              <w:t>企业产品标准编号</w:t>
            </w:r>
            <w:r>
              <w:rPr>
                <w:rFonts w:hint="eastAsia" w:ascii="宋体" w:hAnsi="宋体" w:eastAsia="宋体" w:cs="宋体"/>
                <w:spacing w:val="0"/>
                <w:sz w:val="18"/>
                <w:szCs w:val="18"/>
              </w:rPr>
              <w:t>应按照统一的规则进行编号。企业标准的编号依次由企业标准代号、企业代号、顺序号、年份号组成。企业标准代号为“Q”，企业代号可以用汉语拼音字母或者阿拉伯数字或者两者兼用组成。与其他企业联合制定的企业标准，以企业标准形式各自编号、发布</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1827"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5</w:t>
            </w:r>
            <w:r>
              <w:rPr>
                <w:rFonts w:hint="eastAsia" w:ascii="宋体" w:hAnsi="宋体" w:cs="宋体"/>
                <w:spacing w:val="0"/>
                <w:sz w:val="18"/>
                <w:szCs w:val="18"/>
                <w:lang w:val="en-US" w:eastAsia="zh-CN"/>
              </w:rPr>
              <w:t>.</w:t>
            </w:r>
            <w:r>
              <w:rPr>
                <w:rFonts w:hint="eastAsia" w:ascii="宋体" w:hAnsi="宋体" w:eastAsia="宋体" w:cs="宋体"/>
                <w:spacing w:val="0"/>
                <w:sz w:val="18"/>
                <w:szCs w:val="18"/>
                <w:lang w:val="en-US" w:eastAsia="zh-CN"/>
              </w:rPr>
              <w:t>企业执行该标准的产品应与企业产品标准适用范围保持一致</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1827"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6</w:t>
            </w:r>
            <w:r>
              <w:rPr>
                <w:rFonts w:hint="eastAsia" w:ascii="宋体" w:hAnsi="宋体" w:cs="宋体"/>
                <w:spacing w:val="0"/>
                <w:sz w:val="18"/>
                <w:szCs w:val="18"/>
                <w:lang w:val="en-US" w:eastAsia="zh-CN"/>
              </w:rPr>
              <w:t>.</w:t>
            </w:r>
            <w:r>
              <w:rPr>
                <w:rFonts w:hint="eastAsia" w:ascii="宋体" w:hAnsi="宋体" w:eastAsia="宋体" w:cs="宋体"/>
                <w:spacing w:val="0"/>
                <w:sz w:val="18"/>
                <w:szCs w:val="18"/>
                <w:lang w:val="en-US" w:eastAsia="zh-CN"/>
              </w:rPr>
              <w:t>企业产品标准存在生产技术条件改变、产品更新等复审需求，以及企业自我声明公开的信息发生变更、办理注销登记的，应及时对自我声明公开内容、企业产品标准按实际情况进行更新或废止</w:t>
            </w:r>
          </w:p>
        </w:tc>
        <w:tc>
          <w:tcPr>
            <w:tcW w:w="1001" w:type="dxa"/>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restart"/>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r>
              <w:rPr>
                <w:rFonts w:hint="eastAsia" w:ascii="宋体" w:hAnsi="宋体" w:eastAsia="宋体" w:cs="宋体"/>
                <w:spacing w:val="-2"/>
                <w:sz w:val="18"/>
                <w:szCs w:val="18"/>
              </w:rPr>
              <w:t>可选项</w:t>
            </w:r>
          </w:p>
        </w:tc>
        <w:tc>
          <w:tcPr>
            <w:tcW w:w="1827" w:type="dxa"/>
            <w:vMerge w:val="restart"/>
            <w:tcBorders>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r>
              <w:rPr>
                <w:rFonts w:hint="eastAsia" w:ascii="宋体" w:hAnsi="宋体" w:eastAsia="宋体" w:cs="宋体"/>
                <w:spacing w:val="-1"/>
                <w:sz w:val="18"/>
                <w:szCs w:val="18"/>
              </w:rPr>
              <w:t>标准结构和层次要求</w:t>
            </w: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1</w:t>
            </w:r>
            <w:r>
              <w:rPr>
                <w:rFonts w:hint="eastAsia" w:ascii="宋体" w:hAnsi="宋体" w:cs="宋体"/>
                <w:spacing w:val="0"/>
                <w:sz w:val="18"/>
                <w:szCs w:val="18"/>
                <w:lang w:val="en-US" w:eastAsia="zh-CN"/>
              </w:rPr>
              <w:t>.</w:t>
            </w:r>
            <w:r>
              <w:rPr>
                <w:rFonts w:hint="eastAsia" w:ascii="宋体" w:hAnsi="宋体" w:eastAsia="宋体" w:cs="宋体"/>
                <w:spacing w:val="0"/>
                <w:sz w:val="18"/>
                <w:szCs w:val="18"/>
              </w:rPr>
              <w:t>结构合理、层次清晰、条文编排规范</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应具备封面、前言、范围、技术要求等必备要素</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tc>
        <w:tc>
          <w:tcPr>
            <w:tcW w:w="1827" w:type="dxa"/>
            <w:vMerge w:val="continue"/>
            <w:tcBorders>
              <w:top w:val="single" w:color="000000" w:sz="2" w:space="0"/>
              <w:bottom w:val="single" w:color="000000" w:sz="2" w:space="0"/>
            </w:tcBorders>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eastAsia="zh-CN"/>
              </w:rPr>
            </w:pPr>
            <w:r>
              <w:rPr>
                <w:rFonts w:hint="eastAsia" w:ascii="宋体" w:hAnsi="宋体" w:eastAsia="宋体" w:cs="宋体"/>
                <w:spacing w:val="0"/>
                <w:sz w:val="18"/>
                <w:szCs w:val="18"/>
                <w:lang w:val="en-US" w:eastAsia="zh-CN"/>
              </w:rPr>
              <w:t>2</w:t>
            </w:r>
            <w:r>
              <w:rPr>
                <w:rFonts w:hint="eastAsia" w:ascii="宋体" w:hAnsi="宋体" w:cs="宋体"/>
                <w:spacing w:val="0"/>
                <w:sz w:val="18"/>
                <w:szCs w:val="18"/>
                <w:lang w:val="en-US" w:eastAsia="zh-CN"/>
              </w:rPr>
              <w:t>.</w:t>
            </w:r>
            <w:r>
              <w:rPr>
                <w:rFonts w:hint="eastAsia" w:ascii="宋体" w:hAnsi="宋体" w:eastAsia="宋体" w:cs="宋体"/>
                <w:spacing w:val="0"/>
                <w:sz w:val="18"/>
                <w:szCs w:val="18"/>
              </w:rPr>
              <w:t>企业产品标准应明确试验方法、检验方法或评价方法。试验方法、检验方法或评价方法应引用相应国家标准、行业标准或国际标准。没有相应标准的，企业</w:t>
            </w:r>
            <w:r>
              <w:rPr>
                <w:rFonts w:hint="eastAsia" w:ascii="宋体" w:hAnsi="宋体" w:eastAsia="宋体" w:cs="宋体"/>
                <w:spacing w:val="0"/>
                <w:sz w:val="18"/>
                <w:szCs w:val="18"/>
                <w:lang w:val="en-US" w:eastAsia="zh-CN"/>
              </w:rPr>
              <w:t>可</w:t>
            </w:r>
            <w:r>
              <w:rPr>
                <w:rFonts w:hint="eastAsia" w:ascii="宋体" w:hAnsi="宋体" w:eastAsia="宋体" w:cs="宋体"/>
                <w:spacing w:val="0"/>
                <w:sz w:val="18"/>
                <w:szCs w:val="18"/>
              </w:rPr>
              <w:t>自行制定试验方法、检验方法或评价方法，应科学合理、准确可靠</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rPr>
            </w:pPr>
          </w:p>
        </w:tc>
        <w:tc>
          <w:tcPr>
            <w:tcW w:w="1827" w:type="dxa"/>
            <w:vMerge w:val="restart"/>
            <w:tcBorders>
              <w:top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18"/>
                <w:szCs w:val="18"/>
                <w:lang w:eastAsia="zh-CN"/>
              </w:rPr>
            </w:pPr>
            <w:r>
              <w:rPr>
                <w:rFonts w:hint="eastAsia" w:ascii="宋体" w:hAnsi="宋体" w:eastAsia="宋体" w:cs="宋体"/>
                <w:spacing w:val="-2"/>
                <w:sz w:val="18"/>
                <w:szCs w:val="18"/>
                <w:lang w:val="en-US" w:eastAsia="zh-CN"/>
              </w:rPr>
              <w:t>编写要求</w:t>
            </w: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eastAsia="宋体" w:cs="宋体"/>
                <w:spacing w:val="0"/>
                <w:sz w:val="18"/>
                <w:szCs w:val="18"/>
                <w:lang w:val="en-US" w:eastAsia="zh-CN"/>
              </w:rPr>
              <w:t>1</w:t>
            </w:r>
            <w:r>
              <w:rPr>
                <w:rFonts w:hint="eastAsia" w:ascii="宋体" w:hAnsi="宋体" w:cs="宋体"/>
                <w:spacing w:val="0"/>
                <w:sz w:val="18"/>
                <w:szCs w:val="18"/>
                <w:lang w:val="en-US" w:eastAsia="zh-CN"/>
              </w:rPr>
              <w:t>.</w:t>
            </w:r>
            <w:r>
              <w:rPr>
                <w:rFonts w:hint="eastAsia" w:ascii="宋体" w:hAnsi="宋体" w:eastAsia="宋体" w:cs="宋体"/>
                <w:spacing w:val="0"/>
                <w:sz w:val="18"/>
                <w:szCs w:val="18"/>
              </w:rPr>
              <w:t>企业产品标准</w:t>
            </w:r>
            <w:r>
              <w:rPr>
                <w:rFonts w:hint="eastAsia" w:ascii="宋体" w:hAnsi="宋体" w:eastAsia="宋体" w:cs="宋体"/>
                <w:spacing w:val="0"/>
                <w:sz w:val="18"/>
                <w:szCs w:val="18"/>
                <w:lang w:val="en-US" w:eastAsia="zh-CN"/>
              </w:rPr>
              <w:t>封面内容应符合G</w:t>
            </w:r>
            <w:r>
              <w:rPr>
                <w:rFonts w:hint="eastAsia" w:ascii="宋体" w:hAnsi="宋体" w:cs="宋体"/>
                <w:spacing w:val="0"/>
                <w:sz w:val="18"/>
                <w:szCs w:val="18"/>
                <w:lang w:val="en-US" w:eastAsia="zh-CN"/>
              </w:rPr>
              <w:t>B</w:t>
            </w:r>
            <w:r>
              <w:rPr>
                <w:rFonts w:hint="eastAsia" w:ascii="宋体" w:hAnsi="宋体" w:eastAsia="宋体" w:cs="宋体"/>
                <w:spacing w:val="0"/>
                <w:sz w:val="18"/>
                <w:szCs w:val="18"/>
                <w:lang w:val="en-US" w:eastAsia="zh-CN"/>
              </w:rPr>
              <w:t>/T 1.1中相关要求，封面示例可参照图A.1</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cs="宋体"/>
                <w:spacing w:val="0"/>
                <w:sz w:val="18"/>
                <w:szCs w:val="18"/>
                <w:lang w:val="en-US" w:eastAsia="zh-CN"/>
              </w:rPr>
              <w:t>2.</w:t>
            </w:r>
            <w:r>
              <w:rPr>
                <w:rFonts w:hint="eastAsia" w:ascii="宋体" w:hAnsi="宋体" w:eastAsia="宋体" w:cs="宋体"/>
                <w:spacing w:val="0"/>
                <w:sz w:val="18"/>
                <w:szCs w:val="18"/>
                <w:lang w:val="en-US" w:eastAsia="zh-CN"/>
              </w:rPr>
              <w:t>前言中包含的内容是否完整准确，不应包含要求、图、表</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cs="宋体"/>
                <w:spacing w:val="0"/>
                <w:sz w:val="18"/>
                <w:szCs w:val="18"/>
                <w:lang w:val="en-US" w:eastAsia="zh-CN"/>
              </w:rPr>
              <w:t>3.</w:t>
            </w:r>
            <w:r>
              <w:rPr>
                <w:rFonts w:hint="eastAsia" w:ascii="宋体" w:hAnsi="宋体" w:eastAsia="宋体" w:cs="宋体"/>
                <w:spacing w:val="0"/>
                <w:sz w:val="18"/>
                <w:szCs w:val="18"/>
                <w:lang w:val="en-US" w:eastAsia="zh-CN"/>
              </w:rPr>
              <w:t>范围描述简洁，应能够概括标准的主要内容，不应包含要求</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rPr>
            </w:pPr>
            <w:r>
              <w:rPr>
                <w:rFonts w:hint="eastAsia" w:ascii="宋体" w:hAnsi="宋体" w:eastAsia="宋体" w:cs="宋体"/>
                <w:spacing w:val="0"/>
                <w:sz w:val="18"/>
                <w:szCs w:val="18"/>
                <w:lang w:val="en-US" w:eastAsia="zh-CN"/>
              </w:rPr>
              <w:t>4</w:t>
            </w:r>
            <w:r>
              <w:rPr>
                <w:rFonts w:hint="eastAsia" w:ascii="宋体" w:hAnsi="宋体" w:cs="宋体"/>
                <w:spacing w:val="0"/>
                <w:sz w:val="18"/>
                <w:szCs w:val="18"/>
                <w:lang w:val="en-US" w:eastAsia="zh-CN"/>
              </w:rPr>
              <w:t>.</w:t>
            </w:r>
            <w:r>
              <w:rPr>
                <w:rFonts w:hint="eastAsia" w:ascii="宋体" w:hAnsi="宋体" w:eastAsia="宋体" w:cs="宋体"/>
                <w:spacing w:val="0"/>
                <w:sz w:val="18"/>
                <w:szCs w:val="18"/>
              </w:rPr>
              <w:t>规范性引用文件</w:t>
            </w:r>
            <w:r>
              <w:rPr>
                <w:rFonts w:hint="eastAsia" w:ascii="宋体" w:hAnsi="宋体" w:eastAsia="宋体" w:cs="宋体"/>
                <w:spacing w:val="0"/>
                <w:sz w:val="18"/>
                <w:szCs w:val="18"/>
                <w:lang w:val="en-US" w:eastAsia="zh-CN"/>
              </w:rPr>
              <w:t>现行有效、前后一致，按</w:t>
            </w:r>
            <w:r>
              <w:rPr>
                <w:rFonts w:hint="eastAsia" w:ascii="宋体" w:hAnsi="宋体" w:cs="宋体"/>
                <w:spacing w:val="0"/>
                <w:sz w:val="18"/>
                <w:szCs w:val="18"/>
                <w:lang w:val="en-US" w:eastAsia="zh-CN"/>
              </w:rPr>
              <w:t>GB</w:t>
            </w:r>
            <w:r>
              <w:rPr>
                <w:rFonts w:hint="eastAsia" w:ascii="宋体" w:hAnsi="宋体" w:eastAsia="宋体" w:cs="宋体"/>
                <w:spacing w:val="0"/>
                <w:sz w:val="18"/>
                <w:szCs w:val="18"/>
                <w:lang w:val="en-US" w:eastAsia="zh-CN"/>
              </w:rPr>
              <w:t>/T 1.1规定顺序排列</w:t>
            </w:r>
            <w:r>
              <w:rPr>
                <w:rFonts w:hint="eastAsia" w:ascii="宋体" w:hAnsi="宋体" w:eastAsia="宋体" w:cs="宋体"/>
                <w:spacing w:val="0"/>
                <w:sz w:val="18"/>
                <w:szCs w:val="18"/>
                <w:lang w:eastAsia="zh-CN"/>
              </w:rPr>
              <w:t>。参考</w:t>
            </w:r>
            <w:r>
              <w:rPr>
                <w:rFonts w:hint="eastAsia" w:ascii="宋体" w:hAnsi="宋体" w:eastAsia="宋体" w:cs="宋体"/>
                <w:spacing w:val="0"/>
                <w:sz w:val="18"/>
                <w:szCs w:val="18"/>
                <w:lang w:val="en-US" w:eastAsia="zh-CN"/>
              </w:rPr>
              <w:t>或</w:t>
            </w:r>
            <w:r>
              <w:rPr>
                <w:rFonts w:hint="eastAsia" w:ascii="宋体" w:hAnsi="宋体" w:eastAsia="宋体" w:cs="宋体"/>
                <w:spacing w:val="0"/>
                <w:sz w:val="18"/>
                <w:szCs w:val="18"/>
                <w:lang w:eastAsia="zh-CN"/>
              </w:rPr>
              <w:t>引用国内外标准和国际标准的，应符合</w:t>
            </w:r>
            <w:r>
              <w:rPr>
                <w:rFonts w:hint="eastAsia" w:ascii="宋体" w:hAnsi="宋体" w:eastAsia="宋体" w:cs="宋体"/>
                <w:spacing w:val="0"/>
                <w:sz w:val="18"/>
                <w:szCs w:val="18"/>
                <w:lang w:val="en-US" w:eastAsia="zh-CN"/>
              </w:rPr>
              <w:t>知识产权</w:t>
            </w:r>
            <w:r>
              <w:rPr>
                <w:rFonts w:hint="eastAsia" w:ascii="宋体" w:hAnsi="宋体" w:eastAsia="宋体" w:cs="宋体"/>
                <w:spacing w:val="0"/>
                <w:sz w:val="18"/>
                <w:szCs w:val="18"/>
                <w:lang w:eastAsia="zh-CN"/>
              </w:rPr>
              <w:t>的有关规定</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cs="宋体"/>
                <w:spacing w:val="0"/>
                <w:sz w:val="18"/>
                <w:szCs w:val="18"/>
                <w:lang w:val="en-US" w:eastAsia="zh-CN"/>
              </w:rPr>
              <w:t>5.</w:t>
            </w:r>
            <w:r>
              <w:rPr>
                <w:rFonts w:hint="eastAsia" w:ascii="宋体" w:hAnsi="宋体" w:eastAsia="宋体" w:cs="宋体"/>
                <w:spacing w:val="0"/>
                <w:sz w:val="18"/>
                <w:szCs w:val="18"/>
                <w:lang w:val="en-US" w:eastAsia="zh-CN"/>
              </w:rPr>
              <w:t>术语和定义不应包含要求，标准中没有需要界定的术语和定义时，应在术语和定义章标题下另起一行列出“本文件没有需要界定的术语和定义”</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105" w:rightChars="50" w:firstLine="0"/>
              <w:textAlignment w:val="baseline"/>
              <w:rPr>
                <w:rFonts w:hint="eastAsia" w:ascii="宋体" w:hAnsi="宋体" w:eastAsia="宋体" w:cs="宋体"/>
                <w:spacing w:val="0"/>
                <w:sz w:val="18"/>
                <w:szCs w:val="18"/>
                <w:lang w:val="en-US" w:eastAsia="zh-CN"/>
              </w:rPr>
            </w:pPr>
            <w:r>
              <w:rPr>
                <w:rFonts w:hint="eastAsia" w:ascii="宋体" w:hAnsi="宋体" w:cs="宋体"/>
                <w:spacing w:val="0"/>
                <w:sz w:val="18"/>
                <w:szCs w:val="18"/>
                <w:lang w:val="en-US" w:eastAsia="zh-CN"/>
              </w:rPr>
              <w:t>6.</w:t>
            </w:r>
            <w:r>
              <w:rPr>
                <w:rFonts w:hint="eastAsia" w:ascii="宋体" w:hAnsi="宋体" w:eastAsia="宋体" w:cs="宋体"/>
                <w:spacing w:val="0"/>
                <w:sz w:val="18"/>
                <w:szCs w:val="18"/>
                <w:lang w:val="en-US" w:eastAsia="zh-CN"/>
              </w:rPr>
              <w:t>技术要求内容</w:t>
            </w:r>
            <w:r>
              <w:rPr>
                <w:rFonts w:hint="eastAsia" w:ascii="宋体" w:hAnsi="宋体" w:eastAsia="宋体" w:cs="宋体"/>
                <w:spacing w:val="0"/>
                <w:sz w:val="18"/>
                <w:szCs w:val="18"/>
              </w:rPr>
              <w:t>涵盖所有的主要技术指标，指标设置科学合理，能准确反映 产品的质量特征和功能特性</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ordWrap/>
              <w:overflowPunct/>
              <w:topLinePunct w:val="0"/>
              <w:bidi w:val="0"/>
              <w:adjustRightInd w:val="0"/>
              <w:spacing w:line="240" w:lineRule="auto"/>
              <w:ind w:left="105" w:leftChars="50" w:right="105" w:rightChars="50" w:firstLine="0"/>
              <w:rPr>
                <w:rFonts w:hint="eastAsia" w:ascii="宋体" w:hAnsi="宋体" w:eastAsia="宋体" w:cs="宋体"/>
                <w:snapToGrid w:val="0"/>
                <w:color w:val="000000"/>
                <w:spacing w:val="0"/>
                <w:kern w:val="0"/>
                <w:sz w:val="18"/>
                <w:szCs w:val="18"/>
                <w:lang w:val="en-US" w:eastAsia="zh-CN" w:bidi="ar-SA"/>
              </w:rPr>
            </w:pPr>
            <w:r>
              <w:rPr>
                <w:rFonts w:hint="eastAsia" w:ascii="宋体" w:hAnsi="宋体" w:cs="宋体"/>
                <w:spacing w:val="0"/>
                <w:sz w:val="18"/>
                <w:szCs w:val="18"/>
                <w:lang w:val="en-US" w:eastAsia="zh-CN"/>
              </w:rPr>
              <w:t>7.</w:t>
            </w:r>
            <w:r>
              <w:rPr>
                <w:rFonts w:hint="eastAsia" w:ascii="宋体" w:hAnsi="宋体" w:eastAsia="宋体" w:cs="宋体"/>
                <w:spacing w:val="0"/>
                <w:sz w:val="18"/>
                <w:szCs w:val="18"/>
              </w:rPr>
              <w:t>试验方法科学，有可操作性</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636"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1827" w:type="dxa"/>
            <w:vMerge w:val="continue"/>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c>
          <w:tcPr>
            <w:tcW w:w="5400" w:type="dxa"/>
            <w:vAlign w:val="center"/>
          </w:tcPr>
          <w:p>
            <w:pPr>
              <w:keepNext w:val="0"/>
              <w:keepLines w:val="0"/>
              <w:pageBreakBefore w:val="0"/>
              <w:wordWrap/>
              <w:overflowPunct/>
              <w:topLinePunct w:val="0"/>
              <w:bidi w:val="0"/>
              <w:adjustRightInd w:val="0"/>
              <w:spacing w:line="240" w:lineRule="auto"/>
              <w:ind w:left="105" w:leftChars="50" w:right="105" w:rightChars="50" w:firstLine="0"/>
              <w:rPr>
                <w:rFonts w:hint="eastAsia" w:ascii="宋体" w:hAnsi="宋体" w:eastAsia="宋体" w:cs="宋体"/>
                <w:snapToGrid w:val="0"/>
                <w:color w:val="000000"/>
                <w:spacing w:val="0"/>
                <w:kern w:val="0"/>
                <w:sz w:val="18"/>
                <w:szCs w:val="18"/>
                <w:lang w:val="en-US" w:eastAsia="zh-CN" w:bidi="ar-SA"/>
              </w:rPr>
            </w:pPr>
            <w:r>
              <w:rPr>
                <w:rFonts w:hint="eastAsia" w:ascii="宋体" w:hAnsi="宋体" w:cs="宋体"/>
                <w:spacing w:val="0"/>
                <w:sz w:val="18"/>
                <w:szCs w:val="18"/>
                <w:lang w:val="en-US" w:eastAsia="zh-CN"/>
              </w:rPr>
              <w:t>8.</w:t>
            </w:r>
            <w:r>
              <w:rPr>
                <w:rFonts w:hint="eastAsia" w:ascii="宋体" w:hAnsi="宋体" w:eastAsia="宋体" w:cs="宋体"/>
                <w:spacing w:val="0"/>
                <w:sz w:val="18"/>
                <w:szCs w:val="18"/>
              </w:rPr>
              <w:t>检验规则科学合理，有可操作性</w:t>
            </w:r>
          </w:p>
        </w:tc>
        <w:tc>
          <w:tcPr>
            <w:tcW w:w="1001" w:type="dxa"/>
            <w:vAlign w:val="center"/>
          </w:tcPr>
          <w:p>
            <w:pPr>
              <w:pStyle w:val="80"/>
              <w:keepNext w:val="0"/>
              <w:keepLines w:val="0"/>
              <w:pageBreakBefore w:val="0"/>
              <w:wordWrap/>
              <w:overflowPunct/>
              <w:topLinePunct w:val="0"/>
              <w:bidi w:val="0"/>
              <w:adjustRightInd w:val="0"/>
              <w:spacing w:line="240" w:lineRule="auto"/>
              <w:ind w:left="0" w:right="0" w:firstLine="0"/>
              <w:rPr>
                <w:rFonts w:hint="eastAsia" w:ascii="宋体" w:hAnsi="宋体" w:eastAsia="宋体" w:cs="宋体"/>
                <w:sz w:val="18"/>
                <w:szCs w:val="18"/>
              </w:rPr>
            </w:pPr>
          </w:p>
        </w:tc>
      </w:tr>
    </w:tbl>
    <w:p>
      <w:pPr>
        <w:pStyle w:val="67"/>
        <w:ind w:firstLine="420"/>
      </w:pPr>
      <w:r>
        <w:drawing>
          <wp:inline distT="0" distB="0" distL="114300" distR="114300">
            <wp:extent cx="5448300" cy="7787640"/>
            <wp:effectExtent l="0" t="0" r="0" b="381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28"/>
                    <a:stretch>
                      <a:fillRect/>
                    </a:stretch>
                  </pic:blipFill>
                  <pic:spPr>
                    <a:xfrm>
                      <a:off x="0" y="0"/>
                      <a:ext cx="5448300" cy="7787640"/>
                    </a:xfrm>
                    <a:prstGeom prst="rect">
                      <a:avLst/>
                    </a:prstGeom>
                    <a:noFill/>
                    <a:ln>
                      <a:noFill/>
                    </a:ln>
                  </pic:spPr>
                </pic:pic>
              </a:graphicData>
            </a:graphic>
          </wp:inline>
        </w:drawing>
      </w:r>
    </w:p>
    <w:p>
      <w:pPr>
        <w:pStyle w:val="74"/>
        <w:spacing w:before="156" w:after="156"/>
        <w:rPr>
          <w:rFonts w:hint="default"/>
          <w:lang w:val="en-US" w:eastAsia="zh-CN"/>
        </w:rPr>
      </w:pPr>
      <w:r>
        <w:rPr>
          <w:rFonts w:hint="eastAsia"/>
          <w:lang w:val="en-US" w:eastAsia="zh-CN"/>
        </w:rPr>
        <w:t xml:space="preserve"> </w:t>
      </w:r>
      <w:r>
        <w:rPr>
          <w:rFonts w:hint="eastAsia" w:ascii="黑体" w:hAnsi="黑体" w:eastAsia="黑体" w:cs="黑体"/>
          <w:lang w:val="en-US" w:eastAsia="zh-CN"/>
        </w:rPr>
        <w:t>企业产品标准示例</w:t>
      </w:r>
    </w:p>
    <w:p>
      <w:pPr>
        <w:pStyle w:val="51"/>
      </w:pPr>
    </w:p>
    <w:p>
      <w:pPr>
        <w:pStyle w:val="51"/>
        <w:sectPr>
          <w:pgSz w:w="11906" w:h="16838"/>
          <w:pgMar w:top="1417" w:right="1134" w:bottom="1134" w:left="1418" w:header="1417" w:footer="1134" w:gutter="0"/>
          <w:cols w:space="425" w:num="1"/>
          <w:docGrid w:type="lines" w:linePitch="312" w:charSpace="0"/>
        </w:sectPr>
      </w:pPr>
    </w:p>
    <w:p>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10" w:name="_Toc328"/>
      <w:r>
        <w:rPr>
          <w:rFonts w:hint="eastAsia" w:ascii="黑体" w:hAnsi="黑体" w:eastAsia="黑体" w:cs="黑体"/>
          <w:sz w:val="21"/>
          <w:szCs w:val="21"/>
          <w:lang w:val="en-US" w:eastAsia="zh-CN"/>
        </w:rPr>
        <w:t>附  录  B</w:t>
      </w:r>
      <w:bookmarkEnd w:id="110"/>
    </w:p>
    <w:p>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11" w:name="_Toc12726"/>
      <w:bookmarkStart w:id="112" w:name="_Toc1195"/>
      <w:r>
        <w:rPr>
          <w:rFonts w:hint="eastAsia" w:ascii="黑体" w:hAnsi="黑体" w:eastAsia="黑体" w:cs="黑体"/>
          <w:sz w:val="21"/>
          <w:szCs w:val="21"/>
          <w:lang w:val="en-US" w:eastAsia="zh-CN"/>
        </w:rPr>
        <w:t>（资料性）</w:t>
      </w:r>
      <w:bookmarkEnd w:id="111"/>
      <w:bookmarkEnd w:id="112"/>
    </w:p>
    <w:p>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13" w:name="_Toc1592"/>
      <w:bookmarkStart w:id="114" w:name="_Toc8479"/>
      <w:bookmarkStart w:id="115" w:name="_Toc16237"/>
      <w:r>
        <w:rPr>
          <w:rFonts w:hint="eastAsia" w:ascii="黑体" w:hAnsi="黑体" w:eastAsia="黑体"/>
          <w:color w:val="000000"/>
          <w:sz w:val="21"/>
          <w:szCs w:val="21"/>
          <w:lang w:val="en-US" w:eastAsia="zh-CN"/>
        </w:rPr>
        <w:t>企业产品标准制定及自我声明公开流程</w:t>
      </w:r>
      <w:bookmarkEnd w:id="113"/>
      <w:bookmarkEnd w:id="114"/>
      <w:bookmarkEnd w:id="115"/>
    </w:p>
    <w:p>
      <w:pPr>
        <w:pStyle w:val="73"/>
        <w:numPr>
          <w:ilvl w:val="1"/>
          <w:numId w:val="0"/>
        </w:numPr>
        <w:spacing w:before="156" w:after="156"/>
        <w:outlineLvl w:val="1"/>
        <w:rPr>
          <w:rFonts w:hint="eastAsia" w:eastAsia="黑体"/>
          <w:lang w:val="en-US" w:eastAsia="zh-CN"/>
        </w:rPr>
      </w:pPr>
      <w:bookmarkStart w:id="116" w:name="_Toc28366"/>
      <w:bookmarkStart w:id="117" w:name="_Toc155613963"/>
      <w:bookmarkStart w:id="118" w:name="_Toc10914"/>
      <w:bookmarkStart w:id="119" w:name="_Toc12690"/>
      <w:bookmarkStart w:id="120" w:name="_Toc30380"/>
      <w:r>
        <w:rPr>
          <w:rFonts w:hint="eastAsia" w:cs="Times New Roman"/>
          <w:b w:val="0"/>
          <w:i w:val="0"/>
          <w:kern w:val="21"/>
          <w:sz w:val="21"/>
          <w:lang w:val="en-US" w:eastAsia="zh-CN" w:bidi="ar-SA"/>
        </w:rPr>
        <w:t>B</w:t>
      </w:r>
      <w:r>
        <w:rPr>
          <w:rFonts w:hint="eastAsia" w:ascii="黑体" w:hAnsi="Times New Roman" w:eastAsia="黑体" w:cs="Times New Roman"/>
          <w:b w:val="0"/>
          <w:i w:val="0"/>
          <w:kern w:val="21"/>
          <w:sz w:val="21"/>
          <w:lang w:val="en-US" w:eastAsia="zh-CN" w:bidi="ar-SA"/>
        </w:rPr>
        <w:t>.1　</w:t>
      </w:r>
      <w:r>
        <w:rPr>
          <w:rFonts w:hint="eastAsia"/>
        </w:rPr>
        <w:t>企业产品标准</w:t>
      </w:r>
      <w:r>
        <w:rPr>
          <w:rFonts w:hint="eastAsia"/>
          <w:lang w:val="en-US" w:eastAsia="zh-CN"/>
        </w:rPr>
        <w:t>制定及</w:t>
      </w:r>
      <w:r>
        <w:rPr>
          <w:rFonts w:hint="eastAsia"/>
        </w:rPr>
        <w:t>自我声明</w:t>
      </w:r>
      <w:r>
        <w:rPr>
          <w:rFonts w:hint="eastAsia"/>
          <w:lang w:val="en-US" w:eastAsia="zh-CN"/>
        </w:rPr>
        <w:t>公开流程</w:t>
      </w:r>
      <w:bookmarkEnd w:id="116"/>
      <w:bookmarkEnd w:id="117"/>
      <w:bookmarkEnd w:id="118"/>
      <w:bookmarkEnd w:id="119"/>
      <w:bookmarkEnd w:id="120"/>
    </w:p>
    <w:p>
      <w:pPr>
        <w:pStyle w:val="67"/>
        <w:ind w:firstLine="420"/>
        <w:rPr>
          <w:rFonts w:hint="eastAsia"/>
        </w:rPr>
      </w:pPr>
      <w:r>
        <w:rPr>
          <w:rFonts w:hint="eastAsia"/>
          <w:lang w:val="en-US" w:eastAsia="zh-CN"/>
        </w:rPr>
        <w:t>企业产品标准</w:t>
      </w:r>
      <w:r>
        <w:rPr>
          <w:rFonts w:hint="eastAsia"/>
        </w:rPr>
        <w:t>制定及自我声明公开具体</w:t>
      </w:r>
      <w:r>
        <w:rPr>
          <w:rFonts w:hint="eastAsia"/>
          <w:lang w:val="en-US" w:eastAsia="zh-CN"/>
        </w:rPr>
        <w:t>流程</w:t>
      </w:r>
      <w:r>
        <w:rPr>
          <w:rFonts w:hint="eastAsia"/>
        </w:rPr>
        <w:t>如图</w:t>
      </w:r>
      <w:r>
        <w:rPr>
          <w:rFonts w:hint="eastAsia"/>
          <w:lang w:val="en-US" w:eastAsia="zh-CN"/>
        </w:rPr>
        <w:t>B</w:t>
      </w:r>
      <w:r>
        <w:rPr>
          <w:rFonts w:hint="eastAsia"/>
        </w:rPr>
        <w:t>.1所示。</w:t>
      </w:r>
    </w:p>
    <w:p>
      <w:pPr>
        <w:pStyle w:val="67"/>
        <w:ind w:firstLine="420"/>
        <w:rPr>
          <w:rFonts w:hint="eastAsia" w:eastAsia="宋体"/>
          <w:lang w:eastAsia="zh-CN"/>
        </w:rPr>
      </w:pPr>
      <w:r>
        <w:rPr>
          <w:rFonts w:hint="eastAsia" w:eastAsia="宋体"/>
          <w:lang w:eastAsia="zh-CN"/>
        </w:rPr>
        <w:drawing>
          <wp:inline distT="0" distB="0" distL="114300" distR="114300">
            <wp:extent cx="5882005" cy="6661150"/>
            <wp:effectExtent l="0" t="0" r="4445" b="6350"/>
            <wp:docPr id="30" name="图片 30" descr="未命名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未命名文件"/>
                    <pic:cNvPicPr>
                      <a:picLocks noChangeAspect="1"/>
                    </pic:cNvPicPr>
                  </pic:nvPicPr>
                  <pic:blipFill>
                    <a:blip r:embed="rId29"/>
                    <a:srcRect t="1340" r="10621" b="1544"/>
                    <a:stretch>
                      <a:fillRect/>
                    </a:stretch>
                  </pic:blipFill>
                  <pic:spPr>
                    <a:xfrm>
                      <a:off x="0" y="0"/>
                      <a:ext cx="5882005" cy="6661150"/>
                    </a:xfrm>
                    <a:prstGeom prst="rect">
                      <a:avLst/>
                    </a:prstGeom>
                  </pic:spPr>
                </pic:pic>
              </a:graphicData>
            </a:graphic>
          </wp:inline>
        </w:drawing>
      </w:r>
    </w:p>
    <w:p>
      <w:pPr>
        <w:pStyle w:val="74"/>
        <w:numPr>
          <w:ilvl w:val="1"/>
          <w:numId w:val="0"/>
        </w:numPr>
        <w:spacing w:before="156" w:after="156"/>
        <w:ind w:left="0" w:leftChars="0" w:firstLine="0" w:firstLineChars="0"/>
        <w:rPr>
          <w:rFonts w:hint="eastAsia"/>
        </w:rPr>
        <w:sectPr>
          <w:footerReference r:id="rId21" w:type="default"/>
          <w:footerReference r:id="rId22" w:type="even"/>
          <w:pgSz w:w="11906" w:h="16838"/>
          <w:pgMar w:top="1417" w:right="1134" w:bottom="1134" w:left="1418" w:header="1417" w:footer="1134" w:gutter="0"/>
          <w:pgNumType w:fmt="decimal"/>
          <w:cols w:space="425" w:num="1"/>
          <w:docGrid w:type="lines" w:linePitch="312" w:charSpace="0"/>
        </w:sectPr>
      </w:pPr>
      <w:r>
        <w:rPr>
          <w:rFonts w:hint="eastAsia" w:ascii="黑体" w:hAnsi="Times New Roman" w:eastAsia="黑体" w:cs="Times New Roman"/>
          <w:sz w:val="21"/>
          <w:lang w:val="en-US" w:eastAsia="zh-CN" w:bidi="ar-SA"/>
        </w:rPr>
        <w:t>图</w:t>
      </w:r>
      <w:r>
        <w:rPr>
          <w:rFonts w:hint="eastAsia" w:cs="Times New Roman"/>
          <w:sz w:val="21"/>
          <w:lang w:val="en-US" w:eastAsia="zh-CN" w:bidi="ar-SA"/>
        </w:rPr>
        <w:t>B</w:t>
      </w:r>
      <w:r>
        <w:rPr>
          <w:rFonts w:hint="eastAsia" w:ascii="黑体" w:hAnsi="Times New Roman" w:eastAsia="黑体" w:cs="Times New Roman"/>
          <w:sz w:val="21"/>
          <w:lang w:val="en-US" w:eastAsia="zh-CN" w:bidi="ar-SA"/>
        </w:rPr>
        <w:t>.1</w:t>
      </w:r>
      <w:r>
        <w:rPr>
          <w:rFonts w:hint="eastAsia"/>
        </w:rPr>
        <w:t xml:space="preserve"> </w:t>
      </w:r>
      <w:r>
        <w:t xml:space="preserve"> </w:t>
      </w:r>
      <w:r>
        <w:rPr>
          <w:rFonts w:hint="eastAsia"/>
        </w:rPr>
        <w:t>企业产品标准制定及自我声明公开流程</w:t>
      </w:r>
    </w:p>
    <w:p>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21" w:name="_Toc16550"/>
      <w:r>
        <w:rPr>
          <w:rFonts w:hint="eastAsia" w:ascii="黑体" w:hAnsi="黑体" w:eastAsia="黑体" w:cs="黑体"/>
          <w:sz w:val="21"/>
          <w:szCs w:val="21"/>
          <w:lang w:val="en-US" w:eastAsia="zh-CN"/>
        </w:rPr>
        <w:t>附  录  C</w:t>
      </w:r>
      <w:bookmarkEnd w:id="121"/>
    </w:p>
    <w:p>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22" w:name="_Toc15588"/>
      <w:r>
        <w:rPr>
          <w:rFonts w:hint="eastAsia" w:ascii="黑体" w:hAnsi="黑体" w:eastAsia="黑体" w:cs="黑体"/>
          <w:sz w:val="21"/>
          <w:szCs w:val="21"/>
          <w:lang w:val="en-US" w:eastAsia="zh-CN"/>
        </w:rPr>
        <w:t>（规范性）</w:t>
      </w:r>
      <w:bookmarkEnd w:id="122"/>
    </w:p>
    <w:p>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23" w:name="_Toc13930"/>
      <w:r>
        <w:rPr>
          <w:rFonts w:hint="eastAsia" w:ascii="黑体" w:hAnsi="黑体" w:eastAsia="黑体"/>
          <w:color w:val="000000"/>
          <w:sz w:val="21"/>
          <w:szCs w:val="21"/>
          <w:lang w:val="en-US" w:eastAsia="zh-CN"/>
        </w:rPr>
        <w:t>企业产品标准编制规则</w:t>
      </w:r>
      <w:bookmarkEnd w:id="123"/>
    </w:p>
    <w:p>
      <w:pPr>
        <w:pStyle w:val="67"/>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textAlignment w:val="auto"/>
        <w:outlineLvl w:val="1"/>
        <w:rPr>
          <w:rFonts w:hint="eastAsia" w:ascii="黑体" w:hAnsi="黑体" w:eastAsia="黑体" w:cs="黑体"/>
          <w:lang w:val="en-US" w:eastAsia="zh-CN"/>
        </w:rPr>
      </w:pPr>
      <w:bookmarkStart w:id="124" w:name="_Toc2734"/>
      <w:bookmarkStart w:id="125" w:name="_Toc155613940"/>
      <w:bookmarkStart w:id="126" w:name="_Toc32522"/>
      <w:r>
        <w:rPr>
          <w:rFonts w:hint="eastAsia" w:ascii="黑体" w:hAnsi="黑体" w:eastAsia="黑体" w:cs="黑体"/>
          <w:b w:val="0"/>
          <w:i w:val="0"/>
          <w:kern w:val="21"/>
          <w:sz w:val="21"/>
          <w:lang w:val="en-US" w:eastAsia="zh-CN" w:bidi="ar-SA"/>
        </w:rPr>
        <w:t>C.1　</w:t>
      </w:r>
      <w:bookmarkEnd w:id="124"/>
      <w:bookmarkEnd w:id="125"/>
      <w:r>
        <w:rPr>
          <w:rFonts w:hint="eastAsia" w:ascii="黑体" w:hAnsi="黑体" w:eastAsia="黑体" w:cs="黑体"/>
        </w:rPr>
        <w:t>企业产品标准</w:t>
      </w:r>
      <w:r>
        <w:rPr>
          <w:rFonts w:hint="eastAsia" w:ascii="黑体" w:hAnsi="黑体" w:eastAsia="黑体" w:cs="黑体"/>
          <w:lang w:val="en-US" w:eastAsia="zh-CN"/>
        </w:rPr>
        <w:t>编制规则</w:t>
      </w:r>
      <w:bookmarkEnd w:id="126"/>
    </w:p>
    <w:p>
      <w:pPr>
        <w:pStyle w:val="65"/>
        <w:keepNext w:val="0"/>
        <w:keepLines w:val="0"/>
        <w:pageBreakBefore w:val="0"/>
        <w:widowControl/>
        <w:numPr>
          <w:ilvl w:val="2"/>
          <w:numId w:val="0"/>
        </w:numPr>
        <w:kinsoku/>
        <w:wordWrap/>
        <w:overflowPunct/>
        <w:topLinePunct w:val="0"/>
        <w:autoSpaceDE/>
        <w:autoSpaceDN/>
        <w:bidi w:val="0"/>
        <w:adjustRightInd/>
        <w:snapToGrid/>
        <w:spacing w:before="156" w:after="156"/>
        <w:ind w:leftChars="0"/>
        <w:textAlignment w:val="auto"/>
        <w:outlineLvl w:val="2"/>
      </w:pPr>
      <w:bookmarkStart w:id="127" w:name="_Toc13436"/>
      <w:bookmarkStart w:id="128" w:name="_Toc17860"/>
      <w:bookmarkStart w:id="129" w:name="_Toc18222"/>
      <w:r>
        <w:rPr>
          <w:rFonts w:hint="eastAsia"/>
          <w:lang w:val="en-US" w:eastAsia="zh-CN"/>
        </w:rPr>
        <w:t xml:space="preserve">C.1.1  </w:t>
      </w:r>
      <w:r>
        <w:rPr>
          <w:rFonts w:hint="eastAsia"/>
        </w:rPr>
        <w:t>制定原则</w:t>
      </w:r>
      <w:bookmarkEnd w:id="127"/>
      <w:bookmarkEnd w:id="128"/>
      <w:bookmarkEnd w:id="129"/>
    </w:p>
    <w:p>
      <w:pPr>
        <w:pStyle w:val="68"/>
        <w:numPr>
          <w:ilvl w:val="3"/>
          <w:numId w:val="0"/>
        </w:numPr>
        <w:ind w:leftChars="0"/>
      </w:pPr>
      <w:r>
        <w:rPr>
          <w:rFonts w:hint="eastAsia" w:ascii="黑体" w:hAnsi="黑体" w:eastAsia="黑体" w:cs="黑体"/>
          <w:lang w:val="en-US" w:eastAsia="zh-CN"/>
        </w:rPr>
        <w:t>C.1.1.1</w:t>
      </w:r>
      <w:r>
        <w:rPr>
          <w:rFonts w:hint="eastAsia"/>
          <w:lang w:val="en-US" w:eastAsia="zh-CN"/>
        </w:rPr>
        <w:t xml:space="preserve">  </w:t>
      </w:r>
      <w:r>
        <w:rPr>
          <w:rFonts w:hint="eastAsia"/>
        </w:rPr>
        <w:t>无相关国家标准、行业标准</w:t>
      </w:r>
      <w:r>
        <w:rPr>
          <w:rFonts w:hint="eastAsia"/>
          <w:lang w:eastAsia="zh-CN"/>
        </w:rPr>
        <w:t>、</w:t>
      </w:r>
      <w:r>
        <w:rPr>
          <w:rFonts w:hint="eastAsia"/>
        </w:rPr>
        <w:t>地方标准</w:t>
      </w:r>
      <w:r>
        <w:rPr>
          <w:rFonts w:hint="eastAsia"/>
          <w:lang w:eastAsia="zh-CN"/>
        </w:rPr>
        <w:t>和团体标准</w:t>
      </w:r>
      <w:r>
        <w:rPr>
          <w:rFonts w:hint="eastAsia"/>
        </w:rPr>
        <w:t>的</w:t>
      </w:r>
      <w:r>
        <w:rPr>
          <w:rFonts w:hint="eastAsia"/>
          <w:lang w:eastAsia="zh-CN"/>
        </w:rPr>
        <w:t>，</w:t>
      </w:r>
      <w:r>
        <w:rPr>
          <w:rFonts w:hint="eastAsia"/>
        </w:rPr>
        <w:t>应根据需要制定企业产品标准</w:t>
      </w:r>
      <w:r>
        <w:rPr>
          <w:rFonts w:hint="eastAsia"/>
          <w:lang w:eastAsia="zh-CN"/>
        </w:rPr>
        <w:t>。鼓励企业制定高于推荐性标准相关技术要求的企业标准</w:t>
      </w:r>
      <w:r>
        <w:rPr>
          <w:rFonts w:hint="eastAsia"/>
        </w:rPr>
        <w:t>。</w:t>
      </w:r>
    </w:p>
    <w:p>
      <w:pPr>
        <w:pStyle w:val="68"/>
        <w:numPr>
          <w:ilvl w:val="3"/>
          <w:numId w:val="0"/>
        </w:numPr>
        <w:ind w:leftChars="0"/>
      </w:pPr>
      <w:r>
        <w:rPr>
          <w:rFonts w:hint="eastAsia" w:ascii="黑体" w:hAnsi="黑体" w:eastAsia="黑体" w:cs="黑体"/>
          <w:lang w:val="en-US" w:eastAsia="zh-CN"/>
        </w:rPr>
        <w:t>C.1.1.2</w:t>
      </w:r>
      <w:r>
        <w:rPr>
          <w:rFonts w:hint="eastAsia"/>
          <w:lang w:val="en-US" w:eastAsia="zh-CN"/>
        </w:rPr>
        <w:t xml:space="preserve">  </w:t>
      </w:r>
      <w:r>
        <w:rPr>
          <w:rFonts w:hint="eastAsia"/>
        </w:rPr>
        <w:t>编写企业产品标准宜考虑产品生命周期所有阶段的相关环境和安全因素的影响，减少自然资源的消耗，尽可能降低产品在使用中的风险。</w:t>
      </w:r>
    </w:p>
    <w:p>
      <w:pPr>
        <w:pStyle w:val="68"/>
        <w:numPr>
          <w:ilvl w:val="3"/>
          <w:numId w:val="0"/>
        </w:numPr>
        <w:ind w:leftChars="0"/>
        <w:rPr>
          <w:rFonts w:hint="default" w:eastAsia="宋体"/>
          <w:lang w:val="en-US" w:eastAsia="zh-CN"/>
        </w:rPr>
      </w:pPr>
      <w:r>
        <w:rPr>
          <w:rFonts w:hint="eastAsia" w:ascii="黑体" w:hAnsi="黑体" w:eastAsia="黑体" w:cs="黑体"/>
          <w:lang w:val="en-US" w:eastAsia="zh-CN"/>
        </w:rPr>
        <w:t>C.1.1.3</w:t>
      </w:r>
      <w:r>
        <w:rPr>
          <w:rFonts w:hint="eastAsia"/>
          <w:lang w:val="en-US" w:eastAsia="zh-CN"/>
        </w:rPr>
        <w:t xml:space="preserve">  </w:t>
      </w:r>
      <w:r>
        <w:rPr>
          <w:rFonts w:hint="eastAsia"/>
        </w:rPr>
        <w:t>企业产品标准的编写应保证产品的安全性、通用性、可替换性，关注经济效益、社会效益、生态效益，做到技术上先进、经济上合理，促进企业产品质量提升。</w:t>
      </w:r>
    </w:p>
    <w:p>
      <w:pPr>
        <w:pStyle w:val="65"/>
        <w:keepNext w:val="0"/>
        <w:keepLines w:val="0"/>
        <w:pageBreakBefore w:val="0"/>
        <w:widowControl/>
        <w:numPr>
          <w:ilvl w:val="2"/>
          <w:numId w:val="0"/>
        </w:numPr>
        <w:kinsoku/>
        <w:wordWrap/>
        <w:overflowPunct/>
        <w:topLinePunct w:val="0"/>
        <w:autoSpaceDE/>
        <w:autoSpaceDN/>
        <w:bidi w:val="0"/>
        <w:adjustRightInd/>
        <w:snapToGrid/>
        <w:spacing w:before="156" w:after="156"/>
        <w:ind w:leftChars="0"/>
        <w:textAlignment w:val="auto"/>
        <w:outlineLvl w:val="2"/>
        <w:rPr>
          <w:rFonts w:hint="eastAsia"/>
          <w:lang w:val="en-US" w:eastAsia="zh-CN"/>
        </w:rPr>
      </w:pPr>
      <w:bookmarkStart w:id="130" w:name="_Toc7316"/>
      <w:bookmarkStart w:id="131" w:name="_Toc3899"/>
      <w:bookmarkStart w:id="132" w:name="_Toc20459"/>
      <w:r>
        <w:rPr>
          <w:rFonts w:hint="eastAsia"/>
          <w:lang w:val="en-US" w:eastAsia="zh-CN"/>
        </w:rPr>
        <w:t>C.1.2  标准编号</w:t>
      </w:r>
      <w:bookmarkEnd w:id="130"/>
      <w:bookmarkEnd w:id="131"/>
      <w:bookmarkEnd w:id="132"/>
    </w:p>
    <w:p>
      <w:pPr>
        <w:pStyle w:val="67"/>
        <w:ind w:firstLine="420"/>
        <w:rPr>
          <w:rFonts w:hint="eastAsia"/>
        </w:rPr>
      </w:pPr>
      <w:r>
        <w:rPr>
          <w:rFonts w:hint="eastAsia"/>
        </w:rPr>
        <w:t>企业产品标准的编号依次由企业标准代号、企业代号、顺序号、年代号组成</w:t>
      </w:r>
      <w:r>
        <w:rPr>
          <w:rFonts w:hint="eastAsia"/>
          <w:lang w:eastAsia="zh-CN"/>
        </w:rPr>
        <w:t>，示例如图</w:t>
      </w:r>
      <w:r>
        <w:rPr>
          <w:rFonts w:hint="eastAsia"/>
          <w:lang w:val="en-US" w:eastAsia="zh-CN"/>
        </w:rPr>
        <w:t>C.1</w:t>
      </w:r>
      <w:r>
        <w:rPr>
          <w:rFonts w:hint="eastAsia"/>
        </w:rPr>
        <w:t>。</w:t>
      </w:r>
    </w:p>
    <w:p>
      <w:pPr>
        <w:pStyle w:val="83"/>
        <w:numPr>
          <w:ilvl w:val="0"/>
          <w:numId w:val="13"/>
        </w:numPr>
        <w:ind w:left="840" w:leftChars="200" w:hanging="420" w:hangingChars="200"/>
      </w:pPr>
      <w:r>
        <w:t>企业标准代号</w:t>
      </w:r>
      <w:r>
        <w:rPr>
          <w:rFonts w:hint="eastAsia"/>
          <w:lang w:eastAsia="zh-CN"/>
        </w:rPr>
        <w:t>“</w:t>
      </w:r>
      <w:r>
        <w:rPr>
          <w:shd w:val="clear" w:color="auto" w:fill="FFFFFF"/>
        </w:rPr>
        <w:t>Q</w:t>
      </w:r>
      <w:r>
        <w:rPr>
          <w:rFonts w:hint="eastAsia"/>
          <w:lang w:eastAsia="zh-CN"/>
        </w:rPr>
        <w:t>”</w:t>
      </w:r>
      <w:r>
        <w:rPr>
          <w:rFonts w:hint="eastAsia"/>
          <w:shd w:val="clear" w:color="auto" w:fill="FFFFFF"/>
        </w:rPr>
        <w:t>：</w:t>
      </w:r>
      <w:r>
        <w:rPr>
          <w:shd w:val="clear" w:color="auto" w:fill="FFFFFF"/>
        </w:rPr>
        <w:t>代表</w:t>
      </w:r>
      <w:r>
        <w:rPr>
          <w:rFonts w:hint="eastAsia"/>
          <w:shd w:val="clear" w:color="auto" w:fill="FFFFFF"/>
          <w:lang w:val="en-US" w:eastAsia="zh-CN"/>
        </w:rPr>
        <w:t>由</w:t>
      </w:r>
      <w:r>
        <w:rPr>
          <w:shd w:val="clear" w:color="auto" w:fill="FFFFFF"/>
        </w:rPr>
        <w:t>企</w:t>
      </w:r>
      <w:r>
        <w:t>业制定、批准、发布的企业标准</w:t>
      </w:r>
      <w:r>
        <w:rPr>
          <w:rFonts w:hint="eastAsia"/>
          <w:lang w:eastAsia="zh-CN"/>
        </w:rPr>
        <w:t>；</w:t>
      </w:r>
    </w:p>
    <w:p>
      <w:pPr>
        <w:pStyle w:val="83"/>
        <w:ind w:left="840" w:leftChars="200" w:hanging="420" w:hangingChars="200"/>
      </w:pPr>
      <w:r>
        <w:rPr>
          <w:rFonts w:hint="eastAsia"/>
        </w:rPr>
        <w:t>企业注册地行政代</w:t>
      </w:r>
      <w:r>
        <w:rPr>
          <w:rFonts w:hint="eastAsia"/>
          <w:lang w:val="en-US" w:eastAsia="zh-CN"/>
        </w:rPr>
        <w:t>码</w:t>
      </w:r>
      <w:r>
        <w:rPr>
          <w:rFonts w:hint="eastAsia"/>
          <w:shd w:val="clear" w:color="auto" w:fill="FFFFFF"/>
        </w:rPr>
        <w:t>为可选项，各市</w:t>
      </w:r>
      <w:r>
        <w:rPr>
          <w:rFonts w:hint="eastAsia"/>
        </w:rPr>
        <w:t>区行政区域代码见</w:t>
      </w:r>
      <w:r>
        <w:rPr>
          <w:rFonts w:hint="eastAsia"/>
          <w:lang w:eastAsia="zh-CN"/>
        </w:rPr>
        <w:t>表</w:t>
      </w:r>
      <w:r>
        <w:rPr>
          <w:rFonts w:hint="eastAsia"/>
          <w:lang w:val="en-US" w:eastAsia="zh-CN"/>
        </w:rPr>
        <w:t>C.1</w:t>
      </w:r>
      <w:r>
        <w:rPr>
          <w:rFonts w:hint="eastAsia"/>
          <w:lang w:eastAsia="zh-CN"/>
        </w:rPr>
        <w:t>；</w:t>
      </w:r>
    </w:p>
    <w:p>
      <w:pPr>
        <w:pStyle w:val="83"/>
        <w:ind w:left="840" w:leftChars="200" w:hanging="420" w:hangingChars="200"/>
      </w:pPr>
      <w:r>
        <w:t>企业代号由企业</w:t>
      </w:r>
      <w:r>
        <w:rPr>
          <w:rFonts w:hint="eastAsia"/>
        </w:rPr>
        <w:t>自行设</w:t>
      </w:r>
      <w:r>
        <w:rPr>
          <w:rFonts w:hint="eastAsia"/>
          <w:shd w:val="clear" w:color="auto" w:fill="FFFFFF"/>
        </w:rPr>
        <w:t>定</w:t>
      </w:r>
      <w:r>
        <w:rPr>
          <w:shd w:val="clear" w:color="auto" w:fill="FFFFFF"/>
        </w:rPr>
        <w:t>，</w:t>
      </w:r>
      <w:r>
        <w:rPr>
          <w:rFonts w:hint="eastAsia"/>
          <w:shd w:val="clear" w:color="auto" w:fill="FFFFFF"/>
        </w:rPr>
        <w:t>宜使</w:t>
      </w:r>
      <w:r>
        <w:rPr>
          <w:shd w:val="clear" w:color="auto" w:fill="FFFFFF"/>
        </w:rPr>
        <w:t>用企业</w:t>
      </w:r>
      <w:r>
        <w:t>名称的汉语拼音字头或英文缩写字母表示</w:t>
      </w:r>
      <w:r>
        <w:rPr>
          <w:rFonts w:hint="eastAsia"/>
          <w:lang w:eastAsia="zh-CN"/>
        </w:rPr>
        <w:t>；</w:t>
      </w:r>
    </w:p>
    <w:p>
      <w:pPr>
        <w:pStyle w:val="83"/>
        <w:ind w:left="840" w:leftChars="200" w:hanging="420" w:hangingChars="200"/>
      </w:pPr>
      <w:r>
        <w:t>顺序号由企业</w:t>
      </w:r>
      <w:r>
        <w:rPr>
          <w:rFonts w:hint="eastAsia"/>
        </w:rPr>
        <w:t>自行设定，</w:t>
      </w:r>
      <w:r>
        <w:t>企业标准的顺序号用阿拉伯数字表示</w:t>
      </w:r>
      <w:r>
        <w:rPr>
          <w:rFonts w:hint="eastAsia"/>
          <w:lang w:eastAsia="zh-CN"/>
        </w:rPr>
        <w:t>；</w:t>
      </w:r>
    </w:p>
    <w:p>
      <w:pPr>
        <w:pStyle w:val="83"/>
        <w:ind w:left="840" w:leftChars="200" w:hanging="420" w:hangingChars="200"/>
      </w:pPr>
      <w:r>
        <w:rPr>
          <w:rFonts w:hint="eastAsia"/>
        </w:rPr>
        <w:t>标准发布年</w:t>
      </w:r>
      <w:r>
        <w:rPr>
          <w:rFonts w:hint="eastAsia"/>
          <w:lang w:val="en-US" w:eastAsia="zh-CN"/>
        </w:rPr>
        <w:t>份</w:t>
      </w:r>
      <w:r>
        <w:rPr>
          <w:rFonts w:hint="eastAsia"/>
        </w:rPr>
        <w:t>号</w:t>
      </w:r>
      <w:r>
        <w:t>用四位数表示。</w:t>
      </w:r>
    </w:p>
    <w:p>
      <w:pPr>
        <w:pStyle w:val="67"/>
        <w:ind w:firstLine="420"/>
        <w:jc w:val="center"/>
      </w:pPr>
      <w:r>
        <w:drawing>
          <wp:inline distT="0" distB="0" distL="114300" distR="114300">
            <wp:extent cx="2345690" cy="1483360"/>
            <wp:effectExtent l="0" t="0" r="16510" b="254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30"/>
                    <a:stretch>
                      <a:fillRect/>
                    </a:stretch>
                  </pic:blipFill>
                  <pic:spPr>
                    <a:xfrm>
                      <a:off x="0" y="0"/>
                      <a:ext cx="2345690" cy="1483360"/>
                    </a:xfrm>
                    <a:prstGeom prst="rect">
                      <a:avLst/>
                    </a:prstGeom>
                    <a:noFill/>
                    <a:ln>
                      <a:noFill/>
                    </a:ln>
                  </pic:spPr>
                </pic:pic>
              </a:graphicData>
            </a:graphic>
          </wp:inline>
        </w:drawing>
      </w:r>
    </w:p>
    <w:p>
      <w:pPr>
        <w:pStyle w:val="74"/>
        <w:numPr>
          <w:ilvl w:val="1"/>
          <w:numId w:val="0"/>
        </w:numPr>
        <w:spacing w:before="156" w:after="156"/>
        <w:ind w:left="0" w:leftChars="0" w:firstLine="0" w:firstLineChars="0"/>
        <w:rPr>
          <w:rFonts w:hint="eastAsia"/>
          <w:lang w:val="en-US" w:eastAsia="zh-CN"/>
        </w:rPr>
      </w:pPr>
      <w:r>
        <w:rPr>
          <w:rFonts w:hint="eastAsia" w:ascii="黑体" w:hAnsi="Times New Roman" w:eastAsia="黑体" w:cs="Times New Roman"/>
          <w:sz w:val="21"/>
          <w:lang w:val="en-US" w:eastAsia="zh-CN" w:bidi="ar-SA"/>
        </w:rPr>
        <w:t>图</w:t>
      </w:r>
      <w:r>
        <w:rPr>
          <w:rFonts w:hint="eastAsia" w:cs="Times New Roman"/>
          <w:sz w:val="21"/>
          <w:lang w:val="en-US" w:eastAsia="zh-CN" w:bidi="ar-SA"/>
        </w:rPr>
        <w:t>C</w:t>
      </w:r>
      <w:r>
        <w:rPr>
          <w:rFonts w:hint="eastAsia" w:ascii="黑体" w:hAnsi="Times New Roman" w:eastAsia="黑体" w:cs="Times New Roman"/>
          <w:sz w:val="21"/>
          <w:lang w:val="en-US" w:eastAsia="zh-CN" w:bidi="ar-SA"/>
        </w:rPr>
        <w:t>.1</w:t>
      </w:r>
      <w:r>
        <w:rPr>
          <w:rFonts w:hint="eastAsia"/>
        </w:rPr>
        <w:t xml:space="preserve"> </w:t>
      </w:r>
      <w:r>
        <w:rPr>
          <w:rFonts w:hint="eastAsia"/>
          <w:lang w:val="en-US" w:eastAsia="zh-CN"/>
        </w:rPr>
        <w:t xml:space="preserve"> </w:t>
      </w:r>
      <w:r>
        <w:rPr>
          <w:rFonts w:hint="eastAsia"/>
        </w:rPr>
        <w:t>企业产品标准编号规则示</w:t>
      </w:r>
      <w:r>
        <w:rPr>
          <w:rFonts w:hint="eastAsia"/>
          <w:lang w:val="en-US" w:eastAsia="zh-CN"/>
        </w:rPr>
        <w:t>例</w:t>
      </w:r>
    </w:p>
    <w:p>
      <w:pPr>
        <w:pStyle w:val="67"/>
        <w:keepNext w:val="0"/>
        <w:keepLines w:val="0"/>
        <w:pageBreakBefore w:val="0"/>
        <w:widowControl/>
        <w:kinsoku/>
        <w:wordWrap/>
        <w:overflowPunct/>
        <w:topLinePunct w:val="0"/>
        <w:autoSpaceDE w:val="0"/>
        <w:autoSpaceDN w:val="0"/>
        <w:bidi w:val="0"/>
        <w:adjustRightInd/>
        <w:snapToGrid/>
        <w:ind w:firstLine="0" w:firstLineChars="0"/>
        <w:textAlignment w:val="auto"/>
        <w:rPr>
          <w:rFonts w:hint="eastAsia"/>
          <w:sz w:val="21"/>
          <w:szCs w:val="20"/>
          <w:lang w:eastAsia="zh-CN"/>
        </w:rPr>
      </w:pPr>
    </w:p>
    <w:p>
      <w:pPr>
        <w:pStyle w:val="78"/>
        <w:keepNext w:val="0"/>
        <w:keepLines w:val="0"/>
        <w:pageBreakBefore w:val="0"/>
        <w:widowControl/>
        <w:numPr>
          <w:ilvl w:val="1"/>
          <w:numId w:val="0"/>
        </w:numPr>
        <w:kinsoku/>
        <w:wordWrap/>
        <w:overflowPunct/>
        <w:topLinePunct w:val="0"/>
        <w:autoSpaceDE/>
        <w:autoSpaceDN/>
        <w:bidi w:val="0"/>
        <w:adjustRightInd w:val="0"/>
        <w:snapToGrid w:val="0"/>
        <w:spacing w:before="156" w:after="156"/>
        <w:ind w:left="0" w:leftChars="0" w:firstLine="0" w:firstLineChars="0"/>
        <w:textAlignment w:val="baseline"/>
      </w:pPr>
      <w:r>
        <w:rPr>
          <w:rFonts w:hint="eastAsia" w:ascii="黑体" w:hAnsi="Times New Roman" w:eastAsia="黑体" w:cs="Times New Roman"/>
          <w:kern w:val="21"/>
          <w:sz w:val="21"/>
          <w:lang w:val="en-US" w:eastAsia="zh-CN" w:bidi="ar-SA"/>
        </w:rPr>
        <w:t>表</w:t>
      </w:r>
      <w:r>
        <w:rPr>
          <w:rFonts w:hint="eastAsia" w:cs="Times New Roman"/>
          <w:kern w:val="21"/>
          <w:sz w:val="21"/>
          <w:lang w:val="en-US" w:eastAsia="zh-CN" w:bidi="ar-SA"/>
        </w:rPr>
        <w:t>C</w:t>
      </w:r>
      <w:r>
        <w:rPr>
          <w:rFonts w:hint="eastAsia" w:ascii="黑体" w:hAnsi="Times New Roman" w:eastAsia="黑体" w:cs="Times New Roman"/>
          <w:kern w:val="21"/>
          <w:sz w:val="21"/>
          <w:lang w:val="en-US" w:eastAsia="zh-CN" w:bidi="ar-SA"/>
        </w:rPr>
        <w:t>.</w:t>
      </w:r>
      <w:r>
        <w:rPr>
          <w:rFonts w:hint="eastAsia" w:cs="Times New Roman"/>
          <w:kern w:val="21"/>
          <w:sz w:val="21"/>
          <w:lang w:val="en-US" w:eastAsia="zh-CN" w:bidi="ar-SA"/>
        </w:rPr>
        <w:t>1</w:t>
      </w:r>
      <w:r>
        <w:t xml:space="preserve"> </w:t>
      </w:r>
      <w:r>
        <w:rPr>
          <w:rFonts w:hint="eastAsia"/>
          <w:lang w:val="en-US" w:eastAsia="zh-CN"/>
        </w:rPr>
        <w:t xml:space="preserve"> </w:t>
      </w:r>
      <w:r>
        <w:rPr>
          <w:rFonts w:hint="eastAsia"/>
        </w:rPr>
        <w:t>苏州市各市区行政区域代码</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31"/>
        <w:gridCol w:w="3030"/>
        <w:gridCol w:w="321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bottom w:val="single" w:color="auto" w:sz="8" w:space="0"/>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18"/>
                <w:szCs w:val="18"/>
                <w:vertAlign w:val="baseline"/>
              </w:rPr>
            </w:pPr>
            <w:r>
              <w:rPr>
                <w:rFonts w:hint="eastAsia" w:ascii="宋体" w:hAnsi="宋体" w:eastAsia="宋体" w:cs="宋体"/>
                <w:sz w:val="18"/>
                <w:szCs w:val="18"/>
              </w:rPr>
              <w:t>序号</w:t>
            </w:r>
          </w:p>
        </w:tc>
        <w:tc>
          <w:tcPr>
            <w:tcW w:w="3030" w:type="dxa"/>
            <w:tcBorders>
              <w:bottom w:val="single" w:color="auto" w:sz="8" w:space="0"/>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18"/>
                <w:szCs w:val="18"/>
                <w:vertAlign w:val="baseline"/>
              </w:rPr>
            </w:pPr>
            <w:r>
              <w:rPr>
                <w:rFonts w:hint="eastAsia" w:ascii="宋体" w:hAnsi="宋体" w:eastAsia="宋体" w:cs="宋体"/>
                <w:sz w:val="18"/>
                <w:szCs w:val="18"/>
              </w:rPr>
              <w:t>名称</w:t>
            </w:r>
          </w:p>
        </w:tc>
        <w:tc>
          <w:tcPr>
            <w:tcW w:w="3210" w:type="dxa"/>
            <w:tcBorders>
              <w:bottom w:val="single" w:color="auto" w:sz="8" w:space="0"/>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18"/>
                <w:szCs w:val="18"/>
                <w:vertAlign w:val="baseline"/>
              </w:rPr>
            </w:pPr>
            <w:r>
              <w:rPr>
                <w:rFonts w:hint="eastAsia" w:ascii="宋体" w:hAnsi="宋体" w:eastAsia="宋体" w:cs="宋体"/>
                <w:sz w:val="18"/>
                <w:szCs w:val="18"/>
              </w:rPr>
              <w:t>行政区域代码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8"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t>1</w:t>
            </w:r>
          </w:p>
        </w:tc>
        <w:tc>
          <w:tcPr>
            <w:tcW w:w="3030" w:type="dxa"/>
            <w:tcBorders>
              <w:top w:val="single" w:color="auto" w:sz="8"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"http://www.0513zsb.com/keyword_%E8%8B%8F%E5%B7%9E%E5%B8%82.html"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苏州市</w:t>
            </w:r>
            <w:r>
              <w:rPr>
                <w:rStyle w:val="23"/>
                <w:rFonts w:hint="eastAsia" w:ascii="宋体" w:hAnsi="宋体" w:eastAsia="宋体" w:cs="宋体"/>
                <w:color w:val="auto"/>
                <w:sz w:val="18"/>
                <w:szCs w:val="18"/>
                <w:u w:val="none"/>
              </w:rPr>
              <w:fldChar w:fldCharType="end"/>
            </w:r>
          </w:p>
        </w:tc>
        <w:tc>
          <w:tcPr>
            <w:tcW w:w="3210" w:type="dxa"/>
            <w:tcBorders>
              <w:top w:val="single" w:color="auto" w:sz="8" w:space="0"/>
              <w:left w:val="single" w:color="auto" w:sz="4" w:space="0"/>
              <w:bottom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"http://www.0513zsb.com/keyword_%E8%8B%8F%E5%B7%9E%E5%B8%82.html"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320500</w:t>
            </w:r>
            <w:r>
              <w:rPr>
                <w:rStyle w:val="23"/>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t>2</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"http://www.0513zsb.com/keyword_%E8%8B%8F%E5%B7%9E%E5%B8%82%E5%B8%82%E8%BE%96%E5%8C%BA.html"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苏州市市辖区</w:t>
            </w:r>
            <w:r>
              <w:rPr>
                <w:rStyle w:val="23"/>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"http://www.0513zsb.com/keyword_%E8%8B%8F%E5%B7%9E%E5%B8%82%E5%B8%82%E8%BE%96%E5%8C%BA.html"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320501</w:t>
            </w:r>
            <w:r>
              <w:rPr>
                <w:rStyle w:val="23"/>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t>3</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"http://www.0513zsb.com/keyword_%E8%99%8E%E4%B8%98%E5%8C%BA.html"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虎丘区</w:t>
            </w:r>
            <w:r>
              <w:rPr>
                <w:rStyle w:val="23"/>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"http://www.0513zsb.com/keyword_%E8%99%8E%E4%B8%98%E5%8C%BA.html"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320505</w:t>
            </w:r>
            <w:r>
              <w:rPr>
                <w:rStyle w:val="23"/>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t>4</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"http://www.0513zsb.com/keyword_%E5%90%B4%E4%B8%AD%E5%8C%BA.html"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吴中区</w:t>
            </w:r>
            <w:r>
              <w:rPr>
                <w:rStyle w:val="23"/>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"http://www.0513zsb.com/keyword_%E5%90%B4%E4%B8%AD%E5%8C%BA.html"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320506</w:t>
            </w:r>
            <w:r>
              <w:rPr>
                <w:rStyle w:val="23"/>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t>5</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"http://www.0513zsb.com/keyword_%E7%9B%B8%E5%9F%8E%E5%8C%BA.html"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相城区</w:t>
            </w:r>
            <w:r>
              <w:rPr>
                <w:rStyle w:val="23"/>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"http://www.0513zsb.com/keyword_%E7%9B%B8%E5%9F%8E%E5%8C%BA.html"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320507</w:t>
            </w:r>
            <w:r>
              <w:rPr>
                <w:rStyle w:val="23"/>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t>6</w:t>
            </w:r>
          </w:p>
        </w:tc>
        <w:tc>
          <w:tcPr>
            <w:tcW w:w="3030" w:type="dxa"/>
            <w:tcBorders>
              <w:top w:val="single" w:color="auto" w:sz="4" w:space="0"/>
              <w:left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"http://www.0513zsb.com/keyword_%E5%A7%91%E8%8B%8F%E5%8C%BA.html"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姑苏区</w:t>
            </w:r>
            <w:r>
              <w:rPr>
                <w:rStyle w:val="23"/>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vertAlign w:val="baseli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"http://www.0513zsb.com/keyword_%E5%A7%91%E8%8B%8F%E5%8C%BA.html" </w:instrText>
            </w:r>
            <w:r>
              <w:rPr>
                <w:rFonts w:hint="eastAsia" w:ascii="宋体" w:hAnsi="宋体" w:eastAsia="宋体" w:cs="宋体"/>
                <w:color w:val="auto"/>
                <w:sz w:val="18"/>
                <w:szCs w:val="18"/>
                <w:u w:val="none"/>
              </w:rPr>
              <w:fldChar w:fldCharType="separate"/>
            </w:r>
            <w:r>
              <w:rPr>
                <w:rStyle w:val="23"/>
                <w:rFonts w:hint="eastAsia" w:ascii="宋体" w:hAnsi="宋体" w:eastAsia="宋体" w:cs="宋体"/>
                <w:color w:val="auto"/>
                <w:sz w:val="18"/>
                <w:szCs w:val="18"/>
                <w:u w:val="none"/>
              </w:rPr>
              <w:t>320508</w:t>
            </w:r>
            <w:r>
              <w:rPr>
                <w:rStyle w:val="23"/>
                <w:rFonts w:hint="eastAsia" w:ascii="宋体" w:hAnsi="宋体" w:eastAsia="宋体" w:cs="宋体"/>
                <w:color w:val="auto"/>
                <w:sz w:val="18"/>
                <w:szCs w:val="18"/>
                <w:u w:val="none"/>
              </w:rPr>
              <w:fldChar w:fldCharType="end"/>
            </w:r>
          </w:p>
        </w:tc>
      </w:tr>
    </w:tbl>
    <w:p>
      <w:pPr>
        <w:pStyle w:val="78"/>
        <w:keepNext w:val="0"/>
        <w:keepLines w:val="0"/>
        <w:pageBreakBefore w:val="0"/>
        <w:widowControl/>
        <w:numPr>
          <w:ilvl w:val="1"/>
          <w:numId w:val="0"/>
        </w:numPr>
        <w:kinsoku/>
        <w:wordWrap/>
        <w:overflowPunct/>
        <w:topLinePunct w:val="0"/>
        <w:autoSpaceDE/>
        <w:autoSpaceDN/>
        <w:bidi w:val="0"/>
        <w:adjustRightInd w:val="0"/>
        <w:snapToGrid w:val="0"/>
        <w:spacing w:before="156" w:after="156"/>
        <w:ind w:left="0" w:leftChars="0" w:firstLine="0" w:firstLineChars="0"/>
        <w:textAlignment w:val="baseline"/>
        <w:rPr>
          <w:rFonts w:hint="eastAsia" w:eastAsia="黑体"/>
          <w:lang w:eastAsia="zh-CN"/>
        </w:rPr>
      </w:pPr>
      <w:r>
        <w:rPr>
          <w:rFonts w:hint="eastAsia" w:ascii="黑体" w:hAnsi="Times New Roman" w:eastAsia="黑体" w:cs="Times New Roman"/>
          <w:kern w:val="21"/>
          <w:sz w:val="21"/>
          <w:lang w:val="en-US" w:eastAsia="zh-CN" w:bidi="ar-SA"/>
        </w:rPr>
        <w:t>表</w:t>
      </w:r>
      <w:r>
        <w:rPr>
          <w:rFonts w:hint="eastAsia" w:cs="Times New Roman"/>
          <w:kern w:val="21"/>
          <w:sz w:val="21"/>
          <w:lang w:val="en-US" w:eastAsia="zh-CN" w:bidi="ar-SA"/>
        </w:rPr>
        <w:t>C</w:t>
      </w:r>
      <w:r>
        <w:rPr>
          <w:rFonts w:hint="eastAsia" w:ascii="黑体" w:hAnsi="Times New Roman" w:eastAsia="黑体" w:cs="Times New Roman"/>
          <w:kern w:val="21"/>
          <w:sz w:val="21"/>
          <w:lang w:val="en-US" w:eastAsia="zh-CN" w:bidi="ar-SA"/>
        </w:rPr>
        <w:t>.</w:t>
      </w:r>
      <w:r>
        <w:rPr>
          <w:rFonts w:hint="eastAsia" w:cs="Times New Roman"/>
          <w:kern w:val="21"/>
          <w:sz w:val="21"/>
          <w:lang w:val="en-US" w:eastAsia="zh-CN" w:bidi="ar-SA"/>
        </w:rPr>
        <w:t>1</w:t>
      </w:r>
      <w:r>
        <w:t xml:space="preserve"> </w:t>
      </w:r>
      <w:r>
        <w:rPr>
          <w:rFonts w:hint="eastAsia"/>
          <w:lang w:val="en-US" w:eastAsia="zh-CN"/>
        </w:rPr>
        <w:t xml:space="preserve"> </w:t>
      </w:r>
      <w:r>
        <w:rPr>
          <w:rFonts w:hint="eastAsia"/>
        </w:rPr>
        <w:t>苏州市各市区行政区域代码</w:t>
      </w:r>
      <w:r>
        <w:rPr>
          <w:rFonts w:hint="eastAsia"/>
          <w:lang w:eastAsia="zh-CN"/>
        </w:rPr>
        <w:t>（</w:t>
      </w:r>
      <w:r>
        <w:rPr>
          <w:rFonts w:hint="eastAsia" w:ascii="宋体" w:hAnsi="宋体" w:eastAsia="宋体" w:cs="宋体"/>
          <w:lang w:val="en-US" w:eastAsia="zh-CN"/>
        </w:rPr>
        <w:t>续</w:t>
      </w:r>
      <w:r>
        <w:rPr>
          <w:rFonts w:hint="eastAsia"/>
          <w:lang w:eastAsia="zh-CN"/>
        </w:rPr>
        <w:t>）</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31"/>
        <w:gridCol w:w="3030"/>
        <w:gridCol w:w="321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bottom w:val="single" w:color="auto" w:sz="8" w:space="0"/>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18"/>
                <w:szCs w:val="18"/>
                <w:vertAlign w:val="baseline"/>
              </w:rPr>
            </w:pPr>
            <w:r>
              <w:rPr>
                <w:rFonts w:hint="eastAsia" w:ascii="宋体" w:hAnsi="宋体" w:eastAsia="宋体" w:cs="宋体"/>
                <w:sz w:val="18"/>
                <w:szCs w:val="18"/>
              </w:rPr>
              <w:t>序号</w:t>
            </w:r>
          </w:p>
        </w:tc>
        <w:tc>
          <w:tcPr>
            <w:tcW w:w="3030" w:type="dxa"/>
            <w:tcBorders>
              <w:bottom w:val="single" w:color="auto" w:sz="8" w:space="0"/>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18"/>
                <w:szCs w:val="18"/>
                <w:vertAlign w:val="baseline"/>
              </w:rPr>
            </w:pPr>
            <w:r>
              <w:rPr>
                <w:rFonts w:hint="eastAsia" w:ascii="宋体" w:hAnsi="宋体" w:eastAsia="宋体" w:cs="宋体"/>
                <w:sz w:val="18"/>
                <w:szCs w:val="18"/>
              </w:rPr>
              <w:t>名称</w:t>
            </w:r>
          </w:p>
        </w:tc>
        <w:tc>
          <w:tcPr>
            <w:tcW w:w="3210" w:type="dxa"/>
            <w:tcBorders>
              <w:bottom w:val="single" w:color="auto" w:sz="8" w:space="0"/>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18"/>
                <w:szCs w:val="18"/>
                <w:vertAlign w:val="baseline"/>
              </w:rPr>
            </w:pPr>
            <w:r>
              <w:rPr>
                <w:rFonts w:hint="eastAsia" w:ascii="宋体" w:hAnsi="宋体" w:eastAsia="宋体" w:cs="宋体"/>
                <w:sz w:val="18"/>
                <w:szCs w:val="18"/>
              </w:rPr>
              <w:t>行政区域代码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31" w:type="dxa"/>
            <w:tcBorders>
              <w:top w:val="single" w:color="auto" w:sz="8"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7</w:t>
            </w:r>
          </w:p>
        </w:tc>
        <w:tc>
          <w:tcPr>
            <w:tcW w:w="3030" w:type="dxa"/>
            <w:tcBorders>
              <w:top w:val="single" w:color="auto" w:sz="8"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"http://www.0513zsb.com/keyword_%E5%90%B4%E6%B1%9F%E5%8C%BA.html"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吴江区</w:t>
            </w:r>
            <w:r>
              <w:rPr>
                <w:rFonts w:hint="eastAsia" w:ascii="宋体" w:hAnsi="宋体" w:eastAsia="宋体" w:cs="宋体"/>
                <w:color w:val="auto"/>
                <w:sz w:val="18"/>
                <w:szCs w:val="18"/>
                <w:u w:val="none"/>
              </w:rPr>
              <w:fldChar w:fldCharType="end"/>
            </w:r>
          </w:p>
        </w:tc>
        <w:tc>
          <w:tcPr>
            <w:tcW w:w="3210" w:type="dxa"/>
            <w:tcBorders>
              <w:top w:val="single" w:color="auto" w:sz="8" w:space="0"/>
              <w:left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"http://www.0513zsb.com/keyword_%E5%90%B4%E6%B1%9F%E5%8C%BA.html"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320509</w:t>
            </w:r>
            <w:r>
              <w:rPr>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8</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"http://www.0513zsb.com/keyword_%E5%B8%B8%E7%86%9F%E5%B8%82.html"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常熟市</w:t>
            </w:r>
            <w:r>
              <w:rPr>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"http://www.0513zsb.com/keyword_%E5%B8%B8%E7%86%9F%E5%B8%82.html"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320581</w:t>
            </w:r>
            <w:r>
              <w:rPr>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9</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"http://www.0513zsb.com/keyword_%E5%BC%A0%E5%AE%B6%E6%B8%AF%E5%B8%82.html"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张家港市</w:t>
            </w:r>
            <w:r>
              <w:rPr>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"http://www.0513zsb.com/keyword_%E5%BC%A0%E5%AE%B6%E6%B8%AF%E5%B8%82.html"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320582</w:t>
            </w:r>
            <w:r>
              <w:rPr>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10</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"http://www.0513zsb.com/keyword_%E6%98%86%E5%B1%B1%E5%B8%82.html"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昆山市</w:t>
            </w:r>
            <w:r>
              <w:rPr>
                <w:rFonts w:hint="eastAsia" w:ascii="宋体" w:hAnsi="宋体" w:eastAsia="宋体" w:cs="宋体"/>
                <w:color w:val="auto"/>
                <w:sz w:val="18"/>
                <w:szCs w:val="18"/>
                <w:u w:val="none"/>
              </w:rPr>
              <w:fldChar w:fldCharType="end"/>
            </w:r>
          </w:p>
        </w:tc>
        <w:tc>
          <w:tcPr>
            <w:tcW w:w="3210" w:type="dxa"/>
            <w:tcBorders>
              <w:top w:val="single" w:color="auto" w:sz="4" w:space="0"/>
              <w:left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fldChar w:fldCharType="begin"/>
            </w:r>
            <w:r>
              <w:rPr>
                <w:rFonts w:hint="eastAsia" w:ascii="宋体" w:hAnsi="宋体" w:eastAsia="宋体" w:cs="宋体"/>
                <w:color w:val="auto"/>
                <w:sz w:val="18"/>
                <w:szCs w:val="18"/>
                <w:u w:val="none"/>
              </w:rPr>
              <w:instrText xml:space="preserve"> HYPERLINK "http://www.0513zsb.com/keyword_%E6%98%86%E5%B1%B1%E5%B8%82.html" </w:instrText>
            </w:r>
            <w:r>
              <w:rPr>
                <w:rFonts w:hint="eastAsia" w:ascii="宋体" w:hAnsi="宋体" w:eastAsia="宋体" w:cs="宋体"/>
                <w:color w:val="auto"/>
                <w:sz w:val="18"/>
                <w:szCs w:val="18"/>
                <w:u w:val="none"/>
              </w:rPr>
              <w:fldChar w:fldCharType="separate"/>
            </w:r>
            <w:r>
              <w:rPr>
                <w:rFonts w:hint="eastAsia" w:ascii="宋体" w:hAnsi="宋体" w:eastAsia="宋体" w:cs="宋体"/>
                <w:color w:val="auto"/>
                <w:sz w:val="18"/>
                <w:szCs w:val="18"/>
                <w:u w:val="none"/>
              </w:rPr>
              <w:t>320583</w:t>
            </w:r>
            <w:r>
              <w:rPr>
                <w:rFonts w:hint="eastAsia" w:ascii="宋体" w:hAnsi="宋体" w:eastAsia="宋体" w:cs="宋体"/>
                <w:color w:val="auto"/>
                <w:sz w:val="18"/>
                <w:szCs w:val="18"/>
                <w:u w:val="none"/>
              </w:rPr>
              <w:fldChar w:fldCharType="end"/>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531" w:type="dxa"/>
            <w:tcBorders>
              <w:top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11</w:t>
            </w:r>
          </w:p>
        </w:tc>
        <w:tc>
          <w:tcPr>
            <w:tcW w:w="3030" w:type="dxa"/>
            <w:tcBorders>
              <w:top w:val="single" w:color="auto" w:sz="4" w:space="0"/>
              <w:left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太仓市</w:t>
            </w:r>
          </w:p>
        </w:tc>
        <w:tc>
          <w:tcPr>
            <w:tcW w:w="3210" w:type="dxa"/>
            <w:tcBorders>
              <w:top w:val="single" w:color="auto" w:sz="4" w:space="0"/>
              <w:left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 w:val="18"/>
                <w:szCs w:val="18"/>
                <w:u w:val="none"/>
              </w:rPr>
            </w:pPr>
            <w:r>
              <w:rPr>
                <w:rFonts w:hint="eastAsia" w:ascii="宋体" w:hAnsi="宋体" w:eastAsia="宋体" w:cs="宋体"/>
                <w:color w:val="auto"/>
                <w:sz w:val="18"/>
                <w:szCs w:val="18"/>
                <w:u w:val="none"/>
              </w:rPr>
              <w:t>320585</w:t>
            </w:r>
          </w:p>
        </w:tc>
      </w:tr>
    </w:tbl>
    <w:p>
      <w:pPr>
        <w:pStyle w:val="65"/>
        <w:keepNext w:val="0"/>
        <w:keepLines w:val="0"/>
        <w:pageBreakBefore w:val="0"/>
        <w:widowControl/>
        <w:numPr>
          <w:ilvl w:val="2"/>
          <w:numId w:val="0"/>
        </w:numPr>
        <w:kinsoku/>
        <w:wordWrap/>
        <w:overflowPunct/>
        <w:topLinePunct w:val="0"/>
        <w:autoSpaceDE/>
        <w:autoSpaceDN/>
        <w:bidi w:val="0"/>
        <w:adjustRightInd/>
        <w:snapToGrid/>
        <w:spacing w:before="156" w:after="156"/>
        <w:ind w:leftChars="0"/>
        <w:textAlignment w:val="auto"/>
        <w:outlineLvl w:val="1"/>
      </w:pPr>
      <w:bookmarkStart w:id="133" w:name="_Toc9905"/>
      <w:bookmarkStart w:id="134" w:name="_Toc11592"/>
      <w:bookmarkStart w:id="135" w:name="_Toc7064"/>
      <w:r>
        <w:rPr>
          <w:rFonts w:hint="eastAsia"/>
          <w:lang w:val="en-US" w:eastAsia="zh-CN"/>
        </w:rPr>
        <w:t>C.2  企业产品</w:t>
      </w:r>
      <w:r>
        <w:rPr>
          <w:rFonts w:hint="eastAsia"/>
        </w:rPr>
        <w:t>标准编写</w:t>
      </w:r>
      <w:bookmarkEnd w:id="133"/>
      <w:bookmarkEnd w:id="134"/>
      <w:bookmarkEnd w:id="135"/>
    </w:p>
    <w:p>
      <w:pPr>
        <w:pStyle w:val="67"/>
        <w:keepNext w:val="0"/>
        <w:keepLines w:val="0"/>
        <w:pageBreakBefore w:val="0"/>
        <w:widowControl/>
        <w:kinsoku/>
        <w:wordWrap/>
        <w:overflowPunct/>
        <w:topLinePunct w:val="0"/>
        <w:autoSpaceDE/>
        <w:autoSpaceDN/>
        <w:bidi w:val="0"/>
        <w:adjustRightInd/>
        <w:snapToGrid/>
        <w:spacing w:before="157" w:beforeLines="50" w:after="157" w:afterLines="50"/>
        <w:ind w:firstLine="0" w:firstLineChars="0"/>
        <w:textAlignment w:val="auto"/>
        <w:outlineLvl w:val="2"/>
        <w:rPr>
          <w:rFonts w:hint="eastAsia" w:ascii="黑体" w:hAnsi="黑体" w:eastAsia="黑体" w:cs="黑体"/>
          <w:lang w:val="en-US" w:eastAsia="zh-CN"/>
        </w:rPr>
      </w:pPr>
      <w:bookmarkStart w:id="136" w:name="_Toc14122"/>
      <w:r>
        <w:rPr>
          <w:rFonts w:hint="eastAsia" w:ascii="黑体" w:hAnsi="黑体" w:eastAsia="黑体" w:cs="黑体"/>
          <w:lang w:val="en-US" w:eastAsia="zh-CN"/>
        </w:rPr>
        <w:t>C.2.1  总则</w:t>
      </w:r>
      <w:bookmarkEnd w:id="136"/>
    </w:p>
    <w:p>
      <w:pPr>
        <w:pStyle w:val="68"/>
        <w:numPr>
          <w:ilvl w:val="3"/>
          <w:numId w:val="0"/>
        </w:numPr>
      </w:pPr>
      <w:r>
        <w:rPr>
          <w:rFonts w:hint="eastAsia" w:ascii="黑体" w:hAnsi="黑体" w:eastAsia="黑体" w:cs="黑体"/>
          <w:lang w:val="en-US" w:eastAsia="zh-CN"/>
        </w:rPr>
        <w:t xml:space="preserve">C.2.1.1 </w:t>
      </w:r>
      <w:r>
        <w:rPr>
          <w:rFonts w:hint="eastAsia"/>
          <w:lang w:val="en-US" w:eastAsia="zh-CN"/>
        </w:rPr>
        <w:t xml:space="preserve"> </w:t>
      </w:r>
      <w:r>
        <w:rPr>
          <w:rFonts w:hint="eastAsia"/>
        </w:rPr>
        <w:t>有相关推荐性国家标准、行业标准和地方标准的，</w:t>
      </w:r>
      <w:r>
        <w:rPr>
          <w:rFonts w:hint="eastAsia"/>
          <w:lang w:val="en-US" w:eastAsia="zh-CN"/>
        </w:rPr>
        <w:t>企业</w:t>
      </w:r>
      <w:r>
        <w:rPr>
          <w:rFonts w:hint="eastAsia"/>
        </w:rPr>
        <w:t>宜制定严于推荐性国家标准、行业标准和地方标准的企业产品标准。企业产品标准公开的功能指标和性能指标项目少于或者低于推荐性标准的，应在标准前言、产品标识或者说明书中说明，并在自我声明公开时进行明示。</w:t>
      </w:r>
    </w:p>
    <w:p>
      <w:pPr>
        <w:pStyle w:val="68"/>
        <w:numPr>
          <w:ilvl w:val="3"/>
          <w:numId w:val="0"/>
        </w:numPr>
      </w:pPr>
      <w:r>
        <w:rPr>
          <w:rFonts w:hint="eastAsia" w:ascii="黑体" w:hAnsi="黑体" w:eastAsia="黑体" w:cs="黑体"/>
          <w:lang w:val="en-US" w:eastAsia="zh-CN"/>
        </w:rPr>
        <w:t>C.2.1.2</w:t>
      </w:r>
      <w:r>
        <w:rPr>
          <w:rFonts w:hint="eastAsia"/>
          <w:lang w:val="en-US" w:eastAsia="zh-CN"/>
        </w:rPr>
        <w:t xml:space="preserve">  </w:t>
      </w:r>
      <w:r>
        <w:rPr>
          <w:rFonts w:hint="eastAsia"/>
        </w:rPr>
        <w:t>企业产品标准编写</w:t>
      </w:r>
      <w:r>
        <w:rPr>
          <w:rFonts w:hint="eastAsia"/>
          <w:lang w:eastAsia="zh-CN"/>
        </w:rPr>
        <w:t>宜</w:t>
      </w:r>
      <w:r>
        <w:rPr>
          <w:rFonts w:hint="eastAsia"/>
        </w:rPr>
        <w:t>符合以下规定：</w:t>
      </w:r>
    </w:p>
    <w:p>
      <w:pPr>
        <w:pStyle w:val="83"/>
        <w:numPr>
          <w:ilvl w:val="0"/>
          <w:numId w:val="14"/>
        </w:numPr>
      </w:pPr>
      <w:r>
        <w:rPr>
          <w:rFonts w:hint="eastAsia"/>
          <w:lang w:val="en-US" w:eastAsia="zh-CN"/>
        </w:rPr>
        <w:t>企业产品标准制定程序规范，一般包括立项、起草、征求意见、审查、批准发布、复审、废止；</w:t>
      </w:r>
    </w:p>
    <w:p>
      <w:pPr>
        <w:pStyle w:val="83"/>
        <w:numPr>
          <w:ilvl w:val="0"/>
          <w:numId w:val="14"/>
        </w:numPr>
      </w:pPr>
      <w:r>
        <w:rPr>
          <w:rFonts w:hint="eastAsia"/>
        </w:rPr>
        <w:t>编写原则和规范性引用文件的使用符合G</w:t>
      </w:r>
      <w:r>
        <w:rPr>
          <w:rFonts w:hint="eastAsia"/>
          <w:lang w:val="en-US" w:eastAsia="zh-CN"/>
        </w:rPr>
        <w:t>B</w:t>
      </w:r>
      <w:r>
        <w:rPr>
          <w:rFonts w:hint="eastAsia"/>
        </w:rPr>
        <w:t>/T 1.1的要求</w:t>
      </w:r>
      <w:r>
        <w:rPr>
          <w:rFonts w:hint="eastAsia"/>
          <w:lang w:eastAsia="zh-CN"/>
        </w:rPr>
        <w:t>，</w:t>
      </w:r>
      <w:r>
        <w:rPr>
          <w:rFonts w:hint="eastAsia"/>
        </w:rPr>
        <w:t>企业产品标准要素</w:t>
      </w:r>
      <w:r>
        <w:rPr>
          <w:rFonts w:hint="eastAsia"/>
          <w:lang w:eastAsia="zh-CN"/>
        </w:rPr>
        <w:t>宜</w:t>
      </w:r>
      <w:r>
        <w:rPr>
          <w:rFonts w:hint="eastAsia"/>
        </w:rPr>
        <w:t>包括封面、前言、标准名称、范围、规范性引用文件、术语和定义、技术要求、试验方法等；</w:t>
      </w:r>
    </w:p>
    <w:p>
      <w:pPr>
        <w:pStyle w:val="83"/>
        <w:numPr>
          <w:ilvl w:val="0"/>
          <w:numId w:val="14"/>
        </w:numPr>
      </w:pPr>
      <w:r>
        <w:rPr>
          <w:rFonts w:hint="eastAsia"/>
        </w:rPr>
        <w:t>产品标准内容的编写应反映产品特性，至少包括满足产品使用需求的功能性指标、技术指标、必要的理化指标及相关检验方法，可包括环境适应性、人类工效学等方面的要求，还可包括检验规则、标志、包装、储运等要求。具体按G</w:t>
      </w:r>
      <w:r>
        <w:rPr>
          <w:rFonts w:hint="eastAsia"/>
          <w:lang w:val="en-US" w:eastAsia="zh-CN"/>
        </w:rPr>
        <w:t>B</w:t>
      </w:r>
      <w:r>
        <w:rPr>
          <w:rFonts w:hint="eastAsia"/>
        </w:rPr>
        <w:t>/T 20001.10的规定编写。</w:t>
      </w:r>
    </w:p>
    <w:p>
      <w:pPr>
        <w:pStyle w:val="67"/>
        <w:keepNext w:val="0"/>
        <w:keepLines w:val="0"/>
        <w:pageBreakBefore w:val="0"/>
        <w:widowControl/>
        <w:kinsoku/>
        <w:wordWrap/>
        <w:overflowPunct/>
        <w:topLinePunct w:val="0"/>
        <w:autoSpaceDE/>
        <w:autoSpaceDN/>
        <w:bidi w:val="0"/>
        <w:adjustRightInd/>
        <w:snapToGrid/>
        <w:spacing w:before="157" w:beforeLines="50" w:after="157" w:afterLines="50"/>
        <w:ind w:firstLine="0" w:firstLineChars="0"/>
        <w:textAlignment w:val="auto"/>
        <w:outlineLvl w:val="2"/>
        <w:rPr>
          <w:rFonts w:hint="default" w:ascii="黑体" w:hAnsi="黑体" w:eastAsia="黑体" w:cs="黑体"/>
          <w:lang w:val="en-US" w:eastAsia="zh-CN"/>
        </w:rPr>
      </w:pPr>
      <w:bookmarkStart w:id="137" w:name="_Toc29092"/>
      <w:r>
        <w:rPr>
          <w:rFonts w:hint="eastAsia" w:ascii="黑体" w:hAnsi="黑体" w:eastAsia="黑体" w:cs="黑体"/>
          <w:lang w:val="en-US" w:eastAsia="zh-CN"/>
        </w:rPr>
        <w:t>C.2.2  技术要求</w:t>
      </w:r>
      <w:bookmarkEnd w:id="137"/>
    </w:p>
    <w:p>
      <w:pPr>
        <w:pStyle w:val="67"/>
        <w:keepNext w:val="0"/>
        <w:keepLines w:val="0"/>
        <w:pageBreakBefore w:val="0"/>
        <w:widowControl/>
        <w:kinsoku/>
        <w:wordWrap/>
        <w:overflowPunct/>
        <w:topLinePunct w:val="0"/>
        <w:autoSpaceDE w:val="0"/>
        <w:autoSpaceDN w:val="0"/>
        <w:bidi w:val="0"/>
        <w:adjustRightInd/>
        <w:snapToGrid/>
        <w:ind w:left="0" w:leftChars="0" w:firstLine="0" w:firstLineChars="0"/>
        <w:textAlignment w:val="auto"/>
      </w:pPr>
      <w:r>
        <w:rPr>
          <w:rFonts w:hint="eastAsia" w:ascii="黑体" w:hAnsi="黑体" w:eastAsia="黑体" w:cs="黑体"/>
          <w:lang w:val="en-US" w:eastAsia="zh-CN"/>
        </w:rPr>
        <w:t xml:space="preserve">C.2.2.1  </w:t>
      </w:r>
      <w:r>
        <w:t>为满足产品使用功能所规定的条款，产品不仅要完全满足使用性能而且还需要证</w:t>
      </w:r>
      <w:r>
        <w:rPr>
          <w:highlight w:val="none"/>
        </w:rPr>
        <w:t>实。</w:t>
      </w:r>
      <w:r>
        <w:rPr>
          <w:rFonts w:hint="eastAsia"/>
          <w:highlight w:val="none"/>
          <w:lang w:val="en-US" w:eastAsia="zh-CN"/>
        </w:rPr>
        <w:t>技术要求</w:t>
      </w:r>
      <w:r>
        <w:rPr>
          <w:highlight w:val="none"/>
        </w:rPr>
        <w:t>是产品标准的核心，是决定产品好坏的重要因素，因此要特别认真写好。</w:t>
      </w:r>
    </w:p>
    <w:p>
      <w:pPr>
        <w:pStyle w:val="67"/>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eastAsia"/>
          <w:lang w:val="en-US" w:eastAsia="zh-CN"/>
        </w:rPr>
      </w:pPr>
      <w:r>
        <w:rPr>
          <w:rFonts w:hint="eastAsia"/>
          <w:lang w:val="en-US" w:eastAsia="zh-CN"/>
        </w:rPr>
        <w:t>企业产品标准中对技术要求内容的选择应遵循以下原则：</w:t>
      </w:r>
    </w:p>
    <w:p>
      <w:pPr>
        <w:pStyle w:val="84"/>
      </w:pPr>
      <w:r>
        <w:rPr>
          <w:rFonts w:hint="eastAsia"/>
        </w:rPr>
        <w:t>目的性原则。技术性内容的确定首先取决于标准的目的，最重要的目的就是保证产品的适用性，在编制标准时优先考虑涉及健康和安全的要求；</w:t>
      </w:r>
    </w:p>
    <w:p>
      <w:pPr>
        <w:pStyle w:val="84"/>
      </w:pPr>
      <w:r>
        <w:rPr>
          <w:rFonts w:hint="eastAsia"/>
        </w:rPr>
        <w:t>性能原则。只要有可能，要求宜由性能特性来表达，充分考虑产品的使用性能、环境适应性、以及健康、安全、环境或资源合理利用等因素，性能要求中不应疏漏重要特性；</w:t>
      </w:r>
    </w:p>
    <w:p>
      <w:pPr>
        <w:pStyle w:val="84"/>
      </w:pPr>
      <w:r>
        <w:rPr>
          <w:rFonts w:hint="eastAsia"/>
        </w:rPr>
        <w:t>可证实性原则。不论标准的目的如何，标准中只写那些能被证实的要求，宜用定量的方式表达。列入要求的项目需给出检验方法，且有现实可行的、经济的检验手段。</w:t>
      </w:r>
    </w:p>
    <w:p>
      <w:pPr>
        <w:pStyle w:val="84"/>
      </w:pPr>
      <w:r>
        <w:rPr>
          <w:rFonts w:hint="eastAsia"/>
        </w:rPr>
        <w:t>先进性原则。标准要求的各项指标宜在充分对标达标的基础上结合行业、企业的技术发展趋势确定，具有一定的先进性。</w:t>
      </w:r>
    </w:p>
    <w:p>
      <w:pPr>
        <w:pStyle w:val="67"/>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eastAsia"/>
          <w:highlight w:val="none"/>
        </w:rPr>
      </w:pPr>
      <w:r>
        <w:rPr>
          <w:rFonts w:hint="eastAsia"/>
          <w:lang w:val="en-US" w:eastAsia="zh-CN"/>
        </w:rPr>
        <w:t>技术要求</w:t>
      </w:r>
      <w:r>
        <w:rPr>
          <w:highlight w:val="none"/>
        </w:rPr>
        <w:t>编写时应关注</w:t>
      </w:r>
      <w:r>
        <w:rPr>
          <w:rFonts w:hint="eastAsia"/>
          <w:highlight w:val="none"/>
        </w:rPr>
        <w:t>：</w:t>
      </w:r>
    </w:p>
    <w:p>
      <w:pPr>
        <w:pStyle w:val="83"/>
        <w:numPr>
          <w:ilvl w:val="0"/>
          <w:numId w:val="15"/>
        </w:numPr>
      </w:pPr>
      <w:r>
        <w:t>产品标准应执行有关国家法律、法规及强制性标准的规定，如与国家法律、法规及强制性标准规定不符的，按国家法律</w:t>
      </w:r>
      <w:r>
        <w:rPr>
          <w:rFonts w:hint="eastAsia"/>
          <w:lang w:eastAsia="zh-CN"/>
        </w:rPr>
        <w:t>、</w:t>
      </w:r>
      <w:r>
        <w:t>法规及强制性标准规定执行；</w:t>
      </w:r>
    </w:p>
    <w:p>
      <w:pPr>
        <w:pStyle w:val="83"/>
        <w:numPr>
          <w:ilvl w:val="0"/>
          <w:numId w:val="11"/>
        </w:numPr>
      </w:pPr>
      <w:r>
        <w:t>产品生产应符合产品标准的规定，并</w:t>
      </w:r>
      <w:r>
        <w:rPr>
          <w:rFonts w:hint="eastAsia"/>
        </w:rPr>
        <w:t>按照</w:t>
      </w:r>
      <w:r>
        <w:t>符合规定程序批准的产品图样和技术文件生产；</w:t>
      </w:r>
      <w:r>
        <w:rPr>
          <w:rFonts w:hint="eastAsia"/>
        </w:rPr>
        <w:t xml:space="preserve"> </w:t>
      </w:r>
    </w:p>
    <w:p>
      <w:pPr>
        <w:pStyle w:val="83"/>
        <w:numPr>
          <w:ilvl w:val="0"/>
          <w:numId w:val="11"/>
        </w:numPr>
      </w:pPr>
      <w:r>
        <w:t>在技术要求中要做到：</w:t>
      </w:r>
    </w:p>
    <w:p>
      <w:pPr>
        <w:pStyle w:val="85"/>
        <w:numPr>
          <w:ilvl w:val="1"/>
          <w:numId w:val="11"/>
        </w:numPr>
      </w:pPr>
      <w:r>
        <w:t>所有要求都应通过试验证实；</w:t>
      </w:r>
    </w:p>
    <w:p>
      <w:pPr>
        <w:pStyle w:val="85"/>
        <w:numPr>
          <w:ilvl w:val="1"/>
          <w:numId w:val="11"/>
        </w:numPr>
      </w:pPr>
      <w:r>
        <w:t>提出的要求企业在经济合理的条件下能够完全做到；</w:t>
      </w:r>
    </w:p>
    <w:p>
      <w:pPr>
        <w:pStyle w:val="85"/>
        <w:numPr>
          <w:ilvl w:val="1"/>
          <w:numId w:val="11"/>
        </w:numPr>
      </w:pPr>
      <w:r>
        <w:t>不应列入不能证实的或短时间内不能证实的要求；</w:t>
      </w:r>
    </w:p>
    <w:p>
      <w:pPr>
        <w:pStyle w:val="85"/>
        <w:numPr>
          <w:ilvl w:val="1"/>
          <w:numId w:val="11"/>
        </w:numPr>
      </w:pPr>
      <w:r>
        <w:t>标准中涉及的量和单位应符合国家相关标准规定。</w:t>
      </w:r>
    </w:p>
    <w:p>
      <w:pPr>
        <w:pStyle w:val="67"/>
        <w:keepNext w:val="0"/>
        <w:keepLines w:val="0"/>
        <w:pageBreakBefore w:val="0"/>
        <w:widowControl/>
        <w:kinsoku/>
        <w:wordWrap/>
        <w:overflowPunct/>
        <w:topLinePunct w:val="0"/>
        <w:autoSpaceDE/>
        <w:autoSpaceDN/>
        <w:bidi w:val="0"/>
        <w:adjustRightInd/>
        <w:snapToGrid/>
        <w:spacing w:before="157" w:beforeLines="50" w:after="157" w:afterLines="50"/>
        <w:ind w:firstLine="0" w:firstLineChars="0"/>
        <w:textAlignment w:val="auto"/>
        <w:outlineLvl w:val="3"/>
        <w:rPr>
          <w:rFonts w:hint="default"/>
          <w:highlight w:val="none"/>
          <w:lang w:val="en-US" w:eastAsia="zh-CN"/>
        </w:rPr>
      </w:pPr>
      <w:r>
        <w:rPr>
          <w:rFonts w:hint="eastAsia" w:ascii="黑体" w:hAnsi="黑体" w:eastAsia="黑体" w:cs="黑体"/>
          <w:lang w:val="en-US" w:eastAsia="zh-CN"/>
        </w:rPr>
        <w:t>C.2.2.2  功能要求</w:t>
      </w:r>
    </w:p>
    <w:p>
      <w:pPr>
        <w:pStyle w:val="86"/>
        <w:keepNext w:val="0"/>
        <w:keepLines w:val="0"/>
        <w:pageBreakBefore w:val="0"/>
        <w:widowControl w:val="0"/>
        <w:numPr>
          <w:ilvl w:val="3"/>
          <w:numId w:val="0"/>
        </w:numPr>
        <w:kinsoku/>
        <w:wordWrap/>
        <w:overflowPunct/>
        <w:topLinePunct w:val="0"/>
        <w:autoSpaceDE/>
        <w:autoSpaceDN/>
        <w:bidi w:val="0"/>
        <w:adjustRightInd/>
        <w:snapToGrid/>
        <w:spacing w:line="240" w:lineRule="auto"/>
        <w:textAlignment w:val="auto"/>
      </w:pPr>
      <w:r>
        <w:rPr>
          <w:rFonts w:hint="eastAsia" w:ascii="黑体" w:hAnsi="黑体" w:eastAsia="黑体" w:cs="黑体"/>
          <w:lang w:val="en-US" w:eastAsia="zh-CN"/>
        </w:rPr>
        <w:t>C.2.2.2.1</w:t>
      </w:r>
      <w:r>
        <w:rPr>
          <w:rFonts w:hint="eastAsia" w:ascii="黑体" w:hAnsi="Times New Roman" w:eastAsia="黑体" w:cs="Times New Roman"/>
          <w:b w:val="0"/>
          <w:i w:val="0"/>
          <w:kern w:val="21"/>
          <w:sz w:val="21"/>
          <w:lang w:val="en-US" w:eastAsia="zh-CN" w:bidi="ar-SA"/>
        </w:rPr>
        <w:t>　</w:t>
      </w:r>
      <w:r>
        <w:t>宜规定能够被感知的功能要求，产品的功能要求应能被证实。</w:t>
      </w:r>
    </w:p>
    <w:p>
      <w:pPr>
        <w:pStyle w:val="86"/>
        <w:keepNext w:val="0"/>
        <w:keepLines w:val="0"/>
        <w:pageBreakBefore w:val="0"/>
        <w:widowControl w:val="0"/>
        <w:numPr>
          <w:ilvl w:val="3"/>
          <w:numId w:val="0"/>
        </w:numPr>
        <w:kinsoku/>
        <w:wordWrap/>
        <w:overflowPunct/>
        <w:topLinePunct w:val="0"/>
        <w:autoSpaceDE/>
        <w:autoSpaceDN/>
        <w:bidi w:val="0"/>
        <w:adjustRightInd/>
        <w:snapToGrid/>
        <w:spacing w:line="240" w:lineRule="auto"/>
        <w:textAlignment w:val="auto"/>
      </w:pPr>
      <w:r>
        <w:rPr>
          <w:rFonts w:hint="eastAsia" w:ascii="黑体" w:hAnsi="黑体" w:eastAsia="黑体" w:cs="黑体"/>
          <w:lang w:val="en-US" w:eastAsia="zh-CN"/>
        </w:rPr>
        <w:t>C.2.2</w:t>
      </w:r>
      <w:r>
        <w:rPr>
          <w:rFonts w:hint="eastAsia" w:ascii="黑体" w:hAnsi="Times New Roman" w:eastAsia="黑体" w:cs="Times New Roman"/>
          <w:b w:val="0"/>
          <w:i w:val="0"/>
          <w:kern w:val="21"/>
          <w:sz w:val="21"/>
          <w:lang w:val="en-US" w:eastAsia="zh-CN" w:bidi="ar-SA"/>
        </w:rPr>
        <w:t>.</w:t>
      </w:r>
      <w:r>
        <w:rPr>
          <w:rFonts w:hint="eastAsia" w:ascii="黑体" w:eastAsia="黑体" w:cs="Times New Roman"/>
          <w:b w:val="0"/>
          <w:i w:val="0"/>
          <w:kern w:val="21"/>
          <w:sz w:val="21"/>
          <w:lang w:val="en-US" w:eastAsia="zh-CN" w:bidi="ar-SA"/>
        </w:rPr>
        <w:t>2.2</w:t>
      </w:r>
      <w:r>
        <w:rPr>
          <w:rFonts w:hint="eastAsia" w:ascii="黑体" w:hAnsi="Times New Roman" w:eastAsia="黑体" w:cs="Times New Roman"/>
          <w:b w:val="0"/>
          <w:i w:val="0"/>
          <w:kern w:val="21"/>
          <w:sz w:val="21"/>
          <w:lang w:val="en-US" w:eastAsia="zh-CN" w:bidi="ar-SA"/>
        </w:rPr>
        <w:t>　</w:t>
      </w:r>
      <w:r>
        <w:t>产品标准中的功能要求可不规定试验方法。</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ascii="黑体" w:hAnsi="黑体" w:eastAsia="黑体"/>
                <w:sz w:val="21"/>
                <w:szCs w:val="20"/>
              </w:rPr>
              <w:t>5.3  基本功能要求</w:t>
            </w:r>
          </w:p>
          <w:p>
            <w:pPr>
              <w:pStyle w:val="67"/>
              <w:widowControl w:val="0"/>
              <w:ind w:firstLine="0" w:firstLineChars="0"/>
              <w:rPr>
                <w:sz w:val="21"/>
                <w:szCs w:val="20"/>
              </w:rPr>
            </w:pPr>
            <w:r>
              <w:rPr>
                <w:rFonts w:ascii="黑体" w:hAnsi="黑体" w:eastAsia="黑体"/>
                <w:sz w:val="21"/>
                <w:szCs w:val="20"/>
              </w:rPr>
              <w:t>5.3.1</w:t>
            </w:r>
            <w:r>
              <w:rPr>
                <w:sz w:val="21"/>
                <w:szCs w:val="20"/>
              </w:rPr>
              <w:t xml:space="preserve"> 电池管理系统应能监测或者通过其他方式获取蓄电池相关的数据，应包括电池系统总电压、电池单体电压或电芯组电压、电池模块电压（镇氢电池）、电池系统电流、蓄电池包内部温度等参数。</w:t>
            </w:r>
          </w:p>
          <w:p>
            <w:pPr>
              <w:pStyle w:val="67"/>
              <w:widowControl w:val="0"/>
              <w:ind w:firstLine="0" w:firstLineChars="0"/>
            </w:pPr>
            <w:r>
              <w:rPr>
                <w:rFonts w:ascii="黑体" w:hAnsi="黑体" w:eastAsia="黑体"/>
                <w:sz w:val="21"/>
                <w:szCs w:val="20"/>
              </w:rPr>
              <w:t>5.3.2</w:t>
            </w:r>
            <w:r>
              <w:rPr>
                <w:sz w:val="21"/>
                <w:szCs w:val="20"/>
              </w:rPr>
              <w:t xml:space="preserve"> 电池管理系统应具有故障诊断、故障信息记录以及故障处理的功能，如故障码上报、实时警示和故障保护等。</w:t>
            </w:r>
          </w:p>
        </w:tc>
      </w:tr>
    </w:tbl>
    <w:p>
      <w:pPr>
        <w:pStyle w:val="90"/>
        <w:keepNext w:val="0"/>
        <w:keepLines w:val="0"/>
        <w:pageBreakBefore w:val="0"/>
        <w:widowControl/>
        <w:numPr>
          <w:ilvl w:val="2"/>
          <w:numId w:val="0"/>
        </w:numPr>
        <w:kinsoku/>
        <w:topLinePunct w:val="0"/>
        <w:autoSpaceDE/>
        <w:autoSpaceDN/>
        <w:bidi w:val="0"/>
        <w:adjustRightInd/>
        <w:snapToGrid/>
        <w:spacing w:before="156" w:after="156"/>
        <w:outlineLvl w:val="3"/>
      </w:pPr>
      <w:bookmarkStart w:id="138" w:name="_Toc1186"/>
      <w:bookmarkStart w:id="139" w:name="_Toc22503"/>
      <w:r>
        <w:rPr>
          <w:rFonts w:hint="eastAsia" w:hAnsi="黑体" w:cs="黑体"/>
          <w:lang w:val="en-US" w:eastAsia="zh-CN"/>
        </w:rPr>
        <w:t>C</w:t>
      </w:r>
      <w:r>
        <w:rPr>
          <w:rFonts w:hint="eastAsia" w:ascii="黑体" w:hAnsi="黑体" w:eastAsia="黑体" w:cs="黑体"/>
          <w:lang w:val="en-US" w:eastAsia="zh-CN"/>
        </w:rPr>
        <w:t>.</w:t>
      </w:r>
      <w:r>
        <w:rPr>
          <w:rFonts w:hint="eastAsia" w:hAnsi="黑体" w:cs="黑体"/>
          <w:lang w:val="en-US" w:eastAsia="zh-CN"/>
        </w:rPr>
        <w:t>2</w:t>
      </w:r>
      <w:r>
        <w:rPr>
          <w:rFonts w:hint="eastAsia" w:ascii="黑体" w:hAnsi="黑体" w:eastAsia="黑体" w:cs="黑体"/>
          <w:lang w:val="en-US" w:eastAsia="zh-CN"/>
        </w:rPr>
        <w:t>.</w:t>
      </w:r>
      <w:r>
        <w:rPr>
          <w:rFonts w:hint="eastAsia" w:hAnsi="黑体" w:cs="黑体"/>
          <w:lang w:val="en-US" w:eastAsia="zh-CN"/>
        </w:rPr>
        <w:t>2.3</w:t>
      </w:r>
      <w:r>
        <w:rPr>
          <w:rFonts w:hint="eastAsia" w:ascii="黑体" w:hAnsi="Times New Roman" w:eastAsia="黑体" w:cs="Times New Roman"/>
          <w:b w:val="0"/>
          <w:i w:val="0"/>
          <w:kern w:val="21"/>
          <w:sz w:val="21"/>
          <w:lang w:val="en-US" w:eastAsia="zh-CN" w:bidi="ar-SA"/>
        </w:rPr>
        <w:t>　</w:t>
      </w:r>
      <w:r>
        <w:rPr>
          <w:rFonts w:hint="eastAsia"/>
        </w:rPr>
        <w:t>性能要求</w:t>
      </w:r>
      <w:bookmarkEnd w:id="138"/>
      <w:bookmarkEnd w:id="139"/>
    </w:p>
    <w:p>
      <w:pPr>
        <w:pStyle w:val="87"/>
        <w:keepNext w:val="0"/>
        <w:keepLines w:val="0"/>
        <w:pageBreakBefore w:val="0"/>
        <w:widowControl w:val="0"/>
        <w:numPr>
          <w:ilvl w:val="3"/>
          <w:numId w:val="0"/>
        </w:numPr>
        <w:kinsoku/>
        <w:wordWrap/>
        <w:overflowPunct/>
        <w:topLinePunct w:val="0"/>
        <w:autoSpaceDE/>
        <w:autoSpaceDN/>
        <w:bidi w:val="0"/>
        <w:adjustRightInd/>
        <w:snapToGrid/>
        <w:spacing w:before="156" w:after="156"/>
        <w:textAlignment w:val="auto"/>
        <w:outlineLvl w:val="4"/>
      </w:pPr>
      <w:r>
        <w:rPr>
          <w:rFonts w:hint="eastAsia" w:hAnsi="黑体" w:cs="黑体"/>
          <w:lang w:val="en-US" w:eastAsia="zh-CN"/>
        </w:rPr>
        <w:t>C</w:t>
      </w:r>
      <w:r>
        <w:rPr>
          <w:rFonts w:hint="eastAsia" w:ascii="黑体" w:hAnsi="黑体" w:eastAsia="黑体" w:cs="黑体"/>
          <w:lang w:val="en-US" w:eastAsia="zh-CN"/>
        </w:rPr>
        <w:t>.</w:t>
      </w:r>
      <w:r>
        <w:rPr>
          <w:rFonts w:hint="eastAsia" w:hAnsi="黑体" w:cs="黑体"/>
          <w:lang w:val="en-US" w:eastAsia="zh-CN"/>
        </w:rPr>
        <w:t>2.2.3.1</w:t>
      </w:r>
      <w:r>
        <w:rPr>
          <w:rFonts w:hint="eastAsia" w:ascii="黑体" w:hAnsi="Times New Roman" w:eastAsia="黑体" w:cs="Times New Roman"/>
          <w:b w:val="0"/>
          <w:i w:val="0"/>
          <w:kern w:val="21"/>
          <w:sz w:val="21"/>
          <w:lang w:val="en-US" w:eastAsia="zh-CN" w:bidi="ar-SA"/>
        </w:rPr>
        <w:t>　</w:t>
      </w:r>
      <w:r>
        <w:rPr>
          <w:rFonts w:hint="eastAsia"/>
        </w:rPr>
        <w:t>结构</w:t>
      </w:r>
    </w:p>
    <w:p>
      <w:pPr>
        <w:pStyle w:val="67"/>
        <w:ind w:firstLine="420"/>
      </w:pPr>
      <w:r>
        <w:rPr>
          <w:rFonts w:hint="eastAsia"/>
        </w:rPr>
        <w:t>规定产品结构尺寸时，宜给出结构尺寸图，并在图上注明相应尺寸，或者注明相应尺寸代号等。</w:t>
      </w:r>
    </w:p>
    <w:p>
      <w:pPr>
        <w:pStyle w:val="87"/>
        <w:keepNext w:val="0"/>
        <w:keepLines w:val="0"/>
        <w:pageBreakBefore w:val="0"/>
        <w:widowControl w:val="0"/>
        <w:numPr>
          <w:ilvl w:val="3"/>
          <w:numId w:val="0"/>
        </w:numPr>
        <w:kinsoku/>
        <w:wordWrap/>
        <w:overflowPunct/>
        <w:topLinePunct w:val="0"/>
        <w:autoSpaceDE/>
        <w:autoSpaceDN/>
        <w:bidi w:val="0"/>
        <w:adjustRightInd/>
        <w:snapToGrid/>
        <w:spacing w:before="156" w:after="156"/>
        <w:textAlignment w:val="auto"/>
        <w:outlineLvl w:val="4"/>
        <w:rPr>
          <w:rFonts w:hint="eastAsia" w:hAnsi="黑体" w:cs="黑体"/>
          <w:lang w:val="en-US" w:eastAsia="zh-CN"/>
        </w:rPr>
      </w:pPr>
      <w:r>
        <w:rPr>
          <w:rFonts w:hint="eastAsia" w:hAnsi="黑体" w:cs="黑体"/>
          <w:lang w:val="en-US" w:eastAsia="zh-CN"/>
        </w:rPr>
        <w:t>C.2.2.3.2　环境适应性</w:t>
      </w:r>
      <w:bookmarkStart w:id="171" w:name="_GoBack"/>
      <w:bookmarkEnd w:id="171"/>
    </w:p>
    <w:p>
      <w:pPr>
        <w:pStyle w:val="67"/>
        <w:ind w:firstLine="420"/>
      </w:pPr>
      <w:r>
        <w:rPr>
          <w:rFonts w:hint="eastAsia"/>
        </w:rPr>
        <w:t>环境适应性是产品在运输、贮存和使用过程中需要满足的环境条件指标，通常包括以下方面：</w:t>
      </w:r>
    </w:p>
    <w:p>
      <w:pPr>
        <w:pStyle w:val="84"/>
      </w:pPr>
      <w:r>
        <w:rPr>
          <w:rFonts w:hint="eastAsia"/>
        </w:rPr>
        <w:t>产品对温度、湿度、气压、烟雾、盐雾、工业腐蚀、冲击、振动、辐射等适应的程度；</w:t>
      </w:r>
    </w:p>
    <w:p>
      <w:pPr>
        <w:pStyle w:val="84"/>
      </w:pPr>
      <w:r>
        <w:rPr>
          <w:rFonts w:hint="eastAsia"/>
        </w:rPr>
        <w:t>产品对气候、酸碱度等影响的反应；</w:t>
      </w:r>
    </w:p>
    <w:p>
      <w:pPr>
        <w:pStyle w:val="84"/>
      </w:pPr>
      <w:r>
        <w:rPr>
          <w:rFonts w:hint="eastAsia"/>
        </w:rPr>
        <w:t>产品抗风、抗磁、抗老化、抗腐蚀的性能等。</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tcPr>
          <w:p>
            <w:pPr>
              <w:pStyle w:val="67"/>
              <w:widowControl w:val="0"/>
              <w:ind w:firstLine="360"/>
              <w:rPr>
                <w:sz w:val="21"/>
                <w:szCs w:val="21"/>
              </w:rPr>
            </w:pPr>
            <w:r>
              <w:rPr>
                <w:rFonts w:hint="eastAsia"/>
                <w:sz w:val="21"/>
                <w:szCs w:val="21"/>
              </w:rPr>
              <w:t>电涌保护器在下列环境条件下应可靠工作：</w:t>
            </w:r>
          </w:p>
          <w:p>
            <w:pPr>
              <w:pStyle w:val="84"/>
              <w:widowControl w:val="0"/>
              <w:jc w:val="both"/>
              <w:rPr>
                <w:sz w:val="21"/>
                <w:szCs w:val="21"/>
              </w:rPr>
            </w:pPr>
            <w:r>
              <w:rPr>
                <w:rFonts w:hint="eastAsia"/>
                <w:sz w:val="21"/>
                <w:szCs w:val="21"/>
              </w:rPr>
              <w:t>环境温度：室内受控环境：-5℃～+40℃；室外不受控环境：-10℃～+70℃；</w:t>
            </w:r>
          </w:p>
          <w:p>
            <w:pPr>
              <w:pStyle w:val="84"/>
              <w:widowControl w:val="0"/>
              <w:jc w:val="both"/>
              <w:rPr>
                <w:sz w:val="21"/>
                <w:szCs w:val="21"/>
              </w:rPr>
            </w:pPr>
            <w:r>
              <w:rPr>
                <w:rFonts w:hint="eastAsia"/>
                <w:sz w:val="21"/>
                <w:szCs w:val="21"/>
              </w:rPr>
              <w:t>相对湿度：室内受控环境：10%～80%，室外不受控环境：5%～96%；</w:t>
            </w:r>
          </w:p>
          <w:p>
            <w:pPr>
              <w:pStyle w:val="84"/>
              <w:widowControl w:val="0"/>
              <w:jc w:val="both"/>
            </w:pPr>
            <w:r>
              <w:rPr>
                <w:rFonts w:hint="eastAsia"/>
                <w:sz w:val="21"/>
                <w:szCs w:val="21"/>
              </w:rPr>
              <w:t>大气压力：不低于 70.1kPa(相当于海拔高度 3000m 以下)；交流电源 SPD 不低于 54.0 kPa(相当于海拔高度 5000m 以下)。</w:t>
            </w:r>
          </w:p>
        </w:tc>
      </w:tr>
    </w:tbl>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40" w:name="_Toc19723"/>
      <w:bookmarkStart w:id="141" w:name="_Toc23255"/>
      <w:r>
        <w:rPr>
          <w:rFonts w:hint="eastAsia" w:hAnsi="黑体" w:cs="黑体"/>
          <w:lang w:val="en-US" w:eastAsia="zh-CN"/>
        </w:rPr>
        <w:t>C</w:t>
      </w:r>
      <w:r>
        <w:rPr>
          <w:rFonts w:hint="eastAsia" w:ascii="黑体" w:hAnsi="黑体" w:eastAsia="黑体" w:cs="黑体"/>
          <w:lang w:val="en-US" w:eastAsia="zh-CN"/>
        </w:rPr>
        <w:t>.2.</w:t>
      </w:r>
      <w:r>
        <w:rPr>
          <w:rFonts w:hint="eastAsia" w:hAnsi="黑体" w:cs="黑体"/>
          <w:lang w:val="en-US" w:eastAsia="zh-CN"/>
        </w:rPr>
        <w:t>2.3.</w:t>
      </w:r>
      <w:r>
        <w:rPr>
          <w:rFonts w:hint="eastAsia" w:ascii="黑体" w:hAnsi="黑体" w:eastAsia="黑体" w:cs="黑体"/>
          <w:lang w:val="en-US" w:eastAsia="zh-CN"/>
        </w:rPr>
        <w:t>3</w:t>
      </w:r>
      <w:r>
        <w:rPr>
          <w:rFonts w:hint="eastAsia" w:ascii="黑体" w:hAnsi="Times New Roman" w:eastAsia="黑体" w:cs="Times New Roman"/>
          <w:b w:val="0"/>
          <w:i w:val="0"/>
          <w:kern w:val="21"/>
          <w:sz w:val="21"/>
          <w:lang w:val="en-US" w:eastAsia="zh-CN" w:bidi="ar-SA"/>
        </w:rPr>
        <w:t>　</w:t>
      </w:r>
      <w:r>
        <w:rPr>
          <w:lang w:bidi="ar"/>
        </w:rPr>
        <w:t>人类功效学</w:t>
      </w:r>
      <w:bookmarkEnd w:id="140"/>
      <w:bookmarkEnd w:id="141"/>
      <w:r>
        <w:rPr>
          <w:lang w:bidi="ar"/>
        </w:rPr>
        <w:t xml:space="preserve"> </w:t>
      </w:r>
    </w:p>
    <w:p>
      <w:pPr>
        <w:pStyle w:val="67"/>
        <w:ind w:firstLine="420"/>
      </w:pPr>
      <w:r>
        <w:rPr>
          <w:rFonts w:hint="eastAsia"/>
        </w:rPr>
        <w:t xml:space="preserve">人类工效学要求通常包括以下方面： </w:t>
      </w:r>
    </w:p>
    <w:p>
      <w:pPr>
        <w:pStyle w:val="84"/>
      </w:pPr>
      <w:r>
        <w:rPr>
          <w:rFonts w:hint="eastAsia"/>
        </w:rPr>
        <w:t>外观或感官方面的要求，如表面缺陷、颜色、口感、柔软度、舒适度等；</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ascii="黑体" w:hAnsi="黑体" w:eastAsia="黑体"/>
                <w:sz w:val="21"/>
                <w:szCs w:val="20"/>
              </w:rPr>
              <w:t>4.1  外观要求</w:t>
            </w:r>
          </w:p>
          <w:p>
            <w:pPr>
              <w:pStyle w:val="67"/>
              <w:widowControl w:val="0"/>
              <w:ind w:firstLine="0" w:firstLineChars="0"/>
              <w:rPr>
                <w:sz w:val="21"/>
                <w:szCs w:val="20"/>
              </w:rPr>
            </w:pPr>
            <w:r>
              <w:rPr>
                <w:rFonts w:ascii="黑体" w:hAnsi="黑体" w:eastAsia="黑体"/>
                <w:sz w:val="21"/>
                <w:szCs w:val="20"/>
              </w:rPr>
              <w:t>4.1.1</w:t>
            </w:r>
            <w:r>
              <w:rPr>
                <w:sz w:val="21"/>
                <w:szCs w:val="20"/>
              </w:rPr>
              <w:t xml:space="preserve"> 车体外表应平整、光滑、无磕碰、划痕等。</w:t>
            </w:r>
          </w:p>
          <w:p>
            <w:pPr>
              <w:pStyle w:val="67"/>
              <w:widowControl w:val="0"/>
              <w:ind w:firstLine="0" w:firstLineChars="0"/>
              <w:rPr>
                <w:sz w:val="21"/>
                <w:szCs w:val="20"/>
              </w:rPr>
            </w:pPr>
            <w:r>
              <w:rPr>
                <w:rFonts w:ascii="黑体" w:hAnsi="黑体" w:eastAsia="黑体"/>
                <w:sz w:val="21"/>
                <w:szCs w:val="20"/>
              </w:rPr>
              <w:t>4.1.2</w:t>
            </w:r>
            <w:r>
              <w:rPr>
                <w:sz w:val="21"/>
                <w:szCs w:val="20"/>
              </w:rPr>
              <w:t xml:space="preserve"> 金属外露部分应光滑圆弧过渡，无毛刺、尖刺、钝角、凸起、裂纹等；多功能支架表面光滑、无割痕。</w:t>
            </w:r>
          </w:p>
          <w:p>
            <w:pPr>
              <w:pStyle w:val="67"/>
              <w:widowControl w:val="0"/>
              <w:ind w:firstLine="0" w:firstLineChars="0"/>
            </w:pPr>
            <w:r>
              <w:rPr>
                <w:rFonts w:ascii="黑体" w:hAnsi="黑体" w:eastAsia="黑体"/>
                <w:sz w:val="21"/>
                <w:szCs w:val="20"/>
              </w:rPr>
              <w:t>4.1.3</w:t>
            </w:r>
            <w:r>
              <w:rPr>
                <w:sz w:val="21"/>
                <w:szCs w:val="20"/>
              </w:rPr>
              <w:t xml:space="preserve"> 焊口应平整，不得有漏焊、烧穿等缺陷。</w:t>
            </w:r>
          </w:p>
        </w:tc>
      </w:tr>
    </w:tbl>
    <w:p>
      <w:pPr>
        <w:pStyle w:val="67"/>
        <w:ind w:firstLine="420"/>
      </w:pPr>
    </w:p>
    <w:p>
      <w:pPr>
        <w:pStyle w:val="84"/>
        <w:jc w:val="both"/>
        <w:rPr>
          <w:szCs w:val="21"/>
        </w:rPr>
      </w:pPr>
      <w:r>
        <w:rPr>
          <w:rFonts w:hint="eastAsia"/>
          <w:szCs w:val="21"/>
        </w:rPr>
        <w:t>人机界面要求，如易读性（产品使用者接收信号、输入）、易操作性（产品使用者发出指令、输出）等。</w:t>
      </w:r>
    </w:p>
    <w:p>
      <w:pPr>
        <w:pStyle w:val="88"/>
      </w:pPr>
      <w:r>
        <w:rPr>
          <w:rFonts w:hint="eastAsia"/>
        </w:rPr>
        <w:t xml:space="preserve">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5.1 车载导航语音输出要求 </w:t>
            </w:r>
          </w:p>
          <w:p>
            <w:pPr>
              <w:pStyle w:val="67"/>
              <w:widowControl w:val="0"/>
              <w:ind w:firstLine="0" w:firstLineChars="0"/>
              <w:rPr>
                <w:sz w:val="21"/>
                <w:szCs w:val="20"/>
              </w:rPr>
            </w:pPr>
            <w:r>
              <w:rPr>
                <w:rFonts w:hint="eastAsia" w:ascii="黑体" w:hAnsi="黑体" w:eastAsia="黑体"/>
                <w:sz w:val="21"/>
                <w:szCs w:val="20"/>
              </w:rPr>
              <w:t>5.1.1</w:t>
            </w:r>
            <w:r>
              <w:rPr>
                <w:rFonts w:hint="eastAsia"/>
                <w:sz w:val="21"/>
                <w:szCs w:val="20"/>
              </w:rPr>
              <w:t xml:space="preserve"> 输出的导航语音的语句应简洁、准确、清晰、频度适当。 </w:t>
            </w:r>
          </w:p>
          <w:p>
            <w:pPr>
              <w:pStyle w:val="67"/>
              <w:widowControl w:val="0"/>
              <w:ind w:firstLine="0" w:firstLineChars="0"/>
            </w:pPr>
            <w:r>
              <w:rPr>
                <w:rFonts w:hint="eastAsia" w:ascii="黑体" w:hAnsi="黑体" w:eastAsia="黑体"/>
                <w:sz w:val="21"/>
                <w:szCs w:val="20"/>
              </w:rPr>
              <w:t>5.1.2</w:t>
            </w:r>
            <w:r>
              <w:rPr>
                <w:rFonts w:hint="eastAsia"/>
                <w:sz w:val="21"/>
                <w:szCs w:val="20"/>
              </w:rPr>
              <w:t xml:space="preserve"> 应提供选择导航语音输出模式的开关和音量调节的功能。</w:t>
            </w:r>
          </w:p>
        </w:tc>
      </w:tr>
    </w:tbl>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42" w:name="_Toc10445"/>
      <w:bookmarkStart w:id="143" w:name="_Toc23867"/>
      <w:r>
        <w:rPr>
          <w:rFonts w:hint="eastAsia" w:hAnsi="黑体" w:cs="黑体"/>
          <w:lang w:val="en-US" w:eastAsia="zh-CN"/>
        </w:rPr>
        <w:t>C</w:t>
      </w:r>
      <w:r>
        <w:rPr>
          <w:rFonts w:hint="eastAsia" w:ascii="黑体" w:hAnsi="黑体" w:eastAsia="黑体" w:cs="黑体"/>
          <w:lang w:val="en-US" w:eastAsia="zh-CN"/>
        </w:rPr>
        <w:t>.2.</w:t>
      </w:r>
      <w:r>
        <w:rPr>
          <w:rFonts w:hint="eastAsia" w:hAnsi="黑体" w:cs="黑体"/>
          <w:lang w:val="en-US" w:eastAsia="zh-CN"/>
        </w:rPr>
        <w:t>2.3.4</w:t>
      </w:r>
      <w:r>
        <w:rPr>
          <w:rFonts w:hint="eastAsia" w:ascii="黑体" w:hAnsi="Times New Roman" w:eastAsia="黑体" w:cs="Times New Roman"/>
          <w:b w:val="0"/>
          <w:i w:val="0"/>
          <w:kern w:val="21"/>
          <w:sz w:val="21"/>
          <w:lang w:val="en-US" w:eastAsia="zh-CN" w:bidi="ar-SA"/>
        </w:rPr>
        <w:t>　</w:t>
      </w:r>
      <w:r>
        <w:rPr>
          <w:rFonts w:hint="eastAsia"/>
        </w:rPr>
        <w:t>使用性能</w:t>
      </w:r>
      <w:bookmarkEnd w:id="142"/>
      <w:bookmarkEnd w:id="143"/>
    </w:p>
    <w:p>
      <w:pPr>
        <w:pStyle w:val="67"/>
        <w:ind w:firstLine="420"/>
      </w:pPr>
      <w:r>
        <w:rPr>
          <w:rFonts w:hint="eastAsia"/>
        </w:rPr>
        <w:t>选择直接反映产品使用性能的指标或者间接反映使用性能的可靠代用指标，通常包括生产能力、功率、效率、分辨率、速度、耐磨性、灵敏度、可靠性、准确度等要求。</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4.3 </w:t>
            </w:r>
            <w:r>
              <w:rPr>
                <w:rFonts w:ascii="黑体" w:hAnsi="黑体" w:eastAsia="黑体"/>
                <w:sz w:val="21"/>
                <w:szCs w:val="20"/>
              </w:rPr>
              <w:t xml:space="preserve"> </w:t>
            </w:r>
            <w:r>
              <w:rPr>
                <w:rFonts w:hint="eastAsia" w:ascii="黑体" w:hAnsi="黑体" w:eastAsia="黑体"/>
                <w:sz w:val="21"/>
                <w:szCs w:val="20"/>
              </w:rPr>
              <w:t>使用性能</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4.3.1</w:t>
            </w:r>
            <w:r>
              <w:rPr>
                <w:rFonts w:ascii="黑体" w:hAnsi="黑体" w:eastAsia="黑体"/>
                <w:sz w:val="21"/>
                <w:szCs w:val="20"/>
              </w:rPr>
              <w:t xml:space="preserve"> </w:t>
            </w:r>
            <w:r>
              <w:rPr>
                <w:rFonts w:hint="eastAsia" w:ascii="黑体" w:hAnsi="黑体" w:eastAsia="黑体"/>
                <w:sz w:val="21"/>
                <w:szCs w:val="20"/>
              </w:rPr>
              <w:t xml:space="preserve"> 分辨率</w:t>
            </w:r>
          </w:p>
          <w:p>
            <w:pPr>
              <w:pStyle w:val="67"/>
              <w:widowControl w:val="0"/>
              <w:ind w:firstLine="360"/>
              <w:rPr>
                <w:sz w:val="21"/>
                <w:szCs w:val="20"/>
              </w:rPr>
            </w:pPr>
            <w:r>
              <w:rPr>
                <w:rFonts w:hint="eastAsia"/>
                <w:sz w:val="21"/>
                <w:szCs w:val="20"/>
              </w:rPr>
              <w:t>产品的分辨率应符合 G</w:t>
            </w:r>
            <w:r>
              <w:rPr>
                <w:rFonts w:hint="eastAsia"/>
                <w:sz w:val="21"/>
                <w:szCs w:val="20"/>
                <w:lang w:val="en-US" w:eastAsia="zh-CN"/>
              </w:rPr>
              <w:t>B</w:t>
            </w:r>
            <w:r>
              <w:rPr>
                <w:rFonts w:hint="eastAsia"/>
                <w:sz w:val="21"/>
                <w:szCs w:val="20"/>
              </w:rPr>
              <w:t>/T 26339 中的分辨率要求和试验方法。</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4.3.2 </w:t>
            </w:r>
            <w:r>
              <w:rPr>
                <w:rFonts w:ascii="黑体" w:hAnsi="黑体" w:eastAsia="黑体"/>
                <w:sz w:val="21"/>
                <w:szCs w:val="20"/>
              </w:rPr>
              <w:t xml:space="preserve"> </w:t>
            </w:r>
            <w:r>
              <w:rPr>
                <w:rFonts w:hint="eastAsia" w:ascii="黑体" w:hAnsi="黑体" w:eastAsia="黑体"/>
                <w:sz w:val="21"/>
                <w:szCs w:val="20"/>
              </w:rPr>
              <w:t>最大工作距离</w:t>
            </w:r>
          </w:p>
          <w:p>
            <w:pPr>
              <w:pStyle w:val="67"/>
              <w:widowControl w:val="0"/>
              <w:ind w:firstLine="360"/>
              <w:rPr>
                <w:sz w:val="21"/>
                <w:szCs w:val="20"/>
              </w:rPr>
            </w:pPr>
            <w:r>
              <w:rPr>
                <w:rFonts w:hint="eastAsia"/>
                <w:sz w:val="21"/>
                <w:szCs w:val="20"/>
              </w:rPr>
              <w:t>按照 5.4 测量手持式电子助视器的最大清晰可视范围，测量值与标称值间的允许偏差为±10%。</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4.3.3 </w:t>
            </w:r>
            <w:r>
              <w:rPr>
                <w:rFonts w:ascii="黑体" w:hAnsi="黑体" w:eastAsia="黑体"/>
                <w:sz w:val="21"/>
                <w:szCs w:val="20"/>
              </w:rPr>
              <w:t xml:space="preserve"> </w:t>
            </w:r>
            <w:r>
              <w:rPr>
                <w:rFonts w:hint="eastAsia" w:ascii="黑体" w:hAnsi="黑体" w:eastAsia="黑体"/>
                <w:sz w:val="21"/>
                <w:szCs w:val="20"/>
              </w:rPr>
              <w:t>电池持久力</w:t>
            </w:r>
          </w:p>
          <w:p>
            <w:pPr>
              <w:pStyle w:val="67"/>
              <w:widowControl w:val="0"/>
              <w:ind w:firstLine="360"/>
            </w:pPr>
            <w:r>
              <w:rPr>
                <w:rFonts w:hint="eastAsia"/>
                <w:sz w:val="21"/>
                <w:szCs w:val="20"/>
              </w:rPr>
              <w:t>按照 5.5 测量手持式电子助视器的电池持续使用时间，实际使用时间应大于 4h</w:t>
            </w:r>
            <w:r>
              <w:rPr>
                <w:rFonts w:hint="eastAsia"/>
                <w:sz w:val="21"/>
                <w:szCs w:val="20"/>
                <w:lang w:eastAsia="zh-CN"/>
              </w:rPr>
              <w:t>，</w:t>
            </w:r>
            <w:r>
              <w:rPr>
                <w:rFonts w:hint="eastAsia"/>
                <w:sz w:val="21"/>
                <w:szCs w:val="20"/>
              </w:rPr>
              <w:t>如有标称值且应不小于标称值的 90%。</w:t>
            </w:r>
          </w:p>
        </w:tc>
      </w:tr>
    </w:tbl>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44" w:name="_Toc23817"/>
      <w:bookmarkStart w:id="145" w:name="_Toc26744"/>
      <w:r>
        <w:rPr>
          <w:rFonts w:hint="eastAsia" w:hAnsi="黑体" w:cs="黑体"/>
          <w:lang w:val="en-US" w:eastAsia="zh-CN"/>
        </w:rPr>
        <w:t>C</w:t>
      </w:r>
      <w:r>
        <w:rPr>
          <w:rFonts w:hint="eastAsia" w:ascii="黑体" w:hAnsi="黑体" w:eastAsia="黑体" w:cs="黑体"/>
          <w:lang w:val="en-US" w:eastAsia="zh-CN"/>
        </w:rPr>
        <w:t>.2.</w:t>
      </w:r>
      <w:r>
        <w:rPr>
          <w:rFonts w:hint="eastAsia" w:hAnsi="黑体" w:cs="黑体"/>
          <w:lang w:val="en-US" w:eastAsia="zh-CN"/>
        </w:rPr>
        <w:t>2.3.5</w:t>
      </w:r>
      <w:r>
        <w:rPr>
          <w:rFonts w:hint="eastAsia" w:ascii="黑体" w:hAnsi="Times New Roman" w:eastAsia="黑体" w:cs="Times New Roman"/>
          <w:b w:val="0"/>
          <w:i w:val="0"/>
          <w:kern w:val="21"/>
          <w:sz w:val="21"/>
          <w:lang w:val="en-US" w:eastAsia="zh-CN" w:bidi="ar-SA"/>
        </w:rPr>
        <w:t>　</w:t>
      </w:r>
      <w:r>
        <w:rPr>
          <w:rFonts w:hint="eastAsia"/>
        </w:rPr>
        <w:t>理化性能</w:t>
      </w:r>
      <w:bookmarkEnd w:id="144"/>
      <w:bookmarkEnd w:id="145"/>
      <w:r>
        <w:rPr>
          <w:rFonts w:hint="eastAsia"/>
        </w:rPr>
        <w:t xml:space="preserve"> </w:t>
      </w:r>
    </w:p>
    <w:p>
      <w:pPr>
        <w:pStyle w:val="67"/>
        <w:ind w:firstLine="420"/>
        <w:rPr>
          <w:rFonts w:hint="eastAsia" w:ascii="宋体" w:hAnsi="宋体" w:eastAsia="宋体" w:cs="宋体"/>
        </w:rPr>
      </w:pPr>
      <w:r>
        <w:rPr>
          <w:rFonts w:hint="eastAsia" w:ascii="宋体" w:hAnsi="宋体" w:eastAsia="宋体" w:cs="宋体"/>
        </w:rPr>
        <w:t>当产品的质量需要用理化性能加以保证时，宜规定其理化性能。理化性能通常包含以下内容：</w:t>
      </w:r>
    </w:p>
    <w:p>
      <w:pPr>
        <w:pStyle w:val="84"/>
        <w:rPr>
          <w:rFonts w:hint="eastAsia" w:ascii="宋体" w:hAnsi="宋体" w:eastAsia="宋体" w:cs="宋体"/>
        </w:rPr>
      </w:pPr>
      <w:r>
        <w:rPr>
          <w:rFonts w:hint="eastAsia" w:ascii="宋体" w:hAnsi="宋体" w:eastAsia="宋体" w:cs="宋体"/>
        </w:rPr>
        <w:t xml:space="preserve">物理性能，如产品的力学、声学、热学、密度、强度、硬度、塑性、黏度等； </w:t>
      </w:r>
    </w:p>
    <w:p>
      <w:pPr>
        <w:pStyle w:val="84"/>
        <w:rPr>
          <w:rFonts w:hint="eastAsia" w:ascii="宋体" w:hAnsi="宋体" w:eastAsia="宋体" w:cs="宋体"/>
        </w:rPr>
      </w:pPr>
      <w:r>
        <w:rPr>
          <w:rFonts w:hint="eastAsia" w:ascii="宋体" w:hAnsi="宋体" w:eastAsia="宋体" w:cs="宋体"/>
        </w:rPr>
        <w:t xml:space="preserve">电磁性能，如产品的电容、电阻、电感、磁感、爬电距离等； </w:t>
      </w:r>
    </w:p>
    <w:p>
      <w:pPr>
        <w:pStyle w:val="84"/>
      </w:pPr>
      <w:r>
        <w:rPr>
          <w:rFonts w:hint="eastAsia" w:ascii="宋体" w:hAnsi="宋体" w:eastAsia="宋体" w:cs="宋体"/>
        </w:rPr>
        <w:t>化学性能，如产品的化学成分、纯度、杂质含量极限等</w:t>
      </w:r>
      <w:r>
        <w:rPr>
          <w:rFonts w:hint="eastAsia" w:ascii="宋体" w:hAnsi="宋体" w:eastAsia="宋体" w:cs="宋体"/>
          <w:lang w:val="en-US" w:eastAsia="zh-CN"/>
        </w:rPr>
        <w:t>。</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4.20 </w:t>
            </w:r>
            <w:r>
              <w:rPr>
                <w:rFonts w:ascii="黑体" w:hAnsi="黑体" w:eastAsia="黑体"/>
                <w:sz w:val="21"/>
                <w:szCs w:val="20"/>
              </w:rPr>
              <w:t xml:space="preserve"> </w:t>
            </w:r>
            <w:r>
              <w:rPr>
                <w:rFonts w:hint="eastAsia" w:ascii="黑体" w:hAnsi="黑体" w:eastAsia="黑体"/>
                <w:sz w:val="21"/>
                <w:szCs w:val="20"/>
              </w:rPr>
              <w:t xml:space="preserve">表壳体及其附件的覆盖层性能 </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4.20.1</w:t>
            </w:r>
            <w:r>
              <w:rPr>
                <w:rFonts w:ascii="黑体" w:hAnsi="黑体" w:eastAsia="黑体"/>
                <w:sz w:val="21"/>
                <w:szCs w:val="20"/>
              </w:rPr>
              <w:t xml:space="preserve"> </w:t>
            </w:r>
            <w:r>
              <w:rPr>
                <w:rFonts w:hint="eastAsia" w:ascii="黑体" w:hAnsi="黑体" w:eastAsia="黑体"/>
                <w:sz w:val="21"/>
                <w:szCs w:val="20"/>
              </w:rPr>
              <w:t xml:space="preserve"> 耐腐蚀性能 </w:t>
            </w:r>
          </w:p>
          <w:p>
            <w:pPr>
              <w:pStyle w:val="67"/>
              <w:widowControl w:val="0"/>
              <w:ind w:firstLine="360"/>
              <w:rPr>
                <w:sz w:val="21"/>
                <w:szCs w:val="20"/>
              </w:rPr>
            </w:pPr>
            <w:r>
              <w:rPr>
                <w:rFonts w:hint="eastAsia"/>
                <w:sz w:val="21"/>
                <w:szCs w:val="20"/>
              </w:rPr>
              <w:t xml:space="preserve">具有覆盖层的优等品和一等品手表经腐蚀性能试验后，表壳体及其附件表面不应出现目视可见的腐蚀点、腐蚀沉积物及盐析。 </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4.20.2</w:t>
            </w:r>
            <w:r>
              <w:rPr>
                <w:rFonts w:ascii="黑体" w:hAnsi="黑体" w:eastAsia="黑体"/>
                <w:sz w:val="21"/>
                <w:szCs w:val="20"/>
              </w:rPr>
              <w:t xml:space="preserve"> </w:t>
            </w:r>
            <w:r>
              <w:rPr>
                <w:rFonts w:hint="eastAsia" w:ascii="黑体" w:hAnsi="黑体" w:eastAsia="黑体"/>
                <w:sz w:val="21"/>
                <w:szCs w:val="20"/>
              </w:rPr>
              <w:t xml:space="preserve"> 附着力 </w:t>
            </w:r>
          </w:p>
          <w:p>
            <w:pPr>
              <w:pStyle w:val="67"/>
              <w:widowControl w:val="0"/>
              <w:ind w:firstLine="360"/>
              <w:rPr>
                <w:sz w:val="21"/>
                <w:szCs w:val="20"/>
              </w:rPr>
            </w:pPr>
            <w:r>
              <w:rPr>
                <w:rFonts w:hint="eastAsia"/>
                <w:sz w:val="21"/>
                <w:szCs w:val="20"/>
              </w:rPr>
              <w:t xml:space="preserve">具有覆盖层的优等品和一等品说表经附着力试验后，覆盖层表面不应有龟裂、气泡及分离、脱落等现象。 </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4.20.3</w:t>
            </w:r>
            <w:r>
              <w:rPr>
                <w:rFonts w:ascii="黑体" w:hAnsi="黑体" w:eastAsia="黑体"/>
                <w:sz w:val="21"/>
                <w:szCs w:val="20"/>
              </w:rPr>
              <w:t xml:space="preserve"> </w:t>
            </w:r>
            <w:r>
              <w:rPr>
                <w:rFonts w:hint="eastAsia" w:ascii="黑体" w:hAnsi="黑体" w:eastAsia="黑体"/>
                <w:sz w:val="21"/>
                <w:szCs w:val="20"/>
              </w:rPr>
              <w:t xml:space="preserve"> 耐磨损性能 </w:t>
            </w:r>
          </w:p>
          <w:p>
            <w:pPr>
              <w:pStyle w:val="67"/>
              <w:widowControl w:val="0"/>
              <w:ind w:firstLine="360"/>
            </w:pPr>
            <w:r>
              <w:rPr>
                <w:rFonts w:hint="eastAsia"/>
                <w:sz w:val="21"/>
                <w:szCs w:val="20"/>
              </w:rPr>
              <w:t>具有覆盖层手表的耐磨损性能由供需双方商定。</w:t>
            </w:r>
          </w:p>
        </w:tc>
      </w:tr>
    </w:tbl>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46" w:name="_Toc1223"/>
      <w:bookmarkStart w:id="147" w:name="_Toc16043"/>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2.2.3.</w:t>
      </w:r>
      <w:r>
        <w:rPr>
          <w:rFonts w:hint="eastAsia" w:ascii="黑体" w:hAnsi="Times New Roman" w:eastAsia="黑体" w:cs="Times New Roman"/>
          <w:b w:val="0"/>
          <w:i w:val="0"/>
          <w:kern w:val="21"/>
          <w:sz w:val="21"/>
          <w:lang w:val="en-US" w:eastAsia="zh-CN" w:bidi="ar-SA"/>
        </w:rPr>
        <w:t>6　</w:t>
      </w:r>
      <w:r>
        <w:rPr>
          <w:rFonts w:hint="eastAsia"/>
        </w:rPr>
        <w:t>健康、安全，环境或资源合理利用</w:t>
      </w:r>
      <w:bookmarkEnd w:id="146"/>
      <w:bookmarkEnd w:id="147"/>
    </w:p>
    <w:p>
      <w:pPr>
        <w:pStyle w:val="67"/>
        <w:ind w:firstLine="420"/>
      </w:pPr>
      <w:r>
        <w:rPr>
          <w:rFonts w:hint="eastAsia"/>
        </w:rPr>
        <w:t>有必要对保障健康、安全，保护环境或促进资源合理利用提出要求时，宜规定产品相应指标，通常包括以下内容：</w:t>
      </w:r>
    </w:p>
    <w:p>
      <w:pPr>
        <w:pStyle w:val="84"/>
      </w:pPr>
      <w:r>
        <w:rPr>
          <w:rFonts w:hint="eastAsia"/>
        </w:rPr>
        <w:t>对产品中有害成分的限值等要求；</w:t>
      </w:r>
    </w:p>
    <w:p>
      <w:pPr>
        <w:pStyle w:val="84"/>
      </w:pPr>
      <w:r>
        <w:rPr>
          <w:rFonts w:hint="eastAsia"/>
        </w:rPr>
        <w:t>对产品运转部分的噪声限值、平衡等要求；</w:t>
      </w:r>
    </w:p>
    <w:p>
      <w:pPr>
        <w:pStyle w:val="84"/>
      </w:pPr>
      <w:r>
        <w:rPr>
          <w:rFonts w:hint="eastAsia"/>
        </w:rPr>
        <w:t>防爆、防火、防电击、防辐射、防机械损伤、电气绝缘、电源保护、静电防护等要求；</w:t>
      </w:r>
    </w:p>
    <w:p>
      <w:pPr>
        <w:pStyle w:val="84"/>
      </w:pPr>
      <w:r>
        <w:rPr>
          <w:rFonts w:hint="eastAsia"/>
        </w:rPr>
        <w:t>产品中的有害物质以及使用中产生的废弃物排放对环境影响等要求；</w:t>
      </w:r>
    </w:p>
    <w:p>
      <w:pPr>
        <w:pStyle w:val="84"/>
      </w:pPr>
      <w:r>
        <w:rPr>
          <w:rFonts w:hint="eastAsia"/>
        </w:rPr>
        <w:t>对直接消耗能源产品的耗能指标的规定，如电耗、油耗、煤耗、气耗、水耗等指标。</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4.2.2 激光雷达</w:t>
            </w:r>
          </w:p>
          <w:p>
            <w:pPr>
              <w:pStyle w:val="67"/>
              <w:widowControl w:val="0"/>
              <w:ind w:firstLine="360"/>
              <w:rPr>
                <w:sz w:val="21"/>
                <w:szCs w:val="20"/>
              </w:rPr>
            </w:pPr>
            <w:r>
              <w:rPr>
                <w:rFonts w:hint="eastAsia"/>
                <w:sz w:val="21"/>
                <w:szCs w:val="20"/>
              </w:rPr>
              <w:t>机器人中的激光雷达应符合 G</w:t>
            </w:r>
            <w:r>
              <w:rPr>
                <w:rFonts w:hint="eastAsia"/>
                <w:sz w:val="21"/>
                <w:szCs w:val="20"/>
                <w:lang w:val="en-US" w:eastAsia="zh-CN"/>
              </w:rPr>
              <w:t>B</w:t>
            </w:r>
            <w:r>
              <w:rPr>
                <w:rFonts w:hint="eastAsia"/>
                <w:sz w:val="21"/>
                <w:szCs w:val="20"/>
              </w:rPr>
              <w:t xml:space="preserve"> 7247.1-2012 中 1 类激光产品的辐射限值和标识要求。</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4.2.3 电机</w:t>
            </w:r>
          </w:p>
          <w:p>
            <w:pPr>
              <w:pStyle w:val="67"/>
              <w:widowControl w:val="0"/>
              <w:ind w:firstLine="360"/>
            </w:pPr>
            <w:r>
              <w:rPr>
                <w:rFonts w:hint="eastAsia"/>
                <w:sz w:val="21"/>
                <w:szCs w:val="20"/>
              </w:rPr>
              <w:t>机器人的电机应符合 G</w:t>
            </w:r>
            <w:r>
              <w:rPr>
                <w:rFonts w:hint="eastAsia"/>
                <w:sz w:val="21"/>
                <w:szCs w:val="20"/>
                <w:lang w:val="en-US" w:eastAsia="zh-CN"/>
              </w:rPr>
              <w:t>B</w:t>
            </w:r>
            <w:r>
              <w:rPr>
                <w:rFonts w:hint="eastAsia"/>
                <w:sz w:val="21"/>
                <w:szCs w:val="20"/>
              </w:rPr>
              <w:t>/T 12350-20</w:t>
            </w:r>
            <w:r>
              <w:rPr>
                <w:rFonts w:hint="eastAsia"/>
                <w:sz w:val="21"/>
                <w:szCs w:val="20"/>
                <w:lang w:val="en-US" w:eastAsia="zh-CN"/>
              </w:rPr>
              <w:t>22</w:t>
            </w:r>
            <w:r>
              <w:rPr>
                <w:rFonts w:hint="eastAsia"/>
                <w:sz w:val="21"/>
                <w:szCs w:val="20"/>
              </w:rPr>
              <w:t xml:space="preserve"> 等相关标准的规定。若机器人的电机无适用的标准，则电机应符合4.3.11 中非正常工作条件要求。</w:t>
            </w:r>
          </w:p>
        </w:tc>
      </w:tr>
    </w:tbl>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3"/>
      </w:pPr>
      <w:bookmarkStart w:id="148" w:name="_Toc24950"/>
      <w:bookmarkStart w:id="149" w:name="_Toc21688"/>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2.2.4</w:t>
      </w:r>
      <w:r>
        <w:rPr>
          <w:rFonts w:hint="eastAsia" w:ascii="黑体" w:hAnsi="Times New Roman" w:eastAsia="黑体" w:cs="Times New Roman"/>
          <w:b w:val="0"/>
          <w:i w:val="0"/>
          <w:kern w:val="21"/>
          <w:sz w:val="21"/>
          <w:lang w:val="en-US" w:eastAsia="zh-CN" w:bidi="ar-SA"/>
        </w:rPr>
        <w:t>　</w:t>
      </w:r>
      <w:r>
        <w:rPr>
          <w:rFonts w:hint="eastAsia"/>
        </w:rPr>
        <w:t>其他要求</w:t>
      </w:r>
      <w:bookmarkEnd w:id="148"/>
      <w:bookmarkEnd w:id="149"/>
    </w:p>
    <w:p>
      <w:pPr>
        <w:pStyle w:val="87"/>
        <w:keepNext w:val="0"/>
        <w:keepLines w:val="0"/>
        <w:pageBreakBefore w:val="0"/>
        <w:widowControl w:val="0"/>
        <w:numPr>
          <w:ilvl w:val="3"/>
          <w:numId w:val="0"/>
        </w:numPr>
        <w:kinsoku/>
        <w:wordWrap/>
        <w:overflowPunct/>
        <w:topLinePunct w:val="0"/>
        <w:autoSpaceDE/>
        <w:autoSpaceDN/>
        <w:bidi w:val="0"/>
        <w:adjustRightInd/>
        <w:snapToGrid/>
        <w:spacing w:before="156" w:after="156"/>
        <w:textAlignment w:val="auto"/>
        <w:outlineLvl w:val="4"/>
      </w:pPr>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2.2.4</w:t>
      </w:r>
      <w:r>
        <w:rPr>
          <w:rFonts w:hint="eastAsia" w:ascii="黑体" w:hAnsi="Times New Roman" w:eastAsia="黑体" w:cs="Times New Roman"/>
          <w:b w:val="0"/>
          <w:i w:val="0"/>
          <w:kern w:val="21"/>
          <w:sz w:val="21"/>
          <w:lang w:val="en-US" w:eastAsia="zh-CN" w:bidi="ar-SA"/>
        </w:rPr>
        <w:t>.1　</w:t>
      </w:r>
      <w:r>
        <w:rPr>
          <w:rFonts w:hint="eastAsia"/>
        </w:rPr>
        <w:t xml:space="preserve">材料 </w:t>
      </w:r>
    </w:p>
    <w:p>
      <w:pPr>
        <w:pStyle w:val="67"/>
        <w:ind w:firstLine="420"/>
        <w:rPr>
          <w:lang w:bidi="ar"/>
        </w:rPr>
      </w:pPr>
      <w:r>
        <w:rPr>
          <w:rFonts w:hint="eastAsia"/>
          <w:lang w:bidi="ar"/>
        </w:rPr>
        <w:t>产品标准通常不包括材料要求。为了保证产品性能和安全，需要指定产品所用的材料时，可规定材料性能，并符合相关标准。如无现行标准，可对材料性能作出具体规定。</w:t>
      </w:r>
    </w:p>
    <w:p>
      <w:pPr>
        <w:pStyle w:val="88"/>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44" w:type="dxa"/>
          </w:tcPr>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4.1 材料 </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4.1.1 材料质量 </w:t>
            </w:r>
          </w:p>
          <w:p>
            <w:pPr>
              <w:pStyle w:val="67"/>
              <w:widowControl w:val="0"/>
              <w:ind w:firstLine="360"/>
              <w:rPr>
                <w:sz w:val="21"/>
                <w:szCs w:val="20"/>
              </w:rPr>
            </w:pPr>
            <w:r>
              <w:rPr>
                <w:rFonts w:hint="eastAsia"/>
                <w:sz w:val="21"/>
                <w:szCs w:val="20"/>
              </w:rPr>
              <w:t xml:space="preserve">所有材料目视检查应清洁干净，无污染。材料的检查应用目视检查，而非放大检查。 </w:t>
            </w:r>
          </w:p>
          <w:p>
            <w:pPr>
              <w:pStyle w:val="67"/>
              <w:widowControl w:val="0"/>
              <w:spacing w:before="156" w:beforeLines="50" w:after="156" w:afterLines="50"/>
              <w:ind w:firstLine="0" w:firstLineChars="0"/>
              <w:rPr>
                <w:rFonts w:ascii="黑体" w:hAnsi="黑体" w:eastAsia="黑体"/>
                <w:sz w:val="21"/>
                <w:szCs w:val="20"/>
              </w:rPr>
            </w:pPr>
            <w:r>
              <w:rPr>
                <w:rFonts w:hint="eastAsia" w:ascii="黑体" w:hAnsi="黑体" w:eastAsia="黑体"/>
                <w:sz w:val="21"/>
                <w:szCs w:val="20"/>
              </w:rPr>
              <w:t xml:space="preserve">4.1.2 特定可迁移元素最大限量 </w:t>
            </w:r>
          </w:p>
          <w:p>
            <w:pPr>
              <w:pStyle w:val="67"/>
              <w:widowControl w:val="0"/>
              <w:ind w:firstLine="360"/>
            </w:pPr>
            <w:r>
              <w:rPr>
                <w:rFonts w:hint="eastAsia"/>
                <w:sz w:val="21"/>
                <w:szCs w:val="20"/>
              </w:rPr>
              <w:t xml:space="preserve">学步车上可触及区域内的部件和材料，按 5.3 特定可迁移元素的测试进行测试，特定可迁移元素的测试结果的校正值应符合表 </w:t>
            </w:r>
            <w:r>
              <w:rPr>
                <w:sz w:val="21"/>
                <w:szCs w:val="20"/>
              </w:rPr>
              <w:t xml:space="preserve">1 </w:t>
            </w:r>
            <w:r>
              <w:rPr>
                <w:rFonts w:hint="eastAsia"/>
                <w:sz w:val="21"/>
                <w:szCs w:val="20"/>
              </w:rPr>
              <w:t>中最大限量的规定。</w:t>
            </w:r>
          </w:p>
        </w:tc>
      </w:tr>
    </w:tbl>
    <w:p>
      <w:pPr>
        <w:pStyle w:val="87"/>
        <w:keepNext w:val="0"/>
        <w:keepLines w:val="0"/>
        <w:pageBreakBefore w:val="0"/>
        <w:widowControl w:val="0"/>
        <w:numPr>
          <w:ilvl w:val="3"/>
          <w:numId w:val="0"/>
        </w:numPr>
        <w:kinsoku/>
        <w:wordWrap/>
        <w:overflowPunct/>
        <w:topLinePunct w:val="0"/>
        <w:autoSpaceDE/>
        <w:autoSpaceDN/>
        <w:bidi w:val="0"/>
        <w:adjustRightInd/>
        <w:snapToGrid/>
        <w:spacing w:before="156" w:after="156"/>
        <w:textAlignment w:val="auto"/>
        <w:outlineLvl w:val="4"/>
      </w:pPr>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2.2.4</w:t>
      </w:r>
      <w:r>
        <w:rPr>
          <w:rFonts w:hint="eastAsia" w:ascii="黑体" w:hAnsi="Times New Roman" w:eastAsia="黑体" w:cs="Times New Roman"/>
          <w:b w:val="0"/>
          <w:i w:val="0"/>
          <w:kern w:val="21"/>
          <w:sz w:val="21"/>
          <w:lang w:val="en-US" w:eastAsia="zh-CN" w:bidi="ar-SA"/>
        </w:rPr>
        <w:t>.2　</w:t>
      </w:r>
      <w:r>
        <w:rPr>
          <w:color w:val="000000"/>
          <w:lang w:bidi="ar"/>
        </w:rPr>
        <w:t xml:space="preserve">工艺 </w:t>
      </w:r>
    </w:p>
    <w:p>
      <w:pPr>
        <w:pStyle w:val="67"/>
        <w:ind w:firstLine="420"/>
        <w:rPr>
          <w:rFonts w:hint="eastAsia"/>
          <w:lang w:bidi="ar"/>
        </w:rPr>
      </w:pPr>
      <w:r>
        <w:rPr>
          <w:rFonts w:hint="eastAsia"/>
          <w:lang w:bidi="ar"/>
        </w:rPr>
        <w:t xml:space="preserve">产品标准通常不包括生产工艺要求。当产品的性能和安全取决于产品工艺时，可规定工艺要求。为了保证产品性能和安全，需要限定工艺条件时，可规定工艺要求。 </w:t>
      </w:r>
    </w:p>
    <w:p>
      <w:pPr>
        <w:pStyle w:val="73"/>
        <w:keepNext w:val="0"/>
        <w:keepLines w:val="0"/>
        <w:pageBreakBefore w:val="0"/>
        <w:widowControl w:val="0"/>
        <w:numPr>
          <w:ilvl w:val="1"/>
          <w:numId w:val="0"/>
        </w:numPr>
        <w:kinsoku/>
        <w:wordWrap/>
        <w:overflowPunct/>
        <w:topLinePunct w:val="0"/>
        <w:autoSpaceDE/>
        <w:autoSpaceDN/>
        <w:bidi w:val="0"/>
        <w:adjustRightInd/>
        <w:snapToGrid/>
        <w:spacing w:before="156" w:after="156"/>
        <w:textAlignment w:val="auto"/>
        <w:outlineLvl w:val="2"/>
        <w:rPr>
          <w:rFonts w:hint="default" w:ascii="黑体" w:hAnsi="Times New Roman" w:eastAsia="黑体" w:cs="Times New Roman"/>
          <w:b w:val="0"/>
          <w:i w:val="0"/>
          <w:kern w:val="21"/>
          <w:sz w:val="21"/>
          <w:lang w:val="en-US" w:eastAsia="zh-CN" w:bidi="ar-SA"/>
        </w:rPr>
      </w:pPr>
      <w:bookmarkStart w:id="150" w:name="_Toc27920"/>
      <w:bookmarkStart w:id="151" w:name="_Toc32747"/>
      <w:bookmarkStart w:id="152" w:name="_Toc13192"/>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2.3  试验方法</w:t>
      </w:r>
      <w:bookmarkEnd w:id="150"/>
      <w:bookmarkEnd w:id="151"/>
      <w:bookmarkEnd w:id="152"/>
    </w:p>
    <w:p>
      <w:pPr>
        <w:pStyle w:val="67"/>
        <w:ind w:left="0" w:leftChars="0" w:firstLine="0" w:firstLineChars="0"/>
      </w:pPr>
      <w:r>
        <w:rPr>
          <w:rFonts w:hint="eastAsia" w:ascii="黑体" w:eastAsia="黑体"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.2.3.1</w:t>
      </w:r>
      <w:r>
        <w:rPr>
          <w:rFonts w:hint="eastAsia" w:ascii="黑体" w:eastAsia="黑体" w:cs="Times New Roman"/>
          <w:b w:val="0"/>
          <w:i w:val="0"/>
          <w:kern w:val="21"/>
          <w:sz w:val="21"/>
          <w:lang w:val="en-US" w:eastAsia="zh-CN" w:bidi="ar-SA"/>
        </w:rPr>
        <w:t xml:space="preserve">  </w:t>
      </w:r>
      <w:r>
        <w:rPr>
          <w:rFonts w:hint="eastAsia"/>
        </w:rPr>
        <w:t>所确定的要求应有相应的试验方法证实。对要求项目进行试验、测定、检查的方法统称为试验方法。在编写试验方法时，优先选用国家标准、行业标准中已有的方法，如没有的情况下，由企业本着经济合理的原则制定。</w:t>
      </w:r>
    </w:p>
    <w:p>
      <w:pPr>
        <w:pStyle w:val="73"/>
        <w:keepNext w:val="0"/>
        <w:keepLines w:val="0"/>
        <w:pageBreakBefore w:val="0"/>
        <w:widowControl w:val="0"/>
        <w:numPr>
          <w:ilvl w:val="1"/>
          <w:numId w:val="0"/>
        </w:numPr>
        <w:kinsoku/>
        <w:wordWrap/>
        <w:overflowPunct/>
        <w:topLinePunct w:val="0"/>
        <w:autoSpaceDE/>
        <w:autoSpaceDN/>
        <w:bidi w:val="0"/>
        <w:adjustRightInd/>
        <w:snapToGrid/>
        <w:spacing w:before="156" w:after="156"/>
        <w:textAlignment w:val="auto"/>
        <w:outlineLvl w:val="3"/>
      </w:pPr>
      <w:bookmarkStart w:id="153" w:name="_Toc17134"/>
      <w:bookmarkStart w:id="154" w:name="_Toc20001"/>
      <w:bookmarkStart w:id="155" w:name="_Toc7088"/>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.2</w:t>
      </w:r>
      <w:r>
        <w:rPr>
          <w:rFonts w:hint="eastAsia" w:cs="Times New Roman"/>
          <w:b w:val="0"/>
          <w:i w:val="0"/>
          <w:kern w:val="21"/>
          <w:sz w:val="21"/>
          <w:lang w:val="en-US" w:eastAsia="zh-CN" w:bidi="ar-SA"/>
        </w:rPr>
        <w:t>.3.2</w:t>
      </w:r>
      <w:r>
        <w:rPr>
          <w:rFonts w:hint="eastAsia" w:ascii="黑体" w:hAnsi="Times New Roman" w:eastAsia="黑体" w:cs="Times New Roman"/>
          <w:b w:val="0"/>
          <w:i w:val="0"/>
          <w:kern w:val="21"/>
          <w:sz w:val="21"/>
          <w:lang w:val="en-US" w:eastAsia="zh-CN" w:bidi="ar-SA"/>
        </w:rPr>
        <w:t>　</w:t>
      </w:r>
      <w:r>
        <w:rPr>
          <w:rFonts w:hint="eastAsia"/>
        </w:rPr>
        <w:t>试验方法内容</w:t>
      </w:r>
      <w:bookmarkEnd w:id="153"/>
      <w:bookmarkEnd w:id="154"/>
      <w:bookmarkEnd w:id="155"/>
    </w:p>
    <w:p>
      <w:pPr>
        <w:pStyle w:val="67"/>
        <w:ind w:firstLine="420"/>
      </w:pPr>
      <w:r>
        <w:rPr>
          <w:rFonts w:hint="eastAsia"/>
        </w:rPr>
        <w:t>试验方法中的内容一般包括：</w:t>
      </w:r>
    </w:p>
    <w:p>
      <w:pPr>
        <w:pStyle w:val="84"/>
      </w:pPr>
      <w:r>
        <w:rPr>
          <w:rFonts w:hint="eastAsia"/>
        </w:rPr>
        <w:t>方法原理</w:t>
      </w:r>
      <w:r>
        <w:rPr>
          <w:rFonts w:hint="eastAsia"/>
          <w:lang w:eastAsia="zh-CN"/>
        </w:rPr>
        <w:t>；</w:t>
      </w:r>
    </w:p>
    <w:p>
      <w:pPr>
        <w:pStyle w:val="84"/>
      </w:pPr>
      <w:r>
        <w:rPr>
          <w:rFonts w:hint="eastAsia"/>
        </w:rPr>
        <w:t>试剂中材料的要求；</w:t>
      </w:r>
    </w:p>
    <w:p>
      <w:pPr>
        <w:pStyle w:val="84"/>
      </w:pPr>
      <w:r>
        <w:rPr>
          <w:rFonts w:hint="eastAsia"/>
        </w:rPr>
        <w:t>试验仪器、设备均应规定名称、型号、精度等级；</w:t>
      </w:r>
    </w:p>
    <w:p>
      <w:pPr>
        <w:pStyle w:val="91"/>
      </w:pPr>
      <w:r>
        <w:rPr>
          <w:rFonts w:hint="eastAsia"/>
        </w:rPr>
        <w:t>确定试验仪器时只规定仪器的型号，精度等级，不规定生产厂家。</w:t>
      </w:r>
    </w:p>
    <w:p>
      <w:pPr>
        <w:pStyle w:val="84"/>
      </w:pPr>
      <w:r>
        <w:rPr>
          <w:rFonts w:hint="eastAsia"/>
        </w:rPr>
        <w:t>试验装置；</w:t>
      </w:r>
    </w:p>
    <w:p>
      <w:pPr>
        <w:pStyle w:val="84"/>
      </w:pPr>
      <w:r>
        <w:rPr>
          <w:rFonts w:hint="eastAsia"/>
        </w:rPr>
        <w:t>试样及其制备；</w:t>
      </w:r>
    </w:p>
    <w:p>
      <w:pPr>
        <w:pStyle w:val="84"/>
      </w:pPr>
      <w:r>
        <w:rPr>
          <w:rFonts w:hint="eastAsia"/>
        </w:rPr>
        <w:t>试验条件；</w:t>
      </w:r>
    </w:p>
    <w:p>
      <w:pPr>
        <w:pStyle w:val="84"/>
      </w:pPr>
      <w:r>
        <w:rPr>
          <w:rFonts w:hint="eastAsia"/>
        </w:rPr>
        <w:t>试验程序；</w:t>
      </w:r>
    </w:p>
    <w:p>
      <w:pPr>
        <w:pStyle w:val="84"/>
      </w:pPr>
      <w:r>
        <w:rPr>
          <w:rFonts w:hint="eastAsia"/>
        </w:rPr>
        <w:t>试验结果的计算和评定；</w:t>
      </w:r>
    </w:p>
    <w:p>
      <w:pPr>
        <w:pStyle w:val="84"/>
      </w:pPr>
      <w:r>
        <w:rPr>
          <w:rFonts w:hint="eastAsia"/>
        </w:rPr>
        <w:t>精密度或允许误差；</w:t>
      </w:r>
    </w:p>
    <w:p>
      <w:pPr>
        <w:pStyle w:val="84"/>
      </w:pPr>
      <w:r>
        <w:rPr>
          <w:rFonts w:hint="eastAsia"/>
        </w:rPr>
        <w:t>其他。</w:t>
      </w:r>
    </w:p>
    <w:p>
      <w:pPr>
        <w:pStyle w:val="73"/>
        <w:keepNext w:val="0"/>
        <w:keepLines w:val="0"/>
        <w:pageBreakBefore w:val="0"/>
        <w:widowControl w:val="0"/>
        <w:numPr>
          <w:ilvl w:val="1"/>
          <w:numId w:val="0"/>
        </w:numPr>
        <w:kinsoku/>
        <w:wordWrap/>
        <w:overflowPunct/>
        <w:topLinePunct w:val="0"/>
        <w:autoSpaceDE/>
        <w:autoSpaceDN/>
        <w:bidi w:val="0"/>
        <w:adjustRightInd/>
        <w:snapToGrid/>
        <w:spacing w:before="156" w:after="156"/>
        <w:textAlignment w:val="auto"/>
        <w:outlineLvl w:val="3"/>
      </w:pPr>
      <w:bookmarkStart w:id="156" w:name="_Toc32752"/>
      <w:bookmarkStart w:id="157" w:name="_Toc12379"/>
      <w:bookmarkStart w:id="158" w:name="_Toc20195"/>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w:t>
      </w:r>
      <w:r>
        <w:rPr>
          <w:rFonts w:hint="eastAsia" w:ascii="黑体" w:hAnsi="Times New Roman" w:eastAsia="黑体" w:cs="Times New Roman"/>
          <w:b w:val="0"/>
          <w:i w:val="0"/>
          <w:kern w:val="21"/>
          <w:sz w:val="21"/>
          <w:lang w:val="en-US" w:eastAsia="zh-CN" w:bidi="ar-SA"/>
        </w:rPr>
        <w:t>3</w:t>
      </w:r>
      <w:r>
        <w:rPr>
          <w:rFonts w:hint="eastAsia" w:cs="Times New Roman"/>
          <w:b w:val="0"/>
          <w:i w:val="0"/>
          <w:kern w:val="21"/>
          <w:sz w:val="21"/>
          <w:lang w:val="en-US" w:eastAsia="zh-CN" w:bidi="ar-SA"/>
        </w:rPr>
        <w:t>.3</w:t>
      </w:r>
      <w:r>
        <w:rPr>
          <w:rFonts w:hint="eastAsia" w:ascii="黑体" w:hAnsi="Times New Roman" w:eastAsia="黑体" w:cs="Times New Roman"/>
          <w:b w:val="0"/>
          <w:i w:val="0"/>
          <w:kern w:val="21"/>
          <w:sz w:val="21"/>
          <w:lang w:val="en-US" w:eastAsia="zh-CN" w:bidi="ar-SA"/>
        </w:rPr>
        <w:t>　</w:t>
      </w:r>
      <w:r>
        <w:rPr>
          <w:rFonts w:hint="eastAsia"/>
        </w:rPr>
        <w:t>试验方法应用</w:t>
      </w:r>
      <w:bookmarkEnd w:id="156"/>
      <w:bookmarkEnd w:id="157"/>
      <w:bookmarkEnd w:id="158"/>
    </w:p>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59" w:name="_Toc15731"/>
      <w:bookmarkStart w:id="160" w:name="_Toc1614"/>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w:t>
      </w:r>
      <w:r>
        <w:rPr>
          <w:rFonts w:hint="eastAsia" w:ascii="黑体" w:hAnsi="Times New Roman" w:eastAsia="黑体" w:cs="Times New Roman"/>
          <w:b w:val="0"/>
          <w:i w:val="0"/>
          <w:kern w:val="21"/>
          <w:sz w:val="21"/>
          <w:lang w:val="en-US" w:eastAsia="zh-CN" w:bidi="ar-SA"/>
        </w:rPr>
        <w:t>3.</w:t>
      </w:r>
      <w:r>
        <w:rPr>
          <w:rFonts w:hint="eastAsia" w:cs="Times New Roman"/>
          <w:b w:val="0"/>
          <w:i w:val="0"/>
          <w:kern w:val="21"/>
          <w:sz w:val="21"/>
          <w:lang w:val="en-US" w:eastAsia="zh-CN" w:bidi="ar-SA"/>
        </w:rPr>
        <w:t>3.1</w:t>
      </w:r>
      <w:r>
        <w:rPr>
          <w:rFonts w:hint="eastAsia" w:ascii="黑体" w:hAnsi="Times New Roman" w:eastAsia="黑体" w:cs="Times New Roman"/>
          <w:b w:val="0"/>
          <w:i w:val="0"/>
          <w:kern w:val="21"/>
          <w:sz w:val="21"/>
          <w:lang w:val="en-US" w:eastAsia="zh-CN" w:bidi="ar-SA"/>
        </w:rPr>
        <w:t>　</w:t>
      </w:r>
      <w:r>
        <w:rPr>
          <w:rFonts w:hint="eastAsia"/>
        </w:rPr>
        <w:t>外观检验</w:t>
      </w:r>
      <w:bookmarkEnd w:id="159"/>
      <w:bookmarkEnd w:id="160"/>
    </w:p>
    <w:p>
      <w:pPr>
        <w:pStyle w:val="67"/>
        <w:ind w:firstLine="420"/>
      </w:pPr>
      <w:r>
        <w:rPr>
          <w:rFonts w:hint="eastAsia"/>
        </w:rPr>
        <w:t>凭味觉、嗅觉、视觉、触觉等正常的感觉器官检验，或与标准试样比对。</w:t>
      </w:r>
    </w:p>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61" w:name="_Toc21334"/>
      <w:bookmarkStart w:id="162" w:name="_Toc5760"/>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w:t>
      </w:r>
      <w:r>
        <w:rPr>
          <w:rFonts w:hint="eastAsia" w:ascii="黑体" w:hAnsi="Times New Roman" w:eastAsia="黑体" w:cs="Times New Roman"/>
          <w:b w:val="0"/>
          <w:i w:val="0"/>
          <w:kern w:val="21"/>
          <w:sz w:val="21"/>
          <w:lang w:val="en-US" w:eastAsia="zh-CN" w:bidi="ar-SA"/>
        </w:rPr>
        <w:t>3.</w:t>
      </w:r>
      <w:r>
        <w:rPr>
          <w:rFonts w:hint="eastAsia" w:cs="Times New Roman"/>
          <w:b w:val="0"/>
          <w:i w:val="0"/>
          <w:kern w:val="21"/>
          <w:sz w:val="21"/>
          <w:lang w:val="en-US" w:eastAsia="zh-CN" w:bidi="ar-SA"/>
        </w:rPr>
        <w:t>3.</w:t>
      </w:r>
      <w:r>
        <w:rPr>
          <w:rFonts w:hint="eastAsia" w:ascii="黑体" w:hAnsi="Times New Roman" w:eastAsia="黑体" w:cs="Times New Roman"/>
          <w:b w:val="0"/>
          <w:i w:val="0"/>
          <w:kern w:val="21"/>
          <w:sz w:val="21"/>
          <w:lang w:val="en-US" w:eastAsia="zh-CN" w:bidi="ar-SA"/>
        </w:rPr>
        <w:t>2　</w:t>
      </w:r>
      <w:r>
        <w:rPr>
          <w:rFonts w:hint="eastAsia"/>
        </w:rPr>
        <w:t>使用性能</w:t>
      </w:r>
      <w:bookmarkEnd w:id="161"/>
      <w:bookmarkEnd w:id="162"/>
    </w:p>
    <w:p>
      <w:pPr>
        <w:pStyle w:val="67"/>
        <w:ind w:firstLine="420"/>
      </w:pPr>
      <w:r>
        <w:rPr>
          <w:rFonts w:hint="eastAsia"/>
        </w:rPr>
        <w:t>按国家标准、行业标准中已有的方法进行试验，如果没有现实可行的国家标准、行业标准，试验顺序可按要求的顺序进行，也可按产品或试验设备的工作顺序进行。</w:t>
      </w:r>
    </w:p>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pPr>
      <w:bookmarkStart w:id="163" w:name="_Toc22519"/>
      <w:bookmarkStart w:id="164" w:name="_Toc16089"/>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w:t>
      </w:r>
      <w:r>
        <w:rPr>
          <w:rFonts w:hint="eastAsia" w:ascii="黑体" w:hAnsi="Times New Roman" w:eastAsia="黑体" w:cs="Times New Roman"/>
          <w:b w:val="0"/>
          <w:i w:val="0"/>
          <w:kern w:val="21"/>
          <w:sz w:val="21"/>
          <w:lang w:val="en-US" w:eastAsia="zh-CN" w:bidi="ar-SA"/>
        </w:rPr>
        <w:t>3.</w:t>
      </w:r>
      <w:r>
        <w:rPr>
          <w:rFonts w:hint="eastAsia" w:cs="Times New Roman"/>
          <w:b w:val="0"/>
          <w:i w:val="0"/>
          <w:kern w:val="21"/>
          <w:sz w:val="21"/>
          <w:lang w:val="en-US" w:eastAsia="zh-CN" w:bidi="ar-SA"/>
        </w:rPr>
        <w:t>3.</w:t>
      </w:r>
      <w:r>
        <w:rPr>
          <w:rFonts w:hint="eastAsia" w:ascii="黑体" w:hAnsi="Times New Roman" w:eastAsia="黑体" w:cs="Times New Roman"/>
          <w:b w:val="0"/>
          <w:i w:val="0"/>
          <w:kern w:val="21"/>
          <w:sz w:val="21"/>
          <w:lang w:val="en-US" w:eastAsia="zh-CN" w:bidi="ar-SA"/>
        </w:rPr>
        <w:t>3　</w:t>
      </w:r>
      <w:r>
        <w:rPr>
          <w:rFonts w:hint="eastAsia"/>
        </w:rPr>
        <w:t>理化性能</w:t>
      </w:r>
      <w:bookmarkEnd w:id="163"/>
      <w:bookmarkEnd w:id="164"/>
    </w:p>
    <w:p>
      <w:pPr>
        <w:pStyle w:val="67"/>
        <w:ind w:firstLine="420"/>
      </w:pPr>
      <w:r>
        <w:rPr>
          <w:rFonts w:hint="eastAsia"/>
        </w:rPr>
        <w:t>按国家标准、行业标准中已有的方法进行试验，如果没有现实可行的国家标准、行业标准企业应自定试验方法。试验顺序是按程序进行。</w:t>
      </w:r>
    </w:p>
    <w:p>
      <w:pPr>
        <w:pStyle w:val="90"/>
        <w:keepNext w:val="0"/>
        <w:keepLines w:val="0"/>
        <w:pageBreakBefore w:val="0"/>
        <w:widowControl/>
        <w:numPr>
          <w:ilvl w:val="2"/>
          <w:numId w:val="0"/>
        </w:numPr>
        <w:kinsoku/>
        <w:wordWrap w:val="0"/>
        <w:overflowPunct w:val="0"/>
        <w:topLinePunct w:val="0"/>
        <w:autoSpaceDE/>
        <w:autoSpaceDN/>
        <w:bidi w:val="0"/>
        <w:adjustRightInd/>
        <w:snapToGrid/>
        <w:spacing w:before="156" w:after="156"/>
        <w:textAlignment w:val="baseline"/>
        <w:outlineLvl w:val="4"/>
        <w:rPr>
          <w:rFonts w:hint="eastAsia" w:cs="Times New Roman"/>
          <w:b w:val="0"/>
          <w:i w:val="0"/>
          <w:kern w:val="21"/>
          <w:sz w:val="21"/>
          <w:lang w:val="en-US" w:eastAsia="zh-CN" w:bidi="ar-SA"/>
        </w:rPr>
      </w:pPr>
      <w:r>
        <w:rPr>
          <w:rFonts w:hint="eastAsia" w:cs="Times New Roman"/>
          <w:b w:val="0"/>
          <w:i w:val="0"/>
          <w:kern w:val="21"/>
          <w:sz w:val="21"/>
          <w:lang w:val="en-US" w:eastAsia="zh-CN" w:bidi="ar-SA"/>
        </w:rPr>
        <w:t>C.2.3.3.4　其他</w:t>
      </w:r>
    </w:p>
    <w:p>
      <w:pPr>
        <w:pStyle w:val="92"/>
        <w:keepNext w:val="0"/>
        <w:keepLines w:val="0"/>
        <w:pageBreakBefore w:val="0"/>
        <w:widowControl/>
        <w:numPr>
          <w:ilvl w:val="2"/>
          <w:numId w:val="0"/>
        </w:numPr>
        <w:kinsoku/>
        <w:wordWrap w:val="0"/>
        <w:overflowPunct w:val="0"/>
        <w:topLinePunct w:val="0"/>
        <w:autoSpaceDE w:val="0"/>
        <w:autoSpaceDN w:val="0"/>
        <w:bidi w:val="0"/>
        <w:adjustRightInd/>
        <w:snapToGrid/>
        <w:spacing w:line="240" w:lineRule="auto"/>
        <w:ind w:firstLine="420" w:firstLineChars="200"/>
        <w:textAlignment w:val="baseline"/>
      </w:pPr>
      <w:r>
        <w:rPr>
          <w:rFonts w:hint="eastAsia"/>
        </w:rPr>
        <w:t>其他试验方法由企业自行规定。安全、卫生和环境保护试验、职业健康、资源合理利用等方面应执行</w:t>
      </w:r>
      <w:r>
        <w:rPr>
          <w:rFonts w:hint="eastAsia"/>
          <w:lang w:val="en-US" w:eastAsia="zh-CN"/>
        </w:rPr>
        <w:t>国家、行业</w:t>
      </w:r>
      <w:r>
        <w:rPr>
          <w:rFonts w:hint="eastAsia"/>
        </w:rPr>
        <w:t>强制性标准。</w:t>
      </w:r>
    </w:p>
    <w:p>
      <w:pPr>
        <w:pStyle w:val="73"/>
        <w:keepNext w:val="0"/>
        <w:keepLines w:val="0"/>
        <w:pageBreakBefore w:val="0"/>
        <w:widowControl w:val="0"/>
        <w:numPr>
          <w:ilvl w:val="1"/>
          <w:numId w:val="0"/>
        </w:numPr>
        <w:kinsoku/>
        <w:wordWrap/>
        <w:overflowPunct/>
        <w:topLinePunct w:val="0"/>
        <w:autoSpaceDE/>
        <w:autoSpaceDN/>
        <w:bidi w:val="0"/>
        <w:adjustRightInd/>
        <w:snapToGrid/>
        <w:spacing w:before="156" w:after="156"/>
        <w:textAlignment w:val="auto"/>
        <w:outlineLvl w:val="3"/>
      </w:pPr>
      <w:bookmarkStart w:id="165" w:name="_Toc27511"/>
      <w:bookmarkStart w:id="166" w:name="_Toc1249"/>
      <w:bookmarkStart w:id="167" w:name="_Toc4234"/>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w:t>
      </w:r>
      <w:r>
        <w:rPr>
          <w:rFonts w:hint="eastAsia" w:ascii="黑体" w:hAnsi="Times New Roman" w:eastAsia="黑体" w:cs="Times New Roman"/>
          <w:b w:val="0"/>
          <w:i w:val="0"/>
          <w:kern w:val="21"/>
          <w:sz w:val="21"/>
          <w:lang w:val="en-US" w:eastAsia="zh-CN" w:bidi="ar-SA"/>
        </w:rPr>
        <w:t>3</w:t>
      </w:r>
      <w:r>
        <w:rPr>
          <w:rFonts w:hint="eastAsia" w:cs="Times New Roman"/>
          <w:b w:val="0"/>
          <w:i w:val="0"/>
          <w:kern w:val="21"/>
          <w:sz w:val="21"/>
          <w:lang w:val="en-US" w:eastAsia="zh-CN" w:bidi="ar-SA"/>
        </w:rPr>
        <w:t>.4</w:t>
      </w:r>
      <w:r>
        <w:rPr>
          <w:rFonts w:hint="eastAsia" w:ascii="黑体" w:hAnsi="Times New Roman" w:eastAsia="黑体" w:cs="Times New Roman"/>
          <w:b w:val="0"/>
          <w:i w:val="0"/>
          <w:kern w:val="21"/>
          <w:sz w:val="21"/>
          <w:lang w:val="en-US" w:eastAsia="zh-CN" w:bidi="ar-SA"/>
        </w:rPr>
        <w:t>　</w:t>
      </w:r>
      <w:r>
        <w:rPr>
          <w:rFonts w:hint="eastAsia"/>
        </w:rPr>
        <w:t>编写试验方法的注意事项</w:t>
      </w:r>
      <w:bookmarkEnd w:id="165"/>
      <w:bookmarkEnd w:id="166"/>
      <w:bookmarkEnd w:id="167"/>
    </w:p>
    <w:p>
      <w:pPr>
        <w:pStyle w:val="67"/>
        <w:ind w:firstLine="420"/>
      </w:pPr>
      <w:r>
        <w:rPr>
          <w:rFonts w:hint="eastAsia"/>
        </w:rPr>
        <w:t>编写试验方法时应注意：</w:t>
      </w:r>
    </w:p>
    <w:p>
      <w:pPr>
        <w:pStyle w:val="84"/>
      </w:pPr>
      <w:r>
        <w:rPr>
          <w:rFonts w:hint="eastAsia"/>
        </w:rPr>
        <w:t>编写试验方法应与要求的条文对应。一般情况下，一项要求只规定一种试验方法。如规定两种或两种以上试验方法时，应规定仲裁方法；</w:t>
      </w:r>
    </w:p>
    <w:p>
      <w:pPr>
        <w:pStyle w:val="84"/>
      </w:pPr>
      <w:r>
        <w:rPr>
          <w:rFonts w:hint="eastAsia"/>
        </w:rPr>
        <w:t>如已有国家标准、行业标准试验方法的，要优先采用，特别是强制性标准规定的试验方法；</w:t>
      </w:r>
    </w:p>
    <w:p>
      <w:pPr>
        <w:pStyle w:val="84"/>
      </w:pPr>
      <w:r>
        <w:rPr>
          <w:rFonts w:hint="eastAsia"/>
        </w:rPr>
        <w:t>对于有害物质的试样和可能有某种危险的试验方法应加以明确说明，并对预防措施做出严格的规定。</w:t>
      </w:r>
    </w:p>
    <w:p>
      <w:pPr>
        <w:pStyle w:val="65"/>
        <w:numPr>
          <w:ilvl w:val="2"/>
          <w:numId w:val="0"/>
        </w:numPr>
        <w:spacing w:before="156" w:after="156"/>
        <w:ind w:leftChars="0"/>
      </w:pPr>
      <w:bookmarkStart w:id="168" w:name="_Toc29722"/>
      <w:bookmarkStart w:id="169" w:name="_Toc5094"/>
      <w:bookmarkStart w:id="170" w:name="_Toc12400"/>
      <w:r>
        <w:rPr>
          <w:rFonts w:hint="eastAsia" w:cs="Times New Roman"/>
          <w:b w:val="0"/>
          <w:i w:val="0"/>
          <w:kern w:val="21"/>
          <w:sz w:val="21"/>
          <w:lang w:val="en-US" w:eastAsia="zh-CN" w:bidi="ar-SA"/>
        </w:rPr>
        <w:t>C</w:t>
      </w:r>
      <w:r>
        <w:rPr>
          <w:rFonts w:hint="eastAsia" w:ascii="黑体" w:hAnsi="Times New Roman" w:eastAsia="黑体" w:cs="Times New Roman"/>
          <w:b w:val="0"/>
          <w:i w:val="0"/>
          <w:kern w:val="21"/>
          <w:sz w:val="21"/>
          <w:lang w:val="en-US" w:eastAsia="zh-CN" w:bidi="ar-SA"/>
        </w:rPr>
        <w:t>.</w:t>
      </w:r>
      <w:r>
        <w:rPr>
          <w:rFonts w:hint="eastAsia" w:cs="Times New Roman"/>
          <w:b w:val="0"/>
          <w:i w:val="0"/>
          <w:kern w:val="21"/>
          <w:sz w:val="21"/>
          <w:lang w:val="en-US" w:eastAsia="zh-CN" w:bidi="ar-SA"/>
        </w:rPr>
        <w:t>2.4</w:t>
      </w:r>
      <w:r>
        <w:rPr>
          <w:rFonts w:hint="eastAsia"/>
          <w:lang w:val="en-US" w:eastAsia="zh-CN"/>
        </w:rPr>
        <w:t xml:space="preserve">  企业产品</w:t>
      </w:r>
      <w:r>
        <w:rPr>
          <w:rFonts w:hint="eastAsia"/>
        </w:rPr>
        <w:t>标准复审</w:t>
      </w:r>
      <w:bookmarkEnd w:id="168"/>
      <w:bookmarkEnd w:id="169"/>
      <w:bookmarkEnd w:id="170"/>
    </w:p>
    <w:p>
      <w:pPr>
        <w:pStyle w:val="67"/>
        <w:rPr>
          <w:rFonts w:hint="eastAsia"/>
          <w:lang w:val="en-US" w:eastAsia="zh-CN"/>
        </w:rPr>
      </w:pPr>
      <w:r>
        <w:rPr>
          <w:rFonts w:hint="eastAsia"/>
        </w:rPr>
        <w:t>企业应根据生产技术条件改变和产品更新需求及时复审企业产品标准</w:t>
      </w:r>
      <w:r>
        <w:rPr>
          <w:rFonts w:hint="eastAsia"/>
          <w:lang w:eastAsia="zh-CN"/>
        </w:rPr>
        <w:t>，复审周期一般不超过三年</w:t>
      </w:r>
      <w:r>
        <w:rPr>
          <w:rFonts w:hint="eastAsia"/>
        </w:rPr>
        <w:t>。</w:t>
      </w:r>
      <w:r>
        <w:rPr>
          <w:rFonts w:hint="eastAsia"/>
          <w:lang w:val="en-US" w:eastAsia="zh-CN"/>
        </w:rPr>
        <w:t>有以下情形之一的，企业及时对企业产品标准进行修订或废止，相关标准信息重新进行自我声明公开：</w:t>
      </w:r>
    </w:p>
    <w:p>
      <w:pPr>
        <w:pStyle w:val="67"/>
        <w:numPr>
          <w:ilvl w:val="0"/>
          <w:numId w:val="16"/>
        </w:numPr>
        <w:rPr>
          <w:rFonts w:hint="default"/>
          <w:lang w:val="en-US" w:eastAsia="zh-CN"/>
        </w:rPr>
      </w:pPr>
      <w:r>
        <w:rPr>
          <w:rFonts w:hint="eastAsia"/>
          <w:lang w:val="en-US" w:eastAsia="zh-CN"/>
        </w:rPr>
        <w:t>相关法律法规修改或废止；</w:t>
      </w:r>
    </w:p>
    <w:p>
      <w:pPr>
        <w:pStyle w:val="67"/>
        <w:numPr>
          <w:ilvl w:val="0"/>
          <w:numId w:val="16"/>
        </w:numPr>
        <w:rPr>
          <w:rFonts w:hint="default"/>
          <w:lang w:val="en-US" w:eastAsia="zh-CN"/>
        </w:rPr>
      </w:pPr>
      <w:r>
        <w:rPr>
          <w:rFonts w:hint="eastAsia"/>
          <w:lang w:val="en-US" w:eastAsia="zh-CN"/>
        </w:rPr>
        <w:t>相关政策发生重大调整；</w:t>
      </w:r>
    </w:p>
    <w:p>
      <w:pPr>
        <w:pStyle w:val="67"/>
        <w:numPr>
          <w:ilvl w:val="0"/>
          <w:numId w:val="16"/>
        </w:numPr>
        <w:rPr>
          <w:rFonts w:hint="default"/>
          <w:lang w:val="en-US" w:eastAsia="zh-CN"/>
        </w:rPr>
      </w:pPr>
      <w:r>
        <w:rPr>
          <w:rFonts w:hint="eastAsia"/>
          <w:lang w:val="en-US" w:eastAsia="zh-CN"/>
        </w:rPr>
        <w:t>相关国家标准、行业标准、地方标准修订或废止；</w:t>
      </w:r>
    </w:p>
    <w:p>
      <w:pPr>
        <w:pStyle w:val="67"/>
        <w:numPr>
          <w:ilvl w:val="0"/>
          <w:numId w:val="16"/>
        </w:numPr>
        <w:rPr>
          <w:rFonts w:hint="default"/>
          <w:lang w:val="en-US" w:eastAsia="zh-CN"/>
        </w:rPr>
      </w:pPr>
      <w:r>
        <w:rPr>
          <w:rFonts w:hint="eastAsia"/>
          <w:lang w:val="en-US" w:eastAsia="zh-CN"/>
        </w:rPr>
        <w:t>涉及的关键技术、使用条件发生重大变化；</w:t>
      </w:r>
    </w:p>
    <w:p>
      <w:pPr>
        <w:pStyle w:val="67"/>
        <w:numPr>
          <w:ilvl w:val="0"/>
          <w:numId w:val="16"/>
        </w:numPr>
        <w:rPr>
          <w:rFonts w:hint="default"/>
          <w:lang w:val="en-US" w:eastAsia="zh-CN"/>
        </w:rPr>
      </w:pPr>
      <w:r>
        <w:rPr>
          <w:rFonts w:hint="eastAsia"/>
          <w:lang w:val="en-US" w:eastAsia="zh-CN"/>
        </w:rPr>
        <w:t>其他应修订或废止的情形。</w:t>
      </w:r>
    </w:p>
    <w:p>
      <w:pPr>
        <w:pStyle w:val="67"/>
      </w:pPr>
      <w:r>
        <w:rPr>
          <w:rFonts w:hint="eastAsia"/>
          <w:lang w:val="en-US" w:eastAsia="zh-CN"/>
        </w:rPr>
        <w:t>企业名称发生变更的，应以新企业名称重新办理企业产品标准自我声明公开。</w:t>
      </w:r>
    </w:p>
    <w:p>
      <w:pPr>
        <w:bidi w:val="0"/>
      </w:pPr>
    </w:p>
    <w:p>
      <w:pPr>
        <w:tabs>
          <w:tab w:val="left" w:pos="6335"/>
        </w:tabs>
        <w:bidi w:val="0"/>
        <w:jc w:val="left"/>
        <w:rPr>
          <w:rFonts w:hint="default" w:ascii="黑体" w:hAnsi="黑体" w:eastAsia="黑体" w:cs="黑体"/>
          <w:sz w:val="18"/>
          <w:szCs w:val="18"/>
          <w:lang w:val="en-US" w:eastAsia="zh-CN"/>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fill on="f" focussize="0,0"/>
                <v:stroke color="#000000" joinstyle="round"/>
                <v:imagedata o:title=""/>
                <o:lock v:ext="edit" aspectratio="f"/>
              </v:shape>
            </w:pict>
          </mc:Fallback>
        </mc:AlternateContent>
      </w:r>
    </w:p>
    <w:sectPr>
      <w:headerReference r:id="rId23" w:type="default"/>
      <w:footerReference r:id="rId25" w:type="default"/>
      <w:headerReference r:id="rId24" w:type="even"/>
      <w:footerReference r:id="rId26" w:type="even"/>
      <w:pgSz w:w="11906" w:h="16838"/>
      <w:pgMar w:top="1417" w:right="1134" w:bottom="1134" w:left="1418" w:header="1417" w:footer="1134" w:gutter="0"/>
      <w:pgNumType w:fmt="decimal" w:start="6"/>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2C978E-BA3E-444E-B98D-AB6FC1C1AB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813B8DDA-4E11-4EB7-BF55-D14CC93FF809}"/>
  </w:font>
  <w:font w:name="Dotum,Bold">
    <w:altName w:val="黑体"/>
    <w:panose1 w:val="00000000000000000000"/>
    <w:charset w:val="86"/>
    <w:family w:val="auto"/>
    <w:pitch w:val="default"/>
    <w:sig w:usb0="00000000" w:usb1="00000000" w:usb2="00000010" w:usb3="00000000" w:csb0="00040000" w:csb1="00000000"/>
    <w:embedRegular r:id="rId3" w:fontKey="{E8349F4A-3419-4494-8508-15331B78962C}"/>
  </w:font>
  <w:font w:name="SimSun,Bold">
    <w:altName w:val="黑体"/>
    <w:panose1 w:val="00000000000000000000"/>
    <w:charset w:val="86"/>
    <w:family w:val="auto"/>
    <w:pitch w:val="default"/>
    <w:sig w:usb0="00000000" w:usb1="00000000" w:usb2="00000010" w:usb3="00000000" w:csb0="00040000" w:csb1="00000000"/>
    <w:embedRegular r:id="rId4" w:fontKey="{0F8F252C-2CB9-4FA9-8B0F-A489025C7BD2}"/>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left"/>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XXXX—20</w:t>
    </w:r>
    <w:r>
      <w:rPr>
        <w:rFonts w:hint="eastAsia" w:ascii="黑体" w:hAnsi="黑体" w:eastAsia="黑体"/>
        <w:lang w:val="en-US" w:eastAsia="zh-CN"/>
      </w:rPr>
      <w:t>24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both"/>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lang w:val="en-US" w:eastAsia="zh-CN"/>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lang w:val="en-US" w:eastAsia="zh-CN"/>
      </w:rPr>
      <w:t>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XXXX—2</w:t>
    </w:r>
    <w:r>
      <w:rPr>
        <w:rFonts w:hint="eastAsia" w:ascii="黑体" w:hAnsi="黑体" w:eastAsia="黑体"/>
        <w:lang w:val="en-US" w:eastAsia="zh-CN"/>
      </w:rPr>
      <w:t>024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lang w:val="en-US" w:eastAsia="zh-CN"/>
      </w:rPr>
      <w:t>4</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r>
      <w:rPr>
        <w:rFonts w:hint="eastAsia" w:ascii="黑体" w:hAnsi="黑体" w:eastAsia="黑体"/>
      </w:rPr>
      <w:t>DB32</w:t>
    </w:r>
    <w:r>
      <w:rPr>
        <w:rFonts w:ascii="黑体" w:hAnsi="黑体" w:eastAsia="黑体"/>
      </w:rPr>
      <w:t>05</w:t>
    </w:r>
    <w:r>
      <w:rPr>
        <w:rFonts w:hint="eastAsia" w:ascii="黑体" w:hAnsi="黑体" w:eastAsia="黑体"/>
      </w:rPr>
      <w:t>/T XXXX—2</w:t>
    </w:r>
    <w:r>
      <w:rPr>
        <w:rFonts w:hint="eastAsia" w:ascii="黑体" w:hAnsi="黑体" w:eastAsia="黑体"/>
        <w:lang w:val="en-US" w:eastAsia="zh-CN"/>
      </w:rPr>
      <w:t>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2F6D3B"/>
    <w:multiLevelType w:val="singleLevel"/>
    <w:tmpl w:val="C32F6D3B"/>
    <w:lvl w:ilvl="0" w:tentative="0">
      <w:start w:val="1"/>
      <w:numFmt w:val="lowerLetter"/>
      <w:suff w:val="space"/>
      <w:lvlText w:val="%1）"/>
      <w:lvlJc w:val="left"/>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0AE367E9"/>
    <w:multiLevelType w:val="multilevel"/>
    <w:tmpl w:val="0AE367E9"/>
    <w:lvl w:ilvl="0" w:tentative="0">
      <w:start w:val="1"/>
      <w:numFmt w:val="none"/>
      <w:pStyle w:val="88"/>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pStyle w:val="84"/>
      <w:suff w:val="nothing"/>
      <w:lvlText w:val="%1——"/>
      <w:lvlJc w:val="left"/>
      <w:pPr>
        <w:ind w:left="833" w:hanging="408"/>
      </w:pPr>
      <w:rPr>
        <w:rFonts w:hint="default" w:ascii="宋体" w:hAnsi="宋体" w:eastAsia="宋体" w:cs="宋体"/>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4C50F90"/>
    <w:multiLevelType w:val="multilevel"/>
    <w:tmpl w:val="44C50F90"/>
    <w:lvl w:ilvl="0" w:tentative="0">
      <w:start w:val="1"/>
      <w:numFmt w:val="lowerLetter"/>
      <w:pStyle w:val="83"/>
      <w:lvlText w:val="%1)"/>
      <w:lvlJc w:val="left"/>
      <w:pPr>
        <w:tabs>
          <w:tab w:val="left" w:pos="851"/>
        </w:tabs>
        <w:ind w:left="851" w:hanging="426"/>
      </w:pPr>
      <w:rPr>
        <w:rFonts w:hint="eastAsia" w:ascii="宋体" w:hAnsi="Times New Roman" w:eastAsia="宋体"/>
        <w:sz w:val="21"/>
      </w:rPr>
    </w:lvl>
    <w:lvl w:ilvl="1" w:tentative="0">
      <w:start w:val="1"/>
      <w:numFmt w:val="decimal"/>
      <w:pStyle w:val="85"/>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pStyle w:val="90"/>
      <w:suff w:val="nothing"/>
      <w:lvlText w:val="%1.%2.%3　"/>
      <w:lvlJc w:val="left"/>
      <w:pPr>
        <w:ind w:left="4410" w:firstLine="0"/>
      </w:pPr>
      <w:rPr>
        <w:rFonts w:hint="eastAsia" w:ascii="黑体" w:hAnsi="Times New Roman" w:eastAsia="黑体"/>
        <w:b w:val="0"/>
        <w:i w:val="0"/>
        <w:sz w:val="21"/>
      </w:rPr>
    </w:lvl>
    <w:lvl w:ilvl="3" w:tentative="0">
      <w:start w:val="1"/>
      <w:numFmt w:val="decimal"/>
      <w:pStyle w:val="87"/>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77"/>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DBF04F4"/>
    <w:multiLevelType w:val="multilevel"/>
    <w:tmpl w:val="6DBF04F4"/>
    <w:lvl w:ilvl="0" w:tentative="0">
      <w:start w:val="1"/>
      <w:numFmt w:val="none"/>
      <w:pStyle w:val="91"/>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3"/>
  </w:num>
  <w:num w:numId="4">
    <w:abstractNumId w:val="5"/>
  </w:num>
  <w:num w:numId="5">
    <w:abstractNumId w:val="12"/>
  </w:num>
  <w:num w:numId="6">
    <w:abstractNumId w:val="10"/>
  </w:num>
  <w:num w:numId="7">
    <w:abstractNumId w:val="9"/>
  </w:num>
  <w:num w:numId="8">
    <w:abstractNumId w:val="11"/>
  </w:num>
  <w:num w:numId="9">
    <w:abstractNumId w:val="7"/>
  </w:num>
  <w:num w:numId="10">
    <w:abstractNumId w:val="8"/>
  </w:num>
  <w:num w:numId="11">
    <w:abstractNumId w:val="6"/>
  </w:num>
  <w:num w:numId="12">
    <w:abstractNumId w:val="2"/>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4ZWIwZWIxN2JmZDk1NTFlMmNiMjUxZGU0NzU5ZGU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670DCF"/>
    <w:rsid w:val="034D2939"/>
    <w:rsid w:val="043164D2"/>
    <w:rsid w:val="04DB69C7"/>
    <w:rsid w:val="056C2AC8"/>
    <w:rsid w:val="07242D4A"/>
    <w:rsid w:val="078D3A1F"/>
    <w:rsid w:val="08D94A4A"/>
    <w:rsid w:val="09332050"/>
    <w:rsid w:val="09652865"/>
    <w:rsid w:val="097D3D26"/>
    <w:rsid w:val="0ADA2F69"/>
    <w:rsid w:val="0AE10BBF"/>
    <w:rsid w:val="0B4B7E79"/>
    <w:rsid w:val="0BBA5614"/>
    <w:rsid w:val="0BBD0185"/>
    <w:rsid w:val="0D011260"/>
    <w:rsid w:val="0F5D4929"/>
    <w:rsid w:val="10F22B45"/>
    <w:rsid w:val="11EA4A5D"/>
    <w:rsid w:val="123426ED"/>
    <w:rsid w:val="1330335A"/>
    <w:rsid w:val="13492913"/>
    <w:rsid w:val="140915D6"/>
    <w:rsid w:val="14AB42D7"/>
    <w:rsid w:val="159863B1"/>
    <w:rsid w:val="1614131D"/>
    <w:rsid w:val="16B6476F"/>
    <w:rsid w:val="1986454E"/>
    <w:rsid w:val="19BD2F50"/>
    <w:rsid w:val="19D653D3"/>
    <w:rsid w:val="19E576EB"/>
    <w:rsid w:val="1A9F3EA8"/>
    <w:rsid w:val="1AF62448"/>
    <w:rsid w:val="1CE617B0"/>
    <w:rsid w:val="1D475092"/>
    <w:rsid w:val="1E901E0D"/>
    <w:rsid w:val="1EFC4C0E"/>
    <w:rsid w:val="1F3709E9"/>
    <w:rsid w:val="1F5511FE"/>
    <w:rsid w:val="1F791B4A"/>
    <w:rsid w:val="1FF922F7"/>
    <w:rsid w:val="203A6C9D"/>
    <w:rsid w:val="235D1A58"/>
    <w:rsid w:val="23893375"/>
    <w:rsid w:val="23D049E7"/>
    <w:rsid w:val="24F31A54"/>
    <w:rsid w:val="262E49A9"/>
    <w:rsid w:val="291C47AB"/>
    <w:rsid w:val="299E589B"/>
    <w:rsid w:val="29DD2289"/>
    <w:rsid w:val="2A0674B9"/>
    <w:rsid w:val="2A19342E"/>
    <w:rsid w:val="2A9E6EDA"/>
    <w:rsid w:val="2AC259E9"/>
    <w:rsid w:val="2F033AB7"/>
    <w:rsid w:val="2FC604F2"/>
    <w:rsid w:val="30512DC8"/>
    <w:rsid w:val="305807BF"/>
    <w:rsid w:val="30BA0FA5"/>
    <w:rsid w:val="32697E49"/>
    <w:rsid w:val="355276CD"/>
    <w:rsid w:val="37875802"/>
    <w:rsid w:val="397A5D84"/>
    <w:rsid w:val="3A38257A"/>
    <w:rsid w:val="3A773D1D"/>
    <w:rsid w:val="3B337E5E"/>
    <w:rsid w:val="3C153A08"/>
    <w:rsid w:val="3D6F398A"/>
    <w:rsid w:val="3D9E1027"/>
    <w:rsid w:val="3E6447D3"/>
    <w:rsid w:val="3FCB4391"/>
    <w:rsid w:val="407103DB"/>
    <w:rsid w:val="41DD26A1"/>
    <w:rsid w:val="430204EE"/>
    <w:rsid w:val="432D5ADB"/>
    <w:rsid w:val="455B5C08"/>
    <w:rsid w:val="459E4A6E"/>
    <w:rsid w:val="45A01C0B"/>
    <w:rsid w:val="45E5444B"/>
    <w:rsid w:val="46024881"/>
    <w:rsid w:val="46432AD9"/>
    <w:rsid w:val="48C6265B"/>
    <w:rsid w:val="491679AE"/>
    <w:rsid w:val="4CC8541E"/>
    <w:rsid w:val="4D7C7F66"/>
    <w:rsid w:val="4E497F1B"/>
    <w:rsid w:val="4E72372F"/>
    <w:rsid w:val="4E826BA1"/>
    <w:rsid w:val="4FB262DF"/>
    <w:rsid w:val="502913D8"/>
    <w:rsid w:val="506A1CDA"/>
    <w:rsid w:val="513145D7"/>
    <w:rsid w:val="51DB264E"/>
    <w:rsid w:val="52013E99"/>
    <w:rsid w:val="52884ADC"/>
    <w:rsid w:val="54EF45B2"/>
    <w:rsid w:val="561C68FE"/>
    <w:rsid w:val="56FA05E0"/>
    <w:rsid w:val="57205312"/>
    <w:rsid w:val="575B4970"/>
    <w:rsid w:val="58953240"/>
    <w:rsid w:val="58EA0B58"/>
    <w:rsid w:val="597102CD"/>
    <w:rsid w:val="5AA42EE1"/>
    <w:rsid w:val="5ADD04B0"/>
    <w:rsid w:val="5E127A94"/>
    <w:rsid w:val="5EC2103E"/>
    <w:rsid w:val="5F3651D2"/>
    <w:rsid w:val="61E0223F"/>
    <w:rsid w:val="62275A9D"/>
    <w:rsid w:val="62A274F4"/>
    <w:rsid w:val="63473BF7"/>
    <w:rsid w:val="64490C49"/>
    <w:rsid w:val="66832C22"/>
    <w:rsid w:val="67451519"/>
    <w:rsid w:val="68706054"/>
    <w:rsid w:val="688A0DE6"/>
    <w:rsid w:val="68917B90"/>
    <w:rsid w:val="68F02F9E"/>
    <w:rsid w:val="691D1DC4"/>
    <w:rsid w:val="693764BC"/>
    <w:rsid w:val="69CF4947"/>
    <w:rsid w:val="6A4626EF"/>
    <w:rsid w:val="6A7C706D"/>
    <w:rsid w:val="6ADF74D7"/>
    <w:rsid w:val="6BCA186A"/>
    <w:rsid w:val="6C0563E5"/>
    <w:rsid w:val="6C6C0C3F"/>
    <w:rsid w:val="6C89702F"/>
    <w:rsid w:val="6C917B8F"/>
    <w:rsid w:val="6D5E2D2B"/>
    <w:rsid w:val="6DAD049D"/>
    <w:rsid w:val="6ECD387A"/>
    <w:rsid w:val="6F2F03DB"/>
    <w:rsid w:val="6FF139B8"/>
    <w:rsid w:val="70064409"/>
    <w:rsid w:val="72127AC6"/>
    <w:rsid w:val="748E5C99"/>
    <w:rsid w:val="74BF2C7A"/>
    <w:rsid w:val="75682D8E"/>
    <w:rsid w:val="75A31161"/>
    <w:rsid w:val="75D25B10"/>
    <w:rsid w:val="76442929"/>
    <w:rsid w:val="76C27A63"/>
    <w:rsid w:val="795409C4"/>
    <w:rsid w:val="7AF60F49"/>
    <w:rsid w:val="7BBE3424"/>
    <w:rsid w:val="7E0328BC"/>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autoRedefine/>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autoRedefine/>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ind w:firstLine="420"/>
    </w:pPr>
  </w:style>
  <w:style w:type="paragraph" w:styleId="6">
    <w:name w:val="envelope return"/>
    <w:basedOn w:val="1"/>
    <w:autoRedefine/>
    <w:qFormat/>
    <w:uiPriority w:val="0"/>
    <w:pPr>
      <w:snapToGrid w:val="0"/>
    </w:pPr>
    <w:rPr>
      <w:rFonts w:ascii="Arial" w:hAnsi="Arial" w:eastAsia="仿宋_GB2312"/>
      <w:sz w:val="32"/>
    </w:rPr>
  </w:style>
  <w:style w:type="paragraph" w:styleId="7">
    <w:name w:val="annotation text"/>
    <w:basedOn w:val="1"/>
    <w:autoRedefine/>
    <w:semiHidden/>
    <w:unhideWhenUsed/>
    <w:qFormat/>
    <w:uiPriority w:val="99"/>
    <w:pPr>
      <w:jc w:val="left"/>
    </w:pPr>
  </w:style>
  <w:style w:type="paragraph" w:styleId="8">
    <w:name w:val="Body Text"/>
    <w:basedOn w:val="1"/>
    <w:autoRedefine/>
    <w:qFormat/>
    <w:uiPriority w:val="0"/>
  </w:style>
  <w:style w:type="paragraph" w:styleId="9">
    <w:name w:val="toc 3"/>
    <w:basedOn w:val="1"/>
    <w:next w:val="1"/>
    <w:autoRedefine/>
    <w:semiHidden/>
    <w:unhideWhenUsed/>
    <w:qFormat/>
    <w:uiPriority w:val="39"/>
    <w:pPr>
      <w:ind w:left="840" w:leftChars="400"/>
    </w:pPr>
  </w:style>
  <w:style w:type="paragraph" w:styleId="10">
    <w:name w:val="Date"/>
    <w:basedOn w:val="1"/>
    <w:next w:val="1"/>
    <w:link w:val="46"/>
    <w:autoRedefine/>
    <w:semiHidden/>
    <w:unhideWhenUsed/>
    <w:qFormat/>
    <w:uiPriority w:val="99"/>
    <w:pPr>
      <w:ind w:left="100" w:leftChars="2500"/>
    </w:pPr>
  </w:style>
  <w:style w:type="paragraph" w:styleId="11">
    <w:name w:val="Body Text Indent 2"/>
    <w:basedOn w:val="1"/>
    <w:link w:val="39"/>
    <w:autoRedefine/>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autoRedefine/>
    <w:semiHidden/>
    <w:unhideWhenUsed/>
    <w:qFormat/>
    <w:uiPriority w:val="99"/>
    <w:rPr>
      <w:sz w:val="18"/>
      <w:szCs w:val="18"/>
    </w:rPr>
  </w:style>
  <w:style w:type="paragraph" w:styleId="13">
    <w:name w:val="footer"/>
    <w:basedOn w:val="1"/>
    <w:link w:val="26"/>
    <w:autoRedefine/>
    <w:unhideWhenUsed/>
    <w:qFormat/>
    <w:uiPriority w:val="99"/>
    <w:pPr>
      <w:tabs>
        <w:tab w:val="center" w:pos="4153"/>
        <w:tab w:val="right" w:pos="8306"/>
      </w:tabs>
      <w:snapToGrid w:val="0"/>
      <w:jc w:val="left"/>
    </w:pPr>
    <w:rPr>
      <w:sz w:val="18"/>
      <w:szCs w:val="18"/>
    </w:rPr>
  </w:style>
  <w:style w:type="paragraph" w:styleId="14">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Subtitle"/>
    <w:basedOn w:val="1"/>
    <w:next w:val="1"/>
    <w:link w:val="35"/>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autoRedefine/>
    <w:unhideWhenUsed/>
    <w:qFormat/>
    <w:uiPriority w:val="39"/>
    <w:pPr>
      <w:tabs>
        <w:tab w:val="right" w:leader="dot" w:pos="9344"/>
      </w:tabs>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2"/>
    <w:autoRedefine/>
    <w:semiHidden/>
    <w:unhideWhenUsed/>
    <w:qFormat/>
    <w:uiPriority w:val="99"/>
    <w:rPr>
      <w:sz w:val="21"/>
      <w:szCs w:val="21"/>
    </w:rPr>
  </w:style>
  <w:style w:type="character" w:customStyle="1" w:styleId="25">
    <w:name w:val="页眉 Char"/>
    <w:basedOn w:val="22"/>
    <w:link w:val="14"/>
    <w:autoRedefine/>
    <w:qFormat/>
    <w:uiPriority w:val="99"/>
    <w:rPr>
      <w:sz w:val="18"/>
      <w:szCs w:val="18"/>
    </w:rPr>
  </w:style>
  <w:style w:type="character" w:customStyle="1" w:styleId="26">
    <w:name w:val="页脚 Char"/>
    <w:basedOn w:val="22"/>
    <w:link w:val="13"/>
    <w:autoRedefine/>
    <w:qFormat/>
    <w:uiPriority w:val="99"/>
    <w:rPr>
      <w:sz w:val="18"/>
      <w:szCs w:val="18"/>
    </w:rPr>
  </w:style>
  <w:style w:type="character" w:customStyle="1" w:styleId="27">
    <w:name w:val="批注框文本 Char"/>
    <w:basedOn w:val="22"/>
    <w:link w:val="12"/>
    <w:autoRedefine/>
    <w:semiHidden/>
    <w:qFormat/>
    <w:uiPriority w:val="99"/>
    <w:rPr>
      <w:sz w:val="18"/>
      <w:szCs w:val="18"/>
    </w:rPr>
  </w:style>
  <w:style w:type="paragraph" w:styleId="28">
    <w:name w:val="List Paragraph"/>
    <w:basedOn w:val="1"/>
    <w:autoRedefine/>
    <w:qFormat/>
    <w:uiPriority w:val="34"/>
    <w:pPr>
      <w:ind w:firstLine="420" w:firstLineChars="200"/>
    </w:pPr>
  </w:style>
  <w:style w:type="paragraph" w:customStyle="1" w:styleId="2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autoRedefine/>
    <w:qFormat/>
    <w:uiPriority w:val="99"/>
    <w:rPr>
      <w:rFonts w:ascii="Calibri" w:hAnsi="Calibri" w:eastAsia="宋体" w:cs="Times New Roman"/>
      <w:b/>
      <w:bCs/>
      <w:kern w:val="44"/>
      <w:sz w:val="44"/>
      <w:szCs w:val="44"/>
    </w:rPr>
  </w:style>
  <w:style w:type="paragraph" w:styleId="32">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autoRedefine/>
    <w:qFormat/>
    <w:uiPriority w:val="11"/>
    <w:rPr>
      <w:rFonts w:eastAsia="宋体" w:asciiTheme="majorHAnsi" w:hAnsiTheme="majorHAnsi" w:cstheme="majorBidi"/>
      <w:b/>
      <w:bCs/>
      <w:kern w:val="28"/>
      <w:sz w:val="32"/>
      <w:szCs w:val="32"/>
    </w:rPr>
  </w:style>
  <w:style w:type="character" w:customStyle="1" w:styleId="36">
    <w:name w:val="标题 Char"/>
    <w:basedOn w:val="22"/>
    <w:link w:val="19"/>
    <w:autoRedefine/>
    <w:qFormat/>
    <w:uiPriority w:val="10"/>
    <w:rPr>
      <w:rFonts w:eastAsia="宋体" w:asciiTheme="majorHAnsi" w:hAnsiTheme="majorHAnsi" w:cstheme="majorBidi"/>
      <w:b/>
      <w:bCs/>
      <w:sz w:val="32"/>
      <w:szCs w:val="32"/>
    </w:rPr>
  </w:style>
  <w:style w:type="character" w:customStyle="1" w:styleId="37">
    <w:name w:val="标题 2 Char"/>
    <w:basedOn w:val="22"/>
    <w:link w:val="3"/>
    <w:autoRedefine/>
    <w:qFormat/>
    <w:uiPriority w:val="9"/>
    <w:rPr>
      <w:rFonts w:asciiTheme="majorHAnsi" w:hAnsiTheme="majorHAnsi" w:eastAsiaTheme="majorEastAsia" w:cstheme="majorBidi"/>
      <w:b/>
      <w:bCs/>
      <w:sz w:val="32"/>
      <w:szCs w:val="32"/>
    </w:rPr>
  </w:style>
  <w:style w:type="character" w:customStyle="1" w:styleId="38">
    <w:name w:val="标题 3 Char"/>
    <w:basedOn w:val="22"/>
    <w:link w:val="4"/>
    <w:autoRedefine/>
    <w:semiHidden/>
    <w:qFormat/>
    <w:uiPriority w:val="9"/>
    <w:rPr>
      <w:b/>
      <w:bCs/>
      <w:sz w:val="32"/>
      <w:szCs w:val="32"/>
    </w:rPr>
  </w:style>
  <w:style w:type="character" w:customStyle="1" w:styleId="39">
    <w:name w:val="正文文本缩进 2 Char"/>
    <w:basedOn w:val="22"/>
    <w:link w:val="11"/>
    <w:autoRedefine/>
    <w:qFormat/>
    <w:uiPriority w:val="0"/>
    <w:rPr>
      <w:rFonts w:ascii="宋体" w:hAnsi="宋体" w:eastAsia="宋体" w:cs="Times New Roman"/>
      <w:snapToGrid w:val="0"/>
      <w:kern w:val="0"/>
      <w:szCs w:val="24"/>
    </w:rPr>
  </w:style>
  <w:style w:type="paragraph" w:customStyle="1" w:styleId="40">
    <w:name w:val="三级条标题"/>
    <w:basedOn w:val="1"/>
    <w:next w:val="1"/>
    <w:autoRedefine/>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autoRedefine/>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autoRedefine/>
    <w:qFormat/>
    <w:uiPriority w:val="0"/>
  </w:style>
  <w:style w:type="character" w:customStyle="1" w:styleId="45">
    <w:name w:val="ordinary-span-edit2"/>
    <w:basedOn w:val="22"/>
    <w:autoRedefine/>
    <w:qFormat/>
    <w:uiPriority w:val="0"/>
  </w:style>
  <w:style w:type="character" w:customStyle="1" w:styleId="46">
    <w:name w:val="日期 Char"/>
    <w:basedOn w:val="22"/>
    <w:link w:val="10"/>
    <w:autoRedefine/>
    <w:semiHidden/>
    <w:qFormat/>
    <w:uiPriority w:val="99"/>
  </w:style>
  <w:style w:type="paragraph" w:customStyle="1" w:styleId="47">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autoRedefine/>
    <w:qFormat/>
    <w:uiPriority w:val="0"/>
    <w:rPr>
      <w:rFonts w:hint="default" w:ascii="Times New Roman" w:hAnsi="Times New Roman" w:cs="Times New Roman"/>
      <w:sz w:val="20"/>
      <w:szCs w:val="20"/>
      <w:u w:val="none"/>
    </w:rPr>
  </w:style>
  <w:style w:type="paragraph" w:customStyle="1" w:styleId="49">
    <w:name w:val="标准文件_前言、引言标题"/>
    <w:next w:val="1"/>
    <w:autoRedefine/>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autoRedefine/>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autoRedefine/>
    <w:qFormat/>
    <w:uiPriority w:val="0"/>
    <w:pPr>
      <w:spacing w:before="0" w:beforeLines="0" w:after="0" w:afterLines="0"/>
    </w:pPr>
    <w:rPr>
      <w:rFonts w:ascii="宋体" w:eastAsia="宋体"/>
    </w:rPr>
  </w:style>
  <w:style w:type="paragraph" w:customStyle="1" w:styleId="54">
    <w:name w:val="二级条标题"/>
    <w:basedOn w:val="52"/>
    <w:next w:val="51"/>
    <w:autoRedefine/>
    <w:qFormat/>
    <w:uiPriority w:val="0"/>
    <w:pPr>
      <w:numPr>
        <w:ilvl w:val="2"/>
        <w:numId w:val="2"/>
      </w:numPr>
      <w:spacing w:before="50" w:after="50"/>
      <w:outlineLvl w:val="3"/>
    </w:pPr>
  </w:style>
  <w:style w:type="paragraph" w:customStyle="1" w:styleId="55">
    <w:name w:val="字母编号列项（一级）"/>
    <w:autoRedefine/>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autoRedefine/>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autoRedefine/>
    <w:qFormat/>
    <w:uiPriority w:val="0"/>
  </w:style>
  <w:style w:type="paragraph" w:customStyle="1" w:styleId="58">
    <w:name w:val="注："/>
    <w:next w:val="51"/>
    <w:autoRedefine/>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autoRedefine/>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autoRedefine/>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autoRedefine/>
    <w:qFormat/>
    <w:uiPriority w:val="0"/>
    <w:rPr>
      <w:rFonts w:ascii="宋体" w:hAnsi="宋体" w:cs="宋体"/>
      <w:sz w:val="19"/>
      <w:szCs w:val="19"/>
      <w:lang w:val="zh-CN" w:bidi="zh-CN"/>
    </w:rPr>
  </w:style>
  <w:style w:type="paragraph" w:customStyle="1" w:styleId="62">
    <w:name w:val="终结线"/>
    <w:basedOn w:val="1"/>
    <w:autoRedefine/>
    <w:qFormat/>
    <w:uiPriority w:val="0"/>
    <w:pPr>
      <w:framePr w:hSpace="181" w:vSpace="181" w:wrap="around" w:vAnchor="text" w:hAnchor="margin" w:xAlign="center" w:y="285"/>
    </w:pPr>
  </w:style>
  <w:style w:type="paragraph" w:customStyle="1" w:styleId="63">
    <w:name w:val="标准文件_术语条一"/>
    <w:basedOn w:val="64"/>
    <w:next w:val="67"/>
    <w:autoRedefine/>
    <w:qFormat/>
    <w:uiPriority w:val="0"/>
  </w:style>
  <w:style w:type="paragraph" w:customStyle="1" w:styleId="64">
    <w:name w:val="标准文件_一级无标题"/>
    <w:basedOn w:val="65"/>
    <w:autoRedefine/>
    <w:qFormat/>
    <w:uiPriority w:val="0"/>
    <w:pPr>
      <w:spacing w:before="0" w:beforeLines="0" w:after="0" w:afterLines="0"/>
      <w:outlineLvl w:val="9"/>
    </w:pPr>
    <w:rPr>
      <w:rFonts w:ascii="宋体" w:eastAsia="宋体"/>
    </w:rPr>
  </w:style>
  <w:style w:type="paragraph" w:customStyle="1" w:styleId="65">
    <w:name w:val="标准文件_一级条标题"/>
    <w:basedOn w:val="66"/>
    <w:next w:val="67"/>
    <w:autoRedefine/>
    <w:qFormat/>
    <w:uiPriority w:val="0"/>
    <w:pPr>
      <w:numPr>
        <w:ilvl w:val="2"/>
      </w:numPr>
      <w:spacing w:before="50" w:beforeLines="50" w:after="50" w:afterLines="50"/>
      <w:outlineLvl w:val="1"/>
    </w:pPr>
  </w:style>
  <w:style w:type="paragraph" w:customStyle="1" w:styleId="66">
    <w:name w:val="标准文件_章标题"/>
    <w:next w:val="67"/>
    <w:autoRedefine/>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autoRedefine/>
    <w:qFormat/>
    <w:uiPriority w:val="0"/>
    <w:pPr>
      <w:spacing w:before="0" w:beforeLines="0" w:after="0" w:afterLines="0"/>
      <w:outlineLvl w:val="9"/>
    </w:pPr>
    <w:rPr>
      <w:rFonts w:ascii="宋体" w:eastAsia="宋体"/>
    </w:rPr>
  </w:style>
  <w:style w:type="paragraph" w:customStyle="1" w:styleId="69">
    <w:name w:val="标准文件_二级条标题"/>
    <w:next w:val="67"/>
    <w:autoRedefine/>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autoRedefine/>
    <w:qFormat/>
    <w:uiPriority w:val="0"/>
    <w:pPr>
      <w:ind w:firstLine="0" w:firstLineChars="0"/>
    </w:pPr>
    <w:rPr>
      <w:sz w:val="21"/>
    </w:rPr>
  </w:style>
  <w:style w:type="paragraph" w:customStyle="1" w:styleId="73">
    <w:name w:val="标准文件_附录一级条标题"/>
    <w:next w:val="67"/>
    <w:autoRedefine/>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autoRedefine/>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autoRedefine/>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三级无标题"/>
    <w:basedOn w:val="77"/>
    <w:autoRedefine/>
    <w:qFormat/>
    <w:uiPriority w:val="0"/>
    <w:pPr>
      <w:spacing w:before="0" w:beforeLines="0" w:after="0" w:afterLines="0"/>
      <w:outlineLvl w:val="9"/>
    </w:pPr>
    <w:rPr>
      <w:rFonts w:ascii="宋体" w:eastAsia="宋体"/>
    </w:rPr>
  </w:style>
  <w:style w:type="paragraph" w:customStyle="1" w:styleId="77">
    <w:name w:val="标准文件_三级条标题"/>
    <w:basedOn w:val="69"/>
    <w:next w:val="67"/>
    <w:autoRedefine/>
    <w:qFormat/>
    <w:uiPriority w:val="0"/>
    <w:pPr>
      <w:widowControl/>
      <w:numPr>
        <w:ilvl w:val="4"/>
      </w:numPr>
      <w:outlineLvl w:val="3"/>
    </w:pPr>
  </w:style>
  <w:style w:type="paragraph" w:customStyle="1" w:styleId="78">
    <w:name w:val="标准文件_附录表标题"/>
    <w:next w:val="67"/>
    <w:autoRedefine/>
    <w:qFormat/>
    <w:uiPriority w:val="0"/>
    <w:pPr>
      <w:numPr>
        <w:ilvl w:val="1"/>
        <w:numId w:val="10"/>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table" w:customStyle="1" w:styleId="79">
    <w:name w:val="Table Normal"/>
    <w:autoRedefine/>
    <w:semiHidden/>
    <w:unhideWhenUsed/>
    <w:qFormat/>
    <w:uiPriority w:val="0"/>
    <w:tblPr>
      <w:tblCellMar>
        <w:top w:w="0" w:type="dxa"/>
        <w:left w:w="0" w:type="dxa"/>
        <w:bottom w:w="0" w:type="dxa"/>
        <w:right w:w="0" w:type="dxa"/>
      </w:tblCellMar>
    </w:tblPr>
  </w:style>
  <w:style w:type="paragraph" w:customStyle="1" w:styleId="80">
    <w:name w:val="Table Text"/>
    <w:basedOn w:val="1"/>
    <w:autoRedefine/>
    <w:semiHidden/>
    <w:qFormat/>
    <w:uiPriority w:val="0"/>
    <w:rPr>
      <w:rFonts w:ascii="Arial" w:hAnsi="Arial" w:eastAsia="Arial" w:cs="Arial"/>
      <w:sz w:val="21"/>
      <w:szCs w:val="21"/>
      <w:lang w:val="en-US" w:eastAsia="en-US" w:bidi="ar-SA"/>
    </w:rPr>
  </w:style>
  <w:style w:type="paragraph" w:customStyle="1" w:styleId="81">
    <w:name w:val="标准文件_页眉奇数页"/>
    <w:next w:val="1"/>
    <w:autoRedefine/>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82">
    <w:name w:val="标准文件_页眉偶数页"/>
    <w:basedOn w:val="81"/>
    <w:next w:val="1"/>
    <w:autoRedefine/>
    <w:qFormat/>
    <w:uiPriority w:val="0"/>
    <w:pPr>
      <w:jc w:val="left"/>
    </w:pPr>
  </w:style>
  <w:style w:type="paragraph" w:customStyle="1" w:styleId="83">
    <w:name w:val="标准文件_字母编号列项（一级）"/>
    <w:autoRedefine/>
    <w:qFormat/>
    <w:uiPriority w:val="0"/>
    <w:pPr>
      <w:numPr>
        <w:ilvl w:val="0"/>
        <w:numId w:val="11"/>
      </w:numPr>
      <w:jc w:val="both"/>
    </w:pPr>
    <w:rPr>
      <w:rFonts w:ascii="宋体" w:hAnsi="Times New Roman" w:eastAsia="宋体" w:cs="Times New Roman"/>
      <w:sz w:val="21"/>
      <w:lang w:val="en-US" w:eastAsia="zh-CN" w:bidi="ar-SA"/>
    </w:rPr>
  </w:style>
  <w:style w:type="paragraph" w:customStyle="1" w:styleId="84">
    <w:name w:val="标准文件_一级项"/>
    <w:autoRedefine/>
    <w:qFormat/>
    <w:uiPriority w:val="0"/>
    <w:pPr>
      <w:numPr>
        <w:ilvl w:val="0"/>
        <w:numId w:val="4"/>
      </w:numPr>
    </w:pPr>
    <w:rPr>
      <w:rFonts w:ascii="宋体" w:hAnsi="Times New Roman" w:eastAsia="宋体" w:cs="Times New Roman"/>
      <w:sz w:val="21"/>
      <w:lang w:val="en-US" w:eastAsia="zh-CN" w:bidi="ar-SA"/>
    </w:rPr>
  </w:style>
  <w:style w:type="paragraph" w:customStyle="1" w:styleId="85">
    <w:name w:val="标准文件_数字编号列项（二级）"/>
    <w:autoRedefine/>
    <w:qFormat/>
    <w:uiPriority w:val="0"/>
    <w:pPr>
      <w:numPr>
        <w:ilvl w:val="1"/>
        <w:numId w:val="11"/>
      </w:numPr>
      <w:tabs>
        <w:tab w:val="left" w:pos="851"/>
      </w:tabs>
      <w:jc w:val="both"/>
    </w:pPr>
    <w:rPr>
      <w:rFonts w:ascii="宋体" w:hAnsi="Times New Roman" w:eastAsia="宋体" w:cs="Times New Roman"/>
      <w:sz w:val="21"/>
      <w:lang w:val="en-US" w:eastAsia="zh-CN" w:bidi="ar-SA"/>
    </w:rPr>
  </w:style>
  <w:style w:type="paragraph" w:customStyle="1" w:styleId="86">
    <w:name w:val="标准文件_附录三级无标题"/>
    <w:basedOn w:val="87"/>
    <w:autoRedefine/>
    <w:qFormat/>
    <w:uiPriority w:val="0"/>
    <w:pPr>
      <w:spacing w:before="0" w:beforeLines="0" w:after="0" w:afterLines="0" w:line="276" w:lineRule="auto"/>
      <w:outlineLvl w:val="9"/>
    </w:pPr>
    <w:rPr>
      <w:rFonts w:ascii="宋体" w:eastAsia="宋体"/>
    </w:rPr>
  </w:style>
  <w:style w:type="paragraph" w:customStyle="1" w:styleId="87">
    <w:name w:val="标准文件_附录三级条标题"/>
    <w:next w:val="67"/>
    <w:autoRedefine/>
    <w:qFormat/>
    <w:uiPriority w:val="0"/>
    <w:pPr>
      <w:widowControl w:val="0"/>
      <w:numPr>
        <w:ilvl w:val="3"/>
        <w:numId w:val="6"/>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示例："/>
    <w:next w:val="89"/>
    <w:autoRedefine/>
    <w:qFormat/>
    <w:uiPriority w:val="0"/>
    <w:pPr>
      <w:widowControl w:val="0"/>
      <w:numPr>
        <w:ilvl w:val="0"/>
        <w:numId w:val="12"/>
      </w:numPr>
      <w:jc w:val="both"/>
    </w:pPr>
    <w:rPr>
      <w:rFonts w:ascii="宋体" w:hAnsi="Times New Roman" w:eastAsia="宋体" w:cs="Times New Roman"/>
      <w:sz w:val="18"/>
      <w:szCs w:val="18"/>
      <w:lang w:val="en-US" w:eastAsia="zh-CN" w:bidi="ar-SA"/>
    </w:rPr>
  </w:style>
  <w:style w:type="paragraph" w:customStyle="1" w:styleId="89">
    <w:name w:val="标准文件_示例内容"/>
    <w:basedOn w:val="67"/>
    <w:autoRedefine/>
    <w:qFormat/>
    <w:uiPriority w:val="0"/>
    <w:pPr>
      <w:ind w:firstLine="420"/>
    </w:pPr>
    <w:rPr>
      <w:sz w:val="18"/>
    </w:rPr>
  </w:style>
  <w:style w:type="paragraph" w:customStyle="1" w:styleId="90">
    <w:name w:val="标准文件_附录二级条标题"/>
    <w:basedOn w:val="73"/>
    <w:next w:val="67"/>
    <w:autoRedefine/>
    <w:qFormat/>
    <w:uiPriority w:val="0"/>
    <w:pPr>
      <w:widowControl/>
      <w:numPr>
        <w:ilvl w:val="2"/>
      </w:numPr>
      <w:wordWrap w:val="0"/>
      <w:overflowPunct w:val="0"/>
      <w:autoSpaceDE w:val="0"/>
      <w:autoSpaceDN w:val="0"/>
      <w:textAlignment w:val="baseline"/>
      <w:outlineLvl w:val="3"/>
    </w:pPr>
  </w:style>
  <w:style w:type="paragraph" w:customStyle="1" w:styleId="91">
    <w:name w:val="标准文件_注："/>
    <w:next w:val="67"/>
    <w:autoRedefine/>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92">
    <w:name w:val="标准文件_附录二级无标题"/>
    <w:basedOn w:val="90"/>
    <w:autoRedefine/>
    <w:qFormat/>
    <w:uiPriority w:val="0"/>
    <w:pPr>
      <w:spacing w:before="0" w:beforeLines="0" w:after="0" w:afterLines="0" w:line="276" w:lineRule="auto"/>
      <w:outlineLvl w:val="9"/>
    </w:pPr>
    <w:rPr>
      <w:rFonts w:ascii="宋体"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jpe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B264C-F4AB-4750-B0F2-36A656C9AE9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14</Pages>
  <Words>1361</Words>
  <Characters>1611</Characters>
  <Lines>78</Lines>
  <Paragraphs>22</Paragraphs>
  <TotalTime>6</TotalTime>
  <ScaleCrop>false</ScaleCrop>
  <LinksUpToDate>false</LinksUpToDate>
  <CharactersWithSpaces>1892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2022-12-21T07:00:00Z</dcterms:created>
  <dc:creator>wy</dc:creator>
  <cp:lastModifiedBy>殷芳</cp:lastModifiedBy>
  <cp:lastPrinted>2022-09-06T01:26:00Z</cp:lastPrinted>
  <dcterms:modified xsi:type="dcterms:W3CDTF">2024-04-28T06:59:53Z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2D391516055844F695F153CAFD5B753F</vt:lpwstr>
  </property>
</Properties>
</file>