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Times New Roma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7620"/>
                <wp:wrapNone/>
                <wp:docPr id="7" name="Text Box 2"/>
                <wp:cNvGraphicFramePr/>
                <a:graphic xmlns:a="http://schemas.openxmlformats.org/drawingml/2006/main">
                  <a:graphicData uri="http://schemas.microsoft.com/office/word/2010/wordprocessingShape">
                    <wps:wsp>
                      <wps:cNvSpPr txBox="1">
                        <a:spLocks noChangeArrowheads="1"/>
                      </wps:cNvSpPr>
                      <wps:spPr bwMode="auto">
                        <a:xfrm>
                          <a:off x="0" y="0"/>
                          <a:ext cx="3696970" cy="792480"/>
                        </a:xfrm>
                        <a:prstGeom prst="rect">
                          <a:avLst/>
                        </a:prstGeom>
                        <a:noFill/>
                        <a:ln>
                          <a:noFill/>
                        </a:ln>
                      </wps:spPr>
                      <wps:txbx>
                        <w:txbxContent>
                          <w:p>
                            <w:pPr>
                              <w:pStyle w:val="29"/>
                              <w:shd w:val="clear" w:color="auto" w:fill="auto"/>
                              <w:wordWrap w:val="0"/>
                              <w:ind w:right="471" w:firstLine="626"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0" upright="1">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6dfju2AAAAAsBAAAPAAAAAAAAAAEAIAAAACIAAABk&#10;cnMvZG93bnJldi54bWxQSwECFAAUAAAACACHTuJA6QXcpAYCAAAUBAAADgAAAAAAAAABACAAAAAn&#10;AQAAZHJzL2Uyb0RvYy54bWxQSwUGAAAAAAYABgBZAQAAnwUAAAAA&#10;">
                <v:fill on="f" focussize="0,0"/>
                <v:stroke on="f"/>
                <v:imagedata o:title=""/>
                <o:lock v:ext="edit" aspectratio="f"/>
                <v:textbox style="mso-fit-shape-to-text:t;">
                  <w:txbxContent>
                    <w:p>
                      <w:pPr>
                        <w:pStyle w:val="29"/>
                        <w:shd w:val="clear" w:color="auto" w:fill="auto"/>
                        <w:wordWrap w:val="0"/>
                        <w:ind w:right="471" w:firstLine="626"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rPr>
        <w:t>03</w:t>
      </w:r>
      <w:r>
        <w:rPr>
          <w:rFonts w:ascii="黑体" w:hAnsi="黑体" w:eastAsia="黑体" w:cs="Times New Roman"/>
        </w:rPr>
        <w:t>.</w:t>
      </w:r>
      <w:r>
        <w:rPr>
          <w:rFonts w:hint="eastAsia" w:ascii="黑体" w:hAnsi="黑体" w:eastAsia="黑体" w:cs="Times New Roman"/>
        </w:rPr>
        <w:t>080</w:t>
      </w:r>
      <w:r>
        <w:rPr>
          <w:rFonts w:ascii="黑体" w:hAnsi="黑体" w:eastAsia="黑体" w:cs="Times New Roman"/>
        </w:rPr>
        <w:t>.01</w:t>
      </w:r>
    </w:p>
    <w:p>
      <w:pPr>
        <w:rPr>
          <w:rFonts w:ascii="黑体" w:hAnsi="黑体" w:eastAsia="黑体" w:cs="Times New Roman"/>
        </w:rPr>
      </w:pPr>
      <w:r>
        <w:rPr>
          <w:rFonts w:ascii="黑体" w:hAnsi="黑体" w:eastAsia="黑体" w:cs="Times New Roman"/>
        </w:rPr>
        <w:t xml:space="preserve">CCS A </w:t>
      </w:r>
      <w:r>
        <w:rPr>
          <w:rFonts w:hint="eastAsia" w:ascii="黑体" w:hAnsi="黑体" w:eastAsia="黑体" w:cs="Times New Roman"/>
        </w:rPr>
        <w:t>10</w:t>
      </w:r>
      <w:r>
        <w:rPr>
          <w:rFonts w:ascii="黑体" w:hAnsi="黑体" w:eastAsia="黑体" w:cs="Times New Roman"/>
        </w:rPr>
        <w:t xml:space="preserve"> </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0" upright="1">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f" coordsize="21600,21600" o:gfxdata="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KeonEPYAAAACgEAAA8A&#10;AAAAAAAAAQAgAAAAIgAAAGRycy9kb3ducmV2LnhtbFBLAQIUABQAAAAIAIdO4kD2AeosFwIAADIE&#10;AAAOAAAAAAAAAAEAIAAAACcBAABkcnMvZTJvRG9jLnhtbFBLBQYAAAAABgAGAFkBAACwBQAAA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-1712595</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1">
                        <a:spLocks noChangeArrowheads="1"/>
                      </wps:cNvSpPr>
                      <wps:spPr bwMode="auto">
                        <a:xfrm>
                          <a:off x="0" y="0"/>
                          <a:ext cx="1927344" cy="304800"/>
                        </a:xfrm>
                        <a:prstGeom prst="rect">
                          <a:avLst/>
                        </a:prstGeom>
                        <a:noFill/>
                        <a:ln w="0">
                          <a:noFill/>
                          <a:miter lim="800000"/>
                        </a:ln>
                      </wps:spPr>
                      <wps:txb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wps:txbx>
                      <wps:bodyPr rot="0" vert="horz" wrap="square" lIns="91440" tIns="45720" rIns="91440" bIns="45720" anchor="t" anchorCtr="0" upright="1">
                        <a:noAutofit/>
                      </wps:bodyPr>
                    </wps:wsp>
                  </a:graphicData>
                </a:graphic>
              </wp:anchor>
            </w:drawing>
          </mc:Choice>
          <mc:Fallback>
            <w:pict>
              <v:shape id="Text Box 19" o:spid="_x0000_s1026" o:spt="202" type="#_x0000_t202" style="position:absolute;left:0pt;margin-left:417.9pt;margin-top:176.25pt;height:24pt;width:151.75pt;mso-position-horizontal-relative:page;mso-position-vertical-relative:page;z-index:251663360;mso-width-relative:page;mso-height-relative:page;" filled="f" stroked="f" coordsize="21600,21600" o:gfxdata="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q+dd+2wAAAAsB&#10;AAAPAAAAAAAAAAEAIAAAACIAAABkcnMvZG93bnJldi54bWxQSwECFAAUAAAACACHTuJAzkxZKRgC&#10;AAAyBAAADgAAAAAAAAABACAAAAAqAQAAZHJzL2Uyb0RvYy54bWxQSwUGAAAAAAYABgBZAQAAtAUA&#10;AAAA&#10;">
                <v:fill on="f" focussize="0,0"/>
                <v:stroke on="f" weight="0pt" miterlimit="8" joinstyle="miter"/>
                <v:imagedata o:title=""/>
                <o:lock v:ext="edit" aspectratio="f"/>
                <v:textbo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Iy4Wx0wAAAAgBAAAPAAAAAAAAAAEAIAAAACIA&#10;AABkcnMvZG93bnJldi54bWxQSwECFAAUAAAACACHTuJARwVqgNUBAAC0AwAADgAAAAAAAAABACAA&#10;AAAiAQAAZHJzL2Uyb0RvYy54bWxQSwUGAAAAAAYABgBZAQAAaQ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1">
                        <a:spLocks noChangeArrowheads="1"/>
                      </wps:cNvSpPr>
                      <wps:spPr bwMode="auto">
                        <a:xfrm>
                          <a:off x="0" y="0"/>
                          <a:ext cx="5924550" cy="3248025"/>
                        </a:xfrm>
                        <a:prstGeom prst="rect">
                          <a:avLst/>
                        </a:prstGeom>
                        <a:noFill/>
                        <a:ln w="0">
                          <a:noFill/>
                          <a:miter lim="800000"/>
                        </a:ln>
                      </wps:spPr>
                      <wps:txbx>
                        <w:txbxContent>
                          <w:p>
                            <w:pPr>
                              <w:jc w:val="center"/>
                              <w:rPr>
                                <w:rFonts w:ascii="黑体" w:hAnsi="宋体" w:eastAsia="黑体"/>
                                <w:sz w:val="52"/>
                                <w:szCs w:val="52"/>
                              </w:rPr>
                            </w:pPr>
                            <w:r>
                              <w:rPr>
                                <w:rFonts w:hint="eastAsia" w:ascii="黑体" w:hAnsi="宋体" w:eastAsia="黑体"/>
                                <w:sz w:val="52"/>
                                <w:szCs w:val="52"/>
                              </w:rPr>
                              <w:t>线上市集 电子商务服务站（点）服务</w:t>
                            </w:r>
                          </w:p>
                          <w:p>
                            <w:pPr>
                              <w:jc w:val="center"/>
                              <w:rPr>
                                <w:rFonts w:ascii="黑体" w:hAnsi="宋体" w:eastAsia="黑体"/>
                                <w:sz w:val="52"/>
                                <w:szCs w:val="52"/>
                              </w:rPr>
                            </w:pPr>
                            <w:r>
                              <w:rPr>
                                <w:rFonts w:hint="eastAsia" w:ascii="黑体" w:hAnsi="宋体" w:eastAsia="黑体"/>
                                <w:sz w:val="52"/>
                                <w:szCs w:val="52"/>
                              </w:rPr>
                              <w:t>规范</w:t>
                            </w:r>
                          </w:p>
                          <w:p>
                            <w:pPr>
                              <w:jc w:val="center"/>
                              <w:rPr>
                                <w:rFonts w:hint="eastAsia" w:ascii="黑体" w:hAnsi="黑体" w:eastAsia="黑体"/>
                                <w:kern w:val="0"/>
                                <w:sz w:val="28"/>
                                <w:szCs w:val="21"/>
                                <w:lang w:val="en-US" w:eastAsia="zh-CN"/>
                              </w:rPr>
                            </w:pPr>
                            <w:r>
                              <w:rPr>
                                <w:rFonts w:hint="eastAsia" w:ascii="黑体" w:hAnsi="黑体" w:eastAsia="黑体"/>
                                <w:kern w:val="0"/>
                                <w:sz w:val="28"/>
                                <w:szCs w:val="21"/>
                                <w:lang w:val="en-US" w:eastAsia="zh-CN"/>
                              </w:rPr>
                              <w:t xml:space="preserve">Online markets Service specification for E-commerce service station (point) </w:t>
                            </w:r>
                          </w:p>
                          <w:p>
                            <w:pPr>
                              <w:jc w:val="center"/>
                              <w:rPr>
                                <w:rFonts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0" upright="1">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f" coordsize="21600,21600" o:gfxdata="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HMG462QAAAAsBAAAP&#10;AAAAAAAAAAEAIAAAACIAAABkcnMvZG93bnJldi54bWxQSwECFAAUAAAACACHTuJAwAXEWxcCAAAz&#10;BAAADgAAAAAAAAABACAAAAAoAQAAZHJzL2Uyb0RvYy54bWxQSwUGAAAAAAYABgBZAQAAsQUAAAAA&#10;">
                <v:fill on="f" focussize="0,0"/>
                <v:stroke on="f" weight="0pt" miterlimit="8" joinstyle="miter"/>
                <v:imagedata o:title=""/>
                <o:lock v:ext="edit" aspectratio="f"/>
                <v:textbox>
                  <w:txbxContent>
                    <w:p>
                      <w:pPr>
                        <w:jc w:val="center"/>
                        <w:rPr>
                          <w:rFonts w:ascii="黑体" w:hAnsi="宋体" w:eastAsia="黑体"/>
                          <w:sz w:val="52"/>
                          <w:szCs w:val="52"/>
                        </w:rPr>
                      </w:pPr>
                      <w:r>
                        <w:rPr>
                          <w:rFonts w:hint="eastAsia" w:ascii="黑体" w:hAnsi="宋体" w:eastAsia="黑体"/>
                          <w:sz w:val="52"/>
                          <w:szCs w:val="52"/>
                        </w:rPr>
                        <w:t>线上市集 电子商务服务站（点）服务</w:t>
                      </w:r>
                    </w:p>
                    <w:p>
                      <w:pPr>
                        <w:jc w:val="center"/>
                        <w:rPr>
                          <w:rFonts w:ascii="黑体" w:hAnsi="宋体" w:eastAsia="黑体"/>
                          <w:sz w:val="52"/>
                          <w:szCs w:val="52"/>
                        </w:rPr>
                      </w:pPr>
                      <w:r>
                        <w:rPr>
                          <w:rFonts w:hint="eastAsia" w:ascii="黑体" w:hAnsi="宋体" w:eastAsia="黑体"/>
                          <w:sz w:val="52"/>
                          <w:szCs w:val="52"/>
                        </w:rPr>
                        <w:t>规范</w:t>
                      </w:r>
                    </w:p>
                    <w:p>
                      <w:pPr>
                        <w:jc w:val="center"/>
                        <w:rPr>
                          <w:rFonts w:hint="eastAsia" w:ascii="黑体" w:hAnsi="黑体" w:eastAsia="黑体"/>
                          <w:kern w:val="0"/>
                          <w:sz w:val="28"/>
                          <w:szCs w:val="21"/>
                          <w:lang w:val="en-US" w:eastAsia="zh-CN"/>
                        </w:rPr>
                      </w:pPr>
                      <w:r>
                        <w:rPr>
                          <w:rFonts w:hint="eastAsia" w:ascii="黑体" w:hAnsi="黑体" w:eastAsia="黑体"/>
                          <w:kern w:val="0"/>
                          <w:sz w:val="28"/>
                          <w:szCs w:val="21"/>
                          <w:lang w:val="en-US" w:eastAsia="zh-CN"/>
                        </w:rPr>
                        <w:t xml:space="preserve">Online markets Service specification for E-commerce service station (point) </w:t>
                      </w:r>
                    </w:p>
                    <w:p>
                      <w:pPr>
                        <w:jc w:val="center"/>
                        <w:rPr>
                          <w:rFonts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2"/>
      </w:pPr>
    </w:p>
    <w:p>
      <w:pPr>
        <w:pStyle w:val="2"/>
      </w:pPr>
    </w:p>
    <w:p>
      <w:pPr>
        <w:pStyle w:val="2"/>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MgXH1gAAAAwBAAAPAAAAAAAAAAEAIAAA&#10;ACIAAABkcnMvZG93bnJldi54bWxQSwECFAAUAAAACACHTuJA+/4xqtUBAAC0AwAADgAAAAAAAAAB&#10;ACAAAAAlAQAAZHJzL2Uyb0RvYy54bWxQSwUGAAAAAAYABgBZAQAAbAUAAAAA&#10;">
                <v:fill on="f" focussize="0,0"/>
                <v:stroke weight="1pt" color="#000000" joinstyle="round"/>
                <v:imagedata o:title=""/>
                <o:lock v:ext="edit" aspectratio="f"/>
              </v:shape>
            </w:pict>
          </mc:Fallback>
        </mc:AlternateContent>
      </w:r>
      <w:r>
        <w:rPr>
          <w:rFonts w:hint="eastAsia" w:ascii="黑体" w:hAnsi="黑体" w:eastAsia="黑体"/>
          <w:sz w:val="28"/>
          <w:szCs w:val="28"/>
        </w:rPr>
        <w:t>2024-XX-XX发布                                       2024-XX-XX实施</w:t>
      </w:r>
    </w:p>
    <w:p>
      <w:pPr>
        <w:spacing w:line="1247" w:lineRule="exact"/>
        <w:jc w:val="center"/>
        <w:outlineLvl w:val="0"/>
        <w:rPr>
          <w:rFonts w:ascii="黑体" w:hAnsi="黑体" w:eastAsia="黑体"/>
          <w:sz w:val="28"/>
          <w:szCs w:val="28"/>
        </w:rPr>
      </w:pPr>
      <w:bookmarkStart w:id="0" w:name="_Toc30855"/>
      <w:bookmarkStart w:id="1" w:name="_Toc150953861"/>
      <w:bookmarkStart w:id="2" w:name="_Toc137562416"/>
      <w:bookmarkStart w:id="3" w:name="_Toc1036"/>
      <w:bookmarkStart w:id="4" w:name="_Toc3547"/>
      <w:bookmarkStart w:id="5" w:name="_Toc150947808"/>
      <w:bookmarkStart w:id="6" w:name="_Toc150947752"/>
      <w:bookmarkStart w:id="7" w:name="_Toc137553688"/>
      <w:bookmarkStart w:id="8" w:name="_Toc18385"/>
      <w:bookmarkStart w:id="9" w:name="_Toc161751286"/>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bookmarkEnd w:id="2"/>
      <w:bookmarkEnd w:id="3"/>
      <w:bookmarkEnd w:id="4"/>
      <w:bookmarkEnd w:id="5"/>
      <w:bookmarkEnd w:id="6"/>
      <w:bookmarkEnd w:id="7"/>
      <w:bookmarkEnd w:id="8"/>
      <w:bookmarkEnd w:id="9"/>
    </w:p>
    <w:p>
      <w:pPr>
        <w:pStyle w:val="2"/>
      </w:pPr>
    </w:p>
    <w:p>
      <w:pPr>
        <w:rPr>
          <w:rFonts w:ascii="黑体" w:hAnsi="黑体" w:eastAsia="黑体"/>
          <w:sz w:val="28"/>
          <w:szCs w:val="28"/>
        </w:rPr>
        <w:sectPr>
          <w:headerReference r:id="rId3" w:type="default"/>
          <w:headerReference r:id="rId4" w:type="even"/>
          <w:pgSz w:w="11906" w:h="16838"/>
          <w:pgMar w:top="567" w:right="851" w:bottom="1134" w:left="1418" w:header="0" w:footer="0" w:gutter="0"/>
          <w:pgNumType w:fmt="upperRoman"/>
          <w:cols w:space="425" w:num="1"/>
          <w:docGrid w:type="lines" w:linePitch="312" w:charSpace="0"/>
        </w:sectPr>
      </w:pPr>
    </w:p>
    <w:p>
      <w:pPr>
        <w:snapToGrid w:val="0"/>
        <w:spacing w:before="567" w:after="680"/>
        <w:jc w:val="center"/>
        <w:rPr>
          <w:rFonts w:hint="eastAsia" w:ascii="黑体" w:hAnsi="黑体" w:eastAsia="黑体"/>
          <w:bCs/>
          <w:sz w:val="32"/>
          <w:szCs w:val="32"/>
        </w:rPr>
      </w:pPr>
      <w:r>
        <w:rPr>
          <w:rFonts w:hint="eastAsia" w:ascii="黑体" w:hAnsi="黑体" w:eastAsia="黑体"/>
          <w:bCs/>
          <w:sz w:val="32"/>
          <w:szCs w:val="32"/>
        </w:rPr>
        <w:t>目    次</w:t>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rPr>
          <w:rFonts w:hint="eastAsia" w:ascii="宋体" w:hAnsi="宋体" w:eastAsia="宋体" w:cs="宋体"/>
          <w:szCs w:val="21"/>
        </w:rPr>
        <w:fldChar w:fldCharType="begin"/>
      </w:r>
      <w:r>
        <w:rPr>
          <w:rFonts w:hint="eastAsia" w:ascii="宋体" w:hAnsi="宋体" w:eastAsia="宋体" w:cs="宋体"/>
          <w:szCs w:val="21"/>
        </w:rPr>
        <w:instrText xml:space="preserve"> HYPERLINK \l _Toc19664 </w:instrText>
      </w:r>
      <w:r>
        <w:rPr>
          <w:rFonts w:hint="eastAsia" w:ascii="宋体" w:hAnsi="宋体" w:eastAsia="宋体" w:cs="宋体"/>
          <w:szCs w:val="21"/>
        </w:rPr>
        <w:fldChar w:fldCharType="separate"/>
      </w:r>
      <w:r>
        <w:rPr>
          <w:rFonts w:hint="eastAsia" w:ascii="宋体" w:hAnsi="宋体" w:eastAsia="宋体" w:cs="宋体"/>
          <w:kern w:val="0"/>
          <w:szCs w:val="32"/>
          <w:lang w:val="en-US" w:eastAsia="zh-CN"/>
        </w:rPr>
        <w:t>前言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_Toc19664 \h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_Toc13499 </w:instrText>
      </w:r>
      <w:r>
        <w:rPr>
          <w:rFonts w:hint="eastAsia" w:ascii="宋体" w:hAnsi="宋体" w:eastAsia="宋体" w:cs="宋体"/>
          <w:szCs w:val="21"/>
        </w:rPr>
        <w:fldChar w:fldCharType="separate"/>
      </w:r>
      <w:r>
        <w:rPr>
          <w:rFonts w:hint="eastAsia" w:ascii="宋体" w:hAnsi="宋体" w:eastAsia="宋体" w:cs="宋体"/>
          <w:kern w:val="0"/>
          <w:szCs w:val="32"/>
          <w:lang w:val="en-US" w:eastAsia="zh-CN"/>
        </w:rPr>
        <w:t>引言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_Toc13499 \h </w:instrText>
      </w:r>
      <w:r>
        <w:rPr>
          <w:rFonts w:hint="eastAsia" w:ascii="宋体" w:hAnsi="宋体" w:eastAsia="宋体" w:cs="宋体"/>
        </w:rPr>
        <w:fldChar w:fldCharType="separate"/>
      </w:r>
      <w:r>
        <w:rPr>
          <w:rFonts w:hint="eastAsia" w:ascii="宋体" w:hAnsi="宋体" w:eastAsia="宋体" w:cs="宋体"/>
        </w:rPr>
        <w:t>III</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_Toc31638 </w:instrText>
      </w:r>
      <w:r>
        <w:rPr>
          <w:rFonts w:hint="eastAsia" w:ascii="宋体" w:hAnsi="宋体" w:eastAsia="宋体" w:cs="宋体"/>
          <w:szCs w:val="21"/>
        </w:rPr>
        <w:fldChar w:fldCharType="separate"/>
      </w:r>
      <w:r>
        <w:rPr>
          <w:rFonts w:hint="eastAsia" w:ascii="宋体" w:hAnsi="宋体" w:eastAsia="宋体" w:cs="宋体"/>
          <w:i w:val="0"/>
        </w:rPr>
        <w:t xml:space="preserve">1 </w:t>
      </w:r>
      <w:r>
        <w:rPr>
          <w:rFonts w:hint="eastAsia" w:ascii="宋体" w:hAnsi="宋体" w:eastAsia="宋体" w:cs="宋体"/>
          <w:i w:val="0"/>
          <w:lang w:val="en-US" w:eastAsia="zh-CN"/>
        </w:rPr>
        <w:t xml:space="preserve"> </w:t>
      </w:r>
      <w:r>
        <w:rPr>
          <w:rFonts w:hint="eastAsia" w:ascii="宋体" w:hAnsi="宋体" w:eastAsia="宋体" w:cs="宋体"/>
        </w:rPr>
        <w:t>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_Toc31638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_Toc25694 </w:instrText>
      </w:r>
      <w:r>
        <w:rPr>
          <w:rFonts w:hint="eastAsia" w:ascii="宋体" w:hAnsi="宋体" w:eastAsia="宋体" w:cs="宋体"/>
          <w:szCs w:val="21"/>
        </w:rPr>
        <w:fldChar w:fldCharType="separate"/>
      </w:r>
      <w:r>
        <w:rPr>
          <w:rFonts w:hint="eastAsia" w:ascii="宋体" w:hAnsi="宋体" w:eastAsia="宋体" w:cs="宋体"/>
          <w:i w:val="0"/>
        </w:rPr>
        <w:t xml:space="preserve">2 </w:t>
      </w:r>
      <w:r>
        <w:rPr>
          <w:rFonts w:hint="eastAsia" w:ascii="宋体" w:hAnsi="宋体" w:eastAsia="宋体" w:cs="宋体"/>
          <w:i w:val="0"/>
          <w:lang w:val="en-US" w:eastAsia="zh-CN"/>
        </w:rPr>
        <w:t xml:space="preserve"> </w:t>
      </w:r>
      <w:r>
        <w:rPr>
          <w:rFonts w:hint="eastAsia" w:ascii="宋体" w:hAnsi="宋体" w:eastAsia="宋体" w:cs="宋体"/>
        </w:rPr>
        <w:t>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_Toc25694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_Toc1640 </w:instrText>
      </w:r>
      <w:r>
        <w:rPr>
          <w:rFonts w:hint="eastAsia" w:ascii="宋体" w:hAnsi="宋体" w:eastAsia="宋体" w:cs="宋体"/>
          <w:szCs w:val="21"/>
        </w:rPr>
        <w:fldChar w:fldCharType="separate"/>
      </w:r>
      <w:r>
        <w:rPr>
          <w:rFonts w:hint="eastAsia" w:ascii="宋体" w:hAnsi="宋体" w:eastAsia="宋体" w:cs="宋体"/>
          <w:i w:val="0"/>
        </w:rPr>
        <w:t xml:space="preserve">3 </w:t>
      </w:r>
      <w:r>
        <w:rPr>
          <w:rFonts w:hint="eastAsia" w:ascii="宋体" w:hAnsi="宋体" w:eastAsia="宋体" w:cs="宋体"/>
          <w:i w:val="0"/>
          <w:lang w:val="en-US" w:eastAsia="zh-CN"/>
        </w:rPr>
        <w:t xml:space="preserve"> </w:t>
      </w:r>
      <w:r>
        <w:rPr>
          <w:rFonts w:hint="eastAsia" w:ascii="宋体" w:hAnsi="宋体" w:eastAsia="宋体" w:cs="宋体"/>
          <w:szCs w:val="21"/>
        </w:rPr>
        <w:t>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_Toc1640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_Toc3545 </w:instrText>
      </w:r>
      <w:r>
        <w:rPr>
          <w:rFonts w:hint="eastAsia" w:ascii="宋体" w:hAnsi="宋体" w:eastAsia="宋体" w:cs="宋体"/>
          <w:szCs w:val="21"/>
        </w:rPr>
        <w:fldChar w:fldCharType="separate"/>
      </w:r>
      <w:r>
        <w:rPr>
          <w:rFonts w:hint="eastAsia" w:ascii="宋体" w:hAnsi="宋体" w:eastAsia="宋体" w:cs="宋体"/>
          <w:i w:val="0"/>
        </w:rPr>
        <w:t xml:space="preserve">4 </w:t>
      </w:r>
      <w:r>
        <w:rPr>
          <w:rFonts w:hint="eastAsia" w:ascii="宋体" w:hAnsi="宋体" w:eastAsia="宋体" w:cs="宋体"/>
          <w:i w:val="0"/>
          <w:lang w:val="en-US" w:eastAsia="zh-CN"/>
        </w:rPr>
        <w:t xml:space="preserve"> </w:t>
      </w:r>
      <w:r>
        <w:rPr>
          <w:rFonts w:hint="eastAsia" w:ascii="宋体" w:hAnsi="宋体" w:eastAsia="宋体" w:cs="宋体"/>
          <w:szCs w:val="21"/>
        </w:rPr>
        <w:t>服务机构</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_Toc3545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_Toc26316 </w:instrText>
      </w:r>
      <w:r>
        <w:rPr>
          <w:rFonts w:hint="eastAsia" w:ascii="宋体" w:hAnsi="宋体" w:eastAsia="宋体" w:cs="宋体"/>
          <w:szCs w:val="21"/>
        </w:rPr>
        <w:fldChar w:fldCharType="separate"/>
      </w:r>
      <w:r>
        <w:rPr>
          <w:rFonts w:hint="eastAsia" w:ascii="宋体" w:hAnsi="宋体" w:eastAsia="宋体" w:cs="宋体"/>
          <w:i w:val="0"/>
        </w:rPr>
        <w:t xml:space="preserve">5 </w:t>
      </w:r>
      <w:r>
        <w:rPr>
          <w:rFonts w:hint="eastAsia" w:ascii="宋体" w:hAnsi="宋体" w:eastAsia="宋体" w:cs="宋体"/>
          <w:i w:val="0"/>
          <w:lang w:val="en-US" w:eastAsia="zh-CN"/>
        </w:rPr>
        <w:t xml:space="preserve"> </w:t>
      </w:r>
      <w:r>
        <w:rPr>
          <w:rFonts w:hint="eastAsia" w:ascii="宋体" w:hAnsi="宋体" w:eastAsia="宋体" w:cs="宋体"/>
        </w:rPr>
        <w:t>服务场所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_Toc26316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_Toc9802 </w:instrText>
      </w:r>
      <w:r>
        <w:rPr>
          <w:rFonts w:hint="eastAsia" w:ascii="宋体" w:hAnsi="宋体" w:eastAsia="宋体" w:cs="宋体"/>
          <w:szCs w:val="21"/>
        </w:rPr>
        <w:fldChar w:fldCharType="separate"/>
      </w:r>
      <w:r>
        <w:rPr>
          <w:rFonts w:hint="eastAsia" w:ascii="宋体" w:hAnsi="宋体" w:eastAsia="宋体" w:cs="宋体"/>
          <w:i w:val="0"/>
        </w:rPr>
        <w:t xml:space="preserve">6 </w:t>
      </w:r>
      <w:r>
        <w:rPr>
          <w:rFonts w:hint="eastAsia" w:ascii="宋体" w:hAnsi="宋体" w:eastAsia="宋体" w:cs="宋体"/>
          <w:i w:val="0"/>
          <w:lang w:val="en-US" w:eastAsia="zh-CN"/>
        </w:rPr>
        <w:t xml:space="preserve"> </w:t>
      </w:r>
      <w:r>
        <w:rPr>
          <w:rFonts w:hint="eastAsia" w:ascii="宋体" w:hAnsi="宋体" w:eastAsia="宋体" w:cs="宋体"/>
        </w:rPr>
        <w:t>服务人员</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_Toc9802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_Toc59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6.1 </w:t>
      </w:r>
      <w:r>
        <w:rPr>
          <w:rFonts w:hint="eastAsia" w:ascii="宋体" w:hAnsi="宋体" w:eastAsia="宋体" w:cs="宋体"/>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szCs w:val="21"/>
        </w:rPr>
        <w:t>人员配置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_Toc59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_Toc728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6.2 </w:t>
      </w:r>
      <w:r>
        <w:rPr>
          <w:rFonts w:hint="eastAsia" w:ascii="宋体" w:hAnsi="宋体" w:eastAsia="宋体" w:cs="宋体"/>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szCs w:val="21"/>
        </w:rPr>
        <w:t>人员资质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_Toc728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_Toc24189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6.3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szCs w:val="21"/>
        </w:rPr>
        <w:t>服务礼仪</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_Toc24189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_Toc8471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6.4 </w:t>
      </w:r>
      <w:r>
        <w:rPr>
          <w:rFonts w:hint="eastAsia" w:ascii="宋体" w:hAnsi="宋体" w:eastAsia="宋体" w:cs="宋体"/>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szCs w:val="21"/>
        </w:rPr>
        <w:t>人员培训</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_Toc8471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_Toc19788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6.5 </w:t>
      </w:r>
      <w:r>
        <w:rPr>
          <w:rFonts w:hint="eastAsia" w:ascii="宋体" w:hAnsi="宋体" w:eastAsia="宋体" w:cs="宋体"/>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szCs w:val="21"/>
        </w:rPr>
        <w:t>健康检查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_Toc19788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_Toc31248 </w:instrText>
      </w:r>
      <w:r>
        <w:rPr>
          <w:rFonts w:hint="eastAsia" w:ascii="宋体" w:hAnsi="宋体" w:eastAsia="宋体" w:cs="宋体"/>
          <w:szCs w:val="21"/>
        </w:rPr>
        <w:fldChar w:fldCharType="separate"/>
      </w:r>
      <w:r>
        <w:rPr>
          <w:rFonts w:hint="eastAsia" w:ascii="宋体" w:hAnsi="宋体" w:eastAsia="宋体" w:cs="宋体"/>
          <w:i w:val="0"/>
        </w:rPr>
        <w:t xml:space="preserve">7 </w:t>
      </w:r>
      <w:r>
        <w:rPr>
          <w:rFonts w:hint="eastAsia" w:ascii="宋体" w:hAnsi="宋体" w:eastAsia="宋体" w:cs="宋体"/>
          <w:i w:val="0"/>
          <w:lang w:val="en-US" w:eastAsia="zh-CN"/>
        </w:rPr>
        <w:t xml:space="preserve"> </w:t>
      </w:r>
      <w:r>
        <w:rPr>
          <w:rFonts w:hint="eastAsia" w:ascii="宋体" w:hAnsi="宋体" w:eastAsia="宋体" w:cs="宋体"/>
        </w:rPr>
        <w:t>设施设备要求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_Toc31248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_Toc30541 </w:instrText>
      </w:r>
      <w:r>
        <w:rPr>
          <w:rFonts w:hint="eastAsia" w:ascii="宋体" w:hAnsi="宋体" w:eastAsia="宋体" w:cs="宋体"/>
          <w:szCs w:val="21"/>
        </w:rPr>
        <w:fldChar w:fldCharType="separate"/>
      </w:r>
      <w:r>
        <w:rPr>
          <w:rFonts w:hint="eastAsia" w:ascii="宋体" w:hAnsi="宋体" w:eastAsia="宋体" w:cs="宋体"/>
          <w:i w:val="0"/>
        </w:rPr>
        <w:t xml:space="preserve">8 </w:t>
      </w:r>
      <w:r>
        <w:rPr>
          <w:rFonts w:hint="eastAsia" w:ascii="宋体" w:hAnsi="宋体" w:eastAsia="宋体" w:cs="宋体"/>
          <w:i w:val="0"/>
          <w:lang w:val="en-US" w:eastAsia="zh-CN"/>
        </w:rPr>
        <w:t xml:space="preserve"> </w:t>
      </w:r>
      <w:r>
        <w:rPr>
          <w:rFonts w:hint="eastAsia" w:ascii="宋体" w:hAnsi="宋体" w:eastAsia="宋体" w:cs="宋体"/>
        </w:rPr>
        <w:t>服务内容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_Toc30541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_Toc28136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8.1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商户入驻</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_Toc28136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_Toc15264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8.2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代购服务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_Toc15264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_Toc31605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8.3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客服服务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_Toc31605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_Toc29664 </w:instrText>
      </w:r>
      <w:r>
        <w:rPr>
          <w:rFonts w:hint="eastAsia" w:ascii="宋体" w:hAnsi="宋体" w:eastAsia="宋体" w:cs="宋体"/>
          <w:szCs w:val="21"/>
        </w:rPr>
        <w:fldChar w:fldCharType="separate"/>
      </w:r>
      <w:r>
        <w:rPr>
          <w:rFonts w:hint="eastAsia" w:ascii="宋体" w:hAnsi="宋体" w:eastAsia="宋体" w:cs="宋体"/>
          <w:i w:val="0"/>
        </w:rPr>
        <w:t xml:space="preserve">9 </w:t>
      </w:r>
      <w:r>
        <w:rPr>
          <w:rFonts w:hint="eastAsia" w:ascii="宋体" w:hAnsi="宋体" w:eastAsia="宋体" w:cs="宋体"/>
          <w:i w:val="0"/>
          <w:lang w:val="en-US" w:eastAsia="zh-CN"/>
        </w:rPr>
        <w:t xml:space="preserve"> </w:t>
      </w:r>
      <w:r>
        <w:rPr>
          <w:rFonts w:hint="eastAsia" w:ascii="宋体" w:hAnsi="宋体" w:eastAsia="宋体" w:cs="宋体"/>
        </w:rPr>
        <w:t>电子商务平台</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_Toc29664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_Toc29810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9.1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平台功能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_Toc29810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_Toc25512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9.2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平台要求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_Toc25512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_Toc2399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9.3</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安全要求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_Toc2399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_Toc15793 </w:instrText>
      </w:r>
      <w:r>
        <w:rPr>
          <w:rFonts w:hint="eastAsia" w:ascii="宋体" w:hAnsi="宋体" w:eastAsia="宋体" w:cs="宋体"/>
          <w:szCs w:val="21"/>
        </w:rPr>
        <w:fldChar w:fldCharType="separate"/>
      </w:r>
      <w:r>
        <w:rPr>
          <w:rFonts w:hint="eastAsia" w:ascii="宋体" w:hAnsi="宋体" w:eastAsia="宋体" w:cs="宋体"/>
          <w:i w:val="0"/>
        </w:rPr>
        <w:t xml:space="preserve">10 </w:t>
      </w:r>
      <w:r>
        <w:rPr>
          <w:rFonts w:hint="eastAsia" w:ascii="宋体" w:hAnsi="宋体" w:eastAsia="宋体" w:cs="宋体"/>
          <w:i w:val="0"/>
          <w:lang w:val="en-US" w:eastAsia="zh-CN"/>
        </w:rPr>
        <w:t xml:space="preserve"> </w:t>
      </w:r>
      <w:r>
        <w:rPr>
          <w:rFonts w:hint="eastAsia" w:ascii="宋体" w:hAnsi="宋体" w:eastAsia="宋体" w:cs="宋体"/>
        </w:rPr>
        <w:t>服务评价与改进</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_Toc15793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_Toc31560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10.1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服务评价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_Toc31560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zCs w:val="21"/>
        </w:rPr>
        <w:fldChar w:fldCharType="end"/>
      </w:r>
    </w:p>
    <w:p>
      <w:pPr>
        <w:pStyle w:val="17"/>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_Toc10777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10.2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服务改进</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_Toc10777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_Toc5750 </w:instrText>
      </w:r>
      <w:r>
        <w:rPr>
          <w:rFonts w:hint="eastAsia" w:ascii="宋体" w:hAnsi="宋体" w:eastAsia="宋体" w:cs="宋体"/>
          <w:szCs w:val="21"/>
        </w:rPr>
        <w:fldChar w:fldCharType="separate"/>
      </w:r>
      <w:r>
        <w:rPr>
          <w:rFonts w:hint="eastAsia" w:ascii="宋体" w:hAnsi="宋体" w:eastAsia="宋体" w:cs="宋体"/>
          <w:i w:val="0"/>
          <w:spacing w:val="0"/>
          <w:w w:val="100"/>
        </w:rPr>
        <w:t>附录A</w:t>
      </w:r>
      <w:r>
        <w:rPr>
          <w:rFonts w:hint="eastAsia" w:ascii="宋体" w:hAnsi="宋体" w:eastAsia="宋体" w:cs="宋体"/>
        </w:rPr>
        <w:t xml:space="preserve">（规范性） </w:t>
      </w:r>
      <w:r>
        <w:rPr>
          <w:rFonts w:hint="eastAsia" w:ascii="宋体" w:hAnsi="宋体" w:eastAsia="宋体" w:cs="宋体"/>
          <w:lang w:val="en-US" w:eastAsia="zh-CN"/>
        </w:rPr>
        <w:t xml:space="preserve"> </w:t>
      </w:r>
      <w:r>
        <w:rPr>
          <w:rFonts w:hint="eastAsia" w:ascii="宋体" w:hAnsi="宋体" w:eastAsia="宋体" w:cs="宋体"/>
        </w:rPr>
        <w:t>资质要求表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_Toc5750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zCs w:val="21"/>
        </w:rPr>
        <w:fldChar w:fldCharType="end"/>
      </w:r>
    </w:p>
    <w:p>
      <w:pPr>
        <w:snapToGrid w:val="0"/>
        <w:jc w:val="left"/>
        <w:rPr>
          <w:rFonts w:ascii="宋体" w:hAnsi="宋体" w:eastAsia="宋体" w:cs="宋体"/>
          <w:szCs w:val="21"/>
        </w:rPr>
      </w:pPr>
      <w:r>
        <w:rPr>
          <w:rFonts w:hint="eastAsia" w:ascii="宋体" w:hAnsi="宋体" w:eastAsia="宋体" w:cs="宋体"/>
          <w:szCs w:val="21"/>
        </w:rPr>
        <w:fldChar w:fldCharType="end"/>
      </w:r>
    </w:p>
    <w:p>
      <w:pPr>
        <w:pStyle w:val="2"/>
        <w:rPr>
          <w:rFonts w:ascii="宋体" w:hAnsi="宋体" w:eastAsia="宋体" w:cs="宋体"/>
          <w:szCs w:val="21"/>
        </w:rPr>
      </w:pPr>
    </w:p>
    <w:p>
      <w:pPr>
        <w:pStyle w:val="2"/>
        <w:rPr>
          <w:rFonts w:ascii="宋体" w:hAnsi="宋体" w:eastAsia="宋体" w:cs="宋体"/>
          <w:szCs w:val="21"/>
        </w:rPr>
      </w:pPr>
    </w:p>
    <w:p>
      <w:pPr>
        <w:pStyle w:val="2"/>
        <w:rPr>
          <w:rFonts w:ascii="宋体" w:hAnsi="宋体" w:eastAsia="宋体" w:cs="宋体"/>
          <w:szCs w:val="21"/>
        </w:rPr>
      </w:pPr>
    </w:p>
    <w:p>
      <w:pPr>
        <w:widowControl/>
        <w:jc w:val="left"/>
      </w:pPr>
      <w:r>
        <w:br w:type="page"/>
      </w:r>
    </w:p>
    <w:p>
      <w:pPr>
        <w:pStyle w:val="2"/>
      </w:pPr>
    </w:p>
    <w:p>
      <w:pPr>
        <w:pStyle w:val="2"/>
        <w:sectPr>
          <w:headerReference r:id="rId5" w:type="default"/>
          <w:footerReference r:id="rId6" w:type="default"/>
          <w:footerReference r:id="rId7" w:type="even"/>
          <w:pgSz w:w="11906" w:h="16838"/>
          <w:pgMar w:top="1417" w:right="1134" w:bottom="1134" w:left="1418" w:header="1417" w:footer="1134" w:gutter="0"/>
          <w:pgNumType w:fmt="upperRoman" w:start="1"/>
          <w:cols w:space="425" w:num="1"/>
          <w:docGrid w:type="lines" w:linePitch="312" w:charSpace="0"/>
        </w:sectPr>
      </w:pPr>
    </w:p>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outlineLvl w:val="0"/>
        <w:rPr>
          <w:rFonts w:hint="eastAsia" w:ascii="黑体" w:hAnsi="黑体" w:eastAsia="黑体" w:cs="黑体"/>
          <w:kern w:val="0"/>
          <w:sz w:val="32"/>
          <w:szCs w:val="32"/>
          <w:lang w:val="en-US" w:eastAsia="zh-CN"/>
        </w:rPr>
      </w:pPr>
      <w:bookmarkStart w:id="10" w:name="_Toc19664"/>
      <w:r>
        <w:rPr>
          <w:rFonts w:hint="eastAsia" w:ascii="黑体" w:hAnsi="黑体" w:eastAsia="黑体" w:cs="黑体"/>
          <w:kern w:val="0"/>
          <w:sz w:val="32"/>
          <w:szCs w:val="32"/>
          <w:lang w:val="en-US" w:eastAsia="zh-CN"/>
        </w:rPr>
        <w:t>前    言</w:t>
      </w:r>
      <w:bookmarkEnd w:id="10"/>
    </w:p>
    <w:p>
      <w:pPr>
        <w:shd w:val="clea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本文件按照GB/T 1.1—2020《标准化工作导则  第1部分：标准化文件的结构和起草规则》的规定起草。</w:t>
      </w:r>
    </w:p>
    <w:p>
      <w:pPr>
        <w:shd w:val="clea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请注意本文件的某些内容可能涉及专利。本文件的发布机构不承担识别专利的责任。</w:t>
      </w:r>
    </w:p>
    <w:p>
      <w:pPr>
        <w:shd w:val="clea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本文件由苏州市商务局提出并归口。</w:t>
      </w:r>
    </w:p>
    <w:p>
      <w:pPr>
        <w:shd w:val="clea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本文件起草单位：苏州市吴中裕春市场管理有限公司</w:t>
      </w:r>
      <w:r>
        <w:rPr>
          <w:rFonts w:hint="eastAsia" w:ascii="宋体" w:hAnsi="宋体" w:eastAsia="宋体" w:cs="宋体"/>
          <w:kern w:val="0"/>
          <w:szCs w:val="21"/>
          <w:lang w:val="en-US" w:eastAsia="zh-CN"/>
        </w:rPr>
        <w:t>、</w:t>
      </w:r>
      <w:r>
        <w:rPr>
          <w:rFonts w:hint="eastAsia" w:ascii="宋体" w:hAnsi="宋体" w:eastAsia="宋体" w:cs="宋体"/>
          <w:kern w:val="0"/>
          <w:szCs w:val="21"/>
        </w:rPr>
        <w:t>苏州华开农创智慧科技有限公司</w:t>
      </w:r>
      <w:r>
        <w:rPr>
          <w:rFonts w:hint="eastAsia" w:ascii="宋体" w:hAnsi="宋体" w:eastAsia="宋体" w:cs="宋体"/>
          <w:kern w:val="0"/>
          <w:szCs w:val="21"/>
          <w:lang w:val="en-US" w:eastAsia="zh-CN"/>
        </w:rPr>
        <w:t>、</w:t>
      </w:r>
      <w:r>
        <w:rPr>
          <w:rFonts w:hint="eastAsia" w:ascii="宋体" w:hAnsi="宋体" w:eastAsia="宋体" w:cs="宋体"/>
          <w:kern w:val="0"/>
          <w:szCs w:val="21"/>
        </w:rPr>
        <w:t>云农集（苏州）供应链有限公司</w:t>
      </w:r>
      <w:r>
        <w:rPr>
          <w:rFonts w:hint="eastAsia" w:ascii="宋体" w:hAnsi="宋体" w:eastAsia="宋体" w:cs="宋体"/>
          <w:kern w:val="0"/>
          <w:szCs w:val="21"/>
          <w:lang w:val="en-US" w:eastAsia="zh-CN"/>
        </w:rPr>
        <w:t>、</w:t>
      </w:r>
      <w:r>
        <w:rPr>
          <w:rFonts w:hint="eastAsia" w:ascii="宋体" w:hAnsi="宋体" w:eastAsia="宋体" w:cs="宋体"/>
          <w:kern w:val="0"/>
          <w:szCs w:val="21"/>
        </w:rPr>
        <w:t>苏州瑞丰市场发展有限公司</w:t>
      </w:r>
      <w:r>
        <w:rPr>
          <w:rFonts w:hint="eastAsia" w:ascii="宋体" w:hAnsi="宋体" w:eastAsia="宋体" w:cs="宋体"/>
          <w:kern w:val="0"/>
          <w:szCs w:val="21"/>
          <w:lang w:val="en-US" w:eastAsia="zh-CN"/>
        </w:rPr>
        <w:t>、</w:t>
      </w:r>
      <w:r>
        <w:rPr>
          <w:rFonts w:hint="eastAsia" w:ascii="宋体" w:hAnsi="宋体" w:eastAsia="宋体" w:cs="宋体"/>
          <w:kern w:val="0"/>
          <w:szCs w:val="21"/>
        </w:rPr>
        <w:t>苏州世标企业管理有限公司</w:t>
      </w:r>
      <w:r>
        <w:rPr>
          <w:rFonts w:hint="eastAsia" w:ascii="宋体" w:hAnsi="宋体" w:eastAsia="宋体" w:cs="宋体"/>
          <w:kern w:val="0"/>
          <w:szCs w:val="21"/>
          <w:lang w:val="en-US" w:eastAsia="zh-CN"/>
        </w:rPr>
        <w:t>、</w:t>
      </w:r>
      <w:r>
        <w:rPr>
          <w:rFonts w:hint="eastAsia" w:ascii="宋体" w:hAnsi="宋体" w:eastAsia="宋体" w:cs="宋体"/>
          <w:kern w:val="0"/>
          <w:szCs w:val="21"/>
        </w:rPr>
        <w:t>北京国际经贸标准化促进会</w:t>
      </w:r>
      <w:r>
        <w:rPr>
          <w:rFonts w:hint="eastAsia" w:ascii="宋体" w:hAnsi="宋体" w:eastAsia="宋体" w:cs="宋体"/>
          <w:kern w:val="0"/>
          <w:szCs w:val="21"/>
          <w:lang w:val="en-US" w:eastAsia="zh-CN"/>
        </w:rPr>
        <w:t>、</w:t>
      </w:r>
      <w:r>
        <w:rPr>
          <w:rFonts w:hint="eastAsia" w:ascii="宋体" w:hAnsi="宋体" w:eastAsia="宋体" w:cs="宋体"/>
          <w:kern w:val="0"/>
          <w:szCs w:val="21"/>
        </w:rPr>
        <w:t>北京市顺义区计量和食品药品检测中心</w:t>
      </w:r>
      <w:r>
        <w:rPr>
          <w:rFonts w:hint="eastAsia" w:ascii="宋体" w:hAnsi="宋体" w:eastAsia="宋体" w:cs="宋体"/>
          <w:kern w:val="0"/>
          <w:szCs w:val="21"/>
          <w:lang w:val="en-US" w:eastAsia="zh-CN"/>
        </w:rPr>
        <w:t>、</w:t>
      </w:r>
      <w:r>
        <w:rPr>
          <w:rFonts w:hint="eastAsia" w:ascii="宋体" w:hAnsi="宋体" w:eastAsia="宋体" w:cs="宋体"/>
          <w:kern w:val="0"/>
          <w:szCs w:val="21"/>
        </w:rPr>
        <w:t>首垦食品集团有限公司</w:t>
      </w:r>
      <w:r>
        <w:rPr>
          <w:rFonts w:hint="eastAsia" w:ascii="宋体" w:hAnsi="宋体" w:eastAsia="宋体" w:cs="宋体"/>
          <w:kern w:val="0"/>
          <w:szCs w:val="21"/>
          <w:lang w:val="en-US" w:eastAsia="zh-CN"/>
        </w:rPr>
        <w:t>、</w:t>
      </w:r>
      <w:r>
        <w:rPr>
          <w:rFonts w:hint="eastAsia" w:ascii="宋体" w:hAnsi="宋体" w:eastAsia="宋体" w:cs="宋体"/>
          <w:kern w:val="0"/>
          <w:szCs w:val="21"/>
        </w:rPr>
        <w:t>江苏创元数码股份有限公司</w:t>
      </w:r>
      <w:r>
        <w:rPr>
          <w:rFonts w:hint="eastAsia" w:ascii="宋体" w:hAnsi="宋体" w:eastAsia="宋体" w:cs="宋体"/>
          <w:kern w:val="0"/>
          <w:szCs w:val="21"/>
          <w:lang w:val="en-US" w:eastAsia="zh-CN"/>
        </w:rPr>
        <w:t>、苏州市食品副食品业商会、苏州华亿大市场管理有限公司、苏州市质量和标准化院</w:t>
      </w:r>
      <w:r>
        <w:rPr>
          <w:rFonts w:hint="eastAsia" w:ascii="宋体" w:hAnsi="宋体" w:eastAsia="宋体" w:cs="宋体"/>
          <w:kern w:val="0"/>
          <w:szCs w:val="21"/>
        </w:rPr>
        <w:t>。</w:t>
      </w:r>
    </w:p>
    <w:p>
      <w:pPr>
        <w:shd w:val="clea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本文件主要起草人：胡学开</w:t>
      </w:r>
      <w:r>
        <w:rPr>
          <w:rFonts w:hint="eastAsia" w:ascii="宋体" w:hAnsi="宋体" w:eastAsia="宋体" w:cs="宋体"/>
          <w:kern w:val="0"/>
          <w:szCs w:val="21"/>
          <w:lang w:val="en-US" w:eastAsia="zh-CN"/>
        </w:rPr>
        <w:t>、</w:t>
      </w:r>
      <w:r>
        <w:rPr>
          <w:rFonts w:hint="eastAsia" w:ascii="宋体" w:hAnsi="宋体" w:eastAsia="宋体" w:cs="宋体"/>
          <w:kern w:val="0"/>
          <w:szCs w:val="21"/>
        </w:rPr>
        <w:t>王孟寅</w:t>
      </w:r>
      <w:r>
        <w:rPr>
          <w:rFonts w:hint="eastAsia" w:ascii="宋体" w:hAnsi="宋体" w:eastAsia="宋体" w:cs="宋体"/>
          <w:kern w:val="0"/>
          <w:szCs w:val="21"/>
          <w:lang w:val="en-US" w:eastAsia="zh-CN"/>
        </w:rPr>
        <w:t>、</w:t>
      </w:r>
      <w:r>
        <w:rPr>
          <w:rFonts w:hint="eastAsia" w:ascii="宋体" w:hAnsi="宋体" w:eastAsia="宋体" w:cs="宋体"/>
          <w:kern w:val="0"/>
          <w:szCs w:val="21"/>
        </w:rPr>
        <w:t>王德顺</w:t>
      </w:r>
      <w:r>
        <w:rPr>
          <w:rFonts w:hint="eastAsia" w:ascii="宋体" w:hAnsi="宋体" w:eastAsia="宋体" w:cs="宋体"/>
          <w:kern w:val="0"/>
          <w:szCs w:val="21"/>
          <w:lang w:val="en-US" w:eastAsia="zh-CN"/>
        </w:rPr>
        <w:t>、</w:t>
      </w:r>
      <w:r>
        <w:rPr>
          <w:rFonts w:hint="eastAsia" w:ascii="宋体" w:hAnsi="宋体" w:eastAsia="宋体" w:cs="宋体"/>
          <w:kern w:val="0"/>
          <w:szCs w:val="21"/>
        </w:rPr>
        <w:t>严明月</w:t>
      </w:r>
      <w:r>
        <w:rPr>
          <w:rFonts w:hint="eastAsia" w:ascii="宋体" w:hAnsi="宋体" w:eastAsia="宋体" w:cs="宋体"/>
          <w:kern w:val="0"/>
          <w:szCs w:val="21"/>
          <w:lang w:val="en-US" w:eastAsia="zh-CN"/>
        </w:rPr>
        <w:t>、</w:t>
      </w:r>
      <w:r>
        <w:rPr>
          <w:rFonts w:hint="eastAsia" w:ascii="宋体" w:hAnsi="宋体" w:eastAsia="宋体" w:cs="宋体"/>
          <w:kern w:val="0"/>
          <w:szCs w:val="21"/>
        </w:rPr>
        <w:t>范靖伟</w:t>
      </w:r>
      <w:r>
        <w:rPr>
          <w:rFonts w:hint="eastAsia" w:ascii="宋体" w:hAnsi="宋体" w:eastAsia="宋体" w:cs="宋体"/>
          <w:kern w:val="0"/>
          <w:szCs w:val="21"/>
          <w:lang w:val="en-US" w:eastAsia="zh-CN"/>
        </w:rPr>
        <w:t>、</w:t>
      </w:r>
      <w:r>
        <w:rPr>
          <w:rFonts w:hint="eastAsia" w:ascii="宋体" w:hAnsi="宋体" w:eastAsia="宋体" w:cs="宋体"/>
          <w:kern w:val="0"/>
          <w:szCs w:val="21"/>
        </w:rPr>
        <w:t>王菲</w:t>
      </w:r>
      <w:r>
        <w:rPr>
          <w:rFonts w:hint="eastAsia" w:ascii="宋体" w:hAnsi="宋体" w:eastAsia="宋体" w:cs="宋体"/>
          <w:kern w:val="0"/>
          <w:szCs w:val="21"/>
          <w:lang w:val="en-US" w:eastAsia="zh-CN"/>
        </w:rPr>
        <w:t>、</w:t>
      </w:r>
      <w:r>
        <w:rPr>
          <w:rFonts w:hint="eastAsia" w:ascii="宋体" w:hAnsi="宋体" w:eastAsia="宋体" w:cs="宋体"/>
          <w:kern w:val="0"/>
          <w:szCs w:val="21"/>
        </w:rPr>
        <w:t>张美风</w:t>
      </w:r>
      <w:r>
        <w:rPr>
          <w:rFonts w:hint="eastAsia" w:ascii="宋体" w:hAnsi="宋体" w:eastAsia="宋体" w:cs="宋体"/>
          <w:kern w:val="0"/>
          <w:szCs w:val="21"/>
          <w:lang w:val="en-US" w:eastAsia="zh-CN"/>
        </w:rPr>
        <w:t>、</w:t>
      </w:r>
      <w:r>
        <w:rPr>
          <w:rFonts w:hint="eastAsia" w:ascii="宋体" w:hAnsi="宋体" w:eastAsia="宋体" w:cs="宋体"/>
          <w:kern w:val="0"/>
          <w:szCs w:val="21"/>
        </w:rPr>
        <w:t>张德银</w:t>
      </w:r>
      <w:r>
        <w:rPr>
          <w:rFonts w:hint="eastAsia" w:ascii="宋体" w:hAnsi="宋体" w:eastAsia="宋体" w:cs="宋体"/>
          <w:kern w:val="0"/>
          <w:szCs w:val="21"/>
          <w:lang w:val="en-US" w:eastAsia="zh-CN"/>
        </w:rPr>
        <w:t>、</w:t>
      </w:r>
      <w:r>
        <w:rPr>
          <w:rFonts w:hint="eastAsia" w:ascii="宋体" w:hAnsi="宋体" w:eastAsia="宋体" w:cs="宋体"/>
          <w:kern w:val="0"/>
          <w:szCs w:val="21"/>
        </w:rPr>
        <w:t>张晓梅</w:t>
      </w:r>
      <w:r>
        <w:rPr>
          <w:rFonts w:hint="eastAsia" w:ascii="宋体" w:hAnsi="宋体" w:eastAsia="宋体" w:cs="宋体"/>
          <w:kern w:val="0"/>
          <w:szCs w:val="21"/>
          <w:lang w:val="en-US" w:eastAsia="zh-CN"/>
        </w:rPr>
        <w:t>、</w:t>
      </w:r>
      <w:r>
        <w:rPr>
          <w:rFonts w:hint="eastAsia" w:ascii="宋体" w:hAnsi="宋体" w:eastAsia="宋体" w:cs="宋体"/>
          <w:kern w:val="0"/>
          <w:szCs w:val="21"/>
        </w:rPr>
        <w:t>张伟栋</w:t>
      </w:r>
      <w:r>
        <w:rPr>
          <w:rFonts w:hint="eastAsia" w:ascii="宋体" w:hAnsi="宋体" w:eastAsia="宋体" w:cs="宋体"/>
          <w:kern w:val="0"/>
          <w:szCs w:val="21"/>
          <w:lang w:val="en-US" w:eastAsia="zh-CN"/>
        </w:rPr>
        <w:t>、</w:t>
      </w:r>
      <w:r>
        <w:rPr>
          <w:rFonts w:hint="eastAsia" w:ascii="宋体" w:hAnsi="宋体" w:eastAsia="宋体" w:cs="宋体"/>
          <w:kern w:val="0"/>
          <w:szCs w:val="21"/>
        </w:rPr>
        <w:t>靳成成</w:t>
      </w:r>
      <w:r>
        <w:rPr>
          <w:rFonts w:hint="eastAsia" w:ascii="宋体" w:hAnsi="宋体" w:eastAsia="宋体" w:cs="宋体"/>
          <w:kern w:val="0"/>
          <w:szCs w:val="21"/>
          <w:lang w:val="en-US" w:eastAsia="zh-CN"/>
        </w:rPr>
        <w:t>、</w:t>
      </w:r>
      <w:r>
        <w:rPr>
          <w:rFonts w:hint="eastAsia" w:ascii="宋体" w:hAnsi="宋体" w:eastAsia="宋体" w:cs="宋体"/>
          <w:kern w:val="0"/>
          <w:szCs w:val="21"/>
        </w:rPr>
        <w:t>宇文丽</w:t>
      </w:r>
      <w:r>
        <w:rPr>
          <w:rFonts w:hint="eastAsia" w:ascii="宋体" w:hAnsi="宋体" w:eastAsia="宋体" w:cs="宋体"/>
          <w:kern w:val="0"/>
          <w:szCs w:val="21"/>
          <w:lang w:val="en-US" w:eastAsia="zh-CN"/>
        </w:rPr>
        <w:t>、韦华杰、杜克峰、周文渊、戈泽友</w:t>
      </w:r>
      <w:r>
        <w:rPr>
          <w:rFonts w:hint="eastAsia" w:ascii="宋体" w:hAnsi="宋体" w:eastAsia="宋体" w:cs="宋体"/>
          <w:kern w:val="0"/>
          <w:szCs w:val="21"/>
        </w:rPr>
        <w:t>。</w:t>
      </w:r>
    </w:p>
    <w:p>
      <w:pPr>
        <w:snapToGrid w:val="0"/>
        <w:ind w:firstLine="420" w:firstLineChars="200"/>
        <w:rPr>
          <w:rFonts w:ascii="宋体" w:hAnsi="宋体" w:eastAsia="宋体" w:cs="宋体"/>
          <w:kern w:val="0"/>
          <w:szCs w:val="21"/>
        </w:rPr>
      </w:pPr>
    </w:p>
    <w:p>
      <w:pPr>
        <w:pStyle w:val="2"/>
        <w:sectPr>
          <w:footerReference r:id="rId9" w:type="default"/>
          <w:headerReference r:id="rId8" w:type="even"/>
          <w:footerReference r:id="rId10" w:type="even"/>
          <w:pgSz w:w="11906" w:h="16838"/>
          <w:pgMar w:top="1417" w:right="1134" w:bottom="1134" w:left="1418" w:header="1417" w:footer="1134" w:gutter="0"/>
          <w:pgNumType w:fmt="upperRoman" w:start="2"/>
          <w:cols w:space="425" w:num="1"/>
          <w:docGrid w:type="lines" w:linePitch="312" w:charSpace="0"/>
        </w:sectPr>
      </w:pPr>
    </w:p>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outlineLvl w:val="0"/>
        <w:rPr>
          <w:rFonts w:hint="eastAsia" w:ascii="黑体" w:hAnsi="黑体" w:eastAsia="黑体" w:cs="黑体"/>
          <w:kern w:val="0"/>
          <w:sz w:val="32"/>
          <w:szCs w:val="32"/>
          <w:lang w:val="en-US" w:eastAsia="zh-CN"/>
        </w:rPr>
      </w:pPr>
      <w:bookmarkStart w:id="11" w:name="_Toc13499"/>
      <w:r>
        <w:rPr>
          <w:rFonts w:hint="eastAsia" w:ascii="黑体" w:hAnsi="黑体" w:eastAsia="黑体" w:cs="黑体"/>
          <w:kern w:val="0"/>
          <w:sz w:val="32"/>
          <w:szCs w:val="32"/>
          <w:lang w:val="en-US" w:eastAsia="zh-CN"/>
        </w:rPr>
        <w:t>引    言</w:t>
      </w:r>
      <w:bookmarkEnd w:id="11"/>
    </w:p>
    <w:p>
      <w:pPr>
        <w:shd w:val="clea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近几年来，随着居民生活质量普遍提高和生鲜电商平台的突起，对传统的农贸市场实现线上买菜的便捷性提出了新的需求，同时“一刻钟便民生活圈”也提出数字农贸建设作为重点。</w:t>
      </w:r>
    </w:p>
    <w:p>
      <w:pPr>
        <w:shd w:val="clea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农贸市场线上市集电子商务平台服务机构的管理水平和服务质量参差不齐。出于政府、市场、消费者和市场内商户的多方需要，迫切需要一项能够助力农贸市场数字化转型、规范农贸市场线上市集电子商务服务站（点）的服务规范文件出台，特制定本文件。</w:t>
      </w:r>
    </w:p>
    <w:p>
      <w:pPr>
        <w:pStyle w:val="2"/>
      </w:pPr>
    </w:p>
    <w:p>
      <w:pPr>
        <w:snapToGrid w:val="0"/>
        <w:ind w:firstLine="420" w:firstLineChars="200"/>
        <w:rPr>
          <w:rFonts w:ascii="宋体" w:hAnsi="宋体" w:eastAsia="宋体" w:cs="宋体"/>
          <w:kern w:val="0"/>
          <w:szCs w:val="21"/>
        </w:rPr>
        <w:sectPr>
          <w:footerReference r:id="rId12" w:type="default"/>
          <w:headerReference r:id="rId11" w:type="even"/>
          <w:footerReference r:id="rId13" w:type="even"/>
          <w:pgSz w:w="11906" w:h="16838"/>
          <w:pgMar w:top="1417" w:right="1134" w:bottom="1134" w:left="1418" w:header="1417" w:footer="1134" w:gutter="0"/>
          <w:pgNumType w:fmt="upperRoman"/>
          <w:cols w:space="425" w:num="1"/>
          <w:docGrid w:type="lines" w:linePitch="312" w:charSpace="0"/>
        </w:sectPr>
      </w:pPr>
    </w:p>
    <w:p>
      <w:pPr>
        <w:widowControl/>
        <w:spacing w:before="567" w:after="680"/>
        <w:jc w:val="center"/>
        <w:rPr>
          <w:rFonts w:hint="eastAsia" w:ascii="黑体" w:hAnsi="宋体" w:eastAsia="黑体"/>
          <w:sz w:val="32"/>
          <w:szCs w:val="32"/>
          <w:lang w:val="en-US" w:eastAsia="zh-CN"/>
        </w:rPr>
      </w:pPr>
      <w:bookmarkStart w:id="12" w:name="SectionMark4"/>
      <w:r>
        <w:rPr>
          <w:rFonts w:hint="eastAsia" w:ascii="黑体" w:hAnsi="宋体" w:eastAsia="黑体"/>
          <w:sz w:val="32"/>
          <w:szCs w:val="32"/>
          <w:lang w:val="en-US" w:eastAsia="zh-CN"/>
        </w:rPr>
        <w:t>线上市集 电子商务服务站（点）服务规范</w:t>
      </w:r>
    </w:p>
    <w:bookmarkEnd w:id="12"/>
    <w:p>
      <w:pPr>
        <w:pStyle w:val="66"/>
        <w:spacing w:before="312" w:after="312"/>
      </w:pPr>
      <w:bookmarkStart w:id="13" w:name="_Toc48028304"/>
      <w:bookmarkStart w:id="14" w:name="_Toc67393169"/>
      <w:bookmarkStart w:id="15" w:name="_Toc31638"/>
      <w:bookmarkStart w:id="16" w:name="_Toc48049835"/>
      <w:bookmarkStart w:id="17" w:name="_Toc66965087"/>
      <w:bookmarkStart w:id="18" w:name="_Toc115339701"/>
      <w:bookmarkStart w:id="19" w:name="_Toc15741"/>
      <w:bookmarkStart w:id="20" w:name="_Toc21213"/>
      <w:bookmarkStart w:id="21" w:name="_Toc48028397"/>
      <w:bookmarkStart w:id="22" w:name="_Toc48569571"/>
      <w:bookmarkStart w:id="23" w:name="_Toc48572088"/>
      <w:bookmarkStart w:id="24" w:name="_Toc47973642"/>
      <w:bookmarkStart w:id="25" w:name="_Toc122448156"/>
      <w:bookmarkStart w:id="26" w:name="_Toc47964512"/>
      <w:bookmarkStart w:id="27" w:name="_Toc67401897"/>
      <w:bookmarkStart w:id="28" w:name="_Toc47964470"/>
      <w:bookmarkStart w:id="29" w:name="_Toc40454690"/>
      <w:bookmarkStart w:id="30" w:name="_Toc48050151"/>
      <w:bookmarkStart w:id="31" w:name="_Toc30515"/>
      <w:bookmarkStart w:id="32" w:name="_Toc87811368"/>
      <w:bookmarkStart w:id="33" w:name="_Toc51147912"/>
      <w:bookmarkStart w:id="34" w:name="_Toc10375"/>
      <w:bookmarkStart w:id="35" w:name="_Toc87811223"/>
      <w:bookmarkStart w:id="36" w:name="_Toc51663569"/>
      <w:bookmarkStart w:id="37" w:name="_Toc46494722"/>
      <w:bookmarkStart w:id="38" w:name="_Toc47973431"/>
      <w:r>
        <w:rPr>
          <w:rFonts w:hint="eastAsia"/>
        </w:rPr>
        <w:t>范围</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67"/>
        <w:ind w:firstLine="420"/>
        <w:rPr>
          <w:rFonts w:hAnsi="宋体"/>
          <w:color w:val="000000" w:themeColor="text1"/>
          <w14:textFill>
            <w14:solidFill>
              <w14:schemeClr w14:val="tx1"/>
            </w14:solidFill>
          </w14:textFill>
        </w:rPr>
      </w:pPr>
      <w:bookmarkStart w:id="39" w:name="_Toc17233334"/>
      <w:bookmarkStart w:id="40" w:name="_Toc17233326"/>
      <w:bookmarkStart w:id="41" w:name="_Toc24884219"/>
      <w:bookmarkStart w:id="42" w:name="_Toc24884212"/>
      <w:bookmarkStart w:id="43" w:name="_Toc26648466"/>
      <w:r>
        <w:rPr>
          <w:rFonts w:hint="eastAsia" w:hAnsi="宋体"/>
          <w:color w:val="000000" w:themeColor="text1"/>
          <w14:textFill>
            <w14:solidFill>
              <w14:schemeClr w14:val="tx1"/>
            </w14:solidFill>
          </w14:textFill>
        </w:rPr>
        <w:t>本文件规定了线上市集电子商务服务站（点）的服务机构、服务场所、服务人员、设施设备要求、服务内容、电子商务平台、服务评价</w:t>
      </w:r>
      <w:r>
        <w:rPr>
          <w:rFonts w:hint="eastAsia" w:hAnsi="宋体"/>
          <w:color w:val="000000" w:themeColor="text1"/>
          <w:lang w:val="en-US" w:eastAsia="zh-CN"/>
          <w14:textFill>
            <w14:solidFill>
              <w14:schemeClr w14:val="tx1"/>
            </w14:solidFill>
          </w14:textFill>
        </w:rPr>
        <w:t>与</w:t>
      </w:r>
      <w:r>
        <w:rPr>
          <w:rFonts w:hint="eastAsia" w:hAnsi="宋体"/>
          <w:color w:val="000000" w:themeColor="text1"/>
          <w14:textFill>
            <w14:solidFill>
              <w14:schemeClr w14:val="tx1"/>
            </w14:solidFill>
          </w14:textFill>
        </w:rPr>
        <w:t>改进等</w:t>
      </w:r>
      <w:r>
        <w:rPr>
          <w:rFonts w:hAnsi="宋体"/>
          <w:color w:val="000000" w:themeColor="text1"/>
          <w14:textFill>
            <w14:solidFill>
              <w14:schemeClr w14:val="tx1"/>
            </w14:solidFill>
          </w14:textFill>
        </w:rPr>
        <w:t>内容</w:t>
      </w:r>
      <w:r>
        <w:rPr>
          <w:rFonts w:hint="eastAsia" w:hAnsi="宋体"/>
          <w:color w:val="000000" w:themeColor="text1"/>
          <w14:textFill>
            <w14:solidFill>
              <w14:schemeClr w14:val="tx1"/>
            </w14:solidFill>
          </w14:textFill>
        </w:rPr>
        <w:t>。</w:t>
      </w:r>
    </w:p>
    <w:p>
      <w:pPr>
        <w:pStyle w:val="67"/>
        <w:ind w:firstLine="42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本文件适用于农贸市场电子商务服务站（点）农产品</w:t>
      </w:r>
      <w:r>
        <w:rPr>
          <w:rFonts w:hAnsi="宋体"/>
          <w:color w:val="000000" w:themeColor="text1"/>
          <w14:textFill>
            <w14:solidFill>
              <w14:schemeClr w14:val="tx1"/>
            </w14:solidFill>
          </w14:textFill>
        </w:rPr>
        <w:t>的销售以及相关服务，</w:t>
      </w:r>
      <w:r>
        <w:rPr>
          <w:rFonts w:hint="eastAsia" w:hAnsi="宋体"/>
          <w:color w:val="000000" w:themeColor="text1"/>
          <w14:textFill>
            <w14:solidFill>
              <w14:schemeClr w14:val="tx1"/>
            </w14:solidFill>
          </w14:textFill>
        </w:rPr>
        <w:t>服务站（点）销售</w:t>
      </w:r>
      <w:r>
        <w:rPr>
          <w:rFonts w:hAnsi="宋体"/>
          <w:color w:val="000000" w:themeColor="text1"/>
          <w14:textFill>
            <w14:solidFill>
              <w14:schemeClr w14:val="tx1"/>
            </w14:solidFill>
          </w14:textFill>
        </w:rPr>
        <w:t>的其他产品可参照执行。</w:t>
      </w:r>
    </w:p>
    <w:p>
      <w:pPr>
        <w:pStyle w:val="66"/>
        <w:spacing w:before="312" w:after="312"/>
      </w:pPr>
      <w:bookmarkStart w:id="44" w:name="_Toc160437663"/>
      <w:bookmarkStart w:id="45" w:name="_Toc26986772"/>
      <w:bookmarkStart w:id="46" w:name="_Toc142403724"/>
      <w:bookmarkStart w:id="47" w:name="_Toc98926956"/>
      <w:bookmarkStart w:id="48" w:name="_Toc142393022"/>
      <w:bookmarkStart w:id="49" w:name="_Toc136263703"/>
      <w:bookmarkStart w:id="50" w:name="_Toc103868869"/>
      <w:bookmarkStart w:id="51" w:name="_Toc30486"/>
      <w:bookmarkStart w:id="52" w:name="_Toc127347039"/>
      <w:bookmarkStart w:id="53" w:name="_Toc26986531"/>
      <w:bookmarkStart w:id="54" w:name="_Toc97191424"/>
      <w:bookmarkStart w:id="55" w:name="_Toc26718931"/>
      <w:bookmarkStart w:id="56" w:name="_Toc97647955"/>
      <w:bookmarkStart w:id="57" w:name="_Toc106116687"/>
      <w:bookmarkStart w:id="58" w:name="_Toc127776999"/>
      <w:bookmarkStart w:id="59" w:name="_Toc143516093"/>
      <w:bookmarkStart w:id="60" w:name="_Toc106782388"/>
      <w:bookmarkStart w:id="61" w:name="_Toc107587430"/>
      <w:bookmarkStart w:id="62" w:name="_Toc106090807"/>
      <w:bookmarkStart w:id="63" w:name="_Toc106032675"/>
      <w:bookmarkStart w:id="64" w:name="_Toc25694"/>
      <w:bookmarkStart w:id="65" w:name="_Toc127347207"/>
      <w:bookmarkStart w:id="66" w:name="_Toc159837248"/>
      <w:bookmarkStart w:id="67" w:name="_Toc141706263"/>
      <w:bookmarkStart w:id="68" w:name="_Toc106093617"/>
      <w:bookmarkStart w:id="69" w:name="_Toc145318220"/>
      <w:bookmarkStart w:id="70" w:name="_Toc103693311"/>
      <w:bookmarkStart w:id="71" w:name="_Toc97290530"/>
      <w:bookmarkStart w:id="72" w:name="_Toc102833152"/>
      <w:bookmarkStart w:id="73" w:name="_Toc142399743"/>
      <w:bookmarkStart w:id="74" w:name="_Toc136263735"/>
      <w:r>
        <w:rPr>
          <w:rFonts w:hint="eastAsia"/>
        </w:rPr>
        <w:t>规范性引用文件</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sdt>
      <w:sdtPr>
        <w:rPr>
          <w:rFonts w:hint="eastAsia"/>
        </w:rPr>
        <w:id w:val="715848253"/>
        <w:placeholder>
          <w:docPart w:val="68EE90D0994A479497B5EE5913348427"/>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67"/>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ind w:firstLine="420" w:firstLineChars="200"/>
        <w:rPr>
          <w:rFonts w:ascii="宋体" w:hAnsi="宋体" w:cs="宋体"/>
          <w:snapToGrid w:val="0"/>
          <w:kern w:val="0"/>
          <w:szCs w:val="24"/>
        </w:rPr>
      </w:pPr>
      <w:bookmarkStart w:id="75" w:name="_Toc106782389"/>
      <w:bookmarkStart w:id="76" w:name="_Toc127347040"/>
      <w:bookmarkStart w:id="77" w:name="_Toc106116688"/>
      <w:bookmarkStart w:id="78" w:name="_Toc106093618"/>
      <w:bookmarkStart w:id="79" w:name="_Toc102833153"/>
      <w:bookmarkStart w:id="80" w:name="_Toc106090808"/>
      <w:bookmarkStart w:id="81" w:name="_Toc97191425"/>
      <w:bookmarkStart w:id="82" w:name="_Toc127777000"/>
      <w:bookmarkStart w:id="83" w:name="_Toc98926957"/>
      <w:bookmarkStart w:id="84" w:name="_Toc97647956"/>
      <w:bookmarkStart w:id="85" w:name="_Toc106032676"/>
      <w:bookmarkStart w:id="86" w:name="_Toc107587431"/>
      <w:bookmarkStart w:id="87" w:name="_Toc103868870"/>
      <w:bookmarkStart w:id="88" w:name="_Toc97290531"/>
      <w:bookmarkStart w:id="89" w:name="_Toc127347208"/>
      <w:bookmarkStart w:id="90" w:name="_Toc103693312"/>
      <w:r>
        <w:rPr>
          <w:rFonts w:hint="eastAsia" w:ascii="宋体" w:hAnsi="宋体" w:cs="宋体"/>
          <w:snapToGrid w:val="0"/>
          <w:kern w:val="0"/>
          <w:szCs w:val="24"/>
        </w:rPr>
        <w:t>GB/T 17242—1998</w:t>
      </w:r>
      <w:r>
        <w:rPr>
          <w:rFonts w:ascii="宋体" w:hAnsi="宋体" w:cs="宋体"/>
          <w:snapToGrid w:val="0"/>
          <w:kern w:val="0"/>
          <w:szCs w:val="24"/>
        </w:rPr>
        <w:t xml:space="preserve">  </w:t>
      </w:r>
      <w:r>
        <w:rPr>
          <w:rFonts w:hint="eastAsia" w:ascii="宋体" w:hAnsi="宋体" w:cs="宋体"/>
          <w:snapToGrid w:val="0"/>
          <w:kern w:val="0"/>
          <w:szCs w:val="24"/>
        </w:rPr>
        <w:t>投诉处理指南</w:t>
      </w:r>
    </w:p>
    <w:p>
      <w:pPr>
        <w:ind w:firstLine="420" w:firstLineChars="200"/>
        <w:rPr>
          <w:rFonts w:ascii="宋体" w:hAnsi="宋体" w:cs="宋体"/>
          <w:snapToGrid w:val="0"/>
          <w:kern w:val="0"/>
          <w:szCs w:val="24"/>
        </w:rPr>
      </w:pPr>
      <w:r>
        <w:rPr>
          <w:rFonts w:hint="eastAsia" w:ascii="宋体" w:hAnsi="宋体" w:cs="宋体"/>
          <w:snapToGrid w:val="0"/>
          <w:kern w:val="0"/>
          <w:szCs w:val="24"/>
        </w:rPr>
        <w:t>GB/T 22239—2019</w:t>
      </w:r>
      <w:r>
        <w:rPr>
          <w:rFonts w:ascii="宋体" w:hAnsi="宋体" w:cs="宋体"/>
          <w:snapToGrid w:val="0"/>
          <w:kern w:val="0"/>
          <w:szCs w:val="24"/>
        </w:rPr>
        <w:t xml:space="preserve">  </w:t>
      </w:r>
      <w:r>
        <w:rPr>
          <w:rFonts w:hint="eastAsia" w:ascii="宋体" w:hAnsi="宋体" w:cs="宋体"/>
          <w:snapToGrid w:val="0"/>
          <w:kern w:val="0"/>
          <w:szCs w:val="24"/>
        </w:rPr>
        <w:t>信息安全技术 网络安全等级保护基本要求</w:t>
      </w:r>
    </w:p>
    <w:p>
      <w:pPr>
        <w:pStyle w:val="66"/>
        <w:spacing w:before="312" w:after="312"/>
      </w:pPr>
      <w:bookmarkStart w:id="91" w:name="_Toc136263704"/>
      <w:bookmarkStart w:id="92" w:name="_Toc145318221"/>
      <w:bookmarkStart w:id="93" w:name="_Toc7953"/>
      <w:bookmarkStart w:id="94" w:name="_Toc142399744"/>
      <w:bookmarkStart w:id="95" w:name="_Toc143516094"/>
      <w:bookmarkStart w:id="96" w:name="_Toc142393023"/>
      <w:bookmarkStart w:id="97" w:name="_Toc159837249"/>
      <w:bookmarkStart w:id="98" w:name="_Toc160437664"/>
      <w:bookmarkStart w:id="99" w:name="_Toc142403725"/>
      <w:bookmarkStart w:id="100" w:name="_Toc136263736"/>
      <w:bookmarkStart w:id="101" w:name="_Toc141706264"/>
      <w:bookmarkStart w:id="102" w:name="_Toc1640"/>
      <w:r>
        <w:rPr>
          <w:rFonts w:hint="eastAsia"/>
          <w:szCs w:val="21"/>
        </w:rPr>
        <w:t>术语和定义</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sdt>
      <w:sdtPr>
        <w:id w:val="-1909835108"/>
        <w:placeholder>
          <w:docPart w:val="32E78506850A4F67A6E1D6341F34AD5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67"/>
            <w:ind w:firstLine="420"/>
            <w:rPr>
              <w:szCs w:val="21"/>
            </w:rPr>
          </w:pPr>
          <w:bookmarkStart w:id="103" w:name="_Toc26986532"/>
          <w:bookmarkEnd w:id="103"/>
          <w:r>
            <w:t>下列术语和定义适用于本文件。</w:t>
          </w:r>
        </w:p>
      </w:sdtContent>
    </w:sdt>
    <w:p>
      <w:pPr>
        <w:pStyle w:val="63"/>
        <w:ind w:left="420" w:hanging="420" w:hangingChars="200"/>
      </w:pPr>
      <w:r>
        <w:br w:type="textWrapping"/>
      </w:r>
      <w:r>
        <w:rPr>
          <w:rFonts w:hint="eastAsia" w:ascii="黑体" w:hAnsi="黑体" w:eastAsia="黑体" w:cs="黑体"/>
        </w:rPr>
        <w:t>线上市集</w:t>
      </w:r>
      <w:r>
        <w:rPr>
          <w:rFonts w:hint="eastAsia" w:ascii="黑体" w:hAnsi="黑体" w:eastAsia="黑体" w:cs="黑体"/>
          <w:color w:val="FF0000"/>
        </w:rPr>
        <w:t xml:space="preserve"> </w:t>
      </w:r>
      <w:r>
        <w:rPr>
          <w:rFonts w:hint="eastAsia" w:ascii="黑体" w:hAnsi="黑体" w:eastAsia="黑体" w:cstheme="minorBidi"/>
          <w:color w:val="000000" w:themeColor="text1"/>
          <w:szCs w:val="21"/>
          <w14:textFill>
            <w14:solidFill>
              <w14:schemeClr w14:val="tx1"/>
            </w14:solidFill>
          </w14:textFill>
        </w:rPr>
        <w:t>online marketplace</w:t>
      </w:r>
    </w:p>
    <w:p>
      <w:pPr>
        <w:pStyle w:val="67"/>
        <w:ind w:firstLine="420"/>
      </w:pPr>
      <w:r>
        <w:rPr>
          <w:rFonts w:hint="eastAsia"/>
        </w:rPr>
        <w:t>通过互联网络</w:t>
      </w:r>
      <w:r>
        <w:t>连接</w:t>
      </w:r>
      <w:r>
        <w:rPr>
          <w:rFonts w:hint="eastAsia"/>
        </w:rPr>
        <w:t>农贸市</w:t>
      </w:r>
      <w:r>
        <w:t>场</w:t>
      </w:r>
      <w:r>
        <w:rPr>
          <w:rFonts w:hint="eastAsia"/>
        </w:rPr>
        <w:t>商户</w:t>
      </w:r>
      <w:r>
        <w:rPr>
          <w:rFonts w:hint="eastAsia" w:asciiTheme="minorEastAsia" w:hAnsiTheme="minorEastAsia" w:cstheme="minorEastAsia"/>
        </w:rPr>
        <w:t>（以下</w:t>
      </w:r>
      <w:r>
        <w:rPr>
          <w:rFonts w:asciiTheme="minorEastAsia" w:hAnsiTheme="minorEastAsia" w:cstheme="minorEastAsia"/>
        </w:rPr>
        <w:t>简称</w:t>
      </w:r>
      <w:r>
        <w:rPr>
          <w:rFonts w:hint="eastAsia" w:asciiTheme="minorEastAsia" w:hAnsiTheme="minorEastAsia" w:cstheme="minorEastAsia"/>
        </w:rPr>
        <w:t>商户）</w:t>
      </w:r>
      <w:r>
        <w:rPr>
          <w:rFonts w:hint="eastAsia"/>
        </w:rPr>
        <w:t>、客户以及市场运营管理方，</w:t>
      </w:r>
      <w:r>
        <w:t>实现农贸产品线上交易</w:t>
      </w:r>
      <w:r>
        <w:rPr>
          <w:rFonts w:hint="eastAsia"/>
        </w:rPr>
        <w:t>的虚拟</w:t>
      </w:r>
      <w:r>
        <w:t>场所</w:t>
      </w:r>
      <w:r>
        <w:rPr>
          <w:rFonts w:hint="eastAsia"/>
        </w:rPr>
        <w:t>。</w:t>
      </w:r>
    </w:p>
    <w:p>
      <w:pPr>
        <w:pStyle w:val="63"/>
        <w:ind w:left="420" w:hanging="420" w:hangingChars="200"/>
        <w:rPr>
          <w:rFonts w:ascii="黑体" w:hAnsi="黑体" w:eastAsia="黑体"/>
        </w:rPr>
      </w:pPr>
      <w:r>
        <w:rPr>
          <w:rFonts w:ascii="黑体" w:hAnsi="黑体" w:eastAsia="黑体"/>
        </w:rPr>
        <w:br w:type="textWrapping"/>
      </w:r>
      <w:r>
        <w:rPr>
          <w:rFonts w:hint="eastAsia" w:ascii="黑体" w:hAnsi="黑体" w:eastAsia="黑体" w:cs="黑体"/>
        </w:rPr>
        <w:t>电子商务服务站（点）</w:t>
      </w:r>
      <w:r>
        <w:rPr>
          <w:rFonts w:hint="eastAsia" w:ascii="黑体" w:hAnsi="黑体" w:eastAsia="黑体" w:cs="黑体"/>
          <w:color w:val="FF0000"/>
        </w:rPr>
        <w:t xml:space="preserve"> </w:t>
      </w:r>
      <w:r>
        <w:rPr>
          <w:rFonts w:ascii="黑体" w:hAnsi="黑体" w:eastAsia="黑体" w:cs="黑体"/>
          <w:color w:val="000000" w:themeColor="text1"/>
          <w14:textFill>
            <w14:solidFill>
              <w14:schemeClr w14:val="tx1"/>
            </w14:solidFill>
          </w14:textFill>
        </w:rPr>
        <w:t xml:space="preserve">E-commerce service station </w:t>
      </w:r>
      <w:r>
        <w:rPr>
          <w:rFonts w:hint="eastAsia" w:ascii="黑体" w:hAnsi="黑体" w:eastAsia="黑体" w:cs="黑体"/>
          <w:color w:val="000000" w:themeColor="text1"/>
          <w14:textFill>
            <w14:solidFill>
              <w14:schemeClr w14:val="tx1"/>
            </w14:solidFill>
          </w14:textFill>
        </w:rPr>
        <w:t>(</w:t>
      </w:r>
      <w:r>
        <w:rPr>
          <w:rFonts w:ascii="黑体" w:hAnsi="黑体" w:eastAsia="黑体" w:cs="黑体"/>
          <w:color w:val="000000" w:themeColor="text1"/>
          <w14:textFill>
            <w14:solidFill>
              <w14:schemeClr w14:val="tx1"/>
            </w14:solidFill>
          </w14:textFill>
        </w:rPr>
        <w:t>point)</w:t>
      </w:r>
    </w:p>
    <w:p>
      <w:pPr>
        <w:pStyle w:val="67"/>
        <w:ind w:firstLine="420"/>
      </w:pPr>
      <w:r>
        <w:rPr>
          <w:rFonts w:hint="eastAsia" w:asciiTheme="minorEastAsia" w:hAnsiTheme="minorEastAsia" w:cstheme="minorEastAsia"/>
        </w:rPr>
        <w:t>利用线上市集为附近居民提供农产品代购、商户农产品代销及其他服务的站（点），</w:t>
      </w:r>
      <w:r>
        <w:rPr>
          <w:rFonts w:asciiTheme="minorEastAsia" w:hAnsiTheme="minorEastAsia" w:cstheme="minorEastAsia"/>
        </w:rPr>
        <w:t>以下简称服务站</w:t>
      </w:r>
      <w:r>
        <w:rPr>
          <w:rFonts w:hint="eastAsia" w:asciiTheme="minorEastAsia" w:hAnsiTheme="minorEastAsia" w:cstheme="minorEastAsia"/>
        </w:rPr>
        <w:t>（点）</w:t>
      </w:r>
      <w:r>
        <w:rPr>
          <w:rFonts w:hint="eastAsia"/>
        </w:rPr>
        <w:t>。</w:t>
      </w:r>
    </w:p>
    <w:p>
      <w:pPr>
        <w:pStyle w:val="66"/>
        <w:spacing w:before="312" w:after="312"/>
      </w:pPr>
      <w:bookmarkStart w:id="104" w:name="_Toc142399745"/>
      <w:bookmarkStart w:id="105" w:name="_Toc3545"/>
      <w:bookmarkStart w:id="106" w:name="_Toc160437665"/>
      <w:bookmarkStart w:id="107" w:name="_Toc145318222"/>
      <w:bookmarkStart w:id="108" w:name="_Toc159837250"/>
      <w:bookmarkStart w:id="109" w:name="_Toc141706265"/>
      <w:bookmarkStart w:id="110" w:name="_Toc19206"/>
      <w:bookmarkStart w:id="111" w:name="_Toc142403726"/>
      <w:bookmarkStart w:id="112" w:name="_Toc142393024"/>
      <w:bookmarkStart w:id="113" w:name="_Toc143516095"/>
      <w:r>
        <w:rPr>
          <w:rFonts w:hint="eastAsia" w:hAnsi="黑体"/>
          <w:szCs w:val="21"/>
        </w:rPr>
        <w:t>服务机构</w:t>
      </w:r>
      <w:bookmarkEnd w:id="104"/>
      <w:bookmarkEnd w:id="105"/>
      <w:bookmarkEnd w:id="106"/>
      <w:bookmarkEnd w:id="107"/>
      <w:bookmarkEnd w:id="108"/>
      <w:bookmarkEnd w:id="109"/>
      <w:bookmarkEnd w:id="110"/>
      <w:bookmarkEnd w:id="111"/>
      <w:bookmarkEnd w:id="112"/>
      <w:bookmarkEnd w:id="113"/>
      <w:bookmarkStart w:id="114" w:name="_Toc142403727"/>
      <w:bookmarkStart w:id="115" w:name="_Toc142399746"/>
    </w:p>
    <w:bookmarkEnd w:id="114"/>
    <w:bookmarkEnd w:id="115"/>
    <w:p>
      <w:pPr>
        <w:pStyle w:val="67"/>
        <w:ind w:firstLine="420"/>
      </w:pPr>
      <w:r>
        <w:rPr>
          <w:rFonts w:hint="eastAsia"/>
        </w:rPr>
        <w:t>服务站（点）作为</w:t>
      </w:r>
      <w:r>
        <w:t>服务机构，应做到</w:t>
      </w:r>
      <w:r>
        <w:rPr>
          <w:rFonts w:hint="eastAsia"/>
        </w:rPr>
        <w:t>：</w:t>
      </w:r>
    </w:p>
    <w:p>
      <w:pPr>
        <w:pStyle w:val="90"/>
        <w:numPr>
          <w:ilvl w:val="0"/>
          <w:numId w:val="0"/>
        </w:numPr>
        <w:ind w:left="425" w:leftChars="0"/>
      </w:pPr>
      <w:r>
        <w:rPr>
          <w:rFonts w:hint="eastAsia" w:ascii="黑体" w:hAnsi="黑体" w:eastAsia="黑体" w:cs="黑体"/>
          <w:lang w:val="en-US" w:eastAsia="zh-CN"/>
        </w:rPr>
        <w:t>——</w:t>
      </w:r>
      <w:r>
        <w:rPr>
          <w:rFonts w:hint="eastAsia"/>
        </w:rPr>
        <w:t>到所在地市场管理部门备案注册，获得合法经营资质；</w:t>
      </w:r>
    </w:p>
    <w:p>
      <w:pPr>
        <w:pStyle w:val="90"/>
        <w:numPr>
          <w:ilvl w:val="0"/>
          <w:numId w:val="0"/>
        </w:numPr>
        <w:ind w:left="425" w:leftChars="0"/>
      </w:pPr>
      <w:r>
        <w:rPr>
          <w:rFonts w:hint="eastAsia" w:ascii="黑体" w:hAnsi="黑体" w:eastAsia="黑体" w:cs="黑体"/>
          <w:lang w:val="en-US" w:eastAsia="zh-CN"/>
        </w:rPr>
        <w:t>——</w:t>
      </w:r>
      <w:r>
        <w:rPr>
          <w:rFonts w:hint="eastAsia"/>
        </w:rPr>
        <w:t>发布的宣传信息和农产品信息应符合法律法规要求，不应</w:t>
      </w:r>
      <w:r>
        <w:t>有虚假夸大宣传</w:t>
      </w:r>
      <w:r>
        <w:rPr>
          <w:rFonts w:hint="eastAsia"/>
        </w:rPr>
        <w:t>；</w:t>
      </w:r>
    </w:p>
    <w:p>
      <w:pPr>
        <w:pStyle w:val="90"/>
        <w:numPr>
          <w:ilvl w:val="0"/>
          <w:numId w:val="0"/>
        </w:numPr>
        <w:ind w:left="425" w:leftChars="0"/>
      </w:pPr>
      <w:r>
        <w:rPr>
          <w:rFonts w:hint="eastAsia" w:ascii="黑体" w:hAnsi="黑体" w:eastAsia="黑体" w:cs="黑体"/>
          <w:lang w:val="en-US" w:eastAsia="zh-CN"/>
        </w:rPr>
        <w:t>——</w:t>
      </w:r>
      <w:r>
        <w:rPr>
          <w:rFonts w:hint="eastAsia"/>
        </w:rPr>
        <w:t>制定健全的人员、环境卫生、服务质量、监督评价等管理制度；</w:t>
      </w:r>
    </w:p>
    <w:p>
      <w:pPr>
        <w:pStyle w:val="90"/>
        <w:numPr>
          <w:ilvl w:val="0"/>
          <w:numId w:val="0"/>
        </w:numPr>
        <w:ind w:left="425" w:leftChars="0"/>
      </w:pPr>
      <w:r>
        <w:rPr>
          <w:rFonts w:hint="eastAsia" w:ascii="黑体" w:hAnsi="黑体" w:eastAsia="黑体" w:cs="黑体"/>
          <w:lang w:val="en-US" w:eastAsia="zh-CN"/>
        </w:rPr>
        <w:t>——</w:t>
      </w:r>
      <w:r>
        <w:t>定期</w:t>
      </w:r>
      <w:r>
        <w:rPr>
          <w:rFonts w:hint="eastAsia"/>
        </w:rPr>
        <w:t>组织自评，发现需整顿事项并提出整改意见；</w:t>
      </w:r>
    </w:p>
    <w:p>
      <w:pPr>
        <w:pStyle w:val="90"/>
        <w:numPr>
          <w:ilvl w:val="0"/>
          <w:numId w:val="0"/>
        </w:numPr>
        <w:ind w:left="425" w:leftChars="0"/>
      </w:pPr>
      <w:r>
        <w:rPr>
          <w:rFonts w:hint="eastAsia" w:ascii="黑体" w:hAnsi="黑体" w:eastAsia="黑体" w:cs="黑体"/>
          <w:lang w:val="en-US" w:eastAsia="zh-CN"/>
        </w:rPr>
        <w:t>——</w:t>
      </w:r>
      <w:r>
        <w:rPr>
          <w:rFonts w:hint="eastAsia"/>
        </w:rPr>
        <w:t>搭建电子商务平台（以下</w:t>
      </w:r>
      <w:r>
        <w:t>简称平台</w:t>
      </w:r>
      <w:r>
        <w:rPr>
          <w:rFonts w:hint="eastAsia"/>
        </w:rPr>
        <w:t>），平台</w:t>
      </w:r>
      <w:r>
        <w:t>应</w:t>
      </w:r>
      <w:r>
        <w:rPr>
          <w:rFonts w:hint="eastAsia"/>
        </w:rPr>
        <w:t>符合</w:t>
      </w:r>
      <w:r>
        <w:t>本文件第9章的要求</w:t>
      </w:r>
      <w:r>
        <w:rPr>
          <w:rFonts w:hint="eastAsia"/>
        </w:rPr>
        <w:t>；</w:t>
      </w:r>
    </w:p>
    <w:p>
      <w:pPr>
        <w:pStyle w:val="90"/>
        <w:numPr>
          <w:ilvl w:val="0"/>
          <w:numId w:val="0"/>
        </w:numPr>
        <w:ind w:left="425" w:leftChars="0"/>
      </w:pPr>
      <w:r>
        <w:rPr>
          <w:rFonts w:hint="eastAsia" w:ascii="黑体" w:hAnsi="黑体" w:eastAsia="黑体" w:cs="黑体"/>
          <w:lang w:val="en-US" w:eastAsia="zh-CN"/>
        </w:rPr>
        <w:t>——</w:t>
      </w:r>
      <w:r>
        <w:rPr>
          <w:rFonts w:hint="eastAsia"/>
        </w:rPr>
        <w:t>持续改进、</w:t>
      </w:r>
      <w:r>
        <w:t>提升服务，为商户</w:t>
      </w:r>
      <w:r>
        <w:rPr>
          <w:rFonts w:hint="eastAsia"/>
        </w:rPr>
        <w:t>、</w:t>
      </w:r>
      <w:r>
        <w:t>客户提供便捷的服务</w:t>
      </w:r>
      <w:r>
        <w:rPr>
          <w:rFonts w:hint="eastAsia"/>
        </w:rPr>
        <w:t>；</w:t>
      </w:r>
    </w:p>
    <w:p>
      <w:pPr>
        <w:pStyle w:val="90"/>
        <w:numPr>
          <w:ilvl w:val="0"/>
          <w:numId w:val="0"/>
        </w:numPr>
        <w:ind w:left="425" w:leftChars="0"/>
      </w:pPr>
      <w:r>
        <w:rPr>
          <w:rFonts w:hint="eastAsia" w:ascii="黑体" w:hAnsi="黑体" w:eastAsia="黑体" w:cs="黑体"/>
          <w:lang w:val="en-US" w:eastAsia="zh-CN"/>
        </w:rPr>
        <w:t>——</w:t>
      </w:r>
      <w:r>
        <w:rPr>
          <w:rFonts w:hint="eastAsia"/>
        </w:rPr>
        <w:t>保护平台内商户及客户的个人隐私。</w:t>
      </w:r>
    </w:p>
    <w:p>
      <w:pPr>
        <w:pStyle w:val="66"/>
        <w:spacing w:before="312" w:after="312"/>
      </w:pPr>
      <w:bookmarkStart w:id="116" w:name="_Toc160437666"/>
      <w:bookmarkStart w:id="117" w:name="_Toc143516104"/>
      <w:bookmarkStart w:id="118" w:name="_Toc142399754"/>
      <w:bookmarkStart w:id="119" w:name="_Toc142393031"/>
      <w:bookmarkStart w:id="120" w:name="_Toc19449"/>
      <w:bookmarkStart w:id="121" w:name="_Toc145318231"/>
      <w:bookmarkStart w:id="122" w:name="_Toc142403735"/>
      <w:bookmarkStart w:id="123" w:name="_Toc159837253"/>
      <w:bookmarkStart w:id="124" w:name="_Toc26316"/>
      <w:bookmarkStart w:id="125" w:name="_Toc141706272"/>
      <w:r>
        <w:rPr>
          <w:rFonts w:hint="eastAsia"/>
        </w:rPr>
        <w:t>服务场所</w:t>
      </w:r>
      <w:bookmarkEnd w:id="116"/>
      <w:bookmarkEnd w:id="117"/>
      <w:bookmarkEnd w:id="118"/>
      <w:bookmarkEnd w:id="119"/>
      <w:bookmarkEnd w:id="120"/>
      <w:bookmarkEnd w:id="121"/>
      <w:bookmarkEnd w:id="122"/>
      <w:bookmarkEnd w:id="123"/>
      <w:bookmarkEnd w:id="124"/>
      <w:bookmarkEnd w:id="125"/>
    </w:p>
    <w:p>
      <w:pPr>
        <w:pStyle w:val="68"/>
        <w:numPr>
          <w:ilvl w:val="2"/>
          <w:numId w:val="12"/>
        </w:numPr>
      </w:pPr>
      <w:r>
        <w:rPr>
          <w:rFonts w:hint="eastAsia"/>
        </w:rPr>
        <w:t>服务站（点）应在</w:t>
      </w:r>
      <w:r>
        <w:t>取得农贸市场允许后，在</w:t>
      </w:r>
      <w:r>
        <w:rPr>
          <w:rFonts w:hint="eastAsia"/>
        </w:rPr>
        <w:t>农贸市场</w:t>
      </w:r>
      <w:r>
        <w:t>内</w:t>
      </w:r>
      <w:r>
        <w:rPr>
          <w:rFonts w:hint="eastAsia"/>
        </w:rPr>
        <w:t>闲</w:t>
      </w:r>
      <w:r>
        <w:t>置摊位或周边</w:t>
      </w:r>
      <w:r>
        <w:rPr>
          <w:rFonts w:hint="eastAsia"/>
        </w:rPr>
        <w:t>设置</w:t>
      </w:r>
      <w:r>
        <w:t>固定的服务场所</w:t>
      </w:r>
      <w:r>
        <w:rPr>
          <w:rFonts w:hint="eastAsia"/>
        </w:rPr>
        <w:t>，</w:t>
      </w:r>
      <w:r>
        <w:t>场所</w:t>
      </w:r>
      <w:r>
        <w:rPr>
          <w:rFonts w:hint="eastAsia"/>
        </w:rPr>
        <w:t>实际使用面积不小于</w:t>
      </w:r>
      <w:r>
        <w:t xml:space="preserve">10 </w:t>
      </w:r>
      <w:r>
        <w:rPr>
          <w:rFonts w:hint="eastAsia"/>
        </w:rPr>
        <w:t>m</w:t>
      </w:r>
      <w:r>
        <w:rPr>
          <w:vertAlign w:val="superscript"/>
        </w:rPr>
        <w:t>2</w:t>
      </w:r>
      <w:r>
        <w:rPr>
          <w:rFonts w:hint="eastAsia"/>
        </w:rPr>
        <w:t>。</w:t>
      </w:r>
    </w:p>
    <w:p>
      <w:pPr>
        <w:pStyle w:val="68"/>
        <w:numPr>
          <w:ilvl w:val="2"/>
          <w:numId w:val="12"/>
        </w:numPr>
      </w:pPr>
      <w:r>
        <w:rPr>
          <w:rFonts w:hint="eastAsia"/>
        </w:rPr>
        <w:t>服务站（点）应设置临时商品周转区、分拣区、服务台等分区，有条件的服务站（点）宜设置农产品展销区。</w:t>
      </w:r>
    </w:p>
    <w:p>
      <w:pPr>
        <w:pStyle w:val="68"/>
        <w:numPr>
          <w:ilvl w:val="2"/>
          <w:numId w:val="12"/>
        </w:numPr>
      </w:pPr>
      <w:r>
        <w:rPr>
          <w:rFonts w:hint="eastAsia"/>
        </w:rPr>
        <w:t>服务站（点）应在醒目位置设置牌匾，牌匾书写规范、内容健康。</w:t>
      </w:r>
    </w:p>
    <w:p>
      <w:pPr>
        <w:pStyle w:val="68"/>
        <w:numPr>
          <w:ilvl w:val="2"/>
          <w:numId w:val="12"/>
        </w:numPr>
      </w:pPr>
      <w:r>
        <w:rPr>
          <w:rFonts w:hint="eastAsia"/>
        </w:rPr>
        <w:t>服务站（点）应在墙上</w:t>
      </w:r>
      <w:r>
        <w:t>公示</w:t>
      </w:r>
      <w:r>
        <w:rPr>
          <w:rFonts w:hint="eastAsia"/>
        </w:rPr>
        <w:t>营业执照、人员分工、服务流程、服务内容、服务热线、日常管理制度等内容。</w:t>
      </w:r>
    </w:p>
    <w:p>
      <w:pPr>
        <w:pStyle w:val="68"/>
        <w:numPr>
          <w:ilvl w:val="2"/>
          <w:numId w:val="12"/>
        </w:numPr>
      </w:pPr>
      <w:r>
        <w:rPr>
          <w:rFonts w:hint="eastAsia"/>
        </w:rPr>
        <w:t>服务站（点）应分类</w:t>
      </w:r>
      <w:r>
        <w:t>回收垃圾</w:t>
      </w:r>
      <w:r>
        <w:rPr>
          <w:rFonts w:hint="eastAsia"/>
        </w:rPr>
        <w:t>，保持环境整洁、无异味。</w:t>
      </w:r>
    </w:p>
    <w:p>
      <w:pPr>
        <w:pStyle w:val="66"/>
        <w:numPr>
          <w:numId w:val="12"/>
        </w:numPr>
        <w:spacing w:before="312" w:after="312"/>
      </w:pPr>
      <w:bookmarkStart w:id="126" w:name="_Toc142399748"/>
      <w:bookmarkStart w:id="127" w:name="_Toc142393025"/>
      <w:bookmarkStart w:id="128" w:name="_Toc9802"/>
      <w:bookmarkStart w:id="129" w:name="_Toc159837254"/>
      <w:bookmarkStart w:id="130" w:name="_Toc143516098"/>
      <w:bookmarkStart w:id="131" w:name="_Toc145318225"/>
      <w:bookmarkStart w:id="132" w:name="_Toc142403729"/>
      <w:bookmarkStart w:id="133" w:name="_Toc141706266"/>
      <w:bookmarkStart w:id="134" w:name="_Toc160437667"/>
      <w:bookmarkStart w:id="135" w:name="_Toc11496"/>
      <w:r>
        <w:rPr>
          <w:rFonts w:hint="eastAsia"/>
        </w:rPr>
        <w:t>服务人员</w:t>
      </w:r>
      <w:bookmarkEnd w:id="126"/>
      <w:bookmarkEnd w:id="127"/>
      <w:bookmarkEnd w:id="128"/>
      <w:bookmarkEnd w:id="129"/>
      <w:bookmarkEnd w:id="130"/>
      <w:bookmarkEnd w:id="131"/>
      <w:bookmarkEnd w:id="132"/>
      <w:bookmarkEnd w:id="133"/>
      <w:bookmarkEnd w:id="134"/>
      <w:bookmarkEnd w:id="135"/>
    </w:p>
    <w:p>
      <w:pPr>
        <w:pStyle w:val="65"/>
        <w:numPr>
          <w:numId w:val="12"/>
        </w:numPr>
        <w:spacing w:before="156" w:after="156"/>
        <w:rPr>
          <w:rFonts w:hAnsi="黑体"/>
          <w:szCs w:val="21"/>
        </w:rPr>
      </w:pPr>
      <w:bookmarkStart w:id="136" w:name="_Toc8627"/>
      <w:bookmarkStart w:id="137" w:name="_Toc142399749"/>
      <w:bookmarkStart w:id="138" w:name="_Toc59"/>
      <w:bookmarkStart w:id="139" w:name="_Toc160437668"/>
      <w:bookmarkStart w:id="140" w:name="_Toc141706267"/>
      <w:bookmarkStart w:id="141" w:name="_Toc143516099"/>
      <w:bookmarkStart w:id="142" w:name="_Toc142403730"/>
      <w:bookmarkStart w:id="143" w:name="_Toc159837255"/>
      <w:bookmarkStart w:id="144" w:name="_Toc142393026"/>
      <w:bookmarkStart w:id="145" w:name="_Toc145318226"/>
      <w:r>
        <w:rPr>
          <w:rFonts w:hint="eastAsia" w:hAnsi="黑体"/>
          <w:szCs w:val="21"/>
        </w:rPr>
        <w:t>人员配置</w:t>
      </w:r>
      <w:bookmarkEnd w:id="136"/>
      <w:bookmarkEnd w:id="137"/>
      <w:bookmarkEnd w:id="138"/>
      <w:bookmarkEnd w:id="139"/>
      <w:bookmarkEnd w:id="140"/>
      <w:bookmarkEnd w:id="141"/>
      <w:bookmarkEnd w:id="142"/>
      <w:bookmarkEnd w:id="143"/>
      <w:bookmarkEnd w:id="144"/>
      <w:bookmarkEnd w:id="145"/>
    </w:p>
    <w:p>
      <w:pPr>
        <w:pStyle w:val="68"/>
        <w:numPr>
          <w:numId w:val="12"/>
        </w:numPr>
      </w:pPr>
      <w:r>
        <w:rPr>
          <w:rFonts w:hint="eastAsia"/>
        </w:rPr>
        <w:t>每个服务站（点）应配置1名运营管理人员、1名运营服务人员，以及满足</w:t>
      </w:r>
      <w:r>
        <w:t>配送需求的物流配送人员</w:t>
      </w:r>
      <w:r>
        <w:rPr>
          <w:rFonts w:hint="eastAsia"/>
        </w:rPr>
        <w:t>。</w:t>
      </w:r>
    </w:p>
    <w:p>
      <w:pPr>
        <w:pStyle w:val="68"/>
        <w:numPr>
          <w:numId w:val="12"/>
        </w:numPr>
      </w:pPr>
      <w:r>
        <w:rPr>
          <w:rFonts w:hint="eastAsia"/>
        </w:rPr>
        <w:t>使用第三方机构提供配送服务的</w:t>
      </w:r>
      <w:r>
        <w:t>，可减少或不配备物流配送人员。</w:t>
      </w:r>
    </w:p>
    <w:p>
      <w:pPr>
        <w:pStyle w:val="65"/>
        <w:numPr>
          <w:numId w:val="12"/>
        </w:numPr>
        <w:spacing w:before="156" w:after="156"/>
        <w:rPr>
          <w:rFonts w:hAnsi="黑体"/>
          <w:szCs w:val="21"/>
        </w:rPr>
      </w:pPr>
      <w:bookmarkStart w:id="146" w:name="_Toc145318227"/>
      <w:bookmarkStart w:id="147" w:name="_Toc142403731"/>
      <w:bookmarkStart w:id="148" w:name="_Toc141706268"/>
      <w:bookmarkStart w:id="149" w:name="_Toc142399750"/>
      <w:bookmarkStart w:id="150" w:name="_Toc20716"/>
      <w:bookmarkStart w:id="151" w:name="_Toc143516100"/>
      <w:bookmarkStart w:id="152" w:name="_Toc159837256"/>
      <w:bookmarkStart w:id="153" w:name="_Toc142393027"/>
      <w:bookmarkStart w:id="154" w:name="_Toc160437669"/>
      <w:bookmarkStart w:id="155" w:name="_Toc728"/>
      <w:r>
        <w:rPr>
          <w:rFonts w:hint="eastAsia" w:hAnsi="黑体"/>
          <w:szCs w:val="21"/>
        </w:rPr>
        <w:t>人员资质</w:t>
      </w:r>
      <w:bookmarkEnd w:id="146"/>
      <w:bookmarkEnd w:id="147"/>
      <w:bookmarkEnd w:id="148"/>
      <w:bookmarkEnd w:id="149"/>
      <w:bookmarkEnd w:id="150"/>
      <w:bookmarkEnd w:id="151"/>
      <w:bookmarkEnd w:id="152"/>
      <w:bookmarkEnd w:id="153"/>
      <w:bookmarkEnd w:id="154"/>
      <w:bookmarkEnd w:id="155"/>
    </w:p>
    <w:p>
      <w:pPr>
        <w:pStyle w:val="69"/>
        <w:numPr>
          <w:numId w:val="12"/>
        </w:numPr>
        <w:spacing w:before="156" w:after="156"/>
      </w:pPr>
      <w:bookmarkStart w:id="156" w:name="_Toc31905"/>
      <w:bookmarkStart w:id="157" w:name="_Toc161751297"/>
      <w:r>
        <w:rPr>
          <w:rFonts w:hint="eastAsia"/>
        </w:rPr>
        <w:t>运营管理人员</w:t>
      </w:r>
      <w:bookmarkEnd w:id="156"/>
      <w:bookmarkEnd w:id="157"/>
    </w:p>
    <w:p>
      <w:pPr>
        <w:pStyle w:val="68"/>
        <w:numPr>
          <w:ilvl w:val="3"/>
          <w:numId w:val="0"/>
        </w:numPr>
        <w:ind w:firstLine="420" w:firstLineChars="200"/>
      </w:pPr>
      <w:r>
        <w:rPr>
          <w:rFonts w:hint="eastAsia"/>
        </w:rPr>
        <w:t>运营管理人员应熟悉与线上市集工作</w:t>
      </w:r>
      <w:r>
        <w:t>相关的</w:t>
      </w:r>
      <w:r>
        <w:rPr>
          <w:rFonts w:hint="eastAsia"/>
        </w:rPr>
        <w:t>法律法规和政策，具备大专及以上学历、两年以上电子商务运营管理工作经验，具备良好的组织协调</w:t>
      </w:r>
      <w:r>
        <w:t>、沟通交流能力。</w:t>
      </w:r>
    </w:p>
    <w:p>
      <w:pPr>
        <w:pStyle w:val="69"/>
        <w:numPr>
          <w:numId w:val="12"/>
        </w:numPr>
        <w:spacing w:before="156" w:after="156"/>
      </w:pPr>
      <w:bookmarkStart w:id="158" w:name="_Toc161751298"/>
      <w:bookmarkEnd w:id="158"/>
      <w:bookmarkStart w:id="159" w:name="_Toc161751299"/>
      <w:bookmarkStart w:id="160" w:name="_Toc12694"/>
      <w:r>
        <w:rPr>
          <w:rFonts w:hint="eastAsia"/>
        </w:rPr>
        <w:t>运营服务人员</w:t>
      </w:r>
      <w:bookmarkEnd w:id="159"/>
      <w:bookmarkEnd w:id="160"/>
    </w:p>
    <w:p>
      <w:pPr>
        <w:pStyle w:val="68"/>
        <w:numPr>
          <w:ilvl w:val="3"/>
          <w:numId w:val="0"/>
        </w:numPr>
        <w:ind w:firstLine="420" w:firstLineChars="200"/>
      </w:pPr>
      <w:r>
        <w:rPr>
          <w:rFonts w:hint="eastAsia"/>
        </w:rPr>
        <w:t>运营服务人员应具备</w:t>
      </w:r>
      <w:r>
        <w:t>岗位要求的学历、</w:t>
      </w:r>
      <w:r>
        <w:rPr>
          <w:rFonts w:hint="eastAsia"/>
        </w:rPr>
        <w:t>职称</w:t>
      </w:r>
      <w:r>
        <w:t>证书和业务技能，</w:t>
      </w:r>
      <w:r>
        <w:rPr>
          <w:rFonts w:hint="eastAsia"/>
        </w:rPr>
        <w:t>熟悉</w:t>
      </w:r>
      <w:r>
        <w:t>电脑操作</w:t>
      </w:r>
      <w:r>
        <w:rPr>
          <w:rFonts w:hint="eastAsia"/>
        </w:rPr>
        <w:t>、能正确高效地处理订单。</w:t>
      </w:r>
    </w:p>
    <w:p>
      <w:pPr>
        <w:pStyle w:val="69"/>
        <w:numPr>
          <w:numId w:val="12"/>
        </w:numPr>
        <w:spacing w:before="156" w:after="156"/>
      </w:pPr>
      <w:bookmarkStart w:id="161" w:name="_Toc30265"/>
      <w:bookmarkStart w:id="162" w:name="_Toc161751300"/>
      <w:r>
        <w:rPr>
          <w:rFonts w:hint="eastAsia"/>
        </w:rPr>
        <w:t>物流配送人员</w:t>
      </w:r>
      <w:bookmarkEnd w:id="161"/>
      <w:bookmarkEnd w:id="162"/>
    </w:p>
    <w:p>
      <w:pPr>
        <w:pStyle w:val="68"/>
        <w:numPr>
          <w:ilvl w:val="3"/>
          <w:numId w:val="0"/>
        </w:numPr>
        <w:ind w:firstLine="420" w:firstLineChars="200"/>
      </w:pPr>
      <w:r>
        <w:rPr>
          <w:rFonts w:hint="eastAsia"/>
        </w:rPr>
        <w:t>物流配送人员应熟悉物流配送相关规范要求，遵循职业操守。</w:t>
      </w:r>
    </w:p>
    <w:p>
      <w:pPr>
        <w:pStyle w:val="65"/>
        <w:numPr>
          <w:numId w:val="12"/>
        </w:numPr>
        <w:spacing w:before="156" w:after="156"/>
      </w:pPr>
      <w:bookmarkStart w:id="163" w:name="_Toc142399751"/>
      <w:bookmarkStart w:id="164" w:name="_Toc160437670"/>
      <w:bookmarkStart w:id="165" w:name="_Toc17320"/>
      <w:bookmarkStart w:id="166" w:name="_Toc145318228"/>
      <w:bookmarkStart w:id="167" w:name="_Toc159837257"/>
      <w:bookmarkStart w:id="168" w:name="_Toc24189"/>
      <w:bookmarkStart w:id="169" w:name="_Toc141706269"/>
      <w:bookmarkStart w:id="170" w:name="_Toc143516101"/>
      <w:bookmarkStart w:id="171" w:name="_Toc142393028"/>
      <w:bookmarkStart w:id="172" w:name="_Toc142403732"/>
      <w:r>
        <w:rPr>
          <w:rFonts w:hint="eastAsia" w:hAnsi="黑体"/>
          <w:szCs w:val="21"/>
        </w:rPr>
        <w:t>服务礼仪</w:t>
      </w:r>
      <w:bookmarkEnd w:id="163"/>
      <w:bookmarkEnd w:id="164"/>
      <w:bookmarkEnd w:id="165"/>
      <w:bookmarkEnd w:id="166"/>
      <w:bookmarkEnd w:id="167"/>
      <w:bookmarkEnd w:id="168"/>
      <w:bookmarkEnd w:id="169"/>
      <w:bookmarkEnd w:id="170"/>
      <w:bookmarkEnd w:id="171"/>
      <w:bookmarkEnd w:id="172"/>
    </w:p>
    <w:p>
      <w:pPr>
        <w:pStyle w:val="68"/>
        <w:numPr>
          <w:numId w:val="12"/>
        </w:numPr>
      </w:pPr>
      <w:r>
        <w:rPr>
          <w:rFonts w:hint="eastAsia"/>
        </w:rPr>
        <w:t>服务人员应穿着统一的制服和佩戴工作牌，注重仪容仪表、遵守职业道德。</w:t>
      </w:r>
    </w:p>
    <w:p>
      <w:pPr>
        <w:pStyle w:val="68"/>
        <w:numPr>
          <w:numId w:val="12"/>
        </w:numPr>
      </w:pPr>
      <w:r>
        <w:rPr>
          <w:rFonts w:hint="eastAsia"/>
        </w:rPr>
        <w:t>服务人员应具备良好的服务意识，做到微笑服务、热情服务。</w:t>
      </w:r>
    </w:p>
    <w:p>
      <w:pPr>
        <w:pStyle w:val="68"/>
        <w:numPr>
          <w:numId w:val="12"/>
        </w:numPr>
      </w:pPr>
      <w:r>
        <w:rPr>
          <w:rFonts w:hint="eastAsia"/>
        </w:rPr>
        <w:t>服务人员应规范用语，礼貌待人。</w:t>
      </w:r>
    </w:p>
    <w:p>
      <w:pPr>
        <w:pStyle w:val="65"/>
        <w:numPr>
          <w:numId w:val="12"/>
        </w:numPr>
        <w:spacing w:before="156" w:after="156"/>
        <w:rPr>
          <w:rFonts w:hAnsi="黑体"/>
          <w:szCs w:val="21"/>
        </w:rPr>
      </w:pPr>
      <w:bookmarkStart w:id="173" w:name="_Toc159837258"/>
      <w:bookmarkStart w:id="174" w:name="_Toc142393029"/>
      <w:bookmarkStart w:id="175" w:name="_Toc143516102"/>
      <w:bookmarkStart w:id="176" w:name="_Toc142399752"/>
      <w:bookmarkStart w:id="177" w:name="_Toc11953"/>
      <w:bookmarkStart w:id="178" w:name="_Toc145318229"/>
      <w:bookmarkStart w:id="179" w:name="_Toc141706270"/>
      <w:bookmarkStart w:id="180" w:name="_Toc160437671"/>
      <w:bookmarkStart w:id="181" w:name="_Toc142403733"/>
      <w:bookmarkStart w:id="182" w:name="_Toc8471"/>
      <w:r>
        <w:rPr>
          <w:rFonts w:hint="eastAsia" w:hAnsi="黑体"/>
          <w:szCs w:val="21"/>
        </w:rPr>
        <w:t>人员培训</w:t>
      </w:r>
      <w:bookmarkEnd w:id="173"/>
      <w:bookmarkEnd w:id="174"/>
      <w:bookmarkEnd w:id="175"/>
      <w:bookmarkEnd w:id="176"/>
      <w:bookmarkEnd w:id="177"/>
      <w:bookmarkEnd w:id="178"/>
      <w:bookmarkEnd w:id="179"/>
      <w:bookmarkEnd w:id="180"/>
      <w:bookmarkEnd w:id="181"/>
      <w:bookmarkEnd w:id="182"/>
    </w:p>
    <w:p>
      <w:pPr>
        <w:pStyle w:val="68"/>
        <w:numPr>
          <w:numId w:val="12"/>
        </w:numPr>
      </w:pPr>
      <w:r>
        <w:rPr>
          <w:rFonts w:hint="eastAsia"/>
        </w:rPr>
        <w:t>服务站（点）应制定人员培训计划，培训内容包含但不限于：农产品相关知识、平台操作流程、客户服务标准、紧急情况的应急处理。</w:t>
      </w:r>
    </w:p>
    <w:p>
      <w:pPr>
        <w:pStyle w:val="68"/>
        <w:numPr>
          <w:numId w:val="12"/>
        </w:numPr>
      </w:pPr>
      <w:r>
        <w:rPr>
          <w:rFonts w:hint="eastAsia"/>
        </w:rPr>
        <w:t>服务</w:t>
      </w:r>
      <w:r>
        <w:t>人员每年</w:t>
      </w:r>
      <w:r>
        <w:rPr>
          <w:rFonts w:hint="eastAsia"/>
        </w:rPr>
        <w:t>应</w:t>
      </w:r>
      <w:r>
        <w:t>接受不低于</w:t>
      </w:r>
      <w:r>
        <w:rPr>
          <w:rFonts w:hint="eastAsia"/>
        </w:rPr>
        <w:t>8学时</w:t>
      </w:r>
      <w:r>
        <w:t>岗位相关专业知识培训</w:t>
      </w:r>
      <w:r>
        <w:rPr>
          <w:rFonts w:hint="eastAsia"/>
        </w:rPr>
        <w:t>。</w:t>
      </w:r>
    </w:p>
    <w:p>
      <w:pPr>
        <w:pStyle w:val="68"/>
        <w:numPr>
          <w:numId w:val="12"/>
        </w:numPr>
      </w:pPr>
      <w:r>
        <w:rPr>
          <w:rFonts w:hint="eastAsia"/>
        </w:rPr>
        <w:t>服务人员均应经过岗位培训并通过考核后，方可从事相关工作。</w:t>
      </w:r>
    </w:p>
    <w:p>
      <w:pPr>
        <w:pStyle w:val="65"/>
        <w:numPr>
          <w:numId w:val="12"/>
        </w:numPr>
        <w:spacing w:before="156" w:after="156"/>
        <w:rPr>
          <w:rFonts w:hAnsi="黑体"/>
          <w:szCs w:val="21"/>
        </w:rPr>
      </w:pPr>
      <w:bookmarkStart w:id="183" w:name="_Toc142403734"/>
      <w:bookmarkStart w:id="184" w:name="_Toc5775"/>
      <w:bookmarkStart w:id="185" w:name="_Toc19788"/>
      <w:bookmarkStart w:id="186" w:name="_Toc143516103"/>
      <w:bookmarkStart w:id="187" w:name="_Toc145318230"/>
      <w:bookmarkStart w:id="188" w:name="_Toc142393030"/>
      <w:bookmarkStart w:id="189" w:name="_Toc160437672"/>
      <w:bookmarkStart w:id="190" w:name="_Toc159837259"/>
      <w:bookmarkStart w:id="191" w:name="_Toc141706271"/>
      <w:bookmarkStart w:id="192" w:name="_Toc142399753"/>
      <w:r>
        <w:rPr>
          <w:rFonts w:hint="eastAsia" w:hAnsi="黑体"/>
          <w:szCs w:val="21"/>
        </w:rPr>
        <w:t>健康检查</w:t>
      </w:r>
      <w:bookmarkEnd w:id="183"/>
      <w:bookmarkEnd w:id="184"/>
      <w:bookmarkEnd w:id="185"/>
      <w:bookmarkEnd w:id="186"/>
      <w:bookmarkEnd w:id="187"/>
      <w:bookmarkEnd w:id="188"/>
      <w:bookmarkEnd w:id="189"/>
      <w:bookmarkEnd w:id="190"/>
      <w:bookmarkEnd w:id="191"/>
      <w:bookmarkEnd w:id="192"/>
    </w:p>
    <w:p>
      <w:pPr>
        <w:pStyle w:val="67"/>
        <w:ind w:firstLine="420"/>
      </w:pPr>
      <w:r>
        <w:rPr>
          <w:rFonts w:hint="eastAsia"/>
        </w:rPr>
        <w:t>运营服务人员和物流配送人员应具备健康证，做到一年一检。</w:t>
      </w:r>
    </w:p>
    <w:p>
      <w:pPr>
        <w:pStyle w:val="66"/>
        <w:numPr>
          <w:numId w:val="12"/>
        </w:numPr>
        <w:spacing w:before="312" w:after="312"/>
      </w:pPr>
      <w:bookmarkStart w:id="193" w:name="_Toc27869"/>
      <w:bookmarkStart w:id="194" w:name="_Toc141706273"/>
      <w:bookmarkStart w:id="195" w:name="_Toc142403736"/>
      <w:bookmarkStart w:id="196" w:name="_Toc145318232"/>
      <w:bookmarkStart w:id="197" w:name="_Toc160437673"/>
      <w:bookmarkStart w:id="198" w:name="_Toc142393032"/>
      <w:bookmarkStart w:id="199" w:name="_Toc143516105"/>
      <w:bookmarkStart w:id="200" w:name="_Toc142399755"/>
      <w:bookmarkStart w:id="201" w:name="_Toc159837260"/>
      <w:bookmarkStart w:id="202" w:name="_Toc31248"/>
      <w:r>
        <w:rPr>
          <w:rFonts w:hint="eastAsia"/>
        </w:rPr>
        <w:t>设施设备</w:t>
      </w:r>
      <w:bookmarkEnd w:id="193"/>
      <w:bookmarkEnd w:id="194"/>
      <w:r>
        <w:rPr>
          <w:rFonts w:hint="eastAsia"/>
        </w:rPr>
        <w:t>要求</w:t>
      </w:r>
      <w:bookmarkEnd w:id="195"/>
      <w:bookmarkEnd w:id="196"/>
      <w:bookmarkEnd w:id="197"/>
      <w:bookmarkEnd w:id="198"/>
      <w:bookmarkEnd w:id="199"/>
      <w:bookmarkEnd w:id="200"/>
      <w:bookmarkEnd w:id="201"/>
      <w:bookmarkEnd w:id="202"/>
    </w:p>
    <w:p>
      <w:pPr>
        <w:pStyle w:val="67"/>
        <w:ind w:firstLine="420"/>
      </w:pPr>
      <w:r>
        <w:rPr>
          <w:rFonts w:hint="eastAsia"/>
        </w:rPr>
        <w:t>服务站（点）应配备但不限于以下设施设备</w:t>
      </w:r>
      <w:r>
        <w:t>：</w:t>
      </w:r>
    </w:p>
    <w:p>
      <w:pPr>
        <w:pStyle w:val="90"/>
        <w:numPr>
          <w:ilvl w:val="0"/>
          <w:numId w:val="0"/>
        </w:numPr>
        <w:ind w:left="425" w:leftChars="0"/>
      </w:pPr>
      <w:r>
        <w:rPr>
          <w:rFonts w:hint="eastAsia" w:ascii="黑体" w:hAnsi="黑体" w:eastAsia="黑体" w:cs="黑体"/>
          <w:lang w:val="en-US" w:eastAsia="zh-CN"/>
        </w:rPr>
        <w:t>——</w:t>
      </w:r>
      <w:r>
        <w:rPr>
          <w:rFonts w:hint="eastAsia"/>
        </w:rPr>
        <w:t>网络软硬件设施（电脑、网络宽带、路由器）、打印机、办公桌椅等办公设备</w:t>
      </w:r>
      <w:r>
        <w:t>；</w:t>
      </w:r>
    </w:p>
    <w:p>
      <w:pPr>
        <w:pStyle w:val="90"/>
        <w:numPr>
          <w:ilvl w:val="0"/>
          <w:numId w:val="0"/>
        </w:numPr>
        <w:ind w:left="425" w:leftChars="0"/>
        <w:rPr>
          <w:rFonts w:hAnsi="宋体" w:cs="宋体"/>
          <w:szCs w:val="21"/>
        </w:rPr>
      </w:pPr>
      <w:r>
        <w:rPr>
          <w:rFonts w:hint="eastAsia" w:ascii="黑体" w:hAnsi="黑体" w:eastAsia="黑体" w:cs="黑体"/>
          <w:lang w:val="en-US" w:eastAsia="zh-CN"/>
        </w:rPr>
        <w:t>——</w:t>
      </w:r>
      <w:r>
        <w:rPr>
          <w:rFonts w:hAnsi="宋体" w:cs="宋体"/>
          <w:szCs w:val="21"/>
        </w:rPr>
        <w:t>灭火器</w:t>
      </w:r>
      <w:r>
        <w:rPr>
          <w:rFonts w:hint="eastAsia" w:hAnsi="宋体" w:cs="宋体"/>
          <w:szCs w:val="21"/>
        </w:rPr>
        <w:t>；</w:t>
      </w:r>
    </w:p>
    <w:p>
      <w:pPr>
        <w:pStyle w:val="90"/>
        <w:numPr>
          <w:ilvl w:val="0"/>
          <w:numId w:val="0"/>
        </w:numPr>
        <w:ind w:left="425" w:leftChars="0"/>
      </w:pPr>
      <w:r>
        <w:rPr>
          <w:rFonts w:hint="eastAsia" w:ascii="黑体" w:hAnsi="黑体" w:eastAsia="黑体" w:cs="黑体"/>
          <w:lang w:val="en-US" w:eastAsia="zh-CN"/>
        </w:rPr>
        <w:t>——</w:t>
      </w:r>
      <w:r>
        <w:rPr>
          <w:rFonts w:hint="eastAsia"/>
        </w:rPr>
        <w:t>电子秤；</w:t>
      </w:r>
    </w:p>
    <w:p>
      <w:pPr>
        <w:pStyle w:val="90"/>
        <w:numPr>
          <w:ilvl w:val="0"/>
          <w:numId w:val="0"/>
        </w:numPr>
        <w:ind w:left="425" w:leftChars="0"/>
      </w:pPr>
      <w:r>
        <w:rPr>
          <w:rFonts w:hint="eastAsia" w:ascii="黑体" w:hAnsi="黑体" w:eastAsia="黑体" w:cs="黑体"/>
          <w:lang w:val="en-US" w:eastAsia="zh-CN"/>
        </w:rPr>
        <w:t>——</w:t>
      </w:r>
      <w:r>
        <w:rPr>
          <w:rFonts w:hint="eastAsia" w:hAnsi="宋体" w:cs="宋体"/>
          <w:szCs w:val="21"/>
        </w:rPr>
        <w:t>分拣操作台、</w:t>
      </w:r>
      <w:r>
        <w:rPr>
          <w:rFonts w:hint="eastAsia"/>
        </w:rPr>
        <w:t>陈列货架、保鲜柜、冷冻柜等配套设备。</w:t>
      </w:r>
    </w:p>
    <w:p>
      <w:pPr>
        <w:pStyle w:val="98"/>
        <w:numPr>
          <w:ilvl w:val="0"/>
          <w:numId w:val="4"/>
        </w:numPr>
        <w:ind w:left="737" w:hanging="374"/>
      </w:pPr>
      <w:r>
        <w:rPr>
          <w:rFonts w:hint="eastAsia"/>
        </w:rPr>
        <w:t>电子秤应符合检定或校准要求、具备完整的铅封、张贴合格标识。打印机</w:t>
      </w:r>
      <w:r>
        <w:t>具备打印标签功能</w:t>
      </w:r>
      <w:r>
        <w:rPr>
          <w:rFonts w:hint="eastAsia"/>
        </w:rPr>
        <w:t>。</w:t>
      </w:r>
    </w:p>
    <w:p>
      <w:pPr>
        <w:pStyle w:val="66"/>
        <w:numPr>
          <w:numId w:val="12"/>
        </w:numPr>
        <w:spacing w:before="312" w:after="312"/>
      </w:pPr>
      <w:bookmarkStart w:id="203" w:name="_Toc28215"/>
      <w:bookmarkStart w:id="204" w:name="_Toc159837261"/>
      <w:bookmarkStart w:id="205" w:name="_Toc145318233"/>
      <w:bookmarkStart w:id="206" w:name="_Toc142393033"/>
      <w:bookmarkStart w:id="207" w:name="_Toc142403737"/>
      <w:bookmarkStart w:id="208" w:name="_Toc30541"/>
      <w:bookmarkStart w:id="209" w:name="_Toc141706274"/>
      <w:bookmarkStart w:id="210" w:name="_Toc142399756"/>
      <w:bookmarkStart w:id="211" w:name="_Toc160437674"/>
      <w:bookmarkStart w:id="212" w:name="_Toc143516106"/>
      <w:r>
        <w:rPr>
          <w:rFonts w:hint="eastAsia"/>
        </w:rPr>
        <w:t>服务内容</w:t>
      </w:r>
      <w:bookmarkEnd w:id="203"/>
      <w:bookmarkEnd w:id="204"/>
      <w:bookmarkEnd w:id="205"/>
      <w:bookmarkEnd w:id="206"/>
      <w:bookmarkEnd w:id="207"/>
      <w:bookmarkEnd w:id="208"/>
      <w:bookmarkEnd w:id="209"/>
      <w:bookmarkEnd w:id="210"/>
      <w:bookmarkEnd w:id="211"/>
      <w:bookmarkEnd w:id="212"/>
    </w:p>
    <w:p>
      <w:pPr>
        <w:pStyle w:val="65"/>
        <w:numPr>
          <w:numId w:val="12"/>
        </w:numPr>
        <w:spacing w:before="156" w:after="156"/>
      </w:pPr>
      <w:bookmarkStart w:id="213" w:name="_Toc28136"/>
      <w:bookmarkStart w:id="214" w:name="_Toc160437675"/>
      <w:bookmarkStart w:id="215" w:name="_Toc142403738"/>
      <w:r>
        <w:rPr>
          <w:rFonts w:hint="eastAsia"/>
        </w:rPr>
        <w:t>商户</w:t>
      </w:r>
      <w:r>
        <w:t>入驻</w:t>
      </w:r>
      <w:bookmarkEnd w:id="213"/>
      <w:bookmarkEnd w:id="214"/>
    </w:p>
    <w:bookmarkEnd w:id="215"/>
    <w:p>
      <w:pPr>
        <w:pStyle w:val="68"/>
        <w:numPr>
          <w:numId w:val="12"/>
        </w:numPr>
        <w:spacing w:before="156" w:beforeLines="50" w:after="156" w:afterLines="50"/>
      </w:pPr>
      <w:r>
        <w:rPr>
          <w:rFonts w:hint="eastAsia" w:ascii="黑体" w:eastAsia="黑体"/>
        </w:rPr>
        <w:t>服务流程图</w:t>
      </w:r>
    </w:p>
    <w:p>
      <w:pPr>
        <w:pStyle w:val="67"/>
        <w:ind w:firstLine="420"/>
      </w:pPr>
      <w:r>
        <w:rPr>
          <w:rFonts w:hint="eastAsia"/>
        </w:rPr>
        <w:t>商户</w:t>
      </w:r>
      <w:r>
        <w:t>入驻</w:t>
      </w:r>
      <w:r>
        <w:rPr>
          <w:rFonts w:hint="eastAsia"/>
        </w:rPr>
        <w:t>服务主要包括</w:t>
      </w:r>
      <w:r>
        <w:t>商户</w:t>
      </w:r>
      <w:r>
        <w:rPr>
          <w:rFonts w:hint="eastAsia"/>
        </w:rPr>
        <w:t>入驻</w:t>
      </w:r>
      <w:r>
        <w:t>申请</w:t>
      </w:r>
      <w:r>
        <w:rPr>
          <w:rFonts w:hint="eastAsia"/>
        </w:rPr>
        <w:t>、资质审核、协议签署、信息录入与</w:t>
      </w:r>
      <w:r>
        <w:t>维护</w:t>
      </w:r>
      <w:r>
        <w:rPr>
          <w:rFonts w:hint="eastAsia"/>
        </w:rPr>
        <w:t>等阶段，服务流程如图1所示。</w:t>
      </w:r>
    </w:p>
    <w:p>
      <w:pPr>
        <w:pStyle w:val="68"/>
        <w:numPr>
          <w:ilvl w:val="3"/>
          <w:numId w:val="0"/>
        </w:numPr>
        <w:jc w:val="center"/>
      </w:pPr>
      <w:r>
        <w:object>
          <v:shape id="_x0000_i1025" o:spt="75" type="#_x0000_t75" style="height:201pt;width:73.5pt;" o:ole="t" filled="f" o:preferrelative="t" stroked="f" coordsize="21600,21600">
            <v:path/>
            <v:fill on="f" focussize="0,0"/>
            <v:stroke on="f"/>
            <v:imagedata r:id="rId21" o:title=""/>
            <o:lock v:ext="edit" aspectratio="t"/>
            <w10:wrap type="none"/>
            <w10:anchorlock/>
          </v:shape>
          <o:OLEObject Type="Embed" ProgID="Visio.Drawing.11" ShapeID="_x0000_i1025" DrawAspect="Content" ObjectID="_1468075725" r:id="rId20">
            <o:LockedField>false</o:LockedField>
          </o:OLEObject>
        </w:object>
      </w:r>
    </w:p>
    <w:p>
      <w:pPr>
        <w:pStyle w:val="89"/>
        <w:spacing w:before="156" w:after="156"/>
      </w:pPr>
      <w:r>
        <w:rPr>
          <w:rFonts w:hint="eastAsia"/>
        </w:rPr>
        <w:t>入驻</w:t>
      </w:r>
      <w:r>
        <w:t>服务流程</w:t>
      </w:r>
    </w:p>
    <w:p>
      <w:pPr>
        <w:pStyle w:val="69"/>
        <w:numPr>
          <w:numId w:val="12"/>
        </w:numPr>
        <w:spacing w:before="156" w:after="156"/>
      </w:pPr>
      <w:bookmarkStart w:id="216" w:name="_Toc161751307"/>
      <w:bookmarkStart w:id="217" w:name="_Toc5197"/>
      <w:r>
        <w:rPr>
          <w:rFonts w:hint="eastAsia"/>
        </w:rPr>
        <w:t>资质审核</w:t>
      </w:r>
      <w:bookmarkEnd w:id="216"/>
      <w:bookmarkEnd w:id="217"/>
    </w:p>
    <w:p>
      <w:pPr>
        <w:pStyle w:val="68"/>
        <w:numPr>
          <w:ilvl w:val="3"/>
          <w:numId w:val="0"/>
        </w:numPr>
        <w:ind w:firstLine="420" w:firstLineChars="200"/>
      </w:pPr>
      <w:r>
        <w:rPr>
          <w:rFonts w:hint="eastAsia"/>
        </w:rPr>
        <w:t>收到</w:t>
      </w:r>
      <w:r>
        <w:t>商户入驻申请后，</w:t>
      </w:r>
      <w:r>
        <w:rPr>
          <w:rFonts w:hint="eastAsia"/>
        </w:rPr>
        <w:t>服务站（点）应按附录A的要求审核申请</w:t>
      </w:r>
      <w:r>
        <w:t>入驻商户</w:t>
      </w:r>
      <w:r>
        <w:rPr>
          <w:rFonts w:hint="eastAsia"/>
        </w:rPr>
        <w:t>、农产品</w:t>
      </w:r>
      <w:r>
        <w:t>的资质，</w:t>
      </w:r>
      <w:r>
        <w:rPr>
          <w:rFonts w:hint="eastAsia"/>
        </w:rPr>
        <w:t>确认符合</w:t>
      </w:r>
      <w:r>
        <w:t>要求</w:t>
      </w:r>
      <w:r>
        <w:rPr>
          <w:rFonts w:hint="eastAsia"/>
        </w:rPr>
        <w:t>后</w:t>
      </w:r>
      <w:r>
        <w:t>方可入驻平台</w:t>
      </w:r>
      <w:r>
        <w:rPr>
          <w:rFonts w:hint="eastAsia"/>
        </w:rPr>
        <w:t>。</w:t>
      </w:r>
    </w:p>
    <w:p>
      <w:pPr>
        <w:pStyle w:val="69"/>
        <w:numPr>
          <w:numId w:val="12"/>
        </w:numPr>
        <w:spacing w:before="156" w:after="156"/>
      </w:pPr>
      <w:bookmarkStart w:id="218" w:name="_Toc17135"/>
      <w:bookmarkStart w:id="219" w:name="_Toc161751308"/>
      <w:r>
        <w:rPr>
          <w:rFonts w:hint="eastAsia"/>
        </w:rPr>
        <w:t>协议签署</w:t>
      </w:r>
      <w:bookmarkEnd w:id="218"/>
      <w:bookmarkEnd w:id="219"/>
    </w:p>
    <w:p>
      <w:pPr>
        <w:pStyle w:val="91"/>
        <w:numPr>
          <w:ilvl w:val="4"/>
          <w:numId w:val="12"/>
        </w:numPr>
      </w:pPr>
      <w:r>
        <w:rPr>
          <w:rFonts w:hint="eastAsia"/>
        </w:rPr>
        <w:t>服务站（点）与商户双方</w:t>
      </w:r>
      <w:r>
        <w:t>应</w:t>
      </w:r>
      <w:r>
        <w:rPr>
          <w:rFonts w:hint="eastAsia"/>
        </w:rPr>
        <w:t>在遵循平等、自愿、公平、诚实、守信的</w:t>
      </w:r>
      <w:r>
        <w:t>基础上</w:t>
      </w:r>
      <w:r>
        <w:rPr>
          <w:rFonts w:hint="eastAsia"/>
        </w:rPr>
        <w:t>，签署合作协议，</w:t>
      </w:r>
      <w:r>
        <w:t>合作协议内容包括但不限于：</w:t>
      </w:r>
    </w:p>
    <w:p>
      <w:pPr>
        <w:pStyle w:val="67"/>
        <w:ind w:left="420" w:leftChars="200" w:firstLine="0" w:firstLineChars="0"/>
      </w:pPr>
      <w:r>
        <w:rPr>
          <w:rFonts w:hint="eastAsia" w:ascii="黑体" w:hAnsi="黑体" w:eastAsia="黑体" w:cs="黑体"/>
          <w:lang w:val="en-US" w:eastAsia="zh-CN"/>
        </w:rPr>
        <w:t>——</w:t>
      </w:r>
      <w:r>
        <w:rPr>
          <w:rFonts w:hint="eastAsia"/>
        </w:rPr>
        <w:t>商户主体信息；</w:t>
      </w:r>
    </w:p>
    <w:p>
      <w:pPr>
        <w:pStyle w:val="67"/>
        <w:ind w:left="420" w:leftChars="200" w:firstLine="0" w:firstLineChars="0"/>
      </w:pPr>
      <w:r>
        <w:rPr>
          <w:rFonts w:hint="eastAsia" w:ascii="黑体" w:hAnsi="黑体" w:eastAsia="黑体" w:cs="黑体"/>
          <w:lang w:val="en-US" w:eastAsia="zh-CN"/>
        </w:rPr>
        <w:t>——</w:t>
      </w:r>
      <w:r>
        <w:rPr>
          <w:rFonts w:hint="eastAsia"/>
        </w:rPr>
        <w:t>合作期限；</w:t>
      </w:r>
    </w:p>
    <w:p>
      <w:pPr>
        <w:pStyle w:val="67"/>
        <w:ind w:left="420" w:leftChars="200" w:firstLine="0" w:firstLineChars="0"/>
      </w:pPr>
      <w:r>
        <w:rPr>
          <w:rFonts w:hint="eastAsia" w:ascii="黑体" w:hAnsi="黑体" w:eastAsia="黑体" w:cs="黑体"/>
          <w:lang w:val="en-US" w:eastAsia="zh-CN"/>
        </w:rPr>
        <w:t>——</w:t>
      </w:r>
      <w:r>
        <w:rPr>
          <w:rFonts w:hint="eastAsia"/>
        </w:rPr>
        <w:t>经营的商品</w:t>
      </w:r>
      <w:r>
        <w:t>以及对应</w:t>
      </w:r>
      <w:r>
        <w:rPr>
          <w:rFonts w:hint="eastAsia"/>
        </w:rPr>
        <w:t>价格；</w:t>
      </w:r>
    </w:p>
    <w:p>
      <w:pPr>
        <w:pStyle w:val="67"/>
        <w:ind w:left="420" w:leftChars="200" w:firstLine="0" w:firstLineChars="0"/>
      </w:pPr>
      <w:r>
        <w:rPr>
          <w:rFonts w:hint="eastAsia" w:ascii="黑体" w:hAnsi="黑体" w:eastAsia="黑体" w:cs="黑体"/>
          <w:lang w:val="en-US" w:eastAsia="zh-CN"/>
        </w:rPr>
        <w:t>——</w:t>
      </w:r>
      <w:r>
        <w:rPr>
          <w:rFonts w:hint="eastAsia"/>
        </w:rPr>
        <w:t>订单交付时效、品质要求；</w:t>
      </w:r>
    </w:p>
    <w:p>
      <w:pPr>
        <w:pStyle w:val="67"/>
        <w:ind w:left="420" w:leftChars="200" w:firstLine="0" w:firstLineChars="0"/>
      </w:pPr>
      <w:r>
        <w:rPr>
          <w:rFonts w:hint="eastAsia" w:ascii="黑体" w:hAnsi="黑体" w:eastAsia="黑体" w:cs="黑体"/>
          <w:lang w:val="en-US" w:eastAsia="zh-CN"/>
        </w:rPr>
        <w:t>——</w:t>
      </w:r>
      <w:r>
        <w:rPr>
          <w:rFonts w:hint="eastAsia"/>
        </w:rPr>
        <w:t>违约责任；</w:t>
      </w:r>
    </w:p>
    <w:p>
      <w:pPr>
        <w:pStyle w:val="67"/>
        <w:ind w:left="420" w:leftChars="200" w:firstLine="0" w:firstLineChars="0"/>
      </w:pPr>
      <w:r>
        <w:rPr>
          <w:rFonts w:hint="eastAsia" w:ascii="黑体" w:hAnsi="黑体" w:eastAsia="黑体" w:cs="黑体"/>
          <w:lang w:val="en-US" w:eastAsia="zh-CN"/>
        </w:rPr>
        <w:t>——</w:t>
      </w:r>
      <w:r>
        <w:rPr>
          <w:rFonts w:hint="eastAsia"/>
        </w:rPr>
        <w:t>货款</w:t>
      </w:r>
      <w:r>
        <w:t>结算周期及</w:t>
      </w:r>
      <w:r>
        <w:rPr>
          <w:rFonts w:hint="eastAsia"/>
        </w:rPr>
        <w:t>结算</w:t>
      </w:r>
      <w:r>
        <w:t>方式</w:t>
      </w:r>
      <w:r>
        <w:rPr>
          <w:rFonts w:hint="eastAsia"/>
        </w:rPr>
        <w:t>。</w:t>
      </w:r>
    </w:p>
    <w:p>
      <w:pPr>
        <w:pStyle w:val="91"/>
        <w:numPr>
          <w:ilvl w:val="4"/>
          <w:numId w:val="12"/>
        </w:numPr>
      </w:pPr>
      <w:r>
        <w:rPr>
          <w:rFonts w:hint="eastAsia"/>
        </w:rPr>
        <w:t>合作协议签署后，服务人员应及时上传至平台存档。</w:t>
      </w:r>
    </w:p>
    <w:p>
      <w:pPr>
        <w:pStyle w:val="69"/>
        <w:numPr>
          <w:numId w:val="12"/>
        </w:numPr>
        <w:spacing w:before="156" w:after="156"/>
      </w:pPr>
      <w:bookmarkStart w:id="220" w:name="_Toc20552"/>
      <w:bookmarkStart w:id="221" w:name="_Toc161751309"/>
      <w:r>
        <w:rPr>
          <w:rFonts w:hint="eastAsia"/>
        </w:rPr>
        <w:t>信息录入与维护</w:t>
      </w:r>
      <w:bookmarkEnd w:id="220"/>
      <w:bookmarkEnd w:id="221"/>
    </w:p>
    <w:p>
      <w:pPr>
        <w:pStyle w:val="91"/>
        <w:numPr>
          <w:ilvl w:val="4"/>
          <w:numId w:val="12"/>
        </w:numPr>
      </w:pPr>
      <w:r>
        <w:rPr>
          <w:rFonts w:hint="eastAsia"/>
        </w:rPr>
        <w:t>服务人员应</w:t>
      </w:r>
      <w:r>
        <w:t>在平台上</w:t>
      </w:r>
      <w:r>
        <w:rPr>
          <w:rFonts w:hint="eastAsia"/>
        </w:rPr>
        <w:t>搭建</w:t>
      </w:r>
      <w:r>
        <w:t>电子</w:t>
      </w:r>
      <w:r>
        <w:rPr>
          <w:rFonts w:hint="eastAsia"/>
        </w:rPr>
        <w:t>店铺，</w:t>
      </w:r>
      <w:r>
        <w:t>店铺页面美观、大方</w:t>
      </w:r>
      <w:r>
        <w:rPr>
          <w:rFonts w:hint="eastAsia"/>
        </w:rPr>
        <w:t>，满足商户个性化需求。</w:t>
      </w:r>
    </w:p>
    <w:p>
      <w:pPr>
        <w:pStyle w:val="91"/>
        <w:numPr>
          <w:ilvl w:val="4"/>
          <w:numId w:val="12"/>
        </w:numPr>
      </w:pPr>
      <w:r>
        <w:rPr>
          <w:rFonts w:hint="eastAsia"/>
        </w:rPr>
        <w:t>服务人员应</w:t>
      </w:r>
      <w:r>
        <w:t>根据商户提供的</w:t>
      </w:r>
      <w:r>
        <w:rPr>
          <w:rFonts w:hint="eastAsia" w:asciiTheme="minorEastAsia" w:hAnsiTheme="minorEastAsia" w:cstheme="minorEastAsia"/>
        </w:rPr>
        <w:t>农产品</w:t>
      </w:r>
      <w:r>
        <w:t>清单</w:t>
      </w:r>
      <w:r>
        <w:rPr>
          <w:rFonts w:hint="eastAsia"/>
        </w:rPr>
        <w:t>，将</w:t>
      </w:r>
      <w:r>
        <w:rPr>
          <w:rFonts w:hint="eastAsia" w:asciiTheme="minorEastAsia" w:hAnsiTheme="minorEastAsia" w:cstheme="minorEastAsia"/>
        </w:rPr>
        <w:t>农产品</w:t>
      </w:r>
      <w:r>
        <w:rPr>
          <w:rFonts w:hint="eastAsia"/>
        </w:rPr>
        <w:t>信息录入至平台。</w:t>
      </w:r>
    </w:p>
    <w:p>
      <w:pPr>
        <w:pStyle w:val="91"/>
        <w:numPr>
          <w:ilvl w:val="4"/>
          <w:numId w:val="12"/>
        </w:numPr>
      </w:pPr>
      <w:r>
        <w:rPr>
          <w:rFonts w:hint="eastAsia"/>
        </w:rPr>
        <w:t>服务站（点）应</w:t>
      </w:r>
      <w:r>
        <w:t>向客户推送</w:t>
      </w:r>
      <w:r>
        <w:rPr>
          <w:rFonts w:hint="eastAsia"/>
        </w:rPr>
        <w:t>或在</w:t>
      </w:r>
      <w:r>
        <w:t>平台首页展示</w:t>
      </w:r>
      <w:r>
        <w:rPr>
          <w:rFonts w:hint="eastAsia"/>
        </w:rPr>
        <w:t>具有价格优势的</w:t>
      </w:r>
      <w:r>
        <w:rPr>
          <w:rFonts w:hint="eastAsia" w:asciiTheme="minorEastAsia" w:hAnsiTheme="minorEastAsia" w:cstheme="minorEastAsia"/>
        </w:rPr>
        <w:t>农产品</w:t>
      </w:r>
      <w:r>
        <w:rPr>
          <w:rFonts w:hint="eastAsia"/>
        </w:rPr>
        <w:t>。</w:t>
      </w:r>
    </w:p>
    <w:p>
      <w:pPr>
        <w:pStyle w:val="91"/>
        <w:numPr>
          <w:ilvl w:val="4"/>
          <w:numId w:val="12"/>
        </w:numPr>
      </w:pPr>
      <w:r>
        <w:rPr>
          <w:rFonts w:hint="eastAsia"/>
        </w:rPr>
        <w:t>服务站（点）应实时更新维护价格、规格或图片等</w:t>
      </w:r>
      <w:r>
        <w:rPr>
          <w:rFonts w:hint="eastAsia" w:asciiTheme="minorEastAsia" w:hAnsiTheme="minorEastAsia" w:cstheme="minorEastAsia"/>
        </w:rPr>
        <w:t>农产品</w:t>
      </w:r>
      <w:r>
        <w:rPr>
          <w:rFonts w:hint="eastAsia"/>
        </w:rPr>
        <w:t>信息。</w:t>
      </w:r>
    </w:p>
    <w:p>
      <w:pPr>
        <w:pStyle w:val="69"/>
        <w:numPr>
          <w:numId w:val="12"/>
        </w:numPr>
        <w:spacing w:before="156" w:after="156"/>
      </w:pPr>
      <w:bookmarkStart w:id="222" w:name="_Toc161751310"/>
      <w:bookmarkStart w:id="223" w:name="_Toc8301"/>
      <w:r>
        <w:rPr>
          <w:rFonts w:hint="eastAsia"/>
        </w:rPr>
        <w:t>商户考核</w:t>
      </w:r>
      <w:bookmarkEnd w:id="222"/>
      <w:bookmarkEnd w:id="223"/>
    </w:p>
    <w:p>
      <w:pPr>
        <w:pStyle w:val="67"/>
        <w:ind w:firstLine="420"/>
      </w:pPr>
      <w:r>
        <w:rPr>
          <w:rFonts w:hint="eastAsia"/>
        </w:rPr>
        <w:t>服务站（点）应根据合同履行情况、客户反馈投诉情况对商户建立诚信档案，对信用较差商户停止合同续约。</w:t>
      </w:r>
    </w:p>
    <w:p>
      <w:pPr>
        <w:pStyle w:val="65"/>
        <w:numPr>
          <w:numId w:val="12"/>
        </w:numPr>
        <w:spacing w:before="156" w:after="156"/>
      </w:pPr>
      <w:bookmarkStart w:id="224" w:name="_Toc159837263"/>
      <w:bookmarkStart w:id="225" w:name="_Toc145318235"/>
      <w:bookmarkStart w:id="226" w:name="_Toc1988"/>
      <w:bookmarkStart w:id="227" w:name="_Toc142399758"/>
      <w:bookmarkStart w:id="228" w:name="_Toc142403739"/>
      <w:bookmarkStart w:id="229" w:name="_Toc143516108"/>
      <w:bookmarkStart w:id="230" w:name="_Toc142393034"/>
      <w:bookmarkStart w:id="231" w:name="_Toc141706275"/>
      <w:bookmarkStart w:id="232" w:name="_Toc15264"/>
      <w:bookmarkStart w:id="233" w:name="_Toc160437676"/>
      <w:r>
        <w:rPr>
          <w:rFonts w:hint="eastAsia"/>
        </w:rPr>
        <w:t>代购</w:t>
      </w:r>
      <w:bookmarkEnd w:id="224"/>
      <w:bookmarkEnd w:id="225"/>
      <w:bookmarkEnd w:id="226"/>
      <w:bookmarkEnd w:id="227"/>
      <w:bookmarkEnd w:id="228"/>
      <w:bookmarkEnd w:id="229"/>
      <w:bookmarkEnd w:id="230"/>
      <w:bookmarkEnd w:id="231"/>
      <w:r>
        <w:rPr>
          <w:rFonts w:hint="eastAsia"/>
        </w:rPr>
        <w:t>服务</w:t>
      </w:r>
      <w:bookmarkEnd w:id="232"/>
      <w:bookmarkEnd w:id="233"/>
    </w:p>
    <w:p>
      <w:pPr>
        <w:pStyle w:val="69"/>
        <w:numPr>
          <w:numId w:val="12"/>
        </w:numPr>
        <w:spacing w:before="156" w:after="156"/>
      </w:pPr>
      <w:bookmarkStart w:id="234" w:name="_Toc10896"/>
      <w:bookmarkStart w:id="235" w:name="_Toc161751312"/>
      <w:r>
        <w:rPr>
          <w:rFonts w:hint="eastAsia"/>
        </w:rPr>
        <w:t>服务流程图</w:t>
      </w:r>
      <w:bookmarkEnd w:id="234"/>
      <w:bookmarkEnd w:id="235"/>
    </w:p>
    <w:p>
      <w:pPr>
        <w:pStyle w:val="67"/>
        <w:ind w:firstLine="420"/>
      </w:pPr>
      <w:r>
        <w:t>代购</w:t>
      </w:r>
      <w:r>
        <w:rPr>
          <w:rFonts w:hint="eastAsia"/>
        </w:rPr>
        <w:t>服务主要</w:t>
      </w:r>
      <w:r>
        <w:t>包括</w:t>
      </w:r>
      <w:r>
        <w:rPr>
          <w:rFonts w:hint="eastAsia"/>
        </w:rPr>
        <w:t>订单受理、商品分拣、物流配送三个阶段，服务流程如图2所示。</w:t>
      </w:r>
    </w:p>
    <w:p>
      <w:pPr>
        <w:pStyle w:val="67"/>
        <w:ind w:firstLine="420"/>
        <w:jc w:val="center"/>
        <w:rPr>
          <w:rFonts w:hAnsi="黑体" w:cs="黑体"/>
          <w:spacing w:val="-3"/>
        </w:rPr>
      </w:pPr>
      <w:r>
        <w:object>
          <v:shape id="_x0000_i1026" o:spt="75" type="#_x0000_t75" style="height:197.25pt;width:73.5pt;" o:ole="t" filled="f" o:preferrelative="t" stroked="f" coordsize="21600,21600">
            <v:path/>
            <v:fill on="f" focussize="0,0"/>
            <v:stroke on="f"/>
            <v:imagedata r:id="rId23" o:title=""/>
            <o:lock v:ext="edit" aspectratio="t"/>
            <w10:wrap type="none"/>
            <w10:anchorlock/>
          </v:shape>
          <o:OLEObject Type="Embed" ProgID="Visio.Drawing.11" ShapeID="_x0000_i1026" DrawAspect="Content" ObjectID="_1468075726" r:id="rId22">
            <o:LockedField>false</o:LockedField>
          </o:OLEObject>
        </w:object>
      </w:r>
    </w:p>
    <w:p>
      <w:pPr>
        <w:pStyle w:val="89"/>
        <w:spacing w:before="156" w:after="156"/>
      </w:pPr>
      <w:r>
        <w:rPr>
          <w:rFonts w:hint="eastAsia"/>
        </w:rPr>
        <w:t>代购服务流程</w:t>
      </w:r>
    </w:p>
    <w:p>
      <w:pPr>
        <w:pStyle w:val="69"/>
        <w:numPr>
          <w:numId w:val="12"/>
        </w:numPr>
        <w:spacing w:before="156" w:after="156"/>
      </w:pPr>
      <w:bookmarkStart w:id="236" w:name="_Toc12756"/>
      <w:bookmarkStart w:id="237" w:name="_Toc161751313"/>
      <w:r>
        <w:rPr>
          <w:rFonts w:hint="eastAsia"/>
        </w:rPr>
        <w:t>订单受理</w:t>
      </w:r>
      <w:bookmarkEnd w:id="236"/>
      <w:bookmarkEnd w:id="237"/>
    </w:p>
    <w:p>
      <w:pPr>
        <w:pStyle w:val="91"/>
        <w:numPr>
          <w:ilvl w:val="4"/>
          <w:numId w:val="12"/>
        </w:numPr>
      </w:pPr>
      <w:r>
        <w:rPr>
          <w:rFonts w:hint="eastAsia"/>
        </w:rPr>
        <w:t>平台应公示接单时间以及配送时间，并提供以下</w:t>
      </w:r>
      <w:r>
        <w:t>订单交付方式</w:t>
      </w:r>
      <w:r>
        <w:rPr>
          <w:rFonts w:hint="eastAsia"/>
        </w:rPr>
        <w:t>：</w:t>
      </w:r>
    </w:p>
    <w:p>
      <w:pPr>
        <w:pStyle w:val="90"/>
        <w:numPr>
          <w:ilvl w:val="0"/>
          <w:numId w:val="0"/>
        </w:numPr>
        <w:ind w:left="425" w:leftChars="0"/>
      </w:pPr>
      <w:r>
        <w:rPr>
          <w:rFonts w:hint="eastAsia" w:ascii="黑体" w:hAnsi="黑体" w:eastAsia="黑体" w:cs="黑体"/>
          <w:lang w:val="en-US" w:eastAsia="zh-CN"/>
        </w:rPr>
        <w:t>——</w:t>
      </w:r>
      <w:r>
        <w:rPr>
          <w:rFonts w:hint="eastAsia"/>
        </w:rPr>
        <w:t>即买即送；</w:t>
      </w:r>
    </w:p>
    <w:p>
      <w:pPr>
        <w:pStyle w:val="90"/>
        <w:numPr>
          <w:ilvl w:val="0"/>
          <w:numId w:val="0"/>
        </w:numPr>
        <w:ind w:left="425" w:leftChars="0"/>
      </w:pPr>
      <w:r>
        <w:rPr>
          <w:rFonts w:hint="eastAsia" w:ascii="黑体" w:hAnsi="黑体" w:eastAsia="黑体" w:cs="黑体"/>
          <w:lang w:val="en-US" w:eastAsia="zh-CN"/>
        </w:rPr>
        <w:t>——</w:t>
      </w:r>
      <w:r>
        <w:rPr>
          <w:rFonts w:hint="eastAsia"/>
        </w:rPr>
        <w:t>次日达；</w:t>
      </w:r>
    </w:p>
    <w:p>
      <w:pPr>
        <w:pStyle w:val="90"/>
        <w:numPr>
          <w:ilvl w:val="0"/>
          <w:numId w:val="0"/>
        </w:numPr>
        <w:ind w:left="425" w:leftChars="0"/>
      </w:pPr>
      <w:r>
        <w:rPr>
          <w:rFonts w:hint="eastAsia" w:ascii="黑体" w:hAnsi="黑体" w:eastAsia="黑体" w:cs="黑体"/>
          <w:lang w:val="en-US" w:eastAsia="zh-CN"/>
        </w:rPr>
        <w:t>——</w:t>
      </w:r>
      <w:r>
        <w:rPr>
          <w:rFonts w:hint="eastAsia"/>
        </w:rPr>
        <w:t>约定时间。</w:t>
      </w:r>
    </w:p>
    <w:p>
      <w:pPr>
        <w:pStyle w:val="91"/>
        <w:numPr>
          <w:ilvl w:val="4"/>
          <w:numId w:val="12"/>
        </w:numPr>
      </w:pPr>
      <w:r>
        <w:rPr>
          <w:rFonts w:hint="eastAsia"/>
        </w:rPr>
        <w:t>平台收到</w:t>
      </w:r>
      <w:r>
        <w:t>客户下单后推送至</w:t>
      </w:r>
      <w:r>
        <w:rPr>
          <w:rFonts w:hint="eastAsia"/>
        </w:rPr>
        <w:t>对应服务站（点），由服务人员核查订单，确认无误后予以接单。服务人员</w:t>
      </w:r>
      <w:r>
        <w:t>应在</w:t>
      </w:r>
      <w:r>
        <w:rPr>
          <w:rFonts w:hint="eastAsia"/>
        </w:rPr>
        <w:t>收到</w:t>
      </w:r>
      <w:r>
        <w:t>订单半小时内完成核对。</w:t>
      </w:r>
    </w:p>
    <w:p>
      <w:pPr>
        <w:pStyle w:val="91"/>
        <w:numPr>
          <w:ilvl w:val="4"/>
          <w:numId w:val="12"/>
        </w:numPr>
      </w:pPr>
      <w:r>
        <w:rPr>
          <w:rFonts w:hint="eastAsia"/>
        </w:rPr>
        <w:t>接单后，服务</w:t>
      </w:r>
      <w:r>
        <w:t>人员</w:t>
      </w:r>
      <w:r>
        <w:rPr>
          <w:rFonts w:hint="eastAsia"/>
        </w:rPr>
        <w:t>根据订单需求完成配货。</w:t>
      </w:r>
    </w:p>
    <w:p>
      <w:pPr>
        <w:pStyle w:val="69"/>
        <w:numPr>
          <w:numId w:val="12"/>
        </w:numPr>
        <w:spacing w:before="156" w:after="156"/>
      </w:pPr>
      <w:bookmarkStart w:id="238" w:name="_Toc7870"/>
      <w:bookmarkStart w:id="239" w:name="_Toc161751314"/>
      <w:r>
        <w:rPr>
          <w:rFonts w:hint="eastAsia"/>
        </w:rPr>
        <w:t>商品分拣</w:t>
      </w:r>
      <w:bookmarkEnd w:id="238"/>
      <w:bookmarkEnd w:id="239"/>
    </w:p>
    <w:p>
      <w:pPr>
        <w:pStyle w:val="67"/>
        <w:ind w:firstLine="420"/>
      </w:pPr>
      <w:r>
        <w:rPr>
          <w:rFonts w:hint="eastAsia"/>
        </w:rPr>
        <w:t>运营服务人员应按照以下</w:t>
      </w:r>
      <w:r>
        <w:t>步骤进行商品</w:t>
      </w:r>
      <w:r>
        <w:rPr>
          <w:rFonts w:hint="eastAsia"/>
        </w:rPr>
        <w:t>分拣</w:t>
      </w:r>
      <w:r>
        <w:t>：</w:t>
      </w:r>
    </w:p>
    <w:p>
      <w:pPr>
        <w:pStyle w:val="90"/>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收到</w:t>
      </w:r>
      <w:r>
        <w:t>商户</w:t>
      </w:r>
      <w:r>
        <w:rPr>
          <w:rFonts w:hint="eastAsia"/>
        </w:rPr>
        <w:t>提供</w:t>
      </w:r>
      <w:r>
        <w:t>的</w:t>
      </w:r>
      <w:r>
        <w:rPr>
          <w:rFonts w:hint="eastAsia" w:asciiTheme="minorEastAsia" w:hAnsiTheme="minorEastAsia" w:cstheme="minorEastAsia"/>
        </w:rPr>
        <w:t>农产品</w:t>
      </w:r>
      <w:r>
        <w:t>后，当面</w:t>
      </w:r>
      <w:r>
        <w:rPr>
          <w:rFonts w:hint="eastAsia"/>
        </w:rPr>
        <w:t>核对品类、数量以及</w:t>
      </w:r>
      <w:r>
        <w:t>质量，</w:t>
      </w:r>
      <w:r>
        <w:rPr>
          <w:rFonts w:hint="eastAsia"/>
        </w:rPr>
        <w:t>确保与订单一致</w:t>
      </w:r>
      <w:r>
        <w:t>；</w:t>
      </w:r>
    </w:p>
    <w:p>
      <w:pPr>
        <w:pStyle w:val="90"/>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对</w:t>
      </w:r>
      <w:r>
        <w:rPr>
          <w:rFonts w:hint="eastAsia" w:asciiTheme="minorEastAsia" w:hAnsiTheme="minorEastAsia" w:cstheme="minorEastAsia"/>
        </w:rPr>
        <w:t>农产品</w:t>
      </w:r>
      <w:r>
        <w:rPr>
          <w:rFonts w:hint="eastAsia"/>
        </w:rPr>
        <w:t>进行</w:t>
      </w:r>
      <w:r>
        <w:t>称重</w:t>
      </w:r>
      <w:r>
        <w:rPr>
          <w:rFonts w:hint="eastAsia"/>
        </w:rPr>
        <w:t>。</w:t>
      </w:r>
      <w:r>
        <w:t>称重后，使用</w:t>
      </w:r>
      <w:r>
        <w:rPr>
          <w:rFonts w:hint="eastAsia"/>
        </w:rPr>
        <w:t>购物袋或纸箱</w:t>
      </w:r>
      <w:r>
        <w:t>包装；</w:t>
      </w:r>
    </w:p>
    <w:p>
      <w:pPr>
        <w:pStyle w:val="90"/>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在</w:t>
      </w:r>
      <w:r>
        <w:t>外包装上张贴</w:t>
      </w:r>
      <w:r>
        <w:rPr>
          <w:rFonts w:hint="eastAsia"/>
        </w:rPr>
        <w:t>标签、标识和交易小票，交易</w:t>
      </w:r>
      <w:r>
        <w:t>小票内容应</w:t>
      </w:r>
      <w:r>
        <w:rPr>
          <w:rFonts w:hint="eastAsia"/>
        </w:rPr>
        <w:t>包括</w:t>
      </w:r>
      <w:r>
        <w:t>订单信息、</w:t>
      </w:r>
      <w:r>
        <w:rPr>
          <w:rFonts w:hint="eastAsia"/>
        </w:rPr>
        <w:t>收件信息、交易溯源二维码等</w:t>
      </w:r>
      <w:r>
        <w:t>；</w:t>
      </w:r>
    </w:p>
    <w:p>
      <w:pPr>
        <w:pStyle w:val="90"/>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pPr>
      <w:r>
        <w:rPr>
          <w:rFonts w:hint="eastAsia" w:ascii="黑体" w:hAnsi="黑体" w:eastAsia="黑体" w:cs="黑体"/>
          <w:lang w:val="en-US" w:eastAsia="zh-CN"/>
        </w:rPr>
        <w:t>——</w:t>
      </w:r>
      <w:r>
        <w:t>存放在适宜的环境中，等待配送</w:t>
      </w:r>
      <w:r>
        <w:rPr>
          <w:rFonts w:hint="eastAsia"/>
        </w:rPr>
        <w:t>。</w:t>
      </w:r>
    </w:p>
    <w:p>
      <w:pPr>
        <w:pStyle w:val="69"/>
        <w:numPr>
          <w:numId w:val="12"/>
        </w:numPr>
        <w:spacing w:before="156" w:after="156"/>
      </w:pPr>
      <w:bookmarkStart w:id="240" w:name="_Toc161751315"/>
      <w:bookmarkStart w:id="241" w:name="_Toc4875"/>
      <w:r>
        <w:rPr>
          <w:rFonts w:hint="eastAsia"/>
        </w:rPr>
        <w:t>物流配送</w:t>
      </w:r>
      <w:bookmarkEnd w:id="240"/>
      <w:bookmarkEnd w:id="241"/>
    </w:p>
    <w:p>
      <w:pPr>
        <w:pStyle w:val="91"/>
        <w:numPr>
          <w:ilvl w:val="4"/>
          <w:numId w:val="12"/>
        </w:numPr>
        <w:rPr>
          <w:rFonts w:asciiTheme="minorEastAsia" w:hAnsiTheme="minorEastAsia" w:cstheme="minorEastAsia"/>
        </w:rPr>
      </w:pPr>
      <w:r>
        <w:rPr>
          <w:rFonts w:hint="eastAsia"/>
        </w:rPr>
        <w:t>客户于同一时段下单不同商户商品的，应一同发货，合并计算物流费用。</w:t>
      </w:r>
    </w:p>
    <w:p>
      <w:pPr>
        <w:pStyle w:val="91"/>
        <w:numPr>
          <w:ilvl w:val="4"/>
          <w:numId w:val="12"/>
        </w:numPr>
      </w:pPr>
      <w:r>
        <w:rPr>
          <w:rFonts w:hint="eastAsia"/>
        </w:rPr>
        <w:t>平台应明确公示免费配送公里数及最小起送量或起送金额，超出配送范围的应明确收费标准。</w:t>
      </w:r>
    </w:p>
    <w:p>
      <w:pPr>
        <w:pStyle w:val="91"/>
        <w:numPr>
          <w:ilvl w:val="4"/>
          <w:numId w:val="12"/>
        </w:numPr>
      </w:pPr>
      <w:r>
        <w:rPr>
          <w:rFonts w:hint="eastAsia"/>
        </w:rPr>
        <w:t>服务站（点）可依据自身实际情况选择自行配送，或与有资质的第三方机构签订协议明确双方职责，使用其提供的配送服务</w:t>
      </w:r>
      <w:r>
        <w:t>。</w:t>
      </w:r>
    </w:p>
    <w:p>
      <w:pPr>
        <w:pStyle w:val="91"/>
        <w:numPr>
          <w:ilvl w:val="4"/>
          <w:numId w:val="12"/>
        </w:numPr>
      </w:pPr>
      <w:r>
        <w:rPr>
          <w:rFonts w:hint="eastAsia"/>
        </w:rPr>
        <w:t>配送过程确保商品完整、商品外包装不应有破损、渗漏，并在</w:t>
      </w:r>
      <w:r>
        <w:t>规定时间内完成配送。</w:t>
      </w:r>
    </w:p>
    <w:p>
      <w:pPr>
        <w:pStyle w:val="91"/>
        <w:numPr>
          <w:ilvl w:val="4"/>
          <w:numId w:val="12"/>
        </w:numPr>
      </w:pPr>
      <w:r>
        <w:rPr>
          <w:rFonts w:hint="eastAsia"/>
        </w:rPr>
        <w:t>送达后，物流配送人员（第三方</w:t>
      </w:r>
      <w:r>
        <w:t>机构</w:t>
      </w:r>
      <w:r>
        <w:rPr>
          <w:rFonts w:hint="eastAsia"/>
        </w:rPr>
        <w:t>）应拍照上传至平台，照片内容包括但不限于：外包装袋、交易小票、寄存位置。</w:t>
      </w:r>
    </w:p>
    <w:p>
      <w:pPr>
        <w:pStyle w:val="65"/>
        <w:numPr>
          <w:numId w:val="12"/>
        </w:numPr>
        <w:spacing w:before="156" w:after="156"/>
      </w:pPr>
      <w:bookmarkStart w:id="242" w:name="_Toc145318236"/>
      <w:bookmarkStart w:id="243" w:name="_Toc160437677"/>
      <w:bookmarkStart w:id="244" w:name="_Toc142399759"/>
      <w:bookmarkStart w:id="245" w:name="_Toc142403740"/>
      <w:bookmarkStart w:id="246" w:name="_Toc142393035"/>
      <w:bookmarkStart w:id="247" w:name="_Toc17722"/>
      <w:bookmarkStart w:id="248" w:name="_Toc141706276"/>
      <w:bookmarkStart w:id="249" w:name="_Toc143516109"/>
      <w:bookmarkStart w:id="250" w:name="_Toc159837264"/>
      <w:bookmarkStart w:id="251" w:name="_Toc31605"/>
      <w:r>
        <w:rPr>
          <w:rFonts w:hint="eastAsia"/>
        </w:rPr>
        <w:t>客服服务</w:t>
      </w:r>
      <w:bookmarkEnd w:id="242"/>
      <w:bookmarkEnd w:id="243"/>
      <w:bookmarkEnd w:id="244"/>
      <w:bookmarkEnd w:id="245"/>
      <w:bookmarkEnd w:id="246"/>
      <w:bookmarkEnd w:id="247"/>
      <w:bookmarkEnd w:id="248"/>
      <w:bookmarkEnd w:id="249"/>
      <w:bookmarkEnd w:id="250"/>
      <w:bookmarkEnd w:id="251"/>
    </w:p>
    <w:p>
      <w:pPr>
        <w:pStyle w:val="69"/>
        <w:numPr>
          <w:numId w:val="12"/>
        </w:numPr>
        <w:spacing w:before="156" w:after="156"/>
      </w:pPr>
      <w:bookmarkStart w:id="252" w:name="_Toc161751317"/>
      <w:bookmarkStart w:id="253" w:name="_Toc20216"/>
      <w:r>
        <w:rPr>
          <w:rFonts w:hint="eastAsia"/>
        </w:rPr>
        <w:t>咨询解答</w:t>
      </w:r>
      <w:bookmarkEnd w:id="252"/>
      <w:bookmarkEnd w:id="253"/>
    </w:p>
    <w:p>
      <w:pPr>
        <w:pStyle w:val="91"/>
        <w:numPr>
          <w:ilvl w:val="4"/>
          <w:numId w:val="12"/>
        </w:numPr>
      </w:pPr>
      <w:r>
        <w:rPr>
          <w:rFonts w:hint="eastAsia"/>
        </w:rPr>
        <w:t>服务人员应在准确了解客户疑问或需求的基础上</w:t>
      </w:r>
      <w:r>
        <w:t>，</w:t>
      </w:r>
      <w:r>
        <w:rPr>
          <w:rFonts w:hint="eastAsia"/>
        </w:rPr>
        <w:t>进行回复。</w:t>
      </w:r>
    </w:p>
    <w:p>
      <w:pPr>
        <w:pStyle w:val="91"/>
        <w:numPr>
          <w:ilvl w:val="4"/>
          <w:numId w:val="12"/>
        </w:numPr>
      </w:pPr>
      <w:r>
        <w:rPr>
          <w:rFonts w:hint="eastAsia"/>
        </w:rPr>
        <w:t>正常工作时间内，客户来电咨询的，运营服务人员应在电话铃响三声内接听；通过线上咨询的，应在30</w:t>
      </w:r>
      <w:r>
        <w:t xml:space="preserve"> </w:t>
      </w:r>
      <w:r>
        <w:rPr>
          <w:rFonts w:hint="eastAsia"/>
        </w:rPr>
        <w:t>s内回复。非工作时间应设置自动回复提醒，待工作时间客服上线后处理客户需求</w:t>
      </w:r>
      <w:r>
        <w:t>。</w:t>
      </w:r>
    </w:p>
    <w:p>
      <w:pPr>
        <w:pStyle w:val="91"/>
        <w:numPr>
          <w:ilvl w:val="4"/>
          <w:numId w:val="12"/>
        </w:numPr>
      </w:pPr>
      <w:r>
        <w:rPr>
          <w:rFonts w:hint="eastAsia"/>
        </w:rPr>
        <w:t>客户询问订单</w:t>
      </w:r>
      <w:r>
        <w:t>送达情况的，</w:t>
      </w:r>
      <w:r>
        <w:rPr>
          <w:rFonts w:hint="eastAsia"/>
        </w:rPr>
        <w:t>服务人员应</w:t>
      </w:r>
      <w:r>
        <w:t>查询后回复客户</w:t>
      </w:r>
      <w:r>
        <w:rPr>
          <w:rFonts w:hint="eastAsia"/>
        </w:rPr>
        <w:t>。超时</w:t>
      </w:r>
      <w:r>
        <w:t>未送达的，还应</w:t>
      </w:r>
      <w:r>
        <w:rPr>
          <w:rFonts w:hint="eastAsia"/>
        </w:rPr>
        <w:t>向</w:t>
      </w:r>
      <w:r>
        <w:t>客户</w:t>
      </w:r>
      <w:r>
        <w:rPr>
          <w:rFonts w:hint="eastAsia"/>
        </w:rPr>
        <w:t>说明</w:t>
      </w:r>
      <w:r>
        <w:t>原因。</w:t>
      </w:r>
    </w:p>
    <w:p>
      <w:pPr>
        <w:pStyle w:val="91"/>
        <w:numPr>
          <w:ilvl w:val="4"/>
          <w:numId w:val="12"/>
        </w:numPr>
      </w:pPr>
      <w:r>
        <w:rPr>
          <w:rFonts w:hint="eastAsia"/>
        </w:rPr>
        <w:t>沟通过程中，服务人员应保持良好的服务态度，使用规范的问候语与道别语，耐心回答客户提出的问题，语气保持亲切热情。</w:t>
      </w:r>
    </w:p>
    <w:p>
      <w:pPr>
        <w:pStyle w:val="69"/>
        <w:numPr>
          <w:numId w:val="12"/>
        </w:numPr>
        <w:spacing w:before="156" w:after="156"/>
      </w:pPr>
      <w:bookmarkStart w:id="254" w:name="_Toc22555"/>
      <w:bookmarkStart w:id="255" w:name="_Toc161751318"/>
      <w:r>
        <w:rPr>
          <w:rFonts w:hint="eastAsia"/>
        </w:rPr>
        <w:t>投诉处理</w:t>
      </w:r>
      <w:bookmarkEnd w:id="254"/>
      <w:bookmarkEnd w:id="255"/>
    </w:p>
    <w:p>
      <w:pPr>
        <w:pStyle w:val="91"/>
        <w:numPr>
          <w:ilvl w:val="4"/>
          <w:numId w:val="12"/>
        </w:numPr>
      </w:pPr>
      <w:r>
        <w:rPr>
          <w:rFonts w:hint="eastAsia"/>
        </w:rPr>
        <w:t>投诉处理应按照GB/T 17242-1998执行。</w:t>
      </w:r>
    </w:p>
    <w:p>
      <w:pPr>
        <w:pStyle w:val="91"/>
        <w:numPr>
          <w:ilvl w:val="4"/>
          <w:numId w:val="12"/>
        </w:numPr>
      </w:pPr>
      <w:r>
        <w:rPr>
          <w:rFonts w:hint="eastAsia"/>
        </w:rPr>
        <w:t>投诉受理范围包括但不限于：</w:t>
      </w:r>
    </w:p>
    <w:p>
      <w:pPr>
        <w:pStyle w:val="90"/>
        <w:numPr>
          <w:ilvl w:val="0"/>
          <w:numId w:val="0"/>
        </w:numPr>
        <w:ind w:left="425" w:leftChars="0"/>
      </w:pPr>
      <w:r>
        <w:rPr>
          <w:rFonts w:hint="eastAsia" w:ascii="黑体" w:hAnsi="黑体" w:eastAsia="黑体" w:cs="黑体"/>
          <w:lang w:val="en-US" w:eastAsia="zh-CN"/>
        </w:rPr>
        <w:t>——</w:t>
      </w:r>
      <w:r>
        <w:rPr>
          <w:rFonts w:hint="eastAsia" w:asciiTheme="minorEastAsia" w:hAnsiTheme="minorEastAsia" w:cstheme="minorEastAsia"/>
        </w:rPr>
        <w:t>农产品</w:t>
      </w:r>
      <w:r>
        <w:rPr>
          <w:rFonts w:hint="eastAsia"/>
        </w:rPr>
        <w:t>保质期、新鲜程度、包装完好度等质量方面问题；</w:t>
      </w:r>
    </w:p>
    <w:p>
      <w:pPr>
        <w:pStyle w:val="90"/>
        <w:numPr>
          <w:ilvl w:val="0"/>
          <w:numId w:val="0"/>
        </w:numPr>
        <w:ind w:left="425" w:leftChars="0"/>
      </w:pPr>
      <w:r>
        <w:rPr>
          <w:rFonts w:hint="eastAsia" w:ascii="黑体" w:hAnsi="黑体" w:eastAsia="黑体" w:cs="黑体"/>
          <w:lang w:val="en-US" w:eastAsia="zh-CN"/>
        </w:rPr>
        <w:t>——</w:t>
      </w:r>
      <w:r>
        <w:rPr>
          <w:rFonts w:hint="eastAsia"/>
        </w:rPr>
        <w:t>服务人员服务态度与语言等引起的争议和纠纷；</w:t>
      </w:r>
    </w:p>
    <w:p>
      <w:pPr>
        <w:pStyle w:val="90"/>
        <w:numPr>
          <w:ilvl w:val="0"/>
          <w:numId w:val="0"/>
        </w:numPr>
        <w:ind w:left="425" w:leftChars="0"/>
      </w:pPr>
      <w:r>
        <w:rPr>
          <w:rFonts w:hint="eastAsia" w:ascii="黑体" w:hAnsi="黑体" w:eastAsia="黑体" w:cs="黑体"/>
          <w:lang w:val="en-US" w:eastAsia="zh-CN"/>
        </w:rPr>
        <w:t>——</w:t>
      </w:r>
      <w:r>
        <w:rPr>
          <w:rFonts w:hint="eastAsia"/>
        </w:rPr>
        <w:t>配送超时、未送达指定地点、丢失或少件；</w:t>
      </w:r>
    </w:p>
    <w:p>
      <w:pPr>
        <w:pStyle w:val="90"/>
        <w:numPr>
          <w:ilvl w:val="0"/>
          <w:numId w:val="0"/>
        </w:numPr>
        <w:ind w:left="425" w:leftChars="0"/>
      </w:pPr>
      <w:r>
        <w:rPr>
          <w:rFonts w:hint="eastAsia" w:ascii="黑体" w:hAnsi="黑体" w:eastAsia="黑体" w:cs="黑体"/>
          <w:lang w:val="en-US" w:eastAsia="zh-CN"/>
        </w:rPr>
        <w:t>——</w:t>
      </w:r>
      <w:r>
        <w:rPr>
          <w:rFonts w:hint="eastAsia"/>
        </w:rPr>
        <w:t>平台故障造成的重复交易或订单金额有误。</w:t>
      </w:r>
    </w:p>
    <w:p>
      <w:pPr>
        <w:pStyle w:val="91"/>
        <w:numPr>
          <w:ilvl w:val="4"/>
          <w:numId w:val="12"/>
        </w:numPr>
      </w:pPr>
      <w:r>
        <w:rPr>
          <w:rFonts w:hint="eastAsia"/>
        </w:rPr>
        <w:t>应按照以下</w:t>
      </w:r>
      <w:r>
        <w:t>流程处置投诉</w:t>
      </w:r>
      <w:r>
        <w:rPr>
          <w:rFonts w:hint="eastAsia"/>
        </w:rPr>
        <w:t>：</w:t>
      </w:r>
    </w:p>
    <w:p>
      <w:pPr>
        <w:pStyle w:val="90"/>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pPr>
      <w:r>
        <w:rPr>
          <w:rFonts w:hint="eastAsia" w:ascii="黑体" w:hAnsi="黑体" w:eastAsia="黑体" w:cs="黑体"/>
          <w:lang w:val="en-US" w:eastAsia="zh-CN"/>
        </w:rPr>
        <w:t>——</w:t>
      </w:r>
      <w:r>
        <w:t>耐心</w:t>
      </w:r>
      <w:r>
        <w:rPr>
          <w:rFonts w:hint="eastAsia"/>
        </w:rPr>
        <w:t>倾听客户</w:t>
      </w:r>
      <w:r>
        <w:t>投诉的内容，</w:t>
      </w:r>
      <w:r>
        <w:rPr>
          <w:rFonts w:hint="eastAsia"/>
        </w:rPr>
        <w:t>中途</w:t>
      </w:r>
      <w:r>
        <w:t>不打断</w:t>
      </w:r>
      <w:r>
        <w:rPr>
          <w:rFonts w:hint="eastAsia"/>
        </w:rPr>
        <w:t>、不</w:t>
      </w:r>
      <w:r>
        <w:t>插嘴</w:t>
      </w:r>
      <w:r>
        <w:rPr>
          <w:rFonts w:hint="eastAsia"/>
        </w:rPr>
        <w:t>；</w:t>
      </w:r>
    </w:p>
    <w:p>
      <w:pPr>
        <w:pStyle w:val="90"/>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客户</w:t>
      </w:r>
      <w:r>
        <w:t>陈述完毕后，应</w:t>
      </w:r>
      <w:r>
        <w:rPr>
          <w:rFonts w:hint="eastAsia"/>
        </w:rPr>
        <w:t>进一步询问，引导其叙述清楚实际情况以及</w:t>
      </w:r>
      <w:r>
        <w:t>诉求</w:t>
      </w:r>
      <w:r>
        <w:rPr>
          <w:rFonts w:hint="eastAsia"/>
        </w:rPr>
        <w:t>；</w:t>
      </w:r>
    </w:p>
    <w:p>
      <w:pPr>
        <w:pStyle w:val="90"/>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投诉能</w:t>
      </w:r>
      <w:r>
        <w:t>当</w:t>
      </w:r>
      <w:r>
        <w:rPr>
          <w:rFonts w:hint="eastAsia"/>
        </w:rPr>
        <w:t>场</w:t>
      </w:r>
      <w:r>
        <w:t>处理的，应</w:t>
      </w:r>
      <w:r>
        <w:rPr>
          <w:rFonts w:hint="eastAsia"/>
        </w:rPr>
        <w:t>依据平台公示的赔付标准处理、</w:t>
      </w:r>
      <w:r>
        <w:t>告知</w:t>
      </w:r>
      <w:r>
        <w:rPr>
          <w:rFonts w:hint="eastAsia"/>
        </w:rPr>
        <w:t>客户处理的过程及结果。否则，应与客户约定回复的时限；</w:t>
      </w:r>
    </w:p>
    <w:p>
      <w:pPr>
        <w:pStyle w:val="90"/>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处理完成后，做好记录</w:t>
      </w:r>
      <w:r>
        <w:t>、归档工作</w:t>
      </w:r>
      <w:r>
        <w:rPr>
          <w:rFonts w:hint="eastAsia"/>
        </w:rPr>
        <w:t>。</w:t>
      </w:r>
    </w:p>
    <w:p>
      <w:pPr>
        <w:pStyle w:val="91"/>
        <w:numPr>
          <w:ilvl w:val="4"/>
          <w:numId w:val="12"/>
        </w:numPr>
      </w:pPr>
      <w:r>
        <w:rPr>
          <w:rFonts w:hint="eastAsia"/>
        </w:rPr>
        <w:t>应</w:t>
      </w:r>
      <w:r>
        <w:t>根据实际</w:t>
      </w:r>
      <w:r>
        <w:rPr>
          <w:rFonts w:hint="eastAsia"/>
        </w:rPr>
        <w:t>情况</w:t>
      </w:r>
      <w:r>
        <w:t>，分别在以下时限内完成处置：</w:t>
      </w:r>
    </w:p>
    <w:p>
      <w:pPr>
        <w:pStyle w:val="90"/>
        <w:numPr>
          <w:ilvl w:val="0"/>
          <w:numId w:val="0"/>
        </w:numPr>
        <w:ind w:leftChars="200"/>
      </w:pPr>
      <w:r>
        <w:rPr>
          <w:rFonts w:hint="eastAsia" w:ascii="黑体" w:hAnsi="黑体" w:eastAsia="黑体" w:cs="黑体"/>
          <w:lang w:val="en-US" w:eastAsia="zh-CN"/>
        </w:rPr>
        <w:t>——</w:t>
      </w:r>
      <w:r>
        <w:rPr>
          <w:rFonts w:hint="eastAsia"/>
        </w:rPr>
        <w:t>双方无争议、事实基本清楚、仅造成轻微损失的投诉，</w:t>
      </w:r>
      <w:r>
        <w:t>应</w:t>
      </w:r>
      <w:r>
        <w:rPr>
          <w:rFonts w:hint="eastAsia"/>
        </w:rPr>
        <w:t>在三日内完成处置；</w:t>
      </w:r>
    </w:p>
    <w:p>
      <w:pPr>
        <w:pStyle w:val="90"/>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双方无法协商处理、需要其他机构介入且对主要事实存在争议的投诉，宜在七日内完成处置。</w:t>
      </w:r>
    </w:p>
    <w:p>
      <w:pPr>
        <w:pStyle w:val="66"/>
        <w:numPr>
          <w:numId w:val="12"/>
        </w:numPr>
        <w:spacing w:before="312" w:after="312"/>
      </w:pPr>
      <w:bookmarkStart w:id="256" w:name="_Toc141706277"/>
      <w:bookmarkStart w:id="257" w:name="_Toc142403741"/>
      <w:bookmarkStart w:id="258" w:name="_Toc142393036"/>
      <w:bookmarkStart w:id="259" w:name="_Toc159837265"/>
      <w:bookmarkStart w:id="260" w:name="_Toc160437678"/>
      <w:bookmarkStart w:id="261" w:name="_Toc143516110"/>
      <w:bookmarkStart w:id="262" w:name="_Toc142399760"/>
      <w:bookmarkStart w:id="263" w:name="_Toc145318237"/>
      <w:bookmarkStart w:id="264" w:name="_Toc1461"/>
      <w:bookmarkStart w:id="265" w:name="_Toc29664"/>
      <w:r>
        <w:rPr>
          <w:rFonts w:hint="eastAsia"/>
        </w:rPr>
        <w:t>电子商务平台</w:t>
      </w:r>
      <w:bookmarkEnd w:id="256"/>
      <w:bookmarkEnd w:id="257"/>
      <w:bookmarkEnd w:id="258"/>
      <w:bookmarkEnd w:id="259"/>
      <w:bookmarkEnd w:id="260"/>
      <w:bookmarkEnd w:id="261"/>
      <w:bookmarkEnd w:id="262"/>
      <w:bookmarkEnd w:id="263"/>
      <w:bookmarkEnd w:id="264"/>
      <w:bookmarkEnd w:id="265"/>
    </w:p>
    <w:p>
      <w:pPr>
        <w:pStyle w:val="65"/>
        <w:numPr>
          <w:numId w:val="12"/>
        </w:numPr>
        <w:spacing w:before="156" w:after="156"/>
      </w:pPr>
      <w:bookmarkStart w:id="266" w:name="_Toc142393037"/>
      <w:bookmarkStart w:id="267" w:name="_Toc141706278"/>
      <w:bookmarkStart w:id="268" w:name="_Toc21535"/>
      <w:bookmarkStart w:id="269" w:name="_Toc142399761"/>
      <w:bookmarkStart w:id="270" w:name="_Toc160437679"/>
      <w:bookmarkStart w:id="271" w:name="_Toc143516111"/>
      <w:bookmarkStart w:id="272" w:name="_Toc142403742"/>
      <w:bookmarkStart w:id="273" w:name="_Toc29810"/>
      <w:bookmarkStart w:id="274" w:name="_Toc159837266"/>
      <w:bookmarkStart w:id="275" w:name="_Toc145318238"/>
      <w:r>
        <w:rPr>
          <w:rFonts w:hint="eastAsia"/>
        </w:rPr>
        <w:t>平台</w:t>
      </w:r>
      <w:bookmarkEnd w:id="266"/>
      <w:bookmarkEnd w:id="267"/>
      <w:bookmarkEnd w:id="268"/>
      <w:bookmarkEnd w:id="269"/>
      <w:r>
        <w:rPr>
          <w:rFonts w:hint="eastAsia"/>
        </w:rPr>
        <w:t>功能</w:t>
      </w:r>
      <w:bookmarkEnd w:id="270"/>
      <w:bookmarkEnd w:id="271"/>
      <w:bookmarkEnd w:id="272"/>
      <w:bookmarkEnd w:id="273"/>
      <w:bookmarkEnd w:id="274"/>
      <w:bookmarkEnd w:id="275"/>
    </w:p>
    <w:p>
      <w:pPr>
        <w:pStyle w:val="69"/>
        <w:numPr>
          <w:numId w:val="12"/>
        </w:numPr>
        <w:spacing w:before="156" w:after="156"/>
      </w:pPr>
      <w:bookmarkStart w:id="276" w:name="_Toc19146"/>
      <w:bookmarkStart w:id="277" w:name="_Toc161751321"/>
      <w:r>
        <w:rPr>
          <w:rFonts w:hint="eastAsia"/>
        </w:rPr>
        <w:t>品牌文化推广</w:t>
      </w:r>
      <w:bookmarkEnd w:id="276"/>
      <w:bookmarkEnd w:id="277"/>
    </w:p>
    <w:p>
      <w:pPr>
        <w:pStyle w:val="67"/>
        <w:keepNext w:val="0"/>
        <w:keepLines w:val="0"/>
        <w:pageBreakBefore w:val="0"/>
        <w:widowControl/>
        <w:kinsoku/>
        <w:wordWrap/>
        <w:overflowPunct/>
        <w:topLinePunct w:val="0"/>
        <w:bidi w:val="0"/>
        <w:adjustRightInd/>
        <w:snapToGrid/>
        <w:ind w:left="840" w:leftChars="200" w:hanging="420" w:hangingChars="200"/>
        <w:textAlignment w:val="auto"/>
      </w:pPr>
      <w:r>
        <w:rPr>
          <w:rFonts w:hint="eastAsia"/>
        </w:rPr>
        <w:t>品牌文化推广内容包括但不限于：</w:t>
      </w:r>
    </w:p>
    <w:p>
      <w:pPr>
        <w:pStyle w:val="90"/>
        <w:keepNext w:val="0"/>
        <w:keepLines w:val="0"/>
        <w:pageBreakBefore w:val="0"/>
        <w:widowControl/>
        <w:numPr>
          <w:ilvl w:val="0"/>
          <w:numId w:val="0"/>
        </w:numPr>
        <w:kinsoku/>
        <w:wordWrap/>
        <w:overflowPunct/>
        <w:topLinePunct w:val="0"/>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所属农贸市场经营特色宣传；</w:t>
      </w:r>
    </w:p>
    <w:p>
      <w:pPr>
        <w:pStyle w:val="90"/>
        <w:keepNext w:val="0"/>
        <w:keepLines w:val="0"/>
        <w:pageBreakBefore w:val="0"/>
        <w:widowControl/>
        <w:numPr>
          <w:ilvl w:val="0"/>
          <w:numId w:val="0"/>
        </w:numPr>
        <w:kinsoku/>
        <w:wordWrap/>
        <w:overflowPunct/>
        <w:topLinePunct w:val="0"/>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所属农贸市场活动推广；</w:t>
      </w:r>
    </w:p>
    <w:p>
      <w:pPr>
        <w:pStyle w:val="90"/>
        <w:keepNext w:val="0"/>
        <w:keepLines w:val="0"/>
        <w:pageBreakBefore w:val="0"/>
        <w:widowControl/>
        <w:numPr>
          <w:ilvl w:val="0"/>
          <w:numId w:val="0"/>
        </w:numPr>
        <w:kinsoku/>
        <w:wordWrap/>
        <w:overflowPunct/>
        <w:topLinePunct w:val="0"/>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所属农贸市场重要事件报道。</w:t>
      </w:r>
    </w:p>
    <w:p>
      <w:pPr>
        <w:pStyle w:val="69"/>
        <w:numPr>
          <w:numId w:val="12"/>
        </w:numPr>
        <w:spacing w:before="156" w:after="156"/>
      </w:pPr>
      <w:bookmarkStart w:id="278" w:name="_Toc161751322"/>
      <w:bookmarkStart w:id="279" w:name="_Toc1163"/>
      <w:r>
        <w:rPr>
          <w:rFonts w:hint="eastAsia"/>
        </w:rPr>
        <w:t>促销活动宣传</w:t>
      </w:r>
      <w:bookmarkEnd w:id="278"/>
      <w:bookmarkEnd w:id="279"/>
    </w:p>
    <w:p>
      <w:pPr>
        <w:pStyle w:val="67"/>
        <w:ind w:firstLine="420"/>
      </w:pPr>
      <w:r>
        <w:rPr>
          <w:rFonts w:hint="eastAsia"/>
        </w:rPr>
        <w:t>促销活动宣传内容包括但不限于：</w:t>
      </w:r>
    </w:p>
    <w:p>
      <w:pPr>
        <w:pStyle w:val="90"/>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商户特价或限时优惠商品特价促销；</w:t>
      </w:r>
    </w:p>
    <w:p>
      <w:pPr>
        <w:pStyle w:val="90"/>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所属农贸市场节假日活动促销。</w:t>
      </w:r>
    </w:p>
    <w:p>
      <w:pPr>
        <w:pStyle w:val="69"/>
        <w:numPr>
          <w:numId w:val="12"/>
        </w:numPr>
        <w:spacing w:before="156" w:after="156"/>
      </w:pPr>
      <w:bookmarkStart w:id="280" w:name="_Toc4634"/>
      <w:bookmarkStart w:id="281" w:name="_Toc161751323"/>
      <w:r>
        <w:rPr>
          <w:rFonts w:hint="eastAsia"/>
        </w:rPr>
        <w:t>商户展示</w:t>
      </w:r>
      <w:bookmarkEnd w:id="280"/>
      <w:bookmarkEnd w:id="281"/>
    </w:p>
    <w:p>
      <w:pPr>
        <w:pStyle w:val="67"/>
        <w:ind w:firstLine="420"/>
      </w:pPr>
      <w:r>
        <w:rPr>
          <w:rFonts w:hint="eastAsia"/>
        </w:rPr>
        <w:t>商户展示内容包括但不限于：</w:t>
      </w:r>
    </w:p>
    <w:p>
      <w:pPr>
        <w:pStyle w:val="90"/>
        <w:numPr>
          <w:ilvl w:val="0"/>
          <w:numId w:val="0"/>
        </w:numPr>
        <w:ind w:left="425" w:leftChars="0"/>
      </w:pPr>
      <w:r>
        <w:rPr>
          <w:rFonts w:hint="eastAsia" w:ascii="黑体" w:hAnsi="黑体" w:eastAsia="黑体" w:cs="黑体"/>
          <w:lang w:val="en-US" w:eastAsia="zh-CN"/>
        </w:rPr>
        <w:t>——</w:t>
      </w:r>
      <w:r>
        <w:rPr>
          <w:rFonts w:hint="eastAsia"/>
        </w:rPr>
        <w:t>商户形象宣传；</w:t>
      </w:r>
    </w:p>
    <w:p>
      <w:pPr>
        <w:pStyle w:val="90"/>
        <w:numPr>
          <w:ilvl w:val="0"/>
          <w:numId w:val="0"/>
        </w:numPr>
        <w:ind w:left="425" w:leftChars="0"/>
      </w:pPr>
      <w:r>
        <w:rPr>
          <w:rFonts w:hint="eastAsia" w:ascii="黑体" w:hAnsi="黑体" w:eastAsia="黑体" w:cs="黑体"/>
          <w:lang w:val="en-US" w:eastAsia="zh-CN"/>
        </w:rPr>
        <w:t>——</w:t>
      </w:r>
      <w:r>
        <w:rPr>
          <w:rFonts w:hint="eastAsia"/>
        </w:rPr>
        <w:t>商户经营特色宣传；</w:t>
      </w:r>
    </w:p>
    <w:p>
      <w:pPr>
        <w:pStyle w:val="90"/>
        <w:numPr>
          <w:ilvl w:val="0"/>
          <w:numId w:val="0"/>
        </w:numPr>
        <w:ind w:left="425" w:leftChars="0"/>
      </w:pPr>
      <w:r>
        <w:rPr>
          <w:rFonts w:hint="eastAsia" w:ascii="黑体" w:hAnsi="黑体" w:eastAsia="黑体" w:cs="黑体"/>
          <w:lang w:val="en-US" w:eastAsia="zh-CN"/>
        </w:rPr>
        <w:t>——</w:t>
      </w:r>
      <w:r>
        <w:rPr>
          <w:rFonts w:hint="eastAsia"/>
        </w:rPr>
        <w:t>商户公益行动展示。</w:t>
      </w:r>
    </w:p>
    <w:p>
      <w:pPr>
        <w:pStyle w:val="69"/>
        <w:numPr>
          <w:numId w:val="12"/>
        </w:numPr>
        <w:spacing w:before="156" w:after="156"/>
      </w:pPr>
      <w:bookmarkStart w:id="282" w:name="_Toc161751324"/>
      <w:bookmarkStart w:id="283" w:name="_Toc9579"/>
      <w:r>
        <w:rPr>
          <w:rFonts w:hint="eastAsia" w:asciiTheme="minorEastAsia" w:hAnsiTheme="minorEastAsia" w:cstheme="minorEastAsia"/>
        </w:rPr>
        <w:t>农产品</w:t>
      </w:r>
      <w:r>
        <w:rPr>
          <w:rFonts w:hint="eastAsia"/>
        </w:rPr>
        <w:t>展示</w:t>
      </w:r>
      <w:bookmarkEnd w:id="282"/>
      <w:bookmarkEnd w:id="283"/>
    </w:p>
    <w:p>
      <w:pPr>
        <w:pStyle w:val="67"/>
        <w:ind w:firstLine="420"/>
      </w:pPr>
      <w:r>
        <w:rPr>
          <w:rFonts w:hint="eastAsia"/>
        </w:rPr>
        <w:t>农产品展示内容包括但不限于：</w:t>
      </w:r>
    </w:p>
    <w:p>
      <w:pPr>
        <w:pStyle w:val="90"/>
        <w:numPr>
          <w:ilvl w:val="0"/>
          <w:numId w:val="0"/>
        </w:numPr>
        <w:ind w:left="425" w:leftChars="0"/>
      </w:pPr>
      <w:r>
        <w:rPr>
          <w:rFonts w:hint="eastAsia" w:ascii="黑体" w:hAnsi="黑体" w:eastAsia="黑体" w:cs="黑体"/>
          <w:lang w:val="en-US" w:eastAsia="zh-CN"/>
        </w:rPr>
        <w:t>——</w:t>
      </w:r>
      <w:r>
        <w:rPr>
          <w:rFonts w:hint="eastAsia"/>
        </w:rPr>
        <w:t>实物图片或宣传图片；</w:t>
      </w:r>
    </w:p>
    <w:p>
      <w:pPr>
        <w:pStyle w:val="90"/>
        <w:numPr>
          <w:ilvl w:val="0"/>
          <w:numId w:val="0"/>
        </w:numPr>
        <w:ind w:left="425" w:leftChars="0"/>
      </w:pPr>
      <w:r>
        <w:rPr>
          <w:rFonts w:hint="eastAsia" w:ascii="黑体" w:hAnsi="黑体" w:eastAsia="黑体" w:cs="黑体"/>
          <w:lang w:val="en-US" w:eastAsia="zh-CN"/>
        </w:rPr>
        <w:t>——</w:t>
      </w:r>
      <w:r>
        <w:rPr>
          <w:rFonts w:hint="eastAsia"/>
        </w:rPr>
        <w:t>名称、规格尺寸、产地、详情介绍；</w:t>
      </w:r>
    </w:p>
    <w:p>
      <w:pPr>
        <w:pStyle w:val="90"/>
        <w:numPr>
          <w:ilvl w:val="0"/>
          <w:numId w:val="0"/>
        </w:numPr>
        <w:ind w:left="425" w:leftChars="0"/>
      </w:pPr>
      <w:r>
        <w:rPr>
          <w:rFonts w:hint="eastAsia" w:ascii="黑体" w:hAnsi="黑体" w:eastAsia="黑体" w:cs="黑体"/>
          <w:lang w:val="en-US" w:eastAsia="zh-CN"/>
        </w:rPr>
        <w:t>——</w:t>
      </w:r>
      <w:r>
        <w:rPr>
          <w:rFonts w:hint="eastAsia"/>
        </w:rPr>
        <w:t>最小包装、最小起订量；</w:t>
      </w:r>
    </w:p>
    <w:p>
      <w:pPr>
        <w:pStyle w:val="90"/>
        <w:numPr>
          <w:ilvl w:val="0"/>
          <w:numId w:val="0"/>
        </w:numPr>
        <w:ind w:left="425" w:leftChars="0"/>
      </w:pPr>
      <w:r>
        <w:rPr>
          <w:rFonts w:hint="eastAsia" w:ascii="黑体" w:hAnsi="黑体" w:eastAsia="黑体" w:cs="黑体"/>
          <w:lang w:val="en-US" w:eastAsia="zh-CN"/>
        </w:rPr>
        <w:t>——</w:t>
      </w:r>
      <w:r>
        <w:rPr>
          <w:rFonts w:hint="eastAsia"/>
        </w:rPr>
        <w:t>时令农产品展销科普文案及视频。</w:t>
      </w:r>
    </w:p>
    <w:p>
      <w:pPr>
        <w:pStyle w:val="90"/>
        <w:ind w:left="0" w:firstLine="360" w:firstLineChars="200"/>
      </w:pPr>
      <w:r>
        <w:rPr>
          <w:rFonts w:hint="eastAsia" w:ascii="黑体" w:hAnsi="黑体" w:eastAsia="黑体" w:cs="黑体"/>
          <w:sz w:val="18"/>
          <w:szCs w:val="18"/>
        </w:rPr>
        <w:t>注：</w:t>
      </w:r>
      <w:r>
        <w:rPr>
          <w:rFonts w:hint="eastAsia"/>
          <w:sz w:val="18"/>
          <w:szCs w:val="18"/>
        </w:rPr>
        <w:t>生鲜类应备注售后处理方式方法及处理时效性。</w:t>
      </w:r>
    </w:p>
    <w:p>
      <w:pPr>
        <w:pStyle w:val="69"/>
        <w:numPr>
          <w:numId w:val="12"/>
        </w:numPr>
        <w:spacing w:before="156" w:after="156"/>
      </w:pPr>
      <w:bookmarkStart w:id="284" w:name="_Toc161751325"/>
      <w:bookmarkStart w:id="285" w:name="_Toc12843"/>
      <w:r>
        <w:rPr>
          <w:rFonts w:hint="eastAsia"/>
        </w:rPr>
        <w:t>订单管理</w:t>
      </w:r>
      <w:bookmarkEnd w:id="284"/>
      <w:bookmarkEnd w:id="285"/>
    </w:p>
    <w:p>
      <w:pPr>
        <w:pStyle w:val="67"/>
        <w:ind w:firstLine="420"/>
      </w:pPr>
      <w:r>
        <w:rPr>
          <w:rFonts w:hint="eastAsia"/>
        </w:rPr>
        <w:t>订单管理内容包括但不限于：</w:t>
      </w:r>
    </w:p>
    <w:p>
      <w:pPr>
        <w:pStyle w:val="90"/>
        <w:numPr>
          <w:ilvl w:val="0"/>
          <w:numId w:val="0"/>
        </w:numPr>
        <w:ind w:left="425" w:leftChars="0"/>
      </w:pPr>
      <w:r>
        <w:rPr>
          <w:rFonts w:hint="eastAsia" w:ascii="黑体" w:hAnsi="黑体" w:eastAsia="黑体" w:cs="黑体"/>
          <w:lang w:val="en-US" w:eastAsia="zh-CN"/>
        </w:rPr>
        <w:t>——</w:t>
      </w:r>
      <w:r>
        <w:rPr>
          <w:rFonts w:hint="eastAsia"/>
        </w:rPr>
        <w:t>购物车；</w:t>
      </w:r>
    </w:p>
    <w:p>
      <w:pPr>
        <w:pStyle w:val="90"/>
        <w:numPr>
          <w:ilvl w:val="0"/>
          <w:numId w:val="0"/>
        </w:numPr>
        <w:ind w:left="425" w:leftChars="0"/>
      </w:pPr>
      <w:r>
        <w:rPr>
          <w:rFonts w:hint="eastAsia" w:ascii="黑体" w:hAnsi="黑体" w:eastAsia="黑体" w:cs="黑体"/>
          <w:lang w:val="en-US" w:eastAsia="zh-CN"/>
        </w:rPr>
        <w:t>——</w:t>
      </w:r>
      <w:r>
        <w:rPr>
          <w:rFonts w:hint="eastAsia"/>
        </w:rPr>
        <w:t>订单阶段性状态展示；</w:t>
      </w:r>
    </w:p>
    <w:p>
      <w:pPr>
        <w:pStyle w:val="90"/>
        <w:numPr>
          <w:ilvl w:val="0"/>
          <w:numId w:val="0"/>
        </w:numPr>
        <w:ind w:left="425" w:leftChars="0"/>
      </w:pPr>
      <w:r>
        <w:rPr>
          <w:rFonts w:hint="eastAsia" w:ascii="黑体" w:hAnsi="黑体" w:eastAsia="黑体" w:cs="黑体"/>
          <w:lang w:val="en-US" w:eastAsia="zh-CN"/>
        </w:rPr>
        <w:t>——</w:t>
      </w:r>
      <w:r>
        <w:rPr>
          <w:rFonts w:hint="eastAsia"/>
        </w:rPr>
        <w:t>订单评价；</w:t>
      </w:r>
    </w:p>
    <w:p>
      <w:pPr>
        <w:pStyle w:val="90"/>
        <w:numPr>
          <w:ilvl w:val="0"/>
          <w:numId w:val="0"/>
        </w:numPr>
        <w:ind w:left="425" w:leftChars="0"/>
      </w:pPr>
      <w:r>
        <w:rPr>
          <w:rFonts w:hint="eastAsia" w:ascii="黑体" w:hAnsi="黑体" w:eastAsia="黑体" w:cs="黑体"/>
          <w:lang w:val="en-US" w:eastAsia="zh-CN"/>
        </w:rPr>
        <w:t>——</w:t>
      </w:r>
      <w:r>
        <w:rPr>
          <w:rFonts w:hint="eastAsia"/>
        </w:rPr>
        <w:t>售后。</w:t>
      </w:r>
    </w:p>
    <w:p>
      <w:pPr>
        <w:pStyle w:val="69"/>
        <w:numPr>
          <w:numId w:val="12"/>
        </w:numPr>
        <w:spacing w:before="156" w:after="156"/>
      </w:pPr>
      <w:bookmarkStart w:id="286" w:name="_Toc161751326"/>
      <w:bookmarkStart w:id="287" w:name="_Toc1986"/>
      <w:r>
        <w:rPr>
          <w:rFonts w:hint="eastAsia"/>
        </w:rPr>
        <w:t>基础信息管理</w:t>
      </w:r>
      <w:bookmarkEnd w:id="286"/>
      <w:bookmarkEnd w:id="287"/>
    </w:p>
    <w:p>
      <w:pPr>
        <w:pStyle w:val="67"/>
        <w:ind w:firstLine="420"/>
      </w:pPr>
      <w:r>
        <w:rPr>
          <w:rFonts w:hint="eastAsia"/>
        </w:rPr>
        <w:t>基础信息内容包括但不限于：</w:t>
      </w:r>
    </w:p>
    <w:p>
      <w:pPr>
        <w:pStyle w:val="90"/>
        <w:numPr>
          <w:ilvl w:val="0"/>
          <w:numId w:val="0"/>
        </w:numPr>
        <w:ind w:left="425" w:leftChars="0"/>
      </w:pPr>
      <w:r>
        <w:rPr>
          <w:rFonts w:hint="eastAsia" w:ascii="黑体" w:hAnsi="黑体" w:eastAsia="黑体" w:cs="黑体"/>
          <w:lang w:val="en-US" w:eastAsia="zh-CN"/>
        </w:rPr>
        <w:t>——</w:t>
      </w:r>
      <w:r>
        <w:rPr>
          <w:rFonts w:hint="eastAsia"/>
        </w:rPr>
        <w:t>客户个人基本信息维护；</w:t>
      </w:r>
    </w:p>
    <w:p>
      <w:pPr>
        <w:pStyle w:val="90"/>
        <w:numPr>
          <w:ilvl w:val="0"/>
          <w:numId w:val="0"/>
        </w:numPr>
        <w:ind w:left="425" w:leftChars="0"/>
      </w:pPr>
      <w:r>
        <w:rPr>
          <w:rFonts w:hint="eastAsia" w:ascii="黑体" w:hAnsi="黑体" w:eastAsia="黑体" w:cs="黑体"/>
          <w:lang w:val="en-US" w:eastAsia="zh-CN"/>
        </w:rPr>
        <w:t>——</w:t>
      </w:r>
      <w:r>
        <w:rPr>
          <w:rFonts w:hint="eastAsia"/>
        </w:rPr>
        <w:t>客户账号及密码管理；</w:t>
      </w:r>
    </w:p>
    <w:p>
      <w:pPr>
        <w:pStyle w:val="90"/>
        <w:numPr>
          <w:ilvl w:val="0"/>
          <w:numId w:val="0"/>
        </w:numPr>
        <w:ind w:left="425" w:leftChars="0"/>
      </w:pPr>
      <w:r>
        <w:rPr>
          <w:rFonts w:hint="eastAsia" w:ascii="黑体" w:hAnsi="黑体" w:eastAsia="黑体" w:cs="黑体"/>
          <w:lang w:val="en-US" w:eastAsia="zh-CN"/>
        </w:rPr>
        <w:t>——</w:t>
      </w:r>
      <w:r>
        <w:rPr>
          <w:rFonts w:hint="eastAsia"/>
        </w:rPr>
        <w:t>收件信息维护管理。</w:t>
      </w:r>
    </w:p>
    <w:p>
      <w:pPr>
        <w:pStyle w:val="65"/>
        <w:numPr>
          <w:numId w:val="12"/>
        </w:numPr>
        <w:spacing w:before="156" w:after="156"/>
      </w:pPr>
      <w:bookmarkStart w:id="288" w:name="_Toc142399762"/>
      <w:bookmarkStart w:id="289" w:name="_Toc142393038"/>
      <w:bookmarkStart w:id="290" w:name="_Toc143516112"/>
      <w:bookmarkStart w:id="291" w:name="_Toc159837267"/>
      <w:bookmarkStart w:id="292" w:name="_Toc21251"/>
      <w:bookmarkStart w:id="293" w:name="_Toc142403743"/>
      <w:bookmarkStart w:id="294" w:name="_Toc145318239"/>
      <w:bookmarkStart w:id="295" w:name="_Toc25512"/>
      <w:bookmarkStart w:id="296" w:name="_Toc160437680"/>
      <w:bookmarkStart w:id="297" w:name="_Toc141706280"/>
      <w:r>
        <w:rPr>
          <w:rFonts w:hint="eastAsia"/>
        </w:rPr>
        <w:t>平台要求</w:t>
      </w:r>
      <w:bookmarkEnd w:id="288"/>
      <w:bookmarkEnd w:id="289"/>
      <w:bookmarkEnd w:id="290"/>
      <w:bookmarkEnd w:id="291"/>
      <w:bookmarkEnd w:id="292"/>
      <w:bookmarkEnd w:id="293"/>
      <w:bookmarkEnd w:id="294"/>
      <w:bookmarkEnd w:id="295"/>
      <w:bookmarkEnd w:id="296"/>
      <w:bookmarkEnd w:id="297"/>
    </w:p>
    <w:p>
      <w:pPr>
        <w:pStyle w:val="68"/>
        <w:numPr>
          <w:numId w:val="12"/>
        </w:numPr>
        <w:rPr>
          <w:rFonts w:hAnsi="宋体" w:cs="宋体"/>
        </w:rPr>
      </w:pPr>
      <w:r>
        <w:rPr>
          <w:rFonts w:hint="eastAsia" w:hAnsi="宋体" w:cs="宋体"/>
        </w:rPr>
        <w:t>平台发生故障时，不应影响数据的安全性和完整性。</w:t>
      </w:r>
    </w:p>
    <w:p>
      <w:pPr>
        <w:pStyle w:val="68"/>
        <w:numPr>
          <w:numId w:val="12"/>
        </w:numPr>
        <w:rPr>
          <w:rFonts w:hAnsi="宋体" w:cs="宋体"/>
        </w:rPr>
      </w:pPr>
      <w:r>
        <w:rPr>
          <w:rFonts w:hint="eastAsia" w:hAnsi="宋体" w:cs="宋体"/>
        </w:rPr>
        <w:t>平台应具备数据存储和处理功能，具有查询、检索和数据交互能力。</w:t>
      </w:r>
    </w:p>
    <w:p>
      <w:pPr>
        <w:pStyle w:val="65"/>
        <w:numPr>
          <w:numId w:val="12"/>
        </w:numPr>
        <w:spacing w:before="156" w:after="156"/>
      </w:pPr>
      <w:bookmarkStart w:id="298" w:name="_Toc160437681"/>
      <w:bookmarkStart w:id="299" w:name="_Toc2399"/>
      <w:bookmarkStart w:id="300" w:name="_Toc141706281"/>
      <w:bookmarkStart w:id="301" w:name="_Toc142393039"/>
      <w:bookmarkStart w:id="302" w:name="_Toc159837268"/>
      <w:bookmarkStart w:id="303" w:name="_Toc143516113"/>
      <w:bookmarkStart w:id="304" w:name="_Toc3648"/>
      <w:bookmarkStart w:id="305" w:name="_Toc145318240"/>
      <w:bookmarkStart w:id="306" w:name="_Toc142399763"/>
      <w:bookmarkStart w:id="307" w:name="_Toc142403744"/>
      <w:r>
        <w:rPr>
          <w:rFonts w:hint="eastAsia"/>
        </w:rPr>
        <w:t>安全要求</w:t>
      </w:r>
      <w:bookmarkEnd w:id="298"/>
      <w:bookmarkEnd w:id="299"/>
      <w:bookmarkEnd w:id="300"/>
      <w:bookmarkEnd w:id="301"/>
      <w:bookmarkEnd w:id="302"/>
      <w:bookmarkEnd w:id="303"/>
      <w:bookmarkEnd w:id="304"/>
      <w:bookmarkEnd w:id="305"/>
      <w:bookmarkEnd w:id="306"/>
      <w:bookmarkEnd w:id="307"/>
    </w:p>
    <w:p>
      <w:pPr>
        <w:pStyle w:val="68"/>
        <w:numPr>
          <w:numId w:val="12"/>
        </w:numPr>
        <w:rPr>
          <w:rFonts w:hAnsi="宋体" w:cs="宋体"/>
        </w:rPr>
      </w:pPr>
      <w:r>
        <w:rPr>
          <w:rFonts w:hint="eastAsia" w:hAnsi="宋体" w:cs="宋体"/>
        </w:rPr>
        <w:t>平台应具有良好的应用安全保障机制，能对登录用户的身份进行认证，并记录用户的操作，如数据的录入、修改等。</w:t>
      </w:r>
    </w:p>
    <w:p>
      <w:pPr>
        <w:pStyle w:val="68"/>
        <w:numPr>
          <w:numId w:val="12"/>
        </w:numPr>
        <w:rPr>
          <w:rFonts w:hAnsi="宋体" w:cs="宋体"/>
        </w:rPr>
      </w:pPr>
      <w:r>
        <w:rPr>
          <w:rFonts w:hint="eastAsia" w:hAnsi="宋体" w:cs="宋体"/>
        </w:rPr>
        <w:t>平台应满足GB/T 22239的第二级安全保护等级的要求。</w:t>
      </w:r>
    </w:p>
    <w:p>
      <w:pPr>
        <w:pStyle w:val="68"/>
        <w:numPr>
          <w:numId w:val="12"/>
        </w:numPr>
      </w:pPr>
      <w:r>
        <w:rPr>
          <w:rFonts w:hint="eastAsia" w:hAnsi="宋体" w:cs="宋体"/>
        </w:rPr>
        <w:t>市场运营管理方应不定期对平台开展技术维护，维护工作至少包括：软硬件维护、运行状态监测、数据整理和备份及故障处理。</w:t>
      </w:r>
    </w:p>
    <w:p>
      <w:pPr>
        <w:pStyle w:val="66"/>
        <w:numPr>
          <w:numId w:val="12"/>
        </w:numPr>
        <w:spacing w:before="312" w:after="312"/>
      </w:pPr>
      <w:bookmarkStart w:id="308" w:name="_Toc142403745"/>
      <w:bookmarkStart w:id="309" w:name="_Toc22281"/>
      <w:bookmarkStart w:id="310" w:name="_Toc141706282"/>
      <w:bookmarkStart w:id="311" w:name="_Toc143516114"/>
      <w:bookmarkStart w:id="312" w:name="_Toc160437682"/>
      <w:bookmarkStart w:id="313" w:name="_Toc142393040"/>
      <w:bookmarkStart w:id="314" w:name="_Toc142399764"/>
      <w:bookmarkStart w:id="315" w:name="_Toc159837269"/>
      <w:bookmarkStart w:id="316" w:name="_Toc145318241"/>
      <w:bookmarkStart w:id="317" w:name="_Toc15793"/>
      <w:r>
        <w:rPr>
          <w:rFonts w:hint="eastAsia"/>
        </w:rPr>
        <w:t>服务评价与改进</w:t>
      </w:r>
      <w:bookmarkEnd w:id="308"/>
      <w:bookmarkEnd w:id="309"/>
      <w:bookmarkEnd w:id="310"/>
      <w:bookmarkEnd w:id="311"/>
      <w:bookmarkEnd w:id="312"/>
      <w:bookmarkEnd w:id="313"/>
      <w:bookmarkEnd w:id="314"/>
      <w:bookmarkEnd w:id="315"/>
      <w:bookmarkEnd w:id="316"/>
      <w:bookmarkEnd w:id="317"/>
    </w:p>
    <w:p>
      <w:pPr>
        <w:pStyle w:val="65"/>
        <w:numPr>
          <w:numId w:val="12"/>
        </w:numPr>
        <w:spacing w:before="156" w:after="156"/>
      </w:pPr>
      <w:bookmarkStart w:id="318" w:name="_Toc159837270"/>
      <w:bookmarkStart w:id="319" w:name="_Toc5347"/>
      <w:bookmarkStart w:id="320" w:name="_Toc160437683"/>
      <w:bookmarkStart w:id="321" w:name="_Toc142399765"/>
      <w:bookmarkStart w:id="322" w:name="_Toc142393041"/>
      <w:bookmarkStart w:id="323" w:name="_Toc142403746"/>
      <w:bookmarkStart w:id="324" w:name="_Toc145318242"/>
      <w:bookmarkStart w:id="325" w:name="_Toc141706283"/>
      <w:bookmarkStart w:id="326" w:name="_Toc143516115"/>
      <w:bookmarkStart w:id="327" w:name="_Toc31560"/>
      <w:r>
        <w:rPr>
          <w:rFonts w:hint="eastAsia"/>
        </w:rPr>
        <w:t>服务评价</w:t>
      </w:r>
      <w:bookmarkEnd w:id="318"/>
      <w:bookmarkEnd w:id="319"/>
      <w:bookmarkEnd w:id="320"/>
      <w:bookmarkEnd w:id="321"/>
      <w:bookmarkEnd w:id="322"/>
      <w:bookmarkEnd w:id="323"/>
      <w:bookmarkEnd w:id="324"/>
      <w:bookmarkEnd w:id="325"/>
      <w:bookmarkEnd w:id="326"/>
      <w:bookmarkEnd w:id="327"/>
    </w:p>
    <w:p>
      <w:pPr>
        <w:pStyle w:val="69"/>
        <w:numPr>
          <w:numId w:val="12"/>
        </w:numPr>
        <w:spacing w:before="156" w:after="156"/>
      </w:pPr>
      <w:bookmarkStart w:id="328" w:name="_Toc161751331"/>
      <w:bookmarkStart w:id="329" w:name="_Toc11021"/>
      <w:bookmarkStart w:id="330" w:name="_Toc18329"/>
      <w:bookmarkStart w:id="331" w:name="_Toc4617"/>
      <w:r>
        <w:rPr>
          <w:rFonts w:hint="eastAsia"/>
        </w:rPr>
        <w:t>评价主体</w:t>
      </w:r>
      <w:bookmarkEnd w:id="328"/>
      <w:bookmarkEnd w:id="329"/>
      <w:bookmarkEnd w:id="330"/>
      <w:bookmarkEnd w:id="331"/>
    </w:p>
    <w:p>
      <w:pPr>
        <w:pStyle w:val="67"/>
        <w:ind w:firstLine="420"/>
        <w:rPr>
          <w:color w:val="FF0000"/>
        </w:rPr>
      </w:pPr>
      <w:r>
        <w:rPr>
          <w:rFonts w:hint="eastAsia"/>
        </w:rPr>
        <w:t>使用平台购买农产品的客户。</w:t>
      </w:r>
    </w:p>
    <w:p>
      <w:pPr>
        <w:pStyle w:val="69"/>
        <w:numPr>
          <w:numId w:val="12"/>
        </w:numPr>
        <w:spacing w:before="156" w:after="156"/>
      </w:pPr>
      <w:bookmarkStart w:id="332" w:name="_Toc12913"/>
      <w:bookmarkStart w:id="333" w:name="_Toc421"/>
      <w:bookmarkStart w:id="334" w:name="_Toc29698"/>
      <w:bookmarkStart w:id="335" w:name="_Toc161751332"/>
      <w:r>
        <w:rPr>
          <w:rFonts w:hint="eastAsia"/>
        </w:rPr>
        <w:t>评价内容</w:t>
      </w:r>
      <w:bookmarkEnd w:id="332"/>
      <w:bookmarkEnd w:id="333"/>
      <w:bookmarkEnd w:id="334"/>
      <w:bookmarkEnd w:id="335"/>
    </w:p>
    <w:p>
      <w:pPr>
        <w:pStyle w:val="91"/>
        <w:numPr>
          <w:ilvl w:val="4"/>
          <w:numId w:val="12"/>
        </w:numPr>
      </w:pPr>
      <w:r>
        <w:rPr>
          <w:rFonts w:hint="eastAsia"/>
        </w:rPr>
        <w:t>服务评价内容应包括但不限于：</w:t>
      </w:r>
    </w:p>
    <w:p>
      <w:pPr>
        <w:pStyle w:val="90"/>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服务时效；</w:t>
      </w:r>
    </w:p>
    <w:p>
      <w:pPr>
        <w:pStyle w:val="90"/>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服务人员服务</w:t>
      </w:r>
      <w:r>
        <w:t>态度</w:t>
      </w:r>
      <w:r>
        <w:rPr>
          <w:rFonts w:hint="eastAsia"/>
        </w:rPr>
        <w:t>；</w:t>
      </w:r>
    </w:p>
    <w:p>
      <w:pPr>
        <w:pStyle w:val="90"/>
        <w:keepNext w:val="0"/>
        <w:keepLines w:val="0"/>
        <w:pageBreakBefore w:val="0"/>
        <w:widowControl/>
        <w:numPr>
          <w:ilvl w:val="0"/>
          <w:numId w:val="0"/>
        </w:numPr>
        <w:kinsoku/>
        <w:wordWrap/>
        <w:overflowPunct/>
        <w:topLinePunct w:val="0"/>
        <w:autoSpaceDE/>
        <w:autoSpaceDN/>
        <w:bidi w:val="0"/>
        <w:adjustRightInd/>
        <w:snapToGrid/>
        <w:ind w:left="840" w:leftChars="200" w:hanging="420" w:hangingChars="200"/>
        <w:textAlignment w:val="auto"/>
      </w:pPr>
      <w:r>
        <w:rPr>
          <w:rFonts w:hint="eastAsia" w:ascii="黑体" w:hAnsi="黑体" w:eastAsia="黑体" w:cs="黑体"/>
          <w:lang w:val="en-US" w:eastAsia="zh-CN"/>
        </w:rPr>
        <w:t>——</w:t>
      </w:r>
      <w:r>
        <w:rPr>
          <w:rFonts w:hint="eastAsia"/>
        </w:rPr>
        <w:t>物流配送质量。</w:t>
      </w:r>
    </w:p>
    <w:p>
      <w:pPr>
        <w:pStyle w:val="91"/>
        <w:numPr>
          <w:ilvl w:val="4"/>
          <w:numId w:val="12"/>
        </w:numPr>
      </w:pPr>
      <w:r>
        <w:rPr>
          <w:rFonts w:hint="eastAsia" w:asciiTheme="minorEastAsia" w:hAnsiTheme="minorEastAsia" w:cstheme="minorEastAsia"/>
        </w:rPr>
        <w:t>农产品</w:t>
      </w:r>
      <w:r>
        <w:rPr>
          <w:rFonts w:hint="eastAsia"/>
        </w:rPr>
        <w:t>质量评价内容应包括但不限于：</w:t>
      </w:r>
    </w:p>
    <w:p>
      <w:pPr>
        <w:pStyle w:val="90"/>
        <w:numPr>
          <w:ilvl w:val="0"/>
          <w:numId w:val="0"/>
        </w:numPr>
        <w:ind w:left="425" w:leftChars="0"/>
      </w:pPr>
      <w:r>
        <w:rPr>
          <w:rFonts w:hint="eastAsia" w:ascii="黑体" w:hAnsi="黑体" w:eastAsia="黑体" w:cs="黑体"/>
          <w:lang w:val="en-US" w:eastAsia="zh-CN"/>
        </w:rPr>
        <w:t>——</w:t>
      </w:r>
      <w:r>
        <w:rPr>
          <w:rFonts w:hint="eastAsia"/>
        </w:rPr>
        <w:t>包装完好度；</w:t>
      </w:r>
    </w:p>
    <w:p>
      <w:pPr>
        <w:pStyle w:val="90"/>
        <w:numPr>
          <w:ilvl w:val="0"/>
          <w:numId w:val="0"/>
        </w:numPr>
        <w:ind w:left="425" w:leftChars="0"/>
      </w:pPr>
      <w:r>
        <w:rPr>
          <w:rFonts w:hint="eastAsia" w:ascii="黑体" w:hAnsi="黑体" w:eastAsia="黑体" w:cs="黑体"/>
          <w:lang w:val="en-US" w:eastAsia="zh-CN"/>
        </w:rPr>
        <w:t>——</w:t>
      </w:r>
      <w:r>
        <w:rPr>
          <w:rFonts w:hint="eastAsia"/>
        </w:rPr>
        <w:t>新鲜度。</w:t>
      </w:r>
    </w:p>
    <w:p>
      <w:pPr>
        <w:pStyle w:val="69"/>
        <w:numPr>
          <w:numId w:val="12"/>
        </w:numPr>
        <w:spacing w:before="156" w:after="156"/>
      </w:pPr>
      <w:bookmarkStart w:id="336" w:name="_Toc28645"/>
      <w:bookmarkStart w:id="337" w:name="_Toc30301"/>
      <w:bookmarkStart w:id="338" w:name="_Toc161751333"/>
      <w:bookmarkStart w:id="339" w:name="_Toc21429"/>
      <w:r>
        <w:rPr>
          <w:rFonts w:hint="eastAsia"/>
        </w:rPr>
        <w:t>评价方法</w:t>
      </w:r>
      <w:bookmarkEnd w:id="336"/>
      <w:bookmarkEnd w:id="337"/>
      <w:bookmarkEnd w:id="338"/>
      <w:bookmarkEnd w:id="339"/>
    </w:p>
    <w:p>
      <w:pPr>
        <w:pStyle w:val="67"/>
        <w:ind w:firstLine="420"/>
      </w:pPr>
      <w:r>
        <w:rPr>
          <w:rFonts w:hint="eastAsia"/>
        </w:rPr>
        <w:t>评价方法应包括：</w:t>
      </w:r>
    </w:p>
    <w:p>
      <w:pPr>
        <w:pStyle w:val="90"/>
        <w:numPr>
          <w:ilvl w:val="0"/>
          <w:numId w:val="0"/>
        </w:numPr>
        <w:ind w:left="425" w:leftChars="0"/>
      </w:pPr>
      <w:r>
        <w:rPr>
          <w:rFonts w:hint="eastAsia" w:ascii="黑体" w:hAnsi="黑体" w:eastAsia="黑体" w:cs="黑体"/>
          <w:lang w:val="en-US" w:eastAsia="zh-CN"/>
        </w:rPr>
        <w:t>——</w:t>
      </w:r>
      <w:r>
        <w:rPr>
          <w:rFonts w:hint="eastAsia"/>
        </w:rPr>
        <w:t>电话回访；</w:t>
      </w:r>
    </w:p>
    <w:p>
      <w:pPr>
        <w:pStyle w:val="90"/>
        <w:numPr>
          <w:ilvl w:val="0"/>
          <w:numId w:val="0"/>
        </w:numPr>
        <w:ind w:left="425" w:leftChars="0"/>
      </w:pPr>
      <w:r>
        <w:rPr>
          <w:rFonts w:hint="eastAsia" w:ascii="黑体" w:hAnsi="黑体" w:eastAsia="黑体" w:cs="黑体"/>
          <w:lang w:val="en-US" w:eastAsia="zh-CN"/>
        </w:rPr>
        <w:t>——</w:t>
      </w:r>
      <w:r>
        <w:rPr>
          <w:rFonts w:hint="eastAsia"/>
        </w:rPr>
        <w:t>在线问卷调查；</w:t>
      </w:r>
    </w:p>
    <w:p>
      <w:pPr>
        <w:pStyle w:val="90"/>
        <w:numPr>
          <w:ilvl w:val="0"/>
          <w:numId w:val="0"/>
        </w:numPr>
        <w:ind w:left="425" w:leftChars="0"/>
      </w:pPr>
      <w:r>
        <w:rPr>
          <w:rFonts w:hint="eastAsia" w:ascii="黑体" w:hAnsi="黑体" w:eastAsia="黑体" w:cs="黑体"/>
          <w:lang w:val="en-US" w:eastAsia="zh-CN"/>
        </w:rPr>
        <w:t>——</w:t>
      </w:r>
      <w:r>
        <w:rPr>
          <w:rFonts w:hint="eastAsia"/>
        </w:rPr>
        <w:t>其他。</w:t>
      </w:r>
    </w:p>
    <w:p>
      <w:pPr>
        <w:pStyle w:val="69"/>
        <w:numPr>
          <w:numId w:val="12"/>
        </w:numPr>
        <w:spacing w:before="156" w:after="156"/>
      </w:pPr>
      <w:bookmarkStart w:id="340" w:name="_Toc161751334"/>
      <w:bookmarkStart w:id="341" w:name="_Toc9176"/>
      <w:bookmarkStart w:id="342" w:name="_Toc8390"/>
      <w:bookmarkStart w:id="343" w:name="_Toc11141"/>
      <w:r>
        <w:rPr>
          <w:rFonts w:hint="eastAsia"/>
        </w:rPr>
        <w:t>评价汇总</w:t>
      </w:r>
      <w:bookmarkEnd w:id="340"/>
      <w:bookmarkEnd w:id="341"/>
      <w:bookmarkEnd w:id="342"/>
      <w:bookmarkEnd w:id="343"/>
    </w:p>
    <w:p>
      <w:pPr>
        <w:pStyle w:val="67"/>
        <w:ind w:firstLine="420"/>
      </w:pPr>
      <w:r>
        <w:rPr>
          <w:rFonts w:hint="eastAsia"/>
        </w:rPr>
        <w:t>服务站（点）每个月至少组织一次评价的汇总与分析。</w:t>
      </w:r>
    </w:p>
    <w:p>
      <w:pPr>
        <w:pStyle w:val="65"/>
        <w:keepNext w:val="0"/>
        <w:keepLines w:val="0"/>
        <w:pageBreakBefore w:val="0"/>
        <w:widowControl/>
        <w:numPr>
          <w:numId w:val="12"/>
        </w:numPr>
        <w:kinsoku/>
        <w:wordWrap/>
        <w:overflowPunct/>
        <w:topLinePunct w:val="0"/>
        <w:autoSpaceDE/>
        <w:autoSpaceDN/>
        <w:bidi w:val="0"/>
        <w:adjustRightInd/>
        <w:snapToGrid/>
        <w:spacing w:before="156" w:after="156"/>
        <w:textAlignment w:val="auto"/>
      </w:pPr>
      <w:bookmarkStart w:id="344" w:name="_Toc141706284"/>
      <w:bookmarkStart w:id="345" w:name="_Toc142393042"/>
      <w:bookmarkStart w:id="346" w:name="_Toc145318243"/>
      <w:bookmarkStart w:id="347" w:name="_Toc143516116"/>
      <w:bookmarkStart w:id="348" w:name="_Toc142399766"/>
      <w:bookmarkStart w:id="349" w:name="_Toc142403747"/>
      <w:bookmarkStart w:id="350" w:name="_Toc15269"/>
      <w:bookmarkStart w:id="351" w:name="_Toc29108"/>
      <w:bookmarkStart w:id="352" w:name="_Toc160437684"/>
      <w:bookmarkStart w:id="353" w:name="_Toc159837271"/>
      <w:bookmarkStart w:id="354" w:name="_Toc10777"/>
      <w:r>
        <w:rPr>
          <w:rFonts w:hint="eastAsia"/>
        </w:rPr>
        <w:t>服务改进</w:t>
      </w:r>
      <w:bookmarkEnd w:id="344"/>
      <w:bookmarkEnd w:id="345"/>
      <w:bookmarkEnd w:id="346"/>
      <w:bookmarkEnd w:id="347"/>
      <w:bookmarkEnd w:id="348"/>
      <w:bookmarkEnd w:id="349"/>
      <w:bookmarkEnd w:id="350"/>
      <w:bookmarkEnd w:id="351"/>
      <w:bookmarkEnd w:id="352"/>
      <w:bookmarkEnd w:id="353"/>
      <w:bookmarkEnd w:id="354"/>
    </w:p>
    <w:p>
      <w:pPr>
        <w:pStyle w:val="68"/>
        <w:numPr>
          <w:numId w:val="12"/>
        </w:numPr>
      </w:pPr>
      <w:r>
        <w:rPr>
          <w:rFonts w:hint="eastAsia"/>
        </w:rPr>
        <w:t>服务站（点）应根据评价结果及时制定改进方案并实施。</w:t>
      </w:r>
    </w:p>
    <w:p>
      <w:pPr>
        <w:pStyle w:val="68"/>
        <w:numPr>
          <w:numId w:val="12"/>
        </w:numPr>
      </w:pPr>
      <w:r>
        <w:rPr>
          <w:rFonts w:hint="eastAsia"/>
        </w:rPr>
        <w:t>服务站（点）应对整改措施的落实情况和效果进行跟踪管理，并组织人员进行监督。</w:t>
      </w:r>
    </w:p>
    <w:p>
      <w:pPr>
        <w:pStyle w:val="68"/>
        <w:numPr>
          <w:ilvl w:val="0"/>
          <w:numId w:val="0"/>
        </w:numPr>
        <w:sectPr>
          <w:footerReference r:id="rId14" w:type="default"/>
          <w:footerReference r:id="rId15" w:type="even"/>
          <w:pgSz w:w="11906" w:h="16838"/>
          <w:pgMar w:top="1417" w:right="1134" w:bottom="1134" w:left="1417" w:header="1418" w:footer="1134" w:gutter="284"/>
          <w:pgNumType w:fmt="decimal" w:start="1"/>
          <w:cols w:space="425" w:num="1"/>
          <w:formProt w:val="0"/>
          <w:docGrid w:type="lines" w:linePitch="312" w:charSpace="0"/>
        </w:sectPr>
      </w:pPr>
    </w:p>
    <w:p>
      <w:pPr>
        <w:pStyle w:val="94"/>
        <w:numPr>
          <w:ilvl w:val="0"/>
          <w:numId w:val="8"/>
        </w:numPr>
        <w:ind w:firstLine="0"/>
      </w:pPr>
      <w:bookmarkStart w:id="355" w:name="BookMark5"/>
    </w:p>
    <w:p>
      <w:pPr>
        <w:pStyle w:val="95"/>
      </w:pPr>
    </w:p>
    <w:p>
      <w:pPr>
        <w:pStyle w:val="83"/>
        <w:keepNext w:val="0"/>
        <w:keepLines w:val="0"/>
        <w:pageBreakBefore w:val="0"/>
        <w:widowControl/>
        <w:numPr>
          <w:ilvl w:val="0"/>
          <w:numId w:val="5"/>
        </w:numPr>
        <w:kinsoku/>
        <w:wordWrap/>
        <w:overflowPunct/>
        <w:topLinePunct w:val="0"/>
        <w:autoSpaceDE/>
        <w:autoSpaceDN/>
        <w:bidi w:val="0"/>
        <w:adjustRightInd/>
        <w:snapToGrid/>
        <w:spacing w:before="567" w:after="0" w:afterLines="0"/>
        <w:ind w:left="0"/>
        <w:textAlignment w:val="auto"/>
      </w:pPr>
      <w:bookmarkStart w:id="356" w:name="_Toc142403748"/>
      <w:bookmarkStart w:id="357" w:name="_Toc142393043"/>
      <w:bookmarkStart w:id="358" w:name="_Toc143516117"/>
      <w:bookmarkStart w:id="359" w:name="_Toc142399767"/>
      <w:bookmarkStart w:id="360" w:name="_Toc145318244"/>
      <w:bookmarkStart w:id="361" w:name="_Toc160437685"/>
      <w:bookmarkStart w:id="362" w:name="_Toc159837272"/>
      <w:bookmarkStart w:id="363" w:name="_Toc5750"/>
    </w:p>
    <w:p>
      <w:pPr>
        <w:pStyle w:val="83"/>
        <w:keepNext w:val="0"/>
        <w:keepLines w:val="0"/>
        <w:pageBreakBefore w:val="0"/>
        <w:widowControl/>
        <w:numPr>
          <w:ilvl w:val="0"/>
          <w:numId w:val="0"/>
        </w:numPr>
        <w:kinsoku/>
        <w:wordWrap/>
        <w:overflowPunct/>
        <w:topLinePunct w:val="0"/>
        <w:autoSpaceDE/>
        <w:autoSpaceDN/>
        <w:bidi w:val="0"/>
        <w:adjustRightInd/>
        <w:snapToGrid/>
        <w:spacing w:before="0" w:after="0" w:afterLines="0"/>
        <w:ind w:leftChars="0"/>
        <w:jc w:val="center"/>
        <w:textAlignment w:val="auto"/>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（规范性）</w:t>
      </w:r>
    </w:p>
    <w:p>
      <w:pPr>
        <w:pStyle w:val="83"/>
        <w:keepNext w:val="0"/>
        <w:keepLines w:val="0"/>
        <w:pageBreakBefore w:val="0"/>
        <w:widowControl/>
        <w:numPr>
          <w:ilvl w:val="0"/>
          <w:numId w:val="0"/>
        </w:numPr>
        <w:kinsoku/>
        <w:wordWrap/>
        <w:overflowPunct/>
        <w:topLinePunct w:val="0"/>
        <w:autoSpaceDE/>
        <w:autoSpaceDN/>
        <w:bidi w:val="0"/>
        <w:adjustRightInd/>
        <w:snapToGrid/>
        <w:spacing w:before="0" w:after="283" w:afterLines="0"/>
        <w:ind w:leftChars="0"/>
        <w:jc w:val="center"/>
        <w:textAlignment w:val="auto"/>
      </w:pPr>
      <w:r>
        <w:rPr>
          <w:rFonts w:hint="eastAsia" w:ascii="黑体" w:hAnsi="黑体" w:eastAsia="黑体" w:cstheme="minorBidi"/>
          <w:color w:val="000000"/>
          <w:kern w:val="2"/>
          <w:sz w:val="21"/>
          <w:szCs w:val="21"/>
          <w:lang w:val="en-US" w:eastAsia="zh-CN" w:bidi="ar-SA"/>
        </w:rPr>
        <w:t>资质要求</w:t>
      </w:r>
      <w:bookmarkEnd w:id="356"/>
      <w:bookmarkEnd w:id="357"/>
      <w:bookmarkEnd w:id="358"/>
      <w:bookmarkEnd w:id="359"/>
      <w:bookmarkEnd w:id="360"/>
      <w:r>
        <w:rPr>
          <w:rFonts w:hint="eastAsia" w:ascii="黑体" w:hAnsi="黑体" w:eastAsia="黑体" w:cstheme="minorBidi"/>
          <w:color w:val="000000"/>
          <w:kern w:val="2"/>
          <w:sz w:val="21"/>
          <w:szCs w:val="21"/>
          <w:lang w:val="en-US" w:eastAsia="zh-CN" w:bidi="ar-SA"/>
        </w:rPr>
        <w:t>表</w:t>
      </w:r>
      <w:bookmarkEnd w:id="361"/>
      <w:bookmarkEnd w:id="362"/>
      <w:bookmarkEnd w:id="363"/>
    </w:p>
    <w:p>
      <w:pPr>
        <w:pStyle w:val="67"/>
        <w:ind w:firstLine="420"/>
      </w:pPr>
      <w:r>
        <w:rPr>
          <w:rFonts w:hint="eastAsia" w:ascii="宋体" w:hAnsi="宋体" w:eastAsia="宋体" w:cs="Times New Roman"/>
          <w:snapToGrid w:val="0"/>
          <w:kern w:val="0"/>
          <w:sz w:val="21"/>
          <w:szCs w:val="24"/>
          <w:lang w:val="en-US" w:eastAsia="zh-CN" w:bidi="ar-SA"/>
        </w:rPr>
        <w:t>入驻基本资质、食品类许可资质、食用农产品资质要求如表A.</w:t>
      </w:r>
      <w:r>
        <w:rPr>
          <w:rFonts w:hint="eastAsia"/>
        </w:rPr>
        <w:t>1。</w:t>
      </w:r>
    </w:p>
    <w:p>
      <w:pPr>
        <w:pStyle w:val="60"/>
        <w:numPr>
          <w:ilvl w:val="0"/>
          <w:numId w:val="0"/>
        </w:numPr>
        <w:rPr>
          <w:rFonts w:hint="eastAsia" w:hAnsi="Times New Roman" w:cs="Times New Roman"/>
          <w:lang w:val="en-US" w:eastAsia="zh-CN"/>
        </w:rPr>
      </w:pPr>
      <w:r>
        <w:rPr>
          <w:rFonts w:hint="eastAsia" w:hAnsi="Times New Roman" w:cs="Times New Roman"/>
          <w:lang w:val="en-US" w:eastAsia="zh-CN"/>
        </w:rPr>
        <w:t>表A.1  资质要求表</w:t>
      </w:r>
    </w:p>
    <w:tbl>
      <w:tblPr>
        <w:tblStyle w:val="20"/>
        <w:tblW w:w="5004"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2685"/>
        <w:gridCol w:w="6696"/>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1431" w:type="pct"/>
            <w:tcBorders>
              <w:top w:val="single" w:color="000000" w:sz="8" w:space="0"/>
              <w:bottom w:val="single" w:color="000000" w:sz="8" w:space="0"/>
            </w:tcBorders>
            <w:shd w:val="clear" w:color="auto" w:fill="auto"/>
            <w:noWrap/>
            <w:vAlign w:val="center"/>
          </w:tcPr>
          <w:p>
            <w:pPr>
              <w:widowControl/>
              <w:jc w:val="center"/>
              <w:textAlignment w:val="center"/>
              <w:rPr>
                <w:rFonts w:hint="eastAsia" w:ascii="宋体" w:hAnsi="宋体" w:eastAsia="宋体" w:cs="宋体"/>
                <w:color w:val="000000"/>
                <w:sz w:val="18"/>
              </w:rPr>
            </w:pPr>
            <w:r>
              <w:rPr>
                <w:rFonts w:hint="eastAsia" w:ascii="宋体" w:hAnsi="宋体" w:eastAsia="宋体" w:cs="宋体"/>
                <w:color w:val="000000"/>
                <w:kern w:val="0"/>
                <w:sz w:val="18"/>
                <w:lang w:bidi="ar"/>
              </w:rPr>
              <w:t>资质种类</w:t>
            </w:r>
          </w:p>
        </w:tc>
        <w:tc>
          <w:tcPr>
            <w:tcW w:w="3568" w:type="pct"/>
            <w:tcBorders>
              <w:top w:val="single" w:color="000000" w:sz="8" w:space="0"/>
              <w:bottom w:val="single" w:color="000000" w:sz="8" w:space="0"/>
            </w:tcBorders>
            <w:shd w:val="clear" w:color="auto" w:fill="auto"/>
            <w:vAlign w:val="center"/>
          </w:tcPr>
          <w:p>
            <w:pPr>
              <w:widowControl/>
              <w:ind w:firstLine="180" w:firstLineChars="100"/>
              <w:jc w:val="center"/>
              <w:textAlignment w:val="center"/>
              <w:rPr>
                <w:rFonts w:hint="eastAsia" w:ascii="宋体" w:hAnsi="宋体" w:eastAsia="宋体" w:cs="宋体"/>
                <w:color w:val="000000"/>
                <w:sz w:val="18"/>
              </w:rPr>
            </w:pPr>
            <w:r>
              <w:rPr>
                <w:rFonts w:hint="eastAsia" w:ascii="宋体" w:hAnsi="宋体" w:eastAsia="宋体" w:cs="宋体"/>
                <w:kern w:val="0"/>
                <w:sz w:val="18"/>
              </w:rPr>
              <w:t>具体要求</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1431" w:type="pct"/>
            <w:tcBorders>
              <w:top w:val="single" w:color="000000" w:sz="8" w:space="0"/>
              <w:bottom w:val="single" w:color="000000" w:sz="8" w:space="0"/>
            </w:tcBorders>
            <w:shd w:val="clear" w:color="auto" w:fill="auto"/>
            <w:noWrap/>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入驻基本资质</w:t>
            </w:r>
          </w:p>
        </w:tc>
        <w:tc>
          <w:tcPr>
            <w:tcW w:w="3568" w:type="pct"/>
            <w:tcBorders>
              <w:top w:val="single" w:color="000000" w:sz="8" w:space="0"/>
              <w:bottom w:val="single" w:color="000000" w:sz="8" w:space="0"/>
            </w:tcBorders>
            <w:shd w:val="clear" w:color="auto" w:fill="auto"/>
            <w:vAlign w:val="center"/>
          </w:tcPr>
          <w:p>
            <w:pPr>
              <w:widowControl/>
              <w:ind w:firstLine="180" w:firstLineChars="100"/>
              <w:jc w:val="left"/>
              <w:textAlignment w:val="center"/>
              <w:rPr>
                <w:rFonts w:hint="eastAsia" w:ascii="宋体" w:hAnsi="宋体" w:eastAsia="宋体" w:cs="宋体"/>
                <w:color w:val="000000"/>
                <w:sz w:val="18"/>
                <w:szCs w:val="18"/>
              </w:rPr>
            </w:pPr>
            <w:r>
              <w:rPr>
                <w:rFonts w:hint="eastAsia" w:ascii="宋体" w:hAnsi="宋体" w:eastAsia="宋体" w:cs="宋体"/>
                <w:kern w:val="0"/>
                <w:sz w:val="18"/>
                <w:szCs w:val="18"/>
              </w:rPr>
              <w:t>商户应具备营业执照、健康证</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1431" w:type="pct"/>
            <w:vMerge w:val="restart"/>
            <w:tcBorders>
              <w:top w:val="single" w:color="000000" w:sz="8" w:space="0"/>
            </w:tcBorders>
            <w:shd w:val="clear" w:color="auto" w:fill="auto"/>
            <w:noWrap/>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食品类许可资质</w:t>
            </w:r>
          </w:p>
        </w:tc>
        <w:tc>
          <w:tcPr>
            <w:tcW w:w="3568" w:type="pct"/>
            <w:tcBorders>
              <w:top w:val="single" w:color="000000" w:sz="8" w:space="0"/>
            </w:tcBorders>
            <w:shd w:val="clear" w:color="auto" w:fill="auto"/>
            <w:vAlign w:val="center"/>
          </w:tcPr>
          <w:p>
            <w:pPr>
              <w:widowControl/>
              <w:ind w:firstLine="180" w:firstLineChars="100"/>
              <w:jc w:val="left"/>
              <w:textAlignment w:val="center"/>
              <w:rPr>
                <w:rFonts w:hint="eastAsia" w:ascii="宋体" w:hAnsi="宋体" w:eastAsia="宋体" w:cs="宋体"/>
                <w:color w:val="000000"/>
                <w:sz w:val="18"/>
                <w:szCs w:val="18"/>
              </w:rPr>
            </w:pPr>
            <w:r>
              <w:rPr>
                <w:rFonts w:hint="eastAsia" w:ascii="宋体" w:hAnsi="宋体" w:eastAsia="宋体" w:cs="宋体"/>
                <w:kern w:val="0"/>
                <w:sz w:val="18"/>
                <w:szCs w:val="18"/>
              </w:rPr>
              <w:t>生产并销售《食品生产许可证管理办法》规定商品的，商家应具备《食品生产许可证》《食品经营许可证》</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810" w:hRule="atLeast"/>
          <w:jc w:val="center"/>
        </w:trPr>
        <w:tc>
          <w:tcPr>
            <w:tcW w:w="1431" w:type="pct"/>
            <w:vMerge w:val="continue"/>
            <w:shd w:val="clear" w:color="auto" w:fill="auto"/>
            <w:noWrap/>
            <w:vAlign w:val="center"/>
          </w:tcPr>
          <w:p>
            <w:pPr>
              <w:jc w:val="center"/>
              <w:rPr>
                <w:rFonts w:hint="eastAsia" w:ascii="宋体" w:hAnsi="宋体" w:eastAsia="宋体" w:cs="宋体"/>
                <w:color w:val="000000"/>
                <w:sz w:val="18"/>
                <w:szCs w:val="18"/>
              </w:rPr>
            </w:pPr>
          </w:p>
        </w:tc>
        <w:tc>
          <w:tcPr>
            <w:tcW w:w="3568" w:type="pct"/>
            <w:shd w:val="clear" w:color="auto" w:fill="auto"/>
            <w:vAlign w:val="center"/>
          </w:tcPr>
          <w:p>
            <w:pPr>
              <w:widowControl/>
              <w:ind w:firstLine="180" w:firstLineChars="100"/>
              <w:jc w:val="left"/>
              <w:textAlignment w:val="center"/>
              <w:rPr>
                <w:rFonts w:hint="eastAsia" w:ascii="宋体" w:hAnsi="宋体" w:eastAsia="宋体" w:cs="宋体"/>
                <w:color w:val="000000"/>
                <w:sz w:val="18"/>
                <w:szCs w:val="18"/>
              </w:rPr>
            </w:pPr>
            <w:r>
              <w:rPr>
                <w:rFonts w:hint="eastAsia" w:ascii="宋体" w:hAnsi="宋体" w:eastAsia="宋体" w:cs="宋体"/>
                <w:kern w:val="0"/>
                <w:sz w:val="18"/>
                <w:szCs w:val="18"/>
              </w:rPr>
              <w:t>销售其他生产商生产的《食品生产许可证管理办法》规定的商品或提供餐饮服务的，商家应提供与其经营主体业态相符的《食品经营许可证》</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810" w:hRule="atLeast"/>
          <w:jc w:val="center"/>
        </w:trPr>
        <w:tc>
          <w:tcPr>
            <w:tcW w:w="1431" w:type="pct"/>
            <w:vMerge w:val="restart"/>
            <w:shd w:val="clear" w:color="auto" w:fill="auto"/>
            <w:noWrap/>
            <w:vAlign w:val="center"/>
          </w:tcPr>
          <w:p>
            <w:pPr>
              <w:widowControl/>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食用农产品资质</w:t>
            </w:r>
          </w:p>
        </w:tc>
        <w:tc>
          <w:tcPr>
            <w:tcW w:w="3568" w:type="pct"/>
            <w:shd w:val="clear" w:color="auto" w:fill="auto"/>
            <w:vAlign w:val="center"/>
          </w:tcPr>
          <w:p>
            <w:pPr>
              <w:widowControl/>
              <w:ind w:firstLine="180" w:firstLineChars="100"/>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自产自销食用农产品的，商家应提供种植证明或土地承包证明或由村民委员会、乡镇政府等出具产地证明</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810" w:hRule="atLeast"/>
          <w:jc w:val="center"/>
        </w:trPr>
        <w:tc>
          <w:tcPr>
            <w:tcW w:w="1431" w:type="pct"/>
            <w:vMerge w:val="continue"/>
            <w:shd w:val="clear" w:color="auto" w:fill="auto"/>
            <w:noWrap/>
            <w:vAlign w:val="center"/>
          </w:tcPr>
          <w:p>
            <w:pPr>
              <w:jc w:val="center"/>
              <w:rPr>
                <w:rFonts w:hint="eastAsia" w:ascii="宋体" w:hAnsi="宋体" w:eastAsia="宋体" w:cs="宋体"/>
                <w:color w:val="000000"/>
                <w:sz w:val="18"/>
                <w:szCs w:val="18"/>
              </w:rPr>
            </w:pPr>
          </w:p>
        </w:tc>
        <w:tc>
          <w:tcPr>
            <w:tcW w:w="3568" w:type="pct"/>
            <w:shd w:val="clear" w:color="auto" w:fill="auto"/>
            <w:vAlign w:val="center"/>
          </w:tcPr>
          <w:p>
            <w:pPr>
              <w:widowControl/>
              <w:ind w:firstLine="180" w:firstLineChars="100"/>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经营采购食用农产品的，商家应提供供货者提供的销售凭证、销售者与供货者签订的食用农产品采购协议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1431" w:type="pct"/>
            <w:vMerge w:val="continue"/>
            <w:shd w:val="clear" w:color="auto" w:fill="auto"/>
            <w:noWrap/>
            <w:vAlign w:val="center"/>
          </w:tcPr>
          <w:p>
            <w:pPr>
              <w:jc w:val="center"/>
              <w:rPr>
                <w:rFonts w:hint="eastAsia" w:ascii="宋体" w:hAnsi="宋体" w:eastAsia="宋体" w:cs="宋体"/>
                <w:color w:val="000000"/>
                <w:sz w:val="18"/>
                <w:szCs w:val="18"/>
              </w:rPr>
            </w:pPr>
          </w:p>
        </w:tc>
        <w:tc>
          <w:tcPr>
            <w:tcW w:w="3568" w:type="pct"/>
            <w:shd w:val="clear" w:color="auto" w:fill="auto"/>
            <w:vAlign w:val="center"/>
          </w:tcPr>
          <w:p>
            <w:pPr>
              <w:widowControl/>
              <w:ind w:firstLine="180" w:firstLineChars="100"/>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经营生鲜禽蛋产品的，商家应提供养殖证明和《动物防疫条件合格证》</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1431" w:type="pct"/>
            <w:vMerge w:val="continue"/>
            <w:shd w:val="clear" w:color="auto" w:fill="auto"/>
            <w:noWrap/>
            <w:vAlign w:val="center"/>
          </w:tcPr>
          <w:p>
            <w:pPr>
              <w:jc w:val="center"/>
              <w:rPr>
                <w:rFonts w:hint="eastAsia" w:ascii="宋体" w:hAnsi="宋体" w:eastAsia="宋体" w:cs="宋体"/>
                <w:color w:val="000000"/>
                <w:sz w:val="18"/>
                <w:szCs w:val="18"/>
              </w:rPr>
            </w:pPr>
          </w:p>
        </w:tc>
        <w:tc>
          <w:tcPr>
            <w:tcW w:w="3568" w:type="pct"/>
            <w:shd w:val="clear" w:color="auto" w:fill="auto"/>
            <w:vAlign w:val="center"/>
          </w:tcPr>
          <w:p>
            <w:pPr>
              <w:widowControl/>
              <w:ind w:firstLine="180" w:firstLineChars="100"/>
              <w:jc w:val="left"/>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经营猪肉、牛羊肉产品的，商家应同时提供《定点屠宰证》和《肉品品质检验合格证明》</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5000" w:type="pct"/>
            <w:gridSpan w:val="2"/>
            <w:tcBorders>
              <w:top w:val="single" w:color="000000" w:sz="8" w:space="0"/>
              <w:bottom w:val="single" w:color="000000" w:sz="8" w:space="0"/>
            </w:tcBorders>
            <w:shd w:val="clear" w:color="auto" w:fill="auto"/>
            <w:noWrap/>
            <w:vAlign w:val="center"/>
          </w:tcPr>
          <w:p>
            <w:pPr>
              <w:pStyle w:val="98"/>
              <w:numPr>
                <w:ilvl w:val="0"/>
                <w:numId w:val="4"/>
              </w:numPr>
              <w:ind w:left="737" w:hanging="374"/>
              <w:rPr>
                <w:rFonts w:hint="eastAsia" w:ascii="宋体" w:hAnsi="宋体" w:eastAsia="宋体" w:cs="宋体"/>
                <w:lang w:bidi="ar"/>
              </w:rPr>
            </w:pPr>
            <w:r>
              <w:rPr>
                <w:rFonts w:hint="eastAsia" w:ascii="宋体" w:hAnsi="宋体" w:eastAsia="宋体" w:cs="宋体"/>
                <w:lang w:bidi="ar"/>
              </w:rPr>
              <w:t>以上资质证明文件均应在线上市集电子商务平台商户及商品信息展示中给予公示并在有效期内。</w:t>
            </w:r>
          </w:p>
        </w:tc>
      </w:tr>
    </w:tbl>
    <w:p>
      <w:pPr>
        <w:tabs>
          <w:tab w:val="left" w:pos="6335"/>
        </w:tabs>
        <w:bidi w:val="0"/>
        <w:jc w:val="left"/>
        <w:rPr>
          <w:rFonts w:ascii="黑体" w:hAnsi="黑体" w:eastAsia="黑体"/>
        </w:rPr>
      </w:pPr>
    </w:p>
    <w:p>
      <w:pPr>
        <w:tabs>
          <w:tab w:val="left" w:pos="6335"/>
        </w:tabs>
        <w:bidi w:val="0"/>
        <w:jc w:val="left"/>
        <w:rPr>
          <w:rFonts w:ascii="黑体" w:hAnsi="黑体" w:eastAsia="黑体"/>
        </w:rPr>
      </w:pPr>
    </w:p>
    <w:bookmarkEnd w:id="355"/>
    <w:p>
      <w:pPr>
        <w:tabs>
          <w:tab w:val="left" w:pos="6335"/>
        </w:tabs>
        <w:bidi w:val="0"/>
        <w:jc w:val="left"/>
      </w:pPr>
      <w:bookmarkStart w:id="364" w:name="_GoBack"/>
      <w:bookmarkEnd w:id="364"/>
    </w:p>
    <w:p>
      <w:pPr>
        <w:pStyle w:val="67"/>
        <w:ind w:firstLine="0" w:firstLineChars="0"/>
        <w:jc w:val="center"/>
        <w:rPr>
          <w:rFonts w:ascii="黑体" w:hAnsi="黑体" w:eastAsia="黑体"/>
        </w:rPr>
      </w:pPr>
      <w:r>
        <w:rPr>
          <w:rFonts w:ascii="黑体" w:hAnsi="黑体" w:eastAsia="黑体"/>
        </w:rPr>
        <mc:AlternateContent>
          <mc:Choice Requires="wps">
            <w:drawing>
              <wp:anchor distT="0" distB="0" distL="114300" distR="114300" simplePos="0" relativeHeight="251669504" behindDoc="0" locked="0" layoutInCell="1" allowOverlap="1">
                <wp:simplePos x="0" y="0"/>
                <wp:positionH relativeFrom="column">
                  <wp:posOffset>2111375</wp:posOffset>
                </wp:positionH>
                <wp:positionV relativeFrom="paragraph">
                  <wp:posOffset>8890</wp:posOffset>
                </wp:positionV>
                <wp:extent cx="1800225" cy="0"/>
                <wp:effectExtent l="0" t="4445" r="0" b="5080"/>
                <wp:wrapNone/>
                <wp:docPr id="28" name="直接箭头连接符 5"/>
                <wp:cNvGraphicFramePr/>
                <a:graphic xmlns:a="http://schemas.openxmlformats.org/drawingml/2006/main">
                  <a:graphicData uri="http://schemas.microsoft.com/office/word/2010/wordprocessingShape">
                    <wps:wsp>
                      <wps:cNvCnPr>
                        <a:cxnSpLocks noChangeShapeType="1"/>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0.7pt;height:0pt;width:141.75pt;z-index:251669504;mso-width-relative:page;mso-height-relative:page;" filled="f" stroked="t" coordsize="21600,21600" o:gfxdata="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pLoJ/1QAAAAcBAAAPAAAAAAAAAAEAIAAAACIAAABkcnMv&#10;ZG93bnJldi54bWxQSwECFAAUAAAACACHTuJAKhJ0BgYCAADZAwAADgAAAAAAAAABACAAAAAkAQAA&#10;ZHJzL2Uyb0RvYy54bWxQSwUGAAAAAAYABgBZAQAAnAUAAAAA&#10;">
                <v:fill on="f" focussize="0,0"/>
                <v:stroke color="#000000" joinstyle="round"/>
                <v:imagedata o:title=""/>
                <o:lock v:ext="edit" aspectratio="f"/>
              </v:shape>
            </w:pict>
          </mc:Fallback>
        </mc:AlternateContent>
      </w:r>
    </w:p>
    <w:p>
      <w:pPr>
        <w:pStyle w:val="51"/>
        <w:ind w:firstLine="360"/>
        <w:rPr>
          <w:rFonts w:ascii="黑体" w:hAnsi="黑体" w:eastAsia="黑体" w:cs="黑体"/>
          <w:sz w:val="18"/>
          <w:szCs w:val="18"/>
        </w:rPr>
      </w:pPr>
    </w:p>
    <w:sectPr>
      <w:headerReference r:id="rId16" w:type="default"/>
      <w:footerReference r:id="rId17" w:type="default"/>
      <w:footerReference r:id="rId18" w:type="even"/>
      <w:pgSz w:w="11906" w:h="16838"/>
      <w:pgMar w:top="1417" w:right="1134" w:bottom="1134" w:left="1418" w:header="1417"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DEA5C5-F212-4AF7-8593-221EAE648F8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embedRegular r:id="rId2" w:fontKey="{6A300DAA-D304-4751-A823-DE263228601C}"/>
  </w:font>
  <w:font w:name="Dotum,Bold">
    <w:altName w:val="黑体"/>
    <w:panose1 w:val="00000000000000000000"/>
    <w:charset w:val="86"/>
    <w:family w:val="auto"/>
    <w:pitch w:val="default"/>
    <w:sig w:usb0="00000000" w:usb1="00000000" w:usb2="00000010" w:usb3="00000000" w:csb0="00040000" w:csb1="00000000"/>
    <w:embedRegular r:id="rId3" w:fontKey="{76F54774-5584-47B1-B47E-6A2B9D297B55}"/>
  </w:font>
  <w:font w:name="SimSun,Bold">
    <w:altName w:val="黑体"/>
    <w:panose1 w:val="00000000000000000000"/>
    <w:charset w:val="86"/>
    <w:family w:val="auto"/>
    <w:pitch w:val="default"/>
    <w:sig w:usb0="00000000" w:usb1="00000000" w:usb2="00000010" w:usb3="00000000" w:csb0="00040000" w:csb1="00000000"/>
    <w:embedRegular r:id="rId4" w:fontKey="{66C858E3-846C-446C-BE0B-12F5196D1A74}"/>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rPr>
        <w:rFonts w:asciiTheme="minorEastAsia" w:hAnsiTheme="minorEastAsia"/>
      </w:rP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48531363"/>
                            <w:docPartObj>
                              <w:docPartGallery w:val="autotext"/>
                            </w:docPartObj>
                          </w:sdtPr>
                          <w:sdtEndPr>
                            <w:rPr>
                              <w:rFonts w:asciiTheme="minorEastAsia" w:hAnsiTheme="minorEastAsia"/>
                            </w:rPr>
                          </w:sdtEndPr>
                          <w:sdtContent>
                            <w:p>
                              <w:pPr>
                                <w:pStyle w:val="13"/>
                                <w:jc w:val="right"/>
                                <w:rPr>
                                  <w:rFonts w:asciiTheme="minorEastAsia" w:hAnsiTheme="minorEastAsia"/>
                                </w:rPr>
                              </w:pPr>
                              <w:r>
                                <w:rPr>
                                  <w:rFonts w:asciiTheme="minorEastAsia" w:hAnsiTheme="minorEastAsia"/>
                                </w:rPr>
                                <w:fldChar w:fldCharType="begin"/>
                              </w:r>
                              <w:r>
                                <w:rPr>
                                  <w:rFonts w:asciiTheme="minorEastAsia" w:hAnsiTheme="minorEastAsia"/>
                                </w:rPr>
                                <w:instrText xml:space="preserve">PAGE   \* MERGEFORMAT</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sdt>
                    <w:sdtPr>
                      <w:id w:val="-1048531363"/>
                      <w:docPartObj>
                        <w:docPartGallery w:val="autotext"/>
                      </w:docPartObj>
                    </w:sdtPr>
                    <w:sdtEndPr>
                      <w:rPr>
                        <w:rFonts w:asciiTheme="minorEastAsia" w:hAnsiTheme="minorEastAsia"/>
                      </w:rPr>
                    </w:sdtEndPr>
                    <w:sdtContent>
                      <w:p>
                        <w:pPr>
                          <w:pStyle w:val="13"/>
                          <w:jc w:val="right"/>
                          <w:rPr>
                            <w:rFonts w:asciiTheme="minorEastAsia" w:hAnsiTheme="minorEastAsia"/>
                          </w:rPr>
                        </w:pPr>
                        <w:r>
                          <w:rPr>
                            <w:rFonts w:asciiTheme="minorEastAsia" w:hAnsiTheme="minorEastAsia"/>
                          </w:rPr>
                          <w:fldChar w:fldCharType="begin"/>
                        </w:r>
                        <w:r>
                          <w:rPr>
                            <w:rFonts w:asciiTheme="minorEastAsia" w:hAnsiTheme="minorEastAsia"/>
                          </w:rPr>
                          <w:instrText xml:space="preserve">PAGE   \* MERGEFORMAT</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sdtContent>
                  </w:sdt>
                  <w:p>
                    <w:pPr>
                      <w:pStyle w:val="2"/>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III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III</w:t>
                    </w:r>
                    <w:r>
                      <w:rPr>
                        <w:rFonts w:asciiTheme="minorEastAsia" w:hAnsiTheme="minor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lang w:val="zh-CN"/>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718803785"/>
                            <w:docPartObj>
                              <w:docPartGallery w:val="autotext"/>
                            </w:docPartObj>
                          </w:sdtPr>
                          <w:sdtEndPr>
                            <w:rPr>
                              <w:rFonts w:asciiTheme="minorEastAsia" w:hAnsiTheme="minorEastAsia"/>
                              <w:lang w:val="zh-CN"/>
                            </w:rPr>
                          </w:sdtEndPr>
                          <w:sdtContent>
                            <w:p>
                              <w:pPr>
                                <w:pStyle w:val="13"/>
                              </w:pPr>
                              <w:r>
                                <w:rPr>
                                  <w:rFonts w:asciiTheme="minorEastAsia" w:hAnsiTheme="minorEastAsia"/>
                                  <w:lang w:val="zh-CN"/>
                                </w:rPr>
                                <w:fldChar w:fldCharType="begin"/>
                              </w:r>
                              <w:r>
                                <w:rPr>
                                  <w:rFonts w:asciiTheme="minorEastAsia" w:hAnsiTheme="minorEastAsia"/>
                                  <w:lang w:val="zh-CN"/>
                                </w:rPr>
                                <w:instrText xml:space="preserve">PAGE   \* MERGEFORMAT</w:instrText>
                              </w:r>
                              <w:r>
                                <w:rPr>
                                  <w:rFonts w:asciiTheme="minorEastAsia" w:hAnsiTheme="minorEastAsia"/>
                                  <w:lang w:val="zh-CN"/>
                                </w:rPr>
                                <w:fldChar w:fldCharType="separate"/>
                              </w:r>
                              <w:r>
                                <w:rPr>
                                  <w:rFonts w:asciiTheme="minorEastAsia" w:hAnsiTheme="minorEastAsia"/>
                                  <w:lang w:val="zh-CN"/>
                                </w:rPr>
                                <w:t>IV</w:t>
                              </w:r>
                              <w:r>
                                <w:rPr>
                                  <w:rFonts w:asciiTheme="minorEastAsia" w:hAnsiTheme="minorEastAsia"/>
                                  <w:lang w:val="zh-CN"/>
                                </w:rPr>
                                <w:fldChar w:fldCharType="end"/>
                              </w:r>
                            </w:p>
                          </w:sdtContent>
                        </w:sdt>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sdt>
                    <w:sdtPr>
                      <w:id w:val="-1718803785"/>
                      <w:docPartObj>
                        <w:docPartGallery w:val="autotext"/>
                      </w:docPartObj>
                    </w:sdtPr>
                    <w:sdtEndPr>
                      <w:rPr>
                        <w:rFonts w:asciiTheme="minorEastAsia" w:hAnsiTheme="minorEastAsia"/>
                        <w:lang w:val="zh-CN"/>
                      </w:rPr>
                    </w:sdtEndPr>
                    <w:sdtContent>
                      <w:p>
                        <w:pPr>
                          <w:pStyle w:val="13"/>
                        </w:pPr>
                        <w:r>
                          <w:rPr>
                            <w:rFonts w:asciiTheme="minorEastAsia" w:hAnsiTheme="minorEastAsia"/>
                            <w:lang w:val="zh-CN"/>
                          </w:rPr>
                          <w:fldChar w:fldCharType="begin"/>
                        </w:r>
                        <w:r>
                          <w:rPr>
                            <w:rFonts w:asciiTheme="minorEastAsia" w:hAnsiTheme="minorEastAsia"/>
                            <w:lang w:val="zh-CN"/>
                          </w:rPr>
                          <w:instrText xml:space="preserve">PAGE   \* MERGEFORMAT</w:instrText>
                        </w:r>
                        <w:r>
                          <w:rPr>
                            <w:rFonts w:asciiTheme="minorEastAsia" w:hAnsiTheme="minorEastAsia"/>
                            <w:lang w:val="zh-CN"/>
                          </w:rPr>
                          <w:fldChar w:fldCharType="separate"/>
                        </w:r>
                        <w:r>
                          <w:rPr>
                            <w:rFonts w:asciiTheme="minorEastAsia" w:hAnsiTheme="minorEastAsia"/>
                            <w:lang w:val="zh-CN"/>
                          </w:rPr>
                          <w:t>IV</w:t>
                        </w:r>
                        <w:r>
                          <w:rPr>
                            <w:rFonts w:asciiTheme="minorEastAsia" w:hAnsiTheme="minorEastAsia"/>
                            <w:lang w:val="zh-CN"/>
                          </w:rPr>
                          <w:fldChar w:fldCharType="end"/>
                        </w:r>
                      </w:p>
                    </w:sdtContent>
                  </w:sdt>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rPr>
        <w:rFonts w:asciiTheme="minorEastAsia" w:hAnsiTheme="minorEastAsia"/>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III</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3"/>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III</w:t>
                    </w:r>
                    <w:r>
                      <w:rPr>
                        <w:rFonts w:hint="eastAsia" w:ascii="宋体" w:hAnsi="宋体" w:eastAsia="宋体" w:cs="宋体"/>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left"/>
      <w:rPr>
        <w:rFonts w:asciiTheme="minorEastAsia" w:hAnsiTheme="minorEastAsia"/>
        <w:lang w:val="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right="113" w:rightChars="54"/>
      <w:jc w:val="center"/>
      <w:rPr>
        <w:rFonts w:asciiTheme="minorEastAsia" w:hAnsiTheme="minorEastAsia"/>
      </w:rPr>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w:t>
                    </w:r>
                    <w:r>
                      <w:rPr>
                        <w:rFonts w:hint="eastAsia" w:ascii="宋体" w:hAnsi="宋体" w:eastAsia="宋体" w:cs="宋体"/>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left"/>
      <w:rPr>
        <w:rFonts w:asciiTheme="minorEastAsia" w:hAnsiTheme="minorEastAsia"/>
        <w:lang w:val="zh-CN"/>
      </w:rP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21</w:t>
                          </w:r>
                          <w:r>
                            <w:rPr>
                              <w:rFonts w:asciiTheme="minorEastAsia" w:hAnsiTheme="minorEastAsia"/>
                            </w:rPr>
                            <w:fldChar w:fldCharType="end"/>
                          </w:r>
                        </w:p>
                      </w:txbxContent>
                    </wps:txbx>
                    <wps:bodyPr wrap="none" lIns="0" tIns="0" rIns="0" bIns="0">
                      <a:spAutoFit/>
                    </wps:bodyPr>
                  </wps:wsp>
                </a:graphicData>
              </a:graphic>
            </wp:anchor>
          </w:drawing>
        </mc:Choice>
        <mc:Fallback>
          <w:pict>
            <v:shape id="文本框 17"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BmDhj1wwEAAI8DAAAOAAAAAAAAAAEAIAAAAB4BAABkcnMvZTJvRG9jLnhtbFBL&#10;BQYAAAAABgAGAFkBAABTBQAAAAA=&#10;">
              <v:fill on="f" focussize="0,0"/>
              <v:stroke on="f"/>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21</w:t>
                    </w:r>
                    <w:r>
                      <w:rPr>
                        <w:rFonts w:asciiTheme="minorEastAsia" w:hAnsi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rFonts w:asciiTheme="minorEastAsia" w:hAnsiTheme="minorEastAsia"/>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22</w:t>
                          </w:r>
                          <w:r>
                            <w:rPr>
                              <w:rFonts w:hint="eastAsia" w:asciiTheme="minorEastAsia" w:hAnsiTheme="minorEastAsia" w:cstheme="minorEastAsia"/>
                            </w:rPr>
                            <w:fldChar w:fldCharType="end"/>
                          </w:r>
                        </w:p>
                      </w:txbxContent>
                    </wps:txbx>
                    <wps:bodyPr wrap="none" lIns="0" tIns="0" rIns="0" bIns="0">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74RmQMQBAACPAwAADgAAAAAAAAABACAAAAAeAQAAZHJzL2Uyb0RvYy54bWxQ&#10;SwUGAAAAAAYABgBZAQAAVAUAAAAA&#10;">
              <v:fill on="f" focussize="0,0"/>
              <v:stroke on="f"/>
              <v:imagedata o:title=""/>
              <o:lock v:ext="edit" aspectratio="f"/>
              <v:textbox inset="0mm,0mm,0mm,0mm" style="mso-fit-shape-to-text:t;">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22</w:t>
                    </w:r>
                    <w:r>
                      <w:rPr>
                        <w:rFonts w:hint="eastAsia" w:asciiTheme="minorEastAsia" w:hAnsi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jc w:val="right"/>
      <w:rPr>
        <w:rFonts w:ascii="黑体" w:hAnsi="黑体" w:eastAsia="黑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jc w:val="right"/>
      <w:rPr>
        <w:rFonts w:ascii="黑体" w:hAnsi="黑体" w:eastAsia="黑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val="0"/>
      <w:snapToGrid w:val="0"/>
      <w:spacing w:after="283"/>
      <w:jc w:val="right"/>
      <w:textAlignment w:val="auto"/>
      <w:rPr>
        <w:rFonts w:ascii="黑体" w:hAnsi="黑体" w:eastAsia="黑体"/>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tabs>
        <w:tab w:val="left" w:pos="8400"/>
        <w:tab w:val="left" w:pos="9240"/>
      </w:tabs>
      <w:kinsoku/>
      <w:wordWrap/>
      <w:overflowPunct/>
      <w:topLinePunct w:val="0"/>
      <w:bidi w:val="0"/>
      <w:adjustRightInd/>
      <w:snapToGrid/>
      <w:spacing w:after="283"/>
      <w:ind w:right="113" w:rightChars="0"/>
      <w:jc w:val="right"/>
      <w:textAlignment w:val="auto"/>
      <w:rPr>
        <w:rFonts w:hint="eastAsia" w:ascii="黑体" w:hAnsi="黑体" w:eastAsia="黑体"/>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ind w:right="0"/>
      <w:jc w:val="left"/>
      <w:textAlignment w:val="auto"/>
      <w:rPr>
        <w:rFonts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ascii="黑体" w:hAnsi="黑体" w:eastAsia="黑体"/>
        <w:i w:val="0"/>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DC1670"/>
    <w:multiLevelType w:val="multilevel"/>
    <w:tmpl w:val="0BDC1670"/>
    <w:lvl w:ilvl="0" w:tentative="0">
      <w:start w:val="1"/>
      <w:numFmt w:val="decimal"/>
      <w:pStyle w:val="82"/>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91"/>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C5917C3"/>
    <w:multiLevelType w:val="multilevel"/>
    <w:tmpl w:val="2C5917C3"/>
    <w:lvl w:ilvl="0" w:tentative="0">
      <w:start w:val="1"/>
      <w:numFmt w:val="none"/>
      <w:suff w:val="nothing"/>
      <w:lvlText w:val="%1——"/>
      <w:lvlJc w:val="left"/>
      <w:pPr>
        <w:ind w:left="975" w:hanging="408"/>
      </w:pPr>
      <w:rPr>
        <w:rFonts w:hint="default" w:ascii="黑体" w:hAnsi="黑体" w:eastAsia="黑体" w:cs="黑体"/>
        <w:sz w:val="18"/>
        <w:lang w:val="en-US"/>
      </w:rPr>
    </w:lvl>
    <w:lvl w:ilvl="1" w:tentative="0">
      <w:start w:val="1"/>
      <w:numFmt w:val="bullet"/>
      <w:pStyle w:val="56"/>
      <w:lvlText w:val=""/>
      <w:lvlJc w:val="left"/>
      <w:pPr>
        <w:tabs>
          <w:tab w:val="left" w:pos="902"/>
        </w:tabs>
        <w:ind w:left="1406" w:hanging="413"/>
      </w:pPr>
      <w:rPr>
        <w:rFonts w:hint="default" w:ascii="Symbol" w:hAnsi="Symbol"/>
        <w:color w:val="auto"/>
      </w:rPr>
    </w:lvl>
    <w:lvl w:ilvl="2" w:tentative="0">
      <w:start w:val="1"/>
      <w:numFmt w:val="bullet"/>
      <w:lvlText w:val=""/>
      <w:lvlJc w:val="left"/>
      <w:pPr>
        <w:tabs>
          <w:tab w:val="left" w:pos="1820"/>
        </w:tabs>
        <w:ind w:left="1820" w:hanging="414"/>
      </w:pPr>
      <w:rPr>
        <w:rFonts w:hint="default" w:ascii="Symbol" w:hAnsi="Symbol"/>
        <w:color w:val="auto"/>
      </w:rPr>
    </w:lvl>
    <w:lvl w:ilvl="3" w:tentative="0">
      <w:start w:val="1"/>
      <w:numFmt w:val="decimal"/>
      <w:lvlText w:val="%4."/>
      <w:lvlJc w:val="left"/>
      <w:pPr>
        <w:tabs>
          <w:tab w:val="left" w:pos="2213"/>
        </w:tabs>
        <w:ind w:left="2026" w:hanging="528"/>
      </w:pPr>
      <w:rPr>
        <w:rFonts w:hint="eastAsia"/>
      </w:rPr>
    </w:lvl>
    <w:lvl w:ilvl="4" w:tentative="0">
      <w:start w:val="1"/>
      <w:numFmt w:val="lowerLetter"/>
      <w:lvlText w:val="%5)"/>
      <w:lvlJc w:val="left"/>
      <w:pPr>
        <w:tabs>
          <w:tab w:val="left" w:pos="2525"/>
        </w:tabs>
        <w:ind w:left="2338" w:hanging="528"/>
      </w:pPr>
      <w:rPr>
        <w:rFonts w:hint="eastAsia"/>
      </w:rPr>
    </w:lvl>
    <w:lvl w:ilvl="5" w:tentative="0">
      <w:start w:val="1"/>
      <w:numFmt w:val="lowerRoman"/>
      <w:lvlText w:val="%6."/>
      <w:lvlJc w:val="right"/>
      <w:pPr>
        <w:tabs>
          <w:tab w:val="left" w:pos="2837"/>
        </w:tabs>
        <w:ind w:left="2650" w:hanging="528"/>
      </w:pPr>
      <w:rPr>
        <w:rFonts w:hint="eastAsia"/>
      </w:rPr>
    </w:lvl>
    <w:lvl w:ilvl="6" w:tentative="0">
      <w:start w:val="1"/>
      <w:numFmt w:val="decimal"/>
      <w:lvlText w:val="%7."/>
      <w:lvlJc w:val="left"/>
      <w:pPr>
        <w:tabs>
          <w:tab w:val="left" w:pos="3149"/>
        </w:tabs>
        <w:ind w:left="2962" w:hanging="528"/>
      </w:pPr>
      <w:rPr>
        <w:rFonts w:hint="eastAsia"/>
      </w:rPr>
    </w:lvl>
    <w:lvl w:ilvl="7" w:tentative="0">
      <w:start w:val="1"/>
      <w:numFmt w:val="lowerLetter"/>
      <w:lvlText w:val="%8)"/>
      <w:lvlJc w:val="left"/>
      <w:pPr>
        <w:tabs>
          <w:tab w:val="left" w:pos="3461"/>
        </w:tabs>
        <w:ind w:left="3274" w:hanging="528"/>
      </w:pPr>
      <w:rPr>
        <w:rFonts w:hint="eastAsia"/>
      </w:rPr>
    </w:lvl>
    <w:lvl w:ilvl="8" w:tentative="0">
      <w:start w:val="1"/>
      <w:numFmt w:val="lowerRoman"/>
      <w:lvlText w:val="%9."/>
      <w:lvlJc w:val="right"/>
      <w:pPr>
        <w:tabs>
          <w:tab w:val="left" w:pos="3773"/>
        </w:tabs>
        <w:ind w:left="3586" w:hanging="528"/>
      </w:pPr>
      <w:rPr>
        <w:rFonts w:hint="eastAsia"/>
      </w:rPr>
    </w:lvl>
  </w:abstractNum>
  <w:abstractNum w:abstractNumId="4">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557C2AF5"/>
    <w:multiLevelType w:val="multilevel"/>
    <w:tmpl w:val="557C2AF5"/>
    <w:lvl w:ilvl="0" w:tentative="0">
      <w:start w:val="1"/>
      <w:numFmt w:val="decimal"/>
      <w:pStyle w:val="89"/>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6">
    <w:nsid w:val="5603797C"/>
    <w:multiLevelType w:val="multilevel"/>
    <w:tmpl w:val="5603797C"/>
    <w:lvl w:ilvl="0" w:tentative="0">
      <w:start w:val="1"/>
      <w:numFmt w:val="upperLetter"/>
      <w:pStyle w:val="95"/>
      <w:suff w:val="space"/>
      <w:lvlText w:val="%1"/>
      <w:lvlJc w:val="left"/>
      <w:pPr>
        <w:ind w:left="425" w:hanging="425"/>
      </w:pPr>
      <w:rPr>
        <w:rFonts w:hint="eastAsia"/>
      </w:rPr>
    </w:lvl>
    <w:lvl w:ilvl="1" w:tentative="0">
      <w:start w:val="1"/>
      <w:numFmt w:val="decimal"/>
      <w:pStyle w:val="84"/>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657D3FBC"/>
    <w:multiLevelType w:val="multilevel"/>
    <w:tmpl w:val="657D3FBC"/>
    <w:lvl w:ilvl="0" w:tentative="0">
      <w:start w:val="1"/>
      <w:numFmt w:val="upperLetter"/>
      <w:pStyle w:val="59"/>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9">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0">
    <w:nsid w:val="6DBF04F4"/>
    <w:multiLevelType w:val="multilevel"/>
    <w:tmpl w:val="6DBF04F4"/>
    <w:lvl w:ilvl="0" w:tentative="0">
      <w:start w:val="1"/>
      <w:numFmt w:val="none"/>
      <w:pStyle w:val="5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2"/>
  </w:num>
  <w:num w:numId="2">
    <w:abstractNumId w:val="1"/>
  </w:num>
  <w:num w:numId="3">
    <w:abstractNumId w:val="3"/>
  </w:num>
  <w:num w:numId="4">
    <w:abstractNumId w:val="10"/>
  </w:num>
  <w:num w:numId="5">
    <w:abstractNumId w:val="8"/>
  </w:num>
  <w:num w:numId="6">
    <w:abstractNumId w:val="7"/>
  </w:num>
  <w:num w:numId="7">
    <w:abstractNumId w:val="9"/>
  </w:num>
  <w:num w:numId="8">
    <w:abstractNumId w:val="4"/>
  </w:num>
  <w:num w:numId="9">
    <w:abstractNumId w:val="0"/>
  </w:num>
  <w:num w:numId="10">
    <w:abstractNumId w:val="6"/>
  </w:num>
  <w:num w:numId="11">
    <w:abstractNumId w:val="5"/>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1"/>
  <w:bordersDoNotSurroundHeader w:val="1"/>
  <w:bordersDoNotSurroundFooter w:val="1"/>
  <w:documentProtection w:edit="trackedChanges"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xMDg2ZDVmODAxZDIyMjVlZjY0Zjk3MTNiYWIwMTc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27E66"/>
    <w:rsid w:val="00133094"/>
    <w:rsid w:val="001407B2"/>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50"/>
    <w:rsid w:val="002517ED"/>
    <w:rsid w:val="00262444"/>
    <w:rsid w:val="00276A28"/>
    <w:rsid w:val="002829F1"/>
    <w:rsid w:val="0028337F"/>
    <w:rsid w:val="002841F6"/>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27F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52E7"/>
    <w:rsid w:val="00407B9E"/>
    <w:rsid w:val="00417738"/>
    <w:rsid w:val="0042003E"/>
    <w:rsid w:val="004212D3"/>
    <w:rsid w:val="00422051"/>
    <w:rsid w:val="0042333A"/>
    <w:rsid w:val="00423A34"/>
    <w:rsid w:val="00426BC8"/>
    <w:rsid w:val="00430DD2"/>
    <w:rsid w:val="004370C0"/>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2922"/>
    <w:rsid w:val="004D424C"/>
    <w:rsid w:val="004D5B9A"/>
    <w:rsid w:val="004E01DA"/>
    <w:rsid w:val="004E0A54"/>
    <w:rsid w:val="004E3E2D"/>
    <w:rsid w:val="004E4186"/>
    <w:rsid w:val="004E4DE6"/>
    <w:rsid w:val="004F0C75"/>
    <w:rsid w:val="004F3DCC"/>
    <w:rsid w:val="00506EF4"/>
    <w:rsid w:val="005102EF"/>
    <w:rsid w:val="0051035E"/>
    <w:rsid w:val="00510EBE"/>
    <w:rsid w:val="005122CD"/>
    <w:rsid w:val="00520237"/>
    <w:rsid w:val="00523728"/>
    <w:rsid w:val="00524CE2"/>
    <w:rsid w:val="0053086A"/>
    <w:rsid w:val="00534D92"/>
    <w:rsid w:val="00536AD1"/>
    <w:rsid w:val="00540818"/>
    <w:rsid w:val="00542910"/>
    <w:rsid w:val="00546657"/>
    <w:rsid w:val="0055247E"/>
    <w:rsid w:val="00554600"/>
    <w:rsid w:val="0055478B"/>
    <w:rsid w:val="005606B4"/>
    <w:rsid w:val="00563D0F"/>
    <w:rsid w:val="005701EA"/>
    <w:rsid w:val="00575480"/>
    <w:rsid w:val="00590F6A"/>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433A"/>
    <w:rsid w:val="006E6B90"/>
    <w:rsid w:val="006F2253"/>
    <w:rsid w:val="00705B6D"/>
    <w:rsid w:val="0070744F"/>
    <w:rsid w:val="007078CB"/>
    <w:rsid w:val="00711344"/>
    <w:rsid w:val="00711444"/>
    <w:rsid w:val="00716D47"/>
    <w:rsid w:val="00717C25"/>
    <w:rsid w:val="00720335"/>
    <w:rsid w:val="00721D42"/>
    <w:rsid w:val="00723CE8"/>
    <w:rsid w:val="00724CC3"/>
    <w:rsid w:val="00732CFF"/>
    <w:rsid w:val="00732DD3"/>
    <w:rsid w:val="00733FAB"/>
    <w:rsid w:val="00734A6B"/>
    <w:rsid w:val="00736BCB"/>
    <w:rsid w:val="007373F7"/>
    <w:rsid w:val="00737B19"/>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687"/>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4A"/>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0693"/>
    <w:rsid w:val="0096181B"/>
    <w:rsid w:val="00961EC7"/>
    <w:rsid w:val="00970C6E"/>
    <w:rsid w:val="00975728"/>
    <w:rsid w:val="00992159"/>
    <w:rsid w:val="0099488E"/>
    <w:rsid w:val="009956AD"/>
    <w:rsid w:val="00996CA4"/>
    <w:rsid w:val="009A18CB"/>
    <w:rsid w:val="009A67D7"/>
    <w:rsid w:val="009A7D1D"/>
    <w:rsid w:val="009B2735"/>
    <w:rsid w:val="009B2CB0"/>
    <w:rsid w:val="009B4596"/>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12FF2"/>
    <w:rsid w:val="00A25BFF"/>
    <w:rsid w:val="00A26884"/>
    <w:rsid w:val="00A27283"/>
    <w:rsid w:val="00A2795C"/>
    <w:rsid w:val="00A31209"/>
    <w:rsid w:val="00A32E92"/>
    <w:rsid w:val="00A35EAE"/>
    <w:rsid w:val="00A41559"/>
    <w:rsid w:val="00A415A9"/>
    <w:rsid w:val="00A421AD"/>
    <w:rsid w:val="00A516F3"/>
    <w:rsid w:val="00A52074"/>
    <w:rsid w:val="00A561C6"/>
    <w:rsid w:val="00A62CE9"/>
    <w:rsid w:val="00A634E6"/>
    <w:rsid w:val="00A66329"/>
    <w:rsid w:val="00A7056C"/>
    <w:rsid w:val="00A713B5"/>
    <w:rsid w:val="00A72549"/>
    <w:rsid w:val="00A72B72"/>
    <w:rsid w:val="00A72EC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E6B7B"/>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3DF"/>
    <w:rsid w:val="00BA7E3E"/>
    <w:rsid w:val="00BB0517"/>
    <w:rsid w:val="00BC34A7"/>
    <w:rsid w:val="00BC6585"/>
    <w:rsid w:val="00BC76F2"/>
    <w:rsid w:val="00BD3F71"/>
    <w:rsid w:val="00BD44B5"/>
    <w:rsid w:val="00BE3067"/>
    <w:rsid w:val="00BE3C8C"/>
    <w:rsid w:val="00BE537A"/>
    <w:rsid w:val="00BE6581"/>
    <w:rsid w:val="00BF4AEF"/>
    <w:rsid w:val="00C042FA"/>
    <w:rsid w:val="00C1161C"/>
    <w:rsid w:val="00C16AD7"/>
    <w:rsid w:val="00C20320"/>
    <w:rsid w:val="00C2384C"/>
    <w:rsid w:val="00C245B1"/>
    <w:rsid w:val="00C27A7C"/>
    <w:rsid w:val="00C30043"/>
    <w:rsid w:val="00C33755"/>
    <w:rsid w:val="00C342C8"/>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7D2"/>
    <w:rsid w:val="00C67BC0"/>
    <w:rsid w:val="00C7008A"/>
    <w:rsid w:val="00C72B93"/>
    <w:rsid w:val="00C7460A"/>
    <w:rsid w:val="00C774B2"/>
    <w:rsid w:val="00C83947"/>
    <w:rsid w:val="00C84D5C"/>
    <w:rsid w:val="00C91A53"/>
    <w:rsid w:val="00C93A0F"/>
    <w:rsid w:val="00C93CF3"/>
    <w:rsid w:val="00CA19FD"/>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1392"/>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534"/>
    <w:rsid w:val="00E55655"/>
    <w:rsid w:val="00E621A8"/>
    <w:rsid w:val="00E72AA8"/>
    <w:rsid w:val="00E72BBB"/>
    <w:rsid w:val="00E81B66"/>
    <w:rsid w:val="00E8389F"/>
    <w:rsid w:val="00E84983"/>
    <w:rsid w:val="00E8635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1C32"/>
    <w:rsid w:val="00F12CCA"/>
    <w:rsid w:val="00F16A12"/>
    <w:rsid w:val="00F16BA1"/>
    <w:rsid w:val="00F200FB"/>
    <w:rsid w:val="00F233DA"/>
    <w:rsid w:val="00F26471"/>
    <w:rsid w:val="00F31218"/>
    <w:rsid w:val="00F31443"/>
    <w:rsid w:val="00F435EB"/>
    <w:rsid w:val="00F535DE"/>
    <w:rsid w:val="00F55043"/>
    <w:rsid w:val="00F57198"/>
    <w:rsid w:val="00F63CB5"/>
    <w:rsid w:val="00F65D80"/>
    <w:rsid w:val="00F7039A"/>
    <w:rsid w:val="00F71261"/>
    <w:rsid w:val="00F74A9C"/>
    <w:rsid w:val="00F770EC"/>
    <w:rsid w:val="00F7776A"/>
    <w:rsid w:val="00F8342A"/>
    <w:rsid w:val="00F83E98"/>
    <w:rsid w:val="00F86029"/>
    <w:rsid w:val="00F87873"/>
    <w:rsid w:val="00F936A8"/>
    <w:rsid w:val="00F9473B"/>
    <w:rsid w:val="00F95647"/>
    <w:rsid w:val="00FA7729"/>
    <w:rsid w:val="00FB2A20"/>
    <w:rsid w:val="00FB2C86"/>
    <w:rsid w:val="00FB5098"/>
    <w:rsid w:val="00FB5530"/>
    <w:rsid w:val="00FB5A01"/>
    <w:rsid w:val="00FC330A"/>
    <w:rsid w:val="00FC4373"/>
    <w:rsid w:val="00FC741B"/>
    <w:rsid w:val="00FC7C26"/>
    <w:rsid w:val="00FD0995"/>
    <w:rsid w:val="00FD4916"/>
    <w:rsid w:val="00FD6E30"/>
    <w:rsid w:val="00FE06BE"/>
    <w:rsid w:val="00FE26D3"/>
    <w:rsid w:val="00FE6BAA"/>
    <w:rsid w:val="00FE7CB2"/>
    <w:rsid w:val="00FF10CC"/>
    <w:rsid w:val="00FF2E8A"/>
    <w:rsid w:val="00FF47E6"/>
    <w:rsid w:val="02670DCF"/>
    <w:rsid w:val="043164D2"/>
    <w:rsid w:val="04DB69C7"/>
    <w:rsid w:val="075B0156"/>
    <w:rsid w:val="078D3A1F"/>
    <w:rsid w:val="08D94A4A"/>
    <w:rsid w:val="09332050"/>
    <w:rsid w:val="09652865"/>
    <w:rsid w:val="097D0BE9"/>
    <w:rsid w:val="097D3D26"/>
    <w:rsid w:val="0A481364"/>
    <w:rsid w:val="0ADA2F69"/>
    <w:rsid w:val="0AE10BBF"/>
    <w:rsid w:val="0B4B7E79"/>
    <w:rsid w:val="0BBA5614"/>
    <w:rsid w:val="0BBD0185"/>
    <w:rsid w:val="0CC13A5C"/>
    <w:rsid w:val="0D011260"/>
    <w:rsid w:val="10480E2B"/>
    <w:rsid w:val="10F22B45"/>
    <w:rsid w:val="10FF162B"/>
    <w:rsid w:val="11B767B9"/>
    <w:rsid w:val="11EA4A5D"/>
    <w:rsid w:val="123426ED"/>
    <w:rsid w:val="132F1E5C"/>
    <w:rsid w:val="1330335A"/>
    <w:rsid w:val="1461426A"/>
    <w:rsid w:val="14AB42D7"/>
    <w:rsid w:val="159863B1"/>
    <w:rsid w:val="1614131D"/>
    <w:rsid w:val="16B6476F"/>
    <w:rsid w:val="18A40BC9"/>
    <w:rsid w:val="1986454E"/>
    <w:rsid w:val="19D653D3"/>
    <w:rsid w:val="1AF62448"/>
    <w:rsid w:val="1CE617B0"/>
    <w:rsid w:val="1D475092"/>
    <w:rsid w:val="1E901E0D"/>
    <w:rsid w:val="1F3709E9"/>
    <w:rsid w:val="1F5511FE"/>
    <w:rsid w:val="1F791B4A"/>
    <w:rsid w:val="1FF922F7"/>
    <w:rsid w:val="203A6C9D"/>
    <w:rsid w:val="20F0258D"/>
    <w:rsid w:val="235D1A58"/>
    <w:rsid w:val="23893375"/>
    <w:rsid w:val="23D049E7"/>
    <w:rsid w:val="24F31A54"/>
    <w:rsid w:val="262E49A9"/>
    <w:rsid w:val="27822A1D"/>
    <w:rsid w:val="291C47AB"/>
    <w:rsid w:val="299E589B"/>
    <w:rsid w:val="2A9E6EDA"/>
    <w:rsid w:val="2AC259E9"/>
    <w:rsid w:val="2B8B2FAB"/>
    <w:rsid w:val="2C385DA0"/>
    <w:rsid w:val="2F033AB7"/>
    <w:rsid w:val="2FC604F2"/>
    <w:rsid w:val="30512DC8"/>
    <w:rsid w:val="305807BF"/>
    <w:rsid w:val="30BA0FA5"/>
    <w:rsid w:val="32697E49"/>
    <w:rsid w:val="355276CD"/>
    <w:rsid w:val="37875802"/>
    <w:rsid w:val="397A5D84"/>
    <w:rsid w:val="3A38257A"/>
    <w:rsid w:val="3A773D1D"/>
    <w:rsid w:val="3B337E5E"/>
    <w:rsid w:val="3D6F398A"/>
    <w:rsid w:val="3D9E1027"/>
    <w:rsid w:val="3EC84D62"/>
    <w:rsid w:val="3FCB4391"/>
    <w:rsid w:val="407103DB"/>
    <w:rsid w:val="42511A72"/>
    <w:rsid w:val="42CE66BF"/>
    <w:rsid w:val="432D5ADB"/>
    <w:rsid w:val="455B5C08"/>
    <w:rsid w:val="45E5444B"/>
    <w:rsid w:val="46024881"/>
    <w:rsid w:val="46432AD9"/>
    <w:rsid w:val="46B93490"/>
    <w:rsid w:val="491679AE"/>
    <w:rsid w:val="4D7C7F66"/>
    <w:rsid w:val="4E497F1B"/>
    <w:rsid w:val="4E72372F"/>
    <w:rsid w:val="4E826BA1"/>
    <w:rsid w:val="4FB262DF"/>
    <w:rsid w:val="502913D8"/>
    <w:rsid w:val="502F3499"/>
    <w:rsid w:val="506A1CDA"/>
    <w:rsid w:val="513145D7"/>
    <w:rsid w:val="52013E99"/>
    <w:rsid w:val="52884ADC"/>
    <w:rsid w:val="53946629"/>
    <w:rsid w:val="54EF45B2"/>
    <w:rsid w:val="561C68FE"/>
    <w:rsid w:val="56FA05E0"/>
    <w:rsid w:val="57205312"/>
    <w:rsid w:val="575B4970"/>
    <w:rsid w:val="59BD4D98"/>
    <w:rsid w:val="5AA42EE1"/>
    <w:rsid w:val="5ADD04B0"/>
    <w:rsid w:val="5D9E6F62"/>
    <w:rsid w:val="5E127A94"/>
    <w:rsid w:val="5EC2103E"/>
    <w:rsid w:val="5F3651D2"/>
    <w:rsid w:val="61E0223F"/>
    <w:rsid w:val="62275A9D"/>
    <w:rsid w:val="62A274F4"/>
    <w:rsid w:val="63473BF7"/>
    <w:rsid w:val="64490C49"/>
    <w:rsid w:val="66832C22"/>
    <w:rsid w:val="68706054"/>
    <w:rsid w:val="688A0DE6"/>
    <w:rsid w:val="68917B90"/>
    <w:rsid w:val="68F02F9E"/>
    <w:rsid w:val="691D1DC4"/>
    <w:rsid w:val="6A4626EF"/>
    <w:rsid w:val="6ADF74D7"/>
    <w:rsid w:val="6BCA186A"/>
    <w:rsid w:val="6C0563E5"/>
    <w:rsid w:val="6C6C0C3F"/>
    <w:rsid w:val="6C89702F"/>
    <w:rsid w:val="6DAD049D"/>
    <w:rsid w:val="6ECD387A"/>
    <w:rsid w:val="6F2F03DB"/>
    <w:rsid w:val="6FF139B8"/>
    <w:rsid w:val="72127AC6"/>
    <w:rsid w:val="748E5C99"/>
    <w:rsid w:val="74BF2C7A"/>
    <w:rsid w:val="75682D8E"/>
    <w:rsid w:val="75A31161"/>
    <w:rsid w:val="75D25B10"/>
    <w:rsid w:val="76442929"/>
    <w:rsid w:val="76C27A63"/>
    <w:rsid w:val="76CF5F86"/>
    <w:rsid w:val="795409C4"/>
    <w:rsid w:val="7AF60F49"/>
    <w:rsid w:val="7BBE3424"/>
    <w:rsid w:val="7E0328BC"/>
    <w:rsid w:val="7FAC1FBF"/>
    <w:rsid w:val="7FF57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1"/>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8"/>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style>
  <w:style w:type="paragraph" w:styleId="6">
    <w:name w:val="Normal Indent"/>
    <w:basedOn w:val="1"/>
    <w:next w:val="7"/>
    <w:autoRedefine/>
    <w:qFormat/>
    <w:uiPriority w:val="0"/>
    <w:pPr>
      <w:ind w:firstLine="420"/>
    </w:pPr>
  </w:style>
  <w:style w:type="paragraph" w:styleId="7">
    <w:name w:val="envelope return"/>
    <w:basedOn w:val="1"/>
    <w:autoRedefine/>
    <w:qFormat/>
    <w:uiPriority w:val="0"/>
    <w:pPr>
      <w:snapToGrid w:val="0"/>
    </w:pPr>
    <w:rPr>
      <w:rFonts w:ascii="Arial" w:hAnsi="Arial" w:eastAsia="仿宋_GB2312"/>
      <w:sz w:val="32"/>
    </w:rPr>
  </w:style>
  <w:style w:type="paragraph" w:styleId="8">
    <w:name w:val="annotation text"/>
    <w:basedOn w:val="1"/>
    <w:autoRedefine/>
    <w:semiHidden/>
    <w:unhideWhenUsed/>
    <w:qFormat/>
    <w:uiPriority w:val="99"/>
    <w:pPr>
      <w:jc w:val="left"/>
    </w:pPr>
  </w:style>
  <w:style w:type="paragraph" w:styleId="9">
    <w:name w:val="toc 3"/>
    <w:basedOn w:val="1"/>
    <w:next w:val="1"/>
    <w:autoRedefine/>
    <w:unhideWhenUsed/>
    <w:qFormat/>
    <w:uiPriority w:val="39"/>
    <w:pPr>
      <w:ind w:left="840" w:leftChars="400"/>
    </w:pPr>
  </w:style>
  <w:style w:type="paragraph" w:styleId="10">
    <w:name w:val="Date"/>
    <w:basedOn w:val="1"/>
    <w:next w:val="1"/>
    <w:link w:val="46"/>
    <w:autoRedefine/>
    <w:semiHidden/>
    <w:unhideWhenUsed/>
    <w:qFormat/>
    <w:uiPriority w:val="99"/>
    <w:pPr>
      <w:ind w:left="100" w:leftChars="2500"/>
    </w:pPr>
  </w:style>
  <w:style w:type="paragraph" w:styleId="11">
    <w:name w:val="Body Text Indent 2"/>
    <w:basedOn w:val="1"/>
    <w:link w:val="39"/>
    <w:autoRedefine/>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autoRedefine/>
    <w:semiHidden/>
    <w:unhideWhenUsed/>
    <w:qFormat/>
    <w:uiPriority w:val="99"/>
    <w:rPr>
      <w:sz w:val="18"/>
      <w:szCs w:val="18"/>
    </w:rPr>
  </w:style>
  <w:style w:type="paragraph" w:styleId="13">
    <w:name w:val="footer"/>
    <w:basedOn w:val="1"/>
    <w:link w:val="26"/>
    <w:autoRedefine/>
    <w:unhideWhenUsed/>
    <w:qFormat/>
    <w:uiPriority w:val="99"/>
    <w:pPr>
      <w:tabs>
        <w:tab w:val="center" w:pos="4153"/>
        <w:tab w:val="right" w:pos="8306"/>
      </w:tabs>
      <w:snapToGrid w:val="0"/>
      <w:jc w:val="left"/>
    </w:pPr>
    <w:rPr>
      <w:sz w:val="18"/>
      <w:szCs w:val="18"/>
    </w:rPr>
  </w:style>
  <w:style w:type="paragraph" w:styleId="14">
    <w:name w:val="header"/>
    <w:basedOn w:val="1"/>
    <w:link w:val="2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style>
  <w:style w:type="paragraph" w:styleId="16">
    <w:name w:val="Subtitle"/>
    <w:basedOn w:val="1"/>
    <w:next w:val="1"/>
    <w:link w:val="35"/>
    <w:autoRedefine/>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autoRedefine/>
    <w:unhideWhenUsed/>
    <w:qFormat/>
    <w:uiPriority w:val="39"/>
    <w:pPr>
      <w:tabs>
        <w:tab w:val="right" w:leader="dot" w:pos="9344"/>
      </w:tabs>
      <w:ind w:left="420" w:leftChars="200"/>
    </w:pPr>
  </w:style>
  <w:style w:type="paragraph" w:styleId="18">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basedOn w:val="22"/>
    <w:autoRedefine/>
    <w:unhideWhenUsed/>
    <w:qFormat/>
    <w:uiPriority w:val="99"/>
    <w:rPr>
      <w:color w:val="0000FF" w:themeColor="hyperlink"/>
      <w:u w:val="single"/>
      <w14:textFill>
        <w14:solidFill>
          <w14:schemeClr w14:val="hlink"/>
        </w14:solidFill>
      </w14:textFill>
    </w:rPr>
  </w:style>
  <w:style w:type="character" w:styleId="24">
    <w:name w:val="annotation reference"/>
    <w:basedOn w:val="22"/>
    <w:autoRedefine/>
    <w:semiHidden/>
    <w:unhideWhenUsed/>
    <w:qFormat/>
    <w:uiPriority w:val="99"/>
    <w:rPr>
      <w:sz w:val="21"/>
      <w:szCs w:val="21"/>
    </w:rPr>
  </w:style>
  <w:style w:type="character" w:customStyle="1" w:styleId="25">
    <w:name w:val="页眉 Char"/>
    <w:basedOn w:val="22"/>
    <w:link w:val="14"/>
    <w:autoRedefine/>
    <w:qFormat/>
    <w:uiPriority w:val="99"/>
    <w:rPr>
      <w:sz w:val="18"/>
      <w:szCs w:val="18"/>
    </w:rPr>
  </w:style>
  <w:style w:type="character" w:customStyle="1" w:styleId="26">
    <w:name w:val="页脚 Char"/>
    <w:basedOn w:val="22"/>
    <w:link w:val="13"/>
    <w:autoRedefine/>
    <w:qFormat/>
    <w:uiPriority w:val="99"/>
    <w:rPr>
      <w:sz w:val="18"/>
      <w:szCs w:val="18"/>
    </w:rPr>
  </w:style>
  <w:style w:type="character" w:customStyle="1" w:styleId="27">
    <w:name w:val="批注框文本 Char"/>
    <w:basedOn w:val="22"/>
    <w:link w:val="12"/>
    <w:autoRedefine/>
    <w:semiHidden/>
    <w:qFormat/>
    <w:uiPriority w:val="99"/>
    <w:rPr>
      <w:sz w:val="18"/>
      <w:szCs w:val="18"/>
    </w:rPr>
  </w:style>
  <w:style w:type="paragraph" w:styleId="28">
    <w:name w:val="List Paragraph"/>
    <w:basedOn w:val="1"/>
    <w:autoRedefine/>
    <w:qFormat/>
    <w:uiPriority w:val="34"/>
    <w:pPr>
      <w:ind w:firstLine="420" w:firstLineChars="200"/>
    </w:pPr>
  </w:style>
  <w:style w:type="paragraph" w:customStyle="1" w:styleId="29">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Char"/>
    <w:basedOn w:val="22"/>
    <w:link w:val="3"/>
    <w:autoRedefine/>
    <w:qFormat/>
    <w:uiPriority w:val="99"/>
    <w:rPr>
      <w:rFonts w:ascii="Calibri" w:hAnsi="Calibri" w:eastAsia="宋体" w:cs="Times New Roman"/>
      <w:b/>
      <w:bCs/>
      <w:kern w:val="44"/>
      <w:sz w:val="44"/>
      <w:szCs w:val="44"/>
    </w:rPr>
  </w:style>
  <w:style w:type="paragraph" w:styleId="32">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autoRedefine/>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Char"/>
    <w:basedOn w:val="22"/>
    <w:link w:val="16"/>
    <w:autoRedefine/>
    <w:qFormat/>
    <w:uiPriority w:val="11"/>
    <w:rPr>
      <w:rFonts w:eastAsia="宋体" w:asciiTheme="majorHAnsi" w:hAnsiTheme="majorHAnsi" w:cstheme="majorBidi"/>
      <w:b/>
      <w:bCs/>
      <w:kern w:val="28"/>
      <w:sz w:val="32"/>
      <w:szCs w:val="32"/>
    </w:rPr>
  </w:style>
  <w:style w:type="character" w:customStyle="1" w:styleId="36">
    <w:name w:val="标题 Char"/>
    <w:basedOn w:val="22"/>
    <w:link w:val="19"/>
    <w:autoRedefine/>
    <w:qFormat/>
    <w:uiPriority w:val="10"/>
    <w:rPr>
      <w:rFonts w:eastAsia="宋体" w:asciiTheme="majorHAnsi" w:hAnsiTheme="majorHAnsi" w:cstheme="majorBidi"/>
      <w:b/>
      <w:bCs/>
      <w:sz w:val="32"/>
      <w:szCs w:val="32"/>
    </w:rPr>
  </w:style>
  <w:style w:type="character" w:customStyle="1" w:styleId="37">
    <w:name w:val="标题 2 Char"/>
    <w:basedOn w:val="22"/>
    <w:link w:val="4"/>
    <w:autoRedefine/>
    <w:qFormat/>
    <w:uiPriority w:val="9"/>
    <w:rPr>
      <w:rFonts w:asciiTheme="majorHAnsi" w:hAnsiTheme="majorHAnsi" w:eastAsiaTheme="majorEastAsia" w:cstheme="majorBidi"/>
      <w:b/>
      <w:bCs/>
      <w:sz w:val="32"/>
      <w:szCs w:val="32"/>
    </w:rPr>
  </w:style>
  <w:style w:type="character" w:customStyle="1" w:styleId="38">
    <w:name w:val="标题 3 Char"/>
    <w:basedOn w:val="22"/>
    <w:link w:val="5"/>
    <w:autoRedefine/>
    <w:semiHidden/>
    <w:qFormat/>
    <w:uiPriority w:val="9"/>
    <w:rPr>
      <w:b/>
      <w:bCs/>
      <w:sz w:val="32"/>
      <w:szCs w:val="32"/>
    </w:rPr>
  </w:style>
  <w:style w:type="character" w:customStyle="1" w:styleId="39">
    <w:name w:val="正文文本缩进 2 Char"/>
    <w:basedOn w:val="22"/>
    <w:link w:val="11"/>
    <w:autoRedefine/>
    <w:qFormat/>
    <w:uiPriority w:val="0"/>
    <w:rPr>
      <w:rFonts w:ascii="宋体" w:hAnsi="宋体" w:eastAsia="宋体" w:cs="Times New Roman"/>
      <w:snapToGrid w:val="0"/>
      <w:kern w:val="0"/>
      <w:szCs w:val="24"/>
    </w:rPr>
  </w:style>
  <w:style w:type="paragraph" w:customStyle="1" w:styleId="40">
    <w:name w:val="三级条标题"/>
    <w:basedOn w:val="1"/>
    <w:next w:val="1"/>
    <w:autoRedefine/>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autoRedefine/>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autoRedefine/>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autoRedefine/>
    <w:qFormat/>
    <w:uiPriority w:val="0"/>
  </w:style>
  <w:style w:type="character" w:customStyle="1" w:styleId="45">
    <w:name w:val="ordinary-span-edit2"/>
    <w:basedOn w:val="22"/>
    <w:autoRedefine/>
    <w:qFormat/>
    <w:uiPriority w:val="0"/>
  </w:style>
  <w:style w:type="character" w:customStyle="1" w:styleId="46">
    <w:name w:val="日期 Char"/>
    <w:basedOn w:val="22"/>
    <w:link w:val="10"/>
    <w:autoRedefine/>
    <w:semiHidden/>
    <w:qFormat/>
    <w:uiPriority w:val="99"/>
  </w:style>
  <w:style w:type="paragraph" w:customStyle="1" w:styleId="47">
    <w:name w:val="正文1"/>
    <w:autoRedefine/>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autoRedefine/>
    <w:qFormat/>
    <w:uiPriority w:val="0"/>
    <w:rPr>
      <w:rFonts w:hint="default" w:ascii="Times New Roman" w:hAnsi="Times New Roman" w:cs="Times New Roman"/>
      <w:sz w:val="20"/>
      <w:szCs w:val="20"/>
      <w:u w:val="none"/>
    </w:rPr>
  </w:style>
  <w:style w:type="paragraph" w:customStyle="1" w:styleId="49">
    <w:name w:val="标准文件_前言、引言标题"/>
    <w:next w:val="1"/>
    <w:autoRedefine/>
    <w:qFormat/>
    <w:uiPriority w:val="0"/>
    <w:p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autoRedefine/>
    <w:qFormat/>
    <w:uiPriority w:val="0"/>
    <w:pPr>
      <w:numPr>
        <w:ilvl w:val="0"/>
        <w:numId w:val="1"/>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1">
    <w:name w:val="段"/>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autoRedefine/>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autoRedefine/>
    <w:qFormat/>
    <w:uiPriority w:val="0"/>
    <w:pPr>
      <w:spacing w:before="0" w:beforeLines="0" w:after="0" w:afterLines="0"/>
    </w:pPr>
    <w:rPr>
      <w:rFonts w:ascii="宋体" w:eastAsia="宋体"/>
    </w:rPr>
  </w:style>
  <w:style w:type="paragraph" w:customStyle="1" w:styleId="54">
    <w:name w:val="二级条标题"/>
    <w:basedOn w:val="52"/>
    <w:next w:val="51"/>
    <w:autoRedefine/>
    <w:qFormat/>
    <w:uiPriority w:val="0"/>
    <w:pPr>
      <w:numPr>
        <w:ilvl w:val="2"/>
      </w:numPr>
      <w:spacing w:before="50" w:after="50"/>
      <w:outlineLvl w:val="3"/>
    </w:pPr>
  </w:style>
  <w:style w:type="paragraph" w:customStyle="1" w:styleId="55">
    <w:name w:val="字母编号列项（一级）"/>
    <w:autoRedefine/>
    <w:qFormat/>
    <w:uiPriority w:val="0"/>
    <w:pPr>
      <w:numPr>
        <w:ilvl w:val="0"/>
        <w:numId w:val="2"/>
      </w:numPr>
      <w:jc w:val="both"/>
    </w:pPr>
    <w:rPr>
      <w:rFonts w:ascii="宋体" w:hAnsi="Times New Roman" w:eastAsia="宋体" w:cs="Times New Roman"/>
      <w:sz w:val="21"/>
      <w:lang w:val="en-US" w:eastAsia="zh-CN" w:bidi="ar-SA"/>
    </w:rPr>
  </w:style>
  <w:style w:type="paragraph" w:customStyle="1" w:styleId="56">
    <w:name w:val="列项●（二级）"/>
    <w:autoRedefine/>
    <w:qFormat/>
    <w:uiPriority w:val="0"/>
    <w:pPr>
      <w:numPr>
        <w:ilvl w:val="1"/>
        <w:numId w:val="3"/>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autoRedefine/>
    <w:qFormat/>
    <w:uiPriority w:val="0"/>
  </w:style>
  <w:style w:type="paragraph" w:customStyle="1" w:styleId="58">
    <w:name w:val="注："/>
    <w:next w:val="51"/>
    <w:autoRedefine/>
    <w:qFormat/>
    <w:uiPriority w:val="0"/>
    <w:pPr>
      <w:widowControl w:val="0"/>
      <w:numPr>
        <w:ilvl w:val="0"/>
        <w:numId w:val="4"/>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autoRedefine/>
    <w:qFormat/>
    <w:uiPriority w:val="0"/>
    <w:pPr>
      <w:keepNext/>
      <w:widowControl/>
      <w:numPr>
        <w:ilvl w:val="0"/>
        <w:numId w:val="5"/>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autoRedefine/>
    <w:qFormat/>
    <w:uiPriority w:val="0"/>
    <w:pPr>
      <w:numPr>
        <w:ilvl w:val="0"/>
        <w:numId w:val="6"/>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autoRedefine/>
    <w:qFormat/>
    <w:uiPriority w:val="0"/>
    <w:rPr>
      <w:rFonts w:ascii="宋体" w:hAnsi="宋体" w:cs="宋体"/>
      <w:sz w:val="19"/>
      <w:szCs w:val="19"/>
      <w:lang w:val="zh-CN" w:bidi="zh-CN"/>
    </w:rPr>
  </w:style>
  <w:style w:type="paragraph" w:customStyle="1" w:styleId="62">
    <w:name w:val="终结线"/>
    <w:basedOn w:val="1"/>
    <w:autoRedefine/>
    <w:qFormat/>
    <w:uiPriority w:val="0"/>
    <w:pPr>
      <w:framePr w:hSpace="181" w:vSpace="181" w:wrap="around" w:vAnchor="text" w:hAnchor="margin" w:xAlign="center" w:y="285"/>
    </w:pPr>
  </w:style>
  <w:style w:type="paragraph" w:customStyle="1" w:styleId="63">
    <w:name w:val="标准文件_术语条一"/>
    <w:basedOn w:val="64"/>
    <w:next w:val="67"/>
    <w:autoRedefine/>
    <w:qFormat/>
    <w:uiPriority w:val="0"/>
  </w:style>
  <w:style w:type="paragraph" w:customStyle="1" w:styleId="64">
    <w:name w:val="标准文件_一级无标题"/>
    <w:basedOn w:val="65"/>
    <w:autoRedefine/>
    <w:qFormat/>
    <w:uiPriority w:val="0"/>
    <w:pPr>
      <w:spacing w:before="0" w:beforeLines="0" w:after="0" w:afterLines="0"/>
      <w:outlineLvl w:val="9"/>
    </w:pPr>
    <w:rPr>
      <w:rFonts w:ascii="宋体" w:eastAsia="宋体"/>
    </w:rPr>
  </w:style>
  <w:style w:type="paragraph" w:customStyle="1" w:styleId="65">
    <w:name w:val="标准文件_一级条标题"/>
    <w:basedOn w:val="66"/>
    <w:next w:val="67"/>
    <w:autoRedefine/>
    <w:qFormat/>
    <w:uiPriority w:val="0"/>
    <w:pPr>
      <w:numPr>
        <w:ilvl w:val="2"/>
      </w:numPr>
      <w:spacing w:before="50" w:beforeLines="50" w:after="50" w:afterLines="50"/>
      <w:outlineLvl w:val="1"/>
    </w:pPr>
  </w:style>
  <w:style w:type="paragraph" w:customStyle="1" w:styleId="66">
    <w:name w:val="标准文件_章标题"/>
    <w:next w:val="67"/>
    <w:autoRedefine/>
    <w:qFormat/>
    <w:uiPriority w:val="0"/>
    <w:pPr>
      <w:numPr>
        <w:ilvl w:val="1"/>
        <w:numId w:val="7"/>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link w:val="80"/>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autoRedefine/>
    <w:qFormat/>
    <w:uiPriority w:val="0"/>
    <w:pPr>
      <w:spacing w:before="0" w:beforeLines="0" w:after="0" w:afterLines="0"/>
      <w:outlineLvl w:val="9"/>
    </w:pPr>
    <w:rPr>
      <w:rFonts w:ascii="宋体" w:eastAsia="宋体"/>
    </w:rPr>
  </w:style>
  <w:style w:type="paragraph" w:customStyle="1" w:styleId="69">
    <w:name w:val="标准文件_二级条标题"/>
    <w:next w:val="67"/>
    <w:autoRedefine/>
    <w:qFormat/>
    <w:uiPriority w:val="0"/>
    <w:pPr>
      <w:widowControl w:val="0"/>
      <w:numPr>
        <w:ilvl w:val="3"/>
        <w:numId w:val="7"/>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autoRedefine/>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autoRedefine/>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autoRedefine/>
    <w:qFormat/>
    <w:uiPriority w:val="0"/>
  </w:style>
  <w:style w:type="paragraph" w:customStyle="1" w:styleId="73">
    <w:name w:val="标准文件_附录一级条标题"/>
    <w:next w:val="67"/>
    <w:autoRedefine/>
    <w:qFormat/>
    <w:uiPriority w:val="0"/>
    <w:pPr>
      <w:widowControl w:val="0"/>
      <w:numPr>
        <w:ilvl w:val="1"/>
        <w:numId w:val="5"/>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autoRedefine/>
    <w:qFormat/>
    <w:uiPriority w:val="0"/>
    <w:pPr>
      <w:numPr>
        <w:ilvl w:val="1"/>
        <w:numId w:val="8"/>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autoRedefine/>
    <w:qFormat/>
    <w:uiPriority w:val="0"/>
    <w:pPr>
      <w:widowControl/>
      <w:shd w:val="clear" w:color="FFFFFF" w:fill="FFFFFF"/>
      <w:spacing w:before="580" w:after="50" w:afterLines="50"/>
      <w:jc w:val="center"/>
      <w:outlineLvl w:val="0"/>
    </w:pPr>
    <w:rPr>
      <w:rFonts w:ascii="黑体" w:eastAsia="黑体"/>
      <w:kern w:val="0"/>
    </w:rPr>
  </w:style>
  <w:style w:type="paragraph" w:customStyle="1" w:styleId="76">
    <w:name w:val="标准文件_三级条标题"/>
    <w:basedOn w:val="69"/>
    <w:next w:val="67"/>
    <w:autoRedefine/>
    <w:qFormat/>
    <w:uiPriority w:val="0"/>
    <w:pPr>
      <w:widowControl/>
      <w:numPr>
        <w:ilvl w:val="0"/>
        <w:numId w:val="0"/>
      </w:numPr>
      <w:outlineLvl w:val="3"/>
    </w:pPr>
  </w:style>
  <w:style w:type="paragraph" w:customStyle="1" w:styleId="77">
    <w:name w:val="标准文件_四级条标题"/>
    <w:next w:val="67"/>
    <w:autoRedefine/>
    <w:qFormat/>
    <w:uiPriority w:val="0"/>
    <w:pPr>
      <w:widowControl w:val="0"/>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78">
    <w:name w:val="标准文件_五级条标题"/>
    <w:next w:val="67"/>
    <w:autoRedefine/>
    <w:qFormat/>
    <w:uiPriority w:val="0"/>
    <w:pPr>
      <w:widowControl w:val="0"/>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79">
    <w:name w:val="前言标题"/>
    <w:next w:val="1"/>
    <w:autoRedefine/>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character" w:customStyle="1" w:styleId="80">
    <w:name w:val="标准文件_段 Char"/>
    <w:link w:val="67"/>
    <w:autoRedefine/>
    <w:qFormat/>
    <w:uiPriority w:val="0"/>
    <w:rPr>
      <w:rFonts w:ascii="宋体"/>
      <w:sz w:val="21"/>
    </w:rPr>
  </w:style>
  <w:style w:type="paragraph" w:customStyle="1" w:styleId="81">
    <w:name w:val="标准文件_页眉奇数页"/>
    <w:next w:val="1"/>
    <w:autoRedefine/>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82">
    <w:name w:val="标准文件_方框数字列项"/>
    <w:basedOn w:val="67"/>
    <w:autoRedefine/>
    <w:qFormat/>
    <w:uiPriority w:val="0"/>
    <w:pPr>
      <w:numPr>
        <w:ilvl w:val="0"/>
        <w:numId w:val="9"/>
      </w:numPr>
      <w:ind w:firstLine="0" w:firstLineChars="0"/>
    </w:pPr>
  </w:style>
  <w:style w:type="paragraph" w:customStyle="1" w:styleId="83">
    <w:name w:val="标准文件_附录标识"/>
    <w:next w:val="67"/>
    <w:autoRedefine/>
    <w:qFormat/>
    <w:uiPriority w:val="0"/>
    <w:p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4">
    <w:name w:val="标准文件_附录表标题"/>
    <w:next w:val="67"/>
    <w:autoRedefine/>
    <w:qFormat/>
    <w:uiPriority w:val="0"/>
    <w:pPr>
      <w:numPr>
        <w:ilvl w:val="1"/>
        <w:numId w:val="10"/>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5">
    <w:name w:val="标准文件_附录二级条标题"/>
    <w:basedOn w:val="73"/>
    <w:next w:val="67"/>
    <w:autoRedefine/>
    <w:qFormat/>
    <w:uiPriority w:val="0"/>
    <w:pPr>
      <w:widowControl/>
      <w:numPr>
        <w:ilvl w:val="0"/>
        <w:numId w:val="0"/>
      </w:numPr>
      <w:wordWrap w:val="0"/>
      <w:overflowPunct w:val="0"/>
      <w:autoSpaceDE w:val="0"/>
      <w:autoSpaceDN w:val="0"/>
      <w:textAlignment w:val="baseline"/>
      <w:outlineLvl w:val="3"/>
    </w:pPr>
  </w:style>
  <w:style w:type="paragraph" w:customStyle="1" w:styleId="86">
    <w:name w:val="标准文件_附录三级条标题"/>
    <w:next w:val="67"/>
    <w:autoRedefine/>
    <w:qFormat/>
    <w:uiPriority w:val="0"/>
    <w:pPr>
      <w:widowControl w:val="0"/>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7">
    <w:name w:val="标准文件_附录四级条标题"/>
    <w:next w:val="67"/>
    <w:autoRedefine/>
    <w:qFormat/>
    <w:uiPriority w:val="0"/>
    <w:pPr>
      <w:widowControl w:val="0"/>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8">
    <w:name w:val="标准文件_附录五级条标题"/>
    <w:next w:val="67"/>
    <w:autoRedefine/>
    <w:qFormat/>
    <w:uiPriority w:val="0"/>
    <w:pPr>
      <w:widowControl w:val="0"/>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正文图标题"/>
    <w:next w:val="67"/>
    <w:autoRedefine/>
    <w:qFormat/>
    <w:uiPriority w:val="0"/>
    <w:pPr>
      <w:numPr>
        <w:ilvl w:val="0"/>
        <w:numId w:val="11"/>
      </w:numPr>
      <w:spacing w:before="50" w:beforeLines="50" w:after="50" w:afterLines="50"/>
      <w:jc w:val="center"/>
    </w:pPr>
    <w:rPr>
      <w:rFonts w:ascii="黑体" w:hAnsi="Times New Roman" w:eastAsia="黑体" w:cs="Times New Roman"/>
      <w:sz w:val="21"/>
      <w:lang w:val="en-US" w:eastAsia="zh-CN" w:bidi="ar-SA"/>
    </w:rPr>
  </w:style>
  <w:style w:type="paragraph" w:customStyle="1" w:styleId="90">
    <w:name w:val="标准文件_一级项"/>
    <w:autoRedefine/>
    <w:qFormat/>
    <w:uiPriority w:val="0"/>
    <w:pPr>
      <w:tabs>
        <w:tab w:val="left" w:pos="851"/>
      </w:tabs>
      <w:ind w:left="851" w:hanging="426"/>
    </w:pPr>
    <w:rPr>
      <w:rFonts w:ascii="宋体" w:hAnsi="Times New Roman" w:eastAsia="宋体" w:cs="Times New Roman"/>
      <w:sz w:val="21"/>
      <w:lang w:val="en-US" w:eastAsia="zh-CN" w:bidi="ar-SA"/>
    </w:rPr>
  </w:style>
  <w:style w:type="paragraph" w:customStyle="1" w:styleId="91">
    <w:name w:val="标准文件_三级无标题"/>
    <w:basedOn w:val="76"/>
    <w:autoRedefine/>
    <w:qFormat/>
    <w:uiPriority w:val="0"/>
    <w:pPr>
      <w:numPr>
        <w:ilvl w:val="4"/>
        <w:numId w:val="1"/>
      </w:numPr>
      <w:spacing w:before="0" w:beforeLines="0" w:after="0" w:afterLines="0"/>
      <w:outlineLvl w:val="9"/>
    </w:pPr>
    <w:rPr>
      <w:rFonts w:ascii="宋体" w:eastAsia="宋体"/>
    </w:rPr>
  </w:style>
  <w:style w:type="paragraph" w:customStyle="1" w:styleId="92">
    <w:name w:val="标准文件_三级项"/>
    <w:basedOn w:val="1"/>
    <w:autoRedefine/>
    <w:qFormat/>
    <w:uiPriority w:val="0"/>
    <w:pPr>
      <w:adjustRightInd w:val="0"/>
      <w:spacing w:line="536870612" w:lineRule="auto"/>
      <w:ind w:left="851" w:hanging="426"/>
    </w:pPr>
    <w:rPr>
      <w:rFonts w:ascii="Times New Roman" w:hAnsi="Times New Roman" w:eastAsia="宋体" w:cs="Times New Roman"/>
      <w:szCs w:val="21"/>
    </w:rPr>
  </w:style>
  <w:style w:type="paragraph" w:customStyle="1" w:styleId="93">
    <w:name w:val="标准文件_二级项2"/>
    <w:basedOn w:val="67"/>
    <w:autoRedefine/>
    <w:qFormat/>
    <w:uiPriority w:val="0"/>
    <w:pPr>
      <w:ind w:left="851" w:firstLine="0" w:firstLineChars="0"/>
    </w:pPr>
  </w:style>
  <w:style w:type="paragraph" w:customStyle="1" w:styleId="94">
    <w:name w:val="标准文件_附录图标号"/>
    <w:basedOn w:val="67"/>
    <w:next w:val="67"/>
    <w:autoRedefine/>
    <w:qFormat/>
    <w:uiPriority w:val="0"/>
    <w:pPr>
      <w:spacing w:line="14" w:lineRule="exact"/>
      <w:ind w:left="420" w:firstLine="0" w:firstLineChars="0"/>
      <w:jc w:val="center"/>
    </w:pPr>
    <w:rPr>
      <w:rFonts w:ascii="黑体" w:hAnsi="黑体" w:eastAsia="黑体"/>
      <w:vanish/>
      <w:sz w:val="2"/>
      <w:szCs w:val="21"/>
    </w:rPr>
  </w:style>
  <w:style w:type="paragraph" w:customStyle="1" w:styleId="95">
    <w:name w:val="标准文件_附录表标号"/>
    <w:basedOn w:val="67"/>
    <w:next w:val="67"/>
    <w:autoRedefine/>
    <w:qFormat/>
    <w:uiPriority w:val="0"/>
    <w:pPr>
      <w:numPr>
        <w:ilvl w:val="0"/>
        <w:numId w:val="10"/>
      </w:numPr>
      <w:spacing w:line="14" w:lineRule="exact"/>
      <w:ind w:firstLine="0" w:firstLineChars="0"/>
      <w:jc w:val="center"/>
    </w:pPr>
    <w:rPr>
      <w:rFonts w:eastAsia="黑体"/>
      <w:vanish/>
      <w:sz w:val="2"/>
    </w:rPr>
  </w:style>
  <w:style w:type="table" w:customStyle="1" w:styleId="96">
    <w:name w:val="网格型1"/>
    <w:basedOn w:val="20"/>
    <w:autoRedefine/>
    <w:qFormat/>
    <w:uiPriority w:val="39"/>
    <w:pPr>
      <w:widowControl w:val="0"/>
    </w:pPr>
    <w:rPr>
      <w:sz w:val="24"/>
      <w:szCs w:val="24"/>
      <w:lang w:eastAsia="en-US" w:bidi="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7">
    <w:name w:val="标准文件_正文标准名称"/>
    <w:autoRedefine/>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98">
    <w:name w:val="标准文件_注："/>
    <w:next w:val="67"/>
    <w:autoRedefine/>
    <w:qFormat/>
    <w:uiPriority w:val="0"/>
    <w:pPr>
      <w:widowControl w:val="0"/>
      <w:autoSpaceDE w:val="0"/>
      <w:autoSpaceDN w:val="0"/>
      <w:ind w:left="737" w:hanging="374"/>
      <w:jc w:val="both"/>
    </w:pPr>
    <w:rPr>
      <w:rFonts w:ascii="宋体" w:hAnsi="Times New Roman" w:eastAsia="宋体" w:cs="Times New Roman"/>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glossaryDocument" Target="glossary/document.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2.emf"/><Relationship Id="rId22" Type="http://schemas.openxmlformats.org/officeDocument/2006/relationships/oleObject" Target="embeddings/oleObject2.bin"/><Relationship Id="rId21" Type="http://schemas.openxmlformats.org/officeDocument/2006/relationships/image" Target="media/image1.e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68EE90D0994A479497B5EE5913348427"/>
        <w:style w:val=""/>
        <w:category>
          <w:name w:val="常规"/>
          <w:gallery w:val="placeholder"/>
        </w:category>
        <w:types>
          <w:type w:val="bbPlcHdr"/>
        </w:types>
        <w:behaviors>
          <w:behavior w:val="content"/>
        </w:behaviors>
        <w:description w:val=""/>
        <w:guid w:val="{0BCF094C-4624-43CF-B45D-BE74428E7671}"/>
      </w:docPartPr>
      <w:docPartBody>
        <w:p>
          <w:pPr>
            <w:pStyle w:val="13"/>
          </w:pPr>
          <w:r>
            <w:rPr>
              <w:rStyle w:val="4"/>
              <w:rFonts w:hint="eastAsia"/>
            </w:rPr>
            <w:t>选择一项。</w:t>
          </w:r>
        </w:p>
      </w:docPartBody>
    </w:docPart>
    <w:docPart>
      <w:docPartPr>
        <w:name w:val="32E78506850A4F67A6E1D6341F34AD56"/>
        <w:style w:val=""/>
        <w:category>
          <w:name w:val="常规"/>
          <w:gallery w:val="placeholder"/>
        </w:category>
        <w:types>
          <w:type w:val="bbPlcHdr"/>
        </w:types>
        <w:behaviors>
          <w:behavior w:val="content"/>
        </w:behaviors>
        <w:description w:val=""/>
        <w:guid w:val="{3B3BE4CF-B5D7-4B0A-B9AE-F7DEEDA4C4D8}"/>
      </w:docPartPr>
      <w:docPartBody>
        <w:p>
          <w:pPr>
            <w:pStyle w:val="14"/>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38E"/>
    <w:rsid w:val="00026FBD"/>
    <w:rsid w:val="00057E25"/>
    <w:rsid w:val="000A10DC"/>
    <w:rsid w:val="001344BB"/>
    <w:rsid w:val="002E4FDF"/>
    <w:rsid w:val="00526C7E"/>
    <w:rsid w:val="0059052B"/>
    <w:rsid w:val="007804DF"/>
    <w:rsid w:val="0093138E"/>
    <w:rsid w:val="00AD4F15"/>
    <w:rsid w:val="00C93C7B"/>
    <w:rsid w:val="00E70A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5F5CCD602D24302B5DB61EBA7993586"/>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6">
    <w:name w:val="D20029D5F1114D01BD07C48AEDA9C9E1"/>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7">
    <w:name w:val="E66001DA20C34A8DB66D1291FA86F361"/>
    <w:uiPriority w:val="0"/>
    <w:pPr>
      <w:widowControl w:val="0"/>
      <w:jc w:val="both"/>
    </w:pPr>
    <w:rPr>
      <w:rFonts w:asciiTheme="minorHAnsi" w:hAnsiTheme="minorHAnsi" w:eastAsiaTheme="minorEastAsia" w:cstheme="minorBidi"/>
      <w:kern w:val="2"/>
      <w:sz w:val="21"/>
      <w:szCs w:val="22"/>
      <w:lang w:val="en-US" w:eastAsia="zh-CN" w:bidi="ar-SA"/>
      <w14:ligatures w14:val="none"/>
    </w:rPr>
  </w:style>
  <w:style w:type="paragraph" w:customStyle="1" w:styleId="8">
    <w:name w:val="A281DF31F1394B0E876FEEA8603B8EE3"/>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none"/>
    </w:rPr>
  </w:style>
  <w:style w:type="paragraph" w:customStyle="1" w:styleId="9">
    <w:name w:val="301592F5BEA9405EB6909F7FA68CE01D"/>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none"/>
    </w:rPr>
  </w:style>
  <w:style w:type="paragraph" w:customStyle="1" w:styleId="10">
    <w:name w:val="FE7928BA8E2E41E6A43B9B24F1A36F92"/>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none"/>
    </w:rPr>
  </w:style>
  <w:style w:type="paragraph" w:customStyle="1" w:styleId="11">
    <w:name w:val="4C73CFA85C1F4271851CC2C856EB9CC4"/>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none"/>
    </w:rPr>
  </w:style>
  <w:style w:type="paragraph" w:customStyle="1" w:styleId="12">
    <w:name w:val="70E94BA224AA4125847A870B5137A9A9"/>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none"/>
    </w:rPr>
  </w:style>
  <w:style w:type="paragraph" w:customStyle="1" w:styleId="13">
    <w:name w:val="68EE90D0994A479497B5EE5913348427"/>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none"/>
    </w:rPr>
  </w:style>
  <w:style w:type="paragraph" w:customStyle="1" w:styleId="14">
    <w:name w:val="32E78506850A4F67A6E1D6341F34AD56"/>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none"/>
    </w:rPr>
  </w:style>
</w:style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9C75A2-197A-4387-BFF7-ADD1A5B7137E}">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16</Pages>
  <Words>4959</Words>
  <Characters>5118</Characters>
  <Lines>50</Lines>
  <Paragraphs>14</Paragraphs>
  <TotalTime>3</TotalTime>
  <ScaleCrop>false</ScaleCrop>
  <LinksUpToDate>false</LinksUpToDate>
  <CharactersWithSpaces>5444</CharactersWithSpaces>
  <Application>WPS Office_12.1.0.16894_F1E327BC-269C-435d-A152-05C5408002CA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2023-06-13T08:15:00Z</dcterms:created>
  <dc:creator>wy</dc:creator>
  <cp:lastModifiedBy>TZ</cp:lastModifiedBy>
  <cp:lastPrinted>2023-06-13T08:24:00Z</cp:lastPrinted>
  <dcterms:modified xsi:type="dcterms:W3CDTF">2024-04-30T08:49:19Z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2052-12.1.0.16894</vt:lpwstr>
  </property>
  <property fmtid="{D5CDD505-2E9C-101B-9397-08002B2CF9AE}" pid="3" name="ICV">
    <vt:lpwstr>2D391516055844F695F153CAFD5B753F</vt:lpwstr>
  </property>
</Properties>
</file>