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黑体" w:hAnsi="黑体" w:eastAsia="黑体" w:cs="Times New Roman"/>
          <w:lang w:val="en-US" w:eastAsia="zh-CN"/>
        </w:rPr>
      </w:pPr>
      <w:r>
        <w:rPr>
          <w:rFonts w:ascii="黑体" w:hAnsi="黑体" w:eastAsia="黑体" w:cs="Times New Roman"/>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 xmlns:a="http://schemas.openxmlformats.org/drawingml/2006/main">
                  <a:graphicData uri="http://schemas.microsoft.com/office/word/2010/wordprocessingShape">
                    <wps:wsp>
                      <wps:cNvSpPr txBox="1">
                        <a:spLocks noChangeArrowheads="1"/>
                      </wps:cNvSpPr>
                      <wps:spPr bwMode="auto">
                        <a:xfrm>
                          <a:off x="0" y="0"/>
                          <a:ext cx="3696970" cy="792480"/>
                        </a:xfrm>
                        <a:prstGeom prst="rect">
                          <a:avLst/>
                        </a:prstGeom>
                        <a:noFill/>
                        <a:ln>
                          <a:noFill/>
                        </a:ln>
                      </wps:spPr>
                      <wps:txbx>
                        <w:txbxContent>
                          <w:p>
                            <w:pPr>
                              <w:pStyle w:val="29"/>
                              <w:shd w:val="clear"/>
                              <w:wordWrap w:val="0"/>
                              <w:ind w:right="471" w:firstLine="626"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0" upright="1">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6dfju2AAAAAsBAAAPAAAAAAAAAAEAIAAAACIAAABk&#10;cnMvZG93bnJldi54bWxQSwECFAAUAAAACACHTuJA6QXcpAYCAAAUBAAADgAAAAAAAAABACAAAAAn&#10;AQAAZHJzL2Uyb0RvYy54bWxQSwUGAAAAAAYABgBZAQAAnwUAAAAA&#10;">
                <v:fill on="f" focussize="0,0"/>
                <v:stroke on="f"/>
                <v:imagedata o:title=""/>
                <o:lock v:ext="edit" aspectratio="f"/>
                <v:textbox style="mso-fit-shape-to-text:t;">
                  <w:txbxContent>
                    <w:p>
                      <w:pPr>
                        <w:pStyle w:val="29"/>
                        <w:shd w:val="clear"/>
                        <w:wordWrap w:val="0"/>
                        <w:ind w:right="471" w:firstLine="626"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 xml:space="preserve">ICS </w:t>
      </w:r>
      <w:r>
        <w:rPr>
          <w:rFonts w:hint="eastAsia" w:ascii="黑体" w:hAnsi="黑体" w:eastAsia="黑体" w:cs="Times New Roman"/>
          <w:lang w:val="en-US" w:eastAsia="zh-CN"/>
        </w:rPr>
        <w:t>03</w:t>
      </w:r>
      <w:r>
        <w:rPr>
          <w:rFonts w:ascii="黑体" w:hAnsi="黑体" w:eastAsia="黑体" w:cs="Times New Roman"/>
        </w:rPr>
        <w:t>.</w:t>
      </w:r>
      <w:r>
        <w:rPr>
          <w:rFonts w:hint="eastAsia" w:ascii="黑体" w:hAnsi="黑体" w:eastAsia="黑体" w:cs="Times New Roman"/>
          <w:lang w:val="en-US" w:eastAsia="zh-CN"/>
        </w:rPr>
        <w:t>180</w:t>
      </w:r>
    </w:p>
    <w:p>
      <w:pPr>
        <w:rPr>
          <w:rFonts w:ascii="黑体" w:hAnsi="黑体" w:eastAsia="黑体" w:cs="Times New Roman"/>
        </w:rPr>
      </w:pPr>
      <w:r>
        <w:rPr>
          <w:rFonts w:ascii="黑体" w:hAnsi="黑体" w:eastAsia="黑体" w:cs="Times New Roman"/>
        </w:rPr>
        <w:t xml:space="preserve">CCS </w:t>
      </w:r>
      <w:r>
        <w:rPr>
          <w:rFonts w:hint="eastAsia" w:ascii="黑体" w:hAnsi="黑体" w:eastAsia="黑体" w:cs="Times New Roman"/>
          <w:lang w:val="en-US" w:eastAsia="zh-CN"/>
        </w:rPr>
        <w:t>A</w:t>
      </w:r>
      <w:r>
        <w:rPr>
          <w:rFonts w:ascii="黑体" w:hAnsi="黑体" w:eastAsia="黑体" w:cs="Times New Roman"/>
        </w:rPr>
        <w:t xml:space="preserve"> </w:t>
      </w:r>
      <w:r>
        <w:rPr>
          <w:rFonts w:hint="eastAsia" w:ascii="黑体" w:hAnsi="黑体" w:eastAsia="黑体" w:cs="Times New Roman"/>
          <w:lang w:val="en-US" w:eastAsia="zh-CN"/>
        </w:rPr>
        <w:t>18</w:t>
      </w:r>
      <w:r>
        <w:rPr>
          <w:rFonts w:ascii="黑体" w:hAnsi="黑体" w:eastAsia="黑体" w:cs="Times New Roman"/>
        </w:rPr>
        <w:t xml:space="preserve"> </w:t>
      </w:r>
    </w:p>
    <w:p>
      <w:pPr>
        <w:rPr>
          <w:rFonts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0" b="0"/>
                <wp:wrapNone/>
                <wp:docPr id="3" name="Text Box 18"/>
                <wp:cNvGraphicFramePr/>
                <a:graphic xmlns:a="http://schemas.openxmlformats.org/drawingml/2006/main">
                  <a:graphicData uri="http://schemas.microsoft.com/office/word/2010/wordprocessingShape">
                    <wps:wsp>
                      <wps:cNvSpPr txBox="1">
                        <a:spLocks noChangeArrowheads="1"/>
                      </wps:cNvSpPr>
                      <wps:spPr bwMode="auto">
                        <a:xfrm>
                          <a:off x="0" y="0"/>
                          <a:ext cx="6120130" cy="615950"/>
                        </a:xfrm>
                        <a:prstGeom prst="rect">
                          <a:avLst/>
                        </a:prstGeom>
                        <a:noFill/>
                        <a:ln w="0">
                          <a:no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0" upright="1">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f" coordsize="21600,21600" o:gfxdata="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KeonEPYAAAACgEAAA8A&#10;AAAAAAAAAQAgAAAAIgAAAGRycy9kb3ducmV2LnhtbFBLAQIUABQAAAAIAIdO4kD2AeosFwIAADIE&#10;AAAOAAAAAAAAAAEAIAAAACcBAABkcnMvZTJvRG9jLnhtbFBLBQYAAAAABgAGAFkBAACwBQAAAAA=&#10;">
                <v:fill on="f" focussize="0,0"/>
                <v:stroke on="f" weight="0pt"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ascii="黑体" w:hAnsi="黑体" w:eastAsia="黑体"/>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rightMargin">
                  <wp:posOffset>-1712595</wp:posOffset>
                </wp:positionH>
                <wp:positionV relativeFrom="topMargin">
                  <wp:posOffset>2238375</wp:posOffset>
                </wp:positionV>
                <wp:extent cx="1927225" cy="304800"/>
                <wp:effectExtent l="0" t="0" r="0" b="0"/>
                <wp:wrapNone/>
                <wp:docPr id="6" name="Text Box 19"/>
                <wp:cNvGraphicFramePr/>
                <a:graphic xmlns:a="http://schemas.openxmlformats.org/drawingml/2006/main">
                  <a:graphicData uri="http://schemas.microsoft.com/office/word/2010/wordprocessingShape">
                    <wps:wsp>
                      <wps:cNvSpPr txBox="1">
                        <a:spLocks noChangeArrowheads="1"/>
                      </wps:cNvSpPr>
                      <wps:spPr bwMode="auto">
                        <a:xfrm>
                          <a:off x="0" y="0"/>
                          <a:ext cx="1927344" cy="304800"/>
                        </a:xfrm>
                        <a:prstGeom prst="rect">
                          <a:avLst/>
                        </a:prstGeom>
                        <a:noFill/>
                        <a:ln w="0">
                          <a:noFill/>
                          <a:miter lim="800000"/>
                        </a:ln>
                      </wps:spPr>
                      <wps:txb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XXXX</w:t>
                            </w:r>
                          </w:p>
                        </w:txbxContent>
                      </wps:txbx>
                      <wps:bodyPr rot="0" vert="horz" wrap="square" lIns="91440" tIns="45720" rIns="91440" bIns="45720" anchor="t" anchorCtr="0" upright="1">
                        <a:noAutofit/>
                      </wps:bodyPr>
                    </wps:wsp>
                  </a:graphicData>
                </a:graphic>
              </wp:anchor>
            </w:drawing>
          </mc:Choice>
          <mc:Fallback>
            <w:pict>
              <v:shape id="Text Box 19" o:spid="_x0000_s1026" o:spt="202" type="#_x0000_t202" style="position:absolute;left:0pt;margin-left:417.9pt;margin-top:176.25pt;height:24pt;width:151.75pt;mso-position-horizontal-relative:page;mso-position-vertical-relative:page;z-index:251663360;mso-width-relative:page;mso-height-relative:page;" filled="f" stroked="f" coordsize="21600,21600" o:gfxdata="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q+dd+2wAAAAsB&#10;AAAPAAAAAAAAAAEAIAAAACIAAABkcnMvZG93bnJldi54bWxQSwECFAAUAAAACACHTuJAzkxZKRgC&#10;AAAyBAAADgAAAAAAAAABACAAAAAqAQAAZHJzL2Uyb0RvYy54bWxQSwUGAAAAAAYABgBZAQAAtAUA&#10;AAAA&#10;">
                <v:fill on="f" focussize="0,0"/>
                <v:stroke on="f" weight="0pt" miterlimit="8" joinstyle="miter"/>
                <v:imagedata o:title=""/>
                <o:lock v:ext="edit" aspectratio="f"/>
                <v:textbo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XXXX</w:t>
                      </w:r>
                    </w:p>
                  </w:txbxContent>
                </v:textbox>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Iy4Wx0wAAAAgBAAAPAAAAAAAAAAEAIAAAACIA&#10;AABkcnMvZG93bnJldi54bWxQSwECFAAUAAAACACHTuJARwVqgNUBAAC0AwAADgAAAAAAAAABACAA&#10;AAAiAQAAZHJzL2Uyb0RvYy54bWxQSwUGAAAAAAYABgBZAQAAaQ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0" t="0" r="0" b="0"/>
                <wp:wrapNone/>
                <wp:docPr id="4" name="Text Box 17"/>
                <wp:cNvGraphicFramePr/>
                <a:graphic xmlns:a="http://schemas.openxmlformats.org/drawingml/2006/main">
                  <a:graphicData uri="http://schemas.microsoft.com/office/word/2010/wordprocessingShape">
                    <wps:wsp>
                      <wps:cNvSpPr txBox="1">
                        <a:spLocks noChangeArrowheads="1"/>
                      </wps:cNvSpPr>
                      <wps:spPr bwMode="auto">
                        <a:xfrm>
                          <a:off x="0" y="0"/>
                          <a:ext cx="5924550" cy="3248025"/>
                        </a:xfrm>
                        <a:prstGeom prst="rect">
                          <a:avLst/>
                        </a:prstGeom>
                        <a:noFill/>
                        <a:ln w="0">
                          <a:noFill/>
                          <a:miter lim="800000"/>
                        </a:ln>
                      </wps:spPr>
                      <wps:txb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职业教育集团建设与运行规范</w:t>
                            </w:r>
                          </w:p>
                          <w:p>
                            <w:pPr>
                              <w:jc w:val="center"/>
                              <w:rPr>
                                <w:rStyle w:val="44"/>
                                <w:rFonts w:hint="default" w:ascii="黑体" w:hAnsi="黑体" w:eastAsia="黑体"/>
                                <w:kern w:val="0"/>
                                <w:sz w:val="28"/>
                                <w:szCs w:val="21"/>
                                <w:lang w:val="en-US" w:eastAsia="zh-CN"/>
                              </w:rPr>
                            </w:pPr>
                            <w:r>
                              <w:rPr>
                                <w:rFonts w:hint="eastAsia" w:ascii="黑体" w:hAnsi="黑体" w:eastAsia="黑体"/>
                                <w:kern w:val="0"/>
                                <w:sz w:val="28"/>
                                <w:szCs w:val="21"/>
                                <w:lang w:val="en-US" w:eastAsia="zh-CN"/>
                              </w:rPr>
                              <w:t>Construction and operation specification of vocational education groups</w:t>
                            </w:r>
                          </w:p>
                          <w:p>
                            <w:pPr>
                              <w:jc w:val="center"/>
                              <w:rPr>
                                <w:rFonts w:asciiTheme="minorEastAsia" w:hAnsiTheme="minorEastAsia"/>
                                <w:sz w:val="24"/>
                              </w:rPr>
                            </w:pPr>
                            <w:r>
                              <w:rPr>
                                <w:rFonts w:hint="eastAsia" w:asciiTheme="minorEastAsia" w:hAnsiTheme="minorEastAsia"/>
                                <w:sz w:val="24"/>
                              </w:rPr>
                              <w:t>（报批稿）</w:t>
                            </w:r>
                          </w:p>
                        </w:txbxContent>
                      </wps:txbx>
                      <wps:bodyPr rot="0" vert="horz" wrap="square" lIns="91440" tIns="45720" rIns="91440" bIns="45720" anchor="t" anchorCtr="0" upright="1">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ed="f" stroked="f" coordsize="21600,21600" o:gfxdata="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HMG462QAAAAsBAAAP&#10;AAAAAAAAAAEAIAAAACIAAABkcnMvZG93bnJldi54bWxQSwECFAAUAAAACACHTuJAwAXEWxcCAAAz&#10;BAAADgAAAAAAAAABACAAAAAoAQAAZHJzL2Uyb0RvYy54bWxQSwUGAAAAAAYABgBZAQAAsQUAAAAA&#10;">
                <v:fill on="f" focussize="0,0"/>
                <v:stroke on="f" weight="0pt" miterlimit="8" joinstyle="miter"/>
                <v:imagedata o:title=""/>
                <o:lock v:ext="edit" aspectratio="f"/>
                <v:textbo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职业教育集团建设与运行规范</w:t>
                      </w:r>
                    </w:p>
                    <w:p>
                      <w:pPr>
                        <w:jc w:val="center"/>
                        <w:rPr>
                          <w:rStyle w:val="44"/>
                          <w:rFonts w:hint="default" w:ascii="黑体" w:hAnsi="黑体" w:eastAsia="黑体"/>
                          <w:kern w:val="0"/>
                          <w:sz w:val="28"/>
                          <w:szCs w:val="21"/>
                          <w:lang w:val="en-US" w:eastAsia="zh-CN"/>
                        </w:rPr>
                      </w:pPr>
                      <w:r>
                        <w:rPr>
                          <w:rFonts w:hint="eastAsia" w:ascii="黑体" w:hAnsi="黑体" w:eastAsia="黑体"/>
                          <w:kern w:val="0"/>
                          <w:sz w:val="28"/>
                          <w:szCs w:val="21"/>
                          <w:lang w:val="en-US" w:eastAsia="zh-CN"/>
                        </w:rPr>
                        <w:t>Construction and operation specification of vocational education groups</w:t>
                      </w:r>
                    </w:p>
                    <w:p>
                      <w:pPr>
                        <w:jc w:val="center"/>
                        <w:rPr>
                          <w:rFonts w:asciiTheme="minorEastAsia" w:hAnsiTheme="minorEastAsia"/>
                          <w:sz w:val="24"/>
                        </w:rPr>
                      </w:pPr>
                      <w:r>
                        <w:rPr>
                          <w:rFonts w:hint="eastAsia" w:asciiTheme="minorEastAsia" w:hAnsiTheme="minorEastAsia"/>
                          <w:sz w:val="24"/>
                        </w:rPr>
                        <w:t>（报批稿）</w:t>
                      </w:r>
                    </w:p>
                  </w:txbxContent>
                </v:textbox>
              </v:shape>
            </w:pict>
          </mc:Fallback>
        </mc:AlternateConten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r>
        <w:rPr>
          <w:rFonts w:hint="eastAsia" w:ascii="黑体" w:hAnsi="黑体" w:eastAsia="黑体"/>
        </w:rPr>
        <w:t xml:space="preserve">                                                                                          </w:t>
      </w:r>
    </w:p>
    <w:p>
      <w:pPr>
        <w:pStyle w:val="2"/>
      </w:pPr>
    </w:p>
    <w:p>
      <w:pPr>
        <w:pStyle w:val="2"/>
      </w:pPr>
    </w:p>
    <w:p>
      <w:pPr>
        <w:pStyle w:val="2"/>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sz w:val="28"/>
          <w:szCs w:val="28"/>
        </w:rPr>
      </w:pPr>
      <w:r>
        <w:rPr>
          <w:rFonts w:hint="default" w:ascii="黑体" w:hAnsi="黑体" w:eastAsia="黑体"/>
          <w:sz w:val="28"/>
          <w:szCs w:val="28"/>
          <w:lang w:val="en-US"/>
        </w:rPr>
        <mc:AlternateContent>
          <mc:Choice Requires="wps">
            <w:drawing>
              <wp:anchor distT="0" distB="0" distL="114300" distR="114300" simplePos="0" relativeHeight="251664384"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4384;mso-width-relative:page;mso-height-relative:page;" filled="f" stroked="t" coordsize="21600,21600" o:gfxdata="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vMgXH1gAAAAwBAAAPAAAAAAAAAAEAIAAA&#10;ACIAAABkcnMvZG93bnJldi54bWxQSwECFAAUAAAACACHTuJA+/4xqtUBAAC0AwAADgAAAAAAAAAB&#10;ACAAAAAlAQAAZHJzL2Uyb0RvYy54bWxQSwUGAAAAAAYABgBZAQAAbAUAAAAA&#10;">
                <v:fill on="f" focussize="0,0"/>
                <v:stroke weight="1pt" color="#000000" joinstyle="round"/>
                <v:imagedata o:title=""/>
                <o:lock v:ext="edit" aspectratio="f"/>
              </v:shape>
            </w:pict>
          </mc:Fallback>
        </mc:AlternateContent>
      </w:r>
      <w:r>
        <w:rPr>
          <w:rFonts w:hint="eastAsia" w:ascii="黑体" w:hAnsi="黑体" w:eastAsia="黑体"/>
          <w:sz w:val="28"/>
          <w:szCs w:val="28"/>
          <w:lang w:val="en-US" w:eastAsia="zh-CN"/>
        </w:rPr>
        <w:t>2024</w:t>
      </w:r>
      <w:r>
        <w:rPr>
          <w:rFonts w:hint="eastAsia" w:ascii="黑体" w:hAnsi="黑体" w:eastAsia="黑体"/>
          <w:sz w:val="28"/>
          <w:szCs w:val="28"/>
        </w:rPr>
        <w:t xml:space="preserve">-XX-XX发布                                       </w:t>
      </w:r>
      <w:r>
        <w:rPr>
          <w:rFonts w:hint="eastAsia" w:ascii="黑体" w:hAnsi="黑体" w:eastAsia="黑体"/>
          <w:sz w:val="28"/>
          <w:szCs w:val="28"/>
          <w:lang w:val="en-US" w:eastAsia="zh-CN"/>
        </w:rPr>
        <w:t>2024</w:t>
      </w:r>
      <w:r>
        <w:rPr>
          <w:rFonts w:hint="eastAsia" w:ascii="黑体" w:hAnsi="黑体" w:eastAsia="黑体"/>
          <w:sz w:val="28"/>
          <w:szCs w:val="28"/>
        </w:rPr>
        <w:t>-XX-XX实施</w:t>
      </w:r>
    </w:p>
    <w:p>
      <w:pPr>
        <w:keepNext w:val="0"/>
        <w:keepLines w:val="0"/>
        <w:pageBreakBefore w:val="0"/>
        <w:widowControl w:val="0"/>
        <w:kinsoku/>
        <w:wordWrap/>
        <w:overflowPunct/>
        <w:topLinePunct w:val="0"/>
        <w:autoSpaceDE/>
        <w:autoSpaceDN/>
        <w:bidi w:val="0"/>
        <w:adjustRightInd/>
        <w:snapToGrid/>
        <w:spacing w:line="1247" w:lineRule="exact"/>
        <w:jc w:val="center"/>
        <w:textAlignment w:val="auto"/>
        <w:outlineLvl w:val="9"/>
        <w:rPr>
          <w:rFonts w:hint="eastAsia" w:ascii="黑体" w:hAnsi="黑体" w:eastAsia="黑体"/>
          <w:sz w:val="28"/>
          <w:szCs w:val="28"/>
        </w:rPr>
      </w:pPr>
      <w:bookmarkStart w:id="0" w:name="_Toc18385"/>
      <w:bookmarkStart w:id="1" w:name="_Toc3547"/>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p>
    <w:p>
      <w:pPr>
        <w:pStyle w:val="2"/>
      </w:pPr>
    </w:p>
    <w:p>
      <w:pPr>
        <w:rPr>
          <w:rFonts w:ascii="黑体" w:hAnsi="黑体" w:eastAsia="黑体"/>
          <w:sz w:val="28"/>
          <w:szCs w:val="28"/>
        </w:rPr>
        <w:sectPr>
          <w:pgSz w:w="11906" w:h="16838"/>
          <w:pgMar w:top="567" w:right="851" w:bottom="1134" w:left="1418" w:header="0" w:footer="0" w:gutter="0"/>
          <w:cols w:space="425" w:num="1"/>
          <w:docGrid w:type="lines" w:linePitch="312" w:charSpace="0"/>
        </w:sectPr>
      </w:pPr>
    </w:p>
    <w:p>
      <w:pPr>
        <w:snapToGrid w:val="0"/>
        <w:spacing w:before="567" w:after="680"/>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TOC \o "1-3" \h \z \u </w:instrText>
      </w:r>
      <w:r>
        <w:rPr>
          <w:rFonts w:hint="eastAsia" w:ascii="宋体" w:hAnsi="宋体" w:eastAsia="宋体" w:cs="宋体"/>
          <w:sz w:val="21"/>
          <w:szCs w:val="21"/>
        </w:rPr>
        <w:fldChar w:fldCharType="separate"/>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_Toc2608 </w:instrText>
      </w:r>
      <w:r>
        <w:rPr>
          <w:rFonts w:hint="eastAsia" w:ascii="宋体" w:hAnsi="宋体" w:eastAsia="宋体" w:cs="宋体"/>
          <w:sz w:val="21"/>
          <w:szCs w:val="21"/>
        </w:rPr>
        <w:fldChar w:fldCharType="separate"/>
      </w:r>
      <w:r>
        <w:rPr>
          <w:rFonts w:hint="eastAsia" w:ascii="宋体" w:hAnsi="宋体" w:eastAsia="宋体" w:cs="宋体"/>
          <w:sz w:val="21"/>
          <w:szCs w:val="21"/>
        </w:rPr>
        <w:t>前言</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_Toc2608 \h </w:instrText>
      </w:r>
      <w:r>
        <w:rPr>
          <w:rFonts w:hint="eastAsia" w:ascii="宋体" w:hAnsi="宋体" w:eastAsia="宋体" w:cs="宋体"/>
          <w:sz w:val="21"/>
          <w:szCs w:val="21"/>
        </w:rPr>
        <w:fldChar w:fldCharType="separate"/>
      </w:r>
      <w:r>
        <w:rPr>
          <w:rFonts w:hint="eastAsia" w:ascii="宋体" w:hAnsi="宋体" w:eastAsia="宋体" w:cs="宋体"/>
          <w:sz w:val="21"/>
          <w:szCs w:val="21"/>
        </w:rPr>
        <w:t>II</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_Toc426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1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范围</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_Toc426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_Toc26505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2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规范性引用文件</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_Toc26505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_Toc17011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3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术语和定义</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_Toc17011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_Toc30673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4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基本原则</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_Toc30673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_Toc599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4.1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自愿平等</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_Toc599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_Toc11284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4.2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共建共享</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_Toc11284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_Toc14179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4.3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互利共赢</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_Toc14179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_Toc3735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4.4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权责对等</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_Toc3735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_Toc9606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5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组建与解散流程</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_Toc9606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_Toc13123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5.1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流程图</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_Toc13123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_Toc23004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5.2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组织发起</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_Toc23004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_Toc24660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5.3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成员选择</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_Toc24660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_Toc24849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5.4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集团筹建</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_Toc24849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_Toc22942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5.5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集团成立</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_Toc22942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_Toc6682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5.6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集团解散</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_Toc6682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_Toc19177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6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内部治理</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_Toc19177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_Toc20388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6.1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治理结构图</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_Toc20388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_Toc29229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6.2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治理结构</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_Toc29229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_Toc9179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6.3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治理制度</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_Toc9179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_Toc22932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6.4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治理机制</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_Toc22932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_Toc13369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7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机构和岗位设置</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_Toc13369 \h </w:instrText>
      </w:r>
      <w:r>
        <w:rPr>
          <w:rFonts w:hint="eastAsia" w:ascii="宋体" w:hAnsi="宋体" w:eastAsia="宋体" w:cs="宋体"/>
          <w:sz w:val="21"/>
          <w:szCs w:val="21"/>
        </w:rPr>
        <w:fldChar w:fldCharType="separate"/>
      </w:r>
      <w:r>
        <w:rPr>
          <w:rFonts w:hint="eastAsia" w:ascii="宋体" w:hAnsi="宋体" w:eastAsia="宋体" w:cs="宋体"/>
          <w:sz w:val="21"/>
          <w:szCs w:val="21"/>
        </w:rPr>
        <w:t>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_Toc21441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7.1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咨询委员会</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_Toc21441 \h </w:instrText>
      </w:r>
      <w:r>
        <w:rPr>
          <w:rFonts w:hint="eastAsia" w:ascii="宋体" w:hAnsi="宋体" w:eastAsia="宋体" w:cs="宋体"/>
          <w:sz w:val="21"/>
          <w:szCs w:val="21"/>
        </w:rPr>
        <w:fldChar w:fldCharType="separate"/>
      </w:r>
      <w:r>
        <w:rPr>
          <w:rFonts w:hint="eastAsia" w:ascii="宋体" w:hAnsi="宋体" w:eastAsia="宋体" w:cs="宋体"/>
          <w:sz w:val="21"/>
          <w:szCs w:val="21"/>
        </w:rPr>
        <w:t>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_Toc416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7.2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理事会</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_Toc416 \h </w:instrText>
      </w:r>
      <w:r>
        <w:rPr>
          <w:rFonts w:hint="eastAsia" w:ascii="宋体" w:hAnsi="宋体" w:eastAsia="宋体" w:cs="宋体"/>
          <w:sz w:val="21"/>
          <w:szCs w:val="21"/>
        </w:rPr>
        <w:fldChar w:fldCharType="separate"/>
      </w:r>
      <w:r>
        <w:rPr>
          <w:rFonts w:hint="eastAsia" w:ascii="宋体" w:hAnsi="宋体" w:eastAsia="宋体" w:cs="宋体"/>
          <w:sz w:val="21"/>
          <w:szCs w:val="21"/>
        </w:rPr>
        <w:t>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_Toc17385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7.3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常务理事会</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_Toc17385 \h </w:instrText>
      </w:r>
      <w:r>
        <w:rPr>
          <w:rFonts w:hint="eastAsia" w:ascii="宋体" w:hAnsi="宋体" w:eastAsia="宋体" w:cs="宋体"/>
          <w:sz w:val="21"/>
          <w:szCs w:val="21"/>
        </w:rPr>
        <w:fldChar w:fldCharType="separate"/>
      </w:r>
      <w:r>
        <w:rPr>
          <w:rFonts w:hint="eastAsia" w:ascii="宋体" w:hAnsi="宋体" w:eastAsia="宋体" w:cs="宋体"/>
          <w:sz w:val="21"/>
          <w:szCs w:val="21"/>
        </w:rPr>
        <w:t>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_Toc5124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7.4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监事会</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_Toc5124 \h </w:instrText>
      </w:r>
      <w:r>
        <w:rPr>
          <w:rFonts w:hint="eastAsia" w:ascii="宋体" w:hAnsi="宋体" w:eastAsia="宋体" w:cs="宋体"/>
          <w:sz w:val="21"/>
          <w:szCs w:val="21"/>
        </w:rPr>
        <w:fldChar w:fldCharType="separate"/>
      </w:r>
      <w:r>
        <w:rPr>
          <w:rFonts w:hint="eastAsia" w:ascii="宋体" w:hAnsi="宋体" w:eastAsia="宋体" w:cs="宋体"/>
          <w:sz w:val="21"/>
          <w:szCs w:val="21"/>
        </w:rPr>
        <w:t>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_Toc12529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7.5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秘书处</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_Toc12529 \h </w:instrText>
      </w:r>
      <w:r>
        <w:rPr>
          <w:rFonts w:hint="eastAsia" w:ascii="宋体" w:hAnsi="宋体" w:eastAsia="宋体" w:cs="宋体"/>
          <w:sz w:val="21"/>
          <w:szCs w:val="21"/>
        </w:rPr>
        <w:fldChar w:fldCharType="separate"/>
      </w:r>
      <w:r>
        <w:rPr>
          <w:rFonts w:hint="eastAsia" w:ascii="宋体" w:hAnsi="宋体" w:eastAsia="宋体" w:cs="宋体"/>
          <w:sz w:val="21"/>
          <w:szCs w:val="21"/>
        </w:rPr>
        <w:t>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ind w:left="420" w:leftChars="20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_Toc815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7.6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专业委员会</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_Toc815 \h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_Toc30684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8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评价与改进</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_Toc30684 \h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_Toc31570 </w:instrText>
      </w:r>
      <w:r>
        <w:rPr>
          <w:rFonts w:hint="eastAsia" w:ascii="宋体" w:hAnsi="宋体" w:eastAsia="宋体" w:cs="宋体"/>
          <w:sz w:val="21"/>
          <w:szCs w:val="21"/>
        </w:rPr>
        <w:fldChar w:fldCharType="separate"/>
      </w:r>
      <w:r>
        <w:rPr>
          <w:rFonts w:hint="eastAsia" w:ascii="宋体" w:hAnsi="宋体" w:eastAsia="宋体" w:cs="宋体"/>
          <w:sz w:val="21"/>
          <w:szCs w:val="21"/>
        </w:rPr>
        <w:t>附录A</w:t>
      </w:r>
      <w:r>
        <w:rPr>
          <w:rFonts w:hint="eastAsia" w:ascii="宋体" w:hAnsi="宋体" w:eastAsia="宋体" w:cs="宋体"/>
          <w:sz w:val="21"/>
          <w:szCs w:val="21"/>
        </w:rPr>
        <w:fldChar w:fldCharType="end"/>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_Toc17857 </w:instrText>
      </w:r>
      <w:r>
        <w:rPr>
          <w:rFonts w:hint="eastAsia" w:ascii="宋体" w:hAnsi="宋体" w:eastAsia="宋体" w:cs="宋体"/>
          <w:sz w:val="21"/>
          <w:szCs w:val="21"/>
        </w:rPr>
        <w:fldChar w:fldCharType="separate"/>
      </w:r>
      <w:r>
        <w:rPr>
          <w:rFonts w:hint="eastAsia" w:ascii="宋体" w:hAnsi="宋体" w:eastAsia="宋体" w:cs="宋体"/>
          <w:sz w:val="21"/>
          <w:szCs w:val="21"/>
        </w:rPr>
        <w:t>（资料性）</w:t>
      </w:r>
      <w:r>
        <w:rPr>
          <w:rFonts w:hint="eastAsia" w:ascii="宋体" w:hAnsi="宋体" w:eastAsia="宋体" w:cs="宋体"/>
          <w:sz w:val="21"/>
          <w:szCs w:val="21"/>
        </w:rPr>
        <w:fldChar w:fldCharType="end"/>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_Toc19633 </w:instrText>
      </w:r>
      <w:r>
        <w:rPr>
          <w:rFonts w:hint="eastAsia" w:ascii="宋体" w:hAnsi="宋体" w:eastAsia="宋体" w:cs="宋体"/>
          <w:sz w:val="21"/>
          <w:szCs w:val="21"/>
        </w:rPr>
        <w:fldChar w:fldCharType="separate"/>
      </w:r>
      <w:r>
        <w:rPr>
          <w:rFonts w:hint="eastAsia" w:ascii="宋体" w:hAnsi="宋体" w:eastAsia="宋体" w:cs="宋体"/>
          <w:sz w:val="21"/>
          <w:szCs w:val="21"/>
        </w:rPr>
        <w:t>职业教育集团星级评价表</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_Toc19633 \h </w:instrText>
      </w:r>
      <w:r>
        <w:rPr>
          <w:rFonts w:hint="eastAsia" w:ascii="宋体" w:hAnsi="宋体" w:eastAsia="宋体" w:cs="宋体"/>
          <w:sz w:val="21"/>
          <w:szCs w:val="21"/>
        </w:rPr>
        <w:fldChar w:fldCharType="separate"/>
      </w:r>
      <w:r>
        <w:rPr>
          <w:rFonts w:hint="eastAsia" w:ascii="宋体" w:hAnsi="宋体" w:eastAsia="宋体" w:cs="宋体"/>
          <w:sz w:val="21"/>
          <w:szCs w:val="21"/>
        </w:rPr>
        <w:t>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_Toc5917 </w:instrText>
      </w:r>
      <w:r>
        <w:rPr>
          <w:rFonts w:hint="eastAsia" w:ascii="宋体" w:hAnsi="宋体" w:eastAsia="宋体" w:cs="宋体"/>
          <w:sz w:val="21"/>
          <w:szCs w:val="21"/>
        </w:rPr>
        <w:fldChar w:fldCharType="separate"/>
      </w:r>
      <w:r>
        <w:rPr>
          <w:rFonts w:hint="eastAsia" w:ascii="宋体" w:hAnsi="宋体" w:eastAsia="宋体" w:cs="宋体"/>
          <w:sz w:val="21"/>
          <w:szCs w:val="21"/>
        </w:rPr>
        <w:t>参考文献</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_Toc5917 \h </w:instrText>
      </w:r>
      <w:r>
        <w:rPr>
          <w:rFonts w:hint="eastAsia" w:ascii="宋体" w:hAnsi="宋体" w:eastAsia="宋体" w:cs="宋体"/>
          <w:sz w:val="21"/>
          <w:szCs w:val="21"/>
        </w:rPr>
        <w:fldChar w:fldCharType="separate"/>
      </w:r>
      <w:r>
        <w:rPr>
          <w:rFonts w:hint="eastAsia" w:ascii="宋体" w:hAnsi="宋体" w:eastAsia="宋体" w:cs="宋体"/>
          <w:sz w:val="21"/>
          <w:szCs w:val="21"/>
        </w:rPr>
        <w:t>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pPr>
        <w:pStyle w:val="15"/>
        <w:keepNext w:val="0"/>
        <w:keepLines w:val="0"/>
        <w:pageBreakBefore w:val="0"/>
        <w:widowControl w:val="0"/>
        <w:tabs>
          <w:tab w:val="right" w:leader="dot" w:pos="9344"/>
        </w:tabs>
        <w:kinsoku/>
        <w:wordWrap/>
        <w:overflowPunct/>
        <w:topLinePunct w:val="0"/>
        <w:autoSpaceDE/>
        <w:autoSpaceDN/>
        <w:bidi w:val="0"/>
        <w:adjustRightInd w:val="0"/>
        <w:snapToGrid/>
        <w:spacing w:line="240" w:lineRule="auto"/>
        <w:textAlignment w:val="auto"/>
        <w:rPr>
          <w:rFonts w:ascii="宋体" w:hAnsi="宋体" w:eastAsia="宋体" w:cs="宋体"/>
          <w:szCs w:val="21"/>
        </w:rPr>
      </w:pPr>
      <w:r>
        <w:rPr>
          <w:rFonts w:hint="eastAsia" w:ascii="宋体" w:hAnsi="宋体" w:eastAsia="宋体" w:cs="宋体"/>
          <w:sz w:val="21"/>
          <w:szCs w:val="21"/>
        </w:rPr>
        <w:fldChar w:fldCharType="end"/>
      </w:r>
    </w:p>
    <w:p>
      <w:pPr>
        <w:pStyle w:val="2"/>
        <w:rPr>
          <w:rFonts w:ascii="宋体" w:hAnsi="宋体" w:eastAsia="宋体" w:cs="宋体"/>
          <w:szCs w:val="21"/>
        </w:rPr>
      </w:pPr>
    </w:p>
    <w:p>
      <w:pPr>
        <w:pStyle w:val="2"/>
        <w:rPr>
          <w:rFonts w:ascii="宋体" w:hAnsi="宋体" w:eastAsia="宋体" w:cs="宋体"/>
          <w:szCs w:val="21"/>
        </w:rPr>
      </w:pPr>
    </w:p>
    <w:p>
      <w:pPr>
        <w:pStyle w:val="2"/>
        <w:rPr>
          <w:rFonts w:ascii="宋体" w:hAnsi="宋体" w:eastAsia="宋体" w:cs="宋体"/>
          <w:szCs w:val="21"/>
        </w:rPr>
      </w:pPr>
    </w:p>
    <w:p>
      <w:pPr>
        <w:pStyle w:val="49"/>
        <w:keepNext w:val="0"/>
        <w:keepLines w:val="0"/>
        <w:pageBreakBefore w:val="0"/>
        <w:widowControl/>
        <w:shd w:val="clear"/>
        <w:kinsoku/>
        <w:wordWrap/>
        <w:overflowPunct/>
        <w:topLinePunct w:val="0"/>
        <w:autoSpaceDE/>
        <w:autoSpaceDN/>
        <w:bidi w:val="0"/>
        <w:adjustRightInd/>
        <w:snapToGrid/>
        <w:spacing w:before="567" w:after="680" w:afterLines="0"/>
        <w:ind w:left="425" w:hanging="425"/>
        <w:textAlignment w:val="auto"/>
        <w:rPr>
          <w:spacing w:val="320"/>
          <w:highlight w:val="none"/>
        </w:rPr>
        <w:sectPr>
          <w:headerReference r:id="rId3" w:type="default"/>
          <w:footerReference r:id="rId5" w:type="default"/>
          <w:headerReference r:id="rId4" w:type="even"/>
          <w:footerReference r:id="rId6" w:type="even"/>
          <w:pgSz w:w="11906" w:h="16838"/>
          <w:pgMar w:top="1417" w:right="1134" w:bottom="1134" w:left="1418" w:header="1417" w:footer="1134" w:gutter="0"/>
          <w:pgNumType w:fmt="upperRoman" w:start="1"/>
          <w:cols w:space="425" w:num="1"/>
          <w:docGrid w:type="lines" w:linePitch="312" w:charSpace="0"/>
        </w:sectPr>
      </w:pPr>
    </w:p>
    <w:p>
      <w:pPr>
        <w:pStyle w:val="2"/>
        <w:sectPr>
          <w:footerReference r:id="rId7" w:type="default"/>
          <w:footerReference r:id="rId8" w:type="even"/>
          <w:pgSz w:w="11906" w:h="16838"/>
          <w:pgMar w:top="1417" w:right="1134" w:bottom="1134" w:left="1418" w:header="1417" w:footer="1134" w:gutter="0"/>
          <w:pgNumType w:fmt="upperRoman" w:start="2"/>
          <w:cols w:space="425" w:num="1"/>
          <w:docGrid w:type="lines" w:linePitch="312" w:charSpace="0"/>
        </w:sectPr>
      </w:pPr>
    </w:p>
    <w:p>
      <w:pPr>
        <w:keepNext w:val="0"/>
        <w:keepLines w:val="0"/>
        <w:pageBreakBefore w:val="0"/>
        <w:widowControl w:val="0"/>
        <w:shd w:val="clear"/>
        <w:kinsoku/>
        <w:wordWrap/>
        <w:overflowPunct/>
        <w:topLinePunct w:val="0"/>
        <w:autoSpaceDE/>
        <w:autoSpaceDN/>
        <w:bidi w:val="0"/>
        <w:adjustRightInd/>
        <w:snapToGrid w:val="0"/>
        <w:spacing w:before="567" w:after="680"/>
        <w:ind w:firstLine="0" w:firstLineChars="0"/>
        <w:jc w:val="center"/>
        <w:textAlignment w:val="auto"/>
        <w:outlineLvl w:val="0"/>
        <w:rPr>
          <w:rFonts w:hint="eastAsia" w:ascii="黑体" w:hAnsi="黑体" w:eastAsia="黑体" w:cs="黑体"/>
          <w:kern w:val="0"/>
          <w:sz w:val="32"/>
          <w:szCs w:val="32"/>
          <w:lang w:val="en-US" w:eastAsia="zh-CN"/>
        </w:rPr>
      </w:pPr>
      <w:bookmarkStart w:id="2" w:name="_Toc162887459"/>
      <w:bookmarkStart w:id="3" w:name="_Toc2608"/>
      <w:bookmarkStart w:id="4" w:name="BookMark2"/>
      <w:r>
        <w:rPr>
          <w:rFonts w:hint="eastAsia" w:ascii="黑体" w:hAnsi="黑体" w:eastAsia="黑体" w:cs="黑体"/>
          <w:kern w:val="0"/>
          <w:sz w:val="32"/>
          <w:szCs w:val="32"/>
          <w:lang w:val="en-US" w:eastAsia="zh-CN"/>
        </w:rPr>
        <w:t>前    言</w:t>
      </w:r>
      <w:bookmarkEnd w:id="2"/>
      <w:bookmarkEnd w:id="3"/>
    </w:p>
    <w:p>
      <w:pPr>
        <w:pStyle w:val="67"/>
        <w:ind w:firstLine="420"/>
      </w:pPr>
      <w:r>
        <w:rPr>
          <w:rFonts w:hint="eastAsia"/>
        </w:rPr>
        <w:t>本文件按照GB/T 1.1—2020《标准化工作导则  第1部分：标准化文件的结构和起草规则》的规定起草。</w:t>
      </w:r>
    </w:p>
    <w:p>
      <w:pPr>
        <w:pStyle w:val="67"/>
        <w:ind w:firstLine="420"/>
      </w:pPr>
      <w:r>
        <w:rPr>
          <w:rFonts w:hint="eastAsia"/>
        </w:rPr>
        <w:t>请注意本文件的某些内容可能涉及专利。本文件的发布机构不承担识别专利的责任。</w:t>
      </w:r>
    </w:p>
    <w:p>
      <w:pPr>
        <w:pStyle w:val="67"/>
        <w:ind w:firstLine="420"/>
      </w:pPr>
      <w:r>
        <w:rPr>
          <w:rFonts w:hint="eastAsia"/>
        </w:rPr>
        <w:t>本文件由苏州市教育局提出并归口。</w:t>
      </w:r>
    </w:p>
    <w:p>
      <w:pPr>
        <w:pStyle w:val="67"/>
        <w:ind w:firstLine="420"/>
      </w:pPr>
      <w:r>
        <w:rPr>
          <w:rFonts w:hint="eastAsia"/>
        </w:rPr>
        <w:t>本文件起草单位：苏州工业园区服务外包职业学院、苏州旅游与财经高等职业技术学校、苏州市职业大学、苏州建设交通高等职业技术学校、苏州工业园区工业技术学校、苏州创飞智能科技有限公司。</w:t>
      </w:r>
    </w:p>
    <w:p>
      <w:pPr>
        <w:pStyle w:val="67"/>
        <w:ind w:firstLine="420"/>
      </w:pPr>
      <w:r>
        <w:rPr>
          <w:rFonts w:hint="eastAsia"/>
        </w:rPr>
        <w:t>本文件主要起草人：孙建、叶雷锋、张量、冯瑞、张勇、赵强、郇潇、谢永东、李蒋、徐兴振、李友节、郑渊、官建军。</w:t>
      </w:r>
    </w:p>
    <w:p>
      <w:pPr>
        <w:pStyle w:val="67"/>
        <w:ind w:firstLine="420"/>
        <w:sectPr>
          <w:headerReference r:id="rId9" w:type="default"/>
          <w:footerReference r:id="rId11" w:type="default"/>
          <w:headerReference r:id="rId10" w:type="even"/>
          <w:footerReference r:id="rId12" w:type="even"/>
          <w:pgSz w:w="11906" w:h="16838"/>
          <w:pgMar w:top="1417" w:right="1134" w:bottom="1134" w:left="1417" w:header="1418" w:footer="1134" w:gutter="284"/>
          <w:pgNumType w:fmt="upperRoman" w:start="2"/>
          <w:cols w:space="425" w:num="1"/>
          <w:formProt w:val="0"/>
          <w:docGrid w:type="lines" w:linePitch="312" w:charSpace="0"/>
        </w:sectPr>
      </w:pPr>
    </w:p>
    <w:p>
      <w:pPr>
        <w:pStyle w:val="67"/>
        <w:ind w:firstLine="420"/>
        <w:sectPr>
          <w:headerReference r:id="rId13" w:type="default"/>
          <w:footerReference r:id="rId15" w:type="default"/>
          <w:headerReference r:id="rId14" w:type="even"/>
          <w:footerReference r:id="rId16" w:type="even"/>
          <w:pgSz w:w="11906" w:h="16838"/>
          <w:pgMar w:top="1928" w:right="1134" w:bottom="1134" w:left="1134" w:header="1418" w:footer="1134" w:gutter="284"/>
          <w:pgNumType w:fmt="upperRoman"/>
          <w:cols w:space="425" w:num="1"/>
          <w:formProt w:val="0"/>
          <w:docGrid w:type="lines" w:linePitch="312" w:charSpace="0"/>
        </w:sectPr>
      </w:pPr>
    </w:p>
    <w:bookmarkEnd w:id="4"/>
    <w:sdt>
      <w:sdtPr>
        <w:tag w:val="NEW_STAND_NAME"/>
        <w:id w:val="595910757"/>
        <w:lock w:val="sdtLocked"/>
        <w:placeholder>
          <w:docPart w:val="{30d4f604-0288-4f6c-aca1-b90e4c78c133}"/>
        </w:placeholder>
      </w:sdtPr>
      <w:sdtContent>
        <w:p>
          <w:pPr>
            <w:pStyle w:val="76"/>
            <w:keepNext w:val="0"/>
            <w:keepLines w:val="0"/>
            <w:pageBreakBefore w:val="0"/>
            <w:widowControl/>
            <w:kinsoku/>
            <w:wordWrap/>
            <w:overflowPunct/>
            <w:topLinePunct w:val="0"/>
            <w:autoSpaceDE/>
            <w:autoSpaceDN/>
            <w:bidi w:val="0"/>
            <w:adjustRightInd/>
            <w:snapToGrid/>
            <w:spacing w:before="567" w:after="680" w:line="240" w:lineRule="auto"/>
            <w:textAlignment w:val="auto"/>
          </w:pPr>
          <w:bookmarkStart w:id="5" w:name="NEW_STAND_NAME"/>
          <w:bookmarkStart w:id="6" w:name="BookMark4"/>
          <w:r>
            <w:rPr>
              <w:rFonts w:hint="eastAsia"/>
            </w:rPr>
            <w:t>职业教育集团建设与运行规范</w:t>
          </w:r>
        </w:p>
      </w:sdtContent>
    </w:sdt>
    <w:bookmarkEnd w:id="5"/>
    <w:p>
      <w:pPr>
        <w:pStyle w:val="66"/>
        <w:spacing w:before="312" w:after="312"/>
      </w:pPr>
      <w:bookmarkStart w:id="7" w:name="_Toc97191423"/>
      <w:bookmarkStart w:id="8" w:name="_Toc160532002"/>
      <w:bookmarkStart w:id="9" w:name="_Toc426"/>
      <w:bookmarkStart w:id="10" w:name="_Toc26986530"/>
      <w:bookmarkStart w:id="11" w:name="_Toc26718930"/>
      <w:bookmarkStart w:id="12" w:name="_Toc160441558"/>
      <w:bookmarkStart w:id="13" w:name="_Toc17233333"/>
      <w:bookmarkStart w:id="14" w:name="_Toc162887460"/>
      <w:bookmarkStart w:id="15" w:name="_Toc26986771"/>
      <w:bookmarkStart w:id="16" w:name="_Toc24884218"/>
      <w:bookmarkStart w:id="17" w:name="_Toc24884211"/>
      <w:bookmarkStart w:id="18" w:name="_Toc17233325"/>
      <w:bookmarkStart w:id="19" w:name="_Toc26648465"/>
      <w:r>
        <w:rPr>
          <w:rFonts w:hint="eastAsia"/>
        </w:rPr>
        <w:t>范围</w:t>
      </w:r>
      <w:bookmarkEnd w:id="7"/>
      <w:bookmarkEnd w:id="8"/>
      <w:bookmarkEnd w:id="9"/>
      <w:bookmarkEnd w:id="10"/>
      <w:bookmarkEnd w:id="11"/>
      <w:bookmarkEnd w:id="12"/>
      <w:bookmarkEnd w:id="13"/>
      <w:bookmarkEnd w:id="14"/>
      <w:bookmarkEnd w:id="15"/>
      <w:bookmarkEnd w:id="16"/>
      <w:bookmarkEnd w:id="17"/>
      <w:bookmarkEnd w:id="18"/>
      <w:bookmarkEnd w:id="19"/>
    </w:p>
    <w:p>
      <w:pPr>
        <w:pStyle w:val="67"/>
        <w:ind w:firstLine="420"/>
      </w:pPr>
      <w:bookmarkStart w:id="20" w:name="_Toc17233334"/>
      <w:bookmarkStart w:id="21" w:name="_Toc24884219"/>
      <w:bookmarkStart w:id="22" w:name="_Toc26648466"/>
      <w:bookmarkStart w:id="23" w:name="_Toc17233326"/>
      <w:bookmarkStart w:id="24" w:name="_Toc24884212"/>
      <w:r>
        <w:rPr>
          <w:rFonts w:hint="eastAsia"/>
        </w:rPr>
        <w:t>本文件规定了职业教育集团组建的基本原则、组建与解散流程、内部治理、机构和岗位设置、评价与改进的要求。</w:t>
      </w:r>
    </w:p>
    <w:p>
      <w:pPr>
        <w:pStyle w:val="67"/>
        <w:ind w:firstLine="420"/>
      </w:pPr>
      <w:r>
        <w:rPr>
          <w:rFonts w:hint="eastAsia"/>
        </w:rPr>
        <w:t>本文件适用于职业院校在设区市教育行政主管部门指导下组建职业教育集团。</w:t>
      </w:r>
    </w:p>
    <w:p>
      <w:pPr>
        <w:pStyle w:val="66"/>
        <w:spacing w:before="312" w:after="312"/>
      </w:pPr>
      <w:bookmarkStart w:id="25" w:name="_Toc160441559"/>
      <w:bookmarkStart w:id="26" w:name="_Toc160532003"/>
      <w:bookmarkStart w:id="27" w:name="_Toc97191424"/>
      <w:bookmarkStart w:id="28" w:name="_Toc26505"/>
      <w:bookmarkStart w:id="29" w:name="_Toc162887461"/>
      <w:bookmarkStart w:id="30" w:name="_Toc26986531"/>
      <w:bookmarkStart w:id="31" w:name="_Toc26718931"/>
      <w:bookmarkStart w:id="32" w:name="_Toc26986772"/>
      <w:r>
        <w:rPr>
          <w:rFonts w:hint="eastAsia"/>
        </w:rPr>
        <w:t>规范性引用文件</w:t>
      </w:r>
      <w:bookmarkEnd w:id="20"/>
      <w:bookmarkEnd w:id="21"/>
      <w:bookmarkEnd w:id="22"/>
      <w:bookmarkEnd w:id="23"/>
      <w:bookmarkEnd w:id="24"/>
      <w:bookmarkEnd w:id="25"/>
      <w:bookmarkEnd w:id="26"/>
      <w:bookmarkEnd w:id="27"/>
      <w:bookmarkEnd w:id="28"/>
      <w:bookmarkEnd w:id="29"/>
      <w:bookmarkEnd w:id="30"/>
      <w:bookmarkEnd w:id="31"/>
      <w:bookmarkEnd w:id="32"/>
    </w:p>
    <w:sdt>
      <w:sdtPr>
        <w:rPr>
          <w:rFonts w:hint="eastAsia"/>
        </w:rPr>
        <w:id w:val="715848253"/>
        <w:placeholder>
          <w:docPart w:val="{d82edbb5-e4fa-4c6c-bf70-3009745b1508}"/>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67"/>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67"/>
        <w:ind w:firstLine="420"/>
      </w:pPr>
      <w:r>
        <w:rPr>
          <w:rFonts w:hint="eastAsia"/>
        </w:rPr>
        <w:t>DB3205/T 1003  双元制职业教育 人才培养指南</w:t>
      </w:r>
    </w:p>
    <w:p>
      <w:pPr>
        <w:pStyle w:val="66"/>
        <w:spacing w:before="312" w:after="312"/>
      </w:pPr>
      <w:bookmarkStart w:id="33" w:name="_Toc160532004"/>
      <w:bookmarkStart w:id="34" w:name="_Toc160441560"/>
      <w:bookmarkStart w:id="35" w:name="_Toc17011"/>
      <w:bookmarkStart w:id="36" w:name="_Toc97191425"/>
      <w:bookmarkStart w:id="37" w:name="_Toc162887462"/>
      <w:r>
        <w:rPr>
          <w:rFonts w:hint="eastAsia"/>
          <w:szCs w:val="21"/>
        </w:rPr>
        <w:t>术语和定义</w:t>
      </w:r>
      <w:bookmarkEnd w:id="33"/>
      <w:bookmarkEnd w:id="34"/>
      <w:bookmarkEnd w:id="35"/>
      <w:bookmarkEnd w:id="36"/>
      <w:bookmarkEnd w:id="37"/>
    </w:p>
    <w:sdt>
      <w:sdtPr>
        <w:id w:val="-1909835108"/>
        <w:placeholder>
          <w:docPart w:val="{c8508fa5-a9b4-4f06-9d21-21563784df95}"/>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67"/>
            <w:ind w:firstLine="420"/>
          </w:pPr>
          <w:bookmarkStart w:id="38" w:name="_Toc26986532"/>
          <w:bookmarkEnd w:id="38"/>
          <w:r>
            <w:t>DB3205/T 1003界定的以及下列术语和定义适用于本文件。</w:t>
          </w:r>
        </w:p>
      </w:sdtContent>
    </w:sdt>
    <w:p>
      <w:pPr>
        <w:pStyle w:val="63"/>
        <w:ind w:left="420" w:hanging="420" w:hangingChars="200"/>
        <w:rPr>
          <w:rFonts w:ascii="黑体" w:hAnsi="黑体" w:eastAsia="黑体"/>
        </w:rPr>
      </w:pPr>
    </w:p>
    <w:p>
      <w:pPr>
        <w:pStyle w:val="63"/>
        <w:keepNext w:val="0"/>
        <w:keepLines w:val="0"/>
        <w:pageBreakBefore w:val="0"/>
        <w:widowControl/>
        <w:numPr>
          <w:ilvl w:val="2"/>
          <w:numId w:val="0"/>
        </w:numPr>
        <w:kinsoku/>
        <w:wordWrap/>
        <w:overflowPunct/>
        <w:topLinePunct w:val="0"/>
        <w:autoSpaceDE/>
        <w:autoSpaceDN/>
        <w:bidi w:val="0"/>
        <w:adjustRightInd/>
        <w:snapToGrid/>
        <w:ind w:left="420" w:leftChars="200"/>
        <w:textAlignment w:val="auto"/>
        <w:rPr>
          <w:rFonts w:ascii="黑体" w:hAnsi="黑体" w:eastAsia="黑体"/>
        </w:rPr>
      </w:pPr>
      <w:r>
        <w:rPr>
          <w:rFonts w:hint="eastAsia" w:ascii="黑体" w:hAnsi="黑体" w:eastAsia="黑体"/>
        </w:rPr>
        <w:t xml:space="preserve">职业教育集团 </w:t>
      </w:r>
      <w:r>
        <w:rPr>
          <w:rFonts w:ascii="黑体" w:hAnsi="黑体" w:eastAsia="黑体"/>
        </w:rPr>
        <w:t xml:space="preserve"> </w:t>
      </w:r>
      <w:r>
        <w:rPr>
          <w:rFonts w:hint="eastAsia" w:ascii="黑体" w:hAnsi="黑体" w:eastAsia="黑体"/>
        </w:rPr>
        <w:t>vocational</w:t>
      </w:r>
      <w:r>
        <w:rPr>
          <w:rFonts w:ascii="黑体" w:hAnsi="黑体" w:eastAsia="黑体"/>
        </w:rPr>
        <w:t xml:space="preserve"> </w:t>
      </w:r>
      <w:r>
        <w:rPr>
          <w:rFonts w:hint="eastAsia" w:ascii="黑体" w:hAnsi="黑体" w:eastAsia="黑体"/>
        </w:rPr>
        <w:t>education</w:t>
      </w:r>
      <w:r>
        <w:rPr>
          <w:rFonts w:ascii="黑体" w:hAnsi="黑体" w:eastAsia="黑体"/>
        </w:rPr>
        <w:t xml:space="preserve"> </w:t>
      </w:r>
      <w:r>
        <w:rPr>
          <w:rFonts w:hint="eastAsia" w:ascii="黑体" w:hAnsi="黑体" w:eastAsia="黑体"/>
        </w:rPr>
        <w:t>group</w:t>
      </w:r>
    </w:p>
    <w:p>
      <w:pPr>
        <w:pStyle w:val="67"/>
        <w:ind w:firstLine="420"/>
      </w:pPr>
      <w:r>
        <w:rPr>
          <w:rFonts w:hint="eastAsia"/>
        </w:rPr>
        <w:t>由多个具有独立法人资格的职业教育相关组织机构组成，以契约、资产等形式为联结纽带，集团章程为共同行为规范，合作开展人才培养与培训、技术技能积累、社会服务活动等为主要任务，提高教育质量、提升人力资本素质，促进产教融合发展和协同创新为目的的合作办学组织。</w:t>
      </w:r>
    </w:p>
    <w:p>
      <w:pPr>
        <w:pStyle w:val="67"/>
        <w:ind w:firstLine="420"/>
      </w:pPr>
      <w:r>
        <w:rPr>
          <w:rFonts w:hint="eastAsia"/>
        </w:rPr>
        <w:t>[来源：《中国职业教育集团化办学发展报告（2015）》，引言，有修改]</w:t>
      </w:r>
    </w:p>
    <w:p>
      <w:pPr>
        <w:pStyle w:val="66"/>
        <w:spacing w:before="312" w:after="312"/>
      </w:pPr>
      <w:bookmarkStart w:id="39" w:name="_Toc162887463"/>
      <w:bookmarkStart w:id="40" w:name="_Toc30673"/>
      <w:r>
        <w:rPr>
          <w:rFonts w:hint="eastAsia"/>
        </w:rPr>
        <w:t>基本原则</w:t>
      </w:r>
      <w:bookmarkEnd w:id="39"/>
      <w:bookmarkEnd w:id="40"/>
    </w:p>
    <w:p>
      <w:pPr>
        <w:pStyle w:val="65"/>
        <w:spacing w:before="156" w:after="156"/>
      </w:pPr>
      <w:bookmarkStart w:id="41" w:name="_Toc160441562"/>
      <w:bookmarkStart w:id="42" w:name="_Toc160532006"/>
      <w:bookmarkStart w:id="43" w:name="_Toc162887464"/>
      <w:bookmarkStart w:id="44" w:name="_Toc599"/>
      <w:r>
        <w:rPr>
          <w:rFonts w:hint="eastAsia"/>
        </w:rPr>
        <w:t>自愿平等</w:t>
      </w:r>
      <w:bookmarkEnd w:id="41"/>
      <w:bookmarkEnd w:id="42"/>
      <w:bookmarkEnd w:id="43"/>
      <w:bookmarkEnd w:id="44"/>
    </w:p>
    <w:p>
      <w:pPr>
        <w:pStyle w:val="67"/>
        <w:ind w:firstLine="420"/>
      </w:pPr>
      <w:r>
        <w:rPr>
          <w:rFonts w:hint="eastAsia"/>
        </w:rPr>
        <w:t>集团成员单位间具有平等的法律地位，自愿遵守职业教育集团章程，具有独立法人资格的职业教育机构、企事业单位和科研院所以及其他社会组织自愿申请加入集团，经履行集团组织程序申请退出集团。</w:t>
      </w:r>
    </w:p>
    <w:p>
      <w:pPr>
        <w:pStyle w:val="65"/>
        <w:spacing w:before="156" w:after="156"/>
      </w:pPr>
      <w:bookmarkStart w:id="45" w:name="_Toc11284"/>
      <w:bookmarkStart w:id="46" w:name="_Toc160532007"/>
      <w:bookmarkStart w:id="47" w:name="_Toc162887465"/>
      <w:bookmarkStart w:id="48" w:name="_Toc160441563"/>
      <w:r>
        <w:rPr>
          <w:rFonts w:hint="eastAsia"/>
        </w:rPr>
        <w:t>共建共享</w:t>
      </w:r>
      <w:bookmarkEnd w:id="45"/>
      <w:bookmarkEnd w:id="46"/>
      <w:bookmarkEnd w:id="47"/>
      <w:bookmarkEnd w:id="48"/>
    </w:p>
    <w:p>
      <w:pPr>
        <w:pStyle w:val="67"/>
        <w:ind w:firstLine="420"/>
      </w:pPr>
      <w:r>
        <w:rPr>
          <w:rFonts w:hint="eastAsia"/>
        </w:rPr>
        <w:t>集团成员单位间资源共享、优势互补、共同发展，在人力资源、设备资源、资金资源、市场资源、技术资源和文化资源等方面的共建共享。</w:t>
      </w:r>
    </w:p>
    <w:p>
      <w:pPr>
        <w:pStyle w:val="65"/>
        <w:spacing w:before="156" w:after="156"/>
      </w:pPr>
      <w:bookmarkStart w:id="49" w:name="_Toc160532008"/>
      <w:bookmarkStart w:id="50" w:name="_Toc14179"/>
      <w:bookmarkStart w:id="51" w:name="_Toc160441564"/>
      <w:bookmarkStart w:id="52" w:name="_Toc162887466"/>
      <w:r>
        <w:rPr>
          <w:rFonts w:hint="eastAsia"/>
        </w:rPr>
        <w:t>互利共赢</w:t>
      </w:r>
      <w:bookmarkEnd w:id="49"/>
      <w:bookmarkEnd w:id="50"/>
      <w:bookmarkEnd w:id="51"/>
      <w:bookmarkEnd w:id="52"/>
    </w:p>
    <w:p>
      <w:pPr>
        <w:pStyle w:val="67"/>
        <w:ind w:firstLine="420"/>
      </w:pPr>
      <w:r>
        <w:rPr>
          <w:rFonts w:hint="eastAsia"/>
        </w:rPr>
        <w:t>推动集团成员单位间合作和对外合作，构建供需对接、资源共享、责任共担、互利共赢的合作关系。</w:t>
      </w:r>
    </w:p>
    <w:p>
      <w:pPr>
        <w:pStyle w:val="65"/>
        <w:spacing w:before="156" w:after="156"/>
      </w:pPr>
      <w:bookmarkStart w:id="53" w:name="_Toc160441565"/>
      <w:bookmarkStart w:id="54" w:name="_Toc160532009"/>
      <w:bookmarkStart w:id="55" w:name="_Toc3735"/>
      <w:bookmarkStart w:id="56" w:name="_Toc162887467"/>
      <w:r>
        <w:rPr>
          <w:rFonts w:hint="eastAsia"/>
        </w:rPr>
        <w:t>权责对等</w:t>
      </w:r>
      <w:bookmarkEnd w:id="53"/>
      <w:bookmarkEnd w:id="54"/>
      <w:bookmarkEnd w:id="55"/>
      <w:bookmarkEnd w:id="56"/>
    </w:p>
    <w:p>
      <w:pPr>
        <w:pStyle w:val="67"/>
        <w:ind w:firstLine="420"/>
      </w:pPr>
      <w:r>
        <w:rPr>
          <w:rFonts w:hint="eastAsia"/>
        </w:rPr>
        <w:t>集团成员间的协作依靠权责利分明的多边契约关系，成员单位依据其在集团中的作用赋予其相应的权力及职责，并且以章程的形式明确权责关系。</w:t>
      </w:r>
    </w:p>
    <w:p>
      <w:pPr>
        <w:pStyle w:val="66"/>
        <w:spacing w:before="312" w:after="312"/>
      </w:pPr>
      <w:bookmarkStart w:id="57" w:name="_Toc160441566"/>
      <w:bookmarkStart w:id="58" w:name="_Toc9606"/>
      <w:bookmarkStart w:id="59" w:name="_Toc160532010"/>
      <w:bookmarkStart w:id="60" w:name="_Toc162887468"/>
      <w:r>
        <w:rPr>
          <w:rFonts w:hint="eastAsia"/>
        </w:rPr>
        <w:t>组建与解散流程</w:t>
      </w:r>
      <w:bookmarkEnd w:id="57"/>
      <w:bookmarkEnd w:id="58"/>
      <w:bookmarkEnd w:id="59"/>
      <w:bookmarkEnd w:id="60"/>
    </w:p>
    <w:p>
      <w:pPr>
        <w:pStyle w:val="65"/>
        <w:spacing w:before="156" w:after="156"/>
      </w:pPr>
      <w:bookmarkStart w:id="61" w:name="_Toc160532011"/>
      <w:bookmarkStart w:id="62" w:name="_Toc160441567"/>
      <w:bookmarkStart w:id="63" w:name="_Toc162887469"/>
      <w:bookmarkStart w:id="64" w:name="_Toc13123"/>
      <w:r>
        <w:rPr>
          <w:rFonts w:hint="eastAsia"/>
        </w:rPr>
        <w:t>流程图</w:t>
      </w:r>
      <w:bookmarkEnd w:id="61"/>
      <w:bookmarkEnd w:id="62"/>
      <w:bookmarkEnd w:id="63"/>
      <w:bookmarkEnd w:id="64"/>
    </w:p>
    <w:p>
      <w:pPr>
        <w:pStyle w:val="67"/>
        <w:ind w:firstLine="420"/>
      </w:pPr>
      <w:r>
        <w:drawing>
          <wp:anchor distT="0" distB="0" distL="114300" distR="114300" simplePos="0" relativeHeight="251676672" behindDoc="0" locked="0" layoutInCell="1" allowOverlap="1">
            <wp:simplePos x="0" y="0"/>
            <wp:positionH relativeFrom="column">
              <wp:posOffset>529590</wp:posOffset>
            </wp:positionH>
            <wp:positionV relativeFrom="paragraph">
              <wp:posOffset>489585</wp:posOffset>
            </wp:positionV>
            <wp:extent cx="4930140" cy="638175"/>
            <wp:effectExtent l="0" t="0" r="3810" b="9525"/>
            <wp:wrapTopAndBottom/>
            <wp:docPr id="166036548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365488" name="图片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4930140" cy="638175"/>
                    </a:xfrm>
                    <a:prstGeom prst="rect">
                      <a:avLst/>
                    </a:prstGeom>
                    <a:noFill/>
                    <a:ln>
                      <a:noFill/>
                    </a:ln>
                  </pic:spPr>
                </pic:pic>
              </a:graphicData>
            </a:graphic>
          </wp:anchor>
        </w:drawing>
      </w:r>
      <w:r>
        <w:rPr>
          <w:rFonts w:hint="eastAsia"/>
        </w:rPr>
        <w:t>职业教育集团组建与解散包含组织发起、成员选择、集团筹建、集团成立和集团解散，具体流程见图1。</w:t>
      </w:r>
    </w:p>
    <w:p>
      <w:pPr>
        <w:pStyle w:val="77"/>
        <w:spacing w:before="156" w:after="156"/>
      </w:pPr>
      <w:r>
        <w:rPr>
          <w:rFonts w:hint="eastAsia"/>
        </w:rPr>
        <w:t>职业教育集团组建与解散流程图</w:t>
      </w:r>
    </w:p>
    <w:p>
      <w:pPr>
        <w:pStyle w:val="65"/>
        <w:spacing w:before="156" w:after="156"/>
      </w:pPr>
      <w:bookmarkStart w:id="65" w:name="_Toc160532012"/>
      <w:bookmarkStart w:id="66" w:name="_Toc23004"/>
      <w:bookmarkStart w:id="67" w:name="_Toc162887470"/>
      <w:bookmarkStart w:id="68" w:name="_Toc160441568"/>
      <w:r>
        <w:rPr>
          <w:rFonts w:hint="eastAsia"/>
        </w:rPr>
        <w:t>组织发起</w:t>
      </w:r>
      <w:bookmarkEnd w:id="65"/>
      <w:bookmarkEnd w:id="66"/>
      <w:bookmarkEnd w:id="67"/>
      <w:bookmarkEnd w:id="68"/>
    </w:p>
    <w:p>
      <w:pPr>
        <w:pStyle w:val="68"/>
      </w:pPr>
      <w:r>
        <w:rPr>
          <w:rFonts w:hint="eastAsia"/>
        </w:rPr>
        <w:t>职业教育集团由职业院校在设区市教育行政主管部门指导下联合相关行业企业、科研院所组织发起。</w:t>
      </w:r>
    </w:p>
    <w:p>
      <w:pPr>
        <w:pStyle w:val="68"/>
      </w:pPr>
      <w:r>
        <w:rPr>
          <w:rFonts w:hint="eastAsia"/>
        </w:rPr>
        <w:t>牵头职业院校应在本集团业务领域内具有较好的影响力，与联合发起的行业企业、科研院所具有一定的合作基础。</w:t>
      </w:r>
    </w:p>
    <w:p>
      <w:pPr>
        <w:pStyle w:val="65"/>
        <w:spacing w:before="156" w:after="156"/>
      </w:pPr>
      <w:bookmarkStart w:id="69" w:name="_Toc160532013"/>
      <w:bookmarkStart w:id="70" w:name="_Toc160441569"/>
      <w:bookmarkStart w:id="71" w:name="_Toc24660"/>
      <w:bookmarkStart w:id="72" w:name="_Toc162887471"/>
      <w:r>
        <w:rPr>
          <w:rFonts w:hint="eastAsia"/>
        </w:rPr>
        <w:t>成员</w:t>
      </w:r>
      <w:bookmarkEnd w:id="69"/>
      <w:bookmarkEnd w:id="70"/>
      <w:r>
        <w:rPr>
          <w:rFonts w:hint="eastAsia"/>
        </w:rPr>
        <w:t>选择</w:t>
      </w:r>
      <w:bookmarkEnd w:id="71"/>
      <w:bookmarkEnd w:id="72"/>
    </w:p>
    <w:p>
      <w:pPr>
        <w:pStyle w:val="68"/>
      </w:pPr>
      <w:r>
        <w:rPr>
          <w:rFonts w:hint="eastAsia"/>
        </w:rPr>
        <w:t>成员单位包括政府部门、职业院校、行业企业、科研院所、社会组织等合法机构。</w:t>
      </w:r>
    </w:p>
    <w:p>
      <w:pPr>
        <w:pStyle w:val="68"/>
      </w:pPr>
      <w:r>
        <w:rPr>
          <w:rFonts w:hint="eastAsia"/>
        </w:rPr>
        <w:t>成员单位应具有社会责任感、能够积极关心职业教育发展、主动参与职业教育集团工作、积极谋划职业教育集团发展。</w:t>
      </w:r>
    </w:p>
    <w:p>
      <w:pPr>
        <w:pStyle w:val="68"/>
      </w:pPr>
      <w:r>
        <w:rPr>
          <w:rFonts w:hint="eastAsia"/>
        </w:rPr>
        <w:t>成员单位自愿申请，发起单位在设区市教育行政主管部门的指导下组织遴选。</w:t>
      </w:r>
    </w:p>
    <w:p>
      <w:pPr>
        <w:pStyle w:val="68"/>
      </w:pPr>
      <w:r>
        <w:rPr>
          <w:rFonts w:hint="eastAsia"/>
        </w:rPr>
        <w:t>成员单位不少于20家。</w:t>
      </w:r>
    </w:p>
    <w:p>
      <w:pPr>
        <w:pStyle w:val="65"/>
        <w:spacing w:before="156" w:after="156"/>
      </w:pPr>
      <w:bookmarkStart w:id="73" w:name="_Toc160441570"/>
      <w:bookmarkStart w:id="74" w:name="_Toc24849"/>
      <w:bookmarkStart w:id="75" w:name="_Toc160532014"/>
      <w:bookmarkStart w:id="76" w:name="_Toc162887472"/>
      <w:r>
        <w:rPr>
          <w:rFonts w:hint="eastAsia"/>
        </w:rPr>
        <w:t>集团筹建</w:t>
      </w:r>
      <w:bookmarkEnd w:id="73"/>
      <w:bookmarkEnd w:id="74"/>
      <w:bookmarkEnd w:id="75"/>
      <w:bookmarkEnd w:id="76"/>
    </w:p>
    <w:p>
      <w:pPr>
        <w:pStyle w:val="68"/>
      </w:pPr>
      <w:r>
        <w:rPr>
          <w:rFonts w:hint="eastAsia"/>
        </w:rPr>
        <w:t>应成立筹建工作组，制定组建计划和方案；拟定集团名称、章程草案，制定运行管理制度草案，筹备成立大会。</w:t>
      </w:r>
    </w:p>
    <w:p>
      <w:pPr>
        <w:pStyle w:val="68"/>
      </w:pPr>
      <w:r>
        <w:rPr>
          <w:rFonts w:hint="eastAsia"/>
        </w:rPr>
        <w:t>集团名称宜采用“苏州市+产业/领域+职教集团”格式。产业/领域是职业教育集团主要面向的产业或专业领域。</w:t>
      </w:r>
    </w:p>
    <w:p>
      <w:pPr>
        <w:pStyle w:val="68"/>
      </w:pPr>
      <w:r>
        <w:rPr>
          <w:rFonts w:hint="eastAsia"/>
        </w:rPr>
        <w:t>制定集团章程，章程一般包括以下事项：</w:t>
      </w:r>
    </w:p>
    <w:p>
      <w:pPr>
        <w:pStyle w:val="55"/>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名称、住所；</w:t>
      </w:r>
    </w:p>
    <w:p>
      <w:pPr>
        <w:pStyle w:val="55"/>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宗旨、业务范围和活动地域；</w:t>
      </w:r>
    </w:p>
    <w:p>
      <w:pPr>
        <w:pStyle w:val="55"/>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成员资格及其权利、义务；</w:t>
      </w:r>
    </w:p>
    <w:p>
      <w:pPr>
        <w:pStyle w:val="55"/>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民主的组织管理制度，执行机构的产生程序；</w:t>
      </w:r>
    </w:p>
    <w:p>
      <w:pPr>
        <w:pStyle w:val="55"/>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负责人的条件和产生、罢免的程序；</w:t>
      </w:r>
    </w:p>
    <w:p>
      <w:pPr>
        <w:pStyle w:val="55"/>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资产管理和使用的原则；</w:t>
      </w:r>
    </w:p>
    <w:p>
      <w:pPr>
        <w:pStyle w:val="55"/>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章程的修改程序；</w:t>
      </w:r>
    </w:p>
    <w:p>
      <w:pPr>
        <w:pStyle w:val="55"/>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终止程序和终止后资产的处理；</w:t>
      </w:r>
    </w:p>
    <w:p>
      <w:pPr>
        <w:pStyle w:val="55"/>
        <w:keepNext w:val="0"/>
        <w:keepLines w:val="0"/>
        <w:pageBreakBefore w:val="0"/>
        <w:widowControl/>
        <w:numPr>
          <w:ilvl w:val="0"/>
          <w:numId w:val="14"/>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应当由章程规定的其他事项。</w:t>
      </w:r>
    </w:p>
    <w:p>
      <w:pPr>
        <w:pStyle w:val="68"/>
      </w:pPr>
      <w:r>
        <w:rPr>
          <w:rFonts w:hint="eastAsia"/>
        </w:rPr>
        <w:t>拟定集团理事会、咨询委员会、监事会、秘书处等组织机构组成单位和初步人选。</w:t>
      </w:r>
    </w:p>
    <w:p>
      <w:pPr>
        <w:pStyle w:val="65"/>
        <w:spacing w:before="156" w:after="156"/>
      </w:pPr>
      <w:bookmarkStart w:id="77" w:name="_Toc162887473"/>
      <w:bookmarkStart w:id="78" w:name="_Toc22942"/>
      <w:bookmarkStart w:id="79" w:name="_Toc160532015"/>
      <w:bookmarkStart w:id="80" w:name="_Toc160441571"/>
      <w:r>
        <w:rPr>
          <w:rFonts w:hint="eastAsia"/>
        </w:rPr>
        <w:t>集团成立</w:t>
      </w:r>
      <w:bookmarkEnd w:id="77"/>
      <w:bookmarkEnd w:id="78"/>
      <w:bookmarkEnd w:id="79"/>
      <w:bookmarkEnd w:id="80"/>
    </w:p>
    <w:p>
      <w:pPr>
        <w:pStyle w:val="68"/>
      </w:pPr>
      <w:r>
        <w:rPr>
          <w:rFonts w:hint="eastAsia"/>
        </w:rPr>
        <w:t>应召开全体成员大会暨成立大会，审议集团《章程》。</w:t>
      </w:r>
    </w:p>
    <w:p>
      <w:pPr>
        <w:pStyle w:val="68"/>
      </w:pPr>
      <w:r>
        <w:rPr>
          <w:rFonts w:hint="eastAsia"/>
        </w:rPr>
        <w:t>应按照《章程》建立组织机构，选举产生组织机构负责人。</w:t>
      </w:r>
    </w:p>
    <w:p>
      <w:pPr>
        <w:pStyle w:val="68"/>
      </w:pPr>
      <w:r>
        <w:rPr>
          <w:rFonts w:hint="eastAsia"/>
        </w:rPr>
        <w:t>宜召开理事会第一次会议，研究集团工作。</w:t>
      </w:r>
    </w:p>
    <w:p>
      <w:pPr>
        <w:pStyle w:val="65"/>
        <w:spacing w:before="156" w:after="156"/>
      </w:pPr>
      <w:bookmarkStart w:id="81" w:name="_Toc6682"/>
      <w:bookmarkStart w:id="82" w:name="_Toc162887474"/>
      <w:bookmarkStart w:id="83" w:name="_Toc160532016"/>
      <w:bookmarkStart w:id="84" w:name="_Toc160441572"/>
      <w:r>
        <w:rPr>
          <w:rFonts w:hint="eastAsia"/>
        </w:rPr>
        <w:t>集团解散</w:t>
      </w:r>
      <w:bookmarkEnd w:id="81"/>
      <w:bookmarkEnd w:id="82"/>
      <w:bookmarkEnd w:id="83"/>
      <w:bookmarkEnd w:id="84"/>
    </w:p>
    <w:p>
      <w:pPr>
        <w:pStyle w:val="68"/>
      </w:pPr>
      <w:r>
        <w:rPr>
          <w:rFonts w:hint="eastAsia"/>
        </w:rPr>
        <w:t>集团应提前半年向设区市教育行政主管部门提出解散书面申请，经同意后方可主动解散。</w:t>
      </w:r>
    </w:p>
    <w:p>
      <w:pPr>
        <w:pStyle w:val="68"/>
      </w:pPr>
      <w:r>
        <w:rPr>
          <w:rFonts w:hint="eastAsia"/>
        </w:rPr>
        <w:t>因集团工作不善，可经设区市教育行政主管部门研究决定解散集团。</w:t>
      </w:r>
    </w:p>
    <w:p>
      <w:pPr>
        <w:pStyle w:val="68"/>
      </w:pPr>
      <w:r>
        <w:rPr>
          <w:rFonts w:hint="eastAsia"/>
        </w:rPr>
        <w:t>集团应主动处理好解散善后事宜，因未处理好善后事宜引发的责任由集团依托单位和集团负责人负责。</w:t>
      </w:r>
    </w:p>
    <w:p>
      <w:pPr>
        <w:pStyle w:val="66"/>
        <w:spacing w:before="312" w:after="312"/>
      </w:pPr>
      <w:bookmarkStart w:id="85" w:name="_Toc19177"/>
      <w:bookmarkStart w:id="86" w:name="_Toc162887475"/>
      <w:bookmarkStart w:id="87" w:name="_Toc160441573"/>
      <w:bookmarkStart w:id="88" w:name="_Toc160532017"/>
      <w:r>
        <w:rPr>
          <w:rFonts w:hint="eastAsia"/>
        </w:rPr>
        <w:t>内部治理</w:t>
      </w:r>
      <w:bookmarkEnd w:id="85"/>
      <w:bookmarkEnd w:id="86"/>
      <w:bookmarkEnd w:id="87"/>
      <w:bookmarkEnd w:id="88"/>
    </w:p>
    <w:p>
      <w:pPr>
        <w:pStyle w:val="65"/>
        <w:spacing w:before="156" w:after="156"/>
      </w:pPr>
      <w:bookmarkStart w:id="89" w:name="_Toc160441574"/>
      <w:bookmarkStart w:id="90" w:name="_Toc20388"/>
      <w:bookmarkStart w:id="91" w:name="_Toc160532018"/>
      <w:bookmarkStart w:id="92" w:name="_Toc162887476"/>
      <w:r>
        <w:rPr>
          <w:rFonts w:hint="eastAsia"/>
        </w:rPr>
        <w:t>治理</w:t>
      </w:r>
      <w:bookmarkEnd w:id="89"/>
      <w:r>
        <w:rPr>
          <w:rFonts w:hint="eastAsia"/>
        </w:rPr>
        <w:t>结构图</w:t>
      </w:r>
      <w:bookmarkEnd w:id="90"/>
      <w:bookmarkEnd w:id="91"/>
      <w:bookmarkEnd w:id="92"/>
    </w:p>
    <w:p>
      <w:pPr>
        <w:pStyle w:val="67"/>
        <w:ind w:firstLine="420"/>
      </w:pPr>
      <w:r>
        <w:drawing>
          <wp:anchor distT="0" distB="0" distL="114300" distR="114300" simplePos="0" relativeHeight="251675648" behindDoc="0" locked="0" layoutInCell="1" allowOverlap="1">
            <wp:simplePos x="0" y="0"/>
            <wp:positionH relativeFrom="column">
              <wp:posOffset>600710</wp:posOffset>
            </wp:positionH>
            <wp:positionV relativeFrom="paragraph">
              <wp:posOffset>222885</wp:posOffset>
            </wp:positionV>
            <wp:extent cx="4450080" cy="2754630"/>
            <wp:effectExtent l="0" t="0" r="7620" b="7620"/>
            <wp:wrapTopAndBottom/>
            <wp:docPr id="130433697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336971" name="图片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4450080" cy="2754630"/>
                    </a:xfrm>
                    <a:prstGeom prst="rect">
                      <a:avLst/>
                    </a:prstGeom>
                    <a:noFill/>
                    <a:ln>
                      <a:noFill/>
                    </a:ln>
                  </pic:spPr>
                </pic:pic>
              </a:graphicData>
            </a:graphic>
          </wp:anchor>
        </w:drawing>
      </w:r>
      <w:r>
        <w:rPr>
          <w:rFonts w:hint="eastAsia"/>
        </w:rPr>
        <w:t>职业教育集团治理机构如图2所示。</w:t>
      </w:r>
    </w:p>
    <w:p>
      <w:pPr>
        <w:pStyle w:val="77"/>
        <w:spacing w:before="156" w:after="156"/>
      </w:pPr>
      <w:r>
        <w:rPr>
          <w:rFonts w:hint="eastAsia"/>
        </w:rPr>
        <w:t>职业教育集团治理结构图</w:t>
      </w:r>
    </w:p>
    <w:p>
      <w:pPr>
        <w:pStyle w:val="65"/>
        <w:spacing w:before="156" w:after="156"/>
      </w:pPr>
      <w:bookmarkStart w:id="93" w:name="_Toc160441575"/>
      <w:bookmarkStart w:id="94" w:name="_Toc162887477"/>
      <w:bookmarkStart w:id="95" w:name="_Toc29229"/>
      <w:bookmarkStart w:id="96" w:name="_Toc160532019"/>
      <w:r>
        <w:rPr>
          <w:rFonts w:hint="eastAsia"/>
        </w:rPr>
        <w:t>治理结构</w:t>
      </w:r>
      <w:bookmarkEnd w:id="93"/>
      <w:bookmarkEnd w:id="94"/>
      <w:bookmarkEnd w:id="95"/>
      <w:bookmarkEnd w:id="96"/>
    </w:p>
    <w:p>
      <w:pPr>
        <w:pStyle w:val="69"/>
        <w:spacing w:before="156" w:after="156"/>
      </w:pPr>
      <w:bookmarkStart w:id="97" w:name="_Toc21974"/>
      <w:r>
        <w:rPr>
          <w:rFonts w:hint="eastAsia"/>
        </w:rPr>
        <w:t>成员大会</w:t>
      </w:r>
      <w:bookmarkEnd w:id="97"/>
    </w:p>
    <w:p>
      <w:pPr>
        <w:pStyle w:val="67"/>
        <w:ind w:firstLine="420"/>
      </w:pPr>
      <w:r>
        <w:rPr>
          <w:rFonts w:hint="eastAsia"/>
        </w:rPr>
        <w:t>职业教育集团的最高权力机构，负责涉及成员单位切身利益问题的最终审议和决策。</w:t>
      </w:r>
    </w:p>
    <w:p>
      <w:pPr>
        <w:pStyle w:val="69"/>
        <w:spacing w:before="156" w:after="156"/>
      </w:pPr>
      <w:bookmarkStart w:id="98" w:name="_Toc28858"/>
      <w:r>
        <w:rPr>
          <w:rFonts w:hint="eastAsia"/>
        </w:rPr>
        <w:t>咨询委员会</w:t>
      </w:r>
      <w:bookmarkEnd w:id="98"/>
    </w:p>
    <w:p>
      <w:pPr>
        <w:pStyle w:val="67"/>
        <w:ind w:firstLine="420"/>
      </w:pPr>
      <w:r>
        <w:rPr>
          <w:rFonts w:hint="eastAsia"/>
        </w:rPr>
        <w:t>职业教育集团的咨询机构，由政府主管部门专家、职业教育专家、行业企业专家等组成。</w:t>
      </w:r>
    </w:p>
    <w:p>
      <w:pPr>
        <w:pStyle w:val="69"/>
        <w:spacing w:before="156" w:after="156"/>
      </w:pPr>
      <w:bookmarkStart w:id="99" w:name="_Toc5990"/>
      <w:r>
        <w:rPr>
          <w:rFonts w:hint="eastAsia"/>
        </w:rPr>
        <w:t>理事会</w:t>
      </w:r>
      <w:bookmarkEnd w:id="99"/>
    </w:p>
    <w:p>
      <w:pPr>
        <w:pStyle w:val="67"/>
        <w:ind w:firstLine="420"/>
      </w:pPr>
      <w:r>
        <w:rPr>
          <w:rFonts w:hint="eastAsia"/>
        </w:rPr>
        <w:t>职业教育集团的决策机构，在成员（代表）大会的授权下负责集团日常工作计划、工作报告的审议和决策。</w:t>
      </w:r>
    </w:p>
    <w:p>
      <w:pPr>
        <w:pStyle w:val="69"/>
        <w:spacing w:before="156" w:after="156"/>
      </w:pPr>
      <w:bookmarkStart w:id="100" w:name="_Toc8844"/>
      <w:r>
        <w:rPr>
          <w:rFonts w:hint="eastAsia"/>
        </w:rPr>
        <w:t>监事会</w:t>
      </w:r>
      <w:bookmarkEnd w:id="100"/>
    </w:p>
    <w:p>
      <w:pPr>
        <w:pStyle w:val="67"/>
        <w:ind w:firstLine="420"/>
      </w:pPr>
      <w:r>
        <w:rPr>
          <w:rFonts w:hint="eastAsia"/>
        </w:rPr>
        <w:t>职业教育集团的监督与反馈机构，在成员（代表）大会的授权下对决策机构和执行机构的工作独立开展监督，及时发现和反馈职业教育集团工作中的问题。</w:t>
      </w:r>
    </w:p>
    <w:p>
      <w:pPr>
        <w:pStyle w:val="69"/>
        <w:spacing w:before="156" w:after="156"/>
      </w:pPr>
      <w:bookmarkStart w:id="101" w:name="_Toc5133"/>
      <w:r>
        <w:rPr>
          <w:rFonts w:hint="eastAsia"/>
        </w:rPr>
        <w:t>秘书处</w:t>
      </w:r>
      <w:bookmarkEnd w:id="101"/>
    </w:p>
    <w:p>
      <w:pPr>
        <w:pStyle w:val="67"/>
        <w:ind w:firstLine="420"/>
      </w:pPr>
      <w:r>
        <w:rPr>
          <w:rFonts w:hint="eastAsia"/>
        </w:rPr>
        <w:t>职业教育集团的执行机构，负责理事会决策的分解与落实。</w:t>
      </w:r>
    </w:p>
    <w:p>
      <w:pPr>
        <w:pStyle w:val="69"/>
        <w:spacing w:before="156" w:after="156"/>
      </w:pPr>
      <w:bookmarkStart w:id="102" w:name="_Toc5471"/>
      <w:r>
        <w:rPr>
          <w:rFonts w:hint="eastAsia"/>
        </w:rPr>
        <w:t>专业委员会</w:t>
      </w:r>
      <w:bookmarkEnd w:id="102"/>
    </w:p>
    <w:p>
      <w:pPr>
        <w:pStyle w:val="79"/>
      </w:pPr>
      <w:r>
        <w:rPr>
          <w:rFonts w:hint="eastAsia"/>
        </w:rPr>
        <w:t>职业教育集团二级执行机构，根据集团发展实际需要，应按需设立。专业委员会应根据需要成立分支理事会和分支秘书处等二级职能部门。</w:t>
      </w:r>
    </w:p>
    <w:p>
      <w:pPr>
        <w:pStyle w:val="79"/>
      </w:pPr>
      <w:r>
        <w:rPr>
          <w:rFonts w:hint="eastAsia"/>
        </w:rPr>
        <w:t>在职业教育集团专门领域开展相关工作，接受集团指导和监督。专业委员会不应再设分支机构。</w:t>
      </w:r>
    </w:p>
    <w:p>
      <w:pPr>
        <w:pStyle w:val="65"/>
        <w:spacing w:before="156" w:after="156"/>
      </w:pPr>
      <w:bookmarkStart w:id="103" w:name="_Toc160532020"/>
      <w:bookmarkStart w:id="104" w:name="_Toc9179"/>
      <w:bookmarkStart w:id="105" w:name="_Toc160441576"/>
      <w:bookmarkStart w:id="106" w:name="_Toc162887478"/>
      <w:r>
        <w:rPr>
          <w:rFonts w:hint="eastAsia"/>
        </w:rPr>
        <w:t>治理制度</w:t>
      </w:r>
      <w:bookmarkEnd w:id="103"/>
      <w:bookmarkEnd w:id="104"/>
      <w:bookmarkEnd w:id="105"/>
      <w:bookmarkEnd w:id="106"/>
    </w:p>
    <w:p>
      <w:pPr>
        <w:pStyle w:val="69"/>
        <w:spacing w:before="156" w:after="156"/>
      </w:pPr>
      <w:bookmarkStart w:id="107" w:name="_Toc17726"/>
      <w:r>
        <w:rPr>
          <w:rFonts w:hint="eastAsia"/>
        </w:rPr>
        <w:t>议事决策制度</w:t>
      </w:r>
      <w:bookmarkEnd w:id="107"/>
    </w:p>
    <w:p>
      <w:pPr>
        <w:pStyle w:val="67"/>
        <w:keepNext w:val="0"/>
        <w:keepLines w:val="0"/>
        <w:pageBreakBefore w:val="0"/>
        <w:widowControl/>
        <w:kinsoku/>
        <w:wordWrap/>
        <w:overflowPunct/>
        <w:topLinePunct w:val="0"/>
        <w:autoSpaceDE w:val="0"/>
        <w:autoSpaceDN w:val="0"/>
        <w:bidi w:val="0"/>
        <w:adjustRightInd/>
        <w:snapToGrid/>
        <w:ind w:firstLine="420"/>
        <w:textAlignment w:val="auto"/>
      </w:pPr>
      <w:r>
        <w:rPr>
          <w:rFonts w:hint="eastAsia"/>
        </w:rPr>
        <w:t>应明确议事决策的程序。</w:t>
      </w:r>
    </w:p>
    <w:p>
      <w:pPr>
        <w:pStyle w:val="69"/>
        <w:spacing w:before="156" w:after="156"/>
      </w:pPr>
      <w:bookmarkStart w:id="108" w:name="_Toc11778"/>
      <w:r>
        <w:rPr>
          <w:rFonts w:hint="eastAsia"/>
        </w:rPr>
        <w:t>定期会商制度</w:t>
      </w:r>
      <w:bookmarkEnd w:id="108"/>
    </w:p>
    <w:p>
      <w:pPr>
        <w:pStyle w:val="67"/>
        <w:ind w:firstLine="420"/>
      </w:pPr>
      <w:r>
        <w:rPr>
          <w:rFonts w:hint="eastAsia"/>
        </w:rPr>
        <w:t>各项会议定期安排包括但不限于：</w:t>
      </w:r>
    </w:p>
    <w:p>
      <w:pPr>
        <w:pStyle w:val="55"/>
        <w:keepNext w:val="0"/>
        <w:keepLines w:val="0"/>
        <w:pageBreakBefore w:val="0"/>
        <w:widowControl/>
        <w:numPr>
          <w:ilvl w:val="0"/>
          <w:numId w:val="15"/>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成员大会每年应召开1次；</w:t>
      </w:r>
    </w:p>
    <w:p>
      <w:pPr>
        <w:pStyle w:val="55"/>
        <w:keepNext w:val="0"/>
        <w:keepLines w:val="0"/>
        <w:pageBreakBefore w:val="0"/>
        <w:widowControl/>
        <w:numPr>
          <w:ilvl w:val="0"/>
          <w:numId w:val="15"/>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理事会每年应至少召开2次；</w:t>
      </w:r>
    </w:p>
    <w:p>
      <w:pPr>
        <w:pStyle w:val="55"/>
        <w:keepNext w:val="0"/>
        <w:keepLines w:val="0"/>
        <w:pageBreakBefore w:val="0"/>
        <w:widowControl/>
        <w:numPr>
          <w:ilvl w:val="0"/>
          <w:numId w:val="15"/>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常务理事会每年至少召开4次。</w:t>
      </w:r>
    </w:p>
    <w:p>
      <w:pPr>
        <w:pStyle w:val="69"/>
        <w:spacing w:before="156" w:after="156"/>
      </w:pPr>
      <w:bookmarkStart w:id="109" w:name="_Toc12957"/>
      <w:r>
        <w:rPr>
          <w:rFonts w:hint="eastAsia"/>
        </w:rPr>
        <w:t>计划总结制度</w:t>
      </w:r>
      <w:bookmarkEnd w:id="109"/>
    </w:p>
    <w:p>
      <w:pPr>
        <w:pStyle w:val="67"/>
        <w:ind w:firstLine="420"/>
      </w:pPr>
      <w:r>
        <w:rPr>
          <w:rFonts w:hint="eastAsia"/>
        </w:rPr>
        <w:t>年初应制定年度计划并提交理事会审议，年终应提交年终总结供成员代表大会审议。</w:t>
      </w:r>
    </w:p>
    <w:p>
      <w:pPr>
        <w:pStyle w:val="69"/>
        <w:spacing w:before="156" w:after="156"/>
      </w:pPr>
      <w:bookmarkStart w:id="110" w:name="_Toc14089"/>
      <w:r>
        <w:rPr>
          <w:rFonts w:hint="eastAsia"/>
        </w:rPr>
        <w:t>考核激励制度</w:t>
      </w:r>
      <w:bookmarkEnd w:id="110"/>
    </w:p>
    <w:p>
      <w:pPr>
        <w:pStyle w:val="67"/>
        <w:ind w:firstLine="420"/>
      </w:pPr>
      <w:r>
        <w:rPr>
          <w:rFonts w:hint="eastAsia"/>
        </w:rPr>
        <w:t>应明确对成员单位和个人的考核与激励的方式与方法。</w:t>
      </w:r>
    </w:p>
    <w:p>
      <w:pPr>
        <w:pStyle w:val="69"/>
        <w:spacing w:before="156" w:after="156"/>
      </w:pPr>
      <w:bookmarkStart w:id="111" w:name="_Toc17987"/>
      <w:r>
        <w:rPr>
          <w:rFonts w:hint="eastAsia"/>
        </w:rPr>
        <w:t>财务公开制度</w:t>
      </w:r>
      <w:bookmarkEnd w:id="111"/>
    </w:p>
    <w:p>
      <w:pPr>
        <w:pStyle w:val="67"/>
        <w:ind w:firstLine="420"/>
      </w:pPr>
      <w:r>
        <w:rPr>
          <w:rFonts w:hint="eastAsia"/>
        </w:rPr>
        <w:t>应明确财务公开的范围、渠道和方法。</w:t>
      </w:r>
    </w:p>
    <w:p>
      <w:pPr>
        <w:pStyle w:val="69"/>
        <w:spacing w:before="156" w:after="156"/>
      </w:pPr>
      <w:bookmarkStart w:id="112" w:name="_Toc2438"/>
      <w:r>
        <w:rPr>
          <w:rFonts w:hint="eastAsia"/>
        </w:rPr>
        <w:t>遴选与退出制度</w:t>
      </w:r>
      <w:bookmarkEnd w:id="112"/>
    </w:p>
    <w:p>
      <w:pPr>
        <w:pStyle w:val="67"/>
        <w:ind w:firstLine="420"/>
      </w:pPr>
      <w:r>
        <w:rPr>
          <w:rFonts w:hint="eastAsia"/>
        </w:rPr>
        <w:t>应明确集团成员单位遴选的标准、程序，明确成员单位退出的程序。</w:t>
      </w:r>
    </w:p>
    <w:p>
      <w:pPr>
        <w:pStyle w:val="65"/>
        <w:spacing w:before="156" w:after="156"/>
      </w:pPr>
      <w:bookmarkStart w:id="113" w:name="_Toc160441577"/>
      <w:bookmarkStart w:id="114" w:name="_Toc162887479"/>
      <w:bookmarkStart w:id="115" w:name="_Toc22932"/>
      <w:bookmarkStart w:id="116" w:name="_Toc160532021"/>
      <w:r>
        <w:rPr>
          <w:rFonts w:hint="eastAsia"/>
        </w:rPr>
        <w:t>治理机制</w:t>
      </w:r>
      <w:bookmarkEnd w:id="113"/>
      <w:bookmarkEnd w:id="114"/>
      <w:bookmarkEnd w:id="115"/>
      <w:bookmarkEnd w:id="116"/>
    </w:p>
    <w:p>
      <w:pPr>
        <w:pStyle w:val="69"/>
        <w:spacing w:before="156" w:after="156"/>
      </w:pPr>
      <w:bookmarkStart w:id="117" w:name="_Toc5593"/>
      <w:r>
        <w:rPr>
          <w:rFonts w:hint="eastAsia"/>
        </w:rPr>
        <w:t>党业融合机制</w:t>
      </w:r>
      <w:bookmarkEnd w:id="117"/>
    </w:p>
    <w:p>
      <w:pPr>
        <w:pStyle w:val="67"/>
        <w:ind w:firstLine="420"/>
      </w:pPr>
      <w:r>
        <w:rPr>
          <w:rFonts w:hint="eastAsia"/>
        </w:rPr>
        <w:t>整合集团成员单位党建资源，每年开展业务共建活动应不少于1次。</w:t>
      </w:r>
    </w:p>
    <w:p>
      <w:pPr>
        <w:pStyle w:val="69"/>
        <w:spacing w:before="156" w:after="156"/>
      </w:pPr>
      <w:bookmarkStart w:id="118" w:name="_Toc11757"/>
      <w:r>
        <w:rPr>
          <w:rFonts w:hint="eastAsia"/>
        </w:rPr>
        <w:t>走访对接机制</w:t>
      </w:r>
      <w:bookmarkEnd w:id="118"/>
    </w:p>
    <w:p>
      <w:pPr>
        <w:pStyle w:val="67"/>
        <w:ind w:firstLine="420"/>
      </w:pPr>
      <w:r>
        <w:rPr>
          <w:rFonts w:hint="eastAsia"/>
        </w:rPr>
        <w:t>成员单位间应定期走访对接和交流，推进合作共建，每年走访对接应不少于4次，成员单位间合作项目不少于2项。</w:t>
      </w:r>
    </w:p>
    <w:p>
      <w:pPr>
        <w:pStyle w:val="69"/>
        <w:spacing w:before="156" w:after="156"/>
      </w:pPr>
      <w:bookmarkStart w:id="119" w:name="_Toc18551"/>
      <w:r>
        <w:rPr>
          <w:rFonts w:hint="eastAsia"/>
        </w:rPr>
        <w:t>宣传联络机制</w:t>
      </w:r>
      <w:bookmarkEnd w:id="119"/>
    </w:p>
    <w:p>
      <w:pPr>
        <w:pStyle w:val="67"/>
        <w:ind w:firstLine="420"/>
      </w:pPr>
      <w:r>
        <w:rPr>
          <w:rFonts w:hint="eastAsia"/>
        </w:rPr>
        <w:t>应建立宣传联络机制，联络方式包括但不限于：</w:t>
      </w:r>
    </w:p>
    <w:p>
      <w:pPr>
        <w:pStyle w:val="55"/>
        <w:keepNext w:val="0"/>
        <w:keepLines w:val="0"/>
        <w:pageBreakBefore w:val="0"/>
        <w:widowControl/>
        <w:numPr>
          <w:ilvl w:val="0"/>
          <w:numId w:val="16"/>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建立成员单位沟通联络平台，如网站、微信公众号、微信群、QQ群等。</w:t>
      </w:r>
    </w:p>
    <w:p>
      <w:pPr>
        <w:pStyle w:val="55"/>
        <w:keepNext w:val="0"/>
        <w:keepLines w:val="0"/>
        <w:pageBreakBefore w:val="0"/>
        <w:widowControl/>
        <w:numPr>
          <w:ilvl w:val="0"/>
          <w:numId w:val="16"/>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职业教育集团在市级及以上主流媒体报道每年应不少于2篇。</w:t>
      </w:r>
    </w:p>
    <w:p>
      <w:pPr>
        <w:pStyle w:val="66"/>
        <w:spacing w:before="312" w:after="312"/>
      </w:pPr>
      <w:bookmarkStart w:id="120" w:name="_Toc13369"/>
      <w:bookmarkStart w:id="121" w:name="_Toc160532022"/>
      <w:bookmarkStart w:id="122" w:name="_Toc162887480"/>
      <w:r>
        <w:rPr>
          <w:rFonts w:hint="eastAsia"/>
        </w:rPr>
        <w:t>机构和岗位设置</w:t>
      </w:r>
      <w:bookmarkEnd w:id="120"/>
      <w:bookmarkEnd w:id="121"/>
      <w:bookmarkEnd w:id="122"/>
    </w:p>
    <w:p>
      <w:pPr>
        <w:pStyle w:val="65"/>
        <w:spacing w:before="156" w:after="156"/>
      </w:pPr>
      <w:bookmarkStart w:id="123" w:name="_Toc160532023"/>
      <w:bookmarkStart w:id="124" w:name="_Toc162887481"/>
      <w:bookmarkStart w:id="125" w:name="_Toc21441"/>
      <w:bookmarkStart w:id="126" w:name="_Toc160441579"/>
      <w:r>
        <w:rPr>
          <w:rFonts w:hint="eastAsia"/>
        </w:rPr>
        <w:t>咨询委员会</w:t>
      </w:r>
      <w:bookmarkEnd w:id="123"/>
      <w:bookmarkEnd w:id="124"/>
      <w:bookmarkEnd w:id="125"/>
      <w:bookmarkEnd w:id="126"/>
    </w:p>
    <w:p>
      <w:pPr>
        <w:pStyle w:val="69"/>
        <w:spacing w:before="156" w:after="156"/>
      </w:pPr>
      <w:bookmarkStart w:id="127" w:name="_Toc19951"/>
      <w:r>
        <w:rPr>
          <w:rFonts w:hint="eastAsia"/>
        </w:rPr>
        <w:t>工作职责</w:t>
      </w:r>
      <w:bookmarkEnd w:id="127"/>
    </w:p>
    <w:p>
      <w:pPr>
        <w:pStyle w:val="67"/>
        <w:ind w:firstLine="420"/>
      </w:pPr>
      <w:r>
        <w:rPr>
          <w:rFonts w:hint="eastAsia"/>
        </w:rPr>
        <w:t>咨询委员会职责包含但不限于：</w:t>
      </w:r>
    </w:p>
    <w:p>
      <w:pPr>
        <w:pStyle w:val="55"/>
        <w:keepNext w:val="0"/>
        <w:keepLines w:val="0"/>
        <w:pageBreakBefore w:val="0"/>
        <w:widowControl/>
        <w:numPr>
          <w:ilvl w:val="0"/>
          <w:numId w:val="17"/>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为职业教育集团改革发展提供咨询服务，进行论证评议，提出意见建议；</w:t>
      </w:r>
    </w:p>
    <w:p>
      <w:pPr>
        <w:pStyle w:val="55"/>
        <w:keepNext w:val="0"/>
        <w:keepLines w:val="0"/>
        <w:pageBreakBefore w:val="0"/>
        <w:widowControl/>
        <w:numPr>
          <w:ilvl w:val="0"/>
          <w:numId w:val="17"/>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开展调查研究，对集团发展重大规划制定、重要标准建设、重点项目推进等提出意见建议。</w:t>
      </w:r>
    </w:p>
    <w:p>
      <w:pPr>
        <w:pStyle w:val="69"/>
        <w:spacing w:before="156" w:after="156"/>
      </w:pPr>
      <w:bookmarkStart w:id="128" w:name="_Toc4487"/>
      <w:r>
        <w:rPr>
          <w:rFonts w:hint="eastAsia"/>
        </w:rPr>
        <w:t>岗位任期</w:t>
      </w:r>
      <w:bookmarkEnd w:id="128"/>
    </w:p>
    <w:p>
      <w:pPr>
        <w:pStyle w:val="67"/>
        <w:ind w:firstLine="420"/>
        <w:rPr>
          <w:rFonts w:hint="eastAsia" w:eastAsia="宋体"/>
          <w:lang w:eastAsia="zh-CN"/>
        </w:rPr>
      </w:pPr>
      <w:r>
        <w:rPr>
          <w:rFonts w:hint="eastAsia"/>
        </w:rPr>
        <w:t>实行聘用制，聘期为三年</w:t>
      </w:r>
      <w:r>
        <w:rPr>
          <w:rFonts w:hint="eastAsia"/>
          <w:lang w:eastAsia="zh-CN"/>
        </w:rPr>
        <w:t>。</w:t>
      </w:r>
    </w:p>
    <w:p>
      <w:pPr>
        <w:pStyle w:val="69"/>
        <w:spacing w:before="156" w:after="156"/>
      </w:pPr>
      <w:bookmarkStart w:id="129" w:name="_Toc15111"/>
      <w:r>
        <w:rPr>
          <w:rFonts w:hint="eastAsia"/>
        </w:rPr>
        <w:t>人员配置</w:t>
      </w:r>
      <w:bookmarkEnd w:id="129"/>
    </w:p>
    <w:p>
      <w:pPr>
        <w:pStyle w:val="67"/>
        <w:ind w:firstLine="420"/>
      </w:pPr>
      <w:r>
        <w:rPr>
          <w:rFonts w:hint="eastAsia"/>
        </w:rPr>
        <w:t>设置主任1名、副主任2名、委员若干名。</w:t>
      </w:r>
    </w:p>
    <w:p>
      <w:pPr>
        <w:pStyle w:val="65"/>
        <w:spacing w:before="156" w:after="156"/>
      </w:pPr>
      <w:bookmarkStart w:id="130" w:name="_Toc162887482"/>
      <w:bookmarkStart w:id="131" w:name="_Toc160532024"/>
      <w:bookmarkStart w:id="132" w:name="_Toc160441580"/>
      <w:bookmarkStart w:id="133" w:name="_Toc416"/>
      <w:r>
        <w:rPr>
          <w:rFonts w:hint="eastAsia"/>
        </w:rPr>
        <w:t>理事会</w:t>
      </w:r>
      <w:bookmarkEnd w:id="130"/>
      <w:bookmarkEnd w:id="131"/>
      <w:bookmarkEnd w:id="132"/>
      <w:bookmarkEnd w:id="133"/>
    </w:p>
    <w:p>
      <w:pPr>
        <w:pStyle w:val="69"/>
        <w:spacing w:before="156" w:after="156"/>
      </w:pPr>
      <w:bookmarkStart w:id="134" w:name="_Toc17591"/>
      <w:r>
        <w:rPr>
          <w:rFonts w:hint="eastAsia"/>
        </w:rPr>
        <w:t>工作职责</w:t>
      </w:r>
      <w:bookmarkEnd w:id="134"/>
    </w:p>
    <w:p>
      <w:pPr>
        <w:pStyle w:val="67"/>
        <w:ind w:firstLine="420"/>
      </w:pPr>
      <w:r>
        <w:rPr>
          <w:rFonts w:hint="eastAsia"/>
        </w:rPr>
        <w:t>理事会工作职责包含但不限于：</w:t>
      </w:r>
    </w:p>
    <w:p>
      <w:pPr>
        <w:pStyle w:val="55"/>
        <w:keepNext w:val="0"/>
        <w:keepLines w:val="0"/>
        <w:pageBreakBefore w:val="0"/>
        <w:widowControl/>
        <w:numPr>
          <w:ilvl w:val="0"/>
          <w:numId w:val="18"/>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制定和修改集团章程；</w:t>
      </w:r>
    </w:p>
    <w:p>
      <w:pPr>
        <w:pStyle w:val="55"/>
        <w:keepNext w:val="0"/>
        <w:keepLines w:val="0"/>
        <w:pageBreakBefore w:val="0"/>
        <w:widowControl/>
        <w:numPr>
          <w:ilvl w:val="0"/>
          <w:numId w:val="18"/>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选举和罢免领导机构成员、选举产生和撤销集团所设的工作机构；</w:t>
      </w:r>
    </w:p>
    <w:p>
      <w:pPr>
        <w:pStyle w:val="55"/>
        <w:keepNext w:val="0"/>
        <w:keepLines w:val="0"/>
        <w:pageBreakBefore w:val="0"/>
        <w:widowControl/>
        <w:numPr>
          <w:ilvl w:val="0"/>
          <w:numId w:val="18"/>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制定集团年度工作计划，审议工作报告；</w:t>
      </w:r>
    </w:p>
    <w:p>
      <w:pPr>
        <w:pStyle w:val="55"/>
        <w:keepNext w:val="0"/>
        <w:keepLines w:val="0"/>
        <w:pageBreakBefore w:val="0"/>
        <w:widowControl/>
        <w:numPr>
          <w:ilvl w:val="0"/>
          <w:numId w:val="18"/>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审议通过集团理事会或常务理事会提出的议案。</w:t>
      </w:r>
    </w:p>
    <w:p>
      <w:pPr>
        <w:pStyle w:val="69"/>
        <w:spacing w:before="156" w:after="156"/>
      </w:pPr>
      <w:bookmarkStart w:id="135" w:name="_Toc22078"/>
      <w:r>
        <w:rPr>
          <w:rFonts w:hint="eastAsia"/>
        </w:rPr>
        <w:t>岗位任期</w:t>
      </w:r>
      <w:bookmarkEnd w:id="135"/>
    </w:p>
    <w:p>
      <w:pPr>
        <w:pStyle w:val="67"/>
        <w:ind w:firstLine="420"/>
      </w:pPr>
      <w:r>
        <w:rPr>
          <w:rFonts w:hint="eastAsia"/>
        </w:rPr>
        <w:t>理事会由成员大会选举产生，聘期为三年。</w:t>
      </w:r>
    </w:p>
    <w:p>
      <w:pPr>
        <w:pStyle w:val="69"/>
        <w:spacing w:before="156" w:after="156"/>
      </w:pPr>
      <w:bookmarkStart w:id="136" w:name="_Toc29426"/>
      <w:r>
        <w:rPr>
          <w:rFonts w:hint="eastAsia"/>
        </w:rPr>
        <w:t>人员配置</w:t>
      </w:r>
      <w:bookmarkEnd w:id="136"/>
    </w:p>
    <w:p>
      <w:pPr>
        <w:pStyle w:val="67"/>
        <w:ind w:firstLine="420"/>
      </w:pPr>
      <w:r>
        <w:rPr>
          <w:rFonts w:hint="eastAsia"/>
        </w:rPr>
        <w:t>理事会应设理事长单位1个、理事长1名；副理事长单位及副理事长若干，理事单位及理事若干。</w:t>
      </w:r>
    </w:p>
    <w:p>
      <w:pPr>
        <w:pStyle w:val="65"/>
        <w:spacing w:before="156" w:after="156"/>
      </w:pPr>
      <w:bookmarkStart w:id="137" w:name="_Toc160441581"/>
      <w:bookmarkStart w:id="138" w:name="_Toc17385"/>
      <w:bookmarkStart w:id="139" w:name="_Toc162887483"/>
      <w:bookmarkStart w:id="140" w:name="_Toc160532025"/>
      <w:r>
        <w:rPr>
          <w:rFonts w:hint="eastAsia"/>
        </w:rPr>
        <w:t>常务理事会</w:t>
      </w:r>
      <w:bookmarkEnd w:id="137"/>
      <w:bookmarkEnd w:id="138"/>
      <w:bookmarkEnd w:id="139"/>
      <w:bookmarkEnd w:id="140"/>
    </w:p>
    <w:p>
      <w:pPr>
        <w:pStyle w:val="69"/>
        <w:spacing w:before="156" w:after="156"/>
      </w:pPr>
      <w:bookmarkStart w:id="141" w:name="_Toc19198"/>
      <w:r>
        <w:rPr>
          <w:rFonts w:hint="eastAsia"/>
        </w:rPr>
        <w:t>工作职责</w:t>
      </w:r>
      <w:bookmarkEnd w:id="141"/>
    </w:p>
    <w:p>
      <w:pPr>
        <w:pStyle w:val="67"/>
        <w:ind w:firstLine="420"/>
      </w:pPr>
      <w:r>
        <w:rPr>
          <w:rFonts w:hint="eastAsia"/>
        </w:rPr>
        <w:t>常务理事会工作职责包含但不限于：</w:t>
      </w:r>
    </w:p>
    <w:p>
      <w:pPr>
        <w:pStyle w:val="55"/>
        <w:keepNext w:val="0"/>
        <w:keepLines w:val="0"/>
        <w:pageBreakBefore w:val="0"/>
        <w:widowControl/>
        <w:numPr>
          <w:ilvl w:val="0"/>
          <w:numId w:val="1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执行理事大会决议，并向成员大会报告工作；</w:t>
      </w:r>
    </w:p>
    <w:p>
      <w:pPr>
        <w:pStyle w:val="55"/>
        <w:keepNext w:val="0"/>
        <w:keepLines w:val="0"/>
        <w:pageBreakBefore w:val="0"/>
        <w:widowControl/>
        <w:numPr>
          <w:ilvl w:val="0"/>
          <w:numId w:val="1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召集成员大会和其他重大活动；</w:t>
      </w:r>
    </w:p>
    <w:p>
      <w:pPr>
        <w:pStyle w:val="55"/>
        <w:keepNext w:val="0"/>
        <w:keepLines w:val="0"/>
        <w:pageBreakBefore w:val="0"/>
        <w:widowControl/>
        <w:numPr>
          <w:ilvl w:val="0"/>
          <w:numId w:val="1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实施集团年度工作计划；</w:t>
      </w:r>
    </w:p>
    <w:p>
      <w:pPr>
        <w:pStyle w:val="55"/>
        <w:keepNext w:val="0"/>
        <w:keepLines w:val="0"/>
        <w:pageBreakBefore w:val="0"/>
        <w:widowControl/>
        <w:numPr>
          <w:ilvl w:val="0"/>
          <w:numId w:val="1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制定经费预算并监督执行；</w:t>
      </w:r>
    </w:p>
    <w:p>
      <w:pPr>
        <w:pStyle w:val="55"/>
        <w:keepNext w:val="0"/>
        <w:keepLines w:val="0"/>
        <w:pageBreakBefore w:val="0"/>
        <w:widowControl/>
        <w:numPr>
          <w:ilvl w:val="0"/>
          <w:numId w:val="1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审批集团各项制度和行为规范；</w:t>
      </w:r>
    </w:p>
    <w:p>
      <w:pPr>
        <w:pStyle w:val="55"/>
        <w:keepNext w:val="0"/>
        <w:keepLines w:val="0"/>
        <w:pageBreakBefore w:val="0"/>
        <w:widowControl/>
        <w:numPr>
          <w:ilvl w:val="0"/>
          <w:numId w:val="1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审议通过成员单位的加入或退出；</w:t>
      </w:r>
    </w:p>
    <w:p>
      <w:pPr>
        <w:pStyle w:val="55"/>
        <w:keepNext w:val="0"/>
        <w:keepLines w:val="0"/>
        <w:pageBreakBefore w:val="0"/>
        <w:widowControl/>
        <w:numPr>
          <w:ilvl w:val="0"/>
          <w:numId w:val="1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决定理事大会召开的时间、地点和审议的主要内容；</w:t>
      </w:r>
    </w:p>
    <w:p>
      <w:pPr>
        <w:pStyle w:val="55"/>
        <w:keepNext w:val="0"/>
        <w:keepLines w:val="0"/>
        <w:pageBreakBefore w:val="0"/>
        <w:widowControl/>
        <w:numPr>
          <w:ilvl w:val="0"/>
          <w:numId w:val="1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领导和监督下设各机构的工作；</w:t>
      </w:r>
    </w:p>
    <w:p>
      <w:pPr>
        <w:pStyle w:val="55"/>
        <w:keepNext w:val="0"/>
        <w:keepLines w:val="0"/>
        <w:pageBreakBefore w:val="0"/>
        <w:widowControl/>
        <w:numPr>
          <w:ilvl w:val="0"/>
          <w:numId w:val="1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讨论和决定集团的有关重要事项；</w:t>
      </w:r>
    </w:p>
    <w:p>
      <w:pPr>
        <w:pStyle w:val="55"/>
        <w:keepNext w:val="0"/>
        <w:keepLines w:val="0"/>
        <w:pageBreakBefore w:val="0"/>
        <w:widowControl/>
        <w:numPr>
          <w:ilvl w:val="0"/>
          <w:numId w:val="1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审议和决定集团的其他重大事项。</w:t>
      </w:r>
    </w:p>
    <w:p>
      <w:pPr>
        <w:pStyle w:val="69"/>
        <w:spacing w:before="156" w:after="156"/>
      </w:pPr>
      <w:bookmarkStart w:id="142" w:name="_Toc14915"/>
      <w:r>
        <w:rPr>
          <w:rFonts w:hint="eastAsia"/>
        </w:rPr>
        <w:t>岗位任期</w:t>
      </w:r>
      <w:bookmarkEnd w:id="142"/>
    </w:p>
    <w:p>
      <w:pPr>
        <w:pStyle w:val="67"/>
        <w:ind w:firstLine="420"/>
      </w:pPr>
      <w:r>
        <w:rPr>
          <w:rFonts w:hint="eastAsia"/>
        </w:rPr>
        <w:t>常务理事从理事会中选举产生，聘期为三年。</w:t>
      </w:r>
    </w:p>
    <w:p>
      <w:pPr>
        <w:pStyle w:val="69"/>
        <w:spacing w:before="156" w:after="156"/>
      </w:pPr>
      <w:bookmarkStart w:id="143" w:name="_Toc18333"/>
      <w:r>
        <w:rPr>
          <w:rFonts w:hint="eastAsia"/>
        </w:rPr>
        <w:t>人员配置</w:t>
      </w:r>
      <w:bookmarkEnd w:id="143"/>
    </w:p>
    <w:p>
      <w:pPr>
        <w:pStyle w:val="67"/>
        <w:ind w:firstLine="420"/>
      </w:pPr>
      <w:r>
        <w:rPr>
          <w:rFonts w:hint="eastAsia"/>
        </w:rPr>
        <w:t>常务理事会应设常务理事长单位1个、常务理事长1名；常务副理事长单位及常务副理事长若干。</w:t>
      </w:r>
    </w:p>
    <w:p>
      <w:pPr>
        <w:pStyle w:val="65"/>
        <w:spacing w:before="156" w:after="156"/>
      </w:pPr>
      <w:bookmarkStart w:id="144" w:name="_Toc5124"/>
      <w:bookmarkStart w:id="145" w:name="_Toc160441582"/>
      <w:bookmarkStart w:id="146" w:name="_Toc160532026"/>
      <w:bookmarkStart w:id="147" w:name="_Toc162887484"/>
      <w:r>
        <w:rPr>
          <w:rFonts w:hint="eastAsia"/>
        </w:rPr>
        <w:t>监事会</w:t>
      </w:r>
      <w:bookmarkEnd w:id="144"/>
      <w:bookmarkEnd w:id="145"/>
      <w:bookmarkEnd w:id="146"/>
      <w:bookmarkEnd w:id="147"/>
    </w:p>
    <w:p>
      <w:pPr>
        <w:pStyle w:val="69"/>
        <w:spacing w:before="156" w:after="156"/>
      </w:pPr>
      <w:bookmarkStart w:id="148" w:name="_Toc32669"/>
      <w:r>
        <w:rPr>
          <w:rFonts w:hint="eastAsia"/>
        </w:rPr>
        <w:t>工作职责</w:t>
      </w:r>
      <w:bookmarkEnd w:id="148"/>
    </w:p>
    <w:p>
      <w:pPr>
        <w:pStyle w:val="67"/>
        <w:ind w:firstLine="420"/>
      </w:pPr>
      <w:r>
        <w:rPr>
          <w:rFonts w:hint="eastAsia"/>
        </w:rPr>
        <w:t>监事会工作职责包含但不限于：</w:t>
      </w:r>
    </w:p>
    <w:p>
      <w:pPr>
        <w:pStyle w:val="55"/>
        <w:keepNext w:val="0"/>
        <w:keepLines w:val="0"/>
        <w:pageBreakBefore w:val="0"/>
        <w:widowControl/>
        <w:numPr>
          <w:ilvl w:val="0"/>
          <w:numId w:val="20"/>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检查集团财务；</w:t>
      </w:r>
    </w:p>
    <w:p>
      <w:pPr>
        <w:pStyle w:val="55"/>
        <w:keepNext w:val="0"/>
        <w:keepLines w:val="0"/>
        <w:pageBreakBefore w:val="0"/>
        <w:widowControl/>
        <w:numPr>
          <w:ilvl w:val="0"/>
          <w:numId w:val="20"/>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对集团管理人员行为进行监督，对违反法律、行政法规、集团章程或者成员大会决议的高级管理人员提出罢免的建议；</w:t>
      </w:r>
    </w:p>
    <w:p>
      <w:pPr>
        <w:pStyle w:val="55"/>
        <w:keepNext w:val="0"/>
        <w:keepLines w:val="0"/>
        <w:pageBreakBefore w:val="0"/>
        <w:widowControl/>
        <w:numPr>
          <w:ilvl w:val="0"/>
          <w:numId w:val="20"/>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当集团管理人员行为损害集团利益时，予以纠正；</w:t>
      </w:r>
    </w:p>
    <w:p>
      <w:pPr>
        <w:pStyle w:val="55"/>
        <w:keepNext w:val="0"/>
        <w:keepLines w:val="0"/>
        <w:pageBreakBefore w:val="0"/>
        <w:widowControl/>
        <w:numPr>
          <w:ilvl w:val="0"/>
          <w:numId w:val="20"/>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提议召开临时成员大会；</w:t>
      </w:r>
    </w:p>
    <w:p>
      <w:pPr>
        <w:pStyle w:val="55"/>
        <w:keepNext w:val="0"/>
        <w:keepLines w:val="0"/>
        <w:pageBreakBefore w:val="0"/>
        <w:widowControl/>
        <w:numPr>
          <w:ilvl w:val="0"/>
          <w:numId w:val="20"/>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向成员大会提出提案；</w:t>
      </w:r>
    </w:p>
    <w:p>
      <w:pPr>
        <w:pStyle w:val="55"/>
        <w:keepNext w:val="0"/>
        <w:keepLines w:val="0"/>
        <w:pageBreakBefore w:val="0"/>
        <w:widowControl/>
        <w:numPr>
          <w:ilvl w:val="0"/>
          <w:numId w:val="20"/>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章程规定的其他职权。</w:t>
      </w:r>
    </w:p>
    <w:p>
      <w:pPr>
        <w:pStyle w:val="69"/>
        <w:spacing w:before="156" w:after="156"/>
      </w:pPr>
      <w:bookmarkStart w:id="149" w:name="_Toc32727"/>
      <w:r>
        <w:rPr>
          <w:rFonts w:hint="eastAsia"/>
        </w:rPr>
        <w:t>岗位任期</w:t>
      </w:r>
      <w:bookmarkEnd w:id="149"/>
    </w:p>
    <w:p>
      <w:pPr>
        <w:pStyle w:val="67"/>
        <w:ind w:firstLine="420"/>
      </w:pPr>
      <w:r>
        <w:rPr>
          <w:rFonts w:hint="eastAsia"/>
        </w:rPr>
        <w:t>监事会由成员大会选举产生，代表成员大会执行监督职能，聘期为三年。</w:t>
      </w:r>
    </w:p>
    <w:p>
      <w:pPr>
        <w:pStyle w:val="69"/>
        <w:spacing w:before="156" w:after="156"/>
      </w:pPr>
      <w:bookmarkStart w:id="150" w:name="_Toc21964"/>
      <w:r>
        <w:rPr>
          <w:rFonts w:hint="eastAsia"/>
        </w:rPr>
        <w:t>人员配置</w:t>
      </w:r>
      <w:bookmarkEnd w:id="150"/>
    </w:p>
    <w:p>
      <w:pPr>
        <w:pStyle w:val="67"/>
        <w:ind w:firstLine="420"/>
      </w:pPr>
      <w:r>
        <w:rPr>
          <w:rFonts w:hint="eastAsia"/>
        </w:rPr>
        <w:t>监事会设监事长1人，副监事长2人，监事若干。</w:t>
      </w:r>
    </w:p>
    <w:p>
      <w:pPr>
        <w:pStyle w:val="65"/>
        <w:spacing w:before="156" w:after="156"/>
      </w:pPr>
      <w:bookmarkStart w:id="151" w:name="_Toc162887485"/>
      <w:bookmarkStart w:id="152" w:name="_Toc12529"/>
      <w:bookmarkStart w:id="153" w:name="_Toc160532027"/>
      <w:bookmarkStart w:id="154" w:name="_Toc160441583"/>
      <w:r>
        <w:rPr>
          <w:rFonts w:hint="eastAsia"/>
        </w:rPr>
        <w:t>秘书处</w:t>
      </w:r>
      <w:bookmarkEnd w:id="151"/>
      <w:bookmarkEnd w:id="152"/>
      <w:bookmarkEnd w:id="153"/>
      <w:bookmarkEnd w:id="154"/>
    </w:p>
    <w:p>
      <w:pPr>
        <w:pStyle w:val="69"/>
        <w:spacing w:before="156" w:after="156"/>
      </w:pPr>
      <w:bookmarkStart w:id="155" w:name="_Toc9634"/>
      <w:r>
        <w:rPr>
          <w:rFonts w:hint="eastAsia"/>
        </w:rPr>
        <w:t>工作职责</w:t>
      </w:r>
      <w:bookmarkEnd w:id="155"/>
    </w:p>
    <w:p>
      <w:pPr>
        <w:pStyle w:val="67"/>
        <w:ind w:firstLine="420"/>
      </w:pPr>
      <w:r>
        <w:rPr>
          <w:rFonts w:hint="eastAsia"/>
        </w:rPr>
        <w:t>秘书处工作职责包含但不限于：</w:t>
      </w:r>
    </w:p>
    <w:p>
      <w:pPr>
        <w:pStyle w:val="55"/>
        <w:keepNext w:val="0"/>
        <w:keepLines w:val="0"/>
        <w:pageBreakBefore w:val="0"/>
        <w:widowControl/>
        <w:numPr>
          <w:ilvl w:val="0"/>
          <w:numId w:val="21"/>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执行理事会各项决议；</w:t>
      </w:r>
    </w:p>
    <w:p>
      <w:pPr>
        <w:pStyle w:val="55"/>
        <w:keepNext w:val="0"/>
        <w:keepLines w:val="0"/>
        <w:pageBreakBefore w:val="0"/>
        <w:widowControl/>
        <w:numPr>
          <w:ilvl w:val="0"/>
          <w:numId w:val="21"/>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负责成员单位的联络协调工作；</w:t>
      </w:r>
    </w:p>
    <w:p>
      <w:pPr>
        <w:pStyle w:val="55"/>
        <w:keepNext w:val="0"/>
        <w:keepLines w:val="0"/>
        <w:pageBreakBefore w:val="0"/>
        <w:widowControl/>
        <w:numPr>
          <w:ilvl w:val="0"/>
          <w:numId w:val="21"/>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筹备组织理事大会和常务理事会议，负责起草会议文件；</w:t>
      </w:r>
    </w:p>
    <w:p>
      <w:pPr>
        <w:pStyle w:val="55"/>
        <w:keepNext w:val="0"/>
        <w:keepLines w:val="0"/>
        <w:pageBreakBefore w:val="0"/>
        <w:widowControl/>
        <w:numPr>
          <w:ilvl w:val="0"/>
          <w:numId w:val="21"/>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起草、发布集团相关文件、收集集团相关信息；</w:t>
      </w:r>
    </w:p>
    <w:p>
      <w:pPr>
        <w:pStyle w:val="55"/>
        <w:keepNext w:val="0"/>
        <w:keepLines w:val="0"/>
        <w:pageBreakBefore w:val="0"/>
        <w:widowControl/>
        <w:numPr>
          <w:ilvl w:val="0"/>
          <w:numId w:val="21"/>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负责集团的宣传和有关文档管理等工作；</w:t>
      </w:r>
    </w:p>
    <w:p>
      <w:pPr>
        <w:pStyle w:val="55"/>
        <w:keepNext w:val="0"/>
        <w:keepLines w:val="0"/>
        <w:pageBreakBefore w:val="0"/>
        <w:widowControl/>
        <w:numPr>
          <w:ilvl w:val="0"/>
          <w:numId w:val="21"/>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负责完成理事长、常务理事长、常务理事交办的日常事务工作。</w:t>
      </w:r>
    </w:p>
    <w:p>
      <w:pPr>
        <w:pStyle w:val="69"/>
        <w:spacing w:before="156" w:after="156"/>
      </w:pPr>
      <w:bookmarkStart w:id="156" w:name="_Toc7586"/>
      <w:r>
        <w:rPr>
          <w:rFonts w:hint="eastAsia"/>
        </w:rPr>
        <w:t>岗位任期</w:t>
      </w:r>
      <w:bookmarkEnd w:id="156"/>
    </w:p>
    <w:p>
      <w:pPr>
        <w:pStyle w:val="67"/>
        <w:ind w:firstLine="420"/>
      </w:pPr>
      <w:r>
        <w:rPr>
          <w:rFonts w:hint="eastAsia"/>
        </w:rPr>
        <w:t>秘书长由理事长推荐、理事会选举产生，聘期为三年。</w:t>
      </w:r>
    </w:p>
    <w:p>
      <w:pPr>
        <w:pStyle w:val="69"/>
        <w:spacing w:before="156" w:after="156"/>
      </w:pPr>
      <w:bookmarkStart w:id="157" w:name="_Toc14876"/>
      <w:r>
        <w:rPr>
          <w:rFonts w:hint="eastAsia"/>
        </w:rPr>
        <w:t>人员配置</w:t>
      </w:r>
      <w:bookmarkEnd w:id="157"/>
    </w:p>
    <w:p>
      <w:pPr>
        <w:pStyle w:val="67"/>
        <w:ind w:firstLine="420"/>
      </w:pPr>
      <w:r>
        <w:rPr>
          <w:rFonts w:hint="eastAsia"/>
        </w:rPr>
        <w:t>秘书处设秘书长1名，副秘书长若干名。</w:t>
      </w:r>
    </w:p>
    <w:p>
      <w:pPr>
        <w:pStyle w:val="65"/>
        <w:spacing w:before="156" w:after="156"/>
      </w:pPr>
      <w:bookmarkStart w:id="158" w:name="_Toc160532028"/>
      <w:bookmarkStart w:id="159" w:name="_Toc162887486"/>
      <w:bookmarkStart w:id="160" w:name="_Toc160441584"/>
      <w:bookmarkStart w:id="161" w:name="_Toc815"/>
      <w:r>
        <w:rPr>
          <w:rFonts w:hint="eastAsia"/>
        </w:rPr>
        <w:t>专业委员会</w:t>
      </w:r>
      <w:bookmarkEnd w:id="158"/>
      <w:bookmarkEnd w:id="159"/>
      <w:bookmarkEnd w:id="160"/>
      <w:bookmarkEnd w:id="161"/>
    </w:p>
    <w:p>
      <w:pPr>
        <w:pStyle w:val="69"/>
        <w:spacing w:before="156" w:after="156"/>
      </w:pPr>
      <w:bookmarkStart w:id="162" w:name="_Toc2211"/>
      <w:r>
        <w:rPr>
          <w:rFonts w:hint="eastAsia"/>
        </w:rPr>
        <w:t>工作职责</w:t>
      </w:r>
      <w:bookmarkEnd w:id="162"/>
    </w:p>
    <w:p>
      <w:pPr>
        <w:pStyle w:val="67"/>
        <w:ind w:firstLine="420"/>
      </w:pPr>
      <w:r>
        <w:rPr>
          <w:rFonts w:hint="eastAsia"/>
        </w:rPr>
        <w:t>专业委员会工作职责包含但不限于：</w:t>
      </w:r>
    </w:p>
    <w:p>
      <w:pPr>
        <w:pStyle w:val="55"/>
        <w:keepNext w:val="0"/>
        <w:keepLines w:val="0"/>
        <w:pageBreakBefore w:val="0"/>
        <w:widowControl/>
        <w:numPr>
          <w:ilvl w:val="0"/>
          <w:numId w:val="22"/>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在集团的领导下开展活动，执行职业教育集团《章程》；</w:t>
      </w:r>
    </w:p>
    <w:p>
      <w:pPr>
        <w:pStyle w:val="55"/>
        <w:keepNext w:val="0"/>
        <w:keepLines w:val="0"/>
        <w:pageBreakBefore w:val="0"/>
        <w:widowControl/>
        <w:numPr>
          <w:ilvl w:val="0"/>
          <w:numId w:val="22"/>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在专业委员会的专业领域内开展相关工作。</w:t>
      </w:r>
    </w:p>
    <w:p>
      <w:pPr>
        <w:pStyle w:val="69"/>
        <w:spacing w:before="156" w:after="156"/>
      </w:pPr>
      <w:bookmarkStart w:id="163" w:name="_Toc25010"/>
      <w:r>
        <w:rPr>
          <w:rFonts w:hint="eastAsia"/>
        </w:rPr>
        <w:t>岗位任期</w:t>
      </w:r>
      <w:bookmarkEnd w:id="163"/>
    </w:p>
    <w:p>
      <w:pPr>
        <w:pStyle w:val="67"/>
        <w:ind w:firstLine="420"/>
      </w:pPr>
      <w:r>
        <w:rPr>
          <w:rFonts w:hint="eastAsia"/>
        </w:rPr>
        <w:t>专业委员会内秘书长、理事等由专业委员会内部推荐产生，聘期为三年。</w:t>
      </w:r>
    </w:p>
    <w:p>
      <w:pPr>
        <w:pStyle w:val="69"/>
        <w:spacing w:before="156" w:after="156"/>
      </w:pPr>
      <w:bookmarkStart w:id="164" w:name="_Toc14322"/>
      <w:r>
        <w:rPr>
          <w:rFonts w:hint="eastAsia"/>
        </w:rPr>
        <w:t>人员配置</w:t>
      </w:r>
      <w:bookmarkEnd w:id="164"/>
    </w:p>
    <w:p>
      <w:pPr>
        <w:pStyle w:val="67"/>
        <w:ind w:firstLine="420"/>
      </w:pPr>
      <w:r>
        <w:rPr>
          <w:rFonts w:hint="eastAsia"/>
        </w:rPr>
        <w:t>专业委员会人员配置应按照7.5设置秘书处。</w:t>
      </w:r>
    </w:p>
    <w:p>
      <w:pPr>
        <w:pStyle w:val="66"/>
        <w:spacing w:before="312" w:after="312"/>
      </w:pPr>
      <w:bookmarkStart w:id="165" w:name="_Toc160532029"/>
      <w:bookmarkStart w:id="166" w:name="_Toc30684"/>
      <w:bookmarkStart w:id="167" w:name="_Toc160441585"/>
      <w:bookmarkStart w:id="168" w:name="_Toc162887487"/>
      <w:r>
        <w:rPr>
          <w:rFonts w:hint="eastAsia"/>
        </w:rPr>
        <w:t>评价与改进</w:t>
      </w:r>
      <w:bookmarkEnd w:id="165"/>
      <w:bookmarkEnd w:id="166"/>
      <w:bookmarkEnd w:id="167"/>
      <w:bookmarkEnd w:id="168"/>
    </w:p>
    <w:p>
      <w:pPr>
        <w:pStyle w:val="67"/>
        <w:ind w:firstLine="420"/>
      </w:pPr>
      <w:r>
        <w:rPr>
          <w:rFonts w:hint="eastAsia"/>
        </w:rPr>
        <w:t>在设区市教育行政主管部门指导下，成立由政府部门、行业企业和职业教育专家组成的第三方评价工作小组，按年度对职业教育集团运行进行星级评价（见附录A），并提出针对性改进举措。</w:t>
      </w:r>
    </w:p>
    <w:p>
      <w:pPr>
        <w:pStyle w:val="67"/>
        <w:ind w:firstLine="420"/>
        <w:sectPr>
          <w:headerReference r:id="rId17" w:type="default"/>
          <w:footerReference r:id="rId19" w:type="default"/>
          <w:headerReference r:id="rId18" w:type="even"/>
          <w:footerReference r:id="rId20" w:type="even"/>
          <w:pgSz w:w="11906" w:h="16838"/>
          <w:pgMar w:top="1417" w:right="1134" w:bottom="1134" w:left="1417" w:header="1418" w:footer="1134" w:gutter="284"/>
          <w:pgNumType w:fmt="decimal" w:start="1"/>
          <w:cols w:space="425" w:num="1"/>
          <w:formProt w:val="0"/>
          <w:docGrid w:type="lines" w:linePitch="312" w:charSpace="0"/>
        </w:sectPr>
      </w:pPr>
    </w:p>
    <w:bookmarkEnd w:id="6"/>
    <w:p>
      <w:pPr>
        <w:pStyle w:val="81"/>
      </w:pPr>
      <w:bookmarkStart w:id="169" w:name="BookMark5"/>
    </w:p>
    <w:p>
      <w:pPr>
        <w:pStyle w:val="82"/>
        <w:numPr>
          <w:ilvl w:val="0"/>
          <w:numId w:val="0"/>
        </w:numPr>
        <w:jc w:val="both"/>
      </w:pPr>
    </w:p>
    <w:p>
      <w:pPr>
        <w:pStyle w:val="6"/>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170" w:name="_Toc31570"/>
      <w:bookmarkEnd w:id="170"/>
      <w:bookmarkStart w:id="171" w:name="_Toc31437"/>
      <w:bookmarkStart w:id="172" w:name="_Toc27120"/>
      <w:bookmarkStart w:id="173" w:name="_Toc160441586"/>
      <w:bookmarkStart w:id="174" w:name="_Toc162887488"/>
      <w:bookmarkStart w:id="175" w:name="_Toc160532030"/>
      <w:r>
        <w:rPr>
          <w:rFonts w:hint="eastAsia" w:ascii="黑体" w:hAnsi="黑体" w:eastAsia="黑体" w:cs="黑体"/>
          <w:sz w:val="21"/>
          <w:szCs w:val="21"/>
          <w:lang w:val="en-US" w:eastAsia="zh-CN"/>
        </w:rPr>
        <w:t>附  录  A</w:t>
      </w:r>
      <w:bookmarkEnd w:id="171"/>
      <w:bookmarkEnd w:id="172"/>
      <w:bookmarkStart w:id="176" w:name="_Toc17857"/>
    </w:p>
    <w:p>
      <w:pPr>
        <w:pStyle w:val="7"/>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（资料性）</w:t>
      </w:r>
      <w:bookmarkEnd w:id="176"/>
    </w:p>
    <w:p>
      <w:pPr>
        <w:pStyle w:val="7"/>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eastAsia" w:ascii="黑体" w:hAnsi="黑体" w:eastAsia="黑体"/>
          <w:color w:val="000000"/>
          <w:sz w:val="21"/>
          <w:szCs w:val="21"/>
          <w:lang w:val="en-US" w:eastAsia="zh-CN"/>
        </w:rPr>
      </w:pPr>
      <w:bookmarkStart w:id="177" w:name="_Toc19633"/>
      <w:r>
        <w:rPr>
          <w:rFonts w:hint="eastAsia" w:ascii="黑体" w:hAnsi="黑体" w:eastAsia="黑体"/>
          <w:color w:val="000000"/>
          <w:sz w:val="21"/>
          <w:szCs w:val="21"/>
          <w:lang w:val="en-US" w:eastAsia="zh-CN"/>
        </w:rPr>
        <w:t>职业教育集团星级评价表</w:t>
      </w:r>
      <w:bookmarkEnd w:id="173"/>
      <w:bookmarkEnd w:id="174"/>
      <w:bookmarkEnd w:id="175"/>
      <w:bookmarkEnd w:id="177"/>
    </w:p>
    <w:p>
      <w:pPr>
        <w:pStyle w:val="67"/>
        <w:ind w:firstLine="420"/>
      </w:pPr>
      <w:r>
        <w:rPr>
          <w:rFonts w:hint="eastAsia"/>
        </w:rPr>
        <w:t>职业教育集团星级评价表见表A.1。</w:t>
      </w:r>
    </w:p>
    <w:p>
      <w:pPr>
        <w:pStyle w:val="84"/>
        <w:spacing w:before="156" w:after="156"/>
      </w:pPr>
      <w:r>
        <w:rPr>
          <w:rFonts w:hint="eastAsia"/>
        </w:rPr>
        <w:t>职业教育集团星级评价表</w:t>
      </w:r>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983"/>
        <w:gridCol w:w="2835"/>
        <w:gridCol w:w="4819"/>
        <w:gridCol w:w="69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983" w:type="dxa"/>
            <w:tcBorders>
              <w:top w:val="single" w:color="auto" w:sz="8" w:space="0"/>
              <w:bottom w:val="single" w:color="auto" w:sz="8" w:space="0"/>
            </w:tcBorders>
            <w:shd w:val="clear" w:color="auto" w:fill="auto"/>
            <w:vAlign w:val="center"/>
          </w:tcPr>
          <w:p>
            <w:pPr>
              <w:pStyle w:val="85"/>
              <w:widowControl w:val="0"/>
            </w:pPr>
            <w:r>
              <w:rPr>
                <w:rFonts w:hint="eastAsia"/>
              </w:rPr>
              <w:t>一级指标</w:t>
            </w:r>
          </w:p>
        </w:tc>
        <w:tc>
          <w:tcPr>
            <w:tcW w:w="2835" w:type="dxa"/>
            <w:tcBorders>
              <w:top w:val="single" w:color="auto" w:sz="8" w:space="0"/>
              <w:bottom w:val="single" w:color="auto" w:sz="8" w:space="0"/>
            </w:tcBorders>
            <w:shd w:val="clear" w:color="auto" w:fill="auto"/>
            <w:vAlign w:val="center"/>
          </w:tcPr>
          <w:p>
            <w:pPr>
              <w:pStyle w:val="85"/>
              <w:widowControl w:val="0"/>
            </w:pPr>
            <w:r>
              <w:rPr>
                <w:rFonts w:hint="eastAsia"/>
              </w:rPr>
              <w:t>二级指标</w:t>
            </w:r>
          </w:p>
        </w:tc>
        <w:tc>
          <w:tcPr>
            <w:tcW w:w="4819" w:type="dxa"/>
            <w:tcBorders>
              <w:top w:val="single" w:color="auto" w:sz="8" w:space="0"/>
              <w:bottom w:val="single" w:color="auto" w:sz="8" w:space="0"/>
            </w:tcBorders>
            <w:shd w:val="clear" w:color="auto" w:fill="auto"/>
            <w:vAlign w:val="center"/>
          </w:tcPr>
          <w:p>
            <w:pPr>
              <w:pStyle w:val="85"/>
              <w:widowControl w:val="0"/>
            </w:pPr>
            <w:r>
              <w:rPr>
                <w:rFonts w:hint="eastAsia"/>
              </w:rPr>
              <w:t>评分细则</w:t>
            </w:r>
          </w:p>
        </w:tc>
        <w:tc>
          <w:tcPr>
            <w:tcW w:w="697" w:type="dxa"/>
            <w:tcBorders>
              <w:top w:val="single" w:color="auto" w:sz="8" w:space="0"/>
              <w:bottom w:val="single" w:color="auto" w:sz="8" w:space="0"/>
            </w:tcBorders>
            <w:shd w:val="clear" w:color="auto" w:fill="auto"/>
            <w:vAlign w:val="center"/>
          </w:tcPr>
          <w:p>
            <w:pPr>
              <w:pStyle w:val="85"/>
              <w:widowControl w:val="0"/>
            </w:pPr>
            <w:r>
              <w:rPr>
                <w:rFonts w:hint="eastAsia"/>
              </w:rPr>
              <w:t>分值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restart"/>
            <w:tcBorders>
              <w:top w:val="single" w:color="auto" w:sz="8" w:space="0"/>
            </w:tcBorders>
            <w:shd w:val="clear" w:color="auto" w:fill="auto"/>
            <w:vAlign w:val="center"/>
          </w:tcPr>
          <w:p>
            <w:pPr>
              <w:pStyle w:val="85"/>
              <w:widowControl w:val="0"/>
            </w:pPr>
            <w:r>
              <w:rPr>
                <w:rFonts w:hint="eastAsia"/>
              </w:rPr>
              <w:t>1</w:t>
            </w:r>
            <w:r>
              <w:t xml:space="preserve"> </w:t>
            </w:r>
            <w:r>
              <w:rPr>
                <w:rFonts w:hint="eastAsia"/>
              </w:rPr>
              <w:t>基础建设</w:t>
            </w:r>
          </w:p>
        </w:tc>
        <w:tc>
          <w:tcPr>
            <w:tcW w:w="2835" w:type="dxa"/>
            <w:tcBorders>
              <w:top w:val="single" w:color="auto" w:sz="8" w:space="0"/>
            </w:tcBorders>
            <w:shd w:val="clear" w:color="auto" w:fill="auto"/>
            <w:vAlign w:val="center"/>
          </w:tcPr>
          <w:p>
            <w:pPr>
              <w:pStyle w:val="85"/>
              <w:widowControl w:val="0"/>
              <w:jc w:val="left"/>
            </w:pPr>
            <w:r>
              <w:rPr>
                <w:rFonts w:hint="eastAsia" w:hAnsi="宋体" w:cs="宋体"/>
                <w:color w:val="000000"/>
                <w:szCs w:val="21"/>
              </w:rPr>
              <w:t>1.1成员单位数量</w:t>
            </w:r>
          </w:p>
        </w:tc>
        <w:tc>
          <w:tcPr>
            <w:tcW w:w="4819" w:type="dxa"/>
            <w:tcBorders>
              <w:top w:val="single" w:color="auto" w:sz="8" w:space="0"/>
            </w:tcBorders>
            <w:shd w:val="clear" w:color="auto" w:fill="auto"/>
            <w:vAlign w:val="center"/>
          </w:tcPr>
          <w:p>
            <w:pPr>
              <w:pStyle w:val="85"/>
              <w:widowControl w:val="0"/>
              <w:jc w:val="center"/>
            </w:pPr>
            <w:r>
              <w:rPr>
                <w:rFonts w:hint="eastAsia" w:hAnsi="宋体" w:cs="宋体"/>
                <w:color w:val="000000"/>
                <w:szCs w:val="21"/>
              </w:rPr>
              <w:t>符合要求3分，不符合要求0分</w:t>
            </w:r>
          </w:p>
        </w:tc>
        <w:tc>
          <w:tcPr>
            <w:tcW w:w="697" w:type="dxa"/>
            <w:tcBorders>
              <w:top w:val="single" w:color="auto" w:sz="8" w:space="0"/>
            </w:tcBorders>
            <w:shd w:val="clear" w:color="auto" w:fill="auto"/>
            <w:vAlign w:val="center"/>
          </w:tcPr>
          <w:p>
            <w:pPr>
              <w:pStyle w:val="85"/>
              <w:widowControl w:val="0"/>
            </w:pPr>
            <w:r>
              <w:rPr>
                <w:rFonts w:hint="eastAsia" w:hAnsi="宋体" w:cs="宋体"/>
                <w:color w:val="000000"/>
                <w:szCs w:val="21"/>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continue"/>
            <w:shd w:val="clear" w:color="auto" w:fill="auto"/>
            <w:vAlign w:val="center"/>
          </w:tcPr>
          <w:p>
            <w:pPr>
              <w:pStyle w:val="85"/>
              <w:widowControl w:val="0"/>
            </w:pPr>
          </w:p>
        </w:tc>
        <w:tc>
          <w:tcPr>
            <w:tcW w:w="2835" w:type="dxa"/>
            <w:shd w:val="clear" w:color="auto" w:fill="auto"/>
            <w:vAlign w:val="center"/>
          </w:tcPr>
          <w:p>
            <w:pPr>
              <w:pStyle w:val="85"/>
              <w:widowControl w:val="0"/>
              <w:jc w:val="left"/>
            </w:pPr>
            <w:r>
              <w:rPr>
                <w:rFonts w:hint="eastAsia" w:hAnsi="宋体" w:cs="宋体"/>
                <w:color w:val="000000"/>
                <w:szCs w:val="21"/>
              </w:rPr>
              <w:t>1.2章程</w:t>
            </w:r>
          </w:p>
        </w:tc>
        <w:tc>
          <w:tcPr>
            <w:tcW w:w="4819" w:type="dxa"/>
            <w:shd w:val="clear" w:color="auto" w:fill="auto"/>
            <w:vAlign w:val="center"/>
          </w:tcPr>
          <w:p>
            <w:pPr>
              <w:pStyle w:val="85"/>
              <w:widowControl w:val="0"/>
              <w:jc w:val="center"/>
            </w:pPr>
            <w:r>
              <w:rPr>
                <w:rFonts w:hint="eastAsia" w:hAnsi="宋体" w:cs="宋体"/>
                <w:color w:val="000000"/>
                <w:szCs w:val="21"/>
              </w:rPr>
              <w:t>符合要求3分，不符合要求0分</w:t>
            </w:r>
          </w:p>
        </w:tc>
        <w:tc>
          <w:tcPr>
            <w:tcW w:w="697" w:type="dxa"/>
            <w:shd w:val="clear" w:color="auto" w:fill="auto"/>
            <w:vAlign w:val="center"/>
          </w:tcPr>
          <w:p>
            <w:pPr>
              <w:pStyle w:val="85"/>
              <w:widowControl w:val="0"/>
            </w:pPr>
            <w:r>
              <w:rPr>
                <w:rFonts w:hint="eastAsia" w:hAnsi="宋体" w:cs="宋体"/>
                <w:color w:val="000000"/>
                <w:szCs w:val="21"/>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continue"/>
            <w:shd w:val="clear" w:color="auto" w:fill="auto"/>
            <w:vAlign w:val="center"/>
          </w:tcPr>
          <w:p>
            <w:pPr>
              <w:pStyle w:val="85"/>
              <w:widowControl w:val="0"/>
            </w:pPr>
          </w:p>
        </w:tc>
        <w:tc>
          <w:tcPr>
            <w:tcW w:w="2835" w:type="dxa"/>
            <w:shd w:val="clear" w:color="auto" w:fill="auto"/>
            <w:vAlign w:val="center"/>
          </w:tcPr>
          <w:p>
            <w:pPr>
              <w:pStyle w:val="85"/>
              <w:widowControl w:val="0"/>
              <w:jc w:val="left"/>
            </w:pPr>
            <w:r>
              <w:rPr>
                <w:rFonts w:hint="eastAsia" w:hAnsi="宋体" w:cs="宋体"/>
                <w:color w:val="000000"/>
                <w:szCs w:val="21"/>
              </w:rPr>
              <w:t>1.3治理结构</w:t>
            </w:r>
          </w:p>
        </w:tc>
        <w:tc>
          <w:tcPr>
            <w:tcW w:w="4819" w:type="dxa"/>
            <w:shd w:val="clear" w:color="auto" w:fill="auto"/>
            <w:vAlign w:val="center"/>
          </w:tcPr>
          <w:p>
            <w:pPr>
              <w:pStyle w:val="85"/>
              <w:widowControl w:val="0"/>
              <w:jc w:val="center"/>
            </w:pPr>
            <w:r>
              <w:rPr>
                <w:rFonts w:hint="eastAsia" w:hAnsi="宋体" w:cs="宋体"/>
                <w:color w:val="000000"/>
                <w:szCs w:val="21"/>
              </w:rPr>
              <w:t>符合要求3分，不符合要求0分</w:t>
            </w:r>
          </w:p>
        </w:tc>
        <w:tc>
          <w:tcPr>
            <w:tcW w:w="697" w:type="dxa"/>
            <w:shd w:val="clear" w:color="auto" w:fill="auto"/>
            <w:vAlign w:val="center"/>
          </w:tcPr>
          <w:p>
            <w:pPr>
              <w:pStyle w:val="85"/>
              <w:widowControl w:val="0"/>
            </w:pPr>
            <w:r>
              <w:rPr>
                <w:rFonts w:hint="eastAsia" w:hAnsi="宋体" w:cs="宋体"/>
                <w:color w:val="000000"/>
                <w:szCs w:val="21"/>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restart"/>
            <w:shd w:val="clear" w:color="auto" w:fill="auto"/>
            <w:vAlign w:val="center"/>
          </w:tcPr>
          <w:p>
            <w:pPr>
              <w:pStyle w:val="85"/>
              <w:widowControl w:val="0"/>
            </w:pPr>
            <w:r>
              <w:rPr>
                <w:rFonts w:hint="eastAsia"/>
              </w:rPr>
              <w:t>2</w:t>
            </w:r>
            <w:r>
              <w:t xml:space="preserve"> </w:t>
            </w:r>
            <w:r>
              <w:rPr>
                <w:rFonts w:hint="eastAsia"/>
              </w:rPr>
              <w:t>人员配置</w:t>
            </w:r>
          </w:p>
        </w:tc>
        <w:tc>
          <w:tcPr>
            <w:tcW w:w="2835" w:type="dxa"/>
            <w:shd w:val="clear" w:color="auto" w:fill="auto"/>
            <w:vAlign w:val="center"/>
          </w:tcPr>
          <w:p>
            <w:pPr>
              <w:pStyle w:val="85"/>
              <w:widowControl w:val="0"/>
              <w:jc w:val="left"/>
            </w:pPr>
            <w:r>
              <w:rPr>
                <w:rFonts w:hint="eastAsia" w:hAnsi="宋体" w:cs="宋体"/>
                <w:color w:val="000000"/>
                <w:szCs w:val="21"/>
              </w:rPr>
              <w:t>2.1咨询委员会</w:t>
            </w:r>
          </w:p>
        </w:tc>
        <w:tc>
          <w:tcPr>
            <w:tcW w:w="4819" w:type="dxa"/>
            <w:shd w:val="clear" w:color="auto" w:fill="auto"/>
            <w:vAlign w:val="center"/>
          </w:tcPr>
          <w:p>
            <w:pPr>
              <w:pStyle w:val="85"/>
              <w:widowControl w:val="0"/>
              <w:jc w:val="center"/>
            </w:pPr>
            <w:r>
              <w:rPr>
                <w:rFonts w:hint="eastAsia" w:hAnsi="宋体" w:cs="宋体"/>
                <w:color w:val="000000"/>
                <w:szCs w:val="21"/>
              </w:rPr>
              <w:t>符合要求3分，不符合要求0分</w:t>
            </w:r>
          </w:p>
        </w:tc>
        <w:tc>
          <w:tcPr>
            <w:tcW w:w="697" w:type="dxa"/>
            <w:shd w:val="clear" w:color="auto" w:fill="auto"/>
            <w:vAlign w:val="center"/>
          </w:tcPr>
          <w:p>
            <w:pPr>
              <w:pStyle w:val="85"/>
              <w:widowControl w:val="0"/>
            </w:pPr>
            <w:r>
              <w:rPr>
                <w:rFonts w:hint="eastAsia" w:hAnsi="宋体" w:cs="宋体"/>
                <w:color w:val="000000"/>
                <w:szCs w:val="21"/>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continue"/>
            <w:shd w:val="clear" w:color="auto" w:fill="auto"/>
            <w:vAlign w:val="center"/>
          </w:tcPr>
          <w:p>
            <w:pPr>
              <w:pStyle w:val="85"/>
              <w:widowControl w:val="0"/>
            </w:pPr>
          </w:p>
        </w:tc>
        <w:tc>
          <w:tcPr>
            <w:tcW w:w="2835" w:type="dxa"/>
            <w:shd w:val="clear" w:color="auto" w:fill="auto"/>
            <w:vAlign w:val="center"/>
          </w:tcPr>
          <w:p>
            <w:pPr>
              <w:pStyle w:val="85"/>
              <w:widowControl w:val="0"/>
              <w:jc w:val="left"/>
            </w:pPr>
            <w:r>
              <w:rPr>
                <w:rFonts w:hint="eastAsia" w:hAnsi="宋体" w:cs="宋体"/>
                <w:color w:val="000000"/>
                <w:szCs w:val="21"/>
              </w:rPr>
              <w:t>2.2理事会</w:t>
            </w:r>
          </w:p>
        </w:tc>
        <w:tc>
          <w:tcPr>
            <w:tcW w:w="4819" w:type="dxa"/>
            <w:shd w:val="clear" w:color="auto" w:fill="auto"/>
            <w:vAlign w:val="center"/>
          </w:tcPr>
          <w:p>
            <w:pPr>
              <w:pStyle w:val="85"/>
              <w:widowControl w:val="0"/>
              <w:jc w:val="center"/>
            </w:pPr>
            <w:r>
              <w:rPr>
                <w:rFonts w:hint="eastAsia" w:hAnsi="宋体" w:cs="宋体"/>
                <w:color w:val="000000"/>
                <w:szCs w:val="21"/>
              </w:rPr>
              <w:t>符合要求3分，不符合要求0分</w:t>
            </w:r>
          </w:p>
        </w:tc>
        <w:tc>
          <w:tcPr>
            <w:tcW w:w="697" w:type="dxa"/>
            <w:shd w:val="clear" w:color="auto" w:fill="auto"/>
            <w:vAlign w:val="center"/>
          </w:tcPr>
          <w:p>
            <w:pPr>
              <w:pStyle w:val="85"/>
              <w:widowControl w:val="0"/>
            </w:pPr>
            <w:r>
              <w:rPr>
                <w:rFonts w:hint="eastAsia" w:hAnsi="宋体" w:cs="宋体"/>
                <w:color w:val="000000"/>
                <w:szCs w:val="21"/>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continue"/>
            <w:shd w:val="clear" w:color="auto" w:fill="auto"/>
            <w:vAlign w:val="center"/>
          </w:tcPr>
          <w:p>
            <w:pPr>
              <w:pStyle w:val="85"/>
              <w:widowControl w:val="0"/>
            </w:pPr>
          </w:p>
        </w:tc>
        <w:tc>
          <w:tcPr>
            <w:tcW w:w="2835" w:type="dxa"/>
            <w:shd w:val="clear" w:color="auto" w:fill="auto"/>
            <w:vAlign w:val="center"/>
          </w:tcPr>
          <w:p>
            <w:pPr>
              <w:pStyle w:val="85"/>
              <w:widowControl w:val="0"/>
              <w:jc w:val="left"/>
            </w:pPr>
            <w:r>
              <w:rPr>
                <w:rFonts w:hint="eastAsia" w:hAnsi="宋体" w:cs="宋体"/>
                <w:color w:val="000000"/>
                <w:szCs w:val="21"/>
              </w:rPr>
              <w:t>2.3常务理事会</w:t>
            </w:r>
          </w:p>
        </w:tc>
        <w:tc>
          <w:tcPr>
            <w:tcW w:w="4819" w:type="dxa"/>
            <w:shd w:val="clear" w:color="auto" w:fill="auto"/>
            <w:vAlign w:val="center"/>
          </w:tcPr>
          <w:p>
            <w:pPr>
              <w:pStyle w:val="85"/>
              <w:widowControl w:val="0"/>
              <w:jc w:val="center"/>
            </w:pPr>
            <w:r>
              <w:rPr>
                <w:rFonts w:hint="eastAsia" w:hAnsi="宋体" w:cs="宋体"/>
                <w:color w:val="000000"/>
                <w:szCs w:val="21"/>
              </w:rPr>
              <w:t>符合要求3分，不符合要求0分</w:t>
            </w:r>
          </w:p>
        </w:tc>
        <w:tc>
          <w:tcPr>
            <w:tcW w:w="697" w:type="dxa"/>
            <w:shd w:val="clear" w:color="auto" w:fill="auto"/>
            <w:vAlign w:val="center"/>
          </w:tcPr>
          <w:p>
            <w:pPr>
              <w:pStyle w:val="85"/>
              <w:widowControl w:val="0"/>
            </w:pPr>
            <w:r>
              <w:rPr>
                <w:rFonts w:hint="eastAsia" w:hAnsi="宋体" w:cs="宋体"/>
                <w:color w:val="000000"/>
                <w:szCs w:val="21"/>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continue"/>
            <w:shd w:val="clear" w:color="auto" w:fill="auto"/>
            <w:vAlign w:val="center"/>
          </w:tcPr>
          <w:p>
            <w:pPr>
              <w:pStyle w:val="85"/>
              <w:widowControl w:val="0"/>
            </w:pPr>
          </w:p>
        </w:tc>
        <w:tc>
          <w:tcPr>
            <w:tcW w:w="2835" w:type="dxa"/>
            <w:shd w:val="clear" w:color="auto" w:fill="auto"/>
            <w:vAlign w:val="center"/>
          </w:tcPr>
          <w:p>
            <w:pPr>
              <w:pStyle w:val="85"/>
              <w:widowControl w:val="0"/>
              <w:jc w:val="left"/>
            </w:pPr>
            <w:r>
              <w:rPr>
                <w:rFonts w:hint="eastAsia" w:hAnsi="宋体" w:cs="宋体"/>
                <w:color w:val="000000"/>
                <w:szCs w:val="21"/>
              </w:rPr>
              <w:t>2.4监事会</w:t>
            </w:r>
          </w:p>
        </w:tc>
        <w:tc>
          <w:tcPr>
            <w:tcW w:w="4819" w:type="dxa"/>
            <w:shd w:val="clear" w:color="auto" w:fill="auto"/>
            <w:vAlign w:val="center"/>
          </w:tcPr>
          <w:p>
            <w:pPr>
              <w:pStyle w:val="85"/>
              <w:widowControl w:val="0"/>
              <w:jc w:val="center"/>
            </w:pPr>
            <w:r>
              <w:rPr>
                <w:rFonts w:hint="eastAsia" w:hAnsi="宋体" w:cs="宋体"/>
                <w:color w:val="000000"/>
                <w:szCs w:val="21"/>
              </w:rPr>
              <w:t>符合要求3分，不符合要求0分</w:t>
            </w:r>
          </w:p>
        </w:tc>
        <w:tc>
          <w:tcPr>
            <w:tcW w:w="697" w:type="dxa"/>
            <w:shd w:val="clear" w:color="auto" w:fill="auto"/>
            <w:vAlign w:val="center"/>
          </w:tcPr>
          <w:p>
            <w:pPr>
              <w:pStyle w:val="85"/>
              <w:widowControl w:val="0"/>
            </w:pPr>
            <w:r>
              <w:rPr>
                <w:rFonts w:hint="eastAsia" w:hAnsi="宋体" w:cs="宋体"/>
                <w:color w:val="000000"/>
                <w:szCs w:val="21"/>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continue"/>
            <w:shd w:val="clear" w:color="auto" w:fill="auto"/>
            <w:vAlign w:val="center"/>
          </w:tcPr>
          <w:p>
            <w:pPr>
              <w:pStyle w:val="85"/>
              <w:widowControl w:val="0"/>
            </w:pPr>
          </w:p>
        </w:tc>
        <w:tc>
          <w:tcPr>
            <w:tcW w:w="2835" w:type="dxa"/>
            <w:shd w:val="clear" w:color="auto" w:fill="auto"/>
            <w:vAlign w:val="center"/>
          </w:tcPr>
          <w:p>
            <w:pPr>
              <w:pStyle w:val="85"/>
              <w:widowControl w:val="0"/>
              <w:jc w:val="left"/>
            </w:pPr>
            <w:r>
              <w:rPr>
                <w:rFonts w:hint="eastAsia" w:hAnsi="宋体" w:cs="宋体"/>
                <w:color w:val="000000"/>
                <w:szCs w:val="21"/>
              </w:rPr>
              <w:t>2.5秘书处</w:t>
            </w:r>
          </w:p>
        </w:tc>
        <w:tc>
          <w:tcPr>
            <w:tcW w:w="4819" w:type="dxa"/>
            <w:shd w:val="clear" w:color="auto" w:fill="auto"/>
            <w:vAlign w:val="center"/>
          </w:tcPr>
          <w:p>
            <w:pPr>
              <w:pStyle w:val="85"/>
              <w:widowControl w:val="0"/>
              <w:jc w:val="center"/>
            </w:pPr>
            <w:r>
              <w:rPr>
                <w:rFonts w:hint="eastAsia" w:hAnsi="宋体" w:cs="宋体"/>
                <w:color w:val="000000"/>
                <w:szCs w:val="21"/>
              </w:rPr>
              <w:t>符合要求3分，不符合要求0分</w:t>
            </w:r>
          </w:p>
        </w:tc>
        <w:tc>
          <w:tcPr>
            <w:tcW w:w="697" w:type="dxa"/>
            <w:shd w:val="clear" w:color="auto" w:fill="auto"/>
            <w:vAlign w:val="center"/>
          </w:tcPr>
          <w:p>
            <w:pPr>
              <w:pStyle w:val="85"/>
              <w:widowControl w:val="0"/>
            </w:pPr>
            <w:r>
              <w:rPr>
                <w:rFonts w:hint="eastAsia" w:hAnsi="宋体" w:cs="宋体"/>
                <w:color w:val="000000"/>
                <w:szCs w:val="21"/>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restart"/>
            <w:shd w:val="clear" w:color="auto" w:fill="auto"/>
            <w:vAlign w:val="center"/>
          </w:tcPr>
          <w:p>
            <w:pPr>
              <w:pStyle w:val="85"/>
              <w:widowControl w:val="0"/>
            </w:pPr>
            <w:r>
              <w:rPr>
                <w:rFonts w:hint="eastAsia"/>
              </w:rPr>
              <w:t>3</w:t>
            </w:r>
            <w:r>
              <w:t xml:space="preserve"> </w:t>
            </w:r>
            <w:r>
              <w:rPr>
                <w:rFonts w:hint="eastAsia"/>
              </w:rPr>
              <w:t>治理制度</w:t>
            </w:r>
          </w:p>
        </w:tc>
        <w:tc>
          <w:tcPr>
            <w:tcW w:w="2835" w:type="dxa"/>
            <w:shd w:val="clear" w:color="auto" w:fill="auto"/>
            <w:vAlign w:val="center"/>
          </w:tcPr>
          <w:p>
            <w:pPr>
              <w:pStyle w:val="85"/>
              <w:widowControl w:val="0"/>
              <w:jc w:val="left"/>
            </w:pPr>
            <w:r>
              <w:rPr>
                <w:rFonts w:hint="eastAsia" w:hAnsi="宋体" w:cs="宋体"/>
                <w:color w:val="000000"/>
                <w:szCs w:val="21"/>
              </w:rPr>
              <w:t>3.1议事决策制度</w:t>
            </w:r>
          </w:p>
        </w:tc>
        <w:tc>
          <w:tcPr>
            <w:tcW w:w="4819" w:type="dxa"/>
            <w:shd w:val="clear" w:color="auto" w:fill="auto"/>
            <w:vAlign w:val="center"/>
          </w:tcPr>
          <w:p>
            <w:pPr>
              <w:pStyle w:val="85"/>
              <w:widowControl w:val="0"/>
              <w:jc w:val="center"/>
            </w:pPr>
            <w:r>
              <w:rPr>
                <w:rFonts w:hint="eastAsia" w:hAnsi="宋体" w:cs="宋体"/>
                <w:color w:val="000000"/>
                <w:szCs w:val="21"/>
              </w:rPr>
              <w:t>符合要求3分，不符合要求0分</w:t>
            </w:r>
          </w:p>
        </w:tc>
        <w:tc>
          <w:tcPr>
            <w:tcW w:w="697" w:type="dxa"/>
            <w:shd w:val="clear" w:color="auto" w:fill="auto"/>
            <w:vAlign w:val="center"/>
          </w:tcPr>
          <w:p>
            <w:pPr>
              <w:pStyle w:val="85"/>
              <w:widowControl w:val="0"/>
            </w:pPr>
            <w:r>
              <w:rPr>
                <w:rFonts w:hint="eastAsia" w:hAnsi="宋体" w:cs="宋体"/>
                <w:color w:val="000000"/>
                <w:szCs w:val="21"/>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continue"/>
            <w:shd w:val="clear" w:color="auto" w:fill="auto"/>
            <w:vAlign w:val="center"/>
          </w:tcPr>
          <w:p>
            <w:pPr>
              <w:pStyle w:val="85"/>
              <w:widowControl w:val="0"/>
            </w:pPr>
          </w:p>
        </w:tc>
        <w:tc>
          <w:tcPr>
            <w:tcW w:w="2835" w:type="dxa"/>
            <w:shd w:val="clear" w:color="auto" w:fill="auto"/>
            <w:vAlign w:val="center"/>
          </w:tcPr>
          <w:p>
            <w:pPr>
              <w:pStyle w:val="85"/>
              <w:widowControl w:val="0"/>
              <w:jc w:val="left"/>
            </w:pPr>
            <w:r>
              <w:rPr>
                <w:rFonts w:hint="eastAsia" w:hAnsi="宋体" w:cs="宋体"/>
                <w:color w:val="000000"/>
                <w:szCs w:val="21"/>
              </w:rPr>
              <w:t>3.2定期会商制度</w:t>
            </w:r>
          </w:p>
        </w:tc>
        <w:tc>
          <w:tcPr>
            <w:tcW w:w="4819" w:type="dxa"/>
            <w:shd w:val="clear" w:color="auto" w:fill="auto"/>
            <w:vAlign w:val="center"/>
          </w:tcPr>
          <w:p>
            <w:pPr>
              <w:pStyle w:val="85"/>
              <w:widowControl w:val="0"/>
              <w:jc w:val="center"/>
            </w:pPr>
            <w:r>
              <w:rPr>
                <w:rFonts w:hint="eastAsia" w:hAnsi="宋体" w:cs="宋体"/>
                <w:color w:val="000000"/>
                <w:szCs w:val="21"/>
              </w:rPr>
              <w:t>符合要求3分，不符合要求0分</w:t>
            </w:r>
          </w:p>
        </w:tc>
        <w:tc>
          <w:tcPr>
            <w:tcW w:w="697" w:type="dxa"/>
            <w:shd w:val="clear" w:color="auto" w:fill="auto"/>
            <w:vAlign w:val="center"/>
          </w:tcPr>
          <w:p>
            <w:pPr>
              <w:pStyle w:val="85"/>
              <w:widowControl w:val="0"/>
            </w:pPr>
            <w:r>
              <w:rPr>
                <w:rFonts w:hint="eastAsia" w:hAnsi="宋体" w:cs="宋体"/>
                <w:color w:val="000000"/>
                <w:szCs w:val="21"/>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continue"/>
            <w:shd w:val="clear" w:color="auto" w:fill="auto"/>
            <w:vAlign w:val="center"/>
          </w:tcPr>
          <w:p>
            <w:pPr>
              <w:pStyle w:val="85"/>
              <w:widowControl w:val="0"/>
            </w:pPr>
          </w:p>
        </w:tc>
        <w:tc>
          <w:tcPr>
            <w:tcW w:w="2835" w:type="dxa"/>
            <w:shd w:val="clear" w:color="auto" w:fill="auto"/>
            <w:vAlign w:val="center"/>
          </w:tcPr>
          <w:p>
            <w:pPr>
              <w:pStyle w:val="85"/>
              <w:widowControl w:val="0"/>
              <w:jc w:val="left"/>
            </w:pPr>
            <w:r>
              <w:rPr>
                <w:rFonts w:hint="eastAsia" w:hAnsi="宋体" w:cs="宋体"/>
                <w:color w:val="000000"/>
                <w:szCs w:val="21"/>
              </w:rPr>
              <w:t>3.3考核激励制度</w:t>
            </w:r>
          </w:p>
        </w:tc>
        <w:tc>
          <w:tcPr>
            <w:tcW w:w="4819" w:type="dxa"/>
            <w:shd w:val="clear" w:color="auto" w:fill="auto"/>
            <w:vAlign w:val="center"/>
          </w:tcPr>
          <w:p>
            <w:pPr>
              <w:pStyle w:val="85"/>
              <w:widowControl w:val="0"/>
              <w:jc w:val="center"/>
            </w:pPr>
            <w:r>
              <w:rPr>
                <w:rFonts w:hint="eastAsia" w:hAnsi="宋体" w:cs="宋体"/>
                <w:color w:val="000000"/>
                <w:szCs w:val="21"/>
              </w:rPr>
              <w:t>符合要求3分，不符合要求0分</w:t>
            </w:r>
          </w:p>
        </w:tc>
        <w:tc>
          <w:tcPr>
            <w:tcW w:w="697" w:type="dxa"/>
            <w:shd w:val="clear" w:color="auto" w:fill="auto"/>
            <w:vAlign w:val="center"/>
          </w:tcPr>
          <w:p>
            <w:pPr>
              <w:pStyle w:val="85"/>
              <w:widowControl w:val="0"/>
            </w:pPr>
            <w:r>
              <w:rPr>
                <w:rFonts w:hint="eastAsia" w:hAnsi="宋体" w:cs="宋体"/>
                <w:color w:val="000000"/>
                <w:szCs w:val="21"/>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continue"/>
            <w:shd w:val="clear" w:color="auto" w:fill="auto"/>
            <w:vAlign w:val="center"/>
          </w:tcPr>
          <w:p>
            <w:pPr>
              <w:pStyle w:val="85"/>
              <w:widowControl w:val="0"/>
            </w:pPr>
          </w:p>
        </w:tc>
        <w:tc>
          <w:tcPr>
            <w:tcW w:w="2835" w:type="dxa"/>
            <w:shd w:val="clear" w:color="auto" w:fill="auto"/>
            <w:vAlign w:val="center"/>
          </w:tcPr>
          <w:p>
            <w:pPr>
              <w:pStyle w:val="85"/>
              <w:widowControl w:val="0"/>
              <w:jc w:val="left"/>
            </w:pPr>
            <w:r>
              <w:rPr>
                <w:rFonts w:hint="eastAsia" w:hAnsi="宋体" w:cs="宋体"/>
                <w:color w:val="000000"/>
                <w:szCs w:val="21"/>
              </w:rPr>
              <w:t>3.4财务公开制度</w:t>
            </w:r>
          </w:p>
        </w:tc>
        <w:tc>
          <w:tcPr>
            <w:tcW w:w="4819" w:type="dxa"/>
            <w:shd w:val="clear" w:color="auto" w:fill="auto"/>
            <w:vAlign w:val="center"/>
          </w:tcPr>
          <w:p>
            <w:pPr>
              <w:pStyle w:val="85"/>
              <w:widowControl w:val="0"/>
              <w:jc w:val="center"/>
            </w:pPr>
            <w:r>
              <w:rPr>
                <w:rFonts w:hint="eastAsia" w:hAnsi="宋体" w:cs="宋体"/>
                <w:color w:val="000000"/>
                <w:szCs w:val="21"/>
              </w:rPr>
              <w:t>符合要求3分，不符合要求0分</w:t>
            </w:r>
          </w:p>
        </w:tc>
        <w:tc>
          <w:tcPr>
            <w:tcW w:w="697" w:type="dxa"/>
            <w:shd w:val="clear" w:color="auto" w:fill="auto"/>
            <w:vAlign w:val="center"/>
          </w:tcPr>
          <w:p>
            <w:pPr>
              <w:pStyle w:val="85"/>
              <w:widowControl w:val="0"/>
            </w:pPr>
            <w:r>
              <w:rPr>
                <w:rFonts w:hint="eastAsia" w:hAnsi="宋体" w:cs="宋体"/>
                <w:color w:val="000000"/>
                <w:szCs w:val="21"/>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continue"/>
            <w:shd w:val="clear" w:color="auto" w:fill="auto"/>
            <w:vAlign w:val="center"/>
          </w:tcPr>
          <w:p>
            <w:pPr>
              <w:pStyle w:val="85"/>
              <w:widowControl w:val="0"/>
            </w:pPr>
          </w:p>
        </w:tc>
        <w:tc>
          <w:tcPr>
            <w:tcW w:w="2835" w:type="dxa"/>
            <w:shd w:val="clear" w:color="auto" w:fill="auto"/>
            <w:vAlign w:val="center"/>
          </w:tcPr>
          <w:p>
            <w:pPr>
              <w:pStyle w:val="85"/>
              <w:widowControl w:val="0"/>
              <w:jc w:val="left"/>
            </w:pPr>
            <w:r>
              <w:rPr>
                <w:rFonts w:hint="eastAsia" w:hAnsi="宋体" w:cs="宋体"/>
                <w:color w:val="000000"/>
                <w:szCs w:val="21"/>
              </w:rPr>
              <w:t>3.5遴选与退出制度</w:t>
            </w:r>
          </w:p>
        </w:tc>
        <w:tc>
          <w:tcPr>
            <w:tcW w:w="4819" w:type="dxa"/>
            <w:shd w:val="clear" w:color="auto" w:fill="auto"/>
            <w:vAlign w:val="center"/>
          </w:tcPr>
          <w:p>
            <w:pPr>
              <w:pStyle w:val="85"/>
              <w:widowControl w:val="0"/>
              <w:jc w:val="center"/>
            </w:pPr>
            <w:r>
              <w:rPr>
                <w:rFonts w:hint="eastAsia" w:hAnsi="宋体" w:cs="宋体"/>
                <w:color w:val="000000"/>
                <w:szCs w:val="21"/>
              </w:rPr>
              <w:t>符合要求3分，不符合要求0分</w:t>
            </w:r>
          </w:p>
        </w:tc>
        <w:tc>
          <w:tcPr>
            <w:tcW w:w="697" w:type="dxa"/>
            <w:shd w:val="clear" w:color="auto" w:fill="auto"/>
            <w:vAlign w:val="center"/>
          </w:tcPr>
          <w:p>
            <w:pPr>
              <w:pStyle w:val="85"/>
              <w:widowControl w:val="0"/>
            </w:pPr>
            <w:r>
              <w:rPr>
                <w:rFonts w:hint="eastAsia" w:hAnsi="宋体" w:cs="宋体"/>
                <w:color w:val="000000"/>
                <w:szCs w:val="21"/>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restart"/>
            <w:shd w:val="clear" w:color="auto" w:fill="auto"/>
            <w:vAlign w:val="center"/>
          </w:tcPr>
          <w:p>
            <w:pPr>
              <w:pStyle w:val="85"/>
              <w:widowControl w:val="0"/>
            </w:pPr>
            <w:r>
              <w:rPr>
                <w:rFonts w:hint="eastAsia"/>
              </w:rPr>
              <w:t>4</w:t>
            </w:r>
            <w:r>
              <w:t xml:space="preserve"> </w:t>
            </w:r>
            <w:r>
              <w:rPr>
                <w:rFonts w:hint="eastAsia"/>
              </w:rPr>
              <w:t>运行管理</w:t>
            </w:r>
          </w:p>
        </w:tc>
        <w:tc>
          <w:tcPr>
            <w:tcW w:w="2835" w:type="dxa"/>
            <w:shd w:val="clear" w:color="auto" w:fill="auto"/>
            <w:vAlign w:val="center"/>
          </w:tcPr>
          <w:p>
            <w:pPr>
              <w:pStyle w:val="85"/>
              <w:widowControl w:val="0"/>
              <w:jc w:val="left"/>
              <w:rPr>
                <w:rFonts w:hAnsi="宋体" w:cs="宋体"/>
                <w:color w:val="000000"/>
                <w:szCs w:val="21"/>
              </w:rPr>
            </w:pPr>
            <w:r>
              <w:rPr>
                <w:rFonts w:hint="eastAsia" w:hAnsi="宋体" w:cs="宋体"/>
                <w:color w:val="000000"/>
                <w:szCs w:val="21"/>
              </w:rPr>
              <w:t>4.1召开成员大会</w:t>
            </w:r>
          </w:p>
        </w:tc>
        <w:tc>
          <w:tcPr>
            <w:tcW w:w="4819" w:type="dxa"/>
            <w:shd w:val="clear" w:color="auto" w:fill="auto"/>
            <w:vAlign w:val="center"/>
          </w:tcPr>
          <w:p>
            <w:pPr>
              <w:pStyle w:val="85"/>
              <w:widowControl w:val="0"/>
              <w:jc w:val="center"/>
            </w:pPr>
            <w:r>
              <w:rPr>
                <w:rFonts w:hint="eastAsia" w:hAnsi="宋体" w:cs="宋体"/>
                <w:color w:val="000000"/>
                <w:szCs w:val="21"/>
              </w:rPr>
              <w:t>符合要求4分，不符合要求0分</w:t>
            </w:r>
          </w:p>
        </w:tc>
        <w:tc>
          <w:tcPr>
            <w:tcW w:w="697" w:type="dxa"/>
            <w:shd w:val="clear" w:color="auto" w:fill="auto"/>
            <w:vAlign w:val="center"/>
          </w:tcPr>
          <w:p>
            <w:pPr>
              <w:pStyle w:val="85"/>
              <w:widowControl w:val="0"/>
            </w:pPr>
            <w:r>
              <w:rPr>
                <w:rFonts w:hint="eastAsia" w:hAnsi="宋体" w:cs="宋体"/>
                <w:color w:val="000000"/>
                <w:szCs w:val="21"/>
              </w:rPr>
              <w:t>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continue"/>
            <w:shd w:val="clear" w:color="auto" w:fill="auto"/>
            <w:vAlign w:val="center"/>
          </w:tcPr>
          <w:p>
            <w:pPr>
              <w:pStyle w:val="85"/>
              <w:widowControl w:val="0"/>
            </w:pPr>
          </w:p>
        </w:tc>
        <w:tc>
          <w:tcPr>
            <w:tcW w:w="2835" w:type="dxa"/>
            <w:shd w:val="clear" w:color="auto" w:fill="auto"/>
            <w:vAlign w:val="center"/>
          </w:tcPr>
          <w:p>
            <w:pPr>
              <w:pStyle w:val="85"/>
              <w:widowControl w:val="0"/>
              <w:jc w:val="left"/>
              <w:rPr>
                <w:rFonts w:hAnsi="宋体" w:cs="宋体"/>
                <w:color w:val="000000"/>
                <w:szCs w:val="21"/>
              </w:rPr>
            </w:pPr>
            <w:r>
              <w:rPr>
                <w:rFonts w:hint="eastAsia" w:hAnsi="宋体" w:cs="宋体"/>
                <w:color w:val="000000"/>
                <w:szCs w:val="21"/>
              </w:rPr>
              <w:t>4.2召开理事会或常务理事会</w:t>
            </w:r>
          </w:p>
        </w:tc>
        <w:tc>
          <w:tcPr>
            <w:tcW w:w="4819" w:type="dxa"/>
            <w:shd w:val="clear" w:color="auto" w:fill="auto"/>
            <w:vAlign w:val="center"/>
          </w:tcPr>
          <w:p>
            <w:pPr>
              <w:pStyle w:val="85"/>
              <w:widowControl w:val="0"/>
              <w:jc w:val="center"/>
            </w:pPr>
            <w:r>
              <w:rPr>
                <w:rFonts w:hint="eastAsia" w:hAnsi="宋体" w:cs="宋体"/>
                <w:color w:val="000000"/>
                <w:szCs w:val="21"/>
              </w:rPr>
              <w:t>符合要求3分，不符合要求0分</w:t>
            </w:r>
          </w:p>
        </w:tc>
        <w:tc>
          <w:tcPr>
            <w:tcW w:w="697" w:type="dxa"/>
            <w:shd w:val="clear" w:color="auto" w:fill="auto"/>
            <w:vAlign w:val="center"/>
          </w:tcPr>
          <w:p>
            <w:pPr>
              <w:pStyle w:val="85"/>
              <w:widowControl w:val="0"/>
            </w:pPr>
            <w:r>
              <w:rPr>
                <w:rFonts w:hint="eastAsia" w:hAnsi="宋体" w:cs="宋体"/>
                <w:color w:val="000000"/>
                <w:szCs w:val="21"/>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continue"/>
            <w:shd w:val="clear" w:color="auto" w:fill="auto"/>
            <w:vAlign w:val="center"/>
          </w:tcPr>
          <w:p>
            <w:pPr>
              <w:pStyle w:val="85"/>
              <w:widowControl w:val="0"/>
            </w:pPr>
          </w:p>
        </w:tc>
        <w:tc>
          <w:tcPr>
            <w:tcW w:w="2835" w:type="dxa"/>
            <w:shd w:val="clear" w:color="auto" w:fill="auto"/>
            <w:vAlign w:val="center"/>
          </w:tcPr>
          <w:p>
            <w:pPr>
              <w:pStyle w:val="85"/>
              <w:widowControl w:val="0"/>
              <w:jc w:val="left"/>
              <w:rPr>
                <w:rFonts w:hAnsi="宋体" w:cs="宋体"/>
                <w:color w:val="000000"/>
                <w:szCs w:val="21"/>
              </w:rPr>
            </w:pPr>
            <w:r>
              <w:rPr>
                <w:rFonts w:hint="eastAsia" w:hAnsi="宋体" w:cs="宋体"/>
                <w:color w:val="000000"/>
                <w:szCs w:val="21"/>
              </w:rPr>
              <w:t>4.3党建业务共建活动</w:t>
            </w:r>
          </w:p>
        </w:tc>
        <w:tc>
          <w:tcPr>
            <w:tcW w:w="4819" w:type="dxa"/>
            <w:shd w:val="clear" w:color="auto" w:fill="auto"/>
            <w:vAlign w:val="center"/>
          </w:tcPr>
          <w:p>
            <w:pPr>
              <w:pStyle w:val="85"/>
              <w:widowControl w:val="0"/>
              <w:jc w:val="center"/>
            </w:pPr>
            <w:r>
              <w:rPr>
                <w:rFonts w:hint="eastAsia" w:hAnsi="宋体" w:cs="宋体"/>
                <w:color w:val="000000"/>
                <w:szCs w:val="21"/>
              </w:rPr>
              <w:t>符合要求3分，不符合要求0分；增加1次累加3分，最高9分</w:t>
            </w:r>
          </w:p>
        </w:tc>
        <w:tc>
          <w:tcPr>
            <w:tcW w:w="697" w:type="dxa"/>
            <w:shd w:val="clear" w:color="auto" w:fill="auto"/>
            <w:vAlign w:val="center"/>
          </w:tcPr>
          <w:p>
            <w:pPr>
              <w:pStyle w:val="85"/>
              <w:widowControl w:val="0"/>
            </w:pPr>
            <w:r>
              <w:rPr>
                <w:rFonts w:hint="eastAsia" w:hAnsi="宋体" w:cs="宋体"/>
                <w:color w:val="000000"/>
                <w:szCs w:val="21"/>
              </w:rPr>
              <w:t>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continue"/>
            <w:shd w:val="clear" w:color="auto" w:fill="auto"/>
            <w:vAlign w:val="center"/>
          </w:tcPr>
          <w:p>
            <w:pPr>
              <w:pStyle w:val="85"/>
              <w:widowControl w:val="0"/>
            </w:pPr>
          </w:p>
        </w:tc>
        <w:tc>
          <w:tcPr>
            <w:tcW w:w="2835" w:type="dxa"/>
            <w:shd w:val="clear" w:color="auto" w:fill="auto"/>
            <w:vAlign w:val="center"/>
          </w:tcPr>
          <w:p>
            <w:pPr>
              <w:pStyle w:val="85"/>
              <w:widowControl w:val="0"/>
              <w:jc w:val="left"/>
              <w:rPr>
                <w:rFonts w:hAnsi="宋体" w:cs="宋体"/>
                <w:color w:val="000000"/>
                <w:szCs w:val="21"/>
              </w:rPr>
            </w:pPr>
            <w:r>
              <w:rPr>
                <w:rFonts w:hint="eastAsia" w:hAnsi="宋体" w:cs="宋体"/>
                <w:color w:val="000000"/>
                <w:szCs w:val="21"/>
              </w:rPr>
              <w:t>4.4成员单位间走访对接</w:t>
            </w:r>
          </w:p>
        </w:tc>
        <w:tc>
          <w:tcPr>
            <w:tcW w:w="4819" w:type="dxa"/>
            <w:shd w:val="clear" w:color="auto" w:fill="auto"/>
            <w:vAlign w:val="center"/>
          </w:tcPr>
          <w:p>
            <w:pPr>
              <w:pStyle w:val="85"/>
              <w:widowControl w:val="0"/>
              <w:jc w:val="center"/>
            </w:pPr>
            <w:r>
              <w:rPr>
                <w:rFonts w:hint="eastAsia" w:hAnsi="宋体" w:cs="宋体"/>
                <w:color w:val="000000"/>
                <w:szCs w:val="21"/>
              </w:rPr>
              <w:t>符合要求3分，不符合要求0分；增加1次累加3分，最高12分</w:t>
            </w:r>
          </w:p>
        </w:tc>
        <w:tc>
          <w:tcPr>
            <w:tcW w:w="697" w:type="dxa"/>
            <w:shd w:val="clear" w:color="auto" w:fill="auto"/>
            <w:vAlign w:val="center"/>
          </w:tcPr>
          <w:p>
            <w:pPr>
              <w:pStyle w:val="85"/>
              <w:widowControl w:val="0"/>
            </w:pPr>
            <w:r>
              <w:rPr>
                <w:rFonts w:hint="eastAsia" w:hAnsi="宋体" w:cs="宋体"/>
                <w:color w:val="000000"/>
                <w:szCs w:val="21"/>
              </w:rPr>
              <w:t>12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continue"/>
            <w:shd w:val="clear" w:color="auto" w:fill="auto"/>
            <w:vAlign w:val="center"/>
          </w:tcPr>
          <w:p>
            <w:pPr>
              <w:pStyle w:val="85"/>
              <w:widowControl w:val="0"/>
            </w:pPr>
          </w:p>
        </w:tc>
        <w:tc>
          <w:tcPr>
            <w:tcW w:w="2835" w:type="dxa"/>
            <w:shd w:val="clear" w:color="auto" w:fill="auto"/>
            <w:vAlign w:val="center"/>
          </w:tcPr>
          <w:p>
            <w:pPr>
              <w:pStyle w:val="85"/>
              <w:widowControl w:val="0"/>
              <w:jc w:val="left"/>
              <w:rPr>
                <w:rFonts w:hAnsi="宋体" w:cs="宋体"/>
                <w:color w:val="000000"/>
                <w:szCs w:val="21"/>
              </w:rPr>
            </w:pPr>
            <w:r>
              <w:rPr>
                <w:rFonts w:hint="eastAsia" w:hAnsi="宋体" w:cs="宋体"/>
                <w:color w:val="000000"/>
                <w:szCs w:val="21"/>
              </w:rPr>
              <w:t>4.5成员单位间正式项目合作</w:t>
            </w:r>
          </w:p>
        </w:tc>
        <w:tc>
          <w:tcPr>
            <w:tcW w:w="4819" w:type="dxa"/>
            <w:shd w:val="clear" w:color="auto" w:fill="auto"/>
            <w:vAlign w:val="center"/>
          </w:tcPr>
          <w:p>
            <w:pPr>
              <w:pStyle w:val="85"/>
              <w:widowControl w:val="0"/>
              <w:jc w:val="center"/>
            </w:pPr>
            <w:r>
              <w:rPr>
                <w:rFonts w:hint="eastAsia" w:hAnsi="宋体" w:cs="宋体"/>
                <w:color w:val="000000"/>
                <w:szCs w:val="21"/>
              </w:rPr>
              <w:t>符合要求3分，不符合要求0分；增加1项累加3分，最高18分</w:t>
            </w:r>
          </w:p>
        </w:tc>
        <w:tc>
          <w:tcPr>
            <w:tcW w:w="697" w:type="dxa"/>
            <w:shd w:val="clear" w:color="auto" w:fill="auto"/>
            <w:vAlign w:val="center"/>
          </w:tcPr>
          <w:p>
            <w:pPr>
              <w:pStyle w:val="85"/>
              <w:widowControl w:val="0"/>
            </w:pPr>
            <w:r>
              <w:rPr>
                <w:rFonts w:hint="eastAsia" w:hAnsi="宋体" w:cs="宋体"/>
                <w:color w:val="000000"/>
                <w:szCs w:val="21"/>
              </w:rPr>
              <w:t>18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continue"/>
            <w:shd w:val="clear" w:color="auto" w:fill="auto"/>
            <w:vAlign w:val="center"/>
          </w:tcPr>
          <w:p>
            <w:pPr>
              <w:pStyle w:val="85"/>
              <w:widowControl w:val="0"/>
            </w:pPr>
          </w:p>
        </w:tc>
        <w:tc>
          <w:tcPr>
            <w:tcW w:w="2835" w:type="dxa"/>
            <w:shd w:val="clear" w:color="auto" w:fill="auto"/>
            <w:vAlign w:val="center"/>
          </w:tcPr>
          <w:p>
            <w:pPr>
              <w:pStyle w:val="85"/>
              <w:widowControl w:val="0"/>
              <w:jc w:val="left"/>
              <w:rPr>
                <w:rFonts w:hAnsi="宋体" w:cs="宋体"/>
                <w:color w:val="000000"/>
                <w:szCs w:val="21"/>
              </w:rPr>
            </w:pPr>
            <w:r>
              <w:rPr>
                <w:rFonts w:hint="eastAsia" w:hAnsi="宋体" w:cs="宋体"/>
                <w:color w:val="000000"/>
                <w:szCs w:val="21"/>
              </w:rPr>
              <w:t>4.6沟通联络平台</w:t>
            </w:r>
          </w:p>
        </w:tc>
        <w:tc>
          <w:tcPr>
            <w:tcW w:w="4819" w:type="dxa"/>
            <w:shd w:val="clear" w:color="auto" w:fill="auto"/>
            <w:vAlign w:val="center"/>
          </w:tcPr>
          <w:p>
            <w:pPr>
              <w:pStyle w:val="85"/>
              <w:widowControl w:val="0"/>
              <w:jc w:val="center"/>
            </w:pPr>
            <w:r>
              <w:rPr>
                <w:rFonts w:hint="eastAsia" w:hAnsi="宋体" w:cs="宋体"/>
                <w:color w:val="000000"/>
                <w:szCs w:val="21"/>
              </w:rPr>
              <w:t>符合要求3分，不符合要求0分</w:t>
            </w:r>
          </w:p>
        </w:tc>
        <w:tc>
          <w:tcPr>
            <w:tcW w:w="697" w:type="dxa"/>
            <w:shd w:val="clear" w:color="auto" w:fill="auto"/>
            <w:vAlign w:val="center"/>
          </w:tcPr>
          <w:p>
            <w:pPr>
              <w:pStyle w:val="85"/>
              <w:widowControl w:val="0"/>
            </w:pPr>
            <w:r>
              <w:rPr>
                <w:rFonts w:hint="eastAsia" w:hAnsi="宋体" w:cs="宋体"/>
                <w:color w:val="000000"/>
                <w:szCs w:val="21"/>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3" w:type="dxa"/>
            <w:vMerge w:val="continue"/>
            <w:shd w:val="clear" w:color="auto" w:fill="auto"/>
            <w:vAlign w:val="center"/>
          </w:tcPr>
          <w:p>
            <w:pPr>
              <w:pStyle w:val="85"/>
              <w:widowControl w:val="0"/>
            </w:pPr>
          </w:p>
        </w:tc>
        <w:tc>
          <w:tcPr>
            <w:tcW w:w="2835" w:type="dxa"/>
            <w:shd w:val="clear" w:color="auto" w:fill="auto"/>
            <w:vAlign w:val="center"/>
          </w:tcPr>
          <w:p>
            <w:pPr>
              <w:pStyle w:val="85"/>
              <w:widowControl w:val="0"/>
              <w:jc w:val="left"/>
              <w:rPr>
                <w:rFonts w:hAnsi="宋体" w:cs="宋体"/>
                <w:color w:val="000000"/>
                <w:szCs w:val="21"/>
              </w:rPr>
            </w:pPr>
            <w:r>
              <w:rPr>
                <w:rFonts w:hint="eastAsia" w:hAnsi="宋体" w:cs="宋体"/>
                <w:color w:val="000000"/>
                <w:szCs w:val="21"/>
              </w:rPr>
              <w:t>4.7集团名义开展的以上主流媒体宣传报道</w:t>
            </w:r>
          </w:p>
        </w:tc>
        <w:tc>
          <w:tcPr>
            <w:tcW w:w="4819" w:type="dxa"/>
            <w:shd w:val="clear" w:color="auto" w:fill="auto"/>
            <w:vAlign w:val="center"/>
          </w:tcPr>
          <w:p>
            <w:pPr>
              <w:pStyle w:val="85"/>
              <w:widowControl w:val="0"/>
            </w:pPr>
            <w:r>
              <w:rPr>
                <w:rFonts w:hint="eastAsia" w:hAnsi="宋体" w:cs="宋体"/>
                <w:color w:val="000000"/>
                <w:szCs w:val="21"/>
              </w:rPr>
              <w:t>符合要求3分，不符合要求0分；增加1篇累加3分，最高12分</w:t>
            </w:r>
          </w:p>
        </w:tc>
        <w:tc>
          <w:tcPr>
            <w:tcW w:w="697" w:type="dxa"/>
            <w:shd w:val="clear" w:color="auto" w:fill="auto"/>
            <w:vAlign w:val="center"/>
          </w:tcPr>
          <w:p>
            <w:pPr>
              <w:pStyle w:val="85"/>
              <w:widowControl w:val="0"/>
            </w:pPr>
            <w:r>
              <w:rPr>
                <w:rFonts w:hint="eastAsia" w:hAnsi="宋体" w:cs="宋体"/>
                <w:color w:val="000000"/>
                <w:szCs w:val="21"/>
              </w:rPr>
              <w:t>12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334" w:type="dxa"/>
            <w:gridSpan w:val="4"/>
            <w:shd w:val="clear" w:color="auto" w:fill="auto"/>
            <w:vAlign w:val="center"/>
          </w:tcPr>
          <w:p>
            <w:pPr>
              <w:pStyle w:val="86"/>
              <w:keepNext w:val="0"/>
              <w:keepLines w:val="0"/>
              <w:pageBreakBefore w:val="0"/>
              <w:widowControl w:val="0"/>
              <w:kinsoku/>
              <w:wordWrap/>
              <w:overflowPunct/>
              <w:topLinePunct w:val="0"/>
              <w:autoSpaceDE w:val="0"/>
              <w:autoSpaceDN w:val="0"/>
              <w:bidi w:val="0"/>
              <w:adjustRightInd w:val="0"/>
              <w:snapToGrid/>
              <w:ind w:left="870" w:leftChars="200" w:hanging="450" w:hangingChars="250"/>
              <w:jc w:val="left"/>
              <w:textAlignment w:val="auto"/>
            </w:pPr>
            <w:r>
              <w:rPr>
                <w:rFonts w:hint="eastAsia"/>
              </w:rPr>
              <w:t>评价总分为100分，90分—100分为五星级；80分—89分为四星级；70分—79分为三星级；69分及以下不参与星级评定。</w:t>
            </w:r>
          </w:p>
          <w:p>
            <w:pPr>
              <w:pStyle w:val="86"/>
              <w:keepNext w:val="0"/>
              <w:keepLines w:val="0"/>
              <w:pageBreakBefore w:val="0"/>
              <w:widowControl w:val="0"/>
              <w:kinsoku/>
              <w:wordWrap/>
              <w:overflowPunct/>
              <w:topLinePunct w:val="0"/>
              <w:autoSpaceDE w:val="0"/>
              <w:autoSpaceDN w:val="0"/>
              <w:bidi w:val="0"/>
              <w:adjustRightInd/>
              <w:snapToGrid/>
              <w:ind w:left="870" w:leftChars="200" w:hanging="450" w:hangingChars="250"/>
              <w:textAlignment w:val="auto"/>
            </w:pPr>
            <w:r>
              <w:rPr>
                <w:rFonts w:hint="eastAsia"/>
              </w:rPr>
              <w:t>凡有三项及以上0分项，黄牌警告并责令整改，整改期一年，一年后整改验收不通过，经设区市教育行政主管部门研究后考虑决定是否解散。</w:t>
            </w:r>
          </w:p>
        </w:tc>
      </w:tr>
    </w:tbl>
    <w:p>
      <w:pPr>
        <w:pStyle w:val="67"/>
        <w:ind w:firstLine="420"/>
      </w:pPr>
    </w:p>
    <w:p>
      <w:pPr>
        <w:pStyle w:val="67"/>
        <w:ind w:firstLine="420"/>
      </w:pPr>
    </w:p>
    <w:p>
      <w:pPr>
        <w:pStyle w:val="67"/>
        <w:ind w:firstLine="420"/>
      </w:pPr>
    </w:p>
    <w:bookmarkEnd w:id="169"/>
    <w:p>
      <w:pPr>
        <w:pStyle w:val="67"/>
        <w:ind w:firstLine="420"/>
        <w:sectPr>
          <w:headerReference r:id="rId21" w:type="default"/>
          <w:footerReference r:id="rId23" w:type="default"/>
          <w:headerReference r:id="rId22" w:type="even"/>
          <w:footerReference r:id="rId24" w:type="even"/>
          <w:pgSz w:w="11906" w:h="16838"/>
          <w:pgMar w:top="1928" w:right="1134" w:bottom="1134" w:left="1134" w:header="1418" w:footer="1134" w:gutter="284"/>
          <w:pgNumType w:fmt="decimal"/>
          <w:cols w:space="425" w:num="1"/>
          <w:formProt w:val="0"/>
          <w:docGrid w:type="lines" w:linePitch="312" w:charSpace="0"/>
        </w:sectPr>
      </w:pPr>
      <w:bookmarkStart w:id="178" w:name="BookMark6"/>
    </w:p>
    <w:p>
      <w:pPr>
        <w:pStyle w:val="75"/>
        <w:shd w:val="clear" w:color="FFFFFF" w:fill="FFFFFF"/>
        <w:spacing w:before="567" w:after="283" w:afterLines="0"/>
        <w:rPr>
          <w:rFonts w:hint="eastAsia"/>
          <w:spacing w:val="105"/>
        </w:rPr>
      </w:pPr>
      <w:bookmarkStart w:id="179" w:name="_Toc160441587"/>
      <w:bookmarkStart w:id="180" w:name="_Toc160532031"/>
      <w:bookmarkStart w:id="181" w:name="_Toc5917"/>
      <w:bookmarkStart w:id="182" w:name="_Toc162887489"/>
      <w:r>
        <w:rPr>
          <w:rFonts w:hint="eastAsia"/>
          <w:spacing w:val="105"/>
        </w:rPr>
        <w:t>参考文献</w:t>
      </w:r>
      <w:bookmarkEnd w:id="179"/>
      <w:bookmarkEnd w:id="180"/>
      <w:bookmarkEnd w:id="181"/>
      <w:bookmarkEnd w:id="182"/>
    </w:p>
    <w:p>
      <w:pPr>
        <w:pStyle w:val="67"/>
        <w:ind w:firstLine="420"/>
      </w:pPr>
      <w:r>
        <w:rPr>
          <w:rFonts w:hint="eastAsia"/>
        </w:rPr>
        <w:t xml:space="preserve">[1] </w:t>
      </w:r>
      <w:r>
        <w:rPr>
          <w:rFonts w:hint="eastAsia"/>
          <w:lang w:val="en-US" w:eastAsia="zh-CN"/>
        </w:rPr>
        <w:t xml:space="preserve"> </w:t>
      </w:r>
      <w:r>
        <w:rPr>
          <w:rFonts w:hint="eastAsia"/>
        </w:rPr>
        <w:t>《中华人民共和国职业教育法》（2022年4月20日第十三届全国人民代表大会常务委员会第三十四次会议修订）</w:t>
      </w:r>
    </w:p>
    <w:p>
      <w:pPr>
        <w:pStyle w:val="67"/>
        <w:ind w:firstLine="420"/>
      </w:pPr>
      <w:r>
        <w:rPr>
          <w:rFonts w:hint="eastAsia"/>
        </w:rPr>
        <w:t xml:space="preserve">[2] </w:t>
      </w:r>
      <w:r>
        <w:rPr>
          <w:rFonts w:hint="eastAsia"/>
          <w:lang w:val="en-US" w:eastAsia="zh-CN"/>
        </w:rPr>
        <w:t xml:space="preserve"> </w:t>
      </w:r>
      <w:r>
        <w:rPr>
          <w:rFonts w:hint="eastAsia"/>
        </w:rPr>
        <w:t>《社会团体登记管理条例》（1998年10月25日中华人民共和国国务院令第250号发布，根据2016年2月6日《国务院关于修改部分行政法规的决定》修订）</w:t>
      </w:r>
    </w:p>
    <w:p>
      <w:pPr>
        <w:pStyle w:val="67"/>
        <w:ind w:firstLine="420"/>
      </w:pPr>
      <w:r>
        <w:rPr>
          <w:rFonts w:hint="eastAsia"/>
        </w:rPr>
        <w:t>[3]</w:t>
      </w:r>
      <w:r>
        <w:t xml:space="preserve"> </w:t>
      </w:r>
      <w:r>
        <w:rPr>
          <w:rFonts w:hint="eastAsia"/>
          <w:lang w:val="en-US" w:eastAsia="zh-CN"/>
        </w:rPr>
        <w:t xml:space="preserve"> </w:t>
      </w:r>
      <w:r>
        <w:rPr>
          <w:rFonts w:hint="eastAsia"/>
        </w:rPr>
        <w:t>《关于加快推进职业教育集团化办学的若干意见》（教职成〔2009〕号）</w:t>
      </w:r>
    </w:p>
    <w:p>
      <w:pPr>
        <w:pStyle w:val="67"/>
        <w:ind w:firstLine="420"/>
      </w:pPr>
      <w:r>
        <w:rPr>
          <w:rFonts w:hint="eastAsia"/>
        </w:rPr>
        <w:t>[4]</w:t>
      </w:r>
      <w:r>
        <w:t xml:space="preserve"> </w:t>
      </w:r>
      <w:r>
        <w:rPr>
          <w:rFonts w:hint="eastAsia"/>
          <w:lang w:val="en-US" w:eastAsia="zh-CN"/>
        </w:rPr>
        <w:t xml:space="preserve"> </w:t>
      </w:r>
      <w:r>
        <w:rPr>
          <w:rFonts w:hint="eastAsia"/>
        </w:rPr>
        <w:t>《国务院关于加快发展现代职业教育的决定》（国发〔2014〕19号）</w:t>
      </w:r>
    </w:p>
    <w:p>
      <w:pPr>
        <w:pStyle w:val="67"/>
        <w:ind w:firstLine="420"/>
      </w:pPr>
      <w:r>
        <w:rPr>
          <w:rFonts w:hint="eastAsia"/>
        </w:rPr>
        <w:t>[5]</w:t>
      </w:r>
      <w:r>
        <w:t xml:space="preserve"> </w:t>
      </w:r>
      <w:r>
        <w:rPr>
          <w:rFonts w:hint="eastAsia"/>
          <w:lang w:val="en-US" w:eastAsia="zh-CN"/>
        </w:rPr>
        <w:t xml:space="preserve"> </w:t>
      </w:r>
      <w:r>
        <w:rPr>
          <w:rFonts w:hint="eastAsia"/>
        </w:rPr>
        <w:t>《现代职业教育体系建设规划》（教发〔2014〕6号）</w:t>
      </w:r>
    </w:p>
    <w:p>
      <w:pPr>
        <w:pStyle w:val="67"/>
        <w:ind w:firstLine="420"/>
      </w:pPr>
      <w:r>
        <w:rPr>
          <w:rFonts w:hint="eastAsia"/>
        </w:rPr>
        <w:t>[6]</w:t>
      </w:r>
      <w:r>
        <w:t xml:space="preserve"> </w:t>
      </w:r>
      <w:r>
        <w:rPr>
          <w:rFonts w:hint="eastAsia"/>
          <w:lang w:val="en-US" w:eastAsia="zh-CN"/>
        </w:rPr>
        <w:t xml:space="preserve"> </w:t>
      </w:r>
      <w:r>
        <w:rPr>
          <w:rFonts w:hint="eastAsia"/>
        </w:rPr>
        <w:t>《教育部关于深入推进职业教育集团化办学的意见》（教职成〔2015〕4号）</w:t>
      </w:r>
    </w:p>
    <w:p>
      <w:pPr>
        <w:pStyle w:val="67"/>
        <w:ind w:firstLine="420"/>
      </w:pPr>
      <w:r>
        <w:rPr>
          <w:rFonts w:hint="eastAsia"/>
        </w:rPr>
        <w:t>[7]</w:t>
      </w:r>
      <w:r>
        <w:t xml:space="preserve"> </w:t>
      </w:r>
      <w:r>
        <w:rPr>
          <w:rFonts w:hint="eastAsia"/>
          <w:lang w:val="en-US" w:eastAsia="zh-CN"/>
        </w:rPr>
        <w:t xml:space="preserve"> </w:t>
      </w:r>
      <w:r>
        <w:rPr>
          <w:rFonts w:hint="eastAsia"/>
        </w:rPr>
        <w:t>《中国职业教育集团化办学发展报告（2015）》</w:t>
      </w:r>
    </w:p>
    <w:p>
      <w:pPr>
        <w:pStyle w:val="67"/>
        <w:ind w:firstLine="420"/>
      </w:pPr>
      <w:r>
        <w:rPr>
          <w:rFonts w:hint="eastAsia"/>
        </w:rPr>
        <w:t>[8]</w:t>
      </w:r>
      <w:r>
        <w:t xml:space="preserve"> </w:t>
      </w:r>
      <w:r>
        <w:rPr>
          <w:rFonts w:hint="eastAsia"/>
          <w:lang w:val="en-US" w:eastAsia="zh-CN"/>
        </w:rPr>
        <w:t xml:space="preserve"> </w:t>
      </w:r>
      <w:r>
        <w:rPr>
          <w:rFonts w:hint="eastAsia"/>
        </w:rPr>
        <w:t>《国务院办公厅关于深化产教融合的若干意见》（国办发〔2017〕95号）</w:t>
      </w:r>
    </w:p>
    <w:p>
      <w:pPr>
        <w:pStyle w:val="67"/>
        <w:ind w:firstLine="420"/>
      </w:pPr>
      <w:r>
        <w:rPr>
          <w:rFonts w:hint="eastAsia"/>
        </w:rPr>
        <w:t>[9]</w:t>
      </w:r>
      <w:r>
        <w:t xml:space="preserve"> </w:t>
      </w:r>
      <w:r>
        <w:rPr>
          <w:rFonts w:hint="eastAsia"/>
          <w:lang w:val="en-US" w:eastAsia="zh-CN"/>
        </w:rPr>
        <w:t xml:space="preserve"> </w:t>
      </w:r>
      <w:r>
        <w:rPr>
          <w:rFonts w:hint="eastAsia"/>
        </w:rPr>
        <w:t>《关于印发国家产教融合建设试点实施方案的通知》（发改社会〔2019〕1558号）</w:t>
      </w:r>
    </w:p>
    <w:p>
      <w:pPr>
        <w:pStyle w:val="67"/>
        <w:ind w:firstLine="420"/>
      </w:pPr>
      <w:r>
        <w:rPr>
          <w:rFonts w:hint="eastAsia"/>
        </w:rPr>
        <w:t>[10]</w:t>
      </w:r>
      <w:r>
        <w:t xml:space="preserve"> </w:t>
      </w:r>
      <w:r>
        <w:rPr>
          <w:rFonts w:hint="eastAsia"/>
          <w:lang w:val="en-US" w:eastAsia="zh-CN"/>
        </w:rPr>
        <w:t xml:space="preserve"> </w:t>
      </w:r>
      <w:r>
        <w:rPr>
          <w:rFonts w:hint="eastAsia"/>
        </w:rPr>
        <w:t>《关于开展示范性职业教育集团（联盟）建设的通知》（教职成司函〔2019〕92号）</w:t>
      </w:r>
    </w:p>
    <w:p>
      <w:pPr>
        <w:pStyle w:val="67"/>
        <w:ind w:firstLine="420"/>
      </w:pPr>
      <w:r>
        <w:rPr>
          <w:rFonts w:hint="eastAsia"/>
        </w:rPr>
        <w:t>[11]</w:t>
      </w:r>
      <w:r>
        <w:t xml:space="preserve"> </w:t>
      </w:r>
      <w:r>
        <w:rPr>
          <w:rFonts w:hint="eastAsia"/>
          <w:lang w:val="en-US" w:eastAsia="zh-CN"/>
        </w:rPr>
        <w:t xml:space="preserve"> </w:t>
      </w:r>
      <w:r>
        <w:rPr>
          <w:rFonts w:hint="eastAsia"/>
        </w:rPr>
        <w:t>《国家发展改革委等部门关于印发〈职业教育产教融合赋能提升行动实施方案（2023—2025年）〉的通知》（发改社会〔2023〕699号）</w:t>
      </w:r>
    </w:p>
    <w:bookmarkEnd w:id="178"/>
    <w:p>
      <w:pPr>
        <w:tabs>
          <w:tab w:val="left" w:pos="6335"/>
        </w:tabs>
        <w:bidi w:val="0"/>
        <w:jc w:val="left"/>
      </w:pPr>
      <w:r>
        <w:rPr>
          <w:rFonts w:ascii="黑体" w:hAnsi="黑体" w:eastAsia="黑体"/>
        </w:rPr>
        <mc:AlternateContent>
          <mc:Choice Requires="wps">
            <w:drawing>
              <wp:anchor distT="0" distB="0" distL="114300" distR="114300" simplePos="0" relativeHeight="251677696" behindDoc="0" locked="0" layoutInCell="1" allowOverlap="1">
                <wp:simplePos x="0" y="0"/>
                <wp:positionH relativeFrom="column">
                  <wp:posOffset>2111375</wp:posOffset>
                </wp:positionH>
                <wp:positionV relativeFrom="paragraph">
                  <wp:posOffset>174625</wp:posOffset>
                </wp:positionV>
                <wp:extent cx="1800225" cy="0"/>
                <wp:effectExtent l="0" t="4445" r="0" b="5080"/>
                <wp:wrapNone/>
                <wp:docPr id="25" name="直接箭头连接符 5"/>
                <wp:cNvGraphicFramePr/>
                <a:graphic xmlns:a="http://schemas.openxmlformats.org/drawingml/2006/main">
                  <a:graphicData uri="http://schemas.microsoft.com/office/word/2010/wordprocessingShape">
                    <wps:wsp>
                      <wps:cNvCnPr>
                        <a:cxnSpLocks noChangeShapeType="1"/>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6.25pt;margin-top:13.75pt;height:0pt;width:141.75pt;z-index:251677696;mso-width-relative:page;mso-height-relative:page;" filled="f" stroked="t" coordsize="21600,21600" o:gfxdata="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&#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t4S4nYAAAACQEAAA8AAAAAAAAAAQAgAAAAIgAAAGRy&#10;cy9kb3ducmV2LnhtbFBLAQIUABQAAAAIAIdO4kB7ntT+BQIAANkDAAAOAAAAAAAAAAEAIAAAACcB&#10;AABkcnMvZTJvRG9jLnhtbFBLBQYAAAAABgAGAFkBAACeBQAAAAA=&#10;">
                <v:fill on="f" focussize="0,0"/>
                <v:stroke color="#000000" joinstyle="round"/>
                <v:imagedata o:title=""/>
                <o:lock v:ext="edit" aspectratio="f"/>
              </v:shape>
            </w:pict>
          </mc:Fallback>
        </mc:AlternateContent>
      </w:r>
      <w:bookmarkStart w:id="183" w:name="_GoBack"/>
      <w:bookmarkEnd w:id="183"/>
    </w:p>
    <w:p>
      <w:pPr>
        <w:pStyle w:val="2"/>
        <w:jc w:val="left"/>
        <w:rPr>
          <w:rFonts w:hint="default" w:ascii="黑体" w:hAnsi="黑体" w:eastAsia="黑体" w:cs="黑体"/>
          <w:sz w:val="18"/>
          <w:szCs w:val="18"/>
          <w:lang w:val="en-US" w:eastAsia="zh-CN"/>
        </w:rPr>
      </w:pPr>
    </w:p>
    <w:sectPr>
      <w:headerReference r:id="rId25" w:type="default"/>
      <w:footerReference r:id="rId27" w:type="default"/>
      <w:headerReference r:id="rId26" w:type="even"/>
      <w:footerReference r:id="rId28" w:type="even"/>
      <w:pgSz w:w="11906" w:h="16838"/>
      <w:pgMar w:top="1417" w:right="1134" w:bottom="1134" w:left="1418" w:header="1417" w:footer="113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DDB98A6-3962-4B0D-89E6-F8E16BC6EA8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方正小标宋_GBK">
    <w:panose1 w:val="02000000000000000000"/>
    <w:charset w:val="86"/>
    <w:family w:val="script"/>
    <w:pitch w:val="default"/>
    <w:sig w:usb0="A00002BF" w:usb1="38CF7CFA" w:usb2="00082016" w:usb3="00000000" w:csb0="00040001" w:csb1="00000000"/>
    <w:embedRegular r:id="rId2" w:fontKey="{863DACFB-0064-482D-B62C-19D818732538}"/>
  </w:font>
  <w:font w:name="Dotum,Bold">
    <w:altName w:val="黑体"/>
    <w:panose1 w:val="00000000000000000000"/>
    <w:charset w:val="86"/>
    <w:family w:val="auto"/>
    <w:pitch w:val="default"/>
    <w:sig w:usb0="00000000" w:usb1="00000000" w:usb2="00000010" w:usb3="00000000" w:csb0="00040000" w:csb1="00000000"/>
    <w:embedRegular r:id="rId3" w:fontKey="{707DC11C-E657-4BF2-BA8C-31CF2493A2E7}"/>
  </w:font>
  <w:font w:name="SimSun,Bold">
    <w:altName w:val="黑体"/>
    <w:panose1 w:val="00000000000000000000"/>
    <w:charset w:val="86"/>
    <w:family w:val="auto"/>
    <w:pitch w:val="default"/>
    <w:sig w:usb0="00000000" w:usb1="00000000" w:usb2="00000010" w:usb3="00000000" w:csb0="00040000" w:csb1="00000000"/>
    <w:embedRegular r:id="rId4" w:fontKey="{55EFAC9F-6761-4EC6-A511-5E040D5FBFB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0"/>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0"/>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pPr>
                      <w:pStyle w:val="70"/>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pPr>
    <w:r>
      <w:rPr>
        <w:sz w:val="18"/>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1"/>
                          </w:pPr>
                          <w:r>
                            <w:fldChar w:fldCharType="begin"/>
                          </w:r>
                          <w:r>
                            <w:instrText xml:space="preserve"> PAGE   \* MERGEFORMAT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pPr>
                      <w:pStyle w:val="71"/>
                    </w:pPr>
                    <w:r>
                      <w:fldChar w:fldCharType="begin"/>
                    </w:r>
                    <w:r>
                      <w:instrText xml:space="preserve"> PAGE   \* MERGEFORMAT \* MERGEFORMAT </w:instrText>
                    </w:r>
                    <w:r>
                      <w:fldChar w:fldCharType="separate"/>
                    </w:r>
                    <w:r>
                      <w:t>II</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0"/>
                            <w:keepNext w:val="0"/>
                            <w:keepLines w:val="0"/>
                            <w:pageBreakBefore w:val="0"/>
                            <w:widowControl/>
                            <w:kinsoku/>
                            <w:wordWrap/>
                            <w:overflowPunct/>
                            <w:topLinePunct w:val="0"/>
                            <w:bidi w:val="0"/>
                            <w:adjustRightInd/>
                            <w:snapToGrid/>
                            <w:ind w:right="0"/>
                            <w:textAlignment w:val="auto"/>
                          </w:pPr>
                          <w:r>
                            <w:fldChar w:fldCharType="begin"/>
                          </w:r>
                          <w:r>
                            <w:instrText xml:space="preserve">PAGE   \* MERGEFORMAT</w:instrText>
                          </w:r>
                          <w:r>
                            <w:fldChar w:fldCharType="separate"/>
                          </w:r>
                          <w:r>
                            <w:rPr>
                              <w:lang w:val="zh-CN"/>
                            </w:rP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70"/>
                      <w:keepNext w:val="0"/>
                      <w:keepLines w:val="0"/>
                      <w:pageBreakBefore w:val="0"/>
                      <w:widowControl/>
                      <w:kinsoku/>
                      <w:wordWrap/>
                      <w:overflowPunct/>
                      <w:topLinePunct w:val="0"/>
                      <w:bidi w:val="0"/>
                      <w:adjustRightInd/>
                      <w:snapToGrid/>
                      <w:ind w:right="0"/>
                      <w:textAlignment w:val="auto"/>
                    </w:pPr>
                    <w:r>
                      <w:fldChar w:fldCharType="begin"/>
                    </w:r>
                    <w:r>
                      <w:instrText xml:space="preserve">PAGE   \* MERGEFORMAT</w:instrText>
                    </w:r>
                    <w:r>
                      <w:fldChar w:fldCharType="separate"/>
                    </w:r>
                    <w:r>
                      <w:rPr>
                        <w:lang w:val="zh-CN"/>
                      </w:rPr>
                      <w:t>5</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keepNext w:val="0"/>
      <w:keepLines w:val="0"/>
      <w:pageBreakBefore w:val="0"/>
      <w:widowControl/>
      <w:kinsoku/>
      <w:wordWrap/>
      <w:overflowPunct/>
      <w:topLinePunct w:val="0"/>
      <w:bidi w:val="0"/>
      <w:adjustRightInd/>
      <w:snapToGrid/>
      <w:ind w:left="0"/>
      <w:textAlignment w:val="auto"/>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1"/>
                            <w:keepNext w:val="0"/>
                            <w:keepLines w:val="0"/>
                            <w:pageBreakBefore w:val="0"/>
                            <w:widowControl/>
                            <w:kinsoku/>
                            <w:wordWrap/>
                            <w:overflowPunct/>
                            <w:topLinePunct w:val="0"/>
                            <w:bidi w:val="0"/>
                            <w:adjustRightInd/>
                            <w:snapToGrid/>
                            <w:ind w:left="0"/>
                            <w:textAlignment w:val="auto"/>
                          </w:pPr>
                          <w:r>
                            <w:fldChar w:fldCharType="begin"/>
                          </w:r>
                          <w:r>
                            <w:instrText xml:space="preserve"> PAGE   \* MERGEFORMAT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pPr>
                      <w:pStyle w:val="71"/>
                      <w:keepNext w:val="0"/>
                      <w:keepLines w:val="0"/>
                      <w:pageBreakBefore w:val="0"/>
                      <w:widowControl/>
                      <w:kinsoku/>
                      <w:wordWrap/>
                      <w:overflowPunct/>
                      <w:topLinePunct w:val="0"/>
                      <w:bidi w:val="0"/>
                      <w:adjustRightInd/>
                      <w:snapToGrid/>
                      <w:ind w:left="0"/>
                      <w:textAlignment w:val="auto"/>
                    </w:pPr>
                    <w:r>
                      <w:fldChar w:fldCharType="begin"/>
                    </w:r>
                    <w:r>
                      <w:instrText xml:space="preserve"> PAGE   \* MERGEFORMAT \* MERGEFORMAT </w:instrText>
                    </w:r>
                    <w:r>
                      <w:fldChar w:fldCharType="separate"/>
                    </w:r>
                    <w:r>
                      <w:t>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0"/>
    </w:pPr>
    <w:r>
      <w:rPr>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0"/>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pPr>
                      <w:pStyle w:val="70"/>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pPr>
    <w:r>
      <w:rPr>
        <w:sz w:val="1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1"/>
                            <w:keepNext w:val="0"/>
                            <w:keepLines w:val="0"/>
                            <w:pageBreakBefore w:val="0"/>
                            <w:widowControl/>
                            <w:kinsoku/>
                            <w:wordWrap/>
                            <w:overflowPunct/>
                            <w:topLinePunct w:val="0"/>
                            <w:bidi w:val="0"/>
                            <w:adjustRightInd/>
                            <w:snapToGrid/>
                            <w:ind w:left="0"/>
                            <w:textAlignment w:val="auto"/>
                          </w:pPr>
                          <w:r>
                            <w:fldChar w:fldCharType="begin"/>
                          </w:r>
                          <w:r>
                            <w:instrText xml:space="preserve"> PAGE   \* MERGEFORMAT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pPr>
                      <w:pStyle w:val="71"/>
                      <w:keepNext w:val="0"/>
                      <w:keepLines w:val="0"/>
                      <w:pageBreakBefore w:val="0"/>
                      <w:widowControl/>
                      <w:kinsoku/>
                      <w:wordWrap/>
                      <w:overflowPunct/>
                      <w:topLinePunct w:val="0"/>
                      <w:bidi w:val="0"/>
                      <w:adjustRightInd/>
                      <w:snapToGrid/>
                      <w:ind w:left="0"/>
                      <w:textAlignment w:val="auto"/>
                    </w:pPr>
                    <w:r>
                      <w:fldChar w:fldCharType="begin"/>
                    </w:r>
                    <w:r>
                      <w:instrText xml:space="preserve"> PAGE   \* MERGEFORMAT \* MERGEFORMAT </w:instrText>
                    </w:r>
                    <w:r>
                      <w:fldChar w:fldCharType="separate"/>
                    </w:r>
                    <w:r>
                      <w:t>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3600" behindDoc="0" locked="0" layoutInCell="1" allowOverlap="1">
              <wp:simplePos x="0" y="0"/>
              <wp:positionH relativeFrom="margin">
                <wp:align>right</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4624" behindDoc="0" locked="0" layoutInCell="1" allowOverlap="1">
              <wp:simplePos x="0" y="0"/>
              <wp:positionH relativeFrom="margin">
                <wp:align>right</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hint="default" w:ascii="黑体" w:hAnsi="黑体" w:eastAsia="黑体"/>
        <w:i w:val="0"/>
        <w:color w:val="808080" w:themeColor="text1" w:themeTint="80"/>
        <w:lang w:val="en-US" w:eastAsia="zh-CN"/>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24</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left"/>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7"/>
    </w:pPr>
    <w:r>
      <w:fldChar w:fldCharType="begin"/>
    </w:r>
    <w:r>
      <w:instrText xml:space="preserve"> STYLEREF  标准文件_文件编号  \* MERGEFORMAT </w:instrText>
    </w:r>
    <w:r>
      <w:fldChar w:fldCharType="separate"/>
    </w:r>
    <w:r>
      <w:rPr>
        <w:b/>
      </w:rPr>
      <w:t>错误！未定义样式。</w:t>
    </w:r>
    <w: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left"/>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24</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keepNext w:val="0"/>
      <w:keepLines w:val="0"/>
      <w:pageBreakBefore w:val="0"/>
      <w:widowControl w:val="0"/>
      <w:kinsoku/>
      <w:wordWrap/>
      <w:overflowPunct/>
      <w:topLinePunct w:val="0"/>
      <w:autoSpaceDE/>
      <w:autoSpaceDN/>
      <w:bidi w:val="0"/>
      <w:adjustRightInd w:val="0"/>
      <w:snapToGrid w:val="0"/>
      <w:spacing w:after="283"/>
      <w:textAlignment w:val="auto"/>
      <w:rPr>
        <w:rStyle w:val="34"/>
        <w:rFonts w:hint="eastAsia" w:ascii="黑体" w:hAnsi="黑体" w:eastAsia="黑体"/>
        <w:i w:val="0"/>
        <w:color w:val="808080" w:themeColor="text1" w:themeTint="80"/>
        <w:lang w:eastAsia="zh-CN"/>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autoSpaceDE/>
      <w:autoSpaceDN/>
      <w:bidi w:val="0"/>
      <w:adjustRightInd w:val="0"/>
      <w:snapToGrid w:val="0"/>
      <w:spacing w:after="283"/>
      <w:textAlignment w:val="auto"/>
      <w:rPr>
        <w:rFonts w:hint="default" w:ascii="黑体" w:hAnsi="黑体" w:eastAsia="黑体"/>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314BCC"/>
    <w:multiLevelType w:val="singleLevel"/>
    <w:tmpl w:val="AE314BCC"/>
    <w:lvl w:ilvl="0" w:tentative="0">
      <w:start w:val="1"/>
      <w:numFmt w:val="lowerLetter"/>
      <w:suff w:val="space"/>
      <w:lvlText w:val="%1）"/>
      <w:lvlJc w:val="left"/>
      <w:rPr>
        <w:rFonts w:hint="default" w:ascii="宋体" w:hAnsi="宋体" w:eastAsia="宋体" w:cs="宋体"/>
        <w:sz w:val="21"/>
        <w:szCs w:val="21"/>
      </w:rPr>
    </w:lvl>
  </w:abstractNum>
  <w:abstractNum w:abstractNumId="1">
    <w:nsid w:val="E495868E"/>
    <w:multiLevelType w:val="singleLevel"/>
    <w:tmpl w:val="E495868E"/>
    <w:lvl w:ilvl="0" w:tentative="0">
      <w:start w:val="1"/>
      <w:numFmt w:val="lowerLetter"/>
      <w:suff w:val="space"/>
      <w:lvlText w:val="%1）"/>
      <w:lvlJc w:val="left"/>
      <w:rPr>
        <w:rFonts w:hint="default" w:ascii="宋体" w:hAnsi="宋体" w:eastAsia="宋体" w:cs="宋体"/>
        <w:sz w:val="21"/>
        <w:szCs w:val="21"/>
      </w:rPr>
    </w:lvl>
  </w:abstractNum>
  <w:abstractNum w:abstractNumId="2">
    <w:nsid w:val="EAF8F3E9"/>
    <w:multiLevelType w:val="singleLevel"/>
    <w:tmpl w:val="EAF8F3E9"/>
    <w:lvl w:ilvl="0" w:tentative="0">
      <w:start w:val="1"/>
      <w:numFmt w:val="lowerLetter"/>
      <w:suff w:val="space"/>
      <w:lvlText w:val="%1）"/>
      <w:lvlJc w:val="left"/>
      <w:rPr>
        <w:rFonts w:hint="default" w:ascii="宋体" w:hAnsi="宋体" w:eastAsia="宋体" w:cs="宋体"/>
        <w:sz w:val="21"/>
        <w:szCs w:val="21"/>
      </w:rPr>
    </w:lvl>
  </w:abstractNum>
  <w:abstractNum w:abstractNumId="3">
    <w:nsid w:val="FE7A2AC0"/>
    <w:multiLevelType w:val="singleLevel"/>
    <w:tmpl w:val="FE7A2AC0"/>
    <w:lvl w:ilvl="0" w:tentative="0">
      <w:start w:val="1"/>
      <w:numFmt w:val="lowerLetter"/>
      <w:suff w:val="space"/>
      <w:lvlText w:val="%1）"/>
      <w:lvlJc w:val="left"/>
      <w:rPr>
        <w:rFonts w:hint="default" w:ascii="宋体" w:hAnsi="宋体" w:eastAsia="宋体" w:cs="宋体"/>
        <w:sz w:val="21"/>
        <w:szCs w:val="21"/>
      </w:rPr>
    </w:lvl>
  </w:abstractNum>
  <w:abstractNum w:abstractNumId="4">
    <w:nsid w:val="079102AD"/>
    <w:multiLevelType w:val="multilevel"/>
    <w:tmpl w:val="079102AD"/>
    <w:lvl w:ilvl="0" w:tentative="0">
      <w:start w:val="1"/>
      <w:numFmt w:val="decimal"/>
      <w:pStyle w:val="86"/>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5">
    <w:nsid w:val="07ED3FEA"/>
    <w:multiLevelType w:val="multilevel"/>
    <w:tmpl w:val="07ED3FEA"/>
    <w:lvl w:ilvl="0" w:tentative="0">
      <w:start w:val="1"/>
      <w:numFmt w:val="none"/>
      <w:pStyle w:val="49"/>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09423E94"/>
    <w:multiLevelType w:val="singleLevel"/>
    <w:tmpl w:val="09423E94"/>
    <w:lvl w:ilvl="0" w:tentative="0">
      <w:start w:val="1"/>
      <w:numFmt w:val="lowerLetter"/>
      <w:suff w:val="space"/>
      <w:lvlText w:val="%1）"/>
      <w:lvlJc w:val="left"/>
      <w:rPr>
        <w:rFonts w:hint="default" w:ascii="宋体" w:hAnsi="宋体" w:eastAsia="宋体" w:cs="宋体"/>
        <w:sz w:val="21"/>
        <w:szCs w:val="21"/>
      </w:rPr>
    </w:lvl>
  </w:abstractNum>
  <w:abstractNum w:abstractNumId="7">
    <w:nsid w:val="15EF0C26"/>
    <w:multiLevelType w:val="multilevel"/>
    <w:tmpl w:val="15EF0C26"/>
    <w:lvl w:ilvl="0" w:tentative="0">
      <w:start w:val="1"/>
      <w:numFmt w:val="lowerLetter"/>
      <w:pStyle w:val="55"/>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4"/>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9">
    <w:nsid w:val="2C5917C3"/>
    <w:multiLevelType w:val="multilevel"/>
    <w:tmpl w:val="2C5917C3"/>
    <w:lvl w:ilvl="0" w:tentative="0">
      <w:start w:val="1"/>
      <w:numFmt w:val="none"/>
      <w:suff w:val="nothing"/>
      <w:lvlText w:val="%1——"/>
      <w:lvlJc w:val="left"/>
      <w:pPr>
        <w:ind w:left="833" w:hanging="408"/>
      </w:pPr>
      <w:rPr>
        <w:rFonts w:hint="eastAsia"/>
        <w:lang w:val="en-US"/>
      </w:rPr>
    </w:lvl>
    <w:lvl w:ilvl="1" w:tentative="0">
      <w:start w:val="1"/>
      <w:numFmt w:val="bullet"/>
      <w:pStyle w:val="56"/>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0">
    <w:nsid w:val="44C50F90"/>
    <w:multiLevelType w:val="multilevel"/>
    <w:tmpl w:val="44C50F90"/>
    <w:lvl w:ilvl="0" w:tentative="0">
      <w:start w:val="1"/>
      <w:numFmt w:val="lowerLetter"/>
      <w:pStyle w:val="78"/>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1">
    <w:nsid w:val="48802D1C"/>
    <w:multiLevelType w:val="multilevel"/>
    <w:tmpl w:val="48802D1C"/>
    <w:lvl w:ilvl="0" w:tentative="0">
      <w:start w:val="1"/>
      <w:numFmt w:val="upperLetter"/>
      <w:pStyle w:val="81"/>
      <w:lvlText w:val="%1"/>
      <w:lvlJc w:val="left"/>
      <w:pPr>
        <w:ind w:left="420" w:hanging="420"/>
      </w:pPr>
      <w:rPr>
        <w:rFonts w:hint="eastAsia"/>
      </w:rPr>
    </w:lvl>
    <w:lvl w:ilvl="1" w:tentative="0">
      <w:start w:val="1"/>
      <w:numFmt w:val="decimal"/>
      <w:pStyle w:val="7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2">
    <w:nsid w:val="557C2AF5"/>
    <w:multiLevelType w:val="multilevel"/>
    <w:tmpl w:val="557C2AF5"/>
    <w:lvl w:ilvl="0" w:tentative="0">
      <w:start w:val="1"/>
      <w:numFmt w:val="decimal"/>
      <w:pStyle w:val="77"/>
      <w:suff w:val="nothing"/>
      <w:lvlText w:val="图%1　"/>
      <w:lvlJc w:val="left"/>
      <w:pPr>
        <w:ind w:left="0" w:firstLine="0"/>
      </w:pPr>
      <w:rPr>
        <w:rFonts w:hint="default" w:ascii="黑体" w:hAnsi="黑体" w:eastAsia="黑体" w:cs="黑体"/>
        <w:sz w:val="21"/>
        <w:szCs w:val="21"/>
      </w:r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3">
    <w:nsid w:val="5603797C"/>
    <w:multiLevelType w:val="multilevel"/>
    <w:tmpl w:val="5603797C"/>
    <w:lvl w:ilvl="0" w:tentative="0">
      <w:start w:val="1"/>
      <w:numFmt w:val="upperLetter"/>
      <w:pStyle w:val="82"/>
      <w:suff w:val="space"/>
      <w:lvlText w:val="%1"/>
      <w:lvlJc w:val="left"/>
      <w:pPr>
        <w:ind w:left="425" w:hanging="425"/>
      </w:pPr>
      <w:rPr>
        <w:rFonts w:hint="eastAsia"/>
      </w:rPr>
    </w:lvl>
    <w:lvl w:ilvl="1" w:tentative="0">
      <w:start w:val="1"/>
      <w:numFmt w:val="decimal"/>
      <w:pStyle w:val="84"/>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4">
    <w:nsid w:val="58BA38DD"/>
    <w:multiLevelType w:val="singleLevel"/>
    <w:tmpl w:val="58BA38DD"/>
    <w:lvl w:ilvl="0" w:tentative="0">
      <w:start w:val="1"/>
      <w:numFmt w:val="lowerLetter"/>
      <w:suff w:val="space"/>
      <w:lvlText w:val="%1）"/>
      <w:lvlJc w:val="left"/>
      <w:rPr>
        <w:rFonts w:hint="default" w:ascii="宋体" w:hAnsi="宋体" w:eastAsia="宋体" w:cs="宋体"/>
        <w:sz w:val="21"/>
        <w:szCs w:val="21"/>
      </w:rPr>
    </w:lvl>
  </w:abstractNum>
  <w:abstractNum w:abstractNumId="15">
    <w:nsid w:val="61F335EF"/>
    <w:multiLevelType w:val="singleLevel"/>
    <w:tmpl w:val="61F335EF"/>
    <w:lvl w:ilvl="0" w:tentative="0">
      <w:start w:val="1"/>
      <w:numFmt w:val="lowerLetter"/>
      <w:suff w:val="space"/>
      <w:lvlText w:val="%1）"/>
      <w:lvlJc w:val="left"/>
      <w:rPr>
        <w:rFonts w:hint="default" w:ascii="宋体" w:hAnsi="宋体" w:eastAsia="宋体" w:cs="宋体"/>
        <w:sz w:val="21"/>
        <w:szCs w:val="21"/>
      </w:rPr>
    </w:lvl>
  </w:abstractNum>
  <w:abstractNum w:abstractNumId="16">
    <w:nsid w:val="646260FA"/>
    <w:multiLevelType w:val="multilevel"/>
    <w:tmpl w:val="646260FA"/>
    <w:lvl w:ilvl="0" w:tentative="0">
      <w:start w:val="1"/>
      <w:numFmt w:val="decimal"/>
      <w:pStyle w:val="60"/>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7">
    <w:nsid w:val="657D3FBC"/>
    <w:multiLevelType w:val="multilevel"/>
    <w:tmpl w:val="657D3FBC"/>
    <w:lvl w:ilvl="0" w:tentative="0">
      <w:start w:val="1"/>
      <w:numFmt w:val="upperLetter"/>
      <w:pStyle w:val="83"/>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3"/>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18">
    <w:nsid w:val="69C33717"/>
    <w:multiLevelType w:val="singleLevel"/>
    <w:tmpl w:val="69C33717"/>
    <w:lvl w:ilvl="0" w:tentative="0">
      <w:start w:val="1"/>
      <w:numFmt w:val="lowerLetter"/>
      <w:suff w:val="space"/>
      <w:lvlText w:val="%1）"/>
      <w:lvlJc w:val="left"/>
      <w:rPr>
        <w:rFonts w:hint="default" w:ascii="宋体" w:hAnsi="宋体" w:eastAsia="宋体" w:cs="宋体"/>
        <w:sz w:val="21"/>
        <w:szCs w:val="21"/>
      </w:rPr>
    </w:lvl>
  </w:abstractNum>
  <w:abstractNum w:abstractNumId="19">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6"/>
      <w:suff w:val="nothing"/>
      <w:lvlText w:val="%1%2　"/>
      <w:lvlJc w:val="left"/>
      <w:pPr>
        <w:ind w:left="0" w:firstLine="0"/>
      </w:pPr>
      <w:rPr>
        <w:rFonts w:hint="eastAsia" w:ascii="黑体" w:eastAsia="黑体"/>
        <w:b w:val="0"/>
        <w:i w:val="0"/>
        <w:sz w:val="21"/>
      </w:rPr>
    </w:lvl>
    <w:lvl w:ilvl="2" w:tentative="0">
      <w:start w:val="1"/>
      <w:numFmt w:val="decimal"/>
      <w:pStyle w:val="6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pStyle w:val="80"/>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0">
    <w:nsid w:val="6DBF04F4"/>
    <w:multiLevelType w:val="multilevel"/>
    <w:tmpl w:val="6DBF04F4"/>
    <w:lvl w:ilvl="0" w:tentative="0">
      <w:start w:val="1"/>
      <w:numFmt w:val="none"/>
      <w:pStyle w:val="58"/>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1">
    <w:nsid w:val="70EF44B6"/>
    <w:multiLevelType w:val="singleLevel"/>
    <w:tmpl w:val="70EF44B6"/>
    <w:lvl w:ilvl="0" w:tentative="0">
      <w:start w:val="1"/>
      <w:numFmt w:val="lowerLetter"/>
      <w:suff w:val="space"/>
      <w:lvlText w:val="%1）"/>
      <w:lvlJc w:val="left"/>
      <w:rPr>
        <w:rFonts w:hint="default" w:ascii="宋体" w:hAnsi="宋体" w:eastAsia="宋体" w:cs="宋体"/>
        <w:sz w:val="21"/>
        <w:szCs w:val="21"/>
      </w:rPr>
    </w:lvl>
  </w:abstractNum>
  <w:num w:numId="1">
    <w:abstractNumId w:val="5"/>
  </w:num>
  <w:num w:numId="2">
    <w:abstractNumId w:val="8"/>
  </w:num>
  <w:num w:numId="3">
    <w:abstractNumId w:val="7"/>
  </w:num>
  <w:num w:numId="4">
    <w:abstractNumId w:val="9"/>
  </w:num>
  <w:num w:numId="5">
    <w:abstractNumId w:val="20"/>
  </w:num>
  <w:num w:numId="6">
    <w:abstractNumId w:val="17"/>
  </w:num>
  <w:num w:numId="7">
    <w:abstractNumId w:val="16"/>
  </w:num>
  <w:num w:numId="8">
    <w:abstractNumId w:val="19"/>
  </w:num>
  <w:num w:numId="9">
    <w:abstractNumId w:val="11"/>
  </w:num>
  <w:num w:numId="10">
    <w:abstractNumId w:val="12"/>
  </w:num>
  <w:num w:numId="11">
    <w:abstractNumId w:val="10"/>
  </w:num>
  <w:num w:numId="12">
    <w:abstractNumId w:val="13"/>
  </w:num>
  <w:num w:numId="13">
    <w:abstractNumId w:val="4"/>
  </w:num>
  <w:num w:numId="14">
    <w:abstractNumId w:val="0"/>
  </w:num>
  <w:num w:numId="15">
    <w:abstractNumId w:val="2"/>
  </w:num>
  <w:num w:numId="16">
    <w:abstractNumId w:val="18"/>
  </w:num>
  <w:num w:numId="17">
    <w:abstractNumId w:val="6"/>
  </w:num>
  <w:num w:numId="18">
    <w:abstractNumId w:val="3"/>
  </w:num>
  <w:num w:numId="19">
    <w:abstractNumId w:val="21"/>
  </w:num>
  <w:num w:numId="20">
    <w:abstractNumId w:val="14"/>
  </w:num>
  <w:num w:numId="21">
    <w:abstractNumId w:val="1"/>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1"/>
  <w:bordersDoNotSurroundHeader w:val="1"/>
  <w:bordersDoNotSurroundFooter w:val="1"/>
  <w:documentProtection w:edit="trackedChanges"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2NDdkYjgwOTRkMzA1MmM2NmEyMmZmY2FiNzY2MDE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686E"/>
    <w:rsid w:val="00056E11"/>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211953"/>
    <w:rsid w:val="002209AC"/>
    <w:rsid w:val="00220A99"/>
    <w:rsid w:val="00222A27"/>
    <w:rsid w:val="00223A5B"/>
    <w:rsid w:val="00223BD4"/>
    <w:rsid w:val="00230CF6"/>
    <w:rsid w:val="00230F2F"/>
    <w:rsid w:val="00247720"/>
    <w:rsid w:val="00251127"/>
    <w:rsid w:val="00251550"/>
    <w:rsid w:val="002517ED"/>
    <w:rsid w:val="00262444"/>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7B9E"/>
    <w:rsid w:val="00417738"/>
    <w:rsid w:val="0042003E"/>
    <w:rsid w:val="004212D3"/>
    <w:rsid w:val="00422051"/>
    <w:rsid w:val="0042333A"/>
    <w:rsid w:val="00426BC8"/>
    <w:rsid w:val="00430DD2"/>
    <w:rsid w:val="004426FC"/>
    <w:rsid w:val="0044581A"/>
    <w:rsid w:val="00451407"/>
    <w:rsid w:val="00451847"/>
    <w:rsid w:val="00454031"/>
    <w:rsid w:val="0045451F"/>
    <w:rsid w:val="004574AE"/>
    <w:rsid w:val="004610BF"/>
    <w:rsid w:val="00471508"/>
    <w:rsid w:val="004926A0"/>
    <w:rsid w:val="00495E4E"/>
    <w:rsid w:val="004A0644"/>
    <w:rsid w:val="004A132F"/>
    <w:rsid w:val="004A6AB6"/>
    <w:rsid w:val="004B01AE"/>
    <w:rsid w:val="004B12F5"/>
    <w:rsid w:val="004B2D06"/>
    <w:rsid w:val="004B540D"/>
    <w:rsid w:val="004C2F70"/>
    <w:rsid w:val="004C5E71"/>
    <w:rsid w:val="004D09E4"/>
    <w:rsid w:val="004D424C"/>
    <w:rsid w:val="004D5B9A"/>
    <w:rsid w:val="004E01DA"/>
    <w:rsid w:val="004E3E2D"/>
    <w:rsid w:val="004E4186"/>
    <w:rsid w:val="004E4DE6"/>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701EA"/>
    <w:rsid w:val="00575480"/>
    <w:rsid w:val="00591331"/>
    <w:rsid w:val="005928C2"/>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D1713"/>
    <w:rsid w:val="006D3593"/>
    <w:rsid w:val="006D384B"/>
    <w:rsid w:val="006D7F23"/>
    <w:rsid w:val="006E42DF"/>
    <w:rsid w:val="006E6B90"/>
    <w:rsid w:val="00705B6D"/>
    <w:rsid w:val="0070744F"/>
    <w:rsid w:val="007078CB"/>
    <w:rsid w:val="00711444"/>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B71FE"/>
    <w:rsid w:val="007B7740"/>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CD3"/>
    <w:rsid w:val="008C1198"/>
    <w:rsid w:val="008C23EA"/>
    <w:rsid w:val="008C6DE2"/>
    <w:rsid w:val="008C754A"/>
    <w:rsid w:val="008D32D9"/>
    <w:rsid w:val="008D50F3"/>
    <w:rsid w:val="008D6AC9"/>
    <w:rsid w:val="008E1D3D"/>
    <w:rsid w:val="008E73CE"/>
    <w:rsid w:val="008F7846"/>
    <w:rsid w:val="00900625"/>
    <w:rsid w:val="00900D6C"/>
    <w:rsid w:val="00902C03"/>
    <w:rsid w:val="009056B3"/>
    <w:rsid w:val="00905EC8"/>
    <w:rsid w:val="00906EE2"/>
    <w:rsid w:val="00912AA0"/>
    <w:rsid w:val="00914E1E"/>
    <w:rsid w:val="0092183B"/>
    <w:rsid w:val="00922FAC"/>
    <w:rsid w:val="009304BF"/>
    <w:rsid w:val="00932FD3"/>
    <w:rsid w:val="00941A12"/>
    <w:rsid w:val="00941B18"/>
    <w:rsid w:val="009449CC"/>
    <w:rsid w:val="00945592"/>
    <w:rsid w:val="00953360"/>
    <w:rsid w:val="009534B7"/>
    <w:rsid w:val="0095703E"/>
    <w:rsid w:val="0096181B"/>
    <w:rsid w:val="00961EC7"/>
    <w:rsid w:val="00970C6E"/>
    <w:rsid w:val="00975728"/>
    <w:rsid w:val="00992159"/>
    <w:rsid w:val="0099488E"/>
    <w:rsid w:val="009956AD"/>
    <w:rsid w:val="00996CA4"/>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A0DC4"/>
    <w:rsid w:val="00AA377C"/>
    <w:rsid w:val="00AA425D"/>
    <w:rsid w:val="00AB2CAF"/>
    <w:rsid w:val="00AB64F6"/>
    <w:rsid w:val="00AD00A8"/>
    <w:rsid w:val="00AD428E"/>
    <w:rsid w:val="00AD74A7"/>
    <w:rsid w:val="00AE49BE"/>
    <w:rsid w:val="00AE55AC"/>
    <w:rsid w:val="00AE5F8A"/>
    <w:rsid w:val="00AF53DB"/>
    <w:rsid w:val="00AF7AFE"/>
    <w:rsid w:val="00B01237"/>
    <w:rsid w:val="00B02086"/>
    <w:rsid w:val="00B06017"/>
    <w:rsid w:val="00B10919"/>
    <w:rsid w:val="00B1286A"/>
    <w:rsid w:val="00B1318E"/>
    <w:rsid w:val="00B17747"/>
    <w:rsid w:val="00B21CF9"/>
    <w:rsid w:val="00B309C2"/>
    <w:rsid w:val="00B319F3"/>
    <w:rsid w:val="00B33754"/>
    <w:rsid w:val="00B36BE0"/>
    <w:rsid w:val="00B37391"/>
    <w:rsid w:val="00B42D11"/>
    <w:rsid w:val="00B42FF5"/>
    <w:rsid w:val="00B450A3"/>
    <w:rsid w:val="00B61230"/>
    <w:rsid w:val="00B61250"/>
    <w:rsid w:val="00B618E8"/>
    <w:rsid w:val="00B634DB"/>
    <w:rsid w:val="00B64FF7"/>
    <w:rsid w:val="00B66014"/>
    <w:rsid w:val="00B759FB"/>
    <w:rsid w:val="00B857D0"/>
    <w:rsid w:val="00B97265"/>
    <w:rsid w:val="00BA4CDD"/>
    <w:rsid w:val="00BA70BA"/>
    <w:rsid w:val="00BA7E3E"/>
    <w:rsid w:val="00BB0517"/>
    <w:rsid w:val="00BC34A7"/>
    <w:rsid w:val="00BC6585"/>
    <w:rsid w:val="00BC76F2"/>
    <w:rsid w:val="00BD3F71"/>
    <w:rsid w:val="00BD44B5"/>
    <w:rsid w:val="00BE3C8C"/>
    <w:rsid w:val="00BE537A"/>
    <w:rsid w:val="00BE6581"/>
    <w:rsid w:val="00BF4AEF"/>
    <w:rsid w:val="00C042FA"/>
    <w:rsid w:val="00C1161C"/>
    <w:rsid w:val="00C16AD7"/>
    <w:rsid w:val="00C20320"/>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BC0"/>
    <w:rsid w:val="00C7008A"/>
    <w:rsid w:val="00C72B93"/>
    <w:rsid w:val="00C7460A"/>
    <w:rsid w:val="00C774B2"/>
    <w:rsid w:val="00C83947"/>
    <w:rsid w:val="00C84D5C"/>
    <w:rsid w:val="00C91A53"/>
    <w:rsid w:val="00C93A0F"/>
    <w:rsid w:val="00C93CF3"/>
    <w:rsid w:val="00CA2979"/>
    <w:rsid w:val="00CA3ECD"/>
    <w:rsid w:val="00CA5E90"/>
    <w:rsid w:val="00CB084A"/>
    <w:rsid w:val="00CB251A"/>
    <w:rsid w:val="00CB69C0"/>
    <w:rsid w:val="00CB6A26"/>
    <w:rsid w:val="00CC212B"/>
    <w:rsid w:val="00CE0575"/>
    <w:rsid w:val="00CE1209"/>
    <w:rsid w:val="00CE274E"/>
    <w:rsid w:val="00CE5A6D"/>
    <w:rsid w:val="00CF2291"/>
    <w:rsid w:val="00D069E0"/>
    <w:rsid w:val="00D137EA"/>
    <w:rsid w:val="00D169F2"/>
    <w:rsid w:val="00D20D83"/>
    <w:rsid w:val="00D2420F"/>
    <w:rsid w:val="00D256C0"/>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1394"/>
    <w:rsid w:val="00D85470"/>
    <w:rsid w:val="00D86D72"/>
    <w:rsid w:val="00D914B1"/>
    <w:rsid w:val="00D91668"/>
    <w:rsid w:val="00D965AB"/>
    <w:rsid w:val="00D965BD"/>
    <w:rsid w:val="00DA7326"/>
    <w:rsid w:val="00DB3696"/>
    <w:rsid w:val="00DC418F"/>
    <w:rsid w:val="00DD4EC4"/>
    <w:rsid w:val="00DD5468"/>
    <w:rsid w:val="00DD6F40"/>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615"/>
    <w:rsid w:val="00EE4642"/>
    <w:rsid w:val="00EF0721"/>
    <w:rsid w:val="00EF20A1"/>
    <w:rsid w:val="00F12CCA"/>
    <w:rsid w:val="00F16A12"/>
    <w:rsid w:val="00F16BA1"/>
    <w:rsid w:val="00F200FB"/>
    <w:rsid w:val="00F233DA"/>
    <w:rsid w:val="00F26471"/>
    <w:rsid w:val="00F31218"/>
    <w:rsid w:val="00F435E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C4373"/>
    <w:rsid w:val="00FC741B"/>
    <w:rsid w:val="00FC7C26"/>
    <w:rsid w:val="00FD0995"/>
    <w:rsid w:val="00FD4916"/>
    <w:rsid w:val="00FD6E30"/>
    <w:rsid w:val="00FE06BE"/>
    <w:rsid w:val="00FE26D3"/>
    <w:rsid w:val="00FE6BAA"/>
    <w:rsid w:val="00FE7CB2"/>
    <w:rsid w:val="00FF2E8A"/>
    <w:rsid w:val="00FF47E6"/>
    <w:rsid w:val="0180482E"/>
    <w:rsid w:val="01B97F5E"/>
    <w:rsid w:val="02670DCF"/>
    <w:rsid w:val="034D2939"/>
    <w:rsid w:val="043164D2"/>
    <w:rsid w:val="04DB69C7"/>
    <w:rsid w:val="056C2AC8"/>
    <w:rsid w:val="078D3A1F"/>
    <w:rsid w:val="08D94A4A"/>
    <w:rsid w:val="09332050"/>
    <w:rsid w:val="09652865"/>
    <w:rsid w:val="097D3D26"/>
    <w:rsid w:val="0ADA2F69"/>
    <w:rsid w:val="0AE10BBF"/>
    <w:rsid w:val="0B4B7E79"/>
    <w:rsid w:val="0BBA5614"/>
    <w:rsid w:val="0BBD0185"/>
    <w:rsid w:val="0D011260"/>
    <w:rsid w:val="0EBA2FF9"/>
    <w:rsid w:val="10F22B45"/>
    <w:rsid w:val="11EA4A5D"/>
    <w:rsid w:val="123426ED"/>
    <w:rsid w:val="1330335A"/>
    <w:rsid w:val="13492913"/>
    <w:rsid w:val="140915D6"/>
    <w:rsid w:val="149F13F6"/>
    <w:rsid w:val="14AB42D7"/>
    <w:rsid w:val="159863B1"/>
    <w:rsid w:val="1614131D"/>
    <w:rsid w:val="16B6476F"/>
    <w:rsid w:val="1986454E"/>
    <w:rsid w:val="19BD2F50"/>
    <w:rsid w:val="19D653D3"/>
    <w:rsid w:val="19E576EB"/>
    <w:rsid w:val="1A9F3EA8"/>
    <w:rsid w:val="1AF62448"/>
    <w:rsid w:val="1CE617B0"/>
    <w:rsid w:val="1D475092"/>
    <w:rsid w:val="1E901E0D"/>
    <w:rsid w:val="1E9A5851"/>
    <w:rsid w:val="1EFC4C0E"/>
    <w:rsid w:val="1F3709E9"/>
    <w:rsid w:val="1F5511FE"/>
    <w:rsid w:val="1F791B4A"/>
    <w:rsid w:val="1FF922F7"/>
    <w:rsid w:val="203A6C9D"/>
    <w:rsid w:val="209639A7"/>
    <w:rsid w:val="235D1A58"/>
    <w:rsid w:val="23893375"/>
    <w:rsid w:val="23D049E7"/>
    <w:rsid w:val="24F31A54"/>
    <w:rsid w:val="262E49A9"/>
    <w:rsid w:val="291C47AB"/>
    <w:rsid w:val="299E589B"/>
    <w:rsid w:val="29DD2289"/>
    <w:rsid w:val="2A9E6EDA"/>
    <w:rsid w:val="2AC259E9"/>
    <w:rsid w:val="2C9256AF"/>
    <w:rsid w:val="2D1458D7"/>
    <w:rsid w:val="2F033AB7"/>
    <w:rsid w:val="2FC604F2"/>
    <w:rsid w:val="30512DC8"/>
    <w:rsid w:val="305807BF"/>
    <w:rsid w:val="30BA0FA5"/>
    <w:rsid w:val="32697E49"/>
    <w:rsid w:val="355276CD"/>
    <w:rsid w:val="37875802"/>
    <w:rsid w:val="397A5D84"/>
    <w:rsid w:val="3A38257A"/>
    <w:rsid w:val="3A773D1D"/>
    <w:rsid w:val="3B337E5E"/>
    <w:rsid w:val="3C153A08"/>
    <w:rsid w:val="3D6F398A"/>
    <w:rsid w:val="3D9E1027"/>
    <w:rsid w:val="3E6447D3"/>
    <w:rsid w:val="3FCB4391"/>
    <w:rsid w:val="407103DB"/>
    <w:rsid w:val="41DD26A1"/>
    <w:rsid w:val="432D5ADB"/>
    <w:rsid w:val="455B5C08"/>
    <w:rsid w:val="459E4A6E"/>
    <w:rsid w:val="45E5444B"/>
    <w:rsid w:val="46024881"/>
    <w:rsid w:val="46432AD9"/>
    <w:rsid w:val="48C6265B"/>
    <w:rsid w:val="491679AE"/>
    <w:rsid w:val="4CC8541E"/>
    <w:rsid w:val="4D001545"/>
    <w:rsid w:val="4D7C7F66"/>
    <w:rsid w:val="4E497F1B"/>
    <w:rsid w:val="4E72372F"/>
    <w:rsid w:val="4E826BA1"/>
    <w:rsid w:val="4FB262DF"/>
    <w:rsid w:val="502913D8"/>
    <w:rsid w:val="506A1CDA"/>
    <w:rsid w:val="513145D7"/>
    <w:rsid w:val="51DB264E"/>
    <w:rsid w:val="52013E99"/>
    <w:rsid w:val="52884ADC"/>
    <w:rsid w:val="54EF45B2"/>
    <w:rsid w:val="561C68FE"/>
    <w:rsid w:val="56FA05E0"/>
    <w:rsid w:val="57205312"/>
    <w:rsid w:val="575B4970"/>
    <w:rsid w:val="58953240"/>
    <w:rsid w:val="597102CD"/>
    <w:rsid w:val="5AA42EE1"/>
    <w:rsid w:val="5ADD04B0"/>
    <w:rsid w:val="5E127A94"/>
    <w:rsid w:val="5EC2103E"/>
    <w:rsid w:val="5F3651D2"/>
    <w:rsid w:val="61E0223F"/>
    <w:rsid w:val="62275A9D"/>
    <w:rsid w:val="62A274F4"/>
    <w:rsid w:val="63473BF7"/>
    <w:rsid w:val="64490C49"/>
    <w:rsid w:val="66832C22"/>
    <w:rsid w:val="67451519"/>
    <w:rsid w:val="68706054"/>
    <w:rsid w:val="688A0DE6"/>
    <w:rsid w:val="68917B90"/>
    <w:rsid w:val="68F02F9E"/>
    <w:rsid w:val="691D1DC4"/>
    <w:rsid w:val="69CF4947"/>
    <w:rsid w:val="6A4626EF"/>
    <w:rsid w:val="6A7C706D"/>
    <w:rsid w:val="6ADF74D7"/>
    <w:rsid w:val="6BCA186A"/>
    <w:rsid w:val="6C0563E5"/>
    <w:rsid w:val="6C6C0C3F"/>
    <w:rsid w:val="6C89702F"/>
    <w:rsid w:val="6C917B8F"/>
    <w:rsid w:val="6DAD049D"/>
    <w:rsid w:val="6ECD387A"/>
    <w:rsid w:val="6F2F03DB"/>
    <w:rsid w:val="6FF139B8"/>
    <w:rsid w:val="70064409"/>
    <w:rsid w:val="708F736B"/>
    <w:rsid w:val="72127AC6"/>
    <w:rsid w:val="748E5C99"/>
    <w:rsid w:val="74BF2C7A"/>
    <w:rsid w:val="75682D8E"/>
    <w:rsid w:val="75A31161"/>
    <w:rsid w:val="75D25B10"/>
    <w:rsid w:val="76185FF4"/>
    <w:rsid w:val="76442929"/>
    <w:rsid w:val="76C27A63"/>
    <w:rsid w:val="795409C4"/>
    <w:rsid w:val="7AF60F49"/>
    <w:rsid w:val="7BBE3424"/>
    <w:rsid w:val="7E0328BC"/>
    <w:rsid w:val="7FAC1FBF"/>
    <w:rsid w:val="7FF57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1"/>
    <w:autoRedefine/>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1"/>
    <w:link w:val="37"/>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8"/>
    <w:autoRedefine/>
    <w:semiHidden/>
    <w:unhideWhenUsed/>
    <w:qFormat/>
    <w:uiPriority w:val="9"/>
    <w:pPr>
      <w:keepNext/>
      <w:keepLines/>
      <w:spacing w:before="260" w:after="260" w:line="416" w:lineRule="auto"/>
      <w:outlineLvl w:val="2"/>
    </w:pPr>
    <w:rPr>
      <w:b/>
      <w:bCs/>
      <w:sz w:val="32"/>
      <w:szCs w:val="32"/>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style>
  <w:style w:type="paragraph" w:styleId="6">
    <w:name w:val="Normal Indent"/>
    <w:basedOn w:val="1"/>
    <w:next w:val="7"/>
    <w:autoRedefine/>
    <w:qFormat/>
    <w:uiPriority w:val="0"/>
    <w:pPr>
      <w:ind w:firstLine="420"/>
    </w:pPr>
  </w:style>
  <w:style w:type="paragraph" w:styleId="7">
    <w:name w:val="envelope return"/>
    <w:basedOn w:val="1"/>
    <w:autoRedefine/>
    <w:qFormat/>
    <w:uiPriority w:val="0"/>
    <w:pPr>
      <w:snapToGrid w:val="0"/>
    </w:pPr>
    <w:rPr>
      <w:rFonts w:ascii="Arial" w:hAnsi="Arial" w:eastAsia="仿宋_GB2312"/>
      <w:sz w:val="32"/>
    </w:rPr>
  </w:style>
  <w:style w:type="paragraph" w:styleId="8">
    <w:name w:val="annotation text"/>
    <w:basedOn w:val="1"/>
    <w:autoRedefine/>
    <w:semiHidden/>
    <w:unhideWhenUsed/>
    <w:qFormat/>
    <w:uiPriority w:val="99"/>
    <w:pPr>
      <w:jc w:val="left"/>
    </w:pPr>
  </w:style>
  <w:style w:type="paragraph" w:styleId="9">
    <w:name w:val="toc 3"/>
    <w:basedOn w:val="1"/>
    <w:next w:val="1"/>
    <w:autoRedefine/>
    <w:semiHidden/>
    <w:unhideWhenUsed/>
    <w:qFormat/>
    <w:uiPriority w:val="39"/>
    <w:pPr>
      <w:ind w:left="840" w:leftChars="400"/>
    </w:pPr>
  </w:style>
  <w:style w:type="paragraph" w:styleId="10">
    <w:name w:val="Date"/>
    <w:basedOn w:val="1"/>
    <w:next w:val="1"/>
    <w:link w:val="46"/>
    <w:autoRedefine/>
    <w:semiHidden/>
    <w:unhideWhenUsed/>
    <w:qFormat/>
    <w:uiPriority w:val="99"/>
    <w:pPr>
      <w:ind w:left="100" w:leftChars="2500"/>
    </w:pPr>
  </w:style>
  <w:style w:type="paragraph" w:styleId="11">
    <w:name w:val="Body Text Indent 2"/>
    <w:basedOn w:val="1"/>
    <w:link w:val="39"/>
    <w:autoRedefine/>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7"/>
    <w:autoRedefine/>
    <w:semiHidden/>
    <w:unhideWhenUsed/>
    <w:qFormat/>
    <w:uiPriority w:val="99"/>
    <w:rPr>
      <w:sz w:val="18"/>
      <w:szCs w:val="18"/>
    </w:rPr>
  </w:style>
  <w:style w:type="paragraph" w:styleId="13">
    <w:name w:val="footer"/>
    <w:basedOn w:val="1"/>
    <w:link w:val="26"/>
    <w:autoRedefine/>
    <w:unhideWhenUsed/>
    <w:qFormat/>
    <w:uiPriority w:val="99"/>
    <w:pPr>
      <w:tabs>
        <w:tab w:val="center" w:pos="4153"/>
        <w:tab w:val="right" w:pos="8306"/>
      </w:tabs>
      <w:snapToGrid w:val="0"/>
      <w:jc w:val="left"/>
    </w:pPr>
    <w:rPr>
      <w:sz w:val="18"/>
      <w:szCs w:val="18"/>
    </w:rPr>
  </w:style>
  <w:style w:type="paragraph" w:styleId="14">
    <w:name w:val="header"/>
    <w:basedOn w:val="1"/>
    <w:link w:val="2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style>
  <w:style w:type="paragraph" w:styleId="16">
    <w:name w:val="Subtitle"/>
    <w:basedOn w:val="1"/>
    <w:next w:val="1"/>
    <w:link w:val="35"/>
    <w:autoRedefine/>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autoRedefine/>
    <w:unhideWhenUsed/>
    <w:qFormat/>
    <w:uiPriority w:val="39"/>
    <w:pPr>
      <w:tabs>
        <w:tab w:val="right" w:leader="dot" w:pos="9344"/>
      </w:tabs>
      <w:ind w:left="420" w:leftChars="200"/>
    </w:pPr>
  </w:style>
  <w:style w:type="paragraph" w:styleId="18">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6"/>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autoRedefine/>
    <w:unhideWhenUsed/>
    <w:qFormat/>
    <w:uiPriority w:val="99"/>
    <w:rPr>
      <w:color w:val="0000FF" w:themeColor="hyperlink"/>
      <w:u w:val="single"/>
      <w14:textFill>
        <w14:solidFill>
          <w14:schemeClr w14:val="hlink"/>
        </w14:solidFill>
      </w14:textFill>
    </w:rPr>
  </w:style>
  <w:style w:type="character" w:styleId="24">
    <w:name w:val="annotation reference"/>
    <w:basedOn w:val="22"/>
    <w:autoRedefine/>
    <w:semiHidden/>
    <w:unhideWhenUsed/>
    <w:qFormat/>
    <w:uiPriority w:val="99"/>
    <w:rPr>
      <w:sz w:val="21"/>
      <w:szCs w:val="21"/>
    </w:rPr>
  </w:style>
  <w:style w:type="character" w:customStyle="1" w:styleId="25">
    <w:name w:val="页眉 Char"/>
    <w:basedOn w:val="22"/>
    <w:link w:val="14"/>
    <w:autoRedefine/>
    <w:qFormat/>
    <w:uiPriority w:val="99"/>
    <w:rPr>
      <w:sz w:val="18"/>
      <w:szCs w:val="18"/>
    </w:rPr>
  </w:style>
  <w:style w:type="character" w:customStyle="1" w:styleId="26">
    <w:name w:val="页脚 Char"/>
    <w:basedOn w:val="22"/>
    <w:link w:val="13"/>
    <w:autoRedefine/>
    <w:qFormat/>
    <w:uiPriority w:val="99"/>
    <w:rPr>
      <w:sz w:val="18"/>
      <w:szCs w:val="18"/>
    </w:rPr>
  </w:style>
  <w:style w:type="character" w:customStyle="1" w:styleId="27">
    <w:name w:val="批注框文本 Char"/>
    <w:basedOn w:val="22"/>
    <w:link w:val="12"/>
    <w:autoRedefine/>
    <w:semiHidden/>
    <w:qFormat/>
    <w:uiPriority w:val="99"/>
    <w:rPr>
      <w:sz w:val="18"/>
      <w:szCs w:val="18"/>
    </w:rPr>
  </w:style>
  <w:style w:type="paragraph" w:styleId="28">
    <w:name w:val="List Paragraph"/>
    <w:basedOn w:val="1"/>
    <w:autoRedefine/>
    <w:qFormat/>
    <w:uiPriority w:val="34"/>
    <w:pPr>
      <w:ind w:firstLine="420" w:firstLineChars="200"/>
    </w:pPr>
  </w:style>
  <w:style w:type="paragraph" w:customStyle="1" w:styleId="29">
    <w:name w:val="标准标志"/>
    <w:next w:val="1"/>
    <w:autoRedefine/>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0">
    <w:name w:val="Char Char Char Char"/>
    <w:basedOn w:val="1"/>
    <w:autoRedefine/>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1">
    <w:name w:val="标题 1 Char"/>
    <w:basedOn w:val="22"/>
    <w:link w:val="3"/>
    <w:autoRedefine/>
    <w:qFormat/>
    <w:uiPriority w:val="99"/>
    <w:rPr>
      <w:rFonts w:ascii="Calibri" w:hAnsi="Calibri" w:eastAsia="宋体" w:cs="Times New Roman"/>
      <w:b/>
      <w:bCs/>
      <w:kern w:val="44"/>
      <w:sz w:val="44"/>
      <w:szCs w:val="44"/>
    </w:rPr>
  </w:style>
  <w:style w:type="paragraph" w:styleId="32">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3">
    <w:name w:val="封面标准号1"/>
    <w:autoRedefine/>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4">
    <w:name w:val="不明显强调1"/>
    <w:basedOn w:val="22"/>
    <w:autoRedefine/>
    <w:qFormat/>
    <w:uiPriority w:val="19"/>
    <w:rPr>
      <w:i/>
      <w:iCs/>
      <w:color w:val="808080" w:themeColor="text1" w:themeTint="80"/>
      <w14:textFill>
        <w14:solidFill>
          <w14:schemeClr w14:val="tx1">
            <w14:lumMod w14:val="50000"/>
            <w14:lumOff w14:val="50000"/>
          </w14:schemeClr>
        </w14:solidFill>
      </w14:textFill>
    </w:rPr>
  </w:style>
  <w:style w:type="character" w:customStyle="1" w:styleId="35">
    <w:name w:val="副标题 Char"/>
    <w:basedOn w:val="22"/>
    <w:link w:val="16"/>
    <w:autoRedefine/>
    <w:qFormat/>
    <w:uiPriority w:val="11"/>
    <w:rPr>
      <w:rFonts w:eastAsia="宋体" w:asciiTheme="majorHAnsi" w:hAnsiTheme="majorHAnsi" w:cstheme="majorBidi"/>
      <w:b/>
      <w:bCs/>
      <w:kern w:val="28"/>
      <w:sz w:val="32"/>
      <w:szCs w:val="32"/>
    </w:rPr>
  </w:style>
  <w:style w:type="character" w:customStyle="1" w:styleId="36">
    <w:name w:val="标题 Char"/>
    <w:basedOn w:val="22"/>
    <w:link w:val="19"/>
    <w:autoRedefine/>
    <w:qFormat/>
    <w:uiPriority w:val="10"/>
    <w:rPr>
      <w:rFonts w:eastAsia="宋体" w:asciiTheme="majorHAnsi" w:hAnsiTheme="majorHAnsi" w:cstheme="majorBidi"/>
      <w:b/>
      <w:bCs/>
      <w:sz w:val="32"/>
      <w:szCs w:val="32"/>
    </w:rPr>
  </w:style>
  <w:style w:type="character" w:customStyle="1" w:styleId="37">
    <w:name w:val="标题 2 Char"/>
    <w:basedOn w:val="22"/>
    <w:link w:val="4"/>
    <w:autoRedefine/>
    <w:qFormat/>
    <w:uiPriority w:val="9"/>
    <w:rPr>
      <w:rFonts w:asciiTheme="majorHAnsi" w:hAnsiTheme="majorHAnsi" w:eastAsiaTheme="majorEastAsia" w:cstheme="majorBidi"/>
      <w:b/>
      <w:bCs/>
      <w:sz w:val="32"/>
      <w:szCs w:val="32"/>
    </w:rPr>
  </w:style>
  <w:style w:type="character" w:customStyle="1" w:styleId="38">
    <w:name w:val="标题 3 Char"/>
    <w:basedOn w:val="22"/>
    <w:link w:val="5"/>
    <w:autoRedefine/>
    <w:semiHidden/>
    <w:qFormat/>
    <w:uiPriority w:val="9"/>
    <w:rPr>
      <w:b/>
      <w:bCs/>
      <w:sz w:val="32"/>
      <w:szCs w:val="32"/>
    </w:rPr>
  </w:style>
  <w:style w:type="character" w:customStyle="1" w:styleId="39">
    <w:name w:val="正文文本缩进 2 Char"/>
    <w:basedOn w:val="22"/>
    <w:link w:val="11"/>
    <w:autoRedefine/>
    <w:qFormat/>
    <w:uiPriority w:val="0"/>
    <w:rPr>
      <w:rFonts w:ascii="宋体" w:hAnsi="宋体" w:eastAsia="宋体" w:cs="Times New Roman"/>
      <w:snapToGrid w:val="0"/>
      <w:kern w:val="0"/>
      <w:szCs w:val="24"/>
    </w:rPr>
  </w:style>
  <w:style w:type="paragraph" w:customStyle="1" w:styleId="40">
    <w:name w:val="三级条标题"/>
    <w:basedOn w:val="1"/>
    <w:next w:val="1"/>
    <w:autoRedefine/>
    <w:qFormat/>
    <w:uiPriority w:val="0"/>
    <w:pPr>
      <w:widowControl/>
      <w:ind w:left="855"/>
      <w:outlineLvl w:val="4"/>
    </w:pPr>
    <w:rPr>
      <w:rFonts w:ascii="黑体" w:hAnsi="Times New Roman" w:eastAsia="黑体" w:cs="Times New Roman"/>
      <w:kern w:val="0"/>
      <w:szCs w:val="20"/>
    </w:rPr>
  </w:style>
  <w:style w:type="paragraph" w:customStyle="1" w:styleId="41">
    <w:name w:val="附录章标题"/>
    <w:next w:val="1"/>
    <w:autoRedefine/>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2">
    <w:name w:val="附录表标题"/>
    <w:next w:val="1"/>
    <w:autoRedefine/>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3">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4">
    <w:name w:val="high-light-bg4"/>
    <w:basedOn w:val="22"/>
    <w:autoRedefine/>
    <w:qFormat/>
    <w:uiPriority w:val="0"/>
  </w:style>
  <w:style w:type="character" w:customStyle="1" w:styleId="45">
    <w:name w:val="ordinary-span-edit2"/>
    <w:basedOn w:val="22"/>
    <w:autoRedefine/>
    <w:qFormat/>
    <w:uiPriority w:val="0"/>
  </w:style>
  <w:style w:type="character" w:customStyle="1" w:styleId="46">
    <w:name w:val="日期 Char"/>
    <w:basedOn w:val="22"/>
    <w:link w:val="10"/>
    <w:autoRedefine/>
    <w:semiHidden/>
    <w:qFormat/>
    <w:uiPriority w:val="99"/>
  </w:style>
  <w:style w:type="paragraph" w:customStyle="1" w:styleId="47">
    <w:name w:val="正文1"/>
    <w:autoRedefine/>
    <w:qFormat/>
    <w:uiPriority w:val="0"/>
    <w:pPr>
      <w:jc w:val="both"/>
    </w:pPr>
    <w:rPr>
      <w:rFonts w:ascii="Calibri" w:hAnsi="Calibri" w:eastAsia="宋体" w:cs="宋体"/>
      <w:kern w:val="2"/>
      <w:sz w:val="21"/>
      <w:szCs w:val="21"/>
      <w:lang w:val="en-US" w:eastAsia="zh-CN" w:bidi="ar-SA"/>
    </w:rPr>
  </w:style>
  <w:style w:type="character" w:customStyle="1" w:styleId="48">
    <w:name w:val="dash6b63_6587__char1"/>
    <w:autoRedefine/>
    <w:qFormat/>
    <w:uiPriority w:val="0"/>
    <w:rPr>
      <w:rFonts w:hint="default" w:ascii="Times New Roman" w:hAnsi="Times New Roman" w:cs="Times New Roman"/>
      <w:sz w:val="20"/>
      <w:szCs w:val="20"/>
      <w:u w:val="none"/>
    </w:rPr>
  </w:style>
  <w:style w:type="paragraph" w:customStyle="1" w:styleId="49">
    <w:name w:val="标准文件_前言、引言标题"/>
    <w:next w:val="1"/>
    <w:autoRedefine/>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0">
    <w:name w:val="章标题"/>
    <w:next w:val="51"/>
    <w:autoRedefine/>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1">
    <w:name w:val="段"/>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2">
    <w:name w:val="一级条标题"/>
    <w:next w:val="51"/>
    <w:autoRedefine/>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3">
    <w:name w:val="二级无"/>
    <w:basedOn w:val="54"/>
    <w:autoRedefine/>
    <w:qFormat/>
    <w:uiPriority w:val="0"/>
    <w:pPr>
      <w:spacing w:before="0" w:beforeLines="0" w:after="0" w:afterLines="0"/>
    </w:pPr>
    <w:rPr>
      <w:rFonts w:ascii="宋体" w:eastAsia="宋体"/>
    </w:rPr>
  </w:style>
  <w:style w:type="paragraph" w:customStyle="1" w:styleId="54">
    <w:name w:val="二级条标题"/>
    <w:basedOn w:val="52"/>
    <w:next w:val="51"/>
    <w:autoRedefine/>
    <w:qFormat/>
    <w:uiPriority w:val="0"/>
    <w:pPr>
      <w:numPr>
        <w:ilvl w:val="2"/>
        <w:numId w:val="2"/>
      </w:numPr>
      <w:spacing w:before="50" w:after="50"/>
      <w:outlineLvl w:val="3"/>
    </w:pPr>
  </w:style>
  <w:style w:type="paragraph" w:customStyle="1" w:styleId="55">
    <w:name w:val="字母编号列项（一级）"/>
    <w:autoRedefine/>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6">
    <w:name w:val="列项●（二级）"/>
    <w:autoRedefine/>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7">
    <w:name w:val="注：（正文）"/>
    <w:basedOn w:val="58"/>
    <w:next w:val="51"/>
    <w:autoRedefine/>
    <w:qFormat/>
    <w:uiPriority w:val="0"/>
  </w:style>
  <w:style w:type="paragraph" w:customStyle="1" w:styleId="58">
    <w:name w:val="注："/>
    <w:next w:val="51"/>
    <w:autoRedefine/>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59">
    <w:name w:val="附录标识"/>
    <w:basedOn w:val="1"/>
    <w:next w:val="51"/>
    <w:autoRedefine/>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0">
    <w:name w:val="正文表标题"/>
    <w:next w:val="51"/>
    <w:autoRedefine/>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1">
    <w:name w:val="Other|1"/>
    <w:basedOn w:val="1"/>
    <w:autoRedefine/>
    <w:qFormat/>
    <w:uiPriority w:val="0"/>
    <w:rPr>
      <w:rFonts w:ascii="宋体" w:hAnsi="宋体" w:cs="宋体"/>
      <w:sz w:val="19"/>
      <w:szCs w:val="19"/>
      <w:lang w:val="zh-CN" w:bidi="zh-CN"/>
    </w:rPr>
  </w:style>
  <w:style w:type="paragraph" w:customStyle="1" w:styleId="62">
    <w:name w:val="终结线"/>
    <w:basedOn w:val="1"/>
    <w:autoRedefine/>
    <w:qFormat/>
    <w:uiPriority w:val="0"/>
    <w:pPr>
      <w:framePr w:hSpace="181" w:vSpace="181" w:wrap="around" w:vAnchor="text" w:hAnchor="margin" w:xAlign="center" w:y="285"/>
    </w:pPr>
  </w:style>
  <w:style w:type="paragraph" w:customStyle="1" w:styleId="63">
    <w:name w:val="标准文件_术语条一"/>
    <w:basedOn w:val="64"/>
    <w:next w:val="67"/>
    <w:autoRedefine/>
    <w:qFormat/>
    <w:uiPriority w:val="0"/>
  </w:style>
  <w:style w:type="paragraph" w:customStyle="1" w:styleId="64">
    <w:name w:val="标准文件_一级无标题"/>
    <w:basedOn w:val="65"/>
    <w:autoRedefine/>
    <w:qFormat/>
    <w:uiPriority w:val="0"/>
    <w:pPr>
      <w:spacing w:before="0" w:beforeLines="0" w:after="0" w:afterLines="0"/>
      <w:outlineLvl w:val="9"/>
    </w:pPr>
    <w:rPr>
      <w:rFonts w:ascii="宋体" w:eastAsia="宋体"/>
    </w:rPr>
  </w:style>
  <w:style w:type="paragraph" w:customStyle="1" w:styleId="65">
    <w:name w:val="标准文件_一级条标题"/>
    <w:basedOn w:val="66"/>
    <w:next w:val="67"/>
    <w:autoRedefine/>
    <w:qFormat/>
    <w:uiPriority w:val="0"/>
    <w:pPr>
      <w:numPr>
        <w:ilvl w:val="2"/>
      </w:numPr>
      <w:spacing w:before="50" w:beforeLines="50" w:after="50" w:afterLines="50"/>
      <w:outlineLvl w:val="1"/>
    </w:pPr>
  </w:style>
  <w:style w:type="paragraph" w:customStyle="1" w:styleId="66">
    <w:name w:val="标准文件_章标题"/>
    <w:next w:val="67"/>
    <w:autoRedefine/>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7">
    <w:name w:val="标准文件_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8">
    <w:name w:val="标准文件_二级无标题"/>
    <w:basedOn w:val="69"/>
    <w:autoRedefine/>
    <w:qFormat/>
    <w:uiPriority w:val="0"/>
    <w:pPr>
      <w:spacing w:before="0" w:beforeLines="0" w:after="0" w:afterLines="0"/>
      <w:outlineLvl w:val="9"/>
    </w:pPr>
    <w:rPr>
      <w:rFonts w:ascii="宋体" w:eastAsia="宋体"/>
    </w:rPr>
  </w:style>
  <w:style w:type="paragraph" w:customStyle="1" w:styleId="69">
    <w:name w:val="标准文件_二级条标题"/>
    <w:next w:val="67"/>
    <w:autoRedefine/>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0">
    <w:name w:val="标准文件_页脚奇数页"/>
    <w:autoRedefine/>
    <w:qFormat/>
    <w:uiPriority w:val="0"/>
    <w:pPr>
      <w:ind w:right="227"/>
      <w:jc w:val="right"/>
    </w:pPr>
    <w:rPr>
      <w:rFonts w:ascii="宋体" w:hAnsi="Times New Roman" w:eastAsia="宋体" w:cs="Times New Roman"/>
      <w:sz w:val="18"/>
      <w:lang w:val="en-US" w:eastAsia="zh-CN" w:bidi="ar-SA"/>
    </w:rPr>
  </w:style>
  <w:style w:type="paragraph" w:customStyle="1" w:styleId="71">
    <w:name w:val="标准文件_页脚偶数页"/>
    <w:autoRedefine/>
    <w:qFormat/>
    <w:uiPriority w:val="0"/>
    <w:pPr>
      <w:ind w:left="198"/>
    </w:pPr>
    <w:rPr>
      <w:rFonts w:ascii="宋体" w:hAnsi="Times New Roman" w:eastAsia="宋体" w:cs="Times New Roman"/>
      <w:sz w:val="18"/>
      <w:lang w:val="en-US" w:eastAsia="zh-CN" w:bidi="ar-SA"/>
    </w:rPr>
  </w:style>
  <w:style w:type="paragraph" w:customStyle="1" w:styleId="72">
    <w:name w:val="说明文字"/>
    <w:basedOn w:val="1"/>
    <w:autoRedefine/>
    <w:qFormat/>
    <w:uiPriority w:val="0"/>
    <w:pPr>
      <w:ind w:firstLine="0" w:firstLineChars="0"/>
    </w:pPr>
    <w:rPr>
      <w:sz w:val="21"/>
    </w:rPr>
  </w:style>
  <w:style w:type="paragraph" w:customStyle="1" w:styleId="73">
    <w:name w:val="标准文件_附录一级条标题"/>
    <w:next w:val="67"/>
    <w:autoRedefine/>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4">
    <w:name w:val="标准文件_附录图标题"/>
    <w:next w:val="67"/>
    <w:autoRedefine/>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5">
    <w:name w:val="标准文件_参考文献标题"/>
    <w:basedOn w:val="1"/>
    <w:next w:val="1"/>
    <w:autoRedefine/>
    <w:qFormat/>
    <w:uiPriority w:val="0"/>
    <w:pPr>
      <w:widowControl/>
      <w:shd w:val="clear" w:color="FFFFFF" w:fill="FFFFFF"/>
      <w:spacing w:before="580" w:after="50" w:afterLines="50"/>
      <w:jc w:val="center"/>
      <w:outlineLvl w:val="0"/>
    </w:pPr>
    <w:rPr>
      <w:rFonts w:ascii="黑体" w:eastAsia="黑体"/>
      <w:kern w:val="0"/>
    </w:rPr>
  </w:style>
  <w:style w:type="paragraph" w:customStyle="1" w:styleId="76">
    <w:name w:val="标准文件_正文标准名称"/>
    <w:autoRedefine/>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77">
    <w:name w:val="标准文件_正文图标题"/>
    <w:next w:val="67"/>
    <w:autoRedefine/>
    <w:qFormat/>
    <w:uiPriority w:val="0"/>
    <w:pPr>
      <w:numPr>
        <w:ilvl w:val="0"/>
        <w:numId w:val="10"/>
      </w:numPr>
      <w:spacing w:before="50" w:beforeLines="50" w:after="50" w:afterLines="50"/>
      <w:jc w:val="center"/>
    </w:pPr>
    <w:rPr>
      <w:rFonts w:ascii="黑体" w:hAnsi="Times New Roman" w:eastAsia="黑体" w:cs="Times New Roman"/>
      <w:sz w:val="21"/>
      <w:lang w:val="en-US" w:eastAsia="zh-CN" w:bidi="ar-SA"/>
    </w:rPr>
  </w:style>
  <w:style w:type="paragraph" w:customStyle="1" w:styleId="78">
    <w:name w:val="标准文件_字母编号列项（一级）"/>
    <w:autoRedefine/>
    <w:qFormat/>
    <w:uiPriority w:val="0"/>
    <w:pPr>
      <w:numPr>
        <w:ilvl w:val="0"/>
        <w:numId w:val="11"/>
      </w:numPr>
      <w:jc w:val="both"/>
    </w:pPr>
    <w:rPr>
      <w:rFonts w:ascii="宋体" w:hAnsi="Times New Roman" w:eastAsia="宋体" w:cs="Times New Roman"/>
      <w:sz w:val="21"/>
      <w:lang w:val="en-US" w:eastAsia="zh-CN" w:bidi="ar-SA"/>
    </w:rPr>
  </w:style>
  <w:style w:type="paragraph" w:customStyle="1" w:styleId="79">
    <w:name w:val="标准文件_三级无标题"/>
    <w:basedOn w:val="80"/>
    <w:autoRedefine/>
    <w:qFormat/>
    <w:uiPriority w:val="0"/>
    <w:pPr>
      <w:spacing w:before="0" w:beforeLines="0" w:after="0" w:afterLines="0"/>
      <w:outlineLvl w:val="9"/>
    </w:pPr>
    <w:rPr>
      <w:rFonts w:ascii="宋体" w:eastAsia="宋体"/>
    </w:rPr>
  </w:style>
  <w:style w:type="paragraph" w:customStyle="1" w:styleId="80">
    <w:name w:val="标准文件_三级条标题"/>
    <w:basedOn w:val="69"/>
    <w:next w:val="67"/>
    <w:autoRedefine/>
    <w:qFormat/>
    <w:uiPriority w:val="0"/>
    <w:pPr>
      <w:widowControl/>
      <w:numPr>
        <w:ilvl w:val="4"/>
      </w:numPr>
      <w:outlineLvl w:val="3"/>
    </w:pPr>
  </w:style>
  <w:style w:type="paragraph" w:customStyle="1" w:styleId="81">
    <w:name w:val="标准文件_附录图标号"/>
    <w:basedOn w:val="67"/>
    <w:next w:val="67"/>
    <w:autoRedefine/>
    <w:qFormat/>
    <w:uiPriority w:val="0"/>
    <w:pPr>
      <w:numPr>
        <w:ilvl w:val="0"/>
        <w:numId w:val="9"/>
      </w:numPr>
      <w:spacing w:line="14" w:lineRule="exact"/>
      <w:ind w:firstLine="0" w:firstLineChars="0"/>
      <w:jc w:val="center"/>
    </w:pPr>
    <w:rPr>
      <w:rFonts w:ascii="黑体" w:hAnsi="黑体" w:eastAsia="黑体"/>
      <w:vanish/>
      <w:sz w:val="2"/>
      <w:szCs w:val="21"/>
    </w:rPr>
  </w:style>
  <w:style w:type="paragraph" w:customStyle="1" w:styleId="82">
    <w:name w:val="标准文件_附录表标号"/>
    <w:basedOn w:val="67"/>
    <w:next w:val="67"/>
    <w:autoRedefine/>
    <w:qFormat/>
    <w:uiPriority w:val="0"/>
    <w:pPr>
      <w:numPr>
        <w:ilvl w:val="0"/>
        <w:numId w:val="12"/>
      </w:numPr>
      <w:spacing w:line="14" w:lineRule="exact"/>
      <w:ind w:firstLine="0" w:firstLineChars="0"/>
      <w:jc w:val="center"/>
    </w:pPr>
    <w:rPr>
      <w:rFonts w:eastAsia="黑体"/>
      <w:vanish/>
      <w:sz w:val="2"/>
    </w:rPr>
  </w:style>
  <w:style w:type="paragraph" w:customStyle="1" w:styleId="83">
    <w:name w:val="标准文件_附录标识"/>
    <w:next w:val="67"/>
    <w:autoRedefine/>
    <w:qFormat/>
    <w:uiPriority w:val="0"/>
    <w:pPr>
      <w:numPr>
        <w:ilvl w:val="0"/>
        <w:numId w:val="6"/>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4">
    <w:name w:val="标准文件_附录表标题"/>
    <w:next w:val="67"/>
    <w:autoRedefine/>
    <w:qFormat/>
    <w:uiPriority w:val="0"/>
    <w:pPr>
      <w:numPr>
        <w:ilvl w:val="1"/>
        <w:numId w:val="12"/>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5">
    <w:name w:val="标准文件_表格"/>
    <w:basedOn w:val="67"/>
    <w:autoRedefine/>
    <w:qFormat/>
    <w:uiPriority w:val="0"/>
    <w:pPr>
      <w:ind w:firstLine="0" w:firstLineChars="0"/>
      <w:jc w:val="center"/>
    </w:pPr>
    <w:rPr>
      <w:sz w:val="18"/>
    </w:rPr>
  </w:style>
  <w:style w:type="paragraph" w:customStyle="1" w:styleId="86">
    <w:name w:val="标准文件_注×："/>
    <w:autoRedefine/>
    <w:qFormat/>
    <w:uiPriority w:val="0"/>
    <w:pPr>
      <w:widowControl w:val="0"/>
      <w:numPr>
        <w:ilvl w:val="0"/>
        <w:numId w:val="13"/>
      </w:numPr>
      <w:autoSpaceDE w:val="0"/>
      <w:autoSpaceDN w:val="0"/>
      <w:jc w:val="both"/>
    </w:pPr>
    <w:rPr>
      <w:rFonts w:ascii="宋体" w:hAnsi="Times New Roman" w:eastAsia="宋体" w:cs="Times New Roman"/>
      <w:sz w:val="18"/>
      <w:szCs w:val="18"/>
      <w:lang w:val="en-US" w:eastAsia="zh-CN" w:bidi="ar-SA"/>
    </w:rPr>
  </w:style>
  <w:style w:type="paragraph" w:customStyle="1" w:styleId="87">
    <w:name w:val="标准文件_页眉奇数页"/>
    <w:next w:val="1"/>
    <w:autoRedefine/>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88">
    <w:name w:val="标准文件_页眉偶数页"/>
    <w:basedOn w:val="87"/>
    <w:next w:val="1"/>
    <w:autoRedefine/>
    <w:qFormat/>
    <w:uiPriority w:val="0"/>
    <w:pPr>
      <w:jc w:val="left"/>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6" Type="http://schemas.openxmlformats.org/officeDocument/2006/relationships/glossaryDocument" Target="glossary/document.xml"/><Relationship Id="rId35" Type="http://schemas.openxmlformats.org/officeDocument/2006/relationships/fontTable" Target="fontTable.xml"/><Relationship Id="rId34" Type="http://schemas.openxmlformats.org/officeDocument/2006/relationships/customXml" Target="../customXml/item2.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2.jpeg"/><Relationship Id="rId30" Type="http://schemas.openxmlformats.org/officeDocument/2006/relationships/image" Target="media/image1.jpeg"/><Relationship Id="rId3" Type="http://schemas.openxmlformats.org/officeDocument/2006/relationships/header" Target="header1.xml"/><Relationship Id="rId29" Type="http://schemas.openxmlformats.org/officeDocument/2006/relationships/theme" Target="theme/theme1.xml"/><Relationship Id="rId28" Type="http://schemas.openxmlformats.org/officeDocument/2006/relationships/footer" Target="footer14.xml"/><Relationship Id="rId27" Type="http://schemas.openxmlformats.org/officeDocument/2006/relationships/footer" Target="footer13.xml"/><Relationship Id="rId26" Type="http://schemas.openxmlformats.org/officeDocument/2006/relationships/header" Target="header12.xml"/><Relationship Id="rId25" Type="http://schemas.openxmlformats.org/officeDocument/2006/relationships/header" Target="header1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0d4f604-0288-4f6c-aca1-b90e4c78c133}"/>
        <w:style w:val=""/>
        <w:category>
          <w:name w:val="常规"/>
          <w:gallery w:val="placeholder"/>
        </w:category>
        <w:types>
          <w:type w:val="bbPlcHdr"/>
        </w:types>
        <w:behaviors>
          <w:behavior w:val="content"/>
        </w:behaviors>
        <w:description w:val=""/>
        <w:guid w:val="{30d4f604-0288-4f6c-aca1-b90e4c78c133}"/>
      </w:docPartPr>
      <w:docPartBody>
        <w:p>
          <w:pPr>
            <w:pStyle w:val="2"/>
          </w:pPr>
          <w:r>
            <w:rPr>
              <w:rStyle w:val="3"/>
              <w:rFonts w:hint="eastAsia"/>
            </w:rPr>
            <w:t>单击或点击此处输入文字。</w:t>
          </w:r>
        </w:p>
      </w:docPartBody>
    </w:docPart>
    <w:docPart>
      <w:docPartPr>
        <w:name w:val="{d82edbb5-e4fa-4c6c-bf70-3009745b1508}"/>
        <w:style w:val=""/>
        <w:category>
          <w:name w:val="常规"/>
          <w:gallery w:val="placeholder"/>
        </w:category>
        <w:types>
          <w:type w:val="bbPlcHdr"/>
        </w:types>
        <w:behaviors>
          <w:behavior w:val="content"/>
        </w:behaviors>
        <w:description w:val=""/>
        <w:guid w:val="{d82edbb5-e4fa-4c6c-bf70-3009745b1508}"/>
      </w:docPartPr>
      <w:docPartBody>
        <w:p>
          <w:pPr>
            <w:pStyle w:val="4"/>
          </w:pPr>
          <w:r>
            <w:rPr>
              <w:rStyle w:val="3"/>
              <w:rFonts w:hint="eastAsia"/>
            </w:rPr>
            <w:t>选择一项。</w:t>
          </w:r>
        </w:p>
      </w:docPartBody>
    </w:docPart>
    <w:docPart>
      <w:docPartPr>
        <w:name w:val="{c8508fa5-a9b4-4f06-9d21-21563784df95}"/>
        <w:style w:val=""/>
        <w:category>
          <w:name w:val="常规"/>
          <w:gallery w:val="placeholder"/>
        </w:category>
        <w:types>
          <w:type w:val="bbPlcHdr"/>
        </w:types>
        <w:behaviors>
          <w:behavior w:val="content"/>
        </w:behaviors>
        <w:description w:val=""/>
        <w:guid w:val="{c8508fa5-a9b4-4f06-9d21-21563784df95}"/>
      </w:docPartPr>
      <w:docPartBody>
        <w:p>
          <w:pPr>
            <w:pStyle w:val="5"/>
          </w:pPr>
          <w:r>
            <w:rPr>
              <w:rStyle w:val="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autoRedefine/>
    <w:semiHidden/>
    <w:unhideWhenUsed/>
    <w:qFormat/>
    <w:uiPriority w:val="1"/>
  </w:style>
  <w:style w:type="paragraph" w:customStyle="1" w:styleId="2">
    <w:name w:val="6BFA6E86C6BD435FABDD432E9C0F0CDC"/>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styleId="3">
    <w:name w:val="Placeholder Text"/>
    <w:basedOn w:val="1"/>
    <w:autoRedefine/>
    <w:semiHidden/>
    <w:qFormat/>
    <w:uiPriority w:val="99"/>
    <w:rPr>
      <w:color w:val="808080"/>
    </w:rPr>
  </w:style>
  <w:style w:type="paragraph" w:customStyle="1" w:styleId="4">
    <w:name w:val="AFA223CD53024E6498BFD4C8677077AC"/>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5">
    <w:name w:val="828C828B215745D299B8FFD286087695"/>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3B264C-F4AB-4750-B0F2-36A656C9AE92}">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17</Pages>
  <Words>1361</Words>
  <Characters>1611</Characters>
  <Lines>78</Lines>
  <Paragraphs>22</Paragraphs>
  <TotalTime>0</TotalTime>
  <ScaleCrop>false</ScaleCrop>
  <LinksUpToDate>false</LinksUpToDate>
  <CharactersWithSpaces>1892</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2022-12-21T07:00:00Z</dcterms:created>
  <dc:creator>wy</dc:creator>
  <cp:lastModifiedBy>TZ</cp:lastModifiedBy>
  <cp:lastPrinted>2022-09-06T01:26:00Z</cp:lastPrinted>
  <dcterms:modified xsi:type="dcterms:W3CDTF">2024-04-19T04:00:12Z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C3F71C0B89744455B4B0C2C9441F246E_13</vt:lpwstr>
  </property>
</Properties>
</file>