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0288;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2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100</w:t>
      </w:r>
      <w:r>
        <w:rPr>
          <w:rFonts w:ascii="黑体" w:hAnsi="黑体" w:eastAsia="黑体" w:cs="Times New Roman"/>
        </w:rPr>
        <w:t>.</w:t>
      </w:r>
      <w:r>
        <w:rPr>
          <w:rFonts w:hint="eastAsia" w:ascii="黑体" w:hAnsi="黑体" w:eastAsia="黑体" w:cs="Times New Roman"/>
          <w:lang w:val="en-US" w:eastAsia="zh-CN"/>
        </w:rPr>
        <w:t>01</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w:t>
      </w:r>
      <w:r>
        <w:rPr>
          <w:rFonts w:ascii="黑体" w:hAnsi="黑体" w:eastAsia="黑体" w:cs="Times New Roman"/>
        </w:rPr>
        <w:t xml:space="preserve"> </w:t>
      </w:r>
      <w:r>
        <w:rPr>
          <w:rFonts w:hint="eastAsia" w:ascii="黑体" w:hAnsi="黑体" w:eastAsia="黑体" w:cs="Times New Roman"/>
          <w:lang w:val="en-US" w:eastAsia="zh-CN"/>
        </w:rPr>
        <w:t>00</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3360;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4384" behindDoc="0" locked="0" layoutInCell="1" allowOverlap="1">
                <wp:simplePos x="0" y="0"/>
                <wp:positionH relativeFrom="rightMargin">
                  <wp:posOffset>-1706880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8.35pt;margin-top:176.25pt;height:24pt;width:151.75pt;mso-position-horizontal-relative:page;mso-position-vertical-relative:page;z-index:251664384;mso-width-relative:page;mso-height-relative:page;" filled="f" stroked="f" coordsize="21600,21600" o:gfxdata="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P70ODr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1312;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职业教育产业学院建设与运行规范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Construction and operation specification of vocational education industrial college</w:t>
                            </w:r>
                          </w:p>
                          <w:p>
                            <w:pPr>
                              <w:jc w:val="center"/>
                              <w:rPr>
                                <w:rFonts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2336;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职业教育产业学院建设与运行规范</w:t>
                      </w:r>
                    </w:p>
                    <w:p>
                      <w:pPr>
                        <w:jc w:val="center"/>
                        <w:rPr>
                          <w:rStyle w:val="44"/>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Construction and operation specification of vocational education industrial college</w:t>
                      </w:r>
                    </w:p>
                    <w:p>
                      <w:pPr>
                        <w:jc w:val="center"/>
                        <w:rPr>
                          <w:rFonts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8"/>
      </w:pPr>
    </w:p>
    <w:p>
      <w:pPr>
        <w:pStyle w:val="8"/>
      </w:pPr>
    </w:p>
    <w:p>
      <w:pPr>
        <w:pStyle w:val="8"/>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5408"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5408;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2024</w:t>
      </w:r>
      <w:r>
        <w:rPr>
          <w:rFonts w:hint="eastAsia" w:ascii="黑体" w:hAnsi="黑体" w:eastAsia="黑体"/>
          <w:sz w:val="28"/>
          <w:szCs w:val="28"/>
        </w:rPr>
        <w:t xml:space="preserve">-XX-XX发布                                       </w:t>
      </w:r>
      <w:r>
        <w:rPr>
          <w:rFonts w:hint="eastAsia" w:ascii="黑体" w:hAnsi="黑体" w:eastAsia="黑体"/>
          <w:sz w:val="28"/>
          <w:szCs w:val="28"/>
          <w:lang w:val="en-US" w:eastAsia="zh-CN"/>
        </w:rPr>
        <w:t>2024</w:t>
      </w:r>
      <w:r>
        <w:rPr>
          <w:rFonts w:hint="eastAsia" w:ascii="黑体" w:hAnsi="黑体" w:eastAsia="黑体"/>
          <w:sz w:val="28"/>
          <w:szCs w:val="28"/>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8"/>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_Toc20694 </w:instrText>
      </w:r>
      <w:r>
        <w:rPr>
          <w:rFonts w:hint="eastAsia" w:ascii="宋体" w:hAnsi="宋体" w:eastAsia="宋体" w:cs="宋体"/>
          <w:szCs w:val="21"/>
        </w:rP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_Toc20694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_Toc27867 </w:instrText>
      </w:r>
      <w:r>
        <w:rPr>
          <w:rFonts w:hint="eastAsia" w:ascii="宋体" w:hAnsi="宋体" w:eastAsia="宋体" w:cs="宋体"/>
          <w:szCs w:val="21"/>
        </w:rPr>
        <w:fldChar w:fldCharType="separate"/>
      </w:r>
      <w:r>
        <w:rPr>
          <w:rFonts w:hint="eastAsia" w:ascii="宋体" w:hAnsi="宋体" w:eastAsia="宋体" w:cs="宋体"/>
          <w:szCs w:val="21"/>
        </w:rPr>
        <w:t>引言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_Toc27867 \h </w:instrText>
      </w:r>
      <w:r>
        <w:rPr>
          <w:rFonts w:hint="eastAsia" w:ascii="宋体" w:hAnsi="宋体" w:eastAsia="宋体" w:cs="宋体"/>
          <w:szCs w:val="21"/>
        </w:rPr>
        <w:fldChar w:fldCharType="separate"/>
      </w:r>
      <w:r>
        <w:rPr>
          <w:rFonts w:hint="eastAsia" w:ascii="宋体" w:hAnsi="宋体" w:eastAsia="宋体" w:cs="宋体"/>
          <w:szCs w:val="21"/>
        </w:rPr>
        <w:t>III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_Toc24801 </w:instrText>
      </w:r>
      <w:r>
        <w:rPr>
          <w:rFonts w:hint="eastAsia" w:ascii="宋体" w:hAnsi="宋体" w:eastAsia="宋体" w:cs="宋体"/>
          <w:szCs w:val="21"/>
        </w:rPr>
        <w:fldChar w:fldCharType="separate"/>
      </w:r>
      <w:r>
        <w:rPr>
          <w:rFonts w:hint="eastAsia" w:ascii="宋体" w:hAnsi="宋体" w:eastAsia="宋体" w:cs="宋体"/>
          <w:szCs w:val="21"/>
        </w:rPr>
        <w:t xml:space="preserve">1 </w:t>
      </w:r>
      <w:r>
        <w:rPr>
          <w:rFonts w:hint="eastAsia" w:ascii="宋体" w:hAnsi="宋体" w:eastAsia="宋体" w:cs="宋体"/>
          <w:szCs w:val="21"/>
          <w:lang w:val="en-US" w:eastAsia="zh-CN"/>
        </w:rPr>
        <w:t xml:space="preserve"> </w:t>
      </w:r>
      <w:r>
        <w:rPr>
          <w:rFonts w:hint="eastAsia" w:ascii="宋体" w:hAnsi="宋体" w:eastAsia="宋体" w:cs="宋体"/>
          <w:szCs w:val="21"/>
        </w:rPr>
        <w:t>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_Toc24801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_Toc31933 </w:instrText>
      </w:r>
      <w:r>
        <w:rPr>
          <w:rFonts w:hint="eastAsia" w:ascii="宋体" w:hAnsi="宋体" w:eastAsia="宋体" w:cs="宋体"/>
          <w:szCs w:val="21"/>
        </w:rPr>
        <w:fldChar w:fldCharType="separate"/>
      </w:r>
      <w:r>
        <w:rPr>
          <w:rFonts w:hint="eastAsia" w:ascii="宋体" w:hAnsi="宋体" w:eastAsia="宋体" w:cs="宋体"/>
          <w:szCs w:val="21"/>
        </w:rPr>
        <w:t xml:space="preserve">2 </w:t>
      </w:r>
      <w:r>
        <w:rPr>
          <w:rFonts w:hint="eastAsia" w:ascii="宋体" w:hAnsi="宋体" w:eastAsia="宋体" w:cs="宋体"/>
          <w:szCs w:val="21"/>
          <w:lang w:val="en-US" w:eastAsia="zh-CN"/>
        </w:rPr>
        <w:t xml:space="preserve"> </w:t>
      </w:r>
      <w:r>
        <w:rPr>
          <w:rFonts w:hint="eastAsia" w:ascii="宋体" w:hAnsi="宋体" w:eastAsia="宋体" w:cs="宋体"/>
          <w:szCs w:val="21"/>
        </w:rPr>
        <w:t>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_Toc31933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_Toc4304 </w:instrText>
      </w:r>
      <w:r>
        <w:rPr>
          <w:rFonts w:hint="eastAsia" w:ascii="宋体" w:hAnsi="宋体" w:eastAsia="宋体" w:cs="宋体"/>
          <w:szCs w:val="21"/>
        </w:rPr>
        <w:fldChar w:fldCharType="separate"/>
      </w:r>
      <w:r>
        <w:rPr>
          <w:rFonts w:hint="eastAsia" w:ascii="宋体" w:hAnsi="宋体" w:eastAsia="宋体" w:cs="宋体"/>
          <w:szCs w:val="21"/>
        </w:rPr>
        <w:t xml:space="preserve">3 </w:t>
      </w:r>
      <w:r>
        <w:rPr>
          <w:rFonts w:hint="eastAsia" w:ascii="宋体" w:hAnsi="宋体" w:eastAsia="宋体" w:cs="宋体"/>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_Toc4304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_Toc8040 </w:instrText>
      </w:r>
      <w:r>
        <w:rPr>
          <w:rFonts w:hint="eastAsia" w:ascii="宋体" w:hAnsi="宋体" w:eastAsia="宋体" w:cs="宋体"/>
          <w:szCs w:val="21"/>
        </w:rPr>
        <w:fldChar w:fldCharType="separate"/>
      </w:r>
      <w:r>
        <w:rPr>
          <w:rFonts w:hint="eastAsia" w:ascii="宋体" w:hAnsi="宋体" w:eastAsia="宋体" w:cs="宋体"/>
          <w:szCs w:val="21"/>
        </w:rPr>
        <w:t xml:space="preserve">4 </w:t>
      </w:r>
      <w:r>
        <w:rPr>
          <w:rFonts w:hint="eastAsia" w:ascii="宋体" w:hAnsi="宋体" w:eastAsia="宋体" w:cs="宋体"/>
          <w:szCs w:val="21"/>
          <w:lang w:val="en-US" w:eastAsia="zh-CN"/>
        </w:rPr>
        <w:t xml:space="preserve"> </w:t>
      </w:r>
      <w:r>
        <w:rPr>
          <w:rFonts w:hint="eastAsia" w:ascii="宋体" w:hAnsi="宋体" w:eastAsia="宋体" w:cs="宋体"/>
          <w:szCs w:val="21"/>
        </w:rPr>
        <w:t>总体原则</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_Toc8040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_Toc825 </w:instrText>
      </w:r>
      <w:r>
        <w:rPr>
          <w:rFonts w:hint="eastAsia" w:ascii="宋体" w:hAnsi="宋体" w:eastAsia="宋体" w:cs="宋体"/>
          <w:szCs w:val="21"/>
        </w:rPr>
        <w:fldChar w:fldCharType="separate"/>
      </w:r>
      <w:r>
        <w:rPr>
          <w:rFonts w:hint="eastAsia" w:ascii="宋体" w:hAnsi="宋体" w:eastAsia="宋体" w:cs="宋体"/>
          <w:szCs w:val="21"/>
        </w:rPr>
        <w:t xml:space="preserve">4.1 </w:t>
      </w:r>
      <w:r>
        <w:rPr>
          <w:rFonts w:hint="eastAsia" w:ascii="宋体" w:hAnsi="宋体" w:eastAsia="宋体" w:cs="宋体"/>
          <w:szCs w:val="21"/>
          <w:lang w:val="en-US" w:eastAsia="zh-CN"/>
        </w:rPr>
        <w:t xml:space="preserve"> </w:t>
      </w:r>
      <w:r>
        <w:rPr>
          <w:rFonts w:hint="eastAsia" w:ascii="宋体" w:hAnsi="宋体" w:eastAsia="宋体" w:cs="宋体"/>
          <w:szCs w:val="21"/>
        </w:rPr>
        <w:t>产业导向</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_Toc825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_Toc11801 </w:instrText>
      </w:r>
      <w:r>
        <w:rPr>
          <w:rFonts w:hint="eastAsia" w:ascii="宋体" w:hAnsi="宋体" w:eastAsia="宋体" w:cs="宋体"/>
          <w:szCs w:val="21"/>
        </w:rPr>
        <w:fldChar w:fldCharType="separate"/>
      </w:r>
      <w:r>
        <w:rPr>
          <w:rFonts w:hint="eastAsia" w:ascii="宋体" w:hAnsi="宋体" w:eastAsia="宋体" w:cs="宋体"/>
          <w:szCs w:val="21"/>
        </w:rPr>
        <w:t xml:space="preserve">4.2 </w:t>
      </w:r>
      <w:r>
        <w:rPr>
          <w:rFonts w:hint="eastAsia" w:ascii="宋体" w:hAnsi="宋体" w:eastAsia="宋体" w:cs="宋体"/>
          <w:szCs w:val="21"/>
          <w:lang w:val="en-US" w:eastAsia="zh-CN"/>
        </w:rPr>
        <w:t xml:space="preserve"> </w:t>
      </w:r>
      <w:r>
        <w:rPr>
          <w:rFonts w:hint="eastAsia" w:ascii="宋体" w:hAnsi="宋体" w:eastAsia="宋体" w:cs="宋体"/>
          <w:szCs w:val="21"/>
        </w:rPr>
        <w:t>人才培养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_Toc11801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_Toc24684 </w:instrText>
      </w:r>
      <w:r>
        <w:rPr>
          <w:rFonts w:hint="eastAsia" w:ascii="宋体" w:hAnsi="宋体" w:eastAsia="宋体" w:cs="宋体"/>
          <w:szCs w:val="21"/>
        </w:rPr>
        <w:fldChar w:fldCharType="separate"/>
      </w:r>
      <w:r>
        <w:rPr>
          <w:rFonts w:hint="eastAsia" w:ascii="宋体" w:hAnsi="宋体" w:eastAsia="宋体" w:cs="宋体"/>
          <w:szCs w:val="21"/>
        </w:rPr>
        <w:t xml:space="preserve">4.3 </w:t>
      </w:r>
      <w:r>
        <w:rPr>
          <w:rFonts w:hint="eastAsia" w:ascii="宋体" w:hAnsi="宋体" w:eastAsia="宋体" w:cs="宋体"/>
          <w:szCs w:val="21"/>
          <w:lang w:val="en-US" w:eastAsia="zh-CN"/>
        </w:rPr>
        <w:t xml:space="preserve"> </w:t>
      </w:r>
      <w:r>
        <w:rPr>
          <w:rFonts w:hint="eastAsia" w:ascii="宋体" w:hAnsi="宋体" w:eastAsia="宋体" w:cs="宋体"/>
          <w:szCs w:val="21"/>
        </w:rPr>
        <w:t>技术创新</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_Toc24684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_Toc20174 </w:instrText>
      </w:r>
      <w:r>
        <w:rPr>
          <w:rFonts w:hint="eastAsia" w:ascii="宋体" w:hAnsi="宋体" w:eastAsia="宋体" w:cs="宋体"/>
          <w:szCs w:val="21"/>
        </w:rPr>
        <w:fldChar w:fldCharType="separate"/>
      </w:r>
      <w:r>
        <w:rPr>
          <w:rFonts w:hint="eastAsia" w:ascii="宋体" w:hAnsi="宋体" w:eastAsia="宋体" w:cs="宋体"/>
          <w:szCs w:val="21"/>
        </w:rPr>
        <w:t xml:space="preserve">4.4 </w:t>
      </w:r>
      <w:r>
        <w:rPr>
          <w:rFonts w:hint="eastAsia" w:ascii="宋体" w:hAnsi="宋体" w:eastAsia="宋体" w:cs="宋体"/>
          <w:szCs w:val="21"/>
          <w:lang w:val="en-US" w:eastAsia="zh-CN"/>
        </w:rPr>
        <w:t xml:space="preserve"> </w:t>
      </w:r>
      <w:r>
        <w:rPr>
          <w:rFonts w:hint="eastAsia" w:ascii="宋体" w:hAnsi="宋体" w:eastAsia="宋体" w:cs="宋体"/>
          <w:szCs w:val="21"/>
        </w:rPr>
        <w:t>产教融合</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_Toc20174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_Toc22793 </w:instrText>
      </w:r>
      <w:r>
        <w:rPr>
          <w:rFonts w:hint="eastAsia" w:ascii="宋体" w:hAnsi="宋体" w:eastAsia="宋体" w:cs="宋体"/>
          <w:szCs w:val="21"/>
        </w:rPr>
        <w:fldChar w:fldCharType="separate"/>
      </w:r>
      <w:r>
        <w:rPr>
          <w:rFonts w:hint="eastAsia" w:ascii="宋体" w:hAnsi="宋体" w:eastAsia="宋体" w:cs="宋体"/>
          <w:szCs w:val="21"/>
        </w:rPr>
        <w:t xml:space="preserve">5 </w:t>
      </w:r>
      <w:r>
        <w:rPr>
          <w:rFonts w:hint="eastAsia" w:ascii="宋体" w:hAnsi="宋体" w:eastAsia="宋体" w:cs="宋体"/>
          <w:szCs w:val="21"/>
          <w:lang w:val="en-US" w:eastAsia="zh-CN"/>
        </w:rPr>
        <w:t xml:space="preserve"> </w:t>
      </w:r>
      <w:r>
        <w:rPr>
          <w:rFonts w:hint="eastAsia" w:ascii="宋体" w:hAnsi="宋体" w:eastAsia="宋体" w:cs="宋体"/>
          <w:szCs w:val="21"/>
        </w:rPr>
        <w:t>建设要求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_Toc22793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_Toc18919 </w:instrText>
      </w:r>
      <w:r>
        <w:rPr>
          <w:rFonts w:hint="eastAsia" w:ascii="宋体" w:hAnsi="宋体" w:eastAsia="宋体" w:cs="宋体"/>
          <w:szCs w:val="21"/>
        </w:rPr>
        <w:fldChar w:fldCharType="separate"/>
      </w:r>
      <w:r>
        <w:rPr>
          <w:rFonts w:hint="eastAsia" w:ascii="宋体" w:hAnsi="宋体" w:eastAsia="宋体" w:cs="宋体"/>
          <w:szCs w:val="21"/>
        </w:rPr>
        <w:t xml:space="preserve">5.1 </w:t>
      </w:r>
      <w:r>
        <w:rPr>
          <w:rFonts w:hint="eastAsia" w:ascii="宋体" w:hAnsi="宋体" w:eastAsia="宋体" w:cs="宋体"/>
          <w:szCs w:val="21"/>
          <w:lang w:val="en-US" w:eastAsia="zh-CN"/>
        </w:rPr>
        <w:t xml:space="preserve"> </w:t>
      </w:r>
      <w:r>
        <w:rPr>
          <w:rFonts w:hint="eastAsia" w:ascii="宋体" w:hAnsi="宋体" w:eastAsia="宋体" w:cs="宋体"/>
          <w:szCs w:val="21"/>
        </w:rPr>
        <w:t>建设模式</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_Toc18919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_Toc22927 </w:instrText>
      </w:r>
      <w:r>
        <w:rPr>
          <w:rFonts w:hint="eastAsia" w:ascii="宋体" w:hAnsi="宋体" w:eastAsia="宋体" w:cs="宋体"/>
          <w:szCs w:val="21"/>
        </w:rPr>
        <w:fldChar w:fldCharType="separate"/>
      </w:r>
      <w:r>
        <w:rPr>
          <w:rFonts w:hint="eastAsia" w:ascii="宋体" w:hAnsi="宋体" w:eastAsia="宋体" w:cs="宋体"/>
          <w:szCs w:val="21"/>
        </w:rPr>
        <w:t xml:space="preserve">5.3 </w:t>
      </w:r>
      <w:r>
        <w:rPr>
          <w:rFonts w:hint="eastAsia" w:ascii="宋体" w:hAnsi="宋体" w:eastAsia="宋体" w:cs="宋体"/>
          <w:szCs w:val="21"/>
          <w:lang w:val="en-US" w:eastAsia="zh-CN"/>
        </w:rPr>
        <w:t xml:space="preserve"> </w:t>
      </w:r>
      <w:r>
        <w:rPr>
          <w:rFonts w:hint="eastAsia" w:ascii="宋体" w:hAnsi="宋体" w:eastAsia="宋体" w:cs="宋体"/>
          <w:szCs w:val="21"/>
        </w:rPr>
        <w:t>主体要求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_Toc22927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_Toc4353 </w:instrText>
      </w:r>
      <w:r>
        <w:rPr>
          <w:rFonts w:hint="eastAsia" w:ascii="宋体" w:hAnsi="宋体" w:eastAsia="宋体" w:cs="宋体"/>
          <w:szCs w:val="21"/>
        </w:rPr>
        <w:fldChar w:fldCharType="separate"/>
      </w:r>
      <w:r>
        <w:rPr>
          <w:rFonts w:hint="eastAsia" w:ascii="宋体" w:hAnsi="宋体" w:eastAsia="宋体" w:cs="宋体"/>
          <w:szCs w:val="21"/>
        </w:rPr>
        <w:t xml:space="preserve">5.4 </w:t>
      </w:r>
      <w:r>
        <w:rPr>
          <w:rFonts w:hint="eastAsia" w:ascii="宋体" w:hAnsi="宋体" w:eastAsia="宋体" w:cs="宋体"/>
          <w:szCs w:val="21"/>
          <w:lang w:val="en-US" w:eastAsia="zh-CN"/>
        </w:rPr>
        <w:t xml:space="preserve"> </w:t>
      </w:r>
      <w:r>
        <w:rPr>
          <w:rFonts w:hint="eastAsia" w:ascii="宋体" w:hAnsi="宋体" w:eastAsia="宋体" w:cs="宋体"/>
          <w:szCs w:val="21"/>
        </w:rPr>
        <w:t>制度要求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_Toc4353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_Toc20442 </w:instrText>
      </w:r>
      <w:r>
        <w:rPr>
          <w:rFonts w:hint="eastAsia" w:ascii="宋体" w:hAnsi="宋体" w:eastAsia="宋体" w:cs="宋体"/>
          <w:szCs w:val="21"/>
        </w:rPr>
        <w:fldChar w:fldCharType="separate"/>
      </w:r>
      <w:r>
        <w:rPr>
          <w:rFonts w:hint="eastAsia" w:ascii="宋体" w:hAnsi="宋体" w:eastAsia="宋体" w:cs="宋体"/>
          <w:szCs w:val="21"/>
        </w:rPr>
        <w:t xml:space="preserve">5.5 </w:t>
      </w:r>
      <w:r>
        <w:rPr>
          <w:rFonts w:hint="eastAsia" w:ascii="宋体" w:hAnsi="宋体" w:eastAsia="宋体" w:cs="宋体"/>
          <w:szCs w:val="21"/>
          <w:lang w:val="en-US" w:eastAsia="zh-CN"/>
        </w:rPr>
        <w:t xml:space="preserve"> </w:t>
      </w:r>
      <w:r>
        <w:rPr>
          <w:rFonts w:hint="eastAsia" w:ascii="宋体" w:hAnsi="宋体" w:eastAsia="宋体" w:cs="宋体"/>
          <w:szCs w:val="21"/>
        </w:rPr>
        <w:t>其他要求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_Toc20442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_Toc23158 </w:instrText>
      </w:r>
      <w:r>
        <w:rPr>
          <w:rFonts w:hint="eastAsia" w:ascii="宋体" w:hAnsi="宋体" w:eastAsia="宋体" w:cs="宋体"/>
          <w:szCs w:val="21"/>
        </w:rPr>
        <w:fldChar w:fldCharType="separate"/>
      </w:r>
      <w:r>
        <w:rPr>
          <w:rFonts w:hint="eastAsia" w:ascii="宋体" w:hAnsi="宋体" w:eastAsia="宋体" w:cs="宋体"/>
          <w:szCs w:val="21"/>
        </w:rPr>
        <w:t xml:space="preserve">6 </w:t>
      </w:r>
      <w:r>
        <w:rPr>
          <w:rFonts w:hint="eastAsia" w:ascii="宋体" w:hAnsi="宋体" w:eastAsia="宋体" w:cs="宋体"/>
          <w:szCs w:val="21"/>
          <w:lang w:val="en-US" w:eastAsia="zh-CN"/>
        </w:rPr>
        <w:t xml:space="preserve"> </w:t>
      </w:r>
      <w:r>
        <w:rPr>
          <w:rFonts w:hint="eastAsia" w:ascii="宋体" w:hAnsi="宋体" w:eastAsia="宋体" w:cs="宋体"/>
          <w:szCs w:val="21"/>
        </w:rPr>
        <w:t>组织机构与职责</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_Toc23158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_Toc16671 </w:instrText>
      </w:r>
      <w:r>
        <w:rPr>
          <w:rFonts w:hint="eastAsia" w:ascii="宋体" w:hAnsi="宋体" w:eastAsia="宋体" w:cs="宋体"/>
          <w:szCs w:val="21"/>
        </w:rPr>
        <w:fldChar w:fldCharType="separate"/>
      </w:r>
      <w:r>
        <w:rPr>
          <w:rFonts w:hint="eastAsia" w:ascii="宋体" w:hAnsi="宋体" w:eastAsia="宋体" w:cs="宋体"/>
          <w:szCs w:val="21"/>
        </w:rPr>
        <w:t xml:space="preserve">6.1 </w:t>
      </w:r>
      <w:r>
        <w:rPr>
          <w:rFonts w:hint="eastAsia" w:ascii="宋体" w:hAnsi="宋体" w:eastAsia="宋体" w:cs="宋体"/>
          <w:szCs w:val="21"/>
          <w:lang w:val="en-US" w:eastAsia="zh-CN"/>
        </w:rPr>
        <w:t xml:space="preserve"> </w:t>
      </w:r>
      <w:r>
        <w:rPr>
          <w:rFonts w:hint="eastAsia" w:ascii="宋体" w:hAnsi="宋体" w:eastAsia="宋体" w:cs="宋体"/>
          <w:szCs w:val="21"/>
        </w:rPr>
        <w:t>理事会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_Toc16671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_Toc9691 </w:instrText>
      </w:r>
      <w:r>
        <w:rPr>
          <w:rFonts w:hint="eastAsia" w:ascii="宋体" w:hAnsi="宋体" w:eastAsia="宋体" w:cs="宋体"/>
          <w:szCs w:val="21"/>
        </w:rPr>
        <w:fldChar w:fldCharType="separate"/>
      </w:r>
      <w:r>
        <w:rPr>
          <w:rFonts w:hint="eastAsia" w:ascii="宋体" w:hAnsi="宋体" w:eastAsia="宋体" w:cs="宋体"/>
          <w:szCs w:val="21"/>
        </w:rPr>
        <w:t xml:space="preserve">6.2 </w:t>
      </w:r>
      <w:r>
        <w:rPr>
          <w:rFonts w:hint="eastAsia" w:ascii="宋体" w:hAnsi="宋体" w:eastAsia="宋体" w:cs="宋体"/>
          <w:szCs w:val="21"/>
          <w:lang w:val="en-US" w:eastAsia="zh-CN"/>
        </w:rPr>
        <w:t xml:space="preserve"> </w:t>
      </w:r>
      <w:r>
        <w:rPr>
          <w:rFonts w:hint="eastAsia" w:ascii="宋体" w:hAnsi="宋体" w:eastAsia="宋体" w:cs="宋体"/>
          <w:szCs w:val="21"/>
        </w:rPr>
        <w:t>专家咨询委员会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_Toc9691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_Toc26862 </w:instrText>
      </w:r>
      <w:r>
        <w:rPr>
          <w:rFonts w:hint="eastAsia" w:ascii="宋体" w:hAnsi="宋体" w:eastAsia="宋体" w:cs="宋体"/>
          <w:szCs w:val="21"/>
        </w:rPr>
        <w:fldChar w:fldCharType="separate"/>
      </w:r>
      <w:r>
        <w:rPr>
          <w:rFonts w:hint="eastAsia" w:ascii="宋体" w:hAnsi="宋体" w:eastAsia="宋体" w:cs="宋体"/>
          <w:szCs w:val="21"/>
        </w:rPr>
        <w:t xml:space="preserve">6.3 </w:t>
      </w:r>
      <w:r>
        <w:rPr>
          <w:rFonts w:hint="eastAsia" w:ascii="宋体" w:hAnsi="宋体" w:eastAsia="宋体" w:cs="宋体"/>
          <w:szCs w:val="21"/>
          <w:lang w:val="en-US" w:eastAsia="zh-CN"/>
        </w:rPr>
        <w:t xml:space="preserve"> </w:t>
      </w:r>
      <w:r>
        <w:rPr>
          <w:rFonts w:hint="eastAsia" w:ascii="宋体" w:hAnsi="宋体" w:eastAsia="宋体" w:cs="宋体"/>
          <w:szCs w:val="21"/>
        </w:rPr>
        <w:t>秘书处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_Toc26862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_Toc22928 </w:instrText>
      </w:r>
      <w:r>
        <w:rPr>
          <w:rFonts w:hint="eastAsia" w:ascii="宋体" w:hAnsi="宋体" w:eastAsia="宋体" w:cs="宋体"/>
          <w:szCs w:val="21"/>
        </w:rPr>
        <w:fldChar w:fldCharType="separate"/>
      </w:r>
      <w:r>
        <w:rPr>
          <w:rFonts w:hint="eastAsia" w:ascii="宋体" w:hAnsi="宋体" w:eastAsia="宋体" w:cs="宋体"/>
          <w:szCs w:val="21"/>
        </w:rPr>
        <w:t xml:space="preserve">7 </w:t>
      </w:r>
      <w:r>
        <w:rPr>
          <w:rFonts w:hint="eastAsia" w:ascii="宋体" w:hAnsi="宋体" w:eastAsia="宋体" w:cs="宋体"/>
          <w:szCs w:val="21"/>
          <w:lang w:val="en-US" w:eastAsia="zh-CN"/>
        </w:rPr>
        <w:t xml:space="preserve"> </w:t>
      </w:r>
      <w:r>
        <w:rPr>
          <w:rFonts w:hint="eastAsia" w:ascii="宋体" w:hAnsi="宋体" w:eastAsia="宋体" w:cs="宋体"/>
          <w:szCs w:val="21"/>
        </w:rPr>
        <w:t>人员管理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_Toc22928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_Toc28942 </w:instrText>
      </w:r>
      <w:r>
        <w:rPr>
          <w:rFonts w:hint="eastAsia" w:ascii="宋体" w:hAnsi="宋体" w:eastAsia="宋体" w:cs="宋体"/>
          <w:szCs w:val="21"/>
        </w:rPr>
        <w:fldChar w:fldCharType="separate"/>
      </w:r>
      <w:r>
        <w:rPr>
          <w:rFonts w:hint="eastAsia" w:ascii="宋体" w:hAnsi="宋体" w:eastAsia="宋体" w:cs="宋体"/>
          <w:szCs w:val="21"/>
        </w:rPr>
        <w:t xml:space="preserve">7.1 </w:t>
      </w:r>
      <w:r>
        <w:rPr>
          <w:rFonts w:hint="eastAsia" w:ascii="宋体" w:hAnsi="宋体" w:eastAsia="宋体" w:cs="宋体"/>
          <w:szCs w:val="21"/>
          <w:lang w:val="en-US" w:eastAsia="zh-CN"/>
        </w:rPr>
        <w:t xml:space="preserve"> </w:t>
      </w:r>
      <w:r>
        <w:rPr>
          <w:rFonts w:hint="eastAsia" w:ascii="宋体" w:hAnsi="宋体" w:eastAsia="宋体" w:cs="宋体"/>
          <w:szCs w:val="21"/>
        </w:rPr>
        <w:t>领导者管理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_Toc28942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_Toc14909 </w:instrText>
      </w:r>
      <w:r>
        <w:rPr>
          <w:rFonts w:hint="eastAsia" w:ascii="宋体" w:hAnsi="宋体" w:eastAsia="宋体" w:cs="宋体"/>
          <w:szCs w:val="21"/>
        </w:rPr>
        <w:fldChar w:fldCharType="separate"/>
      </w:r>
      <w:r>
        <w:rPr>
          <w:rFonts w:hint="eastAsia" w:ascii="宋体" w:hAnsi="宋体" w:eastAsia="宋体" w:cs="宋体"/>
          <w:szCs w:val="21"/>
        </w:rPr>
        <w:t xml:space="preserve">7.2 </w:t>
      </w:r>
      <w:r>
        <w:rPr>
          <w:rFonts w:hint="eastAsia" w:ascii="宋体" w:hAnsi="宋体" w:eastAsia="宋体" w:cs="宋体"/>
          <w:szCs w:val="21"/>
          <w:lang w:val="en-US" w:eastAsia="zh-CN"/>
        </w:rPr>
        <w:t xml:space="preserve"> </w:t>
      </w:r>
      <w:r>
        <w:rPr>
          <w:rFonts w:hint="eastAsia" w:ascii="宋体" w:hAnsi="宋体" w:eastAsia="宋体" w:cs="宋体"/>
          <w:szCs w:val="21"/>
        </w:rPr>
        <w:t>师资管理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_Toc14909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_Toc8342 </w:instrText>
      </w:r>
      <w:r>
        <w:rPr>
          <w:rFonts w:hint="eastAsia" w:ascii="宋体" w:hAnsi="宋体" w:eastAsia="宋体" w:cs="宋体"/>
          <w:szCs w:val="21"/>
        </w:rPr>
        <w:fldChar w:fldCharType="separate"/>
      </w:r>
      <w:r>
        <w:rPr>
          <w:rFonts w:hint="eastAsia" w:ascii="宋体" w:hAnsi="宋体" w:eastAsia="宋体" w:cs="宋体"/>
          <w:szCs w:val="21"/>
        </w:rPr>
        <w:t xml:space="preserve">7.3 </w:t>
      </w:r>
      <w:r>
        <w:rPr>
          <w:rFonts w:hint="eastAsia" w:ascii="宋体" w:hAnsi="宋体" w:eastAsia="宋体" w:cs="宋体"/>
          <w:szCs w:val="21"/>
          <w:lang w:val="en-US" w:eastAsia="zh-CN"/>
        </w:rPr>
        <w:t xml:space="preserve"> </w:t>
      </w:r>
      <w:r>
        <w:rPr>
          <w:rFonts w:hint="eastAsia" w:ascii="宋体" w:hAnsi="宋体" w:eastAsia="宋体" w:cs="宋体"/>
          <w:szCs w:val="21"/>
        </w:rPr>
        <w:t>学生管理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_Toc8342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_Toc17807 </w:instrText>
      </w:r>
      <w:r>
        <w:rPr>
          <w:rFonts w:hint="eastAsia" w:ascii="宋体" w:hAnsi="宋体" w:eastAsia="宋体" w:cs="宋体"/>
          <w:szCs w:val="21"/>
        </w:rPr>
        <w:fldChar w:fldCharType="separate"/>
      </w:r>
      <w:r>
        <w:rPr>
          <w:rFonts w:hint="eastAsia" w:ascii="宋体" w:hAnsi="宋体" w:eastAsia="宋体" w:cs="宋体"/>
          <w:szCs w:val="21"/>
        </w:rPr>
        <w:t xml:space="preserve">8 </w:t>
      </w:r>
      <w:r>
        <w:rPr>
          <w:rFonts w:hint="eastAsia" w:ascii="宋体" w:hAnsi="宋体" w:eastAsia="宋体" w:cs="宋体"/>
          <w:szCs w:val="21"/>
          <w:lang w:val="en-US" w:eastAsia="zh-CN"/>
        </w:rPr>
        <w:t xml:space="preserve"> </w:t>
      </w:r>
      <w:r>
        <w:rPr>
          <w:rFonts w:hint="eastAsia" w:ascii="宋体" w:hAnsi="宋体" w:eastAsia="宋体" w:cs="宋体"/>
          <w:szCs w:val="21"/>
        </w:rPr>
        <w:t>运行管理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_Toc17807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_Toc8196 </w:instrText>
      </w:r>
      <w:r>
        <w:rPr>
          <w:rFonts w:hint="eastAsia" w:ascii="宋体" w:hAnsi="宋体" w:eastAsia="宋体" w:cs="宋体"/>
          <w:szCs w:val="21"/>
        </w:rPr>
        <w:fldChar w:fldCharType="separate"/>
      </w:r>
      <w:r>
        <w:rPr>
          <w:rFonts w:hint="eastAsia" w:ascii="宋体" w:hAnsi="宋体" w:eastAsia="宋体" w:cs="宋体"/>
          <w:szCs w:val="21"/>
        </w:rPr>
        <w:t xml:space="preserve">8.1 </w:t>
      </w:r>
      <w:r>
        <w:rPr>
          <w:rFonts w:hint="eastAsia" w:ascii="宋体" w:hAnsi="宋体" w:eastAsia="宋体" w:cs="宋体"/>
          <w:szCs w:val="21"/>
          <w:lang w:val="en-US" w:eastAsia="zh-CN"/>
        </w:rPr>
        <w:t xml:space="preserve"> </w:t>
      </w:r>
      <w:r>
        <w:rPr>
          <w:rFonts w:hint="eastAsia" w:ascii="宋体" w:hAnsi="宋体" w:eastAsia="宋体" w:cs="宋体"/>
          <w:szCs w:val="21"/>
        </w:rPr>
        <w:t>教学管理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_Toc8196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_Toc55 </w:instrText>
      </w:r>
      <w:r>
        <w:rPr>
          <w:rFonts w:hint="eastAsia" w:ascii="宋体" w:hAnsi="宋体" w:eastAsia="宋体" w:cs="宋体"/>
          <w:szCs w:val="21"/>
        </w:rPr>
        <w:fldChar w:fldCharType="separate"/>
      </w:r>
      <w:r>
        <w:rPr>
          <w:rFonts w:hint="eastAsia" w:ascii="宋体" w:hAnsi="宋体" w:eastAsia="宋体" w:cs="宋体"/>
          <w:szCs w:val="21"/>
        </w:rPr>
        <w:t xml:space="preserve">8.2 </w:t>
      </w:r>
      <w:r>
        <w:rPr>
          <w:rFonts w:hint="eastAsia" w:ascii="宋体" w:hAnsi="宋体" w:eastAsia="宋体" w:cs="宋体"/>
          <w:szCs w:val="21"/>
          <w:lang w:val="en-US" w:eastAsia="zh-CN"/>
        </w:rPr>
        <w:t xml:space="preserve"> </w:t>
      </w:r>
      <w:r>
        <w:rPr>
          <w:rFonts w:hint="eastAsia" w:ascii="宋体" w:hAnsi="宋体" w:eastAsia="宋体" w:cs="宋体"/>
          <w:szCs w:val="21"/>
        </w:rPr>
        <w:t>资金管理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_Toc55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_Toc28120 </w:instrText>
      </w:r>
      <w:r>
        <w:rPr>
          <w:rFonts w:hint="eastAsia" w:ascii="宋体" w:hAnsi="宋体" w:eastAsia="宋体" w:cs="宋体"/>
          <w:szCs w:val="21"/>
        </w:rPr>
        <w:fldChar w:fldCharType="separate"/>
      </w:r>
      <w:r>
        <w:rPr>
          <w:rFonts w:hint="eastAsia" w:ascii="宋体" w:hAnsi="宋体" w:eastAsia="宋体" w:cs="宋体"/>
          <w:szCs w:val="21"/>
        </w:rPr>
        <w:t xml:space="preserve">8.3 </w:t>
      </w:r>
      <w:r>
        <w:rPr>
          <w:rFonts w:hint="eastAsia" w:ascii="宋体" w:hAnsi="宋体" w:eastAsia="宋体" w:cs="宋体"/>
          <w:szCs w:val="21"/>
          <w:lang w:val="en-US" w:eastAsia="zh-CN"/>
        </w:rPr>
        <w:t xml:space="preserve"> </w:t>
      </w:r>
      <w:r>
        <w:rPr>
          <w:rFonts w:hint="eastAsia" w:ascii="宋体" w:hAnsi="宋体" w:eastAsia="宋体" w:cs="宋体"/>
          <w:szCs w:val="21"/>
        </w:rPr>
        <w:t>课程资源（库）建设</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_Toc28120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_Toc9081 </w:instrText>
      </w:r>
      <w:r>
        <w:rPr>
          <w:rFonts w:hint="eastAsia" w:ascii="宋体" w:hAnsi="宋体" w:eastAsia="宋体" w:cs="宋体"/>
          <w:szCs w:val="21"/>
        </w:rPr>
        <w:fldChar w:fldCharType="separate"/>
      </w:r>
      <w:r>
        <w:rPr>
          <w:rFonts w:hint="eastAsia" w:ascii="宋体" w:hAnsi="宋体" w:eastAsia="宋体" w:cs="宋体"/>
          <w:szCs w:val="21"/>
        </w:rPr>
        <w:t xml:space="preserve">8.4 </w:t>
      </w:r>
      <w:r>
        <w:rPr>
          <w:rFonts w:hint="eastAsia" w:ascii="宋体" w:hAnsi="宋体" w:eastAsia="宋体" w:cs="宋体"/>
          <w:szCs w:val="21"/>
          <w:lang w:val="en-US" w:eastAsia="zh-CN"/>
        </w:rPr>
        <w:t xml:space="preserve"> </w:t>
      </w:r>
      <w:r>
        <w:rPr>
          <w:rFonts w:hint="eastAsia" w:ascii="宋体" w:hAnsi="宋体" w:eastAsia="宋体" w:cs="宋体"/>
          <w:szCs w:val="21"/>
        </w:rPr>
        <w:t>实习实训基地建设</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_Toc9081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snapToGrid/>
        <w:ind w:left="420" w:left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_Toc19316 </w:instrText>
      </w:r>
      <w:r>
        <w:rPr>
          <w:rFonts w:hint="eastAsia" w:ascii="宋体" w:hAnsi="宋体" w:eastAsia="宋体" w:cs="宋体"/>
          <w:szCs w:val="21"/>
        </w:rPr>
        <w:fldChar w:fldCharType="separate"/>
      </w:r>
      <w:r>
        <w:rPr>
          <w:rFonts w:hint="eastAsia" w:ascii="宋体" w:hAnsi="宋体" w:eastAsia="宋体" w:cs="宋体"/>
          <w:szCs w:val="21"/>
        </w:rPr>
        <w:t xml:space="preserve">8.5 </w:t>
      </w:r>
      <w:r>
        <w:rPr>
          <w:rFonts w:hint="eastAsia" w:ascii="宋体" w:hAnsi="宋体" w:eastAsia="宋体" w:cs="宋体"/>
          <w:szCs w:val="21"/>
          <w:lang w:val="en-US" w:eastAsia="zh-CN"/>
        </w:rPr>
        <w:t xml:space="preserve"> </w:t>
      </w:r>
      <w:r>
        <w:rPr>
          <w:rFonts w:hint="eastAsia" w:ascii="宋体" w:hAnsi="宋体" w:eastAsia="宋体" w:cs="宋体"/>
          <w:szCs w:val="21"/>
        </w:rPr>
        <w:t>联合实验室（研发中心）建设</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_Toc19316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_Toc27550 </w:instrText>
      </w:r>
      <w:r>
        <w:rPr>
          <w:rFonts w:hint="eastAsia" w:ascii="宋体" w:hAnsi="宋体" w:eastAsia="宋体" w:cs="宋体"/>
          <w:szCs w:val="21"/>
        </w:rPr>
        <w:fldChar w:fldCharType="separate"/>
      </w:r>
      <w:r>
        <w:rPr>
          <w:rFonts w:hint="eastAsia" w:ascii="宋体" w:hAnsi="宋体" w:eastAsia="宋体" w:cs="宋体"/>
          <w:szCs w:val="21"/>
        </w:rPr>
        <w:t xml:space="preserve">9 </w:t>
      </w:r>
      <w:r>
        <w:rPr>
          <w:rFonts w:hint="eastAsia" w:ascii="宋体" w:hAnsi="宋体" w:eastAsia="宋体" w:cs="宋体"/>
          <w:szCs w:val="21"/>
          <w:lang w:val="en-US" w:eastAsia="zh-CN"/>
        </w:rPr>
        <w:t xml:space="preserve"> </w:t>
      </w:r>
      <w:r>
        <w:rPr>
          <w:rFonts w:hint="eastAsia" w:ascii="宋体" w:hAnsi="宋体" w:eastAsia="宋体" w:cs="宋体"/>
          <w:szCs w:val="21"/>
        </w:rPr>
        <w:t>评价与改进</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_Toc27550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_Toc28984 </w:instrText>
      </w:r>
      <w:r>
        <w:rPr>
          <w:rFonts w:hint="eastAsia" w:ascii="宋体" w:hAnsi="宋体" w:eastAsia="宋体" w:cs="宋体"/>
          <w:szCs w:val="21"/>
        </w:rPr>
        <w:fldChar w:fldCharType="separate"/>
      </w:r>
      <w:r>
        <w:rPr>
          <w:rFonts w:hint="eastAsia" w:ascii="宋体" w:hAnsi="宋体" w:eastAsia="宋体" w:cs="宋体"/>
          <w:szCs w:val="21"/>
        </w:rPr>
        <w:t>附录A</w:t>
      </w:r>
      <w:r>
        <w:rPr>
          <w:rFonts w:hint="eastAsia" w:ascii="宋体" w:hAnsi="宋体" w:eastAsia="宋体" w:cs="宋体"/>
          <w:szCs w:val="21"/>
        </w:rPr>
        <w:fldChar w:fldCharType="end"/>
      </w:r>
      <w:r>
        <w:rPr>
          <w:rFonts w:hint="eastAsia" w:ascii="宋体" w:hAnsi="宋体" w:eastAsia="宋体" w:cs="宋体"/>
          <w:szCs w:val="21"/>
        </w:rPr>
        <w:fldChar w:fldCharType="begin"/>
      </w:r>
      <w:r>
        <w:rPr>
          <w:rFonts w:hint="eastAsia" w:ascii="宋体" w:hAnsi="宋体" w:eastAsia="宋体" w:cs="宋体"/>
          <w:szCs w:val="21"/>
        </w:rPr>
        <w:instrText xml:space="preserve"> HYPERLINK \l _Toc12114 </w:instrText>
      </w:r>
      <w:r>
        <w:rPr>
          <w:rFonts w:hint="eastAsia" w:ascii="宋体" w:hAnsi="宋体" w:eastAsia="宋体" w:cs="宋体"/>
          <w:szCs w:val="21"/>
        </w:rPr>
        <w:fldChar w:fldCharType="separate"/>
      </w:r>
      <w:r>
        <w:rPr>
          <w:rFonts w:hint="eastAsia" w:ascii="宋体" w:hAnsi="宋体" w:eastAsia="宋体" w:cs="宋体"/>
          <w:szCs w:val="21"/>
        </w:rPr>
        <w:t>（资料性）</w:t>
      </w:r>
      <w:r>
        <w:rPr>
          <w:rFonts w:hint="eastAsia" w:ascii="宋体" w:hAnsi="宋体" w:eastAsia="宋体" w:cs="宋体"/>
          <w:szCs w:val="21"/>
        </w:rPr>
        <w:fldChar w:fldCharType="end"/>
      </w:r>
      <w:r>
        <w:rPr>
          <w:rFonts w:hint="eastAsia" w:ascii="宋体" w:hAnsi="宋体" w:eastAsia="宋体" w:cs="宋体"/>
          <w:szCs w:val="21"/>
          <w:lang w:val="en-US" w:eastAsia="zh-CN"/>
        </w:rPr>
        <w:t xml:space="preserve">  </w:t>
      </w:r>
      <w:r>
        <w:rPr>
          <w:rFonts w:hint="eastAsia" w:ascii="宋体" w:hAnsi="宋体" w:eastAsia="宋体" w:cs="宋体"/>
          <w:szCs w:val="21"/>
        </w:rPr>
        <w:fldChar w:fldCharType="begin"/>
      </w:r>
      <w:r>
        <w:rPr>
          <w:rFonts w:hint="eastAsia" w:ascii="宋体" w:hAnsi="宋体" w:eastAsia="宋体" w:cs="宋体"/>
          <w:szCs w:val="21"/>
        </w:rPr>
        <w:instrText xml:space="preserve"> HYPERLINK \l _Toc11906 </w:instrText>
      </w:r>
      <w:r>
        <w:rPr>
          <w:rFonts w:hint="eastAsia" w:ascii="宋体" w:hAnsi="宋体" w:eastAsia="宋体" w:cs="宋体"/>
          <w:szCs w:val="21"/>
        </w:rPr>
        <w:fldChar w:fldCharType="separate"/>
      </w:r>
      <w:r>
        <w:rPr>
          <w:rFonts w:hint="eastAsia" w:ascii="宋体" w:hAnsi="宋体" w:eastAsia="宋体" w:cs="宋体"/>
          <w:szCs w:val="21"/>
        </w:rPr>
        <w:t>职业教育产业学院建设与运行规范评价表</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_Toc11906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_Toc21805 </w:instrText>
      </w:r>
      <w:r>
        <w:rPr>
          <w:rFonts w:hint="eastAsia" w:ascii="宋体" w:hAnsi="宋体" w:eastAsia="宋体" w:cs="宋体"/>
          <w:szCs w:val="21"/>
        </w:rP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_Toc21805 \h </w:instrText>
      </w:r>
      <w:r>
        <w:rPr>
          <w:rFonts w:hint="eastAsia" w:ascii="宋体" w:hAnsi="宋体" w:eastAsia="宋体" w:cs="宋体"/>
          <w:szCs w:val="21"/>
        </w:rPr>
        <w:fldChar w:fldCharType="separate"/>
      </w:r>
      <w:r>
        <w:rPr>
          <w:rFonts w:hint="eastAsia" w:ascii="宋体" w:hAnsi="宋体" w:eastAsia="宋体" w:cs="宋体"/>
          <w:szCs w:val="21"/>
        </w:rPr>
        <w:t>11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ascii="宋体" w:hAnsi="宋体" w:eastAsia="宋体" w:cs="宋体"/>
          <w:szCs w:val="21"/>
        </w:rPr>
      </w:pPr>
      <w:r>
        <w:rPr>
          <w:rFonts w:hint="eastAsia" w:ascii="宋体" w:hAnsi="宋体" w:eastAsia="宋体" w:cs="宋体"/>
          <w:szCs w:val="21"/>
        </w:rPr>
        <w:fldChar w:fldCharType="end"/>
      </w:r>
    </w:p>
    <w:p>
      <w:pPr>
        <w:pStyle w:val="8"/>
        <w:rPr>
          <w:rFonts w:ascii="宋体" w:hAnsi="宋体" w:eastAsia="宋体" w:cs="宋体"/>
          <w:szCs w:val="21"/>
        </w:rPr>
      </w:pPr>
    </w:p>
    <w:p>
      <w:pPr>
        <w:pStyle w:val="8"/>
        <w:rPr>
          <w:rFonts w:ascii="宋体" w:hAnsi="宋体" w:eastAsia="宋体" w:cs="宋体"/>
          <w:szCs w:val="21"/>
        </w:rPr>
      </w:pPr>
    </w:p>
    <w:p>
      <w:pPr>
        <w:pStyle w:val="8"/>
        <w:rPr>
          <w:rFonts w:ascii="宋体" w:hAnsi="宋体" w:eastAsia="宋体" w:cs="宋体"/>
          <w:szCs w:val="21"/>
        </w:rPr>
      </w:pPr>
    </w:p>
    <w:p>
      <w:pPr>
        <w:pStyle w:val="49"/>
        <w:keepNext w:val="0"/>
        <w:keepLines w:val="0"/>
        <w:pageBreakBefore w:val="0"/>
        <w:widowControl/>
        <w:shd w:val="clear"/>
        <w:kinsoku/>
        <w:wordWrap/>
        <w:overflowPunct/>
        <w:topLinePunct w:val="0"/>
        <w:autoSpaceDE/>
        <w:autoSpaceDN/>
        <w:bidi w:val="0"/>
        <w:adjustRightInd/>
        <w:snapToGrid/>
        <w:spacing w:before="567" w:after="680" w:afterLines="0"/>
        <w:ind w:left="425" w:hanging="425"/>
        <w:textAlignment w:val="auto"/>
        <w:rPr>
          <w:spacing w:val="320"/>
          <w:highlight w:val="none"/>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8"/>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rPr>
          <w:rFonts w:hint="eastAsia" w:ascii="黑体" w:hAnsi="黑体" w:eastAsia="黑体" w:cs="黑体"/>
          <w:kern w:val="0"/>
          <w:sz w:val="32"/>
          <w:szCs w:val="32"/>
          <w:lang w:val="en-US" w:eastAsia="zh-CN"/>
        </w:rPr>
      </w:pPr>
      <w:bookmarkStart w:id="2" w:name="_Toc159941985"/>
      <w:bookmarkStart w:id="3" w:name="_Toc20694"/>
      <w:bookmarkStart w:id="4" w:name="BookMark2"/>
      <w:r>
        <w:rPr>
          <w:rFonts w:hint="eastAsia" w:ascii="黑体" w:hAnsi="黑体" w:eastAsia="黑体" w:cs="黑体"/>
          <w:kern w:val="0"/>
          <w:sz w:val="32"/>
          <w:szCs w:val="32"/>
          <w:lang w:val="en-US" w:eastAsia="zh-CN"/>
        </w:rPr>
        <w:t>前    言</w:t>
      </w:r>
      <w:bookmarkEnd w:id="2"/>
      <w:bookmarkEnd w:id="3"/>
    </w:p>
    <w:p>
      <w:pPr>
        <w:pStyle w:val="67"/>
        <w:ind w:firstLine="420"/>
      </w:pPr>
      <w:r>
        <w:rPr>
          <w:rFonts w:hint="eastAsia"/>
        </w:rPr>
        <w:t>本文件按照GB/T 1.1—2020《标准化工作导则  第1部分：标准化文件的结构和起草规则》的规定起草。</w:t>
      </w:r>
    </w:p>
    <w:p>
      <w:pPr>
        <w:snapToGrid w:val="0"/>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请注意本文件</w:t>
      </w:r>
      <w:r>
        <w:rPr>
          <w:rFonts w:ascii="宋体" w:hAnsi="宋体" w:eastAsia="宋体" w:cs="宋体"/>
          <w:color w:val="000000" w:themeColor="text1"/>
          <w:kern w:val="0"/>
          <w:szCs w:val="21"/>
          <w14:textFill>
            <w14:solidFill>
              <w14:schemeClr w14:val="tx1"/>
            </w14:solidFill>
          </w14:textFill>
        </w:rPr>
        <w:t>的某些内容可能涉及专利</w:t>
      </w:r>
      <w:r>
        <w:rPr>
          <w:rFonts w:hint="eastAsia" w:ascii="宋体" w:hAnsi="宋体" w:eastAsia="宋体" w:cs="宋体"/>
          <w:color w:val="000000" w:themeColor="text1"/>
          <w:kern w:val="0"/>
          <w:szCs w:val="21"/>
          <w14:textFill>
            <w14:solidFill>
              <w14:schemeClr w14:val="tx1"/>
            </w14:solidFill>
          </w14:textFill>
        </w:rPr>
        <w:t>。</w:t>
      </w:r>
      <w:r>
        <w:rPr>
          <w:rFonts w:ascii="宋体" w:hAnsi="宋体" w:eastAsia="宋体" w:cs="宋体"/>
          <w:color w:val="000000" w:themeColor="text1"/>
          <w:kern w:val="0"/>
          <w:szCs w:val="21"/>
          <w14:textFill>
            <w14:solidFill>
              <w14:schemeClr w14:val="tx1"/>
            </w14:solidFill>
          </w14:textFill>
        </w:rPr>
        <w:t>本文件的</w:t>
      </w:r>
      <w:r>
        <w:rPr>
          <w:rFonts w:hint="eastAsia" w:ascii="宋体" w:hAnsi="宋体" w:eastAsia="宋体" w:cs="宋体"/>
          <w:color w:val="000000" w:themeColor="text1"/>
          <w:kern w:val="0"/>
          <w:szCs w:val="21"/>
          <w14:textFill>
            <w14:solidFill>
              <w14:schemeClr w14:val="tx1"/>
            </w14:solidFill>
          </w14:textFill>
        </w:rPr>
        <w:t>发布</w:t>
      </w:r>
      <w:r>
        <w:rPr>
          <w:rFonts w:ascii="宋体" w:hAnsi="宋体" w:eastAsia="宋体" w:cs="宋体"/>
          <w:color w:val="000000" w:themeColor="text1"/>
          <w:kern w:val="0"/>
          <w:szCs w:val="21"/>
          <w14:textFill>
            <w14:solidFill>
              <w14:schemeClr w14:val="tx1"/>
            </w14:solidFill>
          </w14:textFill>
        </w:rPr>
        <w:t>机构不承担识别专利的责任。</w:t>
      </w:r>
    </w:p>
    <w:p>
      <w:pPr>
        <w:pStyle w:val="67"/>
        <w:ind w:firstLine="420"/>
      </w:pPr>
      <w:r>
        <w:rPr>
          <w:rFonts w:hint="eastAsia"/>
        </w:rPr>
        <w:t>本文件由苏州市教育局提出并归口。</w:t>
      </w:r>
    </w:p>
    <w:p>
      <w:pPr>
        <w:pStyle w:val="67"/>
        <w:ind w:firstLine="420"/>
      </w:pPr>
      <w:r>
        <w:rPr>
          <w:rFonts w:hint="eastAsia"/>
        </w:rPr>
        <w:t>本文件起草单位：苏州市职业大学、苏州汇川技术有限公司、苏州毕惠标准技术服务有限公司、苏州市机器人产业协会、</w:t>
      </w:r>
      <w:r>
        <w:t>苏州绿的谐波传动科技股份有限公司</w:t>
      </w:r>
      <w:r>
        <w:rPr>
          <w:rFonts w:hint="eastAsia"/>
        </w:rPr>
        <w:t>、江苏省吴中中等专业学校。</w:t>
      </w:r>
    </w:p>
    <w:p>
      <w:pPr>
        <w:pStyle w:val="67"/>
        <w:ind w:firstLine="420"/>
      </w:pPr>
      <w:r>
        <w:rPr>
          <w:rFonts w:hint="eastAsia"/>
        </w:rPr>
        <w:t>本文件主要起草人：温贻芳、孙学文、张芬、张燕、方向阳、陆春元、王仁忠、吴隽、张量、黄阳阳、付欣友、朱波、景晨光、瞿卫新、储健华。</w:t>
      </w:r>
    </w:p>
    <w:p>
      <w:pPr>
        <w:pStyle w:val="67"/>
        <w:ind w:firstLine="420"/>
        <w:sectPr>
          <w:headerReference r:id="rId10" w:type="default"/>
          <w:footerReference r:id="rId12" w:type="default"/>
          <w:headerReference r:id="rId11" w:type="even"/>
          <w:footerReference r:id="rId13" w:type="even"/>
          <w:pgSz w:w="11906" w:h="16838"/>
          <w:pgMar w:top="1928" w:right="1134" w:bottom="1134" w:left="1134" w:header="1418" w:footer="1134" w:gutter="284"/>
          <w:pgNumType w:fmt="upperRoman" w:start="2"/>
          <w:cols w:space="425" w:num="1"/>
          <w:formProt w:val="0"/>
          <w:docGrid w:type="lines" w:linePitch="312" w:charSpace="0"/>
        </w:sectPr>
      </w:pPr>
    </w:p>
    <w:p>
      <w:pPr>
        <w:pStyle w:val="67"/>
        <w:ind w:firstLine="420"/>
        <w:sectPr>
          <w:headerReference r:id="rId14" w:type="default"/>
          <w:footerReference r:id="rId15" w:type="default"/>
          <w:footerReference r:id="rId16" w:type="even"/>
          <w:pgSz w:w="11906" w:h="16838"/>
          <w:pgMar w:top="1928" w:right="1134" w:bottom="1134" w:left="1134" w:header="1418" w:footer="1134" w:gutter="284"/>
          <w:pgNumType w:fmt="upperRoman"/>
          <w:cols w:space="425" w:num="1"/>
          <w:formProt w:val="0"/>
          <w:docGrid w:type="lines" w:linePitch="312" w:charSpace="0"/>
        </w:sectPr>
      </w:pPr>
    </w:p>
    <w:bookmarkEnd w:id="4"/>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rPr>
          <w:rFonts w:hint="eastAsia" w:ascii="黑体" w:hAnsi="黑体" w:eastAsia="黑体" w:cs="黑体"/>
          <w:kern w:val="0"/>
          <w:sz w:val="32"/>
          <w:szCs w:val="32"/>
          <w:lang w:val="en-US" w:eastAsia="zh-CN"/>
        </w:rPr>
      </w:pPr>
      <w:bookmarkStart w:id="5" w:name="_Toc150325729"/>
      <w:bookmarkStart w:id="6" w:name="_Toc27867"/>
      <w:bookmarkStart w:id="7" w:name="_Toc152706990"/>
      <w:bookmarkStart w:id="8" w:name="_Toc131584363"/>
      <w:bookmarkStart w:id="9" w:name="_Toc159941986"/>
      <w:bookmarkStart w:id="10" w:name="_Toc152706922"/>
      <w:bookmarkStart w:id="11" w:name="BookMark3"/>
      <w:r>
        <w:rPr>
          <w:rFonts w:hint="eastAsia" w:ascii="黑体" w:hAnsi="黑体" w:eastAsia="黑体" w:cs="黑体"/>
          <w:kern w:val="0"/>
          <w:sz w:val="32"/>
          <w:szCs w:val="32"/>
          <w:lang w:val="en-US" w:eastAsia="zh-CN"/>
        </w:rPr>
        <w:t>引    言</w:t>
      </w:r>
      <w:bookmarkEnd w:id="5"/>
      <w:bookmarkEnd w:id="6"/>
      <w:bookmarkEnd w:id="7"/>
      <w:bookmarkEnd w:id="8"/>
      <w:bookmarkEnd w:id="9"/>
      <w:bookmarkEnd w:id="10"/>
    </w:p>
    <w:p>
      <w:pPr>
        <w:pStyle w:val="67"/>
        <w:ind w:firstLine="420"/>
      </w:pPr>
      <w:r>
        <w:rPr>
          <w:rFonts w:hint="eastAsia"/>
        </w:rPr>
        <w:t>职业教育产业学院是国家职业教育的一种组织形式和人才培养模式，是为满足产业和区域经济发展需求，培养技能和孵化人才的职业教育实施单位。职业教育产业学院的建设和运行遵循市场需求，瞄准产业发展方向，注重人才培养质量和实践能力。提高职业教育的质量和效益，促进教育链、人才链与产业链、创新链有机衔接，全面赋能区域产业发展。</w:t>
      </w:r>
    </w:p>
    <w:p>
      <w:pPr>
        <w:pStyle w:val="67"/>
        <w:ind w:firstLine="420"/>
      </w:pPr>
    </w:p>
    <w:p>
      <w:pPr>
        <w:pStyle w:val="67"/>
        <w:ind w:firstLine="420"/>
        <w:sectPr>
          <w:headerReference r:id="rId17" w:type="default"/>
          <w:footerReference r:id="rId18" w:type="default"/>
          <w:footerReference r:id="rId19" w:type="even"/>
          <w:pgSz w:w="11906" w:h="16838"/>
          <w:pgMar w:top="1928" w:right="1134" w:bottom="1134" w:left="1134" w:header="1418" w:footer="1134" w:gutter="284"/>
          <w:pgNumType w:fmt="upperRoman" w:start="3"/>
          <w:cols w:space="425" w:num="1"/>
          <w:formProt w:val="0"/>
          <w:docGrid w:type="lines" w:linePitch="312" w:charSpace="0"/>
        </w:sectPr>
      </w:pPr>
    </w:p>
    <w:p>
      <w:pPr>
        <w:pStyle w:val="67"/>
        <w:ind w:firstLine="420"/>
        <w:sectPr>
          <w:headerReference r:id="rId20" w:type="default"/>
          <w:footerReference r:id="rId22" w:type="default"/>
          <w:headerReference r:id="rId21" w:type="even"/>
          <w:footerReference r:id="rId23" w:type="even"/>
          <w:pgSz w:w="11906" w:h="16838"/>
          <w:pgMar w:top="1928" w:right="1134" w:bottom="1134" w:left="1134" w:header="1418" w:footer="1134" w:gutter="284"/>
          <w:pgNumType w:fmt="upperRoman"/>
          <w:cols w:space="425" w:num="1"/>
          <w:formProt w:val="0"/>
          <w:docGrid w:type="lines" w:linePitch="312" w:charSpace="0"/>
        </w:sectPr>
      </w:pPr>
    </w:p>
    <w:bookmarkEnd w:id="11"/>
    <w:p>
      <w:pPr>
        <w:spacing w:line="20" w:lineRule="exact"/>
        <w:jc w:val="center"/>
        <w:rPr>
          <w:rFonts w:ascii="黑体" w:hAnsi="黑体" w:eastAsia="黑体"/>
          <w:sz w:val="32"/>
          <w:szCs w:val="32"/>
        </w:rPr>
      </w:pPr>
      <w:bookmarkStart w:id="12" w:name="BookMark4"/>
    </w:p>
    <w:p>
      <w:pPr>
        <w:spacing w:line="20" w:lineRule="exact"/>
        <w:jc w:val="center"/>
        <w:rPr>
          <w:rFonts w:ascii="黑体" w:hAnsi="黑体" w:eastAsia="黑体"/>
          <w:sz w:val="32"/>
          <w:szCs w:val="32"/>
        </w:rPr>
      </w:pPr>
    </w:p>
    <w:sdt>
      <w:sdtPr>
        <w:tag w:val="NEW_STAND_NAME"/>
        <w:id w:val="595910757"/>
        <w:lock w:val="sdtLocked"/>
        <w:placeholder>
          <w:docPart w:val="{fd4ac1ee-738a-4e2b-9bbe-80023e1b9ed5}"/>
        </w:placeholder>
      </w:sdtPr>
      <w:sdtContent>
        <w:p>
          <w:pPr>
            <w:pStyle w:val="76"/>
            <w:keepNext w:val="0"/>
            <w:keepLines w:val="0"/>
            <w:pageBreakBefore w:val="0"/>
            <w:widowControl/>
            <w:kinsoku/>
            <w:wordWrap/>
            <w:overflowPunct/>
            <w:topLinePunct w:val="0"/>
            <w:autoSpaceDE/>
            <w:autoSpaceDN/>
            <w:bidi w:val="0"/>
            <w:adjustRightInd/>
            <w:snapToGrid/>
            <w:spacing w:before="567" w:after="680"/>
            <w:textAlignment w:val="auto"/>
          </w:pPr>
          <w:bookmarkStart w:id="13" w:name="NEW_STAND_NAME"/>
          <w:r>
            <w:rPr>
              <w:rFonts w:hint="eastAsia"/>
            </w:rPr>
            <w:t>职业教育产业学院建设与运行规范</w:t>
          </w:r>
        </w:p>
      </w:sdtContent>
    </w:sdt>
    <w:bookmarkEnd w:id="13"/>
    <w:p>
      <w:pPr>
        <w:pStyle w:val="66"/>
        <w:spacing w:before="312" w:after="312"/>
      </w:pPr>
      <w:bookmarkStart w:id="14" w:name="_Toc26648465"/>
      <w:bookmarkStart w:id="15" w:name="_Toc152706991"/>
      <w:bookmarkStart w:id="16" w:name="_Toc26986771"/>
      <w:bookmarkStart w:id="17" w:name="_Toc26986530"/>
      <w:bookmarkStart w:id="18" w:name="_Toc97191423"/>
      <w:bookmarkStart w:id="19" w:name="_Toc131584364"/>
      <w:bookmarkStart w:id="20" w:name="_Toc159941987"/>
      <w:bookmarkStart w:id="21" w:name="_Toc26718930"/>
      <w:bookmarkStart w:id="22" w:name="_Toc24801"/>
      <w:bookmarkStart w:id="23" w:name="_Toc24884211"/>
      <w:bookmarkStart w:id="24" w:name="_Toc17233333"/>
      <w:bookmarkStart w:id="25" w:name="_Toc150325730"/>
      <w:bookmarkStart w:id="26" w:name="_Toc17233325"/>
      <w:bookmarkStart w:id="27" w:name="_Toc152706923"/>
      <w:bookmarkStart w:id="28" w:name="_Toc24884218"/>
      <w:bookmarkStart w:id="29" w:name="_Toc131583306"/>
      <w:r>
        <w:rPr>
          <w:rFonts w:hint="eastAsia"/>
        </w:rPr>
        <w:t>范围</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67"/>
        <w:ind w:firstLine="420"/>
      </w:pPr>
      <w:bookmarkStart w:id="30" w:name="_Toc17233334"/>
      <w:bookmarkStart w:id="31" w:name="_Toc24884212"/>
      <w:bookmarkStart w:id="32" w:name="_Toc26648466"/>
      <w:bookmarkStart w:id="33" w:name="_Toc17233326"/>
      <w:bookmarkStart w:id="34" w:name="_Toc24884219"/>
      <w:r>
        <w:rPr>
          <w:rFonts w:hint="eastAsia"/>
        </w:rPr>
        <w:t>本文件规定了职业教育产业学院建设与运行的总体原则、建设要求、组织机构与职责、人员管理、运行管理、评价与改进等内容。</w:t>
      </w:r>
    </w:p>
    <w:p>
      <w:pPr>
        <w:pStyle w:val="67"/>
        <w:ind w:firstLine="420"/>
      </w:pPr>
      <w:r>
        <w:rPr>
          <w:rFonts w:hint="eastAsia"/>
        </w:rPr>
        <w:t>本文件适用于</w:t>
      </w:r>
      <w:bookmarkStart w:id="187" w:name="_GoBack"/>
      <w:bookmarkEnd w:id="187"/>
      <w:r>
        <w:rPr>
          <w:rFonts w:hint="eastAsia"/>
        </w:rPr>
        <w:t>职业教育领域内各个主体单位对产业学院的建设运行管理等工作，其他校企合作平台的建设运行等工作可参照执行。</w:t>
      </w:r>
    </w:p>
    <w:p>
      <w:pPr>
        <w:pStyle w:val="66"/>
        <w:spacing w:before="312" w:after="312"/>
      </w:pPr>
      <w:bookmarkStart w:id="35" w:name="_Toc150325731"/>
      <w:bookmarkStart w:id="36" w:name="_Toc26718931"/>
      <w:bookmarkStart w:id="37" w:name="_Toc26986531"/>
      <w:bookmarkStart w:id="38" w:name="_Toc31933"/>
      <w:bookmarkStart w:id="39" w:name="_Toc131583307"/>
      <w:bookmarkStart w:id="40" w:name="_Toc152706924"/>
      <w:bookmarkStart w:id="41" w:name="_Toc131584365"/>
      <w:bookmarkStart w:id="42" w:name="_Toc152706992"/>
      <w:bookmarkStart w:id="43" w:name="_Toc26986772"/>
      <w:bookmarkStart w:id="44" w:name="_Toc159941988"/>
      <w:bookmarkStart w:id="45" w:name="_Toc97191424"/>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0c2a7c80-663a-4454-9a26-10127bbe213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7"/>
            <w:ind w:firstLine="420"/>
          </w:pPr>
          <w:r>
            <w:rPr>
              <w:rFonts w:hint="eastAsia"/>
            </w:rPr>
            <w:t>本文件没有规范性引用文件。</w:t>
          </w:r>
        </w:p>
      </w:sdtContent>
    </w:sdt>
    <w:p>
      <w:pPr>
        <w:pStyle w:val="66"/>
        <w:spacing w:before="312" w:after="312"/>
      </w:pPr>
      <w:bookmarkStart w:id="46" w:name="_Toc150325732"/>
      <w:bookmarkStart w:id="47" w:name="_Toc152706993"/>
      <w:bookmarkStart w:id="48" w:name="_Toc97191425"/>
      <w:bookmarkStart w:id="49" w:name="_Toc131584366"/>
      <w:bookmarkStart w:id="50" w:name="_Toc131583308"/>
      <w:bookmarkStart w:id="51" w:name="_Toc152706925"/>
      <w:bookmarkStart w:id="52" w:name="_Toc159941989"/>
      <w:bookmarkStart w:id="53" w:name="_Toc4304"/>
      <w:r>
        <w:rPr>
          <w:rFonts w:hint="eastAsia"/>
        </w:rPr>
        <w:t>术语和定义</w:t>
      </w:r>
      <w:bookmarkEnd w:id="46"/>
      <w:bookmarkEnd w:id="47"/>
      <w:bookmarkEnd w:id="48"/>
      <w:bookmarkEnd w:id="49"/>
      <w:bookmarkEnd w:id="50"/>
      <w:bookmarkEnd w:id="51"/>
      <w:bookmarkEnd w:id="52"/>
      <w:bookmarkEnd w:id="53"/>
    </w:p>
    <w:sdt>
      <w:sdtPr>
        <w:rPr>
          <w:rFonts w:hint="eastAsia"/>
        </w:rPr>
        <w:id w:val="-1909835108"/>
        <w:placeholder>
          <w:docPart w:val="{d5378aef-d489-4766-bb44-1d0a86de918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pPr>
            <w:pStyle w:val="67"/>
            <w:ind w:firstLine="420"/>
          </w:pPr>
          <w:bookmarkStart w:id="54" w:name="_Toc26986532"/>
          <w:bookmarkEnd w:id="54"/>
          <w:r>
            <w:rPr>
              <w:rFonts w:hint="eastAsia"/>
            </w:rPr>
            <w:t>下列术语和定义适用于本文件。</w:t>
          </w:r>
        </w:p>
      </w:sdtContent>
    </w:sdt>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pPr>
      <w:bookmarkStart w:id="55" w:name="_Toc28494"/>
      <w:bookmarkEnd w:id="55"/>
    </w:p>
    <w:p>
      <w:pPr>
        <w:pStyle w:val="63"/>
        <w:numPr>
          <w:ilvl w:val="2"/>
          <w:numId w:val="0"/>
        </w:numPr>
        <w:ind w:left="420" w:leftChars="0"/>
        <w:rPr>
          <w:rFonts w:hint="eastAsia" w:ascii="黑体" w:hAnsi="黑体" w:eastAsia="黑体" w:cs="黑体"/>
        </w:rPr>
      </w:pPr>
      <w:r>
        <w:rPr>
          <w:rFonts w:hint="eastAsia" w:ascii="黑体" w:hAnsi="黑体" w:eastAsia="黑体" w:cs="黑体"/>
        </w:rPr>
        <w:t>职业教育  vocational education</w:t>
      </w:r>
    </w:p>
    <w:p>
      <w:pPr>
        <w:pStyle w:val="67"/>
        <w:keepNext w:val="0"/>
        <w:keepLines w:val="0"/>
        <w:pageBreakBefore w:val="0"/>
        <w:widowControl/>
        <w:kinsoku/>
        <w:wordWrap/>
        <w:overflowPunct/>
        <w:topLinePunct w:val="0"/>
        <w:autoSpaceDE w:val="0"/>
        <w:autoSpaceDN w:val="0"/>
        <w:bidi w:val="0"/>
        <w:adjustRightInd/>
        <w:snapToGrid/>
        <w:ind w:firstLine="420"/>
        <w:textAlignment w:val="auto"/>
      </w:pPr>
      <w:r>
        <w:rPr>
          <w:rFonts w:hint="eastAsia"/>
        </w:rPr>
        <w:t>让受教育者获得某种职业或生产劳动所需要的职业知识、技能和职业道德的教育。</w:t>
      </w:r>
    </w:p>
    <w:p>
      <w:pPr>
        <w:pStyle w:val="67"/>
        <w:keepNext w:val="0"/>
        <w:keepLines w:val="0"/>
        <w:pageBreakBefore w:val="0"/>
        <w:widowControl/>
        <w:kinsoku/>
        <w:wordWrap/>
        <w:overflowPunct/>
        <w:topLinePunct w:val="0"/>
        <w:autoSpaceDE w:val="0"/>
        <w:autoSpaceDN w:val="0"/>
        <w:bidi w:val="0"/>
        <w:adjustRightInd/>
        <w:snapToGrid/>
        <w:ind w:firstLine="420"/>
        <w:textAlignment w:val="auto"/>
      </w:pPr>
      <w:r>
        <w:rPr>
          <w:rFonts w:hint="eastAsia"/>
        </w:rPr>
        <w:t>[来源：DB3205/T 1003-2020,3.1]</w:t>
      </w:r>
    </w:p>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pPr>
      <w:bookmarkStart w:id="56" w:name="_Toc20131"/>
      <w:bookmarkEnd w:id="56"/>
    </w:p>
    <w:p>
      <w:pPr>
        <w:pStyle w:val="63"/>
        <w:numPr>
          <w:ilvl w:val="2"/>
          <w:numId w:val="0"/>
        </w:numPr>
        <w:ind w:left="420" w:leftChars="0"/>
        <w:rPr>
          <w:rFonts w:hint="eastAsia" w:ascii="黑体" w:hAnsi="黑体" w:eastAsia="黑体" w:cs="黑体"/>
        </w:rPr>
      </w:pPr>
      <w:r>
        <w:rPr>
          <w:rFonts w:hint="eastAsia" w:ascii="黑体" w:hAnsi="黑体" w:eastAsia="黑体" w:cs="黑体"/>
        </w:rPr>
        <w:t>产业学院  industrial college</w:t>
      </w:r>
    </w:p>
    <w:p>
      <w:pPr>
        <w:pStyle w:val="67"/>
        <w:ind w:firstLine="420"/>
      </w:pPr>
      <w:r>
        <w:rPr>
          <w:rFonts w:hint="eastAsia"/>
        </w:rPr>
        <w:t>基于产教融合、校企合作的新型办学模式，构建职业教育与产业集群联动发展机制，打造融合人才培养、科学研究、技术创新、企业服务、学生创新等功能于一体的新型人才培养的学院。</w:t>
      </w:r>
    </w:p>
    <w:p>
      <w:pPr>
        <w:pStyle w:val="66"/>
        <w:spacing w:before="312" w:after="312"/>
      </w:pPr>
      <w:bookmarkStart w:id="57" w:name="_Toc8040"/>
      <w:bookmarkStart w:id="58" w:name="_Toc152706994"/>
      <w:bookmarkStart w:id="59" w:name="_Toc152706926"/>
      <w:bookmarkStart w:id="60" w:name="_Toc159941990"/>
      <w:bookmarkStart w:id="61" w:name="_Toc131584367"/>
      <w:bookmarkStart w:id="62" w:name="_Toc131583309"/>
      <w:bookmarkStart w:id="63" w:name="_Toc150325733"/>
      <w:r>
        <w:rPr>
          <w:rFonts w:hint="eastAsia"/>
        </w:rPr>
        <w:t>总体原则</w:t>
      </w:r>
      <w:bookmarkEnd w:id="57"/>
      <w:bookmarkEnd w:id="58"/>
      <w:bookmarkEnd w:id="59"/>
      <w:bookmarkEnd w:id="60"/>
      <w:bookmarkEnd w:id="61"/>
      <w:bookmarkEnd w:id="62"/>
      <w:bookmarkEnd w:id="63"/>
    </w:p>
    <w:p>
      <w:pPr>
        <w:pStyle w:val="65"/>
      </w:pPr>
      <w:bookmarkStart w:id="64" w:name="_Toc131583310"/>
      <w:bookmarkStart w:id="65" w:name="_Toc825"/>
      <w:bookmarkStart w:id="66" w:name="_Toc152706927"/>
      <w:bookmarkStart w:id="67" w:name="_Toc152706995"/>
      <w:bookmarkStart w:id="68" w:name="_Toc150325734"/>
      <w:bookmarkStart w:id="69" w:name="_Toc131584368"/>
      <w:bookmarkStart w:id="70" w:name="_Toc159941991"/>
      <w:r>
        <w:rPr>
          <w:rFonts w:hint="eastAsia"/>
        </w:rPr>
        <w:t>产业导向</w:t>
      </w:r>
      <w:bookmarkEnd w:id="64"/>
      <w:bookmarkEnd w:id="65"/>
      <w:bookmarkEnd w:id="66"/>
      <w:bookmarkEnd w:id="67"/>
      <w:bookmarkEnd w:id="68"/>
      <w:bookmarkEnd w:id="69"/>
      <w:bookmarkEnd w:id="70"/>
    </w:p>
    <w:p>
      <w:pPr>
        <w:pStyle w:val="68"/>
      </w:pPr>
      <w:r>
        <w:rPr>
          <w:rFonts w:hint="eastAsia"/>
        </w:rPr>
        <w:t>根据区域内重点产业（重点产业集群和重点产业领域）发展需求，培养具备职业高素养和职业高技能的相关人员。</w:t>
      </w:r>
    </w:p>
    <w:p>
      <w:pPr>
        <w:pStyle w:val="68"/>
      </w:pPr>
      <w:r>
        <w:rPr>
          <w:rFonts w:hint="eastAsia"/>
        </w:rPr>
        <w:t>满足产业和区域经济发展需求，培养人才、孵化项目、协同科研和服务的职业教育，促成产业学院的建设，服务于产业发展。</w:t>
      </w:r>
    </w:p>
    <w:p>
      <w:pPr>
        <w:pStyle w:val="65"/>
      </w:pPr>
      <w:bookmarkStart w:id="71" w:name="_Toc131584369"/>
      <w:bookmarkStart w:id="72" w:name="_Toc131583311"/>
      <w:bookmarkStart w:id="73" w:name="_Toc150325735"/>
      <w:bookmarkStart w:id="74" w:name="_Toc159941992"/>
      <w:bookmarkStart w:id="75" w:name="_Toc152706996"/>
      <w:bookmarkStart w:id="76" w:name="_Toc152706928"/>
      <w:bookmarkStart w:id="77" w:name="_Toc11801"/>
      <w:r>
        <w:rPr>
          <w:rFonts w:hint="eastAsia"/>
        </w:rPr>
        <w:t>人才培养</w:t>
      </w:r>
      <w:bookmarkEnd w:id="71"/>
      <w:bookmarkEnd w:id="72"/>
      <w:bookmarkEnd w:id="73"/>
      <w:bookmarkEnd w:id="74"/>
      <w:bookmarkEnd w:id="75"/>
      <w:bookmarkEnd w:id="76"/>
      <w:bookmarkEnd w:id="77"/>
    </w:p>
    <w:p>
      <w:pPr>
        <w:pStyle w:val="68"/>
      </w:pPr>
      <w:r>
        <w:rPr>
          <w:rFonts w:hint="eastAsia"/>
        </w:rPr>
        <w:t>依据政府、企业、行业、社会对人才的需求，坚持以学生为主体，以质量为中心，培养符合区域经济转型及产业结构升级的高素质技术技能人才。</w:t>
      </w:r>
    </w:p>
    <w:p>
      <w:pPr>
        <w:pStyle w:val="68"/>
      </w:pPr>
      <w:r>
        <w:rPr>
          <w:rFonts w:hint="eastAsia"/>
        </w:rPr>
        <w:t>注重应用型、创新型、复合型人才的培养，为培养素质高、能力强的技术技能人才创造良好的学习条件和实践环境。</w:t>
      </w:r>
    </w:p>
    <w:p>
      <w:pPr>
        <w:pStyle w:val="65"/>
      </w:pPr>
      <w:bookmarkStart w:id="78" w:name="_Toc152706997"/>
      <w:bookmarkStart w:id="79" w:name="_Toc24684"/>
      <w:bookmarkStart w:id="80" w:name="_Toc159941993"/>
      <w:bookmarkStart w:id="81" w:name="_Toc152706929"/>
      <w:r>
        <w:rPr>
          <w:rFonts w:hint="eastAsia"/>
        </w:rPr>
        <w:t>技术创新</w:t>
      </w:r>
      <w:bookmarkEnd w:id="78"/>
      <w:bookmarkEnd w:id="79"/>
      <w:bookmarkEnd w:id="80"/>
      <w:bookmarkEnd w:id="81"/>
    </w:p>
    <w:p>
      <w:pPr>
        <w:pStyle w:val="68"/>
      </w:pPr>
      <w:r>
        <w:rPr>
          <w:rFonts w:hint="eastAsia"/>
        </w:rPr>
        <w:t>发挥高校与地方政府、行业协会、企业单位等多方资源优势，建设技术技能创新平台。</w:t>
      </w:r>
    </w:p>
    <w:p>
      <w:pPr>
        <w:pStyle w:val="68"/>
      </w:pPr>
      <w:r>
        <w:rPr>
          <w:rFonts w:hint="eastAsia"/>
        </w:rPr>
        <w:t>以行业的技术发展需求为基础</w:t>
      </w:r>
      <w:r>
        <w:rPr>
          <w:rFonts w:hint="eastAsia"/>
          <w:lang w:eastAsia="zh-CN"/>
        </w:rPr>
        <w:t>，</w:t>
      </w:r>
      <w:r>
        <w:rPr>
          <w:rFonts w:hint="eastAsia"/>
        </w:rPr>
        <w:t>与企业联合开展产品开发、成果应用与推广、标准制定等活动。</w:t>
      </w:r>
    </w:p>
    <w:p>
      <w:pPr>
        <w:pStyle w:val="68"/>
      </w:pPr>
      <w:r>
        <w:rPr>
          <w:rFonts w:hint="eastAsia"/>
        </w:rPr>
        <w:t>产业学院宜推进课题研讨、技术攻关、新产品开发和成果转化等内容。</w:t>
      </w:r>
    </w:p>
    <w:p>
      <w:pPr>
        <w:pStyle w:val="68"/>
      </w:pPr>
      <w:r>
        <w:rPr>
          <w:rFonts w:hint="eastAsia"/>
        </w:rPr>
        <w:t>提升产业技术创新能力和强化技术创新，促进产业发展，助推产业转型升级，实现产业学院可持续、内涵式创新发展。</w:t>
      </w:r>
    </w:p>
    <w:p>
      <w:pPr>
        <w:pStyle w:val="65"/>
      </w:pPr>
      <w:bookmarkStart w:id="82" w:name="_Toc20174"/>
      <w:bookmarkStart w:id="83" w:name="_Toc131584370"/>
      <w:bookmarkStart w:id="84" w:name="_Toc150325736"/>
      <w:bookmarkStart w:id="85" w:name="_Toc152706930"/>
      <w:bookmarkStart w:id="86" w:name="_Toc152706998"/>
      <w:bookmarkStart w:id="87" w:name="_Toc159941994"/>
      <w:bookmarkStart w:id="88" w:name="_Toc131583312"/>
      <w:r>
        <w:rPr>
          <w:rFonts w:hint="eastAsia"/>
        </w:rPr>
        <w:t>产教融合</w:t>
      </w:r>
      <w:bookmarkEnd w:id="82"/>
      <w:bookmarkEnd w:id="83"/>
      <w:bookmarkEnd w:id="84"/>
      <w:bookmarkEnd w:id="85"/>
      <w:bookmarkEnd w:id="86"/>
      <w:bookmarkEnd w:id="87"/>
      <w:bookmarkEnd w:id="88"/>
    </w:p>
    <w:p>
      <w:pPr>
        <w:pStyle w:val="68"/>
      </w:pPr>
      <w:r>
        <w:rPr>
          <w:rFonts w:hint="eastAsia"/>
        </w:rPr>
        <w:t>以产业需求为导向，对接人才培养与政府、企业和社会的期盼，实现合作各方的优势互补。</w:t>
      </w:r>
    </w:p>
    <w:p>
      <w:pPr>
        <w:pStyle w:val="68"/>
      </w:pPr>
      <w:r>
        <w:rPr>
          <w:rFonts w:hint="eastAsia"/>
        </w:rPr>
        <w:t>宜探索一流应用型、创新型和复合型技术技能人才培养模式，提高产业的服务能力。</w:t>
      </w:r>
    </w:p>
    <w:p>
      <w:pPr>
        <w:pStyle w:val="66"/>
        <w:spacing w:before="312" w:after="312"/>
      </w:pPr>
      <w:bookmarkStart w:id="89" w:name="_Toc152706999"/>
      <w:bookmarkStart w:id="90" w:name="_Toc131583313"/>
      <w:bookmarkStart w:id="91" w:name="_Toc131584371"/>
      <w:bookmarkStart w:id="92" w:name="_Toc152706931"/>
      <w:bookmarkStart w:id="93" w:name="_Toc150325737"/>
      <w:bookmarkStart w:id="94" w:name="_Toc22793"/>
      <w:bookmarkStart w:id="95" w:name="_Toc159941995"/>
      <w:r>
        <w:rPr>
          <w:rFonts w:hint="eastAsia"/>
        </w:rPr>
        <w:t>建设</w:t>
      </w:r>
      <w:bookmarkEnd w:id="89"/>
      <w:bookmarkEnd w:id="90"/>
      <w:bookmarkEnd w:id="91"/>
      <w:bookmarkEnd w:id="92"/>
      <w:bookmarkEnd w:id="93"/>
      <w:r>
        <w:rPr>
          <w:rFonts w:hint="eastAsia"/>
        </w:rPr>
        <w:t>要求</w:t>
      </w:r>
      <w:bookmarkEnd w:id="94"/>
      <w:bookmarkEnd w:id="95"/>
    </w:p>
    <w:p>
      <w:pPr>
        <w:pStyle w:val="65"/>
      </w:pPr>
      <w:bookmarkStart w:id="96" w:name="_Toc159941996"/>
      <w:bookmarkStart w:id="97" w:name="_Toc18919"/>
      <w:r>
        <w:rPr>
          <w:rFonts w:hint="eastAsia"/>
        </w:rPr>
        <w:t>建设模式</w:t>
      </w:r>
      <w:bookmarkEnd w:id="96"/>
      <w:bookmarkEnd w:id="97"/>
    </w:p>
    <w:p>
      <w:pPr>
        <w:pStyle w:val="67"/>
        <w:ind w:firstLine="420"/>
      </w:pPr>
      <w:r>
        <w:rPr>
          <w:rFonts w:hint="eastAsia"/>
        </w:rPr>
        <w:t>以职业院校与企业单位为主体建立理事会治理模式，根据需求可增加地方政府和行业协会作为主体，实行理事会领导下的院长负责制，形成共建共管的组织架构，见图1。</w:t>
      </w:r>
    </w:p>
    <w:p>
      <w:pPr>
        <w:pStyle w:val="64"/>
        <w:numPr>
          <w:ilvl w:val="2"/>
          <w:numId w:val="0"/>
        </w:numPr>
        <w:ind w:left="210" w:leftChars="0"/>
        <w:jc w:val="center"/>
        <w:rPr>
          <w:rFonts w:cs="宋体"/>
          <w:color w:val="000000" w:themeColor="text1"/>
          <w:sz w:val="24"/>
          <w:szCs w:val="24"/>
          <w14:textFill>
            <w14:solidFill>
              <w14:schemeClr w14:val="tx1"/>
            </w14:solidFill>
          </w14:textFill>
        </w:rPr>
      </w:pPr>
      <w:r>
        <mc:AlternateContent>
          <mc:Choice Requires="wpc">
            <w:drawing>
              <wp:inline distT="0" distB="0" distL="0" distR="0">
                <wp:extent cx="5539740" cy="4025265"/>
                <wp:effectExtent l="0" t="0" r="0" b="0"/>
                <wp:docPr id="29" name="画布 29"/>
                <wp:cNvGraphicFramePr>
                  <a:graphicFrameLocks xmlns:a="http://schemas.openxmlformats.org/drawingml/2006/main" noChangeAspect="true"/>
                </wp:cNvGraphicFramePr>
                <a:graphic xmlns:a="http://schemas.openxmlformats.org/drawingml/2006/main">
                  <a:graphicData uri="http://schemas.microsoft.com/office/word/2010/wordprocessingCanvas">
                    <wpc:wpc>
                      <wpc:bg/>
                      <wpc:whole/>
                      <wps:wsp>
                        <wps:cNvPr id="30" name="圆角矩形 33"/>
                        <wps:cNvSpPr/>
                        <wps:spPr>
                          <a:xfrm>
                            <a:off x="1811245" y="119760"/>
                            <a:ext cx="1799590" cy="504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产业学院</w:t>
                              </w:r>
                            </w:p>
                            <w:p>
                              <w:pPr>
                                <w:pStyle w:val="18"/>
                                <w:spacing w:before="0" w:beforeAutospacing="0" w:after="0" w:afterAutospacing="0"/>
                                <w:jc w:val="center"/>
                              </w:pPr>
                              <w:r>
                                <w:rPr>
                                  <w:rFonts w:hAnsi="Times New Roman" w:cs="Times New Roman"/>
                                  <w:color w:val="000000"/>
                                  <w:kern w:val="24"/>
                                  <w:sz w:val="15"/>
                                  <w:szCs w:val="15"/>
                                </w:rPr>
                                <w:t>（政、行、企、校共建）</w:t>
                              </w:r>
                            </w:p>
                          </w:txbxContent>
                        </wps:txbx>
                        <wps:bodyPr wrap="square" rtlCol="0" anchor="ctr">
                          <a:noAutofit/>
                        </wps:bodyPr>
                      </wps:wsp>
                      <wps:wsp>
                        <wps:cNvPr id="35" name="圆角矩形 35"/>
                        <wps:cNvSpPr/>
                        <wps:spPr>
                          <a:xfrm>
                            <a:off x="1803270" y="894565"/>
                            <a:ext cx="1799590" cy="504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产业学院理事会</w:t>
                              </w:r>
                            </w:p>
                            <w:p>
                              <w:pPr>
                                <w:pStyle w:val="18"/>
                                <w:spacing w:before="0" w:beforeAutospacing="0" w:after="0" w:afterAutospacing="0"/>
                                <w:jc w:val="center"/>
                              </w:pPr>
                              <w:r>
                                <w:rPr>
                                  <w:rFonts w:hAnsi="Times New Roman" w:cs="Times New Roman"/>
                                  <w:color w:val="000000"/>
                                  <w:kern w:val="24"/>
                                  <w:sz w:val="15"/>
                                  <w:szCs w:val="15"/>
                                </w:rPr>
                                <w:t>（理事长、副理事长、理事）</w:t>
                              </w:r>
                            </w:p>
                          </w:txbxContent>
                        </wps:txbx>
                        <wps:bodyPr wrap="square" rtlCol="0" anchor="ctr"/>
                      </wps:wsp>
                      <wps:wsp>
                        <wps:cNvPr id="36" name="直接连接符 36"/>
                        <wps:cNvCnPr/>
                        <wps:spPr>
                          <a:xfrm>
                            <a:off x="2697985" y="646150"/>
                            <a:ext cx="0" cy="216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 name="直接连接符 41"/>
                        <wps:cNvCnPr/>
                        <wps:spPr>
                          <a:xfrm>
                            <a:off x="2690670" y="1421565"/>
                            <a:ext cx="0" cy="2159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 name="圆角矩形 42"/>
                        <wps:cNvSpPr/>
                        <wps:spPr>
                          <a:xfrm>
                            <a:off x="1809205" y="1674234"/>
                            <a:ext cx="1765466" cy="494006"/>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院长、副院长</w:t>
                              </w:r>
                            </w:p>
                            <w:p>
                              <w:pPr>
                                <w:pStyle w:val="18"/>
                                <w:spacing w:before="0" w:beforeAutospacing="0" w:after="0" w:afterAutospacing="0"/>
                                <w:jc w:val="center"/>
                              </w:pPr>
                              <w:r>
                                <w:rPr>
                                  <w:rFonts w:hAnsi="Times New Roman" w:cs="Times New Roman"/>
                                  <w:color w:val="000000"/>
                                  <w:kern w:val="24"/>
                                  <w:sz w:val="15"/>
                                  <w:szCs w:val="15"/>
                                </w:rPr>
                                <w:t>（行业、企业、学校）</w:t>
                              </w:r>
                            </w:p>
                          </w:txbxContent>
                        </wps:txbx>
                        <wps:bodyPr wrap="square" rtlCol="0" anchor="ctr"/>
                      </wps:wsp>
                      <wps:wsp>
                        <wps:cNvPr id="43" name="圆角矩形 43"/>
                        <wps:cNvSpPr/>
                        <wps:spPr>
                          <a:xfrm>
                            <a:off x="3876647" y="1695270"/>
                            <a:ext cx="1188000" cy="494006"/>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专家咨询委员会</w:t>
                              </w:r>
                            </w:p>
                          </w:txbxContent>
                        </wps:txbx>
                        <wps:bodyPr wrap="square" rtlCol="0" anchor="ctr"/>
                      </wps:wsp>
                      <wps:wsp>
                        <wps:cNvPr id="44" name="直接连接符 44"/>
                        <wps:cNvCnPr/>
                        <wps:spPr>
                          <a:xfrm flipH="true">
                            <a:off x="3593407" y="1923273"/>
                            <a:ext cx="252000" cy="249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 name="圆角矩形 45"/>
                        <wps:cNvSpPr/>
                        <wps:spPr>
                          <a:xfrm>
                            <a:off x="314545" y="1680177"/>
                            <a:ext cx="1188000" cy="494007"/>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秘书处</w:t>
                              </w:r>
                            </w:p>
                            <w:p>
                              <w:pPr>
                                <w:pStyle w:val="18"/>
                                <w:spacing w:before="0" w:beforeAutospacing="0" w:after="0" w:afterAutospacing="0"/>
                                <w:jc w:val="center"/>
                              </w:pPr>
                              <w:r>
                                <w:rPr>
                                  <w:rFonts w:hAnsi="Times New Roman" w:cs="Times New Roman"/>
                                  <w:color w:val="000000"/>
                                  <w:kern w:val="24"/>
                                  <w:sz w:val="15"/>
                                  <w:szCs w:val="15"/>
                                </w:rPr>
                                <w:t>（秘书长）</w:t>
                              </w:r>
                            </w:p>
                          </w:txbxContent>
                        </wps:txbx>
                        <wps:bodyPr wrap="square" rtlCol="0" anchor="ctr"/>
                      </wps:wsp>
                      <wps:wsp>
                        <wps:cNvPr id="46" name="直接连接符 46"/>
                        <wps:cNvCnPr/>
                        <wps:spPr>
                          <a:xfrm flipH="true">
                            <a:off x="1515121" y="1916279"/>
                            <a:ext cx="288000" cy="249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 name="圆角矩形 47"/>
                        <wps:cNvSpPr/>
                        <wps:spPr>
                          <a:xfrm>
                            <a:off x="170820" y="748614"/>
                            <a:ext cx="5074151" cy="3170237"/>
                          </a:xfrm>
                          <a:prstGeom prst="roundRect">
                            <a:avLst>
                              <a:gd name="adj" fmla="val 11322"/>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48" name="矩形 48"/>
                        <wps:cNvSpPr/>
                        <wps:spPr>
                          <a:xfrm>
                            <a:off x="469851" y="3142128"/>
                            <a:ext cx="1079500" cy="288000"/>
                          </a:xfrm>
                          <a:prstGeom prst="rect">
                            <a:avLst/>
                          </a:prstGeom>
                          <a:noFill/>
                          <a:ln w="1270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rPr>
                                  <w:sz w:val="15"/>
                                  <w:szCs w:val="15"/>
                                </w:rPr>
                              </w:pPr>
                              <w:r>
                                <w:rPr>
                                  <w:rFonts w:hAnsi="Times New Roman" w:cs="Times New Roman"/>
                                  <w:color w:val="000000"/>
                                  <w:kern w:val="24"/>
                                  <w:sz w:val="15"/>
                                  <w:szCs w:val="15"/>
                                </w:rPr>
                                <w:t>人才培养</w:t>
                              </w:r>
                            </w:p>
                          </w:txbxContent>
                        </wps:txbx>
                        <wps:bodyPr wrap="square" rtlCol="0" anchor="ctr"/>
                      </wps:wsp>
                      <wps:wsp>
                        <wps:cNvPr id="49" name="矩形 49"/>
                        <wps:cNvSpPr/>
                        <wps:spPr>
                          <a:xfrm>
                            <a:off x="2176658" y="3158135"/>
                            <a:ext cx="1079500" cy="288000"/>
                          </a:xfrm>
                          <a:prstGeom prst="rect">
                            <a:avLst/>
                          </a:prstGeom>
                          <a:noFill/>
                          <a:ln w="1270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rPr>
                                  <w:sz w:val="15"/>
                                  <w:szCs w:val="15"/>
                                </w:rPr>
                              </w:pPr>
                              <w:r>
                                <w:rPr>
                                  <w:rFonts w:hAnsi="Times New Roman" w:cs="Times New Roman"/>
                                  <w:color w:val="000000"/>
                                  <w:kern w:val="24"/>
                                  <w:sz w:val="15"/>
                                  <w:szCs w:val="15"/>
                                </w:rPr>
                                <w:t>课程资源开发</w:t>
                              </w:r>
                            </w:p>
                          </w:txbxContent>
                        </wps:txbx>
                        <wps:bodyPr wrap="square" rtlCol="0" anchor="ctr"/>
                      </wps:wsp>
                      <wps:wsp>
                        <wps:cNvPr id="50" name="矩形 50"/>
                        <wps:cNvSpPr/>
                        <wps:spPr>
                          <a:xfrm>
                            <a:off x="3910213" y="3143505"/>
                            <a:ext cx="1079500" cy="288000"/>
                          </a:xfrm>
                          <a:prstGeom prst="rect">
                            <a:avLst/>
                          </a:prstGeom>
                          <a:noFill/>
                          <a:ln w="1270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rPr>
                                  <w:rFonts w:hAnsi="Times New Roman" w:cs="Times New Roman"/>
                                  <w:color w:val="000000"/>
                                  <w:kern w:val="24"/>
                                  <w:sz w:val="15"/>
                                  <w:szCs w:val="15"/>
                                </w:rPr>
                              </w:pPr>
                              <w:r>
                                <w:rPr>
                                  <w:rFonts w:hAnsi="Times New Roman" w:cs="Times New Roman"/>
                                  <w:color w:val="000000"/>
                                  <w:kern w:val="24"/>
                                  <w:sz w:val="15"/>
                                  <w:szCs w:val="15"/>
                                </w:rPr>
                                <w:t>师资互聘</w:t>
                              </w:r>
                            </w:p>
                          </w:txbxContent>
                        </wps:txbx>
                        <wps:bodyPr wrap="square" rtlCol="0" anchor="ctr"/>
                      </wps:wsp>
                      <wps:wsp>
                        <wps:cNvPr id="51" name="矩形 51"/>
                        <wps:cNvSpPr/>
                        <wps:spPr>
                          <a:xfrm>
                            <a:off x="464744" y="3492582"/>
                            <a:ext cx="2160000" cy="288000"/>
                          </a:xfrm>
                          <a:prstGeom prst="rect">
                            <a:avLst/>
                          </a:prstGeom>
                          <a:noFill/>
                          <a:ln w="1270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生产性实习实训基地</w:t>
                              </w:r>
                            </w:p>
                          </w:txbxContent>
                        </wps:txbx>
                        <wps:bodyPr wrap="square" rtlCol="0" anchor="ctr"/>
                      </wps:wsp>
                      <wps:wsp>
                        <wps:cNvPr id="52" name="矩形 52"/>
                        <wps:cNvSpPr/>
                        <wps:spPr>
                          <a:xfrm>
                            <a:off x="2849758" y="3486010"/>
                            <a:ext cx="2160000" cy="288000"/>
                          </a:xfrm>
                          <a:prstGeom prst="rect">
                            <a:avLst/>
                          </a:prstGeom>
                          <a:noFill/>
                          <a:ln w="12700">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联合实验室（研发中心）</w:t>
                              </w:r>
                            </w:p>
                          </w:txbxContent>
                        </wps:txbx>
                        <wps:bodyPr wrap="square" rtlCol="0" anchor="ctr"/>
                      </wps:wsp>
                      <wps:wsp>
                        <wps:cNvPr id="53" name="圆角矩形 53"/>
                        <wps:cNvSpPr/>
                        <wps:spPr>
                          <a:xfrm>
                            <a:off x="1818608" y="2431361"/>
                            <a:ext cx="1799590" cy="4320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18"/>
                                <w:spacing w:before="0" w:beforeAutospacing="0" w:after="0" w:afterAutospacing="0"/>
                                <w:jc w:val="center"/>
                              </w:pPr>
                              <w:r>
                                <w:rPr>
                                  <w:rFonts w:hAnsi="Times New Roman" w:cs="Times New Roman"/>
                                  <w:color w:val="000000"/>
                                  <w:kern w:val="24"/>
                                  <w:sz w:val="15"/>
                                  <w:szCs w:val="15"/>
                                </w:rPr>
                                <w:t>混编师资团队</w:t>
                              </w:r>
                            </w:p>
                          </w:txbxContent>
                        </wps:txbx>
                        <wps:bodyPr wrap="square" rtlCol="0" anchor="ctr">
                          <a:noAutofit/>
                        </wps:bodyPr>
                      </wps:wsp>
                      <wps:wsp>
                        <wps:cNvPr id="54" name="直接连接符 54"/>
                        <wps:cNvCnPr/>
                        <wps:spPr>
                          <a:xfrm>
                            <a:off x="2698009" y="2189225"/>
                            <a:ext cx="0" cy="2152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_x0000_s1026" o:spid="_x0000_s1026" o:spt="203" style="height:316.95pt;width:436.2pt;" coordsize="5539740,4025265" editas="canvas" o:gfxdata="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">
                <o:lock v:ext="edit" aspectratio="f"/>
                <v:shape id="_x0000_s1026" o:spid="_x0000_s1026" style="position:absolute;left:0;top:0;height:4025265;width:5539740;" filled="f" stroked="f" coordsize="21600,21600" o:gfxdata="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">
                  <v:fill on="f" focussize="0,0"/>
                  <v:stroke on="f"/>
                  <v:imagedata o:title=""/>
                  <o:lock v:ext="edit" aspectratio="t"/>
                </v:shape>
                <v:roundrect id="圆角矩形 33" o:spid="_x0000_s1026" o:spt="2" style="position:absolute;left:1811245;top:119760;height:504000;width:1799590;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HSC2UNgAAAAFAQAADwAAAAAAAAAB&#10;ACAAAAA4AAAAZHJzL2Rvd25yZXYueG1sUEsBAhQAFAAAAAgAh07iQGRXiOP6AQAArAMAAA4AAAAA&#10;AAAAAQAgAAAAPQEAAGRycy9lMm9Eb2MueG1sUEsFBgAAAAAGAAYAWQEAAKkFA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产业学院</w:t>
                        </w:r>
                      </w:p>
                      <w:p>
                        <w:pPr>
                          <w:pStyle w:val="18"/>
                          <w:spacing w:before="0" w:beforeAutospacing="0" w:after="0" w:afterAutospacing="0"/>
                          <w:jc w:val="center"/>
                        </w:pPr>
                        <w:r>
                          <w:rPr>
                            <w:rFonts w:hAnsi="Times New Roman" w:cs="Times New Roman"/>
                            <w:color w:val="000000"/>
                            <w:kern w:val="24"/>
                            <w:sz w:val="15"/>
                            <w:szCs w:val="15"/>
                          </w:rPr>
                          <w:t>（政、行、企、校共建）</w:t>
                        </w:r>
                      </w:p>
                    </w:txbxContent>
                  </v:textbox>
                </v:roundrect>
                <v:roundrect id="_x0000_s1026" o:spid="_x0000_s1026" o:spt="2" style="position:absolute;left:1803270;top:894565;height:504000;width:1799590;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dILZQ2AAAAAUBAAAPAAAAAAAAAAEAIAAAADgAAABk&#10;cnMvZG93bnJldi54bWxQSwECFAAUAAAACACHTuJApZQN6fABAACSAwAADgAAAAAAAAABACAAAAA9&#10;AQAAZHJzL2Uyb0RvYy54bWxQSwUGAAAAAAYABgBZAQAAnwU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产业学院理事会</w:t>
                        </w:r>
                      </w:p>
                      <w:p>
                        <w:pPr>
                          <w:pStyle w:val="18"/>
                          <w:spacing w:before="0" w:beforeAutospacing="0" w:after="0" w:afterAutospacing="0"/>
                          <w:jc w:val="center"/>
                        </w:pPr>
                        <w:r>
                          <w:rPr>
                            <w:rFonts w:hAnsi="Times New Roman" w:cs="Times New Roman"/>
                            <w:color w:val="000000"/>
                            <w:kern w:val="24"/>
                            <w:sz w:val="15"/>
                            <w:szCs w:val="15"/>
                          </w:rPr>
                          <w:t>（理事长、副理事长、理事）</w:t>
                        </w:r>
                      </w:p>
                    </w:txbxContent>
                  </v:textbox>
                </v:roundrect>
                <v:line id="_x0000_s1026" o:spid="_x0000_s1026" o:spt="20" style="position:absolute;left:2697985;top:646150;height:216000;width:0;" filled="f" stroked="t" coordsize="21600,21600" o:gfxdata="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HZJDqDVAAAABQEAAA8A&#10;AAAAAAAAAQAgAAAAOAAAAGRycy9kb3ducmV2LnhtbFBLAQIUABQAAAAIAIdO4kDQmjcWywEAAFkD&#10;AAAOAAAAAAAAAAEAIAAAADoBAABkcnMvZTJvRG9jLnhtbFBLBQYAAAAABgAGAFkBAAB3BQAAAAA=&#10;">
                  <v:fill on="f" focussize="0,0"/>
                  <v:stroke weight="1.5pt" color="#000000 [3213]" joinstyle="round"/>
                  <v:imagedata o:title=""/>
                  <o:lock v:ext="edit" aspectratio="f"/>
                </v:line>
                <v:line id="_x0000_s1026" o:spid="_x0000_s1026" o:spt="20" style="position:absolute;left:2690670;top:1421565;height:215900;width:0;" filled="f" stroked="t" coordsize="21600,21600" o:gfxdata="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dkkOoNUAAAAFAQAADwAA&#10;AAAAAAABACAAAAA4AAAAZHJzL2Rvd25yZXYueG1sUEsBAhQAFAAAAAgAh07iQJEXNHvKAQAAWgMA&#10;AA4AAAAAAAAAAQAgAAAAOgEAAGRycy9lMm9Eb2MueG1sUEsFBgAAAAAGAAYAWQEAAHYFAAAAAA==&#10;">
                  <v:fill on="f" focussize="0,0"/>
                  <v:stroke weight="1.5pt" color="#000000 [3213]" joinstyle="round"/>
                  <v:imagedata o:title=""/>
                  <o:lock v:ext="edit" aspectratio="f"/>
                </v:line>
                <v:roundrect id="_x0000_s1026" o:spid="_x0000_s1026" o:spt="2" style="position:absolute;left:1809205;top:1674234;height:494006;width:1765466;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&#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AdILZQ2AAAAAUBAAAPAAAAAAAAAAEAIAAAADgAAABk&#10;cnMvZG93bnJldi54bWxQSwECFAAUAAAACACHTuJA3RauA/ABAACTAwAADgAAAAAAAAABACAAAAA9&#10;AQAAZHJzL2Uyb0RvYy54bWxQSwUGAAAAAAYABgBZAQAAnwU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院长、副院长</w:t>
                        </w:r>
                      </w:p>
                      <w:p>
                        <w:pPr>
                          <w:pStyle w:val="18"/>
                          <w:spacing w:before="0" w:beforeAutospacing="0" w:after="0" w:afterAutospacing="0"/>
                          <w:jc w:val="center"/>
                        </w:pPr>
                        <w:r>
                          <w:rPr>
                            <w:rFonts w:hAnsi="Times New Roman" w:cs="Times New Roman"/>
                            <w:color w:val="000000"/>
                            <w:kern w:val="24"/>
                            <w:sz w:val="15"/>
                            <w:szCs w:val="15"/>
                          </w:rPr>
                          <w:t>（行业、企业、学校）</w:t>
                        </w:r>
                      </w:p>
                    </w:txbxContent>
                  </v:textbox>
                </v:roundrect>
                <v:roundrect id="_x0000_s1026" o:spid="_x0000_s1026" o:spt="2" style="position:absolute;left:3876647;top:1695270;height:494006;width:1188000;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&#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B0gtlDYAAAABQEAAA8AAAAAAAAAAQAgAAAAOAAAAGRy&#10;cy9kb3ducmV2LnhtbFBLAQIUABQAAAAIAIdO4kA7qYK97wEAAJMDAAAOAAAAAAAAAAEAIAAAAD0B&#10;AABkcnMvZTJvRG9jLnhtbFBLBQYAAAAABgAGAFkBAACeBQ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专家咨询委员会</w:t>
                        </w:r>
                      </w:p>
                    </w:txbxContent>
                  </v:textbox>
                </v:roundrect>
                <v:line id="_x0000_s1026" o:spid="_x0000_s1026" o:spt="20" style="position:absolute;left:3593407;top:1923273;flip:x;height:2491;width:252000;" filled="f" stroked="t" coordsize="21600,21600" o:gfxdata="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Aw&#10;HOy71gAAAAUBAAAPAAAAAAAAAAEAIAAAADgAAABkcnMvZG93bnJldi54bWxQSwECFAAUAAAACACH&#10;TuJAl2nyGdcBAABqAwAADgAAAAAAAAABACAAAAA7AQAAZHJzL2Uyb0RvYy54bWxQSwUGAAAAAAYA&#10;BgBZAQAAhAUAAAAA&#10;">
                  <v:fill on="f" focussize="0,0"/>
                  <v:stroke weight="1.5pt" color="#000000 [3213]" joinstyle="round"/>
                  <v:imagedata o:title=""/>
                  <o:lock v:ext="edit" aspectratio="f"/>
                </v:line>
                <v:roundrect id="_x0000_s1026" o:spid="_x0000_s1026" o:spt="2" style="position:absolute;left:314545;top:1680177;height:494007;width:1188000;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B0gtlDYAAAABQEAAA8AAAAAAAAAAQAgAAAAOAAAAGRy&#10;cy9kb3ducmV2LnhtbFBLAQIUABQAAAAIAIdO4kDK5Htp7wEAAJIDAAAOAAAAAAAAAAEAIAAAAD0B&#10;AABkcnMvZTJvRG9jLnhtbFBLBQYAAAAABgAGAFkBAACeBQ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秘书处</w:t>
                        </w:r>
                      </w:p>
                      <w:p>
                        <w:pPr>
                          <w:pStyle w:val="18"/>
                          <w:spacing w:before="0" w:beforeAutospacing="0" w:after="0" w:afterAutospacing="0"/>
                          <w:jc w:val="center"/>
                        </w:pPr>
                        <w:r>
                          <w:rPr>
                            <w:rFonts w:hAnsi="Times New Roman" w:cs="Times New Roman"/>
                            <w:color w:val="000000"/>
                            <w:kern w:val="24"/>
                            <w:sz w:val="15"/>
                            <w:szCs w:val="15"/>
                          </w:rPr>
                          <w:t>（秘书长）</w:t>
                        </w:r>
                      </w:p>
                    </w:txbxContent>
                  </v:textbox>
                </v:roundrect>
                <v:line id="_x0000_s1026" o:spid="_x0000_s1026" o:spt="20" style="position:absolute;left:1515121;top:1916279;flip:x;height:2491;width:288000;" filled="f" stroked="t" coordsize="21600,21600" o:gfxdata="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AwHOy7&#10;1gAAAAUBAAAPAAAAAAAAAAEAIAAAADgAAABkcnMvZG93bnJldi54bWxQSwECFAAUAAAACACHTuJA&#10;w8KoUNQBAABqAwAADgAAAAAAAAABACAAAAA7AQAAZHJzL2Uyb0RvYy54bWxQSwUGAAAAAAYABgBZ&#10;AQAAgQUAAAAA&#10;">
                  <v:fill on="f" focussize="0,0"/>
                  <v:stroke weight="1.5pt" color="#000000 [3213]" joinstyle="round"/>
                  <v:imagedata o:title=""/>
                  <o:lock v:ext="edit" aspectratio="f"/>
                </v:line>
                <v:roundrect id="_x0000_s1026" o:spid="_x0000_s1026" o:spt="2" style="position:absolute;left:170820;top:748614;height:3170237;width:5074151;v-text-anchor:middle;" filled="f" stroked="t" coordsize="21600,21600" arcsize="0.113240740740741" o:gfxdata="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m6UmQtIAAAAF&#10;AQAADwAAAAAAAAABACAAAAA4AAAAZHJzL2Rvd25yZXYueG1sUEsBAhQAFAAAAAgAh07iQFX91roM&#10;AgAAzwMAAA4AAAAAAAAAAQAgAAAANwEAAGRycy9lMm9Eb2MueG1sUEsFBgAAAAAGAAYAWQEAALUF&#10;AAAAAA==&#10;">
                  <v:fill on="f" focussize="0,0"/>
                  <v:stroke weight="1.5pt" color="#000000 [3213]" joinstyle="round" dashstyle="3 1"/>
                  <v:imagedata o:title=""/>
                  <o:lock v:ext="edit" aspectratio="f"/>
                </v:roundrect>
                <v:rect id="_x0000_s1026" o:spid="_x0000_s1026" o:spt="1" style="position:absolute;left:469851;top:3142128;height:288000;width:1079500;v-text-anchor:middle;" filled="f" stroked="t" coordsize="21600,21600" o:gfxdata="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GGmkR1gAAAAUBAAAPAAAAAAAAAAEAIAAAADgAAABkcnMvZG93bnJldi54bWxQSwEC&#10;FAAUAAAACACHTuJA2Lz4w+ABAACJAwAADgAAAAAAAAABACAAAAA7AQAAZHJzL2Uyb0RvYy54bWxQ&#10;SwUGAAAAAAYABgBZAQAAjQUAAAAA&#10;">
                  <v:fill on="f" focussize="0,0"/>
                  <v:stroke weight="1pt" color="#000000 [3213]" joinstyle="round" dashstyle="dashDot"/>
                  <v:imagedata o:title=""/>
                  <o:lock v:ext="edit" aspectratio="f"/>
                  <v:textbox>
                    <w:txbxContent>
                      <w:p>
                        <w:pPr>
                          <w:pStyle w:val="18"/>
                          <w:spacing w:before="0" w:beforeAutospacing="0" w:after="0" w:afterAutospacing="0"/>
                          <w:jc w:val="center"/>
                          <w:rPr>
                            <w:sz w:val="15"/>
                            <w:szCs w:val="15"/>
                          </w:rPr>
                        </w:pPr>
                        <w:r>
                          <w:rPr>
                            <w:rFonts w:hAnsi="Times New Roman" w:cs="Times New Roman"/>
                            <w:color w:val="000000"/>
                            <w:kern w:val="24"/>
                            <w:sz w:val="15"/>
                            <w:szCs w:val="15"/>
                          </w:rPr>
                          <w:t>人才培养</w:t>
                        </w:r>
                      </w:p>
                    </w:txbxContent>
                  </v:textbox>
                </v:rect>
                <v:rect id="_x0000_s1026" o:spid="_x0000_s1026" o:spt="1" style="position:absolute;left:2176658;top:3158135;height:288000;width:1079500;v-text-anchor:middle;" filled="f" stroked="t" coordsize="21600,21600" o:gfxdata="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IYaaRHWAAAABQEAAA8AAAAAAAAAAQAgAAAAOAAAAGRycy9kb3ducmV2LnhtbFBL&#10;AQIUABQAAAAIAIdO4kDPAb4l4gEAAIoDAAAOAAAAAAAAAAEAIAAAADsBAABkcnMvZTJvRG9jLnht&#10;bFBLBQYAAAAABgAGAFkBAACPBQAAAAA=&#10;">
                  <v:fill on="f" focussize="0,0"/>
                  <v:stroke weight="1pt" color="#000000 [3213]" joinstyle="round" dashstyle="dashDot"/>
                  <v:imagedata o:title=""/>
                  <o:lock v:ext="edit" aspectratio="f"/>
                  <v:textbox>
                    <w:txbxContent>
                      <w:p>
                        <w:pPr>
                          <w:pStyle w:val="18"/>
                          <w:spacing w:before="0" w:beforeAutospacing="0" w:after="0" w:afterAutospacing="0"/>
                          <w:jc w:val="center"/>
                          <w:rPr>
                            <w:sz w:val="15"/>
                            <w:szCs w:val="15"/>
                          </w:rPr>
                        </w:pPr>
                        <w:r>
                          <w:rPr>
                            <w:rFonts w:hAnsi="Times New Roman" w:cs="Times New Roman"/>
                            <w:color w:val="000000"/>
                            <w:kern w:val="24"/>
                            <w:sz w:val="15"/>
                            <w:szCs w:val="15"/>
                          </w:rPr>
                          <w:t>课程资源开发</w:t>
                        </w:r>
                      </w:p>
                    </w:txbxContent>
                  </v:textbox>
                </v:rect>
                <v:rect id="_x0000_s1026" o:spid="_x0000_s1026" o:spt="1" style="position:absolute;left:3910213;top:3143505;height:288000;width:1079500;v-text-anchor:middle;" filled="f" stroked="t" coordsize="21600,21600" o:gfxdata="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GGmkR1gAAAAUBAAAPAAAAAAAAAAEAIAAAADgAAABkcnMvZG93bnJldi54bWxQSwEC&#10;FAAUAAAACACHTuJAzA2uKeABAACKAwAADgAAAAAAAAABACAAAAA7AQAAZHJzL2Uyb0RvYy54bWxQ&#10;SwUGAAAAAAYABgBZAQAAjQUAAAAA&#10;">
                  <v:fill on="f" focussize="0,0"/>
                  <v:stroke weight="1pt" color="#000000 [3213]" joinstyle="round" dashstyle="dashDot"/>
                  <v:imagedata o:title=""/>
                  <o:lock v:ext="edit" aspectratio="f"/>
                  <v:textbox>
                    <w:txbxContent>
                      <w:p>
                        <w:pPr>
                          <w:pStyle w:val="18"/>
                          <w:spacing w:before="0" w:beforeAutospacing="0" w:after="0" w:afterAutospacing="0"/>
                          <w:jc w:val="center"/>
                          <w:rPr>
                            <w:rFonts w:hAnsi="Times New Roman" w:cs="Times New Roman"/>
                            <w:color w:val="000000"/>
                            <w:kern w:val="24"/>
                            <w:sz w:val="15"/>
                            <w:szCs w:val="15"/>
                          </w:rPr>
                        </w:pPr>
                        <w:r>
                          <w:rPr>
                            <w:rFonts w:hAnsi="Times New Roman" w:cs="Times New Roman"/>
                            <w:color w:val="000000"/>
                            <w:kern w:val="24"/>
                            <w:sz w:val="15"/>
                            <w:szCs w:val="15"/>
                          </w:rPr>
                          <w:t>师资互聘</w:t>
                        </w:r>
                      </w:p>
                    </w:txbxContent>
                  </v:textbox>
                </v:rect>
                <v:rect id="_x0000_s1026" o:spid="_x0000_s1026" o:spt="1" style="position:absolute;left:464744;top:3492582;height:288000;width:2160000;v-text-anchor:middle;" filled="f" stroked="t" coordsize="21600,21600" o:gfxdata="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GGmkR1gAAAAUBAAAPAAAAAAAAAAEAIAAAADgAAABkcnMvZG93bnJldi54bWxQSwEC&#10;FAAUAAAACACHTuJAUxkAouABAACJAwAADgAAAAAAAAABACAAAAA7AQAAZHJzL2Uyb0RvYy54bWxQ&#10;SwUGAAAAAAYABgBZAQAAjQUAAAAA&#10;">
                  <v:fill on="f" focussize="0,0"/>
                  <v:stroke weight="1pt" color="#000000 [3213]" joinstyle="round" dashstyle="dashDot"/>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生产性实习实训基地</w:t>
                        </w:r>
                      </w:p>
                    </w:txbxContent>
                  </v:textbox>
                </v:rect>
                <v:rect id="_x0000_s1026" o:spid="_x0000_s1026" o:spt="1" style="position:absolute;left:2849758;top:3486010;height:288000;width:2160000;v-text-anchor:middle;" filled="f" stroked="t" coordsize="21600,21600" o:gfxdata="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IYaaRHWAAAABQEAAA8AAAAAAAAAAQAgAAAAOAAAAGRycy9kb3ducmV2LnhtbFBLAQIU&#10;ABQAAAAIAIdO4kAjSqGH3wEAAIoDAAAOAAAAAAAAAAEAIAAAADsBAABkcnMvZTJvRG9jLnhtbFBL&#10;BQYAAAAABgAGAFkBAACMBQAAAAA=&#10;">
                  <v:fill on="f" focussize="0,0"/>
                  <v:stroke weight="1pt" color="#000000 [3213]" joinstyle="round" dashstyle="dashDot"/>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联合实验室（研发中心）</w:t>
                        </w:r>
                      </w:p>
                    </w:txbxContent>
                  </v:textbox>
                </v:rect>
                <v:roundrect id="_x0000_s1026" o:spid="_x0000_s1026" o:spt="2" style="position:absolute;left:1818608;top:2431361;height:432000;width:1799590;v-text-anchor:middle;" filled="f" stroked="t" coordsize="21600,21600" arcsize="0.166666666666667" o:gfxdata="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HSC2UNgAAAAFAQAADwAAAAAA&#10;AAABACAAAAA4AAAAZHJzL2Rvd25yZXYueG1sUEsBAhQAFAAAAAgAh07iQLG3rCj9AQAArQMAAA4A&#10;AAAAAAAAAQAgAAAAPQEAAGRycy9lMm9Eb2MueG1sUEsFBgAAAAAGAAYAWQEAAKwFAAAAAA==&#10;">
                  <v:fill on="f" focussize="0,0"/>
                  <v:stroke weight="1pt" color="#000000 [3213]" joinstyle="round"/>
                  <v:imagedata o:title=""/>
                  <o:lock v:ext="edit" aspectratio="f"/>
                  <v:textbox>
                    <w:txbxContent>
                      <w:p>
                        <w:pPr>
                          <w:pStyle w:val="18"/>
                          <w:spacing w:before="0" w:beforeAutospacing="0" w:after="0" w:afterAutospacing="0"/>
                          <w:jc w:val="center"/>
                        </w:pPr>
                        <w:r>
                          <w:rPr>
                            <w:rFonts w:hAnsi="Times New Roman" w:cs="Times New Roman"/>
                            <w:color w:val="000000"/>
                            <w:kern w:val="24"/>
                            <w:sz w:val="15"/>
                            <w:szCs w:val="15"/>
                          </w:rPr>
                          <w:t>混编师资团队</w:t>
                        </w:r>
                      </w:p>
                    </w:txbxContent>
                  </v:textbox>
                </v:roundrect>
                <v:line id="_x0000_s1026" o:spid="_x0000_s1026" o:spt="20" style="position:absolute;left:2698009;top:2189225;height:215265;width:0;" filled="f" stroked="t" coordsize="21600,21600" o:gfxdata="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WAAAAZHJzL1BLAQIUABQAAAAIAIdO4kB2SQ6g1QAAAAUBAAAPAAAA&#10;AAAAAAEAIAAAADgAAABkcnMvZG93bnJldi54bWxQSwECFAAUAAAACACHTuJA91fw8MkBAABaAwAA&#10;DgAAAAAAAAABACAAAAA6AQAAZHJzL2Uyb0RvYy54bWxQSwUGAAAAAAYABgBZAQAAdQUAAAAA&#10;">
                  <v:fill on="f" focussize="0,0"/>
                  <v:stroke weight="1.5pt" color="#000000 [3213]" joinstyle="round"/>
                  <v:imagedata o:title=""/>
                  <o:lock v:ext="edit" aspectratio="f"/>
                </v:line>
                <w10:wrap type="none"/>
                <w10:anchorlock/>
              </v:group>
            </w:pict>
          </mc:Fallback>
        </mc:AlternateContent>
      </w:r>
    </w:p>
    <w:p>
      <w:pPr>
        <w:pStyle w:val="77"/>
      </w:pPr>
      <w:r>
        <w:rPr>
          <w:rFonts w:hint="eastAsia"/>
        </w:rPr>
        <w:t>产业学院建立与运行模式示意图</w:t>
      </w:r>
    </w:p>
    <w:p>
      <w:pPr>
        <w:pStyle w:val="65"/>
      </w:pPr>
      <w:bookmarkStart w:id="98" w:name="_Toc22927"/>
      <w:bookmarkStart w:id="99" w:name="_Toc159941997"/>
      <w:bookmarkStart w:id="100" w:name="_Toc131584372"/>
      <w:bookmarkStart w:id="101" w:name="_Toc150325738"/>
      <w:bookmarkStart w:id="102" w:name="_Toc131583314"/>
      <w:r>
        <w:rPr>
          <w:rFonts w:hint="eastAsia"/>
        </w:rPr>
        <w:t>主体要求</w:t>
      </w:r>
      <w:bookmarkEnd w:id="98"/>
      <w:bookmarkEnd w:id="99"/>
    </w:p>
    <w:p>
      <w:pPr>
        <w:pStyle w:val="68"/>
        <w:keepNext w:val="0"/>
        <w:keepLines w:val="0"/>
        <w:pageBreakBefore w:val="0"/>
        <w:widowControl w:val="0"/>
        <w:kinsoku/>
        <w:wordWrap/>
        <w:overflowPunct/>
        <w:topLinePunct w:val="0"/>
        <w:autoSpaceDE/>
        <w:autoSpaceDN/>
        <w:bidi w:val="0"/>
        <w:adjustRightInd/>
        <w:snapToGrid/>
        <w:textAlignment w:val="auto"/>
      </w:pPr>
      <w:r>
        <w:rPr>
          <w:rFonts w:hint="eastAsia"/>
        </w:rPr>
        <w:t>主导院校</w:t>
      </w:r>
      <w:bookmarkEnd w:id="100"/>
      <w:bookmarkEnd w:id="101"/>
      <w:bookmarkEnd w:id="102"/>
      <w:r>
        <w:rPr>
          <w:rFonts w:hint="eastAsia"/>
        </w:rPr>
        <w:t>应符合以下要求：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pPr>
      <w:r>
        <w:rPr>
          <w:rFonts w:hint="eastAsia"/>
        </w:rPr>
        <w:t>职业院校根据区域内产业发展情况，主导建设运行产业学院；</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pPr>
      <w:r>
        <w:rPr>
          <w:rFonts w:hint="eastAsia"/>
        </w:rPr>
        <w:t>产业学院依托的专业或专业群具有市级以上职业院校重点专业、专业群相关荣誉，具有相对优势，并且与区域产业发展高度匹配。</w:t>
      </w:r>
    </w:p>
    <w:p>
      <w:pPr>
        <w:pStyle w:val="68"/>
      </w:pPr>
      <w:bookmarkStart w:id="103" w:name="_Toc131583315"/>
      <w:bookmarkStart w:id="104" w:name="_Toc131584373"/>
      <w:bookmarkStart w:id="105" w:name="_Toc150325739"/>
      <w:r>
        <w:rPr>
          <w:rFonts w:hint="eastAsia"/>
        </w:rPr>
        <w:t>主导企业</w:t>
      </w:r>
      <w:bookmarkEnd w:id="103"/>
      <w:bookmarkEnd w:id="104"/>
      <w:bookmarkEnd w:id="105"/>
      <w:r>
        <w:rPr>
          <w:rFonts w:hint="eastAsia"/>
        </w:rPr>
        <w:t>应符合以下要求：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在区域产业链或产业集群中具有重要地位，具备参与产教融合的内生动力和积极性；</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产业链上下游企业根据自身发展状况，参与建设运行产业学院。</w:t>
      </w:r>
    </w:p>
    <w:p>
      <w:pPr>
        <w:pStyle w:val="65"/>
      </w:pPr>
      <w:bookmarkStart w:id="106" w:name="_Toc159941998"/>
      <w:bookmarkStart w:id="107" w:name="_Toc4353"/>
      <w:r>
        <w:rPr>
          <w:rFonts w:hint="eastAsia"/>
        </w:rPr>
        <w:t>制度要求</w:t>
      </w:r>
      <w:bookmarkEnd w:id="106"/>
      <w:bookmarkEnd w:id="107"/>
    </w:p>
    <w:p>
      <w:pPr>
        <w:pStyle w:val="67"/>
        <w:ind w:firstLine="420"/>
      </w:pPr>
      <w:r>
        <w:rPr>
          <w:rFonts w:hint="eastAsia"/>
        </w:rPr>
        <w:t>制度建设应符合以下要求：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由产业学院制定，确保有效实施；</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产业学院理事会会议制度，审议学院发展规划、重大合作项目、重点财务事项等；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工作例会制度，落实学院日常事务、项目推进、计划执行等；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项目负责人制度，明确项目负责人职责与要求，推进运行负责管理；</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人员互聘互用制度，加强管理人员、专业技术人员互聘互用机制，提高学院建设运行水平；</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安全管理制度，落实安全责任，识别风险源，排除安全隐患；</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监督反馈制度，指定部门负责监督学院建设运行质量，对问题进行收集整理并进行反馈。</w:t>
      </w:r>
    </w:p>
    <w:p>
      <w:pPr>
        <w:pStyle w:val="65"/>
      </w:pPr>
      <w:bookmarkStart w:id="108" w:name="_Toc20442"/>
      <w:bookmarkStart w:id="109" w:name="_Toc159941999"/>
      <w:r>
        <w:rPr>
          <w:rFonts w:hint="eastAsia"/>
        </w:rPr>
        <w:t>其他要求</w:t>
      </w:r>
      <w:bookmarkEnd w:id="108"/>
      <w:bookmarkEnd w:id="109"/>
    </w:p>
    <w:p>
      <w:pPr>
        <w:pStyle w:val="68"/>
      </w:pPr>
      <w:r>
        <w:rPr>
          <w:rFonts w:hint="eastAsia"/>
        </w:rPr>
        <w:t>建立一个由学校导师和来自企业、行业的产业导师组成的相对稳定的高水平混编师资团队。混编师资团队建设要求：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人数与产业学院学生比应不小于1:18；</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其中相关企业、行业的导师占比不低于50%；</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其中具有高级专业技术职称、高级技师及以上职业技能等级的人员数量不低于师资团队的总数的50%。</w:t>
      </w:r>
    </w:p>
    <w:p>
      <w:pPr>
        <w:pStyle w:val="68"/>
      </w:pPr>
      <w:r>
        <w:rPr>
          <w:rFonts w:hint="eastAsia"/>
        </w:rPr>
        <w:t>产业学院应至少具备以下硬件设施和软件环境：</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拥有教学楼、实训中心、行政楼、学生公寓等；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拥有校园网、多媒体教室、综合实验室、模拟工厂等一系列先进的教学和实践设施；</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能够为学生提供适宜的学习环境和相关保障措施，如食宿、医疗等；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具有能为实践提供条件和机会的能力。</w:t>
      </w:r>
    </w:p>
    <w:p>
      <w:pPr>
        <w:pStyle w:val="68"/>
      </w:pPr>
      <w:r>
        <w:rPr>
          <w:rFonts w:hint="eastAsia"/>
        </w:rPr>
        <w:t>产业学院应能保证设备设施的更新换代和维护保养。学校和企业均可投入设备设施。</w:t>
      </w:r>
    </w:p>
    <w:p>
      <w:pPr>
        <w:pStyle w:val="66"/>
        <w:spacing w:before="312" w:after="312"/>
      </w:pPr>
      <w:bookmarkStart w:id="110" w:name="_Toc23158"/>
      <w:bookmarkStart w:id="111" w:name="_Toc159942000"/>
      <w:r>
        <w:rPr>
          <w:rFonts w:hint="eastAsia"/>
        </w:rPr>
        <w:t>组织机构与职责</w:t>
      </w:r>
      <w:bookmarkEnd w:id="110"/>
      <w:bookmarkEnd w:id="111"/>
    </w:p>
    <w:p>
      <w:pPr>
        <w:pStyle w:val="65"/>
      </w:pPr>
      <w:bookmarkStart w:id="112" w:name="_Toc16671"/>
      <w:bookmarkStart w:id="113" w:name="_Toc159942001"/>
      <w:r>
        <w:rPr>
          <w:rFonts w:hint="eastAsia"/>
        </w:rPr>
        <w:t>理事会</w:t>
      </w:r>
      <w:bookmarkEnd w:id="112"/>
      <w:bookmarkEnd w:id="113"/>
    </w:p>
    <w:p>
      <w:pPr>
        <w:pStyle w:val="68"/>
      </w:pPr>
      <w:r>
        <w:rPr>
          <w:rFonts w:hint="eastAsia"/>
        </w:rPr>
        <w:t>宜按照产业学院理事会章程，成立多合作方参与的理事会。</w:t>
      </w:r>
    </w:p>
    <w:p>
      <w:pPr>
        <w:pStyle w:val="68"/>
      </w:pPr>
      <w:r>
        <w:rPr>
          <w:rFonts w:hint="eastAsia"/>
        </w:rPr>
        <w:t>理事会成员数应为单数，设立理事长1名、副理事长1名和理事若干名，理事长宜由行业协会或企业高管担任。</w:t>
      </w:r>
    </w:p>
    <w:p>
      <w:pPr>
        <w:pStyle w:val="68"/>
      </w:pPr>
      <w:r>
        <w:rPr>
          <w:rFonts w:hint="eastAsia"/>
        </w:rPr>
        <w:t>理事会成员任期3年，应定期召开会议讨论产业学院发展的重大事项。</w:t>
      </w:r>
    </w:p>
    <w:p>
      <w:pPr>
        <w:pStyle w:val="68"/>
      </w:pPr>
      <w:r>
        <w:rPr>
          <w:rFonts w:hint="eastAsia"/>
        </w:rPr>
        <w:t>职责应包括但不限于：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制订产业学院发展规划、设施建设计划；</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决策产业学院中专业设置、学科建设；</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审定人才培养方案、校企合作特色课程；</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审议人事聘用，混编师资团队建设、专兼职教师选派；</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制订利益分配与财务管理制度；</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指导实习实训基地建设、联合实验室（研发中心）建设；</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考核评价等其他重大事项的决策、计划、组织、协调和指导等。</w:t>
      </w:r>
    </w:p>
    <w:p>
      <w:pPr>
        <w:pStyle w:val="65"/>
      </w:pPr>
      <w:bookmarkStart w:id="114" w:name="_Toc159942002"/>
      <w:bookmarkStart w:id="115" w:name="_Toc9691"/>
      <w:r>
        <w:rPr>
          <w:rFonts w:hint="eastAsia"/>
        </w:rPr>
        <w:t>专家咨询委员会</w:t>
      </w:r>
      <w:bookmarkEnd w:id="114"/>
      <w:bookmarkEnd w:id="115"/>
    </w:p>
    <w:p>
      <w:pPr>
        <w:pStyle w:val="68"/>
      </w:pPr>
      <w:r>
        <w:rPr>
          <w:rFonts w:hint="eastAsia"/>
        </w:rPr>
        <w:t>宜按照产业学院组织章程，专家咨询委员会由教育主管部门、行业知名专家、高职学院院长、行业协会理事、龙头企业负责人等组成。</w:t>
      </w:r>
    </w:p>
    <w:p>
      <w:pPr>
        <w:pStyle w:val="68"/>
      </w:pPr>
      <w:r>
        <w:rPr>
          <w:rFonts w:hint="eastAsia"/>
        </w:rPr>
        <w:t>专家咨询委员会成员数应为单数，设立主任委员1名，副主任委员1名和委员若干。</w:t>
      </w:r>
    </w:p>
    <w:p>
      <w:pPr>
        <w:pStyle w:val="68"/>
      </w:pPr>
      <w:r>
        <w:rPr>
          <w:rFonts w:hint="eastAsia"/>
        </w:rPr>
        <w:t>职责应包括但不限于：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对制定的产教融合发展战略、规划、政策与方案提供咨询服务；</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为理事会决策提供科学、可行的咨询意见；</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人才培养方案咨询论证；</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编制科技计划指南，遴选、论证产业发展重点项目；</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开展教科研项目立项、实施、验收等评审论证工作；</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监督管理、成果转化、异议处理等方面的其他重大事项。</w:t>
      </w:r>
    </w:p>
    <w:p>
      <w:pPr>
        <w:pStyle w:val="65"/>
      </w:pPr>
      <w:bookmarkStart w:id="116" w:name="_Toc159942003"/>
      <w:bookmarkStart w:id="117" w:name="_Toc26862"/>
      <w:r>
        <w:rPr>
          <w:rFonts w:hint="eastAsia"/>
        </w:rPr>
        <w:t>秘书处</w:t>
      </w:r>
      <w:bookmarkEnd w:id="116"/>
      <w:bookmarkEnd w:id="117"/>
    </w:p>
    <w:p>
      <w:pPr>
        <w:pStyle w:val="68"/>
      </w:pPr>
      <w:r>
        <w:rPr>
          <w:rFonts w:hint="eastAsia"/>
        </w:rPr>
        <w:t>设秘书长1名，协调管理产业学院日常运营事务，保障产业学院运行。</w:t>
      </w:r>
    </w:p>
    <w:p>
      <w:pPr>
        <w:pStyle w:val="68"/>
      </w:pPr>
      <w:r>
        <w:rPr>
          <w:rFonts w:hint="eastAsia"/>
        </w:rPr>
        <w:t>任职条件应包括但不限于：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具有本科及以上学历，有3年以上的相关管理经验；</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具备良好的组织协调能力、领导才能和高效沟通能力。</w:t>
      </w:r>
    </w:p>
    <w:p>
      <w:pPr>
        <w:pStyle w:val="68"/>
      </w:pPr>
      <w:r>
        <w:rPr>
          <w:rFonts w:hint="eastAsia"/>
        </w:rPr>
        <w:t>职责应包括但不限于：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拟定并落实产业学院年度计划，处理日常行政事务；</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做好政、行、企、校各方的产业学院的联络和协调工作，发布人才培养和供求信息；</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负责产业学院的宣传和档案管理；</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筹备组织产业学院重要会议（活动）</w:t>
      </w:r>
      <w:r>
        <w:rPr>
          <w:rFonts w:hint="eastAsia" w:cs="Times New Roman"/>
          <w:lang w:eastAsia="zh-CN"/>
        </w:rPr>
        <w:t>，</w:t>
      </w:r>
      <w:r>
        <w:rPr>
          <w:rFonts w:hint="eastAsia" w:ascii="宋体" w:hAnsi="Times New Roman" w:eastAsia="宋体" w:cs="Times New Roman"/>
        </w:rPr>
        <w:t>起草会议文件；</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负责组织产业学院教师调配，维持实习实训基地和联合实验室（研发中心）运行；</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积极参与组织内部的会议和决策，为领导层提供坚实支持和建议；</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完成领导交办的各项任务。</w:t>
      </w:r>
    </w:p>
    <w:p>
      <w:pPr>
        <w:pStyle w:val="66"/>
        <w:spacing w:before="312" w:after="312"/>
      </w:pPr>
      <w:bookmarkStart w:id="118" w:name="_Toc159942004"/>
      <w:bookmarkStart w:id="119" w:name="_Toc22928"/>
      <w:r>
        <w:rPr>
          <w:rFonts w:hint="eastAsia"/>
        </w:rPr>
        <w:t>人员管理</w:t>
      </w:r>
      <w:bookmarkEnd w:id="118"/>
      <w:bookmarkEnd w:id="119"/>
    </w:p>
    <w:p>
      <w:pPr>
        <w:pStyle w:val="65"/>
      </w:pPr>
      <w:bookmarkStart w:id="120" w:name="_Toc28942"/>
      <w:bookmarkStart w:id="121" w:name="_Toc159942005"/>
      <w:r>
        <w:rPr>
          <w:rFonts w:hint="eastAsia"/>
        </w:rPr>
        <w:t>领导者管理</w:t>
      </w:r>
      <w:bookmarkEnd w:id="120"/>
      <w:bookmarkEnd w:id="121"/>
    </w:p>
    <w:p>
      <w:pPr>
        <w:pStyle w:val="69"/>
      </w:pPr>
      <w:bookmarkStart w:id="122" w:name="_Toc27027"/>
      <w:bookmarkStart w:id="123" w:name="_Toc6104"/>
      <w:r>
        <w:rPr>
          <w:rFonts w:hint="eastAsia"/>
        </w:rPr>
        <w:t>院长</w:t>
      </w:r>
      <w:bookmarkEnd w:id="122"/>
      <w:bookmarkEnd w:id="123"/>
    </w:p>
    <w:p>
      <w:pPr>
        <w:pStyle w:val="79"/>
      </w:pPr>
      <w:r>
        <w:rPr>
          <w:rFonts w:hint="eastAsia"/>
        </w:rPr>
        <w:t>产业学院应设立院长1名，由校方中层（正职及其以上）管理人员担任，全面负责学院行政工作，执行理事会各项决策，是产业学院内部治理体系的主要负责人，在机构设置、人员评聘和管理、资源配置等方面拥有自主权，且可按照市场化原则建立竞争性激励考核制度。</w:t>
      </w:r>
    </w:p>
    <w:p>
      <w:pPr>
        <w:pStyle w:val="79"/>
      </w:pPr>
      <w:r>
        <w:rPr>
          <w:rFonts w:hint="eastAsia"/>
        </w:rPr>
        <w:t>任职条件应包括但不限于：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从事教育教学管理等相关岗位，具有3年以上中层管理工作经验；</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具有本科及以上学历，8年以上工作经历，熟悉职业教育方针政策，热爱教育培训工作；</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在校内具备较好的影响力，善于统筹、协调和整合各方资源。</w:t>
      </w:r>
    </w:p>
    <w:p>
      <w:pPr>
        <w:pStyle w:val="79"/>
      </w:pPr>
      <w:r>
        <w:rPr>
          <w:rFonts w:hint="eastAsia"/>
        </w:rPr>
        <w:t>职责应包括但不限于：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组织制定和实施产业学院发展规划、基本管理制度、年度工作计划、年度经费预算方案；</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制订产业学院的人才培养方案、专业群设置、招生方案等；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负责产业学院混编师资团队建设，设置校内产业教授岗，建立学校教师和产业专家双向流动互聘互认机制等管理办法；</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负责产业学院校内外实习实训基地建设，建立实践教学体系，组织开展实践教学活动；</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校企联合建立科研平台，组织开展科学研究和科技成果转化，服务产业和地方经济社会发展；</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组织开展产业学院对外交流与社会服务合作，依据学院授权与企事业单位商谈、拟订合作协议；</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配合学校财务管理和审计监督；</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负责定期向产业学院理事会汇报工作情况。</w:t>
      </w:r>
    </w:p>
    <w:p>
      <w:pPr>
        <w:pStyle w:val="69"/>
      </w:pPr>
      <w:bookmarkStart w:id="124" w:name="_Toc4466"/>
      <w:bookmarkStart w:id="125" w:name="_Toc16993"/>
      <w:r>
        <w:rPr>
          <w:rFonts w:hint="eastAsia"/>
        </w:rPr>
        <w:t>副院长</w:t>
      </w:r>
      <w:bookmarkEnd w:id="124"/>
      <w:bookmarkEnd w:id="125"/>
    </w:p>
    <w:p>
      <w:pPr>
        <w:pStyle w:val="79"/>
      </w:pPr>
      <w:r>
        <w:rPr>
          <w:rFonts w:hint="eastAsia"/>
        </w:rPr>
        <w:t>设副院长1～2名，由企业中层及其以上管理人员担任，协助院长完成学院行政工作，根据工作需要统领下设部门专职管理人员完成各部门相关工作。</w:t>
      </w:r>
    </w:p>
    <w:p>
      <w:pPr>
        <w:pStyle w:val="79"/>
      </w:pPr>
      <w:r>
        <w:rPr>
          <w:rFonts w:hint="eastAsia"/>
        </w:rPr>
        <w:t>任职条件应包括但不限于：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从事企业人力资源或生产经营管理等相关岗位，具有3年以上中层管理工作经验；</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具有本科及以上学历，5年以上工作经历；</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在行业内具备较好的影响力，善于统筹、协调和整合各方资源。</w:t>
      </w:r>
    </w:p>
    <w:p>
      <w:pPr>
        <w:pStyle w:val="79"/>
      </w:pPr>
      <w:r>
        <w:rPr>
          <w:rFonts w:hint="eastAsia"/>
        </w:rPr>
        <w:t>职责应包括但不限于：</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组织制定和实施产业学院发展规划、基本管理制度、年度工作计划、年度经费预算方案；</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制订产业学院的人才培养方案、专业群设置、招生方案等；</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负责产业学院混编师资团队建设，设置校内产业教授岗，建立学校教师和产业专家双向流动互聘互认机制等管理办法；</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负责产业学院校内外实习实训基地建设，建立实践教学体系，组织开展实践教学活动；</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校企联合建立科研平台，组织开展科学研究和科技成果转化，服务产业和地方经济社会发展；</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组织开展产业学院对外交流与社会服务合作，依据学院授权与企事业单位商谈、拟订合作协议；</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配合学校财务管理和审计监督。</w:t>
      </w:r>
    </w:p>
    <w:p>
      <w:pPr>
        <w:pStyle w:val="65"/>
      </w:pPr>
      <w:bookmarkStart w:id="126" w:name="_Toc152706935"/>
      <w:bookmarkStart w:id="127" w:name="_Toc152707001"/>
      <w:bookmarkStart w:id="128" w:name="_Toc14909"/>
      <w:bookmarkStart w:id="129" w:name="_Toc159942006"/>
      <w:r>
        <w:rPr>
          <w:rFonts w:hint="eastAsia"/>
        </w:rPr>
        <w:t>师资管理</w:t>
      </w:r>
      <w:bookmarkEnd w:id="126"/>
      <w:bookmarkEnd w:id="127"/>
      <w:bookmarkEnd w:id="128"/>
      <w:bookmarkEnd w:id="129"/>
    </w:p>
    <w:p>
      <w:pPr>
        <w:pStyle w:val="68"/>
      </w:pPr>
      <w:r>
        <w:rPr>
          <w:rFonts w:hint="eastAsia"/>
        </w:rPr>
        <w:t>采用“共建共有”的模式，建设一支结构合理、教学科研能力强的混编师资团队，实行学校导师、产业导师联合授课、联合指导，实现高水平师资队伍建设。</w:t>
      </w:r>
    </w:p>
    <w:p>
      <w:pPr>
        <w:pStyle w:val="68"/>
      </w:pPr>
      <w:r>
        <w:rPr>
          <w:rFonts w:hint="eastAsia"/>
        </w:rPr>
        <w:t>明确师资团队的管理主体，明确产业导师的薪资待遇标准，建立双主体考核、双主体付酬、互聘制度、进入和退出等机制。</w:t>
      </w:r>
    </w:p>
    <w:p>
      <w:pPr>
        <w:pStyle w:val="68"/>
      </w:pPr>
      <w:r>
        <w:rPr>
          <w:rFonts w:hint="eastAsia"/>
        </w:rPr>
        <w:t>学校导师管理满足以下要求：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在合作企业设置专任教师企业实践岗位，完善教师企业实践管理等制度；</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创新教师评价机制，将学校导师到企业挂职实践</w:t>
      </w:r>
      <w:r>
        <w:rPr>
          <w:rFonts w:hint="eastAsia" w:cs="Times New Roman"/>
          <w:lang w:eastAsia="zh-CN"/>
        </w:rPr>
        <w:t>时间</w:t>
      </w:r>
      <w:r>
        <w:rPr>
          <w:rFonts w:hint="eastAsia" w:ascii="宋体" w:hAnsi="Times New Roman" w:eastAsia="宋体" w:cs="Times New Roman"/>
        </w:rPr>
        <w:t>作为职称评审的基本条件之一；</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三年内学校导师到企业挂职实践，每人进企业挂职实践累计应不少于6个月；</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参照企业方员工管理和绩效考核，将评价结果提供给学校。</w:t>
      </w:r>
    </w:p>
    <w:p>
      <w:pPr>
        <w:pStyle w:val="68"/>
      </w:pPr>
      <w:r>
        <w:rPr>
          <w:rFonts w:hint="eastAsia"/>
        </w:rPr>
        <w:t>产业导师管理满足以下要求：</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在学校设置产业教授特别岗位，完善产业导师聘用管理制度、薪资待遇标准；</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选聘企业技术专家、行业协会专家作为产业教授，提升师资团队对产业需求的了解能力；</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产业导师参与教学环节，每人每学期课时数宜不少于24课时或技术指导4次；</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参照学校方教师管理与绩效考核，将评价结果提供给企业方。</w:t>
      </w:r>
    </w:p>
    <w:p>
      <w:pPr>
        <w:pStyle w:val="65"/>
      </w:pPr>
      <w:bookmarkStart w:id="130" w:name="_Toc159942007"/>
      <w:bookmarkStart w:id="131" w:name="_Toc8342"/>
      <w:r>
        <w:rPr>
          <w:rFonts w:hint="eastAsia"/>
        </w:rPr>
        <w:t>学生管理</w:t>
      </w:r>
      <w:bookmarkEnd w:id="130"/>
      <w:bookmarkEnd w:id="131"/>
    </w:p>
    <w:p>
      <w:pPr>
        <w:pStyle w:val="68"/>
      </w:pPr>
      <w:r>
        <w:rPr>
          <w:rFonts w:hint="eastAsia"/>
        </w:rPr>
        <w:t>建立健全学生工作管理岗位责任制以及相关管理制度与运行机制，制定学生学习管理办法和安全管理规定、学生安全及突发事件应急预案等制度。</w:t>
      </w:r>
    </w:p>
    <w:p>
      <w:pPr>
        <w:pStyle w:val="68"/>
      </w:pPr>
      <w:r>
        <w:rPr>
          <w:rFonts w:hint="eastAsia"/>
        </w:rPr>
        <w:t>指定专门人员负责监督管理学生的学习和生活，安排有实践经验的技术或管理人员担任辅导员教师。</w:t>
      </w:r>
    </w:p>
    <w:p>
      <w:pPr>
        <w:pStyle w:val="68"/>
      </w:pPr>
      <w:r>
        <w:rPr>
          <w:rFonts w:hint="eastAsia"/>
        </w:rPr>
        <w:t>建立学生岗位见习管理制度，顶岗实习期满，应对学生的职业技能、岗位能力进行考核。</w:t>
      </w:r>
    </w:p>
    <w:p>
      <w:pPr>
        <w:pStyle w:val="66"/>
        <w:spacing w:before="312" w:after="312"/>
      </w:pPr>
      <w:bookmarkStart w:id="132" w:name="_Toc17807"/>
      <w:bookmarkStart w:id="133" w:name="_Toc159942008"/>
      <w:r>
        <w:rPr>
          <w:rFonts w:hint="eastAsia"/>
        </w:rPr>
        <w:t>运行管理</w:t>
      </w:r>
      <w:bookmarkEnd w:id="132"/>
      <w:bookmarkEnd w:id="133"/>
    </w:p>
    <w:p>
      <w:pPr>
        <w:pStyle w:val="65"/>
      </w:pPr>
      <w:bookmarkStart w:id="134" w:name="_Toc159942009"/>
      <w:bookmarkStart w:id="135" w:name="_Toc8196"/>
      <w:bookmarkStart w:id="136" w:name="_Toc152706936"/>
      <w:bookmarkStart w:id="137" w:name="_Toc152707002"/>
      <w:r>
        <w:rPr>
          <w:rFonts w:hint="eastAsia"/>
        </w:rPr>
        <w:t>教学管理</w:t>
      </w:r>
      <w:bookmarkEnd w:id="134"/>
      <w:bookmarkEnd w:id="135"/>
      <w:bookmarkEnd w:id="136"/>
      <w:bookmarkEnd w:id="137"/>
    </w:p>
    <w:p>
      <w:pPr>
        <w:pStyle w:val="68"/>
      </w:pPr>
      <w:r>
        <w:rPr>
          <w:rFonts w:hint="eastAsia"/>
        </w:rPr>
        <w:t>产业学院应有专职教学管理人员或兼职教学管理人员，负责教学管理工作。</w:t>
      </w:r>
    </w:p>
    <w:p>
      <w:pPr>
        <w:pStyle w:val="68"/>
      </w:pPr>
      <w:r>
        <w:rPr>
          <w:rFonts w:hint="eastAsia"/>
        </w:rPr>
        <w:t>产业文化进教室、企业案例进教材、产业专家进课堂等实质性人才培养工作。</w:t>
      </w:r>
    </w:p>
    <w:p>
      <w:pPr>
        <w:pStyle w:val="68"/>
      </w:pPr>
      <w:r>
        <w:rPr>
          <w:rFonts w:hint="eastAsia"/>
        </w:rPr>
        <w:t>拓展教育方式，利用多种新型学习手段，如远程教育、在线教育、互动课堂等，提高教育教学覆盖率和效率。</w:t>
      </w:r>
    </w:p>
    <w:p>
      <w:pPr>
        <w:pStyle w:val="68"/>
      </w:pPr>
      <w:r>
        <w:rPr>
          <w:rFonts w:hint="eastAsia"/>
        </w:rPr>
        <w:t>产业导师参与学生创新创业、毕业设计（论文）、技能竞赛、实训实践等指导工作。</w:t>
      </w:r>
    </w:p>
    <w:p>
      <w:pPr>
        <w:pStyle w:val="68"/>
      </w:pPr>
      <w:r>
        <w:rPr>
          <w:rFonts w:hint="eastAsia"/>
        </w:rPr>
        <w:t>在毕业设计环节，学校导师和产业导师共同指导学生，将企业技术难题或者攻关项目以毕业设计的形式让学生参与其中。</w:t>
      </w:r>
    </w:p>
    <w:p>
      <w:pPr>
        <w:pStyle w:val="68"/>
      </w:pPr>
      <w:r>
        <w:rPr>
          <w:rFonts w:hint="eastAsia"/>
        </w:rPr>
        <w:t>学校导师和产业导师共同参与教学改革和创新的研究工作，合作申报课题或教学建设项目。</w:t>
      </w:r>
    </w:p>
    <w:p>
      <w:pPr>
        <w:pStyle w:val="65"/>
      </w:pPr>
      <w:bookmarkStart w:id="138" w:name="_Toc152707004"/>
      <w:bookmarkStart w:id="139" w:name="_Toc152706938"/>
      <w:bookmarkStart w:id="140" w:name="_Toc159942010"/>
      <w:bookmarkStart w:id="141" w:name="_Toc55"/>
      <w:r>
        <w:rPr>
          <w:rFonts w:hint="eastAsia"/>
        </w:rPr>
        <w:t>资金</w:t>
      </w:r>
      <w:bookmarkEnd w:id="138"/>
      <w:bookmarkEnd w:id="139"/>
      <w:r>
        <w:rPr>
          <w:rFonts w:hint="eastAsia"/>
        </w:rPr>
        <w:t>管理</w:t>
      </w:r>
      <w:bookmarkEnd w:id="140"/>
      <w:bookmarkEnd w:id="141"/>
    </w:p>
    <w:p>
      <w:pPr>
        <w:pStyle w:val="68"/>
      </w:pPr>
      <w:r>
        <w:rPr>
          <w:rFonts w:hint="eastAsia"/>
        </w:rPr>
        <w:t>应通过高校、地方政府、行业协会、企业单位等多方协商，配备相应比例的资金投入、技术支持、场地设备、人员等，强化产业学院运行与监管。</w:t>
      </w:r>
    </w:p>
    <w:p>
      <w:pPr>
        <w:pStyle w:val="68"/>
      </w:pPr>
      <w:r>
        <w:rPr>
          <w:rFonts w:hint="eastAsia"/>
        </w:rPr>
        <w:t>应建立台账，专人负责、专款专用。</w:t>
      </w:r>
    </w:p>
    <w:p>
      <w:pPr>
        <w:pStyle w:val="65"/>
      </w:pPr>
      <w:bookmarkStart w:id="142" w:name="_Toc152707005"/>
      <w:bookmarkStart w:id="143" w:name="_Toc152706939"/>
      <w:bookmarkStart w:id="144" w:name="_Toc28120"/>
      <w:bookmarkStart w:id="145" w:name="_Toc159942011"/>
      <w:bookmarkStart w:id="146" w:name="_Toc150325744"/>
      <w:r>
        <w:rPr>
          <w:rFonts w:hint="eastAsia"/>
        </w:rPr>
        <w:t>课程资源（库）建设</w:t>
      </w:r>
      <w:bookmarkEnd w:id="142"/>
      <w:bookmarkEnd w:id="143"/>
      <w:bookmarkEnd w:id="144"/>
      <w:bookmarkEnd w:id="145"/>
      <w:bookmarkEnd w:id="146"/>
    </w:p>
    <w:p>
      <w:pPr>
        <w:pStyle w:val="68"/>
      </w:pPr>
      <w:r>
        <w:rPr>
          <w:rFonts w:hint="eastAsia"/>
        </w:rPr>
        <w:t>以产业为导向，将产业发展趋势与学科专业知识创新相结合</w:t>
      </w:r>
      <w:r>
        <w:rPr>
          <w:rFonts w:hint="eastAsia"/>
          <w:lang w:eastAsia="zh-CN"/>
        </w:rPr>
        <w:t>，</w:t>
      </w:r>
      <w:r>
        <w:rPr>
          <w:rFonts w:hint="eastAsia"/>
        </w:rPr>
        <w:t>构建产业、行业专家、学校教师参与的课程开发动态机制。</w:t>
      </w:r>
    </w:p>
    <w:p>
      <w:pPr>
        <w:pStyle w:val="68"/>
      </w:pPr>
      <w:r>
        <w:rPr>
          <w:rFonts w:hint="eastAsia"/>
        </w:rPr>
        <w:t>课程资源（库）建设内容包括：</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共同将新职业、新岗位、新技术、新标准融合，重组课程体系，经专家指导委员会论证通过后发布；</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共同制定课程标准、优化课程结构、开发课程内容，保证实践教学学时不低于专业人才培养方案总学时的50%；</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共同将双方的软硬件、视频、案例、项目等资源整合，开发教学课件、实训指导书、教学视频、实训实习项目等课程资源，开发专业群课程资源库；</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共同建设精品在线开放课程及平台。</w:t>
      </w:r>
    </w:p>
    <w:p>
      <w:pPr>
        <w:pStyle w:val="65"/>
      </w:pPr>
      <w:bookmarkStart w:id="147" w:name="_Toc159942012"/>
      <w:bookmarkStart w:id="148" w:name="_Toc152706940"/>
      <w:bookmarkStart w:id="149" w:name="_Toc150325745"/>
      <w:bookmarkStart w:id="150" w:name="_Toc9081"/>
      <w:bookmarkStart w:id="151" w:name="_Toc152707006"/>
      <w:r>
        <w:rPr>
          <w:rFonts w:hint="eastAsia"/>
        </w:rPr>
        <w:t>实习实训基地建设</w:t>
      </w:r>
      <w:bookmarkEnd w:id="147"/>
      <w:bookmarkEnd w:id="148"/>
      <w:bookmarkEnd w:id="149"/>
      <w:bookmarkEnd w:id="150"/>
      <w:bookmarkEnd w:id="151"/>
    </w:p>
    <w:p>
      <w:pPr>
        <w:pStyle w:val="68"/>
      </w:pPr>
      <w:r>
        <w:rPr>
          <w:rFonts w:hint="eastAsia"/>
        </w:rPr>
        <w:t>依托产业学院，采用引企进校方式，整合校企设备与技术资源，学校投入场地和设备，企业投入技术资源和生产性项目共建典型生产性实践基地。</w:t>
      </w:r>
    </w:p>
    <w:p>
      <w:pPr>
        <w:pStyle w:val="68"/>
      </w:pPr>
      <w:r>
        <w:rPr>
          <w:rFonts w:hint="eastAsia"/>
        </w:rPr>
        <w:t>实习实训基地建设要求包括：</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基于行业企业的产品、技术和生产流程，创新多主体间的合作模式，构建基于产业发展和创新需求的实践教学和实训实习环境；</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统筹各类实践教学资源，充分利用科技产业园、行业龙头企业等优质资源，构建功能集约、开放共享、高效运行的专业类或跨专业类实践教学平台；</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通过引进企业研发平台、生产基地，建设一批兼具生产、教学、研发、创新创业功能的校企一体、产学研用协同的大型实验、实训实习基地。</w:t>
      </w:r>
    </w:p>
    <w:p>
      <w:pPr>
        <w:pStyle w:val="65"/>
      </w:pPr>
      <w:bookmarkStart w:id="152" w:name="_Toc159942013"/>
      <w:bookmarkStart w:id="153" w:name="_Toc152706941"/>
      <w:bookmarkStart w:id="154" w:name="_Toc19316"/>
      <w:bookmarkStart w:id="155" w:name="_Toc150325746"/>
      <w:bookmarkStart w:id="156" w:name="_Toc152707007"/>
      <w:r>
        <w:rPr>
          <w:rFonts w:hint="eastAsia"/>
        </w:rPr>
        <w:t>联合实验室（研发中心）建设</w:t>
      </w:r>
      <w:bookmarkEnd w:id="152"/>
      <w:bookmarkEnd w:id="153"/>
      <w:bookmarkEnd w:id="154"/>
      <w:bookmarkEnd w:id="155"/>
      <w:bookmarkEnd w:id="156"/>
    </w:p>
    <w:p>
      <w:pPr>
        <w:pStyle w:val="68"/>
      </w:pPr>
      <w:r>
        <w:rPr>
          <w:rFonts w:hint="eastAsia"/>
        </w:rPr>
        <w:t>以技术技能积累为纽带，服务行业、企业发展需求，发挥学校人才与专业综合性优势，围绕产业技术创新关键问题开展协同创新，建设联合实验室（研发中心）。</w:t>
      </w:r>
    </w:p>
    <w:p>
      <w:pPr>
        <w:pStyle w:val="68"/>
      </w:pPr>
      <w:r>
        <w:rPr>
          <w:rFonts w:hint="eastAsia"/>
        </w:rPr>
        <w:t>联合实验室（研发中心）建设内容包括：</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联合开展课题研讨与申报、技术攻关、产品研发、成果应用与推广、标准制定等活动；</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同企业深入合作，建立将研究成果转化为学院教学内容、科研项目的工作机制，指导学生完成相应教学任务或科研项目。</w:t>
      </w:r>
    </w:p>
    <w:p>
      <w:pPr>
        <w:pStyle w:val="66"/>
        <w:spacing w:before="312" w:after="312"/>
      </w:pPr>
      <w:bookmarkStart w:id="157" w:name="_Toc152706942"/>
      <w:bookmarkStart w:id="158" w:name="_Toc27550"/>
      <w:bookmarkStart w:id="159" w:name="_Toc131584381"/>
      <w:bookmarkStart w:id="160" w:name="_Toc159942014"/>
      <w:bookmarkStart w:id="161" w:name="_Toc152707008"/>
      <w:bookmarkStart w:id="162" w:name="_Toc150325747"/>
      <w:bookmarkStart w:id="163" w:name="_Toc131583323"/>
      <w:r>
        <w:rPr>
          <w:rFonts w:hint="eastAsia"/>
        </w:rPr>
        <w:t>评价与改进</w:t>
      </w:r>
      <w:bookmarkEnd w:id="157"/>
      <w:bookmarkEnd w:id="158"/>
      <w:bookmarkEnd w:id="159"/>
      <w:bookmarkEnd w:id="160"/>
      <w:bookmarkEnd w:id="161"/>
      <w:bookmarkEnd w:id="162"/>
      <w:bookmarkEnd w:id="163"/>
    </w:p>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rPr>
      </w:pPr>
      <w:bookmarkStart w:id="164" w:name="_Toc10948"/>
      <w:r>
        <w:rPr>
          <w:rFonts w:hint="eastAsia" w:ascii="宋体" w:hAnsi="宋体" w:eastAsia="宋体" w:cs="宋体"/>
        </w:rPr>
        <w:t>成立由政府相关部门、行业企业、学校等专家组成的评价工作组。</w:t>
      </w:r>
      <w:bookmarkEnd w:id="164"/>
    </w:p>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rPr>
      </w:pPr>
      <w:bookmarkStart w:id="165" w:name="_Toc5781"/>
      <w:r>
        <w:rPr>
          <w:rFonts w:hint="eastAsia" w:ascii="宋体" w:hAnsi="宋体" w:eastAsia="宋体" w:cs="宋体"/>
        </w:rPr>
        <w:t>建立产业学院建设和管理评价机制，定期对产业学院的建立运行工作情况进行评价（参见附录A），根据评价情况给出可持续性的改进意见和建议。</w:t>
      </w:r>
      <w:bookmarkEnd w:id="165"/>
    </w:p>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rPr>
      </w:pPr>
      <w:bookmarkStart w:id="166" w:name="_Toc32455"/>
      <w:r>
        <w:rPr>
          <w:rFonts w:hint="eastAsia" w:ascii="宋体" w:hAnsi="宋体" w:eastAsia="宋体" w:cs="宋体"/>
        </w:rPr>
        <w:t>评价等级划分按以下进行：</w:t>
      </w:r>
      <w:bookmarkEnd w:id="166"/>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得分在85以上（含85分），评定为优秀；</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得分在70以上（含70分），85分以下，评定为良好；</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得分在60以上（含60分），70分以下，评定为合格；</w:t>
      </w:r>
    </w:p>
    <w:p>
      <w:pPr>
        <w:pStyle w:val="78"/>
        <w:keepNext w:val="0"/>
        <w:keepLines w:val="0"/>
        <w:pageBreakBefore w:val="0"/>
        <w:widowControl/>
        <w:kinsoku/>
        <w:wordWrap/>
        <w:overflowPunct/>
        <w:topLinePunct w:val="0"/>
        <w:autoSpaceDE/>
        <w:autoSpaceDN/>
        <w:bidi w:val="0"/>
        <w:adjustRightInd/>
        <w:snapToGrid/>
        <w:ind w:left="840" w:leftChars="200" w:hanging="420" w:hangingChars="200"/>
        <w:textAlignment w:val="auto"/>
        <w:rPr>
          <w:rFonts w:hint="eastAsia" w:ascii="宋体" w:hAnsi="Times New Roman" w:eastAsia="宋体" w:cs="Times New Roman"/>
        </w:rPr>
      </w:pPr>
      <w:r>
        <w:rPr>
          <w:rFonts w:hint="eastAsia" w:ascii="宋体" w:hAnsi="Times New Roman" w:eastAsia="宋体" w:cs="Times New Roman"/>
        </w:rPr>
        <w:t>得分在60以下，评定为不合格。</w:t>
      </w:r>
    </w:p>
    <w:p>
      <w:pPr>
        <w:pStyle w:val="65"/>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rPr>
      </w:pPr>
      <w:bookmarkStart w:id="167" w:name="_Toc3309"/>
      <w:r>
        <w:rPr>
          <w:rFonts w:hint="eastAsia" w:ascii="宋体" w:hAnsi="宋体" w:eastAsia="宋体" w:cs="宋体"/>
        </w:rPr>
        <w:t>产业学院应建立持续改进机制，根据专家建议、评价结论等反馈信息，落实产业学院改进措施，不断跟踪改进完善情况。</w:t>
      </w:r>
      <w:bookmarkEnd w:id="167"/>
    </w:p>
    <w:p>
      <w:pPr>
        <w:pStyle w:val="67"/>
        <w:ind w:firstLine="480"/>
        <w:rPr>
          <w:rFonts w:hAnsi="宋体" w:cs="宋体"/>
          <w:color w:val="000000" w:themeColor="text1"/>
          <w:sz w:val="24"/>
          <w:szCs w:val="24"/>
          <w14:textFill>
            <w14:solidFill>
              <w14:schemeClr w14:val="tx1"/>
            </w14:solidFill>
          </w14:textFill>
        </w:rPr>
        <w:sectPr>
          <w:headerReference r:id="rId24" w:type="default"/>
          <w:footerReference r:id="rId26" w:type="default"/>
          <w:headerReference r:id="rId25" w:type="even"/>
          <w:footerReference r:id="rId27" w:type="even"/>
          <w:pgSz w:w="11906" w:h="16838"/>
          <w:pgMar w:top="1928" w:right="1134" w:bottom="1134" w:left="1134" w:header="1418" w:footer="1134" w:gutter="284"/>
          <w:pgNumType w:fmt="decimal" w:start="1"/>
          <w:cols w:space="425" w:num="1"/>
          <w:formProt w:val="0"/>
          <w:docGrid w:type="lines" w:linePitch="312" w:charSpace="0"/>
        </w:sectPr>
      </w:pPr>
    </w:p>
    <w:bookmarkEnd w:id="12"/>
    <w:p>
      <w:pPr>
        <w:pStyle w:val="81"/>
      </w:pPr>
      <w:bookmarkStart w:id="168" w:name="BookMark5"/>
    </w:p>
    <w:p>
      <w:pPr>
        <w:pStyle w:val="82"/>
      </w:pPr>
    </w:p>
    <w:p>
      <w:pPr>
        <w:pStyle w:val="5"/>
        <w:keepNext w:val="0"/>
        <w:keepLines w:val="0"/>
        <w:pageBreakBefore w:val="0"/>
        <w:widowControl w:val="0"/>
        <w:kinsoku/>
        <w:wordWrap/>
        <w:overflowPunct/>
        <w:topLinePunct w:val="0"/>
        <w:autoSpaceDE/>
        <w:autoSpaceDN/>
        <w:bidi w:val="0"/>
        <w:adjustRightInd w:val="0"/>
        <w:snapToGrid w:val="0"/>
        <w:spacing w:before="567"/>
        <w:ind w:left="0" w:leftChars="0" w:firstLine="0" w:firstLineChars="0"/>
        <w:jc w:val="center"/>
        <w:textAlignment w:val="auto"/>
        <w:outlineLvl w:val="0"/>
        <w:rPr>
          <w:rFonts w:hint="eastAsia" w:ascii="黑体" w:hAnsi="黑体" w:eastAsia="黑体" w:cs="黑体"/>
          <w:sz w:val="21"/>
          <w:szCs w:val="21"/>
          <w:lang w:val="en-US" w:eastAsia="zh-CN"/>
        </w:rPr>
      </w:pPr>
      <w:bookmarkStart w:id="169" w:name="_Toc28984"/>
      <w:bookmarkEnd w:id="169"/>
      <w:bookmarkStart w:id="170" w:name="_Toc27120"/>
      <w:bookmarkStart w:id="171" w:name="_Toc31437"/>
      <w:bookmarkStart w:id="172" w:name="_Toc159942015"/>
      <w:bookmarkStart w:id="173" w:name="_Toc150325748"/>
      <w:bookmarkStart w:id="174" w:name="_Toc131584382"/>
      <w:bookmarkStart w:id="175" w:name="_Toc152706943"/>
      <w:bookmarkStart w:id="176" w:name="_Toc131583324"/>
      <w:bookmarkStart w:id="177" w:name="_Toc152707009"/>
      <w:r>
        <w:rPr>
          <w:rFonts w:hint="eastAsia" w:ascii="黑体" w:hAnsi="黑体" w:eastAsia="黑体" w:cs="黑体"/>
          <w:sz w:val="21"/>
          <w:szCs w:val="21"/>
          <w:lang w:val="en-US" w:eastAsia="zh-CN"/>
        </w:rPr>
        <w:t>附  录  A</w:t>
      </w:r>
      <w:bookmarkEnd w:id="170"/>
      <w:bookmarkEnd w:id="171"/>
    </w:p>
    <w:p>
      <w:pPr>
        <w:pStyle w:val="6"/>
        <w:keepNext w:val="0"/>
        <w:keepLines w:val="0"/>
        <w:pageBreakBefore w:val="0"/>
        <w:widowControl w:val="0"/>
        <w:kinsoku/>
        <w:wordWrap/>
        <w:overflowPunct/>
        <w:topLinePunct w:val="0"/>
        <w:autoSpaceDE/>
        <w:autoSpaceDN/>
        <w:bidi w:val="0"/>
        <w:snapToGrid w:val="0"/>
        <w:jc w:val="center"/>
        <w:textAlignment w:val="auto"/>
        <w:outlineLvl w:val="0"/>
        <w:rPr>
          <w:rFonts w:hint="eastAsia" w:ascii="黑体" w:hAnsi="黑体" w:eastAsia="黑体" w:cs="黑体"/>
          <w:sz w:val="21"/>
          <w:szCs w:val="21"/>
          <w:lang w:val="en-US" w:eastAsia="zh-CN"/>
        </w:rPr>
      </w:pPr>
      <w:bookmarkStart w:id="178" w:name="_Toc12114"/>
      <w:r>
        <w:rPr>
          <w:rFonts w:hint="eastAsia" w:ascii="黑体" w:hAnsi="黑体" w:eastAsia="黑体" w:cs="黑体"/>
          <w:sz w:val="21"/>
          <w:szCs w:val="21"/>
          <w:lang w:val="en-US" w:eastAsia="zh-CN"/>
        </w:rPr>
        <w:t>（资料性）</w:t>
      </w:r>
      <w:bookmarkEnd w:id="178"/>
    </w:p>
    <w:p>
      <w:pPr>
        <w:pStyle w:val="6"/>
        <w:keepNext w:val="0"/>
        <w:keepLines w:val="0"/>
        <w:pageBreakBefore w:val="0"/>
        <w:widowControl w:val="0"/>
        <w:kinsoku/>
        <w:wordWrap/>
        <w:overflowPunct/>
        <w:topLinePunct w:val="0"/>
        <w:autoSpaceDE/>
        <w:autoSpaceDN/>
        <w:bidi w:val="0"/>
        <w:adjustRightInd w:val="0"/>
        <w:snapToGrid w:val="0"/>
        <w:spacing w:after="283"/>
        <w:jc w:val="center"/>
        <w:textAlignment w:val="auto"/>
        <w:outlineLvl w:val="0"/>
        <w:rPr>
          <w:rFonts w:hint="eastAsia" w:ascii="黑体" w:hAnsi="黑体" w:eastAsia="黑体"/>
          <w:color w:val="000000"/>
          <w:sz w:val="21"/>
          <w:szCs w:val="21"/>
          <w:lang w:val="en-US" w:eastAsia="zh-CN"/>
        </w:rPr>
      </w:pPr>
      <w:bookmarkStart w:id="179" w:name="_Toc11906"/>
      <w:r>
        <w:rPr>
          <w:rFonts w:hint="eastAsia" w:ascii="黑体" w:hAnsi="黑体" w:eastAsia="黑体"/>
          <w:color w:val="000000"/>
          <w:sz w:val="21"/>
          <w:szCs w:val="21"/>
          <w:lang w:val="en-US" w:eastAsia="zh-CN"/>
        </w:rPr>
        <w:t>职业教育产业学院建设与运行规范评价表</w:t>
      </w:r>
      <w:bookmarkEnd w:id="172"/>
      <w:bookmarkEnd w:id="173"/>
      <w:bookmarkEnd w:id="174"/>
      <w:bookmarkEnd w:id="175"/>
      <w:bookmarkEnd w:id="176"/>
      <w:bookmarkEnd w:id="177"/>
      <w:bookmarkEnd w:id="179"/>
    </w:p>
    <w:p>
      <w:pPr>
        <w:pStyle w:val="67"/>
        <w:ind w:firstLine="420"/>
      </w:pPr>
      <w:r>
        <w:rPr>
          <w:rFonts w:hint="eastAsia"/>
        </w:rPr>
        <w:t>职业教育产业学院建设与运行规范评价内容见表A.1。</w:t>
      </w:r>
    </w:p>
    <w:p>
      <w:pPr>
        <w:pStyle w:val="84"/>
        <w:spacing w:before="156" w:after="156"/>
      </w:pPr>
      <w:r>
        <w:rPr>
          <w:rFonts w:hint="eastAsia"/>
          <w:lang w:val="en-US" w:eastAsia="zh-CN"/>
        </w:rPr>
        <w:t xml:space="preserve"> </w:t>
      </w:r>
      <w:r>
        <w:rPr>
          <w:rFonts w:hint="eastAsia"/>
        </w:rPr>
        <w:t>职业教育产业学院建设与运行规范评价表</w:t>
      </w:r>
      <w:bookmarkEnd w:id="168"/>
    </w:p>
    <w:tbl>
      <w:tblPr>
        <w:tblStyle w:val="2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993"/>
        <w:gridCol w:w="6378"/>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993" w:type="dxa"/>
            <w:vAlign w:val="center"/>
          </w:tcPr>
          <w:p>
            <w:pPr>
              <w:snapToGrid w:val="0"/>
              <w:spacing w:line="320" w:lineRule="exact"/>
              <w:jc w:val="center"/>
              <w:rPr>
                <w:rFonts w:ascii="宋体" w:hAnsi="宋体" w:cs="宋体"/>
                <w:b w:val="0"/>
                <w:bCs/>
                <w:sz w:val="18"/>
                <w:szCs w:val="18"/>
              </w:rPr>
            </w:pPr>
            <w:bookmarkStart w:id="180" w:name="BookMark6"/>
            <w:r>
              <w:rPr>
                <w:rFonts w:hint="eastAsia" w:ascii="宋体" w:hAnsi="宋体" w:cs="宋体"/>
                <w:b w:val="0"/>
                <w:bCs/>
                <w:sz w:val="18"/>
                <w:szCs w:val="18"/>
              </w:rPr>
              <w:t>一级指标</w:t>
            </w:r>
          </w:p>
        </w:tc>
        <w:tc>
          <w:tcPr>
            <w:tcW w:w="993"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二级指标</w:t>
            </w:r>
          </w:p>
        </w:tc>
        <w:tc>
          <w:tcPr>
            <w:tcW w:w="6378"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主要观测点</w:t>
            </w:r>
          </w:p>
        </w:tc>
        <w:tc>
          <w:tcPr>
            <w:tcW w:w="708"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M1</w:t>
            </w:r>
          </w:p>
          <w:p>
            <w:pPr>
              <w:snapToGrid w:val="0"/>
              <w:spacing w:line="320" w:lineRule="exact"/>
              <w:jc w:val="center"/>
              <w:rPr>
                <w:rFonts w:ascii="宋体" w:hAnsi="宋体" w:cs="宋体"/>
                <w:sz w:val="18"/>
                <w:szCs w:val="18"/>
              </w:rPr>
            </w:pPr>
            <w:r>
              <w:rPr>
                <w:rFonts w:hint="eastAsia" w:ascii="宋体" w:hAnsi="宋体" w:cs="宋体"/>
                <w:sz w:val="18"/>
                <w:szCs w:val="18"/>
              </w:rPr>
              <w:t>办学主体</w:t>
            </w:r>
          </w:p>
          <w:p>
            <w:pPr>
              <w:snapToGrid w:val="0"/>
              <w:spacing w:line="320" w:lineRule="exact"/>
              <w:jc w:val="center"/>
              <w:rPr>
                <w:rFonts w:ascii="宋体" w:hAnsi="宋体" w:cs="宋体"/>
                <w:sz w:val="18"/>
                <w:szCs w:val="18"/>
              </w:rPr>
            </w:pPr>
            <w:r>
              <w:rPr>
                <w:rFonts w:hint="eastAsia" w:ascii="宋体" w:hAnsi="宋体" w:cs="宋体"/>
                <w:sz w:val="18"/>
                <w:szCs w:val="18"/>
              </w:rPr>
              <w:t>（12分）</w:t>
            </w: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1-1</w:t>
            </w:r>
          </w:p>
          <w:p>
            <w:pPr>
              <w:widowControl/>
              <w:snapToGrid w:val="0"/>
              <w:spacing w:line="320" w:lineRule="exact"/>
              <w:jc w:val="center"/>
              <w:rPr>
                <w:rFonts w:ascii="宋体" w:hAnsi="宋体" w:cs="宋体"/>
                <w:sz w:val="18"/>
                <w:szCs w:val="18"/>
              </w:rPr>
            </w:pPr>
            <w:r>
              <w:rPr>
                <w:rFonts w:hint="eastAsia" w:ascii="宋体" w:hAnsi="宋体" w:cs="宋体"/>
                <w:sz w:val="18"/>
                <w:szCs w:val="18"/>
              </w:rPr>
              <w:t>办学方向与产业契合度高（6分）</w:t>
            </w: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1-1-1产业学院方向是符合苏州市经济发展的重点产业，有政府牵头或参与指导，有行业组织、龙头企业、科研院所等发起共建方不少于3家。有可查证内容的得3分，否则不得分。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1-1-2合作企业在苏州市产业链或产业集群中有较高的知名度和社会影响力。有可查证内容的得3分，否则不得分。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1-2</w:t>
            </w:r>
          </w:p>
          <w:p>
            <w:pPr>
              <w:widowControl/>
              <w:snapToGrid w:val="0"/>
              <w:spacing w:line="320" w:lineRule="exact"/>
              <w:jc w:val="center"/>
              <w:rPr>
                <w:rFonts w:ascii="宋体" w:hAnsi="宋体" w:cs="宋体"/>
                <w:sz w:val="18"/>
                <w:szCs w:val="18"/>
              </w:rPr>
            </w:pPr>
            <w:r>
              <w:rPr>
                <w:rFonts w:hint="eastAsia" w:ascii="宋体" w:hAnsi="宋体" w:cs="宋体"/>
                <w:sz w:val="18"/>
                <w:szCs w:val="18"/>
              </w:rPr>
              <w:t>专业群建设与产业契合度高</w:t>
            </w:r>
          </w:p>
          <w:p>
            <w:pPr>
              <w:widowControl/>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1-2-1依托专业群为苏州重点产业培养人才的专业群。有可查证内容的得2分，否则不得分。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widowControl/>
              <w:snapToGrid w:val="0"/>
              <w:spacing w:line="320" w:lineRule="exact"/>
              <w:jc w:val="left"/>
              <w:rPr>
                <w:rFonts w:ascii="宋体" w:hAnsi="宋体" w:cs="宋体"/>
                <w:sz w:val="18"/>
                <w:szCs w:val="18"/>
              </w:rPr>
            </w:pP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1-2-2依托专业群是学校重点建设的专业群。有可查证内容的得2分，否则不得分。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widowControl/>
              <w:snapToGrid w:val="0"/>
              <w:spacing w:line="320" w:lineRule="exact"/>
              <w:jc w:val="left"/>
              <w:rPr>
                <w:rFonts w:ascii="宋体" w:hAnsi="宋体" w:cs="宋体"/>
                <w:sz w:val="18"/>
                <w:szCs w:val="18"/>
              </w:rPr>
            </w:pP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1-2-3依托专业群近三年招生录取比例在90%以上，年终苏州本地就业率在60%以上。有可查证内容的得2分，否则不得分。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M2</w:t>
            </w:r>
          </w:p>
          <w:p>
            <w:pPr>
              <w:snapToGrid w:val="0"/>
              <w:spacing w:line="320" w:lineRule="exact"/>
              <w:jc w:val="center"/>
              <w:rPr>
                <w:rFonts w:ascii="宋体" w:hAnsi="宋体" w:cs="宋体"/>
                <w:sz w:val="18"/>
                <w:szCs w:val="18"/>
              </w:rPr>
            </w:pPr>
            <w:r>
              <w:rPr>
                <w:rFonts w:hint="eastAsia" w:ascii="宋体" w:hAnsi="宋体" w:cs="宋体"/>
                <w:sz w:val="18"/>
                <w:szCs w:val="18"/>
              </w:rPr>
              <w:t>运行机制</w:t>
            </w:r>
          </w:p>
          <w:p>
            <w:pPr>
              <w:snapToGrid w:val="0"/>
              <w:spacing w:line="320" w:lineRule="exact"/>
              <w:jc w:val="left"/>
              <w:rPr>
                <w:rFonts w:ascii="宋体" w:hAnsi="宋体" w:cs="宋体"/>
                <w:sz w:val="18"/>
                <w:szCs w:val="18"/>
              </w:rPr>
            </w:pPr>
            <w:r>
              <w:rPr>
                <w:rFonts w:hint="eastAsia" w:ascii="宋体" w:hAnsi="宋体" w:cs="宋体"/>
                <w:sz w:val="18"/>
                <w:szCs w:val="18"/>
              </w:rPr>
              <w:t>（18分）</w:t>
            </w:r>
          </w:p>
        </w:tc>
        <w:tc>
          <w:tcPr>
            <w:tcW w:w="993" w:type="dxa"/>
            <w:vMerge w:val="restart"/>
            <w:tcMar>
              <w:left w:w="57" w:type="dxa"/>
              <w:right w:w="57" w:type="dxa"/>
            </w:tcMar>
            <w:vAlign w:val="center"/>
          </w:tcPr>
          <w:p>
            <w:pPr>
              <w:widowControl/>
              <w:snapToGrid w:val="0"/>
              <w:spacing w:line="320" w:lineRule="exact"/>
              <w:jc w:val="center"/>
              <w:rPr>
                <w:rFonts w:ascii="宋体" w:hAnsi="宋体" w:cs="宋体"/>
                <w:sz w:val="18"/>
                <w:szCs w:val="18"/>
              </w:rPr>
            </w:pPr>
            <w:r>
              <w:rPr>
                <w:rFonts w:hint="eastAsia" w:ascii="宋体" w:hAnsi="宋体" w:cs="宋体"/>
                <w:sz w:val="18"/>
                <w:szCs w:val="18"/>
              </w:rPr>
              <w:t>2-1</w:t>
            </w:r>
          </w:p>
          <w:p>
            <w:pPr>
              <w:widowControl/>
              <w:snapToGrid w:val="0"/>
              <w:spacing w:line="320" w:lineRule="exact"/>
              <w:jc w:val="center"/>
              <w:rPr>
                <w:rFonts w:ascii="宋体" w:hAnsi="宋体" w:cs="宋体"/>
                <w:sz w:val="18"/>
                <w:szCs w:val="18"/>
              </w:rPr>
            </w:pPr>
            <w:r>
              <w:rPr>
                <w:rFonts w:hint="eastAsia" w:ascii="宋体" w:hAnsi="宋体" w:cs="宋体"/>
                <w:sz w:val="18"/>
                <w:szCs w:val="18"/>
              </w:rPr>
              <w:t>组织管理</w:t>
            </w:r>
          </w:p>
          <w:p>
            <w:pPr>
              <w:widowControl/>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2-1-1产业学院有健全的组织管理机构，建立由学校、政府、行业、企业等多方参与的理事会、专家咨询委员会等。有可查证内容的得3分，否则不得分。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993" w:type="dxa"/>
            <w:vMerge w:val="continue"/>
            <w:vAlign w:val="center"/>
          </w:tcPr>
          <w:p>
            <w:pPr>
              <w:snapToGrid w:val="0"/>
              <w:spacing w:line="320" w:lineRule="exact"/>
              <w:jc w:val="left"/>
              <w:rPr>
                <w:rFonts w:ascii="宋体" w:hAnsi="宋体" w:cs="宋体"/>
                <w:sz w:val="18"/>
                <w:szCs w:val="18"/>
              </w:rPr>
            </w:pPr>
          </w:p>
        </w:tc>
        <w:tc>
          <w:tcPr>
            <w:tcW w:w="993" w:type="dxa"/>
            <w:vMerge w:val="continue"/>
            <w:vAlign w:val="center"/>
          </w:tcPr>
          <w:p>
            <w:pPr>
              <w:widowControl/>
              <w:snapToGrid w:val="0"/>
              <w:spacing w:line="320" w:lineRule="exact"/>
              <w:jc w:val="center"/>
              <w:rPr>
                <w:rFonts w:ascii="宋体" w:hAnsi="宋体" w:cs="宋体"/>
                <w:sz w:val="18"/>
                <w:szCs w:val="18"/>
              </w:rPr>
            </w:pP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2-1-2产业学院有发展规划、年度工作计划和总结，以及有效的工作例会制度。每一项加1分，共3分。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vAlign w:val="center"/>
          </w:tcPr>
          <w:p>
            <w:pPr>
              <w:widowControl/>
              <w:snapToGrid w:val="0"/>
              <w:spacing w:line="320" w:lineRule="exact"/>
              <w:ind w:left="-107" w:leftChars="-51" w:right="-107" w:rightChars="-51"/>
              <w:jc w:val="center"/>
              <w:rPr>
                <w:rFonts w:ascii="宋体" w:hAnsi="宋体" w:cs="宋体"/>
                <w:sz w:val="18"/>
                <w:szCs w:val="18"/>
              </w:rPr>
            </w:pPr>
            <w:r>
              <w:rPr>
                <w:rFonts w:hint="eastAsia" w:ascii="宋体" w:hAnsi="宋体" w:cs="宋体"/>
                <w:sz w:val="18"/>
                <w:szCs w:val="18"/>
              </w:rPr>
              <w:t>2</w:t>
            </w:r>
            <w:r>
              <w:rPr>
                <w:rFonts w:ascii="宋体" w:hAnsi="宋体" w:cs="宋体"/>
                <w:sz w:val="18"/>
                <w:szCs w:val="18"/>
              </w:rPr>
              <w:t>-</w:t>
            </w:r>
            <w:r>
              <w:rPr>
                <w:rFonts w:hint="eastAsia" w:ascii="宋体" w:hAnsi="宋体" w:cs="宋体"/>
                <w:sz w:val="18"/>
                <w:szCs w:val="18"/>
              </w:rPr>
              <w:t>2</w:t>
            </w:r>
          </w:p>
          <w:p>
            <w:pPr>
              <w:widowControl/>
              <w:snapToGrid w:val="0"/>
              <w:spacing w:line="320" w:lineRule="exact"/>
              <w:ind w:left="-107" w:leftChars="-51" w:right="-107" w:rightChars="-51"/>
              <w:jc w:val="center"/>
              <w:rPr>
                <w:rFonts w:ascii="宋体" w:hAnsi="宋体" w:cs="宋体"/>
                <w:sz w:val="18"/>
                <w:szCs w:val="18"/>
              </w:rPr>
            </w:pPr>
            <w:r>
              <w:rPr>
                <w:rFonts w:hint="eastAsia" w:ascii="宋体" w:hAnsi="宋体" w:cs="宋体"/>
                <w:sz w:val="18"/>
                <w:szCs w:val="18"/>
              </w:rPr>
              <w:t>保障机制</w:t>
            </w:r>
          </w:p>
          <w:p>
            <w:pPr>
              <w:widowControl/>
              <w:snapToGrid w:val="0"/>
              <w:spacing w:line="320" w:lineRule="exact"/>
              <w:ind w:left="-107" w:leftChars="-51" w:right="-107" w:rightChars="-51"/>
              <w:jc w:val="center"/>
              <w:rPr>
                <w:rFonts w:ascii="宋体" w:hAnsi="宋体" w:cs="宋体"/>
                <w:sz w:val="18"/>
                <w:szCs w:val="18"/>
              </w:rPr>
            </w:pPr>
            <w:r>
              <w:rPr>
                <w:rFonts w:hint="eastAsia" w:ascii="宋体" w:hAnsi="宋体" w:cs="宋体"/>
                <w:sz w:val="18"/>
                <w:szCs w:val="18"/>
              </w:rPr>
              <w:t>（6分）</w:t>
            </w: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2-2-1产业学院有合作共建协议等保障约束机制。有可查证内容的得3分，否则不得分。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2-2-2产业学院有实质性的管理人员、专业技术人员互聘互用机制。有可查证内容的得3分，否则不得分。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2-3</w:t>
            </w:r>
          </w:p>
          <w:p>
            <w:pPr>
              <w:widowControl/>
              <w:snapToGrid w:val="0"/>
              <w:spacing w:line="320" w:lineRule="exact"/>
              <w:jc w:val="center"/>
              <w:rPr>
                <w:rFonts w:ascii="宋体" w:hAnsi="宋体" w:cs="宋体"/>
                <w:sz w:val="18"/>
                <w:szCs w:val="18"/>
              </w:rPr>
            </w:pPr>
            <w:r>
              <w:rPr>
                <w:rFonts w:hint="eastAsia" w:ascii="宋体" w:hAnsi="宋体" w:cs="宋体"/>
                <w:sz w:val="18"/>
                <w:szCs w:val="18"/>
              </w:rPr>
              <w:t>运行条件</w:t>
            </w:r>
          </w:p>
          <w:p>
            <w:pPr>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2-3-1产业学院正式成立，且有保持正常运营的机制。有可查证内容的得2分，否则不得分。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2-3-2产业学院资金有多方投入，场地设备、人员、技术、经费等预算投入方案，并通过产业学院理事会会议审议。有可查证内容的得4分，否则不得分。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M3</w:t>
            </w:r>
          </w:p>
          <w:p>
            <w:pPr>
              <w:snapToGrid w:val="0"/>
              <w:spacing w:line="320" w:lineRule="exact"/>
              <w:jc w:val="center"/>
              <w:rPr>
                <w:rFonts w:ascii="宋体" w:hAnsi="宋体" w:cs="宋体"/>
                <w:sz w:val="18"/>
                <w:szCs w:val="18"/>
              </w:rPr>
            </w:pPr>
            <w:r>
              <w:rPr>
                <w:rFonts w:hint="eastAsia" w:ascii="宋体" w:hAnsi="宋体" w:cs="宋体"/>
                <w:sz w:val="18"/>
                <w:szCs w:val="18"/>
              </w:rPr>
              <w:t>建设内容</w:t>
            </w:r>
          </w:p>
          <w:p>
            <w:pPr>
              <w:snapToGrid w:val="0"/>
              <w:spacing w:line="320" w:lineRule="exact"/>
              <w:jc w:val="center"/>
              <w:rPr>
                <w:rFonts w:ascii="宋体" w:hAnsi="宋体" w:cs="宋体"/>
                <w:sz w:val="18"/>
                <w:szCs w:val="18"/>
              </w:rPr>
            </w:pPr>
            <w:r>
              <w:rPr>
                <w:rFonts w:hint="eastAsia" w:ascii="宋体" w:hAnsi="宋体" w:cs="宋体"/>
                <w:sz w:val="18"/>
                <w:szCs w:val="18"/>
              </w:rPr>
              <w:t>（40分）</w:t>
            </w:r>
          </w:p>
        </w:tc>
        <w:tc>
          <w:tcPr>
            <w:tcW w:w="993" w:type="dxa"/>
            <w:vMerge w:val="restart"/>
            <w:tcMar>
              <w:left w:w="57" w:type="dxa"/>
              <w:right w:w="57"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3-1</w:t>
            </w:r>
          </w:p>
          <w:p>
            <w:pPr>
              <w:snapToGrid w:val="0"/>
              <w:spacing w:line="320" w:lineRule="exact"/>
              <w:jc w:val="center"/>
              <w:rPr>
                <w:rFonts w:ascii="宋体" w:hAnsi="宋体" w:cs="宋体"/>
                <w:sz w:val="18"/>
                <w:szCs w:val="18"/>
              </w:rPr>
            </w:pPr>
            <w:r>
              <w:rPr>
                <w:rFonts w:hint="eastAsia" w:ascii="宋体" w:hAnsi="宋体" w:cs="宋体"/>
                <w:sz w:val="18"/>
                <w:szCs w:val="18"/>
              </w:rPr>
              <w:t>人才培养</w:t>
            </w:r>
          </w:p>
          <w:p>
            <w:pPr>
              <w:snapToGrid w:val="0"/>
              <w:spacing w:line="320" w:lineRule="exact"/>
              <w:jc w:val="center"/>
              <w:rPr>
                <w:rFonts w:ascii="宋体" w:hAnsi="宋体" w:cs="宋体"/>
                <w:sz w:val="18"/>
                <w:szCs w:val="18"/>
              </w:rPr>
            </w:pPr>
            <w:r>
              <w:rPr>
                <w:rFonts w:hint="eastAsia" w:ascii="宋体" w:hAnsi="宋体" w:cs="宋体"/>
                <w:sz w:val="18"/>
                <w:szCs w:val="18"/>
              </w:rPr>
              <w:t>（10分）</w:t>
            </w:r>
          </w:p>
        </w:tc>
        <w:tc>
          <w:tcPr>
            <w:tcW w:w="6378" w:type="dxa"/>
            <w:vAlign w:val="center"/>
          </w:tcPr>
          <w:p>
            <w:pPr>
              <w:snapToGrid w:val="0"/>
              <w:spacing w:line="300" w:lineRule="exact"/>
              <w:rPr>
                <w:rFonts w:ascii="宋体" w:hAnsi="宋体" w:cs="宋体"/>
                <w:sz w:val="18"/>
                <w:szCs w:val="18"/>
              </w:rPr>
            </w:pPr>
            <w:r>
              <w:rPr>
                <w:rFonts w:hint="eastAsia" w:ascii="宋体" w:hAnsi="宋体" w:cs="宋体"/>
                <w:sz w:val="18"/>
                <w:szCs w:val="18"/>
              </w:rPr>
              <w:t>3-1-1产业学院开展合作育人，有冠名班、订单班、定向班、创新班、现场工程师班等实质性的人才培养模式。每一项加1分，最高3分。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3-1-2合作企业每年都有企业文化进教室、企业案例进教材、企业专家进课堂等实质性人才培养工作。每一项加1分，最高2分。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3-1-3合作企业在产业学院设立奖学金、奖教金、帮困金或运行与建设经费等投入机制。每一项加1分，最高2分。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3-1-4合作企业接受学生进入跟岗实训、顶岗实习或聘岗就业，产业学院能优先为企业提供优秀学生。每一项加1分，最高3分。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bl>
    <w:p/>
    <w:p/>
    <w:p>
      <w:pPr>
        <w:jc w:val="center"/>
        <w:rPr>
          <w:rFonts w:ascii="黑体" w:hAnsi="Times New Roman" w:eastAsia="黑体"/>
          <w:kern w:val="21"/>
          <w:szCs w:val="20"/>
        </w:rPr>
      </w:pPr>
      <w:r>
        <w:rPr>
          <w:rFonts w:hint="eastAsia" w:ascii="黑体" w:hAnsi="Times New Roman" w:eastAsia="黑体"/>
          <w:kern w:val="21"/>
          <w:szCs w:val="20"/>
        </w:rPr>
        <w:t xml:space="preserve">表A.1 </w:t>
      </w:r>
      <w:r>
        <w:rPr>
          <w:rFonts w:hint="eastAsia" w:ascii="黑体" w:hAnsi="Times New Roman" w:eastAsia="黑体"/>
          <w:kern w:val="21"/>
          <w:szCs w:val="20"/>
          <w:lang w:val="en-US" w:eastAsia="zh-CN"/>
        </w:rPr>
        <w:t xml:space="preserve"> </w:t>
      </w:r>
      <w:r>
        <w:rPr>
          <w:rFonts w:hint="eastAsia" w:ascii="黑体" w:hAnsi="Times New Roman" w:eastAsia="黑体"/>
          <w:kern w:val="21"/>
          <w:szCs w:val="20"/>
        </w:rPr>
        <w:t>职业教育产业学院建设与运行规范评价表</w:t>
      </w:r>
      <w:r>
        <w:rPr>
          <w:rFonts w:hint="eastAsia" w:ascii="宋体" w:hAnsi="宋体"/>
          <w:kern w:val="21"/>
          <w:szCs w:val="20"/>
        </w:rPr>
        <w:t>（续）</w:t>
      </w:r>
    </w:p>
    <w:tbl>
      <w:tblPr>
        <w:tblStyle w:val="2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993"/>
        <w:gridCol w:w="6378"/>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993"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一级指标</w:t>
            </w:r>
          </w:p>
        </w:tc>
        <w:tc>
          <w:tcPr>
            <w:tcW w:w="993"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二级指标</w:t>
            </w:r>
          </w:p>
        </w:tc>
        <w:tc>
          <w:tcPr>
            <w:tcW w:w="6378" w:type="dxa"/>
            <w:vAlign w:val="center"/>
          </w:tcPr>
          <w:p>
            <w:pPr>
              <w:snapToGrid w:val="0"/>
              <w:spacing w:line="300" w:lineRule="exact"/>
              <w:jc w:val="center"/>
              <w:rPr>
                <w:rFonts w:ascii="宋体" w:hAnsi="宋体" w:cs="宋体"/>
                <w:b w:val="0"/>
                <w:bCs/>
                <w:sz w:val="18"/>
                <w:szCs w:val="18"/>
              </w:rPr>
            </w:pPr>
            <w:r>
              <w:rPr>
                <w:rFonts w:hint="eastAsia" w:ascii="宋体" w:hAnsi="宋体" w:cs="宋体"/>
                <w:b w:val="0"/>
                <w:bCs/>
                <w:sz w:val="18"/>
                <w:szCs w:val="18"/>
              </w:rPr>
              <w:t>主要观测点</w:t>
            </w:r>
          </w:p>
        </w:tc>
        <w:tc>
          <w:tcPr>
            <w:tcW w:w="708"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93" w:type="dxa"/>
            <w:vMerge w:val="restart"/>
            <w:vAlign w:val="center"/>
          </w:tcPr>
          <w:p>
            <w:pPr>
              <w:snapToGrid w:val="0"/>
              <w:spacing w:line="320" w:lineRule="exact"/>
              <w:jc w:val="center"/>
              <w:rPr>
                <w:rFonts w:ascii="宋体" w:hAnsi="宋体" w:cs="宋体"/>
                <w:sz w:val="18"/>
                <w:szCs w:val="18"/>
              </w:rPr>
            </w:pPr>
            <w:r>
              <w:rPr>
                <w:rFonts w:ascii="宋体" w:hAnsi="宋体" w:cs="宋体"/>
                <w:sz w:val="18"/>
                <w:szCs w:val="18"/>
              </w:rPr>
              <w:t>M3</w:t>
            </w:r>
          </w:p>
          <w:p>
            <w:pPr>
              <w:snapToGrid w:val="0"/>
              <w:spacing w:line="320" w:lineRule="exact"/>
              <w:jc w:val="center"/>
              <w:rPr>
                <w:rFonts w:ascii="宋体" w:hAnsi="宋体" w:cs="宋体"/>
                <w:sz w:val="18"/>
                <w:szCs w:val="18"/>
              </w:rPr>
            </w:pPr>
            <w:r>
              <w:rPr>
                <w:rFonts w:hint="eastAsia" w:ascii="宋体" w:hAnsi="宋体" w:cs="宋体"/>
                <w:sz w:val="18"/>
                <w:szCs w:val="18"/>
              </w:rPr>
              <w:t>建设内容</w:t>
            </w:r>
          </w:p>
          <w:p>
            <w:pPr>
              <w:snapToGrid w:val="0"/>
              <w:spacing w:line="320" w:lineRule="exact"/>
              <w:jc w:val="center"/>
              <w:rPr>
                <w:rFonts w:ascii="宋体" w:hAnsi="宋体" w:cs="宋体"/>
                <w:sz w:val="18"/>
                <w:szCs w:val="18"/>
              </w:rPr>
            </w:pPr>
            <w:r>
              <w:rPr>
                <w:rFonts w:hint="eastAsia" w:ascii="宋体" w:hAnsi="宋体" w:cs="宋体"/>
                <w:sz w:val="18"/>
                <w:szCs w:val="18"/>
              </w:rPr>
              <w:t>（40分）</w:t>
            </w: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3-2</w:t>
            </w:r>
          </w:p>
          <w:p>
            <w:pPr>
              <w:snapToGrid w:val="0"/>
              <w:spacing w:line="320" w:lineRule="exact"/>
              <w:jc w:val="center"/>
              <w:rPr>
                <w:rFonts w:ascii="宋体" w:hAnsi="宋体" w:cs="宋体"/>
                <w:sz w:val="18"/>
                <w:szCs w:val="18"/>
              </w:rPr>
            </w:pPr>
            <w:r>
              <w:rPr>
                <w:rFonts w:hint="eastAsia" w:ascii="宋体" w:hAnsi="宋体" w:cs="宋体"/>
                <w:sz w:val="18"/>
                <w:szCs w:val="18"/>
              </w:rPr>
              <w:t>课程资源</w:t>
            </w:r>
          </w:p>
          <w:p>
            <w:pPr>
              <w:snapToGrid w:val="0"/>
              <w:spacing w:line="320" w:lineRule="exact"/>
              <w:ind w:firstLine="32" w:firstLineChars="18"/>
              <w:jc w:val="left"/>
              <w:rPr>
                <w:rFonts w:ascii="宋体" w:hAnsi="宋体" w:cs="宋体"/>
                <w:sz w:val="18"/>
                <w:szCs w:val="18"/>
              </w:rPr>
            </w:pPr>
            <w:r>
              <w:rPr>
                <w:rFonts w:hint="eastAsia" w:ascii="宋体" w:hAnsi="宋体" w:cs="宋体"/>
                <w:sz w:val="18"/>
                <w:szCs w:val="18"/>
              </w:rPr>
              <w:t>（8分）</w:t>
            </w: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3-2-1校企共同开展专业人才培养方案修订、</w:t>
            </w:r>
            <w:r>
              <w:rPr>
                <w:rFonts w:ascii="宋体" w:hAnsi="宋体" w:cs="宋体"/>
                <w:sz w:val="18"/>
                <w:szCs w:val="18"/>
              </w:rPr>
              <w:t>重构课程体系</w:t>
            </w:r>
            <w:r>
              <w:rPr>
                <w:rFonts w:hint="eastAsia" w:ascii="宋体" w:hAnsi="宋体" w:cs="宋体"/>
                <w:sz w:val="18"/>
                <w:szCs w:val="18"/>
              </w:rPr>
              <w:t>、优化课程结构、制定课程标准。每一项加1分，最高3分。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3-2-2校企共同开发课程、编写教材和实训指导书、制作教学课件、教学音视频、实训实习项目等各类课程资源，建设教学资源库，并取得显性成果。每一项加1分，最高5分。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3-3</w:t>
            </w:r>
          </w:p>
          <w:p>
            <w:pPr>
              <w:snapToGrid w:val="0"/>
              <w:spacing w:line="320" w:lineRule="exact"/>
              <w:jc w:val="center"/>
              <w:rPr>
                <w:rFonts w:ascii="宋体" w:hAnsi="宋体" w:cs="宋体"/>
                <w:sz w:val="18"/>
                <w:szCs w:val="18"/>
              </w:rPr>
            </w:pPr>
            <w:r>
              <w:rPr>
                <w:rFonts w:hint="eastAsia" w:ascii="宋体" w:hAnsi="宋体" w:cs="宋体"/>
                <w:sz w:val="18"/>
                <w:szCs w:val="18"/>
              </w:rPr>
              <w:t>实习实训基地</w:t>
            </w:r>
          </w:p>
          <w:p>
            <w:pPr>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3-3-1合作共建校内实训室或生产性实训基地，有人、财、物的投入与共建成果。有可查证内容的得3分，否则不得分。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3-3-2在企业合作共建实习实训基地，有人、财或物的投入与共建成果，每年都有学生进入基地进行实训、实习工作。有可查证内容的得3分，否则不得分。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3-4</w:t>
            </w:r>
          </w:p>
          <w:p>
            <w:pPr>
              <w:snapToGrid w:val="0"/>
              <w:spacing w:line="320" w:lineRule="exact"/>
              <w:jc w:val="center"/>
              <w:rPr>
                <w:rFonts w:ascii="宋体" w:hAnsi="宋体" w:cs="宋体"/>
                <w:sz w:val="18"/>
                <w:szCs w:val="18"/>
              </w:rPr>
            </w:pPr>
            <w:r>
              <w:rPr>
                <w:rFonts w:hint="eastAsia" w:ascii="宋体" w:hAnsi="宋体" w:cs="宋体"/>
                <w:sz w:val="18"/>
                <w:szCs w:val="18"/>
              </w:rPr>
              <w:t>联合研发中心</w:t>
            </w:r>
          </w:p>
          <w:p>
            <w:pPr>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3-4-1在产业学院建有科技创新或四技服务基地，为企业开展科技创新、技术开发、技术转让、技术咨询、技术服务等工作，并取得专利、横向课题等实质性成果。每一项加1分，最高3分。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3-4-2在产业学院建有联合研发中心（实验室），校企联合开展技术攻关、产品研发、成果转化、项目孵化等工作。每一项加1分，最高3分。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restart"/>
            <w:tcMar>
              <w:left w:w="57" w:type="dxa"/>
              <w:right w:w="57"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3-5</w:t>
            </w:r>
          </w:p>
          <w:p>
            <w:pPr>
              <w:snapToGrid w:val="0"/>
              <w:spacing w:line="320" w:lineRule="exact"/>
              <w:jc w:val="center"/>
              <w:rPr>
                <w:rFonts w:ascii="宋体" w:hAnsi="宋体" w:cs="宋体"/>
                <w:sz w:val="18"/>
                <w:szCs w:val="18"/>
              </w:rPr>
            </w:pPr>
            <w:r>
              <w:rPr>
                <w:rFonts w:hint="eastAsia" w:ascii="宋体" w:hAnsi="宋体" w:cs="宋体"/>
                <w:sz w:val="18"/>
                <w:szCs w:val="18"/>
              </w:rPr>
              <w:t>混编师资团队</w:t>
            </w:r>
          </w:p>
          <w:p>
            <w:pPr>
              <w:snapToGrid w:val="0"/>
              <w:spacing w:line="320" w:lineRule="exact"/>
              <w:jc w:val="center"/>
              <w:rPr>
                <w:rFonts w:ascii="宋体" w:hAnsi="宋体" w:cs="宋体"/>
                <w:sz w:val="18"/>
                <w:szCs w:val="18"/>
              </w:rPr>
            </w:pPr>
            <w:r>
              <w:rPr>
                <w:rFonts w:hint="eastAsia" w:ascii="宋体" w:hAnsi="宋体" w:cs="宋体"/>
                <w:sz w:val="18"/>
                <w:szCs w:val="18"/>
              </w:rPr>
              <w:t>（10分）</w:t>
            </w:r>
          </w:p>
        </w:tc>
        <w:tc>
          <w:tcPr>
            <w:tcW w:w="6378" w:type="dxa"/>
            <w:vAlign w:val="center"/>
          </w:tcPr>
          <w:p>
            <w:pPr>
              <w:widowControl/>
              <w:snapToGrid w:val="0"/>
              <w:spacing w:line="320" w:lineRule="exact"/>
              <w:jc w:val="left"/>
              <w:rPr>
                <w:rFonts w:ascii="宋体" w:hAnsi="宋体" w:cs="宋体"/>
                <w:sz w:val="18"/>
                <w:szCs w:val="18"/>
              </w:rPr>
            </w:pPr>
            <w:r>
              <w:rPr>
                <w:rFonts w:hint="eastAsia" w:ascii="宋体" w:hAnsi="宋体" w:cs="宋体"/>
                <w:sz w:val="18"/>
                <w:szCs w:val="18"/>
              </w:rPr>
              <w:t>3-5-1依托的专业群有相对稳定的高水平教学团队。有可查证内容的得2分，否则不得分。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3-5-2校企共同组建混编师资团队，师资团队与依托专业（群）学生比不小于1:18，其中企业导师占比不少于50%。有可查证内容的得2分，否则不得分。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3-5-3混编师资团队具有高级专业技术职称、高级技师及以上职业技能等级的人员数量不低于师资团队的总数的50%</w:t>
            </w:r>
            <w:r>
              <w:rPr>
                <w:rFonts w:hint="eastAsia" w:ascii="宋体" w:hAnsi="宋体" w:cs="宋体"/>
                <w:color w:val="C00000"/>
                <w:sz w:val="18"/>
                <w:szCs w:val="18"/>
              </w:rPr>
              <w:t>。</w:t>
            </w:r>
            <w:r>
              <w:rPr>
                <w:rFonts w:hint="eastAsia" w:ascii="宋体" w:hAnsi="宋体" w:cs="宋体"/>
                <w:sz w:val="18"/>
                <w:szCs w:val="18"/>
              </w:rPr>
              <w:t>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3-5-4产业学院聘请产业导师</w:t>
            </w:r>
            <w:r>
              <w:rPr>
                <w:rFonts w:hint="eastAsia" w:ascii="宋体" w:hAnsi="宋体" w:cs="宋体"/>
                <w:sz w:val="18"/>
                <w:szCs w:val="18"/>
                <w:lang w:eastAsia="zh-CN"/>
              </w:rPr>
              <w:t>参与</w:t>
            </w:r>
            <w:r>
              <w:rPr>
                <w:rFonts w:hint="eastAsia" w:ascii="宋体" w:hAnsi="宋体" w:cs="宋体"/>
                <w:sz w:val="18"/>
                <w:szCs w:val="18"/>
              </w:rPr>
              <w:t>课堂教学、毕业设计（论文）、技能竞赛、创新创业等人才培养过程。有可查证内容的得2分，否则不得分。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3-5-5在合作企业建有教师实践工作站，为专任教师提供企业实践机会和岗位。有可查证内容的得2分，否则不得分。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restart"/>
            <w:tcMar>
              <w:left w:w="28" w:type="dxa"/>
              <w:right w:w="28"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M4</w:t>
            </w:r>
          </w:p>
          <w:p>
            <w:pPr>
              <w:snapToGrid w:val="0"/>
              <w:spacing w:line="320" w:lineRule="exact"/>
              <w:jc w:val="center"/>
              <w:rPr>
                <w:rFonts w:ascii="宋体" w:hAnsi="宋体" w:cs="宋体"/>
                <w:sz w:val="18"/>
                <w:szCs w:val="18"/>
              </w:rPr>
            </w:pPr>
            <w:r>
              <w:rPr>
                <w:rFonts w:hint="eastAsia" w:ascii="宋体" w:hAnsi="宋体" w:cs="宋体"/>
                <w:sz w:val="18"/>
                <w:szCs w:val="18"/>
              </w:rPr>
              <w:t>运行成效</w:t>
            </w:r>
          </w:p>
          <w:p>
            <w:pPr>
              <w:snapToGrid w:val="0"/>
              <w:spacing w:line="320" w:lineRule="exact"/>
              <w:jc w:val="center"/>
              <w:rPr>
                <w:rFonts w:ascii="宋体" w:hAnsi="宋体" w:cs="宋体"/>
                <w:sz w:val="18"/>
                <w:szCs w:val="18"/>
              </w:rPr>
            </w:pPr>
            <w:r>
              <w:rPr>
                <w:rFonts w:hint="eastAsia" w:ascii="宋体" w:hAnsi="宋体" w:cs="宋体"/>
                <w:sz w:val="18"/>
                <w:szCs w:val="18"/>
              </w:rPr>
              <w:t>（30分）</w:t>
            </w:r>
          </w:p>
        </w:tc>
        <w:tc>
          <w:tcPr>
            <w:tcW w:w="993" w:type="dxa"/>
            <w:vMerge w:val="restart"/>
            <w:tcMar>
              <w:left w:w="57" w:type="dxa"/>
              <w:right w:w="57"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4-1</w:t>
            </w:r>
          </w:p>
          <w:p>
            <w:pPr>
              <w:snapToGrid w:val="0"/>
              <w:spacing w:line="320" w:lineRule="exact"/>
              <w:jc w:val="center"/>
              <w:rPr>
                <w:rFonts w:ascii="宋体" w:hAnsi="宋体" w:cs="宋体"/>
                <w:sz w:val="18"/>
                <w:szCs w:val="18"/>
              </w:rPr>
            </w:pPr>
            <w:r>
              <w:rPr>
                <w:rFonts w:hint="eastAsia" w:ascii="宋体" w:hAnsi="宋体" w:cs="宋体"/>
                <w:sz w:val="18"/>
                <w:szCs w:val="18"/>
              </w:rPr>
              <w:t>育人成效</w:t>
            </w:r>
          </w:p>
          <w:p>
            <w:pPr>
              <w:snapToGrid w:val="0"/>
              <w:spacing w:line="320" w:lineRule="exact"/>
              <w:jc w:val="center"/>
              <w:rPr>
                <w:rFonts w:ascii="宋体" w:hAnsi="宋体" w:cs="宋体"/>
                <w:sz w:val="18"/>
                <w:szCs w:val="18"/>
              </w:rPr>
            </w:pPr>
            <w:r>
              <w:rPr>
                <w:rFonts w:hint="eastAsia" w:ascii="宋体" w:hAnsi="宋体" w:cs="宋体"/>
                <w:sz w:val="18"/>
                <w:szCs w:val="18"/>
              </w:rPr>
              <w:t>（9分）</w:t>
            </w: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4-1-1产业学院的学生在毕业设计（论文）、创新创业、技能竞赛等方面获得市级（含）以上奖励或表彰。每一项加1分，最高4分。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4-1-2产业学院的综合性成果获得市级（含）以上奖励或表彰。每一项加1分，最高3分。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4-1-3产业学院的毕业生在产业链上下游企业就业占就业人数的50%以上。有可查证内容的得2分，否则不得分。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restart"/>
            <w:tcMar>
              <w:left w:w="57" w:type="dxa"/>
              <w:right w:w="57"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4-2</w:t>
            </w:r>
          </w:p>
          <w:p>
            <w:pPr>
              <w:snapToGrid w:val="0"/>
              <w:spacing w:line="320" w:lineRule="exact"/>
              <w:jc w:val="center"/>
              <w:rPr>
                <w:rFonts w:ascii="宋体" w:hAnsi="宋体" w:cs="宋体"/>
                <w:sz w:val="18"/>
                <w:szCs w:val="18"/>
              </w:rPr>
            </w:pPr>
            <w:r>
              <w:rPr>
                <w:rFonts w:hint="eastAsia" w:ascii="宋体" w:hAnsi="宋体" w:cs="宋体"/>
                <w:sz w:val="18"/>
                <w:szCs w:val="18"/>
              </w:rPr>
              <w:t>师资成效</w:t>
            </w:r>
          </w:p>
          <w:p>
            <w:pPr>
              <w:snapToGrid w:val="0"/>
              <w:spacing w:line="320" w:lineRule="exact"/>
              <w:jc w:val="center"/>
              <w:rPr>
                <w:rFonts w:ascii="宋体" w:hAnsi="宋体" w:cs="宋体"/>
                <w:sz w:val="18"/>
                <w:szCs w:val="18"/>
              </w:rPr>
            </w:pPr>
            <w:r>
              <w:rPr>
                <w:rFonts w:hint="eastAsia" w:ascii="宋体" w:hAnsi="宋体" w:cs="宋体"/>
                <w:sz w:val="18"/>
                <w:szCs w:val="18"/>
              </w:rPr>
              <w:t>（6分）</w:t>
            </w: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4-2-1产业学院的学校导师成果获得市级（含）以上奖励或表彰。每一项加1分，最高2分。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4-2-2产业导师参与学生创新创业、毕业设计（论文）、技能竞赛、实习实训等指导工作，并取得显著成绩。每一项加1分，最高2分。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4-2-3产业导师积极参与教学改革和创新的研究工作，合作成功申报课题或教学建设项目，并取得显性成果。每一项加1分，最高2分。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restart"/>
            <w:tcMar>
              <w:left w:w="57" w:type="dxa"/>
              <w:right w:w="57" w:type="dxa"/>
            </w:tcMar>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4-3</w:t>
            </w:r>
          </w:p>
          <w:p>
            <w:pPr>
              <w:snapToGrid w:val="0"/>
              <w:spacing w:line="320" w:lineRule="exact"/>
              <w:jc w:val="center"/>
              <w:rPr>
                <w:rFonts w:ascii="宋体" w:hAnsi="宋体" w:cs="宋体"/>
                <w:sz w:val="18"/>
                <w:szCs w:val="18"/>
              </w:rPr>
            </w:pPr>
            <w:r>
              <w:rPr>
                <w:rFonts w:hint="eastAsia" w:ascii="宋体" w:hAnsi="宋体" w:cs="宋体"/>
                <w:sz w:val="18"/>
                <w:szCs w:val="18"/>
              </w:rPr>
              <w:t>社会服务</w:t>
            </w:r>
          </w:p>
          <w:p>
            <w:pPr>
              <w:snapToGrid w:val="0"/>
              <w:spacing w:line="320" w:lineRule="exact"/>
              <w:jc w:val="center"/>
              <w:rPr>
                <w:rFonts w:ascii="宋体" w:hAnsi="宋体" w:cs="宋体"/>
                <w:sz w:val="18"/>
                <w:szCs w:val="18"/>
              </w:rPr>
            </w:pPr>
            <w:r>
              <w:rPr>
                <w:rFonts w:hint="eastAsia" w:ascii="宋体" w:hAnsi="宋体" w:cs="宋体"/>
                <w:sz w:val="18"/>
                <w:szCs w:val="18"/>
              </w:rPr>
              <w:t>（5分）</w:t>
            </w: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4-3-1在产业学院建有职工培训基地、公共实训基地、产业人才基地等，面向社会、企业开展培训、学历提升等服务。每一项加1分，最高3分。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93" w:type="dxa"/>
            <w:vMerge w:val="continue"/>
            <w:tcMar>
              <w:left w:w="28" w:type="dxa"/>
              <w:right w:w="28" w:type="dxa"/>
            </w:tcMar>
            <w:vAlign w:val="center"/>
          </w:tcPr>
          <w:p>
            <w:pPr>
              <w:snapToGrid w:val="0"/>
              <w:spacing w:line="320" w:lineRule="exact"/>
              <w:jc w:val="center"/>
              <w:rPr>
                <w:rFonts w:ascii="宋体" w:hAnsi="宋体" w:cs="宋体"/>
                <w:sz w:val="18"/>
                <w:szCs w:val="18"/>
              </w:rPr>
            </w:pPr>
          </w:p>
        </w:tc>
        <w:tc>
          <w:tcPr>
            <w:tcW w:w="993" w:type="dxa"/>
            <w:vMerge w:val="continue"/>
            <w:tcMar>
              <w:left w:w="57" w:type="dxa"/>
              <w:right w:w="57" w:type="dxa"/>
            </w:tcMar>
            <w:vAlign w:val="center"/>
          </w:tcPr>
          <w:p>
            <w:pPr>
              <w:snapToGrid w:val="0"/>
              <w:spacing w:line="320" w:lineRule="exact"/>
              <w:jc w:val="center"/>
              <w:rPr>
                <w:rFonts w:ascii="宋体" w:hAnsi="宋体" w:cs="宋体"/>
                <w:sz w:val="18"/>
                <w:szCs w:val="18"/>
              </w:rPr>
            </w:pP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4-3-2在产业学院建有创业孵化基地或众创空间，扎实开展创业教育和创业孵化工作。每一项加1分，最高2分。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2</w:t>
            </w:r>
          </w:p>
        </w:tc>
      </w:tr>
    </w:tbl>
    <w:p/>
    <w:p>
      <w:pPr>
        <w:jc w:val="center"/>
        <w:rPr>
          <w:rFonts w:ascii="宋体" w:hAnsi="宋体"/>
          <w:kern w:val="21"/>
          <w:szCs w:val="20"/>
        </w:rPr>
      </w:pPr>
      <w:r>
        <w:rPr>
          <w:rFonts w:hint="eastAsia" w:ascii="黑体" w:hAnsi="Times New Roman" w:eastAsia="黑体"/>
          <w:kern w:val="21"/>
          <w:szCs w:val="20"/>
        </w:rPr>
        <w:t xml:space="preserve">表A.1 </w:t>
      </w:r>
      <w:r>
        <w:rPr>
          <w:rFonts w:hint="eastAsia" w:ascii="黑体" w:hAnsi="Times New Roman" w:eastAsia="黑体"/>
          <w:kern w:val="21"/>
          <w:szCs w:val="20"/>
          <w:lang w:val="en-US" w:eastAsia="zh-CN"/>
        </w:rPr>
        <w:t xml:space="preserve"> </w:t>
      </w:r>
      <w:r>
        <w:rPr>
          <w:rFonts w:hint="eastAsia" w:ascii="黑体" w:hAnsi="Times New Roman" w:eastAsia="黑体"/>
          <w:kern w:val="21"/>
          <w:szCs w:val="20"/>
        </w:rPr>
        <w:t>职业教育产业学院建设与运行规范评价表</w:t>
      </w:r>
      <w:r>
        <w:rPr>
          <w:rFonts w:hint="eastAsia" w:ascii="宋体" w:hAnsi="宋体"/>
          <w:kern w:val="21"/>
          <w:szCs w:val="20"/>
        </w:rPr>
        <w:t>（续）</w:t>
      </w:r>
    </w:p>
    <w:tbl>
      <w:tblPr>
        <w:tblStyle w:val="2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993"/>
        <w:gridCol w:w="6378"/>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93"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一级指标</w:t>
            </w:r>
          </w:p>
        </w:tc>
        <w:tc>
          <w:tcPr>
            <w:tcW w:w="993" w:type="dxa"/>
            <w:tcMar>
              <w:left w:w="57" w:type="dxa"/>
              <w:right w:w="57" w:type="dxa"/>
            </w:tcMar>
            <w:vAlign w:val="center"/>
          </w:tcPr>
          <w:p>
            <w:pPr>
              <w:widowControl/>
              <w:snapToGrid w:val="0"/>
              <w:spacing w:line="320" w:lineRule="exact"/>
              <w:jc w:val="center"/>
              <w:rPr>
                <w:rFonts w:ascii="宋体" w:hAnsi="宋体" w:cs="宋体"/>
                <w:b w:val="0"/>
                <w:bCs/>
                <w:sz w:val="18"/>
                <w:szCs w:val="18"/>
              </w:rPr>
            </w:pPr>
            <w:r>
              <w:rPr>
                <w:rFonts w:hint="eastAsia" w:ascii="宋体" w:hAnsi="宋体" w:cs="宋体"/>
                <w:b w:val="0"/>
                <w:bCs/>
                <w:sz w:val="18"/>
                <w:szCs w:val="18"/>
              </w:rPr>
              <w:t>二级指标</w:t>
            </w:r>
          </w:p>
        </w:tc>
        <w:tc>
          <w:tcPr>
            <w:tcW w:w="6378" w:type="dxa"/>
            <w:vAlign w:val="center"/>
          </w:tcPr>
          <w:p>
            <w:pPr>
              <w:snapToGrid w:val="0"/>
              <w:spacing w:line="300" w:lineRule="exact"/>
              <w:jc w:val="center"/>
              <w:rPr>
                <w:rFonts w:ascii="宋体" w:hAnsi="宋体" w:cs="宋体"/>
                <w:b w:val="0"/>
                <w:bCs/>
                <w:sz w:val="18"/>
                <w:szCs w:val="18"/>
              </w:rPr>
            </w:pPr>
            <w:r>
              <w:rPr>
                <w:rFonts w:hint="eastAsia" w:ascii="宋体" w:hAnsi="宋体" w:cs="宋体"/>
                <w:b w:val="0"/>
                <w:bCs/>
                <w:sz w:val="18"/>
                <w:szCs w:val="18"/>
              </w:rPr>
              <w:t>主要观测点</w:t>
            </w:r>
          </w:p>
        </w:tc>
        <w:tc>
          <w:tcPr>
            <w:tcW w:w="708" w:type="dxa"/>
            <w:vAlign w:val="center"/>
          </w:tcPr>
          <w:p>
            <w:pPr>
              <w:snapToGrid w:val="0"/>
              <w:spacing w:line="320" w:lineRule="exact"/>
              <w:jc w:val="center"/>
              <w:rPr>
                <w:rFonts w:ascii="宋体" w:hAnsi="宋体" w:cs="宋体"/>
                <w:b w:val="0"/>
                <w:bCs/>
                <w:sz w:val="18"/>
                <w:szCs w:val="18"/>
              </w:rPr>
            </w:pPr>
            <w:r>
              <w:rPr>
                <w:rFonts w:hint="eastAsia" w:ascii="宋体" w:hAnsi="宋体" w:cs="宋体"/>
                <w:b w:val="0"/>
                <w:bCs/>
                <w:sz w:val="18"/>
                <w:szCs w:val="1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93" w:type="dxa"/>
            <w:vMerge w:val="restart"/>
            <w:vAlign w:val="center"/>
          </w:tcPr>
          <w:p>
            <w:pPr>
              <w:snapToGrid w:val="0"/>
              <w:spacing w:line="320" w:lineRule="exact"/>
              <w:jc w:val="center"/>
              <w:rPr>
                <w:rFonts w:ascii="宋体" w:hAnsi="宋体" w:cs="宋体"/>
                <w:sz w:val="18"/>
                <w:szCs w:val="18"/>
              </w:rPr>
            </w:pPr>
            <w:r>
              <w:rPr>
                <w:rFonts w:ascii="宋体" w:hAnsi="宋体" w:cs="宋体"/>
                <w:sz w:val="18"/>
                <w:szCs w:val="18"/>
              </w:rPr>
              <w:t>M4</w:t>
            </w:r>
          </w:p>
          <w:p>
            <w:pPr>
              <w:snapToGrid w:val="0"/>
              <w:spacing w:line="320" w:lineRule="exact"/>
              <w:jc w:val="center"/>
              <w:rPr>
                <w:rFonts w:ascii="宋体" w:hAnsi="宋体" w:cs="宋体"/>
                <w:sz w:val="18"/>
                <w:szCs w:val="18"/>
              </w:rPr>
            </w:pPr>
            <w:r>
              <w:rPr>
                <w:rFonts w:hint="eastAsia" w:ascii="宋体" w:hAnsi="宋体" w:cs="宋体"/>
                <w:sz w:val="18"/>
                <w:szCs w:val="18"/>
              </w:rPr>
              <w:t>运行成效</w:t>
            </w:r>
          </w:p>
          <w:p>
            <w:pPr>
              <w:snapToGrid w:val="0"/>
              <w:spacing w:line="320" w:lineRule="exact"/>
              <w:jc w:val="center"/>
              <w:rPr>
                <w:rFonts w:ascii="宋体" w:hAnsi="宋体" w:cs="宋体"/>
                <w:sz w:val="18"/>
                <w:szCs w:val="18"/>
              </w:rPr>
            </w:pPr>
            <w:r>
              <w:rPr>
                <w:rFonts w:hint="eastAsia" w:ascii="宋体" w:hAnsi="宋体" w:cs="宋体"/>
                <w:sz w:val="18"/>
                <w:szCs w:val="18"/>
              </w:rPr>
              <w:t>（30分）</w:t>
            </w:r>
          </w:p>
        </w:tc>
        <w:tc>
          <w:tcPr>
            <w:tcW w:w="993" w:type="dxa"/>
            <w:tcMar>
              <w:left w:w="57" w:type="dxa"/>
              <w:right w:w="57" w:type="dxa"/>
            </w:tcMar>
            <w:vAlign w:val="center"/>
          </w:tcPr>
          <w:p>
            <w:pPr>
              <w:widowControl/>
              <w:snapToGrid w:val="0"/>
              <w:spacing w:line="320" w:lineRule="exact"/>
              <w:jc w:val="center"/>
              <w:rPr>
                <w:rFonts w:ascii="宋体" w:hAnsi="宋体" w:cs="宋体"/>
                <w:sz w:val="18"/>
                <w:szCs w:val="18"/>
              </w:rPr>
            </w:pPr>
            <w:r>
              <w:rPr>
                <w:rFonts w:hint="eastAsia" w:ascii="宋体" w:hAnsi="宋体" w:cs="宋体"/>
                <w:sz w:val="18"/>
                <w:szCs w:val="18"/>
              </w:rPr>
              <w:t>4-4</w:t>
            </w:r>
          </w:p>
          <w:p>
            <w:pPr>
              <w:widowControl/>
              <w:snapToGrid w:val="0"/>
              <w:spacing w:line="320" w:lineRule="exact"/>
              <w:jc w:val="center"/>
              <w:rPr>
                <w:rFonts w:ascii="宋体" w:hAnsi="宋体" w:cs="宋体"/>
                <w:sz w:val="18"/>
                <w:szCs w:val="18"/>
              </w:rPr>
            </w:pPr>
            <w:r>
              <w:rPr>
                <w:rFonts w:hint="eastAsia" w:ascii="宋体" w:hAnsi="宋体" w:cs="宋体"/>
                <w:sz w:val="18"/>
                <w:szCs w:val="18"/>
              </w:rPr>
              <w:t>产业服务（5分）</w:t>
            </w:r>
          </w:p>
        </w:tc>
        <w:tc>
          <w:tcPr>
            <w:tcW w:w="6378" w:type="dxa"/>
            <w:vAlign w:val="center"/>
          </w:tcPr>
          <w:p>
            <w:pPr>
              <w:snapToGrid w:val="0"/>
              <w:spacing w:line="300" w:lineRule="exact"/>
              <w:jc w:val="left"/>
              <w:rPr>
                <w:rFonts w:ascii="宋体" w:hAnsi="宋体" w:cs="宋体"/>
                <w:sz w:val="18"/>
                <w:szCs w:val="18"/>
              </w:rPr>
            </w:pPr>
            <w:r>
              <w:rPr>
                <w:rFonts w:hint="eastAsia" w:ascii="宋体" w:hAnsi="宋体" w:cs="宋体"/>
                <w:sz w:val="18"/>
                <w:szCs w:val="18"/>
              </w:rPr>
              <w:t>4-4-1产业学院在促进当地产业规模增大，</w:t>
            </w:r>
            <w:r>
              <w:rPr>
                <w:rFonts w:ascii="宋体" w:hAnsi="宋体" w:cs="宋体"/>
                <w:sz w:val="18"/>
                <w:szCs w:val="18"/>
              </w:rPr>
              <w:t>助力地区经济增长</w:t>
            </w:r>
            <w:r>
              <w:rPr>
                <w:rFonts w:hint="eastAsia" w:ascii="宋体" w:hAnsi="宋体" w:cs="宋体"/>
                <w:sz w:val="18"/>
                <w:szCs w:val="18"/>
              </w:rPr>
              <w:t>；整合整个产业链资源，</w:t>
            </w:r>
            <w:r>
              <w:rPr>
                <w:rFonts w:ascii="宋体" w:hAnsi="宋体" w:cs="宋体"/>
                <w:sz w:val="18"/>
                <w:szCs w:val="18"/>
              </w:rPr>
              <w:t>促进产业共享和创新发展</w:t>
            </w:r>
            <w:r>
              <w:rPr>
                <w:rFonts w:hint="eastAsia" w:ascii="宋体" w:hAnsi="宋体" w:cs="宋体"/>
                <w:sz w:val="18"/>
                <w:szCs w:val="18"/>
              </w:rPr>
              <w:t>；产业水平</w:t>
            </w:r>
            <w:r>
              <w:rPr>
                <w:rFonts w:hint="eastAsia" w:ascii="宋体" w:hAnsi="宋体" w:cs="宋体"/>
                <w:sz w:val="18"/>
                <w:szCs w:val="18"/>
                <w:lang w:eastAsia="zh-CN"/>
              </w:rPr>
              <w:t>提升</w:t>
            </w:r>
            <w:r>
              <w:rPr>
                <w:rFonts w:hint="eastAsia" w:ascii="宋体" w:hAnsi="宋体" w:cs="宋体"/>
                <w:sz w:val="18"/>
                <w:szCs w:val="18"/>
              </w:rPr>
              <w:t>，</w:t>
            </w:r>
            <w:r>
              <w:rPr>
                <w:rFonts w:ascii="宋体" w:hAnsi="宋体" w:cs="宋体"/>
                <w:sz w:val="18"/>
                <w:szCs w:val="18"/>
              </w:rPr>
              <w:t>促进产业转型升级</w:t>
            </w:r>
            <w:r>
              <w:rPr>
                <w:rFonts w:hint="eastAsia" w:ascii="宋体" w:hAnsi="宋体" w:cs="宋体"/>
                <w:sz w:val="18"/>
                <w:szCs w:val="18"/>
              </w:rPr>
              <w:t>；企业增加盈利，</w:t>
            </w:r>
            <w:r>
              <w:rPr>
                <w:rFonts w:ascii="宋体" w:hAnsi="宋体" w:cs="宋体"/>
                <w:sz w:val="18"/>
                <w:szCs w:val="18"/>
              </w:rPr>
              <w:t>获得长足发展</w:t>
            </w:r>
            <w:r>
              <w:rPr>
                <w:rFonts w:hint="eastAsia" w:ascii="宋体" w:hAnsi="宋体" w:cs="宋体"/>
                <w:sz w:val="18"/>
                <w:szCs w:val="18"/>
              </w:rPr>
              <w:t>；促进区域经济增长，</w:t>
            </w:r>
            <w:r>
              <w:rPr>
                <w:rFonts w:ascii="宋体" w:hAnsi="宋体" w:cs="宋体"/>
                <w:sz w:val="18"/>
                <w:szCs w:val="18"/>
              </w:rPr>
              <w:t>受到地方政府表彰和鼓励</w:t>
            </w:r>
            <w:r>
              <w:rPr>
                <w:rFonts w:hint="eastAsia" w:ascii="宋体" w:hAnsi="宋体" w:cs="宋体"/>
                <w:sz w:val="18"/>
                <w:szCs w:val="18"/>
              </w:rPr>
              <w:t>等方面成效突出。每一项加1分，最高5分。</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93" w:type="dxa"/>
            <w:vMerge w:val="continue"/>
            <w:vAlign w:val="center"/>
          </w:tcPr>
          <w:p>
            <w:pPr>
              <w:snapToGrid w:val="0"/>
              <w:spacing w:line="320" w:lineRule="exact"/>
              <w:jc w:val="center"/>
              <w:rPr>
                <w:rFonts w:ascii="宋体" w:hAnsi="宋体" w:cs="宋体"/>
                <w:sz w:val="18"/>
                <w:szCs w:val="18"/>
              </w:rPr>
            </w:pPr>
          </w:p>
        </w:tc>
        <w:tc>
          <w:tcPr>
            <w:tcW w:w="993" w:type="dxa"/>
            <w:vAlign w:val="center"/>
          </w:tcPr>
          <w:p>
            <w:pPr>
              <w:widowControl/>
              <w:snapToGrid w:val="0"/>
              <w:spacing w:line="320" w:lineRule="exact"/>
              <w:jc w:val="center"/>
              <w:rPr>
                <w:rFonts w:ascii="宋体" w:hAnsi="宋体" w:cs="宋体"/>
                <w:sz w:val="18"/>
                <w:szCs w:val="18"/>
              </w:rPr>
            </w:pPr>
            <w:r>
              <w:rPr>
                <w:rFonts w:hint="eastAsia" w:ascii="宋体" w:hAnsi="宋体" w:cs="宋体"/>
                <w:sz w:val="18"/>
                <w:szCs w:val="18"/>
              </w:rPr>
              <w:t>4-5</w:t>
            </w:r>
          </w:p>
          <w:p>
            <w:pPr>
              <w:widowControl/>
              <w:snapToGrid w:val="0"/>
              <w:spacing w:line="320" w:lineRule="exact"/>
              <w:jc w:val="center"/>
              <w:rPr>
                <w:rFonts w:ascii="宋体" w:hAnsi="宋体" w:cs="宋体"/>
                <w:sz w:val="18"/>
                <w:szCs w:val="18"/>
              </w:rPr>
            </w:pPr>
            <w:r>
              <w:rPr>
                <w:rFonts w:hint="eastAsia" w:ascii="宋体" w:hAnsi="宋体" w:cs="宋体"/>
                <w:sz w:val="18"/>
                <w:szCs w:val="18"/>
              </w:rPr>
              <w:t>社会声誉</w:t>
            </w:r>
          </w:p>
          <w:p>
            <w:pPr>
              <w:widowControl/>
              <w:snapToGrid w:val="0"/>
              <w:spacing w:line="320" w:lineRule="exact"/>
              <w:jc w:val="center"/>
              <w:rPr>
                <w:rFonts w:ascii="宋体" w:hAnsi="宋体" w:cs="宋体"/>
                <w:sz w:val="18"/>
                <w:szCs w:val="18"/>
              </w:rPr>
            </w:pPr>
            <w:r>
              <w:rPr>
                <w:rFonts w:hint="eastAsia" w:ascii="宋体" w:hAnsi="宋体" w:cs="宋体"/>
                <w:sz w:val="18"/>
                <w:szCs w:val="18"/>
              </w:rPr>
              <w:t>（5分）</w:t>
            </w:r>
          </w:p>
        </w:tc>
        <w:tc>
          <w:tcPr>
            <w:tcW w:w="6378" w:type="dxa"/>
            <w:vAlign w:val="center"/>
          </w:tcPr>
          <w:p>
            <w:pPr>
              <w:snapToGrid w:val="0"/>
              <w:spacing w:line="320" w:lineRule="exact"/>
              <w:jc w:val="left"/>
              <w:rPr>
                <w:rFonts w:ascii="宋体" w:hAnsi="宋体" w:cs="宋体"/>
                <w:sz w:val="18"/>
                <w:szCs w:val="18"/>
              </w:rPr>
            </w:pPr>
            <w:r>
              <w:rPr>
                <w:rFonts w:hint="eastAsia" w:ascii="宋体" w:hAnsi="宋体" w:cs="宋体"/>
                <w:sz w:val="18"/>
                <w:szCs w:val="18"/>
              </w:rPr>
              <w:t>4-5-1产业学院的办学成效在各类媒体有宣传新闻，在政府、行业、企业、学校组织的相关会议中有经验分享，在社会上有良好声誉和影响。</w:t>
            </w:r>
          </w:p>
        </w:tc>
        <w:tc>
          <w:tcPr>
            <w:tcW w:w="708" w:type="dxa"/>
            <w:vAlign w:val="center"/>
          </w:tcPr>
          <w:p>
            <w:pPr>
              <w:snapToGrid w:val="0"/>
              <w:spacing w:line="320" w:lineRule="exact"/>
              <w:jc w:val="center"/>
              <w:rPr>
                <w:rFonts w:ascii="宋体" w:hAnsi="宋体" w:cs="宋体"/>
                <w:sz w:val="18"/>
                <w:szCs w:val="18"/>
              </w:rPr>
            </w:pPr>
            <w:r>
              <w:rPr>
                <w:rFonts w:hint="eastAsia" w:ascii="宋体" w:hAnsi="宋体" w:cs="宋体"/>
                <w:sz w:val="18"/>
                <w:szCs w:val="18"/>
              </w:rPr>
              <w:t>5</w:t>
            </w:r>
          </w:p>
        </w:tc>
      </w:tr>
    </w:tbl>
    <w:p>
      <w:pPr>
        <w:pStyle w:val="67"/>
        <w:ind w:firstLine="420"/>
        <w:sectPr>
          <w:pgSz w:w="11906" w:h="16838"/>
          <w:pgMar w:top="1928" w:right="1134" w:bottom="1134" w:left="1134" w:header="1418" w:footer="1134" w:gutter="284"/>
          <w:pgNumType w:fmt="decimal"/>
          <w:cols w:space="425" w:num="1"/>
          <w:formProt w:val="0"/>
          <w:docGrid w:type="lines" w:linePitch="312" w:charSpace="0"/>
        </w:sectPr>
      </w:pPr>
    </w:p>
    <w:p>
      <w:pPr>
        <w:pStyle w:val="75"/>
        <w:shd w:val="clear" w:color="FFFFFF" w:fill="FFFFFF"/>
        <w:spacing w:before="567" w:after="283" w:afterLines="0"/>
        <w:rPr>
          <w:rFonts w:hint="eastAsia"/>
          <w:spacing w:val="105"/>
        </w:rPr>
      </w:pPr>
      <w:bookmarkStart w:id="181" w:name="_Toc150325749"/>
      <w:bookmarkStart w:id="182" w:name="_Toc152706944"/>
      <w:bookmarkStart w:id="183" w:name="_Toc159942016"/>
      <w:bookmarkStart w:id="184" w:name="_Toc152707010"/>
      <w:bookmarkStart w:id="185" w:name="_Toc21805"/>
      <w:r>
        <w:rPr>
          <w:rFonts w:hint="eastAsia"/>
          <w:spacing w:val="105"/>
        </w:rPr>
        <w:t>参考文献</w:t>
      </w:r>
      <w:bookmarkEnd w:id="181"/>
      <w:bookmarkEnd w:id="182"/>
      <w:bookmarkEnd w:id="183"/>
      <w:bookmarkEnd w:id="184"/>
      <w:bookmarkEnd w:id="185"/>
    </w:p>
    <w:p>
      <w:pPr>
        <w:pStyle w:val="67"/>
        <w:ind w:firstLine="420"/>
      </w:pPr>
      <w:r>
        <w:rPr>
          <w:rFonts w:hint="eastAsia"/>
        </w:rPr>
        <w:t xml:space="preserve">[1] </w:t>
      </w:r>
      <w:r>
        <w:rPr>
          <w:rFonts w:hint="eastAsia"/>
          <w:lang w:val="en-US" w:eastAsia="zh-CN"/>
        </w:rPr>
        <w:t xml:space="preserve"> </w:t>
      </w:r>
      <w:r>
        <w:rPr>
          <w:rFonts w:hint="eastAsia"/>
        </w:rPr>
        <w:t xml:space="preserve">DB3205/T 1003-2020 </w:t>
      </w:r>
      <w:r>
        <w:rPr>
          <w:rFonts w:hint="eastAsia"/>
          <w:lang w:val="en-US" w:eastAsia="zh-CN"/>
        </w:rPr>
        <w:t xml:space="preserve"> </w:t>
      </w:r>
      <w:r>
        <w:rPr>
          <w:rFonts w:hint="eastAsia"/>
        </w:rPr>
        <w:t>双元制职业教育 人才培养指南</w:t>
      </w:r>
    </w:p>
    <w:p>
      <w:pPr>
        <w:pStyle w:val="67"/>
        <w:ind w:firstLine="420"/>
      </w:pPr>
      <w:r>
        <w:rPr>
          <w:rFonts w:hint="eastAsia"/>
        </w:rPr>
        <w:t xml:space="preserve">[2] </w:t>
      </w:r>
      <w:r>
        <w:rPr>
          <w:rFonts w:hint="eastAsia"/>
          <w:lang w:val="en-US" w:eastAsia="zh-CN"/>
        </w:rPr>
        <w:t xml:space="preserve"> </w:t>
      </w:r>
      <w:r>
        <w:rPr>
          <w:rFonts w:hint="eastAsia"/>
        </w:rPr>
        <w:t xml:space="preserve">DB3205/T 1038-2022 </w:t>
      </w:r>
      <w:r>
        <w:rPr>
          <w:rFonts w:hint="eastAsia"/>
          <w:lang w:val="en-US" w:eastAsia="zh-CN"/>
        </w:rPr>
        <w:t xml:space="preserve"> </w:t>
      </w:r>
      <w:r>
        <w:rPr>
          <w:rFonts w:hint="eastAsia"/>
        </w:rPr>
        <w:t>双元制职业教育 企业学院建立与运行规范</w:t>
      </w:r>
    </w:p>
    <w:bookmarkEnd w:id="180"/>
    <w:p>
      <w:pPr>
        <w:pStyle w:val="67"/>
        <w:ind w:left="0" w:leftChars="0" w:firstLine="0" w:firstLineChars="0"/>
      </w:pPr>
      <w:bookmarkStart w:id="186" w:name="BookMark8"/>
    </w:p>
    <w:p>
      <w:pPr>
        <w:tabs>
          <w:tab w:val="left" w:pos="6335"/>
        </w:tabs>
        <w:bidi w:val="0"/>
        <w:jc w:val="left"/>
      </w:pPr>
      <w:r>
        <w:rPr>
          <w:rFonts w:ascii="黑体" w:hAnsi="黑体" w:eastAsia="黑体"/>
        </w:rPr>
        <mc:AlternateContent>
          <mc:Choice Requires="wps">
            <w:drawing>
              <wp:anchor distT="0" distB="0" distL="114300" distR="114300" simplePos="0" relativeHeight="251676672" behindDoc="0" locked="0" layoutInCell="1" allowOverlap="1">
                <wp:simplePos x="0" y="0"/>
                <wp:positionH relativeFrom="column">
                  <wp:posOffset>2111375</wp:posOffset>
                </wp:positionH>
                <wp:positionV relativeFrom="paragraph">
                  <wp:posOffset>174625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76672;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r>
        <w:rPr>
          <w:rFonts w:hint="eastAsia"/>
          <w:lang w:eastAsia="zh-CN"/>
        </w:rPr>
        <w:tab/>
      </w:r>
      <w:bookmarkEnd w:id="186"/>
    </w:p>
    <w:p>
      <w:pPr>
        <w:pStyle w:val="8"/>
        <w:jc w:val="left"/>
        <w:rPr>
          <w:rFonts w:hint="default" w:ascii="黑体" w:hAnsi="黑体" w:eastAsia="黑体" w:cs="黑体"/>
          <w:sz w:val="18"/>
          <w:szCs w:val="18"/>
          <w:lang w:val="en-US" w:eastAsia="zh-CN"/>
        </w:rPr>
      </w:pPr>
    </w:p>
    <w:sectPr>
      <w:headerReference r:id="rId28" w:type="default"/>
      <w:footerReference r:id="rId30" w:type="default"/>
      <w:headerReference r:id="rId29" w:type="even"/>
      <w:footerReference r:id="rId31"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KWFC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KQpYUI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l5SodAgAAKwQAAA4AAAAAAAAAAQAgAAAANQEAAGRycy9lMm9Eb2MueG1sUEsF&#10;BgAAAAAGAAYAWQEAAMQFA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aVq7HgIAACs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TF/n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AkaVq7HgIAACsEAAAOAAAAAAAAAAEAIAAAADUBAABkcnMvZTJvRG9jLnhtbFBL&#10;BQYAAAAABgAGAFkBAADF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4Kgg7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5I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gqCDsdAgAAKwQAAA4AAAAAAAAAAQAgAAAANQ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eastAsia="zh-CN"/>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default"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rPr>
        <w:rFonts w:hint="eastAsia"/>
        <w:lang w:val="en-US"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hint="eastAsia" w:ascii="黑体" w:hAnsi="黑体" w:eastAsia="黑体"/>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hint="eastAsia" w:ascii="黑体" w:hAnsi="黑体" w:eastAsia="黑体"/>
        <w:lang w:eastAsia="zh-CN"/>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eastAsia" w:ascii="黑体" w:hAnsi="黑体" w:eastAsia="黑体"/>
        <w:i w:val="0"/>
        <w:color w:val="808080" w:themeColor="text1" w:themeTint="80"/>
        <w:lang w:eastAsia="zh-CN"/>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hint="default" w:ascii="黑体" w:hAnsi="黑体" w:eastAsia="黑体"/>
        <w:lang w:val="en-US" w:eastAsia="zh-CN"/>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pStyle w:val="78"/>
      <w:suff w:val="nothing"/>
      <w:lvlText w:val="%1——"/>
      <w:lvlJc w:val="left"/>
      <w:pPr>
        <w:ind w:left="833" w:hanging="408"/>
      </w:pPr>
      <w:rPr>
        <w:rFonts w:hint="default" w:ascii="黑体" w:hAnsi="黑体" w:eastAsia="黑体" w:cs="黑体"/>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pStyle w:val="81"/>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557C2AF5"/>
    <w:multiLevelType w:val="multilevel"/>
    <w:tmpl w:val="557C2AF5"/>
    <w:lvl w:ilvl="0" w:tentative="0">
      <w:start w:val="1"/>
      <w:numFmt w:val="decimal"/>
      <w:pStyle w:val="7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6">
    <w:nsid w:val="5603797C"/>
    <w:multiLevelType w:val="multilevel"/>
    <w:tmpl w:val="5603797C"/>
    <w:lvl w:ilvl="0" w:tentative="0">
      <w:start w:val="1"/>
      <w:numFmt w:val="upperLetter"/>
      <w:pStyle w:val="82"/>
      <w:suff w:val="space"/>
      <w:lvlText w:val="%1"/>
      <w:lvlJc w:val="left"/>
      <w:pPr>
        <w:ind w:left="425" w:hanging="425"/>
      </w:pPr>
      <w:rPr>
        <w:rFonts w:hint="eastAsia"/>
      </w:rPr>
    </w:lvl>
    <w:lvl w:ilvl="1" w:tentative="0">
      <w:start w:val="1"/>
      <w:numFmt w:val="decimal"/>
      <w:pStyle w:val="84"/>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83"/>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80"/>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1"/>
  </w:num>
  <w:num w:numId="4">
    <w:abstractNumId w:val="3"/>
  </w:num>
  <w:num w:numId="5">
    <w:abstractNumId w:val="10"/>
  </w:num>
  <w:num w:numId="6">
    <w:abstractNumId w:val="8"/>
  </w:num>
  <w:num w:numId="7">
    <w:abstractNumId w:val="7"/>
  </w:num>
  <w:num w:numId="8">
    <w:abstractNumId w:val="9"/>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NDdkYjgwOTRkMzA1MmM2NmEyMmZmY2FiNzY2MDE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B97F5E"/>
    <w:rsid w:val="02585981"/>
    <w:rsid w:val="02670DCF"/>
    <w:rsid w:val="034D2939"/>
    <w:rsid w:val="043164D2"/>
    <w:rsid w:val="04C80BE4"/>
    <w:rsid w:val="04DB69C7"/>
    <w:rsid w:val="0524331E"/>
    <w:rsid w:val="056C2AC8"/>
    <w:rsid w:val="078D3A1F"/>
    <w:rsid w:val="08D94A4A"/>
    <w:rsid w:val="09332050"/>
    <w:rsid w:val="09652865"/>
    <w:rsid w:val="097D3D26"/>
    <w:rsid w:val="0ADA2F69"/>
    <w:rsid w:val="0AE10BBF"/>
    <w:rsid w:val="0B4B7E79"/>
    <w:rsid w:val="0BBA5614"/>
    <w:rsid w:val="0BBD0185"/>
    <w:rsid w:val="0C751D4B"/>
    <w:rsid w:val="0D011260"/>
    <w:rsid w:val="0D371BBE"/>
    <w:rsid w:val="0F5D4929"/>
    <w:rsid w:val="107C42FA"/>
    <w:rsid w:val="10F22B45"/>
    <w:rsid w:val="10FB7781"/>
    <w:rsid w:val="11EA4A5D"/>
    <w:rsid w:val="12096398"/>
    <w:rsid w:val="123426ED"/>
    <w:rsid w:val="12E60488"/>
    <w:rsid w:val="132C233E"/>
    <w:rsid w:val="1330335A"/>
    <w:rsid w:val="13492913"/>
    <w:rsid w:val="140915D6"/>
    <w:rsid w:val="14AB42D7"/>
    <w:rsid w:val="15853A48"/>
    <w:rsid w:val="159863B1"/>
    <w:rsid w:val="1614131D"/>
    <w:rsid w:val="16B6476F"/>
    <w:rsid w:val="180C6BE2"/>
    <w:rsid w:val="183C1259"/>
    <w:rsid w:val="1986454E"/>
    <w:rsid w:val="19BD2F50"/>
    <w:rsid w:val="19D653D3"/>
    <w:rsid w:val="19E576EB"/>
    <w:rsid w:val="1A2F19CE"/>
    <w:rsid w:val="1A9F3EA8"/>
    <w:rsid w:val="1AF62448"/>
    <w:rsid w:val="1CE617B0"/>
    <w:rsid w:val="1D475092"/>
    <w:rsid w:val="1E901E0D"/>
    <w:rsid w:val="1EFC4C0E"/>
    <w:rsid w:val="1F1F71FB"/>
    <w:rsid w:val="1F3709E9"/>
    <w:rsid w:val="1F5511FE"/>
    <w:rsid w:val="1F791B4A"/>
    <w:rsid w:val="1FF922F7"/>
    <w:rsid w:val="203A6C9D"/>
    <w:rsid w:val="235D1A58"/>
    <w:rsid w:val="23893375"/>
    <w:rsid w:val="23D049E7"/>
    <w:rsid w:val="24F31A54"/>
    <w:rsid w:val="259F60C6"/>
    <w:rsid w:val="262E49A9"/>
    <w:rsid w:val="26D24085"/>
    <w:rsid w:val="27DE6DB6"/>
    <w:rsid w:val="291C47AB"/>
    <w:rsid w:val="299E589B"/>
    <w:rsid w:val="29DD2289"/>
    <w:rsid w:val="2A0674B9"/>
    <w:rsid w:val="2A9E6EDA"/>
    <w:rsid w:val="2AC259E9"/>
    <w:rsid w:val="2F033AB7"/>
    <w:rsid w:val="2FC604F2"/>
    <w:rsid w:val="30512DC8"/>
    <w:rsid w:val="305807BF"/>
    <w:rsid w:val="30BA0FA5"/>
    <w:rsid w:val="32697E49"/>
    <w:rsid w:val="33745AC4"/>
    <w:rsid w:val="355276CD"/>
    <w:rsid w:val="355368A0"/>
    <w:rsid w:val="36592A97"/>
    <w:rsid w:val="37875802"/>
    <w:rsid w:val="397A5D84"/>
    <w:rsid w:val="3A1E0383"/>
    <w:rsid w:val="3A38257A"/>
    <w:rsid w:val="3A773D1D"/>
    <w:rsid w:val="3AEB7362"/>
    <w:rsid w:val="3B337E5E"/>
    <w:rsid w:val="3C153A08"/>
    <w:rsid w:val="3D6F398A"/>
    <w:rsid w:val="3D850719"/>
    <w:rsid w:val="3D9E1027"/>
    <w:rsid w:val="3E6447D3"/>
    <w:rsid w:val="3EFE781F"/>
    <w:rsid w:val="3FCB4391"/>
    <w:rsid w:val="3FCE0156"/>
    <w:rsid w:val="4027139D"/>
    <w:rsid w:val="407103DB"/>
    <w:rsid w:val="41DD26A1"/>
    <w:rsid w:val="432D5ADB"/>
    <w:rsid w:val="433038C8"/>
    <w:rsid w:val="455B5C08"/>
    <w:rsid w:val="459E4A6E"/>
    <w:rsid w:val="45E5444B"/>
    <w:rsid w:val="46024881"/>
    <w:rsid w:val="46432AD9"/>
    <w:rsid w:val="472D7E58"/>
    <w:rsid w:val="47635BAF"/>
    <w:rsid w:val="48C6265B"/>
    <w:rsid w:val="491679AE"/>
    <w:rsid w:val="4CC8541E"/>
    <w:rsid w:val="4D7C7F66"/>
    <w:rsid w:val="4E497F1B"/>
    <w:rsid w:val="4E570672"/>
    <w:rsid w:val="4E72372F"/>
    <w:rsid w:val="4E826BA1"/>
    <w:rsid w:val="4FB262DF"/>
    <w:rsid w:val="502913D8"/>
    <w:rsid w:val="506A1CDA"/>
    <w:rsid w:val="50993AC9"/>
    <w:rsid w:val="513145D7"/>
    <w:rsid w:val="51DB264E"/>
    <w:rsid w:val="52013E99"/>
    <w:rsid w:val="52884ADC"/>
    <w:rsid w:val="54EF45B2"/>
    <w:rsid w:val="561C68FE"/>
    <w:rsid w:val="56FA05E0"/>
    <w:rsid w:val="57205312"/>
    <w:rsid w:val="575B4970"/>
    <w:rsid w:val="58953240"/>
    <w:rsid w:val="58EA0B58"/>
    <w:rsid w:val="597102CD"/>
    <w:rsid w:val="5AA42EE1"/>
    <w:rsid w:val="5ADD04B0"/>
    <w:rsid w:val="5CE70651"/>
    <w:rsid w:val="5E127A94"/>
    <w:rsid w:val="5EC2103E"/>
    <w:rsid w:val="5F3651D2"/>
    <w:rsid w:val="61E0223F"/>
    <w:rsid w:val="62275A9D"/>
    <w:rsid w:val="62A274F4"/>
    <w:rsid w:val="63473BF7"/>
    <w:rsid w:val="64490C49"/>
    <w:rsid w:val="66832C22"/>
    <w:rsid w:val="67451519"/>
    <w:rsid w:val="67616EE0"/>
    <w:rsid w:val="68706054"/>
    <w:rsid w:val="688A0DE6"/>
    <w:rsid w:val="68917B90"/>
    <w:rsid w:val="68F02F9E"/>
    <w:rsid w:val="691D1DC4"/>
    <w:rsid w:val="69CF4947"/>
    <w:rsid w:val="6A4626EF"/>
    <w:rsid w:val="6A7C706D"/>
    <w:rsid w:val="6ADF74D7"/>
    <w:rsid w:val="6B182594"/>
    <w:rsid w:val="6BCA186A"/>
    <w:rsid w:val="6C0563E5"/>
    <w:rsid w:val="6C6C0C3F"/>
    <w:rsid w:val="6C884A11"/>
    <w:rsid w:val="6C89702F"/>
    <w:rsid w:val="6C917B8F"/>
    <w:rsid w:val="6DAD049D"/>
    <w:rsid w:val="6ECD387A"/>
    <w:rsid w:val="6F2F03DB"/>
    <w:rsid w:val="6FF139B8"/>
    <w:rsid w:val="70064409"/>
    <w:rsid w:val="70B06DC2"/>
    <w:rsid w:val="72127AC6"/>
    <w:rsid w:val="748E5C99"/>
    <w:rsid w:val="74BF2C7A"/>
    <w:rsid w:val="75682D8E"/>
    <w:rsid w:val="75A31161"/>
    <w:rsid w:val="75D25B10"/>
    <w:rsid w:val="76442929"/>
    <w:rsid w:val="76C27A63"/>
    <w:rsid w:val="777049D4"/>
    <w:rsid w:val="795409C4"/>
    <w:rsid w:val="7AF60F49"/>
    <w:rsid w:val="7BBE3424"/>
    <w:rsid w:val="7E0328BC"/>
    <w:rsid w:val="7F755829"/>
    <w:rsid w:val="7FAC1FBF"/>
    <w:rsid w:val="7FF57E3F"/>
    <w:rsid w:val="DEDF2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annotation text"/>
    <w:basedOn w:val="1"/>
    <w:semiHidden/>
    <w:unhideWhenUsed/>
    <w:qFormat/>
    <w:uiPriority w:val="99"/>
    <w:pPr>
      <w:jc w:val="left"/>
    </w:pPr>
  </w:style>
  <w:style w:type="paragraph" w:styleId="8">
    <w:name w:val="Body Text"/>
    <w:basedOn w:val="1"/>
    <w:qFormat/>
    <w:uiPriority w:val="0"/>
  </w:style>
  <w:style w:type="paragraph" w:styleId="9">
    <w:name w:val="toc 3"/>
    <w:basedOn w:val="1"/>
    <w:next w:val="1"/>
    <w:semiHidden/>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000FF" w:themeColor="hyperlink"/>
      <w:u w:val="single"/>
      <w14:textFill>
        <w14:solidFill>
          <w14:schemeClr w14:val="hlink"/>
        </w14:solidFill>
      </w14:textFill>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2"/>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3"/>
    <w:qFormat/>
    <w:uiPriority w:val="9"/>
    <w:rPr>
      <w:rFonts w:asciiTheme="majorHAnsi" w:hAnsiTheme="majorHAnsi" w:eastAsiaTheme="majorEastAsia" w:cstheme="majorBidi"/>
      <w:b/>
      <w:bCs/>
      <w:sz w:val="32"/>
      <w:szCs w:val="32"/>
    </w:rPr>
  </w:style>
  <w:style w:type="character" w:customStyle="1" w:styleId="38">
    <w:name w:val="标题 3 Char"/>
    <w:basedOn w:val="22"/>
    <w:link w:val="4"/>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0" w:beforeLines="0" w:after="0" w:afterLines="0"/>
    </w:pPr>
    <w:rPr>
      <w:rFonts w:ascii="宋体" w:eastAsia="宋体"/>
    </w:rPr>
  </w:style>
  <w:style w:type="paragraph" w:customStyle="1" w:styleId="54">
    <w:name w:val="二级条标题"/>
    <w:basedOn w:val="52"/>
    <w:next w:val="51"/>
    <w:qFormat/>
    <w:uiPriority w:val="0"/>
    <w:pPr>
      <w:numPr>
        <w:ilvl w:val="2"/>
        <w:numId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0" w:beforeLines="0" w:after="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50" w:beforeLines="50" w:after="50" w:afterLines="50"/>
      <w:outlineLvl w:val="1"/>
    </w:pPr>
  </w:style>
  <w:style w:type="paragraph" w:customStyle="1" w:styleId="66">
    <w:name w:val="标准文件_章标题"/>
    <w:next w:val="67"/>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0" w:beforeLines="0" w:after="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pPr>
      <w:ind w:firstLine="0" w:firstLineChars="0"/>
    </w:pPr>
    <w:rPr>
      <w:sz w:val="21"/>
    </w:rPr>
  </w:style>
  <w:style w:type="paragraph" w:customStyle="1" w:styleId="73">
    <w:name w:val="标准文件_附录一级条标题"/>
    <w:next w:val="67"/>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6">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77">
    <w:name w:val="标准文件_正文图标题"/>
    <w:next w:val="67"/>
    <w:qFormat/>
    <w:uiPriority w:val="0"/>
    <w:pPr>
      <w:numPr>
        <w:ilvl w:val="0"/>
        <w:numId w:val="10"/>
      </w:numPr>
      <w:spacing w:before="156" w:beforeLines="50" w:after="156" w:afterLines="50"/>
      <w:jc w:val="center"/>
    </w:pPr>
    <w:rPr>
      <w:rFonts w:ascii="黑体" w:hAnsi="Times New Roman" w:eastAsia="黑体" w:cs="Times New Roman"/>
      <w:sz w:val="21"/>
      <w:lang w:val="en-US" w:eastAsia="zh-CN" w:bidi="ar-SA"/>
    </w:rPr>
  </w:style>
  <w:style w:type="paragraph" w:customStyle="1" w:styleId="78">
    <w:name w:val="标准文件_一级项"/>
    <w:qFormat/>
    <w:uiPriority w:val="0"/>
    <w:pPr>
      <w:numPr>
        <w:ilvl w:val="0"/>
        <w:numId w:val="4"/>
      </w:numPr>
    </w:pPr>
    <w:rPr>
      <w:rFonts w:ascii="宋体" w:hAnsi="Times New Roman" w:eastAsia="宋体" w:cs="Times New Roman"/>
      <w:sz w:val="21"/>
      <w:lang w:val="en-US" w:eastAsia="zh-CN" w:bidi="ar-SA"/>
    </w:rPr>
  </w:style>
  <w:style w:type="paragraph" w:customStyle="1" w:styleId="79">
    <w:name w:val="标准文件_三级无标题"/>
    <w:basedOn w:val="80"/>
    <w:qFormat/>
    <w:uiPriority w:val="0"/>
    <w:pPr>
      <w:spacing w:before="0" w:beforeLines="0" w:after="0" w:afterLines="0"/>
      <w:outlineLvl w:val="9"/>
    </w:pPr>
    <w:rPr>
      <w:rFonts w:ascii="宋体" w:eastAsia="宋体"/>
    </w:rPr>
  </w:style>
  <w:style w:type="paragraph" w:customStyle="1" w:styleId="80">
    <w:name w:val="标准文件_三级条标题"/>
    <w:basedOn w:val="69"/>
    <w:next w:val="67"/>
    <w:qFormat/>
    <w:uiPriority w:val="0"/>
    <w:pPr>
      <w:widowControl/>
      <w:numPr>
        <w:ilvl w:val="4"/>
      </w:numPr>
      <w:outlineLvl w:val="3"/>
    </w:pPr>
  </w:style>
  <w:style w:type="paragraph" w:customStyle="1" w:styleId="81">
    <w:name w:val="标准文件_附录图标号"/>
    <w:basedOn w:val="67"/>
    <w:next w:val="67"/>
    <w:qFormat/>
    <w:uiPriority w:val="0"/>
    <w:pPr>
      <w:numPr>
        <w:ilvl w:val="0"/>
        <w:numId w:val="9"/>
      </w:numPr>
      <w:spacing w:line="14" w:lineRule="exact"/>
      <w:ind w:firstLine="0" w:firstLineChars="0"/>
      <w:jc w:val="center"/>
    </w:pPr>
    <w:rPr>
      <w:rFonts w:ascii="黑体" w:hAnsi="黑体" w:eastAsia="黑体"/>
      <w:vanish/>
      <w:sz w:val="2"/>
      <w:szCs w:val="21"/>
    </w:rPr>
  </w:style>
  <w:style w:type="paragraph" w:customStyle="1" w:styleId="82">
    <w:name w:val="标准文件_附录表标号"/>
    <w:basedOn w:val="67"/>
    <w:next w:val="67"/>
    <w:qFormat/>
    <w:uiPriority w:val="0"/>
    <w:pPr>
      <w:numPr>
        <w:ilvl w:val="0"/>
        <w:numId w:val="11"/>
      </w:numPr>
      <w:spacing w:line="14" w:lineRule="exact"/>
      <w:ind w:firstLine="0" w:firstLineChars="0"/>
      <w:jc w:val="center"/>
    </w:pPr>
    <w:rPr>
      <w:rFonts w:eastAsia="黑体"/>
      <w:vanish/>
      <w:sz w:val="2"/>
    </w:rPr>
  </w:style>
  <w:style w:type="paragraph" w:customStyle="1" w:styleId="83">
    <w:name w:val="标准文件_附录标识"/>
    <w:next w:val="67"/>
    <w:qFormat/>
    <w:uiPriority w:val="0"/>
    <w:pPr>
      <w:numPr>
        <w:ilvl w:val="0"/>
        <w:numId w:val="6"/>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4">
    <w:name w:val="标准文件_附录表标题"/>
    <w:next w:val="67"/>
    <w:qFormat/>
    <w:uiPriority w:val="0"/>
    <w:pPr>
      <w:numPr>
        <w:ilvl w:val="1"/>
        <w:numId w:val="11"/>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86">
    <w:name w:val="标准文件_文件名称"/>
    <w:basedOn w:val="67"/>
    <w:next w:val="6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8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glossaryDocument" Target="glossary/document.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theme" Target="theme/theme1.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4ac1ee-738a-4e2b-9bbe-80023e1b9ed5}"/>
        <w:style w:val=""/>
        <w:category>
          <w:name w:val="常规"/>
          <w:gallery w:val="placeholder"/>
        </w:category>
        <w:types>
          <w:type w:val="bbPlcHdr"/>
        </w:types>
        <w:behaviors>
          <w:behavior w:val="content"/>
        </w:behaviors>
        <w:description w:val=""/>
        <w:guid w:val="{fd4ac1ee-738a-4e2b-9bbe-80023e1b9ed5}"/>
      </w:docPartPr>
      <w:docPartBody>
        <w:p>
          <w:pPr>
            <w:pStyle w:val="2"/>
          </w:pPr>
          <w:r>
            <w:rPr>
              <w:rStyle w:val="3"/>
              <w:rFonts w:hint="eastAsia"/>
            </w:rPr>
            <w:t>单击或点击此处输入文字。</w:t>
          </w:r>
        </w:p>
      </w:docPartBody>
    </w:docPart>
    <w:docPart>
      <w:docPartPr>
        <w:name w:val="{0c2a7c80-663a-4454-9a26-10127bbe213b}"/>
        <w:style w:val=""/>
        <w:category>
          <w:name w:val="常规"/>
          <w:gallery w:val="placeholder"/>
        </w:category>
        <w:types>
          <w:type w:val="bbPlcHdr"/>
        </w:types>
        <w:behaviors>
          <w:behavior w:val="content"/>
        </w:behaviors>
        <w:description w:val=""/>
        <w:guid w:val="{0c2a7c80-663a-4454-9a26-10127bbe213b}"/>
      </w:docPartPr>
      <w:docPartBody>
        <w:p>
          <w:pPr>
            <w:pStyle w:val="4"/>
          </w:pPr>
          <w:r>
            <w:rPr>
              <w:rStyle w:val="3"/>
              <w:rFonts w:hint="eastAsia"/>
            </w:rPr>
            <w:t>选择一项。</w:t>
          </w:r>
        </w:p>
      </w:docPartBody>
    </w:docPart>
    <w:docPart>
      <w:docPartPr>
        <w:name w:val="{d5378aef-d489-4766-bb44-1d0a86de918d}"/>
        <w:style w:val=""/>
        <w:category>
          <w:name w:val="常规"/>
          <w:gallery w:val="placeholder"/>
        </w:category>
        <w:types>
          <w:type w:val="bbPlcHdr"/>
        </w:types>
        <w:behaviors>
          <w:behavior w:val="content"/>
        </w:behaviors>
        <w:description w:val=""/>
        <w:guid w:val="{d5378aef-d489-4766-bb44-1d0a86de918d}"/>
      </w:docPartPr>
      <w:docPartBody>
        <w:p>
          <w:pPr>
            <w:pStyle w:val="5"/>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3FE95915503C45C2B54D67F408CC2CA8"/>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semiHidden/>
    <w:qFormat/>
    <w:uiPriority w:val="99"/>
    <w:rPr>
      <w:color w:val="808080"/>
    </w:rPr>
  </w:style>
  <w:style w:type="paragraph" w:customStyle="1" w:styleId="4">
    <w:name w:val="B6432D059FEA4E76A7703CF1D86840B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
    <w:name w:val="FF6DB7C8073A4976A52B52DE5CAAA65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21</Pages>
  <Words>8271</Words>
  <Characters>8664</Characters>
  <Lines>78</Lines>
  <Paragraphs>22</Paragraphs>
  <TotalTime>2</TotalTime>
  <ScaleCrop>false</ScaleCrop>
  <LinksUpToDate>false</LinksUpToDate>
  <CharactersWithSpaces>9119</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2022-12-21T15:00:00Z</dcterms:created>
  <dc:creator>wy</dc:creator>
  <cp:lastModifiedBy>sugou</cp:lastModifiedBy>
  <cp:lastPrinted>2022-09-06T09:26:00Z</cp:lastPrinted>
  <dcterms:modified xsi:type="dcterms:W3CDTF">2024-04-22T15:27:07Z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6D31CF39F71948DFB546419F4F56BBF6_13</vt:lpwstr>
  </property>
</Properties>
</file>