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
<Relationship Id="rId1" Target="docProps/app.xml" Type="http://schemas.openxmlformats.org/officeDocument/2006/relationships/extended-properties"/>
<Relationship Id="rId2" Target="docProps/core.xml" Type="http://schemas.openxmlformats.org/package/2006/relationships/metadata/core-properties"/>
<Relationship Id="rId3" Target="docProps/custom.xml" Type="http://schemas.openxmlformats.org/officeDocument/2006/relationships/custom-properties"/>
<Relationship Id="rId4" Target="word/document.xml" Type="http://schemas.openxmlformats.org/officeDocument/2006/relationships/officeDocument"/>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8D7DC1">
      <w:pPr>
        <w:rPr>
          <w:rFonts w:eastAsia="仿宋_GB2312"/>
          <w:sz w:val="30"/>
        </w:rPr>
      </w:pPr>
    </w:p>
    <w:p w14:paraId="2A6F3B9F">
      <w:pPr>
        <w:spacing w:line="360" w:lineRule="auto"/>
        <w:jc w:val="center"/>
        <w:rPr>
          <w:rFonts w:ascii="黑体" w:hAnsi="黑体" w:eastAsia="黑体"/>
          <w:sz w:val="32"/>
          <w:szCs w:val="32"/>
        </w:rPr>
      </w:pPr>
      <w:r>
        <w:rPr>
          <w:rFonts w:hint="eastAsia" w:ascii="黑体" w:hAnsi="黑体" w:eastAsia="黑体"/>
          <w:sz w:val="32"/>
          <w:szCs w:val="32"/>
        </w:rPr>
        <w:t>苏州市市级预算部门（单位）整体支出预算绩效自评报告</w:t>
      </w:r>
    </w:p>
    <w:p w14:paraId="4A05E983">
      <w:pPr>
        <w:spacing w:line="360" w:lineRule="auto"/>
        <w:jc w:val="center"/>
        <w:rPr>
          <w:rFonts w:ascii="黑体" w:eastAsia="黑体"/>
          <w:sz w:val="32"/>
          <w:szCs w:val="32"/>
        </w:rPr>
      </w:pPr>
      <w:r>
        <w:rPr>
          <w:rFonts w:hint="eastAsia" w:ascii="黑体" w:eastAsia="黑体"/>
          <w:sz w:val="32"/>
          <w:szCs w:val="32"/>
        </w:rPr>
        <w:t>（202</w:t>
      </w:r>
      <w:r>
        <w:rPr>
          <w:rFonts w:hint="eastAsia" w:ascii="黑体" w:eastAsia="黑体"/>
          <w:sz w:val="32"/>
          <w:szCs w:val="32"/>
          <w:lang w:val="en-US" w:eastAsia="zh-CN"/>
        </w:rPr>
        <w:t>5</w:t>
      </w:r>
      <w:bookmarkStart w:id="0" w:name="_GoBack"/>
      <w:bookmarkEnd w:id="0"/>
      <w:r>
        <w:rPr>
          <w:rFonts w:hint="eastAsia" w:ascii="黑体" w:eastAsia="黑体"/>
          <w:sz w:val="32"/>
          <w:szCs w:val="32"/>
        </w:rPr>
        <w:t>年度）</w:t>
      </w:r>
    </w:p>
    <w:p w14:paraId="2D0D461F">
      <w:pPr>
        <w:spacing w:line="360" w:lineRule="auto"/>
        <w:jc w:val="center"/>
        <w:rPr>
          <w:rFonts w:eastAsia="仿宋_GB2312"/>
          <w:sz w:val="30"/>
        </w:rPr>
      </w:pPr>
    </w:p>
    <w:p w14:paraId="0B85D768">
      <w:pPr>
        <w:spacing w:line="360" w:lineRule="auto"/>
        <w:ind w:firstLine="600" w:firstLineChars="200"/>
        <w:rPr>
          <w:rFonts w:ascii="黑体" w:hAnsi="黑体" w:eastAsia="黑体"/>
          <w:sz w:val="30"/>
        </w:rPr>
      </w:pPr>
      <w:r>
        <w:rPr>
          <w:rFonts w:hint="eastAsia" w:ascii="黑体" w:hAnsi="黑体" w:eastAsia="黑体"/>
          <w:sz w:val="30"/>
        </w:rPr>
        <w:t>一、预算部门名称：</w:t>
      </w:r>
      <w:r>
        <w:rPr>
          <w:rFonts w:hint="eastAsia" w:ascii="宋体" w:hAnsi="宋体" w:cs="宋体"/>
          <w:sz w:val="24"/>
        </w:rPr>
        <w:t>苏州市产品质量监督检验院</w:t>
      </w:r>
    </w:p>
    <w:p w14:paraId="58F772EF">
      <w:pPr>
        <w:spacing w:line="360" w:lineRule="auto"/>
        <w:ind w:firstLine="600" w:firstLineChars="200"/>
        <w:rPr>
          <w:rFonts w:ascii="黑体" w:hAnsi="黑体" w:eastAsia="黑体"/>
          <w:sz w:val="30"/>
        </w:rPr>
      </w:pPr>
      <w:r>
        <w:rPr>
          <w:rFonts w:hint="eastAsia" w:ascii="黑体" w:hAnsi="黑体" w:eastAsia="黑体"/>
          <w:sz w:val="30"/>
        </w:rPr>
        <w:t>二、</w:t>
      </w:r>
      <w:r>
        <w:rPr>
          <w:rFonts w:ascii="黑体" w:hAnsi="黑体" w:eastAsia="黑体"/>
          <w:sz w:val="30"/>
        </w:rPr>
        <w:t>年度履职目标完成情况</w:t>
      </w:r>
      <w:r>
        <w:rPr>
          <w:rFonts w:hint="eastAsia" w:ascii="黑体" w:hAnsi="黑体" w:eastAsia="黑体"/>
          <w:sz w:val="30"/>
        </w:rPr>
        <w:t>：</w:t>
      </w:r>
    </w:p>
    <w:p w14:paraId="612F7DFF">
      <w:pPr>
        <w:spacing w:line="360" w:lineRule="auto"/>
        <w:ind w:firstLine="480" w:firstLineChars="200"/>
        <w:rPr>
          <w:rFonts w:ascii="宋体" w:hAnsi="宋体" w:cs="宋体"/>
          <w:sz w:val="24"/>
        </w:rPr>
      </w:pPr>
      <w:r>
        <w:rPr>
          <w:rFonts w:hint="eastAsia" w:ascii="宋体" w:hAnsi="宋体" w:cs="宋体"/>
          <w:sz w:val="24"/>
        </w:rPr>
        <w:t>质检院在市局党组的正确领导下，以习近平新时代中国特色社会主义思想为指导，全面贯彻落实党的二十大和二十届历次全会精神，聚焦主责强化担当，稳步推进改革等各项重点工作落地见效。
</w:t>
        <w:br/>
        <w:t>（一）配合机构改革，保障平稳过渡。2025年，苏州市产品质量监督检验院一方面正常开展业务，在上半年继续完成各项检验工作；另一方面全力配合机构改革，协助苏州市产品质量检验院有限公司步入正轨。市质检院配合质检公司先于4月完成主要部门负责人的切换，改为由质检公司为主，质检院为辅的形式进行了过渡。之后，配合公司完成了第一轮资产划拨，将检测设备于7月划拨至公司，配合公司顺利拿到CMA、CNAS等检验检测资质。顺利完成第一轮人员分流，合理安排好留下来人员工作。
</w:t>
        <w:br/>
        <w:t>（二）转变单位职能，开展全新工作。根据新的三定方案，市质检院顺利完成了职能转变并开展多项工作。同时，配合市局成立专项小组，完成各项任务：
</w:t>
        <w:br/>
        <w:t>1．市质检院完成生产许可证获证企业证后监管检查工作，省级证后监管检查了五十多家苏州的获证企业，市级证后监管检查了近二十家企业，切实加强了证后监管工作，进一步筑牢了重点工业产品质量安全防线，规范了获证企业生产经营行为，压实了企业主体责任。配合市局监督处调研主体责任系统激活情况，组建专项工作组；10月开始执行市局下达的主体责任系统激活工作，协调市质检院与市计量院分工，目前已激活超12万条数据；完成了2022到2024年度苏州地区所有生产许可获证企业证后监管检查发现问题的汇总及分类工作；协助监督处完成了长三角区域二十四类重点工业产品质量现场指引方案的撰写及修订工作；按计划部署下发2025年苏州市级监督抽查任务，共计4477批次；完成2025年苏州市级监督抽查任务的异议处理，截止目前16起；完成2025年后处理，截止目前完成移交563件不合格报告；上报并完成2025年全省专业特色市场专项整治工作，苏州共计完成3个（常熟男装中心、吴江东方丝绸市场、相城蠡口家具城）；完成2025年建筑保温材料全链条整治工作，制定并印发文件。
</w:t>
        <w:br/>
        <w:t>2. 食品安全保障专项工作组每月配合抽检处完成国抽平台数据核查、开展抽检不合格食品企业帮扶；收集汇总各板块25年周周检、双周检数据；配合经营处做好2025年秋季校园食品安全监管相关工作；每月定期完成苏州市农村假冒伪劣食品月报及苏州市幼儿园食品安全监督检查情况表；完成中小学幼儿园食堂现场监督检查30余家；修改《农贸市场生鲜灯使用情况与治理对策调研报告》，撰写《食用农产品销售场所生鲜灯规范使用工作指导手册》。
</w:t>
        <w:br/>
        <w:t>3.召回中心工作组下半年总计进行2家企业召回调查，5家企业召回总结，现场宣传活动3场,缺陷消费品伤害调查一起 ,组织全市区县培训1次。
</w:t>
        <w:br/>
        <w:t>4. 特种设备考试中心全年组织考试约9560余人次，发证8194张。</w:t>
      </w:r>
    </w:p>
    <w:p w14:paraId="5F3839C4">
      <w:pPr>
        <w:spacing w:line="360" w:lineRule="auto"/>
        <w:ind w:left="600"/>
        <w:rPr>
          <w:rFonts w:ascii="黑体" w:hAnsi="黑体" w:eastAsia="黑体"/>
          <w:sz w:val="30"/>
        </w:rPr>
      </w:pPr>
      <w:r>
        <w:rPr>
          <w:rFonts w:hint="eastAsia" w:ascii="黑体" w:hAnsi="黑体" w:eastAsia="黑体"/>
          <w:sz w:val="30"/>
        </w:rPr>
        <w:t>三、部门（单位）概况</w:t>
      </w:r>
    </w:p>
    <w:p w14:paraId="7D338969">
      <w:pPr>
        <w:spacing w:line="360" w:lineRule="auto"/>
        <w:ind w:firstLine="480" w:firstLineChars="200"/>
        <w:rPr>
          <w:rFonts w:ascii="宋体" w:hAnsi="宋体" w:cs="宋体"/>
          <w:sz w:val="24"/>
        </w:rPr>
      </w:pPr>
      <w:r>
        <w:rPr>
          <w:rFonts w:hint="eastAsia" w:ascii="宋体" w:hAnsi="宋体" w:cs="宋体"/>
          <w:sz w:val="24"/>
        </w:rPr>
        <w:t>单位的主要职能：承担产品质量安全风险监测、重大产品质量安全事故调查等技术支持工作。承担生产许可证监管、强制性认证产品等重点产品监管、检测机构资质认定，行政审批中的技术性工作。承担缺陷消费品召回管理技术支持和相关信息的收集、分析、报送等工作，协助市场监管部门完成上级下达的工作任务。从事检验检测技术研究开发和科技成果鉴定。为市场监管部门对社会化检验检测机构、认证机构的监督检查提供技术支持。协助做好助企帮扶工作，指导企业落实产品质量安全主体责任。开展产品质量安全方面的调查统计分析和理论研究，向上级和有关部门反映技术标准的贯彻执行情况及产品质量存在的问题，并提出改进和处理意见。参与国家、地方检验检测行业标准的制订、修改和验证工作。开展生产许可证办理、计量认证、企业质量管理及品牌产品、质量奖申报等方面的公益培训、咨询服务。负责完成上级交办的其他工作。单位机构设置及决算单位构成情况：综合管理部、产业服务部、技术支撑部、合规评价部。</w:t>
      </w:r>
    </w:p>
    <w:p w14:paraId="201729EA">
      <w:pPr>
        <w:spacing w:line="360" w:lineRule="auto"/>
        <w:ind w:left="600"/>
        <w:rPr>
          <w:rFonts w:ascii="黑体" w:hAnsi="黑体" w:eastAsia="黑体"/>
          <w:sz w:val="30"/>
        </w:rPr>
      </w:pPr>
      <w:r>
        <w:rPr>
          <w:rFonts w:hint="eastAsia" w:ascii="黑体" w:hAnsi="黑体" w:eastAsia="黑体"/>
          <w:sz w:val="30"/>
        </w:rPr>
        <w:t>四、部门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整体支出绩效实现情况</w:t>
      </w:r>
    </w:p>
    <w:p w14:paraId="7D81C34A">
      <w:pPr>
        <w:spacing w:line="360" w:lineRule="auto"/>
        <w:ind w:firstLine="480" w:firstLineChars="200"/>
        <w:rPr>
          <w:rFonts w:ascii="宋体" w:hAnsi="宋体" w:cs="宋体"/>
          <w:sz w:val="24"/>
        </w:rPr>
      </w:pPr>
      <w:r>
        <w:rPr>
          <w:rFonts w:hint="eastAsia" w:ascii="宋体" w:hAnsi="宋体" w:cs="宋体"/>
          <w:sz w:val="24"/>
        </w:rPr>
        <w:t>预算执行率较好，绩效目标完成率100%，绩效指标完成情况较好。</w:t>
      </w:r>
    </w:p>
    <w:p w14:paraId="1B2DC329">
      <w:pPr>
        <w:spacing w:line="360" w:lineRule="auto"/>
        <w:ind w:left="600"/>
        <w:rPr>
          <w:rFonts w:ascii="黑体" w:hAnsi="黑体" w:eastAsia="黑体"/>
          <w:sz w:val="30"/>
        </w:rPr>
      </w:pPr>
      <w:r>
        <w:rPr>
          <w:rFonts w:hint="eastAsia" w:ascii="黑体" w:hAnsi="黑体" w:eastAsia="黑体"/>
          <w:sz w:val="30"/>
        </w:rPr>
        <w:t>五、部门</w:t>
      </w:r>
      <w:r>
        <w:rPr>
          <w:rFonts w:ascii="黑体" w:hAnsi="黑体" w:eastAsia="黑体"/>
          <w:sz w:val="30"/>
        </w:rPr>
        <w:t>（</w:t>
      </w:r>
      <w:r>
        <w:rPr>
          <w:rFonts w:hint="eastAsia" w:ascii="黑体" w:hAnsi="黑体" w:eastAsia="黑体"/>
          <w:sz w:val="30"/>
        </w:rPr>
        <w:t>单位</w:t>
      </w:r>
      <w:r>
        <w:rPr>
          <w:rFonts w:ascii="黑体" w:hAnsi="黑体" w:eastAsia="黑体"/>
          <w:sz w:val="30"/>
        </w:rPr>
        <w:t>）</w:t>
      </w:r>
      <w:r>
        <w:rPr>
          <w:rFonts w:hint="eastAsia" w:ascii="黑体" w:hAnsi="黑体" w:eastAsia="黑体"/>
          <w:sz w:val="30"/>
        </w:rPr>
        <w:t>整体支出绩效中存</w:t>
      </w:r>
      <w:r>
        <w:rPr>
          <w:rFonts w:ascii="黑体" w:hAnsi="黑体" w:eastAsia="黑体"/>
          <w:sz w:val="30"/>
        </w:rPr>
        <w:t>在问题</w:t>
      </w:r>
      <w:r>
        <w:rPr>
          <w:rFonts w:hint="eastAsia" w:ascii="黑体" w:hAnsi="黑体" w:eastAsia="黑体"/>
          <w:sz w:val="30"/>
        </w:rPr>
        <w:t>及</w:t>
      </w:r>
      <w:r>
        <w:rPr>
          <w:rFonts w:ascii="黑体" w:hAnsi="黑体" w:eastAsia="黑体"/>
          <w:sz w:val="30"/>
        </w:rPr>
        <w:t>改进措施</w:t>
      </w:r>
    </w:p>
    <w:p w14:paraId="626F8FAD">
      <w:pPr>
        <w:spacing w:line="360" w:lineRule="auto"/>
        <w:ind w:firstLine="480" w:firstLineChars="200"/>
        <w:rPr>
          <w:rFonts w:ascii="宋体" w:hAnsi="宋体" w:cs="宋体"/>
          <w:sz w:val="24"/>
        </w:rPr>
      </w:pPr>
      <w:r>
        <w:rPr>
          <w:rFonts w:hint="eastAsia" w:ascii="宋体" w:hAnsi="宋体" w:cs="宋体"/>
          <w:sz w:val="24"/>
        </w:rPr>
        <w:t>无</w:t>
      </w:r>
    </w:p>
    <w:p w14:paraId="088B966C">
      <w:pPr>
        <w:spacing w:line="360" w:lineRule="auto"/>
        <w:ind w:left="600"/>
        <w:rPr>
          <w:rFonts w:ascii="黑体" w:hAnsi="黑体" w:eastAsia="黑体"/>
          <w:sz w:val="30"/>
        </w:rPr>
      </w:pPr>
      <w:r>
        <w:rPr>
          <w:rFonts w:hint="eastAsia" w:ascii="黑体" w:hAnsi="黑体" w:eastAsia="黑体"/>
          <w:sz w:val="30"/>
        </w:rPr>
        <w:t>六、</w:t>
      </w:r>
      <w:r>
        <w:rPr>
          <w:rFonts w:ascii="黑体" w:hAnsi="黑体" w:eastAsia="黑体"/>
          <w:sz w:val="30"/>
        </w:rPr>
        <w:t>绩效自评</w:t>
      </w:r>
      <w:r>
        <w:rPr>
          <w:rFonts w:hint="eastAsia" w:ascii="黑体" w:hAnsi="黑体" w:eastAsia="黑体"/>
          <w:sz w:val="30"/>
        </w:rPr>
        <w:t>结果</w:t>
      </w:r>
      <w:r>
        <w:rPr>
          <w:rFonts w:ascii="黑体" w:hAnsi="黑体" w:eastAsia="黑体"/>
          <w:sz w:val="30"/>
        </w:rPr>
        <w:t>拟应用和公开</w:t>
      </w:r>
      <w:r>
        <w:rPr>
          <w:rFonts w:hint="eastAsia" w:ascii="黑体" w:hAnsi="黑体" w:eastAsia="黑体"/>
          <w:sz w:val="30"/>
        </w:rPr>
        <w:t>情况</w:t>
      </w:r>
    </w:p>
    <w:p w14:paraId="19BBA852">
      <w:pPr>
        <w:spacing w:line="360" w:lineRule="auto"/>
        <w:ind w:firstLine="480" w:firstLineChars="200"/>
        <w:rPr>
          <w:rFonts w:ascii="宋体" w:hAnsi="宋体" w:cs="宋体"/>
          <w:sz w:val="24"/>
        </w:rPr>
      </w:pPr>
      <w:r>
        <w:rPr>
          <w:rFonts w:hint="eastAsia" w:ascii="宋体" w:hAnsi="宋体" w:cs="宋体"/>
          <w:sz w:val="24"/>
        </w:rPr>
        <w:t>按照有关规定公开。</w:t>
      </w:r>
    </w:p>
    <w:p w14:paraId="77536DBD">
      <w:pPr>
        <w:spacing w:line="360" w:lineRule="auto"/>
        <w:rPr>
          <w:rFonts w:ascii="黑体" w:hAnsi="黑体" w:eastAsia="黑体"/>
          <w:sz w:val="30"/>
        </w:rPr>
        <w:sectPr>
          <w:headerReference r:id="rId3" w:type="default"/>
          <w:footerReference r:id="rId5" w:type="default"/>
          <w:headerReference r:id="rId4" w:type="even"/>
          <w:footerReference r:id="rId6" w:type="even"/>
          <w:pgSz w:w="11907" w:h="16840"/>
          <w:pgMar w:top="1247" w:right="1400" w:bottom="1089" w:left="1559" w:header="851" w:footer="992" w:gutter="0"/>
          <w:paperSrc w:first="15" w:other="15"/>
          <w:cols w:space="720" w:num="1"/>
          <w:docGrid w:type="lines" w:linePitch="312" w:charSpace="0"/>
        </w:sectPr>
      </w:pPr>
    </w:p>
    <w:p w14:paraId="280D262C">
      <w:pPr>
        <w:numPr>
          <w:ilvl w:val="0"/>
          <w:numId w:val="1"/>
        </w:numPr>
        <w:spacing w:line="360" w:lineRule="auto"/>
        <w:ind w:left="600"/>
        <w:rPr>
          <w:rFonts w:ascii="黑体" w:hAnsi="黑体" w:eastAsia="黑体"/>
          <w:sz w:val="30"/>
        </w:rPr>
      </w:pPr>
      <w:r>
        <w:rPr>
          <w:rFonts w:hint="eastAsia" w:ascii="黑体" w:hAnsi="黑体" w:eastAsia="黑体"/>
          <w:sz w:val="30"/>
        </w:rPr>
        <w:t>预算信息</w:t>
      </w:r>
    </w:p>
    <w:p w14:paraId="6B7F7FE6">
      <w:pPr>
        <w:spacing w:line="360" w:lineRule="auto"/>
        <w:ind w:left="600"/>
        <w:rPr>
          <w:rFonts w:ascii="黑体" w:hAnsi="黑体" w:eastAsia="黑体"/>
          <w:sz w:val="30"/>
        </w:rPr>
      </w:pPr>
    </w:p>
    <w:tbl>
      <w:tblPr>
        <w:tblStyle w:val="5"/>
        <w:tblW w:w="144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79"/>
        <w:gridCol w:w="2268"/>
        <w:gridCol w:w="2268"/>
        <w:gridCol w:w="2268"/>
        <w:gridCol w:w="2268"/>
        <w:gridCol w:w="2268"/>
      </w:tblGrid>
      <w:tr w14:paraId="7D63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079" w:type="dxa"/>
            <w:shd w:val="clear" w:color="000000" w:fill="BFBFBF"/>
            <w:vAlign w:val="center"/>
          </w:tcPr>
          <w:p w14:paraId="4BC6E322">
            <w:pPr>
              <w:widowControl/>
              <w:jc w:val="center"/>
              <w:rPr>
                <w:rFonts w:ascii="宋体" w:hAnsi="宋体" w:cs="宋体"/>
                <w:b/>
                <w:bCs/>
                <w:kern w:val="0"/>
                <w:sz w:val="24"/>
              </w:rPr>
            </w:pPr>
            <w:r>
              <w:rPr>
                <w:rFonts w:hint="eastAsia" w:ascii="宋体" w:hAnsi="宋体" w:cs="宋体"/>
                <w:b/>
                <w:bCs/>
                <w:kern w:val="0"/>
                <w:sz w:val="24"/>
              </w:rPr>
              <w:t>本年度预算资金（万元）</w:t>
            </w:r>
            <w:r>
              <w:rPr>
                <w:rFonts w:ascii="宋体" w:hAnsi="宋体" w:cs="宋体" w:eastAsia="宋体"/>
                <w:b w:val="true"/>
                <w:color w:val=""/>
                <w:sz w:val="24"/>
                <w:u w:val="none"/>
              </w:rPr>
              <w:t/>
            </w:r>
          </w:p>
        </w:tc>
        <w:tc>
          <w:tcPr>
            <w:tcW w:w="2268" w:type="dxa"/>
            <w:shd w:val="clear" w:color="000000" w:fill="BFBFBF"/>
            <w:vAlign w:val="center"/>
          </w:tcPr>
          <w:p w14:paraId="7E2E6F84">
            <w:pPr>
              <w:widowControl/>
              <w:jc w:val="center"/>
              <w:rPr>
                <w:rFonts w:ascii="宋体" w:hAnsi="宋体" w:cs="宋体"/>
                <w:b/>
                <w:bCs/>
                <w:kern w:val="0"/>
                <w:sz w:val="24"/>
              </w:rPr>
            </w:pPr>
            <w:r>
              <w:rPr>
                <w:rFonts w:hint="eastAsia" w:ascii="宋体" w:hAnsi="宋体" w:cs="宋体"/>
                <w:b/>
                <w:bCs/>
                <w:kern w:val="0"/>
                <w:sz w:val="24"/>
              </w:rPr>
              <w:t>年初预算数（万元）</w:t>
            </w:r>
          </w:p>
        </w:tc>
        <w:tc>
          <w:tcPr>
            <w:tcW w:w="2268" w:type="dxa"/>
            <w:shd w:val="clear" w:color="000000" w:fill="BFBFBF"/>
            <w:vAlign w:val="center"/>
          </w:tcPr>
          <w:p w14:paraId="74B8B6D4">
            <w:pPr>
              <w:widowControl/>
              <w:jc w:val="center"/>
              <w:rPr>
                <w:rFonts w:ascii="宋体" w:hAnsi="宋体" w:cs="宋体"/>
                <w:b/>
                <w:bCs/>
                <w:kern w:val="0"/>
                <w:sz w:val="24"/>
              </w:rPr>
            </w:pPr>
            <w:r>
              <w:rPr>
                <w:rFonts w:hint="eastAsia" w:ascii="宋体" w:hAnsi="宋体" w:cs="宋体"/>
                <w:b/>
                <w:bCs/>
                <w:kern w:val="0"/>
                <w:sz w:val="24"/>
              </w:rPr>
              <w:t>上年度结转及当年预算追加追减数(万元）</w:t>
            </w:r>
          </w:p>
        </w:tc>
        <w:tc>
          <w:tcPr>
            <w:tcW w:w="2268" w:type="dxa"/>
            <w:shd w:val="clear" w:color="000000" w:fill="BFBFBF"/>
            <w:vAlign w:val="center"/>
          </w:tcPr>
          <w:p w14:paraId="218C2C18">
            <w:pPr>
              <w:widowControl/>
              <w:jc w:val="center"/>
              <w:rPr>
                <w:rFonts w:ascii="宋体" w:hAnsi="宋体" w:cs="宋体"/>
                <w:b/>
                <w:bCs/>
                <w:kern w:val="0"/>
                <w:sz w:val="24"/>
              </w:rPr>
            </w:pPr>
            <w:r>
              <w:rPr>
                <w:rFonts w:hint="eastAsia" w:ascii="宋体" w:hAnsi="宋体" w:cs="宋体"/>
                <w:b/>
                <w:bCs/>
                <w:kern w:val="0"/>
                <w:sz w:val="24"/>
              </w:rPr>
              <w:t>调整预算数（万元）</w:t>
            </w:r>
          </w:p>
        </w:tc>
        <w:tc>
          <w:tcPr>
            <w:tcW w:w="2268" w:type="dxa"/>
            <w:shd w:val="clear" w:color="000000" w:fill="BFBFBF"/>
            <w:vAlign w:val="center"/>
          </w:tcPr>
          <w:p w14:paraId="6C2574C8">
            <w:pPr>
              <w:widowControl/>
              <w:jc w:val="center"/>
              <w:rPr>
                <w:rFonts w:ascii="宋体" w:hAnsi="宋体" w:cs="宋体"/>
                <w:b/>
                <w:bCs/>
                <w:kern w:val="0"/>
                <w:sz w:val="24"/>
              </w:rPr>
            </w:pPr>
            <w:r>
              <w:rPr>
                <w:rFonts w:hint="eastAsia" w:ascii="宋体" w:hAnsi="宋体" w:cs="宋体"/>
                <w:b/>
                <w:bCs/>
                <w:kern w:val="0"/>
                <w:sz w:val="24"/>
              </w:rPr>
              <w:t>实际支出数（万元）</w:t>
            </w:r>
          </w:p>
        </w:tc>
        <w:tc>
          <w:tcPr>
            <w:tcW w:w="2268" w:type="dxa"/>
            <w:shd w:val="clear" w:color="000000" w:fill="BFBFBF"/>
            <w:vAlign w:val="center"/>
          </w:tcPr>
          <w:p w14:paraId="3899CF22">
            <w:pPr>
              <w:widowControl/>
              <w:jc w:val="center"/>
              <w:rPr>
                <w:rFonts w:ascii="宋体" w:hAnsi="宋体" w:cs="宋体"/>
                <w:b/>
                <w:bCs/>
                <w:kern w:val="0"/>
                <w:sz w:val="24"/>
              </w:rPr>
            </w:pPr>
            <w:r>
              <w:rPr>
                <w:rFonts w:hint="eastAsia" w:ascii="宋体" w:hAnsi="宋体" w:cs="宋体"/>
                <w:b/>
                <w:bCs/>
                <w:kern w:val="0"/>
                <w:sz w:val="24"/>
              </w:rPr>
              <w:t>执行率（%)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预算总金额</w:t>
            </w:r>
          </w:p>
        </w:tc>
        <w:tc>
          <w:tcPr>
            <w:tcW w:w="2268" w:type="dxa"/>
            <w:vAlign w:val="center"/>
          </w:tcPr>
          <w:p>
            <w:pPr>
              <w:widowControl/>
              <w:jc w:val="center"/>
              <w:rPr>
                <w:rFonts w:ascii="宋体" w:hAnsi="宋体" w:cs="宋体"/>
                <w:kern w:val="0"/>
                <w:sz w:val="24"/>
              </w:rPr>
            </w:pPr>
            <w:r>
              <w:rPr>
                <w:rFonts w:hint="eastAsia" w:ascii="宋体" w:hAnsi="宋体" w:cs="宋体"/>
                <w:sz w:val="24"/>
              </w:rPr>
              <w:t>13921.57</w:t>
            </w:r>
          </w:p>
        </w:tc>
        <w:tc>
          <w:tcPr>
            <w:tcW w:w="2268" w:type="dxa"/>
            <w:vAlign w:val="center"/>
          </w:tcPr>
          <w:p>
            <w:pPr>
              <w:widowControl/>
              <w:jc w:val="center"/>
              <w:rPr>
                <w:rFonts w:ascii="宋体" w:hAnsi="宋体" w:cs="宋体"/>
                <w:sz w:val="24"/>
              </w:rPr>
            </w:pPr>
            <w:r>
              <w:rPr>
                <w:rFonts w:hint="eastAsia" w:ascii="宋体" w:hAnsi="宋体" w:cs="宋体"/>
                <w:sz w:val="24"/>
              </w:rPr>
              <w:t>-3246.15</w:t>
            </w:r>
          </w:p>
        </w:tc>
        <w:tc>
          <w:tcPr>
            <w:tcW w:w="2268" w:type="dxa"/>
            <w:vAlign w:val="center"/>
          </w:tcPr>
          <w:p>
            <w:pPr>
              <w:widowControl/>
              <w:jc w:val="center"/>
              <w:rPr>
                <w:rFonts w:ascii="宋体" w:hAnsi="宋体" w:cs="宋体"/>
                <w:sz w:val="24"/>
              </w:rPr>
            </w:pPr>
            <w:r>
              <w:rPr>
                <w:rFonts w:hint="eastAsia" w:ascii="宋体" w:hAnsi="宋体" w:cs="宋体"/>
                <w:sz w:val="24"/>
              </w:rPr>
              <w:t>10675.42</w:t>
            </w:r>
          </w:p>
        </w:tc>
        <w:tc>
          <w:tcPr>
            <w:tcW w:w="2268" w:type="dxa"/>
            <w:vAlign w:val="center"/>
          </w:tcPr>
          <w:p>
            <w:pPr>
              <w:widowControl/>
              <w:jc w:val="center"/>
              <w:rPr>
                <w:rFonts w:ascii="宋体" w:hAnsi="宋体" w:cs="宋体"/>
                <w:sz w:val="24"/>
              </w:rPr>
            </w:pPr>
            <w:r>
              <w:rPr>
                <w:rFonts w:hint="eastAsia" w:ascii="宋体" w:hAnsi="宋体" w:cs="宋体"/>
                <w:sz w:val="24"/>
              </w:rPr>
              <w:t>10273.32</w:t>
            </w:r>
          </w:p>
        </w:tc>
        <w:tc>
          <w:tcPr>
            <w:tcW w:w="2268" w:type="dxa"/>
            <w:vAlign w:val="center"/>
          </w:tcPr>
          <w:p>
            <w:pPr>
              <w:widowControl/>
              <w:jc w:val="center"/>
              <w:rPr>
                <w:rFonts w:ascii="宋体" w:hAnsi="宋体" w:cs="宋体"/>
                <w:sz w:val="24"/>
              </w:rPr>
            </w:pPr>
            <w:r>
              <w:rPr>
                <w:rFonts w:hint="eastAsia" w:ascii="宋体" w:hAnsi="宋体" w:cs="宋体"/>
                <w:sz w:val="24"/>
              </w:rPr>
              <w:t>96.23%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基本支出</w:t>
            </w:r>
          </w:p>
        </w:tc>
        <w:tc>
          <w:tcPr>
            <w:tcW w:w="2268" w:type="dxa"/>
            <w:vAlign w:val="center"/>
          </w:tcPr>
          <w:p>
            <w:pPr>
              <w:widowControl/>
              <w:jc w:val="center"/>
              <w:rPr>
                <w:rFonts w:ascii="宋体" w:hAnsi="宋体" w:cs="宋体"/>
                <w:kern w:val="0"/>
                <w:sz w:val="24"/>
              </w:rPr>
            </w:pPr>
            <w:r>
              <w:rPr>
                <w:rFonts w:hint="eastAsia" w:ascii="宋体" w:hAnsi="宋体" w:cs="宋体"/>
                <w:sz w:val="24"/>
              </w:rPr>
              <w:t>2994.19</w:t>
            </w:r>
          </w:p>
        </w:tc>
        <w:tc>
          <w:tcPr>
            <w:tcW w:w="2268" w:type="dxa"/>
            <w:vAlign w:val="center"/>
          </w:tcPr>
          <w:p>
            <w:pPr>
              <w:widowControl/>
              <w:jc w:val="center"/>
              <w:rPr>
                <w:rFonts w:ascii="宋体" w:hAnsi="宋体" w:cs="宋体"/>
                <w:sz w:val="24"/>
              </w:rPr>
            </w:pPr>
            <w:r>
              <w:rPr>
                <w:rFonts w:hint="eastAsia" w:ascii="宋体" w:hAnsi="宋体" w:cs="宋体"/>
                <w:sz w:val="24"/>
              </w:rPr>
              <w:t>-51.19</w:t>
            </w:r>
          </w:p>
        </w:tc>
        <w:tc>
          <w:tcPr>
            <w:tcW w:w="2268" w:type="dxa"/>
            <w:vAlign w:val="center"/>
          </w:tcPr>
          <w:p>
            <w:pPr>
              <w:widowControl/>
              <w:jc w:val="center"/>
              <w:rPr>
                <w:rFonts w:ascii="宋体" w:hAnsi="宋体" w:cs="宋体"/>
                <w:sz w:val="24"/>
              </w:rPr>
            </w:pPr>
            <w:r>
              <w:rPr>
                <w:rFonts w:hint="eastAsia" w:ascii="宋体" w:hAnsi="宋体" w:cs="宋体"/>
                <w:sz w:val="24"/>
              </w:rPr>
              <w:t>2943</w:t>
            </w:r>
          </w:p>
        </w:tc>
        <w:tc>
          <w:tcPr>
            <w:tcW w:w="2268" w:type="dxa"/>
            <w:vAlign w:val="center"/>
          </w:tcPr>
          <w:p>
            <w:pPr>
              <w:widowControl/>
              <w:jc w:val="center"/>
              <w:rPr>
                <w:rFonts w:ascii="宋体" w:hAnsi="宋体" w:cs="宋体"/>
                <w:sz w:val="24"/>
              </w:rPr>
            </w:pPr>
            <w:r>
              <w:rPr>
                <w:rFonts w:hint="eastAsia" w:ascii="宋体" w:hAnsi="宋体" w:cs="宋体"/>
                <w:sz w:val="24"/>
              </w:rPr>
              <w:t>2722.76</w:t>
            </w:r>
          </w:p>
        </w:tc>
        <w:tc>
          <w:tcPr>
            <w:tcW w:w="2268" w:type="dxa"/>
            <w:vAlign w:val="center"/>
          </w:tcPr>
          <w:p>
            <w:pPr>
              <w:widowControl/>
              <w:jc w:val="center"/>
              <w:rPr>
                <w:rFonts w:ascii="宋体" w:hAnsi="宋体" w:cs="宋体"/>
                <w:sz w:val="24"/>
              </w:rPr>
            </w:pPr>
            <w:r>
              <w:rPr>
                <w:rFonts w:hint="eastAsia" w:ascii="宋体" w:hAnsi="宋体" w:cs="宋体"/>
                <w:sz w:val="24"/>
              </w:rPr>
              <w:t>92.52%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项目支出</w:t>
            </w:r>
          </w:p>
        </w:tc>
        <w:tc>
          <w:tcPr>
            <w:tcW w:w="2268" w:type="dxa"/>
            <w:vAlign w:val="center"/>
          </w:tcPr>
          <w:p>
            <w:pPr>
              <w:widowControl/>
              <w:jc w:val="center"/>
              <w:rPr>
                <w:rFonts w:ascii="宋体" w:hAnsi="宋体" w:cs="宋体"/>
                <w:kern w:val="0"/>
                <w:sz w:val="24"/>
              </w:rPr>
            </w:pPr>
            <w:r>
              <w:rPr>
                <w:rFonts w:hint="eastAsia" w:ascii="宋体" w:hAnsi="宋体" w:cs="宋体"/>
                <w:sz w:val="24"/>
              </w:rPr>
              <w:t>10927.38</w:t>
            </w:r>
          </w:p>
        </w:tc>
        <w:tc>
          <w:tcPr>
            <w:tcW w:w="2268" w:type="dxa"/>
            <w:vAlign w:val="center"/>
          </w:tcPr>
          <w:p>
            <w:pPr>
              <w:widowControl/>
              <w:jc w:val="center"/>
              <w:rPr>
                <w:rFonts w:ascii="宋体" w:hAnsi="宋体" w:cs="宋体"/>
                <w:sz w:val="24"/>
              </w:rPr>
            </w:pPr>
            <w:r>
              <w:rPr>
                <w:rFonts w:hint="eastAsia" w:ascii="宋体" w:hAnsi="宋体" w:cs="宋体"/>
                <w:sz w:val="24"/>
              </w:rPr>
              <w:t>-3194.96</w:t>
            </w:r>
          </w:p>
        </w:tc>
        <w:tc>
          <w:tcPr>
            <w:tcW w:w="2268" w:type="dxa"/>
            <w:vAlign w:val="center"/>
          </w:tcPr>
          <w:p>
            <w:pPr>
              <w:widowControl/>
              <w:jc w:val="center"/>
              <w:rPr>
                <w:rFonts w:ascii="宋体" w:hAnsi="宋体" w:cs="宋体"/>
                <w:sz w:val="24"/>
              </w:rPr>
            </w:pPr>
            <w:r>
              <w:rPr>
                <w:rFonts w:hint="eastAsia" w:ascii="宋体" w:hAnsi="宋体" w:cs="宋体"/>
                <w:sz w:val="24"/>
              </w:rPr>
              <w:t>7732.42</w:t>
            </w:r>
          </w:p>
        </w:tc>
        <w:tc>
          <w:tcPr>
            <w:tcW w:w="2268" w:type="dxa"/>
            <w:vAlign w:val="center"/>
          </w:tcPr>
          <w:p>
            <w:pPr>
              <w:widowControl/>
              <w:jc w:val="center"/>
              <w:rPr>
                <w:rFonts w:ascii="宋体" w:hAnsi="宋体" w:cs="宋体"/>
                <w:sz w:val="24"/>
              </w:rPr>
            </w:pPr>
            <w:r>
              <w:rPr>
                <w:rFonts w:hint="eastAsia" w:ascii="宋体" w:hAnsi="宋体" w:cs="宋体"/>
                <w:sz w:val="24"/>
              </w:rPr>
              <w:t>7550.56</w:t>
            </w:r>
          </w:p>
        </w:tc>
        <w:tc>
          <w:tcPr>
            <w:tcW w:w="2268" w:type="dxa"/>
            <w:vAlign w:val="center"/>
          </w:tcPr>
          <w:p>
            <w:pPr>
              <w:widowControl/>
              <w:jc w:val="center"/>
              <w:rPr>
                <w:rFonts w:ascii="宋体" w:hAnsi="宋体" w:cs="宋体"/>
                <w:sz w:val="24"/>
              </w:rPr>
            </w:pPr>
            <w:r>
              <w:rPr>
                <w:rFonts w:hint="eastAsia" w:ascii="宋体" w:hAnsi="宋体" w:cs="宋体"/>
                <w:sz w:val="24"/>
              </w:rPr>
              <w:t>97.65%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专项宣传广告费</w:t>
            </w:r>
          </w:p>
        </w:tc>
        <w:tc>
          <w:tcPr>
            <w:tcW w:w="2268" w:type="dxa"/>
            <w:vAlign w:val="center"/>
          </w:tcPr>
          <w:p>
            <w:pPr>
              <w:widowControl/>
              <w:jc w:val="center"/>
              <w:rPr>
                <w:rFonts w:ascii="宋体" w:hAnsi="宋体" w:cs="宋体"/>
                <w:kern w:val="0"/>
                <w:sz w:val="24"/>
              </w:rPr>
            </w:pPr>
            <w:r>
              <w:rPr>
                <w:rFonts w:hint="eastAsia" w:ascii="宋体" w:hAnsi="宋体" w:cs="宋体"/>
                <w:sz w:val="24"/>
              </w:rPr>
              <w:t>18.33</w:t>
            </w:r>
          </w:p>
        </w:tc>
        <w:tc>
          <w:tcPr>
            <w:tcW w:w="2268" w:type="dxa"/>
            <w:vAlign w:val="center"/>
          </w:tcPr>
          <w:p>
            <w:pPr>
              <w:widowControl/>
              <w:jc w:val="center"/>
              <w:rPr>
                <w:rFonts w:ascii="宋体" w:hAnsi="宋体" w:cs="宋体"/>
                <w:sz w:val="24"/>
              </w:rPr>
            </w:pPr>
            <w:r>
              <w:rPr>
                <w:rFonts w:hint="eastAsia" w:ascii="宋体" w:hAnsi="宋体" w:cs="宋体"/>
                <w:sz w:val="24"/>
              </w:rPr>
              <w:t>-16.47</w:t>
            </w:r>
          </w:p>
        </w:tc>
        <w:tc>
          <w:tcPr>
            <w:tcW w:w="2268" w:type="dxa"/>
            <w:vAlign w:val="center"/>
          </w:tcPr>
          <w:p>
            <w:pPr>
              <w:widowControl/>
              <w:jc w:val="center"/>
              <w:rPr>
                <w:rFonts w:ascii="宋体" w:hAnsi="宋体" w:cs="宋体"/>
                <w:sz w:val="24"/>
              </w:rPr>
            </w:pPr>
            <w:r>
              <w:rPr>
                <w:rFonts w:hint="eastAsia" w:ascii="宋体" w:hAnsi="宋体" w:cs="宋体"/>
                <w:sz w:val="24"/>
              </w:rPr>
              <w:t>1.86</w:t>
            </w:r>
          </w:p>
        </w:tc>
        <w:tc>
          <w:tcPr>
            <w:tcW w:w="2268" w:type="dxa"/>
            <w:vAlign w:val="center"/>
          </w:tcPr>
          <w:p>
            <w:pPr>
              <w:widowControl/>
              <w:jc w:val="center"/>
              <w:rPr>
                <w:rFonts w:ascii="宋体" w:hAnsi="宋体" w:cs="宋体"/>
                <w:sz w:val="24"/>
              </w:rPr>
            </w:pPr>
            <w:r>
              <w:rPr>
                <w:rFonts w:hint="eastAsia" w:ascii="宋体" w:hAnsi="宋体" w:cs="宋体"/>
                <w:sz w:val="24"/>
              </w:rPr>
              <w:t>1.86</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临时性用工人员经费</w:t>
            </w:r>
          </w:p>
        </w:tc>
        <w:tc>
          <w:tcPr>
            <w:tcW w:w="2268" w:type="dxa"/>
            <w:vAlign w:val="center"/>
          </w:tcPr>
          <w:p>
            <w:pPr>
              <w:widowControl/>
              <w:jc w:val="center"/>
              <w:rPr>
                <w:rFonts w:ascii="宋体" w:hAnsi="宋体" w:cs="宋体"/>
                <w:kern w:val="0"/>
                <w:sz w:val="24"/>
              </w:rPr>
            </w:pPr>
            <w:r>
              <w:rPr>
                <w:rFonts w:hint="eastAsia" w:ascii="宋体" w:hAnsi="宋体" w:cs="宋体"/>
                <w:sz w:val="24"/>
              </w:rPr>
              <w:t>3069</w:t>
            </w:r>
          </w:p>
        </w:tc>
        <w:tc>
          <w:tcPr>
            <w:tcW w:w="2268" w:type="dxa"/>
            <w:vAlign w:val="center"/>
          </w:tcPr>
          <w:p>
            <w:pPr>
              <w:widowControl/>
              <w:jc w:val="center"/>
              <w:rPr>
                <w:rFonts w:ascii="宋体" w:hAnsi="宋体" w:cs="宋体"/>
                <w:sz w:val="24"/>
              </w:rPr>
            </w:pPr>
            <w:r>
              <w:rPr>
                <w:rFonts w:hint="eastAsia" w:ascii="宋体" w:hAnsi="宋体" w:cs="宋体"/>
                <w:sz w:val="24"/>
              </w:rPr>
              <w:t>-1035.35</w:t>
            </w:r>
          </w:p>
        </w:tc>
        <w:tc>
          <w:tcPr>
            <w:tcW w:w="2268" w:type="dxa"/>
            <w:vAlign w:val="center"/>
          </w:tcPr>
          <w:p>
            <w:pPr>
              <w:widowControl/>
              <w:jc w:val="center"/>
              <w:rPr>
                <w:rFonts w:ascii="宋体" w:hAnsi="宋体" w:cs="宋体"/>
                <w:sz w:val="24"/>
              </w:rPr>
            </w:pPr>
            <w:r>
              <w:rPr>
                <w:rFonts w:hint="eastAsia" w:ascii="宋体" w:hAnsi="宋体" w:cs="宋体"/>
                <w:sz w:val="24"/>
              </w:rPr>
              <w:t>2033.65</w:t>
            </w:r>
          </w:p>
        </w:tc>
        <w:tc>
          <w:tcPr>
            <w:tcW w:w="2268" w:type="dxa"/>
            <w:vAlign w:val="center"/>
          </w:tcPr>
          <w:p>
            <w:pPr>
              <w:widowControl/>
              <w:jc w:val="center"/>
              <w:rPr>
                <w:rFonts w:ascii="宋体" w:hAnsi="宋体" w:cs="宋体"/>
                <w:sz w:val="24"/>
              </w:rPr>
            </w:pPr>
            <w:r>
              <w:rPr>
                <w:rFonts w:hint="eastAsia" w:ascii="宋体" w:hAnsi="宋体" w:cs="宋体"/>
                <w:sz w:val="24"/>
              </w:rPr>
              <w:t>2021.37</w:t>
            </w:r>
          </w:p>
        </w:tc>
        <w:tc>
          <w:tcPr>
            <w:tcW w:w="2268" w:type="dxa"/>
            <w:vAlign w:val="center"/>
          </w:tcPr>
          <w:p>
            <w:pPr>
              <w:widowControl/>
              <w:jc w:val="center"/>
              <w:rPr>
                <w:rFonts w:ascii="宋体" w:hAnsi="宋体" w:cs="宋体"/>
                <w:sz w:val="24"/>
              </w:rPr>
            </w:pPr>
            <w:r>
              <w:rPr>
                <w:rFonts w:hint="eastAsia" w:ascii="宋体" w:hAnsi="宋体" w:cs="宋体"/>
                <w:sz w:val="24"/>
              </w:rPr>
              <w:t>99.40%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科研项目经费</w:t>
            </w:r>
          </w:p>
        </w:tc>
        <w:tc>
          <w:tcPr>
            <w:tcW w:w="2268" w:type="dxa"/>
            <w:vAlign w:val="center"/>
          </w:tcPr>
          <w:p>
            <w:pPr>
              <w:widowControl/>
              <w:jc w:val="center"/>
              <w:rPr>
                <w:rFonts w:ascii="宋体" w:hAnsi="宋体" w:cs="宋体"/>
                <w:kern w:val="0"/>
                <w:sz w:val="24"/>
              </w:rPr>
            </w:pPr>
            <w:r>
              <w:rPr>
                <w:rFonts w:hint="eastAsia" w:ascii="宋体" w:hAnsi="宋体" w:cs="宋体"/>
                <w:sz w:val="24"/>
              </w:rPr>
              <w:t>90</w:t>
            </w:r>
          </w:p>
        </w:tc>
        <w:tc>
          <w:tcPr>
            <w:tcW w:w="2268" w:type="dxa"/>
            <w:vAlign w:val="center"/>
          </w:tcPr>
          <w:p>
            <w:pPr>
              <w:widowControl/>
              <w:jc w:val="center"/>
              <w:rPr>
                <w:rFonts w:ascii="宋体" w:hAnsi="宋体" w:cs="宋体"/>
                <w:sz w:val="24"/>
              </w:rPr>
            </w:pPr>
            <w:r>
              <w:rPr>
                <w:rFonts w:hint="eastAsia" w:ascii="宋体" w:hAnsi="宋体" w:cs="宋体"/>
                <w:sz w:val="24"/>
              </w:rPr>
              <w:t>-80.65</w:t>
            </w:r>
          </w:p>
        </w:tc>
        <w:tc>
          <w:tcPr>
            <w:tcW w:w="2268" w:type="dxa"/>
            <w:vAlign w:val="center"/>
          </w:tcPr>
          <w:p>
            <w:pPr>
              <w:widowControl/>
              <w:jc w:val="center"/>
              <w:rPr>
                <w:rFonts w:ascii="宋体" w:hAnsi="宋体" w:cs="宋体"/>
                <w:sz w:val="24"/>
              </w:rPr>
            </w:pPr>
            <w:r>
              <w:rPr>
                <w:rFonts w:hint="eastAsia" w:ascii="宋体" w:hAnsi="宋体" w:cs="宋体"/>
                <w:sz w:val="24"/>
              </w:rPr>
              <w:t>9.35</w:t>
            </w:r>
          </w:p>
        </w:tc>
        <w:tc>
          <w:tcPr>
            <w:tcW w:w="2268" w:type="dxa"/>
            <w:vAlign w:val="center"/>
          </w:tcPr>
          <w:p>
            <w:pPr>
              <w:widowControl/>
              <w:jc w:val="center"/>
              <w:rPr>
                <w:rFonts w:ascii="宋体" w:hAnsi="宋体" w:cs="宋体"/>
                <w:sz w:val="24"/>
              </w:rPr>
            </w:pPr>
            <w:r>
              <w:rPr>
                <w:rFonts w:hint="eastAsia" w:ascii="宋体" w:hAnsi="宋体" w:cs="宋体"/>
                <w:sz w:val="24"/>
              </w:rPr>
              <w:t>9.35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经营成本及税费</w:t>
            </w:r>
          </w:p>
        </w:tc>
        <w:tc>
          <w:tcPr>
            <w:tcW w:w="2268" w:type="dxa"/>
            <w:vAlign w:val="center"/>
          </w:tcPr>
          <w:p>
            <w:pPr>
              <w:widowControl/>
              <w:jc w:val="center"/>
              <w:rPr>
                <w:rFonts w:ascii="宋体" w:hAnsi="宋体" w:cs="宋体"/>
                <w:kern w:val="0"/>
                <w:sz w:val="24"/>
              </w:rPr>
            </w:pPr>
            <w:r>
              <w:rPr>
                <w:rFonts w:hint="eastAsia" w:ascii="宋体" w:hAnsi="宋体" w:cs="宋体"/>
                <w:sz w:val="24"/>
              </w:rPr>
              <w:t>3241.05</w:t>
            </w:r>
          </w:p>
        </w:tc>
        <w:tc>
          <w:tcPr>
            <w:tcW w:w="2268" w:type="dxa"/>
            <w:vAlign w:val="center"/>
          </w:tcPr>
          <w:p>
            <w:pPr>
              <w:widowControl/>
              <w:jc w:val="center"/>
              <w:rPr>
                <w:rFonts w:ascii="宋体" w:hAnsi="宋体" w:cs="宋体"/>
                <w:sz w:val="24"/>
              </w:rPr>
            </w:pPr>
            <w:r>
              <w:rPr>
                <w:rFonts w:hint="eastAsia" w:ascii="宋体" w:hAnsi="宋体" w:cs="宋体"/>
                <w:sz w:val="24"/>
              </w:rPr>
              <w:t>-1462.75</w:t>
            </w:r>
          </w:p>
        </w:tc>
        <w:tc>
          <w:tcPr>
            <w:tcW w:w="2268" w:type="dxa"/>
            <w:vAlign w:val="center"/>
          </w:tcPr>
          <w:p>
            <w:pPr>
              <w:widowControl/>
              <w:jc w:val="center"/>
              <w:rPr>
                <w:rFonts w:ascii="宋体" w:hAnsi="宋体" w:cs="宋体"/>
                <w:sz w:val="24"/>
              </w:rPr>
            </w:pPr>
            <w:r>
              <w:rPr>
                <w:rFonts w:hint="eastAsia" w:ascii="宋体" w:hAnsi="宋体" w:cs="宋体"/>
                <w:sz w:val="24"/>
              </w:rPr>
              <w:t>1778.3</w:t>
            </w:r>
          </w:p>
        </w:tc>
        <w:tc>
          <w:tcPr>
            <w:tcW w:w="2268" w:type="dxa"/>
            <w:vAlign w:val="center"/>
          </w:tcPr>
          <w:p>
            <w:pPr>
              <w:widowControl/>
              <w:jc w:val="center"/>
              <w:rPr>
                <w:rFonts w:ascii="宋体" w:hAnsi="宋体" w:cs="宋体"/>
                <w:sz w:val="24"/>
              </w:rPr>
            </w:pPr>
            <w:r>
              <w:rPr>
                <w:rFonts w:hint="eastAsia" w:ascii="宋体" w:hAnsi="宋体" w:cs="宋体"/>
                <w:sz w:val="24"/>
              </w:rPr>
              <w:t>1608.72</w:t>
            </w:r>
          </w:p>
        </w:tc>
        <w:tc>
          <w:tcPr>
            <w:tcW w:w="2268" w:type="dxa"/>
            <w:vAlign w:val="center"/>
          </w:tcPr>
          <w:p>
            <w:pPr>
              <w:widowControl/>
              <w:jc w:val="center"/>
              <w:rPr>
                <w:rFonts w:ascii="宋体" w:hAnsi="宋体" w:cs="宋体"/>
                <w:sz w:val="24"/>
              </w:rPr>
            </w:pPr>
            <w:r>
              <w:rPr>
                <w:rFonts w:hint="eastAsia" w:ascii="宋体" w:hAnsi="宋体" w:cs="宋体"/>
                <w:sz w:val="24"/>
              </w:rPr>
              <w:t>90.46%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设备购置</w:t>
            </w:r>
          </w:p>
        </w:tc>
        <w:tc>
          <w:tcPr>
            <w:tcW w:w="2268" w:type="dxa"/>
            <w:vAlign w:val="center"/>
          </w:tcPr>
          <w:p>
            <w:pPr>
              <w:widowControl/>
              <w:jc w:val="center"/>
              <w:rPr>
                <w:rFonts w:ascii="宋体" w:hAnsi="宋体" w:cs="宋体"/>
                <w:kern w:val="0"/>
                <w:sz w:val="24"/>
              </w:rPr>
            </w:pPr>
            <w:r>
              <w:rPr>
                <w:rFonts w:hint="eastAsia" w:ascii="宋体" w:hAnsi="宋体" w:cs="宋体"/>
                <w:sz w:val="24"/>
              </w:rPr>
              <w:t>220</w:t>
            </w:r>
          </w:p>
        </w:tc>
        <w:tc>
          <w:tcPr>
            <w:tcW w:w="2268" w:type="dxa"/>
            <w:vAlign w:val="center"/>
          </w:tcPr>
          <w:p>
            <w:pPr>
              <w:widowControl/>
              <w:jc w:val="center"/>
              <w:rPr>
                <w:rFonts w:ascii="宋体" w:hAnsi="宋体" w:cs="宋体"/>
                <w:sz w:val="24"/>
              </w:rPr>
            </w:pPr>
            <w:r>
              <w:rPr>
                <w:rFonts w:hint="eastAsia" w:ascii="宋体" w:hAnsi="宋体" w:cs="宋体"/>
                <w:sz w:val="24"/>
              </w:rPr>
              <w:t>-211.98</w:t>
            </w:r>
          </w:p>
        </w:tc>
        <w:tc>
          <w:tcPr>
            <w:tcW w:w="2268" w:type="dxa"/>
            <w:vAlign w:val="center"/>
          </w:tcPr>
          <w:p>
            <w:pPr>
              <w:widowControl/>
              <w:jc w:val="center"/>
              <w:rPr>
                <w:rFonts w:ascii="宋体" w:hAnsi="宋体" w:cs="宋体"/>
                <w:sz w:val="24"/>
              </w:rPr>
            </w:pPr>
            <w:r>
              <w:rPr>
                <w:rFonts w:hint="eastAsia" w:ascii="宋体" w:hAnsi="宋体" w:cs="宋体"/>
                <w:sz w:val="24"/>
              </w:rPr>
              <w:t>8.02</w:t>
            </w:r>
          </w:p>
        </w:tc>
        <w:tc>
          <w:tcPr>
            <w:tcW w:w="2268" w:type="dxa"/>
            <w:vAlign w:val="center"/>
          </w:tcPr>
          <w:p>
            <w:pPr>
              <w:widowControl/>
              <w:jc w:val="center"/>
              <w:rPr>
                <w:rFonts w:ascii="宋体" w:hAnsi="宋体" w:cs="宋体"/>
                <w:sz w:val="24"/>
              </w:rPr>
            </w:pPr>
            <w:r>
              <w:rPr>
                <w:rFonts w:hint="eastAsia" w:ascii="宋体" w:hAnsi="宋体" w:cs="宋体"/>
                <w:sz w:val="24"/>
              </w:rPr>
              <w:t>8.02</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执法监督检查</w:t>
            </w:r>
          </w:p>
        </w:tc>
        <w:tc>
          <w:tcPr>
            <w:tcW w:w="2268" w:type="dxa"/>
            <w:vAlign w:val="center"/>
          </w:tcPr>
          <w:p>
            <w:pPr>
              <w:widowControl/>
              <w:jc w:val="center"/>
              <w:rPr>
                <w:rFonts w:ascii="宋体" w:hAnsi="宋体" w:cs="宋体"/>
                <w:kern w:val="0"/>
                <w:sz w:val="24"/>
              </w:rPr>
            </w:pPr>
            <w:r>
              <w:rPr>
                <w:rFonts w:hint="eastAsia" w:ascii="宋体" w:hAnsi="宋体" w:cs="宋体"/>
                <w:sz w:val="24"/>
              </w:rPr>
              <w:t>477</w:t>
            </w:r>
          </w:p>
        </w:tc>
        <w:tc>
          <w:tcPr>
            <w:tcW w:w="2268" w:type="dxa"/>
            <w:vAlign w:val="center"/>
          </w:tcPr>
          <w:p>
            <w:pPr>
              <w:widowControl/>
              <w:jc w:val="center"/>
              <w:rPr>
                <w:rFonts w:ascii="宋体" w:hAnsi="宋体" w:cs="宋体"/>
                <w:sz w:val="24"/>
              </w:rPr>
            </w:pPr>
            <w:r>
              <w:rPr>
                <w:rFonts w:hint="eastAsia" w:ascii="宋体" w:hAnsi="宋体" w:cs="宋体"/>
                <w:sz w:val="24"/>
              </w:rPr>
              <w:t>-377.51</w:t>
            </w:r>
          </w:p>
        </w:tc>
        <w:tc>
          <w:tcPr>
            <w:tcW w:w="2268" w:type="dxa"/>
            <w:vAlign w:val="center"/>
          </w:tcPr>
          <w:p>
            <w:pPr>
              <w:widowControl/>
              <w:jc w:val="center"/>
              <w:rPr>
                <w:rFonts w:ascii="宋体" w:hAnsi="宋体" w:cs="宋体"/>
                <w:sz w:val="24"/>
              </w:rPr>
            </w:pPr>
            <w:r>
              <w:rPr>
                <w:rFonts w:hint="eastAsia" w:ascii="宋体" w:hAnsi="宋体" w:cs="宋体"/>
                <w:sz w:val="24"/>
              </w:rPr>
              <w:t>99.49</w:t>
            </w:r>
          </w:p>
        </w:tc>
        <w:tc>
          <w:tcPr>
            <w:tcW w:w="2268" w:type="dxa"/>
            <w:vAlign w:val="center"/>
          </w:tcPr>
          <w:p>
            <w:pPr>
              <w:widowControl/>
              <w:jc w:val="center"/>
              <w:rPr>
                <w:rFonts w:ascii="宋体" w:hAnsi="宋体" w:cs="宋体"/>
                <w:sz w:val="24"/>
              </w:rPr>
            </w:pPr>
            <w:r>
              <w:rPr>
                <w:rFonts w:hint="eastAsia" w:ascii="宋体" w:hAnsi="宋体" w:cs="宋体"/>
                <w:sz w:val="24"/>
              </w:rPr>
              <w:t>99.49</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苏州国家质量基础（NQI）基地</w:t>
            </w:r>
          </w:p>
        </w:tc>
        <w:tc>
          <w:tcPr>
            <w:tcW w:w="2268" w:type="dxa"/>
            <w:vAlign w:val="center"/>
          </w:tcPr>
          <w:p>
            <w:pPr>
              <w:widowControl/>
              <w:jc w:val="center"/>
              <w:rPr>
                <w:rFonts w:ascii="宋体" w:hAnsi="宋体" w:cs="宋体"/>
                <w:kern w:val="0"/>
                <w:sz w:val="24"/>
              </w:rPr>
            </w:pPr>
            <w:r>
              <w:rPr>
                <w:rFonts w:hint="eastAsia" w:ascii="宋体" w:hAnsi="宋体" w:cs="宋体"/>
                <w:sz w:val="24"/>
              </w:rPr>
              <w:t>3800</w:t>
            </w:r>
          </w:p>
        </w:tc>
        <w:tc>
          <w:tcPr>
            <w:tcW w:w="2268" w:type="dxa"/>
            <w:vAlign w:val="center"/>
          </w:tcPr>
          <w:p>
            <w:pPr>
              <w:widowControl/>
              <w:jc w:val="center"/>
              <w:rPr>
                <w:rFonts w:ascii="宋体" w:hAnsi="宋体" w:cs="宋体"/>
                <w:sz w:val="24"/>
              </w:rPr>
            </w:pPr>
            <w:r>
              <w:rPr>
                <w:rFonts w:hint="eastAsia" w:ascii="宋体" w:hAnsi="宋体" w:cs="宋体"/>
                <w:sz w:val="24"/>
              </w:rPr>
              <w:t/>
            </w:r>
          </w:p>
        </w:tc>
        <w:tc>
          <w:tcPr>
            <w:tcW w:w="2268" w:type="dxa"/>
            <w:vAlign w:val="center"/>
          </w:tcPr>
          <w:p>
            <w:pPr>
              <w:widowControl/>
              <w:jc w:val="center"/>
              <w:rPr>
                <w:rFonts w:ascii="宋体" w:hAnsi="宋体" w:cs="宋体"/>
                <w:sz w:val="24"/>
              </w:rPr>
            </w:pPr>
            <w:r>
              <w:rPr>
                <w:rFonts w:hint="eastAsia" w:ascii="宋体" w:hAnsi="宋体" w:cs="宋体"/>
                <w:sz w:val="24"/>
              </w:rPr>
              <w:t>3800</w:t>
            </w:r>
          </w:p>
        </w:tc>
        <w:tc>
          <w:tcPr>
            <w:tcW w:w="2268" w:type="dxa"/>
            <w:vAlign w:val="center"/>
          </w:tcPr>
          <w:p>
            <w:pPr>
              <w:widowControl/>
              <w:jc w:val="center"/>
              <w:rPr>
                <w:rFonts w:ascii="宋体" w:hAnsi="宋体" w:cs="宋体"/>
                <w:sz w:val="24"/>
              </w:rPr>
            </w:pPr>
            <w:r>
              <w:rPr>
                <w:rFonts w:hint="eastAsia" w:ascii="宋体" w:hAnsi="宋体" w:cs="宋体"/>
                <w:sz w:val="24"/>
              </w:rPr>
              <w:t>3800</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c>
          <w:tcPr>
            <w:tcW w:w="3079" w:type="dxa"/>
            <w:vAlign w:val="center"/>
          </w:tcPr>
          <w:p>
            <w:pPr>
              <w:widowControl/>
              <w:jc w:val="left"/>
              <w:rPr>
                <w:rFonts w:ascii="宋体" w:hAnsi="宋体" w:cs="宋体"/>
                <w:kern w:val="0"/>
                <w:sz w:val="24"/>
              </w:rPr>
            </w:pPr>
            <w:r>
              <w:rPr>
                <w:rFonts w:hint="eastAsia" w:ascii="宋体" w:hAnsi="宋体" w:cs="宋体"/>
                <w:sz w:val="24"/>
              </w:rPr>
              <w:t>专项培训费</w:t>
            </w:r>
          </w:p>
        </w:tc>
        <w:tc>
          <w:tcPr>
            <w:tcW w:w="2268" w:type="dxa"/>
            <w:vAlign w:val="center"/>
          </w:tcPr>
          <w:p>
            <w:pPr>
              <w:widowControl/>
              <w:jc w:val="center"/>
              <w:rPr>
                <w:rFonts w:ascii="宋体" w:hAnsi="宋体" w:cs="宋体"/>
                <w:kern w:val="0"/>
                <w:sz w:val="24"/>
              </w:rPr>
            </w:pPr>
            <w:r>
              <w:rPr>
                <w:rFonts w:hint="eastAsia" w:ascii="宋体" w:hAnsi="宋体" w:cs="宋体"/>
                <w:sz w:val="24"/>
              </w:rPr>
              <w:t>12</w:t>
            </w:r>
          </w:p>
        </w:tc>
        <w:tc>
          <w:tcPr>
            <w:tcW w:w="2268" w:type="dxa"/>
            <w:vAlign w:val="center"/>
          </w:tcPr>
          <w:p>
            <w:pPr>
              <w:widowControl/>
              <w:jc w:val="center"/>
              <w:rPr>
                <w:rFonts w:ascii="宋体" w:hAnsi="宋体" w:cs="宋体"/>
                <w:sz w:val="24"/>
              </w:rPr>
            </w:pPr>
            <w:r>
              <w:rPr>
                <w:rFonts w:hint="eastAsia" w:ascii="宋体" w:hAnsi="宋体" w:cs="宋体"/>
                <w:sz w:val="24"/>
              </w:rPr>
              <w:t>-10.25</w:t>
            </w:r>
          </w:p>
        </w:tc>
        <w:tc>
          <w:tcPr>
            <w:tcW w:w="2268" w:type="dxa"/>
            <w:vAlign w:val="center"/>
          </w:tcPr>
          <w:p>
            <w:pPr>
              <w:widowControl/>
              <w:jc w:val="center"/>
              <w:rPr>
                <w:rFonts w:ascii="宋体" w:hAnsi="宋体" w:cs="宋体"/>
                <w:sz w:val="24"/>
              </w:rPr>
            </w:pPr>
            <w:r>
              <w:rPr>
                <w:rFonts w:hint="eastAsia" w:ascii="宋体" w:hAnsi="宋体" w:cs="宋体"/>
                <w:sz w:val="24"/>
              </w:rPr>
              <w:t>1.75</w:t>
            </w:r>
          </w:p>
        </w:tc>
        <w:tc>
          <w:tcPr>
            <w:tcW w:w="2268" w:type="dxa"/>
            <w:vAlign w:val="center"/>
          </w:tcPr>
          <w:p>
            <w:pPr>
              <w:widowControl/>
              <w:jc w:val="center"/>
              <w:rPr>
                <w:rFonts w:ascii="宋体" w:hAnsi="宋体" w:cs="宋体"/>
                <w:sz w:val="24"/>
              </w:rPr>
            </w:pPr>
            <w:r>
              <w:rPr>
                <w:rFonts w:hint="eastAsia" w:ascii="宋体" w:hAnsi="宋体" w:cs="宋体"/>
                <w:sz w:val="24"/>
              </w:rPr>
              <w:t>1.75</w:t>
            </w:r>
          </w:p>
        </w:tc>
        <w:tc>
          <w:tcPr>
            <w:tcW w:w="2268" w:type="dxa"/>
            <w:vAlign w:val="center"/>
          </w:tcPr>
          <w:p>
            <w:pPr>
              <w:widowControl/>
              <w:jc w:val="center"/>
              <w:rPr>
                <w:rFonts w:ascii="宋体" w:hAnsi="宋体" w:cs="宋体"/>
                <w:sz w:val="24"/>
              </w:rPr>
            </w:pPr>
            <w:r>
              <w:rPr>
                <w:rFonts w:hint="eastAsia" w:ascii="宋体" w:hAnsi="宋体" w:cs="宋体"/>
                <w:sz w:val="24"/>
              </w:rPr>
              <w:t>100.00%</w:t>
            </w:r>
          </w:p>
        </w:tc>
      </w:tr>
    </w:tbl>
    <w:p w14:paraId="131ACE80">
      <w:pPr>
        <w:spacing w:line="360" w:lineRule="auto"/>
        <w:ind w:left="600"/>
        <w:rPr>
          <w:rFonts w:ascii="黑体" w:hAnsi="黑体" w:eastAsia="黑体"/>
          <w:sz w:val="30"/>
        </w:rPr>
      </w:pPr>
    </w:p>
    <w:p w14:paraId="74045F82">
      <w:pPr>
        <w:numPr>
          <w:ilvl w:val="0"/>
          <w:numId w:val="1"/>
        </w:numPr>
        <w:spacing w:line="360" w:lineRule="auto"/>
        <w:ind w:left="600"/>
        <w:rPr>
          <w:rFonts w:ascii="黑体" w:hAnsi="黑体" w:eastAsia="黑体"/>
          <w:sz w:val="30"/>
        </w:rPr>
      </w:pPr>
      <w:r>
        <w:rPr>
          <w:rFonts w:hint="eastAsia" w:ascii="黑体" w:hAnsi="黑体" w:eastAsia="黑体"/>
          <w:sz w:val="30"/>
        </w:rPr>
        <w:t>年度重点任务</w:t>
      </w:r>
    </w:p>
    <w:p w14:paraId="0D3A1920">
      <w:pPr>
        <w:spacing w:line="360" w:lineRule="auto"/>
        <w:ind w:left="600"/>
        <w:rPr>
          <w:rFonts w:ascii="黑体" w:hAnsi="黑体" w:eastAsia="黑体"/>
          <w:sz w:val="30"/>
        </w:rPr>
      </w:pPr>
    </w:p>
    <w:tbl>
      <w:tblPr>
        <w:tblStyle w:val="5"/>
        <w:tblW w:w="135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9"/>
        <w:gridCol w:w="3818"/>
        <w:gridCol w:w="6280"/>
      </w:tblGrid>
      <w:tr w14:paraId="4FD8D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3419" w:type="dxa"/>
            <w:shd w:val="clear" w:color="000000" w:fill="BFBFBF"/>
            <w:vAlign w:val="center"/>
          </w:tcPr>
          <w:p w14:paraId="1644DE46">
            <w:pPr>
              <w:widowControl/>
              <w:jc w:val="center"/>
              <w:rPr>
                <w:rFonts w:ascii="宋体" w:hAnsi="宋体" w:cs="宋体"/>
                <w:b/>
                <w:bCs/>
                <w:kern w:val="0"/>
                <w:sz w:val="24"/>
              </w:rPr>
            </w:pPr>
          </w:p>
          <w:p w14:paraId="5858CDEA">
            <w:pPr>
              <w:widowControl/>
              <w:jc w:val="center"/>
              <w:rPr>
                <w:rFonts w:ascii="宋体" w:hAnsi="宋体" w:cs="宋体"/>
                <w:b/>
                <w:bCs/>
                <w:kern w:val="0"/>
                <w:sz w:val="24"/>
              </w:rPr>
            </w:pPr>
            <w:r>
              <w:rPr>
                <w:rFonts w:hint="eastAsia" w:ascii="宋体" w:hAnsi="宋体" w:cs="宋体"/>
                <w:b/>
                <w:bCs/>
                <w:kern w:val="0"/>
                <w:sz w:val="24"/>
              </w:rPr>
              <w:t>对应部门主要职责</w:t>
            </w:r>
          </w:p>
          <w:p w14:paraId="3F9E1C75">
            <w:pPr>
              <w:widowControl/>
              <w:jc w:val="center"/>
              <w:rPr>
                <w:rFonts w:ascii="宋体" w:hAnsi="宋体" w:cs="宋体"/>
                <w:b/>
                <w:bCs/>
                <w:kern w:val="0"/>
                <w:sz w:val="24"/>
              </w:rPr>
            </w:pPr>
            <w:r>
              <w:rPr>
                <w:rFonts w:hint="eastAsia" w:ascii="宋体" w:hAnsi="宋体" w:cs="宋体"/>
                <w:b/>
                <w:bCs/>
                <w:kern w:val="0"/>
                <w:sz w:val="24"/>
              </w:rPr>
              <w:t/>
            </w:r>
          </w:p>
        </w:tc>
        <w:tc>
          <w:tcPr>
            <w:tcW w:w="3818" w:type="dxa"/>
            <w:shd w:val="clear" w:color="000000" w:fill="BFBFBF"/>
            <w:vAlign w:val="center"/>
          </w:tcPr>
          <w:p w14:paraId="561C96F1">
            <w:pPr>
              <w:widowControl/>
              <w:jc w:val="center"/>
              <w:rPr>
                <w:rFonts w:ascii="宋体" w:hAnsi="宋体" w:cs="宋体"/>
                <w:b/>
                <w:bCs/>
                <w:kern w:val="0"/>
                <w:sz w:val="24"/>
              </w:rPr>
            </w:pPr>
            <w:r>
              <w:rPr>
                <w:rFonts w:hint="eastAsia" w:ascii="宋体" w:hAnsi="宋体" w:cs="宋体"/>
                <w:b/>
                <w:bCs/>
                <w:kern w:val="0"/>
                <w:sz w:val="24"/>
              </w:rPr>
              <w:t>任务名称</w:t>
            </w:r>
          </w:p>
        </w:tc>
        <w:tc>
          <w:tcPr>
            <w:tcW w:w="6280" w:type="dxa"/>
            <w:shd w:val="clear" w:color="000000" w:fill="BFBFBF"/>
            <w:vAlign w:val="center"/>
          </w:tcPr>
          <w:p w14:paraId="77A795C7">
            <w:pPr>
              <w:widowControl/>
              <w:jc w:val="center"/>
              <w:rPr>
                <w:rFonts w:ascii="宋体" w:hAnsi="宋体" w:cs="宋体"/>
                <w:b/>
                <w:bCs/>
                <w:kern w:val="0"/>
                <w:sz w:val="24"/>
              </w:rPr>
            </w:pPr>
            <w:r>
              <w:rPr>
                <w:rFonts w:hint="eastAsia" w:ascii="宋体" w:hAnsi="宋体" w:cs="宋体"/>
                <w:b/>
                <w:bCs/>
                <w:kern w:val="0"/>
                <w:sz w:val="24"/>
              </w:rPr>
              <w:t>完成情况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产（商）品质量监督检验</w:t>
            </w:r>
          </w:p>
        </w:tc>
        <w:tc>
          <w:tcPr>
            <w:tcW w:w="3818" w:type="dxa"/>
            <w:vAlign w:val="center"/>
          </w:tcPr>
          <w:p>
            <w:pPr>
              <w:widowControl/>
              <w:jc w:val="center"/>
              <w:rPr>
                <w:rFonts w:ascii="宋体" w:hAnsi="宋体" w:cs="宋体"/>
                <w:sz w:val="24"/>
              </w:rPr>
            </w:pPr>
            <w:r>
              <w:rPr>
                <w:rFonts w:hint="eastAsia" w:ascii="宋体" w:hAnsi="宋体" w:cs="宋体"/>
                <w:sz w:val="24"/>
              </w:rPr>
              <w:t>按照技术标准对照各类产（商）品进行产品质量的监督检验及产品质量认证检验。承接企业、消费者自主送样的委托检验，负责新产品的质量。</w:t>
            </w:r>
          </w:p>
        </w:tc>
        <w:tc>
          <w:tcPr>
            <w:tcW w:w="6280" w:type="dxa"/>
            <w:vAlign w:val="center"/>
          </w:tcPr>
          <w:p>
            <w:pPr>
              <w:widowControl/>
              <w:jc w:val="center"/>
              <w:rPr>
                <w:rFonts w:ascii="宋体" w:hAnsi="宋体" w:cs="宋体"/>
                <w:sz w:val="24"/>
              </w:rPr>
            </w:pPr>
            <w:r>
              <w:rPr>
                <w:rFonts w:hint="eastAsia" w:ascii="宋体" w:hAnsi="宋体" w:cs="宋体"/>
                <w:sz w:val="24"/>
              </w:rPr>
              <w:t>主动应对特种设备作业人员发证权限调整，根据各区实际情况提供定制服务模式，全年考试人数再创历史新高。针对缺陷召唤现场宣传活动3场,组织全市区县培训1次。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产（商）品质量监督检验仲裁检验</w:t>
            </w:r>
          </w:p>
        </w:tc>
        <w:tc>
          <w:tcPr>
            <w:tcW w:w="3818" w:type="dxa"/>
            <w:vAlign w:val="center"/>
          </w:tcPr>
          <w:p>
            <w:pPr>
              <w:widowControl/>
              <w:jc w:val="center"/>
              <w:rPr>
                <w:rFonts w:ascii="宋体" w:hAnsi="宋体" w:cs="宋体"/>
                <w:sz w:val="24"/>
              </w:rPr>
            </w:pPr>
            <w:r>
              <w:rPr>
                <w:rFonts w:hint="eastAsia" w:ascii="宋体" w:hAnsi="宋体" w:cs="宋体"/>
                <w:sz w:val="24"/>
              </w:rPr>
              <w:t>受委托，对产（商）品质量有争议的产品进行仲裁检验。</w:t>
            </w:r>
          </w:p>
        </w:tc>
        <w:tc>
          <w:tcPr>
            <w:tcW w:w="6280" w:type="dxa"/>
            <w:vAlign w:val="center"/>
          </w:tcPr>
          <w:p>
            <w:pPr>
              <w:widowControl/>
              <w:jc w:val="center"/>
              <w:rPr>
                <w:rFonts w:ascii="宋体" w:hAnsi="宋体" w:cs="宋体"/>
                <w:sz w:val="24"/>
              </w:rPr>
            </w:pPr>
            <w:r>
              <w:rPr>
                <w:rFonts w:hint="eastAsia" w:ascii="宋体" w:hAnsi="宋体" w:cs="宋体"/>
                <w:sz w:val="24"/>
              </w:rPr>
              <w:t>针对生产许可证下半年总计进行2家企业召回调查，5家企业召回总结,缺陷消费品伤害调查一起。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认证及咨询服务、企业标准制修订</w:t>
            </w:r>
          </w:p>
        </w:tc>
        <w:tc>
          <w:tcPr>
            <w:tcW w:w="3818" w:type="dxa"/>
            <w:vAlign w:val="center"/>
          </w:tcPr>
          <w:p>
            <w:pPr>
              <w:widowControl/>
              <w:jc w:val="center"/>
              <w:rPr>
                <w:rFonts w:ascii="宋体" w:hAnsi="宋体" w:cs="宋体"/>
                <w:sz w:val="24"/>
              </w:rPr>
            </w:pPr>
            <w:r>
              <w:rPr>
                <w:rFonts w:hint="eastAsia" w:ascii="宋体" w:hAnsi="宋体" w:cs="宋体"/>
                <w:sz w:val="24"/>
              </w:rPr>
              <w:t>起草修订相关产品标准，承接企业产品标准制修订工作。</w:t>
            </w:r>
          </w:p>
        </w:tc>
        <w:tc>
          <w:tcPr>
            <w:tcW w:w="6280" w:type="dxa"/>
            <w:vAlign w:val="center"/>
          </w:tcPr>
          <w:p>
            <w:pPr>
              <w:widowControl/>
              <w:jc w:val="center"/>
              <w:rPr>
                <w:rFonts w:ascii="宋体" w:hAnsi="宋体" w:cs="宋体"/>
                <w:sz w:val="24"/>
              </w:rPr>
            </w:pPr>
            <w:r>
              <w:rPr>
                <w:rFonts w:hint="eastAsia" w:ascii="宋体" w:hAnsi="宋体" w:cs="宋体"/>
                <w:sz w:val="24"/>
              </w:rPr>
              <w:t>积极配合企业修订产品标准，协助市局修改《农贸市场生鲜灯使用情况与治理对策调研报告》，撰写《食用农产品销售场所生鲜灯规范使用工作指导手册》。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质量培训</w:t>
            </w:r>
          </w:p>
        </w:tc>
        <w:tc>
          <w:tcPr>
            <w:tcW w:w="3818" w:type="dxa"/>
            <w:vAlign w:val="center"/>
          </w:tcPr>
          <w:p>
            <w:pPr>
              <w:widowControl/>
              <w:jc w:val="center"/>
              <w:rPr>
                <w:rFonts w:ascii="宋体" w:hAnsi="宋体" w:cs="宋体"/>
                <w:sz w:val="24"/>
              </w:rPr>
            </w:pPr>
            <w:r>
              <w:rPr>
                <w:rFonts w:hint="eastAsia" w:ascii="宋体" w:hAnsi="宋体" w:cs="宋体"/>
                <w:sz w:val="24"/>
              </w:rPr>
              <w:t>开展有关质量技术监督的培训。</w:t>
            </w:r>
          </w:p>
        </w:tc>
        <w:tc>
          <w:tcPr>
            <w:tcW w:w="6280" w:type="dxa"/>
            <w:vAlign w:val="center"/>
          </w:tcPr>
          <w:p>
            <w:pPr>
              <w:widowControl/>
              <w:jc w:val="center"/>
              <w:rPr>
                <w:rFonts w:ascii="宋体" w:hAnsi="宋体" w:cs="宋体"/>
                <w:sz w:val="24"/>
              </w:rPr>
            </w:pPr>
            <w:r>
              <w:rPr>
                <w:rFonts w:hint="eastAsia" w:ascii="宋体" w:hAnsi="宋体" w:cs="宋体"/>
                <w:sz w:val="24"/>
              </w:rPr>
              <w:t>针对有意义的产品进行检验检测，提供检测数据用于相关仲裁。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rPr>
          <w:trHeight w:val="608"/>
        </w:trPr>
        <w:trPr>
          <w:trHeight w:val="608"/>
        </w:trPr>
        <w:trPr>
          <w:trHeight w:val="608"/>
        </w:trPr>
        <w:tc>
          <w:tcPr>
            <w:tcW w:w="3419" w:type="dxa"/>
            <w:vAlign w:val="center"/>
          </w:tcPr>
          <w:p>
            <w:pPr>
              <w:widowControl/>
              <w:jc w:val="center"/>
              <w:rPr>
                <w:rFonts w:ascii="宋体" w:hAnsi="宋体" w:cs="宋体"/>
                <w:kern w:val="0"/>
                <w:sz w:val="24"/>
              </w:rPr>
            </w:pPr>
            <w:r>
              <w:rPr>
                <w:rFonts w:hint="eastAsia" w:ascii="宋体" w:hAnsi="宋体" w:cs="宋体"/>
                <w:sz w:val="24"/>
              </w:rPr>
              <w:t>质量咨询</w:t>
            </w:r>
          </w:p>
        </w:tc>
        <w:tc>
          <w:tcPr>
            <w:tcW w:w="3818" w:type="dxa"/>
            <w:vAlign w:val="center"/>
          </w:tcPr>
          <w:p>
            <w:pPr>
              <w:widowControl/>
              <w:jc w:val="center"/>
              <w:rPr>
                <w:rFonts w:ascii="宋体" w:hAnsi="宋体" w:cs="宋体"/>
                <w:sz w:val="24"/>
              </w:rPr>
            </w:pPr>
            <w:r>
              <w:rPr>
                <w:rFonts w:hint="eastAsia" w:ascii="宋体" w:hAnsi="宋体" w:cs="宋体"/>
                <w:sz w:val="24"/>
              </w:rPr>
              <w:t>开展各类体系认证服务，提供第三方顾客满意度调查、生产许可证办理、计量认证、企业质量管理及名牌产品、质量奖申报等方面的咨询服务。</w:t>
            </w:r>
          </w:p>
        </w:tc>
        <w:tc>
          <w:tcPr>
            <w:tcW w:w="6280" w:type="dxa"/>
            <w:vAlign w:val="center"/>
          </w:tcPr>
          <w:p>
            <w:pPr>
              <w:widowControl/>
              <w:jc w:val="center"/>
              <w:rPr>
                <w:rFonts w:ascii="宋体" w:hAnsi="宋体" w:cs="宋体"/>
                <w:sz w:val="24"/>
              </w:rPr>
            </w:pPr>
            <w:r>
              <w:rPr>
                <w:rFonts w:hint="eastAsia" w:ascii="宋体" w:hAnsi="宋体" w:cs="宋体"/>
                <w:sz w:val="24"/>
              </w:rPr>
              <w:t>虽然经历机构改革，在尚有资质的情况任然完成企业、消费者委托的委托检验，对比同期业务量保持稳定</w:t>
            </w:r>
          </w:p>
        </w:tc>
      </w:tr>
    </w:tbl>
    <w:p w14:paraId="24A38881">
      <w:pPr>
        <w:spacing w:line="360" w:lineRule="auto"/>
        <w:ind w:left="600"/>
        <w:rPr>
          <w:rFonts w:ascii="黑体" w:hAnsi="黑体" w:eastAsia="黑体"/>
          <w:sz w:val="30"/>
        </w:rPr>
      </w:pPr>
    </w:p>
    <w:p w14:paraId="2EB75D17">
      <w:pPr>
        <w:spacing w:line="360" w:lineRule="auto"/>
        <w:ind w:left="600"/>
        <w:rPr>
          <w:rFonts w:ascii="黑体" w:hAnsi="黑体" w:eastAsia="黑体"/>
          <w:sz w:val="30"/>
        </w:rPr>
      </w:pPr>
    </w:p>
    <w:p w14:paraId="0A35E1A9">
      <w:pPr>
        <w:numPr>
          <w:ilvl w:val="0"/>
          <w:numId w:val="1"/>
        </w:numPr>
        <w:spacing w:line="360" w:lineRule="auto"/>
        <w:ind w:left="600"/>
        <w:rPr>
          <w:rFonts w:ascii="黑体" w:hAnsi="黑体" w:eastAsia="黑体"/>
          <w:sz w:val="30"/>
        </w:rPr>
      </w:pPr>
      <w:r>
        <w:rPr>
          <w:rFonts w:hint="eastAsia" w:ascii="黑体" w:hAnsi="黑体" w:eastAsia="黑体"/>
          <w:sz w:val="30"/>
        </w:rPr>
        <w:t>部门整体自评表</w:t>
      </w:r>
    </w:p>
    <w:tbl>
      <w:tblPr>
        <w:tblStyle w:val="5"/>
        <w:tblpPr w:leftFromText="180" w:rightFromText="180" w:vertAnchor="text" w:horzAnchor="page" w:tblpX="1656" w:tblpY="127"/>
        <w:tblOverlap w:val="never"/>
        <w:tblW w:w="1468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7"/>
        <w:gridCol w:w="2051"/>
        <w:gridCol w:w="2061"/>
        <w:gridCol w:w="1987"/>
        <w:gridCol w:w="1799"/>
        <w:gridCol w:w="1866"/>
        <w:gridCol w:w="1787"/>
        <w:gridCol w:w="1071"/>
      </w:tblGrid>
      <w:tr w14:paraId="0B32D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atLeast"/>
        </w:trPr>
        <w:tc>
          <w:tcPr>
            <w:tcW w:w="2067" w:type="dxa"/>
            <w:shd w:val="clear" w:color="000000" w:fill="BFBFBF"/>
            <w:vAlign w:val="center"/>
          </w:tcPr>
          <w:p w14:paraId="53BD466F">
            <w:pPr>
              <w:widowControl/>
              <w:jc w:val="center"/>
              <w:rPr>
                <w:rFonts w:ascii="宋体" w:hAnsi="宋体" w:cs="宋体"/>
                <w:b/>
                <w:bCs/>
                <w:kern w:val="0"/>
                <w:sz w:val="24"/>
              </w:rPr>
            </w:pPr>
            <w:r>
              <w:rPr>
                <w:rFonts w:hint="eastAsia" w:ascii="宋体" w:hAnsi="宋体" w:cs="宋体"/>
                <w:b/>
                <w:bCs/>
                <w:kern w:val="0"/>
                <w:sz w:val="24"/>
              </w:rPr>
              <w:t/>
            </w:r>
          </w:p>
        </w:tc>
        <w:tc>
          <w:tcPr>
            <w:tcW w:w="2051" w:type="dxa"/>
            <w:shd w:val="clear" w:color="000000" w:fill="BFBFBF"/>
            <w:vAlign w:val="center"/>
          </w:tcPr>
          <w:p w14:paraId="1CC58553">
            <w:pPr>
              <w:widowControl/>
              <w:jc w:val="center"/>
              <w:rPr>
                <w:rFonts w:ascii="宋体" w:hAnsi="宋体" w:cs="宋体"/>
                <w:b/>
                <w:bCs/>
                <w:kern w:val="0"/>
                <w:sz w:val="24"/>
              </w:rPr>
            </w:pPr>
            <w:r>
              <w:rPr>
                <w:rFonts w:hint="eastAsia" w:ascii="宋体" w:hAnsi="宋体" w:cs="宋体"/>
                <w:b/>
                <w:bCs/>
                <w:sz w:val="24"/>
              </w:rPr>
              <w:t>类别</w:t>
            </w:r>
          </w:p>
        </w:tc>
        <w:tc>
          <w:tcPr>
            <w:tcW w:w="2061" w:type="dxa"/>
            <w:shd w:val="clear" w:color="000000" w:fill="BFBFBF"/>
            <w:vAlign w:val="center"/>
          </w:tcPr>
          <w:p w14:paraId="3F4DC382">
            <w:pPr>
              <w:widowControl/>
              <w:jc w:val="center"/>
              <w:rPr>
                <w:rFonts w:ascii="宋体" w:hAnsi="宋体" w:cs="宋体"/>
                <w:b/>
                <w:bCs/>
                <w:kern w:val="0"/>
                <w:sz w:val="24"/>
              </w:rPr>
            </w:pPr>
            <w:r>
              <w:rPr>
                <w:rFonts w:hint="eastAsia" w:ascii="宋体" w:hAnsi="宋体" w:cs="宋体"/>
                <w:b/>
                <w:bCs/>
                <w:sz w:val="24"/>
              </w:rPr>
              <w:t>指标名称</w:t>
            </w:r>
          </w:p>
        </w:tc>
        <w:tc>
          <w:tcPr>
            <w:tcW w:w="1987" w:type="dxa"/>
            <w:shd w:val="clear" w:color="000000" w:fill="BFBFBF"/>
            <w:vAlign w:val="center"/>
          </w:tcPr>
          <w:p w14:paraId="5D2A2967">
            <w:pPr>
              <w:widowControl/>
              <w:jc w:val="center"/>
              <w:rPr>
                <w:rFonts w:ascii="宋体" w:hAnsi="宋体" w:cs="宋体"/>
                <w:b/>
                <w:bCs/>
                <w:kern w:val="0"/>
                <w:sz w:val="24"/>
              </w:rPr>
            </w:pPr>
            <w:r>
              <w:rPr>
                <w:rFonts w:hint="eastAsia" w:ascii="宋体" w:hAnsi="宋体" w:cs="宋体"/>
                <w:b/>
                <w:bCs/>
                <w:sz w:val="24"/>
              </w:rPr>
              <w:t>指标目标值</w:t>
            </w:r>
          </w:p>
        </w:tc>
        <w:tc>
          <w:tcPr>
            <w:tcW w:w="1799" w:type="dxa"/>
            <w:shd w:val="clear" w:color="000000" w:fill="BFBFBF"/>
            <w:vAlign w:val="center"/>
          </w:tcPr>
          <w:p w14:paraId="700B5F42">
            <w:pPr>
              <w:widowControl/>
              <w:jc w:val="center"/>
              <w:rPr>
                <w:rFonts w:ascii="宋体" w:hAnsi="宋体" w:cs="宋体"/>
                <w:b/>
                <w:bCs/>
                <w:kern w:val="0"/>
                <w:sz w:val="24"/>
              </w:rPr>
            </w:pPr>
            <w:r>
              <w:rPr>
                <w:rFonts w:hint="eastAsia" w:ascii="宋体" w:hAnsi="宋体" w:cs="宋体"/>
                <w:b/>
                <w:bCs/>
                <w:sz w:val="24"/>
              </w:rPr>
              <w:t>指标完成值</w:t>
            </w:r>
          </w:p>
        </w:tc>
        <w:tc>
          <w:tcPr>
            <w:tcW w:w="1866" w:type="dxa"/>
            <w:shd w:val="clear" w:color="000000" w:fill="BFBFBF"/>
            <w:vAlign w:val="center"/>
          </w:tcPr>
          <w:p w14:paraId="3082178C">
            <w:pPr>
              <w:widowControl/>
              <w:jc w:val="center"/>
              <w:rPr>
                <w:rFonts w:ascii="宋体" w:hAnsi="宋体" w:cs="宋体"/>
                <w:b/>
                <w:bCs/>
                <w:kern w:val="0"/>
                <w:sz w:val="24"/>
              </w:rPr>
            </w:pPr>
            <w:r>
              <w:rPr>
                <w:rFonts w:hint="eastAsia" w:ascii="宋体" w:hAnsi="宋体" w:cs="宋体"/>
                <w:b/>
                <w:bCs/>
                <w:sz w:val="24"/>
              </w:rPr>
              <w:t>完成值来源</w:t>
            </w:r>
          </w:p>
        </w:tc>
        <w:tc>
          <w:tcPr>
            <w:tcW w:w="1787" w:type="dxa"/>
            <w:shd w:val="clear" w:color="000000" w:fill="BFBFBF"/>
            <w:vAlign w:val="center"/>
          </w:tcPr>
          <w:p w14:paraId="49382FB0">
            <w:pPr>
              <w:widowControl/>
              <w:jc w:val="center"/>
              <w:rPr>
                <w:rFonts w:ascii="宋体" w:hAnsi="宋体" w:cs="宋体"/>
                <w:b/>
                <w:bCs/>
                <w:sz w:val="24"/>
              </w:rPr>
            </w:pPr>
            <w:r>
              <w:rPr>
                <w:rFonts w:hint="eastAsia" w:ascii="宋体" w:hAnsi="宋体" w:cs="宋体"/>
                <w:b/>
                <w:bCs/>
                <w:sz w:val="24"/>
              </w:rPr>
              <w:t>偏差情况</w:t>
            </w:r>
          </w:p>
        </w:tc>
        <w:tc>
          <w:tcPr>
            <w:tcW w:w="1071" w:type="dxa"/>
            <w:shd w:val="clear" w:color="000000" w:fill="BFBFBF"/>
          </w:tcPr>
          <w:p w14:paraId="6998F3EA">
            <w:pPr>
              <w:widowControl/>
              <w:jc w:val="center"/>
              <w:rPr>
                <w:rFonts w:ascii="黑体" w:hAnsi="黑体" w:eastAsia="黑体"/>
                <w:sz w:val="30"/>
              </w:rPr>
            </w:pPr>
            <w:r>
              <w:rPr>
                <w:rFonts w:hint="eastAsia" w:ascii="宋体" w:hAnsi="宋体" w:cs="宋体"/>
                <w:b/>
                <w:bCs/>
                <w:sz w:val="24"/>
              </w:rPr>
              <w:t>原因分析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分解目标</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决策</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工作计划制定健全性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年度工作计划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中长期规划制定健全性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年度工作计划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绩效指标明确性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明确</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绩效目标合理性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合理</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预算编制科学性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科学</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预算编制规范性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过程</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非税收入管理合规性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预决算信息公开度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公开</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绩效管理覆盖率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一体化系统、批复</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资金使用合规性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合规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基础信息完善性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完善</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固定资产利用率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资产云</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资产管理制度健全性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项目管理制度执行规范性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规范</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人员管理制度执行有效性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年度考核</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人员管理制度健全性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健全</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制度文件</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在职人员控制率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年度考核</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纪检监察工作有效性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有效</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纪检监察及党风廉政建设工作总结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组织建设工作及时完成率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工作总结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业务学习与培训及时完成率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培训计划</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“三公经费”变动率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政府采购执行率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支付进度符合率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公用经费控制率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预算偏差率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&lt;=10%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非税收入预算完成率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结转结余率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预算调整率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效益</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生产经营环节重大安全事故数</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=0件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0件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事故报告情况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检验检测设备事故率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显著下降</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显著下降</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事故报告情况</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检验报告应用率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出具报告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新型的信息化系统建设为生态环境改善提供技术支持</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非常显著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非常显著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总结报告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实验室废物垃圾无害化处理</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处理报告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项目后续运行及成效发挥对本单位检测业务运行规范化、科学化、现代化的有效影响</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非常显著</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非常显著</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总结报告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p>
            <w:pPr>
              <w:spacing w:line="360" w:lineRule="auto"/>
              <w:jc w:val="center"/>
              <w:rPr>
                <w:rFonts w:ascii="宋体" w:hAnsi="宋体" w:cs="宋体"/>
                <w:kern w:val="0"/>
                <w:sz w:val="24"/>
              </w:rPr>
            </w:pPr>
            <w:r>
              <w:rPr>
                <w:rFonts w:hint="eastAsia" w:ascii="宋体" w:hAnsi="宋体" w:cs="宋体"/>
                <w:sz w:val="24"/>
              </w:rPr>
              <w:t>满意度</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被服务企业满意度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满意度报告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restart"/>
          </w:tcPr>
          <w:p>
            <w:pPr>
              <w:spacing w:line="360" w:lineRule="auto"/>
              <w:jc w:val="center"/>
              <w:rPr>
                <w:rFonts w:ascii="宋体" w:hAnsi="宋体" w:cs="宋体"/>
                <w:kern w:val="0"/>
                <w:sz w:val="24"/>
              </w:rPr>
            </w:pPr>
            <w:r>
              <w:rPr>
                <w:rFonts w:hint="eastAsia" w:ascii="宋体" w:hAnsi="宋体" w:cs="宋体"/>
                <w:sz w:val="24"/>
              </w:rPr>
              <w:t>履职</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客户满意度</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满意度报告</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培训完成及时率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&gt;=95%</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95%</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培训总结</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经费支出及时性</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一体化系统</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出具报告数量</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&gt;=1800批次</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1800批次</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报告清单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经费支出及时率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及时</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监督抽查任务完成率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抽查清单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投诉处理率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投诉清单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成本费用预算完成率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部门决算</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质量咨询回复率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系统截图</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检验报告出具及时率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&gt;=98%</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系统截图</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培训人员考试通过率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&gt;=98%</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98%</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合格清单</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rPr>
          <w:trHeight w:val="540"/>
        </w:trPr>
        <w:trPr>
          <w:trHeight w:val="540"/>
        </w:trPr>
        <w:trPr>
          <w:trHeight w:val="540"/>
        </w:trPr>
        <w:trPr>
          <w:trHeight w:val="540"/>
        </w:trPr>
        <w:trPr>
          <w:trHeight w:val="540"/>
        </w:trPr>
        <w:trPr>
          <w:trHeight w:val="540"/>
        </w:trPr>
        <w:trPr>
          <w:trHeight w:val="540"/>
        </w:trPr>
        <w:trPr>
          <w:trHeight w:val="540"/>
        </w:trPr>
        <w:tc>
          <w:tcPr>
            <w:tcW w:w="2067"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51" w:type="dxa"/>
            <w:vAlign w:val="center"/>
          </w:tcPr>
          <w:tcPr>
            <w:vMerge w:val="continue"/>
          </w:tcPr>
          <w:p>
            <w:pPr>
              <w:spacing w:line="360" w:lineRule="auto"/>
              <w:jc w:val="center"/>
              <w:rPr>
                <w:rFonts w:ascii="宋体" w:hAnsi="宋体" w:cs="宋体"/>
                <w:kern w:val="0"/>
                <w:sz w:val="24"/>
              </w:rPr>
            </w:pPr>
            <w:r>
              <w:rPr>
                <w:rFonts w:hint="eastAsia" w:ascii="宋体" w:hAnsi="宋体" w:cs="宋体"/>
                <w:sz w:val="24"/>
              </w:rPr>
              <w:t/>
            </w:r>
          </w:p>
        </w:tc>
        <w:tc>
          <w:tcPr>
            <w:tcW w:w="2061" w:type="dxa"/>
            <w:vAlign w:val="center"/>
          </w:tcPr>
          <w:p>
            <w:pPr>
              <w:spacing w:line="360" w:lineRule="auto"/>
              <w:jc w:val="center"/>
              <w:rPr>
                <w:rFonts w:ascii="宋体" w:hAnsi="宋体" w:cs="宋体"/>
                <w:kern w:val="0"/>
                <w:sz w:val="24"/>
              </w:rPr>
            </w:pPr>
            <w:r>
              <w:rPr>
                <w:rFonts w:hint="eastAsia" w:ascii="宋体" w:hAnsi="宋体" w:cs="宋体"/>
                <w:sz w:val="24"/>
              </w:rPr>
              <w:t>项目验收通过率</w:t>
            </w:r>
          </w:p>
        </w:tc>
        <w:tc>
          <w:tcPr>
            <w:tcW w:w="1987"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799" w:type="dxa"/>
            <w:vAlign w:val="center"/>
          </w:tcPr>
          <w:p>
            <w:pPr>
              <w:spacing w:line="360" w:lineRule="auto"/>
              <w:jc w:val="center"/>
              <w:rPr>
                <w:rFonts w:ascii="宋体" w:hAnsi="宋体" w:cs="宋体"/>
                <w:kern w:val="0"/>
                <w:sz w:val="24"/>
              </w:rPr>
            </w:pPr>
            <w:r>
              <w:rPr>
                <w:rFonts w:hint="eastAsia" w:ascii="宋体" w:hAnsi="宋体" w:cs="宋体"/>
                <w:sz w:val="24"/>
              </w:rPr>
              <w:t>100%</w:t>
            </w:r>
          </w:p>
        </w:tc>
        <w:tc>
          <w:tcPr>
            <w:tcW w:w="1866" w:type="dxa"/>
            <w:vAlign w:val="center"/>
          </w:tcPr>
          <w:p>
            <w:pPr>
              <w:spacing w:line="360" w:lineRule="auto"/>
              <w:jc w:val="center"/>
              <w:rPr>
                <w:rFonts w:ascii="宋体" w:hAnsi="宋体" w:cs="宋体"/>
                <w:kern w:val="0"/>
                <w:sz w:val="24"/>
              </w:rPr>
            </w:pPr>
            <w:r>
              <w:rPr>
                <w:rFonts w:hint="eastAsia" w:ascii="宋体" w:hAnsi="宋体" w:cs="宋体"/>
                <w:sz w:val="24"/>
              </w:rPr>
              <w:t>项目验收资料</w:t>
            </w:r>
          </w:p>
        </w:tc>
        <w:tc>
          <w:tcPr>
            <w:tcW w:w="1787" w:type="dxa"/>
            <w:vAlign w:val="center"/>
          </w:tcPr>
          <w:p>
            <w:pPr>
              <w:spacing w:line="360" w:lineRule="auto"/>
              <w:jc w:val="center"/>
              <w:rPr>
                <w:rFonts w:ascii="宋体" w:hAnsi="宋体" w:cs="宋体"/>
                <w:kern w:val="0"/>
                <w:sz w:val="24"/>
              </w:rPr>
            </w:pPr>
            <w:r>
              <w:rPr>
                <w:rFonts w:hint="eastAsia" w:ascii="宋体" w:hAnsi="宋体" w:cs="宋体"/>
                <w:sz w:val="24"/>
              </w:rPr>
              <w:t>0.00%</w:t>
            </w:r>
          </w:p>
        </w:tc>
        <w:tc>
          <w:tcPr>
            <w:tcW w:w="1071" w:type="dxa"/>
          </w:tcPr>
          <w:p>
            <w:pPr>
              <w:spacing w:line="360" w:lineRule="auto"/>
              <w:rPr>
                <w:rFonts w:ascii="宋体" w:hAnsi="宋体" w:cs="宋体"/>
                <w:kern w:val="0"/>
                <w:sz w:val="22"/>
              </w:rPr>
            </w:pPr>
            <w:r>
              <w:rPr>
                <w:rFonts w:hint="eastAsia" w:ascii="宋体" w:hAnsi="宋体" w:cs="宋体"/>
                <w:sz w:val="24"/>
              </w:rPr>
              <w:t/>
            </w:r>
          </w:p>
        </w:tc>
      </w:tr>
    </w:tbl>
    <w:p w14:paraId="7B5F5F05">
      <w:pPr>
        <w:spacing w:line="360" w:lineRule="auto"/>
        <w:ind w:left="600"/>
        <w:rPr>
          <w:rFonts w:ascii="黑体" w:hAnsi="黑体" w:eastAsia="黑体"/>
          <w:sz w:val="30"/>
        </w:rPr>
      </w:pPr>
    </w:p>
    <w:sectPr>
      <w:headerReference r:id="rId7" w:type="default"/>
      <w:footerReference r:id="rId8" w:type="default"/>
      <w:pgSz w:w="16840" w:h="11907" w:orient="landscape"/>
      <w:pgMar w:top="1559" w:right="1247" w:bottom="1400" w:left="1089" w:header="851" w:footer="992" w:gutter="0"/>
      <w:paperSrc w:first="15" w:other="15"/>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23819">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C328767">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87DEFE">
    <w:pPr>
      <w:pStyle w:val="3"/>
      <w:framePr w:wrap="around" w:vAnchor="text" w:hAnchor="margin" w:xAlign="center" w:y="1"/>
      <w:rPr>
        <w:rStyle w:val="8"/>
      </w:rPr>
    </w:pPr>
    <w:r>
      <w:fldChar w:fldCharType="begin"/>
    </w:r>
    <w:r>
      <w:rPr>
        <w:rStyle w:val="8"/>
      </w:rPr>
      <w:instrText xml:space="preserve">PAGE  </w:instrText>
    </w:r>
    <w:r>
      <w:fldChar w:fldCharType="end"/>
    </w:r>
  </w:p>
  <w:p w14:paraId="094E44E9">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66061">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w:t>
    </w:r>
    <w:r>
      <w:fldChar w:fldCharType="end"/>
    </w:r>
  </w:p>
  <w:p w14:paraId="52662FC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375BC">
    <w:pPr>
      <w:pStyle w:val="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7BC6">
    <w:pPr>
      <w:pStyle w:val="4"/>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B2CE9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7BB9F1"/>
    <w:multiLevelType w:val="singleLevel"/>
    <w:tmpl w:val="5D7BB9F1"/>
    <w:lvl w:ilvl="0" w:tentative="0">
      <w:start w:val="7"/>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4E7B4170"/>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semiHidden/>
    <w:qFormat/>
    <w:uiPriority w:val="0"/>
    <w:rPr>
      <w:sz w:val="18"/>
      <w:szCs w:val="18"/>
    </w:rPr>
  </w:style>
  <w:style w:type="paragraph" w:styleId="3">
    <w:name w:val="footer"/>
    <w:basedOn w:val="1"/>
    <w:link w:val="12"/>
    <w:qFormat/>
    <w:uiPriority w:val="0"/>
    <w:pPr>
      <w:tabs>
        <w:tab w:val="center" w:pos="4153"/>
        <w:tab w:val="right" w:pos="8306"/>
      </w:tabs>
      <w:snapToGrid w:val="0"/>
      <w:jc w:val="left"/>
    </w:pPr>
    <w:rPr>
      <w:sz w:val="18"/>
      <w:szCs w:val="18"/>
    </w:rPr>
  </w:style>
  <w:style w:type="paragraph" w:styleId="4">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page number"/>
    <w:basedOn w:val="7"/>
    <w:qFormat/>
    <w:uiPriority w:val="0"/>
  </w:style>
  <w:style w:type="character" w:styleId="9">
    <w:name w:val="Hyperlink"/>
    <w:qFormat/>
    <w:uiPriority w:val="0"/>
    <w:rPr>
      <w:color w:val="0000FF"/>
      <w:u w:val="single"/>
    </w:rPr>
  </w:style>
  <w:style w:type="character" w:customStyle="1" w:styleId="10">
    <w:name w:val="已访问的超链接1"/>
    <w:qFormat/>
    <w:uiPriority w:val="0"/>
    <w:rPr>
      <w:color w:val="800080"/>
      <w:u w:val="single"/>
    </w:rPr>
  </w:style>
  <w:style w:type="character" w:customStyle="1" w:styleId="11">
    <w:name w:val="页眉 Char"/>
    <w:link w:val="4"/>
    <w:qFormat/>
    <w:uiPriority w:val="0"/>
    <w:rPr>
      <w:kern w:val="2"/>
      <w:sz w:val="18"/>
      <w:szCs w:val="18"/>
    </w:rPr>
  </w:style>
  <w:style w:type="character" w:customStyle="1" w:styleId="12">
    <w:name w:val="页脚 Char"/>
    <w:link w:val="3"/>
    <w:qFormat/>
    <w:uiPriority w:val="0"/>
    <w:rPr>
      <w:kern w:val="2"/>
      <w:sz w:val="18"/>
      <w:szCs w:val="18"/>
    </w:rPr>
  </w:style>
  <w:style w:type="paragraph" w:customStyle="1" w:styleId="13">
    <w:name w:val="目录 21"/>
    <w:basedOn w:val="1"/>
    <w:next w:val="1"/>
    <w:qFormat/>
    <w:uiPriority w:val="39"/>
    <w:pPr>
      <w:tabs>
        <w:tab w:val="right" w:leader="dot" w:pos="8494"/>
      </w:tabs>
      <w:spacing w:line="560" w:lineRule="exact"/>
      <w:ind w:left="210"/>
      <w:jc w:val="left"/>
    </w:pPr>
    <w:rPr>
      <w:rFonts w:ascii="仿宋_GB2312" w:hAnsi="Calibri" w:eastAsia="仿宋_GB2312" w:cs="Calibri"/>
      <w:smallCaps/>
      <w:sz w:val="28"/>
      <w:szCs w:val="28"/>
    </w:rPr>
  </w:style>
  <w:style w:type="paragraph" w:customStyle="1" w:styleId="14">
    <w:name w:val="目录 11"/>
    <w:basedOn w:val="1"/>
    <w:next w:val="1"/>
    <w:qFormat/>
    <w:uiPriority w:val="39"/>
    <w:pPr>
      <w:tabs>
        <w:tab w:val="left" w:pos="840"/>
        <w:tab w:val="right" w:leader="dot" w:pos="8296"/>
      </w:tabs>
      <w:spacing w:line="560" w:lineRule="exact"/>
      <w:jc w:val="left"/>
    </w:pPr>
    <w:rPr>
      <w:rFonts w:ascii="仿宋_GB2312" w:hAnsi="新宋体" w:eastAsia="仿宋_GB2312" w:cs="Calibri"/>
      <w:b/>
      <w:bCs/>
      <w:caps/>
      <w:sz w:val="28"/>
      <w:szCs w:val="28"/>
    </w:rPr>
  </w:style>
  <w:style w:type="paragraph" w:customStyle="1" w:styleId="15">
    <w:name w:val="Char Char Char Char Char Char Char"/>
    <w:basedOn w:val="1"/>
    <w:qFormat/>
    <w:uiPriority w:val="0"/>
    <w:rPr>
      <w:szCs w:val="21"/>
    </w:rPr>
  </w:style>
  <w:style w:type="paragraph" w:customStyle="1" w:styleId="16">
    <w:name w:val="列出段落1"/>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
<Relationship Id="rId1" Target="styles.xml" Type="http://schemas.openxmlformats.org/officeDocument/2006/relationships/styles"/>
<Relationship Id="rId10" Target="numbering.xml" Type="http://schemas.openxmlformats.org/officeDocument/2006/relationships/numbering"/>
<Relationship Id="rId11" Target="fontTable.xml" Type="http://schemas.openxmlformats.org/officeDocument/2006/relationships/fontTable"/>
<Relationship Id="rId2" Target="settings.xml" Type="http://schemas.openxmlformats.org/officeDocument/2006/relationships/settings"/>
<Relationship Id="rId3" Target="header1.xml" Type="http://schemas.openxmlformats.org/officeDocument/2006/relationships/header"/>
<Relationship Id="rId4" Target="header2.xml" Type="http://schemas.openxmlformats.org/officeDocument/2006/relationships/header"/>
<Relationship Id="rId5" Target="footer1.xml" Type="http://schemas.openxmlformats.org/officeDocument/2006/relationships/footer"/>
<Relationship Id="rId6" Target="footer2.xml" Type="http://schemas.openxmlformats.org/officeDocument/2006/relationships/footer"/>
<Relationship Id="rId7" Target="header3.xml" Type="http://schemas.openxmlformats.org/officeDocument/2006/relationships/header"/>
<Relationship Id="rId8" Target="footer3.xml" Type="http://schemas.openxmlformats.org/officeDocument/2006/relationships/footer"/>
<Relationship Id="rId9" Target="theme/theme1.xml" Type="http://schemas.openxmlformats.org/officeDocument/2006/relationships/them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czj</Company>
  <Pages>3</Pages>
  <Words>270</Words>
  <Characters>780</Characters>
  <Lines>6</Lines>
  <Paragraphs>1</Paragraphs>
  <TotalTime>5</TotalTime>
  <ScaleCrop>false</ScaleCrop>
  <LinksUpToDate>false</LinksUpToDate>
  <CharactersWithSpaces>780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2020-12-31T06:58:00Z</dcterms:created>
  <dc:creator>傅海英</dc:creator>
  <cp:lastModifiedBy>木木三</cp:lastModifiedBy>
  <cp:lastPrinted>2019-06-21T02:10:00Z</cp:lastPrinted>
  <dcterms:modified xsi:type="dcterms:W3CDTF">2026-02-27T08:35:46Z</dcterms:modified>
  <cp:revision>7</cp:revision>
  <dc:title>关于进行本市部门整体支出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739EEDB2ECE141DEAF0C3D87D58590AD_13</vt:lpwstr>
  </property>
  <property fmtid="{D5CDD505-2E9C-101B-9397-08002B2CF9AE}" pid="4" name="KSOTemplateDocerSaveRecord">
    <vt:lpwstr>eyJoZGlkIjoiMmVmMTQ4NTZkNTIwMmU5ZDBhYTZhYjI1NWVjNGI1Y2IiLCJ1c2VySWQiOiIyMjg1MzQ1OTUifQ==</vt:lpwstr>
  </property>
</Properties>
</file>