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专项培训费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苏州市知识产权保护中心（苏州市专利代办处）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专项培训费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培训出勤率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培训完成及时率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对培训人员综合素质的改善或提升程度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66.16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为全面提升我单位干部职工的综合素质和能力，锻造一支适应新时代知识产权保护工作需要的高素质专业化队伍，需加强干部培训工作。本项目资金用于本单位干部培训工作，严格按照培训费有关标准执行。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全面提升我单位干部职工的综合素质和能力，锻造一支适应新时代知识产权保护工作需要的高素质专业化队伍。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开展培训1期，培训出勤率、完成率达标，全面提升我单位干部职工的综合素质和能力。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该项目预算执行率为100%。通过该项目实施，较好地完成干部培训，提高了干部职工的综合素质和能力。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该项目较好地完成干部培训，培训出勤率、完成率达标，提高了干部职工的综合素质和能力。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在培训时间、培训人数的考虑上缺乏前瞻性。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在培训时间、培训人数的确定上，还要加强统筹谋划，制订计划要更加科学合理，提高前瞻性。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