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制服购置费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8.19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-0.46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7.73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7.73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7.73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8.19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7.73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制服购置费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8.19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7.73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制服采购数量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&gt;=21套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配发制服合格率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制服购置及时率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对保障执法人员开展执法活动的程度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我单位受市市场监管局委托，承担专利侵权纠纷行政裁决工作，相关执法人员需配置市场监管执法制式服装。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我单位根据实际执法人员数量情况，按标准制作执法服装。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我单位根据实际执法人员数量情况，按标准制作执法服装。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本项目预算执行率100%，满足采购数量要求，配发制服合格率、及时率达标，满足执法人员首次配发和换发需要，保障单位执法工作正常开展。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满足执法人员首次配发和换发需要，保障单位执法工作正常开展。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执法制式服装采购预算与实际采购合同金额存在较小偏差。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下一步将提前与供应商确认采购标准。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