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专项业务用水用电用气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苏州市知识产权保护中心（苏州市专利代办处）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水电费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水电保障面积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&gt;=4715平方米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4715平方米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水电保障覆盖率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水电支付及时率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满足单位正常运转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根据年度内财政资金的安排，用于办公场所水电费支出。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我单位根据实际情况完成年度水电费的支付，保障单位的正常运转。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我单位根据实际情况完成年度水电费的支付，保障单位的正常运转。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该项目预算执行率为100%，水电费支付及时。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满足了职工办公场所用水用电的需求，保障保护中心办公场所正常运转。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