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苏州市食品检验检测中心（苏州市食品安全快检中心）</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2025年，是全面学习贯彻党的二十大精神和二十届三中、四中全会精神，决胜“十四五”，谋篇“十五五”的关键之年。今年，苏州市食品检验检测中心（以下简称市食检中心）紧扣市局重大工作任务、改革创新项目、民生项目，认真落实市局各项工作部署，围绕年度发展目标，持续对标先进、争创一流，踔厉奋发、笃行实干，在改革中育新机、闯新路，全力推动食品检测事业再越新台阶。下面就市食检中心2025年主要工作情况汇报如下： 2025年，市食检中心以机构改革为契机，强化内部管理和制度建设，聚焦技术支撑能力提升，以久久为功的决心、坚定不移的信心、精耕细作的恒心守护苏城百姓的饮食安全。（一）数据先行一步，护航舌尖安全。2025年，市食检中心全年完成各类实验室检验（法检）、快速检测（快检），相比去年分别增长4.6%及10.2%。通过“快检-实验室检验”联动抽检机制，确认不合格167批次，快检阳性结果及时通报属地监管部门和批发市场，成功拦截阳性货物13288公斤，实现了高效的食用农产品检测-监管联动。在全市范围内共计开展八轮重点农产品风险隐患排查，累计抽检967批次，问题发现率达12.1%，风险预警能力进一步增强。以检促研，市食检中心全年完成科技项目验收1项，新立项省局科研项目1项；完成总局食品基础设施建设方案和江苏省咖啡产品质量检验检测中心前期申报工作，持续做好新技术的储备和开发。（二）能力先行一步，护航重大保障。食品安全行刑衔接联合实验室建设再结硕果。通过组建联合技术攻关团队，创新检验检测技术体系，实现已知非法添加物质精准筛查和未知新型化合物有效识别。全年承接全国各类非法添加筛查和检测335批次，检出阳性样品140批次，检出率42%，涉及减肥、壮阳、降血糖、安眠、降尿酸、消炎镇痛等多类别非法添加。除已知添加物外，还检出了29批次伐地那非类似物、噻嗪类似物等多类新型非法添加物，线索已移交至相关部门。相关自建方法顺利通过新疆自治区市场监管局组织的执法检验方法专家评审并提交国家总局。此外，市食检中心全年配合开展冻虾仁专项抽检、注水牛肉夜间突击检查等应急联合行动14次，并承担了“苏超”赛事、江南文化艺术节等25场次重大活动与重要会议的食品安全保障任务。（三）责任先行一步，护航社会公益。以二十届四中全会精神学习贯彻为主线，以《习近平关于加强党的作风建设论述摘编》《习近平谈治国理政》等学习为轴，开展5次专题学习会、2次书记讲党课、8次“微论坛”；穿插开展2次集体谈心谈话、2次警示教育、3次廉政教育；围绕国家安全观、爱国主义教育、党风廉政建设、家风家训传承、法治建设等主题，组织5次“走聚看”沉浸式主题党日，实现理论学习从“有形覆盖”到“有效覆盖”。立足岗位职责和专业优势，积极投身融合发展先锋行动。市食检中心全年完成13家食品生产企业、10家快检实验室的专项技术帮扶和指导；完成31家基层快检室标准化建设；开展4次“小小食安官”研学活动；拍摄4期“苏小检食验室”科普视频；开展6次食品安全“进社区、进校园、进商场”科普宣传；累计完成76期3058批次合格备份样品捐赠。每一次公益行动，都让技术温度触手可及。</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根据《市委编办关于调整市市场监督管理局下属事业单位机构编制事项的批复》（苏编办复〔2021〕19号）精神，苏州市食品检验检测中心现为正科级，分类定性为公益二类，经费渠道为差额补贴，核定使用事业编制29名，单位领导职数为：主任1名（正科），副主任3名（副科）。现结合本单位工作职责，设置内设机构5个，中层领导职数11名，其中中层正职5名，中层副职6名。中心主要职能为：（一）开展食品（食用农产品）安全监督检验、快速检测和风险监测工作；受理食品委托检验检测工作。（二）开展食品检验检测技术、安全标准的研究和应用。（三）开展食品安全监测预警、行政执法的技术支持；协助开展生产许可技术审评工作。（四）开展食品安全检验检测、质量管理的培训和咨询工作。</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预算执行率93.56%，绩效目标完成率100%，绩效指标完成较好，各项均按期完成。</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2025年度整体支出绩效中物业管理费预算项目执行率较低，影响了单位整体预算的执行率。本项目用于我单位本部相城区协兴街6号NQI基地办公场所内部及外围物业管理服务费用的支付。项目所述物业管理服务于2024年由苏州市计量院牵头，苏州市食检中心、苏州市质检院配合招标采购，合同期限一年，2025年9月30日结束。一方面，由于事业单位机构改革，苏州市计量院和苏州市质检院搬出NQI基地，新成立的苏检集团及各子公司的人员、职能等还在融合，物业采购项目的内容发生较大变化。鉴于新一期物业服务项目的人员配置及服务内容迟迟无法明确，经上级要求，原物业服务合同结束后，推迟新一期物业服务项目的政采计划，26年度的物业服务于2026年1月完成招标，因此原计划用于新一期物业项目的预算，未能在2025年度完成支付。另一方面，根据项目预算评审的结果，项目整体预算费用较预算确定时进行了较大缩减。由于上述两个政策原因，物业管理费预算项目绩效结果出现较大偏差。后续市食检中心将持续关注政策变化，加强各物业使用单位之间的沟通，有效利用联席会议举措，逐步形成更高效的工作机制，推进项目的有序开展。</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公开</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3792.95</w:t>
            </w:r>
          </w:p>
        </w:tc>
        <w:tc>
          <w:tcPr>
            <w:tcW w:w="2268" w:type="dxa"/>
            <w:vAlign w:val="center"/>
          </w:tcPr>
          <w:p>
            <w:pPr>
              <w:widowControl/>
              <w:jc w:val="center"/>
              <w:rPr>
                <w:rFonts w:ascii="宋体" w:hAnsi="宋体" w:cs="宋体"/>
                <w:sz w:val="24"/>
              </w:rPr>
            </w:pPr>
            <w:r>
              <w:rPr>
                <w:rFonts w:hint="eastAsia" w:ascii="宋体" w:hAnsi="宋体" w:cs="宋体"/>
                <w:sz w:val="24"/>
              </w:rPr>
              <w:t>105.12</w:t>
            </w:r>
          </w:p>
        </w:tc>
        <w:tc>
          <w:tcPr>
            <w:tcW w:w="2268" w:type="dxa"/>
            <w:vAlign w:val="center"/>
          </w:tcPr>
          <w:p>
            <w:pPr>
              <w:widowControl/>
              <w:jc w:val="center"/>
              <w:rPr>
                <w:rFonts w:ascii="宋体" w:hAnsi="宋体" w:cs="宋体"/>
                <w:sz w:val="24"/>
              </w:rPr>
            </w:pPr>
            <w:r>
              <w:rPr>
                <w:rFonts w:hint="eastAsia" w:ascii="宋体" w:hAnsi="宋体" w:cs="宋体"/>
                <w:sz w:val="24"/>
              </w:rPr>
              <w:t>3898.07</w:t>
            </w:r>
          </w:p>
        </w:tc>
        <w:tc>
          <w:tcPr>
            <w:tcW w:w="2268" w:type="dxa"/>
            <w:vAlign w:val="center"/>
          </w:tcPr>
          <w:p>
            <w:pPr>
              <w:widowControl/>
              <w:jc w:val="center"/>
              <w:rPr>
                <w:rFonts w:ascii="宋体" w:hAnsi="宋体" w:cs="宋体"/>
                <w:sz w:val="24"/>
              </w:rPr>
            </w:pPr>
            <w:r>
              <w:rPr>
                <w:rFonts w:hint="eastAsia" w:ascii="宋体" w:hAnsi="宋体" w:cs="宋体"/>
                <w:sz w:val="24"/>
              </w:rPr>
              <w:t>3646.97</w:t>
            </w:r>
          </w:p>
        </w:tc>
        <w:tc>
          <w:tcPr>
            <w:tcW w:w="2268" w:type="dxa"/>
            <w:vAlign w:val="center"/>
          </w:tcPr>
          <w:p>
            <w:pPr>
              <w:widowControl/>
              <w:jc w:val="center"/>
              <w:rPr>
                <w:rFonts w:ascii="宋体" w:hAnsi="宋体" w:cs="宋体"/>
                <w:sz w:val="24"/>
              </w:rPr>
            </w:pPr>
            <w:r>
              <w:rPr>
                <w:rFonts w:hint="eastAsia" w:ascii="宋体" w:hAnsi="宋体" w:cs="宋体"/>
                <w:sz w:val="24"/>
              </w:rPr>
              <w:t>93.56%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1400.58</w:t>
            </w:r>
          </w:p>
        </w:tc>
        <w:tc>
          <w:tcPr>
            <w:tcW w:w="2268" w:type="dxa"/>
            <w:vAlign w:val="center"/>
          </w:tcPr>
          <w:p>
            <w:pPr>
              <w:widowControl/>
              <w:jc w:val="center"/>
              <w:rPr>
                <w:rFonts w:ascii="宋体" w:hAnsi="宋体" w:cs="宋体"/>
                <w:sz w:val="24"/>
              </w:rPr>
            </w:pPr>
            <w:r>
              <w:rPr>
                <w:rFonts w:hint="eastAsia" w:ascii="宋体" w:hAnsi="宋体" w:cs="宋体"/>
                <w:sz w:val="24"/>
              </w:rPr>
              <w:t>118.87</w:t>
            </w:r>
          </w:p>
        </w:tc>
        <w:tc>
          <w:tcPr>
            <w:tcW w:w="2268" w:type="dxa"/>
            <w:vAlign w:val="center"/>
          </w:tcPr>
          <w:p>
            <w:pPr>
              <w:widowControl/>
              <w:jc w:val="center"/>
              <w:rPr>
                <w:rFonts w:ascii="宋体" w:hAnsi="宋体" w:cs="宋体"/>
                <w:sz w:val="24"/>
              </w:rPr>
            </w:pPr>
            <w:r>
              <w:rPr>
                <w:rFonts w:hint="eastAsia" w:ascii="宋体" w:hAnsi="宋体" w:cs="宋体"/>
                <w:sz w:val="24"/>
              </w:rPr>
              <w:t>1519.45</w:t>
            </w:r>
          </w:p>
        </w:tc>
        <w:tc>
          <w:tcPr>
            <w:tcW w:w="2268" w:type="dxa"/>
            <w:vAlign w:val="center"/>
          </w:tcPr>
          <w:p>
            <w:pPr>
              <w:widowControl/>
              <w:jc w:val="center"/>
              <w:rPr>
                <w:rFonts w:ascii="宋体" w:hAnsi="宋体" w:cs="宋体"/>
                <w:sz w:val="24"/>
              </w:rPr>
            </w:pPr>
            <w:r>
              <w:rPr>
                <w:rFonts w:hint="eastAsia" w:ascii="宋体" w:hAnsi="宋体" w:cs="宋体"/>
                <w:sz w:val="24"/>
              </w:rPr>
              <w:t>1466.7</w:t>
            </w:r>
          </w:p>
        </w:tc>
        <w:tc>
          <w:tcPr>
            <w:tcW w:w="2268" w:type="dxa"/>
            <w:vAlign w:val="center"/>
          </w:tcPr>
          <w:p>
            <w:pPr>
              <w:widowControl/>
              <w:jc w:val="center"/>
              <w:rPr>
                <w:rFonts w:ascii="宋体" w:hAnsi="宋体" w:cs="宋体"/>
                <w:sz w:val="24"/>
              </w:rPr>
            </w:pPr>
            <w:r>
              <w:rPr>
                <w:rFonts w:hint="eastAsia" w:ascii="宋体" w:hAnsi="宋体" w:cs="宋体"/>
                <w:sz w:val="24"/>
              </w:rPr>
              <w:t>96.53%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2392.37</w:t>
            </w:r>
          </w:p>
        </w:tc>
        <w:tc>
          <w:tcPr>
            <w:tcW w:w="2268" w:type="dxa"/>
            <w:vAlign w:val="center"/>
          </w:tcPr>
          <w:p>
            <w:pPr>
              <w:widowControl/>
              <w:jc w:val="center"/>
              <w:rPr>
                <w:rFonts w:ascii="宋体" w:hAnsi="宋体" w:cs="宋体"/>
                <w:sz w:val="24"/>
              </w:rPr>
            </w:pPr>
            <w:r>
              <w:rPr>
                <w:rFonts w:hint="eastAsia" w:ascii="宋体" w:hAnsi="宋体" w:cs="宋体"/>
                <w:sz w:val="24"/>
              </w:rPr>
              <w:t>-13.75</w:t>
            </w:r>
          </w:p>
        </w:tc>
        <w:tc>
          <w:tcPr>
            <w:tcW w:w="2268" w:type="dxa"/>
            <w:vAlign w:val="center"/>
          </w:tcPr>
          <w:p>
            <w:pPr>
              <w:widowControl/>
              <w:jc w:val="center"/>
              <w:rPr>
                <w:rFonts w:ascii="宋体" w:hAnsi="宋体" w:cs="宋体"/>
                <w:sz w:val="24"/>
              </w:rPr>
            </w:pPr>
            <w:r>
              <w:rPr>
                <w:rFonts w:hint="eastAsia" w:ascii="宋体" w:hAnsi="宋体" w:cs="宋体"/>
                <w:sz w:val="24"/>
              </w:rPr>
              <w:t>2378.62</w:t>
            </w:r>
          </w:p>
        </w:tc>
        <w:tc>
          <w:tcPr>
            <w:tcW w:w="2268" w:type="dxa"/>
            <w:vAlign w:val="center"/>
          </w:tcPr>
          <w:p>
            <w:pPr>
              <w:widowControl/>
              <w:jc w:val="center"/>
              <w:rPr>
                <w:rFonts w:ascii="宋体" w:hAnsi="宋体" w:cs="宋体"/>
                <w:sz w:val="24"/>
              </w:rPr>
            </w:pPr>
            <w:r>
              <w:rPr>
                <w:rFonts w:hint="eastAsia" w:ascii="宋体" w:hAnsi="宋体" w:cs="宋体"/>
                <w:sz w:val="24"/>
              </w:rPr>
              <w:t>2180.27</w:t>
            </w:r>
          </w:p>
        </w:tc>
        <w:tc>
          <w:tcPr>
            <w:tcW w:w="2268" w:type="dxa"/>
            <w:vAlign w:val="center"/>
          </w:tcPr>
          <w:p>
            <w:pPr>
              <w:widowControl/>
              <w:jc w:val="center"/>
              <w:rPr>
                <w:rFonts w:ascii="宋体" w:hAnsi="宋体" w:cs="宋体"/>
                <w:sz w:val="24"/>
              </w:rPr>
            </w:pPr>
            <w:r>
              <w:rPr>
                <w:rFonts w:hint="eastAsia" w:ascii="宋体" w:hAnsi="宋体" w:cs="宋体"/>
                <w:sz w:val="24"/>
              </w:rPr>
              <w:t>91.66%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吴中农副产品分中心运营经费</w:t>
            </w:r>
          </w:p>
        </w:tc>
        <w:tc>
          <w:tcPr>
            <w:tcW w:w="2268" w:type="dxa"/>
            <w:vAlign w:val="center"/>
          </w:tcPr>
          <w:p>
            <w:pPr>
              <w:widowControl/>
              <w:jc w:val="center"/>
              <w:rPr>
                <w:rFonts w:ascii="宋体" w:hAnsi="宋体" w:cs="宋体"/>
                <w:kern w:val="0"/>
                <w:sz w:val="24"/>
              </w:rPr>
            </w:pPr>
            <w:r>
              <w:rPr>
                <w:rFonts w:hint="eastAsia" w:ascii="宋体" w:hAnsi="宋体" w:cs="宋体"/>
                <w:sz w:val="24"/>
              </w:rPr>
              <w:t>794.32</w:t>
            </w:r>
          </w:p>
        </w:tc>
        <w:tc>
          <w:tcPr>
            <w:tcW w:w="2268" w:type="dxa"/>
            <w:vAlign w:val="center"/>
          </w:tcPr>
          <w:p>
            <w:pPr>
              <w:widowControl/>
              <w:jc w:val="center"/>
              <w:rPr>
                <w:rFonts w:ascii="宋体" w:hAnsi="宋体" w:cs="宋体"/>
                <w:sz w:val="24"/>
              </w:rPr>
            </w:pPr>
            <w:r>
              <w:rPr>
                <w:rFonts w:hint="eastAsia" w:ascii="宋体" w:hAnsi="宋体" w:cs="宋体"/>
                <w:sz w:val="24"/>
              </w:rPr>
              <w:t>-26.69</w:t>
            </w:r>
          </w:p>
        </w:tc>
        <w:tc>
          <w:tcPr>
            <w:tcW w:w="2268" w:type="dxa"/>
            <w:vAlign w:val="center"/>
          </w:tcPr>
          <w:p>
            <w:pPr>
              <w:widowControl/>
              <w:jc w:val="center"/>
              <w:rPr>
                <w:rFonts w:ascii="宋体" w:hAnsi="宋体" w:cs="宋体"/>
                <w:sz w:val="24"/>
              </w:rPr>
            </w:pPr>
            <w:r>
              <w:rPr>
                <w:rFonts w:hint="eastAsia" w:ascii="宋体" w:hAnsi="宋体" w:cs="宋体"/>
                <w:sz w:val="24"/>
              </w:rPr>
              <w:t>767.63</w:t>
            </w:r>
          </w:p>
        </w:tc>
        <w:tc>
          <w:tcPr>
            <w:tcW w:w="2268" w:type="dxa"/>
            <w:vAlign w:val="center"/>
          </w:tcPr>
          <w:p>
            <w:pPr>
              <w:widowControl/>
              <w:jc w:val="center"/>
              <w:rPr>
                <w:rFonts w:ascii="宋体" w:hAnsi="宋体" w:cs="宋体"/>
                <w:sz w:val="24"/>
              </w:rPr>
            </w:pPr>
            <w:r>
              <w:rPr>
                <w:rFonts w:hint="eastAsia" w:ascii="宋体" w:hAnsi="宋体" w:cs="宋体"/>
                <w:sz w:val="24"/>
              </w:rPr>
              <w:t>767.63</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专项业务用水用电用气</w:t>
            </w:r>
          </w:p>
        </w:tc>
        <w:tc>
          <w:tcPr>
            <w:tcW w:w="2268" w:type="dxa"/>
            <w:vAlign w:val="center"/>
          </w:tcPr>
          <w:p>
            <w:pPr>
              <w:widowControl/>
              <w:jc w:val="center"/>
              <w:rPr>
                <w:rFonts w:ascii="宋体" w:hAnsi="宋体" w:cs="宋体"/>
                <w:kern w:val="0"/>
                <w:sz w:val="24"/>
              </w:rPr>
            </w:pPr>
            <w:r>
              <w:rPr>
                <w:rFonts w:hint="eastAsia" w:ascii="宋体" w:hAnsi="宋体" w:cs="宋体"/>
                <w:sz w:val="24"/>
              </w:rPr>
              <w:t>138</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138</w:t>
            </w:r>
          </w:p>
        </w:tc>
        <w:tc>
          <w:tcPr>
            <w:tcW w:w="2268" w:type="dxa"/>
            <w:vAlign w:val="center"/>
          </w:tcPr>
          <w:p>
            <w:pPr>
              <w:widowControl/>
              <w:jc w:val="center"/>
              <w:rPr>
                <w:rFonts w:ascii="宋体" w:hAnsi="宋体" w:cs="宋体"/>
                <w:sz w:val="24"/>
              </w:rPr>
            </w:pPr>
            <w:r>
              <w:rPr>
                <w:rFonts w:hint="eastAsia" w:ascii="宋体" w:hAnsi="宋体" w:cs="宋体"/>
                <w:sz w:val="24"/>
              </w:rPr>
              <w:t>138</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专用设备</w:t>
            </w:r>
          </w:p>
        </w:tc>
        <w:tc>
          <w:tcPr>
            <w:tcW w:w="2268" w:type="dxa"/>
            <w:vAlign w:val="center"/>
          </w:tcPr>
          <w:p>
            <w:pPr>
              <w:widowControl/>
              <w:jc w:val="center"/>
              <w:rPr>
                <w:rFonts w:ascii="宋体" w:hAnsi="宋体" w:cs="宋体"/>
                <w:kern w:val="0"/>
                <w:sz w:val="24"/>
              </w:rPr>
            </w:pPr>
            <w:r>
              <w:rPr>
                <w:rFonts w:hint="eastAsia" w:ascii="宋体" w:hAnsi="宋体" w:cs="宋体"/>
                <w:sz w:val="24"/>
              </w:rPr>
              <w:t>273</w:t>
            </w:r>
          </w:p>
        </w:tc>
        <w:tc>
          <w:tcPr>
            <w:tcW w:w="2268" w:type="dxa"/>
            <w:vAlign w:val="center"/>
          </w:tcPr>
          <w:p>
            <w:pPr>
              <w:widowControl/>
              <w:jc w:val="center"/>
              <w:rPr>
                <w:rFonts w:ascii="宋体" w:hAnsi="宋体" w:cs="宋体"/>
                <w:sz w:val="24"/>
              </w:rPr>
            </w:pPr>
            <w:r>
              <w:rPr>
                <w:rFonts w:hint="eastAsia" w:ascii="宋体" w:hAnsi="宋体" w:cs="宋体"/>
                <w:sz w:val="24"/>
              </w:rPr>
              <w:t>-1.24</w:t>
            </w:r>
          </w:p>
        </w:tc>
        <w:tc>
          <w:tcPr>
            <w:tcW w:w="2268" w:type="dxa"/>
            <w:vAlign w:val="center"/>
          </w:tcPr>
          <w:p>
            <w:pPr>
              <w:widowControl/>
              <w:jc w:val="center"/>
              <w:rPr>
                <w:rFonts w:ascii="宋体" w:hAnsi="宋体" w:cs="宋体"/>
                <w:sz w:val="24"/>
              </w:rPr>
            </w:pPr>
            <w:r>
              <w:rPr>
                <w:rFonts w:hint="eastAsia" w:ascii="宋体" w:hAnsi="宋体" w:cs="宋体"/>
                <w:sz w:val="24"/>
              </w:rPr>
              <w:t>271.76</w:t>
            </w:r>
          </w:p>
        </w:tc>
        <w:tc>
          <w:tcPr>
            <w:tcW w:w="2268" w:type="dxa"/>
            <w:vAlign w:val="center"/>
          </w:tcPr>
          <w:p>
            <w:pPr>
              <w:widowControl/>
              <w:jc w:val="center"/>
              <w:rPr>
                <w:rFonts w:ascii="宋体" w:hAnsi="宋体" w:cs="宋体"/>
                <w:sz w:val="24"/>
              </w:rPr>
            </w:pPr>
            <w:r>
              <w:rPr>
                <w:rFonts w:hint="eastAsia" w:ascii="宋体" w:hAnsi="宋体" w:cs="宋体"/>
                <w:sz w:val="24"/>
              </w:rPr>
              <w:t>271.76</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经营成本及税费</w:t>
            </w:r>
          </w:p>
        </w:tc>
        <w:tc>
          <w:tcPr>
            <w:tcW w:w="2268" w:type="dxa"/>
            <w:vAlign w:val="center"/>
          </w:tcPr>
          <w:p>
            <w:pPr>
              <w:widowControl/>
              <w:jc w:val="center"/>
              <w:rPr>
                <w:rFonts w:ascii="宋体" w:hAnsi="宋体" w:cs="宋体"/>
                <w:kern w:val="0"/>
                <w:sz w:val="24"/>
              </w:rPr>
            </w:pPr>
            <w:r>
              <w:rPr>
                <w:rFonts w:hint="eastAsia" w:ascii="宋体" w:hAnsi="宋体" w:cs="宋体"/>
                <w:sz w:val="24"/>
              </w:rPr>
              <w:t>906.65</w:t>
            </w:r>
          </w:p>
        </w:tc>
        <w:tc>
          <w:tcPr>
            <w:tcW w:w="2268" w:type="dxa"/>
            <w:vAlign w:val="center"/>
          </w:tcPr>
          <w:p>
            <w:pPr>
              <w:widowControl/>
              <w:jc w:val="center"/>
              <w:rPr>
                <w:rFonts w:ascii="宋体" w:hAnsi="宋体" w:cs="宋体"/>
                <w:sz w:val="24"/>
              </w:rPr>
            </w:pPr>
            <w:r>
              <w:rPr>
                <w:rFonts w:hint="eastAsia" w:ascii="宋体" w:hAnsi="宋体" w:cs="宋体"/>
                <w:sz w:val="24"/>
              </w:rPr>
              <w:t>-11.62</w:t>
            </w:r>
          </w:p>
        </w:tc>
        <w:tc>
          <w:tcPr>
            <w:tcW w:w="2268" w:type="dxa"/>
            <w:vAlign w:val="center"/>
          </w:tcPr>
          <w:p>
            <w:pPr>
              <w:widowControl/>
              <w:jc w:val="center"/>
              <w:rPr>
                <w:rFonts w:ascii="宋体" w:hAnsi="宋体" w:cs="宋体"/>
                <w:sz w:val="24"/>
              </w:rPr>
            </w:pPr>
            <w:r>
              <w:rPr>
                <w:rFonts w:hint="eastAsia" w:ascii="宋体" w:hAnsi="宋体" w:cs="宋体"/>
                <w:sz w:val="24"/>
              </w:rPr>
              <w:t>895.03</w:t>
            </w:r>
          </w:p>
        </w:tc>
        <w:tc>
          <w:tcPr>
            <w:tcW w:w="2268" w:type="dxa"/>
            <w:vAlign w:val="center"/>
          </w:tcPr>
          <w:p>
            <w:pPr>
              <w:widowControl/>
              <w:jc w:val="center"/>
              <w:rPr>
                <w:rFonts w:ascii="宋体" w:hAnsi="宋体" w:cs="宋体"/>
                <w:sz w:val="24"/>
              </w:rPr>
            </w:pPr>
            <w:r>
              <w:rPr>
                <w:rFonts w:hint="eastAsia" w:ascii="宋体" w:hAnsi="宋体" w:cs="宋体"/>
                <w:sz w:val="24"/>
              </w:rPr>
              <w:t>797.51</w:t>
            </w:r>
          </w:p>
        </w:tc>
        <w:tc>
          <w:tcPr>
            <w:tcW w:w="2268" w:type="dxa"/>
            <w:vAlign w:val="center"/>
          </w:tcPr>
          <w:p>
            <w:pPr>
              <w:widowControl/>
              <w:jc w:val="center"/>
              <w:rPr>
                <w:rFonts w:ascii="宋体" w:hAnsi="宋体" w:cs="宋体"/>
                <w:sz w:val="24"/>
              </w:rPr>
            </w:pPr>
            <w:r>
              <w:rPr>
                <w:rFonts w:hint="eastAsia" w:ascii="宋体" w:hAnsi="宋体" w:cs="宋体"/>
                <w:sz w:val="24"/>
              </w:rPr>
              <w:t>89.10%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房屋维修维护费</w:t>
            </w:r>
          </w:p>
        </w:tc>
        <w:tc>
          <w:tcPr>
            <w:tcW w:w="2268" w:type="dxa"/>
            <w:vAlign w:val="center"/>
          </w:tcPr>
          <w:p>
            <w:pPr>
              <w:widowControl/>
              <w:jc w:val="center"/>
              <w:rPr>
                <w:rFonts w:ascii="宋体" w:hAnsi="宋体" w:cs="宋体"/>
                <w:kern w:val="0"/>
                <w:sz w:val="24"/>
              </w:rPr>
            </w:pPr>
            <w:r>
              <w:rPr>
                <w:rFonts w:hint="eastAsia" w:ascii="宋体" w:hAnsi="宋体" w:cs="宋体"/>
                <w:sz w:val="24"/>
              </w:rPr>
              <w:t>20</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20</w:t>
            </w:r>
          </w:p>
        </w:tc>
        <w:tc>
          <w:tcPr>
            <w:tcW w:w="2268" w:type="dxa"/>
            <w:vAlign w:val="center"/>
          </w:tcPr>
          <w:p>
            <w:pPr>
              <w:widowControl/>
              <w:jc w:val="center"/>
              <w:rPr>
                <w:rFonts w:ascii="宋体" w:hAnsi="宋体" w:cs="宋体"/>
                <w:sz w:val="24"/>
              </w:rPr>
            </w:pPr>
            <w:r>
              <w:rPr>
                <w:rFonts w:hint="eastAsia" w:ascii="宋体" w:hAnsi="宋体" w:cs="宋体"/>
                <w:sz w:val="24"/>
              </w:rPr>
              <w:t>20</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办公设备购置</w:t>
            </w:r>
          </w:p>
        </w:tc>
        <w:tc>
          <w:tcPr>
            <w:tcW w:w="2268" w:type="dxa"/>
            <w:vAlign w:val="center"/>
          </w:tcPr>
          <w:p>
            <w:pPr>
              <w:widowControl/>
              <w:jc w:val="center"/>
              <w:rPr>
                <w:rFonts w:ascii="宋体" w:hAnsi="宋体" w:cs="宋体"/>
                <w:kern w:val="0"/>
                <w:sz w:val="24"/>
              </w:rPr>
            </w:pPr>
            <w:r>
              <w:rPr>
                <w:rFonts w:hint="eastAsia" w:ascii="宋体" w:hAnsi="宋体" w:cs="宋体"/>
                <w:sz w:val="24"/>
              </w:rPr>
              <w:t>5</w:t>
            </w:r>
          </w:p>
        </w:tc>
        <w:tc>
          <w:tcPr>
            <w:tcW w:w="2268" w:type="dxa"/>
            <w:vAlign w:val="center"/>
          </w:tcPr>
          <w:p>
            <w:pPr>
              <w:widowControl/>
              <w:jc w:val="center"/>
              <w:rPr>
                <w:rFonts w:ascii="宋体" w:hAnsi="宋体" w:cs="宋体"/>
                <w:sz w:val="24"/>
              </w:rPr>
            </w:pPr>
            <w:r>
              <w:rPr>
                <w:rFonts w:hint="eastAsia" w:ascii="宋体" w:hAnsi="宋体" w:cs="宋体"/>
                <w:sz w:val="24"/>
              </w:rPr>
              <w:t>-1.46</w:t>
            </w:r>
          </w:p>
        </w:tc>
        <w:tc>
          <w:tcPr>
            <w:tcW w:w="2268" w:type="dxa"/>
            <w:vAlign w:val="center"/>
          </w:tcPr>
          <w:p>
            <w:pPr>
              <w:widowControl/>
              <w:jc w:val="center"/>
              <w:rPr>
                <w:rFonts w:ascii="宋体" w:hAnsi="宋体" w:cs="宋体"/>
                <w:sz w:val="24"/>
              </w:rPr>
            </w:pPr>
            <w:r>
              <w:rPr>
                <w:rFonts w:hint="eastAsia" w:ascii="宋体" w:hAnsi="宋体" w:cs="宋体"/>
                <w:sz w:val="24"/>
              </w:rPr>
              <w:t>3.54</w:t>
            </w:r>
          </w:p>
        </w:tc>
        <w:tc>
          <w:tcPr>
            <w:tcW w:w="2268" w:type="dxa"/>
            <w:vAlign w:val="center"/>
          </w:tcPr>
          <w:p>
            <w:pPr>
              <w:widowControl/>
              <w:jc w:val="center"/>
              <w:rPr>
                <w:rFonts w:ascii="宋体" w:hAnsi="宋体" w:cs="宋体"/>
                <w:sz w:val="24"/>
              </w:rPr>
            </w:pPr>
            <w:r>
              <w:rPr>
                <w:rFonts w:hint="eastAsia" w:ascii="宋体" w:hAnsi="宋体" w:cs="宋体"/>
                <w:sz w:val="24"/>
              </w:rPr>
              <w:t>3.54</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专项培训费</w:t>
            </w:r>
          </w:p>
        </w:tc>
        <w:tc>
          <w:tcPr>
            <w:tcW w:w="2268" w:type="dxa"/>
            <w:vAlign w:val="center"/>
          </w:tcPr>
          <w:p>
            <w:pPr>
              <w:widowControl/>
              <w:jc w:val="center"/>
              <w:rPr>
                <w:rFonts w:ascii="宋体" w:hAnsi="宋体" w:cs="宋体"/>
                <w:kern w:val="0"/>
                <w:sz w:val="24"/>
              </w:rPr>
            </w:pPr>
            <w:r>
              <w:rPr>
                <w:rFonts w:hint="eastAsia" w:ascii="宋体" w:hAnsi="宋体" w:cs="宋体"/>
                <w:sz w:val="24"/>
              </w:rPr>
              <w:t>10.4</w:t>
            </w:r>
          </w:p>
        </w:tc>
        <w:tc>
          <w:tcPr>
            <w:tcW w:w="2268" w:type="dxa"/>
            <w:vAlign w:val="center"/>
          </w:tcPr>
          <w:p>
            <w:pPr>
              <w:widowControl/>
              <w:jc w:val="center"/>
              <w:rPr>
                <w:rFonts w:ascii="宋体" w:hAnsi="宋体" w:cs="宋体"/>
                <w:sz w:val="24"/>
              </w:rPr>
            </w:pPr>
            <w:r>
              <w:rPr>
                <w:rFonts w:hint="eastAsia" w:ascii="宋体" w:hAnsi="宋体" w:cs="宋体"/>
                <w:sz w:val="24"/>
              </w:rPr>
              <w:t>-0.08</w:t>
            </w:r>
          </w:p>
        </w:tc>
        <w:tc>
          <w:tcPr>
            <w:tcW w:w="2268" w:type="dxa"/>
            <w:vAlign w:val="center"/>
          </w:tcPr>
          <w:p>
            <w:pPr>
              <w:widowControl/>
              <w:jc w:val="center"/>
              <w:rPr>
                <w:rFonts w:ascii="宋体" w:hAnsi="宋体" w:cs="宋体"/>
                <w:sz w:val="24"/>
              </w:rPr>
            </w:pPr>
            <w:r>
              <w:rPr>
                <w:rFonts w:hint="eastAsia" w:ascii="宋体" w:hAnsi="宋体" w:cs="宋体"/>
                <w:sz w:val="24"/>
              </w:rPr>
              <w:t>10.32</w:t>
            </w:r>
          </w:p>
        </w:tc>
        <w:tc>
          <w:tcPr>
            <w:tcW w:w="2268" w:type="dxa"/>
            <w:vAlign w:val="center"/>
          </w:tcPr>
          <w:p>
            <w:pPr>
              <w:widowControl/>
              <w:jc w:val="center"/>
              <w:rPr>
                <w:rFonts w:ascii="宋体" w:hAnsi="宋体" w:cs="宋体"/>
                <w:sz w:val="24"/>
              </w:rPr>
            </w:pPr>
            <w:r>
              <w:rPr>
                <w:rFonts w:hint="eastAsia" w:ascii="宋体" w:hAnsi="宋体" w:cs="宋体"/>
                <w:sz w:val="24"/>
              </w:rPr>
              <w:t>10.32</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pPr>
              <w:widowControl/>
              <w:jc w:val="center"/>
              <w:rPr>
                <w:rFonts w:ascii="宋体" w:hAnsi="宋体" w:cs="宋体"/>
                <w:kern w:val="0"/>
                <w:sz w:val="24"/>
              </w:rPr>
            </w:pPr>
            <w:r>
              <w:rPr>
                <w:rFonts w:hint="eastAsia" w:ascii="宋体" w:hAnsi="宋体" w:cs="宋体"/>
                <w:sz w:val="24"/>
              </w:rPr>
              <w:t>200</w:t>
            </w:r>
          </w:p>
        </w:tc>
        <w:tc>
          <w:tcPr>
            <w:tcW w:w="2268" w:type="dxa"/>
            <w:vAlign w:val="center"/>
          </w:tcPr>
          <w:p>
            <w:pPr>
              <w:widowControl/>
              <w:jc w:val="center"/>
              <w:rPr>
                <w:rFonts w:ascii="宋体" w:hAnsi="宋体" w:cs="宋体"/>
                <w:sz w:val="24"/>
              </w:rPr>
            </w:pPr>
            <w:r>
              <w:rPr>
                <w:rFonts w:hint="eastAsia" w:ascii="宋体" w:hAnsi="宋体" w:cs="宋体"/>
                <w:sz w:val="24"/>
              </w:rPr>
              <w:t>28.41</w:t>
            </w:r>
          </w:p>
        </w:tc>
        <w:tc>
          <w:tcPr>
            <w:tcW w:w="2268" w:type="dxa"/>
            <w:vAlign w:val="center"/>
          </w:tcPr>
          <w:p>
            <w:pPr>
              <w:widowControl/>
              <w:jc w:val="center"/>
              <w:rPr>
                <w:rFonts w:ascii="宋体" w:hAnsi="宋体" w:cs="宋体"/>
                <w:sz w:val="24"/>
              </w:rPr>
            </w:pPr>
            <w:r>
              <w:rPr>
                <w:rFonts w:hint="eastAsia" w:ascii="宋体" w:hAnsi="宋体" w:cs="宋体"/>
                <w:sz w:val="24"/>
              </w:rPr>
              <w:t>228.41</w:t>
            </w:r>
          </w:p>
        </w:tc>
        <w:tc>
          <w:tcPr>
            <w:tcW w:w="2268" w:type="dxa"/>
            <w:vAlign w:val="center"/>
          </w:tcPr>
          <w:p>
            <w:pPr>
              <w:widowControl/>
              <w:jc w:val="center"/>
              <w:rPr>
                <w:rFonts w:ascii="宋体" w:hAnsi="宋体" w:cs="宋体"/>
                <w:sz w:val="24"/>
              </w:rPr>
            </w:pPr>
            <w:r>
              <w:rPr>
                <w:rFonts w:hint="eastAsia" w:ascii="宋体" w:hAnsi="宋体" w:cs="宋体"/>
                <w:sz w:val="24"/>
              </w:rPr>
              <w:t>127.57</w:t>
            </w:r>
          </w:p>
        </w:tc>
        <w:tc>
          <w:tcPr>
            <w:tcW w:w="2268" w:type="dxa"/>
            <w:vAlign w:val="center"/>
          </w:tcPr>
          <w:p>
            <w:pPr>
              <w:widowControl/>
              <w:jc w:val="center"/>
              <w:rPr>
                <w:rFonts w:ascii="宋体" w:hAnsi="宋体" w:cs="宋体"/>
                <w:sz w:val="24"/>
              </w:rPr>
            </w:pPr>
            <w:r>
              <w:rPr>
                <w:rFonts w:hint="eastAsia" w:ascii="宋体" w:hAnsi="宋体" w:cs="宋体"/>
                <w:sz w:val="24"/>
              </w:rPr>
              <w:t>55.85%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科研项目经费</w:t>
            </w:r>
          </w:p>
        </w:tc>
        <w:tc>
          <w:tcPr>
            <w:tcW w:w="2268" w:type="dxa"/>
            <w:vAlign w:val="center"/>
          </w:tcPr>
          <w:p>
            <w:pPr>
              <w:widowControl/>
              <w:jc w:val="center"/>
              <w:rPr>
                <w:rFonts w:ascii="宋体" w:hAnsi="宋体" w:cs="宋体"/>
                <w:kern w:val="0"/>
                <w:sz w:val="24"/>
              </w:rPr>
            </w:pPr>
            <w:r>
              <w:rPr>
                <w:rFonts w:hint="eastAsia" w:ascii="宋体" w:hAnsi="宋体" w:cs="宋体"/>
                <w:sz w:val="24"/>
              </w:rPr>
              <w:t>20</w:t>
            </w:r>
          </w:p>
        </w:tc>
        <w:tc>
          <w:tcPr>
            <w:tcW w:w="2268" w:type="dxa"/>
            <w:vAlign w:val="center"/>
          </w:tcPr>
          <w:p>
            <w:pPr>
              <w:widowControl/>
              <w:jc w:val="center"/>
              <w:rPr>
                <w:rFonts w:ascii="宋体" w:hAnsi="宋体" w:cs="宋体"/>
                <w:sz w:val="24"/>
              </w:rPr>
            </w:pPr>
            <w:r>
              <w:rPr>
                <w:rFonts w:hint="eastAsia" w:ascii="宋体" w:hAnsi="宋体" w:cs="宋体"/>
                <w:sz w:val="24"/>
              </w:rPr>
              <w:t>-1.01</w:t>
            </w:r>
          </w:p>
        </w:tc>
        <w:tc>
          <w:tcPr>
            <w:tcW w:w="2268" w:type="dxa"/>
            <w:vAlign w:val="center"/>
          </w:tcPr>
          <w:p>
            <w:pPr>
              <w:widowControl/>
              <w:jc w:val="center"/>
              <w:rPr>
                <w:rFonts w:ascii="宋体" w:hAnsi="宋体" w:cs="宋体"/>
                <w:sz w:val="24"/>
              </w:rPr>
            </w:pPr>
            <w:r>
              <w:rPr>
                <w:rFonts w:hint="eastAsia" w:ascii="宋体" w:hAnsi="宋体" w:cs="宋体"/>
                <w:sz w:val="24"/>
              </w:rPr>
              <w:t>18.99</w:t>
            </w:r>
          </w:p>
        </w:tc>
        <w:tc>
          <w:tcPr>
            <w:tcW w:w="2268" w:type="dxa"/>
            <w:vAlign w:val="center"/>
          </w:tcPr>
          <w:p>
            <w:pPr>
              <w:widowControl/>
              <w:jc w:val="center"/>
              <w:rPr>
                <w:rFonts w:ascii="宋体" w:hAnsi="宋体" w:cs="宋体"/>
                <w:sz w:val="24"/>
              </w:rPr>
            </w:pPr>
            <w:r>
              <w:rPr>
                <w:rFonts w:hint="eastAsia" w:ascii="宋体" w:hAnsi="宋体" w:cs="宋体"/>
                <w:sz w:val="24"/>
              </w:rPr>
              <w:t>18.99</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专项宣传广告费</w:t>
            </w:r>
          </w:p>
        </w:tc>
        <w:tc>
          <w:tcPr>
            <w:tcW w:w="2268" w:type="dxa"/>
            <w:vAlign w:val="center"/>
          </w:tcPr>
          <w:p>
            <w:pPr>
              <w:widowControl/>
              <w:jc w:val="center"/>
              <w:rPr>
                <w:rFonts w:ascii="宋体" w:hAnsi="宋体" w:cs="宋体"/>
                <w:kern w:val="0"/>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-0.04</w:t>
            </w:r>
          </w:p>
        </w:tc>
        <w:tc>
          <w:tcPr>
            <w:tcW w:w="2268" w:type="dxa"/>
            <w:vAlign w:val="center"/>
          </w:tcPr>
          <w:p>
            <w:pPr>
              <w:widowControl/>
              <w:jc w:val="center"/>
              <w:rPr>
                <w:rFonts w:ascii="宋体" w:hAnsi="宋体" w:cs="宋体"/>
                <w:sz w:val="24"/>
              </w:rPr>
            </w:pPr>
            <w:r>
              <w:rPr>
                <w:rFonts w:hint="eastAsia" w:ascii="宋体" w:hAnsi="宋体" w:cs="宋体"/>
                <w:sz w:val="24"/>
              </w:rPr>
              <w:t>24.96</w:t>
            </w:r>
          </w:p>
        </w:tc>
        <w:tc>
          <w:tcPr>
            <w:tcW w:w="2268" w:type="dxa"/>
            <w:vAlign w:val="center"/>
          </w:tcPr>
          <w:p>
            <w:pPr>
              <w:widowControl/>
              <w:jc w:val="center"/>
              <w:rPr>
                <w:rFonts w:ascii="宋体" w:hAnsi="宋体" w:cs="宋体"/>
                <w:sz w:val="24"/>
              </w:rPr>
            </w:pPr>
            <w:r>
              <w:rPr>
                <w:rFonts w:hint="eastAsia" w:ascii="宋体" w:hAnsi="宋体" w:cs="宋体"/>
                <w:sz w:val="24"/>
              </w:rPr>
              <w:t>24.96</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开展食品（食用农产品）安全监督检验、快速检测和风险监测工作</w:t>
            </w:r>
          </w:p>
        </w:tc>
        <w:tc>
          <w:tcPr>
            <w:tcW w:w="3818" w:type="dxa"/>
            <w:vAlign w:val="center"/>
          </w:tcPr>
          <w:p>
            <w:pPr>
              <w:widowControl/>
              <w:jc w:val="center"/>
              <w:rPr>
                <w:rFonts w:ascii="宋体" w:hAnsi="宋体" w:cs="宋体"/>
                <w:sz w:val="24"/>
              </w:rPr>
            </w:pPr>
            <w:r>
              <w:rPr>
                <w:rFonts w:hint="eastAsia" w:ascii="宋体" w:hAnsi="宋体" w:cs="宋体"/>
                <w:sz w:val="24"/>
              </w:rPr>
              <w:t>承担各级政府食品（含农产品、食品相关产品）监督检验、风险监测和快速检测工作</w:t>
            </w:r>
          </w:p>
        </w:tc>
        <w:tc>
          <w:tcPr>
            <w:tcW w:w="6280" w:type="dxa"/>
            <w:vAlign w:val="center"/>
          </w:tcPr>
          <w:p>
            <w:pPr>
              <w:widowControl/>
              <w:jc w:val="center"/>
              <w:rPr>
                <w:rFonts w:ascii="宋体" w:hAnsi="宋体" w:cs="宋体"/>
                <w:sz w:val="24"/>
              </w:rPr>
            </w:pPr>
            <w:r>
              <w:rPr>
                <w:rFonts w:hint="eastAsia" w:ascii="宋体" w:hAnsi="宋体" w:cs="宋体"/>
                <w:sz w:val="24"/>
              </w:rPr>
              <w:t>2025年，中心完成政府部门委托的监督抽检、专项抽检、应急抽检、你点我检等任务6403批次，快速检测（快检）20232批次。高质量完成苏州市、区级的相关重大活动、赛事食品安全保障工作25次。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开展食品安全监测预警、行政执法的技术支持；协助开展生产许可技术审评工作</w:t>
            </w:r>
          </w:p>
        </w:tc>
        <w:tc>
          <w:tcPr>
            <w:tcW w:w="3818" w:type="dxa"/>
            <w:vAlign w:val="center"/>
          </w:tcPr>
          <w:p>
            <w:pPr>
              <w:widowControl/>
              <w:jc w:val="center"/>
              <w:rPr>
                <w:rFonts w:ascii="宋体" w:hAnsi="宋体" w:cs="宋体"/>
                <w:sz w:val="24"/>
              </w:rPr>
            </w:pPr>
            <w:r>
              <w:rPr>
                <w:rFonts w:hint="eastAsia" w:ascii="宋体" w:hAnsi="宋体" w:cs="宋体"/>
                <w:sz w:val="24"/>
              </w:rPr>
              <w:t>以食品安全行刑衔接联合实验室作为抓手，开展食品安全监测预警工作，协助审批处开展食品生产许可技术审查；开展食品安全科普宣传</w:t>
            </w:r>
          </w:p>
        </w:tc>
        <w:tc>
          <w:tcPr>
            <w:tcW w:w="6280" w:type="dxa"/>
            <w:vAlign w:val="center"/>
          </w:tcPr>
          <w:p>
            <w:pPr>
              <w:widowControl/>
              <w:jc w:val="center"/>
              <w:rPr>
                <w:rFonts w:ascii="宋体" w:hAnsi="宋体" w:cs="宋体"/>
                <w:sz w:val="24"/>
              </w:rPr>
            </w:pPr>
            <w:r>
              <w:rPr>
                <w:rFonts w:hint="eastAsia" w:ascii="宋体" w:hAnsi="宋体" w:cs="宋体"/>
                <w:sz w:val="24"/>
              </w:rPr>
              <w:t>通过组建联合技术攻关团队，创新检验检测技术体系，实现已知非法添加物质精准筛查和未知新型化合物有效识别。全年承接全国各类非法添加筛查和检测335批次，检出阳性样品140批次，检出率42%，涉及减肥、壮阳、降血等多类新型非法添加物，线索已移交至相关部门。相关自建方法顺利通过新疆自治区市场监管局组织的执法检验方法专家评审并提交国家总局。接受企业相关咨询826次，受理企业申请材料642次、参与现场核查97次、许可材料证前审核457家、打印并发放证书591张、打印不予许可53份，发布注销公告8次、各项数据汇总102次，许可资料归档639家、食品生产许可评审费统计10次、长期管理评审专家，统筹沟通协调监管人员、企业，评审专家的现场核查工作。根据要求，对重点联系企业和部分现场核查不通过的10家企业，在取证前实地上门指导（帮扶）围绕社会关注热点，积极开展科普宣传3次，面向社区、商场开展食品安全科普与“你送我检”公益服务5场，组织“小小食安官”研学4次、开学第一课进校园1次，制作发布“苏小检食验室”科普视频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开展食品安全检验检测、质量管理的培训和咨询工作</w:t>
            </w:r>
          </w:p>
        </w:tc>
        <w:tc>
          <w:tcPr>
            <w:tcW w:w="3818" w:type="dxa"/>
            <w:vAlign w:val="center"/>
          </w:tcPr>
          <w:p>
            <w:pPr>
              <w:widowControl/>
              <w:jc w:val="center"/>
              <w:rPr>
                <w:rFonts w:ascii="宋体" w:hAnsi="宋体" w:cs="宋体"/>
                <w:sz w:val="24"/>
              </w:rPr>
            </w:pPr>
            <w:r>
              <w:rPr>
                <w:rFonts w:hint="eastAsia" w:ascii="宋体" w:hAnsi="宋体" w:cs="宋体"/>
                <w:sz w:val="24"/>
              </w:rPr>
              <w:t>检验检测技术培训和咨询工作</w:t>
            </w:r>
          </w:p>
        </w:tc>
        <w:tc>
          <w:tcPr>
            <w:tcW w:w="6280" w:type="dxa"/>
            <w:vAlign w:val="center"/>
          </w:tcPr>
          <w:p>
            <w:pPr>
              <w:widowControl/>
              <w:jc w:val="center"/>
              <w:rPr>
                <w:rFonts w:ascii="宋体" w:hAnsi="宋体" w:cs="宋体"/>
                <w:sz w:val="24"/>
              </w:rPr>
            </w:pPr>
            <w:r>
              <w:rPr>
                <w:rFonts w:hint="eastAsia" w:ascii="宋体" w:hAnsi="宋体" w:cs="宋体"/>
                <w:sz w:val="24"/>
              </w:rPr>
              <w:t>累计帮扶企业十余家，指导完成31家基层快检室标准化建设帮扶，成功举办2025年苏州市食用农产品快速检测技能竞赛。举办多次实操技术培训及技术交流会，提升行业规范化水平。完成全市10个板块农贸及农批市场快检实验室100批次快检盲样验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开展食品检验检测技术、安全标准的研究和应用</w:t>
            </w:r>
          </w:p>
        </w:tc>
        <w:tc>
          <w:tcPr>
            <w:tcW w:w="3818" w:type="dxa"/>
            <w:vAlign w:val="center"/>
          </w:tcPr>
          <w:p>
            <w:pPr>
              <w:widowControl/>
              <w:jc w:val="center"/>
              <w:rPr>
                <w:rFonts w:ascii="宋体" w:hAnsi="宋体" w:cs="宋体"/>
                <w:sz w:val="24"/>
              </w:rPr>
            </w:pPr>
            <w:r>
              <w:rPr>
                <w:rFonts w:hint="eastAsia" w:ascii="宋体" w:hAnsi="宋体" w:cs="宋体"/>
                <w:sz w:val="24"/>
              </w:rPr>
              <w:t>推进江苏省市场监管重点实验室（食品快检技术与产品评价）正常运营</w:t>
            </w:r>
          </w:p>
        </w:tc>
        <w:tc>
          <w:tcPr>
            <w:tcW w:w="6280" w:type="dxa"/>
            <w:vAlign w:val="center"/>
          </w:tcPr>
          <w:p>
            <w:pPr>
              <w:widowControl/>
              <w:jc w:val="center"/>
              <w:rPr>
                <w:rFonts w:ascii="宋体" w:hAnsi="宋体" w:cs="宋体"/>
                <w:sz w:val="24"/>
              </w:rPr>
            </w:pPr>
            <w:r>
              <w:rPr>
                <w:rFonts w:hint="eastAsia" w:ascii="宋体" w:hAnsi="宋体" w:cs="宋体"/>
                <w:sz w:val="24"/>
              </w:rPr>
              <w:t>推进江苏省市场监管重点实验室（食品安全快检技术与产品评价）五年规划实施，征集并立项4项开放课题。完成科研项目1项，新增纵向科研项目省局科技项目1项。在研课题中发表论文2篇，研发新快检方法1项。</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中长期规划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全年工作计划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批复文件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批复文件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符合财政文件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符合财政文件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财政批复文件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内控制度、 财务凭证</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苏州非税收入管理系统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资产云平台、仪器使用登记簿等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仪器使用登记簿</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企业微信等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人社系统数据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纪检监督记录</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工作台账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苏州市非税管理系统、预算一体化系统数据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合同及相关文件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预算批复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政府采购资料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可利用合格备份样品捐赠率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&gt;=98%</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捐赠清单</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2.04%</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投诉和异议处理率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异议回复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检出不合格产品（问题产品）反馈率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不合格报告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检验检测开票收入</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&gt;=800万元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823.62万元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苏州市非税管理系统、预算一体化系统数据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2.95%</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对单位履职、促进事业发展的持续影响程度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较高</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较高</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履职报告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 xml:space="preserve"> 培训场次</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&gt;=3次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培训材料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生产许可技术评审完成率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江苏省食品生产许可证管理系统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快速检测批次数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&gt;=20000批次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20232批次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苏源e码通快检结果公示</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1.16%</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完成验收项目数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&gt;=1项</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1项</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验收证书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宣传活动次数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&gt;=3次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微信公众号</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监督检验任务完成率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个任务下达方合同、履约报告或任务总结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 xml:space="preserve"> 科研项目完成及时率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验收证书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检验报告出具及时率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&gt;=98%</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LIMS管理系统、管理评审报告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2.04%</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国内外期刊发表论文篇数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&gt;=2篇</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2篇</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论文</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培训完成及时率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建立非法添加项目库</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=1个</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1个</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仪器方法文件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非法添加风险筛查项目数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&gt;=300项</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305项</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仪器方法文件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1.67%</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