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苏州市知识产权保护中心（苏州市专利代办处）</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一）突出精准导向，助企创新有速度。推进专利申请精准服务保障，修订《专利预审管理办法》《备案主体、代理机构分级分类管理办法》，突出分层次、精准化服务模式。全年受理预审申请12893件，同比增长13.4%，预审合格10542件，同比增长17.6%，预审授权8889件，同比增长15.5%。预审的4件专利获第二十五届中国专利奖（1银3优秀），创历史最佳成绩；“2025苏州十大产业科技成果”中4项成果61个相关专利通过预审快速授权，彰显高价值专利培育成效。实施专利申请质量提升筑基试点，构建“申请－评估－预审”协同机制，打造分中心、实践基地、产业集聚区全覆盖的服务网络。
</w:t>
        <w:br/>
        <w:t>（二）突出专业导向，保驾护航有力度。深入推进专利侵权纠纷行政裁决规范化建设，办理行政裁决24件，审理的“连接件”发明专利侵权纠纷入选全国十大专利行政保护典型案例。落实知识产权涉外护航行动，办理海外纠纷应对指导案件48件。开展维权援助“金秋”行动，建立重点企业服务档案，定期跟踪监测案件信息并做好指导服务，累计为苏州企业提供维权援助智力支持120余次，为公安机关成功查办商业秘密案件出具咨询意见书6份。
</w:t>
        <w:br/>
        <w:t>（三）突出质效导向，赋能发展有深度。围绕核药产业开展专利导航，为苏州实验室提供光计算超导材料导航分析，助力高水平科技自立自强。为重点企业出具预警类专利信息分析报告5份，推动“苏州智造”扬帆出海。开展知识产权体检，指导高新区企业积极应对光伏行业跨国纠纷，获市政府主要领导批示肯定。编制发布知识产权统计简报，为政府部门科学制定产业政策提供及时、准确的数据支持。
</w:t>
        <w:br/>
        <w:t>（四）突出需求导向，公共服务有温度。研究制定《知识产权公共服务网点服务规范》，夯实基础业务、完善“一窗通办”，共受理专利、商标、版权、集成电路布图设计等各类窗口业务50.27万件，收缴费用2.34亿元，业务处理“零差错”、服务质量“零投诉”。在全省率先开展数据知识产权登记业务试点，服务创新主体超200家，推动“数据+金融”创新，我市2项数据知识产权应用分别入选国家级、省级典型案例。在太仓、相城区、高新区成立首批苏州分理处工作站。</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部门主要职能：
</w:t>
        <w:br/>
        <w:t>（1）承担知识产权保护协作相关工作。负责知识产权协同保护平台建设，建立知识产权仲裁、调解等多元化纠纷解决机制。负责知识产权侵权技术鉴定工作。
</w:t>
        <w:br/>
        <w:t>（2）推进知识产权维权援助工作，建立维权援助工作体系。
</w:t>
        <w:br/>
        <w:t>（3）负责海外知识产权预警分析，承担海外知识产权纠纷应对指导工作。
</w:t>
        <w:br/>
        <w:t>（4）开展重点产业知识产权数据分析，促进知识产权数据与企业创新、产业发展等统计数据的共享；为高价值专利培育、运营提供服务。
</w:t>
        <w:br/>
        <w:t>（5）承担我市重点产业专利预审工作，建立重点产业专利预审备案主体，并实施动态管理。根据我市重点产业发展情况，及时调整专利快速预审服务的技术领域分类号。承担知识产权确权相关工作，受理专利无效宣告请求、专利复审请求、专利权评价报告请求等业务。
</w:t>
        <w:br/>
        <w:t>（6）负责国家知识产权局商标局苏州商标注册受理窗口业务，开展中国（江苏）自贸区苏州片区知识产权相关服务工作。
</w:t>
        <w:br/>
        <w:t>（7）传播利用知识产权信息，承担知识产权相关咨询、知识产权保护能力培训等工作。
</w:t>
        <w:br/>
        <w:t>（8）配合市市场监督管理局，协助调查处理知识产权纠纷案件。
</w:t>
        <w:br/>
        <w:t>（9）完成上级交办或者市市场监督管理局委托的其他工作。
</w:t>
        <w:br/>
        <w:t>机构情况：
</w:t>
        <w:br/>
        <w:t>（1）综合管理部。负责中心日常运转，承担政务信息、安全、保密、信访、政务公开、公文处理、会议会务、督查督办和信息化建设等工作；负责档案及资产管理工作；负责中心预决算、财务管理、内部审计等工作；负责机构编制、人事管理、作风建设、考核奖惩、员工教育培训等工作；负责外事和老干部服务等工作；负责中心党群工作；负责中心对外宣传和培训的组织工作。
</w:t>
        <w:br/>
        <w:t>（2）预审业务部（服务受理部）。承担我市重点产业专利快速预审服务；负责申请调整专利申请快速预审服务的技术领域分类号；负责对企事业单位进行专利预审备案管理；负责受理专利无效宣告案件请求、专利复审案件请求、专利权评价报告请求，开展知识产权确权服务；组织实施预审案件的统计分析；负责中心业务窗口咨询、服务受理等工作。
</w:t>
        <w:br/>
        <w:t>（3）维权援助部（保护协作部）。开展知识产权保护协作工作，建设知识产权协同保护平台，开展知识产权纠纷仲裁、调解等工作；配合市市场监督管理局，协助调查处理知识产权纠纷案件；组织知识产权侵权技术鉴定，提供知识产权纠纷技术支撑和指导；推进知识产权维权援助公共服务，建立知识产权维权体系和工作机制。
</w:t>
        <w:br/>
        <w:t>（4）运用分析部。承担知识产权信息的分析利用，为重点产业高价值知识产权的培育、运营提供相关服务；实施重点产业领域前瞻性专利信息分析；实施海外知识产权预警相关工作，研究并完善我市海外知识产权纠纷预警防范机制，开展海外知识产权纠纷应对指导工作。
</w:t>
        <w:br/>
        <w:t>（5）业务受理部。负责专利、商标、集成电路布图设计申请业务受理等相关工作。
</w:t>
        <w:br/>
        <w:t>人员情况：2025年保护中心在编在职人员为41人，另有公益性岗位10人、合同制预审员29人，劳务派遣人员11人。</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苏州市知识产权保护中心（以下简称“保护中心”），按照“谁提出资金需求，谁制定并执行绩效指标”的原则，要求在上报2025年度经常性项目预算内容、金额时同步拟定绩效指标。各业务部门拟定绩效指标后，经分管领导、主要领导分别审核通过后最终确定。预算执行过程中，财务室按月整理单位各预算项目的支出进度，在每月工作例会时反馈给业务部门，督促其按计划完成项目支出进度、绩效指标。2025年苏州市知识产权保护中心较好地完成了部门整体支出绩效目标。整体预算主要履职目标基本完成，主要内容如下：完成了20份企业知识产权状态分析报告；为苏州实验室周济院士团队的光计算项目提供光计算材料专利分析服务，出具了分析报告，得到了实验室的感谢；重点产业领域专利授权3001件；受理预审案件7002件；受理各类业务50.27万件，收缴官费2.34亿元，业务处理“零差错”、服务质量“零投诉”；完成联合法院开展诉前调解、诉中调解8件；为相关部门、企业出具专利侵权判定意见12份；处理各类专利案件40件；为企业出具维权援助咨询意见12份；完成了重点产业专利导航分析三项报告；完成海外知识产权保护宣传2场。</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基本支出年末结余部分人员经费，由财政收回；
</w:t>
        <w:br/>
        <w:t>项目支出年末结余由财政收回，具体情况如下：
</w:t>
        <w:br/>
        <w:t>1.科研项目经费年末结余收回0.43万，主要原因是2025年度单位自立项目验收时间过晚，同时遇到税务系统维护，评审专家税务票据无法及时出具，使得原本用于评审专家费的经费未能及时支出，改进措施为单位自立科研项目时间节点提前，留足时间用于项目验收时的专家评审，避免在时间紧张的情况下无法及时获得税务票据使得费用无法支付。
</w:t>
        <w:br/>
        <w:t>2.设备购置年末结余收回0.8万，主要原因是落实厉行节约过紧日子要求，不再新购设备，优先申请公务仓进行调剂，改进措施为继续落实厉行节约过紧日子要求，优先申请公务仓进行调剂。
</w:t>
        <w:br/>
        <w:t>3.制服购置费年末结余收回0.46万，主要原因是执法制式服装采购预算与实际采购合同金额有偏差，改进措施为提前与供应商确认采购标准。
</w:t>
        <w:br/>
        <w:t>4.专项委托业务费年末结余收回9.13万，主要原因是为了更好满足全市创新主体的快速预审需要，选择了招投标方式开展专利账号的采购，节约了财政资金，改进措施为保护中心将在控制预算、节约资金的基础上，按照国家知识产权局等相关上级部门对预审工作的统一要求，坚持量质并举，更好完成预审任务。</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保护中心后续将继续加强预算绩效管理并按照上级部门要求公开相应内容。</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2650.13</w:t>
            </w:r>
          </w:p>
        </w:tc>
        <w:tc>
          <w:tcPr>
            <w:tcW w:w="2268" w:type="dxa"/>
            <w:vAlign w:val="center"/>
          </w:tcPr>
          <w:p>
            <w:pPr>
              <w:widowControl/>
              <w:jc w:val="center"/>
              <w:rPr>
                <w:rFonts w:ascii="宋体" w:hAnsi="宋体" w:cs="宋体"/>
                <w:sz w:val="24"/>
              </w:rPr>
            </w:pPr>
            <w:r>
              <w:rPr>
                <w:rFonts w:hint="eastAsia" w:ascii="宋体" w:hAnsi="宋体" w:cs="宋体"/>
                <w:sz w:val="24"/>
              </w:rPr>
              <w:t>276.55</w:t>
            </w:r>
          </w:p>
        </w:tc>
        <w:tc>
          <w:tcPr>
            <w:tcW w:w="2268" w:type="dxa"/>
            <w:vAlign w:val="center"/>
          </w:tcPr>
          <w:p>
            <w:pPr>
              <w:widowControl/>
              <w:jc w:val="center"/>
              <w:rPr>
                <w:rFonts w:ascii="宋体" w:hAnsi="宋体" w:cs="宋体"/>
                <w:sz w:val="24"/>
              </w:rPr>
            </w:pPr>
            <w:r>
              <w:rPr>
                <w:rFonts w:hint="eastAsia" w:ascii="宋体" w:hAnsi="宋体" w:cs="宋体"/>
                <w:sz w:val="24"/>
              </w:rPr>
              <w:t>2926.68</w:t>
            </w:r>
          </w:p>
        </w:tc>
        <w:tc>
          <w:tcPr>
            <w:tcW w:w="2268" w:type="dxa"/>
            <w:vAlign w:val="center"/>
          </w:tcPr>
          <w:p>
            <w:pPr>
              <w:widowControl/>
              <w:jc w:val="center"/>
              <w:rPr>
                <w:rFonts w:ascii="宋体" w:hAnsi="宋体" w:cs="宋体"/>
                <w:sz w:val="24"/>
              </w:rPr>
            </w:pPr>
            <w:r>
              <w:rPr>
                <w:rFonts w:hint="eastAsia" w:ascii="宋体" w:hAnsi="宋体" w:cs="宋体"/>
                <w:sz w:val="24"/>
              </w:rPr>
              <w:t>2926.68</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1309.41</w:t>
            </w:r>
          </w:p>
        </w:tc>
        <w:tc>
          <w:tcPr>
            <w:tcW w:w="2268" w:type="dxa"/>
            <w:vAlign w:val="center"/>
          </w:tcPr>
          <w:p>
            <w:pPr>
              <w:widowControl/>
              <w:jc w:val="center"/>
              <w:rPr>
                <w:rFonts w:ascii="宋体" w:hAnsi="宋体" w:cs="宋体"/>
                <w:sz w:val="24"/>
              </w:rPr>
            </w:pPr>
            <w:r>
              <w:rPr>
                <w:rFonts w:hint="eastAsia" w:ascii="宋体" w:hAnsi="宋体" w:cs="宋体"/>
                <w:sz w:val="24"/>
              </w:rPr>
              <w:t>287.41</w:t>
            </w:r>
          </w:p>
        </w:tc>
        <w:tc>
          <w:tcPr>
            <w:tcW w:w="2268" w:type="dxa"/>
            <w:vAlign w:val="center"/>
          </w:tcPr>
          <w:p>
            <w:pPr>
              <w:widowControl/>
              <w:jc w:val="center"/>
              <w:rPr>
                <w:rFonts w:ascii="宋体" w:hAnsi="宋体" w:cs="宋体"/>
                <w:sz w:val="24"/>
              </w:rPr>
            </w:pPr>
            <w:r>
              <w:rPr>
                <w:rFonts w:hint="eastAsia" w:ascii="宋体" w:hAnsi="宋体" w:cs="宋体"/>
                <w:sz w:val="24"/>
              </w:rPr>
              <w:t>1596.82</w:t>
            </w:r>
          </w:p>
        </w:tc>
        <w:tc>
          <w:tcPr>
            <w:tcW w:w="2268" w:type="dxa"/>
            <w:vAlign w:val="center"/>
          </w:tcPr>
          <w:p>
            <w:pPr>
              <w:widowControl/>
              <w:jc w:val="center"/>
              <w:rPr>
                <w:rFonts w:ascii="宋体" w:hAnsi="宋体" w:cs="宋体"/>
                <w:sz w:val="24"/>
              </w:rPr>
            </w:pPr>
            <w:r>
              <w:rPr>
                <w:rFonts w:hint="eastAsia" w:ascii="宋体" w:hAnsi="宋体" w:cs="宋体"/>
                <w:sz w:val="24"/>
              </w:rPr>
              <w:t>1596.82</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1340.72</w:t>
            </w:r>
          </w:p>
        </w:tc>
        <w:tc>
          <w:tcPr>
            <w:tcW w:w="2268" w:type="dxa"/>
            <w:vAlign w:val="center"/>
          </w:tcPr>
          <w:p>
            <w:pPr>
              <w:widowControl/>
              <w:jc w:val="center"/>
              <w:rPr>
                <w:rFonts w:ascii="宋体" w:hAnsi="宋体" w:cs="宋体"/>
                <w:sz w:val="24"/>
              </w:rPr>
            </w:pPr>
            <w:r>
              <w:rPr>
                <w:rFonts w:hint="eastAsia" w:ascii="宋体" w:hAnsi="宋体" w:cs="宋体"/>
                <w:sz w:val="24"/>
              </w:rPr>
              <w:t>-10.86</w:t>
            </w:r>
          </w:p>
        </w:tc>
        <w:tc>
          <w:tcPr>
            <w:tcW w:w="2268" w:type="dxa"/>
            <w:vAlign w:val="center"/>
          </w:tcPr>
          <w:p>
            <w:pPr>
              <w:widowControl/>
              <w:jc w:val="center"/>
              <w:rPr>
                <w:rFonts w:ascii="宋体" w:hAnsi="宋体" w:cs="宋体"/>
                <w:sz w:val="24"/>
              </w:rPr>
            </w:pPr>
            <w:r>
              <w:rPr>
                <w:rFonts w:hint="eastAsia" w:ascii="宋体" w:hAnsi="宋体" w:cs="宋体"/>
                <w:sz w:val="24"/>
              </w:rPr>
              <w:t>1329.86</w:t>
            </w:r>
          </w:p>
        </w:tc>
        <w:tc>
          <w:tcPr>
            <w:tcW w:w="2268" w:type="dxa"/>
            <w:vAlign w:val="center"/>
          </w:tcPr>
          <w:p>
            <w:pPr>
              <w:widowControl/>
              <w:jc w:val="center"/>
              <w:rPr>
                <w:rFonts w:ascii="宋体" w:hAnsi="宋体" w:cs="宋体"/>
                <w:sz w:val="24"/>
              </w:rPr>
            </w:pPr>
            <w:r>
              <w:rPr>
                <w:rFonts w:hint="eastAsia" w:ascii="宋体" w:hAnsi="宋体" w:cs="宋体"/>
                <w:sz w:val="24"/>
              </w:rPr>
              <w:t>1329.86</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物业管理费</w:t>
            </w:r>
          </w:p>
        </w:tc>
        <w:tc>
          <w:tcPr>
            <w:tcW w:w="2268" w:type="dxa"/>
            <w:vAlign w:val="center"/>
          </w:tcPr>
          <w:p>
            <w:pPr>
              <w:widowControl/>
              <w:jc w:val="center"/>
              <w:rPr>
                <w:rFonts w:ascii="宋体" w:hAnsi="宋体" w:cs="宋体"/>
                <w:kern w:val="0"/>
                <w:sz w:val="24"/>
              </w:rPr>
            </w:pPr>
            <w:r>
              <w:rPr>
                <w:rFonts w:hint="eastAsia" w:ascii="宋体" w:hAnsi="宋体" w:cs="宋体"/>
                <w:sz w:val="24"/>
              </w:rPr>
              <w:t>177.45</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177.45</w:t>
            </w:r>
          </w:p>
        </w:tc>
        <w:tc>
          <w:tcPr>
            <w:tcW w:w="2268" w:type="dxa"/>
            <w:vAlign w:val="center"/>
          </w:tcPr>
          <w:p>
            <w:pPr>
              <w:widowControl/>
              <w:jc w:val="center"/>
              <w:rPr>
                <w:rFonts w:ascii="宋体" w:hAnsi="宋体" w:cs="宋体"/>
                <w:sz w:val="24"/>
              </w:rPr>
            </w:pPr>
            <w:r>
              <w:rPr>
                <w:rFonts w:hint="eastAsia" w:ascii="宋体" w:hAnsi="宋体" w:cs="宋体"/>
                <w:sz w:val="24"/>
              </w:rPr>
              <w:t>177.45</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专项宣传广告费</w:t>
            </w:r>
          </w:p>
        </w:tc>
        <w:tc>
          <w:tcPr>
            <w:tcW w:w="2268" w:type="dxa"/>
            <w:vAlign w:val="center"/>
          </w:tcPr>
          <w:p>
            <w:pPr>
              <w:widowControl/>
              <w:jc w:val="center"/>
              <w:rPr>
                <w:rFonts w:ascii="宋体" w:hAnsi="宋体" w:cs="宋体"/>
                <w:kern w:val="0"/>
                <w:sz w:val="24"/>
              </w:rPr>
            </w:pPr>
            <w:r>
              <w:rPr>
                <w:rFonts w:hint="eastAsia" w:ascii="宋体" w:hAnsi="宋体" w:cs="宋体"/>
                <w:sz w:val="24"/>
              </w:rPr>
              <w:t>6.67</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6.67</w:t>
            </w:r>
          </w:p>
        </w:tc>
        <w:tc>
          <w:tcPr>
            <w:tcW w:w="2268" w:type="dxa"/>
            <w:vAlign w:val="center"/>
          </w:tcPr>
          <w:p>
            <w:pPr>
              <w:widowControl/>
              <w:jc w:val="center"/>
              <w:rPr>
                <w:rFonts w:ascii="宋体" w:hAnsi="宋体" w:cs="宋体"/>
                <w:sz w:val="24"/>
              </w:rPr>
            </w:pPr>
            <w:r>
              <w:rPr>
                <w:rFonts w:hint="eastAsia" w:ascii="宋体" w:hAnsi="宋体" w:cs="宋体"/>
                <w:sz w:val="24"/>
              </w:rPr>
              <w:t>6.67</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专项业务用水用电用气</w:t>
            </w:r>
          </w:p>
        </w:tc>
        <w:tc>
          <w:tcPr>
            <w:tcW w:w="2268" w:type="dxa"/>
            <w:vAlign w:val="center"/>
          </w:tcPr>
          <w:p>
            <w:pPr>
              <w:widowControl/>
              <w:jc w:val="center"/>
              <w:rPr>
                <w:rFonts w:ascii="宋体" w:hAnsi="宋体" w:cs="宋体"/>
                <w:kern w:val="0"/>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专项租赁费</w:t>
            </w:r>
          </w:p>
        </w:tc>
        <w:tc>
          <w:tcPr>
            <w:tcW w:w="2268" w:type="dxa"/>
            <w:vAlign w:val="center"/>
          </w:tcPr>
          <w:p>
            <w:pPr>
              <w:widowControl/>
              <w:jc w:val="center"/>
              <w:rPr>
                <w:rFonts w:ascii="宋体" w:hAnsi="宋体" w:cs="宋体"/>
                <w:kern w:val="0"/>
                <w:sz w:val="24"/>
              </w:rPr>
            </w:pPr>
            <w:r>
              <w:rPr>
                <w:rFonts w:hint="eastAsia" w:ascii="宋体" w:hAnsi="宋体" w:cs="宋体"/>
                <w:sz w:val="24"/>
              </w:rPr>
              <w:t>177.72</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177.72</w:t>
            </w:r>
          </w:p>
        </w:tc>
        <w:tc>
          <w:tcPr>
            <w:tcW w:w="2268" w:type="dxa"/>
            <w:vAlign w:val="center"/>
          </w:tcPr>
          <w:p>
            <w:pPr>
              <w:widowControl/>
              <w:jc w:val="center"/>
              <w:rPr>
                <w:rFonts w:ascii="宋体" w:hAnsi="宋体" w:cs="宋体"/>
                <w:sz w:val="24"/>
              </w:rPr>
            </w:pPr>
            <w:r>
              <w:rPr>
                <w:rFonts w:hint="eastAsia" w:ascii="宋体" w:hAnsi="宋体" w:cs="宋体"/>
                <w:sz w:val="24"/>
              </w:rPr>
              <w:t>177.72</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设备购置</w:t>
            </w:r>
          </w:p>
        </w:tc>
        <w:tc>
          <w:tcPr>
            <w:tcW w:w="2268" w:type="dxa"/>
            <w:vAlign w:val="center"/>
          </w:tcPr>
          <w:p>
            <w:pPr>
              <w:widowControl/>
              <w:jc w:val="center"/>
              <w:rPr>
                <w:rFonts w:ascii="宋体" w:hAnsi="宋体" w:cs="宋体"/>
                <w:kern w:val="0"/>
                <w:sz w:val="24"/>
              </w:rPr>
            </w:pPr>
            <w:r>
              <w:rPr>
                <w:rFonts w:hint="eastAsia" w:ascii="宋体" w:hAnsi="宋体" w:cs="宋体"/>
                <w:sz w:val="24"/>
              </w:rPr>
              <w:t>.8</w:t>
            </w:r>
          </w:p>
        </w:tc>
        <w:tc>
          <w:tcPr>
            <w:tcW w:w="2268" w:type="dxa"/>
            <w:vAlign w:val="center"/>
          </w:tcPr>
          <w:p>
            <w:pPr>
              <w:widowControl/>
              <w:jc w:val="center"/>
              <w:rPr>
                <w:rFonts w:ascii="宋体" w:hAnsi="宋体" w:cs="宋体"/>
                <w:sz w:val="24"/>
              </w:rPr>
            </w:pPr>
            <w:r>
              <w:rPr>
                <w:rFonts w:hint="eastAsia" w:ascii="宋体" w:hAnsi="宋体" w:cs="宋体"/>
                <w:sz w:val="24"/>
              </w:rPr>
              <w:t>-0.8</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NaN%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临时性用工人员经费</w:t>
            </w:r>
          </w:p>
        </w:tc>
        <w:tc>
          <w:tcPr>
            <w:tcW w:w="2268" w:type="dxa"/>
            <w:vAlign w:val="center"/>
          </w:tcPr>
          <w:p>
            <w:pPr>
              <w:widowControl/>
              <w:jc w:val="center"/>
              <w:rPr>
                <w:rFonts w:ascii="宋体" w:hAnsi="宋体" w:cs="宋体"/>
                <w:kern w:val="0"/>
                <w:sz w:val="24"/>
              </w:rPr>
            </w:pPr>
            <w:r>
              <w:rPr>
                <w:rFonts w:hint="eastAsia" w:ascii="宋体" w:hAnsi="宋体" w:cs="宋体"/>
                <w:sz w:val="24"/>
              </w:rPr>
              <w:t>814.43</w:t>
            </w:r>
          </w:p>
        </w:tc>
        <w:tc>
          <w:tcPr>
            <w:tcW w:w="2268" w:type="dxa"/>
            <w:vAlign w:val="center"/>
          </w:tcPr>
          <w:p>
            <w:pPr>
              <w:widowControl/>
              <w:jc w:val="center"/>
              <w:rPr>
                <w:rFonts w:ascii="宋体" w:hAnsi="宋体" w:cs="宋体"/>
                <w:sz w:val="24"/>
              </w:rPr>
            </w:pPr>
            <w:r>
              <w:rPr>
                <w:rFonts w:hint="eastAsia" w:ascii="宋体" w:hAnsi="宋体" w:cs="宋体"/>
                <w:sz w:val="24"/>
              </w:rPr>
              <w:t>-0.04</w:t>
            </w:r>
          </w:p>
        </w:tc>
        <w:tc>
          <w:tcPr>
            <w:tcW w:w="2268" w:type="dxa"/>
            <w:vAlign w:val="center"/>
          </w:tcPr>
          <w:p>
            <w:pPr>
              <w:widowControl/>
              <w:jc w:val="center"/>
              <w:rPr>
                <w:rFonts w:ascii="宋体" w:hAnsi="宋体" w:cs="宋体"/>
                <w:sz w:val="24"/>
              </w:rPr>
            </w:pPr>
            <w:r>
              <w:rPr>
                <w:rFonts w:hint="eastAsia" w:ascii="宋体" w:hAnsi="宋体" w:cs="宋体"/>
                <w:sz w:val="24"/>
              </w:rPr>
              <w:t>814.39</w:t>
            </w:r>
          </w:p>
        </w:tc>
        <w:tc>
          <w:tcPr>
            <w:tcW w:w="2268" w:type="dxa"/>
            <w:vAlign w:val="center"/>
          </w:tcPr>
          <w:p>
            <w:pPr>
              <w:widowControl/>
              <w:jc w:val="center"/>
              <w:rPr>
                <w:rFonts w:ascii="宋体" w:hAnsi="宋体" w:cs="宋体"/>
                <w:sz w:val="24"/>
              </w:rPr>
            </w:pPr>
            <w:r>
              <w:rPr>
                <w:rFonts w:hint="eastAsia" w:ascii="宋体" w:hAnsi="宋体" w:cs="宋体"/>
                <w:sz w:val="24"/>
              </w:rPr>
              <w:t>814.39</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科研项目经费</w:t>
            </w:r>
          </w:p>
        </w:tc>
        <w:tc>
          <w:tcPr>
            <w:tcW w:w="2268" w:type="dxa"/>
            <w:vAlign w:val="center"/>
          </w:tcPr>
          <w:p>
            <w:pPr>
              <w:widowControl/>
              <w:jc w:val="center"/>
              <w:rPr>
                <w:rFonts w:ascii="宋体" w:hAnsi="宋体" w:cs="宋体"/>
                <w:kern w:val="0"/>
                <w:sz w:val="24"/>
              </w:rPr>
            </w:pPr>
            <w:r>
              <w:rPr>
                <w:rFonts w:hint="eastAsia" w:ascii="宋体" w:hAnsi="宋体" w:cs="宋体"/>
                <w:sz w:val="24"/>
              </w:rPr>
              <w:t>5</w:t>
            </w:r>
          </w:p>
        </w:tc>
        <w:tc>
          <w:tcPr>
            <w:tcW w:w="2268" w:type="dxa"/>
            <w:vAlign w:val="center"/>
          </w:tcPr>
          <w:p>
            <w:pPr>
              <w:widowControl/>
              <w:jc w:val="center"/>
              <w:rPr>
                <w:rFonts w:ascii="宋体" w:hAnsi="宋体" w:cs="宋体"/>
                <w:sz w:val="24"/>
              </w:rPr>
            </w:pPr>
            <w:r>
              <w:rPr>
                <w:rFonts w:hint="eastAsia" w:ascii="宋体" w:hAnsi="宋体" w:cs="宋体"/>
                <w:sz w:val="24"/>
              </w:rPr>
              <w:t>-0.43</w:t>
            </w:r>
          </w:p>
        </w:tc>
        <w:tc>
          <w:tcPr>
            <w:tcW w:w="2268" w:type="dxa"/>
            <w:vAlign w:val="center"/>
          </w:tcPr>
          <w:p>
            <w:pPr>
              <w:widowControl/>
              <w:jc w:val="center"/>
              <w:rPr>
                <w:rFonts w:ascii="宋体" w:hAnsi="宋体" w:cs="宋体"/>
                <w:sz w:val="24"/>
              </w:rPr>
            </w:pPr>
            <w:r>
              <w:rPr>
                <w:rFonts w:hint="eastAsia" w:ascii="宋体" w:hAnsi="宋体" w:cs="宋体"/>
                <w:sz w:val="24"/>
              </w:rPr>
              <w:t>4.57</w:t>
            </w:r>
          </w:p>
        </w:tc>
        <w:tc>
          <w:tcPr>
            <w:tcW w:w="2268" w:type="dxa"/>
            <w:vAlign w:val="center"/>
          </w:tcPr>
          <w:p>
            <w:pPr>
              <w:widowControl/>
              <w:jc w:val="center"/>
              <w:rPr>
                <w:rFonts w:ascii="宋体" w:hAnsi="宋体" w:cs="宋体"/>
                <w:sz w:val="24"/>
              </w:rPr>
            </w:pPr>
            <w:r>
              <w:rPr>
                <w:rFonts w:hint="eastAsia" w:ascii="宋体" w:hAnsi="宋体" w:cs="宋体"/>
                <w:sz w:val="24"/>
              </w:rPr>
              <w:t>4.57</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专项培训费</w:t>
            </w:r>
          </w:p>
        </w:tc>
        <w:tc>
          <w:tcPr>
            <w:tcW w:w="2268" w:type="dxa"/>
            <w:vAlign w:val="center"/>
          </w:tcPr>
          <w:p>
            <w:pPr>
              <w:widowControl/>
              <w:jc w:val="center"/>
              <w:rPr>
                <w:rFonts w:ascii="宋体" w:hAnsi="宋体" w:cs="宋体"/>
                <w:kern w:val="0"/>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制服购置费</w:t>
            </w:r>
          </w:p>
        </w:tc>
        <w:tc>
          <w:tcPr>
            <w:tcW w:w="2268" w:type="dxa"/>
            <w:vAlign w:val="center"/>
          </w:tcPr>
          <w:p>
            <w:pPr>
              <w:widowControl/>
              <w:jc w:val="center"/>
              <w:rPr>
                <w:rFonts w:ascii="宋体" w:hAnsi="宋体" w:cs="宋体"/>
                <w:kern w:val="0"/>
                <w:sz w:val="24"/>
              </w:rPr>
            </w:pPr>
            <w:r>
              <w:rPr>
                <w:rFonts w:hint="eastAsia" w:ascii="宋体" w:hAnsi="宋体" w:cs="宋体"/>
                <w:sz w:val="24"/>
              </w:rPr>
              <w:t>8.19</w:t>
            </w:r>
          </w:p>
        </w:tc>
        <w:tc>
          <w:tcPr>
            <w:tcW w:w="2268" w:type="dxa"/>
            <w:vAlign w:val="center"/>
          </w:tcPr>
          <w:p>
            <w:pPr>
              <w:widowControl/>
              <w:jc w:val="center"/>
              <w:rPr>
                <w:rFonts w:ascii="宋体" w:hAnsi="宋体" w:cs="宋体"/>
                <w:sz w:val="24"/>
              </w:rPr>
            </w:pPr>
            <w:r>
              <w:rPr>
                <w:rFonts w:hint="eastAsia" w:ascii="宋体" w:hAnsi="宋体" w:cs="宋体"/>
                <w:sz w:val="24"/>
              </w:rPr>
              <w:t>-0.46</w:t>
            </w:r>
          </w:p>
        </w:tc>
        <w:tc>
          <w:tcPr>
            <w:tcW w:w="2268" w:type="dxa"/>
            <w:vAlign w:val="center"/>
          </w:tcPr>
          <w:p>
            <w:pPr>
              <w:widowControl/>
              <w:jc w:val="center"/>
              <w:rPr>
                <w:rFonts w:ascii="宋体" w:hAnsi="宋体" w:cs="宋体"/>
                <w:sz w:val="24"/>
              </w:rPr>
            </w:pPr>
            <w:r>
              <w:rPr>
                <w:rFonts w:hint="eastAsia" w:ascii="宋体" w:hAnsi="宋体" w:cs="宋体"/>
                <w:sz w:val="24"/>
              </w:rPr>
              <w:t>7.73</w:t>
            </w:r>
          </w:p>
        </w:tc>
        <w:tc>
          <w:tcPr>
            <w:tcW w:w="2268" w:type="dxa"/>
            <w:vAlign w:val="center"/>
          </w:tcPr>
          <w:p>
            <w:pPr>
              <w:widowControl/>
              <w:jc w:val="center"/>
              <w:rPr>
                <w:rFonts w:ascii="宋体" w:hAnsi="宋体" w:cs="宋体"/>
                <w:sz w:val="24"/>
              </w:rPr>
            </w:pPr>
            <w:r>
              <w:rPr>
                <w:rFonts w:hint="eastAsia" w:ascii="宋体" w:hAnsi="宋体" w:cs="宋体"/>
                <w:sz w:val="24"/>
              </w:rPr>
              <w:t>7.73</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设备维修维护费</w:t>
            </w:r>
          </w:p>
        </w:tc>
        <w:tc>
          <w:tcPr>
            <w:tcW w:w="2268" w:type="dxa"/>
            <w:vAlign w:val="center"/>
          </w:tcPr>
          <w:p>
            <w:pPr>
              <w:widowControl/>
              <w:jc w:val="center"/>
              <w:rPr>
                <w:rFonts w:ascii="宋体" w:hAnsi="宋体" w:cs="宋体"/>
                <w:kern w:val="0"/>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10</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专项委托业务费</w:t>
            </w:r>
          </w:p>
        </w:tc>
        <w:tc>
          <w:tcPr>
            <w:tcW w:w="2268" w:type="dxa"/>
            <w:vAlign w:val="center"/>
          </w:tcPr>
          <w:p>
            <w:pPr>
              <w:widowControl/>
              <w:jc w:val="center"/>
              <w:rPr>
                <w:rFonts w:ascii="宋体" w:hAnsi="宋体" w:cs="宋体"/>
                <w:kern w:val="0"/>
                <w:sz w:val="24"/>
              </w:rPr>
            </w:pPr>
            <w:r>
              <w:rPr>
                <w:rFonts w:hint="eastAsia" w:ascii="宋体" w:hAnsi="宋体" w:cs="宋体"/>
                <w:sz w:val="24"/>
              </w:rPr>
              <w:t>120.46</w:t>
            </w:r>
          </w:p>
        </w:tc>
        <w:tc>
          <w:tcPr>
            <w:tcW w:w="2268" w:type="dxa"/>
            <w:vAlign w:val="center"/>
          </w:tcPr>
          <w:p>
            <w:pPr>
              <w:widowControl/>
              <w:jc w:val="center"/>
              <w:rPr>
                <w:rFonts w:ascii="宋体" w:hAnsi="宋体" w:cs="宋体"/>
                <w:sz w:val="24"/>
              </w:rPr>
            </w:pPr>
            <w:r>
              <w:rPr>
                <w:rFonts w:hint="eastAsia" w:ascii="宋体" w:hAnsi="宋体" w:cs="宋体"/>
                <w:sz w:val="24"/>
              </w:rPr>
              <w:t>-9.13</w:t>
            </w:r>
          </w:p>
        </w:tc>
        <w:tc>
          <w:tcPr>
            <w:tcW w:w="2268" w:type="dxa"/>
            <w:vAlign w:val="center"/>
          </w:tcPr>
          <w:p>
            <w:pPr>
              <w:widowControl/>
              <w:jc w:val="center"/>
              <w:rPr>
                <w:rFonts w:ascii="宋体" w:hAnsi="宋体" w:cs="宋体"/>
                <w:sz w:val="24"/>
              </w:rPr>
            </w:pPr>
            <w:r>
              <w:rPr>
                <w:rFonts w:hint="eastAsia" w:ascii="宋体" w:hAnsi="宋体" w:cs="宋体"/>
                <w:sz w:val="24"/>
              </w:rPr>
              <w:t>111.33</w:t>
            </w:r>
          </w:p>
        </w:tc>
        <w:tc>
          <w:tcPr>
            <w:tcW w:w="2268" w:type="dxa"/>
            <w:vAlign w:val="center"/>
          </w:tcPr>
          <w:p>
            <w:pPr>
              <w:widowControl/>
              <w:jc w:val="center"/>
              <w:rPr>
                <w:rFonts w:ascii="宋体" w:hAnsi="宋体" w:cs="宋体"/>
                <w:sz w:val="24"/>
              </w:rPr>
            </w:pPr>
            <w:r>
              <w:rPr>
                <w:rFonts w:hint="eastAsia" w:ascii="宋体" w:hAnsi="宋体" w:cs="宋体"/>
                <w:sz w:val="24"/>
              </w:rPr>
              <w:t>111.33</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承担知识产权保护协作相关工作</w:t>
            </w:r>
          </w:p>
        </w:tc>
        <w:tc>
          <w:tcPr>
            <w:tcW w:w="3818" w:type="dxa"/>
            <w:vAlign w:val="center"/>
          </w:tcPr>
          <w:p>
            <w:pPr>
              <w:widowControl/>
              <w:jc w:val="center"/>
              <w:rPr>
                <w:rFonts w:ascii="宋体" w:hAnsi="宋体" w:cs="宋体"/>
                <w:sz w:val="24"/>
              </w:rPr>
            </w:pPr>
            <w:r>
              <w:rPr>
                <w:rFonts w:hint="eastAsia" w:ascii="宋体" w:hAnsi="宋体" w:cs="宋体"/>
                <w:sz w:val="24"/>
              </w:rPr>
              <w:t>处理各类专利案件</w:t>
            </w:r>
          </w:p>
        </w:tc>
        <w:tc>
          <w:tcPr>
            <w:tcW w:w="6280" w:type="dxa"/>
            <w:vAlign w:val="center"/>
          </w:tcPr>
          <w:p>
            <w:pPr>
              <w:widowControl/>
              <w:jc w:val="center"/>
              <w:rPr>
                <w:rFonts w:ascii="宋体" w:hAnsi="宋体" w:cs="宋体"/>
                <w:sz w:val="24"/>
              </w:rPr>
            </w:pPr>
            <w:r>
              <w:rPr>
                <w:rFonts w:hint="eastAsia" w:ascii="宋体" w:hAnsi="宋体" w:cs="宋体"/>
                <w:sz w:val="24"/>
              </w:rPr>
              <w:t>处理各类专利案件40件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联合法院开展诉前调解、诉中调解</w:t>
            </w:r>
          </w:p>
        </w:tc>
        <w:tc>
          <w:tcPr>
            <w:tcW w:w="6280" w:type="dxa"/>
            <w:vAlign w:val="center"/>
          </w:tcPr>
          <w:p>
            <w:pPr>
              <w:widowControl/>
              <w:jc w:val="center"/>
              <w:rPr>
                <w:rFonts w:ascii="宋体" w:hAnsi="宋体" w:cs="宋体"/>
                <w:sz w:val="24"/>
              </w:rPr>
            </w:pPr>
            <w:r>
              <w:rPr>
                <w:rFonts w:hint="eastAsia" w:ascii="宋体" w:hAnsi="宋体" w:cs="宋体"/>
                <w:sz w:val="24"/>
              </w:rPr>
              <w:t>完成联合法院开展诉前调解、诉中调解8件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承担重点产业专利预审工作</w:t>
            </w:r>
          </w:p>
        </w:tc>
        <w:tc>
          <w:tcPr>
            <w:tcW w:w="3818" w:type="dxa"/>
            <w:vAlign w:val="center"/>
          </w:tcPr>
          <w:p>
            <w:pPr>
              <w:widowControl/>
              <w:jc w:val="center"/>
              <w:rPr>
                <w:rFonts w:ascii="宋体" w:hAnsi="宋体" w:cs="宋体"/>
                <w:sz w:val="24"/>
              </w:rPr>
            </w:pPr>
            <w:r>
              <w:rPr>
                <w:rFonts w:hint="eastAsia" w:ascii="宋体" w:hAnsi="宋体" w:cs="宋体"/>
                <w:sz w:val="24"/>
              </w:rPr>
              <w:t>重点产业领域专利授权	</w:t>
            </w:r>
          </w:p>
        </w:tc>
        <w:tc>
          <w:tcPr>
            <w:tcW w:w="6280" w:type="dxa"/>
            <w:vAlign w:val="center"/>
          </w:tcPr>
          <w:p>
            <w:pPr>
              <w:widowControl/>
              <w:jc w:val="center"/>
              <w:rPr>
                <w:rFonts w:ascii="宋体" w:hAnsi="宋体" w:cs="宋体"/>
                <w:sz w:val="24"/>
              </w:rPr>
            </w:pPr>
            <w:r>
              <w:rPr>
                <w:rFonts w:hint="eastAsia" w:ascii="宋体" w:hAnsi="宋体" w:cs="宋体"/>
                <w:sz w:val="24"/>
              </w:rPr>
              <w:t>重点产业领域专利授权3001件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受理预审案件	</w:t>
            </w:r>
          </w:p>
        </w:tc>
        <w:tc>
          <w:tcPr>
            <w:tcW w:w="6280" w:type="dxa"/>
            <w:vAlign w:val="center"/>
          </w:tcPr>
          <w:p>
            <w:pPr>
              <w:widowControl/>
              <w:jc w:val="center"/>
              <w:rPr>
                <w:rFonts w:ascii="宋体" w:hAnsi="宋体" w:cs="宋体"/>
                <w:sz w:val="24"/>
              </w:rPr>
            </w:pPr>
            <w:r>
              <w:rPr>
                <w:rFonts w:hint="eastAsia" w:ascii="宋体" w:hAnsi="宋体" w:cs="宋体"/>
                <w:sz w:val="24"/>
              </w:rPr>
              <w:t>受理预审案件7002件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承担专利商标（集成电路布图）业务受理工作</w:t>
            </w:r>
          </w:p>
        </w:tc>
        <w:tc>
          <w:tcPr>
            <w:tcW w:w="3818" w:type="dxa"/>
            <w:vAlign w:val="center"/>
          </w:tcPr>
          <w:p>
            <w:pPr>
              <w:widowControl/>
              <w:jc w:val="center"/>
              <w:rPr>
                <w:rFonts w:ascii="宋体" w:hAnsi="宋体" w:cs="宋体"/>
                <w:sz w:val="24"/>
              </w:rPr>
            </w:pPr>
            <w:r>
              <w:rPr>
                <w:rFonts w:hint="eastAsia" w:ascii="宋体" w:hAnsi="宋体" w:cs="宋体"/>
                <w:sz w:val="24"/>
              </w:rPr>
              <w:t>专利商标（集成电路布图）申请受理	</w:t>
            </w:r>
          </w:p>
        </w:tc>
        <w:tc>
          <w:tcPr>
            <w:tcW w:w="6280" w:type="dxa"/>
            <w:vAlign w:val="center"/>
          </w:tcPr>
          <w:p>
            <w:pPr>
              <w:widowControl/>
              <w:jc w:val="center"/>
              <w:rPr>
                <w:rFonts w:ascii="宋体" w:hAnsi="宋体" w:cs="宋体"/>
                <w:sz w:val="24"/>
              </w:rPr>
            </w:pPr>
            <w:r>
              <w:rPr>
                <w:rFonts w:hint="eastAsia" w:ascii="宋体" w:hAnsi="宋体" w:cs="宋体"/>
                <w:sz w:val="24"/>
              </w:rPr>
              <w:t>受理各类业务50.27万件，收缴官费2.34亿元，业务处理“零差错”、服务质量“零投诉”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负责海外知识产权预警工作</w:t>
            </w:r>
          </w:p>
        </w:tc>
        <w:tc>
          <w:tcPr>
            <w:tcW w:w="3818" w:type="dxa"/>
            <w:vAlign w:val="center"/>
          </w:tcPr>
          <w:p>
            <w:pPr>
              <w:widowControl/>
              <w:jc w:val="center"/>
              <w:rPr>
                <w:rFonts w:ascii="宋体" w:hAnsi="宋体" w:cs="宋体"/>
                <w:sz w:val="24"/>
              </w:rPr>
            </w:pPr>
            <w:r>
              <w:rPr>
                <w:rFonts w:hint="eastAsia" w:ascii="宋体" w:hAnsi="宋体" w:cs="宋体"/>
                <w:sz w:val="24"/>
              </w:rPr>
              <w:t>海外知识产权保护宣传</w:t>
            </w:r>
          </w:p>
        </w:tc>
        <w:tc>
          <w:tcPr>
            <w:tcW w:w="6280" w:type="dxa"/>
            <w:vAlign w:val="center"/>
          </w:tcPr>
          <w:p>
            <w:pPr>
              <w:widowControl/>
              <w:jc w:val="center"/>
              <w:rPr>
                <w:rFonts w:ascii="宋体" w:hAnsi="宋体" w:cs="宋体"/>
                <w:sz w:val="24"/>
              </w:rPr>
            </w:pPr>
            <w:r>
              <w:rPr>
                <w:rFonts w:hint="eastAsia" w:ascii="宋体" w:hAnsi="宋体" w:cs="宋体"/>
                <w:sz w:val="24"/>
              </w:rPr>
              <w:t>完成海外知识产权保护宣传2场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推进知识产权维权援助工作</w:t>
            </w:r>
          </w:p>
        </w:tc>
        <w:tc>
          <w:tcPr>
            <w:tcW w:w="3818" w:type="dxa"/>
            <w:vAlign w:val="center"/>
          </w:tcPr>
          <w:p>
            <w:pPr>
              <w:widowControl/>
              <w:jc w:val="center"/>
              <w:rPr>
                <w:rFonts w:ascii="宋体" w:hAnsi="宋体" w:cs="宋体"/>
                <w:sz w:val="24"/>
              </w:rPr>
            </w:pPr>
            <w:r>
              <w:rPr>
                <w:rFonts w:hint="eastAsia" w:ascii="宋体" w:hAnsi="宋体" w:cs="宋体"/>
                <w:sz w:val="24"/>
              </w:rPr>
              <w:t>为相关部门、企业出具专利侵权判定意见</w:t>
            </w:r>
          </w:p>
        </w:tc>
        <w:tc>
          <w:tcPr>
            <w:tcW w:w="6280" w:type="dxa"/>
            <w:vAlign w:val="center"/>
          </w:tcPr>
          <w:p>
            <w:pPr>
              <w:widowControl/>
              <w:jc w:val="center"/>
              <w:rPr>
                <w:rFonts w:ascii="宋体" w:hAnsi="宋体" w:cs="宋体"/>
                <w:sz w:val="24"/>
              </w:rPr>
            </w:pPr>
            <w:r>
              <w:rPr>
                <w:rFonts w:hint="eastAsia" w:ascii="宋体" w:hAnsi="宋体" w:cs="宋体"/>
                <w:sz w:val="24"/>
              </w:rPr>
              <w:t>为相关部门、企业出具专利侵权判定意见12份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为企业出具维权援助咨询意见</w:t>
            </w:r>
          </w:p>
        </w:tc>
        <w:tc>
          <w:tcPr>
            <w:tcW w:w="6280" w:type="dxa"/>
            <w:vAlign w:val="center"/>
          </w:tcPr>
          <w:p>
            <w:pPr>
              <w:widowControl/>
              <w:jc w:val="center"/>
              <w:rPr>
                <w:rFonts w:ascii="宋体" w:hAnsi="宋体" w:cs="宋体"/>
                <w:sz w:val="24"/>
              </w:rPr>
            </w:pPr>
            <w:r>
              <w:rPr>
                <w:rFonts w:hint="eastAsia" w:ascii="宋体" w:hAnsi="宋体" w:cs="宋体"/>
                <w:sz w:val="24"/>
              </w:rPr>
              <w:t>为企业出具维权援助咨询意见12份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知识产权数据分析运用工作</w:t>
            </w:r>
          </w:p>
        </w:tc>
        <w:tc>
          <w:tcPr>
            <w:tcW w:w="3818" w:type="dxa"/>
            <w:vAlign w:val="center"/>
          </w:tcPr>
          <w:p>
            <w:pPr>
              <w:widowControl/>
              <w:jc w:val="center"/>
              <w:rPr>
                <w:rFonts w:ascii="宋体" w:hAnsi="宋体" w:cs="宋体"/>
                <w:sz w:val="24"/>
              </w:rPr>
            </w:pPr>
            <w:r>
              <w:rPr>
                <w:rFonts w:hint="eastAsia" w:ascii="宋体" w:hAnsi="宋体" w:cs="宋体"/>
                <w:sz w:val="24"/>
              </w:rPr>
              <w:t>企业知识产权状态分析	</w:t>
            </w:r>
          </w:p>
        </w:tc>
        <w:tc>
          <w:tcPr>
            <w:tcW w:w="6280" w:type="dxa"/>
            <w:vAlign w:val="center"/>
          </w:tcPr>
          <w:p>
            <w:pPr>
              <w:widowControl/>
              <w:jc w:val="center"/>
              <w:rPr>
                <w:rFonts w:ascii="宋体" w:hAnsi="宋体" w:cs="宋体"/>
                <w:sz w:val="24"/>
              </w:rPr>
            </w:pPr>
            <w:r>
              <w:rPr>
                <w:rFonts w:hint="eastAsia" w:ascii="宋体" w:hAnsi="宋体" w:cs="宋体"/>
                <w:sz w:val="24"/>
              </w:rPr>
              <w:t>完成20份报告，包括添可智能科技有限公司、苏州软石智能装备有限公司、中苏圆科技集团有限公司、心擎医疗(苏州)股份有限公司、苏州中荟医疗科技有限公司、苏州益而益电器制造有限公司、莱克电气绿能科技(苏州)有限公司、科沃斯机器人股份有限公司、苏州维嘉科技股份有限公司、苏州兆和空气系统股份有限公司、苏州索迩电子技术有限公司、苏州长光华医生物医学工程有限公司、苏州阿克美汽车科技有限公司、锐迈科技股份有限公司、微康益生菌(苏州)股份有限公司、苏州市浩瑞制刷有限公司、张家港永和包装印务有限公司、昆山怡家居纺织有限公司、江苏中信博新能源科技股份有限公司、江苏中诚建材集团有限公司的分析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重点产业专利导航分析	</w:t>
            </w:r>
          </w:p>
        </w:tc>
        <w:tc>
          <w:tcPr>
            <w:tcW w:w="6280" w:type="dxa"/>
            <w:vAlign w:val="center"/>
          </w:tcPr>
          <w:p>
            <w:pPr>
              <w:widowControl/>
              <w:jc w:val="center"/>
              <w:rPr>
                <w:rFonts w:ascii="宋体" w:hAnsi="宋体" w:cs="宋体"/>
                <w:sz w:val="24"/>
              </w:rPr>
            </w:pPr>
            <w:r>
              <w:rPr>
                <w:rFonts w:hint="eastAsia" w:ascii="宋体" w:hAnsi="宋体" w:cs="宋体"/>
                <w:sz w:val="24"/>
              </w:rPr>
              <w:t>完成三项报告，包括苏州市工业园区核药产业专利导航、新型储能产业专利跟踪报告、动力电池产业导航报告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高层次人才知识产权服务	</w:t>
            </w:r>
          </w:p>
        </w:tc>
        <w:tc>
          <w:tcPr>
            <w:tcW w:w="6280" w:type="dxa"/>
            <w:vAlign w:val="center"/>
          </w:tcPr>
          <w:p>
            <w:pPr>
              <w:widowControl/>
              <w:jc w:val="center"/>
              <w:rPr>
                <w:rFonts w:ascii="宋体" w:hAnsi="宋体" w:cs="宋体"/>
                <w:sz w:val="24"/>
              </w:rPr>
            </w:pPr>
            <w:r>
              <w:rPr>
                <w:rFonts w:hint="eastAsia" w:ascii="宋体" w:hAnsi="宋体" w:cs="宋体"/>
                <w:sz w:val="24"/>
              </w:rPr>
              <w:t>为苏州实验室周济院士团队的光计算项目提供光计算材料专利分析服务，出具分析报告，得到实验室的感谢。</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保护中心部门工作目标任务书等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保护中心部门工作目标任务书等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苏州市非税管理系统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江苏省行政事业单位资产云平台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江苏省行政事业单位资产云平台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保护中心固定资产管理办法</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保护中心自行采购管理办法、保护中心内控制度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保护中心自行采购管理办法、保护中心内控制度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预审员薪酬管理办法</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江苏省养老税务系统等</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保护中心请销假制度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培训签到表</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党建台账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主任办公会议纪要</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预算管理一体化系统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实现企业专利快速授权程度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较高</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较高</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国家知识产权局i系统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预审后发明专利授权量占当年本市发明授权比率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&gt;=15%</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15.33%</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智慧芽系统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2.20%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申请文件采集、审核差错率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&lt;=0.03%</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国家局专利局代办处各月业务工作质量通报</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重点产业专利导航分析报告</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&gt;=3份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苏州市工业园区核药产业专利导航、新型储能产业专利跟踪报告、动力电池产业导航报告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为企业出具维权援助咨询意见</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&gt;=12件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12件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维权援助管理系统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为相关部门、企业出具专利侵权判定意见</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&gt;=12件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12件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维权援助管理系统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联合法院开展诉前调解、诉中调解</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&gt;=8件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部门工作目标任务书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处理各类专利案件</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&gt;=40件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40件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国家知识产权局公共服务平台-行政保护信息报送子系统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编印《苏州海外知识产权纠纷应对信息参考》</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&gt;=2期</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2期</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海外知识产权纠纷应对指导工作管理系统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企业知识产权状态分析报告</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&gt;=20份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20份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添可智能科技有限公司、苏州软石智能装备有限公司、中苏圆科技集团有限公司、心擎医疗(苏州)股份有限公司、苏州中荟医疗科技有限公司、苏州益而益电器制造有限公司、莱克电气绿能科技(苏州)有限公司、科沃斯机器人股份有限公司、苏州维嘉科技股份有限公司、苏州兆和空气系统股份有限公司、苏州索迩电子技术有限公司、苏州长光华医生物医学工程有限公司、苏州阿克美汽车科技有限公司、锐迈科技股份有限公司、微康益生菌(苏州)股份有限公司、苏州市浩瑞制刷有限公司、张家港永和包装印务有限公司、昆山怡家居纺织有限公司、江苏中信博新能源科技股份有限公司、江苏中诚建材集团有限公司</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“海外知识产权维权”系列活动</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&gt;=2场</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2场</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海外知识产权纠纷应对指导工作管理系统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授权专利数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&gt;=3000件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3007件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国家知识产权局i系统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0.23%</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受理案件数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&gt;=7000件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7002件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专利预审服务系统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0.03%</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人才企业专利微导航报告</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英诺赛科功率器件封装设计预警分析，GaN功率器件封装技术预警报告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