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4"/>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7"/>
              <w:framePr w:wrap="notBeside" w:vAnchor="page" w:hAnchor="page" w:x="1475" w:y="1478"/>
              <w:tabs>
                <w:tab w:val="clear" w:pos="4153"/>
                <w:tab w:val="clear" w:pos="8306"/>
              </w:tabs>
              <w:spacing w:line="240" w:lineRule="auto"/>
              <w:jc w:val="left"/>
              <w:rPr>
                <w:rFonts w:hint="eastAsia" w:ascii="宋体" w:hAnsi="宋体" w:eastAsia="宋体" w:cs="宋体"/>
                <w:sz w:val="21"/>
                <w:szCs w:val="21"/>
                <w:highlight w:val="none"/>
              </w:rPr>
            </w:pPr>
            <w:r>
              <w:rPr>
                <w:rFonts w:hint="eastAsia" w:ascii="黑体" w:hAnsi="黑体" w:eastAsia="黑体" w:cs="黑体"/>
                <w:sz w:val="21"/>
                <w:szCs w:val="21"/>
                <w:highlight w:val="none"/>
              </w:rPr>
              <w:t>ICS</w:t>
            </w:r>
            <w:r>
              <w:rPr>
                <w:rFonts w:hint="eastAsia" w:ascii="宋体" w:hAnsi="宋体" w:eastAsia="宋体" w:cs="宋体"/>
                <w:sz w:val="21"/>
                <w:szCs w:val="21"/>
                <w:highlight w:val="none"/>
              </w:rPr>
              <w:t xml:space="preserve">  </w:t>
            </w:r>
          </w:p>
        </w:tc>
        <w:tc>
          <w:tcPr>
            <w:tcW w:w="8855" w:type="dxa"/>
          </w:tcPr>
          <w:p>
            <w:pPr>
              <w:pStyle w:val="17"/>
              <w:framePr w:wrap="notBeside" w:vAnchor="page" w:hAnchor="page" w:x="1475" w:y="1478"/>
              <w:tabs>
                <w:tab w:val="clear" w:pos="4153"/>
                <w:tab w:val="clear" w:pos="8306"/>
              </w:tabs>
              <w:spacing w:line="240" w:lineRule="auto"/>
              <w:jc w:val="both"/>
              <w:rPr>
                <w:rFonts w:hint="eastAsia" w:ascii="宋体" w:hAnsi="宋体" w:eastAsia="宋体" w:cs="宋体"/>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7"/>
              <w:framePr w:wrap="notBeside" w:vAnchor="page" w:hAnchor="page" w:x="1475" w:y="1478"/>
              <w:tabs>
                <w:tab w:val="clear" w:pos="4153"/>
                <w:tab w:val="clear" w:pos="8306"/>
              </w:tabs>
              <w:spacing w:before="40" w:line="240" w:lineRule="auto"/>
              <w:jc w:val="left"/>
              <w:rPr>
                <w:rFonts w:hint="eastAsia" w:ascii="宋体" w:hAnsi="宋体" w:eastAsia="宋体" w:cs="宋体"/>
                <w:sz w:val="21"/>
                <w:szCs w:val="21"/>
                <w:highlight w:val="none"/>
              </w:rPr>
            </w:pPr>
            <w:r>
              <w:rPr>
                <w:rFonts w:hint="eastAsia" w:ascii="黑体" w:hAnsi="黑体" w:eastAsia="黑体" w:cs="黑体"/>
                <w:sz w:val="21"/>
                <w:szCs w:val="21"/>
                <w:highlight w:val="none"/>
              </w:rPr>
              <w:t xml:space="preserve">CCS </w:t>
            </w:r>
            <w:r>
              <w:rPr>
                <w:rFonts w:hint="eastAsia" w:ascii="宋体" w:hAnsi="宋体" w:eastAsia="宋体" w:cs="宋体"/>
                <w:sz w:val="21"/>
                <w:szCs w:val="21"/>
                <w:highlight w:val="none"/>
              </w:rPr>
              <w:t xml:space="preserve"> </w:t>
            </w:r>
          </w:p>
        </w:tc>
        <w:tc>
          <w:tcPr>
            <w:tcW w:w="8855" w:type="dxa"/>
          </w:tcPr>
          <w:p>
            <w:pPr>
              <w:pStyle w:val="17"/>
              <w:framePr w:wrap="notBeside" w:vAnchor="page" w:hAnchor="page" w:x="1475" w:y="1478"/>
              <w:tabs>
                <w:tab w:val="clear" w:pos="4153"/>
                <w:tab w:val="clear" w:pos="8306"/>
              </w:tabs>
              <w:spacing w:before="40" w:line="240" w:lineRule="auto"/>
              <w:jc w:val="left"/>
              <w:rPr>
                <w:rFonts w:hint="eastAsia" w:ascii="宋体" w:hAnsi="宋体" w:eastAsia="宋体" w:cs="宋体"/>
                <w:sz w:val="21"/>
                <w:szCs w:val="21"/>
                <w:highlight w:val="none"/>
              </w:rPr>
            </w:pPr>
          </w:p>
        </w:tc>
      </w:tr>
    </w:tbl>
    <w:tbl>
      <w:tblPr>
        <w:tblStyle w:val="24"/>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61"/>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61" w:type="dxa"/>
          </w:tcPr>
          <w:p>
            <w:pPr>
              <w:pStyle w:val="46"/>
              <w:framePr w:w="0" w:hRule="auto" w:wrap="auto" w:vAnchor="margin" w:hAnchor="text" w:xAlign="left" w:yAlign="inline"/>
              <w:rPr>
                <w:rFonts w:hint="eastAsia" w:ascii="宋体" w:hAnsi="宋体" w:eastAsia="宋体" w:cs="宋体"/>
                <w:sz w:val="28"/>
                <w:szCs w:val="28"/>
                <w:highlight w:val="none"/>
              </w:rPr>
            </w:pPr>
            <w:r>
              <w:rPr>
                <w:rFonts w:hint="eastAsia" w:ascii="宋体" w:hAnsi="宋体" w:eastAsia="宋体" w:cs="宋体"/>
                <w:highlight w:val="none"/>
              </w:rP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rFonts w:hint="eastAsia" w:ascii="宋体" w:hAnsi="宋体" w:eastAsia="宋体" w:cs="宋体"/>
                <w:sz w:val="21"/>
                <w:szCs w:val="21"/>
                <w:highlight w:val="none"/>
              </w:rPr>
              <w:t xml:space="preserve"> </w:t>
            </w:r>
            <w:r>
              <w:rPr>
                <w:rFonts w:hint="eastAsia" w:ascii="宋体" w:hAnsi="宋体" w:eastAsia="宋体" w:cs="宋体"/>
                <w:highlight w:val="none"/>
              </w:rPr>
              <w:t>3205</w:t>
            </w:r>
          </w:p>
        </w:tc>
      </w:tr>
    </w:tbl>
    <w:p>
      <w:pPr>
        <w:tabs>
          <w:tab w:val="left" w:pos="3641"/>
          <w:tab w:val="right" w:pos="8429"/>
        </w:tabs>
        <w:jc w:val="left"/>
        <w:rPr>
          <w:rFonts w:hint="eastAsia" w:ascii="宋体" w:hAnsi="宋体" w:eastAsia="宋体" w:cs="宋体"/>
          <w:b/>
          <w:bCs/>
          <w:sz w:val="72"/>
          <w:szCs w:val="72"/>
          <w:highlight w:val="none"/>
        </w:rPr>
      </w:pPr>
      <w:r>
        <w:rPr>
          <w:rFonts w:hint="eastAsia" w:ascii="宋体" w:hAnsi="宋体" w:eastAsia="宋体" w:cs="宋体"/>
          <w:b/>
          <w:bCs/>
          <w:sz w:val="72"/>
          <w:szCs w:val="72"/>
          <w:highlight w:val="none"/>
          <w:lang w:eastAsia="zh-CN"/>
        </w:rPr>
        <w:tab/>
      </w:r>
      <w:r>
        <w:rPr>
          <w:rFonts w:hint="eastAsia" w:ascii="宋体" w:hAnsi="宋体" w:eastAsia="宋体" w:cs="宋体"/>
          <w:b/>
          <w:bCs/>
          <w:sz w:val="72"/>
          <w:szCs w:val="72"/>
          <w:highlight w:val="none"/>
          <w:lang w:eastAsia="zh-CN"/>
        </w:rPr>
        <w:tab/>
      </w:r>
      <w:r>
        <w:rPr>
          <w:rFonts w:hint="eastAsia" w:ascii="宋体" w:hAnsi="宋体" w:eastAsia="宋体" w:cs="宋体"/>
          <w:b/>
          <w:bCs/>
          <w:sz w:val="72"/>
          <w:szCs w:val="72"/>
          <w:highlight w:val="none"/>
        </w:rPr>
        <w:t>DB……</w:t>
      </w:r>
    </w:p>
    <w:p>
      <w:pPr>
        <w:pStyle w:val="48"/>
        <w:framePr w:x="1573" w:y="3977"/>
        <w:rPr>
          <w:rFonts w:hint="eastAsia" w:ascii="宋体" w:hAnsi="宋体" w:eastAsia="宋体" w:cs="宋体"/>
          <w:highlight w:val="none"/>
          <w:lang w:val="en-US" w:eastAsia="zh-CN"/>
        </w:rPr>
      </w:pPr>
      <w:r>
        <w:rPr>
          <w:rFonts w:hint="eastAsia" w:ascii="黑体" w:hAnsi="黑体" w:eastAsia="黑体" w:cs="黑体"/>
          <w:highlight w:val="none"/>
        </w:rPr>
        <w:t xml:space="preserve">DB 3205/T </w:t>
      </w:r>
      <w:r>
        <w:rPr>
          <w:rFonts w:hint="eastAsia" w:ascii="黑体" w:hAnsi="黑体" w:eastAsia="黑体" w:cs="黑体"/>
          <w:highlight w:val="none"/>
        </w:rPr>
        <w:fldChar w:fldCharType="begin">
          <w:ffData>
            <w:name w:val="NSTD_CODE_F"/>
            <w:enabled/>
            <w:calcOnExit w:val="0"/>
            <w:textInput>
              <w:default w:val="XXXXX"/>
            </w:textInput>
          </w:ffData>
        </w:fldChar>
      </w:r>
      <w:r>
        <w:rPr>
          <w:rFonts w:hint="eastAsia" w:ascii="黑体" w:hAnsi="黑体" w:eastAsia="黑体" w:cs="黑体"/>
          <w:highlight w:val="none"/>
        </w:rPr>
        <w:instrText xml:space="preserve"> FORMTEXT </w:instrText>
      </w:r>
      <w:r>
        <w:rPr>
          <w:rFonts w:hint="eastAsia" w:ascii="黑体" w:hAnsi="黑体" w:eastAsia="黑体" w:cs="黑体"/>
          <w:highlight w:val="none"/>
        </w:rPr>
        <w:fldChar w:fldCharType="separate"/>
      </w:r>
      <w:r>
        <w:rPr>
          <w:rFonts w:hint="eastAsia" w:ascii="黑体" w:hAnsi="黑体" w:eastAsia="黑体" w:cs="黑体"/>
          <w:highlight w:val="none"/>
        </w:rPr>
        <w:t>XXXXX</w:t>
      </w:r>
      <w:r>
        <w:rPr>
          <w:rFonts w:hint="eastAsia" w:ascii="黑体" w:hAnsi="黑体" w:eastAsia="黑体" w:cs="黑体"/>
          <w:highlight w:val="none"/>
        </w:rPr>
        <w:fldChar w:fldCharType="end"/>
      </w:r>
      <w:r>
        <w:rPr>
          <w:rFonts w:hint="eastAsia" w:ascii="黑体" w:hAnsi="黑体" w:eastAsia="黑体" w:cs="黑体"/>
          <w:highlight w:val="none"/>
        </w:rPr>
        <w:t>—202</w:t>
      </w:r>
      <w:r>
        <w:rPr>
          <w:rFonts w:hint="eastAsia" w:ascii="黑体" w:hAnsi="黑体" w:eastAsia="黑体" w:cs="黑体"/>
          <w:highlight w:val="none"/>
          <w:lang w:val="en-US" w:eastAsia="zh-CN"/>
        </w:rPr>
        <w:t>2</w:t>
      </w:r>
    </w:p>
    <w:p>
      <w:pPr>
        <w:rPr>
          <w:rFonts w:hint="eastAsia" w:ascii="宋体" w:hAnsi="宋体" w:eastAsia="宋体" w:cs="宋体"/>
          <w:sz w:val="36"/>
          <w:szCs w:val="40"/>
          <w:highlight w:val="none"/>
        </w:rPr>
      </w:pPr>
      <w:r>
        <w:rPr>
          <w:rFonts w:hint="eastAsia" w:ascii="宋体" w:hAnsi="宋体" w:eastAsia="宋体" w:cs="宋体"/>
          <w:kern w:val="0"/>
          <w:sz w:val="10"/>
          <w:szCs w:val="10"/>
          <w:highlight w:val="none"/>
        </w:rPr>
        <mc:AlternateContent>
          <mc:Choice Requires="wps">
            <w:drawing>
              <wp:anchor distT="0" distB="0" distL="114300" distR="114300" simplePos="0" relativeHeight="251660288" behindDoc="0" locked="0" layoutInCell="1" allowOverlap="0">
                <wp:simplePos x="0" y="0"/>
                <wp:positionH relativeFrom="page">
                  <wp:posOffset>796290</wp:posOffset>
                </wp:positionH>
                <wp:positionV relativeFrom="page">
                  <wp:posOffset>3002280</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2.7pt;margin-top:236.4pt;height:0pt;width:481.9pt;mso-position-horizontal-relative:page;mso-position-vertical-relative:page;z-index:251660288;mso-width-relative:page;mso-height-relative:page;" filled="f" stroked="t" coordsize="21600,21600" o:allowoverlap="f" o:gfxdata="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qi5c7XAAAA&#10;DAEAAA8AAAAAAAAAAQAgAAAAIgAAAGRycy9kb3ducmV2LnhtbFBLAQIUABQAAAAIAIdO4kDh++MY&#10;5QEAAKwDAAAOAAAAAAAAAAEAIAAAACYBAABkcnMvZTJvRG9jLnhtbFBLBQYAAAAABgAGAFkBAAB9&#10;BQAAAAA=&#10;">
                <v:fill on="f" focussize="0,0"/>
                <v:stroke color="#000000" joinstyle="round"/>
                <v:imagedata o:title=""/>
                <o:lock v:ext="edit" aspectratio="f"/>
              </v:line>
            </w:pict>
          </mc:Fallback>
        </mc:AlternateContent>
      </w:r>
    </w:p>
    <w:p>
      <w:pPr>
        <w:pStyle w:val="47"/>
        <w:framePr w:w="9639" w:h="624" w:hRule="exact" w:hSpace="181" w:vSpace="181" w:wrap="around" w:vAnchor="page" w:hAnchor="page" w:x="1272" w:y="3333"/>
        <w:rPr>
          <w:rFonts w:hint="eastAsia" w:ascii="宋体" w:hAnsi="宋体" w:eastAsia="宋体" w:cs="宋体"/>
          <w:b w:val="0"/>
          <w:bCs w:val="0"/>
          <w:w w:val="100"/>
          <w:sz w:val="48"/>
          <w:szCs w:val="48"/>
          <w:highlight w:val="none"/>
        </w:rPr>
      </w:pPr>
      <w:r>
        <w:rPr>
          <w:rFonts w:hint="eastAsia" w:ascii="黑体" w:hAnsi="黑体" w:eastAsia="黑体" w:cs="黑体"/>
          <w:b w:val="0"/>
          <w:w w:val="100"/>
          <w:sz w:val="48"/>
          <w:highlight w:val="none"/>
        </w:rPr>
        <w:t>苏州市</w:t>
      </w:r>
      <w:r>
        <w:rPr>
          <w:rFonts w:hint="eastAsia" w:ascii="黑体" w:hAnsi="黑体" w:eastAsia="黑体" w:cs="黑体"/>
          <w:b w:val="0"/>
          <w:bCs w:val="0"/>
          <w:w w:val="100"/>
          <w:sz w:val="48"/>
          <w:szCs w:val="48"/>
          <w:highlight w:val="none"/>
        </w:rPr>
        <w:t>地方标准</w:t>
      </w:r>
    </w:p>
    <w:p>
      <w:pPr>
        <w:pStyle w:val="47"/>
        <w:framePr w:w="9639" w:h="6976" w:hRule="exact" w:hSpace="0" w:vSpace="0" w:wrap="around" w:hAnchor="page" w:y="6408"/>
        <w:jc w:val="center"/>
        <w:rPr>
          <w:rFonts w:ascii="黑体" w:hAnsi="黑体" w:eastAsia="黑体"/>
          <w:b w:val="0"/>
          <w:bCs w:val="0"/>
          <w:w w:val="100"/>
          <w:highlight w:val="none"/>
        </w:rPr>
      </w:pPr>
    </w:p>
    <w:p>
      <w:pPr>
        <w:pStyle w:val="51"/>
        <w:framePr w:h="6974" w:hRule="exact" w:wrap="around" w:x="1419" w:anchorLock="1"/>
        <w:pBdr>
          <w:top w:val="none" w:color="auto" w:sz="0" w:space="0"/>
          <w:left w:val="none" w:color="auto" w:sz="0" w:space="0"/>
          <w:bottom w:val="none" w:color="auto" w:sz="0" w:space="0"/>
          <w:right w:val="none" w:color="auto" w:sz="0" w:space="0"/>
        </w:pBdr>
        <w:rPr>
          <w:rFonts w:hint="eastAsia" w:eastAsia="黑体"/>
          <w:highlight w:val="none"/>
          <w:lang w:val="en-US" w:eastAsia="zh-CN"/>
        </w:rPr>
      </w:pPr>
      <w:r>
        <w:rPr>
          <w:rFonts w:hint="eastAsia"/>
          <w:highlight w:val="none"/>
        </w:rPr>
        <w:t>智慧农业示范基地建设与评价　</w:t>
      </w:r>
      <w:r>
        <w:rPr>
          <w:rFonts w:hint="eastAsia"/>
          <w:highlight w:val="none"/>
          <w:lang w:eastAsia="zh-CN"/>
        </w:rPr>
        <w:t>第6部分</w:t>
      </w:r>
      <w:r>
        <w:rPr>
          <w:rFonts w:hint="eastAsia"/>
          <w:highlight w:val="none"/>
        </w:rPr>
        <w:t>：智慧</w:t>
      </w:r>
      <w:r>
        <w:rPr>
          <w:rFonts w:hint="eastAsia"/>
          <w:highlight w:val="none"/>
          <w:lang w:val="en-US" w:eastAsia="zh-CN"/>
        </w:rPr>
        <w:t>农村</w:t>
      </w:r>
      <w:bookmarkStart w:id="69" w:name="_GoBack"/>
      <w:bookmarkEnd w:id="69"/>
    </w:p>
    <w:p>
      <w:pPr>
        <w:pStyle w:val="51"/>
        <w:framePr w:h="6974" w:hRule="exact" w:wrap="around" w:x="1419" w:anchorLock="1"/>
        <w:spacing w:line="200" w:lineRule="exact"/>
        <w:jc w:val="both"/>
        <w:rPr>
          <w:highlight w:val="none"/>
        </w:rPr>
      </w:pPr>
    </w:p>
    <w:p>
      <w:pPr>
        <w:framePr w:w="9639" w:h="6974" w:hRule="exact" w:wrap="around" w:vAnchor="page" w:hAnchor="page" w:x="1419" w:y="6408" w:anchorLock="1"/>
        <w:ind w:left="-1418"/>
        <w:rPr>
          <w:highlight w:val="none"/>
        </w:rPr>
      </w:pPr>
    </w:p>
    <w:p>
      <w:pPr>
        <w:pStyle w:val="52"/>
        <w:framePr w:w="9639" w:h="6974" w:hRule="exact" w:wrap="around" w:vAnchor="page" w:hAnchor="page" w:x="1419" w:y="6408" w:anchorLock="1"/>
        <w:textAlignment w:val="bottom"/>
        <w:rPr>
          <w:rFonts w:eastAsia="黑体"/>
          <w:szCs w:val="28"/>
          <w:highlight w:val="none"/>
        </w:rPr>
      </w:pPr>
      <w:r>
        <w:rPr>
          <w:rFonts w:hint="eastAsia" w:ascii="黑体" w:hAnsi="黑体" w:eastAsia="黑体" w:cs="黑体"/>
          <w:szCs w:val="28"/>
          <w:highlight w:val="none"/>
          <w:lang w:val="en-US" w:eastAsia="zh-CN"/>
        </w:rPr>
        <w:t>Cons</w:t>
      </w:r>
      <w:r>
        <w:rPr>
          <w:rFonts w:hint="eastAsia" w:ascii="黑体" w:hAnsi="黑体" w:eastAsia="黑体" w:cs="黑体"/>
          <w:szCs w:val="28"/>
          <w:highlight w:val="none"/>
        </w:rPr>
        <w:t>truction and evaluation of Smart Agricultural Demonstration Base</w:t>
      </w:r>
    </w:p>
    <w:p>
      <w:pPr>
        <w:pStyle w:val="52"/>
        <w:framePr w:w="9639" w:h="6974" w:hRule="exact" w:wrap="around" w:vAnchor="page" w:hAnchor="page" w:x="1419" w:y="6408" w:anchorLock="1"/>
        <w:textAlignment w:val="bottom"/>
        <w:rPr>
          <w:rFonts w:hint="default" w:ascii="黑体" w:hAnsi="黑体" w:eastAsia="黑体" w:cs="黑体"/>
          <w:szCs w:val="28"/>
          <w:highlight w:val="none"/>
          <w:lang w:val="en-US"/>
        </w:rPr>
      </w:pPr>
      <w:r>
        <w:rPr>
          <w:rFonts w:hint="eastAsia" w:ascii="黑体" w:hAnsi="黑体" w:eastAsia="黑体" w:cs="黑体"/>
          <w:szCs w:val="28"/>
          <w:highlight w:val="none"/>
          <w:lang w:val="en-US" w:eastAsia="zh-CN"/>
        </w:rPr>
        <w:t>Part 6 Smart Rural</w:t>
      </w:r>
    </w:p>
    <w:p>
      <w:pPr>
        <w:framePr w:w="9639" w:h="6974" w:hRule="exact" w:wrap="around" w:vAnchor="page" w:hAnchor="page" w:x="1419" w:y="6408" w:anchorLock="1"/>
        <w:spacing w:line="760" w:lineRule="exact"/>
        <w:ind w:left="-1418"/>
        <w:rPr>
          <w:highlight w:val="none"/>
        </w:rPr>
      </w:pPr>
    </w:p>
    <w:p>
      <w:pPr>
        <w:pStyle w:val="52"/>
        <w:framePr w:w="9639" w:h="6974" w:hRule="exact" w:wrap="around" w:vAnchor="page" w:hAnchor="page" w:x="1419" w:y="6408" w:anchorLock="1"/>
        <w:spacing w:before="440" w:after="160"/>
        <w:textAlignment w:val="bottom"/>
        <w:rPr>
          <w:sz w:val="24"/>
          <w:szCs w:val="28"/>
          <w:highlight w:val="none"/>
        </w:rPr>
      </w:pPr>
      <w:r>
        <w:rPr>
          <w:sz w:val="24"/>
          <w:szCs w:val="28"/>
          <w:highlight w:val="none"/>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0" w:name="下拉1"/>
      <w:r>
        <w:rPr>
          <w:sz w:val="24"/>
          <w:szCs w:val="28"/>
          <w:highlight w:val="none"/>
        </w:rPr>
        <w:instrText xml:space="preserve"> FORMDROPDOWN </w:instrText>
      </w:r>
      <w:r>
        <w:rPr>
          <w:sz w:val="24"/>
          <w:szCs w:val="28"/>
          <w:highlight w:val="none"/>
        </w:rPr>
        <w:fldChar w:fldCharType="separate"/>
      </w:r>
      <w:r>
        <w:rPr>
          <w:sz w:val="24"/>
          <w:szCs w:val="28"/>
          <w:highlight w:val="none"/>
        </w:rPr>
        <w:fldChar w:fldCharType="end"/>
      </w:r>
      <w:bookmarkEnd w:id="0"/>
    </w:p>
    <w:p>
      <w:pPr>
        <w:pStyle w:val="52"/>
        <w:framePr w:w="9639" w:h="6974" w:hRule="exact" w:wrap="around" w:vAnchor="page" w:hAnchor="page" w:x="1419" w:y="6408" w:anchorLock="1"/>
        <w:spacing w:before="180" w:line="240" w:lineRule="atLeast"/>
        <w:textAlignment w:val="bottom"/>
        <w:rPr>
          <w:sz w:val="21"/>
          <w:szCs w:val="28"/>
          <w:highlight w:val="none"/>
        </w:rPr>
      </w:pPr>
      <w:r>
        <w:rPr>
          <w:rFonts w:hint="eastAsia"/>
          <w:sz w:val="21"/>
          <w:szCs w:val="28"/>
          <w:highlight w:val="none"/>
        </w:rPr>
        <w:t>（本草案完成时间：202</w:t>
      </w:r>
      <w:r>
        <w:rPr>
          <w:rFonts w:hint="eastAsia"/>
          <w:sz w:val="21"/>
          <w:szCs w:val="28"/>
          <w:highlight w:val="none"/>
          <w:lang w:val="en-US" w:eastAsia="zh-CN"/>
        </w:rPr>
        <w:t>2</w:t>
      </w:r>
      <w:r>
        <w:rPr>
          <w:rFonts w:hint="eastAsia"/>
          <w:sz w:val="21"/>
          <w:szCs w:val="28"/>
          <w:highlight w:val="none"/>
        </w:rPr>
        <w:t>年</w:t>
      </w:r>
      <w:r>
        <w:rPr>
          <w:rFonts w:hint="eastAsia"/>
          <w:sz w:val="21"/>
          <w:szCs w:val="28"/>
          <w:highlight w:val="none"/>
          <w:lang w:val="en-US" w:eastAsia="zh-CN"/>
        </w:rPr>
        <w:t>10</w:t>
      </w:r>
      <w:r>
        <w:rPr>
          <w:rFonts w:hint="eastAsia"/>
          <w:sz w:val="21"/>
          <w:szCs w:val="28"/>
          <w:highlight w:val="none"/>
        </w:rPr>
        <w:t>月</w:t>
      </w:r>
      <w:r>
        <w:rPr>
          <w:rFonts w:hint="eastAsia"/>
          <w:sz w:val="21"/>
          <w:szCs w:val="28"/>
          <w:highlight w:val="none"/>
          <w:lang w:val="en-US" w:eastAsia="zh-CN"/>
        </w:rPr>
        <w:t>28</w:t>
      </w:r>
      <w:r>
        <w:rPr>
          <w:rFonts w:hint="eastAsia"/>
          <w:sz w:val="21"/>
          <w:szCs w:val="28"/>
          <w:highlight w:val="none"/>
        </w:rPr>
        <w:t>日）</w:t>
      </w: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黑体" w:hAnsi="黑体" w:eastAsia="黑体" w:cs="黑体"/>
          <w:highlight w:val="none"/>
        </w:rPr>
      </w:pPr>
    </w:p>
    <w:p>
      <w:pPr>
        <w:rPr>
          <w:rFonts w:hint="eastAsia" w:ascii="黑体" w:hAnsi="黑体" w:eastAsia="黑体" w:cs="黑体"/>
          <w:highlight w:val="none"/>
        </w:rPr>
      </w:pPr>
      <w:r>
        <w:rPr>
          <w:rFonts w:hint="eastAsia" w:ascii="宋体" w:hAnsi="宋体" w:eastAsia="宋体" w:cs="宋体"/>
          <w:kern w:val="0"/>
          <w:sz w:val="10"/>
          <w:szCs w:val="10"/>
          <w:highlight w:val="none"/>
        </w:rPr>
        <mc:AlternateContent>
          <mc:Choice Requires="wps">
            <w:drawing>
              <wp:anchor distT="0" distB="0" distL="114300" distR="114300" simplePos="0" relativeHeight="251661312" behindDoc="0" locked="0" layoutInCell="1" allowOverlap="0">
                <wp:simplePos x="0" y="0"/>
                <wp:positionH relativeFrom="page">
                  <wp:posOffset>843280</wp:posOffset>
                </wp:positionH>
                <wp:positionV relativeFrom="page">
                  <wp:posOffset>9494520</wp:posOffset>
                </wp:positionV>
                <wp:extent cx="6120130"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6.4pt;margin-top:747.6pt;height:0pt;width:481.9pt;mso-position-horizontal-relative:page;mso-position-vertical-relative:page;z-index:251661312;mso-width-relative:page;mso-height-relative:page;" filled="f" stroked="t" coordsize="21600,21600" o:allowoverlap="f" o:gfxdata="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lDcom2AAAAA4B&#10;AAAPAAAAAAAAAAEAIAAAACIAAABkcnMvZG93bnJldi54bWxQSwECFAAUAAAACACHTuJATdRXBOIB&#10;AACqAwAADgAAAAAAAAABACAAAAAnAQAAZHJzL2Uyb0RvYy54bWxQSwUGAAAAAAYABgBZAQAAewUA&#10;AAAA&#10;">
                <v:fill on="f" focussize="0,0"/>
                <v:stroke color="#000000" joinstyle="round"/>
                <v:imagedata o:title=""/>
                <o:lock v:ext="edit" aspectratio="f"/>
              </v:line>
            </w:pict>
          </mc:Fallback>
        </mc:AlternateContent>
      </w:r>
    </w:p>
    <w:p>
      <w:pPr>
        <w:pStyle w:val="53"/>
        <w:framePr w:wrap="around" w:y="14176"/>
        <w:rPr>
          <w:rFonts w:hint="eastAsia" w:ascii="黑体" w:hAnsi="黑体" w:eastAsia="黑体" w:cs="黑体"/>
          <w:highlight w:val="none"/>
        </w:rPr>
      </w:pPr>
      <w:r>
        <w:rPr>
          <w:rFonts w:hint="eastAsia" w:ascii="黑体" w:hAnsi="黑体" w:eastAsia="黑体" w:cs="黑体"/>
          <w:highlight w:val="none"/>
          <w:lang w:val="en-US" w:eastAsia="zh-CN"/>
        </w:rPr>
        <w:t>2022</w:t>
      </w:r>
      <w:r>
        <w:rPr>
          <w:rFonts w:hint="eastAsia" w:ascii="黑体" w:hAnsi="黑体" w:eastAsia="黑体" w:cs="黑体"/>
          <w:highlight w:val="none"/>
        </w:rPr>
        <w:t xml:space="preserve">- </w:t>
      </w:r>
      <w:r>
        <w:rPr>
          <w:rFonts w:hint="eastAsia" w:ascii="黑体" w:hAnsi="黑体" w:eastAsia="黑体" w:cs="黑体"/>
          <w:highlight w:val="none"/>
        </w:rPr>
        <w:fldChar w:fldCharType="begin">
          <w:ffData>
            <w:name w:val="PLSH_DATE_M"/>
            <w:enabled/>
            <w:calcOnExit w:val="0"/>
            <w:textInput>
              <w:default w:val="XX"/>
              <w:maxLength w:val="2"/>
            </w:textInput>
          </w:ffData>
        </w:fldChar>
      </w:r>
      <w:bookmarkStart w:id="1" w:name="PLSH_DATE_M"/>
      <w:r>
        <w:rPr>
          <w:rFonts w:hint="eastAsia" w:ascii="黑体" w:hAnsi="黑体" w:eastAsia="黑体" w:cs="黑体"/>
          <w:highlight w:val="none"/>
        </w:rPr>
        <w:instrText xml:space="preserve"> FORMTEXT </w:instrText>
      </w:r>
      <w:r>
        <w:rPr>
          <w:rFonts w:hint="eastAsia" w:ascii="黑体" w:hAnsi="黑体" w:eastAsia="黑体" w:cs="黑体"/>
          <w:highlight w:val="none"/>
        </w:rPr>
        <w:fldChar w:fldCharType="separate"/>
      </w:r>
      <w:r>
        <w:rPr>
          <w:rFonts w:hint="eastAsia" w:ascii="黑体" w:hAnsi="黑体" w:eastAsia="黑体" w:cs="黑体"/>
          <w:highlight w:val="none"/>
        </w:rPr>
        <w:t>XX</w:t>
      </w:r>
      <w:r>
        <w:rPr>
          <w:rFonts w:hint="eastAsia" w:ascii="黑体" w:hAnsi="黑体" w:eastAsia="黑体" w:cs="黑体"/>
          <w:highlight w:val="none"/>
        </w:rPr>
        <w:fldChar w:fldCharType="end"/>
      </w:r>
      <w:bookmarkEnd w:id="1"/>
      <w:r>
        <w:rPr>
          <w:rFonts w:hint="eastAsia" w:ascii="黑体" w:hAnsi="黑体" w:eastAsia="黑体" w:cs="黑体"/>
          <w:highlight w:val="none"/>
        </w:rPr>
        <w:t xml:space="preserve"> - </w:t>
      </w:r>
      <w:r>
        <w:rPr>
          <w:rFonts w:hint="eastAsia" w:ascii="黑体" w:hAnsi="黑体" w:eastAsia="黑体" w:cs="黑体"/>
          <w:highlight w:val="none"/>
        </w:rPr>
        <w:fldChar w:fldCharType="begin">
          <w:ffData>
            <w:name w:val="PLSH_DATE_D"/>
            <w:enabled/>
            <w:calcOnExit w:val="0"/>
            <w:textInput>
              <w:default w:val="XX"/>
              <w:maxLength w:val="2"/>
            </w:textInput>
          </w:ffData>
        </w:fldChar>
      </w:r>
      <w:bookmarkStart w:id="2" w:name="PLSH_DATE_D"/>
      <w:r>
        <w:rPr>
          <w:rFonts w:hint="eastAsia" w:ascii="黑体" w:hAnsi="黑体" w:eastAsia="黑体" w:cs="黑体"/>
          <w:highlight w:val="none"/>
        </w:rPr>
        <w:instrText xml:space="preserve"> FORMTEXT </w:instrText>
      </w:r>
      <w:r>
        <w:rPr>
          <w:rFonts w:hint="eastAsia" w:ascii="黑体" w:hAnsi="黑体" w:eastAsia="黑体" w:cs="黑体"/>
          <w:highlight w:val="none"/>
        </w:rPr>
        <w:fldChar w:fldCharType="separate"/>
      </w:r>
      <w:r>
        <w:rPr>
          <w:rFonts w:hint="eastAsia" w:ascii="黑体" w:hAnsi="黑体" w:eastAsia="黑体" w:cs="黑体"/>
          <w:highlight w:val="none"/>
        </w:rPr>
        <w:t>XX</w:t>
      </w:r>
      <w:r>
        <w:rPr>
          <w:rFonts w:hint="eastAsia" w:ascii="黑体" w:hAnsi="黑体" w:eastAsia="黑体" w:cs="黑体"/>
          <w:highlight w:val="none"/>
        </w:rPr>
        <w:fldChar w:fldCharType="end"/>
      </w:r>
      <w:bookmarkEnd w:id="2"/>
      <w:r>
        <w:rPr>
          <w:rFonts w:hint="eastAsia" w:ascii="黑体" w:hAnsi="黑体" w:eastAsia="黑体" w:cs="黑体"/>
          <w:highlight w:val="none"/>
        </w:rPr>
        <w:t>发布</w:t>
      </w:r>
    </w:p>
    <w:p>
      <w:pPr>
        <w:pStyle w:val="55"/>
        <w:framePr w:wrap="around" w:y="14176"/>
        <w:rPr>
          <w:rFonts w:hint="eastAsia" w:ascii="黑体" w:hAnsi="黑体" w:eastAsia="黑体" w:cs="黑体"/>
          <w:highlight w:val="none"/>
        </w:rPr>
      </w:pPr>
      <w:r>
        <w:rPr>
          <w:rFonts w:hint="eastAsia" w:ascii="黑体" w:hAnsi="黑体" w:eastAsia="黑体" w:cs="黑体"/>
          <w:highlight w:val="none"/>
          <w:lang w:val="en-US" w:eastAsia="zh-CN"/>
        </w:rPr>
        <w:t>2022</w:t>
      </w:r>
      <w:r>
        <w:rPr>
          <w:rFonts w:hint="eastAsia" w:ascii="黑体" w:hAnsi="黑体" w:eastAsia="黑体" w:cs="黑体"/>
          <w:highlight w:val="none"/>
        </w:rPr>
        <w:t xml:space="preserve"> - </w:t>
      </w:r>
      <w:r>
        <w:rPr>
          <w:rFonts w:hint="eastAsia" w:ascii="黑体" w:hAnsi="黑体" w:eastAsia="黑体" w:cs="黑体"/>
          <w:highlight w:val="none"/>
        </w:rPr>
        <w:fldChar w:fldCharType="begin">
          <w:ffData>
            <w:name w:val="CROT_DATE_M"/>
            <w:enabled/>
            <w:calcOnExit w:val="0"/>
            <w:textInput>
              <w:default w:val="XX"/>
              <w:maxLength w:val="2"/>
            </w:textInput>
          </w:ffData>
        </w:fldChar>
      </w:r>
      <w:bookmarkStart w:id="3" w:name="CROT_DATE_M"/>
      <w:r>
        <w:rPr>
          <w:rFonts w:hint="eastAsia" w:ascii="黑体" w:hAnsi="黑体" w:eastAsia="黑体" w:cs="黑体"/>
          <w:highlight w:val="none"/>
        </w:rPr>
        <w:instrText xml:space="preserve"> FORMTEXT </w:instrText>
      </w:r>
      <w:r>
        <w:rPr>
          <w:rFonts w:hint="eastAsia" w:ascii="黑体" w:hAnsi="黑体" w:eastAsia="黑体" w:cs="黑体"/>
          <w:highlight w:val="none"/>
        </w:rPr>
        <w:fldChar w:fldCharType="separate"/>
      </w:r>
      <w:r>
        <w:rPr>
          <w:rFonts w:hint="eastAsia" w:ascii="黑体" w:hAnsi="黑体" w:eastAsia="黑体" w:cs="黑体"/>
          <w:highlight w:val="none"/>
        </w:rPr>
        <w:t>XX</w:t>
      </w:r>
      <w:r>
        <w:rPr>
          <w:rFonts w:hint="eastAsia" w:ascii="黑体" w:hAnsi="黑体" w:eastAsia="黑体" w:cs="黑体"/>
          <w:highlight w:val="none"/>
        </w:rPr>
        <w:fldChar w:fldCharType="end"/>
      </w:r>
      <w:bookmarkEnd w:id="3"/>
      <w:r>
        <w:rPr>
          <w:rFonts w:hint="eastAsia" w:ascii="黑体" w:hAnsi="黑体" w:eastAsia="黑体" w:cs="黑体"/>
          <w:highlight w:val="none"/>
        </w:rPr>
        <w:t xml:space="preserve"> - </w:t>
      </w:r>
      <w:r>
        <w:rPr>
          <w:rFonts w:hint="eastAsia" w:ascii="黑体" w:hAnsi="黑体" w:eastAsia="黑体" w:cs="黑体"/>
          <w:highlight w:val="none"/>
        </w:rPr>
        <w:fldChar w:fldCharType="begin">
          <w:ffData>
            <w:name w:val="CROT_DATE_D"/>
            <w:enabled/>
            <w:calcOnExit w:val="0"/>
            <w:textInput>
              <w:default w:val="XX"/>
              <w:maxLength w:val="2"/>
            </w:textInput>
          </w:ffData>
        </w:fldChar>
      </w:r>
      <w:bookmarkStart w:id="4" w:name="CROT_DATE_D"/>
      <w:r>
        <w:rPr>
          <w:rFonts w:hint="eastAsia" w:ascii="黑体" w:hAnsi="黑体" w:eastAsia="黑体" w:cs="黑体"/>
          <w:highlight w:val="none"/>
        </w:rPr>
        <w:instrText xml:space="preserve"> FORMTEXT </w:instrText>
      </w:r>
      <w:r>
        <w:rPr>
          <w:rFonts w:hint="eastAsia" w:ascii="黑体" w:hAnsi="黑体" w:eastAsia="黑体" w:cs="黑体"/>
          <w:highlight w:val="none"/>
        </w:rPr>
        <w:fldChar w:fldCharType="separate"/>
      </w:r>
      <w:r>
        <w:rPr>
          <w:rFonts w:hint="eastAsia" w:ascii="黑体" w:hAnsi="黑体" w:eastAsia="黑体" w:cs="黑体"/>
          <w:highlight w:val="none"/>
        </w:rPr>
        <w:t>XX</w:t>
      </w:r>
      <w:r>
        <w:rPr>
          <w:rFonts w:hint="eastAsia" w:ascii="黑体" w:hAnsi="黑体" w:eastAsia="黑体" w:cs="黑体"/>
          <w:highlight w:val="none"/>
        </w:rPr>
        <w:fldChar w:fldCharType="end"/>
      </w:r>
      <w:bookmarkEnd w:id="4"/>
      <w:r>
        <w:rPr>
          <w:rFonts w:hint="eastAsia" w:ascii="黑体" w:hAnsi="黑体" w:eastAsia="黑体" w:cs="黑体"/>
          <w:highlight w:val="none"/>
        </w:rPr>
        <w:t>实施</w:t>
      </w:r>
    </w:p>
    <w:p>
      <w:pPr>
        <w:pStyle w:val="57"/>
        <w:framePr w:wrap="around" w:vAnchor="page" w:hAnchor="margin" w:y="15463"/>
        <w:rPr>
          <w:rFonts w:hAnsi="黑体"/>
          <w:highlight w:val="none"/>
        </w:rPr>
      </w:pPr>
      <w:r>
        <w:rPr>
          <w:rFonts w:hint="eastAsia" w:hAnsi="黑体"/>
          <w:w w:val="100"/>
          <w:sz w:val="28"/>
          <w:highlight w:val="none"/>
        </w:rPr>
        <w:t>苏州市市场监督</w:t>
      </w:r>
      <w:r>
        <w:rPr>
          <w:rFonts w:hAnsi="黑体"/>
          <w:w w:val="100"/>
          <w:sz w:val="28"/>
          <w:highlight w:val="none"/>
        </w:rPr>
        <w:t>管理</w:t>
      </w:r>
      <w:r>
        <w:rPr>
          <w:rFonts w:hAnsi="黑体"/>
          <w:spacing w:val="567"/>
          <w:w w:val="100"/>
          <w:kern w:val="0"/>
          <w:sz w:val="28"/>
          <w:highlight w:val="none"/>
        </w:rPr>
        <w:t>局</w:t>
      </w:r>
      <w:r>
        <w:rPr>
          <w:rStyle w:val="59"/>
          <w:rFonts w:hint="eastAsia" w:hAnsi="黑体"/>
          <w:spacing w:val="170"/>
          <w:kern w:val="0"/>
          <w:position w:val="0"/>
          <w:highlight w:val="none"/>
        </w:rPr>
        <w:t>发</w:t>
      </w:r>
      <w:r>
        <w:rPr>
          <w:rStyle w:val="59"/>
          <w:rFonts w:hint="eastAsia" w:hAnsi="黑体"/>
          <w:spacing w:val="170"/>
          <w:position w:val="0"/>
          <w:highlight w:val="none"/>
        </w:rPr>
        <w:t>布</w:t>
      </w:r>
    </w:p>
    <w:p>
      <w:pPr>
        <w:rPr>
          <w:rFonts w:hint="eastAsia" w:ascii="宋体" w:hAnsi="宋体" w:eastAsia="宋体" w:cs="宋体"/>
          <w:highlight w:val="none"/>
        </w:rPr>
      </w:pPr>
    </w:p>
    <w:p>
      <w:pPr>
        <w:pStyle w:val="57"/>
        <w:rPr>
          <w:rFonts w:hAnsi="黑体"/>
          <w:highlight w:val="none"/>
        </w:rPr>
      </w:pPr>
    </w:p>
    <w:p>
      <w:pPr>
        <w:pStyle w:val="60"/>
        <w:adjustRightInd w:val="0"/>
        <w:spacing w:after="468"/>
        <w:rPr>
          <w:rFonts w:hint="eastAsia" w:ascii="黑体" w:hAnsi="黑体" w:eastAsia="黑体" w:cs="黑体"/>
          <w:spacing w:val="320"/>
          <w:szCs w:val="21"/>
          <w:highlight w:val="none"/>
        </w:rPr>
        <w:sectPr>
          <w:headerReference r:id="rId3" w:type="default"/>
          <w:footerReference r:id="rId5" w:type="default"/>
          <w:headerReference r:id="rId4" w:type="even"/>
          <w:footerReference r:id="rId6" w:type="even"/>
          <w:pgSz w:w="11906" w:h="16838"/>
          <w:pgMar w:top="1871" w:right="1134" w:bottom="1134" w:left="1134" w:header="1418" w:footer="1134" w:gutter="284"/>
          <w:pgBorders>
            <w:top w:val="none" w:sz="0" w:space="0"/>
            <w:left w:val="none" w:sz="0" w:space="0"/>
            <w:bottom w:val="none" w:sz="0" w:space="0"/>
            <w:right w:val="none" w:sz="0" w:space="0"/>
          </w:pgBorders>
          <w:pgNumType w:fmt="upperRoman"/>
          <w:cols w:space="425" w:num="1"/>
          <w:formProt w:val="0"/>
          <w:docGrid w:type="lines" w:linePitch="312" w:charSpace="0"/>
        </w:sectPr>
      </w:pPr>
    </w:p>
    <w:p>
      <w:pPr>
        <w:pStyle w:val="60"/>
        <w:adjustRightInd w:val="0"/>
        <w:spacing w:after="468"/>
        <w:rPr>
          <w:rFonts w:hint="eastAsia" w:ascii="黑体" w:hAnsi="黑体" w:eastAsia="黑体" w:cs="黑体"/>
          <w:spacing w:val="320"/>
          <w:szCs w:val="21"/>
          <w:highlight w:val="none"/>
          <w:lang w:val="en-US" w:eastAsia="zh-CN"/>
        </w:rPr>
      </w:pPr>
      <w:r>
        <w:rPr>
          <w:rFonts w:hint="eastAsia" w:ascii="黑体" w:hAnsi="黑体" w:eastAsia="黑体" w:cs="黑体"/>
          <w:spacing w:val="320"/>
          <w:szCs w:val="21"/>
          <w:highlight w:val="none"/>
        </w:rPr>
        <w:t>目</w:t>
      </w:r>
      <w:r>
        <w:rPr>
          <w:rFonts w:hint="eastAsia" w:ascii="黑体" w:hAnsi="黑体" w:eastAsia="黑体" w:cs="黑体"/>
          <w:spacing w:val="320"/>
          <w:szCs w:val="21"/>
          <w:highlight w:val="none"/>
          <w:lang w:val="en-US" w:eastAsia="zh-CN"/>
        </w:rPr>
        <w:t>次</w:t>
      </w:r>
    </w:p>
    <w:p>
      <w:pPr>
        <w:pStyle w:val="18"/>
        <w:tabs>
          <w:tab w:val="right" w:leader="dot" w:pos="9354"/>
        </w:tabs>
        <w:rPr>
          <w:rFonts w:hint="eastAsia" w:ascii="宋体" w:hAnsi="宋体" w:eastAsia="宋体" w:cs="宋体"/>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TOC \o "1-2" \h \u </w:instrText>
      </w:r>
      <w:r>
        <w:rPr>
          <w:rFonts w:hint="eastAsia" w:ascii="宋体" w:hAnsi="宋体" w:eastAsia="宋体" w:cs="宋体"/>
          <w:sz w:val="28"/>
          <w:szCs w:val="28"/>
          <w:highlight w:val="none"/>
        </w:rPr>
        <w:fldChar w:fldCharType="separate"/>
      </w: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_Toc18339 </w:instrText>
      </w:r>
      <w:r>
        <w:rPr>
          <w:rFonts w:hint="eastAsia" w:ascii="宋体" w:hAnsi="宋体" w:eastAsia="宋体" w:cs="宋体"/>
          <w:szCs w:val="28"/>
          <w:highlight w:val="none"/>
        </w:rPr>
        <w:fldChar w:fldCharType="separate"/>
      </w:r>
      <w:r>
        <w:rPr>
          <w:rFonts w:hint="eastAsia" w:ascii="宋体" w:hAnsi="宋体" w:eastAsia="宋体" w:cs="宋体"/>
          <w:szCs w:val="28"/>
          <w:highlight w:val="none"/>
          <w:lang w:val="en-US" w:eastAsia="zh-CN"/>
        </w:rPr>
        <w:t>前言</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_Toc18339 \h </w:instrText>
      </w:r>
      <w:r>
        <w:rPr>
          <w:rFonts w:hint="eastAsia" w:ascii="宋体" w:hAnsi="宋体" w:eastAsia="宋体" w:cs="宋体"/>
          <w:highlight w:val="none"/>
        </w:rPr>
        <w:fldChar w:fldCharType="separate"/>
      </w:r>
      <w:r>
        <w:rPr>
          <w:rFonts w:hint="eastAsia" w:ascii="宋体" w:hAnsi="宋体" w:eastAsia="宋体" w:cs="宋体"/>
          <w:highlight w:val="none"/>
        </w:rPr>
        <w:t>II</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8"/>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_Toc3453 </w:instrText>
      </w:r>
      <w:r>
        <w:rPr>
          <w:rFonts w:hint="eastAsia" w:ascii="宋体" w:hAnsi="宋体" w:eastAsia="宋体" w:cs="宋体"/>
          <w:szCs w:val="28"/>
          <w:highlight w:val="none"/>
        </w:rPr>
        <w:fldChar w:fldCharType="separate"/>
      </w:r>
      <w:r>
        <w:rPr>
          <w:rFonts w:hint="eastAsia" w:ascii="宋体" w:hAnsi="宋体" w:eastAsia="宋体" w:cs="宋体"/>
          <w:i w:val="0"/>
          <w:highlight w:val="none"/>
        </w:rPr>
        <w:t xml:space="preserve">1 </w:t>
      </w:r>
      <w:r>
        <w:rPr>
          <w:rFonts w:hint="eastAsia" w:ascii="宋体" w:hAnsi="宋体" w:eastAsia="宋体" w:cs="宋体"/>
          <w:highlight w:val="none"/>
        </w:rPr>
        <w:t>范围</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_Toc3453 \h </w:instrText>
      </w:r>
      <w:r>
        <w:rPr>
          <w:rFonts w:hint="eastAsia" w:ascii="宋体" w:hAnsi="宋体" w:eastAsia="宋体" w:cs="宋体"/>
          <w:highlight w:val="none"/>
        </w:rPr>
        <w:fldChar w:fldCharType="separate"/>
      </w:r>
      <w:r>
        <w:rPr>
          <w:rFonts w:hint="eastAsia" w:ascii="宋体" w:hAnsi="宋体" w:eastAsia="宋体" w:cs="宋体"/>
          <w:highlight w:val="none"/>
        </w:rPr>
        <w:t>1</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8"/>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_Toc8755 </w:instrText>
      </w:r>
      <w:r>
        <w:rPr>
          <w:rFonts w:hint="eastAsia" w:ascii="宋体" w:hAnsi="宋体" w:eastAsia="宋体" w:cs="宋体"/>
          <w:szCs w:val="28"/>
          <w:highlight w:val="none"/>
        </w:rPr>
        <w:fldChar w:fldCharType="separate"/>
      </w:r>
      <w:r>
        <w:rPr>
          <w:rFonts w:hint="eastAsia" w:ascii="宋体" w:hAnsi="宋体" w:eastAsia="宋体" w:cs="宋体"/>
          <w:i w:val="0"/>
          <w:highlight w:val="none"/>
        </w:rPr>
        <w:t xml:space="preserve">2 </w:t>
      </w:r>
      <w:r>
        <w:rPr>
          <w:rFonts w:hint="eastAsia" w:ascii="宋体" w:hAnsi="宋体" w:eastAsia="宋体" w:cs="宋体"/>
          <w:highlight w:val="none"/>
        </w:rPr>
        <w:t>规范性引用文件</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_Toc8755 \h </w:instrText>
      </w:r>
      <w:r>
        <w:rPr>
          <w:rFonts w:hint="eastAsia" w:ascii="宋体" w:hAnsi="宋体" w:eastAsia="宋体" w:cs="宋体"/>
          <w:highlight w:val="none"/>
        </w:rPr>
        <w:fldChar w:fldCharType="separate"/>
      </w:r>
      <w:r>
        <w:rPr>
          <w:rFonts w:hint="eastAsia" w:ascii="宋体" w:hAnsi="宋体" w:eastAsia="宋体" w:cs="宋体"/>
          <w:highlight w:val="none"/>
        </w:rPr>
        <w:t>1</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8"/>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_Toc30771 </w:instrText>
      </w:r>
      <w:r>
        <w:rPr>
          <w:rFonts w:hint="eastAsia" w:ascii="宋体" w:hAnsi="宋体" w:eastAsia="宋体" w:cs="宋体"/>
          <w:szCs w:val="28"/>
          <w:highlight w:val="none"/>
        </w:rPr>
        <w:fldChar w:fldCharType="separate"/>
      </w:r>
      <w:r>
        <w:rPr>
          <w:rFonts w:hint="eastAsia" w:ascii="宋体" w:hAnsi="宋体" w:eastAsia="宋体" w:cs="宋体"/>
          <w:i w:val="0"/>
          <w:highlight w:val="none"/>
        </w:rPr>
        <w:t xml:space="preserve">3 </w:t>
      </w:r>
      <w:r>
        <w:rPr>
          <w:rFonts w:hint="eastAsia" w:ascii="宋体" w:hAnsi="宋体" w:eastAsia="宋体" w:cs="宋体"/>
          <w:highlight w:val="none"/>
        </w:rPr>
        <w:t>术语和定义</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_Toc30771 \h </w:instrText>
      </w:r>
      <w:r>
        <w:rPr>
          <w:rFonts w:hint="eastAsia" w:ascii="宋体" w:hAnsi="宋体" w:eastAsia="宋体" w:cs="宋体"/>
          <w:highlight w:val="none"/>
        </w:rPr>
        <w:fldChar w:fldCharType="separate"/>
      </w:r>
      <w:r>
        <w:rPr>
          <w:rFonts w:hint="eastAsia" w:ascii="宋体" w:hAnsi="宋体" w:eastAsia="宋体" w:cs="宋体"/>
          <w:highlight w:val="none"/>
        </w:rPr>
        <w:t>1</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8"/>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_Toc9471 </w:instrText>
      </w:r>
      <w:r>
        <w:rPr>
          <w:rFonts w:hint="eastAsia" w:ascii="宋体" w:hAnsi="宋体" w:eastAsia="宋体" w:cs="宋体"/>
          <w:szCs w:val="28"/>
          <w:highlight w:val="none"/>
        </w:rPr>
        <w:fldChar w:fldCharType="separate"/>
      </w:r>
      <w:r>
        <w:rPr>
          <w:rFonts w:hint="eastAsia" w:ascii="宋体" w:hAnsi="宋体" w:eastAsia="宋体" w:cs="宋体"/>
          <w:i w:val="0"/>
          <w:highlight w:val="none"/>
          <w:lang w:val="en-US" w:eastAsia="zh-CN"/>
        </w:rPr>
        <w:t xml:space="preserve">4 </w:t>
      </w:r>
      <w:r>
        <w:rPr>
          <w:rFonts w:hint="eastAsia" w:ascii="宋体" w:hAnsi="宋体" w:eastAsia="宋体" w:cs="宋体"/>
          <w:highlight w:val="none"/>
        </w:rPr>
        <w:t>总体要求</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_Toc9471 \h </w:instrText>
      </w:r>
      <w:r>
        <w:rPr>
          <w:rFonts w:hint="eastAsia" w:ascii="宋体" w:hAnsi="宋体" w:eastAsia="宋体" w:cs="宋体"/>
          <w:highlight w:val="none"/>
        </w:rPr>
        <w:fldChar w:fldCharType="separate"/>
      </w:r>
      <w:r>
        <w:rPr>
          <w:rFonts w:hint="eastAsia" w:ascii="宋体" w:hAnsi="宋体" w:eastAsia="宋体" w:cs="宋体"/>
          <w:highlight w:val="none"/>
        </w:rPr>
        <w:t>1</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9"/>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_Toc4260 </w:instrText>
      </w:r>
      <w:r>
        <w:rPr>
          <w:rFonts w:hint="eastAsia" w:ascii="宋体" w:hAnsi="宋体" w:eastAsia="宋体" w:cs="宋体"/>
          <w:szCs w:val="28"/>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highlight w:val="none"/>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4.1 </w:t>
      </w:r>
      <w:r>
        <w:rPr>
          <w:rFonts w:hint="eastAsia" w:ascii="宋体" w:hAnsi="宋体" w:eastAsia="宋体" w:cs="宋体"/>
          <w:highlight w:val="none"/>
          <w:lang w:val="en-US" w:eastAsia="zh-CN"/>
        </w:rPr>
        <w:t>基础要求</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_Toc4260 \h </w:instrText>
      </w:r>
      <w:r>
        <w:rPr>
          <w:rFonts w:hint="eastAsia" w:ascii="宋体" w:hAnsi="宋体" w:eastAsia="宋体" w:cs="宋体"/>
          <w:highlight w:val="none"/>
        </w:rPr>
        <w:fldChar w:fldCharType="separate"/>
      </w:r>
      <w:r>
        <w:rPr>
          <w:rFonts w:hint="eastAsia" w:ascii="宋体" w:hAnsi="宋体" w:eastAsia="宋体" w:cs="宋体"/>
          <w:highlight w:val="none"/>
        </w:rPr>
        <w:t>1</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9"/>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_Toc15433 </w:instrText>
      </w:r>
      <w:r>
        <w:rPr>
          <w:rFonts w:hint="eastAsia" w:ascii="宋体" w:hAnsi="宋体" w:eastAsia="宋体" w:cs="宋体"/>
          <w:szCs w:val="28"/>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highlight w:val="none"/>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4.2 </w:t>
      </w:r>
      <w:r>
        <w:rPr>
          <w:rFonts w:hint="eastAsia" w:ascii="宋体" w:hAnsi="宋体" w:eastAsia="宋体" w:cs="宋体"/>
          <w:highlight w:val="none"/>
          <w:lang w:val="en-US" w:eastAsia="zh-CN"/>
        </w:rPr>
        <w:t>农村建设</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_Toc15433 \h </w:instrText>
      </w:r>
      <w:r>
        <w:rPr>
          <w:rFonts w:hint="eastAsia" w:ascii="宋体" w:hAnsi="宋体" w:eastAsia="宋体" w:cs="宋体"/>
          <w:highlight w:val="none"/>
        </w:rPr>
        <w:fldChar w:fldCharType="separate"/>
      </w:r>
      <w:r>
        <w:rPr>
          <w:rFonts w:hint="eastAsia" w:ascii="宋体" w:hAnsi="宋体" w:eastAsia="宋体" w:cs="宋体"/>
          <w:highlight w:val="none"/>
        </w:rPr>
        <w:t>1</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9"/>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_Toc24461 </w:instrText>
      </w:r>
      <w:r>
        <w:rPr>
          <w:rFonts w:hint="eastAsia" w:ascii="宋体" w:hAnsi="宋体" w:eastAsia="宋体" w:cs="宋体"/>
          <w:szCs w:val="28"/>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highlight w:val="none"/>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4.3 </w:t>
      </w:r>
      <w:r>
        <w:rPr>
          <w:rFonts w:hint="eastAsia" w:ascii="宋体" w:hAnsi="宋体" w:eastAsia="宋体" w:cs="宋体"/>
          <w:highlight w:val="none"/>
          <w:lang w:val="en-US" w:eastAsia="zh-CN"/>
        </w:rPr>
        <w:t>农村综合治理</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_Toc24461 \h </w:instrText>
      </w:r>
      <w:r>
        <w:rPr>
          <w:rFonts w:hint="eastAsia" w:ascii="宋体" w:hAnsi="宋体" w:eastAsia="宋体" w:cs="宋体"/>
          <w:highlight w:val="none"/>
        </w:rPr>
        <w:fldChar w:fldCharType="separate"/>
      </w:r>
      <w:r>
        <w:rPr>
          <w:rFonts w:hint="eastAsia" w:ascii="宋体" w:hAnsi="宋体" w:eastAsia="宋体" w:cs="宋体"/>
          <w:highlight w:val="none"/>
        </w:rPr>
        <w:t>1</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9"/>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_Toc27987 </w:instrText>
      </w:r>
      <w:r>
        <w:rPr>
          <w:rFonts w:hint="eastAsia" w:ascii="宋体" w:hAnsi="宋体" w:eastAsia="宋体" w:cs="宋体"/>
          <w:szCs w:val="28"/>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highlight w:val="none"/>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4.4 </w:t>
      </w:r>
      <w:r>
        <w:rPr>
          <w:rFonts w:hint="eastAsia" w:ascii="宋体" w:hAnsi="宋体" w:eastAsia="宋体" w:cs="宋体"/>
          <w:highlight w:val="none"/>
          <w:lang w:val="en-US" w:eastAsia="zh-CN"/>
        </w:rPr>
        <w:t>信息化要求</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_Toc27987 \h </w:instrText>
      </w:r>
      <w:r>
        <w:rPr>
          <w:rFonts w:hint="eastAsia" w:ascii="宋体" w:hAnsi="宋体" w:eastAsia="宋体" w:cs="宋体"/>
          <w:highlight w:val="none"/>
        </w:rPr>
        <w:fldChar w:fldCharType="separate"/>
      </w:r>
      <w:r>
        <w:rPr>
          <w:rFonts w:hint="eastAsia" w:ascii="宋体" w:hAnsi="宋体" w:eastAsia="宋体" w:cs="宋体"/>
          <w:highlight w:val="none"/>
        </w:rPr>
        <w:t>2</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8"/>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_Toc24254 </w:instrText>
      </w:r>
      <w:r>
        <w:rPr>
          <w:rFonts w:hint="eastAsia" w:ascii="宋体" w:hAnsi="宋体" w:eastAsia="宋体" w:cs="宋体"/>
          <w:szCs w:val="28"/>
          <w:highlight w:val="none"/>
        </w:rPr>
        <w:fldChar w:fldCharType="separate"/>
      </w:r>
      <w:r>
        <w:rPr>
          <w:rFonts w:hint="eastAsia" w:ascii="宋体" w:hAnsi="宋体" w:eastAsia="宋体" w:cs="宋体"/>
          <w:i w:val="0"/>
          <w:highlight w:val="none"/>
          <w:lang w:val="en-US" w:eastAsia="zh-CN"/>
        </w:rPr>
        <w:t xml:space="preserve">5 </w:t>
      </w:r>
      <w:r>
        <w:rPr>
          <w:rFonts w:hint="eastAsia" w:ascii="宋体" w:hAnsi="宋体" w:eastAsia="宋体" w:cs="宋体"/>
          <w:highlight w:val="none"/>
        </w:rPr>
        <w:t>智慧农村示范</w:t>
      </w:r>
      <w:r>
        <w:rPr>
          <w:rFonts w:hint="eastAsia" w:ascii="宋体" w:hAnsi="宋体" w:eastAsia="宋体" w:cs="宋体"/>
          <w:highlight w:val="none"/>
          <w:lang w:val="en-US" w:eastAsia="zh-CN"/>
        </w:rPr>
        <w:t>村</w:t>
      </w:r>
      <w:r>
        <w:rPr>
          <w:rFonts w:hint="eastAsia" w:ascii="宋体" w:hAnsi="宋体" w:eastAsia="宋体" w:cs="宋体"/>
          <w:highlight w:val="none"/>
        </w:rPr>
        <w:t>评价</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_Toc24254 \h </w:instrText>
      </w:r>
      <w:r>
        <w:rPr>
          <w:rFonts w:hint="eastAsia" w:ascii="宋体" w:hAnsi="宋体" w:eastAsia="宋体" w:cs="宋体"/>
          <w:highlight w:val="none"/>
        </w:rPr>
        <w:fldChar w:fldCharType="separate"/>
      </w:r>
      <w:r>
        <w:rPr>
          <w:rFonts w:hint="eastAsia" w:ascii="宋体" w:hAnsi="宋体" w:eastAsia="宋体" w:cs="宋体"/>
          <w:highlight w:val="none"/>
        </w:rPr>
        <w:t>2</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9"/>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_Toc30202 </w:instrText>
      </w:r>
      <w:r>
        <w:rPr>
          <w:rFonts w:hint="eastAsia" w:ascii="宋体" w:hAnsi="宋体" w:eastAsia="宋体" w:cs="宋体"/>
          <w:szCs w:val="28"/>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highlight w:val="none"/>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5.1 </w:t>
      </w:r>
      <w:r>
        <w:rPr>
          <w:rFonts w:hint="eastAsia" w:ascii="宋体" w:hAnsi="宋体" w:eastAsia="宋体" w:cs="宋体"/>
          <w:highlight w:val="none"/>
          <w:lang w:val="en-US" w:eastAsia="zh-CN"/>
        </w:rPr>
        <w:t>评价原则</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_Toc30202 \h </w:instrText>
      </w:r>
      <w:r>
        <w:rPr>
          <w:rFonts w:hint="eastAsia" w:ascii="宋体" w:hAnsi="宋体" w:eastAsia="宋体" w:cs="宋体"/>
          <w:highlight w:val="none"/>
        </w:rPr>
        <w:fldChar w:fldCharType="separate"/>
      </w:r>
      <w:r>
        <w:rPr>
          <w:rFonts w:hint="eastAsia" w:ascii="宋体" w:hAnsi="宋体" w:eastAsia="宋体" w:cs="宋体"/>
          <w:highlight w:val="none"/>
        </w:rPr>
        <w:t>2</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9"/>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_Toc31418 </w:instrText>
      </w:r>
      <w:r>
        <w:rPr>
          <w:rFonts w:hint="eastAsia" w:ascii="宋体" w:hAnsi="宋体" w:eastAsia="宋体" w:cs="宋体"/>
          <w:szCs w:val="28"/>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highlight w:val="none"/>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5.2 </w:t>
      </w:r>
      <w:r>
        <w:rPr>
          <w:rFonts w:hint="eastAsia" w:ascii="宋体" w:hAnsi="宋体" w:eastAsia="宋体" w:cs="宋体"/>
          <w:highlight w:val="none"/>
          <w:lang w:val="en-US" w:eastAsia="zh-CN"/>
        </w:rPr>
        <w:t>评价目标</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_Toc31418 \h </w:instrText>
      </w:r>
      <w:r>
        <w:rPr>
          <w:rFonts w:hint="eastAsia" w:ascii="宋体" w:hAnsi="宋体" w:eastAsia="宋体" w:cs="宋体"/>
          <w:highlight w:val="none"/>
        </w:rPr>
        <w:fldChar w:fldCharType="separate"/>
      </w:r>
      <w:r>
        <w:rPr>
          <w:rFonts w:hint="eastAsia" w:ascii="宋体" w:hAnsi="宋体" w:eastAsia="宋体" w:cs="宋体"/>
          <w:highlight w:val="none"/>
        </w:rPr>
        <w:t>2</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9"/>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_Toc9804 </w:instrText>
      </w:r>
      <w:r>
        <w:rPr>
          <w:rFonts w:hint="eastAsia" w:ascii="宋体" w:hAnsi="宋体" w:eastAsia="宋体" w:cs="宋体"/>
          <w:szCs w:val="28"/>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highlight w:val="none"/>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5.3 </w:t>
      </w:r>
      <w:r>
        <w:rPr>
          <w:rFonts w:hint="eastAsia" w:ascii="宋体" w:hAnsi="宋体" w:eastAsia="宋体" w:cs="宋体"/>
          <w:highlight w:val="none"/>
          <w:lang w:val="en-US" w:eastAsia="zh-CN"/>
        </w:rPr>
        <w:t>评价对象和内容</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_Toc9804 \h </w:instrText>
      </w:r>
      <w:r>
        <w:rPr>
          <w:rFonts w:hint="eastAsia" w:ascii="宋体" w:hAnsi="宋体" w:eastAsia="宋体" w:cs="宋体"/>
          <w:highlight w:val="none"/>
        </w:rPr>
        <w:fldChar w:fldCharType="separate"/>
      </w:r>
      <w:r>
        <w:rPr>
          <w:rFonts w:hint="eastAsia" w:ascii="宋体" w:hAnsi="宋体" w:eastAsia="宋体" w:cs="宋体"/>
          <w:highlight w:val="none"/>
        </w:rPr>
        <w:t>2</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9"/>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_Toc27280 </w:instrText>
      </w:r>
      <w:r>
        <w:rPr>
          <w:rFonts w:hint="eastAsia" w:ascii="宋体" w:hAnsi="宋体" w:eastAsia="宋体" w:cs="宋体"/>
          <w:szCs w:val="28"/>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highlight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5.4 </w:t>
      </w:r>
      <w:r>
        <w:rPr>
          <w:rFonts w:hint="eastAsia" w:ascii="宋体" w:hAnsi="宋体" w:eastAsia="宋体" w:cs="宋体"/>
          <w:highlight w:val="none"/>
          <w:lang w:val="en-US" w:eastAsia="zh-CN" w:bidi="ar-SA"/>
        </w:rPr>
        <w:t>评价方法</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_Toc27280 \h </w:instrText>
      </w:r>
      <w:r>
        <w:rPr>
          <w:rFonts w:hint="eastAsia" w:ascii="宋体" w:hAnsi="宋体" w:eastAsia="宋体" w:cs="宋体"/>
          <w:highlight w:val="none"/>
        </w:rPr>
        <w:fldChar w:fldCharType="separate"/>
      </w:r>
      <w:r>
        <w:rPr>
          <w:rFonts w:hint="eastAsia" w:ascii="宋体" w:hAnsi="宋体" w:eastAsia="宋体" w:cs="宋体"/>
          <w:highlight w:val="none"/>
        </w:rPr>
        <w:t>3</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9"/>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_Toc11146 </w:instrText>
      </w:r>
      <w:r>
        <w:rPr>
          <w:rFonts w:hint="eastAsia" w:ascii="宋体" w:hAnsi="宋体" w:eastAsia="宋体" w:cs="宋体"/>
          <w:szCs w:val="28"/>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highlight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5.5 </w:t>
      </w:r>
      <w:r>
        <w:rPr>
          <w:rFonts w:hint="eastAsia" w:ascii="宋体" w:hAnsi="宋体" w:eastAsia="宋体" w:cs="宋体"/>
          <w:highlight w:val="none"/>
          <w:lang w:val="en-US" w:eastAsia="zh-CN" w:bidi="ar-SA"/>
        </w:rPr>
        <w:t>评价报告</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_Toc11146 \h </w:instrText>
      </w:r>
      <w:r>
        <w:rPr>
          <w:rFonts w:hint="eastAsia" w:ascii="宋体" w:hAnsi="宋体" w:eastAsia="宋体" w:cs="宋体"/>
          <w:highlight w:val="none"/>
        </w:rPr>
        <w:fldChar w:fldCharType="separate"/>
      </w:r>
      <w:r>
        <w:rPr>
          <w:rFonts w:hint="eastAsia" w:ascii="宋体" w:hAnsi="宋体" w:eastAsia="宋体" w:cs="宋体"/>
          <w:highlight w:val="none"/>
        </w:rPr>
        <w:t>4</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8"/>
        <w:tabs>
          <w:tab w:val="right" w:leader="dot" w:pos="9354"/>
        </w:tabs>
        <w:rPr>
          <w:rFonts w:hint="eastAsia" w:ascii="宋体" w:hAnsi="宋体" w:eastAsia="宋体" w:cs="宋体"/>
          <w:highlight w:val="none"/>
        </w:rPr>
      </w:pPr>
      <w:r>
        <w:rPr>
          <w:rFonts w:hint="eastAsia" w:ascii="宋体" w:hAnsi="宋体" w:eastAsia="宋体" w:cs="宋体"/>
          <w:szCs w:val="28"/>
          <w:highlight w:val="none"/>
        </w:rPr>
        <w:fldChar w:fldCharType="begin"/>
      </w:r>
      <w:r>
        <w:rPr>
          <w:rFonts w:hint="eastAsia" w:ascii="宋体" w:hAnsi="宋体" w:eastAsia="宋体" w:cs="宋体"/>
          <w:szCs w:val="28"/>
          <w:highlight w:val="none"/>
        </w:rPr>
        <w:instrText xml:space="preserve"> HYPERLINK \l _Toc22333 </w:instrText>
      </w:r>
      <w:r>
        <w:rPr>
          <w:rFonts w:hint="eastAsia" w:ascii="宋体" w:hAnsi="宋体" w:eastAsia="宋体" w:cs="宋体"/>
          <w:szCs w:val="28"/>
          <w:highlight w:val="none"/>
        </w:rPr>
        <w:fldChar w:fldCharType="separate"/>
      </w:r>
      <w:r>
        <w:rPr>
          <w:rFonts w:hint="eastAsia" w:ascii="宋体" w:hAnsi="宋体" w:eastAsia="宋体" w:cs="宋体"/>
          <w:bCs/>
          <w:kern w:val="2"/>
          <w:szCs w:val="21"/>
          <w:highlight w:val="none"/>
          <w:lang w:val="en-US" w:eastAsia="zh-CN" w:bidi="ar-SA"/>
        </w:rPr>
        <w:t>附录A（规范性）  智慧农村示范村评价细则</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_Toc22333 \h </w:instrText>
      </w:r>
      <w:r>
        <w:rPr>
          <w:rFonts w:hint="eastAsia" w:ascii="宋体" w:hAnsi="宋体" w:eastAsia="宋体" w:cs="宋体"/>
          <w:highlight w:val="none"/>
        </w:rPr>
        <w:fldChar w:fldCharType="separate"/>
      </w:r>
      <w:r>
        <w:rPr>
          <w:rFonts w:hint="eastAsia" w:ascii="宋体" w:hAnsi="宋体" w:eastAsia="宋体" w:cs="宋体"/>
          <w:highlight w:val="none"/>
        </w:rPr>
        <w:t>5</w:t>
      </w:r>
      <w:r>
        <w:rPr>
          <w:rFonts w:hint="eastAsia" w:ascii="宋体" w:hAnsi="宋体" w:eastAsia="宋体" w:cs="宋体"/>
          <w:highlight w:val="none"/>
        </w:rPr>
        <w:fldChar w:fldCharType="end"/>
      </w:r>
      <w:r>
        <w:rPr>
          <w:rFonts w:hint="eastAsia" w:ascii="宋体" w:hAnsi="宋体" w:eastAsia="宋体" w:cs="宋体"/>
          <w:szCs w:val="28"/>
          <w:highlight w:val="none"/>
        </w:rPr>
        <w:fldChar w:fldCharType="end"/>
      </w:r>
    </w:p>
    <w:p>
      <w:pPr>
        <w:pStyle w:val="18"/>
        <w:tabs>
          <w:tab w:val="right" w:leader="dot" w:pos="9354"/>
        </w:tabs>
        <w:rPr>
          <w:highlight w:val="none"/>
        </w:rPr>
      </w:pPr>
    </w:p>
    <w:p>
      <w:pPr>
        <w:rPr>
          <w:rFonts w:hint="eastAsia" w:ascii="宋体" w:hAnsi="宋体" w:eastAsia="宋体" w:cs="宋体"/>
          <w:sz w:val="28"/>
          <w:szCs w:val="28"/>
          <w:highlight w:val="none"/>
        </w:rPr>
      </w:pPr>
      <w:r>
        <w:rPr>
          <w:sz w:val="21"/>
        </w:rPr>
        <mc:AlternateContent>
          <mc:Choice Requires="wps">
            <w:drawing>
              <wp:anchor distT="0" distB="0" distL="114300" distR="114300" simplePos="0" relativeHeight="251664384" behindDoc="0" locked="0" layoutInCell="1" allowOverlap="1">
                <wp:simplePos x="0" y="0"/>
                <wp:positionH relativeFrom="column">
                  <wp:posOffset>1435735</wp:posOffset>
                </wp:positionH>
                <wp:positionV relativeFrom="paragraph">
                  <wp:posOffset>144145</wp:posOffset>
                </wp:positionV>
                <wp:extent cx="2520315" cy="8255"/>
                <wp:effectExtent l="0" t="0" r="0" b="0"/>
                <wp:wrapNone/>
                <wp:docPr id="7" name="直接连接符 7"/>
                <wp:cNvGraphicFramePr/>
                <a:graphic xmlns:a="http://schemas.openxmlformats.org/drawingml/2006/main">
                  <a:graphicData uri="http://schemas.microsoft.com/office/word/2010/wordprocessingShape">
                    <wps:wsp>
                      <wps:cNvCnPr/>
                      <wps:spPr>
                        <a:xfrm>
                          <a:off x="0" y="0"/>
                          <a:ext cx="2520315" cy="8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13.05pt;margin-top:11.35pt;height:0.65pt;width:198.45pt;z-index:251664384;mso-width-relative:page;mso-height-relative:page;" filled="f" stroked="t" coordsize="21600,21600" o:gfxdata="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rsC0fWAAAA&#10;CQEAAA8AAAAAAAAAAQAgAAAAIgAAAGRycy9kb3ducmV2LnhtbFBLAQIUABQAAAAIAIdO4kAtJF3/&#10;5gEAALQDAAAOAAAAAAAAAAEAIAAAACUBAABkcnMvZTJvRG9jLnhtbFBLBQYAAAAABgAGAFkBAAB9&#10;BQAAAAA=&#10;">
                <v:fill on="f" focussize="0,0"/>
                <v:stroke weight="0.5pt" color="#000000 [3213]" miterlimit="8" joinstyle="miter"/>
                <v:imagedata o:title=""/>
                <o:lock v:ext="edit" aspectratio="f"/>
              </v:line>
            </w:pict>
          </mc:Fallback>
        </mc:AlternateContent>
      </w:r>
      <w:r>
        <w:rPr>
          <w:rFonts w:hint="eastAsia" w:ascii="宋体" w:hAnsi="宋体" w:eastAsia="宋体" w:cs="宋体"/>
          <w:szCs w:val="28"/>
          <w:highlight w:val="none"/>
        </w:rPr>
        <w:fldChar w:fldCharType="end"/>
      </w: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spacing w:afterAutospacing="0"/>
        <w:rPr>
          <w:rFonts w:hint="eastAsia" w:ascii="宋体" w:hAnsi="宋体" w:eastAsia="宋体" w:cs="宋体"/>
          <w:sz w:val="28"/>
          <w:szCs w:val="28"/>
          <w:highlight w:val="none"/>
        </w:rPr>
      </w:pPr>
    </w:p>
    <w:p>
      <w:pPr>
        <w:spacing w:beforeAutospacing="0"/>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pStyle w:val="61"/>
        <w:spacing w:after="468"/>
        <w:rPr>
          <w:rFonts w:hint="eastAsia" w:ascii="宋体" w:hAnsi="宋体" w:eastAsia="宋体" w:cs="宋体"/>
          <w:spacing w:val="320"/>
          <w:highlight w:val="none"/>
        </w:rPr>
      </w:pPr>
      <w:bookmarkStart w:id="5" w:name="_Toc31574"/>
      <w:bookmarkStart w:id="6" w:name="_Toc1349"/>
    </w:p>
    <w:p>
      <w:pPr>
        <w:pStyle w:val="61"/>
        <w:spacing w:after="468"/>
        <w:rPr>
          <w:rFonts w:hint="eastAsia" w:ascii="黑体" w:hAnsi="黑体" w:eastAsia="黑体" w:cs="黑体"/>
          <w:spacing w:val="320"/>
          <w:highlight w:val="none"/>
        </w:rPr>
      </w:pPr>
      <w:bookmarkStart w:id="7" w:name="_Toc18339"/>
      <w:r>
        <w:rPr>
          <w:rFonts w:hint="eastAsia" w:ascii="黑体" w:hAnsi="黑体" w:eastAsia="黑体" w:cs="黑体"/>
          <w:spacing w:val="320"/>
          <w:highlight w:val="none"/>
        </w:rPr>
        <w:t>前言</w:t>
      </w:r>
      <w:bookmarkEnd w:id="5"/>
      <w:bookmarkEnd w:id="6"/>
      <w:bookmarkEnd w:id="7"/>
    </w:p>
    <w:p>
      <w:pPr>
        <w:pStyle w:val="49"/>
        <w:ind w:firstLine="420"/>
        <w:rPr>
          <w:rFonts w:hint="eastAsia" w:ascii="宋体" w:hAnsi="宋体" w:eastAsia="宋体" w:cs="宋体"/>
          <w:highlight w:val="none"/>
        </w:rPr>
      </w:pPr>
      <w:r>
        <w:rPr>
          <w:rFonts w:hint="eastAsia" w:ascii="宋体" w:hAnsi="宋体" w:eastAsia="宋体" w:cs="宋体"/>
          <w:highlight w:val="none"/>
        </w:rPr>
        <w:t>本文件按照GB/T 1.1-2020《标准化工作导则 第1部分：标准化文件的结构和起草规则》给出的规则编写。</w:t>
      </w:r>
    </w:p>
    <w:p>
      <w:pPr>
        <w:pStyle w:val="49"/>
        <w:ind w:firstLine="420"/>
        <w:rPr>
          <w:rFonts w:hint="eastAsia" w:ascii="宋体" w:hAnsi="宋体" w:eastAsia="宋体" w:cs="宋体"/>
          <w:highlight w:val="none"/>
        </w:rPr>
      </w:pPr>
      <w:r>
        <w:rPr>
          <w:rFonts w:hint="eastAsia" w:ascii="宋体" w:hAnsi="宋体" w:eastAsia="宋体" w:cs="宋体"/>
          <w:highlight w:val="none"/>
        </w:rPr>
        <w:t>请注意本文件的某些内容可能涉及专利。本文件的发布机构不承担识别专利的责任。</w:t>
      </w:r>
    </w:p>
    <w:p>
      <w:pPr>
        <w:pStyle w:val="49"/>
        <w:ind w:firstLine="420"/>
        <w:rPr>
          <w:rFonts w:hint="eastAsia" w:ascii="宋体" w:hAnsi="宋体" w:eastAsia="宋体" w:cs="宋体"/>
          <w:highlight w:val="none"/>
        </w:rPr>
      </w:pPr>
      <w:r>
        <w:rPr>
          <w:rFonts w:hint="eastAsia" w:ascii="宋体" w:hAnsi="宋体" w:eastAsia="宋体" w:cs="宋体"/>
          <w:highlight w:val="none"/>
        </w:rPr>
        <w:t>本文件由提出并归口。</w:t>
      </w:r>
    </w:p>
    <w:p>
      <w:pPr>
        <w:pStyle w:val="49"/>
        <w:ind w:firstLine="420"/>
        <w:rPr>
          <w:rFonts w:hint="eastAsia" w:ascii="宋体" w:hAnsi="宋体" w:eastAsia="宋体" w:cs="宋体"/>
          <w:highlight w:val="none"/>
          <w:lang w:eastAsia="zh-CN"/>
        </w:rPr>
      </w:pPr>
      <w:r>
        <w:rPr>
          <w:rFonts w:hint="eastAsia" w:ascii="宋体" w:hAnsi="宋体" w:eastAsia="宋体" w:cs="宋体"/>
          <w:highlight w:val="none"/>
        </w:rPr>
        <w:t>本文件起草单位</w:t>
      </w:r>
      <w:r>
        <w:rPr>
          <w:rFonts w:hint="eastAsia" w:ascii="宋体" w:hAnsi="宋体" w:eastAsia="宋体" w:cs="宋体"/>
          <w:highlight w:val="none"/>
          <w:lang w:eastAsia="zh-CN"/>
        </w:rPr>
        <w:t>：</w:t>
      </w:r>
    </w:p>
    <w:p>
      <w:pPr>
        <w:pStyle w:val="49"/>
        <w:ind w:firstLine="420"/>
        <w:rPr>
          <w:rFonts w:hint="eastAsia" w:ascii="宋体" w:hAnsi="宋体" w:eastAsia="宋体" w:cs="宋体"/>
          <w:highlight w:val="none"/>
          <w:lang w:eastAsia="zh-CN"/>
        </w:rPr>
      </w:pPr>
      <w:r>
        <w:rPr>
          <w:rFonts w:hint="eastAsia" w:ascii="宋体" w:hAnsi="宋体" w:eastAsia="宋体" w:cs="宋体"/>
          <w:highlight w:val="none"/>
        </w:rPr>
        <w:t>本文件主要起草人：</w:t>
      </w:r>
    </w:p>
    <w:p>
      <w:pPr>
        <w:pStyle w:val="49"/>
        <w:ind w:firstLine="420"/>
        <w:rPr>
          <w:rFonts w:hint="eastAsia" w:ascii="宋体" w:hAnsi="宋体" w:eastAsia="宋体" w:cs="宋体"/>
          <w:highlight w:val="none"/>
          <w:lang w:eastAsia="zh-CN"/>
        </w:rPr>
        <w:sectPr>
          <w:headerReference r:id="rId7" w:type="default"/>
          <w:footerReference r:id="rId9" w:type="default"/>
          <w:headerReference r:id="rId8" w:type="even"/>
          <w:footerReference r:id="rId10" w:type="even"/>
          <w:pgSz w:w="11906" w:h="16838"/>
          <w:pgMar w:top="1871" w:right="1134" w:bottom="1134" w:left="1134" w:header="1418" w:footer="1134" w:gutter="284"/>
          <w:pgBorders>
            <w:top w:val="none" w:sz="0" w:space="0"/>
            <w:left w:val="none" w:sz="0" w:space="0"/>
            <w:bottom w:val="none" w:sz="0" w:space="0"/>
            <w:right w:val="none" w:sz="0" w:space="0"/>
          </w:pgBorders>
          <w:pgNumType w:fmt="upperRoman" w:start="1"/>
          <w:cols w:space="425" w:num="1"/>
          <w:formProt w:val="0"/>
          <w:docGrid w:type="lines" w:linePitch="312" w:charSpace="0"/>
        </w:sectPr>
      </w:pPr>
      <w:r>
        <w:rPr>
          <w:rFonts w:hint="eastAsia" w:ascii="宋体" w:hAnsi="宋体" w:eastAsia="宋体" w:cs="宋体"/>
          <w:highlight w:val="none"/>
        </w:rPr>
        <w:t>本文件属首次发布</w:t>
      </w:r>
      <w:r>
        <w:rPr>
          <w:rFonts w:hint="eastAsia" w:hAnsi="宋体" w:cs="宋体"/>
          <w:highlight w:val="none"/>
          <w:lang w:eastAsia="zh-CN"/>
        </w:rPr>
        <w:t>。</w:t>
      </w:r>
    </w:p>
    <w:sdt>
      <w:sdtPr>
        <w:rPr>
          <w:rStyle w:val="88"/>
          <w:rFonts w:hint="eastAsia"/>
          <w:highlight w:val="none"/>
        </w:rPr>
        <w:tag w:val="NEW_STAND_NAME"/>
        <w:id w:val="595910757"/>
        <w:lock w:val="sdtLocked"/>
        <w:placeholder>
          <w:docPart w:val="{a596f335-4c72-4fd7-8bb1-d8a5b54b16e8}"/>
        </w:placeholder>
      </w:sdtPr>
      <w:sdtEndPr>
        <w:rPr>
          <w:rStyle w:val="83"/>
          <w:rFonts w:hint="eastAsia"/>
          <w:highlight w:val="none"/>
        </w:rPr>
      </w:sdtEndPr>
      <w:sdtContent>
        <w:sdt>
          <w:sdtPr>
            <w:rPr>
              <w:rStyle w:val="88"/>
              <w:rFonts w:hint="eastAsia"/>
              <w:highlight w:val="none"/>
            </w:rPr>
            <w:tag w:val="NEW_STAND_NAME"/>
            <w:id w:val="595910757"/>
            <w:lock w:val="sdtLocked"/>
            <w:placeholder>
              <w:docPart w:val="{0937361b-fa11-4665-a891-d8b0f58c55f6}"/>
            </w:placeholder>
          </w:sdtPr>
          <w:sdtEndPr>
            <w:rPr>
              <w:rStyle w:val="83"/>
              <w:rFonts w:hint="eastAsia"/>
              <w:highlight w:val="none"/>
            </w:rPr>
          </w:sdtEndPr>
          <w:sdtContent>
            <w:p>
              <w:pPr>
                <w:pStyle w:val="2"/>
                <w:keepNext w:val="0"/>
                <w:keepLines w:val="0"/>
                <w:pageBreakBefore w:val="0"/>
                <w:widowControl w:val="0"/>
                <w:kinsoku/>
                <w:wordWrap/>
                <w:overflowPunct/>
                <w:topLinePunct w:val="0"/>
                <w:autoSpaceDE/>
                <w:autoSpaceDN/>
                <w:bidi w:val="0"/>
                <w:adjustRightInd/>
                <w:snapToGrid/>
                <w:spacing w:before="569" w:beforeLines="182" w:after="687" w:afterLines="220" w:line="400" w:lineRule="exact"/>
                <w:jc w:val="center"/>
                <w:textAlignment w:val="auto"/>
                <w:rPr>
                  <w:rFonts w:hint="eastAsia"/>
                  <w:highlight w:val="none"/>
                  <w:lang w:val="en-US" w:eastAsia="zh-CN"/>
                </w:rPr>
              </w:pPr>
              <w:r>
                <w:rPr>
                  <w:rStyle w:val="89"/>
                  <w:rFonts w:hint="eastAsia"/>
                  <w:highlight w:val="none"/>
                </w:rPr>
                <w:t>智慧农业示范基地建设与评价　</w:t>
              </w:r>
              <w:r>
                <w:rPr>
                  <w:rStyle w:val="89"/>
                  <w:rFonts w:hint="eastAsia"/>
                  <w:highlight w:val="none"/>
                  <w:lang w:eastAsia="zh-CN"/>
                </w:rPr>
                <w:t>第6部分</w:t>
              </w:r>
              <w:r>
                <w:rPr>
                  <w:rStyle w:val="89"/>
                  <w:rFonts w:hint="eastAsia"/>
                  <w:highlight w:val="none"/>
                </w:rPr>
                <w:t>：智慧农村</w:t>
              </w:r>
            </w:p>
          </w:sdtContent>
        </w:sdt>
      </w:sdtContent>
    </w:sdt>
    <w:p>
      <w:pPr>
        <w:pStyle w:val="63"/>
        <w:spacing w:before="312" w:after="312"/>
        <w:jc w:val="left"/>
        <w:rPr>
          <w:rFonts w:hint="eastAsia"/>
          <w:highlight w:val="none"/>
        </w:rPr>
      </w:pPr>
      <w:bookmarkStart w:id="8" w:name="_Toc19154"/>
      <w:bookmarkStart w:id="9" w:name="_Toc32425"/>
      <w:bookmarkStart w:id="10" w:name="_Toc3453"/>
      <w:r>
        <w:rPr>
          <w:rFonts w:hint="eastAsia"/>
          <w:highlight w:val="none"/>
        </w:rPr>
        <w:t>范围</w:t>
      </w:r>
      <w:bookmarkEnd w:id="8"/>
      <w:bookmarkEnd w:id="9"/>
      <w:bookmarkEnd w:id="10"/>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本</w:t>
      </w:r>
      <w:r>
        <w:rPr>
          <w:rFonts w:hint="eastAsia" w:ascii="宋体" w:hAnsi="宋体" w:eastAsia="宋体" w:cs="宋体"/>
          <w:szCs w:val="21"/>
          <w:highlight w:val="none"/>
          <w:lang w:eastAsia="zh-CN"/>
        </w:rPr>
        <w:t>文件</w:t>
      </w:r>
      <w:r>
        <w:rPr>
          <w:rFonts w:hint="eastAsia" w:ascii="宋体" w:hAnsi="宋体" w:eastAsia="宋体" w:cs="宋体"/>
          <w:szCs w:val="21"/>
          <w:highlight w:val="none"/>
        </w:rPr>
        <w:t>规定了</w:t>
      </w:r>
      <w:r>
        <w:rPr>
          <w:rFonts w:hint="eastAsia" w:ascii="宋体" w:hAnsi="宋体" w:eastAsia="宋体" w:cs="宋体"/>
          <w:szCs w:val="21"/>
          <w:highlight w:val="none"/>
          <w:lang w:eastAsia="zh-CN"/>
        </w:rPr>
        <w:t>《</w:t>
      </w:r>
      <w:r>
        <w:rPr>
          <w:rFonts w:hint="eastAsia" w:ascii="宋体" w:hAnsi="宋体" w:eastAsia="宋体" w:cs="宋体"/>
          <w:szCs w:val="21"/>
          <w:highlight w:val="none"/>
        </w:rPr>
        <w:t>智慧农业示范基地建设与评价　</w:t>
      </w:r>
      <w:r>
        <w:rPr>
          <w:rFonts w:hint="eastAsia" w:ascii="宋体" w:hAnsi="宋体" w:eastAsia="宋体" w:cs="宋体"/>
          <w:szCs w:val="21"/>
          <w:highlight w:val="none"/>
          <w:lang w:eastAsia="zh-CN"/>
        </w:rPr>
        <w:t>第6部分</w:t>
      </w:r>
      <w:r>
        <w:rPr>
          <w:rFonts w:hint="eastAsia" w:ascii="宋体" w:hAnsi="宋体" w:eastAsia="宋体" w:cs="宋体"/>
          <w:szCs w:val="21"/>
          <w:highlight w:val="none"/>
        </w:rPr>
        <w:t>：智慧农村</w:t>
      </w:r>
      <w:r>
        <w:rPr>
          <w:rFonts w:hint="eastAsia" w:ascii="宋体" w:hAnsi="宋体" w:eastAsia="宋体" w:cs="宋体"/>
          <w:szCs w:val="21"/>
          <w:highlight w:val="none"/>
          <w:lang w:eastAsia="zh-CN"/>
        </w:rPr>
        <w:t>》</w:t>
      </w:r>
      <w:r>
        <w:rPr>
          <w:rFonts w:hint="eastAsia" w:ascii="宋体" w:hAnsi="宋体" w:eastAsia="宋体" w:cs="宋体"/>
          <w:szCs w:val="21"/>
          <w:highlight w:val="none"/>
        </w:rPr>
        <w:t>的术语和定义、</w:t>
      </w:r>
      <w:r>
        <w:rPr>
          <w:rFonts w:hint="eastAsia" w:ascii="宋体" w:hAnsi="宋体" w:eastAsia="宋体" w:cs="宋体"/>
          <w:szCs w:val="21"/>
          <w:highlight w:val="none"/>
          <w:lang w:eastAsia="zh-CN"/>
        </w:rPr>
        <w:t>智慧农村示范村评价等</w:t>
      </w:r>
      <w:r>
        <w:rPr>
          <w:rFonts w:hint="eastAsia" w:ascii="宋体" w:hAnsi="宋体" w:eastAsia="宋体" w:cs="宋体"/>
          <w:szCs w:val="21"/>
          <w:highlight w:val="none"/>
        </w:rPr>
        <w:t>。</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highlight w:val="none"/>
        </w:rPr>
      </w:pPr>
      <w:r>
        <w:rPr>
          <w:rFonts w:hint="eastAsia" w:ascii="宋体" w:hAnsi="宋体" w:eastAsia="宋体" w:cs="宋体"/>
          <w:szCs w:val="21"/>
          <w:highlight w:val="none"/>
        </w:rPr>
        <w:t>本</w:t>
      </w:r>
      <w:r>
        <w:rPr>
          <w:rFonts w:hint="eastAsia" w:ascii="宋体" w:hAnsi="宋体" w:eastAsia="宋体" w:cs="宋体"/>
          <w:szCs w:val="21"/>
          <w:highlight w:val="none"/>
          <w:lang w:eastAsia="zh-CN"/>
        </w:rPr>
        <w:t>文件</w:t>
      </w:r>
      <w:r>
        <w:rPr>
          <w:rFonts w:hint="eastAsia" w:ascii="宋体" w:hAnsi="宋体" w:eastAsia="宋体" w:cs="宋体"/>
          <w:szCs w:val="21"/>
          <w:highlight w:val="none"/>
        </w:rPr>
        <w:t>适用于</w:t>
      </w:r>
      <w:r>
        <w:rPr>
          <w:rFonts w:hint="eastAsia" w:ascii="宋体" w:hAnsi="宋体" w:eastAsia="宋体" w:cs="宋体"/>
          <w:szCs w:val="21"/>
          <w:highlight w:val="none"/>
          <w:lang w:val="en-US" w:eastAsia="zh-CN"/>
        </w:rPr>
        <w:t>苏州市范围内</w:t>
      </w:r>
      <w:r>
        <w:rPr>
          <w:rFonts w:hint="eastAsia" w:ascii="宋体" w:hAnsi="宋体" w:eastAsia="宋体" w:cs="宋体"/>
          <w:szCs w:val="21"/>
          <w:highlight w:val="none"/>
        </w:rPr>
        <w:t>智慧农村示范村的综合评价。</w:t>
      </w:r>
    </w:p>
    <w:p>
      <w:pPr>
        <w:pStyle w:val="63"/>
        <w:spacing w:before="312" w:after="312"/>
        <w:jc w:val="left"/>
        <w:rPr>
          <w:rFonts w:hint="eastAsia"/>
          <w:highlight w:val="none"/>
        </w:rPr>
      </w:pPr>
      <w:bookmarkStart w:id="11" w:name="_Toc8755"/>
      <w:bookmarkStart w:id="12" w:name="_Toc17888"/>
      <w:bookmarkStart w:id="13" w:name="_Toc5498"/>
      <w:r>
        <w:rPr>
          <w:rFonts w:hint="eastAsia"/>
          <w:highlight w:val="none"/>
        </w:rPr>
        <w:t>规范性引用文件</w:t>
      </w:r>
      <w:bookmarkEnd w:id="11"/>
      <w:bookmarkEnd w:id="12"/>
      <w:bookmarkEnd w:id="13"/>
    </w:p>
    <w:p>
      <w:pPr>
        <w:tabs>
          <w:tab w:val="left" w:pos="4111"/>
        </w:tabs>
        <w:adjustRightInd w:val="0"/>
        <w:spacing w:line="24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下列文件对于本文件的应用是必不可少的。凡是注日期的引用文件，仅注日期的版本适用于本文件。凡是不注日期的引用文件，其最新版本（包括所有的修改单）适用于本文件。</w:t>
      </w:r>
    </w:p>
    <w:p>
      <w:pPr>
        <w:pStyle w:val="64"/>
        <w:keepNext w:val="0"/>
        <w:keepLines w:val="0"/>
        <w:pageBreakBefore w:val="0"/>
        <w:kinsoku/>
        <w:wordWrap/>
        <w:overflowPunct/>
        <w:topLinePunct w:val="0"/>
        <w:autoSpaceDE/>
        <w:autoSpaceDN/>
        <w:bidi w:val="0"/>
        <w:adjustRightInd/>
        <w:snapToGrid/>
        <w:spacing w:line="340" w:lineRule="exact"/>
        <w:ind w:firstLineChars="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GB/T 1.1-2020</w:t>
      </w:r>
      <w:r>
        <w:rPr>
          <w:rFonts w:hint="eastAsia" w:hAnsi="宋体" w:cs="宋体"/>
          <w:kern w:val="2"/>
          <w:sz w:val="21"/>
          <w:szCs w:val="21"/>
          <w:highlight w:val="none"/>
          <w:lang w:val="en-US" w:eastAsia="zh-CN" w:bidi="ar-SA"/>
        </w:rPr>
        <w:t xml:space="preserve"> </w:t>
      </w:r>
      <w:r>
        <w:rPr>
          <w:rFonts w:hint="eastAsia" w:ascii="宋体" w:hAnsi="宋体" w:eastAsia="宋体" w:cs="宋体"/>
          <w:kern w:val="2"/>
          <w:sz w:val="21"/>
          <w:szCs w:val="21"/>
          <w:highlight w:val="none"/>
          <w:lang w:val="en-US" w:eastAsia="zh-CN" w:bidi="ar-SA"/>
        </w:rPr>
        <w:t>标准化工作导则 第1部分：标准化文件的结构和起草规则</w:t>
      </w:r>
    </w:p>
    <w:p>
      <w:pPr>
        <w:pStyle w:val="22"/>
        <w:keepNext w:val="0"/>
        <w:keepLines w:val="0"/>
        <w:pageBreakBefore w:val="0"/>
        <w:kinsoku/>
        <w:wordWrap/>
        <w:overflowPunct/>
        <w:topLinePunct w:val="0"/>
        <w:autoSpaceDE/>
        <w:autoSpaceDN/>
        <w:bidi w:val="0"/>
        <w:adjustRightInd/>
        <w:snapToGrid/>
        <w:spacing w:line="340" w:lineRule="exac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GB/T 32000-2015 美丽乡村建设指南</w:t>
      </w:r>
    </w:p>
    <w:p>
      <w:pPr>
        <w:pStyle w:val="22"/>
        <w:keepNext w:val="0"/>
        <w:keepLines w:val="0"/>
        <w:pageBreakBefore w:val="0"/>
        <w:kinsoku/>
        <w:wordWrap/>
        <w:overflowPunct/>
        <w:topLinePunct w:val="0"/>
        <w:autoSpaceDE/>
        <w:autoSpaceDN/>
        <w:bidi w:val="0"/>
        <w:adjustRightInd/>
        <w:snapToGrid/>
        <w:spacing w:line="340" w:lineRule="exac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NY/T 3501-2019 农业数据共享技术规范</w:t>
      </w:r>
    </w:p>
    <w:p>
      <w:pPr>
        <w:pStyle w:val="63"/>
        <w:spacing w:before="312" w:after="312"/>
        <w:jc w:val="left"/>
        <w:rPr>
          <w:rFonts w:hint="eastAsia"/>
          <w:highlight w:val="none"/>
        </w:rPr>
      </w:pPr>
      <w:bookmarkStart w:id="14" w:name="_Toc1814"/>
      <w:bookmarkStart w:id="15" w:name="_Toc30771"/>
      <w:bookmarkStart w:id="16" w:name="_Toc16136"/>
      <w:r>
        <w:rPr>
          <w:rFonts w:hint="eastAsia"/>
          <w:highlight w:val="none"/>
        </w:rPr>
        <w:t>术语和定义</w:t>
      </w:r>
      <w:bookmarkEnd w:id="14"/>
      <w:bookmarkEnd w:id="15"/>
      <w:bookmarkEnd w:id="16"/>
    </w:p>
    <w:p>
      <w:pPr>
        <w:pStyle w:val="30"/>
        <w:ind w:firstLine="420" w:firstLineChars="200"/>
        <w:rPr>
          <w:rFonts w:hint="eastAsia"/>
          <w:highlight w:val="none"/>
          <w:lang w:val="en-US" w:eastAsia="zh-CN"/>
        </w:rPr>
      </w:pPr>
      <w:r>
        <w:rPr>
          <w:rFonts w:hint="eastAsia" w:ascii="宋体" w:hAnsi="宋体" w:eastAsia="宋体" w:cs="宋体"/>
          <w:sz w:val="21"/>
          <w:szCs w:val="21"/>
          <w:highlight w:val="none"/>
        </w:rPr>
        <w:t>下列术语和定义适用于本文件</w:t>
      </w:r>
      <w:r>
        <w:rPr>
          <w:rFonts w:hint="eastAsia" w:ascii="宋体" w:hAnsi="宋体" w:eastAsia="宋体" w:cs="宋体"/>
          <w:sz w:val="21"/>
          <w:szCs w:val="21"/>
          <w:highlight w:val="none"/>
          <w:lang w:eastAsia="zh-CN"/>
        </w:rPr>
        <w:t>。</w:t>
      </w:r>
      <w:bookmarkStart w:id="17" w:name="_Toc16105"/>
      <w:bookmarkStart w:id="18" w:name="_Toc27722"/>
      <w:bookmarkStart w:id="19" w:name="_Toc1735"/>
    </w:p>
    <w:p>
      <w:pPr>
        <w:pStyle w:val="92"/>
        <w:keepNext w:val="0"/>
        <w:keepLines w:val="0"/>
        <w:pageBreakBefore w:val="0"/>
        <w:widowControl/>
        <w:numPr>
          <w:ilvl w:val="2"/>
          <w:numId w:val="6"/>
        </w:numPr>
        <w:kinsoku/>
        <w:wordWrap/>
        <w:overflowPunct/>
        <w:topLinePunct w:val="0"/>
        <w:autoSpaceDE/>
        <w:autoSpaceDN/>
        <w:bidi w:val="0"/>
        <w:adjustRightInd/>
        <w:snapToGrid w:val="0"/>
        <w:spacing w:before="157" w:beforeLines="50" w:after="157" w:afterLines="50"/>
        <w:ind w:left="0" w:firstLine="0" w:firstLineChars="0"/>
        <w:jc w:val="left"/>
        <w:textAlignment w:val="auto"/>
        <w:rPr>
          <w:rFonts w:hint="default" w:ascii="黑体" w:hAnsi="黑体" w:eastAsia="黑体"/>
          <w:highlight w:val="none"/>
          <w:lang w:val="en-US" w:eastAsia="zh-CN"/>
        </w:rPr>
      </w:pPr>
      <w:r>
        <w:rPr>
          <w:rFonts w:hint="eastAsia" w:ascii="黑体" w:hAnsi="黑体" w:eastAsia="黑体"/>
          <w:highlight w:val="none"/>
          <w:lang w:val="en-US" w:eastAsia="zh-CN"/>
        </w:rPr>
        <w:t>智慧农村</w:t>
      </w:r>
      <w:bookmarkEnd w:id="17"/>
      <w:bookmarkEnd w:id="18"/>
      <w:bookmarkEnd w:id="19"/>
      <w:r>
        <w:rPr>
          <w:rFonts w:hint="eastAsia" w:ascii="黑体" w:hAnsi="黑体" w:eastAsia="黑体"/>
          <w:highlight w:val="none"/>
          <w:lang w:val="en-US" w:eastAsia="zh-CN"/>
        </w:rPr>
        <w:t xml:space="preserve"> smart rural</w:t>
      </w:r>
    </w:p>
    <w:p>
      <w:pPr>
        <w:tabs>
          <w:tab w:val="left" w:pos="4111"/>
        </w:tabs>
        <w:adjustRightInd w:val="0"/>
        <w:spacing w:line="240" w:lineRule="auto"/>
        <w:ind w:firstLine="420" w:firstLineChars="200"/>
        <w:rPr>
          <w:rFonts w:hint="eastAsia" w:ascii="宋体" w:hAnsi="宋体" w:eastAsia="宋体" w:cs="宋体"/>
          <w:b w:val="0"/>
          <w:bCs/>
          <w:sz w:val="21"/>
          <w:szCs w:val="21"/>
          <w:highlight w:val="none"/>
          <w:lang w:val="en-US" w:eastAsia="zh-CN"/>
        </w:rPr>
      </w:pPr>
      <w:r>
        <w:rPr>
          <w:rFonts w:hint="eastAsia" w:ascii="宋体" w:hAnsi="宋体" w:eastAsia="宋体" w:cs="宋体"/>
          <w:szCs w:val="21"/>
          <w:highlight w:val="none"/>
          <w:lang w:val="en-US" w:eastAsia="zh-CN"/>
        </w:rPr>
        <w:t>智慧农村是伴随</w:t>
      </w:r>
      <w:r>
        <w:rPr>
          <w:rFonts w:hint="eastAsia" w:ascii="宋体" w:hAnsi="宋体" w:eastAsia="宋体" w:cs="宋体"/>
          <w:szCs w:val="21"/>
          <w:highlight w:val="none"/>
          <w:lang w:val="en-US" w:eastAsia="zh-CN"/>
        </w:rPr>
        <w:fldChar w:fldCharType="begin"/>
      </w:r>
      <w:r>
        <w:rPr>
          <w:rFonts w:hint="eastAsia" w:ascii="宋体" w:hAnsi="宋体" w:eastAsia="宋体" w:cs="宋体"/>
          <w:szCs w:val="21"/>
          <w:highlight w:val="none"/>
          <w:lang w:val="en-US" w:eastAsia="zh-CN"/>
        </w:rPr>
        <w:instrText xml:space="preserve"> HYPERLINK "https://baike.baidu.com/item/%E7%BD%91%E7%BB%9C%E5%8C%96/5810347" \t "https://baike.baidu.com/item/%E6%95%B0%E5%AD%97%E4%B9%A1%E6%9D%91/_blank" </w:instrText>
      </w:r>
      <w:r>
        <w:rPr>
          <w:rFonts w:hint="eastAsia" w:ascii="宋体" w:hAnsi="宋体" w:eastAsia="宋体" w:cs="宋体"/>
          <w:szCs w:val="21"/>
          <w:highlight w:val="none"/>
          <w:lang w:val="en-US" w:eastAsia="zh-CN"/>
        </w:rPr>
        <w:fldChar w:fldCharType="separate"/>
      </w:r>
      <w:r>
        <w:rPr>
          <w:rFonts w:hint="eastAsia" w:ascii="宋体" w:hAnsi="宋体" w:eastAsia="宋体" w:cs="宋体"/>
          <w:szCs w:val="21"/>
          <w:highlight w:val="none"/>
          <w:lang w:val="en-US" w:eastAsia="zh-CN"/>
        </w:rPr>
        <w:t>网络化</w:t>
      </w:r>
      <w:r>
        <w:rPr>
          <w:rFonts w:hint="eastAsia" w:ascii="宋体" w:hAnsi="宋体" w:eastAsia="宋体" w:cs="宋体"/>
          <w:szCs w:val="21"/>
          <w:highlight w:val="none"/>
          <w:lang w:val="en-US" w:eastAsia="zh-CN"/>
        </w:rPr>
        <w:fldChar w:fldCharType="end"/>
      </w:r>
      <w:r>
        <w:rPr>
          <w:rFonts w:hint="eastAsia" w:ascii="宋体" w:hAnsi="宋体" w:eastAsia="宋体" w:cs="宋体"/>
          <w:szCs w:val="21"/>
          <w:highlight w:val="none"/>
          <w:lang w:val="en-US" w:eastAsia="zh-CN"/>
        </w:rPr>
        <w:t>、信息化和数字化在农业农村经济社会发展中的应用，农村向基础设施建设、治理精准化、服务均等化、产业特色化</w:t>
      </w:r>
      <w:bookmarkStart w:id="20" w:name="_Toc4545"/>
      <w:r>
        <w:rPr>
          <w:rFonts w:hint="eastAsia" w:ascii="宋体" w:hAnsi="宋体" w:eastAsia="宋体" w:cs="宋体"/>
          <w:szCs w:val="21"/>
          <w:highlight w:val="none"/>
          <w:lang w:val="en-US" w:eastAsia="zh-CN"/>
        </w:rPr>
        <w:t>方向的数字化转型过程，是推进城乡融合发展，助力乡村全面振兴的重要路径。</w:t>
      </w:r>
    </w:p>
    <w:bookmarkEnd w:id="20"/>
    <w:p>
      <w:pPr>
        <w:pStyle w:val="63"/>
        <w:spacing w:before="312" w:after="312"/>
        <w:jc w:val="left"/>
        <w:rPr>
          <w:rFonts w:hint="eastAsia"/>
          <w:highlight w:val="none"/>
          <w:lang w:val="en-US" w:eastAsia="zh-CN"/>
        </w:rPr>
      </w:pPr>
      <w:bookmarkStart w:id="21" w:name="_Toc21317"/>
      <w:bookmarkStart w:id="22" w:name="_Toc26131"/>
      <w:bookmarkStart w:id="23" w:name="_Toc9471"/>
      <w:r>
        <w:rPr>
          <w:rFonts w:hint="eastAsia"/>
          <w:highlight w:val="none"/>
        </w:rPr>
        <w:t>总体要求</w:t>
      </w:r>
      <w:bookmarkEnd w:id="21"/>
      <w:bookmarkEnd w:id="22"/>
      <w:bookmarkEnd w:id="23"/>
    </w:p>
    <w:p>
      <w:pPr>
        <w:pStyle w:val="90"/>
        <w:spacing w:before="156" w:after="156"/>
        <w:jc w:val="left"/>
        <w:rPr>
          <w:rFonts w:hint="eastAsia" w:hAnsi="黑体"/>
          <w:highlight w:val="none"/>
          <w:lang w:val="en-US" w:eastAsia="zh-CN"/>
        </w:rPr>
      </w:pPr>
      <w:bookmarkStart w:id="24" w:name="_Toc4260"/>
      <w:bookmarkStart w:id="25" w:name="_Toc26426"/>
      <w:bookmarkStart w:id="26" w:name="_Toc22855"/>
      <w:r>
        <w:rPr>
          <w:rFonts w:hint="eastAsia" w:hAnsi="黑体"/>
          <w:highlight w:val="none"/>
          <w:lang w:val="en-US" w:eastAsia="zh-CN"/>
        </w:rPr>
        <w:t>基础要求</w:t>
      </w:r>
      <w:bookmarkEnd w:id="24"/>
      <w:bookmarkEnd w:id="25"/>
      <w:bookmarkEnd w:id="26"/>
    </w:p>
    <w:p>
      <w:pPr>
        <w:tabs>
          <w:tab w:val="left" w:pos="4111"/>
        </w:tabs>
        <w:adjustRightInd w:val="0"/>
        <w:ind w:left="0" w:leftChars="0" w:firstLine="420" w:firstLineChars="200"/>
        <w:jc w:val="both"/>
        <w:rPr>
          <w:rFonts w:hint="eastAsia" w:ascii="宋体" w:hAnsi="宋体" w:eastAsia="宋体" w:cs="宋体"/>
          <w:sz w:val="21"/>
          <w:szCs w:val="21"/>
          <w:highlight w:val="none"/>
          <w:lang w:val="en-US" w:eastAsia="zh-CN"/>
        </w:rPr>
      </w:pPr>
      <w:r>
        <w:rPr>
          <w:rFonts w:hint="eastAsia" w:ascii="宋体" w:hAnsi="宋体" w:eastAsia="宋体" w:cs="宋体"/>
          <w:szCs w:val="21"/>
          <w:highlight w:val="none"/>
          <w:lang w:val="en-US" w:eastAsia="zh-CN"/>
        </w:rPr>
        <w:t>以基础性、公共性为导向，鼓励村集体面向村民和产业，完善农村公共站点、公共服务的物联网感知、智能设备；以网络化、平台化、远程化的信息服务方式，构建以乡村治理、乡村服务等主要内容的农村社会信息服务体系；以产业数字化为主线，发展农村数字经济。</w:t>
      </w:r>
    </w:p>
    <w:p>
      <w:pPr>
        <w:pStyle w:val="63"/>
        <w:spacing w:before="312" w:after="312"/>
        <w:jc w:val="left"/>
        <w:rPr>
          <w:rFonts w:hint="eastAsia"/>
          <w:highlight w:val="none"/>
          <w:lang w:val="en-US" w:eastAsia="zh-CN"/>
        </w:rPr>
      </w:pPr>
      <w:bookmarkStart w:id="27" w:name="_Toc27068"/>
      <w:bookmarkStart w:id="28" w:name="_Toc20972"/>
      <w:bookmarkStart w:id="29" w:name="_Toc24254"/>
      <w:r>
        <w:rPr>
          <w:rFonts w:hint="eastAsia"/>
          <w:highlight w:val="none"/>
        </w:rPr>
        <w:t>智慧农村示范</w:t>
      </w:r>
      <w:r>
        <w:rPr>
          <w:rFonts w:hint="eastAsia"/>
          <w:highlight w:val="none"/>
          <w:lang w:val="en-US" w:eastAsia="zh-CN"/>
        </w:rPr>
        <w:t>村</w:t>
      </w:r>
      <w:r>
        <w:rPr>
          <w:rFonts w:hint="eastAsia"/>
          <w:highlight w:val="none"/>
        </w:rPr>
        <w:t>评价</w:t>
      </w:r>
      <w:bookmarkEnd w:id="27"/>
      <w:bookmarkEnd w:id="28"/>
      <w:bookmarkEnd w:id="29"/>
    </w:p>
    <w:p>
      <w:pPr>
        <w:pStyle w:val="90"/>
        <w:spacing w:before="156" w:after="156"/>
        <w:jc w:val="left"/>
        <w:rPr>
          <w:rFonts w:hint="eastAsia" w:hAnsi="黑体"/>
          <w:highlight w:val="none"/>
          <w:lang w:val="en-US" w:eastAsia="zh-CN"/>
        </w:rPr>
      </w:pPr>
      <w:bookmarkStart w:id="30" w:name="_Toc28174"/>
      <w:bookmarkStart w:id="31" w:name="_Toc4978"/>
      <w:bookmarkStart w:id="32" w:name="_Toc30202"/>
      <w:r>
        <w:rPr>
          <w:rFonts w:hint="eastAsia" w:hAnsi="黑体"/>
          <w:highlight w:val="none"/>
          <w:lang w:val="en-US" w:eastAsia="zh-CN"/>
        </w:rPr>
        <w:t>评价原则</w:t>
      </w:r>
      <w:bookmarkEnd w:id="30"/>
      <w:bookmarkEnd w:id="31"/>
      <w:bookmarkEnd w:id="32"/>
    </w:p>
    <w:p>
      <w:pPr>
        <w:pStyle w:val="91"/>
        <w:spacing w:before="156" w:after="156"/>
        <w:jc w:val="left"/>
        <w:rPr>
          <w:rFonts w:hint="eastAsia"/>
          <w:highlight w:val="none"/>
          <w:lang w:val="en-US" w:eastAsia="zh-CN"/>
        </w:rPr>
      </w:pPr>
      <w:bookmarkStart w:id="33" w:name="_Toc28049"/>
      <w:r>
        <w:rPr>
          <w:rFonts w:hint="eastAsia"/>
          <w:highlight w:val="none"/>
          <w:lang w:val="en-US" w:eastAsia="zh-CN"/>
        </w:rPr>
        <w:t>客观公正原则</w:t>
      </w:r>
      <w:bookmarkEnd w:id="33"/>
    </w:p>
    <w:p>
      <w:pPr>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评价工作要客观公正，评价过程、方法和结果要公开透明，全过程接受监督。</w:t>
      </w:r>
    </w:p>
    <w:p>
      <w:pPr>
        <w:pStyle w:val="91"/>
        <w:spacing w:before="156" w:after="156"/>
        <w:jc w:val="left"/>
        <w:rPr>
          <w:rFonts w:hint="eastAsia"/>
          <w:highlight w:val="none"/>
          <w:lang w:val="en-US" w:eastAsia="zh-CN"/>
        </w:rPr>
      </w:pPr>
      <w:bookmarkStart w:id="34" w:name="_Toc6235"/>
      <w:r>
        <w:rPr>
          <w:rFonts w:hint="eastAsia"/>
          <w:highlight w:val="none"/>
          <w:lang w:val="en-US" w:eastAsia="zh-CN"/>
        </w:rPr>
        <w:t>激励引导原则</w:t>
      </w:r>
      <w:bookmarkEnd w:id="34"/>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以政策为导向，充分发挥智慧</w:t>
      </w:r>
      <w:r>
        <w:rPr>
          <w:rFonts w:hint="eastAsia" w:ascii="宋体" w:hAnsi="宋体" w:eastAsia="宋体" w:cs="宋体"/>
          <w:b w:val="0"/>
          <w:bCs w:val="0"/>
          <w:sz w:val="21"/>
          <w:szCs w:val="21"/>
          <w:highlight w:val="none"/>
          <w:lang w:eastAsia="zh-CN"/>
        </w:rPr>
        <w:t>农村</w:t>
      </w:r>
      <w:r>
        <w:rPr>
          <w:rFonts w:hint="eastAsia" w:ascii="宋体" w:hAnsi="宋体" w:eastAsia="宋体" w:cs="宋体"/>
          <w:b w:val="0"/>
          <w:bCs w:val="0"/>
          <w:sz w:val="21"/>
          <w:szCs w:val="21"/>
          <w:highlight w:val="none"/>
          <w:lang w:val="en-US" w:eastAsia="zh-CN"/>
        </w:rPr>
        <w:t>评价</w:t>
      </w:r>
      <w:r>
        <w:rPr>
          <w:rFonts w:hint="eastAsia" w:ascii="宋体" w:hAnsi="宋体" w:eastAsia="宋体" w:cs="宋体"/>
          <w:b w:val="0"/>
          <w:bCs w:val="0"/>
          <w:sz w:val="21"/>
          <w:szCs w:val="21"/>
          <w:highlight w:val="none"/>
        </w:rPr>
        <w:t>的激励、示范和引领作用，鼓励先进、创新和对未来良好的规划。</w:t>
      </w:r>
    </w:p>
    <w:p>
      <w:pPr>
        <w:pStyle w:val="91"/>
        <w:spacing w:before="156" w:after="156"/>
        <w:jc w:val="left"/>
        <w:rPr>
          <w:rFonts w:hint="eastAsia"/>
          <w:highlight w:val="none"/>
          <w:lang w:val="en-US" w:eastAsia="zh-CN"/>
        </w:rPr>
      </w:pPr>
      <w:bookmarkStart w:id="35" w:name="_Toc28601"/>
      <w:r>
        <w:rPr>
          <w:rFonts w:hint="eastAsia"/>
          <w:highlight w:val="none"/>
          <w:lang w:val="en-US" w:eastAsia="zh-CN"/>
        </w:rPr>
        <w:t>实用性原则</w:t>
      </w:r>
      <w:bookmarkEnd w:id="35"/>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rPr>
        <w:t>评价指标和方法应充分考虑智慧</w:t>
      </w:r>
      <w:r>
        <w:rPr>
          <w:rFonts w:hint="eastAsia" w:ascii="宋体" w:hAnsi="宋体" w:eastAsia="宋体" w:cs="宋体"/>
          <w:b w:val="0"/>
          <w:bCs w:val="0"/>
          <w:sz w:val="21"/>
          <w:szCs w:val="21"/>
          <w:highlight w:val="none"/>
          <w:lang w:val="en-US" w:eastAsia="zh-CN"/>
        </w:rPr>
        <w:t>农村中</w:t>
      </w:r>
      <w:r>
        <w:rPr>
          <w:rFonts w:hint="eastAsia" w:ascii="宋体" w:hAnsi="宋体" w:eastAsia="宋体" w:cs="宋体"/>
          <w:b w:val="0"/>
          <w:bCs w:val="0"/>
          <w:sz w:val="21"/>
          <w:szCs w:val="21"/>
          <w:highlight w:val="none"/>
        </w:rPr>
        <w:t>产业兴旺、生态宜居、乡风文明、治理有效、生活富裕</w:t>
      </w:r>
      <w:r>
        <w:rPr>
          <w:rFonts w:hint="eastAsia" w:ascii="宋体" w:hAnsi="宋体" w:eastAsia="宋体" w:cs="宋体"/>
          <w:b w:val="0"/>
          <w:bCs w:val="0"/>
          <w:sz w:val="21"/>
          <w:szCs w:val="21"/>
          <w:highlight w:val="none"/>
          <w:lang w:val="en-US" w:eastAsia="zh-CN"/>
        </w:rPr>
        <w:t>五个方面</w:t>
      </w:r>
      <w:r>
        <w:rPr>
          <w:rFonts w:hint="eastAsia" w:ascii="宋体" w:hAnsi="宋体" w:eastAsia="宋体" w:cs="宋体"/>
          <w:b w:val="0"/>
          <w:bCs w:val="0"/>
          <w:sz w:val="21"/>
          <w:szCs w:val="21"/>
          <w:highlight w:val="none"/>
          <w:lang w:eastAsia="zh-CN"/>
        </w:rPr>
        <w:t>。</w:t>
      </w:r>
    </w:p>
    <w:p>
      <w:pPr>
        <w:pStyle w:val="91"/>
        <w:spacing w:before="156" w:after="156"/>
        <w:jc w:val="left"/>
        <w:rPr>
          <w:rFonts w:hint="eastAsia"/>
          <w:highlight w:val="none"/>
          <w:lang w:val="en-US" w:eastAsia="zh-CN"/>
        </w:rPr>
      </w:pPr>
      <w:bookmarkStart w:id="36" w:name="_Toc6366"/>
      <w:r>
        <w:rPr>
          <w:rFonts w:hint="eastAsia"/>
          <w:highlight w:val="none"/>
          <w:lang w:val="en-US" w:eastAsia="zh-CN"/>
        </w:rPr>
        <w:t>可操作性原则</w:t>
      </w:r>
      <w:bookmarkEnd w:id="36"/>
    </w:p>
    <w:p>
      <w:pPr>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b w:val="0"/>
          <w:bCs w:val="0"/>
          <w:sz w:val="21"/>
          <w:szCs w:val="21"/>
          <w:highlight w:val="none"/>
        </w:rPr>
        <w:t>评价指标应以简明、可验证为基准，评价结</w:t>
      </w:r>
      <w:r>
        <w:rPr>
          <w:rFonts w:hint="eastAsia" w:ascii="宋体" w:hAnsi="宋体" w:eastAsia="宋体" w:cs="宋体"/>
          <w:sz w:val="21"/>
          <w:szCs w:val="21"/>
          <w:highlight w:val="none"/>
        </w:rPr>
        <w:t>果应具有可比性。</w:t>
      </w:r>
    </w:p>
    <w:p>
      <w:pPr>
        <w:pStyle w:val="90"/>
        <w:spacing w:before="156" w:after="156"/>
        <w:jc w:val="left"/>
        <w:rPr>
          <w:rFonts w:hint="eastAsia" w:hAnsi="黑体"/>
          <w:highlight w:val="none"/>
          <w:lang w:val="en-US" w:eastAsia="zh-CN"/>
        </w:rPr>
      </w:pPr>
      <w:bookmarkStart w:id="37" w:name="_Toc11360"/>
      <w:bookmarkStart w:id="38" w:name="_Toc880"/>
      <w:bookmarkStart w:id="39" w:name="_Toc31418"/>
      <w:r>
        <w:rPr>
          <w:rFonts w:hint="eastAsia" w:hAnsi="黑体"/>
          <w:highlight w:val="none"/>
          <w:lang w:val="en-US" w:eastAsia="zh-CN"/>
        </w:rPr>
        <w:t>评价目标</w:t>
      </w:r>
      <w:bookmarkEnd w:id="37"/>
      <w:bookmarkEnd w:id="38"/>
      <w:bookmarkEnd w:id="39"/>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统一苏州市智慧</w:t>
      </w:r>
      <w:r>
        <w:rPr>
          <w:rFonts w:hint="eastAsia" w:ascii="宋体" w:hAnsi="宋体" w:eastAsia="宋体" w:cs="宋体"/>
          <w:b w:val="0"/>
          <w:bCs w:val="0"/>
          <w:sz w:val="21"/>
          <w:szCs w:val="21"/>
          <w:highlight w:val="none"/>
          <w:lang w:val="en-US" w:eastAsia="zh-CN"/>
        </w:rPr>
        <w:t>农村</w:t>
      </w:r>
      <w:r>
        <w:rPr>
          <w:rFonts w:hint="eastAsia" w:ascii="宋体" w:hAnsi="宋体" w:eastAsia="宋体" w:cs="宋体"/>
          <w:b w:val="0"/>
          <w:bCs w:val="0"/>
          <w:sz w:val="21"/>
          <w:szCs w:val="21"/>
          <w:highlight w:val="none"/>
        </w:rPr>
        <w:t>示范</w:t>
      </w:r>
      <w:r>
        <w:rPr>
          <w:rFonts w:hint="eastAsia" w:ascii="宋体" w:hAnsi="宋体" w:eastAsia="宋体" w:cs="宋体"/>
          <w:b w:val="0"/>
          <w:bCs w:val="0"/>
          <w:sz w:val="21"/>
          <w:szCs w:val="21"/>
          <w:highlight w:val="none"/>
          <w:lang w:val="en-US" w:eastAsia="zh-CN"/>
        </w:rPr>
        <w:t>村</w:t>
      </w:r>
      <w:r>
        <w:rPr>
          <w:rFonts w:hint="eastAsia" w:ascii="宋体" w:hAnsi="宋体" w:eastAsia="宋体" w:cs="宋体"/>
          <w:b w:val="0"/>
          <w:bCs w:val="0"/>
          <w:sz w:val="21"/>
          <w:szCs w:val="21"/>
          <w:highlight w:val="none"/>
        </w:rPr>
        <w:t>评价内容、程序、方法和要求，评价智慧</w:t>
      </w:r>
      <w:r>
        <w:rPr>
          <w:rFonts w:hint="eastAsia" w:ascii="宋体" w:hAnsi="宋体" w:eastAsia="宋体" w:cs="宋体"/>
          <w:b w:val="0"/>
          <w:bCs w:val="0"/>
          <w:sz w:val="21"/>
          <w:szCs w:val="21"/>
          <w:highlight w:val="none"/>
          <w:lang w:val="en-US" w:eastAsia="zh-CN"/>
        </w:rPr>
        <w:t>农村示范村</w:t>
      </w:r>
      <w:r>
        <w:rPr>
          <w:rFonts w:hint="eastAsia" w:ascii="宋体" w:hAnsi="宋体" w:eastAsia="宋体" w:cs="宋体"/>
          <w:b w:val="0"/>
          <w:bCs w:val="0"/>
          <w:sz w:val="21"/>
          <w:szCs w:val="21"/>
          <w:highlight w:val="none"/>
          <w:lang w:eastAsia="zh-CN"/>
        </w:rPr>
        <w:t>建设</w:t>
      </w:r>
      <w:r>
        <w:rPr>
          <w:rFonts w:hint="eastAsia" w:ascii="宋体" w:hAnsi="宋体" w:eastAsia="宋体" w:cs="宋体"/>
          <w:b w:val="0"/>
          <w:bCs w:val="0"/>
          <w:sz w:val="21"/>
          <w:szCs w:val="21"/>
          <w:highlight w:val="none"/>
        </w:rPr>
        <w:t>情况。</w:t>
      </w:r>
    </w:p>
    <w:p>
      <w:pPr>
        <w:pStyle w:val="90"/>
        <w:spacing w:before="156" w:after="156"/>
        <w:jc w:val="left"/>
        <w:rPr>
          <w:rFonts w:hint="eastAsia" w:hAnsi="黑体"/>
          <w:highlight w:val="none"/>
          <w:lang w:val="en-US" w:eastAsia="zh-CN"/>
        </w:rPr>
      </w:pPr>
      <w:bookmarkStart w:id="40" w:name="_Toc12021"/>
      <w:bookmarkStart w:id="41" w:name="_Toc9804"/>
      <w:bookmarkStart w:id="42" w:name="_Toc18404"/>
      <w:r>
        <w:rPr>
          <w:rFonts w:hint="eastAsia" w:hAnsi="黑体"/>
          <w:highlight w:val="none"/>
          <w:lang w:val="en-US" w:eastAsia="zh-CN"/>
        </w:rPr>
        <w:t>评价对象和内容</w:t>
      </w:r>
      <w:bookmarkEnd w:id="40"/>
      <w:bookmarkEnd w:id="41"/>
      <w:bookmarkEnd w:id="42"/>
    </w:p>
    <w:p>
      <w:pPr>
        <w:pStyle w:val="91"/>
        <w:spacing w:before="156" w:after="156"/>
        <w:jc w:val="left"/>
        <w:rPr>
          <w:rFonts w:hint="eastAsia"/>
          <w:highlight w:val="none"/>
          <w:lang w:val="en-US" w:eastAsia="zh-CN"/>
        </w:rPr>
      </w:pPr>
      <w:bookmarkStart w:id="43" w:name="_Toc29207"/>
      <w:r>
        <w:rPr>
          <w:rFonts w:hint="eastAsia"/>
          <w:highlight w:val="none"/>
          <w:lang w:val="en-US" w:eastAsia="zh-CN"/>
        </w:rPr>
        <w:t>评价对象</w:t>
      </w:r>
      <w:bookmarkEnd w:id="43"/>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苏州市范围内行政村（涉农社区）。</w:t>
      </w:r>
    </w:p>
    <w:p>
      <w:pPr>
        <w:pStyle w:val="91"/>
        <w:spacing w:before="156" w:after="156"/>
        <w:jc w:val="left"/>
        <w:rPr>
          <w:rFonts w:hint="eastAsia"/>
          <w:highlight w:val="none"/>
          <w:lang w:val="en-US" w:eastAsia="zh-CN"/>
        </w:rPr>
      </w:pPr>
      <w:bookmarkStart w:id="44" w:name="_Toc387"/>
      <w:r>
        <w:rPr>
          <w:rFonts w:hint="eastAsia"/>
          <w:highlight w:val="none"/>
          <w:lang w:val="en-US" w:eastAsia="zh-CN"/>
        </w:rPr>
        <w:t>评价内容</w:t>
      </w:r>
      <w:bookmarkEnd w:id="44"/>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包括村基础设施、治理精准化、服务均等化、产业特色化四大类，以及一票否决。</w:t>
      </w:r>
    </w:p>
    <w:p>
      <w:pPr>
        <w:pStyle w:val="91"/>
        <w:spacing w:before="156" w:after="156"/>
        <w:jc w:val="left"/>
        <w:rPr>
          <w:rFonts w:hint="default"/>
          <w:highlight w:val="none"/>
          <w:lang w:val="en-US" w:eastAsia="zh-CN"/>
        </w:rPr>
      </w:pPr>
      <w:bookmarkStart w:id="45" w:name="_Toc23676"/>
      <w:r>
        <w:rPr>
          <w:rFonts w:hint="eastAsia"/>
          <w:highlight w:val="none"/>
          <w:lang w:val="en-US" w:eastAsia="zh-CN"/>
        </w:rPr>
        <w:t>基础设施</w:t>
      </w:r>
      <w:bookmarkEnd w:id="45"/>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highlight w:val="none"/>
          <w:lang w:eastAsia="zh-CN"/>
        </w:rPr>
      </w:pPr>
      <w:r>
        <w:rPr>
          <w:rFonts w:hint="eastAsia" w:ascii="宋体" w:hAnsi="宋体" w:eastAsia="宋体" w:cs="宋体"/>
          <w:b w:val="0"/>
          <w:bCs w:val="0"/>
          <w:sz w:val="21"/>
          <w:szCs w:val="21"/>
          <w:highlight w:val="none"/>
          <w:lang w:val="en-US" w:eastAsia="zh-CN"/>
        </w:rPr>
        <w:t>基础设施由网络基础设施、信息服务设施、数字服务运用和成效评价四个部分</w:t>
      </w:r>
      <w:r>
        <w:rPr>
          <w:rFonts w:hint="default" w:ascii="宋体" w:hAnsi="宋体" w:eastAsia="宋体" w:cs="宋体"/>
          <w:b w:val="0"/>
          <w:bCs w:val="0"/>
          <w:sz w:val="21"/>
          <w:szCs w:val="21"/>
          <w:highlight w:val="none"/>
          <w:lang w:eastAsia="zh-CN"/>
        </w:rPr>
        <w:t>组成，为智慧农村的数字底座和系统基础。</w:t>
      </w:r>
    </w:p>
    <w:p>
      <w:pPr>
        <w:pStyle w:val="91"/>
        <w:spacing w:before="156" w:after="156"/>
        <w:jc w:val="left"/>
        <w:rPr>
          <w:rFonts w:hint="eastAsia"/>
          <w:highlight w:val="none"/>
          <w:lang w:val="en-US" w:eastAsia="zh-CN"/>
        </w:rPr>
      </w:pPr>
      <w:bookmarkStart w:id="46" w:name="_Toc13515"/>
      <w:r>
        <w:rPr>
          <w:rFonts w:hint="eastAsia"/>
          <w:highlight w:val="none"/>
          <w:lang w:val="en-US" w:eastAsia="zh-CN"/>
        </w:rPr>
        <w:t>治理精准化</w:t>
      </w:r>
      <w:bookmarkEnd w:id="46"/>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治理精准化是由智慧绿色乡村、“互联网+基层社会治理”、“互联网+党建”、“互联网+村务管理”、成效评价五个部分组成，判断行政村（涉农社区）在治理模块的智慧化程度。</w:t>
      </w:r>
    </w:p>
    <w:p>
      <w:pPr>
        <w:pStyle w:val="91"/>
        <w:spacing w:before="156" w:after="156"/>
        <w:jc w:val="left"/>
        <w:rPr>
          <w:rFonts w:hint="eastAsia"/>
          <w:highlight w:val="none"/>
          <w:lang w:val="en-US" w:eastAsia="zh-CN"/>
        </w:rPr>
      </w:pPr>
      <w:bookmarkStart w:id="47" w:name="_Toc8541"/>
      <w:r>
        <w:rPr>
          <w:rFonts w:hint="eastAsia"/>
          <w:highlight w:val="none"/>
          <w:lang w:val="en-US" w:eastAsia="zh-CN"/>
        </w:rPr>
        <w:t>服务均等化</w:t>
      </w:r>
      <w:bookmarkEnd w:id="47"/>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服务均等化由政务服务、便民服务和成效评价三个部分组成，判断行政村（涉农社区）在服务模块的智慧化程度。</w:t>
      </w:r>
    </w:p>
    <w:p>
      <w:pPr>
        <w:pStyle w:val="91"/>
        <w:spacing w:before="156" w:after="156"/>
        <w:jc w:val="left"/>
        <w:rPr>
          <w:rFonts w:hint="eastAsia"/>
          <w:highlight w:val="none"/>
          <w:lang w:val="en-US" w:eastAsia="zh-CN"/>
        </w:rPr>
      </w:pPr>
      <w:bookmarkStart w:id="48" w:name="_Toc10133"/>
      <w:r>
        <w:rPr>
          <w:rFonts w:hint="eastAsia"/>
          <w:highlight w:val="none"/>
          <w:lang w:val="en-US" w:eastAsia="zh-CN"/>
        </w:rPr>
        <w:t>产业特色化</w:t>
      </w:r>
      <w:bookmarkEnd w:id="48"/>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产业特色化判断行政村（涉农社区）产业数字化程度，旨在推动乡村数字经济。</w:t>
      </w:r>
    </w:p>
    <w:p>
      <w:pPr>
        <w:numPr>
          <w:ilvl w:val="2"/>
          <w:numId w:val="6"/>
        </w:numPr>
        <w:spacing w:before="156" w:beforeLines="50" w:after="156" w:afterLines="50"/>
        <w:jc w:val="both"/>
        <w:outlineLvl w:val="1"/>
        <w:rPr>
          <w:rFonts w:hint="eastAsia" w:ascii="黑体" w:hAnsi="Times New Roman" w:eastAsia="黑体" w:cs="Times New Roman"/>
          <w:sz w:val="21"/>
          <w:highlight w:val="none"/>
          <w:lang w:val="en-US" w:eastAsia="zh-CN" w:bidi="ar-SA"/>
        </w:rPr>
      </w:pPr>
      <w:bookmarkStart w:id="49" w:name="_Toc79039709"/>
      <w:bookmarkStart w:id="50" w:name="_Toc31679"/>
      <w:bookmarkStart w:id="51" w:name="_Toc27280"/>
      <w:r>
        <w:rPr>
          <w:rFonts w:hint="eastAsia" w:ascii="黑体" w:hAnsi="Times New Roman" w:eastAsia="黑体" w:cs="Times New Roman"/>
          <w:sz w:val="21"/>
          <w:highlight w:val="none"/>
          <w:lang w:val="en-US" w:eastAsia="zh-CN" w:bidi="ar-SA"/>
        </w:rPr>
        <w:t>评价方法</w:t>
      </w:r>
      <w:bookmarkEnd w:id="49"/>
      <w:bookmarkEnd w:id="50"/>
      <w:bookmarkEnd w:id="51"/>
    </w:p>
    <w:p>
      <w:pPr>
        <w:widowControl w:val="0"/>
        <w:numPr>
          <w:ilvl w:val="3"/>
          <w:numId w:val="6"/>
        </w:numPr>
        <w:spacing w:before="156" w:beforeLines="50" w:after="156" w:afterLines="50"/>
        <w:jc w:val="left"/>
        <w:outlineLvl w:val="2"/>
        <w:rPr>
          <w:rFonts w:hint="eastAsia" w:ascii="宋体" w:hAnsi="Times New Roman" w:eastAsia="宋体" w:cs="Times New Roman"/>
          <w:sz w:val="21"/>
          <w:highlight w:val="none"/>
          <w:lang w:val="en-US" w:eastAsia="zh-CN" w:bidi="ar-SA"/>
        </w:rPr>
      </w:pPr>
      <w:r>
        <w:rPr>
          <w:rFonts w:hint="eastAsia" w:ascii="黑体" w:hAnsi="Times New Roman" w:eastAsia="黑体" w:cs="Times New Roman"/>
          <w:sz w:val="21"/>
          <w:highlight w:val="none"/>
          <w:lang w:val="en-US" w:eastAsia="zh-CN" w:bidi="ar-SA"/>
        </w:rPr>
        <w:t>现场考评</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第三方对待评价村进行现场考评，按照本标准附录A的评价细则，逐项检查村申报材料中的系统、设备等实际建设使用情况。</w:t>
      </w:r>
    </w:p>
    <w:p>
      <w:pPr>
        <w:widowControl w:val="0"/>
        <w:numPr>
          <w:ilvl w:val="3"/>
          <w:numId w:val="6"/>
        </w:numPr>
        <w:spacing w:before="156" w:beforeLines="50" w:after="156" w:afterLines="50"/>
        <w:jc w:val="left"/>
        <w:outlineLvl w:val="2"/>
        <w:rPr>
          <w:rFonts w:hint="eastAsia" w:ascii="黑体" w:hAnsi="Times New Roman" w:eastAsia="黑体" w:cs="Times New Roman"/>
          <w:sz w:val="21"/>
          <w:highlight w:val="none"/>
          <w:lang w:val="en-US" w:eastAsia="zh-CN" w:bidi="ar-SA"/>
        </w:rPr>
      </w:pPr>
      <w:r>
        <w:rPr>
          <w:rFonts w:hint="eastAsia" w:ascii="黑体" w:hAnsi="Times New Roman" w:eastAsia="黑体" w:cs="Times New Roman"/>
          <w:sz w:val="21"/>
          <w:highlight w:val="none"/>
          <w:lang w:val="en-US" w:eastAsia="zh-CN" w:bidi="ar-SA"/>
        </w:rPr>
        <w:t>满意度调查</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第三方对待评价村的村民进行满意度调查，按照本标准附录A的评价细则，满意度调查问题分为基础设施、治理、服务三类。</w:t>
      </w:r>
    </w:p>
    <w:p>
      <w:pPr>
        <w:widowControl w:val="0"/>
        <w:numPr>
          <w:ilvl w:val="3"/>
          <w:numId w:val="6"/>
        </w:numPr>
        <w:spacing w:before="156" w:beforeLines="50" w:after="156" w:afterLines="50"/>
        <w:jc w:val="left"/>
        <w:outlineLvl w:val="2"/>
        <w:rPr>
          <w:rFonts w:hint="eastAsia" w:ascii="黑体" w:hAnsi="Times New Roman" w:eastAsia="黑体" w:cs="Times New Roman"/>
          <w:sz w:val="21"/>
          <w:highlight w:val="none"/>
          <w:lang w:val="en-US" w:eastAsia="zh-CN" w:bidi="ar-SA"/>
        </w:rPr>
      </w:pPr>
      <w:r>
        <w:rPr>
          <w:rFonts w:hint="eastAsia" w:ascii="黑体" w:hAnsi="Times New Roman" w:eastAsia="黑体" w:cs="Times New Roman"/>
          <w:sz w:val="21"/>
          <w:highlight w:val="none"/>
          <w:lang w:val="en-US" w:eastAsia="zh-CN" w:bidi="ar-SA"/>
        </w:rPr>
        <w:t>专家评审</w:t>
      </w:r>
    </w:p>
    <w:p>
      <w:pPr>
        <w:autoSpaceDE w:val="0"/>
        <w:autoSpaceDN w:val="0"/>
        <w:ind w:firstLine="420" w:firstLineChars="200"/>
        <w:jc w:val="both"/>
        <w:rPr>
          <w:rFonts w:ascii="宋体" w:hAnsi="Times New Roman" w:eastAsia="宋体" w:cs="Times New Roman"/>
          <w:sz w:val="21"/>
          <w:highlight w:val="none"/>
          <w:lang w:val="en-US" w:eastAsia="zh-CN" w:bidi="ar-SA"/>
        </w:rPr>
      </w:pPr>
      <w:r>
        <w:rPr>
          <w:rFonts w:hint="eastAsia" w:ascii="宋体" w:hAnsi="Times New Roman" w:eastAsia="宋体" w:cs="Times New Roman"/>
          <w:sz w:val="21"/>
          <w:highlight w:val="none"/>
          <w:lang w:val="en-US" w:eastAsia="zh-CN" w:bidi="ar-SA"/>
        </w:rPr>
        <w:t>评审专家组应由农业农村部门、高校及科研院所相关专家组成，设组长1名，专家人数不少于5人。评审专家组听取待评价村相关负责人的汇报，对汇报人进行现场提问、情况质询，结合第三方现场考评和申报材料审阅情况，各评审专家按照本标准附录的评价细则进行独立评分。</w:t>
      </w:r>
    </w:p>
    <w:p>
      <w:pPr>
        <w:widowControl w:val="0"/>
        <w:numPr>
          <w:ilvl w:val="3"/>
          <w:numId w:val="6"/>
        </w:numPr>
        <w:spacing w:before="156" w:beforeLines="50" w:after="156" w:afterLines="50"/>
        <w:jc w:val="left"/>
        <w:outlineLvl w:val="2"/>
        <w:rPr>
          <w:rFonts w:hint="eastAsia" w:ascii="黑体" w:hAnsi="Times New Roman" w:eastAsia="黑体" w:cs="Times New Roman"/>
          <w:sz w:val="21"/>
          <w:highlight w:val="none"/>
          <w:lang w:val="en-US" w:eastAsia="zh-CN" w:bidi="ar-SA"/>
        </w:rPr>
      </w:pPr>
      <w:r>
        <w:rPr>
          <w:rFonts w:hint="eastAsia" w:ascii="黑体" w:hAnsi="Times New Roman" w:eastAsia="黑体" w:cs="Times New Roman"/>
          <w:sz w:val="21"/>
          <w:highlight w:val="none"/>
          <w:lang w:val="en-US" w:eastAsia="zh-CN" w:bidi="ar-SA"/>
        </w:rPr>
        <w:t>评价得分</w:t>
      </w:r>
    </w:p>
    <w:p>
      <w:pPr>
        <w:autoSpaceDE w:val="0"/>
        <w:autoSpaceDN w:val="0"/>
        <w:ind w:firstLine="420" w:firstLineChars="200"/>
        <w:jc w:val="both"/>
        <w:rPr>
          <w:rFonts w:ascii="宋体" w:hAnsi="Times New Roman" w:eastAsia="宋体" w:cs="Times New Roman"/>
          <w:sz w:val="21"/>
          <w:highlight w:val="none"/>
          <w:lang w:val="en-US" w:eastAsia="zh-CN" w:bidi="ar-SA"/>
        </w:rPr>
      </w:pPr>
      <w:r>
        <w:rPr>
          <w:rFonts w:hint="eastAsia" w:ascii="宋体" w:hAnsi="Times New Roman" w:eastAsia="宋体" w:cs="Times New Roman"/>
          <w:sz w:val="21"/>
          <w:highlight w:val="none"/>
          <w:lang w:val="en-US" w:eastAsia="zh-CN" w:bidi="ar-SA"/>
        </w:rPr>
        <w:t>本标准满分为100分，村评价得分为评审专家组内各位专家评分的平均分与村满意度调查得分之和。</w:t>
      </w:r>
    </w:p>
    <w:p>
      <w:pPr>
        <w:widowControl w:val="0"/>
        <w:numPr>
          <w:ilvl w:val="3"/>
          <w:numId w:val="6"/>
        </w:numPr>
        <w:spacing w:before="156" w:beforeLines="50" w:after="156" w:afterLines="50"/>
        <w:jc w:val="left"/>
        <w:outlineLvl w:val="2"/>
        <w:rPr>
          <w:rFonts w:hint="eastAsia" w:ascii="黑体" w:hAnsi="Times New Roman" w:eastAsia="黑体" w:cs="Times New Roman"/>
          <w:sz w:val="21"/>
          <w:highlight w:val="none"/>
          <w:lang w:val="en-US" w:eastAsia="zh-CN" w:bidi="ar-SA"/>
        </w:rPr>
      </w:pPr>
      <w:r>
        <w:rPr>
          <w:rFonts w:hint="eastAsia" w:ascii="黑体" w:hAnsi="Times New Roman" w:eastAsia="黑体" w:cs="Times New Roman"/>
          <w:sz w:val="21"/>
          <w:highlight w:val="none"/>
          <w:lang w:val="en-US" w:eastAsia="zh-CN" w:bidi="ar-SA"/>
        </w:rPr>
        <w:t>其他方式</w:t>
      </w:r>
    </w:p>
    <w:p>
      <w:pPr>
        <w:ind w:left="0" w:leftChars="0" w:firstLine="420" w:firstLineChars="200"/>
        <w:rPr>
          <w:rFonts w:hint="eastAsia"/>
          <w:highlight w:val="none"/>
          <w:lang w:val="en-US" w:eastAsia="zh-CN"/>
        </w:rPr>
      </w:pPr>
      <w:r>
        <w:rPr>
          <w:rFonts w:hint="eastAsia" w:ascii="宋体" w:hAnsi="Times New Roman" w:eastAsia="宋体" w:cs="Times New Roman"/>
          <w:sz w:val="21"/>
          <w:highlight w:val="none"/>
          <w:lang w:val="en-US" w:eastAsia="zh-CN" w:bidi="ar-SA"/>
        </w:rPr>
        <w:t>在满足评价效果的前提下也可采用其他方式。</w:t>
      </w:r>
    </w:p>
    <w:p>
      <w:pPr>
        <w:numPr>
          <w:ilvl w:val="2"/>
          <w:numId w:val="6"/>
        </w:numPr>
        <w:spacing w:before="156" w:beforeLines="50" w:after="156" w:afterLines="50"/>
        <w:jc w:val="both"/>
        <w:outlineLvl w:val="1"/>
        <w:rPr>
          <w:rFonts w:hint="eastAsia" w:ascii="黑体" w:hAnsi="Times New Roman" w:eastAsia="黑体" w:cs="Times New Roman"/>
          <w:sz w:val="21"/>
          <w:highlight w:val="none"/>
          <w:lang w:val="en-US" w:eastAsia="zh-CN" w:bidi="ar-SA"/>
        </w:rPr>
      </w:pPr>
      <w:bookmarkStart w:id="52" w:name="_Toc11146"/>
      <w:bookmarkStart w:id="53" w:name="_Toc2730"/>
      <w:bookmarkStart w:id="54" w:name="_Toc78364434"/>
      <w:r>
        <w:rPr>
          <w:rFonts w:hint="eastAsia" w:ascii="黑体" w:hAnsi="Times New Roman" w:eastAsia="黑体" w:cs="Times New Roman"/>
          <w:sz w:val="21"/>
          <w:highlight w:val="none"/>
          <w:lang w:val="en-US" w:eastAsia="zh-CN" w:bidi="ar-SA"/>
        </w:rPr>
        <w:t>评价报告</w:t>
      </w:r>
      <w:bookmarkEnd w:id="52"/>
      <w:bookmarkEnd w:id="53"/>
      <w:bookmarkEnd w:id="54"/>
    </w:p>
    <w:p>
      <w:pPr>
        <w:autoSpaceDE w:val="0"/>
        <w:autoSpaceDN w:val="0"/>
        <w:ind w:firstLine="420" w:firstLineChars="200"/>
        <w:jc w:val="both"/>
        <w:rPr>
          <w:rFonts w:ascii="宋体" w:hAnsi="Times New Roman" w:eastAsia="宋体" w:cs="Times New Roman"/>
          <w:sz w:val="21"/>
          <w:highlight w:val="none"/>
          <w:lang w:val="en-US" w:eastAsia="zh-CN" w:bidi="ar-SA"/>
        </w:rPr>
      </w:pPr>
      <w:r>
        <w:rPr>
          <w:rFonts w:hint="eastAsia" w:ascii="宋体" w:hAnsi="Times New Roman" w:eastAsia="宋体" w:cs="Times New Roman"/>
          <w:sz w:val="21"/>
          <w:highlight w:val="none"/>
          <w:lang w:val="en-US" w:eastAsia="zh-CN" w:bidi="ar-SA"/>
        </w:rPr>
        <w:t>评价完成后应形成评价报告，报告应当包含评价过程、评价结果、评价指标得分情况分析、评价指标内容改进建议等。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sectPr>
          <w:headerReference r:id="rId11" w:type="default"/>
          <w:footerReference r:id="rId13" w:type="default"/>
          <w:headerReference r:id="rId12" w:type="even"/>
          <w:footerReference r:id="rId14" w:type="even"/>
          <w:pgSz w:w="11906" w:h="16838"/>
          <w:pgMar w:top="1440" w:right="1134" w:bottom="1440" w:left="1417" w:header="851" w:footer="1134"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63"/>
        <w:numPr>
          <w:ilvl w:val="1"/>
          <w:numId w:val="0"/>
        </w:numPr>
        <w:bidi w:val="0"/>
        <w:adjustRightInd w:val="0"/>
        <w:snapToGrid w:val="0"/>
        <w:spacing w:before="0" w:beforeLines="0" w:after="0" w:afterLines="0" w:line="360" w:lineRule="auto"/>
        <w:ind w:leftChars="0"/>
        <w:jc w:val="center"/>
        <w:rPr>
          <w:rFonts w:hint="eastAsia" w:ascii="黑体" w:hAnsi="黑体" w:eastAsia="黑体" w:cs="黑体"/>
          <w:b w:val="0"/>
          <w:bCs/>
          <w:kern w:val="2"/>
          <w:sz w:val="21"/>
          <w:szCs w:val="21"/>
          <w:highlight w:val="none"/>
          <w:lang w:val="en-US" w:eastAsia="zh-CN" w:bidi="ar-SA"/>
        </w:rPr>
      </w:pPr>
      <w:bookmarkStart w:id="55" w:name="_Toc22333"/>
      <w:bookmarkStart w:id="56" w:name="_Toc19173"/>
      <w:bookmarkStart w:id="57" w:name="_Toc10818"/>
      <w:r>
        <w:rPr>
          <w:rFonts w:hint="eastAsia" w:ascii="黑体" w:hAnsi="黑体" w:eastAsia="黑体" w:cs="黑体"/>
          <w:b w:val="0"/>
          <w:bCs/>
          <w:kern w:val="2"/>
          <w:sz w:val="21"/>
          <w:szCs w:val="21"/>
          <w:highlight w:val="none"/>
          <w:lang w:val="en-US" w:eastAsia="zh-CN" w:bidi="ar-SA"/>
        </w:rPr>
        <w:t>附</w:t>
      </w:r>
      <w:r>
        <w:rPr>
          <w:rFonts w:hint="eastAsia" w:hAnsi="黑体" w:cs="黑体"/>
          <w:b w:val="0"/>
          <w:bCs/>
          <w:kern w:val="2"/>
          <w:sz w:val="21"/>
          <w:szCs w:val="21"/>
          <w:highlight w:val="none"/>
          <w:lang w:val="en-US" w:eastAsia="zh-CN" w:bidi="ar-SA"/>
        </w:rPr>
        <w:t xml:space="preserve">   </w:t>
      </w:r>
      <w:r>
        <w:rPr>
          <w:rFonts w:hint="eastAsia" w:ascii="黑体" w:hAnsi="黑体" w:eastAsia="黑体" w:cs="黑体"/>
          <w:b w:val="0"/>
          <w:bCs/>
          <w:kern w:val="2"/>
          <w:sz w:val="21"/>
          <w:szCs w:val="21"/>
          <w:highlight w:val="none"/>
          <w:lang w:val="en-US" w:eastAsia="zh-CN" w:bidi="ar-SA"/>
        </w:rPr>
        <w:t>录</w:t>
      </w:r>
      <w:r>
        <w:rPr>
          <w:rFonts w:hint="eastAsia" w:hAnsi="黑体" w:cs="黑体"/>
          <w:b w:val="0"/>
          <w:bCs/>
          <w:kern w:val="2"/>
          <w:sz w:val="21"/>
          <w:szCs w:val="21"/>
          <w:highlight w:val="none"/>
          <w:lang w:val="en-US" w:eastAsia="zh-CN" w:bidi="ar-SA"/>
        </w:rPr>
        <w:t xml:space="preserve">   </w:t>
      </w:r>
      <w:r>
        <w:rPr>
          <w:rFonts w:hint="eastAsia" w:ascii="黑体" w:hAnsi="黑体" w:eastAsia="黑体" w:cs="黑体"/>
          <w:b w:val="0"/>
          <w:bCs/>
          <w:kern w:val="2"/>
          <w:sz w:val="21"/>
          <w:szCs w:val="21"/>
          <w:highlight w:val="none"/>
          <w:lang w:val="en-US" w:eastAsia="zh-CN" w:bidi="ar-SA"/>
        </w:rPr>
        <w:t>A</w:t>
      </w:r>
      <w:bookmarkEnd w:id="55"/>
      <w:bookmarkEnd w:id="56"/>
      <w:bookmarkEnd w:id="57"/>
    </w:p>
    <w:p>
      <w:pPr>
        <w:pStyle w:val="63"/>
        <w:numPr>
          <w:ilvl w:val="1"/>
          <w:numId w:val="0"/>
        </w:numPr>
        <w:bidi w:val="0"/>
        <w:adjustRightInd w:val="0"/>
        <w:snapToGrid w:val="0"/>
        <w:spacing w:before="0" w:beforeLines="0" w:after="0" w:afterLines="0" w:line="360" w:lineRule="auto"/>
        <w:ind w:leftChars="0"/>
        <w:jc w:val="center"/>
        <w:rPr>
          <w:rFonts w:hint="default" w:ascii="黑体" w:hAnsi="黑体" w:eastAsia="黑体" w:cs="黑体"/>
          <w:b w:val="0"/>
          <w:bCs/>
          <w:kern w:val="2"/>
          <w:sz w:val="21"/>
          <w:szCs w:val="21"/>
          <w:highlight w:val="none"/>
          <w:lang w:val="en-US" w:eastAsia="zh-CN" w:bidi="ar-SA"/>
        </w:rPr>
      </w:pPr>
      <w:bookmarkStart w:id="58" w:name="_Toc31265"/>
      <w:bookmarkStart w:id="59" w:name="_Toc14000"/>
      <w:bookmarkStart w:id="60" w:name="_Toc27163"/>
      <w:bookmarkStart w:id="61" w:name="_Toc11837"/>
      <w:bookmarkStart w:id="62" w:name="_Toc31171"/>
      <w:bookmarkStart w:id="63" w:name="_Toc114"/>
      <w:r>
        <w:rPr>
          <w:rFonts w:hint="eastAsia" w:ascii="黑体" w:hAnsi="黑体" w:eastAsia="黑体" w:cs="黑体"/>
          <w:b w:val="0"/>
          <w:bCs/>
          <w:kern w:val="2"/>
          <w:sz w:val="21"/>
          <w:szCs w:val="21"/>
          <w:highlight w:val="none"/>
          <w:lang w:val="en-US" w:eastAsia="zh-CN" w:bidi="ar-SA"/>
        </w:rPr>
        <w:t>（规范性）</w:t>
      </w:r>
      <w:bookmarkEnd w:id="58"/>
      <w:bookmarkEnd w:id="59"/>
      <w:bookmarkEnd w:id="60"/>
      <w:bookmarkEnd w:id="61"/>
      <w:bookmarkEnd w:id="62"/>
      <w:bookmarkEnd w:id="63"/>
    </w:p>
    <w:p>
      <w:pPr>
        <w:pStyle w:val="63"/>
        <w:keepNext w:val="0"/>
        <w:keepLines w:val="0"/>
        <w:pageBreakBefore w:val="0"/>
        <w:widowControl/>
        <w:numPr>
          <w:ilvl w:val="1"/>
          <w:numId w:val="0"/>
        </w:numPr>
        <w:kinsoku/>
        <w:wordWrap/>
        <w:overflowPunct/>
        <w:topLinePunct w:val="0"/>
        <w:autoSpaceDE/>
        <w:autoSpaceDN/>
        <w:bidi w:val="0"/>
        <w:adjustRightInd w:val="0"/>
        <w:snapToGrid w:val="0"/>
        <w:spacing w:before="100" w:beforeLines="0" w:after="100" w:afterLines="0" w:line="240" w:lineRule="auto"/>
        <w:ind w:leftChars="0"/>
        <w:jc w:val="center"/>
        <w:textAlignment w:val="auto"/>
        <w:rPr>
          <w:rFonts w:hint="eastAsia" w:ascii="宋体" w:hAnsi="宋体" w:eastAsia="宋体" w:cs="宋体"/>
          <w:sz w:val="28"/>
          <w:szCs w:val="28"/>
          <w:highlight w:val="none"/>
        </w:rPr>
      </w:pPr>
      <w:bookmarkStart w:id="64" w:name="_Toc32311"/>
      <w:bookmarkStart w:id="65" w:name="_Toc28900"/>
      <w:bookmarkStart w:id="66" w:name="_Toc22357"/>
      <w:bookmarkStart w:id="67" w:name="_Toc18895"/>
      <w:r>
        <w:rPr>
          <w:rFonts w:hint="eastAsia" w:hAnsi="黑体" w:cs="黑体"/>
          <w:b w:val="0"/>
          <w:bCs/>
          <w:kern w:val="2"/>
          <w:sz w:val="21"/>
          <w:szCs w:val="21"/>
          <w:highlight w:val="none"/>
          <w:lang w:val="en-US" w:eastAsia="zh-CN" w:bidi="ar-SA"/>
        </w:rPr>
        <w:t xml:space="preserve">表1 </w:t>
      </w:r>
      <w:r>
        <w:rPr>
          <w:rFonts w:hint="eastAsia" w:ascii="黑体" w:hAnsi="黑体" w:eastAsia="黑体" w:cs="黑体"/>
          <w:b w:val="0"/>
          <w:bCs/>
          <w:kern w:val="2"/>
          <w:sz w:val="21"/>
          <w:szCs w:val="21"/>
          <w:highlight w:val="none"/>
          <w:lang w:val="en-US" w:eastAsia="zh-CN" w:bidi="ar-SA"/>
        </w:rPr>
        <w:t>智慧农村</w:t>
      </w:r>
      <w:r>
        <w:rPr>
          <w:rFonts w:hint="eastAsia" w:hAnsi="黑体" w:cs="黑体"/>
          <w:b w:val="0"/>
          <w:bCs/>
          <w:kern w:val="2"/>
          <w:sz w:val="21"/>
          <w:szCs w:val="21"/>
          <w:highlight w:val="none"/>
          <w:lang w:val="en-US" w:eastAsia="zh-CN" w:bidi="ar-SA"/>
        </w:rPr>
        <w:t>示范村</w:t>
      </w:r>
      <w:bookmarkEnd w:id="64"/>
      <w:bookmarkEnd w:id="65"/>
      <w:r>
        <w:rPr>
          <w:rFonts w:hint="eastAsia" w:hAnsi="黑体" w:cs="黑体"/>
          <w:b w:val="0"/>
          <w:bCs/>
          <w:kern w:val="2"/>
          <w:sz w:val="21"/>
          <w:szCs w:val="21"/>
          <w:highlight w:val="none"/>
          <w:lang w:val="en-US" w:eastAsia="zh-CN" w:bidi="ar-SA"/>
        </w:rPr>
        <w:t>评价细则</w:t>
      </w:r>
      <w:bookmarkEnd w:id="66"/>
      <w:bookmarkEnd w:id="67"/>
    </w:p>
    <w:tbl>
      <w:tblPr>
        <w:tblStyle w:val="23"/>
        <w:tblW w:w="13211"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10"/>
        <w:gridCol w:w="1157"/>
        <w:gridCol w:w="1472"/>
        <w:gridCol w:w="1621"/>
        <w:gridCol w:w="82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5" w:hRule="atLeast"/>
          <w:tblHeader/>
        </w:trPr>
        <w:tc>
          <w:tcPr>
            <w:tcW w:w="71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bookmarkStart w:id="68" w:name="OLE_LINK1"/>
            <w:r>
              <w:rPr>
                <w:rFonts w:hint="eastAsia" w:ascii="宋体" w:hAnsi="宋体" w:eastAsia="宋体" w:cs="宋体"/>
                <w:i w:val="0"/>
                <w:iCs w:val="0"/>
                <w:color w:val="000000"/>
                <w:kern w:val="0"/>
                <w:sz w:val="18"/>
                <w:szCs w:val="18"/>
                <w:highlight w:val="none"/>
                <w:u w:val="none"/>
                <w:lang w:val="en-US" w:eastAsia="zh-CN" w:bidi="ar"/>
              </w:rPr>
              <w:t>序号</w:t>
            </w:r>
          </w:p>
        </w:tc>
        <w:tc>
          <w:tcPr>
            <w:tcW w:w="1157"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一级指标</w:t>
            </w:r>
          </w:p>
        </w:tc>
        <w:tc>
          <w:tcPr>
            <w:tcW w:w="1472"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二级指标</w:t>
            </w:r>
          </w:p>
        </w:tc>
        <w:tc>
          <w:tcPr>
            <w:tcW w:w="162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三级指标</w:t>
            </w:r>
          </w:p>
        </w:tc>
        <w:tc>
          <w:tcPr>
            <w:tcW w:w="825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评价内容及分值标准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9" w:hRule="atLeast"/>
          <w:tblHeader/>
        </w:trPr>
        <w:tc>
          <w:tcPr>
            <w:tcW w:w="71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w:t>
            </w:r>
          </w:p>
        </w:tc>
        <w:tc>
          <w:tcPr>
            <w:tcW w:w="1157"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基础设施</w:t>
            </w:r>
          </w:p>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(18分)</w:t>
            </w:r>
          </w:p>
        </w:tc>
        <w:tc>
          <w:tcPr>
            <w:tcW w:w="1472"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网络基础设施</w:t>
            </w:r>
          </w:p>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（2分）</w:t>
            </w:r>
          </w:p>
        </w:tc>
        <w:tc>
          <w:tcPr>
            <w:tcW w:w="162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农村移动网络建设（1分）</w:t>
            </w:r>
          </w:p>
        </w:tc>
        <w:tc>
          <w:tcPr>
            <w:tcW w:w="8251"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5G网络覆盖率达到100%，得1分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5" w:hRule="atLeast"/>
          <w:tblHeader/>
        </w:trPr>
        <w:tc>
          <w:tcPr>
            <w:tcW w:w="710" w:type="dxa"/>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2</w:t>
            </w:r>
          </w:p>
        </w:tc>
        <w:tc>
          <w:tcPr>
            <w:tcW w:w="1157"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rPr>
            </w:pPr>
          </w:p>
        </w:tc>
        <w:tc>
          <w:tcPr>
            <w:tcW w:w="1472"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rPr>
            </w:pPr>
          </w:p>
        </w:tc>
        <w:tc>
          <w:tcPr>
            <w:tcW w:w="162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农村广电网络建设（1分）</w:t>
            </w:r>
          </w:p>
        </w:tc>
        <w:tc>
          <w:tcPr>
            <w:tcW w:w="8251"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数字电视入户率达到100%，得1分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14" w:hRule="atLeast"/>
          <w:tblHeader/>
        </w:trPr>
        <w:tc>
          <w:tcPr>
            <w:tcW w:w="710" w:type="dxa"/>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3</w:t>
            </w:r>
          </w:p>
        </w:tc>
        <w:tc>
          <w:tcPr>
            <w:tcW w:w="1157"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rPr>
            </w:pPr>
          </w:p>
        </w:tc>
        <w:tc>
          <w:tcPr>
            <w:tcW w:w="1472"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信息服务设施</w:t>
            </w:r>
          </w:p>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（2分）</w:t>
            </w:r>
          </w:p>
        </w:tc>
        <w:tc>
          <w:tcPr>
            <w:tcW w:w="162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益农信息社</w:t>
            </w:r>
          </w:p>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（2分）</w:t>
            </w:r>
          </w:p>
        </w:tc>
        <w:tc>
          <w:tcPr>
            <w:tcW w:w="8251"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建设运营有场所、有人员、有设备、有宽带、有网页和有持续运营能力的“六有”益农信息社，得1分；信息员培训频次满足《江苏省信息进村入户村级信息员培训指南》要求，得1分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41" w:hRule="atLeast"/>
          <w:tblHeader/>
        </w:trPr>
        <w:tc>
          <w:tcPr>
            <w:tcW w:w="710" w:type="dxa"/>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4</w:t>
            </w:r>
          </w:p>
        </w:tc>
        <w:tc>
          <w:tcPr>
            <w:tcW w:w="1157"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rPr>
            </w:pPr>
          </w:p>
        </w:tc>
        <w:tc>
          <w:tcPr>
            <w:tcW w:w="1472"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数字服务运用（12分）</w:t>
            </w:r>
          </w:p>
        </w:tc>
        <w:tc>
          <w:tcPr>
            <w:tcW w:w="162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综合系统</w:t>
            </w:r>
          </w:p>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（3分）</w:t>
            </w:r>
          </w:p>
        </w:tc>
        <w:tc>
          <w:tcPr>
            <w:tcW w:w="8251"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指村自建或使用上级部门的综合系统，不包括各条线建设并提供使用的各类业务系统，得1分；系统支持PC端、移动端两端使用，得1分；系统满足工作人员、村民、外来人员、游客等多人群使用，得1分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13" w:hRule="atLeast"/>
          <w:tblHeader/>
        </w:trPr>
        <w:tc>
          <w:tcPr>
            <w:tcW w:w="710" w:type="dxa"/>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5</w:t>
            </w:r>
          </w:p>
        </w:tc>
        <w:tc>
          <w:tcPr>
            <w:tcW w:w="1157"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rPr>
            </w:pPr>
          </w:p>
        </w:tc>
        <w:tc>
          <w:tcPr>
            <w:tcW w:w="1472"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rPr>
            </w:pPr>
          </w:p>
        </w:tc>
        <w:tc>
          <w:tcPr>
            <w:tcW w:w="162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基础数据库</w:t>
            </w:r>
          </w:p>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（3分）</w:t>
            </w:r>
          </w:p>
        </w:tc>
        <w:tc>
          <w:tcPr>
            <w:tcW w:w="8251"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建立或使用统一高效、安全可靠、按需服务的数据库，汇聚融合农业数据、农民数据、农村数据，每有一类数据得1分，最多得2分。数据库按照一定频率（至少一季度一次）进行部分数据更新的再得1分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68" w:hRule="atLeast"/>
          <w:tblHeader/>
        </w:trPr>
        <w:tc>
          <w:tcPr>
            <w:tcW w:w="710" w:type="dxa"/>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6</w:t>
            </w:r>
          </w:p>
        </w:tc>
        <w:tc>
          <w:tcPr>
            <w:tcW w:w="1157"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rPr>
            </w:pPr>
          </w:p>
        </w:tc>
        <w:tc>
          <w:tcPr>
            <w:tcW w:w="1472"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rPr>
            </w:pPr>
          </w:p>
        </w:tc>
        <w:tc>
          <w:tcPr>
            <w:tcW w:w="162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数据互联互通</w:t>
            </w:r>
          </w:p>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（3分）</w:t>
            </w:r>
          </w:p>
        </w:tc>
        <w:tc>
          <w:tcPr>
            <w:tcW w:w="8251"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具备与上级政府机构、社会单位等进行数据共享交换的能力，得1分；已实现与上级政府机构等数据共享交换的，得2分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8" w:hRule="atLeast"/>
          <w:tblHeader/>
        </w:trPr>
        <w:tc>
          <w:tcPr>
            <w:tcW w:w="710" w:type="dxa"/>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7</w:t>
            </w:r>
          </w:p>
        </w:tc>
        <w:tc>
          <w:tcPr>
            <w:tcW w:w="1157"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rPr>
            </w:pPr>
          </w:p>
        </w:tc>
        <w:tc>
          <w:tcPr>
            <w:tcW w:w="1472"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rPr>
            </w:pPr>
          </w:p>
        </w:tc>
        <w:tc>
          <w:tcPr>
            <w:tcW w:w="162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数据网络安全</w:t>
            </w:r>
          </w:p>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（3分）</w:t>
            </w:r>
          </w:p>
        </w:tc>
        <w:tc>
          <w:tcPr>
            <w:tcW w:w="8251"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建立数据安全管理和应急防控机制，防止信息泄露、损毁、丢失，确保收集、产生的数据和个人信息安全的，得1分；落实信息基础设施系统等级保护制度的，得2分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blHeader/>
        </w:trPr>
        <w:tc>
          <w:tcPr>
            <w:tcW w:w="710" w:type="dxa"/>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8</w:t>
            </w:r>
          </w:p>
        </w:tc>
        <w:tc>
          <w:tcPr>
            <w:tcW w:w="1157"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18"/>
                <w:szCs w:val="18"/>
                <w:highlight w:val="none"/>
                <w:u w:val="none"/>
              </w:rPr>
            </w:pPr>
          </w:p>
        </w:tc>
        <w:tc>
          <w:tcPr>
            <w:tcW w:w="1472"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成效评价</w:t>
            </w:r>
          </w:p>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（2分）</w:t>
            </w:r>
          </w:p>
        </w:tc>
        <w:tc>
          <w:tcPr>
            <w:tcW w:w="162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基础设施满意度</w:t>
            </w:r>
          </w:p>
          <w:p>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（2分）</w:t>
            </w:r>
          </w:p>
        </w:tc>
        <w:tc>
          <w:tcPr>
            <w:tcW w:w="8251"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第三方对村民进行基础设施满意度调查，得分(调查问卷基础设施部分)=基础设施部分调查平均分/基础设施部分总分*2分</w:t>
            </w:r>
          </w:p>
        </w:tc>
      </w:tr>
    </w:tbl>
    <w:p/>
    <w:p>
      <w:pPr>
        <w:pStyle w:val="63"/>
        <w:numPr>
          <w:ilvl w:val="1"/>
          <w:numId w:val="0"/>
        </w:numPr>
        <w:adjustRightInd w:val="0"/>
        <w:snapToGrid w:val="0"/>
        <w:spacing w:beforeLines="0" w:after="0" w:afterLines="0" w:line="360" w:lineRule="auto"/>
        <w:jc w:val="center"/>
        <w:rPr>
          <w:rFonts w:hint="eastAsia" w:hAnsi="黑体" w:cs="黑体"/>
          <w:b w:val="0"/>
          <w:bCs/>
          <w:kern w:val="2"/>
          <w:sz w:val="21"/>
          <w:szCs w:val="21"/>
          <w:highlight w:val="none"/>
          <w:lang w:val="en-US" w:eastAsia="zh-CN" w:bidi="ar-SA"/>
        </w:rPr>
      </w:pPr>
    </w:p>
    <w:p>
      <w:pPr>
        <w:pStyle w:val="63"/>
        <w:keepNext w:val="0"/>
        <w:keepLines w:val="0"/>
        <w:pageBreakBefore w:val="0"/>
        <w:widowControl/>
        <w:numPr>
          <w:ilvl w:val="1"/>
          <w:numId w:val="0"/>
        </w:numPr>
        <w:kinsoku/>
        <w:wordWrap/>
        <w:overflowPunct/>
        <w:topLinePunct w:val="0"/>
        <w:autoSpaceDE/>
        <w:autoSpaceDN/>
        <w:bidi w:val="0"/>
        <w:adjustRightInd w:val="0"/>
        <w:snapToGrid w:val="0"/>
        <w:spacing w:before="100" w:beforeLines="0" w:after="100" w:afterLines="0" w:line="240" w:lineRule="auto"/>
        <w:ind w:leftChars="0"/>
        <w:jc w:val="center"/>
        <w:textAlignment w:val="auto"/>
        <w:rPr>
          <w:rFonts w:hint="eastAsia" w:hAnsi="黑体" w:cs="黑体"/>
          <w:b w:val="0"/>
          <w:bCs/>
          <w:kern w:val="2"/>
          <w:sz w:val="21"/>
          <w:szCs w:val="21"/>
          <w:highlight w:val="none"/>
          <w:lang w:val="en-US" w:eastAsia="zh-CN" w:bidi="ar-SA"/>
        </w:rPr>
      </w:pPr>
      <w:r>
        <w:rPr>
          <w:rFonts w:hint="eastAsia" w:hAnsi="黑体" w:cs="黑体"/>
          <w:b w:val="0"/>
          <w:bCs/>
          <w:kern w:val="2"/>
          <w:sz w:val="21"/>
          <w:szCs w:val="21"/>
          <w:highlight w:val="none"/>
          <w:lang w:val="en-US" w:eastAsia="zh-CN" w:bidi="ar-SA"/>
        </w:rPr>
        <w:t>表1智慧农村</w:t>
      </w:r>
      <w:r>
        <w:rPr>
          <w:rFonts w:hint="eastAsia" w:hAnsi="黑体" w:cs="黑体"/>
          <w:b w:val="0"/>
          <w:bCs/>
          <w:kern w:val="2"/>
          <w:sz w:val="21"/>
          <w:szCs w:val="21"/>
          <w:highlight w:val="none"/>
          <w:lang w:val="en-US" w:eastAsia="zh-CN" w:bidi="ar-SA"/>
        </w:rPr>
        <w:t>示范村评价细则(第2页/共4页)</w:t>
      </w:r>
    </w:p>
    <w:tbl>
      <w:tblPr>
        <w:tblStyle w:val="23"/>
        <w:tblW w:w="12997"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680"/>
        <w:gridCol w:w="1206"/>
        <w:gridCol w:w="1587"/>
        <w:gridCol w:w="1587"/>
        <w:gridCol w:w="79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tblHeader/>
        </w:trPr>
        <w:tc>
          <w:tcPr>
            <w:tcW w:w="680" w:type="dxa"/>
            <w:tcBorders>
              <w:tl2br w:val="nil"/>
              <w:tr2bl w:val="nil"/>
            </w:tcBorders>
            <w:shd w:val="clear" w:color="auto" w:fill="auto"/>
            <w:tcMar>
              <w:top w:w="0" w:type="dxa"/>
              <w:left w:w="0" w:type="dxa"/>
              <w:bottom w:w="0" w:type="dxa"/>
            </w:tcMar>
            <w:vAlign w:val="top"/>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序号</w:t>
            </w:r>
          </w:p>
        </w:tc>
        <w:tc>
          <w:tcPr>
            <w:tcW w:w="1206" w:type="dxa"/>
            <w:tcBorders>
              <w:tl2br w:val="nil"/>
              <w:tr2bl w:val="nil"/>
            </w:tcBorders>
            <w:shd w:val="clear" w:color="auto" w:fill="auto"/>
            <w:tcMar>
              <w:top w:w="0" w:type="dxa"/>
              <w:left w:w="0" w:type="dxa"/>
              <w:bottom w:w="0" w:type="dxa"/>
            </w:tcMar>
            <w:vAlign w:val="top"/>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一级指标</w:t>
            </w:r>
          </w:p>
        </w:tc>
        <w:tc>
          <w:tcPr>
            <w:tcW w:w="1587" w:type="dxa"/>
            <w:tcBorders>
              <w:tl2br w:val="nil"/>
              <w:tr2bl w:val="nil"/>
            </w:tcBorders>
            <w:shd w:val="clear" w:color="auto" w:fill="auto"/>
            <w:tcMar>
              <w:top w:w="0" w:type="dxa"/>
              <w:left w:w="0" w:type="dxa"/>
              <w:bottom w:w="0" w:type="dxa"/>
            </w:tcMar>
            <w:vAlign w:val="top"/>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二级指标</w:t>
            </w:r>
          </w:p>
        </w:tc>
        <w:tc>
          <w:tcPr>
            <w:tcW w:w="1587" w:type="dxa"/>
            <w:tcBorders>
              <w:tl2br w:val="nil"/>
              <w:tr2bl w:val="nil"/>
            </w:tcBorders>
            <w:shd w:val="clear" w:color="auto" w:fill="auto"/>
            <w:tcMar>
              <w:top w:w="0" w:type="dxa"/>
              <w:left w:w="0" w:type="dxa"/>
              <w:bottom w:w="0" w:type="dxa"/>
            </w:tcMar>
            <w:vAlign w:val="top"/>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三级指标</w:t>
            </w:r>
          </w:p>
        </w:tc>
        <w:tc>
          <w:tcPr>
            <w:tcW w:w="7937" w:type="dxa"/>
            <w:tcBorders>
              <w:tl2br w:val="nil"/>
              <w:tr2bl w:val="nil"/>
            </w:tcBorders>
            <w:shd w:val="clear" w:color="auto" w:fill="auto"/>
            <w:tcMar>
              <w:top w:w="0" w:type="dxa"/>
              <w:left w:w="0" w:type="dxa"/>
              <w:bottom w:w="0" w:type="dxa"/>
            </w:tcMar>
            <w:vAlign w:val="top"/>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评价内容及分值标准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680" w:type="dxa"/>
            <w:tcBorders>
              <w:tl2br w:val="nil"/>
              <w:tr2bl w:val="nil"/>
            </w:tcBorders>
            <w:shd w:val="clear" w:color="auto" w:fill="auto"/>
            <w:tcMar>
              <w:top w:w="0" w:type="dxa"/>
              <w:left w:w="0" w:type="dxa"/>
              <w:bottom w:w="0" w:type="dxa"/>
            </w:tcMar>
            <w:vAlign w:val="top"/>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9</w:t>
            </w:r>
          </w:p>
        </w:tc>
        <w:tc>
          <w:tcPr>
            <w:tcW w:w="1206" w:type="dxa"/>
            <w:vMerge w:val="restart"/>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治理精准化</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（39分）</w:t>
            </w:r>
          </w:p>
        </w:tc>
        <w:tc>
          <w:tcPr>
            <w:tcW w:w="1587" w:type="dxa"/>
            <w:vMerge w:val="restart"/>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智慧绿色乡村</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eastAsia" w:ascii="Times New Roman" w:hAnsi="Times New Roman" w:eastAsia="宋体" w:cs="Times New Roman"/>
                <w:i w:val="0"/>
                <w:iCs w:val="0"/>
                <w:color w:val="000000"/>
                <w:kern w:val="0"/>
                <w:sz w:val="18"/>
                <w:szCs w:val="18"/>
                <w:highlight w:val="none"/>
                <w:u w:val="none"/>
                <w:lang w:val="en-US" w:eastAsia="zh-CN" w:bidi="ar"/>
              </w:rPr>
              <w:t>（7分）</w:t>
            </w:r>
          </w:p>
        </w:tc>
        <w:tc>
          <w:tcPr>
            <w:tcW w:w="1587" w:type="dxa"/>
            <w:vMerge w:val="restart"/>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人居环境监测</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利用信息技术手段采集农村垃圾分类信息并上传至管理平台，得1分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10</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利用信息技术手段对农村污水处理运行情况开展在线监控和动态录入，得1分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11</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引导农村居民参与人居环境网络监督，持续巩固农村人居环境整治行动，最多得2分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12</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restart"/>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生态环境监测</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利用信息技术实现村庄空气质量实时监测的，得1分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13</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利用信息技术实现地表水水质、农田灌溉水质等监测，得1分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14</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利用信息技术实现土壤环境监测，得1分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70"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15</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restart"/>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overflowPunct w:val="0"/>
              <w:autoSpaceDE w:val="0"/>
              <w:autoSpaceDN w:val="0"/>
              <w:ind w:left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互联网+</w:t>
            </w:r>
          </w:p>
          <w:p>
            <w:pPr>
              <w:keepNext w:val="0"/>
              <w:keepLines w:val="0"/>
              <w:widowControl/>
              <w:suppressLineNumbers w:val="0"/>
              <w:overflowPunct w:val="0"/>
              <w:autoSpaceDE w:val="0"/>
              <w:autoSpaceDN w:val="0"/>
              <w:ind w:leftChars="0"/>
              <w:jc w:val="center"/>
              <w:textAlignment w:val="center"/>
              <w:rPr>
                <w:rFonts w:hint="eastAsia"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基层社会治理</w:t>
            </w:r>
            <w:r>
              <w:rPr>
                <w:rFonts w:hint="eastAsia" w:ascii="Times New Roman" w:hAnsi="Times New Roman" w:eastAsia="宋体" w:cs="Times New Roman"/>
                <w:i w:val="0"/>
                <w:iCs w:val="0"/>
                <w:color w:val="000000"/>
                <w:kern w:val="0"/>
                <w:sz w:val="18"/>
                <w:szCs w:val="18"/>
                <w:highlight w:val="none"/>
                <w:u w:val="none"/>
                <w:lang w:val="en-US" w:eastAsia="zh-CN" w:bidi="ar"/>
              </w:rPr>
              <w:t>”</w:t>
            </w:r>
          </w:p>
          <w:p>
            <w:pPr>
              <w:keepNext w:val="0"/>
              <w:keepLines w:val="0"/>
              <w:widowControl/>
              <w:suppressLineNumbers w:val="0"/>
              <w:overflowPunct w:val="0"/>
              <w:autoSpaceDE w:val="0"/>
              <w:autoSpaceDN w:val="0"/>
              <w:ind w:leftChars="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（14分）</w:t>
            </w:r>
          </w:p>
        </w:tc>
        <w:tc>
          <w:tcPr>
            <w:tcW w:w="1587" w:type="dxa"/>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网格化管理</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通过信息技术与网格化的结合，将村域人居、生态环境融入网格治理，提升乡村治理</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精准度</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，最多得3分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16</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restart"/>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智慧积分</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在乡村治理中推广运用信息化手段进行</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积分制</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管理，形成动态积分管理，最多得3分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17</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通过自动兑换机器、系统等方式进一步简化村民兑换积分的，最多得2分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18</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restart"/>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智慧安防</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村区域内视频监控范围达到全覆盖的</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19</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在视频监控的基础上加强智能感知设备建设，实现自动识别、预警等功能，最多得2分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20</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民情地图（3分）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以数字化形式对治理、民生、产业等信息进行分析，以多图层形式进行展示，最多得3分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0"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21</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互联网+党建</w:t>
            </w:r>
            <w:r>
              <w:rPr>
                <w:rFonts w:hint="eastAsia" w:ascii="Times New Roman" w:hAnsi="Times New Roman" w:eastAsia="宋体" w:cs="Times New Roman"/>
                <w:i w:val="0"/>
                <w:iCs w:val="0"/>
                <w:color w:val="000000"/>
                <w:kern w:val="0"/>
                <w:sz w:val="18"/>
                <w:szCs w:val="18"/>
                <w:highlight w:val="none"/>
                <w:u w:val="none"/>
                <w:lang w:val="en-US" w:eastAsia="zh-CN" w:bidi="ar"/>
              </w:rPr>
              <w:t>”</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（3分）</w:t>
            </w:r>
          </w:p>
        </w:tc>
        <w:tc>
          <w:tcPr>
            <w:tcW w:w="1587" w:type="dxa"/>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智慧党建</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借助互联网、新型媒介，建设党建党务门户，在多渠道为农村党员和队伍提供党建宣传、党务公开、党员网课、资讯推送等服务，每有一项得1分，最多得3分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79"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22</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restart"/>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互联网+</w:t>
            </w:r>
          </w:p>
          <w:p>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村务管理</w:t>
            </w:r>
            <w:r>
              <w:rPr>
                <w:rFonts w:hint="eastAsia" w:ascii="Times New Roman" w:hAnsi="Times New Roman" w:eastAsia="宋体" w:cs="Times New Roman"/>
                <w:i w:val="0"/>
                <w:iCs w:val="0"/>
                <w:color w:val="000000"/>
                <w:kern w:val="0"/>
                <w:sz w:val="18"/>
                <w:szCs w:val="18"/>
                <w:highlight w:val="none"/>
                <w:u w:val="none"/>
                <w:lang w:val="en-US" w:eastAsia="zh-CN" w:bidi="ar"/>
              </w:rPr>
              <w:t>”</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（10分）</w:t>
            </w:r>
          </w:p>
        </w:tc>
        <w:tc>
          <w:tcPr>
            <w:tcW w:w="1587" w:type="dxa"/>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三资</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管理</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建设或使用市、县级市（区）的</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三资</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管理服务平台，实现农村集体</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三资</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的保值增效，最多得5分；如在市</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三资</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平台发现账目不平、数据错误、数据缺失、数据更新不及时等问题的，发现一次扣1分，最高扣</w:t>
            </w:r>
            <w:r>
              <w:rPr>
                <w:rFonts w:hint="eastAsia" w:ascii="Times New Roman" w:hAnsi="Times New Roman" w:eastAsia="宋体" w:cs="Times New Roman"/>
                <w:i w:val="0"/>
                <w:iCs w:val="0"/>
                <w:color w:val="000000"/>
                <w:kern w:val="0"/>
                <w:sz w:val="18"/>
                <w:szCs w:val="18"/>
                <w:highlight w:val="none"/>
                <w:u w:val="none"/>
                <w:lang w:val="en-US" w:eastAsia="zh-CN" w:bidi="ar"/>
              </w:rPr>
              <w:t>3</w:t>
            </w:r>
            <w:r>
              <w:rPr>
                <w:rFonts w:hint="default" w:ascii="Times New Roman" w:hAnsi="Times New Roman" w:eastAsia="宋体" w:cs="Times New Roman"/>
                <w:i w:val="0"/>
                <w:iCs w:val="0"/>
                <w:color w:val="000000"/>
                <w:kern w:val="0"/>
                <w:sz w:val="18"/>
                <w:szCs w:val="18"/>
                <w:highlight w:val="none"/>
                <w:u w:val="none"/>
                <w:lang w:val="en-US" w:eastAsia="zh-CN" w:bidi="ar"/>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1"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23</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eastAsia" w:ascii="Times New Roman" w:hAnsi="Times New Roman" w:eastAsia="宋体" w:cs="Times New Roman"/>
                <w:i w:val="0"/>
                <w:iCs w:val="0"/>
                <w:color w:val="000000"/>
                <w:spacing w:val="-20"/>
                <w:kern w:val="0"/>
                <w:sz w:val="18"/>
                <w:szCs w:val="18"/>
                <w:highlight w:val="none"/>
                <w:u w:val="none"/>
                <w:lang w:val="en-US" w:eastAsia="zh-CN" w:bidi="ar"/>
              </w:rPr>
              <w:t>“</w:t>
            </w:r>
            <w:r>
              <w:rPr>
                <w:rFonts w:hint="default" w:ascii="Times New Roman" w:hAnsi="Times New Roman" w:eastAsia="宋体" w:cs="Times New Roman"/>
                <w:i w:val="0"/>
                <w:iCs w:val="0"/>
                <w:color w:val="000000"/>
                <w:spacing w:val="-20"/>
                <w:kern w:val="0"/>
                <w:sz w:val="18"/>
                <w:szCs w:val="18"/>
                <w:highlight w:val="none"/>
                <w:u w:val="none"/>
                <w:lang w:val="en-US" w:eastAsia="zh-CN" w:bidi="ar"/>
              </w:rPr>
              <w:t>三地</w:t>
            </w:r>
            <w:r>
              <w:rPr>
                <w:rFonts w:hint="eastAsia" w:ascii="Times New Roman" w:hAnsi="Times New Roman" w:eastAsia="宋体" w:cs="Times New Roman"/>
                <w:i w:val="0"/>
                <w:iCs w:val="0"/>
                <w:color w:val="000000"/>
                <w:spacing w:val="-20"/>
                <w:kern w:val="0"/>
                <w:sz w:val="18"/>
                <w:szCs w:val="18"/>
                <w:highlight w:val="none"/>
                <w:u w:val="none"/>
                <w:lang w:val="en-US" w:eastAsia="zh-CN" w:bidi="ar"/>
              </w:rPr>
              <w:t>”</w:t>
            </w:r>
            <w:r>
              <w:rPr>
                <w:rFonts w:hint="default" w:ascii="Times New Roman" w:hAnsi="Times New Roman" w:eastAsia="宋体" w:cs="Times New Roman"/>
                <w:i w:val="0"/>
                <w:iCs w:val="0"/>
                <w:color w:val="000000"/>
                <w:spacing w:val="-20"/>
                <w:kern w:val="0"/>
                <w:sz w:val="18"/>
                <w:szCs w:val="18"/>
                <w:highlight w:val="none"/>
                <w:u w:val="none"/>
                <w:lang w:val="en-US" w:eastAsia="zh-CN" w:bidi="ar"/>
              </w:rPr>
              <w:t>管理（3分）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为村民提供农村土地、集体经营性建设用地、宅基地的相关业务线上办理</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最多得3分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70"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24</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村务公开（2分）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村务、财务信息在网上进行公开并为村民自治提供互联网途径</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最多得2分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25</w:t>
            </w:r>
          </w:p>
        </w:tc>
        <w:tc>
          <w:tcPr>
            <w:tcW w:w="1206" w:type="dxa"/>
            <w:vMerge w:val="continue"/>
            <w:tcBorders>
              <w:tl2br w:val="nil"/>
              <w:tr2bl w:val="nil"/>
            </w:tcBorders>
            <w:shd w:val="clear" w:color="auto" w:fill="auto"/>
            <w:tcMar>
              <w:top w:w="0" w:type="dxa"/>
              <w:left w:w="57" w:type="dxa"/>
              <w:bottom w:w="0" w:type="dxa"/>
              <w:right w:w="57" w:type="dxa"/>
            </w:tcMar>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restart"/>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成效评价</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（5分）</w:t>
            </w:r>
          </w:p>
        </w:tc>
        <w:tc>
          <w:tcPr>
            <w:tcW w:w="1587" w:type="dxa"/>
            <w:tcBorders>
              <w:tl2br w:val="nil"/>
              <w:tr2bl w:val="nil"/>
            </w:tcBorders>
            <w:shd w:val="clear" w:color="auto" w:fill="auto"/>
            <w:tcMar>
              <w:top w:w="0" w:type="dxa"/>
              <w:left w:w="57" w:type="dxa"/>
              <w:bottom w:w="0" w:type="dxa"/>
              <w:right w:w="57"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治理满意度</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第三方对村民进行治理满意度调查，得分（治理部分）=治理部分调查平均分/治理部分总分*4分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blHeader/>
        </w:trPr>
        <w:tc>
          <w:tcPr>
            <w:tcW w:w="680" w:type="dxa"/>
            <w:tcBorders>
              <w:tl2br w:val="nil"/>
              <w:tr2bl w:val="nil"/>
            </w:tcBorders>
            <w:shd w:val="clear" w:color="auto" w:fill="auto"/>
            <w:tcMar>
              <w:top w:w="0" w:type="dxa"/>
              <w:left w:w="0" w:type="dxa"/>
              <w:bottom w:w="0" w:type="dxa"/>
            </w:tcMar>
            <w:vAlign w:val="top"/>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26</w:t>
            </w:r>
          </w:p>
        </w:tc>
        <w:tc>
          <w:tcPr>
            <w:tcW w:w="1206" w:type="dxa"/>
            <w:vMerge w:val="continue"/>
            <w:tcBorders>
              <w:tl2br w:val="nil"/>
              <w:tr2bl w:val="nil"/>
            </w:tcBorders>
            <w:shd w:val="clear" w:color="auto" w:fill="auto"/>
            <w:tcMar>
              <w:top w:w="0" w:type="dxa"/>
              <w:left w:w="57" w:type="dxa"/>
              <w:bottom w:w="0" w:type="dxa"/>
              <w:right w:w="57" w:type="dxa"/>
            </w:tcMar>
            <w:vAlign w:val="top"/>
          </w:tcPr>
          <w:p>
            <w:pPr>
              <w:jc w:val="center"/>
              <w:rPr>
                <w:rFonts w:hint="default" w:ascii="Times New Roman" w:hAnsi="Times New Roman" w:eastAsia="宋体" w:cs="Times New Roman"/>
                <w:i w:val="0"/>
                <w:iCs w:val="0"/>
                <w:color w:val="000000"/>
                <w:sz w:val="18"/>
                <w:szCs w:val="18"/>
                <w:highlight w:val="none"/>
                <w:u w:val="none"/>
              </w:rPr>
            </w:pPr>
          </w:p>
        </w:tc>
        <w:tc>
          <w:tcPr>
            <w:tcW w:w="1587" w:type="dxa"/>
            <w:vMerge w:val="continue"/>
            <w:tcBorders>
              <w:tl2br w:val="nil"/>
              <w:tr2bl w:val="nil"/>
            </w:tcBorders>
            <w:shd w:val="clear" w:color="auto" w:fill="auto"/>
            <w:tcMar>
              <w:top w:w="0" w:type="dxa"/>
              <w:left w:w="57" w:type="dxa"/>
              <w:bottom w:w="0" w:type="dxa"/>
              <w:right w:w="57" w:type="dxa"/>
            </w:tcMar>
            <w:vAlign w:val="top"/>
          </w:tcPr>
          <w:p>
            <w:pPr>
              <w:jc w:val="center"/>
              <w:rPr>
                <w:rFonts w:hint="default" w:ascii="Times New Roman" w:hAnsi="Times New Roman" w:eastAsia="宋体" w:cs="Times New Roman"/>
                <w:i w:val="0"/>
                <w:iCs w:val="0"/>
                <w:color w:val="000000"/>
                <w:sz w:val="18"/>
                <w:szCs w:val="18"/>
                <w:highlight w:val="none"/>
                <w:u w:val="none"/>
              </w:rPr>
            </w:pPr>
          </w:p>
        </w:tc>
        <w:tc>
          <w:tcPr>
            <w:tcW w:w="158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特色奖项（1分）</w:t>
            </w:r>
          </w:p>
        </w:tc>
        <w:tc>
          <w:tcPr>
            <w:tcW w:w="7937" w:type="dxa"/>
            <w:tcBorders>
              <w:tl2br w:val="nil"/>
              <w:tr2bl w:val="nil"/>
            </w:tcBorders>
            <w:shd w:val="clear" w:color="auto" w:fill="auto"/>
            <w:tcMar>
              <w:top w:w="0" w:type="dxa"/>
              <w:left w:w="57" w:type="dxa"/>
              <w:bottom w:w="0" w:type="dxa"/>
              <w:right w:w="57" w:type="dxa"/>
            </w:tcMar>
            <w:vAlign w:val="top"/>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村在</w:t>
            </w:r>
            <w:r>
              <w:rPr>
                <w:rFonts w:hint="eastAsia" w:ascii="Times New Roman" w:hAnsi="Times New Roman" w:eastAsia="宋体" w:cs="Times New Roman"/>
                <w:i w:val="0"/>
                <w:iCs w:val="0"/>
                <w:color w:val="000000"/>
                <w:kern w:val="0"/>
                <w:sz w:val="18"/>
                <w:szCs w:val="18"/>
                <w:highlight w:val="none"/>
                <w:u w:val="none"/>
                <w:lang w:val="en-US" w:eastAsia="zh-CN" w:bidi="ar"/>
              </w:rPr>
              <w:t>近</w:t>
            </w:r>
            <w:r>
              <w:rPr>
                <w:rFonts w:hint="default" w:ascii="Times New Roman" w:hAnsi="Times New Roman" w:eastAsia="宋体" w:cs="Times New Roman"/>
                <w:i w:val="0"/>
                <w:iCs w:val="0"/>
                <w:color w:val="000000"/>
                <w:kern w:val="0"/>
                <w:sz w:val="18"/>
                <w:szCs w:val="18"/>
                <w:highlight w:val="none"/>
                <w:u w:val="none"/>
                <w:lang w:val="en-US" w:eastAsia="zh-CN" w:bidi="ar"/>
              </w:rPr>
              <w:t>两年内获得与治理相关奖项，国</w:t>
            </w:r>
            <w:r>
              <w:rPr>
                <w:rFonts w:hint="eastAsia" w:ascii="Times New Roman" w:hAnsi="Times New Roman" w:eastAsia="宋体" w:cs="Times New Roman"/>
                <w:i w:val="0"/>
                <w:iCs w:val="0"/>
                <w:color w:val="000000"/>
                <w:kern w:val="0"/>
                <w:sz w:val="18"/>
                <w:szCs w:val="18"/>
                <w:highlight w:val="none"/>
                <w:u w:val="none"/>
                <w:lang w:val="en-US" w:eastAsia="zh-CN" w:bidi="ar"/>
              </w:rPr>
              <w:t>家</w:t>
            </w:r>
            <w:r>
              <w:rPr>
                <w:rFonts w:hint="default" w:ascii="Times New Roman" w:hAnsi="Times New Roman" w:eastAsia="宋体" w:cs="Times New Roman"/>
                <w:i w:val="0"/>
                <w:iCs w:val="0"/>
                <w:color w:val="000000"/>
                <w:kern w:val="0"/>
                <w:sz w:val="18"/>
                <w:szCs w:val="18"/>
                <w:highlight w:val="none"/>
                <w:u w:val="none"/>
                <w:lang w:val="en-US" w:eastAsia="zh-CN" w:bidi="ar"/>
              </w:rPr>
              <w:t>级得1分，省、市级得0.5分</w:t>
            </w:r>
          </w:p>
        </w:tc>
      </w:tr>
    </w:tbl>
    <w:p>
      <w:pPr>
        <w:pStyle w:val="63"/>
        <w:numPr>
          <w:ilvl w:val="1"/>
          <w:numId w:val="0"/>
        </w:numPr>
        <w:adjustRightInd w:val="0"/>
        <w:snapToGrid w:val="0"/>
        <w:spacing w:beforeLines="0" w:after="0" w:afterLines="0" w:line="360" w:lineRule="auto"/>
        <w:jc w:val="center"/>
        <w:rPr>
          <w:rFonts w:hint="eastAsia" w:hAnsi="黑体" w:cs="黑体"/>
          <w:b w:val="0"/>
          <w:bCs/>
          <w:kern w:val="2"/>
          <w:sz w:val="21"/>
          <w:szCs w:val="21"/>
          <w:highlight w:val="none"/>
          <w:lang w:val="en-US" w:eastAsia="zh-CN" w:bidi="ar-SA"/>
        </w:rPr>
      </w:pPr>
    </w:p>
    <w:p>
      <w:pPr>
        <w:pStyle w:val="63"/>
        <w:keepNext w:val="0"/>
        <w:keepLines w:val="0"/>
        <w:pageBreakBefore w:val="0"/>
        <w:widowControl/>
        <w:numPr>
          <w:ilvl w:val="1"/>
          <w:numId w:val="0"/>
        </w:numPr>
        <w:kinsoku/>
        <w:wordWrap/>
        <w:overflowPunct/>
        <w:topLinePunct w:val="0"/>
        <w:autoSpaceDE/>
        <w:autoSpaceDN/>
        <w:bidi w:val="0"/>
        <w:adjustRightInd w:val="0"/>
        <w:snapToGrid w:val="0"/>
        <w:spacing w:before="100" w:beforeLines="0" w:after="100" w:afterLines="0" w:line="240" w:lineRule="auto"/>
        <w:ind w:leftChars="0"/>
        <w:jc w:val="center"/>
        <w:textAlignment w:val="auto"/>
        <w:rPr>
          <w:rFonts w:hint="eastAsia" w:hAnsi="黑体" w:cs="黑体"/>
          <w:b w:val="0"/>
          <w:bCs/>
          <w:kern w:val="2"/>
          <w:sz w:val="21"/>
          <w:szCs w:val="21"/>
          <w:highlight w:val="none"/>
          <w:lang w:val="en-US" w:eastAsia="zh-CN" w:bidi="ar-SA"/>
        </w:rPr>
      </w:pPr>
      <w:r>
        <w:rPr>
          <w:rFonts w:hint="eastAsia" w:hAnsi="黑体" w:cs="黑体"/>
          <w:b w:val="0"/>
          <w:bCs/>
          <w:kern w:val="2"/>
          <w:sz w:val="21"/>
          <w:szCs w:val="21"/>
          <w:highlight w:val="none"/>
          <w:lang w:val="en-US" w:eastAsia="zh-CN" w:bidi="ar-SA"/>
        </w:rPr>
        <w:t>表1智慧农村</w:t>
      </w:r>
      <w:r>
        <w:rPr>
          <w:rFonts w:hint="eastAsia" w:hAnsi="黑体" w:cs="黑体"/>
          <w:b w:val="0"/>
          <w:bCs/>
          <w:kern w:val="2"/>
          <w:sz w:val="21"/>
          <w:szCs w:val="21"/>
          <w:highlight w:val="none"/>
          <w:lang w:val="en-US" w:eastAsia="zh-CN" w:bidi="ar-SA"/>
        </w:rPr>
        <w:t>示范村评价细则(第3页/共4页)</w:t>
      </w:r>
    </w:p>
    <w:tbl>
      <w:tblPr>
        <w:tblStyle w:val="23"/>
        <w:tblW w:w="13202"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20"/>
        <w:gridCol w:w="1269"/>
        <w:gridCol w:w="1558"/>
        <w:gridCol w:w="1642"/>
        <w:gridCol w:w="80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tblHeader/>
        </w:trPr>
        <w:tc>
          <w:tcPr>
            <w:tcW w:w="720"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序号</w:t>
            </w:r>
          </w:p>
        </w:tc>
        <w:tc>
          <w:tcPr>
            <w:tcW w:w="126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一级指标</w:t>
            </w:r>
          </w:p>
        </w:tc>
        <w:tc>
          <w:tcPr>
            <w:tcW w:w="155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二级指标</w:t>
            </w:r>
          </w:p>
        </w:tc>
        <w:tc>
          <w:tcPr>
            <w:tcW w:w="1642"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三级指标</w:t>
            </w:r>
          </w:p>
        </w:tc>
        <w:tc>
          <w:tcPr>
            <w:tcW w:w="8013"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评价内容及分值标准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78" w:hRule="atLeast"/>
          <w:tblHeader/>
        </w:trPr>
        <w:tc>
          <w:tcPr>
            <w:tcW w:w="720"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27</w:t>
            </w:r>
          </w:p>
        </w:tc>
        <w:tc>
          <w:tcPr>
            <w:tcW w:w="1269"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服务均等化</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（23分）</w:t>
            </w:r>
          </w:p>
        </w:tc>
        <w:tc>
          <w:tcPr>
            <w:tcW w:w="155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政务服务</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（3分）</w:t>
            </w:r>
          </w:p>
        </w:tc>
        <w:tc>
          <w:tcPr>
            <w:tcW w:w="1642"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一体化政务服务</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w:t>
            </w:r>
            <w:r>
              <w:rPr>
                <w:rFonts w:hint="eastAsia" w:ascii="Times New Roman" w:hAnsi="Times New Roman" w:eastAsia="宋体" w:cs="Times New Roman"/>
                <w:i w:val="0"/>
                <w:iCs w:val="0"/>
                <w:color w:val="000000"/>
                <w:kern w:val="0"/>
                <w:sz w:val="18"/>
                <w:szCs w:val="18"/>
                <w:highlight w:val="none"/>
                <w:u w:val="none"/>
                <w:lang w:val="en-US" w:eastAsia="zh-CN" w:bidi="ar"/>
              </w:rPr>
              <w:t>3</w:t>
            </w:r>
            <w:r>
              <w:rPr>
                <w:rFonts w:hint="default" w:ascii="Times New Roman" w:hAnsi="Times New Roman" w:eastAsia="宋体" w:cs="Times New Roman"/>
                <w:i w:val="0"/>
                <w:iCs w:val="0"/>
                <w:color w:val="000000"/>
                <w:kern w:val="0"/>
                <w:sz w:val="18"/>
                <w:szCs w:val="18"/>
                <w:highlight w:val="none"/>
                <w:u w:val="none"/>
                <w:lang w:val="en-US" w:eastAsia="zh-CN" w:bidi="ar"/>
              </w:rPr>
              <w:t>分）</w:t>
            </w:r>
          </w:p>
        </w:tc>
        <w:tc>
          <w:tcPr>
            <w:tcW w:w="8013"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建设村基层政务服务中心、站点，利用信息化手段，提供村民日常政务服务事项办理服务，最多得</w:t>
            </w:r>
            <w:r>
              <w:rPr>
                <w:rFonts w:hint="eastAsia" w:ascii="Times New Roman" w:hAnsi="Times New Roman" w:eastAsia="宋体" w:cs="Times New Roman"/>
                <w:i w:val="0"/>
                <w:iCs w:val="0"/>
                <w:color w:val="000000"/>
                <w:kern w:val="0"/>
                <w:sz w:val="18"/>
                <w:szCs w:val="18"/>
                <w:highlight w:val="none"/>
                <w:u w:val="none"/>
                <w:lang w:val="en-US" w:eastAsia="zh-CN" w:bidi="ar"/>
              </w:rPr>
              <w:t>3</w:t>
            </w:r>
            <w:r>
              <w:rPr>
                <w:rFonts w:hint="default" w:ascii="Times New Roman" w:hAnsi="Times New Roman" w:eastAsia="宋体" w:cs="Times New Roman"/>
                <w:i w:val="0"/>
                <w:iCs w:val="0"/>
                <w:color w:val="000000"/>
                <w:kern w:val="0"/>
                <w:sz w:val="18"/>
                <w:szCs w:val="18"/>
                <w:highlight w:val="none"/>
                <w:u w:val="none"/>
                <w:lang w:val="en-US" w:eastAsia="zh-CN" w:bidi="ar"/>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36" w:hRule="atLeast"/>
          <w:tblHeader/>
        </w:trPr>
        <w:tc>
          <w:tcPr>
            <w:tcW w:w="720" w:type="dxa"/>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28</w:t>
            </w:r>
          </w:p>
        </w:tc>
        <w:tc>
          <w:tcPr>
            <w:tcW w:w="1269"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58"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便民服务</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（15分）</w:t>
            </w:r>
          </w:p>
        </w:tc>
        <w:tc>
          <w:tcPr>
            <w:tcW w:w="1642"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智慧医疗</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（3分）</w:t>
            </w:r>
          </w:p>
        </w:tc>
        <w:tc>
          <w:tcPr>
            <w:tcW w:w="8013"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运用基础信息通信网络、信息化医疗设备等，与传统医疗卫生机构、医疗健康服务深度融合，提供健康档案、分诊转院、电子处方、家庭医生签约、上门问诊预约、老年人免费体检管理等线上医疗，每有一项得1分，最多得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37" w:hRule="atLeast"/>
          <w:tblHeader/>
        </w:trPr>
        <w:tc>
          <w:tcPr>
            <w:tcW w:w="720" w:type="dxa"/>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29</w:t>
            </w:r>
          </w:p>
        </w:tc>
        <w:tc>
          <w:tcPr>
            <w:tcW w:w="1269"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58"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642"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智慧教育</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（3分）</w:t>
            </w:r>
          </w:p>
        </w:tc>
        <w:tc>
          <w:tcPr>
            <w:tcW w:w="8013"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开展包括各类APP使用、网络安全宣传教育</w:t>
            </w:r>
            <w:r>
              <w:rPr>
                <w:rFonts w:hint="eastAsia" w:ascii="Times New Roman" w:hAnsi="Times New Roman" w:eastAsia="宋体" w:cs="Times New Roman"/>
                <w:i w:val="0"/>
                <w:iCs w:val="0"/>
                <w:color w:val="000000"/>
                <w:kern w:val="0"/>
                <w:sz w:val="18"/>
                <w:szCs w:val="18"/>
                <w:highlight w:val="none"/>
                <w:u w:val="none"/>
                <w:lang w:val="en-US" w:eastAsia="zh-CN" w:bidi="ar"/>
              </w:rPr>
              <w:t>和乡村网络文化宣传</w:t>
            </w:r>
            <w:r>
              <w:rPr>
                <w:rFonts w:hint="default" w:ascii="Times New Roman" w:hAnsi="Times New Roman" w:eastAsia="宋体" w:cs="Times New Roman"/>
                <w:i w:val="0"/>
                <w:iCs w:val="0"/>
                <w:color w:val="000000"/>
                <w:kern w:val="0"/>
                <w:sz w:val="18"/>
                <w:szCs w:val="18"/>
                <w:highlight w:val="none"/>
                <w:u w:val="none"/>
                <w:lang w:val="en-US" w:eastAsia="zh-CN" w:bidi="ar"/>
              </w:rPr>
              <w:t>等农村居民数字素养与技能培训，</w:t>
            </w:r>
            <w:r>
              <w:rPr>
                <w:rFonts w:hint="eastAsia" w:ascii="Times New Roman" w:hAnsi="Times New Roman" w:eastAsia="宋体" w:cs="Times New Roman"/>
                <w:i w:val="0"/>
                <w:iCs w:val="0"/>
                <w:color w:val="000000"/>
                <w:kern w:val="0"/>
                <w:sz w:val="18"/>
                <w:szCs w:val="18"/>
                <w:highlight w:val="none"/>
                <w:u w:val="none"/>
                <w:lang w:val="en-US" w:eastAsia="zh-CN" w:bidi="ar"/>
              </w:rPr>
              <w:t>当年</w:t>
            </w:r>
            <w:r>
              <w:rPr>
                <w:rFonts w:hint="default" w:ascii="Times New Roman" w:hAnsi="Times New Roman" w:eastAsia="宋体" w:cs="Times New Roman"/>
                <w:i w:val="0"/>
                <w:iCs w:val="0"/>
                <w:color w:val="000000"/>
                <w:kern w:val="0"/>
                <w:sz w:val="18"/>
                <w:szCs w:val="18"/>
                <w:highlight w:val="none"/>
                <w:u w:val="none"/>
                <w:lang w:val="en-US" w:eastAsia="zh-CN" w:bidi="ar"/>
              </w:rPr>
              <w:t>每开展一次得0.5分，最多得2分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720" w:type="dxa"/>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30</w:t>
            </w:r>
          </w:p>
        </w:tc>
        <w:tc>
          <w:tcPr>
            <w:tcW w:w="1269"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58"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642"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8013"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为农村居民提供多媒体教室、智慧课堂、智慧图书馆等公共服务场所，得1分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94" w:hRule="atLeast"/>
          <w:tblHeader/>
        </w:trPr>
        <w:tc>
          <w:tcPr>
            <w:tcW w:w="720" w:type="dxa"/>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31</w:t>
            </w:r>
          </w:p>
        </w:tc>
        <w:tc>
          <w:tcPr>
            <w:tcW w:w="1269"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58"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642"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智慧养老</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（3分）</w:t>
            </w:r>
          </w:p>
        </w:tc>
        <w:tc>
          <w:tcPr>
            <w:tcW w:w="8013"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使用相关信息系统，实现村内老年人养老档案、服务工单、养老知识推送、用药提醒等智慧化应用，</w:t>
            </w:r>
            <w:r>
              <w:rPr>
                <w:rFonts w:hint="eastAsia" w:ascii="Times New Roman" w:hAnsi="Times New Roman" w:eastAsia="宋体" w:cs="Times New Roman"/>
                <w:i w:val="0"/>
                <w:iCs w:val="0"/>
                <w:color w:val="000000"/>
                <w:kern w:val="0"/>
                <w:sz w:val="18"/>
                <w:szCs w:val="18"/>
                <w:highlight w:val="none"/>
                <w:u w:val="none"/>
                <w:lang w:val="en-US" w:eastAsia="zh-CN" w:bidi="ar"/>
              </w:rPr>
              <w:t>每</w:t>
            </w:r>
            <w:r>
              <w:rPr>
                <w:rFonts w:hint="default" w:ascii="Times New Roman" w:hAnsi="Times New Roman" w:eastAsia="宋体" w:cs="Times New Roman"/>
                <w:i w:val="0"/>
                <w:iCs w:val="0"/>
                <w:color w:val="000000"/>
                <w:kern w:val="0"/>
                <w:sz w:val="18"/>
                <w:szCs w:val="18"/>
                <w:highlight w:val="none"/>
                <w:u w:val="none"/>
                <w:lang w:val="en-US" w:eastAsia="zh-CN" w:bidi="ar"/>
              </w:rPr>
              <w:t>有一项得1分，最高得2分；结合集中或居家养老模式，利用信息技术，为村内有养老需求的老年人配备智能穿戴设备、家居设备和呼叫设备等，得1分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720" w:type="dxa"/>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32</w:t>
            </w:r>
          </w:p>
        </w:tc>
        <w:tc>
          <w:tcPr>
            <w:tcW w:w="1269"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58"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642"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数字金融</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（3分）</w:t>
            </w:r>
          </w:p>
        </w:tc>
        <w:tc>
          <w:tcPr>
            <w:tcW w:w="8013"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村与金融机构合作建立统一信用模型的</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得2分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720" w:type="dxa"/>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33</w:t>
            </w:r>
          </w:p>
        </w:tc>
        <w:tc>
          <w:tcPr>
            <w:tcW w:w="1269"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58"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642"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8013"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金融服务点</w:t>
            </w:r>
            <w:r>
              <w:rPr>
                <w:rFonts w:hint="eastAsia" w:ascii="Times New Roman" w:hAnsi="Times New Roman" w:eastAsia="宋体" w:cs="Times New Roman"/>
                <w:i w:val="0"/>
                <w:iCs w:val="0"/>
                <w:color w:val="000000"/>
                <w:kern w:val="0"/>
                <w:sz w:val="18"/>
                <w:szCs w:val="18"/>
                <w:highlight w:val="none"/>
                <w:u w:val="none"/>
                <w:lang w:val="en-US" w:eastAsia="zh-CN" w:bidi="ar"/>
              </w:rPr>
              <w:t>提供</w:t>
            </w:r>
            <w:r>
              <w:rPr>
                <w:rFonts w:hint="default" w:ascii="Times New Roman" w:hAnsi="Times New Roman" w:eastAsia="宋体" w:cs="Times New Roman"/>
                <w:i w:val="0"/>
                <w:iCs w:val="0"/>
                <w:color w:val="000000"/>
                <w:kern w:val="0"/>
                <w:sz w:val="18"/>
                <w:szCs w:val="18"/>
                <w:highlight w:val="none"/>
                <w:u w:val="none"/>
                <w:lang w:val="en-US" w:eastAsia="zh-CN" w:bidi="ar"/>
              </w:rPr>
              <w:t>便捷金融服务，具备多功能自助终端的，得1分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80" w:hRule="atLeast"/>
          <w:tblHeader/>
        </w:trPr>
        <w:tc>
          <w:tcPr>
            <w:tcW w:w="720" w:type="dxa"/>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34</w:t>
            </w:r>
          </w:p>
        </w:tc>
        <w:tc>
          <w:tcPr>
            <w:tcW w:w="1269"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58"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642"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特色服务</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（3分）</w:t>
            </w:r>
          </w:p>
        </w:tc>
        <w:tc>
          <w:tcPr>
            <w:tcW w:w="8013"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镇、村为村民建设的特色便民服务，如租房管理、敲章预约、宴会厅预约、殡葬服务、打印机预约等服务，每有一项并已上线使用的得1分</w:t>
            </w:r>
            <w:r>
              <w:rPr>
                <w:rFonts w:hint="eastAsia" w:ascii="Times New Roman" w:hAnsi="Times New Roman" w:eastAsia="宋体" w:cs="Times New Roman"/>
                <w:i w:val="0"/>
                <w:iCs w:val="0"/>
                <w:color w:val="000000"/>
                <w:kern w:val="0"/>
                <w:sz w:val="18"/>
                <w:szCs w:val="18"/>
                <w:highlight w:val="none"/>
                <w:u w:val="none"/>
                <w:lang w:val="en-US" w:eastAsia="zh-CN" w:bidi="ar"/>
              </w:rPr>
              <w:t>，</w:t>
            </w:r>
            <w:r>
              <w:rPr>
                <w:rFonts w:hint="default" w:ascii="Times New Roman" w:hAnsi="Times New Roman" w:eastAsia="宋体" w:cs="Times New Roman"/>
                <w:i w:val="0"/>
                <w:iCs w:val="0"/>
                <w:color w:val="000000"/>
                <w:kern w:val="0"/>
                <w:sz w:val="18"/>
                <w:szCs w:val="18"/>
                <w:highlight w:val="none"/>
                <w:u w:val="none"/>
                <w:lang w:val="en-US" w:eastAsia="zh-CN" w:bidi="ar"/>
              </w:rPr>
              <w:t>最高得3分.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blHeader/>
        </w:trPr>
        <w:tc>
          <w:tcPr>
            <w:tcW w:w="720" w:type="dxa"/>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35</w:t>
            </w:r>
          </w:p>
        </w:tc>
        <w:tc>
          <w:tcPr>
            <w:tcW w:w="1269"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58"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成效评价（5分）</w:t>
            </w:r>
          </w:p>
        </w:tc>
        <w:tc>
          <w:tcPr>
            <w:tcW w:w="1642"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服务满意度</w:t>
            </w:r>
          </w:p>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（4分）</w:t>
            </w:r>
          </w:p>
        </w:tc>
        <w:tc>
          <w:tcPr>
            <w:tcW w:w="8013"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第三方对村民进行服务满意度调查，得分（服务部分）=服务部分调查平均分/服务部分总分*4分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tblHeader/>
        </w:trPr>
        <w:tc>
          <w:tcPr>
            <w:tcW w:w="720" w:type="dxa"/>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36</w:t>
            </w:r>
          </w:p>
        </w:tc>
        <w:tc>
          <w:tcPr>
            <w:tcW w:w="1269"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558" w:type="dxa"/>
            <w:vMerge w:val="continue"/>
            <w:tcBorders>
              <w:tl2br w:val="nil"/>
              <w:tr2bl w:val="nil"/>
            </w:tcBorders>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
            </w:pPr>
          </w:p>
        </w:tc>
        <w:tc>
          <w:tcPr>
            <w:tcW w:w="1642"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特色奖项（1分）</w:t>
            </w:r>
          </w:p>
        </w:tc>
        <w:tc>
          <w:tcPr>
            <w:tcW w:w="8013"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村在近两年内获得与服务相关奖项，国</w:t>
            </w:r>
            <w:r>
              <w:rPr>
                <w:rFonts w:hint="eastAsia" w:ascii="Times New Roman" w:hAnsi="Times New Roman" w:eastAsia="宋体" w:cs="Times New Roman"/>
                <w:i w:val="0"/>
                <w:iCs w:val="0"/>
                <w:color w:val="000000"/>
                <w:kern w:val="0"/>
                <w:sz w:val="18"/>
                <w:szCs w:val="18"/>
                <w:highlight w:val="none"/>
                <w:u w:val="none"/>
                <w:lang w:val="en-US" w:eastAsia="zh-CN" w:bidi="ar"/>
              </w:rPr>
              <w:t>家</w:t>
            </w:r>
            <w:r>
              <w:rPr>
                <w:rFonts w:hint="default" w:ascii="Times New Roman" w:hAnsi="Times New Roman" w:eastAsia="宋体" w:cs="Times New Roman"/>
                <w:i w:val="0"/>
                <w:iCs w:val="0"/>
                <w:color w:val="000000"/>
                <w:kern w:val="0"/>
                <w:sz w:val="18"/>
                <w:szCs w:val="18"/>
                <w:highlight w:val="none"/>
                <w:u w:val="none"/>
                <w:lang w:val="en-US" w:eastAsia="zh-CN" w:bidi="ar"/>
              </w:rPr>
              <w:t>级得1分，省、市级得0.5分</w:t>
            </w:r>
          </w:p>
        </w:tc>
      </w:tr>
    </w:tbl>
    <w:p/>
    <w:p>
      <w:pPr>
        <w:pStyle w:val="2"/>
      </w:pPr>
    </w:p>
    <w:p>
      <w:pPr>
        <w:pStyle w:val="2"/>
      </w:pPr>
    </w:p>
    <w:p>
      <w:pPr>
        <w:pStyle w:val="63"/>
        <w:keepNext w:val="0"/>
        <w:keepLines w:val="0"/>
        <w:pageBreakBefore w:val="0"/>
        <w:widowControl/>
        <w:numPr>
          <w:ilvl w:val="1"/>
          <w:numId w:val="0"/>
        </w:numPr>
        <w:kinsoku/>
        <w:wordWrap/>
        <w:overflowPunct/>
        <w:topLinePunct w:val="0"/>
        <w:autoSpaceDE/>
        <w:autoSpaceDN/>
        <w:bidi w:val="0"/>
        <w:adjustRightInd w:val="0"/>
        <w:snapToGrid w:val="0"/>
        <w:spacing w:before="100" w:beforeLines="0" w:after="100" w:afterLines="0" w:line="240" w:lineRule="auto"/>
        <w:ind w:leftChars="0"/>
        <w:jc w:val="center"/>
        <w:textAlignment w:val="auto"/>
        <w:rPr>
          <w:rFonts w:hint="eastAsia" w:hAnsi="黑体" w:cs="黑体"/>
          <w:b w:val="0"/>
          <w:bCs/>
          <w:kern w:val="2"/>
          <w:sz w:val="21"/>
          <w:szCs w:val="21"/>
          <w:highlight w:val="none"/>
          <w:lang w:val="en-US" w:eastAsia="zh-CN" w:bidi="ar-SA"/>
        </w:rPr>
      </w:pPr>
      <w:r>
        <w:rPr>
          <w:rFonts w:hint="eastAsia" w:hAnsi="黑体" w:cs="黑体"/>
          <w:b w:val="0"/>
          <w:bCs/>
          <w:kern w:val="2"/>
          <w:sz w:val="21"/>
          <w:szCs w:val="21"/>
          <w:highlight w:val="none"/>
          <w:lang w:val="en-US" w:eastAsia="zh-CN" w:bidi="ar-SA"/>
        </w:rPr>
        <w:t>表1智慧农村</w:t>
      </w:r>
      <w:r>
        <w:rPr>
          <w:rFonts w:hint="eastAsia" w:hAnsi="黑体" w:cs="黑体"/>
          <w:b w:val="0"/>
          <w:bCs/>
          <w:kern w:val="2"/>
          <w:sz w:val="21"/>
          <w:szCs w:val="21"/>
          <w:highlight w:val="none"/>
          <w:lang w:val="en-US" w:eastAsia="zh-CN" w:bidi="ar-SA"/>
        </w:rPr>
        <w:t>示范村评价细则(第4页/共4页)</w:t>
      </w:r>
    </w:p>
    <w:tbl>
      <w:tblPr>
        <w:tblStyle w:val="23"/>
        <w:tblW w:w="13189"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33"/>
        <w:gridCol w:w="1269"/>
        <w:gridCol w:w="1545"/>
        <w:gridCol w:w="1628"/>
        <w:gridCol w:w="80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tblHeader/>
        </w:trPr>
        <w:tc>
          <w:tcPr>
            <w:tcW w:w="733"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序号</w:t>
            </w:r>
          </w:p>
        </w:tc>
        <w:tc>
          <w:tcPr>
            <w:tcW w:w="126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一级指标</w:t>
            </w:r>
          </w:p>
        </w:tc>
        <w:tc>
          <w:tcPr>
            <w:tcW w:w="1545"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二级指标</w:t>
            </w:r>
          </w:p>
        </w:tc>
        <w:tc>
          <w:tcPr>
            <w:tcW w:w="1628" w:type="dxa"/>
            <w:tcBorders>
              <w:tl2br w:val="nil"/>
              <w:tr2bl w:val="nil"/>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三级指标</w:t>
            </w:r>
          </w:p>
        </w:tc>
        <w:tc>
          <w:tcPr>
            <w:tcW w:w="8014"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评价内容及分值标准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53" w:hRule="atLeast"/>
          <w:tblHeader/>
        </w:trPr>
        <w:tc>
          <w:tcPr>
            <w:tcW w:w="733"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37</w:t>
            </w:r>
          </w:p>
        </w:tc>
        <w:tc>
          <w:tcPr>
            <w:tcW w:w="1269"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产业特色化（20分）</w:t>
            </w:r>
          </w:p>
        </w:tc>
        <w:tc>
          <w:tcPr>
            <w:tcW w:w="1545"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特色产业</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（20分）</w:t>
            </w:r>
          </w:p>
        </w:tc>
        <w:tc>
          <w:tcPr>
            <w:tcW w:w="1628"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乡村数字经济</w:t>
            </w:r>
          </w:p>
          <w:p>
            <w:pPr>
              <w:keepNext w:val="0"/>
              <w:keepLines w:val="0"/>
              <w:widowControl/>
              <w:suppressLineNumbers w:val="0"/>
              <w:jc w:val="center"/>
              <w:textAlignment w:val="center"/>
              <w:rPr>
                <w:rFonts w:hint="default"/>
                <w:sz w:val="18"/>
                <w:szCs w:val="18"/>
                <w:lang w:val="en-US" w:eastAsia="zh-CN"/>
              </w:rPr>
            </w:pPr>
            <w:r>
              <w:rPr>
                <w:rFonts w:hint="eastAsia" w:ascii="Times New Roman" w:hAnsi="Times New Roman" w:eastAsia="宋体" w:cs="Times New Roman"/>
                <w:i w:val="0"/>
                <w:iCs w:val="0"/>
                <w:color w:val="000000"/>
                <w:kern w:val="0"/>
                <w:sz w:val="18"/>
                <w:szCs w:val="18"/>
                <w:highlight w:val="none"/>
                <w:u w:val="none"/>
                <w:lang w:val="en-US" w:eastAsia="zh-CN" w:bidi="ar"/>
              </w:rPr>
              <w:t>（20分）</w:t>
            </w:r>
          </w:p>
        </w:tc>
        <w:tc>
          <w:tcPr>
            <w:tcW w:w="8014" w:type="dxa"/>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数字经济在村产业中的渗透情况，数字经济包括智慧农业、农村电子商务、乡村新业态等，未列举的数字经济产业可参照《数字经济及其核心产业统计分类（2021）》。</w:t>
            </w: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智慧农业：主要包括农业生产数字化、农产品加工智能化和农产品质量安全追溯管理等；</w:t>
            </w: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农村电子商务：是指利用互联网、计算机、多媒体等现代信息技术，使生产经营主体通过电子化、网络化方式完成产品或服务的销售、购买和电子支付等业务过程，包括农村电商公共服务体系和农村电商培训等；</w:t>
            </w:r>
          </w:p>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乡村新业态：是指随着现代农业发展和农村一二三产业融合发展，基于互联网、人工智能、大数据等新一代信息技术在乡村农林牧渔、旅游、文化、教育、康养等领域的应用，形成的新型产业组织形态，包括智慧乡村旅游、智慧认养农业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6" w:hRule="atLeast"/>
          <w:tblHeader/>
        </w:trPr>
        <w:tc>
          <w:tcPr>
            <w:tcW w:w="733"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38</w:t>
            </w:r>
          </w:p>
        </w:tc>
        <w:tc>
          <w:tcPr>
            <w:tcW w:w="1269"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一票否决</w:t>
            </w:r>
          </w:p>
        </w:tc>
        <w:tc>
          <w:tcPr>
            <w:tcW w:w="1545"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安全诚信</w:t>
            </w:r>
          </w:p>
        </w:tc>
        <w:tc>
          <w:tcPr>
            <w:tcW w:w="9642" w:type="dxa"/>
            <w:gridSpan w:val="2"/>
            <w:tcBorders>
              <w:tl2br w:val="nil"/>
              <w:tr2bl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主体在近三年内有以下情况之一者取消评审资格：隐瞒真实情况、提供虚假申报材料；发生重大安全事故；其他严重违反法律法规的行为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8" w:hRule="atLeast"/>
          <w:tblHeader/>
        </w:trPr>
        <w:tc>
          <w:tcPr>
            <w:tcW w:w="733"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eastAsia" w:ascii="Times New Roman" w:hAnsi="Times New Roman" w:eastAsia="宋体" w:cs="Times New Roman"/>
                <w:i w:val="0"/>
                <w:iCs w:val="0"/>
                <w:color w:val="000000"/>
                <w:kern w:val="0"/>
                <w:sz w:val="18"/>
                <w:szCs w:val="18"/>
                <w:highlight w:val="none"/>
                <w:u w:val="none"/>
                <w:lang w:val="en-US" w:eastAsia="zh-CN" w:bidi="ar"/>
              </w:rPr>
              <w:t>39</w:t>
            </w:r>
          </w:p>
        </w:tc>
        <w:tc>
          <w:tcPr>
            <w:tcW w:w="1269" w:type="dxa"/>
            <w:vMerge w:val="continue"/>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p>
        </w:tc>
        <w:tc>
          <w:tcPr>
            <w:tcW w:w="1545" w:type="dxa"/>
            <w:tcBorders>
              <w:tl2br w:val="nil"/>
              <w:tr2bl w:val="nil"/>
            </w:tcBorders>
            <w:shd w:val="clear" w:color="auto" w:fill="auto"/>
            <w:vAlign w:val="center"/>
          </w:tcPr>
          <w:p>
            <w:pPr>
              <w:widowControl/>
              <w:spacing w:line="240" w:lineRule="auto"/>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b w:val="0"/>
                <w:bCs w:val="0"/>
                <w:color w:val="000000"/>
                <w:kern w:val="0"/>
                <w:sz w:val="18"/>
                <w:szCs w:val="18"/>
                <w:highlight w:val="none"/>
                <w:u w:val="none"/>
                <w:lang w:bidi="ar"/>
              </w:rPr>
              <w:t>数据共享</w:t>
            </w:r>
          </w:p>
        </w:tc>
        <w:tc>
          <w:tcPr>
            <w:tcW w:w="9642" w:type="dxa"/>
            <w:gridSpan w:val="2"/>
            <w:tcBorders>
              <w:tl2br w:val="nil"/>
              <w:tr2bl w:val="nil"/>
            </w:tcBorders>
            <w:shd w:val="clear" w:color="auto" w:fill="auto"/>
            <w:vAlign w:val="center"/>
          </w:tcPr>
          <w:p>
            <w:pPr>
              <w:widowControl/>
              <w:jc w:val="left"/>
              <w:textAlignment w:val="center"/>
              <w:rPr>
                <w:rFonts w:hint="default"/>
                <w:sz w:val="18"/>
                <w:szCs w:val="18"/>
                <w:lang w:val="en-US" w:eastAsia="zh-CN"/>
              </w:rPr>
            </w:pPr>
            <w:r>
              <w:rPr>
                <w:rFonts w:hint="default"/>
                <w:sz w:val="18"/>
                <w:szCs w:val="18"/>
              </w:rPr>
              <w:t>参加评审的主体须将系统数据接入农业农村数据中心，实现数据共享</w:t>
            </w:r>
          </w:p>
        </w:tc>
      </w:tr>
      <w:bookmarkEnd w:id="68"/>
    </w:tbl>
    <w:p>
      <w:pPr>
        <w:numPr>
          <w:ilvl w:val="0"/>
          <w:numId w:val="0"/>
        </w:numPr>
        <w:tabs>
          <w:tab w:val="center" w:pos="6889"/>
        </w:tabs>
        <w:spacing w:line="14" w:lineRule="exact"/>
        <w:jc w:val="left"/>
        <w:rPr>
          <w:rFonts w:hint="eastAsia" w:ascii="宋体" w:hAnsi="宋体" w:eastAsia="宋体" w:cs="宋体"/>
          <w:i w:val="0"/>
          <w:iCs w:val="0"/>
          <w:caps w:val="0"/>
          <w:color w:val="000000"/>
          <w:spacing w:val="0"/>
          <w:sz w:val="20"/>
          <w:szCs w:val="20"/>
          <w:highlight w:val="none"/>
          <w:shd w:val="clear" w:fill="FFFFFF"/>
          <w:lang w:val="en-US" w:eastAsia="zh-CN"/>
        </w:rPr>
      </w:pPr>
    </w:p>
    <w:p>
      <w:pPr>
        <w:pStyle w:val="2"/>
        <w:rPr>
          <w:rFonts w:hint="eastAsia"/>
          <w:lang w:val="en-US" w:eastAsia="zh-CN"/>
        </w:rPr>
      </w:pPr>
      <w:r>
        <w:rPr>
          <w:sz w:val="21"/>
        </w:rPr>
        <mc:AlternateContent>
          <mc:Choice Requires="wps">
            <w:drawing>
              <wp:anchor distT="0" distB="0" distL="114300" distR="114300" simplePos="0" relativeHeight="251665408" behindDoc="0" locked="0" layoutInCell="1" allowOverlap="1">
                <wp:simplePos x="0" y="0"/>
                <wp:positionH relativeFrom="column">
                  <wp:posOffset>3068955</wp:posOffset>
                </wp:positionH>
                <wp:positionV relativeFrom="paragraph">
                  <wp:posOffset>352425</wp:posOffset>
                </wp:positionV>
                <wp:extent cx="2268220" cy="8255"/>
                <wp:effectExtent l="0" t="0" r="0" b="0"/>
                <wp:wrapNone/>
                <wp:docPr id="9" name="直接连接符 9"/>
                <wp:cNvGraphicFramePr/>
                <a:graphic xmlns:a="http://schemas.openxmlformats.org/drawingml/2006/main">
                  <a:graphicData uri="http://schemas.microsoft.com/office/word/2010/wordprocessingShape">
                    <wps:wsp>
                      <wps:cNvCnPr/>
                      <wps:spPr>
                        <a:xfrm>
                          <a:off x="0" y="0"/>
                          <a:ext cx="2268220" cy="8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41.65pt;margin-top:27.75pt;height:0.65pt;width:178.6pt;z-index:251665408;mso-width-relative:page;mso-height-relative:page;" filled="f" stroked="t" coordsize="21600,21600" o:gfxdata="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OBoHNcAAAAJ&#10;AQAADwAAAAAAAAABACAAAAAiAAAAZHJzL2Rvd25yZXYueG1sUEsBAhQAFAAAAAgAh07iQM2OJy3k&#10;AQAAtAMAAA4AAAAAAAAAAQAgAAAAJgEAAGRycy9lMm9Eb2MueG1sUEsFBgAAAAAGAAYAWQEAAHwF&#10;AAAAAA==&#10;">
                <v:fill on="f" focussize="0,0"/>
                <v:stroke weight="0.5pt" color="#000000 [3213]" miterlimit="8" joinstyle="miter"/>
                <v:imagedata o:title=""/>
                <o:lock v:ext="edit" aspectratio="f"/>
              </v:line>
            </w:pict>
          </mc:Fallback>
        </mc:AlternateContent>
      </w:r>
    </w:p>
    <w:sectPr>
      <w:pgSz w:w="16838" w:h="11906" w:orient="landscape"/>
      <w:pgMar w:top="1440" w:right="1800" w:bottom="1440" w:left="1800" w:header="794"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71"/>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2"/>
    </w:pPr>
    <w:r>
      <w:fldChar w:fldCharType="begin"/>
    </w:r>
    <w:r>
      <w:instrText xml:space="preserve"> PAGE   \* MERGEFORMAT \* MERGEFORMAT </w:instrText>
    </w:r>
    <w:r>
      <w:fldChar w:fldCharType="separate"/>
    </w:r>
    <w:r>
      <w:t>II</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6"/>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2"/>
    </w:pPr>
    <w:r>
      <w:fldChar w:fldCharType="begin"/>
    </w:r>
    <w:r>
      <w:instrText xml:space="preserve"> PAGE   \* MERGEFORMAT \* MERGEFORMAT </w:instrText>
    </w:r>
    <w:r>
      <w:fldChar w:fldCharType="separate"/>
    </w:r>
    <w:r>
      <w:t>II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1"/>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-43815</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III</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45pt;height:144pt;width:144pt;mso-position-horizontal:outside;mso-position-horizontal-relative:margin;mso-wrap-style:none;z-index:251662336;mso-width-relative:page;mso-height-relative:page;" filled="f" stroked="f" coordsize="21600,21600" o:gfxdata="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aH5GE1AAAAAcBAAAPAAAAAAAAAAEAIAAAACIAAABkcnMvZG93bnJldi54bWxQSwEC&#10;FAAUAAAACACHTuJAx5e1zjECAABhBAAADgAAAAAAAAABACAAAAAjAQAAZHJzL2Uyb0RvYy54bWxQ&#10;SwUGAAAAAAYABgBZAQAAxgUAAAAA&#10;">
              <v:fill on="f" focussize="0,0"/>
              <v:stroke on="f" weight="0.5pt"/>
              <v:imagedata o:title=""/>
              <o:lock v:ext="edit" aspectratio="f"/>
              <v:textbox inset="0mm,0mm,0mm,0mm" style="mso-fit-shape-to-text:t;">
                <w:txbxContent>
                  <w:p>
                    <w:pPr>
                      <w:pStyle w:val="16"/>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III</w:t>
                    </w:r>
                    <w:r>
                      <w:rPr>
                        <w:rFonts w:hint="eastAsia" w:ascii="宋体" w:hAnsi="宋体" w:eastAsia="宋体" w:cs="宋体"/>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71"/>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2"/>
    </w:pPr>
    <w:r>
      <w:fldChar w:fldCharType="begin"/>
    </w:r>
    <w:r>
      <w:instrText xml:space="preserve"> PAGE   \* MERGEFORMAT \* MERGEFORMAT </w:instrText>
    </w:r>
    <w:r>
      <w:fldChar w:fldCharType="separate"/>
    </w:r>
    <w:r>
      <w:t>II</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9"/>
      <w:pBdr>
        <w:bottom w:val="none" w:color="auto" w:sz="0" w:space="0"/>
      </w:pBdr>
    </w:pPr>
    <w:r>
      <w:fldChar w:fldCharType="begin"/>
    </w:r>
    <w:r>
      <w:instrText xml:space="preserve"> STYLEREF  标准文件_文件编号  \* MERGEFORMAT </w:instrText>
    </w:r>
    <w:r>
      <w:fldChar w:fldCharType="separate"/>
    </w:r>
    <w:r>
      <w:t>DB 3205/T XXXXX—2022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0"/>
      <w:pBdr>
        <w:bottom w:val="none" w:color="auto" w:sz="0" w:space="0"/>
      </w:pBdr>
      <w:wordWrap w:val="0"/>
      <w:ind w:firstLine="6930" w:firstLineChars="3300"/>
      <w:jc w:val="right"/>
    </w:pPr>
    <w:r>
      <w:rPr>
        <w:color w:val="FF0000"/>
      </w:rPr>
      <w:t xml:space="preserve">  </w:t>
    </w:r>
    <w:r>
      <w:fldChar w:fldCharType="begin"/>
    </w:r>
    <w:r>
      <w:instrText xml:space="preserve"> STYLEREF  标准文件_文件编号 \* MERGEFORMAT </w:instrText>
    </w:r>
    <w:r>
      <w:fldChar w:fldCharType="separate"/>
    </w:r>
    <w:r>
      <w:t>DB 3205/T XXXXX—2022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9"/>
      <w:pBdr>
        <w:bottom w:val="none" w:color="auto" w:sz="0" w:space="0"/>
      </w:pBdr>
    </w:pPr>
    <w:r>
      <w:fldChar w:fldCharType="begin"/>
    </w:r>
    <w:r>
      <w:instrText xml:space="preserve"> STYLEREF  标准文件_文件编号  \* MERGEFORMAT </w:instrText>
    </w:r>
    <w:r>
      <w:fldChar w:fldCharType="separate"/>
    </w:r>
    <w:r>
      <w:t>DB 3205/T XXXXX—2022</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0"/>
      <w:pBdr>
        <w:bottom w:val="none" w:color="auto" w:sz="0" w:space="0"/>
      </w:pBdr>
      <w:wordWrap/>
      <w:spacing w:after="0"/>
      <w:ind w:firstLine="0" w:firstLineChars="0"/>
      <w:jc w:val="left"/>
    </w:pPr>
    <w:r>
      <w:fldChar w:fldCharType="begin"/>
    </w:r>
    <w:r>
      <w:instrText xml:space="preserve"> STYLEREF  标准文件_文件编号 \* MERGEFORMAT </w:instrText>
    </w:r>
    <w:r>
      <w:fldChar w:fldCharType="separate"/>
    </w:r>
    <w:r>
      <w:t>DB 3205/T XXXXX—2022</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9"/>
      <w:pBdr>
        <w:bottom w:val="none" w:color="auto" w:sz="0" w:space="0"/>
      </w:pBdr>
    </w:pPr>
    <w:r>
      <w:fldChar w:fldCharType="begin"/>
    </w:r>
    <w:r>
      <w:instrText xml:space="preserve"> STYLEREF  标准文件_文件编号  \* MERGEFORMAT </w:instrText>
    </w:r>
    <w:r>
      <w:fldChar w:fldCharType="separate"/>
    </w:r>
    <w:r>
      <w:t>DB 3205/T XXXXX—2022</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0"/>
      <w:pBdr>
        <w:bottom w:val="none" w:color="auto" w:sz="0" w:space="0"/>
      </w:pBdr>
      <w:wordWrap/>
      <w:spacing w:after="0"/>
      <w:ind w:firstLine="0" w:firstLineChars="0"/>
      <w:jc w:val="left"/>
    </w:pPr>
    <w:r>
      <w:fldChar w:fldCharType="begin"/>
    </w:r>
    <w:r>
      <w:instrText xml:space="preserve"> STYLEREF  标准文件_文件编号 \* MERGEFORMAT </w:instrText>
    </w:r>
    <w:r>
      <w:fldChar w:fldCharType="separate"/>
    </w:r>
    <w:r>
      <w:t>DB 3205/T XXXXX—2022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0BCFB"/>
    <w:multiLevelType w:val="multilevel"/>
    <w:tmpl w:val="9B90BCFB"/>
    <w:lvl w:ilvl="0" w:tentative="0">
      <w:start w:val="1"/>
      <w:numFmt w:val="decimal"/>
      <w:pStyle w:val="36"/>
      <w:lvlText w:val="%1."/>
      <w:lvlJc w:val="left"/>
      <w:pPr>
        <w:ind w:left="420" w:hanging="420"/>
      </w:pPr>
      <w:rPr>
        <w:rFonts w:hint="default" w:ascii="黑体" w:hAnsi="黑体" w:eastAsia="黑体" w:cs="黑体"/>
        <w:sz w:val="21"/>
        <w:szCs w:val="21"/>
      </w:rPr>
    </w:lvl>
    <w:lvl w:ilvl="1" w:tentative="0">
      <w:start w:val="1"/>
      <w:numFmt w:val="decimal"/>
      <w:isLgl/>
      <w:lvlText w:val="%1.%2"/>
      <w:lvlJc w:val="left"/>
      <w:pPr>
        <w:ind w:left="780" w:hanging="360"/>
      </w:pPr>
      <w:rPr>
        <w:rFonts w:hint="default" w:ascii="等线" w:hAnsi="等线" w:cs="Times New Roman"/>
        <w:b/>
        <w:bCs/>
        <w:sz w:val="21"/>
        <w:szCs w:val="21"/>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1980" w:hanging="72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180" w:hanging="108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380" w:hanging="1440"/>
      </w:pPr>
      <w:rPr>
        <w:rFonts w:hint="default"/>
      </w:rPr>
    </w:lvl>
    <w:lvl w:ilvl="8" w:tentative="0">
      <w:start w:val="1"/>
      <w:numFmt w:val="decimal"/>
      <w:isLgl/>
      <w:lvlText w:val="%1.%2.%3.%4.%5.%6.%7.%8.%9"/>
      <w:lvlJc w:val="left"/>
      <w:pPr>
        <w:ind w:left="5160" w:hanging="1800"/>
      </w:pPr>
      <w:rPr>
        <w:rFonts w:hint="default"/>
      </w:rPr>
    </w:lvl>
  </w:abstractNum>
  <w:abstractNum w:abstractNumId="1">
    <w:nsid w:val="A3A12F44"/>
    <w:multiLevelType w:val="multilevel"/>
    <w:tmpl w:val="A3A12F44"/>
    <w:lvl w:ilvl="0" w:tentative="0">
      <w:start w:val="1"/>
      <w:numFmt w:val="decimal"/>
      <w:lvlText w:val="%1."/>
      <w:lvlJc w:val="left"/>
      <w:pPr>
        <w:ind w:left="420" w:hanging="420"/>
      </w:pPr>
    </w:lvl>
    <w:lvl w:ilvl="1" w:tentative="0">
      <w:start w:val="1"/>
      <w:numFmt w:val="decimal"/>
      <w:pStyle w:val="38"/>
      <w:isLgl/>
      <w:lvlText w:val="%1.%2"/>
      <w:lvlJc w:val="left"/>
      <w:pPr>
        <w:ind w:left="780" w:hanging="360"/>
      </w:pPr>
      <w:rPr>
        <w:rFonts w:hint="default" w:ascii="等线" w:hAnsi="等线" w:cs="Times New Roman"/>
        <w:b/>
        <w:bCs/>
        <w:sz w:val="21"/>
        <w:szCs w:val="21"/>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1980" w:hanging="72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180" w:hanging="108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380" w:hanging="1440"/>
      </w:pPr>
      <w:rPr>
        <w:rFonts w:hint="default"/>
      </w:rPr>
    </w:lvl>
    <w:lvl w:ilvl="8" w:tentative="0">
      <w:start w:val="1"/>
      <w:numFmt w:val="decimal"/>
      <w:isLgl/>
      <w:lvlText w:val="%1.%2.%3.%4.%5.%6.%7.%8.%9"/>
      <w:lvlJc w:val="left"/>
      <w:pPr>
        <w:ind w:left="5160" w:hanging="1800"/>
      </w:pPr>
      <w:rPr>
        <w:rFonts w:hint="default"/>
      </w:rPr>
    </w:lvl>
  </w:abstractNum>
  <w:abstractNum w:abstractNumId="2">
    <w:nsid w:val="EE249A4B"/>
    <w:multiLevelType w:val="multilevel"/>
    <w:tmpl w:val="EE249A4B"/>
    <w:lvl w:ilvl="0" w:tentative="0">
      <w:start w:val="1"/>
      <w:numFmt w:val="decimal"/>
      <w:pStyle w:val="3"/>
      <w:lvlText w:val="%1."/>
      <w:lvlJc w:val="left"/>
      <w:pPr>
        <w:ind w:left="432" w:hanging="432"/>
      </w:pPr>
      <w:rPr>
        <w:rFonts w:hint="default" w:ascii="黑体" w:hAnsi="黑体" w:eastAsia="黑体" w:cs="黑体"/>
        <w:sz w:val="21"/>
        <w:szCs w:val="21"/>
      </w:rPr>
    </w:lvl>
    <w:lvl w:ilvl="1" w:tentative="0">
      <w:start w:val="1"/>
      <w:numFmt w:val="decimal"/>
      <w:pStyle w:val="4"/>
      <w:lvlText w:val="%1.%2."/>
      <w:lvlJc w:val="left"/>
      <w:pPr>
        <w:ind w:left="575" w:hanging="575"/>
      </w:pPr>
      <w:rPr>
        <w:rFonts w:hint="default" w:ascii="黑体" w:hAnsi="黑体" w:eastAsia="黑体" w:cs="黑体"/>
      </w:rPr>
    </w:lvl>
    <w:lvl w:ilvl="2" w:tentative="0">
      <w:start w:val="1"/>
      <w:numFmt w:val="decimal"/>
      <w:pStyle w:val="5"/>
      <w:lvlText w:val="%1.%2.%3."/>
      <w:lvlJc w:val="left"/>
      <w:pPr>
        <w:ind w:left="720" w:hanging="720"/>
      </w:pPr>
      <w:rPr>
        <w:rFonts w:hint="default"/>
      </w:rPr>
    </w:lvl>
    <w:lvl w:ilvl="3" w:tentative="0">
      <w:start w:val="1"/>
      <w:numFmt w:val="decimal"/>
      <w:pStyle w:val="6"/>
      <w:lvlText w:val="%1.%2.%3.%4."/>
      <w:lvlJc w:val="left"/>
      <w:pPr>
        <w:ind w:left="864" w:hanging="864"/>
      </w:pPr>
      <w:rPr>
        <w:rFonts w:hint="default"/>
      </w:rPr>
    </w:lvl>
    <w:lvl w:ilvl="4" w:tentative="0">
      <w:start w:val="1"/>
      <w:numFmt w:val="decimal"/>
      <w:pStyle w:val="7"/>
      <w:lvlText w:val="%1.%2.%3.%4.%5."/>
      <w:lvlJc w:val="left"/>
      <w:pPr>
        <w:ind w:left="1008" w:hanging="1008"/>
      </w:pPr>
      <w:rPr>
        <w:rFonts w:hint="default"/>
      </w:rPr>
    </w:lvl>
    <w:lvl w:ilvl="5" w:tentative="0">
      <w:start w:val="1"/>
      <w:numFmt w:val="decimal"/>
      <w:pStyle w:val="8"/>
      <w:lvlText w:val="%1.%2.%3.%4.%5.%6."/>
      <w:lvlJc w:val="left"/>
      <w:pPr>
        <w:ind w:left="1151" w:hanging="1151"/>
      </w:pPr>
      <w:rPr>
        <w:rFonts w:hint="default"/>
      </w:rPr>
    </w:lvl>
    <w:lvl w:ilvl="6" w:tentative="0">
      <w:start w:val="1"/>
      <w:numFmt w:val="decimal"/>
      <w:pStyle w:val="9"/>
      <w:lvlText w:val="%1.%2.%3.%4.%5.%6.%7."/>
      <w:lvlJc w:val="left"/>
      <w:pPr>
        <w:ind w:left="1296" w:hanging="1296"/>
      </w:pPr>
      <w:rPr>
        <w:rFonts w:hint="default"/>
      </w:rPr>
    </w:lvl>
    <w:lvl w:ilvl="7" w:tentative="0">
      <w:start w:val="1"/>
      <w:numFmt w:val="decimal"/>
      <w:pStyle w:val="10"/>
      <w:lvlText w:val="%1.%2.%3.%4.%5.%6.%7.%8."/>
      <w:lvlJc w:val="left"/>
      <w:pPr>
        <w:ind w:left="1440" w:hanging="1440"/>
      </w:pPr>
      <w:rPr>
        <w:rFonts w:hint="default"/>
      </w:rPr>
    </w:lvl>
    <w:lvl w:ilvl="8" w:tentative="0">
      <w:start w:val="1"/>
      <w:numFmt w:val="decimal"/>
      <w:pStyle w:val="11"/>
      <w:lvlText w:val="%1.%2.%3.%4.%5.%6.%7.%8.%9."/>
      <w:lvlJc w:val="left"/>
      <w:pPr>
        <w:ind w:left="1583" w:hanging="1583"/>
      </w:pPr>
      <w:rPr>
        <w:rFonts w:hint="default"/>
      </w:rPr>
    </w:lvl>
  </w:abstractNum>
  <w:abstractNum w:abstractNumId="3">
    <w:nsid w:val="07ED3FEA"/>
    <w:multiLevelType w:val="multilevel"/>
    <w:tmpl w:val="07ED3FEA"/>
    <w:lvl w:ilvl="0" w:tentative="0">
      <w:start w:val="1"/>
      <w:numFmt w:val="none"/>
      <w:pStyle w:val="61"/>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44C50F90"/>
    <w:multiLevelType w:val="multilevel"/>
    <w:tmpl w:val="44C50F90"/>
    <w:lvl w:ilvl="0" w:tentative="0">
      <w:start w:val="1"/>
      <w:numFmt w:val="lowerLetter"/>
      <w:pStyle w:val="62"/>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3"/>
      <w:suff w:val="nothing"/>
      <w:lvlText w:val="%1%2　"/>
      <w:lvlJc w:val="left"/>
      <w:pPr>
        <w:ind w:left="0" w:firstLine="0"/>
      </w:pPr>
      <w:rPr>
        <w:rFonts w:hint="eastAsia" w:ascii="黑体" w:eastAsia="黑体"/>
        <w:b w:val="0"/>
        <w:i w:val="0"/>
        <w:sz w:val="21"/>
      </w:rPr>
    </w:lvl>
    <w:lvl w:ilvl="2" w:tentative="0">
      <w:start w:val="1"/>
      <w:numFmt w:val="decimal"/>
      <w:pStyle w:val="92"/>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91"/>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1OGEyZDhiZGQyOGU1YTM0YjFmZjVhNjg5NWM0ZDcifQ=="/>
  </w:docVars>
  <w:rsids>
    <w:rsidRoot w:val="007137FD"/>
    <w:rsid w:val="000446B7"/>
    <w:rsid w:val="001042DC"/>
    <w:rsid w:val="001333E0"/>
    <w:rsid w:val="00195161"/>
    <w:rsid w:val="001F60E7"/>
    <w:rsid w:val="00262C61"/>
    <w:rsid w:val="00264EF3"/>
    <w:rsid w:val="002E7802"/>
    <w:rsid w:val="00320F0F"/>
    <w:rsid w:val="003952E7"/>
    <w:rsid w:val="003F7621"/>
    <w:rsid w:val="0042707A"/>
    <w:rsid w:val="00473A35"/>
    <w:rsid w:val="004C1358"/>
    <w:rsid w:val="004D632C"/>
    <w:rsid w:val="005F4F5E"/>
    <w:rsid w:val="006442AB"/>
    <w:rsid w:val="006A67D3"/>
    <w:rsid w:val="007137FD"/>
    <w:rsid w:val="007147A0"/>
    <w:rsid w:val="007218AE"/>
    <w:rsid w:val="00741279"/>
    <w:rsid w:val="00787591"/>
    <w:rsid w:val="007B0493"/>
    <w:rsid w:val="008342CF"/>
    <w:rsid w:val="00843CF7"/>
    <w:rsid w:val="00863D1B"/>
    <w:rsid w:val="00885273"/>
    <w:rsid w:val="008E3B5F"/>
    <w:rsid w:val="009029D7"/>
    <w:rsid w:val="00956A34"/>
    <w:rsid w:val="009A4D19"/>
    <w:rsid w:val="009B1874"/>
    <w:rsid w:val="009C1A90"/>
    <w:rsid w:val="00A16B59"/>
    <w:rsid w:val="00A76C3A"/>
    <w:rsid w:val="00B150DB"/>
    <w:rsid w:val="00B3100B"/>
    <w:rsid w:val="00B33895"/>
    <w:rsid w:val="00B66723"/>
    <w:rsid w:val="00BC4C3B"/>
    <w:rsid w:val="00C508EC"/>
    <w:rsid w:val="00D30EAB"/>
    <w:rsid w:val="00DE1087"/>
    <w:rsid w:val="00E272B6"/>
    <w:rsid w:val="00EA1C7B"/>
    <w:rsid w:val="00EF7F03"/>
    <w:rsid w:val="00F83FBB"/>
    <w:rsid w:val="03561F09"/>
    <w:rsid w:val="04725A80"/>
    <w:rsid w:val="06461C0C"/>
    <w:rsid w:val="09A90688"/>
    <w:rsid w:val="0B2E6DF8"/>
    <w:rsid w:val="0D7344C0"/>
    <w:rsid w:val="0E570169"/>
    <w:rsid w:val="0F0C2BDA"/>
    <w:rsid w:val="10D15652"/>
    <w:rsid w:val="138E74E1"/>
    <w:rsid w:val="14F83D28"/>
    <w:rsid w:val="15981909"/>
    <w:rsid w:val="16620A51"/>
    <w:rsid w:val="1A741F62"/>
    <w:rsid w:val="1B86003F"/>
    <w:rsid w:val="1C1A2F7C"/>
    <w:rsid w:val="1D20052B"/>
    <w:rsid w:val="1EBF050A"/>
    <w:rsid w:val="215533A8"/>
    <w:rsid w:val="218A4A12"/>
    <w:rsid w:val="21A5241A"/>
    <w:rsid w:val="21AB0D7F"/>
    <w:rsid w:val="232E2BAD"/>
    <w:rsid w:val="24713329"/>
    <w:rsid w:val="24B6260C"/>
    <w:rsid w:val="282E3E24"/>
    <w:rsid w:val="2ADA21D2"/>
    <w:rsid w:val="2B5312FC"/>
    <w:rsid w:val="2BE16E6C"/>
    <w:rsid w:val="2C180651"/>
    <w:rsid w:val="2D5478E8"/>
    <w:rsid w:val="2E1D23BD"/>
    <w:rsid w:val="2E864685"/>
    <w:rsid w:val="30670A02"/>
    <w:rsid w:val="32D54C3C"/>
    <w:rsid w:val="335C6947"/>
    <w:rsid w:val="33EE109B"/>
    <w:rsid w:val="34DE011C"/>
    <w:rsid w:val="36FA535E"/>
    <w:rsid w:val="379435FF"/>
    <w:rsid w:val="37B971D7"/>
    <w:rsid w:val="38B2406A"/>
    <w:rsid w:val="38C6490D"/>
    <w:rsid w:val="3AE43107"/>
    <w:rsid w:val="3FB97003"/>
    <w:rsid w:val="4028769B"/>
    <w:rsid w:val="406A2538"/>
    <w:rsid w:val="42243E88"/>
    <w:rsid w:val="42964264"/>
    <w:rsid w:val="42FB02C8"/>
    <w:rsid w:val="44857D2A"/>
    <w:rsid w:val="46C25F6B"/>
    <w:rsid w:val="481F4CBF"/>
    <w:rsid w:val="496E04E3"/>
    <w:rsid w:val="49784EE7"/>
    <w:rsid w:val="49DC2B76"/>
    <w:rsid w:val="4A0467B6"/>
    <w:rsid w:val="4BB7187E"/>
    <w:rsid w:val="4CD73C47"/>
    <w:rsid w:val="4D19744D"/>
    <w:rsid w:val="4D2E63EF"/>
    <w:rsid w:val="4D9900D0"/>
    <w:rsid w:val="51DE5695"/>
    <w:rsid w:val="549E6353"/>
    <w:rsid w:val="55767BEB"/>
    <w:rsid w:val="55843DEC"/>
    <w:rsid w:val="55F34962"/>
    <w:rsid w:val="5612717D"/>
    <w:rsid w:val="56FF2412"/>
    <w:rsid w:val="584B455E"/>
    <w:rsid w:val="5889438C"/>
    <w:rsid w:val="5AEF3B12"/>
    <w:rsid w:val="5D002371"/>
    <w:rsid w:val="60E143CA"/>
    <w:rsid w:val="61514BF4"/>
    <w:rsid w:val="63426A2E"/>
    <w:rsid w:val="649B16C8"/>
    <w:rsid w:val="65E21236"/>
    <w:rsid w:val="66773126"/>
    <w:rsid w:val="668A22EE"/>
    <w:rsid w:val="66DD5EA6"/>
    <w:rsid w:val="69054339"/>
    <w:rsid w:val="6B67178D"/>
    <w:rsid w:val="6CCE5A17"/>
    <w:rsid w:val="6E1C05FC"/>
    <w:rsid w:val="6E533923"/>
    <w:rsid w:val="6F877313"/>
    <w:rsid w:val="71861614"/>
    <w:rsid w:val="72047AE6"/>
    <w:rsid w:val="72EC604B"/>
    <w:rsid w:val="743D154A"/>
    <w:rsid w:val="75B96BD7"/>
    <w:rsid w:val="76FF3B8E"/>
    <w:rsid w:val="771A6E59"/>
    <w:rsid w:val="782545EB"/>
    <w:rsid w:val="7A7B3A2F"/>
    <w:rsid w:val="7E065C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5"/>
    <w:qFormat/>
    <w:uiPriority w:val="9"/>
    <w:pPr>
      <w:keepNext w:val="0"/>
      <w:keepLines w:val="0"/>
      <w:numPr>
        <w:ilvl w:val="0"/>
        <w:numId w:val="1"/>
      </w:numPr>
      <w:kinsoku w:val="0"/>
      <w:spacing w:before="120" w:beforeLines="0" w:beforeAutospacing="0" w:after="120" w:afterLines="0" w:afterAutospacing="0" w:line="240" w:lineRule="auto"/>
      <w:ind w:left="431" w:hanging="431"/>
      <w:outlineLvl w:val="0"/>
    </w:pPr>
    <w:rPr>
      <w:rFonts w:eastAsia="黑体" w:asciiTheme="minorAscii" w:hAnsiTheme="minorAscii"/>
      <w:kern w:val="44"/>
    </w:rPr>
  </w:style>
  <w:style w:type="paragraph" w:styleId="4">
    <w:name w:val="heading 2"/>
    <w:basedOn w:val="1"/>
    <w:next w:val="1"/>
    <w:link w:val="44"/>
    <w:unhideWhenUsed/>
    <w:qFormat/>
    <w:uiPriority w:val="9"/>
    <w:pPr>
      <w:keepNext w:val="0"/>
      <w:keepLines w:val="0"/>
      <w:numPr>
        <w:ilvl w:val="1"/>
        <w:numId w:val="1"/>
      </w:numPr>
      <w:spacing w:beforeLines="0" w:beforeAutospacing="0" w:afterLines="0" w:afterAutospacing="0" w:line="240" w:lineRule="auto"/>
      <w:ind w:left="573" w:hanging="573"/>
      <w:outlineLvl w:val="1"/>
    </w:pPr>
    <w:rPr>
      <w:rFonts w:ascii="Arial" w:hAnsi="Arial" w:eastAsia="等线"/>
      <w:b/>
    </w:rPr>
  </w:style>
  <w:style w:type="paragraph" w:styleId="5">
    <w:name w:val="heading 3"/>
    <w:basedOn w:val="1"/>
    <w:next w:val="1"/>
    <w:link w:val="43"/>
    <w:unhideWhenUsed/>
    <w:qFormat/>
    <w:uiPriority w:val="9"/>
    <w:pPr>
      <w:numPr>
        <w:ilvl w:val="2"/>
        <w:numId w:val="1"/>
      </w:numPr>
      <w:spacing w:before="2280" w:beforeAutospacing="1" w:after="2280" w:afterAutospacing="1"/>
      <w:ind w:left="720" w:hanging="720"/>
      <w:jc w:val="left"/>
      <w:outlineLvl w:val="2"/>
    </w:pPr>
    <w:rPr>
      <w:rFonts w:hint="eastAsia" w:ascii="宋体" w:hAnsi="宋体" w:eastAsia="等线" w:cs="宋体"/>
      <w:b/>
      <w:bCs/>
      <w:kern w:val="0"/>
      <w:szCs w:val="27"/>
      <w:lang w:bidi="ar"/>
    </w:rPr>
  </w:style>
  <w:style w:type="paragraph" w:styleId="6">
    <w:name w:val="heading 4"/>
    <w:basedOn w:val="1"/>
    <w:next w:val="1"/>
    <w:semiHidden/>
    <w:unhideWhenUsed/>
    <w:qFormat/>
    <w:uiPriority w:val="9"/>
    <w:pPr>
      <w:keepNext/>
      <w:keepLines/>
      <w:numPr>
        <w:ilvl w:val="3"/>
        <w:numId w:val="1"/>
      </w:numPr>
      <w:spacing w:before="280" w:beforeLines="0" w:beforeAutospacing="0" w:after="290" w:afterLines="0" w:afterAutospacing="0" w:line="240" w:lineRule="auto"/>
      <w:ind w:left="864" w:hanging="864"/>
      <w:outlineLvl w:val="3"/>
    </w:pPr>
    <w:rPr>
      <w:rFonts w:ascii="Arial" w:hAnsi="Arial" w:eastAsia="等线"/>
      <w:b/>
      <w:sz w:val="21"/>
    </w:rPr>
  </w:style>
  <w:style w:type="paragraph" w:styleId="7">
    <w:name w:val="heading 5"/>
    <w:basedOn w:val="1"/>
    <w:next w:val="1"/>
    <w:semiHidden/>
    <w:unhideWhenUsed/>
    <w:qFormat/>
    <w:uiPriority w:val="9"/>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8">
    <w:name w:val="heading 6"/>
    <w:basedOn w:val="1"/>
    <w:next w:val="1"/>
    <w:semiHidden/>
    <w:unhideWhenUsed/>
    <w:qFormat/>
    <w:uiPriority w:val="9"/>
    <w:pPr>
      <w:keepNext/>
      <w:keepLines/>
      <w:numPr>
        <w:ilvl w:val="5"/>
        <w:numId w:val="1"/>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9">
    <w:name w:val="heading 7"/>
    <w:basedOn w:val="1"/>
    <w:next w:val="1"/>
    <w:semiHidden/>
    <w:unhideWhenUsed/>
    <w:qFormat/>
    <w:uiPriority w:val="9"/>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10">
    <w:name w:val="heading 8"/>
    <w:basedOn w:val="1"/>
    <w:next w:val="1"/>
    <w:semiHidden/>
    <w:unhideWhenUsed/>
    <w:qFormat/>
    <w:uiPriority w:val="9"/>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1">
    <w:name w:val="heading 9"/>
    <w:basedOn w:val="1"/>
    <w:next w:val="1"/>
    <w:semiHidden/>
    <w:unhideWhenUsed/>
    <w:qFormat/>
    <w:uiPriority w:val="9"/>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12">
    <w:name w:val="annotation text"/>
    <w:basedOn w:val="1"/>
    <w:link w:val="31"/>
    <w:semiHidden/>
    <w:unhideWhenUsed/>
    <w:qFormat/>
    <w:uiPriority w:val="99"/>
    <w:pPr>
      <w:jc w:val="left"/>
    </w:pPr>
  </w:style>
  <w:style w:type="paragraph" w:styleId="13">
    <w:name w:val="Body Text Indent"/>
    <w:basedOn w:val="1"/>
    <w:qFormat/>
    <w:uiPriority w:val="0"/>
    <w:pPr>
      <w:ind w:firstLine="420"/>
    </w:pPr>
    <w:rPr>
      <w:szCs w:val="20"/>
    </w:rPr>
  </w:style>
  <w:style w:type="paragraph" w:styleId="14">
    <w:name w:val="toc 3"/>
    <w:basedOn w:val="1"/>
    <w:next w:val="1"/>
    <w:semiHidden/>
    <w:unhideWhenUsed/>
    <w:qFormat/>
    <w:uiPriority w:val="39"/>
    <w:pPr>
      <w:ind w:left="840" w:leftChars="400"/>
    </w:pPr>
  </w:style>
  <w:style w:type="paragraph" w:styleId="15">
    <w:name w:val="Balloon Text"/>
    <w:basedOn w:val="1"/>
    <w:link w:val="33"/>
    <w:semiHidden/>
    <w:unhideWhenUsed/>
    <w:qFormat/>
    <w:uiPriority w:val="99"/>
    <w:rPr>
      <w:rFonts w:ascii="宋体" w:eastAsia="宋体"/>
      <w:sz w:val="18"/>
      <w:szCs w:val="18"/>
    </w:rPr>
  </w:style>
  <w:style w:type="paragraph" w:styleId="16">
    <w:name w:val="footer"/>
    <w:basedOn w:val="1"/>
    <w:link w:val="35"/>
    <w:unhideWhenUsed/>
    <w:qFormat/>
    <w:uiPriority w:val="99"/>
    <w:pPr>
      <w:tabs>
        <w:tab w:val="center" w:pos="4153"/>
        <w:tab w:val="right" w:pos="8306"/>
      </w:tabs>
      <w:snapToGrid w:val="0"/>
      <w:jc w:val="left"/>
    </w:pPr>
    <w:rPr>
      <w:sz w:val="18"/>
      <w:szCs w:val="18"/>
    </w:rPr>
  </w:style>
  <w:style w:type="paragraph" w:styleId="17">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unhideWhenUsed/>
    <w:qFormat/>
    <w:uiPriority w:val="39"/>
  </w:style>
  <w:style w:type="paragraph" w:styleId="19">
    <w:name w:val="toc 2"/>
    <w:basedOn w:val="1"/>
    <w:next w:val="1"/>
    <w:semiHidden/>
    <w:unhideWhenUsed/>
    <w:qFormat/>
    <w:uiPriority w:val="39"/>
    <w:pPr>
      <w:ind w:left="420" w:leftChars="200"/>
    </w:pPr>
  </w:style>
  <w:style w:type="paragraph" w:styleId="20">
    <w:name w:val="Normal (Web)"/>
    <w:basedOn w:val="1"/>
    <w:semiHidden/>
    <w:unhideWhenUsed/>
    <w:qFormat/>
    <w:uiPriority w:val="99"/>
    <w:rPr>
      <w:sz w:val="24"/>
    </w:rPr>
  </w:style>
  <w:style w:type="paragraph" w:styleId="21">
    <w:name w:val="annotation subject"/>
    <w:basedOn w:val="12"/>
    <w:next w:val="12"/>
    <w:link w:val="32"/>
    <w:semiHidden/>
    <w:unhideWhenUsed/>
    <w:qFormat/>
    <w:uiPriority w:val="99"/>
    <w:rPr>
      <w:b/>
      <w:bCs/>
    </w:rPr>
  </w:style>
  <w:style w:type="paragraph" w:styleId="22">
    <w:name w:val="Body Text First Indent 2"/>
    <w:basedOn w:val="13"/>
    <w:qFormat/>
    <w:uiPriority w:val="0"/>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b/>
    </w:rPr>
  </w:style>
  <w:style w:type="character" w:styleId="27">
    <w:name w:val="Emphasis"/>
    <w:basedOn w:val="25"/>
    <w:qFormat/>
    <w:uiPriority w:val="20"/>
    <w:rPr>
      <w:i/>
    </w:rPr>
  </w:style>
  <w:style w:type="character" w:styleId="28">
    <w:name w:val="Hyperlink"/>
    <w:basedOn w:val="25"/>
    <w:semiHidden/>
    <w:unhideWhenUsed/>
    <w:qFormat/>
    <w:uiPriority w:val="99"/>
    <w:rPr>
      <w:color w:val="0000FF"/>
      <w:u w:val="single"/>
    </w:rPr>
  </w:style>
  <w:style w:type="character" w:styleId="29">
    <w:name w:val="annotation reference"/>
    <w:basedOn w:val="25"/>
    <w:semiHidden/>
    <w:unhideWhenUsed/>
    <w:qFormat/>
    <w:uiPriority w:val="99"/>
    <w:rPr>
      <w:sz w:val="21"/>
      <w:szCs w:val="21"/>
    </w:rPr>
  </w:style>
  <w:style w:type="paragraph" w:styleId="30">
    <w:name w:val="List Paragraph"/>
    <w:basedOn w:val="1"/>
    <w:qFormat/>
    <w:uiPriority w:val="34"/>
    <w:pPr>
      <w:ind w:firstLine="420" w:firstLineChars="200"/>
    </w:pPr>
  </w:style>
  <w:style w:type="character" w:customStyle="1" w:styleId="31">
    <w:name w:val="批注文字 字符"/>
    <w:basedOn w:val="25"/>
    <w:link w:val="12"/>
    <w:semiHidden/>
    <w:qFormat/>
    <w:uiPriority w:val="99"/>
  </w:style>
  <w:style w:type="character" w:customStyle="1" w:styleId="32">
    <w:name w:val="批注主题 字符"/>
    <w:basedOn w:val="31"/>
    <w:link w:val="21"/>
    <w:semiHidden/>
    <w:qFormat/>
    <w:uiPriority w:val="99"/>
    <w:rPr>
      <w:b/>
      <w:bCs/>
    </w:rPr>
  </w:style>
  <w:style w:type="character" w:customStyle="1" w:styleId="33">
    <w:name w:val="批注框文本 字符"/>
    <w:basedOn w:val="25"/>
    <w:link w:val="15"/>
    <w:semiHidden/>
    <w:qFormat/>
    <w:uiPriority w:val="99"/>
    <w:rPr>
      <w:rFonts w:ascii="宋体" w:eastAsia="宋体"/>
      <w:sz w:val="18"/>
      <w:szCs w:val="18"/>
    </w:rPr>
  </w:style>
  <w:style w:type="character" w:customStyle="1" w:styleId="34">
    <w:name w:val="页眉 字符"/>
    <w:basedOn w:val="25"/>
    <w:link w:val="17"/>
    <w:qFormat/>
    <w:uiPriority w:val="99"/>
    <w:rPr>
      <w:sz w:val="18"/>
      <w:szCs w:val="18"/>
    </w:rPr>
  </w:style>
  <w:style w:type="character" w:customStyle="1" w:styleId="35">
    <w:name w:val="页脚 字符"/>
    <w:basedOn w:val="25"/>
    <w:link w:val="16"/>
    <w:qFormat/>
    <w:uiPriority w:val="99"/>
    <w:rPr>
      <w:sz w:val="18"/>
      <w:szCs w:val="18"/>
    </w:rPr>
  </w:style>
  <w:style w:type="paragraph" w:customStyle="1" w:styleId="36">
    <w:name w:val="一级标题"/>
    <w:basedOn w:val="3"/>
    <w:next w:val="4"/>
    <w:link w:val="37"/>
    <w:qFormat/>
    <w:uiPriority w:val="0"/>
    <w:pPr>
      <w:numPr>
        <w:ilvl w:val="0"/>
        <w:numId w:val="2"/>
      </w:numPr>
      <w:spacing w:line="240" w:lineRule="auto"/>
      <w:ind w:left="420" w:hanging="420"/>
    </w:pPr>
    <w:rPr>
      <w:rFonts w:eastAsia="黑体"/>
      <w:bCs/>
      <w:sz w:val="21"/>
      <w:szCs w:val="28"/>
    </w:rPr>
  </w:style>
  <w:style w:type="character" w:customStyle="1" w:styleId="37">
    <w:name w:val="一级标题 Char"/>
    <w:link w:val="36"/>
    <w:qFormat/>
    <w:uiPriority w:val="0"/>
    <w:rPr>
      <w:rFonts w:eastAsia="黑体" w:asciiTheme="minorAscii" w:hAnsiTheme="minorAscii"/>
      <w:bCs/>
      <w:sz w:val="21"/>
      <w:szCs w:val="28"/>
    </w:rPr>
  </w:style>
  <w:style w:type="paragraph" w:customStyle="1" w:styleId="38">
    <w:name w:val="二级标题"/>
    <w:basedOn w:val="4"/>
    <w:next w:val="5"/>
    <w:qFormat/>
    <w:uiPriority w:val="0"/>
    <w:pPr>
      <w:numPr>
        <w:ilvl w:val="1"/>
        <w:numId w:val="3"/>
      </w:numPr>
      <w:spacing w:before="20" w:after="20" w:line="240" w:lineRule="auto"/>
      <w:ind w:left="780" w:hanging="360"/>
    </w:pPr>
    <w:rPr>
      <w:rFonts w:hint="eastAsia" w:ascii="等线" w:hAnsi="等线" w:eastAsia="等线" w:cs="等线"/>
      <w:bCs/>
      <w:sz w:val="21"/>
      <w:szCs w:val="21"/>
    </w:rPr>
  </w:style>
  <w:style w:type="paragraph" w:customStyle="1" w:styleId="39">
    <w:name w:val="WPSOffice手动目录 1"/>
    <w:qFormat/>
    <w:uiPriority w:val="0"/>
    <w:pPr>
      <w:ind w:leftChars="0"/>
    </w:pPr>
    <w:rPr>
      <w:rFonts w:ascii="Times New Roman" w:hAnsi="Times New Roman" w:eastAsia="宋体" w:cs="Times New Roman"/>
      <w:sz w:val="20"/>
      <w:szCs w:val="20"/>
    </w:rPr>
  </w:style>
  <w:style w:type="paragraph" w:customStyle="1" w:styleId="40">
    <w:name w:val="WPSOffice手动目录 2"/>
    <w:qFormat/>
    <w:uiPriority w:val="0"/>
    <w:pPr>
      <w:ind w:leftChars="200"/>
    </w:pPr>
    <w:rPr>
      <w:rFonts w:ascii="Times New Roman" w:hAnsi="Times New Roman" w:eastAsia="宋体" w:cs="Times New Roman"/>
      <w:sz w:val="20"/>
      <w:szCs w:val="20"/>
    </w:rPr>
  </w:style>
  <w:style w:type="paragraph" w:customStyle="1" w:styleId="41">
    <w:name w:val="标题三"/>
    <w:basedOn w:val="1"/>
    <w:next w:val="1"/>
    <w:link w:val="42"/>
    <w:qFormat/>
    <w:uiPriority w:val="0"/>
    <w:pPr>
      <w:numPr>
        <w:ilvl w:val="2"/>
        <w:numId w:val="1"/>
      </w:numPr>
      <w:spacing w:beforeAutospacing="1" w:afterAutospacing="1"/>
      <w:ind w:left="720" w:hanging="720"/>
      <w:outlineLvl w:val="2"/>
    </w:pPr>
    <w:rPr>
      <w:rFonts w:hint="eastAsia" w:ascii="宋体" w:hAnsi="宋体" w:eastAsia="等线" w:cs="宋体"/>
      <w:b/>
      <w:bCs/>
      <w:kern w:val="0"/>
      <w:szCs w:val="27"/>
      <w:lang w:bidi="ar"/>
    </w:rPr>
  </w:style>
  <w:style w:type="character" w:customStyle="1" w:styleId="42">
    <w:name w:val="标题三 Char"/>
    <w:link w:val="41"/>
    <w:qFormat/>
    <w:uiPriority w:val="0"/>
    <w:rPr>
      <w:rFonts w:hint="eastAsia" w:ascii="宋体" w:hAnsi="宋体" w:eastAsia="等线" w:cs="宋体"/>
      <w:b/>
      <w:bCs/>
      <w:kern w:val="0"/>
      <w:szCs w:val="27"/>
      <w:lang w:bidi="ar"/>
    </w:rPr>
  </w:style>
  <w:style w:type="character" w:customStyle="1" w:styleId="43">
    <w:name w:val="标题 3 Char"/>
    <w:link w:val="5"/>
    <w:qFormat/>
    <w:uiPriority w:val="9"/>
    <w:rPr>
      <w:rFonts w:hint="eastAsia" w:ascii="宋体" w:hAnsi="宋体" w:eastAsia="等线" w:cs="宋体"/>
      <w:b/>
      <w:bCs/>
      <w:kern w:val="0"/>
      <w:szCs w:val="27"/>
      <w:lang w:bidi="ar"/>
    </w:rPr>
  </w:style>
  <w:style w:type="character" w:customStyle="1" w:styleId="44">
    <w:name w:val="标题 2 Char"/>
    <w:link w:val="4"/>
    <w:qFormat/>
    <w:uiPriority w:val="0"/>
    <w:rPr>
      <w:rFonts w:ascii="Arial" w:hAnsi="Arial" w:eastAsia="等线"/>
      <w:b/>
    </w:rPr>
  </w:style>
  <w:style w:type="character" w:customStyle="1" w:styleId="45">
    <w:name w:val="标题 1 Char"/>
    <w:link w:val="3"/>
    <w:qFormat/>
    <w:uiPriority w:val="9"/>
    <w:rPr>
      <w:rFonts w:eastAsia="黑体" w:asciiTheme="minorAscii" w:hAnsiTheme="minorAscii"/>
      <w:kern w:val="44"/>
      <w:sz w:val="21"/>
    </w:rPr>
  </w:style>
  <w:style w:type="paragraph" w:customStyle="1" w:styleId="46">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47">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48">
    <w:name w:val="标准文件_文件编号"/>
    <w:basedOn w:val="49"/>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49">
    <w:name w:val="标准文件_段"/>
    <w:link w:val="8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0">
    <w:name w:val="标准文件_替换文件编号"/>
    <w:basedOn w:val="48"/>
    <w:qFormat/>
    <w:uiPriority w:val="0"/>
    <w:pPr>
      <w:spacing w:before="57"/>
    </w:pPr>
    <w:rPr>
      <w:sz w:val="21"/>
    </w:rPr>
  </w:style>
  <w:style w:type="paragraph" w:customStyle="1" w:styleId="51">
    <w:name w:val="标准文件_文件名称"/>
    <w:basedOn w:val="49"/>
    <w:next w:val="49"/>
    <w:link w:val="8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52">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53">
    <w:name w:val="其他发布日期"/>
    <w:basedOn w:val="54"/>
    <w:qFormat/>
    <w:uiPriority w:val="0"/>
    <w:pPr>
      <w:framePr w:w="3997" w:h="471" w:hRule="exact" w:hSpace="0" w:vSpace="181" w:wrap="around" w:vAnchor="page" w:hAnchor="page" w:x="1419" w:y="14097"/>
    </w:pPr>
  </w:style>
  <w:style w:type="paragraph" w:customStyle="1" w:styleId="5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55">
    <w:name w:val="其他实施日期"/>
    <w:basedOn w:val="56"/>
    <w:qFormat/>
    <w:uiPriority w:val="0"/>
    <w:pPr>
      <w:framePr w:w="3997" w:h="471" w:hRule="exact" w:vSpace="181" w:wrap="around" w:vAnchor="page" w:hAnchor="page" w:x="7089" w:y="14097"/>
    </w:pPr>
  </w:style>
  <w:style w:type="paragraph" w:customStyle="1" w:styleId="56">
    <w:name w:val="实施日期"/>
    <w:basedOn w:val="54"/>
    <w:qFormat/>
    <w:uiPriority w:val="0"/>
    <w:pPr>
      <w:framePr w:hSpace="0" w:wrap="around" w:xAlign="right"/>
      <w:jc w:val="right"/>
    </w:pPr>
  </w:style>
  <w:style w:type="paragraph" w:customStyle="1" w:styleId="57">
    <w:name w:val="其他发布部门"/>
    <w:basedOn w:val="58"/>
    <w:qFormat/>
    <w:uiPriority w:val="0"/>
    <w:pPr>
      <w:framePr w:wrap="around"/>
      <w:spacing w:line="0" w:lineRule="atLeast"/>
    </w:pPr>
    <w:rPr>
      <w:rFonts w:ascii="黑体" w:eastAsia="黑体"/>
      <w:b w:val="0"/>
    </w:rPr>
  </w:style>
  <w:style w:type="paragraph" w:customStyle="1" w:styleId="58">
    <w:name w:val="发布部门"/>
    <w:next w:val="4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character" w:customStyle="1" w:styleId="59">
    <w:name w:val="发布"/>
    <w:basedOn w:val="25"/>
    <w:qFormat/>
    <w:uiPriority w:val="0"/>
    <w:rPr>
      <w:rFonts w:ascii="黑体" w:eastAsia="黑体"/>
      <w:spacing w:val="85"/>
      <w:w w:val="100"/>
      <w:position w:val="3"/>
      <w:sz w:val="28"/>
      <w:szCs w:val="28"/>
    </w:rPr>
  </w:style>
  <w:style w:type="paragraph" w:customStyle="1" w:styleId="60">
    <w:name w:val="标准文件_目录标题"/>
    <w:basedOn w:val="1"/>
    <w:qFormat/>
    <w:uiPriority w:val="0"/>
    <w:pPr>
      <w:spacing w:after="150" w:afterLines="150" w:line="240" w:lineRule="auto"/>
      <w:jc w:val="center"/>
    </w:pPr>
    <w:rPr>
      <w:rFonts w:ascii="黑体" w:eastAsia="黑体"/>
      <w:sz w:val="32"/>
    </w:rPr>
  </w:style>
  <w:style w:type="paragraph" w:customStyle="1" w:styleId="61">
    <w:name w:val="标准文件_前言、引言标题"/>
    <w:next w:val="1"/>
    <w:link w:val="89"/>
    <w:qFormat/>
    <w:uiPriority w:val="0"/>
    <w:pPr>
      <w:numPr>
        <w:ilvl w:val="0"/>
        <w:numId w:val="4"/>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62">
    <w:name w:val="标准文件_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63">
    <w:name w:val="标准文件_章标题"/>
    <w:next w:val="49"/>
    <w:qFormat/>
    <w:uiPriority w:val="0"/>
    <w:pPr>
      <w:numPr>
        <w:ilvl w:val="1"/>
        <w:numId w:val="6"/>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65">
    <w:name w:val="font11"/>
    <w:basedOn w:val="25"/>
    <w:qFormat/>
    <w:uiPriority w:val="0"/>
    <w:rPr>
      <w:rFonts w:hint="eastAsia" w:ascii="宋体" w:hAnsi="宋体" w:eastAsia="宋体" w:cs="宋体"/>
      <w:color w:val="000000"/>
      <w:sz w:val="22"/>
      <w:szCs w:val="22"/>
      <w:u w:val="none"/>
    </w:rPr>
  </w:style>
  <w:style w:type="character" w:customStyle="1" w:styleId="66">
    <w:name w:val="font21"/>
    <w:basedOn w:val="25"/>
    <w:qFormat/>
    <w:uiPriority w:val="0"/>
    <w:rPr>
      <w:rFonts w:hint="default" w:ascii="Times New Roman" w:hAnsi="Times New Roman" w:cs="Times New Roman"/>
      <w:color w:val="000000"/>
      <w:sz w:val="22"/>
      <w:szCs w:val="22"/>
      <w:u w:val="none"/>
    </w:rPr>
  </w:style>
  <w:style w:type="character" w:customStyle="1" w:styleId="67">
    <w:name w:val="font31"/>
    <w:basedOn w:val="25"/>
    <w:qFormat/>
    <w:uiPriority w:val="0"/>
    <w:rPr>
      <w:rFonts w:hint="eastAsia" w:ascii="宋体" w:hAnsi="宋体" w:eastAsia="宋体" w:cs="宋体"/>
      <w:color w:val="000000"/>
      <w:sz w:val="20"/>
      <w:szCs w:val="20"/>
      <w:u w:val="none"/>
    </w:rPr>
  </w:style>
  <w:style w:type="character" w:customStyle="1" w:styleId="68">
    <w:name w:val="font01"/>
    <w:basedOn w:val="25"/>
    <w:qFormat/>
    <w:uiPriority w:val="0"/>
    <w:rPr>
      <w:rFonts w:hint="default" w:ascii="Times New Roman" w:hAnsi="Times New Roman" w:cs="Times New Roman"/>
      <w:color w:val="000000"/>
      <w:sz w:val="20"/>
      <w:szCs w:val="20"/>
      <w:u w:val="none"/>
    </w:rPr>
  </w:style>
  <w:style w:type="paragraph" w:customStyle="1" w:styleId="69">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70">
    <w:name w:val="标准文件_页眉偶数页"/>
    <w:basedOn w:val="69"/>
    <w:next w:val="1"/>
    <w:qFormat/>
    <w:uiPriority w:val="0"/>
    <w:pPr>
      <w:jc w:val="left"/>
    </w:pPr>
  </w:style>
  <w:style w:type="paragraph" w:customStyle="1" w:styleId="71">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2">
    <w:name w:val="标准文件_页脚偶数页"/>
    <w:qFormat/>
    <w:uiPriority w:val="0"/>
    <w:pPr>
      <w:ind w:left="227"/>
    </w:pPr>
    <w:rPr>
      <w:rFonts w:ascii="宋体" w:hAnsi="Times New Roman" w:eastAsia="宋体" w:cs="Times New Roman"/>
      <w:sz w:val="18"/>
      <w:lang w:val="en-US" w:eastAsia="zh-CN" w:bidi="ar-SA"/>
    </w:rPr>
  </w:style>
  <w:style w:type="paragraph" w:customStyle="1" w:styleId="73">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character" w:customStyle="1" w:styleId="74">
    <w:name w:val="font81"/>
    <w:basedOn w:val="25"/>
    <w:qFormat/>
    <w:uiPriority w:val="0"/>
    <w:rPr>
      <w:rFonts w:hint="eastAsia" w:ascii="宋体" w:hAnsi="宋体" w:eastAsia="宋体" w:cs="宋体"/>
      <w:color w:val="000000"/>
      <w:sz w:val="22"/>
      <w:szCs w:val="22"/>
      <w:u w:val="none"/>
    </w:rPr>
  </w:style>
  <w:style w:type="character" w:customStyle="1" w:styleId="75">
    <w:name w:val="font91"/>
    <w:basedOn w:val="25"/>
    <w:qFormat/>
    <w:uiPriority w:val="0"/>
    <w:rPr>
      <w:rFonts w:hint="eastAsia" w:ascii="宋体" w:hAnsi="宋体" w:eastAsia="宋体" w:cs="宋体"/>
      <w:color w:val="000000"/>
      <w:sz w:val="20"/>
      <w:szCs w:val="20"/>
      <w:u w:val="none"/>
    </w:rPr>
  </w:style>
  <w:style w:type="character" w:customStyle="1" w:styleId="76">
    <w:name w:val="font71"/>
    <w:basedOn w:val="25"/>
    <w:qFormat/>
    <w:uiPriority w:val="0"/>
    <w:rPr>
      <w:rFonts w:hint="eastAsia" w:ascii="宋体" w:hAnsi="宋体" w:eastAsia="宋体" w:cs="宋体"/>
      <w:color w:val="000000"/>
      <w:sz w:val="20"/>
      <w:szCs w:val="20"/>
      <w:u w:val="none"/>
    </w:rPr>
  </w:style>
  <w:style w:type="character" w:customStyle="1" w:styleId="77">
    <w:name w:val="font61"/>
    <w:basedOn w:val="25"/>
    <w:qFormat/>
    <w:uiPriority w:val="0"/>
    <w:rPr>
      <w:rFonts w:hint="default" w:ascii="Times New Roman" w:hAnsi="Times New Roman" w:cs="Times New Roman"/>
      <w:color w:val="000000"/>
      <w:sz w:val="20"/>
      <w:szCs w:val="20"/>
      <w:u w:val="none"/>
    </w:rPr>
  </w:style>
  <w:style w:type="character" w:customStyle="1" w:styleId="78">
    <w:name w:val="font101"/>
    <w:basedOn w:val="25"/>
    <w:qFormat/>
    <w:uiPriority w:val="0"/>
    <w:rPr>
      <w:rFonts w:hint="eastAsia" w:ascii="宋体" w:hAnsi="宋体" w:eastAsia="宋体" w:cs="宋体"/>
      <w:color w:val="FF0000"/>
      <w:sz w:val="20"/>
      <w:szCs w:val="20"/>
      <w:u w:val="none"/>
    </w:rPr>
  </w:style>
  <w:style w:type="character" w:customStyle="1" w:styleId="79">
    <w:name w:val="font112"/>
    <w:basedOn w:val="25"/>
    <w:qFormat/>
    <w:uiPriority w:val="0"/>
    <w:rPr>
      <w:rFonts w:hint="default" w:ascii="Times New Roman" w:hAnsi="Times New Roman" w:cs="Times New Roman"/>
      <w:color w:val="FF0000"/>
      <w:sz w:val="20"/>
      <w:szCs w:val="20"/>
      <w:u w:val="none"/>
    </w:rPr>
  </w:style>
  <w:style w:type="character" w:customStyle="1" w:styleId="80">
    <w:name w:val="font51"/>
    <w:basedOn w:val="25"/>
    <w:qFormat/>
    <w:uiPriority w:val="0"/>
    <w:rPr>
      <w:rFonts w:hint="eastAsia" w:ascii="宋体" w:hAnsi="宋体" w:eastAsia="宋体" w:cs="宋体"/>
      <w:color w:val="FF0000"/>
      <w:sz w:val="20"/>
      <w:szCs w:val="20"/>
      <w:u w:val="none"/>
    </w:rPr>
  </w:style>
  <w:style w:type="character" w:customStyle="1" w:styleId="81">
    <w:name w:val="font121"/>
    <w:basedOn w:val="25"/>
    <w:qFormat/>
    <w:uiPriority w:val="0"/>
    <w:rPr>
      <w:rFonts w:hint="default" w:ascii="Times New Roman" w:hAnsi="Times New Roman" w:cs="Times New Roman"/>
      <w:color w:val="FF0000"/>
      <w:sz w:val="20"/>
      <w:szCs w:val="20"/>
      <w:u w:val="none"/>
    </w:rPr>
  </w:style>
  <w:style w:type="character" w:customStyle="1" w:styleId="82">
    <w:name w:val="font141"/>
    <w:basedOn w:val="25"/>
    <w:qFormat/>
    <w:uiPriority w:val="0"/>
    <w:rPr>
      <w:rFonts w:hint="eastAsia" w:ascii="宋体" w:hAnsi="宋体" w:eastAsia="宋体" w:cs="宋体"/>
      <w:color w:val="000000"/>
      <w:sz w:val="20"/>
      <w:szCs w:val="20"/>
      <w:u w:val="none"/>
    </w:rPr>
  </w:style>
  <w:style w:type="character" w:customStyle="1" w:styleId="83">
    <w:name w:val="font151"/>
    <w:basedOn w:val="25"/>
    <w:qFormat/>
    <w:uiPriority w:val="0"/>
    <w:rPr>
      <w:rFonts w:hint="default" w:ascii="Times New Roman" w:hAnsi="Times New Roman" w:cs="Times New Roman"/>
      <w:color w:val="000000"/>
      <w:sz w:val="20"/>
      <w:szCs w:val="20"/>
      <w:u w:val="none"/>
    </w:rPr>
  </w:style>
  <w:style w:type="character" w:customStyle="1" w:styleId="84">
    <w:name w:val="font41"/>
    <w:basedOn w:val="25"/>
    <w:qFormat/>
    <w:uiPriority w:val="0"/>
    <w:rPr>
      <w:rFonts w:hint="eastAsia" w:ascii="宋体" w:hAnsi="宋体" w:eastAsia="宋体" w:cs="宋体"/>
      <w:color w:val="000000"/>
      <w:sz w:val="20"/>
      <w:szCs w:val="20"/>
      <w:u w:val="none"/>
    </w:rPr>
  </w:style>
  <w:style w:type="character" w:customStyle="1" w:styleId="85">
    <w:name w:val="font131"/>
    <w:basedOn w:val="25"/>
    <w:qFormat/>
    <w:uiPriority w:val="0"/>
    <w:rPr>
      <w:rFonts w:hint="default" w:ascii="Times New Roman" w:hAnsi="Times New Roman" w:cs="Times New Roman"/>
      <w:color w:val="000000"/>
      <w:sz w:val="20"/>
      <w:szCs w:val="20"/>
      <w:u w:val="none"/>
    </w:rPr>
  </w:style>
  <w:style w:type="character" w:styleId="86">
    <w:name w:val="Placeholder Text"/>
    <w:basedOn w:val="25"/>
    <w:semiHidden/>
    <w:qFormat/>
    <w:uiPriority w:val="99"/>
    <w:rPr>
      <w:color w:val="808080"/>
    </w:rPr>
  </w:style>
  <w:style w:type="character" w:customStyle="1" w:styleId="87">
    <w:name w:val="标准文件_段 Char"/>
    <w:link w:val="49"/>
    <w:qFormat/>
    <w:uiPriority w:val="0"/>
    <w:rPr>
      <w:rFonts w:ascii="宋体" w:hAnsi="Times New Roman" w:eastAsia="宋体" w:cs="Times New Roman"/>
      <w:sz w:val="21"/>
      <w:lang w:val="en-US" w:eastAsia="zh-CN" w:bidi="ar-SA"/>
    </w:rPr>
  </w:style>
  <w:style w:type="character" w:customStyle="1" w:styleId="88">
    <w:name w:val="标准文件_文件名称 Char"/>
    <w:link w:val="51"/>
    <w:qFormat/>
    <w:uiPriority w:val="0"/>
    <w:rPr>
      <w:rFonts w:ascii="黑体" w:hAnsi="黑体" w:eastAsia="黑体"/>
      <w:bCs/>
      <w:sz w:val="52"/>
    </w:rPr>
  </w:style>
  <w:style w:type="character" w:customStyle="1" w:styleId="89">
    <w:name w:val="标准文件_前言、引言标题 Char"/>
    <w:link w:val="61"/>
    <w:qFormat/>
    <w:uiPriority w:val="0"/>
    <w:rPr>
      <w:rFonts w:ascii="黑体" w:hAnsi="Times New Roman" w:eastAsia="黑体" w:cs="Times New Roman"/>
      <w:sz w:val="32"/>
      <w:lang w:val="en-US" w:eastAsia="zh-CN" w:bidi="ar-SA"/>
    </w:rPr>
  </w:style>
  <w:style w:type="paragraph" w:customStyle="1" w:styleId="90">
    <w:name w:val="标准文件_一级条标题"/>
    <w:basedOn w:val="63"/>
    <w:next w:val="49"/>
    <w:qFormat/>
    <w:uiPriority w:val="0"/>
    <w:pPr>
      <w:numPr>
        <w:ilvl w:val="2"/>
      </w:numPr>
      <w:spacing w:before="50" w:beforeLines="50" w:after="50" w:afterLines="50"/>
      <w:outlineLvl w:val="1"/>
    </w:pPr>
  </w:style>
  <w:style w:type="paragraph" w:customStyle="1" w:styleId="91">
    <w:name w:val="标准文件_二级条标题"/>
    <w:next w:val="49"/>
    <w:qFormat/>
    <w:uiPriority w:val="0"/>
    <w:pPr>
      <w:widowControl w:val="0"/>
      <w:numPr>
        <w:ilvl w:val="3"/>
        <w:numId w:val="6"/>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92">
    <w:name w:val="标准文件_术语条一"/>
    <w:basedOn w:val="93"/>
    <w:next w:val="49"/>
    <w:qFormat/>
    <w:uiPriority w:val="0"/>
    <w:pPr>
      <w:numPr>
        <w:ilvl w:val="2"/>
        <w:numId w:val="6"/>
      </w:numPr>
      <w:ind w:left="283"/>
    </w:pPr>
  </w:style>
  <w:style w:type="paragraph" w:customStyle="1" w:styleId="93">
    <w:name w:val="标准文件_一级无标题"/>
    <w:basedOn w:val="90"/>
    <w:qFormat/>
    <w:uiPriority w:val="0"/>
    <w:pPr>
      <w:spacing w:before="0" w:beforeLines="0" w:after="0" w:afterLines="0"/>
      <w:outlineLvl w:val="9"/>
    </w:pPr>
    <w:rPr>
      <w:rFonts w:ascii="宋体"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tiff"/><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596f335-4c72-4fd7-8bb1-d8a5b54b16e8}"/>
        <w:style w:val=""/>
        <w:category>
          <w:name w:val="常规"/>
          <w:gallery w:val="placeholder"/>
        </w:category>
        <w:types>
          <w:type w:val="bbPlcHdr"/>
        </w:types>
        <w:behaviors>
          <w:behavior w:val="content"/>
        </w:behaviors>
        <w:description w:val=""/>
        <w:guid w:val="{a596f335-4c72-4fd7-8bb1-d8a5b54b16e8}"/>
      </w:docPartPr>
      <w:docPartBody>
        <w:p>
          <w:pPr>
            <w:pStyle w:val="2"/>
          </w:pPr>
          <w:r>
            <w:rPr>
              <w:rStyle w:val="3"/>
              <w:rFonts w:hint="eastAsia"/>
            </w:rPr>
            <w:t>单击或点击此处输入文字。</w:t>
          </w:r>
        </w:p>
      </w:docPartBody>
    </w:docPart>
    <w:docPart>
      <w:docPartPr>
        <w:name w:val="{0937361b-fa11-4665-a891-d8b0f58c55f6}"/>
        <w:style w:val=""/>
        <w:category>
          <w:name w:val="常规"/>
          <w:gallery w:val="placeholder"/>
        </w:category>
        <w:types>
          <w:type w:val="bbPlcHdr"/>
        </w:types>
        <w:behaviors>
          <w:behavior w:val="content"/>
        </w:behaviors>
        <w:description w:val=""/>
        <w:guid w:val="{0937361b-fa11-4665-a891-d8b0f58c55f6}"/>
      </w:docPartPr>
      <w:docPartBody>
        <w:p>
          <w:pPr>
            <w:pStyle w:val="2"/>
          </w:pPr>
          <w:r>
            <w:rPr>
              <w:rStyle w:val="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ADD9BDC2ECF948DEBDA5D51D0C85597F"/>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3">
    <w:name w:val="Placeholder Text"/>
    <w:basedOn w:val="1"/>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12</Pages>
  <Words>4489</Words>
  <Characters>4726</Characters>
  <Lines>21</Lines>
  <Paragraphs>5</Paragraphs>
  <TotalTime>8</TotalTime>
  <ScaleCrop>false</ScaleCrop>
  <LinksUpToDate>false</LinksUpToDate>
  <CharactersWithSpaces>4805</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2021-06-28T04:41:00Z</dcterms:created>
  <dc:creator>ql</dc:creator>
  <cp:lastModifiedBy>splashlove</cp:lastModifiedBy>
  <dcterms:modified xsi:type="dcterms:W3CDTF">2022-10-31T00:52:20Z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2752901F57E440B99EA90270E2D4FEBB</vt:lpwstr>
  </property>
</Properties>
</file>