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0"/>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line="240" w:lineRule="auto"/>
              <w:jc w:val="left"/>
              <w:rPr>
                <w:rFonts w:ascii="黑体" w:hAnsi="黑体" w:eastAsia="黑体"/>
                <w:sz w:val="21"/>
                <w:szCs w:val="21"/>
              </w:rPr>
            </w:pPr>
            <w:r>
              <w:rPr>
                <w:rFonts w:hint="eastAsia" w:ascii="黑体" w:hAnsi="黑体" w:eastAsia="黑体" w:cs="黑体"/>
                <w:sz w:val="21"/>
                <w:szCs w:val="21"/>
              </w:rPr>
              <w:t>ICS</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line="240" w:lineRule="auto"/>
              <w:jc w:val="both"/>
              <w:rPr>
                <w:rFonts w:ascii="黑体" w:hAnsi="黑体" w:eastAsia="黑体"/>
                <w:sz w:val="21"/>
                <w:szCs w:val="21"/>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hint="eastAsia" w:ascii="黑体" w:hAnsi="黑体" w:eastAsia="黑体" w:cs="黑体"/>
                <w:sz w:val="21"/>
                <w:szCs w:val="21"/>
              </w:rPr>
              <w:t>CCS</w:t>
            </w:r>
            <w:r>
              <w:rPr>
                <w:rFonts w:ascii="Times New Roman" w:hAnsi="Times New Roman" w:eastAsia="黑体"/>
                <w:sz w:val="21"/>
                <w:szCs w:val="21"/>
              </w:rPr>
              <w:t xml:space="preserve"> </w:t>
            </w:r>
            <w:r>
              <w:rPr>
                <w:rFonts w:ascii="黑体" w:hAnsi="黑体" w:eastAsia="黑体"/>
                <w:sz w:val="21"/>
                <w:szCs w:val="21"/>
              </w:rPr>
              <w:t xml:space="preserve"> </w:t>
            </w:r>
          </w:p>
        </w:tc>
        <w:tc>
          <w:tcPr>
            <w:tcW w:w="8855" w:type="dxa"/>
          </w:tcPr>
          <w:p>
            <w:pPr>
              <w:pStyle w:val="19"/>
              <w:framePr w:wrap="notBeside" w:vAnchor="page" w:hAnchor="page" w:x="1372" w:y="568"/>
              <w:tabs>
                <w:tab w:val="clear" w:pos="4153"/>
                <w:tab w:val="clear" w:pos="8306"/>
              </w:tabs>
              <w:spacing w:before="40" w:line="240" w:lineRule="auto"/>
              <w:jc w:val="left"/>
              <w:rPr>
                <w:rFonts w:ascii="黑体" w:hAnsi="黑体" w:eastAsia="黑体"/>
                <w:sz w:val="21"/>
                <w:szCs w:val="21"/>
              </w:rPr>
            </w:pPr>
          </w:p>
        </w:tc>
      </w:tr>
    </w:tbl>
    <w:tbl>
      <w:tblPr>
        <w:tblStyle w:val="30"/>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661"/>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PrEx>
        <w:tc>
          <w:tcPr>
            <w:tcW w:w="6661" w:type="dxa"/>
          </w:tcPr>
          <w:p>
            <w:pPr>
              <w:pStyle w:val="53"/>
              <w:framePr w:w="0" w:hRule="auto" w:wrap="auto" w:vAnchor="margin" w:hAnchor="text" w:xAlign="left" w:yAlign="inline"/>
              <w:rPr>
                <w:rFonts w:ascii="宋体" w:hAnsi="宋体"/>
                <w:sz w:val="28"/>
                <w:szCs w:val="28"/>
              </w:rPr>
            </w:pPr>
            <w:bookmarkStart w:id="0"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t>3205</w:t>
            </w:r>
          </w:p>
        </w:tc>
      </w:tr>
    </w:tbl>
    <w:p>
      <w:pPr>
        <w:pStyle w:val="54"/>
        <w:framePr w:w="9639" w:h="624" w:hRule="exact" w:hSpace="181" w:vSpace="181" w:wrap="around" w:hAnchor="page" w:x="1305" w:y="2269"/>
        <w:rPr>
          <w:rFonts w:ascii="黑体" w:hAnsi="黑体" w:eastAsia="黑体"/>
          <w:b w:val="0"/>
          <w:bCs w:val="0"/>
          <w:w w:val="100"/>
          <w:sz w:val="48"/>
          <w:szCs w:val="48"/>
        </w:rPr>
      </w:pPr>
      <w:r>
        <w:rPr>
          <w:rFonts w:hint="eastAsia" w:ascii="黑体" w:eastAsia="黑体"/>
          <w:b w:val="0"/>
          <w:w w:val="100"/>
          <w:sz w:val="48"/>
        </w:rPr>
        <w:t>苏州市</w:t>
      </w:r>
      <w:r>
        <w:rPr>
          <w:rFonts w:hint="eastAsia" w:ascii="黑体" w:hAnsi="黑体" w:eastAsia="黑体"/>
          <w:b w:val="0"/>
          <w:bCs w:val="0"/>
          <w:w w:val="100"/>
          <w:sz w:val="48"/>
          <w:szCs w:val="48"/>
        </w:rPr>
        <w:t>地方标准</w:t>
      </w:r>
    </w:p>
    <w:bookmarkEnd w:id="0"/>
    <w:p>
      <w:pPr>
        <w:pStyle w:val="199"/>
        <w:rPr>
          <w:rFonts w:hint="eastAsia" w:eastAsia="黑体"/>
          <w:lang w:val="en-US" w:eastAsia="zh-CN"/>
        </w:rPr>
      </w:pPr>
      <w:r>
        <w:t xml:space="preserve">DB 3205/T </w:t>
      </w:r>
      <w:r>
        <w:fldChar w:fldCharType="begin">
          <w:ffData>
            <w:name w:val="NSTD_CODE_F"/>
            <w:enabled/>
            <w:calcOnExit w:val="0"/>
            <w:textInput>
              <w:default w:val="XXXXX"/>
            </w:textInput>
          </w:ffData>
        </w:fldChar>
      </w:r>
      <w:bookmarkStart w:id="1" w:name="NSTD_CODE_F"/>
      <w:r>
        <w:instrText xml:space="preserve"> FORMTEXT </w:instrText>
      </w:r>
      <w:r>
        <w:fldChar w:fldCharType="separate"/>
      </w:r>
      <w:r>
        <w:t>XXXXX</w:t>
      </w:r>
      <w:r>
        <w:fldChar w:fldCharType="end"/>
      </w:r>
      <w:bookmarkEnd w:id="1"/>
      <w:r>
        <w:rPr>
          <w:rFonts w:hAnsi="黑体"/>
        </w:rPr>
        <w:t>—</w:t>
      </w:r>
      <w:r>
        <w:t>202</w:t>
      </w:r>
      <w:r>
        <w:rPr>
          <w:rFonts w:hint="eastAsia"/>
          <w:lang w:val="en-US" w:eastAsia="zh-CN"/>
        </w:rPr>
        <w:t>2</w:t>
      </w:r>
    </w:p>
    <w:p>
      <w:pPr>
        <w:pStyle w:val="200"/>
        <w:rPr>
          <w:rFonts w:hAnsi="黑体"/>
        </w:rPr>
      </w:pPr>
      <w:r>
        <w:rPr>
          <w:rFonts w:hAnsi="黑体"/>
        </w:rPr>
        <w:fldChar w:fldCharType="begin">
          <w:ffData>
            <w:name w:val="OSTD_CODE"/>
            <w:enabled/>
            <w:calcOnExit w:val="0"/>
            <w:textInput/>
          </w:ffData>
        </w:fldChar>
      </w:r>
      <w:bookmarkStart w:id="2"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2"/>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pPr>
        <w:pStyle w:val="54"/>
        <w:framePr w:w="9639" w:h="6976" w:hRule="exact" w:hSpace="0" w:vSpace="0" w:wrap="around" w:hAnchor="page" w:y="6408"/>
        <w:jc w:val="center"/>
        <w:rPr>
          <w:rFonts w:ascii="黑体" w:hAnsi="黑体" w:eastAsia="黑体"/>
          <w:b w:val="0"/>
          <w:bCs w:val="0"/>
          <w:w w:val="100"/>
        </w:rPr>
      </w:pPr>
    </w:p>
    <w:p>
      <w:pPr>
        <w:pStyle w:val="201"/>
        <w:framePr w:h="6974" w:hRule="exact" w:wrap="around" w:x="1419" w:anchorLock="1"/>
        <w:pBdr>
          <w:top w:val="none" w:color="auto" w:sz="0" w:space="0"/>
          <w:left w:val="none" w:color="auto" w:sz="0" w:space="0"/>
          <w:bottom w:val="none" w:color="auto" w:sz="0" w:space="0"/>
          <w:right w:val="none" w:color="auto" w:sz="0" w:space="0"/>
        </w:pBdr>
        <w:rPr>
          <w:rFonts w:hint="eastAsia" w:eastAsia="黑体"/>
          <w:lang w:val="en-US" w:eastAsia="zh-CN"/>
        </w:rPr>
      </w:pPr>
      <w:r>
        <w:rPr>
          <w:rFonts w:hint="eastAsia"/>
        </w:rPr>
        <w:t>智慧农业示范基地建设与评价　</w:t>
      </w:r>
      <w:r>
        <w:rPr>
          <w:rFonts w:hint="eastAsia"/>
          <w:lang w:eastAsia="zh-CN"/>
        </w:rPr>
        <w:t>第5部分</w:t>
      </w:r>
      <w:r>
        <w:rPr>
          <w:rFonts w:hint="eastAsia"/>
        </w:rPr>
        <w:t>：智慧</w:t>
      </w:r>
      <w:r>
        <w:rPr>
          <w:rFonts w:hint="eastAsia"/>
          <w:lang w:val="en-US" w:eastAsia="zh-CN"/>
        </w:rPr>
        <w:t>园艺</w:t>
      </w:r>
    </w:p>
    <w:p>
      <w:pPr>
        <w:pStyle w:val="201"/>
        <w:framePr w:h="6974" w:hRule="exact" w:wrap="around" w:x="1419" w:anchorLock="1"/>
      </w:pPr>
    </w:p>
    <w:p>
      <w:pPr>
        <w:framePr w:w="9639" w:h="6974" w:hRule="exact" w:wrap="around" w:vAnchor="page" w:hAnchor="page" w:x="1419" w:y="6408" w:anchorLock="1"/>
        <w:ind w:left="-1418"/>
      </w:pPr>
    </w:p>
    <w:p>
      <w:pPr>
        <w:pStyle w:val="129"/>
        <w:framePr w:w="9639" w:h="6974" w:hRule="exact" w:wrap="around" w:vAnchor="page" w:hAnchor="page" w:x="1419" w:y="6408" w:anchorLock="1"/>
        <w:textAlignment w:val="bottom"/>
        <w:rPr>
          <w:rFonts w:eastAsia="黑体"/>
          <w:szCs w:val="28"/>
        </w:rPr>
      </w:pPr>
      <w:r>
        <w:rPr>
          <w:rFonts w:hint="eastAsia" w:ascii="黑体" w:hAnsi="黑体" w:eastAsia="黑体" w:cs="黑体"/>
          <w:szCs w:val="28"/>
          <w:lang w:val="en-US" w:eastAsia="zh-CN"/>
        </w:rPr>
        <w:t>Cons</w:t>
      </w:r>
      <w:r>
        <w:rPr>
          <w:rFonts w:hint="eastAsia" w:ascii="黑体" w:hAnsi="黑体" w:eastAsia="黑体" w:cs="黑体"/>
          <w:szCs w:val="28"/>
        </w:rPr>
        <w:t>truction and evaluation of Smart Agricultural Demonstration Base</w:t>
      </w:r>
    </w:p>
    <w:p>
      <w:pPr>
        <w:pStyle w:val="129"/>
        <w:framePr w:w="9639" w:h="6974" w:hRule="exact" w:wrap="around" w:vAnchor="page" w:hAnchor="page" w:x="1419" w:y="6408" w:anchorLock="1"/>
        <w:textAlignment w:val="bottom"/>
        <w:rPr>
          <w:rFonts w:hint="eastAsia" w:ascii="黑体" w:hAnsi="黑体" w:eastAsia="黑体" w:cs="黑体"/>
          <w:szCs w:val="28"/>
        </w:rPr>
      </w:pPr>
      <w:r>
        <w:rPr>
          <w:rFonts w:hint="eastAsia" w:ascii="黑体" w:hAnsi="黑体" w:eastAsia="黑体" w:cs="黑体"/>
          <w:szCs w:val="28"/>
          <w:lang w:val="en-US" w:eastAsia="zh-CN"/>
        </w:rPr>
        <w:t>Part 5  S</w:t>
      </w:r>
      <w:r>
        <w:rPr>
          <w:rFonts w:hint="eastAsia" w:ascii="黑体" w:hAnsi="黑体" w:eastAsia="黑体" w:cs="黑体"/>
          <w:szCs w:val="28"/>
        </w:rPr>
        <w:t xml:space="preserve">mart </w:t>
      </w:r>
      <w:r>
        <w:rPr>
          <w:rFonts w:hint="eastAsia" w:ascii="黑体" w:hAnsi="黑体" w:eastAsia="黑体" w:cs="黑体"/>
          <w:szCs w:val="28"/>
          <w:lang w:val="en-US" w:eastAsia="zh-CN"/>
        </w:rPr>
        <w:t>H</w:t>
      </w:r>
      <w:r>
        <w:rPr>
          <w:rFonts w:hint="eastAsia" w:ascii="黑体" w:hAnsi="黑体" w:eastAsia="黑体" w:cs="黑体"/>
          <w:szCs w:val="28"/>
        </w:rPr>
        <w:t xml:space="preserve">orticulture </w:t>
      </w:r>
    </w:p>
    <w:p>
      <w:pPr>
        <w:framePr w:w="9639" w:h="6974" w:hRule="exact" w:wrap="around" w:vAnchor="page" w:hAnchor="page" w:x="1419" w:y="6408" w:anchorLock="1"/>
        <w:spacing w:line="760" w:lineRule="exact"/>
        <w:ind w:left="-1418"/>
      </w:pPr>
    </w:p>
    <w:p>
      <w:pPr>
        <w:pStyle w:val="129"/>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3" w:name="下拉1"/>
      <w:r>
        <w:rPr>
          <w:sz w:val="24"/>
          <w:szCs w:val="28"/>
        </w:rPr>
        <w:instrText xml:space="preserve"> FORMDROPDOWN </w:instrText>
      </w:r>
      <w:r>
        <w:rPr>
          <w:sz w:val="24"/>
          <w:szCs w:val="28"/>
        </w:rPr>
        <w:fldChar w:fldCharType="separate"/>
      </w:r>
      <w:r>
        <w:rPr>
          <w:sz w:val="24"/>
          <w:szCs w:val="28"/>
        </w:rPr>
        <w:fldChar w:fldCharType="end"/>
      </w:r>
      <w:bookmarkEnd w:id="3"/>
    </w:p>
    <w:p>
      <w:pPr>
        <w:pStyle w:val="129"/>
        <w:framePr w:w="9639" w:h="6974" w:hRule="exact" w:wrap="around" w:vAnchor="page" w:hAnchor="page" w:x="1419" w:y="6408" w:anchorLock="1"/>
        <w:spacing w:before="180" w:line="240" w:lineRule="atLeast"/>
        <w:textAlignment w:val="bottom"/>
        <w:rPr>
          <w:sz w:val="21"/>
          <w:szCs w:val="28"/>
        </w:rPr>
      </w:pPr>
      <w:r>
        <w:rPr>
          <w:rFonts w:hint="eastAsia"/>
          <w:sz w:val="21"/>
          <w:szCs w:val="28"/>
        </w:rPr>
        <w:t>（本草案完成时间：202</w:t>
      </w:r>
      <w:r>
        <w:rPr>
          <w:rFonts w:hint="eastAsia"/>
          <w:sz w:val="21"/>
          <w:szCs w:val="28"/>
          <w:lang w:val="en-US" w:eastAsia="zh-CN"/>
        </w:rPr>
        <w:t>2</w:t>
      </w:r>
      <w:r>
        <w:rPr>
          <w:rFonts w:hint="eastAsia"/>
          <w:sz w:val="21"/>
          <w:szCs w:val="28"/>
        </w:rPr>
        <w:t>年</w:t>
      </w:r>
      <w:r>
        <w:rPr>
          <w:rFonts w:hint="eastAsia"/>
          <w:sz w:val="21"/>
          <w:szCs w:val="28"/>
          <w:lang w:val="en-US" w:eastAsia="zh-CN"/>
        </w:rPr>
        <w:t>10</w:t>
      </w:r>
      <w:r>
        <w:rPr>
          <w:rFonts w:hint="eastAsia"/>
          <w:sz w:val="21"/>
          <w:szCs w:val="28"/>
        </w:rPr>
        <w:t>月</w:t>
      </w:r>
      <w:r>
        <w:rPr>
          <w:rFonts w:hint="eastAsia"/>
          <w:sz w:val="21"/>
          <w:szCs w:val="28"/>
          <w:lang w:val="en-US" w:eastAsia="zh-CN"/>
        </w:rPr>
        <w:t>28</w:t>
      </w:r>
      <w:r>
        <w:rPr>
          <w:rFonts w:hint="eastAsia"/>
          <w:sz w:val="21"/>
          <w:szCs w:val="28"/>
        </w:rPr>
        <w:t>日）</w:t>
      </w:r>
    </w:p>
    <w:p>
      <w:pPr>
        <w:pStyle w:val="129"/>
        <w:framePr w:w="9639" w:h="6974" w:hRule="exact" w:wrap="around" w:vAnchor="page" w:hAnchor="page" w:x="1419" w:y="6408" w:anchorLock="1"/>
        <w:spacing w:before="720" w:beforeLines="300" w:after="72" w:afterLines="30" w:line="240" w:lineRule="auto"/>
        <w:textAlignment w:val="bottom"/>
        <w:rPr>
          <w:b/>
          <w:sz w:val="21"/>
          <w:szCs w:val="28"/>
        </w:rPr>
      </w:pPr>
    </w:p>
    <w:p>
      <w:pPr>
        <w:pStyle w:val="197"/>
        <w:framePr w:wrap="around" w:y="14176"/>
      </w:pPr>
      <w:r>
        <w:rPr>
          <w:rFonts w:hint="eastAsia" w:ascii="黑体"/>
          <w:lang w:val="en-US" w:eastAsia="zh-CN"/>
        </w:rPr>
        <w:t>2022</w:t>
      </w:r>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4"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4"/>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5"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5"/>
      <w:r>
        <w:rPr>
          <w:rFonts w:hint="eastAsia"/>
        </w:rPr>
        <w:t>发布</w:t>
      </w:r>
    </w:p>
    <w:p>
      <w:pPr>
        <w:pStyle w:val="198"/>
        <w:framePr w:wrap="around" w:y="14176"/>
      </w:pPr>
      <w:r>
        <w:rPr>
          <w:rFonts w:hint="eastAsia" w:ascii="黑体"/>
          <w:lang w:val="en-US" w:eastAsia="zh-CN"/>
        </w:rPr>
        <w:t>2022</w:t>
      </w:r>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6"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6"/>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7"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7"/>
      <w:r>
        <w:rPr>
          <w:rFonts w:hint="eastAsia"/>
        </w:rPr>
        <w:t>实施</w:t>
      </w:r>
    </w:p>
    <w:p>
      <w:pPr>
        <w:pStyle w:val="155"/>
        <w:framePr w:h="584" w:hRule="exact" w:hSpace="181" w:vSpace="181" w:wrap="around" w:y="15027"/>
        <w:rPr>
          <w:rFonts w:hAnsi="黑体"/>
        </w:rPr>
      </w:pPr>
      <w:r>
        <w:rPr>
          <w:rFonts w:hint="eastAsia" w:hAnsi="黑体"/>
          <w:w w:val="100"/>
          <w:sz w:val="28"/>
        </w:rPr>
        <w:t>苏州市市场监督</w:t>
      </w:r>
      <w:r>
        <w:rPr>
          <w:rFonts w:hAnsi="黑体"/>
          <w:w w:val="100"/>
          <w:sz w:val="28"/>
        </w:rPr>
        <w:t>管理</w:t>
      </w:r>
      <w:r>
        <w:rPr>
          <w:rFonts w:hAnsi="黑体"/>
          <w:spacing w:val="567"/>
          <w:w w:val="100"/>
          <w:sz w:val="28"/>
        </w:rPr>
        <w:t>局</w:t>
      </w:r>
      <w:r>
        <w:rPr>
          <w:rStyle w:val="233"/>
          <w:rFonts w:hint="eastAsia" w:hAnsi="黑体"/>
          <w:spacing w:val="170"/>
          <w:position w:val="0"/>
          <w:sz w:val="28"/>
        </w:rPr>
        <w:t>发布</w:t>
      </w:r>
    </w:p>
    <w:p>
      <w:pPr>
        <w:rPr>
          <w:rFonts w:ascii="宋体" w:hAnsi="宋体"/>
          <w:sz w:val="28"/>
          <w:szCs w:val="28"/>
        </w:rPr>
        <w:sectPr>
          <w:headerReference r:id="rId6" w:type="first"/>
          <w:footerReference r:id="rId8" w:type="first"/>
          <w:headerReference r:id="rId5" w:type="default"/>
          <w:footerReference r:id="rId7" w:type="even"/>
          <w:type w:val="continuous"/>
          <w:pgSz w:w="11906" w:h="16838"/>
          <w:pgMar w:top="-338" w:right="1134" w:bottom="1021" w:left="1134" w:header="0" w:footer="0" w:gutter="284"/>
          <w:pgNumType w:fmt="upperRoman"/>
          <w:cols w:space="425" w:num="1"/>
          <w:titlePg/>
          <w:docGrid w:linePitch="312" w:charSpace="0"/>
        </w:sectPr>
      </w:pPr>
      <w:bookmarkStart w:id="123" w:name="_GoBack"/>
      <w:bookmarkEnd w:id="123"/>
      <w:r>
        <w:rPr>
          <w:rFonts w:hint="eastAsia" w:ascii="宋体" w:hAnsi="宋体"/>
          <w:sz w:val="28"/>
          <w:szCs w:val="28"/>
        </w:rPr>
        <mc:AlternateContent>
          <mc:Choice Requires="wps">
            <w:drawing>
              <wp:anchor distT="0" distB="0" distL="114300" distR="114300" simplePos="0" relativeHeight="251661312"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1312;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pPr>
        <w:pStyle w:val="95"/>
        <w:spacing w:after="468"/>
      </w:pPr>
      <w:bookmarkStart w:id="8" w:name="BookMark1"/>
      <w:bookmarkStart w:id="9" w:name="_Toc57370062"/>
      <w:bookmarkStart w:id="10" w:name="_Toc57374519"/>
      <w:bookmarkStart w:id="11" w:name="_Toc57369985"/>
      <w:r>
        <w:rPr>
          <w:rFonts w:hint="eastAsia"/>
          <w:spacing w:val="320"/>
        </w:rPr>
        <w:t>目</w:t>
      </w:r>
      <w:r>
        <w:rPr>
          <w:rFonts w:hint="eastAsia"/>
        </w:rPr>
        <w:t>次</w:t>
      </w:r>
    </w:p>
    <w:p>
      <w:pPr>
        <w:pStyle w:val="20"/>
        <w:tabs>
          <w:tab w:val="right" w:leader="dot" w:pos="9354"/>
        </w:tabs>
      </w:pPr>
      <w:r>
        <w:fldChar w:fldCharType="begin"/>
      </w:r>
      <w:r>
        <w:instrText xml:space="preserve"> TOC \o "1-1" \h \t "标准文件_一级条标题,2,标准文件_附录一级条标题,2," </w:instrText>
      </w:r>
      <w:r>
        <w:fldChar w:fldCharType="separate"/>
      </w:r>
      <w:r>
        <w:fldChar w:fldCharType="begin"/>
      </w:r>
      <w:r>
        <w:instrText xml:space="preserve"> HYPERLINK \l _Toc29755 </w:instrText>
      </w:r>
      <w:r>
        <w:fldChar w:fldCharType="separate"/>
      </w:r>
      <w:r>
        <w:rPr>
          <w:spacing w:val="320"/>
        </w:rPr>
        <w:t>前</w:t>
      </w:r>
      <w:r>
        <w:t>言</w:t>
      </w:r>
      <w:r>
        <w:tab/>
      </w:r>
      <w:r>
        <w:fldChar w:fldCharType="begin"/>
      </w:r>
      <w:r>
        <w:instrText xml:space="preserve"> PAGEREF _Toc29755 \h </w:instrText>
      </w:r>
      <w:r>
        <w:fldChar w:fldCharType="separate"/>
      </w:r>
      <w:r>
        <w:t>II</w:t>
      </w:r>
      <w:r>
        <w:fldChar w:fldCharType="end"/>
      </w:r>
      <w: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_Toc29891 </w:instrText>
      </w:r>
      <w:r>
        <w:rPr>
          <w:rFonts w:hint="eastAsia" w:ascii="宋体" w:hAnsi="宋体" w:eastAsia="宋体" w:cs="宋体"/>
        </w:rPr>
        <w:fldChar w:fldCharType="separate"/>
      </w:r>
      <w:r>
        <w:rPr>
          <w:rFonts w:hint="eastAsia" w:ascii="宋体" w:hAnsi="宋体" w:eastAsia="宋体" w:cs="宋体"/>
          <w:i w:val="0"/>
        </w:rPr>
        <w:t xml:space="preserve">1 </w:t>
      </w:r>
      <w:r>
        <w:rPr>
          <w:rFonts w:hint="eastAsia" w:ascii="宋体" w:hAnsi="宋体" w:eastAsia="宋体" w:cs="宋体"/>
        </w:rPr>
        <w:t>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_Toc29891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_Toc13174 </w:instrText>
      </w:r>
      <w:r>
        <w:rPr>
          <w:rFonts w:hint="eastAsia" w:ascii="宋体" w:hAnsi="宋体" w:eastAsia="宋体" w:cs="宋体"/>
        </w:rPr>
        <w:fldChar w:fldCharType="separate"/>
      </w:r>
      <w:r>
        <w:rPr>
          <w:rFonts w:hint="eastAsia" w:ascii="宋体" w:hAnsi="宋体" w:eastAsia="宋体" w:cs="宋体"/>
          <w:i w:val="0"/>
        </w:rPr>
        <w:t xml:space="preserve">2 </w:t>
      </w:r>
      <w:r>
        <w:rPr>
          <w:rFonts w:hint="eastAsia" w:ascii="宋体" w:hAnsi="宋体" w:eastAsia="宋体" w:cs="宋体"/>
        </w:rPr>
        <w:t>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_Toc13174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_Toc17515 </w:instrText>
      </w:r>
      <w:r>
        <w:rPr>
          <w:rFonts w:hint="eastAsia" w:ascii="宋体" w:hAnsi="宋体" w:eastAsia="宋体" w:cs="宋体"/>
        </w:rPr>
        <w:fldChar w:fldCharType="separate"/>
      </w:r>
      <w:r>
        <w:rPr>
          <w:rFonts w:hint="eastAsia" w:ascii="宋体" w:hAnsi="宋体" w:eastAsia="宋体" w:cs="宋体"/>
          <w:i w:val="0"/>
        </w:rPr>
        <w:t xml:space="preserve">3 </w:t>
      </w:r>
      <w:r>
        <w:rPr>
          <w:rFonts w:hint="eastAsia" w:ascii="宋体" w:hAnsi="宋体" w:eastAsia="宋体" w:cs="宋体"/>
          <w:szCs w:val="21"/>
        </w:rPr>
        <w:t>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_Toc17515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_Toc16524 </w:instrText>
      </w:r>
      <w:r>
        <w:rPr>
          <w:rFonts w:hint="eastAsia" w:ascii="宋体" w:hAnsi="宋体" w:eastAsia="宋体" w:cs="宋体"/>
        </w:rPr>
        <w:fldChar w:fldCharType="separate"/>
      </w:r>
      <w:r>
        <w:rPr>
          <w:rFonts w:hint="eastAsia" w:ascii="宋体" w:hAnsi="宋体" w:eastAsia="宋体" w:cs="宋体"/>
          <w:i w:val="0"/>
          <w:szCs w:val="21"/>
        </w:rPr>
        <w:t xml:space="preserve">4 </w:t>
      </w:r>
      <w:r>
        <w:rPr>
          <w:rFonts w:hint="eastAsia" w:ascii="宋体" w:hAnsi="宋体" w:eastAsia="宋体" w:cs="宋体"/>
          <w:szCs w:val="21"/>
        </w:rPr>
        <w:t>评价原则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_Toc16524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_Toc15511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4.1 </w:t>
      </w:r>
      <w:r>
        <w:rPr>
          <w:rFonts w:hint="eastAsia" w:ascii="宋体" w:hAnsi="宋体" w:eastAsia="宋体" w:cs="宋体"/>
        </w:rPr>
        <w:t>客观公正原则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_Toc15511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_Toc16092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4.2 </w:t>
      </w:r>
      <w:r>
        <w:rPr>
          <w:rFonts w:hint="eastAsia" w:ascii="宋体" w:hAnsi="宋体" w:eastAsia="宋体" w:cs="宋体"/>
        </w:rPr>
        <w:t>全产业链原则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_Toc16092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_Toc15822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4.3 </w:t>
      </w:r>
      <w:r>
        <w:rPr>
          <w:rFonts w:hint="eastAsia" w:ascii="宋体" w:hAnsi="宋体" w:eastAsia="宋体" w:cs="宋体"/>
        </w:rPr>
        <w:t>激励引导原则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_Toc15822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_Toc13545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4.4 </w:t>
      </w:r>
      <w:r>
        <w:rPr>
          <w:rFonts w:hint="eastAsia" w:ascii="宋体" w:hAnsi="宋体" w:eastAsia="宋体" w:cs="宋体"/>
        </w:rPr>
        <w:t>实用性原则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_Toc13545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_Toc9268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4.5 </w:t>
      </w:r>
      <w:r>
        <w:rPr>
          <w:rFonts w:hint="eastAsia" w:ascii="宋体" w:hAnsi="宋体" w:eastAsia="宋体" w:cs="宋体"/>
        </w:rPr>
        <w:t>可操作性原则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_Toc9268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_Toc1838 </w:instrText>
      </w:r>
      <w:r>
        <w:rPr>
          <w:rFonts w:hint="eastAsia" w:ascii="宋体" w:hAnsi="宋体" w:eastAsia="宋体" w:cs="宋体"/>
        </w:rPr>
        <w:fldChar w:fldCharType="separate"/>
      </w:r>
      <w:r>
        <w:rPr>
          <w:rFonts w:hint="eastAsia" w:ascii="宋体" w:hAnsi="宋体" w:eastAsia="宋体" w:cs="宋体"/>
          <w:i w:val="0"/>
          <w:szCs w:val="21"/>
        </w:rPr>
        <w:t xml:space="preserve">5 </w:t>
      </w:r>
      <w:r>
        <w:rPr>
          <w:rFonts w:hint="eastAsia" w:ascii="宋体" w:hAnsi="宋体" w:eastAsia="宋体" w:cs="宋体"/>
          <w:szCs w:val="21"/>
        </w:rPr>
        <w:t>考核评价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_Toc1838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_Toc32669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5.1 </w:t>
      </w:r>
      <w:r>
        <w:rPr>
          <w:rFonts w:hint="eastAsia" w:ascii="宋体" w:hAnsi="宋体" w:eastAsia="宋体" w:cs="宋体"/>
        </w:rPr>
        <w:t>评价内容</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_Toc32669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_Toc22124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5.2 </w:t>
      </w:r>
      <w:r>
        <w:rPr>
          <w:rFonts w:hint="eastAsia" w:ascii="宋体" w:hAnsi="宋体" w:eastAsia="宋体" w:cs="宋体"/>
        </w:rPr>
        <w:t>评价指标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_Toc22124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HYPERLINK \l _Toc25878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5.3 </w:t>
      </w:r>
      <w:r>
        <w:rPr>
          <w:rFonts w:hint="eastAsia" w:ascii="宋体" w:hAnsi="宋体" w:eastAsia="宋体" w:cs="宋体"/>
        </w:rPr>
        <w:t>评价方法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_Toc25878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rPr>
        <w:fldChar w:fldCharType="end"/>
      </w:r>
    </w:p>
    <w:p>
      <w:pPr>
        <w:pStyle w:val="25"/>
        <w:tabs>
          <w:tab w:val="right" w:leader="dot" w:pos="9354"/>
          <w:tab w:val="clear" w:pos="9344"/>
        </w:tabs>
      </w:pPr>
      <w:r>
        <w:rPr>
          <w:rFonts w:hint="eastAsia" w:ascii="宋体" w:hAnsi="宋体" w:eastAsia="宋体" w:cs="宋体"/>
        </w:rPr>
        <w:fldChar w:fldCharType="begin"/>
      </w:r>
      <w:r>
        <w:rPr>
          <w:rFonts w:hint="eastAsia" w:ascii="宋体" w:hAnsi="宋体" w:eastAsia="宋体" w:cs="宋体"/>
        </w:rPr>
        <w:instrText xml:space="preserve"> HYPERLINK \l _Toc17799 </w:instrText>
      </w:r>
      <w:r>
        <w:rPr>
          <w:rFonts w:hint="eastAsia" w:ascii="宋体" w:hAnsi="宋体" w:eastAsia="宋体" w:cs="宋体"/>
        </w:rPr>
        <w:fldChar w:fldCharType="separate"/>
      </w:r>
      <w:r>
        <w:rPr>
          <w:rFonts w:hint="eastAsia" w:ascii="宋体" w:hAnsi="宋体" w:eastAsia="宋体" w:cs="宋体"/>
          <w:bCs w:val="0"/>
          <w:i w:val="0"/>
          <w:iCs w:val="0"/>
          <w:caps w:val="0"/>
          <w:smallCaps w:val="0"/>
          <w:strike w:val="0"/>
          <w:dstrike w:val="0"/>
          <w:vanish w:val="0"/>
          <w:spacing w:val="0"/>
          <w:kern w:val="0"/>
          <w:position w:val="0"/>
          <w:vertAlign w:val="baseline"/>
          <w:lang w:val="en-US" w:eastAsia="zh-CN"/>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t xml:space="preserve">5.4 </w:t>
      </w:r>
      <w:r>
        <w:rPr>
          <w:rFonts w:hint="eastAsia" w:ascii="宋体" w:hAnsi="宋体" w:eastAsia="宋体" w:cs="宋体"/>
          <w:lang w:val="en-US" w:eastAsia="zh-CN"/>
        </w:rPr>
        <w:t>评价报告</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_Toc17799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rPr>
        <w:fldChar w:fldCharType="end"/>
      </w:r>
    </w:p>
    <w:p>
      <w:pPr>
        <w:pStyle w:val="20"/>
        <w:tabs>
          <w:tab w:val="right" w:leader="dot" w:pos="9354"/>
        </w:tabs>
      </w:pPr>
      <w:r>
        <w:fldChar w:fldCharType="begin"/>
      </w:r>
      <w:r>
        <w:instrText xml:space="preserve"> HYPERLINK \l _Toc28119 </w:instrText>
      </w:r>
      <w:r>
        <w:fldChar w:fldCharType="separate"/>
      </w:r>
      <w:r>
        <w:rPr>
          <w:rFonts w:hint="eastAsia"/>
          <w:szCs w:val="21"/>
        </w:rPr>
        <w:t>附录A（规范性）</w:t>
      </w:r>
      <w:r>
        <w:rPr>
          <w:rFonts w:hint="eastAsia"/>
          <w:szCs w:val="21"/>
          <w:lang w:val="en-US" w:eastAsia="zh-CN"/>
        </w:rPr>
        <w:t xml:space="preserve">  </w:t>
      </w:r>
      <w:r>
        <w:rPr>
          <w:rFonts w:hint="eastAsia"/>
          <w:szCs w:val="21"/>
        </w:rPr>
        <w:t>智慧园艺</w:t>
      </w:r>
      <w:r>
        <w:rPr>
          <w:rFonts w:hint="eastAsia"/>
          <w:szCs w:val="21"/>
          <w:lang w:eastAsia="zh-CN"/>
        </w:rPr>
        <w:t>（</w:t>
      </w:r>
      <w:r>
        <w:rPr>
          <w:rFonts w:hint="eastAsia"/>
          <w:szCs w:val="21"/>
        </w:rPr>
        <w:t>设施果）</w:t>
      </w:r>
      <w:r>
        <w:rPr>
          <w:rFonts w:hint="eastAsia"/>
          <w:szCs w:val="21"/>
          <w:lang w:eastAsia="zh-CN"/>
        </w:rPr>
        <w:t>示范基地评价细则</w:t>
      </w:r>
      <w:r>
        <w:tab/>
      </w:r>
      <w:r>
        <w:fldChar w:fldCharType="begin"/>
      </w:r>
      <w:r>
        <w:instrText xml:space="preserve"> PAGEREF _Toc28119 \h </w:instrText>
      </w:r>
      <w:r>
        <w:fldChar w:fldCharType="separate"/>
      </w:r>
      <w:r>
        <w:t>4</w:t>
      </w:r>
      <w:r>
        <w:fldChar w:fldCharType="end"/>
      </w:r>
      <w:r>
        <w:fldChar w:fldCharType="end"/>
      </w:r>
    </w:p>
    <w:p>
      <w:pPr>
        <w:pStyle w:val="20"/>
        <w:tabs>
          <w:tab w:val="right" w:leader="dot" w:pos="9354"/>
        </w:tabs>
      </w:pPr>
      <w:r>
        <w:fldChar w:fldCharType="begin"/>
      </w:r>
      <w:r>
        <w:instrText xml:space="preserve"> HYPERLINK \l _Toc32024 </w:instrText>
      </w:r>
      <w:r>
        <w:fldChar w:fldCharType="separate"/>
      </w:r>
      <w:r>
        <w:rPr>
          <w:rFonts w:hint="eastAsia"/>
          <w:szCs w:val="21"/>
        </w:rPr>
        <w:t>附录B（规范性）</w:t>
      </w:r>
      <w:r>
        <w:rPr>
          <w:rFonts w:hint="eastAsia"/>
          <w:szCs w:val="21"/>
          <w:lang w:val="en-US" w:eastAsia="zh-CN"/>
        </w:rPr>
        <w:t xml:space="preserve">  </w:t>
      </w:r>
      <w:r>
        <w:rPr>
          <w:rFonts w:hint="eastAsia"/>
          <w:szCs w:val="21"/>
        </w:rPr>
        <w:t>智慧园艺</w:t>
      </w:r>
      <w:r>
        <w:rPr>
          <w:rFonts w:hint="eastAsia"/>
          <w:szCs w:val="21"/>
          <w:lang w:eastAsia="zh-CN"/>
        </w:rPr>
        <w:t>（</w:t>
      </w:r>
      <w:r>
        <w:rPr>
          <w:rFonts w:hint="eastAsia"/>
          <w:szCs w:val="21"/>
        </w:rPr>
        <w:t>设施花）</w:t>
      </w:r>
      <w:r>
        <w:rPr>
          <w:rFonts w:hint="eastAsia"/>
          <w:szCs w:val="21"/>
          <w:lang w:eastAsia="zh-CN"/>
        </w:rPr>
        <w:t>示范基地评价细则</w:t>
      </w:r>
      <w:r>
        <w:tab/>
      </w:r>
      <w:r>
        <w:fldChar w:fldCharType="begin"/>
      </w:r>
      <w:r>
        <w:instrText xml:space="preserve"> PAGEREF _Toc32024 \h </w:instrText>
      </w:r>
      <w:r>
        <w:fldChar w:fldCharType="separate"/>
      </w:r>
      <w:r>
        <w:t>7</w:t>
      </w:r>
      <w:r>
        <w:fldChar w:fldCharType="end"/>
      </w:r>
      <w:r>
        <w:fldChar w:fldCharType="end"/>
      </w:r>
    </w:p>
    <w:p>
      <w:pPr>
        <w:pStyle w:val="20"/>
        <w:tabs>
          <w:tab w:val="right" w:leader="dot" w:pos="9354"/>
        </w:tabs>
      </w:pPr>
      <w:r>
        <w:fldChar w:fldCharType="begin"/>
      </w:r>
      <w:r>
        <w:instrText xml:space="preserve"> HYPERLINK \l _Toc18223 </w:instrText>
      </w:r>
      <w:r>
        <w:fldChar w:fldCharType="separate"/>
      </w:r>
      <w:r>
        <w:rPr>
          <w:rFonts w:hint="eastAsia"/>
          <w:szCs w:val="21"/>
        </w:rPr>
        <w:t>附录</w:t>
      </w:r>
      <w:r>
        <w:rPr>
          <w:szCs w:val="21"/>
        </w:rPr>
        <w:t>C</w:t>
      </w:r>
      <w:r>
        <w:rPr>
          <w:rFonts w:hint="eastAsia"/>
          <w:szCs w:val="21"/>
        </w:rPr>
        <w:t>（规范性）</w:t>
      </w:r>
      <w:r>
        <w:rPr>
          <w:rFonts w:hint="eastAsia"/>
          <w:szCs w:val="21"/>
          <w:lang w:val="en-US" w:eastAsia="zh-CN"/>
        </w:rPr>
        <w:t xml:space="preserve">  </w:t>
      </w:r>
      <w:r>
        <w:rPr>
          <w:rFonts w:hint="eastAsia"/>
          <w:szCs w:val="21"/>
        </w:rPr>
        <w:t>智慧园艺（果园、茶园</w:t>
      </w:r>
      <w:r>
        <w:rPr>
          <w:rFonts w:hint="eastAsia"/>
          <w:szCs w:val="21"/>
          <w:lang w:eastAsia="zh-CN"/>
        </w:rPr>
        <w:t>、</w:t>
      </w:r>
      <w:r>
        <w:rPr>
          <w:rFonts w:hint="eastAsia"/>
          <w:szCs w:val="21"/>
          <w:lang w:val="en-US" w:eastAsia="zh-CN"/>
        </w:rPr>
        <w:t>桑园</w:t>
      </w:r>
      <w:r>
        <w:rPr>
          <w:rFonts w:hint="eastAsia"/>
          <w:szCs w:val="21"/>
        </w:rPr>
        <w:t>）</w:t>
      </w:r>
      <w:r>
        <w:rPr>
          <w:rFonts w:hint="eastAsia"/>
          <w:szCs w:val="21"/>
          <w:lang w:eastAsia="zh-CN"/>
        </w:rPr>
        <w:t>示范基地评价细则</w:t>
      </w:r>
      <w:r>
        <w:tab/>
      </w:r>
      <w:r>
        <w:fldChar w:fldCharType="begin"/>
      </w:r>
      <w:r>
        <w:instrText xml:space="preserve"> PAGEREF _Toc18223 \h </w:instrText>
      </w:r>
      <w:r>
        <w:fldChar w:fldCharType="separate"/>
      </w:r>
      <w:r>
        <w:t>10</w:t>
      </w:r>
      <w:r>
        <w:fldChar w:fldCharType="end"/>
      </w:r>
      <w:r>
        <w:fldChar w:fldCharType="end"/>
      </w:r>
    </w:p>
    <w:p>
      <w:pPr>
        <w:pStyle w:val="95"/>
        <w:spacing w:after="468"/>
        <w:sectPr>
          <w:headerReference r:id="rId9" w:type="default"/>
          <w:footerReference r:id="rId11" w:type="default"/>
          <w:headerReference r:id="rId10" w:type="even"/>
          <w:footerReference r:id="rId12" w:type="even"/>
          <w:pgSz w:w="11906" w:h="16838"/>
          <w:pgMar w:top="1871" w:right="1134" w:bottom="1134" w:left="1134" w:header="1418" w:footer="1134" w:gutter="284"/>
          <w:pgNumType w:fmt="upperRoman" w:start="1"/>
          <w:cols w:space="425" w:num="1"/>
          <w:formProt w:val="0"/>
          <w:docGrid w:type="lines" w:linePitch="312" w:charSpace="0"/>
        </w:sectPr>
      </w:pPr>
      <w:r>
        <w:fldChar w:fldCharType="end"/>
      </w:r>
    </w:p>
    <w:bookmarkEnd w:id="8"/>
    <w:p>
      <w:pPr>
        <w:pStyle w:val="93"/>
        <w:spacing w:after="468"/>
      </w:pPr>
      <w:bookmarkStart w:id="12" w:name="_Toc10396"/>
      <w:bookmarkStart w:id="13" w:name="_Toc29755"/>
      <w:bookmarkStart w:id="14" w:name="_Toc79039687"/>
      <w:bookmarkStart w:id="15" w:name="BookMark2"/>
      <w:r>
        <w:rPr>
          <w:spacing w:val="320"/>
        </w:rPr>
        <w:t>前</w:t>
      </w:r>
      <w:r>
        <w:t>言</w:t>
      </w:r>
      <w:bookmarkEnd w:id="9"/>
      <w:bookmarkEnd w:id="10"/>
      <w:bookmarkEnd w:id="11"/>
      <w:bookmarkEnd w:id="12"/>
      <w:bookmarkEnd w:id="13"/>
      <w:bookmarkEnd w:id="14"/>
    </w:p>
    <w:p>
      <w:pPr>
        <w:pStyle w:val="60"/>
        <w:ind w:firstLine="420"/>
      </w:pPr>
      <w:r>
        <w:rPr>
          <w:rFonts w:hint="eastAsia"/>
        </w:rPr>
        <w:t>本文件按照GB/T 1.1-2020《标准化工作导则 第1部分：标准化文件的结构和起草规则》的</w:t>
      </w:r>
      <w:r>
        <w:t>规定起草</w:t>
      </w:r>
      <w:r>
        <w:rPr>
          <w:rFonts w:hint="eastAsia"/>
        </w:rPr>
        <w:t>。</w:t>
      </w:r>
    </w:p>
    <w:p>
      <w:pPr>
        <w:pStyle w:val="60"/>
        <w:ind w:firstLine="420"/>
      </w:pPr>
      <w:r>
        <w:rPr>
          <w:rFonts w:hint="eastAsia"/>
        </w:rPr>
        <w:t>请注意本文件的某些内容可能涉及专利。本文件的发布机构不承担识别专利的责任。</w:t>
      </w:r>
    </w:p>
    <w:p>
      <w:pPr>
        <w:pStyle w:val="60"/>
        <w:ind w:firstLine="420"/>
      </w:pPr>
      <w:r>
        <w:rPr>
          <w:rFonts w:hint="eastAsia"/>
        </w:rPr>
        <w:t>本文件由提出并归口。</w:t>
      </w:r>
    </w:p>
    <w:p>
      <w:pPr>
        <w:pStyle w:val="60"/>
        <w:ind w:firstLine="420"/>
        <w:rPr>
          <w:rFonts w:hint="eastAsia"/>
          <w:lang w:eastAsia="zh-CN"/>
        </w:rPr>
      </w:pPr>
      <w:r>
        <w:rPr>
          <w:rFonts w:hint="eastAsia"/>
        </w:rPr>
        <w:t>本文件起草单位</w:t>
      </w:r>
      <w:r>
        <w:rPr>
          <w:rFonts w:hint="eastAsia"/>
          <w:lang w:eastAsia="zh-CN"/>
        </w:rPr>
        <w:t>：</w:t>
      </w:r>
    </w:p>
    <w:p>
      <w:pPr>
        <w:pStyle w:val="60"/>
        <w:ind w:firstLine="420"/>
        <w:rPr>
          <w:rFonts w:hint="eastAsia"/>
        </w:rPr>
      </w:pPr>
      <w:r>
        <w:rPr>
          <w:rFonts w:hint="eastAsia"/>
        </w:rPr>
        <w:t>本文件主要起草人：</w:t>
      </w:r>
    </w:p>
    <w:p>
      <w:pPr>
        <w:pStyle w:val="60"/>
        <w:ind w:firstLine="420"/>
      </w:pPr>
      <w:r>
        <w:rPr>
          <w:rFonts w:hint="eastAsia"/>
        </w:rPr>
        <w:t>本文件属首次发布。</w:t>
      </w:r>
    </w:p>
    <w:p>
      <w:pPr>
        <w:pStyle w:val="60"/>
        <w:ind w:firstLine="420"/>
        <w:sectPr>
          <w:headerReference r:id="rId13" w:type="default"/>
          <w:footerReference r:id="rId15" w:type="default"/>
          <w:headerReference r:id="rId14" w:type="even"/>
          <w:footerReference r:id="rId16" w:type="even"/>
          <w:pgSz w:w="11906" w:h="16838"/>
          <w:pgMar w:top="1871" w:right="1134" w:bottom="1134" w:left="1134" w:header="1418" w:footer="1134" w:gutter="284"/>
          <w:pgNumType w:fmt="upperRoman"/>
          <w:cols w:space="425" w:num="1"/>
          <w:formProt w:val="0"/>
          <w:docGrid w:type="lines" w:linePitch="312" w:charSpace="0"/>
        </w:sectPr>
      </w:pPr>
    </w:p>
    <w:bookmarkEnd w:id="15"/>
    <w:p>
      <w:pPr>
        <w:spacing w:line="20" w:lineRule="exact"/>
        <w:jc w:val="center"/>
        <w:rPr>
          <w:rFonts w:ascii="黑体" w:hAnsi="黑体" w:eastAsia="黑体"/>
          <w:sz w:val="32"/>
          <w:szCs w:val="32"/>
        </w:rPr>
      </w:pPr>
      <w:bookmarkStart w:id="16" w:name="BookMark4"/>
    </w:p>
    <w:p>
      <w:pPr>
        <w:spacing w:line="20" w:lineRule="exact"/>
        <w:jc w:val="center"/>
        <w:rPr>
          <w:rFonts w:ascii="黑体" w:hAnsi="黑体" w:eastAsia="黑体"/>
          <w:sz w:val="32"/>
          <w:szCs w:val="32"/>
        </w:rPr>
      </w:pPr>
    </w:p>
    <w:sdt>
      <w:sdtPr>
        <w:tag w:val="NEW_STAND_NAME"/>
        <w:id w:val="595910757"/>
        <w:lock w:val="sdtLocked"/>
        <w:placeholder>
          <w:docPart w:val="ADD9BDC2ECF948DEBDA5D51D0C85597F"/>
        </w:placeholder>
      </w:sdtPr>
      <w:sdtContent>
        <w:p>
          <w:pPr>
            <w:pStyle w:val="181"/>
            <w:spacing w:before="567" w:beforeLines="182" w:after="686" w:afterLines="220"/>
          </w:pPr>
          <w:bookmarkStart w:id="17" w:name="OLE_LINK3"/>
          <w:bookmarkStart w:id="18" w:name="NEW_STAND_NAME"/>
          <w:bookmarkStart w:id="19" w:name="OLE_LINK2"/>
          <w:r>
            <w:rPr>
              <w:rFonts w:hint="eastAsia"/>
            </w:rPr>
            <w:t>智慧农业示范基地建设与评价　</w:t>
          </w:r>
          <w:r>
            <w:rPr>
              <w:rFonts w:hint="eastAsia"/>
              <w:lang w:eastAsia="zh-CN"/>
            </w:rPr>
            <w:t>第5部分</w:t>
          </w:r>
          <w:r>
            <w:rPr>
              <w:rFonts w:hint="eastAsia"/>
            </w:rPr>
            <w:t>：智慧园艺</w:t>
          </w:r>
        </w:p>
      </w:sdtContent>
    </w:sdt>
    <w:bookmarkEnd w:id="17"/>
    <w:bookmarkEnd w:id="18"/>
    <w:bookmarkEnd w:id="19"/>
    <w:p>
      <w:pPr>
        <w:pStyle w:val="108"/>
        <w:spacing w:before="312" w:after="312"/>
      </w:pPr>
      <w:bookmarkStart w:id="20" w:name="_Toc57369986"/>
      <w:bookmarkStart w:id="21" w:name="_Toc24884218"/>
      <w:bookmarkStart w:id="22" w:name="_Toc26986530"/>
      <w:bookmarkStart w:id="23" w:name="_Toc17233325"/>
      <w:bookmarkStart w:id="24" w:name="_Toc26648465"/>
      <w:bookmarkStart w:id="25" w:name="_Toc24884211"/>
      <w:bookmarkStart w:id="26" w:name="_Toc26986771"/>
      <w:bookmarkStart w:id="27" w:name="_Toc17233333"/>
      <w:bookmarkStart w:id="28" w:name="_Toc79039688"/>
      <w:bookmarkStart w:id="29" w:name="_Toc29891"/>
      <w:bookmarkStart w:id="30" w:name="_Toc57374520"/>
      <w:bookmarkStart w:id="31" w:name="_Toc57370063"/>
      <w:bookmarkStart w:id="32" w:name="_Toc26718930"/>
      <w:bookmarkStart w:id="33" w:name="_Toc7222"/>
      <w:r>
        <w:rPr>
          <w:rFonts w:hint="eastAsia"/>
        </w:rPr>
        <w:t>范围</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60"/>
        <w:ind w:firstLine="420"/>
      </w:pPr>
      <w:bookmarkStart w:id="34" w:name="_Toc24884212"/>
      <w:bookmarkStart w:id="35" w:name="_Toc17233334"/>
      <w:bookmarkStart w:id="36" w:name="_Toc26648466"/>
      <w:bookmarkStart w:id="37" w:name="_Toc17233326"/>
      <w:bookmarkStart w:id="38" w:name="_Toc24884219"/>
      <w:r>
        <w:rPr>
          <w:rFonts w:hint="eastAsia"/>
        </w:rPr>
        <w:t>本文件规定了</w:t>
      </w:r>
      <w:r>
        <w:rPr>
          <w:rFonts w:hint="eastAsia"/>
          <w:lang w:eastAsia="zh-CN"/>
        </w:rPr>
        <w:t>《</w:t>
      </w:r>
      <w:r>
        <w:rPr>
          <w:rFonts w:hint="eastAsia"/>
        </w:rPr>
        <w:t>智慧农业示范基地建设与评价　</w:t>
      </w:r>
      <w:r>
        <w:rPr>
          <w:rFonts w:hint="eastAsia"/>
          <w:lang w:eastAsia="zh-CN"/>
        </w:rPr>
        <w:t>第5部分</w:t>
      </w:r>
      <w:r>
        <w:rPr>
          <w:rFonts w:hint="eastAsia"/>
        </w:rPr>
        <w:t>：智慧园艺</w:t>
      </w:r>
      <w:r>
        <w:rPr>
          <w:rFonts w:hint="eastAsia"/>
          <w:lang w:eastAsia="zh-CN"/>
        </w:rPr>
        <w:t>》</w:t>
      </w:r>
      <w:r>
        <w:rPr>
          <w:rFonts w:hint="eastAsia"/>
        </w:rPr>
        <w:t>的术语和定义、评价原则、考核评价</w:t>
      </w:r>
      <w:r>
        <w:t>等</w:t>
      </w:r>
      <w:r>
        <w:rPr>
          <w:rFonts w:hint="eastAsia"/>
        </w:rPr>
        <w:t>。</w:t>
      </w:r>
    </w:p>
    <w:p>
      <w:pPr>
        <w:pStyle w:val="60"/>
        <w:ind w:firstLine="420"/>
      </w:pPr>
      <w:r>
        <w:rPr>
          <w:rFonts w:hint="eastAsia"/>
        </w:rPr>
        <w:t>本文件适用于苏州市范围内智慧园艺示范基地的综合评价。</w:t>
      </w:r>
    </w:p>
    <w:p>
      <w:pPr>
        <w:pStyle w:val="108"/>
        <w:spacing w:before="312" w:after="312"/>
      </w:pPr>
      <w:bookmarkStart w:id="39" w:name="_Toc26986772"/>
      <w:bookmarkStart w:id="40" w:name="_Toc57369987"/>
      <w:bookmarkStart w:id="41" w:name="_Toc32314"/>
      <w:bookmarkStart w:id="42" w:name="_Toc79039689"/>
      <w:bookmarkStart w:id="43" w:name="_Toc13174"/>
      <w:bookmarkStart w:id="44" w:name="_Toc26986531"/>
      <w:bookmarkStart w:id="45" w:name="_Toc57374521"/>
      <w:bookmarkStart w:id="46" w:name="_Toc57370064"/>
      <w:bookmarkStart w:id="47" w:name="_Toc26718931"/>
      <w:r>
        <w:rPr>
          <w:rFonts w:hint="eastAsia"/>
        </w:rPr>
        <w:t>规范性引用文件</w:t>
      </w:r>
      <w:bookmarkEnd w:id="34"/>
      <w:bookmarkEnd w:id="35"/>
      <w:bookmarkEnd w:id="36"/>
      <w:bookmarkEnd w:id="37"/>
      <w:bookmarkEnd w:id="38"/>
      <w:bookmarkEnd w:id="39"/>
      <w:bookmarkEnd w:id="40"/>
      <w:bookmarkEnd w:id="41"/>
      <w:bookmarkEnd w:id="42"/>
      <w:bookmarkEnd w:id="43"/>
      <w:bookmarkEnd w:id="44"/>
      <w:bookmarkEnd w:id="45"/>
      <w:bookmarkEnd w:id="46"/>
      <w:bookmarkEnd w:id="47"/>
    </w:p>
    <w:sdt>
      <w:sdtPr>
        <w:rPr>
          <w:rFonts w:hint="eastAsia"/>
        </w:rPr>
        <w:id w:val="715848253"/>
        <w:placeholder>
          <w:docPart w:val="9BE23F89CA064BC4A98EABD850BBEF76"/>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60"/>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tabs>
          <w:tab w:val="left" w:pos="4111"/>
        </w:tabs>
        <w:spacing w:line="240" w:lineRule="auto"/>
        <w:ind w:firstLine="420" w:firstLineChars="200"/>
        <w:rPr>
          <w:rFonts w:hint="eastAsia" w:ascii="宋体" w:hAnsi="宋体" w:eastAsia="宋体" w:cs="宋体"/>
        </w:rPr>
      </w:pPr>
      <w:r>
        <w:rPr>
          <w:rFonts w:hint="eastAsia" w:ascii="宋体" w:hAnsi="宋体" w:eastAsia="宋体" w:cs="宋体"/>
        </w:rPr>
        <w:t>GB/T 23393 设施园艺工程术语</w:t>
      </w:r>
    </w:p>
    <w:p>
      <w:pPr>
        <w:tabs>
          <w:tab w:val="left" w:pos="4111"/>
        </w:tabs>
        <w:spacing w:line="240" w:lineRule="auto"/>
        <w:ind w:firstLine="420" w:firstLineChars="200"/>
        <w:rPr>
          <w:rFonts w:hint="eastAsia" w:ascii="宋体" w:hAnsi="宋体" w:eastAsia="宋体" w:cs="宋体"/>
        </w:rPr>
      </w:pPr>
      <w:r>
        <w:rPr>
          <w:rFonts w:hint="eastAsia" w:ascii="宋体" w:hAnsi="宋体" w:eastAsia="宋体" w:cs="宋体"/>
        </w:rPr>
        <w:t>GB/T 31524 电子商务平台运营与技术规范</w:t>
      </w:r>
    </w:p>
    <w:p>
      <w:pPr>
        <w:tabs>
          <w:tab w:val="left" w:pos="4111"/>
        </w:tabs>
        <w:spacing w:line="240" w:lineRule="auto"/>
        <w:ind w:firstLine="420" w:firstLineChars="200"/>
        <w:rPr>
          <w:rFonts w:hint="eastAsia" w:ascii="宋体" w:hAnsi="宋体" w:eastAsia="宋体" w:cs="宋体"/>
        </w:rPr>
      </w:pPr>
      <w:r>
        <w:rPr>
          <w:rFonts w:hint="eastAsia" w:ascii="宋体" w:hAnsi="宋体" w:eastAsia="宋体" w:cs="宋体"/>
        </w:rPr>
        <w:t>NY/T 2624 水肥一体化技术规范 总则</w:t>
      </w:r>
    </w:p>
    <w:p>
      <w:pPr>
        <w:pStyle w:val="108"/>
        <w:spacing w:before="312" w:after="312"/>
      </w:pPr>
      <w:bookmarkStart w:id="48" w:name="_Toc57369988"/>
      <w:bookmarkStart w:id="49" w:name="_Toc17515"/>
      <w:bookmarkStart w:id="50" w:name="_Toc57370065"/>
      <w:bookmarkStart w:id="51" w:name="_Toc29736"/>
      <w:bookmarkStart w:id="52" w:name="_Toc57374522"/>
      <w:bookmarkStart w:id="53" w:name="_Toc79039690"/>
      <w:r>
        <w:rPr>
          <w:rFonts w:hint="eastAsia"/>
          <w:szCs w:val="21"/>
        </w:rPr>
        <w:t>术语和定义</w:t>
      </w:r>
      <w:bookmarkEnd w:id="48"/>
      <w:bookmarkEnd w:id="49"/>
      <w:bookmarkEnd w:id="50"/>
      <w:bookmarkEnd w:id="51"/>
      <w:bookmarkEnd w:id="52"/>
      <w:bookmarkEnd w:id="53"/>
    </w:p>
    <w:sdt>
      <w:sdtPr>
        <w:rPr>
          <w:rFonts w:hint="eastAsia"/>
        </w:rPr>
        <w:id w:val="-1909835108"/>
        <w:placeholder>
          <w:docPart w:val="A1D5730589A840B58F37A3101F08705E"/>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rFonts w:hint="eastAsia"/>
        </w:rPr>
      </w:sdtEndPr>
      <w:sdtContent>
        <w:p>
          <w:pPr>
            <w:pStyle w:val="60"/>
            <w:ind w:firstLine="420"/>
          </w:pPr>
          <w:bookmarkStart w:id="54" w:name="_Toc26986532"/>
          <w:bookmarkEnd w:id="54"/>
          <w:r>
            <w:rPr>
              <w:rFonts w:hint="eastAsia"/>
            </w:rPr>
            <w:t>GB/T 23393等标准中界定的及下列术语和定义适用于本文件。</w:t>
          </w:r>
        </w:p>
      </w:sdtContent>
    </w:sdt>
    <w:p>
      <w:pPr>
        <w:pStyle w:val="227"/>
        <w:ind w:left="420" w:hanging="420" w:hangingChars="200"/>
        <w:rPr>
          <w:rFonts w:ascii="黑体" w:hAnsi="黑体" w:eastAsia="黑体"/>
        </w:rPr>
      </w:pPr>
    </w:p>
    <w:p>
      <w:pPr>
        <w:pStyle w:val="227"/>
        <w:numPr>
          <w:ilvl w:val="0"/>
          <w:numId w:val="0"/>
        </w:numPr>
        <w:ind w:left="420"/>
        <w:rPr>
          <w:rFonts w:ascii="黑体" w:hAnsi="黑体" w:eastAsia="黑体"/>
        </w:rPr>
      </w:pPr>
      <w:r>
        <w:rPr>
          <w:rFonts w:hint="eastAsia" w:ascii="黑体" w:hAnsi="黑体" w:eastAsia="黑体"/>
        </w:rPr>
        <w:t>智慧园艺 smart horticulture</w:t>
      </w:r>
    </w:p>
    <w:p>
      <w:pPr>
        <w:pStyle w:val="227"/>
        <w:numPr>
          <w:ilvl w:val="0"/>
          <w:numId w:val="0"/>
        </w:numPr>
        <w:ind w:firstLine="424" w:firstLineChars="202"/>
      </w:pPr>
      <w:r>
        <w:rPr>
          <w:rFonts w:hint="eastAsia"/>
        </w:rPr>
        <w:t>利用农业技术、互联网、物联网、云计算、生物技术和工程技术等，依托人工智能和大数据的自动化装备，通过无人机、机器人对园艺作物全方位多角度的数据采集和大数据分析智能装备实现病虫害防治、采摘、田间管理等操作，辅以溯源系统、物联网管理系统和水肥一体化智能灌溉系统，推进园艺智慧生产管理和园艺智能化技术装备发展，实现园艺生产的精准化种植、可视化管理、智能化决策。</w:t>
      </w:r>
    </w:p>
    <w:p>
      <w:pPr>
        <w:pStyle w:val="108"/>
        <w:spacing w:before="312" w:after="312"/>
        <w:rPr>
          <w:szCs w:val="21"/>
        </w:rPr>
      </w:pPr>
      <w:bookmarkStart w:id="55" w:name="_Toc16524"/>
      <w:bookmarkStart w:id="56" w:name="_Toc1079"/>
      <w:bookmarkStart w:id="57" w:name="_Toc79039700"/>
      <w:r>
        <w:rPr>
          <w:rFonts w:hint="eastAsia"/>
          <w:szCs w:val="21"/>
        </w:rPr>
        <w:t>评价原则</w:t>
      </w:r>
      <w:bookmarkEnd w:id="55"/>
      <w:bookmarkEnd w:id="56"/>
      <w:bookmarkEnd w:id="57"/>
    </w:p>
    <w:p>
      <w:pPr>
        <w:pStyle w:val="109"/>
        <w:spacing w:before="156" w:after="156"/>
      </w:pPr>
      <w:bookmarkStart w:id="58" w:name="_Toc79039701"/>
      <w:bookmarkStart w:id="59" w:name="_Toc15511"/>
      <w:bookmarkStart w:id="60" w:name="_Toc6027"/>
      <w:r>
        <w:rPr>
          <w:rFonts w:hint="eastAsia"/>
        </w:rPr>
        <w:t>客观公正原则</w:t>
      </w:r>
      <w:bookmarkEnd w:id="58"/>
      <w:bookmarkEnd w:id="59"/>
      <w:bookmarkEnd w:id="60"/>
    </w:p>
    <w:p>
      <w:pPr>
        <w:pStyle w:val="60"/>
        <w:ind w:firstLine="420"/>
      </w:pPr>
      <w:r>
        <w:rPr>
          <w:rFonts w:hint="eastAsia"/>
        </w:rPr>
        <w:t>评价工作要客观公正，评价过程、方法和结果要公开透明，全过程接受监督。</w:t>
      </w:r>
    </w:p>
    <w:p>
      <w:pPr>
        <w:pStyle w:val="109"/>
        <w:spacing w:before="156" w:after="156"/>
      </w:pPr>
      <w:bookmarkStart w:id="61" w:name="_Toc16092"/>
      <w:bookmarkStart w:id="62" w:name="_Toc1779"/>
      <w:bookmarkStart w:id="63" w:name="_Toc79039702"/>
      <w:r>
        <w:rPr>
          <w:rFonts w:hint="eastAsia"/>
        </w:rPr>
        <w:t>全产业链原则</w:t>
      </w:r>
      <w:bookmarkEnd w:id="61"/>
      <w:bookmarkEnd w:id="62"/>
      <w:bookmarkEnd w:id="63"/>
    </w:p>
    <w:p>
      <w:pPr>
        <w:pStyle w:val="60"/>
        <w:ind w:firstLine="420"/>
      </w:pPr>
      <w:r>
        <w:rPr>
          <w:rFonts w:hint="eastAsia"/>
        </w:rPr>
        <w:t>评价工作应统筹考虑智慧园艺产业链的各个环节，科学的评价示范基地的整体性、智慧性、实效性、可持续性和盈利。</w:t>
      </w:r>
    </w:p>
    <w:p>
      <w:pPr>
        <w:pStyle w:val="109"/>
        <w:spacing w:before="156" w:after="156"/>
      </w:pPr>
      <w:bookmarkStart w:id="64" w:name="_Toc79039703"/>
      <w:bookmarkStart w:id="65" w:name="_Toc14912"/>
      <w:bookmarkStart w:id="66" w:name="_Toc15822"/>
      <w:r>
        <w:rPr>
          <w:rFonts w:hint="eastAsia"/>
        </w:rPr>
        <w:t>激励引导原则</w:t>
      </w:r>
      <w:bookmarkEnd w:id="64"/>
      <w:bookmarkEnd w:id="65"/>
      <w:bookmarkEnd w:id="66"/>
    </w:p>
    <w:p>
      <w:pPr>
        <w:pStyle w:val="60"/>
        <w:ind w:firstLine="420"/>
      </w:pPr>
      <w:r>
        <w:rPr>
          <w:rFonts w:hint="eastAsia"/>
        </w:rPr>
        <w:t>以政策为导向，充分发挥示范基地评价的激励、示范和引领作用，鼓励先进、创新和对未来良好的规划。</w:t>
      </w:r>
    </w:p>
    <w:p>
      <w:pPr>
        <w:pStyle w:val="109"/>
        <w:spacing w:before="156" w:after="156"/>
      </w:pPr>
      <w:bookmarkStart w:id="67" w:name="_Toc79039704"/>
      <w:bookmarkStart w:id="68" w:name="_Toc13545"/>
      <w:bookmarkStart w:id="69" w:name="_Toc25276"/>
      <w:r>
        <w:rPr>
          <w:rFonts w:hint="eastAsia"/>
        </w:rPr>
        <w:t>实用性原则</w:t>
      </w:r>
      <w:bookmarkEnd w:id="67"/>
      <w:bookmarkEnd w:id="68"/>
      <w:bookmarkEnd w:id="69"/>
    </w:p>
    <w:p>
      <w:pPr>
        <w:pStyle w:val="60"/>
        <w:ind w:firstLine="420"/>
      </w:pPr>
      <w:r>
        <w:rPr>
          <w:rFonts w:hint="eastAsia"/>
        </w:rPr>
        <w:t>评价指标和方法应充分考虑示范基地中，园艺“智慧化”产生的经济效益和生态效益。</w:t>
      </w:r>
    </w:p>
    <w:p>
      <w:pPr>
        <w:pStyle w:val="109"/>
        <w:spacing w:before="156" w:after="156"/>
      </w:pPr>
      <w:bookmarkStart w:id="70" w:name="_Toc79039705"/>
      <w:bookmarkStart w:id="71" w:name="_Toc9268"/>
      <w:bookmarkStart w:id="72" w:name="_Toc3411"/>
      <w:r>
        <w:rPr>
          <w:rFonts w:hint="eastAsia"/>
        </w:rPr>
        <w:t>可操作性原则</w:t>
      </w:r>
      <w:bookmarkEnd w:id="70"/>
      <w:bookmarkEnd w:id="71"/>
      <w:bookmarkEnd w:id="72"/>
    </w:p>
    <w:p>
      <w:pPr>
        <w:pStyle w:val="60"/>
        <w:ind w:firstLine="420"/>
      </w:pPr>
      <w:r>
        <w:rPr>
          <w:rFonts w:hint="eastAsia"/>
        </w:rPr>
        <w:t>评价指标应以简明、可验证为基准，评价结果应具有可比性。</w:t>
      </w:r>
    </w:p>
    <w:p>
      <w:pPr>
        <w:pStyle w:val="108"/>
        <w:spacing w:before="312" w:after="312"/>
        <w:rPr>
          <w:szCs w:val="21"/>
        </w:rPr>
      </w:pPr>
      <w:bookmarkStart w:id="73" w:name="_Toc1838"/>
      <w:bookmarkStart w:id="74" w:name="_Toc8151"/>
      <w:bookmarkStart w:id="75" w:name="_Toc79039706"/>
      <w:r>
        <w:rPr>
          <w:rFonts w:hint="eastAsia"/>
          <w:szCs w:val="21"/>
        </w:rPr>
        <w:t>考核评价</w:t>
      </w:r>
      <w:bookmarkEnd w:id="73"/>
      <w:bookmarkEnd w:id="74"/>
      <w:bookmarkEnd w:id="75"/>
    </w:p>
    <w:p>
      <w:pPr>
        <w:pStyle w:val="109"/>
        <w:spacing w:before="156" w:after="156"/>
      </w:pPr>
      <w:bookmarkStart w:id="76" w:name="_Toc79039707"/>
      <w:bookmarkStart w:id="77" w:name="_Toc32669"/>
      <w:bookmarkStart w:id="78" w:name="_Toc30240"/>
      <w:r>
        <w:rPr>
          <w:rFonts w:hint="eastAsia"/>
        </w:rPr>
        <w:t>评价内容</w:t>
      </w:r>
      <w:bookmarkEnd w:id="76"/>
      <w:bookmarkEnd w:id="77"/>
      <w:bookmarkEnd w:id="78"/>
    </w:p>
    <w:p>
      <w:pPr>
        <w:pStyle w:val="69"/>
        <w:spacing w:before="156" w:after="156"/>
      </w:pPr>
      <w:r>
        <w:rPr>
          <w:rFonts w:hint="eastAsia"/>
        </w:rPr>
        <w:t>基本情况</w:t>
      </w:r>
    </w:p>
    <w:p>
      <w:pPr>
        <w:pStyle w:val="178"/>
        <w:numPr>
          <w:ilvl w:val="0"/>
          <w:numId w:val="0"/>
        </w:numPr>
        <w:ind w:left="851" w:hanging="426"/>
      </w:pPr>
      <w:r>
        <w:rPr>
          <w:rFonts w:hint="eastAsia"/>
          <w:lang w:eastAsia="zh-CN"/>
        </w:rPr>
        <w:t>考查</w:t>
      </w:r>
      <w:r>
        <w:rPr>
          <w:rFonts w:hint="eastAsia"/>
        </w:rPr>
        <w:t>智慧园艺示范基地的种植规模和信息化投资。</w:t>
      </w:r>
    </w:p>
    <w:p>
      <w:pPr>
        <w:pStyle w:val="69"/>
        <w:spacing w:before="156" w:after="156"/>
      </w:pPr>
      <w:r>
        <w:rPr>
          <w:rFonts w:hint="eastAsia"/>
        </w:rPr>
        <w:t>生产过程</w:t>
      </w:r>
    </w:p>
    <w:p>
      <w:pPr>
        <w:pStyle w:val="60"/>
        <w:ind w:firstLine="420"/>
      </w:pPr>
      <w:r>
        <w:rPr>
          <w:rFonts w:hint="eastAsia"/>
        </w:rPr>
        <w:t>主要</w:t>
      </w:r>
      <w:r>
        <w:rPr>
          <w:rFonts w:hint="eastAsia"/>
          <w:lang w:eastAsia="zh-CN"/>
        </w:rPr>
        <w:t>考查</w:t>
      </w:r>
      <w:r>
        <w:rPr>
          <w:rFonts w:hint="eastAsia"/>
        </w:rPr>
        <w:t>园艺全产业链生产过程中的智慧化程度，包括投入品管理、栽培方式、生长环境监测调控、生长过程监测调控、产品采收和运输、产品分级与包装、销售、质量管理</w:t>
      </w:r>
      <w:r>
        <w:rPr>
          <w:rFonts w:hint="eastAsia"/>
          <w:lang w:val="en-US" w:eastAsia="zh-CN"/>
        </w:rPr>
        <w:t>等多个方面</w:t>
      </w:r>
      <w:r>
        <w:rPr>
          <w:rFonts w:hint="eastAsia"/>
        </w:rPr>
        <w:t>。</w:t>
      </w:r>
    </w:p>
    <w:p>
      <w:pPr>
        <w:pStyle w:val="69"/>
        <w:spacing w:before="156" w:after="156"/>
      </w:pPr>
      <w:r>
        <w:rPr>
          <w:rFonts w:hint="eastAsia"/>
        </w:rPr>
        <w:t>管理决策</w:t>
      </w:r>
    </w:p>
    <w:p>
      <w:pPr>
        <w:pStyle w:val="60"/>
        <w:ind w:firstLine="420"/>
      </w:pPr>
      <w:r>
        <w:rPr>
          <w:rFonts w:hint="eastAsia"/>
        </w:rPr>
        <w:t>主要</w:t>
      </w:r>
      <w:r>
        <w:rPr>
          <w:rFonts w:hint="eastAsia"/>
          <w:lang w:eastAsia="zh-CN"/>
        </w:rPr>
        <w:t>考查</w:t>
      </w:r>
      <w:r>
        <w:rPr>
          <w:rFonts w:hint="eastAsia"/>
        </w:rPr>
        <w:t>智慧园艺示范基地的人员管理和决策支持，包括有信息化专业背景人员、互联互通和决策模式三个方面。</w:t>
      </w:r>
    </w:p>
    <w:p>
      <w:pPr>
        <w:pStyle w:val="69"/>
        <w:spacing w:before="156" w:after="156"/>
      </w:pPr>
      <w:r>
        <w:rPr>
          <w:rFonts w:hint="eastAsia"/>
        </w:rPr>
        <w:t>产出效益</w:t>
      </w:r>
    </w:p>
    <w:p>
      <w:pPr>
        <w:pStyle w:val="60"/>
        <w:ind w:firstLine="420"/>
      </w:pPr>
      <w:r>
        <w:rPr>
          <w:rFonts w:hint="eastAsia"/>
        </w:rPr>
        <w:t>主要</w:t>
      </w:r>
      <w:r>
        <w:rPr>
          <w:rFonts w:hint="eastAsia"/>
          <w:lang w:eastAsia="zh-CN"/>
        </w:rPr>
        <w:t>考查</w:t>
      </w:r>
      <w:r>
        <w:rPr>
          <w:rFonts w:hint="eastAsia"/>
        </w:rPr>
        <w:t>智慧园艺示范基地</w:t>
      </w:r>
      <w:r>
        <w:rPr>
          <w:rFonts w:hint="eastAsia"/>
          <w:lang w:eastAsia="zh-CN"/>
        </w:rPr>
        <w:t>通过应用智慧农业技术与装备带来</w:t>
      </w:r>
      <w:r>
        <w:rPr>
          <w:rFonts w:hint="eastAsia"/>
        </w:rPr>
        <w:t>的经济效益和生态效益，包括减工降本、提质增效和资源节约三个方面。</w:t>
      </w:r>
    </w:p>
    <w:p>
      <w:pPr>
        <w:pStyle w:val="69"/>
        <w:spacing w:before="156" w:after="156"/>
      </w:pPr>
      <w:r>
        <w:rPr>
          <w:rFonts w:hint="eastAsia"/>
        </w:rPr>
        <w:t>创新与规划</w:t>
      </w:r>
    </w:p>
    <w:p>
      <w:pPr>
        <w:pStyle w:val="60"/>
        <w:ind w:firstLine="420"/>
      </w:pPr>
      <w:r>
        <w:rPr>
          <w:rFonts w:hint="eastAsia"/>
        </w:rPr>
        <w:t>调查智慧园艺示范基地在模式培育、科技项目申报方面的创新能力，以及对基地未来智慧化建设的规划。</w:t>
      </w:r>
    </w:p>
    <w:p>
      <w:pPr>
        <w:pStyle w:val="109"/>
        <w:spacing w:before="156" w:after="156"/>
      </w:pPr>
      <w:bookmarkStart w:id="79" w:name="_Toc15289"/>
      <w:bookmarkStart w:id="80" w:name="_Toc22124"/>
      <w:bookmarkStart w:id="81" w:name="_Toc79039708"/>
      <w:r>
        <w:rPr>
          <w:rFonts w:hint="eastAsia"/>
        </w:rPr>
        <w:t>评价指标</w:t>
      </w:r>
      <w:bookmarkEnd w:id="79"/>
      <w:bookmarkEnd w:id="80"/>
      <w:bookmarkEnd w:id="81"/>
    </w:p>
    <w:p>
      <w:pPr>
        <w:pStyle w:val="60"/>
        <w:ind w:firstLine="420"/>
      </w:pPr>
      <w:r>
        <w:rPr>
          <w:rFonts w:hint="eastAsia"/>
        </w:rPr>
        <w:t>智慧园艺示范基地评价指标设置为三个层次：一级指标、二级指标和三级指标。根据智慧园艺产业链中不同的环节，建立相应的评价指标，详见本标准附录A（规范性）、附录</w:t>
      </w:r>
      <w:r>
        <w:t>B</w:t>
      </w:r>
      <w:r>
        <w:rPr>
          <w:rFonts w:hint="eastAsia"/>
        </w:rPr>
        <w:t>（规范性）、附录</w:t>
      </w:r>
      <w:r>
        <w:t>C</w:t>
      </w:r>
      <w:r>
        <w:rPr>
          <w:rFonts w:hint="eastAsia"/>
        </w:rPr>
        <w:t>（规范性）和附录D（规范性）。</w:t>
      </w:r>
    </w:p>
    <w:p>
      <w:pPr>
        <w:pStyle w:val="109"/>
        <w:spacing w:before="156" w:after="156"/>
        <w:rPr>
          <w:rFonts w:hint="eastAsia"/>
        </w:rPr>
      </w:pPr>
      <w:bookmarkStart w:id="82" w:name="_Toc79039709"/>
      <w:bookmarkStart w:id="83" w:name="_Toc31679"/>
      <w:bookmarkStart w:id="84" w:name="_Toc25878"/>
      <w:r>
        <w:rPr>
          <w:rFonts w:hint="eastAsia"/>
        </w:rPr>
        <w:t>评价方法</w:t>
      </w:r>
      <w:bookmarkEnd w:id="82"/>
      <w:bookmarkEnd w:id="83"/>
      <w:bookmarkEnd w:id="84"/>
    </w:p>
    <w:p>
      <w:pPr>
        <w:pStyle w:val="69"/>
        <w:spacing w:before="156" w:after="156"/>
        <w:rPr>
          <w:rFonts w:hint="eastAsia"/>
          <w:lang w:val="en-US" w:eastAsia="zh-CN"/>
        </w:rPr>
      </w:pPr>
      <w:r>
        <w:rPr>
          <w:rFonts w:hint="eastAsia"/>
          <w:lang w:val="en-US" w:eastAsia="zh-CN"/>
        </w:rPr>
        <w:t>现场考评</w:t>
      </w:r>
    </w:p>
    <w:p>
      <w:pPr>
        <w:pStyle w:val="60"/>
        <w:spacing w:before="156" w:after="156"/>
        <w:ind w:firstLine="420"/>
        <w:rPr>
          <w:rFonts w:hint="eastAsia"/>
        </w:rPr>
      </w:pPr>
      <w:r>
        <w:rPr>
          <w:rFonts w:hint="eastAsia"/>
          <w:lang w:eastAsia="zh-CN"/>
        </w:rPr>
        <w:t>第三方对待评价基地进行现场考评，按照本标准附录的评价细则逐项检查基地申报材料中的系统、设备等实际建设使用情况。</w:t>
      </w:r>
    </w:p>
    <w:p>
      <w:pPr>
        <w:pStyle w:val="69"/>
        <w:spacing w:before="156" w:after="156"/>
        <w:rPr>
          <w:rFonts w:hint="eastAsia"/>
          <w:lang w:val="en-US" w:eastAsia="zh-CN"/>
        </w:rPr>
      </w:pPr>
      <w:r>
        <w:rPr>
          <w:rFonts w:hint="eastAsia"/>
          <w:lang w:val="en-US" w:eastAsia="zh-CN"/>
        </w:rPr>
        <w:t>专家评审</w:t>
      </w:r>
    </w:p>
    <w:p>
      <w:pPr>
        <w:pStyle w:val="60"/>
        <w:ind w:firstLine="420"/>
      </w:pPr>
      <w:r>
        <w:rPr>
          <w:rFonts w:hint="eastAsia"/>
          <w:lang w:eastAsia="zh-CN"/>
        </w:rPr>
        <w:t>评审</w:t>
      </w:r>
      <w:r>
        <w:rPr>
          <w:rFonts w:hint="eastAsia"/>
        </w:rPr>
        <w:t>专家组应由园艺栽培、设施农业、农业信息化、农业物联网及系统研发等领域的专家组成，设组长1名，专家人数不少于</w:t>
      </w:r>
      <w:r>
        <w:rPr>
          <w:rFonts w:hint="eastAsia"/>
          <w:lang w:val="en-US" w:eastAsia="zh-CN"/>
        </w:rPr>
        <w:t>5</w:t>
      </w:r>
      <w:r>
        <w:rPr>
          <w:rFonts w:hint="eastAsia"/>
        </w:rPr>
        <w:t>人。</w:t>
      </w:r>
      <w:r>
        <w:rPr>
          <w:rFonts w:hint="eastAsia"/>
          <w:lang w:eastAsia="zh-CN"/>
        </w:rPr>
        <w:t>评审专家组听取待评价基地相关负责人的汇报，对汇报人进行现场提问、情况质询，结合第三方现场考评和申报材料审阅情况，各评审专家按照本标准附录的评价细则进行独立评分。</w:t>
      </w:r>
    </w:p>
    <w:p>
      <w:pPr>
        <w:pStyle w:val="69"/>
        <w:spacing w:before="156" w:after="156"/>
        <w:rPr>
          <w:rFonts w:hint="eastAsia"/>
          <w:lang w:val="en-US" w:eastAsia="zh-CN"/>
        </w:rPr>
      </w:pPr>
      <w:r>
        <w:rPr>
          <w:rFonts w:hint="eastAsia"/>
          <w:lang w:val="en-US" w:eastAsia="zh-CN"/>
        </w:rPr>
        <w:t>评价得分</w:t>
      </w:r>
    </w:p>
    <w:p>
      <w:pPr>
        <w:pStyle w:val="60"/>
        <w:ind w:firstLine="420"/>
      </w:pPr>
      <w:r>
        <w:rPr>
          <w:rFonts w:hint="eastAsia"/>
        </w:rPr>
        <w:t>本标准满分为100分</w:t>
      </w:r>
      <w:r>
        <w:rPr>
          <w:rFonts w:hint="eastAsia"/>
          <w:lang w:eastAsia="zh-CN"/>
        </w:rPr>
        <w:t>，基地评价得分</w:t>
      </w:r>
      <w:r>
        <w:rPr>
          <w:rFonts w:hint="eastAsia"/>
        </w:rPr>
        <w:t>取</w:t>
      </w:r>
      <w:r>
        <w:rPr>
          <w:rFonts w:hint="eastAsia"/>
          <w:lang w:eastAsia="zh-CN"/>
        </w:rPr>
        <w:t>评审专家组</w:t>
      </w:r>
      <w:r>
        <w:rPr>
          <w:rFonts w:hint="eastAsia"/>
          <w:lang w:val="en-US" w:eastAsia="zh-CN"/>
        </w:rPr>
        <w:t>内各位专家评分</w:t>
      </w:r>
      <w:r>
        <w:rPr>
          <w:rFonts w:hint="eastAsia"/>
          <w:lang w:eastAsia="zh-CN"/>
        </w:rPr>
        <w:t>的</w:t>
      </w:r>
      <w:r>
        <w:rPr>
          <w:rFonts w:hint="eastAsia"/>
        </w:rPr>
        <w:t>平均分。</w:t>
      </w:r>
    </w:p>
    <w:p>
      <w:pPr>
        <w:pStyle w:val="69"/>
        <w:spacing w:before="156" w:after="156"/>
        <w:rPr>
          <w:rFonts w:hint="eastAsia"/>
          <w:lang w:val="en-US" w:eastAsia="zh-CN"/>
        </w:rPr>
      </w:pPr>
      <w:r>
        <w:rPr>
          <w:rFonts w:hint="eastAsia"/>
          <w:lang w:val="en-US" w:eastAsia="zh-CN"/>
        </w:rPr>
        <w:t>其他方式</w:t>
      </w:r>
    </w:p>
    <w:p>
      <w:pPr>
        <w:pStyle w:val="60"/>
        <w:ind w:firstLine="420"/>
      </w:pPr>
      <w:r>
        <w:rPr>
          <w:rFonts w:hint="eastAsia"/>
        </w:rPr>
        <w:t>在满足评价效果的前提下也可采用其他方式。</w:t>
      </w:r>
    </w:p>
    <w:p>
      <w:pPr>
        <w:pStyle w:val="109"/>
        <w:spacing w:before="156" w:after="156"/>
        <w:rPr>
          <w:rFonts w:hint="eastAsia"/>
          <w:lang w:val="en-US" w:eastAsia="zh-CN"/>
        </w:rPr>
      </w:pPr>
      <w:bookmarkStart w:id="85" w:name="_Toc2730"/>
      <w:bookmarkStart w:id="86" w:name="_Toc17799"/>
      <w:bookmarkStart w:id="87" w:name="_Toc78364434"/>
      <w:r>
        <w:rPr>
          <w:rFonts w:hint="eastAsia"/>
          <w:lang w:val="en-US" w:eastAsia="zh-CN"/>
        </w:rPr>
        <w:t>评价报告</w:t>
      </w:r>
      <w:bookmarkEnd w:id="85"/>
      <w:bookmarkEnd w:id="86"/>
      <w:bookmarkEnd w:id="87"/>
    </w:p>
    <w:p>
      <w:pPr>
        <w:pStyle w:val="60"/>
        <w:ind w:firstLine="420"/>
      </w:pPr>
      <w:r>
        <w:rPr>
          <w:rFonts w:hint="eastAsia"/>
        </w:rPr>
        <w:t>评价完成后应形成评价报告，报告</w:t>
      </w:r>
      <w:r>
        <w:rPr>
          <w:rFonts w:hint="eastAsia"/>
          <w:lang w:eastAsia="zh-CN"/>
        </w:rPr>
        <w:t>应当</w:t>
      </w:r>
      <w:r>
        <w:rPr>
          <w:rFonts w:hint="eastAsia"/>
        </w:rPr>
        <w:t>包含评价过程、评价结果、</w:t>
      </w:r>
      <w:r>
        <w:rPr>
          <w:rFonts w:hint="eastAsia"/>
          <w:lang w:eastAsia="zh-CN"/>
        </w:rPr>
        <w:t>评价指标得分情况分析、评价指标内容</w:t>
      </w:r>
      <w:r>
        <w:rPr>
          <w:rFonts w:hint="eastAsia"/>
        </w:rPr>
        <w:t>改进建议</w:t>
      </w:r>
      <w:r>
        <w:rPr>
          <w:rFonts w:hint="eastAsia"/>
          <w:lang w:eastAsia="zh-CN"/>
        </w:rPr>
        <w:t>等</w:t>
      </w:r>
      <w:r>
        <w:rPr>
          <w:rFonts w:hint="eastAsia"/>
        </w:rPr>
        <w:t>。</w:t>
      </w:r>
    </w:p>
    <w:p>
      <w:pPr>
        <w:pStyle w:val="60"/>
      </w:pPr>
    </w:p>
    <w:bookmarkEnd w:id="16"/>
    <w:p>
      <w:pPr>
        <w:pStyle w:val="202"/>
        <w:numPr>
          <w:ilvl w:val="0"/>
          <w:numId w:val="0"/>
        </w:numPr>
        <w:ind w:left="420"/>
        <w:jc w:val="both"/>
        <w:rPr>
          <w:vanish w:val="0"/>
        </w:rPr>
      </w:pPr>
      <w:bookmarkStart w:id="88" w:name="BookMark5"/>
      <w:r>
        <w:tab/>
      </w:r>
    </w:p>
    <w:p>
      <w:pPr>
        <w:tabs>
          <w:tab w:val="left" w:pos="5715"/>
        </w:tabs>
      </w:pPr>
      <w:r>
        <w:tab/>
      </w:r>
    </w:p>
    <w:p>
      <w:pPr>
        <w:widowControl/>
        <w:adjustRightInd/>
        <w:spacing w:line="240" w:lineRule="auto"/>
        <w:jc w:val="left"/>
        <w:sectPr>
          <w:headerReference r:id="rId17" w:type="default"/>
          <w:footerReference r:id="rId19" w:type="default"/>
          <w:headerReference r:id="rId18" w:type="even"/>
          <w:footerReference r:id="rId20" w:type="even"/>
          <w:pgSz w:w="11906" w:h="16838"/>
          <w:pgMar w:top="1871" w:right="1134" w:bottom="1134" w:left="1134" w:header="1304" w:footer="1134" w:gutter="284"/>
          <w:pgNumType w:fmt="decimal" w:start="1"/>
          <w:cols w:space="425" w:num="1"/>
          <w:formProt w:val="0"/>
          <w:docGrid w:type="lines" w:linePitch="312" w:charSpace="0"/>
        </w:sectPr>
      </w:pPr>
    </w:p>
    <w:p>
      <w:pPr>
        <w:pStyle w:val="108"/>
        <w:numPr>
          <w:ilvl w:val="0"/>
          <w:numId w:val="0"/>
        </w:numPr>
        <w:spacing w:before="0" w:beforeLines="0" w:after="0" w:afterLines="0"/>
        <w:jc w:val="center"/>
        <w:rPr>
          <w:szCs w:val="21"/>
        </w:rPr>
      </w:pPr>
      <w:bookmarkStart w:id="89" w:name="_Toc11431"/>
      <w:bookmarkStart w:id="90" w:name="_Toc79039712"/>
      <w:bookmarkStart w:id="91" w:name="_Toc28119"/>
      <w:r>
        <w:rPr>
          <w:rFonts w:hint="eastAsia"/>
          <w:szCs w:val="21"/>
        </w:rPr>
        <w:t xml:space="preserve">附   录 </w:t>
      </w:r>
      <w:r>
        <w:rPr>
          <w:szCs w:val="21"/>
        </w:rPr>
        <w:t xml:space="preserve">  </w:t>
      </w:r>
      <w:r>
        <w:rPr>
          <w:rFonts w:hint="eastAsia"/>
          <w:szCs w:val="21"/>
        </w:rPr>
        <w:t>A</w:t>
      </w:r>
      <w:bookmarkEnd w:id="89"/>
      <w:bookmarkEnd w:id="90"/>
      <w:bookmarkEnd w:id="91"/>
    </w:p>
    <w:p>
      <w:pPr>
        <w:pStyle w:val="108"/>
        <w:numPr>
          <w:ilvl w:val="0"/>
          <w:numId w:val="0"/>
        </w:numPr>
        <w:spacing w:before="0" w:beforeLines="0" w:after="0" w:afterLines="0"/>
        <w:jc w:val="center"/>
        <w:rPr>
          <w:szCs w:val="21"/>
        </w:rPr>
      </w:pPr>
      <w:bookmarkStart w:id="92" w:name="_Toc2862"/>
      <w:bookmarkStart w:id="93" w:name="_Toc26469"/>
      <w:bookmarkStart w:id="94" w:name="_Toc79039713"/>
      <w:r>
        <w:rPr>
          <w:rFonts w:hint="eastAsia"/>
          <w:szCs w:val="21"/>
        </w:rPr>
        <w:t>（规范性）</w:t>
      </w:r>
      <w:bookmarkEnd w:id="92"/>
      <w:bookmarkEnd w:id="93"/>
      <w:bookmarkEnd w:id="94"/>
    </w:p>
    <w:p>
      <w:pPr>
        <w:pStyle w:val="108"/>
        <w:keepNext w:val="0"/>
        <w:keepLines w:val="0"/>
        <w:pageBreakBefore w:val="0"/>
        <w:widowControl/>
        <w:numPr>
          <w:ilvl w:val="0"/>
          <w:numId w:val="0"/>
        </w:numPr>
        <w:kinsoku/>
        <w:wordWrap/>
        <w:overflowPunct/>
        <w:topLinePunct w:val="0"/>
        <w:autoSpaceDE/>
        <w:autoSpaceDN/>
        <w:bidi w:val="0"/>
        <w:adjustRightInd/>
        <w:snapToGrid/>
        <w:spacing w:before="100" w:beforeLines="0" w:after="100" w:afterLines="0"/>
        <w:jc w:val="center"/>
        <w:textAlignment w:val="auto"/>
        <w:rPr>
          <w:rFonts w:hint="eastAsia" w:eastAsia="黑体"/>
          <w:szCs w:val="21"/>
          <w:lang w:eastAsia="zh-CN"/>
        </w:rPr>
      </w:pPr>
      <w:bookmarkStart w:id="95" w:name="_Toc79039714"/>
      <w:bookmarkStart w:id="96" w:name="_Toc28220"/>
      <w:bookmarkStart w:id="97" w:name="_Toc22211"/>
      <w:r>
        <w:rPr>
          <w:rFonts w:hint="eastAsia"/>
          <w:szCs w:val="21"/>
          <w:lang w:val="en-US" w:eastAsia="zh-CN"/>
        </w:rPr>
        <w:t>表1</w:t>
      </w:r>
      <w:r>
        <w:rPr>
          <w:rFonts w:hint="eastAsia"/>
          <w:szCs w:val="21"/>
        </w:rPr>
        <w:t>智慧园艺</w:t>
      </w:r>
      <w:r>
        <w:rPr>
          <w:rFonts w:hint="eastAsia"/>
          <w:szCs w:val="21"/>
          <w:lang w:eastAsia="zh-CN"/>
        </w:rPr>
        <w:t>（</w:t>
      </w:r>
      <w:r>
        <w:rPr>
          <w:rFonts w:hint="eastAsia"/>
          <w:szCs w:val="21"/>
        </w:rPr>
        <w:t>设施果）</w:t>
      </w:r>
      <w:bookmarkEnd w:id="95"/>
      <w:r>
        <w:rPr>
          <w:rFonts w:hint="eastAsia"/>
          <w:szCs w:val="21"/>
          <w:lang w:eastAsia="zh-CN"/>
        </w:rPr>
        <w:t>示范基地</w:t>
      </w:r>
      <w:bookmarkEnd w:id="96"/>
      <w:r>
        <w:rPr>
          <w:rFonts w:hint="eastAsia"/>
          <w:szCs w:val="21"/>
          <w:lang w:eastAsia="zh-CN"/>
        </w:rPr>
        <w:t>评价细则</w:t>
      </w:r>
      <w:bookmarkEnd w:id="97"/>
    </w:p>
    <w:tbl>
      <w:tblPr>
        <w:tblStyle w:val="29"/>
        <w:tblW w:w="49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2"/>
        <w:gridCol w:w="1119"/>
        <w:gridCol w:w="1885"/>
        <w:gridCol w:w="1991"/>
        <w:gridCol w:w="8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42"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序号</w:t>
            </w:r>
          </w:p>
        </w:tc>
        <w:tc>
          <w:tcPr>
            <w:tcW w:w="403"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一级指标</w:t>
            </w:r>
          </w:p>
        </w:tc>
        <w:tc>
          <w:tcPr>
            <w:tcW w:w="67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二级指标</w:t>
            </w: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三级指标</w:t>
            </w:r>
          </w:p>
        </w:tc>
        <w:tc>
          <w:tcPr>
            <w:tcW w:w="295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1</w:t>
            </w:r>
          </w:p>
        </w:tc>
        <w:tc>
          <w:tcPr>
            <w:tcW w:w="403"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基本情况</w:t>
            </w:r>
          </w:p>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（10分）</w:t>
            </w:r>
          </w:p>
        </w:tc>
        <w:tc>
          <w:tcPr>
            <w:tcW w:w="67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规模（5分）</w:t>
            </w: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设施规模（5分）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设施面积大于等于5000平方米得5分；</w:t>
            </w:r>
            <w:r>
              <w:rPr>
                <w:rFonts w:hint="eastAsia" w:ascii="宋体" w:hAnsi="宋体" w:eastAsia="宋体" w:cs="宋体"/>
                <w:b w:val="0"/>
                <w:bCs w:val="0"/>
                <w:color w:val="auto"/>
                <w:kern w:val="0"/>
                <w:sz w:val="18"/>
                <w:szCs w:val="18"/>
                <w:lang w:eastAsia="zh-CN"/>
              </w:rPr>
              <w:t>小于</w:t>
            </w:r>
            <w:r>
              <w:rPr>
                <w:rFonts w:hint="eastAsia" w:ascii="宋体" w:hAnsi="宋体" w:eastAsia="宋体" w:cs="宋体"/>
                <w:b w:val="0"/>
                <w:bCs w:val="0"/>
                <w:color w:val="auto"/>
                <w:kern w:val="0"/>
                <w:sz w:val="18"/>
                <w:szCs w:val="18"/>
              </w:rPr>
              <w:t>5000平</w:t>
            </w:r>
            <w:r>
              <w:rPr>
                <w:rFonts w:hint="eastAsia" w:ascii="宋体" w:hAnsi="宋体" w:eastAsia="宋体" w:cs="宋体"/>
                <w:b w:val="0"/>
                <w:bCs w:val="0"/>
                <w:color w:val="auto"/>
                <w:kern w:val="0"/>
                <w:sz w:val="18"/>
                <w:szCs w:val="18"/>
                <w:lang w:val="en-US" w:eastAsia="zh-CN"/>
              </w:rPr>
              <w:t>方</w:t>
            </w:r>
            <w:r>
              <w:rPr>
                <w:rFonts w:hint="eastAsia" w:ascii="宋体" w:hAnsi="宋体" w:eastAsia="宋体" w:cs="宋体"/>
                <w:b w:val="0"/>
                <w:bCs w:val="0"/>
                <w:color w:val="auto"/>
                <w:kern w:val="0"/>
                <w:sz w:val="18"/>
                <w:szCs w:val="18"/>
              </w:rPr>
              <w:t>米得0分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2</w:t>
            </w:r>
          </w:p>
        </w:tc>
        <w:tc>
          <w:tcPr>
            <w:tcW w:w="403"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7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信息化投资（5分）</w:t>
            </w: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软硬件投资（5分）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近2年软硬件投资大于300万得5分；介于150-300万之间得3分；小于150万得1分；没有投入得0分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3</w:t>
            </w:r>
          </w:p>
        </w:tc>
        <w:tc>
          <w:tcPr>
            <w:tcW w:w="403" w:type="pct"/>
            <w:vMerge w:val="restart"/>
            <w:vAlign w:val="center"/>
          </w:tcPr>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生产过程</w:t>
            </w:r>
          </w:p>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（55分）</w:t>
            </w:r>
          </w:p>
        </w:tc>
        <w:tc>
          <w:tcPr>
            <w:tcW w:w="679" w:type="pct"/>
            <w:vMerge w:val="restart"/>
            <w:vAlign w:val="center"/>
          </w:tcPr>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育苗和投入品</w:t>
            </w:r>
          </w:p>
          <w:p>
            <w:pPr>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（6分）</w:t>
            </w: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投入品管理（4分）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采用信息化管理系统对种子、农药、肥料、农用覆盖薄膜等投入品进行管理</w:t>
            </w:r>
            <w:r>
              <w:rPr>
                <w:rFonts w:hint="eastAsia" w:ascii="宋体" w:hAnsi="宋体" w:eastAsia="宋体" w:cs="宋体"/>
                <w:b w:val="0"/>
                <w:bCs w:val="0"/>
                <w:color w:val="auto"/>
                <w:kern w:val="0"/>
                <w:sz w:val="18"/>
                <w:szCs w:val="18"/>
                <w:lang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w:t>
            </w:r>
            <w:r>
              <w:rPr>
                <w:rFonts w:hint="eastAsia" w:ascii="宋体" w:hAnsi="宋体" w:eastAsia="宋体" w:cs="宋体"/>
                <w:color w:val="auto"/>
                <w:kern w:val="0"/>
                <w:sz w:val="18"/>
                <w:szCs w:val="18"/>
                <w:lang w:val="en-US" w:eastAsia="zh-CN"/>
              </w:rPr>
              <w:t>投入品纳入管理得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4</w:t>
            </w:r>
          </w:p>
        </w:tc>
        <w:tc>
          <w:tcPr>
            <w:tcW w:w="403" w:type="pct"/>
            <w:vMerge w:val="continue"/>
            <w:vAlign w:val="center"/>
          </w:tcPr>
          <w:p>
            <w:pPr>
              <w:snapToGrid w:val="0"/>
              <w:jc w:val="center"/>
              <w:rPr>
                <w:rFonts w:hint="eastAsia" w:ascii="宋体" w:hAnsi="宋体" w:eastAsia="宋体" w:cs="宋体"/>
                <w:b w:val="0"/>
                <w:bCs w:val="0"/>
                <w:color w:val="auto"/>
                <w:kern w:val="0"/>
                <w:sz w:val="18"/>
                <w:szCs w:val="18"/>
              </w:rPr>
            </w:pPr>
          </w:p>
        </w:tc>
        <w:tc>
          <w:tcPr>
            <w:tcW w:w="67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育苗设施（2分）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w:t>
            </w:r>
            <w:r>
              <w:rPr>
                <w:rFonts w:hint="eastAsia" w:ascii="宋体" w:hAnsi="宋体" w:eastAsia="宋体" w:cs="宋体"/>
                <w:b w:val="0"/>
                <w:bCs w:val="0"/>
                <w:color w:val="auto"/>
                <w:kern w:val="0"/>
                <w:sz w:val="18"/>
                <w:szCs w:val="18"/>
                <w:lang w:val="en-US" w:eastAsia="zh-CN"/>
              </w:rPr>
              <w:t>数字化育苗方式</w:t>
            </w:r>
            <w:r>
              <w:rPr>
                <w:rFonts w:hint="eastAsia" w:ascii="宋体" w:hAnsi="宋体" w:eastAsia="宋体" w:cs="宋体"/>
                <w:b w:val="0"/>
                <w:bCs w:val="0"/>
                <w:color w:val="auto"/>
                <w:kern w:val="0"/>
                <w:sz w:val="18"/>
                <w:szCs w:val="18"/>
              </w:rPr>
              <w:t>得2分；</w:t>
            </w:r>
            <w:r>
              <w:rPr>
                <w:rFonts w:hint="eastAsia" w:ascii="宋体" w:hAnsi="宋体" w:eastAsia="宋体" w:cs="宋体"/>
                <w:b w:val="0"/>
                <w:bCs w:val="0"/>
                <w:color w:val="auto"/>
                <w:kern w:val="0"/>
                <w:sz w:val="18"/>
                <w:szCs w:val="18"/>
                <w:lang w:eastAsia="zh-CN"/>
              </w:rPr>
              <w:t>未</w:t>
            </w:r>
            <w:r>
              <w:rPr>
                <w:rFonts w:hint="eastAsia" w:ascii="宋体" w:hAnsi="宋体" w:eastAsia="宋体" w:cs="宋体"/>
                <w:b w:val="0"/>
                <w:bCs w:val="0"/>
                <w:color w:val="auto"/>
                <w:kern w:val="0"/>
                <w:sz w:val="18"/>
                <w:szCs w:val="18"/>
              </w:rPr>
              <w:t>采用得0分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shd w:val="clear" w:color="auto" w:fill="auto"/>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5</w:t>
            </w:r>
          </w:p>
        </w:tc>
        <w:tc>
          <w:tcPr>
            <w:tcW w:w="403" w:type="pct"/>
            <w:vMerge w:val="continue"/>
            <w:shd w:val="clear" w:color="auto" w:fill="auto"/>
            <w:vAlign w:val="center"/>
          </w:tcPr>
          <w:p>
            <w:pPr>
              <w:widowControl/>
              <w:snapToGrid w:val="0"/>
              <w:jc w:val="center"/>
              <w:rPr>
                <w:rFonts w:hint="eastAsia" w:ascii="宋体" w:hAnsi="宋体" w:eastAsia="宋体" w:cs="宋体"/>
                <w:b w:val="0"/>
                <w:bCs w:val="0"/>
                <w:color w:val="auto"/>
                <w:kern w:val="0"/>
                <w:sz w:val="18"/>
                <w:szCs w:val="18"/>
              </w:rPr>
            </w:pPr>
          </w:p>
        </w:tc>
        <w:tc>
          <w:tcPr>
            <w:tcW w:w="679"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栽培方式（2分）</w:t>
            </w: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定植方式（2分）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采用自动定植方式得2分；</w:t>
            </w:r>
            <w:r>
              <w:rPr>
                <w:rFonts w:hint="eastAsia" w:ascii="宋体" w:hAnsi="宋体" w:eastAsia="宋体" w:cs="宋体"/>
                <w:b w:val="0"/>
                <w:bCs w:val="0"/>
                <w:color w:val="auto"/>
                <w:kern w:val="0"/>
                <w:sz w:val="18"/>
                <w:szCs w:val="18"/>
                <w:lang w:eastAsia="zh-CN"/>
              </w:rPr>
              <w:t>未采用</w:t>
            </w:r>
            <w:r>
              <w:rPr>
                <w:rFonts w:hint="eastAsia" w:ascii="宋体" w:hAnsi="宋体" w:eastAsia="宋体" w:cs="宋体"/>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6</w:t>
            </w:r>
          </w:p>
        </w:tc>
        <w:tc>
          <w:tcPr>
            <w:tcW w:w="403"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79"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生长环境监测调控（12分）</w:t>
            </w:r>
          </w:p>
        </w:tc>
        <w:tc>
          <w:tcPr>
            <w:tcW w:w="717"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环境监测（6分）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采用物联网设备监测温度、湿度、光照、二氧化碳等空气环境要素</w:t>
            </w:r>
            <w:r>
              <w:rPr>
                <w:rFonts w:hint="eastAsia" w:ascii="宋体" w:hAnsi="宋体" w:eastAsia="宋体" w:cs="宋体"/>
                <w:color w:val="auto"/>
                <w:kern w:val="0"/>
                <w:sz w:val="18"/>
                <w:szCs w:val="18"/>
                <w:lang w:val="en-US"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eastAsia="宋体" w:cs="宋体"/>
                <w:color w:val="auto"/>
                <w:kern w:val="0"/>
                <w:sz w:val="18"/>
                <w:szCs w:val="18"/>
                <w:lang w:val="en-US" w:eastAsia="zh-CN"/>
              </w:rPr>
              <w:t>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7</w:t>
            </w:r>
          </w:p>
        </w:tc>
        <w:tc>
          <w:tcPr>
            <w:tcW w:w="403"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7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717"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采用物联网设备监测土壤/水/基质的</w:t>
            </w:r>
            <w:r>
              <w:rPr>
                <w:rFonts w:hint="eastAsia" w:ascii="宋体" w:hAnsi="宋体" w:eastAsia="宋体" w:cs="宋体"/>
                <w:b w:val="0"/>
                <w:bCs w:val="0"/>
                <w:color w:val="auto"/>
                <w:kern w:val="0"/>
                <w:sz w:val="18"/>
                <w:szCs w:val="18"/>
                <w:lang w:val="en-US" w:eastAsia="zh-CN"/>
              </w:rPr>
              <w:t>pH</w:t>
            </w:r>
            <w:r>
              <w:rPr>
                <w:rFonts w:hint="eastAsia" w:ascii="宋体" w:hAnsi="宋体" w:eastAsia="宋体" w:cs="宋体"/>
                <w:b w:val="0"/>
                <w:bCs w:val="0"/>
                <w:color w:val="auto"/>
                <w:kern w:val="0"/>
                <w:sz w:val="18"/>
                <w:szCs w:val="18"/>
              </w:rPr>
              <w:t>和EC等环境要素</w:t>
            </w:r>
            <w:r>
              <w:rPr>
                <w:rFonts w:hint="eastAsia" w:ascii="宋体" w:hAnsi="宋体" w:eastAsia="宋体" w:cs="宋体"/>
                <w:color w:val="auto"/>
                <w:kern w:val="0"/>
                <w:sz w:val="18"/>
                <w:szCs w:val="18"/>
                <w:lang w:val="en-US" w:eastAsia="zh-CN"/>
              </w:rPr>
              <w:t>，</w:t>
            </w:r>
            <w:r>
              <w:rPr>
                <w:rFonts w:hint="eastAsia" w:ascii="宋体" w:hAnsi="宋体" w:eastAsia="宋体" w:cs="宋体"/>
                <w:color w:val="auto"/>
                <w:kern w:val="0"/>
                <w:sz w:val="18"/>
                <w:szCs w:val="18"/>
              </w:rPr>
              <w:t>每</w:t>
            </w:r>
            <w:r>
              <w:rPr>
                <w:rFonts w:hint="eastAsia" w:ascii="宋体" w:hAnsi="宋体" w:eastAsia="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eastAsia="宋体" w:cs="宋体"/>
                <w:color w:val="auto"/>
                <w:kern w:val="0"/>
                <w:sz w:val="18"/>
                <w:szCs w:val="18"/>
                <w:lang w:val="en-US" w:eastAsia="zh-CN"/>
              </w:rPr>
              <w:t>得</w:t>
            </w:r>
            <w:r>
              <w:rPr>
                <w:rFonts w:hint="eastAsia" w:ascii="宋体" w:hAnsi="宋体" w:eastAsia="宋体" w:cs="宋体"/>
                <w:color w:val="auto"/>
                <w:kern w:val="0"/>
                <w:sz w:val="18"/>
                <w:szCs w:val="18"/>
              </w:rPr>
              <w:t>1分</w:t>
            </w:r>
            <w:r>
              <w:rPr>
                <w:rFonts w:hint="eastAsia" w:ascii="宋体" w:hAnsi="宋体" w:eastAsia="宋体" w:cs="宋体"/>
                <w:color w:val="auto"/>
                <w:kern w:val="0"/>
                <w:sz w:val="18"/>
                <w:szCs w:val="18"/>
                <w:lang w:eastAsia="zh-CN"/>
              </w:rPr>
              <w:t>，</w:t>
            </w:r>
            <w:r>
              <w:rPr>
                <w:rFonts w:hint="eastAsia" w:ascii="宋体" w:hAnsi="宋体" w:eastAsia="宋体" w:cs="宋体"/>
                <w:color w:val="auto"/>
                <w:kern w:val="0"/>
                <w:sz w:val="18"/>
                <w:szCs w:val="18"/>
                <w:lang w:val="en-US" w:eastAsia="zh-CN"/>
              </w:rPr>
              <w:t>最多得2分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8</w:t>
            </w:r>
          </w:p>
        </w:tc>
        <w:tc>
          <w:tcPr>
            <w:tcW w:w="403"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7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温室控制（6分）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系统自动控制温室环境得6分；远程人工控制温室环境得4分；无法</w:t>
            </w:r>
            <w:r>
              <w:rPr>
                <w:rFonts w:hint="eastAsia" w:ascii="宋体" w:hAnsi="宋体" w:eastAsia="宋体" w:cs="宋体"/>
                <w:b w:val="0"/>
                <w:bCs w:val="0"/>
                <w:color w:val="auto"/>
                <w:kern w:val="0"/>
                <w:sz w:val="18"/>
                <w:szCs w:val="18"/>
                <w:lang w:eastAsia="zh-CN"/>
              </w:rPr>
              <w:t>远程</w:t>
            </w:r>
            <w:r>
              <w:rPr>
                <w:rFonts w:hint="eastAsia" w:ascii="宋体" w:hAnsi="宋体" w:eastAsia="宋体" w:cs="宋体"/>
                <w:b w:val="0"/>
                <w:bCs w:val="0"/>
                <w:color w:val="auto"/>
                <w:kern w:val="0"/>
                <w:sz w:val="18"/>
                <w:szCs w:val="18"/>
              </w:rPr>
              <w:t>控制温室环境得0分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9</w:t>
            </w:r>
          </w:p>
        </w:tc>
        <w:tc>
          <w:tcPr>
            <w:tcW w:w="403"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79" w:type="pct"/>
            <w:vMerge w:val="restar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生长过程监测调控（15分）</w:t>
            </w: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水肥一体化（8分）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采用变量精准控制水肥一体化设备得8分；采用定量水肥一体化设备得3分；未采用水肥一体化设备得0分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10</w:t>
            </w:r>
          </w:p>
        </w:tc>
        <w:tc>
          <w:tcPr>
            <w:tcW w:w="403"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7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模拟和调控（2分）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采用作物生长模型进行作物生长过程模拟和调控得2分；</w:t>
            </w:r>
            <w:r>
              <w:rPr>
                <w:rFonts w:hint="eastAsia" w:ascii="宋体" w:hAnsi="宋体" w:eastAsia="宋体" w:cs="宋体"/>
                <w:b w:val="0"/>
                <w:bCs w:val="0"/>
                <w:color w:val="auto"/>
                <w:kern w:val="0"/>
                <w:sz w:val="18"/>
                <w:szCs w:val="18"/>
                <w:lang w:eastAsia="zh-CN"/>
              </w:rPr>
              <w:t>未采用</w:t>
            </w:r>
            <w:r>
              <w:rPr>
                <w:rFonts w:hint="eastAsia" w:ascii="宋体" w:hAnsi="宋体" w:eastAsia="宋体" w:cs="宋体"/>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2" w:type="pct"/>
            <w:vAlign w:val="center"/>
          </w:tcPr>
          <w:p>
            <w:pPr>
              <w:widowControl/>
              <w:snapToGrid w:val="0"/>
              <w:jc w:val="center"/>
              <w:rPr>
                <w:rFonts w:hint="eastAsia" w:ascii="宋体" w:hAnsi="宋体" w:eastAsia="宋体" w:cs="宋体"/>
                <w:b w:val="0"/>
                <w:bCs w:val="0"/>
                <w:color w:val="auto"/>
                <w:kern w:val="0"/>
                <w:sz w:val="18"/>
                <w:szCs w:val="18"/>
                <w:lang w:val="en-US" w:eastAsia="zh-CN"/>
              </w:rPr>
            </w:pPr>
            <w:r>
              <w:rPr>
                <w:rFonts w:hint="eastAsia" w:ascii="宋体" w:hAnsi="宋体" w:eastAsia="宋体" w:cs="宋体"/>
                <w:b w:val="0"/>
                <w:bCs w:val="0"/>
                <w:color w:val="auto"/>
                <w:kern w:val="0"/>
                <w:sz w:val="18"/>
                <w:szCs w:val="18"/>
                <w:lang w:val="en-US" w:eastAsia="zh-CN"/>
              </w:rPr>
              <w:t>11</w:t>
            </w:r>
          </w:p>
        </w:tc>
        <w:tc>
          <w:tcPr>
            <w:tcW w:w="403"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679" w:type="pct"/>
            <w:vMerge w:val="continue"/>
            <w:vAlign w:val="center"/>
          </w:tcPr>
          <w:p>
            <w:pPr>
              <w:widowControl/>
              <w:snapToGrid w:val="0"/>
              <w:jc w:val="center"/>
              <w:rPr>
                <w:rFonts w:hint="eastAsia" w:ascii="宋体" w:hAnsi="宋体" w:eastAsia="宋体" w:cs="宋体"/>
                <w:b w:val="0"/>
                <w:bCs w:val="0"/>
                <w:color w:val="auto"/>
                <w:kern w:val="0"/>
                <w:sz w:val="18"/>
                <w:szCs w:val="18"/>
              </w:rPr>
            </w:pPr>
          </w:p>
        </w:tc>
        <w:tc>
          <w:tcPr>
            <w:tcW w:w="717" w:type="pct"/>
            <w:shd w:val="clear" w:color="auto" w:fill="auto"/>
            <w:vAlign w:val="center"/>
          </w:tcPr>
          <w:p>
            <w:pPr>
              <w:widowControl/>
              <w:snapToGrid w:val="0"/>
              <w:jc w:val="center"/>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rPr>
              <w:t>病虫害监测与防控</w:t>
            </w:r>
          </w:p>
          <w:p>
            <w:pPr>
              <w:widowControl/>
              <w:snapToGrid w:val="0"/>
              <w:jc w:val="center"/>
              <w:rPr>
                <w:rFonts w:hint="eastAsia" w:ascii="宋体" w:hAnsi="宋体" w:eastAsia="宋体" w:cs="宋体"/>
                <w:b w:val="0"/>
                <w:bCs w:val="0"/>
                <w:color w:val="auto"/>
                <w:kern w:val="0"/>
                <w:sz w:val="18"/>
                <w:szCs w:val="18"/>
                <w:highlight w:val="yellow"/>
              </w:rPr>
            </w:pPr>
            <w:r>
              <w:rPr>
                <w:rFonts w:hint="eastAsia" w:ascii="宋体" w:hAnsi="宋体" w:eastAsia="宋体" w:cs="宋体"/>
                <w:b w:val="0"/>
                <w:bCs w:val="0"/>
                <w:color w:val="auto"/>
                <w:kern w:val="0"/>
                <w:sz w:val="18"/>
                <w:szCs w:val="18"/>
              </w:rPr>
              <w:t>（5分）</w:t>
            </w:r>
          </w:p>
        </w:tc>
        <w:tc>
          <w:tcPr>
            <w:tcW w:w="2957" w:type="pct"/>
            <w:shd w:val="clear" w:color="auto" w:fill="auto"/>
            <w:vAlign w:val="center"/>
          </w:tcPr>
          <w:p>
            <w:pPr>
              <w:widowControl/>
              <w:snapToGrid w:val="0"/>
              <w:jc w:val="left"/>
              <w:rPr>
                <w:rFonts w:hint="eastAsia" w:ascii="宋体" w:hAnsi="宋体" w:eastAsia="宋体" w:cs="宋体"/>
                <w:b w:val="0"/>
                <w:bCs w:val="0"/>
                <w:color w:val="auto"/>
                <w:kern w:val="0"/>
                <w:sz w:val="18"/>
                <w:szCs w:val="18"/>
              </w:rPr>
            </w:pPr>
            <w:r>
              <w:rPr>
                <w:rFonts w:hint="eastAsia" w:ascii="宋体" w:hAnsi="宋体" w:eastAsia="宋体" w:cs="宋体"/>
                <w:b w:val="0"/>
                <w:bCs w:val="0"/>
                <w:color w:val="auto"/>
                <w:kern w:val="0"/>
                <w:sz w:val="18"/>
                <w:szCs w:val="18"/>
                <w:lang w:eastAsia="zh-CN"/>
              </w:rPr>
              <w:t>实现</w:t>
            </w:r>
            <w:r>
              <w:rPr>
                <w:rFonts w:hint="eastAsia" w:ascii="宋体" w:hAnsi="宋体" w:eastAsia="宋体" w:cs="宋体"/>
                <w:b w:val="0"/>
                <w:bCs w:val="0"/>
                <w:color w:val="auto"/>
                <w:kern w:val="0"/>
                <w:sz w:val="18"/>
                <w:szCs w:val="18"/>
              </w:rPr>
              <w:t>智能监测和防控病虫害得5分；无法智能监测和防控得0分</w:t>
            </w:r>
          </w:p>
        </w:tc>
      </w:tr>
    </w:tbl>
    <w:p>
      <w:pPr>
        <w:pStyle w:val="108"/>
        <w:numPr>
          <w:ilvl w:val="0"/>
          <w:numId w:val="0"/>
        </w:numPr>
        <w:spacing w:beforeLines="0" w:afterLines="0"/>
        <w:jc w:val="center"/>
        <w:outlineLvl w:val="9"/>
        <w:rPr>
          <w:rFonts w:hint="eastAsia"/>
          <w:szCs w:val="21"/>
          <w:lang w:val="en-US" w:eastAsia="zh-CN"/>
        </w:rPr>
      </w:pPr>
    </w:p>
    <w:p>
      <w:pPr>
        <w:pStyle w:val="108"/>
        <w:numPr>
          <w:ilvl w:val="0"/>
          <w:numId w:val="0"/>
        </w:numPr>
        <w:spacing w:beforeLines="0" w:afterLines="0"/>
        <w:jc w:val="center"/>
        <w:rPr>
          <w:rFonts w:hint="eastAsia"/>
          <w:szCs w:val="21"/>
          <w:lang w:val="en-US" w:eastAsia="zh-CN"/>
        </w:rPr>
      </w:pPr>
      <w:bookmarkStart w:id="98" w:name="_Toc5602"/>
    </w:p>
    <w:p>
      <w:pPr>
        <w:pStyle w:val="108"/>
        <w:numPr>
          <w:ilvl w:val="0"/>
          <w:numId w:val="0"/>
        </w:numPr>
        <w:spacing w:beforeLines="0" w:afterLines="0"/>
        <w:jc w:val="center"/>
        <w:rPr>
          <w:rFonts w:hint="eastAsia"/>
          <w:szCs w:val="21"/>
          <w:lang w:val="en-US" w:eastAsia="zh-CN"/>
        </w:rPr>
      </w:pPr>
    </w:p>
    <w:p>
      <w:pPr>
        <w:pStyle w:val="108"/>
        <w:keepNext w:val="0"/>
        <w:keepLines w:val="0"/>
        <w:pageBreakBefore w:val="0"/>
        <w:widowControl/>
        <w:numPr>
          <w:ilvl w:val="0"/>
          <w:numId w:val="0"/>
        </w:numPr>
        <w:kinsoku/>
        <w:wordWrap/>
        <w:overflowPunct/>
        <w:topLinePunct w:val="0"/>
        <w:autoSpaceDE/>
        <w:autoSpaceDN/>
        <w:bidi w:val="0"/>
        <w:adjustRightInd/>
        <w:snapToGrid/>
        <w:spacing w:before="100" w:beforeLines="0" w:after="100" w:afterLines="0"/>
        <w:jc w:val="center"/>
        <w:textAlignment w:val="auto"/>
        <w:rPr>
          <w:rFonts w:hint="eastAsia"/>
          <w:szCs w:val="21"/>
          <w:lang w:val="en-US" w:eastAsia="zh-CN"/>
        </w:rPr>
      </w:pPr>
      <w:r>
        <w:rPr>
          <w:rFonts w:hint="eastAsia"/>
          <w:szCs w:val="21"/>
          <w:lang w:val="en-US" w:eastAsia="zh-CN"/>
        </w:rPr>
        <w:t>表1智慧园艺（设施果）示范基地评价细则</w:t>
      </w:r>
      <w:bookmarkEnd w:id="98"/>
      <w:r>
        <w:rPr>
          <w:rFonts w:hint="eastAsia"/>
          <w:szCs w:val="21"/>
          <w:lang w:val="en-US" w:eastAsia="zh-CN"/>
        </w:rPr>
        <w:t>(第2页/共3页)</w:t>
      </w:r>
    </w:p>
    <w:tbl>
      <w:tblPr>
        <w:tblStyle w:val="29"/>
        <w:tblW w:w="49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9"/>
        <w:gridCol w:w="1119"/>
        <w:gridCol w:w="1885"/>
        <w:gridCol w:w="1991"/>
        <w:gridCol w:w="8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eastAsia" w:ascii="Times New Roman" w:hAnsi="Times New Roman" w:cs="Times New Roman"/>
                <w:b w:val="0"/>
                <w:bCs w:val="0"/>
                <w:color w:val="auto"/>
                <w:kern w:val="0"/>
                <w:sz w:val="18"/>
                <w:szCs w:val="18"/>
                <w:lang w:val="en-US" w:eastAsia="zh-CN"/>
              </w:rPr>
              <w:t>序号</w:t>
            </w:r>
          </w:p>
        </w:tc>
        <w:tc>
          <w:tcPr>
            <w:tcW w:w="403"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一级指标</w:t>
            </w:r>
          </w:p>
        </w:tc>
        <w:tc>
          <w:tcPr>
            <w:tcW w:w="67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二级指标</w:t>
            </w:r>
          </w:p>
        </w:tc>
        <w:tc>
          <w:tcPr>
            <w:tcW w:w="71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三级指标</w:t>
            </w:r>
          </w:p>
        </w:tc>
        <w:tc>
          <w:tcPr>
            <w:tcW w:w="295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12</w:t>
            </w:r>
          </w:p>
        </w:tc>
        <w:tc>
          <w:tcPr>
            <w:tcW w:w="403" w:type="pct"/>
            <w:vMerge w:val="restart"/>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生产过程</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（55分）</w:t>
            </w:r>
          </w:p>
        </w:tc>
        <w:tc>
          <w:tcPr>
            <w:tcW w:w="679"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产品采收与运输</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1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采收（2分）</w:t>
            </w:r>
          </w:p>
        </w:tc>
        <w:tc>
          <w:tcPr>
            <w:tcW w:w="295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自动化采收得2分；半自动化采收得1分；人工采收得0分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13</w:t>
            </w:r>
          </w:p>
        </w:tc>
        <w:tc>
          <w:tcPr>
            <w:tcW w:w="4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7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1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运输（2分）</w:t>
            </w:r>
          </w:p>
        </w:tc>
        <w:tc>
          <w:tcPr>
            <w:tcW w:w="295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highlight w:val="yellow"/>
              </w:rPr>
            </w:pPr>
            <w:r>
              <w:rPr>
                <w:rFonts w:hint="default" w:ascii="Times New Roman" w:hAnsi="Times New Roman" w:eastAsia="宋体" w:cs="Times New Roman"/>
                <w:b w:val="0"/>
                <w:bCs w:val="0"/>
                <w:color w:val="auto"/>
                <w:kern w:val="0"/>
                <w:sz w:val="18"/>
                <w:szCs w:val="18"/>
              </w:rPr>
              <w:t>自动化运输得2分；半自动化运输得1分；人工运输得0分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14</w:t>
            </w:r>
          </w:p>
        </w:tc>
        <w:tc>
          <w:tcPr>
            <w:tcW w:w="4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79"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产品分级与包装</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1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分级（2分）</w:t>
            </w:r>
          </w:p>
        </w:tc>
        <w:tc>
          <w:tcPr>
            <w:tcW w:w="295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采用机器进行产品自动分级得2分；</w:t>
            </w:r>
            <w:r>
              <w:rPr>
                <w:rFonts w:hint="eastAsia" w:ascii="Times New Roman" w:hAnsi="Times New Roman" w:cs="Times New Roman"/>
                <w:b w:val="0"/>
                <w:bCs w:val="0"/>
                <w:color w:val="auto"/>
                <w:kern w:val="0"/>
                <w:sz w:val="18"/>
                <w:szCs w:val="18"/>
                <w:lang w:val="en-US"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15</w:t>
            </w:r>
          </w:p>
        </w:tc>
        <w:tc>
          <w:tcPr>
            <w:tcW w:w="4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7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1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包装（2分）</w:t>
            </w:r>
          </w:p>
        </w:tc>
        <w:tc>
          <w:tcPr>
            <w:tcW w:w="295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采用机器进行产品自动包装得2分；</w:t>
            </w:r>
            <w:r>
              <w:rPr>
                <w:rFonts w:hint="eastAsia" w:ascii="Times New Roman" w:hAnsi="Times New Roman" w:cs="Times New Roman"/>
                <w:b w:val="0"/>
                <w:bCs w:val="0"/>
                <w:color w:val="auto"/>
                <w:kern w:val="0"/>
                <w:sz w:val="18"/>
                <w:szCs w:val="18"/>
                <w:lang w:val="en-US"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16</w:t>
            </w:r>
          </w:p>
        </w:tc>
        <w:tc>
          <w:tcPr>
            <w:tcW w:w="4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79" w:type="pct"/>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尾果处理（2分）</w:t>
            </w:r>
          </w:p>
        </w:tc>
        <w:tc>
          <w:tcPr>
            <w:tcW w:w="71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尾果资源化利用（2分）</w:t>
            </w:r>
          </w:p>
        </w:tc>
        <w:tc>
          <w:tcPr>
            <w:tcW w:w="295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采用智能化装备进行尾果处理得2分；人工进行尾果处理得0分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4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17</w:t>
            </w:r>
          </w:p>
        </w:tc>
        <w:tc>
          <w:tcPr>
            <w:tcW w:w="4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79" w:type="pct"/>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销售（5分）</w:t>
            </w:r>
          </w:p>
        </w:tc>
        <w:tc>
          <w:tcPr>
            <w:tcW w:w="717" w:type="pct"/>
            <w:shd w:val="clear" w:color="auto" w:fill="auto"/>
            <w:vAlign w:val="center"/>
          </w:tcPr>
          <w:p>
            <w:pPr>
              <w:widowControl/>
              <w:snapToGrid w:val="0"/>
              <w:jc w:val="center"/>
              <w:rPr>
                <w:rFonts w:hint="default" w:ascii="Times New Roman" w:hAnsi="Times New Roman" w:eastAsia="宋体" w:cs="Times New Roman"/>
                <w:b w:val="0"/>
                <w:bCs w:val="0"/>
                <w:strike/>
                <w:color w:val="auto"/>
                <w:kern w:val="0"/>
                <w:sz w:val="18"/>
                <w:szCs w:val="18"/>
              </w:rPr>
            </w:pPr>
            <w:r>
              <w:rPr>
                <w:rFonts w:hint="default" w:ascii="Times New Roman" w:hAnsi="Times New Roman" w:eastAsia="宋体" w:cs="Times New Roman"/>
                <w:b w:val="0"/>
                <w:bCs w:val="0"/>
                <w:color w:val="auto"/>
                <w:kern w:val="0"/>
                <w:sz w:val="18"/>
                <w:szCs w:val="18"/>
              </w:rPr>
              <w:t>电子商务（5分）</w:t>
            </w:r>
          </w:p>
        </w:tc>
        <w:tc>
          <w:tcPr>
            <w:tcW w:w="2958" w:type="pct"/>
            <w:shd w:val="clear" w:color="auto" w:fill="auto"/>
            <w:vAlign w:val="center"/>
          </w:tcPr>
          <w:p>
            <w:pPr>
              <w:snapToGrid w:val="0"/>
              <w:jc w:val="left"/>
              <w:rPr>
                <w:rFonts w:hint="default" w:ascii="Times New Roman" w:hAnsi="Times New Roman" w:eastAsia="宋体" w:cs="Times New Roman"/>
                <w:b w:val="0"/>
                <w:bCs w:val="0"/>
                <w:strike/>
                <w:color w:val="auto"/>
                <w:kern w:val="0"/>
                <w:sz w:val="18"/>
                <w:szCs w:val="18"/>
              </w:rPr>
            </w:pPr>
            <w:r>
              <w:rPr>
                <w:rFonts w:hint="eastAsia" w:ascii="宋体" w:hAnsi="宋体" w:eastAsia="宋体" w:cs="宋体"/>
                <w:color w:val="auto"/>
                <w:kern w:val="0"/>
                <w:sz w:val="18"/>
                <w:szCs w:val="18"/>
              </w:rPr>
              <w:t>利用现代信息化技术和互联网平台，搭建</w:t>
            </w:r>
            <w:r>
              <w:rPr>
                <w:rFonts w:hint="eastAsia" w:ascii="宋体" w:hAnsi="宋体" w:cs="宋体"/>
                <w:color w:val="auto"/>
                <w:kern w:val="0"/>
                <w:sz w:val="18"/>
                <w:szCs w:val="18"/>
                <w:lang w:val="en-US" w:eastAsia="zh-CN"/>
              </w:rPr>
              <w:t>或采用第三方电商平台</w:t>
            </w:r>
            <w:r>
              <w:rPr>
                <w:rFonts w:hint="eastAsia" w:ascii="宋体" w:hAnsi="宋体" w:eastAsia="宋体" w:cs="宋体"/>
                <w:color w:val="auto"/>
                <w:kern w:val="0"/>
                <w:sz w:val="18"/>
                <w:szCs w:val="18"/>
              </w:rPr>
              <w:t>进行线上销售得</w:t>
            </w:r>
            <w:r>
              <w:rPr>
                <w:rFonts w:hint="eastAsia" w:ascii="宋体" w:hAnsi="宋体" w:cs="宋体"/>
                <w:color w:val="auto"/>
                <w:kern w:val="0"/>
                <w:sz w:val="18"/>
                <w:szCs w:val="18"/>
                <w:lang w:val="en-US" w:eastAsia="zh-CN"/>
              </w:rPr>
              <w:t>5</w:t>
            </w:r>
            <w:r>
              <w:rPr>
                <w:rFonts w:hint="eastAsia" w:ascii="宋体" w:hAnsi="宋体" w:eastAsia="宋体" w:cs="宋体"/>
                <w:color w:val="auto"/>
                <w:kern w:val="0"/>
                <w:sz w:val="18"/>
                <w:szCs w:val="18"/>
              </w:rPr>
              <w:t>分；</w:t>
            </w:r>
            <w:r>
              <w:rPr>
                <w:rFonts w:hint="eastAsia" w:ascii="宋体" w:hAnsi="宋体" w:cs="宋体"/>
                <w:color w:val="auto"/>
                <w:kern w:val="0"/>
                <w:sz w:val="18"/>
                <w:szCs w:val="18"/>
                <w:lang w:val="en-US" w:eastAsia="zh-CN"/>
              </w:rPr>
              <w:t>没有</w:t>
            </w:r>
            <w:r>
              <w:rPr>
                <w:rFonts w:hint="eastAsia" w:ascii="宋体" w:hAnsi="宋体" w:eastAsia="宋体" w:cs="宋体"/>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241"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18</w:t>
            </w:r>
          </w:p>
        </w:tc>
        <w:tc>
          <w:tcPr>
            <w:tcW w:w="4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7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质量管理（5分）</w:t>
            </w:r>
          </w:p>
        </w:tc>
        <w:tc>
          <w:tcPr>
            <w:tcW w:w="71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可追溯（5分）</w:t>
            </w:r>
          </w:p>
        </w:tc>
        <w:tc>
          <w:tcPr>
            <w:tcW w:w="2958" w:type="pct"/>
            <w:shd w:val="clear" w:color="auto" w:fill="auto"/>
            <w:vAlign w:val="center"/>
          </w:tcPr>
          <w:p>
            <w:pPr>
              <w:widowControl/>
              <w:snapToGrid w:val="0"/>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建有区块链追溯系统且接入省市县追溯平台得5分；采用常规质量追溯系统</w:t>
            </w:r>
            <w:r>
              <w:rPr>
                <w:rFonts w:hint="default" w:ascii="Times New Roman" w:hAnsi="Times New Roman" w:eastAsia="宋体" w:cs="Times New Roman"/>
                <w:b w:val="0"/>
                <w:bCs w:val="0"/>
                <w:color w:val="auto"/>
                <w:kern w:val="0"/>
                <w:sz w:val="18"/>
                <w:szCs w:val="18"/>
                <w:lang w:val="en-US" w:eastAsia="zh-CN"/>
              </w:rPr>
              <w:t>或</w:t>
            </w:r>
            <w:r>
              <w:rPr>
                <w:rFonts w:hint="default" w:ascii="Times New Roman" w:hAnsi="Times New Roman" w:eastAsia="宋体" w:cs="Times New Roman"/>
                <w:b w:val="0"/>
                <w:bCs w:val="0"/>
                <w:color w:val="auto"/>
                <w:kern w:val="0"/>
                <w:sz w:val="18"/>
                <w:szCs w:val="18"/>
              </w:rPr>
              <w:t>接入省市县追溯平台得</w:t>
            </w:r>
            <w:r>
              <w:rPr>
                <w:rFonts w:hint="default" w:ascii="Times New Roman" w:hAnsi="Times New Roman" w:eastAsia="宋体" w:cs="Times New Roman"/>
                <w:b w:val="0"/>
                <w:bCs w:val="0"/>
                <w:color w:val="auto"/>
                <w:kern w:val="0"/>
                <w:sz w:val="18"/>
                <w:szCs w:val="18"/>
                <w:lang w:val="en-US" w:eastAsia="zh-CN"/>
              </w:rPr>
              <w:t>2</w:t>
            </w:r>
            <w:r>
              <w:rPr>
                <w:rFonts w:hint="default" w:ascii="Times New Roman" w:hAnsi="Times New Roman" w:eastAsia="宋体" w:cs="Times New Roman"/>
                <w:b w:val="0"/>
                <w:bCs w:val="0"/>
                <w:color w:val="auto"/>
                <w:kern w:val="0"/>
                <w:sz w:val="18"/>
                <w:szCs w:val="18"/>
              </w:rPr>
              <w:t>分；不可追溯得0分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1"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19</w:t>
            </w:r>
          </w:p>
        </w:tc>
        <w:tc>
          <w:tcPr>
            <w:tcW w:w="403"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管理决策</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679"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人员管理（2分）</w:t>
            </w:r>
          </w:p>
        </w:tc>
        <w:tc>
          <w:tcPr>
            <w:tcW w:w="717"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信息化专业背景人员（2分）</w:t>
            </w:r>
          </w:p>
        </w:tc>
        <w:tc>
          <w:tcPr>
            <w:tcW w:w="295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具有信息化专业背景或资历证书的人员，每</w:t>
            </w:r>
            <w:r>
              <w:rPr>
                <w:rFonts w:hint="default" w:ascii="Times New Roman" w:hAnsi="Times New Roman" w:eastAsia="宋体" w:cs="Times New Roman"/>
                <w:b w:val="0"/>
                <w:bCs w:val="0"/>
                <w:color w:val="auto"/>
                <w:kern w:val="0"/>
                <w:sz w:val="18"/>
                <w:szCs w:val="18"/>
                <w:lang w:eastAsia="zh-CN"/>
              </w:rPr>
              <w:t>有</w:t>
            </w:r>
            <w:r>
              <w:rPr>
                <w:rFonts w:hint="default" w:ascii="Times New Roman" w:hAnsi="Times New Roman" w:eastAsia="宋体" w:cs="Times New Roman"/>
                <w:b w:val="0"/>
                <w:bCs w:val="0"/>
                <w:color w:val="auto"/>
                <w:kern w:val="0"/>
                <w:sz w:val="18"/>
                <w:szCs w:val="18"/>
                <w:lang w:val="en-US" w:eastAsia="zh-CN"/>
              </w:rPr>
              <w:t>1</w:t>
            </w:r>
            <w:r>
              <w:rPr>
                <w:rFonts w:hint="default" w:ascii="Times New Roman" w:hAnsi="Times New Roman" w:eastAsia="宋体" w:cs="Times New Roman"/>
                <w:b w:val="0"/>
                <w:bCs w:val="0"/>
                <w:color w:val="auto"/>
                <w:kern w:val="0"/>
                <w:sz w:val="18"/>
                <w:szCs w:val="18"/>
              </w:rPr>
              <w:t>人</w:t>
            </w:r>
            <w:r>
              <w:rPr>
                <w:rFonts w:hint="default" w:ascii="Times New Roman" w:hAnsi="Times New Roman" w:eastAsia="宋体" w:cs="Times New Roman"/>
                <w:b w:val="0"/>
                <w:bCs w:val="0"/>
                <w:color w:val="auto"/>
                <w:kern w:val="0"/>
                <w:sz w:val="18"/>
                <w:szCs w:val="18"/>
                <w:lang w:eastAsia="zh-CN"/>
              </w:rPr>
              <w:t>得</w:t>
            </w:r>
            <w:r>
              <w:rPr>
                <w:rFonts w:hint="default" w:ascii="Times New Roman" w:hAnsi="Times New Roman" w:eastAsia="宋体" w:cs="Times New Roman"/>
                <w:b w:val="0"/>
                <w:bCs w:val="0"/>
                <w:color w:val="auto"/>
                <w:kern w:val="0"/>
                <w:sz w:val="18"/>
                <w:szCs w:val="18"/>
              </w:rPr>
              <w:t>1分，最高得2分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1"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20</w:t>
            </w:r>
          </w:p>
        </w:tc>
        <w:tc>
          <w:tcPr>
            <w:tcW w:w="403"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679"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决策支持（8分）</w:t>
            </w:r>
          </w:p>
        </w:tc>
        <w:tc>
          <w:tcPr>
            <w:tcW w:w="717"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互联互通（4分）</w:t>
            </w:r>
          </w:p>
        </w:tc>
        <w:tc>
          <w:tcPr>
            <w:tcW w:w="295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各类软硬件设备互联互通得4分；软硬件设备不能互联互通得0分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41"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21</w:t>
            </w:r>
          </w:p>
        </w:tc>
        <w:tc>
          <w:tcPr>
            <w:tcW w:w="403"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679"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717"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决策模式（4分）</w:t>
            </w:r>
          </w:p>
        </w:tc>
        <w:tc>
          <w:tcPr>
            <w:tcW w:w="295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具有智能决策支持中心，能根据监测数据自动给出决策指令得4分；需辅以人工判断的半自动决策方式得2分；完全</w:t>
            </w:r>
            <w:r>
              <w:rPr>
                <w:rFonts w:hint="eastAsia" w:ascii="Times New Roman" w:hAnsi="Times New Roman" w:cs="Times New Roman"/>
                <w:b w:val="0"/>
                <w:bCs w:val="0"/>
                <w:color w:val="auto"/>
                <w:kern w:val="0"/>
                <w:sz w:val="18"/>
                <w:szCs w:val="18"/>
                <w:lang w:val="en-US" w:eastAsia="zh-CN"/>
              </w:rPr>
              <w:t>依靠</w:t>
            </w:r>
            <w:r>
              <w:rPr>
                <w:rFonts w:hint="default" w:ascii="Times New Roman" w:hAnsi="Times New Roman" w:eastAsia="宋体" w:cs="Times New Roman"/>
                <w:b w:val="0"/>
                <w:bCs w:val="0"/>
                <w:color w:val="auto"/>
                <w:kern w:val="0"/>
                <w:sz w:val="18"/>
                <w:szCs w:val="18"/>
              </w:rPr>
              <w:t>人工决策得0分</w:t>
            </w:r>
          </w:p>
        </w:tc>
      </w:tr>
    </w:tbl>
    <w:p/>
    <w:p/>
    <w:p/>
    <w:p/>
    <w:p/>
    <w:p/>
    <w:p>
      <w:pPr>
        <w:pStyle w:val="108"/>
        <w:numPr>
          <w:ilvl w:val="0"/>
          <w:numId w:val="0"/>
        </w:numPr>
        <w:spacing w:beforeLines="0" w:afterLines="0"/>
        <w:jc w:val="center"/>
        <w:rPr>
          <w:rFonts w:hint="eastAsia"/>
          <w:szCs w:val="21"/>
          <w:lang w:val="en-US" w:eastAsia="zh-CN"/>
        </w:rPr>
      </w:pPr>
      <w:bookmarkStart w:id="99" w:name="_Toc3293"/>
    </w:p>
    <w:p>
      <w:pPr>
        <w:pStyle w:val="108"/>
        <w:keepNext w:val="0"/>
        <w:keepLines w:val="0"/>
        <w:pageBreakBefore w:val="0"/>
        <w:widowControl/>
        <w:numPr>
          <w:ilvl w:val="0"/>
          <w:numId w:val="0"/>
        </w:numPr>
        <w:kinsoku/>
        <w:wordWrap/>
        <w:overflowPunct/>
        <w:topLinePunct w:val="0"/>
        <w:autoSpaceDE/>
        <w:autoSpaceDN/>
        <w:bidi w:val="0"/>
        <w:adjustRightInd/>
        <w:snapToGrid/>
        <w:spacing w:before="100" w:beforeLines="0" w:after="100" w:afterLines="0"/>
        <w:jc w:val="center"/>
        <w:textAlignment w:val="auto"/>
        <w:rPr>
          <w:rFonts w:hint="eastAsia"/>
          <w:szCs w:val="21"/>
          <w:lang w:val="en-US" w:eastAsia="zh-CN"/>
        </w:rPr>
      </w:pPr>
      <w:r>
        <w:rPr>
          <w:rFonts w:hint="eastAsia"/>
          <w:szCs w:val="21"/>
          <w:lang w:val="en-US" w:eastAsia="zh-CN"/>
        </w:rPr>
        <w:t>表1智慧园艺（设施果）示范基地评价细则</w:t>
      </w:r>
      <w:bookmarkEnd w:id="99"/>
      <w:r>
        <w:rPr>
          <w:rFonts w:hint="eastAsia"/>
          <w:szCs w:val="21"/>
          <w:lang w:val="en-US" w:eastAsia="zh-CN"/>
        </w:rPr>
        <w:t>(第3页/共3页)</w:t>
      </w:r>
    </w:p>
    <w:tbl>
      <w:tblPr>
        <w:tblStyle w:val="29"/>
        <w:tblW w:w="493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319"/>
        <w:gridCol w:w="1680"/>
        <w:gridCol w:w="1813"/>
        <w:gridCol w:w="8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eastAsia" w:ascii="Times New Roman" w:hAnsi="Times New Roman" w:cs="Times New Roman"/>
                <w:b w:val="0"/>
                <w:bCs w:val="0"/>
                <w:color w:val="auto"/>
                <w:kern w:val="0"/>
                <w:sz w:val="18"/>
                <w:szCs w:val="18"/>
                <w:lang w:val="en-US" w:eastAsia="zh-CN"/>
              </w:rPr>
              <w:t>序号</w:t>
            </w:r>
          </w:p>
        </w:tc>
        <w:tc>
          <w:tcPr>
            <w:tcW w:w="475"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一级指标</w:t>
            </w:r>
          </w:p>
        </w:tc>
        <w:tc>
          <w:tcPr>
            <w:tcW w:w="605"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二级指标</w:t>
            </w:r>
          </w:p>
        </w:tc>
        <w:tc>
          <w:tcPr>
            <w:tcW w:w="65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三级指标</w:t>
            </w:r>
          </w:p>
        </w:tc>
        <w:tc>
          <w:tcPr>
            <w:tcW w:w="302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36" w:type="pct"/>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22</w:t>
            </w:r>
          </w:p>
        </w:tc>
        <w:tc>
          <w:tcPr>
            <w:tcW w:w="475" w:type="pct"/>
            <w:vMerge w:val="restart"/>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产出效益</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（15分）</w:t>
            </w:r>
          </w:p>
        </w:tc>
        <w:tc>
          <w:tcPr>
            <w:tcW w:w="605"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经济效益</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653"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减工降本（5分）</w:t>
            </w:r>
          </w:p>
        </w:tc>
        <w:tc>
          <w:tcPr>
            <w:tcW w:w="30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宋体" w:hAnsi="宋体" w:eastAsia="宋体" w:cs="宋体"/>
                <w:b w:val="0"/>
                <w:bCs w:val="0"/>
                <w:color w:val="auto"/>
                <w:kern w:val="0"/>
                <w:sz w:val="18"/>
                <w:szCs w:val="18"/>
                <w:highlight w:val="none"/>
              </w:rPr>
              <w:t>对比常规</w:t>
            </w:r>
            <w:r>
              <w:rPr>
                <w:rFonts w:hint="eastAsia" w:ascii="宋体" w:hAnsi="宋体" w:cs="宋体"/>
                <w:b w:val="0"/>
                <w:bCs w:val="0"/>
                <w:color w:val="auto"/>
                <w:kern w:val="0"/>
                <w:sz w:val="18"/>
                <w:szCs w:val="18"/>
                <w:highlight w:val="none"/>
                <w:lang w:eastAsia="zh-CN"/>
              </w:rPr>
              <w:t>水果</w:t>
            </w:r>
            <w:r>
              <w:rPr>
                <w:rFonts w:hint="eastAsia" w:ascii="宋体" w:hAnsi="宋体" w:eastAsia="宋体" w:cs="宋体"/>
                <w:b w:val="0"/>
                <w:bCs w:val="0"/>
                <w:color w:val="auto"/>
                <w:kern w:val="0"/>
                <w:sz w:val="18"/>
                <w:szCs w:val="18"/>
                <w:highlight w:val="none"/>
              </w:rPr>
              <w:t>种植，通过全产业链机械化和智能化实现</w:t>
            </w:r>
            <w:r>
              <w:rPr>
                <w:rFonts w:hint="eastAsia" w:ascii="宋体" w:hAnsi="宋体" w:eastAsia="宋体" w:cs="宋体"/>
                <w:b w:val="0"/>
                <w:bCs w:val="0"/>
                <w:color w:val="auto"/>
                <w:kern w:val="0"/>
                <w:sz w:val="18"/>
                <w:szCs w:val="18"/>
                <w:highlight w:val="none"/>
                <w:lang w:val="en-US" w:eastAsia="zh-CN"/>
              </w:rPr>
              <w:t>用工减少超过50%得3分；介于30%-50%之间得2分；介于10%-30%之间得1分；低于10%得0分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36" w:type="pct"/>
            <w:vAlign w:val="center"/>
          </w:tcPr>
          <w:p>
            <w:pPr>
              <w:widowControl/>
              <w:snapToGrid w:val="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23</w:t>
            </w:r>
          </w:p>
        </w:tc>
        <w:tc>
          <w:tcPr>
            <w:tcW w:w="475" w:type="pct"/>
            <w:vMerge w:val="continue"/>
            <w:vAlign w:val="center"/>
          </w:tcPr>
          <w:p>
            <w:pPr>
              <w:widowControl/>
              <w:snapToGrid w:val="0"/>
              <w:jc w:val="left"/>
              <w:rPr>
                <w:sz w:val="18"/>
                <w:szCs w:val="18"/>
              </w:rPr>
            </w:pPr>
          </w:p>
        </w:tc>
        <w:tc>
          <w:tcPr>
            <w:tcW w:w="605" w:type="pct"/>
            <w:vMerge w:val="continue"/>
            <w:shd w:val="clear" w:color="auto" w:fill="auto"/>
            <w:vAlign w:val="center"/>
          </w:tcPr>
          <w:p>
            <w:pPr>
              <w:widowControl/>
              <w:snapToGrid w:val="0"/>
              <w:jc w:val="left"/>
              <w:rPr>
                <w:sz w:val="18"/>
                <w:szCs w:val="18"/>
              </w:rPr>
            </w:pPr>
          </w:p>
        </w:tc>
        <w:tc>
          <w:tcPr>
            <w:tcW w:w="653" w:type="pct"/>
            <w:vMerge w:val="continue"/>
            <w:shd w:val="clear" w:color="auto" w:fill="auto"/>
            <w:vAlign w:val="center"/>
          </w:tcPr>
          <w:p>
            <w:pPr>
              <w:widowControl/>
              <w:snapToGrid w:val="0"/>
              <w:jc w:val="left"/>
              <w:rPr>
                <w:sz w:val="18"/>
                <w:szCs w:val="18"/>
              </w:rPr>
            </w:pPr>
          </w:p>
        </w:tc>
        <w:tc>
          <w:tcPr>
            <w:tcW w:w="3029" w:type="pct"/>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对比常规</w:t>
            </w:r>
            <w:r>
              <w:rPr>
                <w:rFonts w:hint="eastAsia" w:ascii="宋体" w:hAnsi="宋体" w:eastAsia="宋体" w:cs="宋体"/>
                <w:b w:val="0"/>
                <w:bCs w:val="0"/>
                <w:color w:val="auto"/>
                <w:kern w:val="0"/>
                <w:sz w:val="18"/>
                <w:szCs w:val="18"/>
                <w:highlight w:val="none"/>
                <w:lang w:eastAsia="zh-CN"/>
              </w:rPr>
              <w:t>水果</w:t>
            </w:r>
            <w:r>
              <w:rPr>
                <w:rFonts w:hint="eastAsia" w:ascii="宋体" w:hAnsi="宋体" w:eastAsia="宋体" w:cs="宋体"/>
                <w:b w:val="0"/>
                <w:bCs w:val="0"/>
                <w:color w:val="auto"/>
                <w:kern w:val="0"/>
                <w:sz w:val="18"/>
                <w:szCs w:val="18"/>
                <w:highlight w:val="none"/>
              </w:rPr>
              <w:t>种植，通过全产业链机械化和智能化实现</w:t>
            </w:r>
            <w:r>
              <w:rPr>
                <w:rFonts w:hint="eastAsia" w:ascii="宋体" w:hAnsi="宋体" w:eastAsia="宋体" w:cs="宋体"/>
                <w:b w:val="0"/>
                <w:bCs w:val="0"/>
                <w:color w:val="auto"/>
                <w:kern w:val="0"/>
                <w:sz w:val="18"/>
                <w:szCs w:val="18"/>
                <w:highlight w:val="none"/>
                <w:lang w:val="en-US" w:eastAsia="zh-CN"/>
              </w:rPr>
              <w:t>生产成本减少超过30%得2分，</w:t>
            </w:r>
            <w:r>
              <w:rPr>
                <w:rFonts w:hint="eastAsia" w:ascii="宋体" w:hAnsi="宋体" w:eastAsia="宋体" w:cs="宋体"/>
                <w:b w:val="0"/>
                <w:bCs w:val="0"/>
                <w:color w:val="auto"/>
                <w:kern w:val="0"/>
                <w:sz w:val="18"/>
                <w:szCs w:val="18"/>
                <w:highlight w:val="none"/>
              </w:rPr>
              <w:t>介于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3</w:t>
            </w:r>
            <w:r>
              <w:rPr>
                <w:rFonts w:hint="eastAsia" w:ascii="宋体" w:hAnsi="宋体" w:eastAsia="宋体" w:cs="宋体"/>
                <w:b w:val="0"/>
                <w:bCs w:val="0"/>
                <w:color w:val="auto"/>
                <w:kern w:val="0"/>
                <w:sz w:val="18"/>
                <w:szCs w:val="18"/>
                <w:highlight w:val="none"/>
              </w:rPr>
              <w:t>0%之间得</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分</w:t>
            </w:r>
            <w:r>
              <w:rPr>
                <w:rFonts w:hint="eastAsia" w:ascii="宋体" w:hAnsi="宋体" w:eastAsia="宋体" w:cs="宋体"/>
                <w:b w:val="0"/>
                <w:bCs w:val="0"/>
                <w:color w:val="auto"/>
                <w:kern w:val="0"/>
                <w:sz w:val="18"/>
                <w:szCs w:val="18"/>
                <w:highlight w:val="none"/>
                <w:lang w:eastAsia="zh-CN"/>
              </w:rPr>
              <w:t>，</w:t>
            </w:r>
            <w:r>
              <w:rPr>
                <w:rFonts w:hint="eastAsia" w:ascii="宋体" w:hAnsi="宋体" w:eastAsia="宋体" w:cs="宋体"/>
                <w:b w:val="0"/>
                <w:bCs w:val="0"/>
                <w:color w:val="auto"/>
                <w:kern w:val="0"/>
                <w:sz w:val="18"/>
                <w:szCs w:val="18"/>
                <w:highlight w:val="none"/>
              </w:rPr>
              <w:t>低于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236" w:type="pct"/>
            <w:shd w:val="clear" w:color="auto" w:fill="auto"/>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24</w:t>
            </w:r>
          </w:p>
        </w:tc>
        <w:tc>
          <w:tcPr>
            <w:tcW w:w="475" w:type="pct"/>
            <w:vMerge w:val="continue"/>
            <w:shd w:val="clear" w:color="auto" w:fill="auto"/>
          </w:tcPr>
          <w:p>
            <w:pPr>
              <w:widowControl/>
              <w:snapToGrid w:val="0"/>
              <w:jc w:val="center"/>
              <w:rPr>
                <w:rFonts w:hint="default" w:ascii="Times New Roman" w:hAnsi="Times New Roman" w:eastAsia="宋体" w:cs="Times New Roman"/>
                <w:b w:val="0"/>
                <w:bCs w:val="0"/>
                <w:color w:val="auto"/>
                <w:kern w:val="0"/>
                <w:sz w:val="18"/>
                <w:szCs w:val="18"/>
              </w:rPr>
            </w:pPr>
          </w:p>
        </w:tc>
        <w:tc>
          <w:tcPr>
            <w:tcW w:w="605"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53"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提质增效（5分）</w:t>
            </w:r>
          </w:p>
        </w:tc>
        <w:tc>
          <w:tcPr>
            <w:tcW w:w="30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宋体" w:hAnsi="宋体" w:cs="宋体"/>
                <w:b w:val="0"/>
                <w:bCs w:val="0"/>
                <w:color w:val="auto"/>
                <w:kern w:val="0"/>
                <w:sz w:val="18"/>
                <w:szCs w:val="18"/>
                <w:highlight w:val="none"/>
                <w:lang w:val="en-US" w:eastAsia="zh-CN"/>
              </w:rPr>
              <w:t>农产品通过“两品一标”认证得2分；没有得0分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236" w:type="pct"/>
            <w:shd w:val="clear" w:color="auto" w:fill="auto"/>
          </w:tcPr>
          <w:p>
            <w:pPr>
              <w:widowControl/>
              <w:snapToGrid w:val="0"/>
              <w:jc w:val="center"/>
              <w:rPr>
                <w:rFonts w:hint="eastAsia" w:ascii="Times New Roman" w:hAnsi="Times New Roman" w:eastAsia="宋体"/>
                <w:color w:val="auto"/>
                <w:kern w:val="0"/>
                <w:sz w:val="18"/>
                <w:szCs w:val="18"/>
                <w:lang w:val="en-US" w:eastAsia="zh-CN"/>
              </w:rPr>
            </w:pPr>
            <w:r>
              <w:rPr>
                <w:rFonts w:hint="eastAsia" w:ascii="Times New Roman" w:hAnsi="Times New Roman"/>
                <w:color w:val="auto"/>
                <w:kern w:val="0"/>
                <w:sz w:val="18"/>
                <w:szCs w:val="18"/>
                <w:lang w:val="en-US" w:eastAsia="zh-CN"/>
              </w:rPr>
              <w:t>25</w:t>
            </w:r>
          </w:p>
        </w:tc>
        <w:tc>
          <w:tcPr>
            <w:tcW w:w="475" w:type="pct"/>
            <w:vMerge w:val="continue"/>
            <w:shd w:val="clear" w:color="auto" w:fill="auto"/>
          </w:tcPr>
          <w:p>
            <w:pPr>
              <w:widowControl/>
              <w:snapToGrid w:val="0"/>
              <w:jc w:val="left"/>
              <w:rPr>
                <w:sz w:val="18"/>
                <w:szCs w:val="18"/>
              </w:rPr>
            </w:pPr>
          </w:p>
        </w:tc>
        <w:tc>
          <w:tcPr>
            <w:tcW w:w="605" w:type="pct"/>
            <w:vMerge w:val="continue"/>
            <w:shd w:val="clear" w:color="auto" w:fill="auto"/>
            <w:vAlign w:val="center"/>
          </w:tcPr>
          <w:p>
            <w:pPr>
              <w:widowControl/>
              <w:snapToGrid w:val="0"/>
              <w:jc w:val="left"/>
              <w:rPr>
                <w:sz w:val="18"/>
                <w:szCs w:val="18"/>
              </w:rPr>
            </w:pPr>
          </w:p>
        </w:tc>
        <w:tc>
          <w:tcPr>
            <w:tcW w:w="653" w:type="pct"/>
            <w:vMerge w:val="continue"/>
            <w:shd w:val="clear" w:color="auto" w:fill="auto"/>
            <w:vAlign w:val="center"/>
          </w:tcPr>
          <w:p>
            <w:pPr>
              <w:widowControl/>
              <w:snapToGrid w:val="0"/>
              <w:jc w:val="left"/>
              <w:rPr>
                <w:sz w:val="18"/>
                <w:szCs w:val="18"/>
              </w:rPr>
            </w:pPr>
          </w:p>
        </w:tc>
        <w:tc>
          <w:tcPr>
            <w:tcW w:w="3029" w:type="pct"/>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实现单位面积收益提升超过10%得3分；介于5%-10%之间得2分；低于5%得0分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36"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26</w:t>
            </w:r>
          </w:p>
        </w:tc>
        <w:tc>
          <w:tcPr>
            <w:tcW w:w="47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05"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生态效益</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（5分）</w:t>
            </w:r>
          </w:p>
        </w:tc>
        <w:tc>
          <w:tcPr>
            <w:tcW w:w="653"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资源节约（5分）</w:t>
            </w:r>
          </w:p>
        </w:tc>
        <w:tc>
          <w:tcPr>
            <w:tcW w:w="30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对比常规水果栽培，化肥减量使用超过20%得2分；低于20%得1分；未实现化肥减量得0分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trPr>
        <w:tc>
          <w:tcPr>
            <w:tcW w:w="236"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27</w:t>
            </w:r>
          </w:p>
        </w:tc>
        <w:tc>
          <w:tcPr>
            <w:tcW w:w="47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05"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53"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30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对比常规水果栽培，农药减量使用超过20%得3分；介于10%-20%之间得2分；低于10%得1分；未实现农药减量得0分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 w:type="pct"/>
            <w:shd w:val="clear" w:color="auto" w:fill="auto"/>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28</w:t>
            </w:r>
          </w:p>
        </w:tc>
        <w:tc>
          <w:tcPr>
            <w:tcW w:w="475"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创新与规划</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605"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创新</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（8分）</w:t>
            </w:r>
          </w:p>
        </w:tc>
        <w:tc>
          <w:tcPr>
            <w:tcW w:w="65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模式培育（5分）</w:t>
            </w:r>
          </w:p>
        </w:tc>
        <w:tc>
          <w:tcPr>
            <w:tcW w:w="30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宋体" w:hAnsi="宋体" w:eastAsia="宋体" w:cs="宋体"/>
                <w:b w:val="0"/>
                <w:bCs w:val="0"/>
                <w:color w:val="auto"/>
                <w:kern w:val="0"/>
                <w:sz w:val="18"/>
                <w:szCs w:val="18"/>
                <w:highlight w:val="none"/>
              </w:rPr>
              <w:t>培育形成具有特色的智慧农业应用模式创新，并</w:t>
            </w:r>
            <w:r>
              <w:rPr>
                <w:rFonts w:hint="eastAsia" w:ascii="宋体" w:hAnsi="宋体" w:eastAsia="宋体" w:cs="宋体"/>
                <w:b w:val="0"/>
                <w:bCs w:val="0"/>
                <w:color w:val="auto"/>
                <w:kern w:val="0"/>
                <w:sz w:val="18"/>
                <w:szCs w:val="18"/>
                <w:highlight w:val="none"/>
                <w:lang w:val="en-US" w:eastAsia="zh-CN"/>
              </w:rPr>
              <w:t>在其他农业企业、农户中推广复制</w:t>
            </w:r>
            <w:r>
              <w:rPr>
                <w:rFonts w:hint="eastAsia" w:ascii="宋体" w:hAnsi="宋体" w:eastAsia="宋体" w:cs="宋体"/>
                <w:b w:val="0"/>
                <w:bCs w:val="0"/>
                <w:color w:val="auto"/>
                <w:kern w:val="0"/>
                <w:sz w:val="18"/>
                <w:szCs w:val="18"/>
                <w:highlight w:val="none"/>
              </w:rPr>
              <w:t>得5分；</w:t>
            </w:r>
            <w:r>
              <w:rPr>
                <w:rFonts w:hint="eastAsia" w:ascii="宋体" w:hAnsi="宋体" w:eastAsia="宋体" w:cs="宋体"/>
                <w:b w:val="0"/>
                <w:bCs w:val="0"/>
                <w:color w:val="auto"/>
                <w:kern w:val="0"/>
                <w:sz w:val="18"/>
                <w:szCs w:val="18"/>
                <w:highlight w:val="none"/>
                <w:lang w:val="en-US" w:eastAsia="zh-CN"/>
              </w:rPr>
              <w:t>仅</w:t>
            </w:r>
            <w:r>
              <w:rPr>
                <w:rFonts w:hint="eastAsia" w:ascii="宋体" w:hAnsi="宋体" w:eastAsia="宋体" w:cs="宋体"/>
                <w:b w:val="0"/>
                <w:bCs w:val="0"/>
                <w:color w:val="auto"/>
                <w:kern w:val="0"/>
                <w:sz w:val="18"/>
                <w:szCs w:val="18"/>
                <w:highlight w:val="none"/>
              </w:rPr>
              <w:t>培育形成具有特色的智慧农业应用模式创新</w:t>
            </w:r>
            <w:r>
              <w:rPr>
                <w:rFonts w:hint="eastAsia" w:ascii="宋体" w:hAnsi="宋体" w:eastAsia="宋体" w:cs="宋体"/>
                <w:b w:val="0"/>
                <w:bCs w:val="0"/>
                <w:color w:val="auto"/>
                <w:kern w:val="0"/>
                <w:sz w:val="18"/>
                <w:szCs w:val="18"/>
                <w:highlight w:val="none"/>
                <w:lang w:val="en-US" w:eastAsia="zh-CN"/>
              </w:rPr>
              <w:t>得2分；未</w:t>
            </w:r>
            <w:r>
              <w:rPr>
                <w:rFonts w:hint="eastAsia" w:ascii="宋体" w:hAnsi="宋体" w:eastAsia="宋体" w:cs="宋体"/>
                <w:b w:val="0"/>
                <w:bCs w:val="0"/>
                <w:color w:val="auto"/>
                <w:kern w:val="0"/>
                <w:sz w:val="18"/>
                <w:szCs w:val="18"/>
                <w:highlight w:val="none"/>
              </w:rPr>
              <w:t>形成具有特色的智慧农业应用模式创新</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29</w:t>
            </w:r>
          </w:p>
        </w:tc>
        <w:tc>
          <w:tcPr>
            <w:tcW w:w="47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0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5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科技项目申报</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（3分）</w:t>
            </w:r>
          </w:p>
        </w:tc>
        <w:tc>
          <w:tcPr>
            <w:tcW w:w="30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近3年承担市级以上与智慧农业相关的科技项目得3分；与高校、科研院所联合承担市级以上与智慧农业相关的科技项目得1分；未承担科技项目得0分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6"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30</w:t>
            </w:r>
          </w:p>
        </w:tc>
        <w:tc>
          <w:tcPr>
            <w:tcW w:w="47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05"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未来规划（2分）</w:t>
            </w:r>
          </w:p>
        </w:tc>
        <w:tc>
          <w:tcPr>
            <w:tcW w:w="65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未来规划（2分）</w:t>
            </w:r>
          </w:p>
        </w:tc>
        <w:tc>
          <w:tcPr>
            <w:tcW w:w="30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对基地未来3年的智慧化建设有清晰的规划得2分；没有清晰的规划得0分</w:t>
            </w:r>
          </w:p>
        </w:tc>
      </w:tr>
    </w:tbl>
    <w:p>
      <w:pPr>
        <w:widowControl/>
        <w:adjustRightInd/>
        <w:spacing w:line="240" w:lineRule="auto"/>
        <w:jc w:val="left"/>
        <w:rPr>
          <w:rFonts w:ascii="宋体" w:hAnsi="Times New Roman"/>
          <w:kern w:val="0"/>
          <w:szCs w:val="20"/>
        </w:rPr>
      </w:pPr>
      <w:r>
        <w:br w:type="page"/>
      </w:r>
    </w:p>
    <w:p>
      <w:pPr>
        <w:pStyle w:val="108"/>
        <w:numPr>
          <w:ilvl w:val="0"/>
          <w:numId w:val="0"/>
        </w:numPr>
        <w:spacing w:before="0" w:beforeLines="0" w:after="0" w:afterLines="0"/>
        <w:jc w:val="center"/>
        <w:rPr>
          <w:szCs w:val="21"/>
        </w:rPr>
      </w:pPr>
      <w:bookmarkStart w:id="100" w:name="_Toc10481"/>
      <w:bookmarkStart w:id="101" w:name="_Toc32024"/>
      <w:bookmarkStart w:id="102" w:name="_Toc79039715"/>
      <w:r>
        <w:rPr>
          <w:rFonts w:hint="eastAsia"/>
          <w:szCs w:val="21"/>
        </w:rPr>
        <w:t xml:space="preserve">附   录 </w:t>
      </w:r>
      <w:r>
        <w:rPr>
          <w:szCs w:val="21"/>
        </w:rPr>
        <w:t xml:space="preserve">  </w:t>
      </w:r>
      <w:r>
        <w:rPr>
          <w:rFonts w:hint="eastAsia"/>
          <w:szCs w:val="21"/>
        </w:rPr>
        <w:t>B</w:t>
      </w:r>
      <w:bookmarkEnd w:id="100"/>
      <w:bookmarkEnd w:id="101"/>
      <w:bookmarkEnd w:id="102"/>
    </w:p>
    <w:p>
      <w:pPr>
        <w:pStyle w:val="108"/>
        <w:numPr>
          <w:ilvl w:val="0"/>
          <w:numId w:val="0"/>
        </w:numPr>
        <w:spacing w:before="0" w:beforeLines="0" w:after="0" w:afterLines="0"/>
        <w:jc w:val="center"/>
        <w:rPr>
          <w:szCs w:val="21"/>
        </w:rPr>
      </w:pPr>
      <w:bookmarkStart w:id="103" w:name="_Toc5715"/>
      <w:bookmarkStart w:id="104" w:name="_Toc79039716"/>
      <w:bookmarkStart w:id="105" w:name="_Toc28120"/>
      <w:r>
        <w:rPr>
          <w:rFonts w:hint="eastAsia"/>
          <w:szCs w:val="21"/>
        </w:rPr>
        <w:t>（规范性）</w:t>
      </w:r>
      <w:bookmarkEnd w:id="103"/>
      <w:bookmarkEnd w:id="104"/>
      <w:bookmarkEnd w:id="105"/>
    </w:p>
    <w:p>
      <w:pPr>
        <w:pStyle w:val="108"/>
        <w:keepNext w:val="0"/>
        <w:keepLines w:val="0"/>
        <w:pageBreakBefore w:val="0"/>
        <w:widowControl/>
        <w:numPr>
          <w:ilvl w:val="0"/>
          <w:numId w:val="0"/>
        </w:numPr>
        <w:kinsoku/>
        <w:wordWrap/>
        <w:overflowPunct/>
        <w:topLinePunct w:val="0"/>
        <w:autoSpaceDE/>
        <w:autoSpaceDN/>
        <w:bidi w:val="0"/>
        <w:adjustRightInd/>
        <w:snapToGrid/>
        <w:spacing w:before="100" w:beforeLines="0" w:after="100" w:afterLines="0"/>
        <w:jc w:val="center"/>
        <w:textAlignment w:val="auto"/>
        <w:rPr>
          <w:rFonts w:hint="eastAsia"/>
          <w:szCs w:val="21"/>
          <w:lang w:val="en-US" w:eastAsia="zh-CN"/>
        </w:rPr>
      </w:pPr>
      <w:bookmarkStart w:id="106" w:name="_Toc79039717"/>
      <w:bookmarkStart w:id="107" w:name="_Toc22530"/>
      <w:bookmarkStart w:id="108" w:name="_Toc4235"/>
      <w:r>
        <w:rPr>
          <w:rFonts w:hint="eastAsia"/>
          <w:szCs w:val="21"/>
          <w:lang w:val="en-US" w:eastAsia="zh-CN"/>
        </w:rPr>
        <w:t>表2智慧园艺（设施花）</w:t>
      </w:r>
      <w:bookmarkEnd w:id="106"/>
      <w:r>
        <w:rPr>
          <w:rFonts w:hint="eastAsia"/>
          <w:szCs w:val="21"/>
          <w:lang w:val="en-US" w:eastAsia="zh-CN"/>
        </w:rPr>
        <w:t>示范基地</w:t>
      </w:r>
      <w:bookmarkEnd w:id="107"/>
      <w:r>
        <w:rPr>
          <w:rFonts w:hint="eastAsia"/>
          <w:szCs w:val="21"/>
          <w:lang w:val="en-US" w:eastAsia="zh-CN"/>
        </w:rPr>
        <w:t>评价细则</w:t>
      </w:r>
      <w:bookmarkEnd w:id="108"/>
    </w:p>
    <w:tbl>
      <w:tblPr>
        <w:tblStyle w:val="29"/>
        <w:tblW w:w="49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1071"/>
        <w:gridCol w:w="1950"/>
        <w:gridCol w:w="1917"/>
        <w:gridCol w:w="82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24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序号</w:t>
            </w:r>
          </w:p>
        </w:tc>
        <w:tc>
          <w:tcPr>
            <w:tcW w:w="386"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一级指标</w:t>
            </w:r>
          </w:p>
        </w:tc>
        <w:tc>
          <w:tcPr>
            <w:tcW w:w="70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二级指标</w:t>
            </w: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三级指标</w:t>
            </w:r>
          </w:p>
        </w:tc>
        <w:tc>
          <w:tcPr>
            <w:tcW w:w="2975"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shd w:val="clear" w:color="auto" w:fill="auto"/>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w:t>
            </w:r>
          </w:p>
        </w:tc>
        <w:tc>
          <w:tcPr>
            <w:tcW w:w="386"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基本情况</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70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规模（5分）</w:t>
            </w: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设施规模（5分）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设施面积大于5000平方米得5分；</w:t>
            </w:r>
            <w:r>
              <w:rPr>
                <w:rFonts w:hint="eastAsia" w:ascii="Times New Roman" w:hAnsi="Times New Roman" w:cs="Times New Roman"/>
                <w:b w:val="0"/>
                <w:bCs w:val="0"/>
                <w:color w:val="auto"/>
                <w:kern w:val="0"/>
                <w:sz w:val="18"/>
                <w:szCs w:val="18"/>
                <w:lang w:eastAsia="zh-CN"/>
              </w:rPr>
              <w:t>小于</w:t>
            </w:r>
            <w:r>
              <w:rPr>
                <w:rFonts w:hint="default" w:ascii="Times New Roman" w:hAnsi="Times New Roman" w:eastAsia="宋体" w:cs="Times New Roman"/>
                <w:b w:val="0"/>
                <w:bCs w:val="0"/>
                <w:color w:val="auto"/>
                <w:kern w:val="0"/>
                <w:sz w:val="18"/>
                <w:szCs w:val="18"/>
              </w:rPr>
              <w:t>5000</w:t>
            </w:r>
            <w:r>
              <w:rPr>
                <w:rFonts w:hint="eastAsia" w:ascii="Times New Roman" w:hAnsi="Times New Roman" w:cs="Times New Roman"/>
                <w:b w:val="0"/>
                <w:bCs w:val="0"/>
                <w:color w:val="auto"/>
                <w:kern w:val="0"/>
                <w:sz w:val="18"/>
                <w:szCs w:val="18"/>
                <w:lang w:eastAsia="zh-CN"/>
              </w:rPr>
              <w:t>平方米</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0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信息化投资（5分）</w:t>
            </w: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软硬件投资（5分）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近2年软硬件投资大于300万得5分；介于150-300万之间得3分；小于150万得1分；没有投入得0分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3</w:t>
            </w:r>
          </w:p>
        </w:tc>
        <w:tc>
          <w:tcPr>
            <w:tcW w:w="386" w:type="pct"/>
            <w:vMerge w:val="restart"/>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生产过程</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（55分）</w:t>
            </w:r>
          </w:p>
        </w:tc>
        <w:tc>
          <w:tcPr>
            <w:tcW w:w="703" w:type="pct"/>
            <w:vMerge w:val="restart"/>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育苗和投入品</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w:t>
            </w:r>
            <w:r>
              <w:rPr>
                <w:rFonts w:hint="eastAsia" w:ascii="Times New Roman" w:hAnsi="Times New Roman" w:cs="Times New Roman"/>
                <w:b w:val="0"/>
                <w:bCs w:val="0"/>
                <w:color w:val="auto"/>
                <w:kern w:val="0"/>
                <w:sz w:val="18"/>
                <w:szCs w:val="18"/>
                <w:lang w:val="en-US" w:eastAsia="zh-CN"/>
              </w:rPr>
              <w:t>8</w:t>
            </w:r>
            <w:r>
              <w:rPr>
                <w:rFonts w:hint="default" w:ascii="Times New Roman" w:hAnsi="Times New Roman" w:eastAsia="宋体" w:cs="Times New Roman"/>
                <w:b w:val="0"/>
                <w:bCs w:val="0"/>
                <w:color w:val="auto"/>
                <w:kern w:val="0"/>
                <w:sz w:val="18"/>
                <w:szCs w:val="18"/>
              </w:rPr>
              <w:t>分）</w:t>
            </w: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投入品管理（4分）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采用信息化管理系统对种子、农药、肥料、农用覆盖薄膜等投入品进行管理得4分</w:t>
            </w:r>
            <w:r>
              <w:rPr>
                <w:rFonts w:hint="eastAsia" w:ascii="Times New Roman" w:hAnsi="Times New Roman" w:cs="Times New Roman"/>
                <w:b w:val="0"/>
                <w:bCs w:val="0"/>
                <w:color w:val="auto"/>
                <w:kern w:val="0"/>
                <w:sz w:val="18"/>
                <w:szCs w:val="18"/>
                <w:lang w:eastAsia="zh-CN"/>
              </w:rPr>
              <w:t>，</w:t>
            </w:r>
            <w:r>
              <w:rPr>
                <w:rFonts w:hint="eastAsia" w:ascii="宋体" w:hAnsi="宋体" w:eastAsia="宋体" w:cs="宋体"/>
                <w:color w:val="auto"/>
                <w:kern w:val="0"/>
                <w:sz w:val="18"/>
                <w:szCs w:val="18"/>
              </w:rPr>
              <w:t>每</w:t>
            </w:r>
            <w:r>
              <w:rPr>
                <w:rFonts w:hint="eastAsia" w:ascii="宋体" w:hAnsi="宋体" w:cs="宋体"/>
                <w:color w:val="auto"/>
                <w:kern w:val="0"/>
                <w:sz w:val="18"/>
                <w:szCs w:val="18"/>
                <w:lang w:val="en-US" w:eastAsia="zh-CN"/>
              </w:rPr>
              <w:t>有</w:t>
            </w:r>
            <w:r>
              <w:rPr>
                <w:rFonts w:hint="eastAsia" w:ascii="宋体" w:hAnsi="宋体" w:eastAsia="宋体" w:cs="宋体"/>
                <w:color w:val="auto"/>
                <w:kern w:val="0"/>
                <w:sz w:val="18"/>
                <w:szCs w:val="18"/>
              </w:rPr>
              <w:t>1个</w:t>
            </w:r>
            <w:r>
              <w:rPr>
                <w:rFonts w:hint="eastAsia" w:ascii="宋体" w:hAnsi="宋体" w:cs="宋体"/>
                <w:color w:val="auto"/>
                <w:kern w:val="0"/>
                <w:sz w:val="18"/>
                <w:szCs w:val="18"/>
                <w:lang w:val="en-US" w:eastAsia="zh-CN"/>
              </w:rPr>
              <w:t>投入品纳入管理得</w:t>
            </w:r>
            <w:r>
              <w:rPr>
                <w:rFonts w:hint="eastAsia" w:ascii="宋体" w:hAnsi="宋体" w:eastAsia="宋体" w:cs="宋体"/>
                <w:color w:val="auto"/>
                <w:kern w:val="0"/>
                <w:sz w:val="18"/>
                <w:szCs w:val="18"/>
              </w:rPr>
              <w:t>1分</w:t>
            </w:r>
            <w:r>
              <w:rPr>
                <w:rFonts w:hint="eastAsia" w:ascii="宋体" w:hAnsi="宋体" w:cs="宋体"/>
                <w:color w:val="auto"/>
                <w:kern w:val="0"/>
                <w:sz w:val="18"/>
                <w:szCs w:val="18"/>
                <w:lang w:eastAsia="zh-CN"/>
              </w:rPr>
              <w:t>，</w:t>
            </w:r>
            <w:r>
              <w:rPr>
                <w:rFonts w:hint="eastAsia" w:ascii="宋体" w:hAnsi="宋体" w:cs="宋体"/>
                <w:color w:val="auto"/>
                <w:kern w:val="0"/>
                <w:sz w:val="18"/>
                <w:szCs w:val="18"/>
                <w:lang w:val="en-US" w:eastAsia="zh-CN"/>
              </w:rPr>
              <w:t>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4</w:t>
            </w:r>
          </w:p>
        </w:tc>
        <w:tc>
          <w:tcPr>
            <w:tcW w:w="386" w:type="pct"/>
            <w:vMerge w:val="continue"/>
            <w:vAlign w:val="center"/>
          </w:tcPr>
          <w:p>
            <w:pPr>
              <w:snapToGrid w:val="0"/>
              <w:jc w:val="center"/>
              <w:rPr>
                <w:rFonts w:hint="default" w:ascii="Times New Roman" w:hAnsi="Times New Roman" w:eastAsia="宋体" w:cs="Times New Roman"/>
                <w:b w:val="0"/>
                <w:bCs w:val="0"/>
                <w:color w:val="auto"/>
                <w:kern w:val="0"/>
                <w:sz w:val="18"/>
                <w:szCs w:val="18"/>
              </w:rPr>
            </w:pPr>
          </w:p>
        </w:tc>
        <w:tc>
          <w:tcPr>
            <w:tcW w:w="7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育苗设施（</w:t>
            </w:r>
            <w:r>
              <w:rPr>
                <w:rFonts w:hint="eastAsia" w:ascii="Times New Roman" w:hAnsi="Times New Roman" w:cs="Times New Roman"/>
                <w:b w:val="0"/>
                <w:bCs w:val="0"/>
                <w:color w:val="auto"/>
                <w:kern w:val="0"/>
                <w:sz w:val="18"/>
                <w:szCs w:val="18"/>
                <w:lang w:val="en-US" w:eastAsia="zh-CN"/>
              </w:rPr>
              <w:t>4</w:t>
            </w:r>
            <w:r>
              <w:rPr>
                <w:rFonts w:hint="default" w:ascii="Times New Roman" w:hAnsi="Times New Roman" w:eastAsia="宋体" w:cs="Times New Roman"/>
                <w:b w:val="0"/>
                <w:bCs w:val="0"/>
                <w:color w:val="auto"/>
                <w:kern w:val="0"/>
                <w:sz w:val="18"/>
                <w:szCs w:val="18"/>
              </w:rPr>
              <w:t>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w:t>
            </w:r>
            <w:r>
              <w:rPr>
                <w:rFonts w:hint="eastAsia" w:ascii="Times New Roman" w:hAnsi="Times New Roman" w:cs="Times New Roman"/>
                <w:b w:val="0"/>
                <w:bCs w:val="0"/>
                <w:color w:val="auto"/>
                <w:kern w:val="0"/>
                <w:sz w:val="18"/>
                <w:szCs w:val="18"/>
                <w:lang w:val="en-US" w:eastAsia="zh-CN"/>
              </w:rPr>
              <w:t>数字化育苗方式</w:t>
            </w:r>
            <w:r>
              <w:rPr>
                <w:rFonts w:hint="default" w:ascii="Times New Roman" w:hAnsi="Times New Roman" w:eastAsia="宋体" w:cs="Times New Roman"/>
                <w:b w:val="0"/>
                <w:bCs w:val="0"/>
                <w:color w:val="auto"/>
                <w:kern w:val="0"/>
                <w:sz w:val="18"/>
                <w:szCs w:val="18"/>
              </w:rPr>
              <w:t>得</w:t>
            </w:r>
            <w:r>
              <w:rPr>
                <w:rFonts w:hint="eastAsia" w:ascii="Times New Roman" w:hAnsi="Times New Roman" w:cs="Times New Roman"/>
                <w:b w:val="0"/>
                <w:bCs w:val="0"/>
                <w:color w:val="auto"/>
                <w:kern w:val="0"/>
                <w:sz w:val="18"/>
                <w:szCs w:val="18"/>
                <w:lang w:val="en-US" w:eastAsia="zh-CN"/>
              </w:rPr>
              <w:t>4</w:t>
            </w:r>
            <w:r>
              <w:rPr>
                <w:rFonts w:hint="default" w:ascii="Times New Roman" w:hAnsi="Times New Roman" w:eastAsia="宋体" w:cs="Times New Roman"/>
                <w:b w:val="0"/>
                <w:bCs w:val="0"/>
                <w:color w:val="auto"/>
                <w:kern w:val="0"/>
                <w:sz w:val="18"/>
                <w:szCs w:val="18"/>
              </w:rPr>
              <w:t>分；</w:t>
            </w:r>
            <w:r>
              <w:rPr>
                <w:rFonts w:hint="eastAsia" w:ascii="Times New Roman" w:hAnsi="Times New Roman"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shd w:val="clear" w:color="auto" w:fill="auto"/>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5</w:t>
            </w:r>
          </w:p>
        </w:tc>
        <w:tc>
          <w:tcPr>
            <w:tcW w:w="386"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0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栽培方式（2分）</w:t>
            </w: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定植方式（2分）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采用自动定植方式得2分；</w:t>
            </w:r>
            <w:r>
              <w:rPr>
                <w:rFonts w:hint="eastAsia" w:ascii="Times New Roman" w:hAnsi="Times New Roman"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6</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03"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生长环境监测调控（12分）</w:t>
            </w:r>
          </w:p>
        </w:tc>
        <w:tc>
          <w:tcPr>
            <w:tcW w:w="691"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环境监测（6分）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采用物联网设备监测温度、湿度、光照、二氧化碳等空气环境要素</w:t>
            </w:r>
            <w:r>
              <w:rPr>
                <w:rFonts w:hint="eastAsia" w:ascii="宋体" w:hAnsi="宋体" w:cs="宋体"/>
                <w:color w:val="auto"/>
                <w:kern w:val="0"/>
                <w:sz w:val="18"/>
                <w:szCs w:val="18"/>
                <w:lang w:val="en-US" w:eastAsia="zh-CN"/>
              </w:rPr>
              <w:t>，</w:t>
            </w:r>
            <w:r>
              <w:rPr>
                <w:rFonts w:hint="eastAsia" w:ascii="宋体" w:hAnsi="宋体" w:eastAsia="宋体" w:cs="宋体"/>
                <w:color w:val="auto"/>
                <w:kern w:val="0"/>
                <w:sz w:val="18"/>
                <w:szCs w:val="18"/>
              </w:rPr>
              <w:t>每</w:t>
            </w:r>
            <w:r>
              <w:rPr>
                <w:rFonts w:hint="eastAsia" w:ascii="宋体" w:hAnsi="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cs="宋体"/>
                <w:color w:val="auto"/>
                <w:kern w:val="0"/>
                <w:sz w:val="18"/>
                <w:szCs w:val="18"/>
                <w:lang w:val="en-US" w:eastAsia="zh-CN"/>
              </w:rPr>
              <w:t>得</w:t>
            </w:r>
            <w:r>
              <w:rPr>
                <w:rFonts w:hint="eastAsia" w:ascii="宋体" w:hAnsi="宋体" w:eastAsia="宋体" w:cs="宋体"/>
                <w:color w:val="auto"/>
                <w:kern w:val="0"/>
                <w:sz w:val="18"/>
                <w:szCs w:val="18"/>
              </w:rPr>
              <w:t>1分</w:t>
            </w:r>
            <w:r>
              <w:rPr>
                <w:rFonts w:hint="eastAsia" w:ascii="宋体" w:hAnsi="宋体" w:cs="宋体"/>
                <w:color w:val="auto"/>
                <w:kern w:val="0"/>
                <w:sz w:val="18"/>
                <w:szCs w:val="18"/>
                <w:lang w:eastAsia="zh-CN"/>
              </w:rPr>
              <w:t>，</w:t>
            </w:r>
            <w:r>
              <w:rPr>
                <w:rFonts w:hint="eastAsia" w:ascii="宋体" w:hAnsi="宋体" w:cs="宋体"/>
                <w:color w:val="auto"/>
                <w:kern w:val="0"/>
                <w:sz w:val="18"/>
                <w:szCs w:val="18"/>
                <w:lang w:val="en-US" w:eastAsia="zh-CN"/>
              </w:rPr>
              <w:t>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7</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91"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采用物联网设备监测土壤/水/基质的</w:t>
            </w:r>
            <w:r>
              <w:rPr>
                <w:rFonts w:hint="eastAsia" w:ascii="Times New Roman" w:hAnsi="Times New Roman" w:cs="Times New Roman"/>
                <w:b w:val="0"/>
                <w:bCs w:val="0"/>
                <w:color w:val="auto"/>
                <w:kern w:val="0"/>
                <w:sz w:val="18"/>
                <w:szCs w:val="18"/>
                <w:lang w:val="en-US" w:eastAsia="zh-CN"/>
              </w:rPr>
              <w:t>pH</w:t>
            </w:r>
            <w:r>
              <w:rPr>
                <w:rFonts w:hint="default" w:ascii="Times New Roman" w:hAnsi="Times New Roman" w:eastAsia="宋体" w:cs="Times New Roman"/>
                <w:b w:val="0"/>
                <w:bCs w:val="0"/>
                <w:color w:val="auto"/>
                <w:kern w:val="0"/>
                <w:sz w:val="18"/>
                <w:szCs w:val="18"/>
              </w:rPr>
              <w:t>和EC等环境要素</w:t>
            </w:r>
            <w:r>
              <w:rPr>
                <w:rFonts w:hint="eastAsia" w:ascii="宋体" w:hAnsi="宋体" w:cs="宋体"/>
                <w:color w:val="auto"/>
                <w:kern w:val="0"/>
                <w:sz w:val="18"/>
                <w:szCs w:val="18"/>
                <w:lang w:val="en-US" w:eastAsia="zh-CN"/>
              </w:rPr>
              <w:t>，</w:t>
            </w:r>
            <w:r>
              <w:rPr>
                <w:rFonts w:hint="eastAsia" w:ascii="宋体" w:hAnsi="宋体" w:eastAsia="宋体" w:cs="宋体"/>
                <w:color w:val="auto"/>
                <w:kern w:val="0"/>
                <w:sz w:val="18"/>
                <w:szCs w:val="18"/>
              </w:rPr>
              <w:t>每</w:t>
            </w:r>
            <w:r>
              <w:rPr>
                <w:rFonts w:hint="eastAsia" w:ascii="宋体" w:hAnsi="宋体" w:cs="宋体"/>
                <w:color w:val="auto"/>
                <w:kern w:val="0"/>
                <w:sz w:val="18"/>
                <w:szCs w:val="18"/>
                <w:lang w:val="en-US" w:eastAsia="zh-CN"/>
              </w:rPr>
              <w:t>有</w:t>
            </w:r>
            <w:r>
              <w:rPr>
                <w:rFonts w:hint="eastAsia" w:ascii="宋体" w:hAnsi="宋体" w:eastAsia="宋体" w:cs="宋体"/>
                <w:color w:val="auto"/>
                <w:kern w:val="0"/>
                <w:sz w:val="18"/>
                <w:szCs w:val="18"/>
              </w:rPr>
              <w:t>1个环境</w:t>
            </w:r>
            <w:r>
              <w:rPr>
                <w:rFonts w:hint="eastAsia" w:ascii="宋体" w:hAnsi="宋体" w:eastAsia="宋体" w:cs="宋体"/>
                <w:color w:val="auto"/>
                <w:kern w:val="0"/>
                <w:sz w:val="18"/>
                <w:szCs w:val="18"/>
                <w:lang w:eastAsia="zh-CN"/>
              </w:rPr>
              <w:t>要素</w:t>
            </w:r>
            <w:r>
              <w:rPr>
                <w:rFonts w:hint="eastAsia" w:ascii="宋体" w:hAnsi="宋体" w:cs="宋体"/>
                <w:color w:val="auto"/>
                <w:kern w:val="0"/>
                <w:sz w:val="18"/>
                <w:szCs w:val="18"/>
                <w:lang w:val="en-US" w:eastAsia="zh-CN"/>
              </w:rPr>
              <w:t>得</w:t>
            </w:r>
            <w:r>
              <w:rPr>
                <w:rFonts w:hint="eastAsia" w:ascii="宋体" w:hAnsi="宋体" w:eastAsia="宋体" w:cs="宋体"/>
                <w:color w:val="auto"/>
                <w:kern w:val="0"/>
                <w:sz w:val="18"/>
                <w:szCs w:val="18"/>
              </w:rPr>
              <w:t>1分</w:t>
            </w:r>
            <w:r>
              <w:rPr>
                <w:rFonts w:hint="eastAsia" w:ascii="宋体" w:hAnsi="宋体" w:cs="宋体"/>
                <w:color w:val="auto"/>
                <w:kern w:val="0"/>
                <w:sz w:val="18"/>
                <w:szCs w:val="18"/>
                <w:lang w:eastAsia="zh-CN"/>
              </w:rPr>
              <w:t>，</w:t>
            </w:r>
            <w:r>
              <w:rPr>
                <w:rFonts w:hint="eastAsia" w:ascii="宋体" w:hAnsi="宋体" w:cs="宋体"/>
                <w:color w:val="auto"/>
                <w:kern w:val="0"/>
                <w:sz w:val="18"/>
                <w:szCs w:val="18"/>
                <w:lang w:val="en-US" w:eastAsia="zh-CN"/>
              </w:rPr>
              <w:t>最多得2分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8</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温室控制（6分）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系统自动控制温室环境得6分；远程人工控制温室环境得4分；无法</w:t>
            </w:r>
            <w:r>
              <w:rPr>
                <w:rFonts w:hint="eastAsia" w:ascii="Times New Roman" w:hAnsi="Times New Roman" w:cs="Times New Roman"/>
                <w:b w:val="0"/>
                <w:bCs w:val="0"/>
                <w:color w:val="auto"/>
                <w:kern w:val="0"/>
                <w:sz w:val="18"/>
                <w:szCs w:val="18"/>
                <w:lang w:eastAsia="zh-CN"/>
              </w:rPr>
              <w:t>远程</w:t>
            </w:r>
            <w:r>
              <w:rPr>
                <w:rFonts w:hint="default" w:ascii="Times New Roman" w:hAnsi="Times New Roman" w:eastAsia="宋体" w:cs="Times New Roman"/>
                <w:b w:val="0"/>
                <w:bCs w:val="0"/>
                <w:color w:val="auto"/>
                <w:kern w:val="0"/>
                <w:sz w:val="18"/>
                <w:szCs w:val="18"/>
              </w:rPr>
              <w:t>控制温室环境得0分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43"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9</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03"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生长过程监测调控（2</w:t>
            </w:r>
            <w:r>
              <w:rPr>
                <w:rFonts w:hint="eastAsia" w:ascii="Times New Roman" w:hAnsi="Times New Roman" w:cs="Times New Roman"/>
                <w:b w:val="0"/>
                <w:bCs w:val="0"/>
                <w:color w:val="auto"/>
                <w:kern w:val="0"/>
                <w:sz w:val="18"/>
                <w:szCs w:val="18"/>
                <w:lang w:val="en-US" w:eastAsia="zh-CN"/>
              </w:rPr>
              <w:t>0</w:t>
            </w:r>
            <w:r>
              <w:rPr>
                <w:rFonts w:hint="default" w:ascii="Times New Roman" w:hAnsi="Times New Roman" w:eastAsia="宋体" w:cs="Times New Roman"/>
                <w:b w:val="0"/>
                <w:bCs w:val="0"/>
                <w:color w:val="auto"/>
                <w:kern w:val="0"/>
                <w:sz w:val="18"/>
                <w:szCs w:val="18"/>
              </w:rPr>
              <w:t>分）</w:t>
            </w: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水肥一体化（8分）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采用变量精准控制水肥一体化设备得8分；采用定量水肥一体化设备得3分；未采用水肥一体化设备得0分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10</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9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模拟和调控（</w:t>
            </w:r>
            <w:r>
              <w:rPr>
                <w:rFonts w:hint="eastAsia" w:ascii="Times New Roman" w:hAnsi="Times New Roman" w:cs="Times New Roman"/>
                <w:b w:val="0"/>
                <w:bCs w:val="0"/>
                <w:color w:val="auto"/>
                <w:kern w:val="0"/>
                <w:sz w:val="18"/>
                <w:szCs w:val="18"/>
                <w:lang w:val="en-US" w:eastAsia="zh-CN"/>
              </w:rPr>
              <w:t>7</w:t>
            </w:r>
            <w:r>
              <w:rPr>
                <w:rFonts w:hint="default" w:ascii="Times New Roman" w:hAnsi="Times New Roman" w:eastAsia="宋体" w:cs="Times New Roman"/>
                <w:b w:val="0"/>
                <w:bCs w:val="0"/>
                <w:color w:val="auto"/>
                <w:kern w:val="0"/>
                <w:sz w:val="18"/>
                <w:szCs w:val="18"/>
              </w:rPr>
              <w:t>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采用大数据技术建模进行花卉生长模拟和调控得</w:t>
            </w:r>
            <w:r>
              <w:rPr>
                <w:rFonts w:hint="eastAsia" w:ascii="Times New Roman" w:hAnsi="Times New Roman" w:cs="Times New Roman"/>
                <w:b w:val="0"/>
                <w:bCs w:val="0"/>
                <w:color w:val="auto"/>
                <w:kern w:val="0"/>
                <w:sz w:val="18"/>
                <w:szCs w:val="18"/>
                <w:lang w:val="en-US" w:eastAsia="zh-CN"/>
              </w:rPr>
              <w:t>7</w:t>
            </w:r>
            <w:r>
              <w:rPr>
                <w:rFonts w:hint="default" w:ascii="Times New Roman" w:hAnsi="Times New Roman" w:eastAsia="宋体" w:cs="Times New Roman"/>
                <w:b w:val="0"/>
                <w:bCs w:val="0"/>
                <w:color w:val="auto"/>
                <w:kern w:val="0"/>
                <w:sz w:val="18"/>
                <w:szCs w:val="18"/>
              </w:rPr>
              <w:t>分；采用生长模型进行生长模拟和调控得4分；</w:t>
            </w:r>
            <w:r>
              <w:rPr>
                <w:rFonts w:hint="eastAsia" w:ascii="Times New Roman" w:hAnsi="Times New Roman" w:cs="Times New Roman"/>
                <w:b w:val="0"/>
                <w:bCs w:val="0"/>
                <w:color w:val="auto"/>
                <w:kern w:val="0"/>
                <w:sz w:val="18"/>
                <w:szCs w:val="18"/>
                <w:lang w:val="en-US"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11</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03"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91" w:type="pct"/>
            <w:shd w:val="clear" w:color="auto" w:fill="auto"/>
            <w:vAlign w:val="center"/>
          </w:tcPr>
          <w:p>
            <w:pPr>
              <w:widowControl/>
              <w:snapToGrid w:val="0"/>
              <w:ind w:left="105" w:hanging="90" w:hangingChars="5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病虫害监测与防控</w:t>
            </w:r>
          </w:p>
          <w:p>
            <w:pPr>
              <w:widowControl/>
              <w:snapToGrid w:val="0"/>
              <w:ind w:left="105" w:hanging="90" w:hangingChars="5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（5分）</w:t>
            </w:r>
          </w:p>
        </w:tc>
        <w:tc>
          <w:tcPr>
            <w:tcW w:w="2975"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Times New Roman" w:hAnsi="Times New Roman" w:cs="Times New Roman"/>
                <w:b w:val="0"/>
                <w:bCs w:val="0"/>
                <w:color w:val="auto"/>
                <w:kern w:val="0"/>
                <w:sz w:val="18"/>
                <w:szCs w:val="18"/>
                <w:lang w:val="en-US" w:eastAsia="zh-CN"/>
              </w:rPr>
              <w:t>实现</w:t>
            </w:r>
            <w:r>
              <w:rPr>
                <w:rFonts w:hint="default" w:ascii="Times New Roman" w:hAnsi="Times New Roman" w:eastAsia="宋体" w:cs="Times New Roman"/>
                <w:b w:val="0"/>
                <w:bCs w:val="0"/>
                <w:color w:val="auto"/>
                <w:kern w:val="0"/>
                <w:sz w:val="18"/>
                <w:szCs w:val="18"/>
              </w:rPr>
              <w:t>智能监测和防控病虫害得5分；无法智能监测和防控得0分</w:t>
            </w:r>
          </w:p>
        </w:tc>
      </w:tr>
    </w:tbl>
    <w:p>
      <w:pPr>
        <w:pStyle w:val="108"/>
        <w:numPr>
          <w:ilvl w:val="0"/>
          <w:numId w:val="0"/>
        </w:numPr>
        <w:spacing w:beforeLines="0" w:afterLines="0"/>
        <w:jc w:val="center"/>
        <w:rPr>
          <w:rFonts w:hint="eastAsia"/>
          <w:szCs w:val="21"/>
          <w:lang w:val="en-US" w:eastAsia="zh-CN"/>
        </w:rPr>
      </w:pPr>
      <w:bookmarkStart w:id="109" w:name="_Toc1307"/>
    </w:p>
    <w:p>
      <w:pPr>
        <w:pStyle w:val="108"/>
        <w:numPr>
          <w:ilvl w:val="0"/>
          <w:numId w:val="0"/>
        </w:numPr>
        <w:spacing w:beforeLines="0" w:afterLines="0"/>
        <w:jc w:val="center"/>
        <w:rPr>
          <w:rFonts w:hint="eastAsia"/>
          <w:szCs w:val="21"/>
          <w:lang w:val="en-US" w:eastAsia="zh-CN"/>
        </w:rPr>
      </w:pPr>
    </w:p>
    <w:p>
      <w:pPr>
        <w:pStyle w:val="108"/>
        <w:numPr>
          <w:ilvl w:val="0"/>
          <w:numId w:val="0"/>
        </w:numPr>
        <w:spacing w:beforeLines="0" w:afterLines="0"/>
        <w:jc w:val="center"/>
      </w:pPr>
      <w:r>
        <w:rPr>
          <w:rFonts w:hint="eastAsia"/>
          <w:szCs w:val="21"/>
          <w:lang w:val="en-US" w:eastAsia="zh-CN"/>
        </w:rPr>
        <w:t>表2</w:t>
      </w:r>
      <w:r>
        <w:rPr>
          <w:rFonts w:hint="eastAsia"/>
          <w:szCs w:val="21"/>
        </w:rPr>
        <w:t>智慧园艺</w:t>
      </w:r>
      <w:r>
        <w:rPr>
          <w:rFonts w:hint="eastAsia"/>
          <w:szCs w:val="21"/>
          <w:lang w:eastAsia="zh-CN"/>
        </w:rPr>
        <w:t>（</w:t>
      </w:r>
      <w:r>
        <w:rPr>
          <w:rFonts w:hint="eastAsia"/>
          <w:szCs w:val="21"/>
        </w:rPr>
        <w:t>设施花）</w:t>
      </w:r>
      <w:r>
        <w:rPr>
          <w:rFonts w:hint="eastAsia"/>
          <w:szCs w:val="21"/>
          <w:lang w:eastAsia="zh-CN"/>
        </w:rPr>
        <w:t>示范基地评价细则</w:t>
      </w:r>
      <w:bookmarkEnd w:id="109"/>
      <w:r>
        <w:rPr>
          <w:rFonts w:hint="eastAsia" w:ascii="黑体" w:hAnsi="黑体" w:eastAsia="黑体" w:cs="黑体"/>
          <w:b w:val="0"/>
          <w:bCs/>
          <w:lang w:val="en-US" w:eastAsia="zh-CN"/>
        </w:rPr>
        <w:t>(第</w:t>
      </w:r>
      <w:r>
        <w:rPr>
          <w:rFonts w:hint="eastAsia" w:hAnsi="黑体" w:cs="黑体"/>
          <w:b w:val="0"/>
          <w:bCs/>
          <w:lang w:val="en-US" w:eastAsia="zh-CN"/>
        </w:rPr>
        <w:t>2</w:t>
      </w:r>
      <w:r>
        <w:rPr>
          <w:rFonts w:hint="eastAsia" w:ascii="黑体" w:hAnsi="黑体" w:eastAsia="黑体" w:cs="黑体"/>
          <w:b w:val="0"/>
          <w:bCs/>
          <w:lang w:val="en-US" w:eastAsia="zh-CN"/>
        </w:rPr>
        <w:t>页/共3页)</w:t>
      </w:r>
    </w:p>
    <w:tbl>
      <w:tblPr>
        <w:tblStyle w:val="29"/>
        <w:tblW w:w="49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071"/>
        <w:gridCol w:w="1758"/>
        <w:gridCol w:w="2033"/>
        <w:gridCol w:w="83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bidi="ar-SA"/>
              </w:rPr>
            </w:pPr>
            <w:r>
              <w:rPr>
                <w:rFonts w:hint="eastAsia" w:ascii="Times New Roman" w:hAnsi="Times New Roman" w:cs="Times New Roman"/>
                <w:b w:val="0"/>
                <w:bCs w:val="0"/>
                <w:color w:val="auto"/>
                <w:kern w:val="0"/>
                <w:sz w:val="18"/>
                <w:szCs w:val="18"/>
                <w:lang w:val="en-US" w:eastAsia="zh-CN"/>
              </w:rPr>
              <w:t>序号</w:t>
            </w:r>
          </w:p>
        </w:tc>
        <w:tc>
          <w:tcPr>
            <w:tcW w:w="386"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一级指标</w:t>
            </w:r>
          </w:p>
        </w:tc>
        <w:tc>
          <w:tcPr>
            <w:tcW w:w="634"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二级指标</w:t>
            </w:r>
          </w:p>
        </w:tc>
        <w:tc>
          <w:tcPr>
            <w:tcW w:w="73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三级指标</w:t>
            </w:r>
          </w:p>
        </w:tc>
        <w:tc>
          <w:tcPr>
            <w:tcW w:w="300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12</w:t>
            </w:r>
          </w:p>
        </w:tc>
        <w:tc>
          <w:tcPr>
            <w:tcW w:w="386" w:type="pct"/>
            <w:vMerge w:val="restart"/>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生产过程</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（55分）</w:t>
            </w:r>
          </w:p>
        </w:tc>
        <w:tc>
          <w:tcPr>
            <w:tcW w:w="634"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产品采收与运输</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3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采收（2分）</w:t>
            </w:r>
          </w:p>
        </w:tc>
        <w:tc>
          <w:tcPr>
            <w:tcW w:w="300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自动化采收得2分；半自动化采收得1分；人工采收得0分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13</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34"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运输（2分）</w:t>
            </w:r>
          </w:p>
        </w:tc>
        <w:tc>
          <w:tcPr>
            <w:tcW w:w="300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highlight w:val="yellow"/>
              </w:rPr>
            </w:pPr>
            <w:r>
              <w:rPr>
                <w:rFonts w:hint="default" w:ascii="Times New Roman" w:hAnsi="Times New Roman" w:eastAsia="宋体" w:cs="Times New Roman"/>
                <w:b w:val="0"/>
                <w:bCs w:val="0"/>
                <w:color w:val="auto"/>
                <w:kern w:val="0"/>
                <w:sz w:val="18"/>
                <w:szCs w:val="18"/>
              </w:rPr>
              <w:t>自动化运输得2分；半自动化运输得1分；人工运输得0分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14</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34" w:type="pct"/>
            <w:vMerge w:val="restart"/>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产品分级与包装</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3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分级（2分）</w:t>
            </w:r>
          </w:p>
        </w:tc>
        <w:tc>
          <w:tcPr>
            <w:tcW w:w="300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采用机器进行产品自动分级得2分；</w:t>
            </w:r>
            <w:r>
              <w:rPr>
                <w:rFonts w:hint="eastAsia" w:ascii="Times New Roman" w:hAnsi="Times New Roman" w:cs="Times New Roman"/>
                <w:b w:val="0"/>
                <w:bCs w:val="0"/>
                <w:color w:val="auto"/>
                <w:kern w:val="0"/>
                <w:sz w:val="18"/>
                <w:szCs w:val="18"/>
                <w:lang w:val="en-US"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8"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15</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34"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包装（2分）</w:t>
            </w:r>
          </w:p>
        </w:tc>
        <w:tc>
          <w:tcPr>
            <w:tcW w:w="300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采用机器进行产品自动包装得2分；</w:t>
            </w:r>
            <w:r>
              <w:rPr>
                <w:rFonts w:hint="eastAsia" w:ascii="Times New Roman" w:hAnsi="Times New Roman" w:cs="Times New Roman"/>
                <w:b w:val="0"/>
                <w:bCs w:val="0"/>
                <w:color w:val="auto"/>
                <w:kern w:val="0"/>
                <w:sz w:val="18"/>
                <w:szCs w:val="18"/>
                <w:lang w:val="en-US"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238"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16</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34" w:type="pct"/>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销售（5分）</w:t>
            </w:r>
          </w:p>
        </w:tc>
        <w:tc>
          <w:tcPr>
            <w:tcW w:w="733" w:type="pct"/>
            <w:shd w:val="clear" w:color="auto" w:fill="auto"/>
            <w:vAlign w:val="center"/>
          </w:tcPr>
          <w:p>
            <w:pPr>
              <w:widowControl/>
              <w:snapToGrid w:val="0"/>
              <w:jc w:val="center"/>
              <w:rPr>
                <w:rFonts w:hint="default" w:ascii="Times New Roman" w:hAnsi="Times New Roman" w:eastAsia="宋体" w:cs="Times New Roman"/>
                <w:b w:val="0"/>
                <w:bCs w:val="0"/>
                <w:strike/>
                <w:color w:val="auto"/>
                <w:kern w:val="0"/>
                <w:sz w:val="18"/>
                <w:szCs w:val="18"/>
              </w:rPr>
            </w:pPr>
            <w:r>
              <w:rPr>
                <w:rFonts w:hint="default" w:ascii="Times New Roman" w:hAnsi="Times New Roman" w:eastAsia="宋体" w:cs="Times New Roman"/>
                <w:b w:val="0"/>
                <w:bCs w:val="0"/>
                <w:color w:val="auto"/>
                <w:kern w:val="0"/>
                <w:sz w:val="18"/>
                <w:szCs w:val="18"/>
              </w:rPr>
              <w:t>电子商务（5分）</w:t>
            </w:r>
          </w:p>
        </w:tc>
        <w:tc>
          <w:tcPr>
            <w:tcW w:w="3008" w:type="pct"/>
            <w:shd w:val="clear" w:color="auto" w:fill="auto"/>
            <w:vAlign w:val="center"/>
          </w:tcPr>
          <w:p>
            <w:pPr>
              <w:snapToGrid w:val="0"/>
              <w:jc w:val="left"/>
              <w:rPr>
                <w:rFonts w:hint="default" w:ascii="Times New Roman" w:hAnsi="Times New Roman" w:eastAsia="宋体" w:cs="Times New Roman"/>
                <w:b w:val="0"/>
                <w:bCs w:val="0"/>
                <w:strike/>
                <w:color w:val="auto"/>
                <w:kern w:val="0"/>
                <w:sz w:val="18"/>
                <w:szCs w:val="18"/>
              </w:rPr>
            </w:pPr>
            <w:r>
              <w:rPr>
                <w:rFonts w:hint="eastAsia" w:ascii="宋体" w:hAnsi="宋体" w:eastAsia="宋体" w:cs="宋体"/>
                <w:color w:val="auto"/>
                <w:kern w:val="0"/>
                <w:sz w:val="18"/>
                <w:szCs w:val="18"/>
              </w:rPr>
              <w:t>利用现代信息化技术和互联网平台，搭建</w:t>
            </w:r>
            <w:r>
              <w:rPr>
                <w:rFonts w:hint="eastAsia" w:ascii="宋体" w:hAnsi="宋体" w:cs="宋体"/>
                <w:color w:val="auto"/>
                <w:kern w:val="0"/>
                <w:sz w:val="18"/>
                <w:szCs w:val="18"/>
                <w:lang w:val="en-US" w:eastAsia="zh-CN"/>
              </w:rPr>
              <w:t>或采用第三方电商平台</w:t>
            </w:r>
            <w:r>
              <w:rPr>
                <w:rFonts w:hint="eastAsia" w:ascii="宋体" w:hAnsi="宋体" w:eastAsia="宋体" w:cs="宋体"/>
                <w:color w:val="auto"/>
                <w:kern w:val="0"/>
                <w:sz w:val="18"/>
                <w:szCs w:val="18"/>
              </w:rPr>
              <w:t>进行线上销售得</w:t>
            </w:r>
            <w:r>
              <w:rPr>
                <w:rFonts w:hint="eastAsia" w:ascii="宋体" w:hAnsi="宋体" w:cs="宋体"/>
                <w:color w:val="auto"/>
                <w:kern w:val="0"/>
                <w:sz w:val="18"/>
                <w:szCs w:val="18"/>
                <w:lang w:val="en-US" w:eastAsia="zh-CN"/>
              </w:rPr>
              <w:t>5</w:t>
            </w:r>
            <w:r>
              <w:rPr>
                <w:rFonts w:hint="eastAsia" w:ascii="宋体" w:hAnsi="宋体" w:eastAsia="宋体" w:cs="宋体"/>
                <w:color w:val="auto"/>
                <w:kern w:val="0"/>
                <w:sz w:val="18"/>
                <w:szCs w:val="18"/>
              </w:rPr>
              <w:t>分；</w:t>
            </w:r>
            <w:r>
              <w:rPr>
                <w:rFonts w:hint="eastAsia" w:ascii="宋体" w:hAnsi="宋体" w:cs="宋体"/>
                <w:color w:val="auto"/>
                <w:kern w:val="0"/>
                <w:sz w:val="18"/>
                <w:szCs w:val="18"/>
                <w:lang w:eastAsia="zh-CN"/>
              </w:rPr>
              <w:t>没有</w:t>
            </w:r>
            <w:r>
              <w:rPr>
                <w:rFonts w:hint="eastAsia" w:ascii="宋体" w:hAnsi="宋体" w:eastAsia="宋体" w:cs="宋体"/>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38"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17</w:t>
            </w:r>
          </w:p>
        </w:tc>
        <w:tc>
          <w:tcPr>
            <w:tcW w:w="386"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管理决策</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634"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人员管理（2分）</w:t>
            </w:r>
          </w:p>
        </w:tc>
        <w:tc>
          <w:tcPr>
            <w:tcW w:w="733"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信息化专业背景人员（2分）</w:t>
            </w:r>
          </w:p>
        </w:tc>
        <w:tc>
          <w:tcPr>
            <w:tcW w:w="300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具有信息化专业背景或资历证书的人员，每</w:t>
            </w:r>
            <w:r>
              <w:rPr>
                <w:rFonts w:hint="default" w:ascii="Times New Roman" w:hAnsi="Times New Roman" w:eastAsia="宋体" w:cs="Times New Roman"/>
                <w:b w:val="0"/>
                <w:bCs w:val="0"/>
                <w:color w:val="auto"/>
                <w:kern w:val="0"/>
                <w:sz w:val="18"/>
                <w:szCs w:val="18"/>
                <w:lang w:eastAsia="zh-CN"/>
              </w:rPr>
              <w:t>有</w:t>
            </w:r>
            <w:r>
              <w:rPr>
                <w:rFonts w:hint="default" w:ascii="Times New Roman" w:hAnsi="Times New Roman" w:eastAsia="宋体" w:cs="Times New Roman"/>
                <w:b w:val="0"/>
                <w:bCs w:val="0"/>
                <w:color w:val="auto"/>
                <w:kern w:val="0"/>
                <w:sz w:val="18"/>
                <w:szCs w:val="18"/>
                <w:lang w:val="en-US" w:eastAsia="zh-CN"/>
              </w:rPr>
              <w:t>1</w:t>
            </w:r>
            <w:r>
              <w:rPr>
                <w:rFonts w:hint="default" w:ascii="Times New Roman" w:hAnsi="Times New Roman" w:eastAsia="宋体" w:cs="Times New Roman"/>
                <w:b w:val="0"/>
                <w:bCs w:val="0"/>
                <w:color w:val="auto"/>
                <w:kern w:val="0"/>
                <w:sz w:val="18"/>
                <w:szCs w:val="18"/>
              </w:rPr>
              <w:t>人</w:t>
            </w:r>
            <w:r>
              <w:rPr>
                <w:rFonts w:hint="default" w:ascii="Times New Roman" w:hAnsi="Times New Roman" w:eastAsia="宋体" w:cs="Times New Roman"/>
                <w:b w:val="0"/>
                <w:bCs w:val="0"/>
                <w:color w:val="auto"/>
                <w:kern w:val="0"/>
                <w:sz w:val="18"/>
                <w:szCs w:val="18"/>
                <w:lang w:eastAsia="zh-CN"/>
              </w:rPr>
              <w:t>得</w:t>
            </w:r>
            <w:r>
              <w:rPr>
                <w:rFonts w:hint="default" w:ascii="Times New Roman" w:hAnsi="Times New Roman" w:eastAsia="宋体" w:cs="Times New Roman"/>
                <w:b w:val="0"/>
                <w:bCs w:val="0"/>
                <w:color w:val="auto"/>
                <w:kern w:val="0"/>
                <w:sz w:val="18"/>
                <w:szCs w:val="18"/>
              </w:rPr>
              <w:t>1分，最高得2分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238"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18</w:t>
            </w:r>
          </w:p>
        </w:tc>
        <w:tc>
          <w:tcPr>
            <w:tcW w:w="386"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634"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决策支持</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（8分）</w:t>
            </w:r>
          </w:p>
        </w:tc>
        <w:tc>
          <w:tcPr>
            <w:tcW w:w="733"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互联互通（4分）</w:t>
            </w:r>
          </w:p>
        </w:tc>
        <w:tc>
          <w:tcPr>
            <w:tcW w:w="300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各类软硬件设备互联互通得4分；软硬件设备不能互联互通得0分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238"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19</w:t>
            </w:r>
          </w:p>
        </w:tc>
        <w:tc>
          <w:tcPr>
            <w:tcW w:w="386"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634" w:type="pct"/>
            <w:vMerge w:val="continue"/>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p>
        </w:tc>
        <w:tc>
          <w:tcPr>
            <w:tcW w:w="733"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决策模式（4分）</w:t>
            </w:r>
          </w:p>
        </w:tc>
        <w:tc>
          <w:tcPr>
            <w:tcW w:w="3008"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具有智能决策支持中心，能根据监测数据自动给出决策指令得4分；需辅以人工判断的半自动决策方式得2分；完全</w:t>
            </w:r>
            <w:r>
              <w:rPr>
                <w:rFonts w:hint="eastAsia" w:ascii="Times New Roman" w:hAnsi="Times New Roman" w:cs="Times New Roman"/>
                <w:b w:val="0"/>
                <w:bCs w:val="0"/>
                <w:color w:val="auto"/>
                <w:kern w:val="0"/>
                <w:sz w:val="18"/>
                <w:szCs w:val="18"/>
                <w:lang w:eastAsia="zh-CN"/>
              </w:rPr>
              <w:t>依靠</w:t>
            </w:r>
            <w:r>
              <w:rPr>
                <w:rFonts w:hint="default" w:ascii="Times New Roman" w:hAnsi="Times New Roman" w:eastAsia="宋体" w:cs="Times New Roman"/>
                <w:b w:val="0"/>
                <w:bCs w:val="0"/>
                <w:color w:val="auto"/>
                <w:kern w:val="0"/>
                <w:sz w:val="18"/>
                <w:szCs w:val="18"/>
              </w:rPr>
              <w:t>人工决策得0分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38" w:type="pct"/>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20</w:t>
            </w:r>
          </w:p>
        </w:tc>
        <w:tc>
          <w:tcPr>
            <w:tcW w:w="386" w:type="pct"/>
            <w:vMerge w:val="restart"/>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产出效益</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（15分）</w:t>
            </w:r>
          </w:p>
        </w:tc>
        <w:tc>
          <w:tcPr>
            <w:tcW w:w="634"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经济效益</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733"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减工降本（5分）</w:t>
            </w:r>
          </w:p>
        </w:tc>
        <w:tc>
          <w:tcPr>
            <w:tcW w:w="3008"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宋体" w:hAnsi="宋体" w:eastAsia="宋体" w:cs="宋体"/>
                <w:b w:val="0"/>
                <w:bCs w:val="0"/>
                <w:color w:val="auto"/>
                <w:kern w:val="0"/>
                <w:sz w:val="18"/>
                <w:szCs w:val="18"/>
                <w:highlight w:val="none"/>
              </w:rPr>
              <w:t>对比常规花卉</w:t>
            </w:r>
            <w:r>
              <w:rPr>
                <w:rFonts w:hint="eastAsia" w:ascii="宋体" w:hAnsi="宋体" w:cs="宋体"/>
                <w:b w:val="0"/>
                <w:bCs w:val="0"/>
                <w:color w:val="auto"/>
                <w:kern w:val="0"/>
                <w:sz w:val="18"/>
                <w:szCs w:val="18"/>
                <w:highlight w:val="none"/>
                <w:lang w:eastAsia="zh-CN"/>
              </w:rPr>
              <w:t>生产</w:t>
            </w:r>
            <w:r>
              <w:rPr>
                <w:rFonts w:hint="eastAsia" w:ascii="宋体" w:hAnsi="宋体" w:eastAsia="宋体" w:cs="宋体"/>
                <w:b w:val="0"/>
                <w:bCs w:val="0"/>
                <w:color w:val="auto"/>
                <w:kern w:val="0"/>
                <w:sz w:val="18"/>
                <w:szCs w:val="18"/>
                <w:highlight w:val="none"/>
              </w:rPr>
              <w:t>，通过全产业链机械化和智能化实现</w:t>
            </w:r>
            <w:r>
              <w:rPr>
                <w:rFonts w:hint="eastAsia" w:ascii="宋体" w:hAnsi="宋体" w:eastAsia="宋体" w:cs="宋体"/>
                <w:b w:val="0"/>
                <w:bCs w:val="0"/>
                <w:color w:val="auto"/>
                <w:kern w:val="0"/>
                <w:sz w:val="18"/>
                <w:szCs w:val="18"/>
                <w:highlight w:val="none"/>
                <w:lang w:val="en-US" w:eastAsia="zh-CN"/>
              </w:rPr>
              <w:t>用工减少超过50%得3分；介于30%-50%之间得2分；介于10%-30%之间得1分；低于10%得0分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38" w:type="pct"/>
            <w:vAlign w:val="center"/>
          </w:tcPr>
          <w:p>
            <w:pPr>
              <w:widowControl/>
              <w:snapToGrid w:val="0"/>
              <w:jc w:val="center"/>
              <w:rPr>
                <w:rFonts w:hint="default" w:eastAsia="宋体"/>
                <w:sz w:val="18"/>
                <w:szCs w:val="18"/>
                <w:lang w:val="en-US" w:eastAsia="zh-CN"/>
              </w:rPr>
            </w:pPr>
            <w:r>
              <w:rPr>
                <w:rFonts w:hint="eastAsia"/>
                <w:sz w:val="18"/>
                <w:szCs w:val="18"/>
                <w:lang w:val="en-US" w:eastAsia="zh-CN"/>
              </w:rPr>
              <w:t>21</w:t>
            </w:r>
          </w:p>
        </w:tc>
        <w:tc>
          <w:tcPr>
            <w:tcW w:w="386" w:type="pct"/>
            <w:vMerge w:val="continue"/>
            <w:vAlign w:val="center"/>
          </w:tcPr>
          <w:p>
            <w:pPr>
              <w:widowControl/>
              <w:snapToGrid w:val="0"/>
              <w:jc w:val="left"/>
              <w:rPr>
                <w:sz w:val="18"/>
                <w:szCs w:val="18"/>
              </w:rPr>
            </w:pPr>
          </w:p>
        </w:tc>
        <w:tc>
          <w:tcPr>
            <w:tcW w:w="634" w:type="pct"/>
            <w:vMerge w:val="continue"/>
            <w:shd w:val="clear" w:color="auto" w:fill="auto"/>
            <w:vAlign w:val="center"/>
          </w:tcPr>
          <w:p>
            <w:pPr>
              <w:widowControl/>
              <w:snapToGrid w:val="0"/>
              <w:jc w:val="left"/>
              <w:rPr>
                <w:sz w:val="18"/>
                <w:szCs w:val="18"/>
              </w:rPr>
            </w:pPr>
          </w:p>
        </w:tc>
        <w:tc>
          <w:tcPr>
            <w:tcW w:w="733" w:type="pct"/>
            <w:vMerge w:val="continue"/>
            <w:shd w:val="clear" w:color="auto" w:fill="auto"/>
            <w:vAlign w:val="center"/>
          </w:tcPr>
          <w:p>
            <w:pPr>
              <w:widowControl/>
              <w:snapToGrid w:val="0"/>
              <w:jc w:val="left"/>
              <w:rPr>
                <w:sz w:val="18"/>
                <w:szCs w:val="18"/>
              </w:rPr>
            </w:pPr>
          </w:p>
        </w:tc>
        <w:tc>
          <w:tcPr>
            <w:tcW w:w="3008" w:type="pct"/>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对比常规花卉</w:t>
            </w:r>
            <w:r>
              <w:rPr>
                <w:rFonts w:hint="eastAsia" w:ascii="宋体" w:hAnsi="宋体" w:eastAsia="宋体" w:cs="宋体"/>
                <w:b w:val="0"/>
                <w:bCs w:val="0"/>
                <w:color w:val="auto"/>
                <w:kern w:val="0"/>
                <w:sz w:val="18"/>
                <w:szCs w:val="18"/>
                <w:highlight w:val="none"/>
                <w:lang w:eastAsia="zh-CN"/>
              </w:rPr>
              <w:t>生产</w:t>
            </w:r>
            <w:r>
              <w:rPr>
                <w:rFonts w:hint="eastAsia" w:ascii="宋体" w:hAnsi="宋体" w:eastAsia="宋体" w:cs="宋体"/>
                <w:b w:val="0"/>
                <w:bCs w:val="0"/>
                <w:color w:val="auto"/>
                <w:kern w:val="0"/>
                <w:sz w:val="18"/>
                <w:szCs w:val="18"/>
                <w:highlight w:val="none"/>
              </w:rPr>
              <w:t>，通过全产业链机械化和智能化实现</w:t>
            </w:r>
            <w:r>
              <w:rPr>
                <w:rFonts w:hint="eastAsia" w:ascii="宋体" w:hAnsi="宋体" w:eastAsia="宋体" w:cs="宋体"/>
                <w:b w:val="0"/>
                <w:bCs w:val="0"/>
                <w:color w:val="auto"/>
                <w:kern w:val="0"/>
                <w:sz w:val="18"/>
                <w:szCs w:val="18"/>
                <w:highlight w:val="none"/>
                <w:lang w:val="en-US" w:eastAsia="zh-CN"/>
              </w:rPr>
              <w:t>生产成本减少超过30%得2分；</w:t>
            </w:r>
            <w:r>
              <w:rPr>
                <w:rFonts w:hint="eastAsia" w:ascii="宋体" w:hAnsi="宋体" w:eastAsia="宋体" w:cs="宋体"/>
                <w:b w:val="0"/>
                <w:bCs w:val="0"/>
                <w:color w:val="auto"/>
                <w:kern w:val="0"/>
                <w:sz w:val="18"/>
                <w:szCs w:val="18"/>
                <w:highlight w:val="none"/>
              </w:rPr>
              <w:t>介于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3</w:t>
            </w:r>
            <w:r>
              <w:rPr>
                <w:rFonts w:hint="eastAsia" w:ascii="宋体" w:hAnsi="宋体" w:eastAsia="宋体" w:cs="宋体"/>
                <w:b w:val="0"/>
                <w:bCs w:val="0"/>
                <w:color w:val="auto"/>
                <w:kern w:val="0"/>
                <w:sz w:val="18"/>
                <w:szCs w:val="18"/>
                <w:highlight w:val="none"/>
              </w:rPr>
              <w:t>0%之间得</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分</w:t>
            </w:r>
            <w:r>
              <w:rPr>
                <w:rFonts w:hint="eastAsia" w:ascii="宋体" w:hAnsi="宋体" w:eastAsia="宋体" w:cs="宋体"/>
                <w:b w:val="0"/>
                <w:bCs w:val="0"/>
                <w:color w:val="auto"/>
                <w:kern w:val="0"/>
                <w:sz w:val="18"/>
                <w:szCs w:val="18"/>
                <w:highlight w:val="none"/>
                <w:lang w:eastAsia="zh-CN"/>
              </w:rPr>
              <w:t>；</w:t>
            </w:r>
            <w:r>
              <w:rPr>
                <w:rFonts w:hint="eastAsia" w:ascii="宋体" w:hAnsi="宋体" w:eastAsia="宋体" w:cs="宋体"/>
                <w:b w:val="0"/>
                <w:bCs w:val="0"/>
                <w:color w:val="auto"/>
                <w:kern w:val="0"/>
                <w:sz w:val="18"/>
                <w:szCs w:val="18"/>
                <w:highlight w:val="none"/>
              </w:rPr>
              <w:t>低于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2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22</w:t>
            </w:r>
          </w:p>
        </w:tc>
        <w:tc>
          <w:tcPr>
            <w:tcW w:w="386" w:type="pct"/>
            <w:vMerge w:val="continue"/>
            <w:shd w:val="clear" w:color="auto" w:fill="auto"/>
          </w:tcPr>
          <w:p>
            <w:pPr>
              <w:widowControl/>
              <w:snapToGrid w:val="0"/>
              <w:jc w:val="center"/>
              <w:rPr>
                <w:rFonts w:hint="default" w:ascii="Times New Roman" w:hAnsi="Times New Roman" w:eastAsia="宋体" w:cs="Times New Roman"/>
                <w:b w:val="0"/>
                <w:bCs w:val="0"/>
                <w:color w:val="auto"/>
                <w:kern w:val="0"/>
                <w:sz w:val="18"/>
                <w:szCs w:val="18"/>
              </w:rPr>
            </w:pPr>
          </w:p>
        </w:tc>
        <w:tc>
          <w:tcPr>
            <w:tcW w:w="634"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提质增效（5分）</w:t>
            </w:r>
          </w:p>
        </w:tc>
        <w:tc>
          <w:tcPr>
            <w:tcW w:w="3008" w:type="pct"/>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实现单位面积收益提升超过10%得</w:t>
            </w:r>
            <w:r>
              <w:rPr>
                <w:rFonts w:hint="eastAsia" w:ascii="宋体" w:hAnsi="宋体" w:cs="宋体"/>
                <w:b w:val="0"/>
                <w:bCs w:val="0"/>
                <w:color w:val="auto"/>
                <w:kern w:val="0"/>
                <w:sz w:val="18"/>
                <w:szCs w:val="18"/>
                <w:highlight w:val="none"/>
                <w:lang w:val="en-US" w:eastAsia="zh-CN"/>
              </w:rPr>
              <w:t>5</w:t>
            </w:r>
            <w:r>
              <w:rPr>
                <w:rFonts w:hint="eastAsia" w:ascii="宋体" w:hAnsi="宋体" w:eastAsia="宋体" w:cs="宋体"/>
                <w:b w:val="0"/>
                <w:bCs w:val="0"/>
                <w:color w:val="auto"/>
                <w:kern w:val="0"/>
                <w:sz w:val="18"/>
                <w:szCs w:val="18"/>
                <w:highlight w:val="none"/>
                <w:lang w:val="en-US" w:eastAsia="zh-CN"/>
              </w:rPr>
              <w:t>分；介于5%-10%之间得</w:t>
            </w:r>
            <w:r>
              <w:rPr>
                <w:rFonts w:hint="default" w:ascii="宋体" w:hAnsi="宋体" w:eastAsia="宋体" w:cs="宋体"/>
                <w:b w:val="0"/>
                <w:bCs w:val="0"/>
                <w:color w:val="auto"/>
                <w:kern w:val="0"/>
                <w:sz w:val="18"/>
                <w:szCs w:val="18"/>
                <w:highlight w:val="none"/>
                <w:lang w:val="en-US" w:eastAsia="zh-CN"/>
              </w:rPr>
              <w:t>2</w:t>
            </w:r>
            <w:r>
              <w:rPr>
                <w:rFonts w:hint="eastAsia" w:ascii="宋体" w:hAnsi="宋体" w:eastAsia="宋体" w:cs="宋体"/>
                <w:b w:val="0"/>
                <w:bCs w:val="0"/>
                <w:color w:val="auto"/>
                <w:kern w:val="0"/>
                <w:sz w:val="18"/>
                <w:szCs w:val="18"/>
                <w:highlight w:val="none"/>
                <w:lang w:val="en-US" w:eastAsia="zh-CN"/>
              </w:rPr>
              <w:t>分；低于5%得0分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8"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23</w:t>
            </w:r>
          </w:p>
        </w:tc>
        <w:tc>
          <w:tcPr>
            <w:tcW w:w="38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34"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生态效益（5分）</w:t>
            </w:r>
          </w:p>
        </w:tc>
        <w:tc>
          <w:tcPr>
            <w:tcW w:w="733"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资源节约（5分）</w:t>
            </w:r>
          </w:p>
        </w:tc>
        <w:tc>
          <w:tcPr>
            <w:tcW w:w="3008" w:type="pct"/>
            <w:shd w:val="clear" w:color="auto" w:fill="auto"/>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sz w:val="18"/>
                <w:szCs w:val="18"/>
              </w:rPr>
              <w:t>对比常规</w:t>
            </w:r>
            <w:r>
              <w:rPr>
                <w:rFonts w:hint="default" w:ascii="Times New Roman" w:hAnsi="Times New Roman" w:eastAsia="宋体" w:cs="Times New Roman"/>
                <w:b w:val="0"/>
                <w:bCs w:val="0"/>
                <w:color w:val="auto"/>
                <w:kern w:val="0"/>
                <w:sz w:val="18"/>
                <w:szCs w:val="18"/>
              </w:rPr>
              <w:t>花卉生产</w:t>
            </w:r>
            <w:r>
              <w:rPr>
                <w:rFonts w:hint="default" w:ascii="Times New Roman" w:hAnsi="Times New Roman" w:eastAsia="宋体" w:cs="Times New Roman"/>
                <w:b w:val="0"/>
                <w:bCs w:val="0"/>
                <w:color w:val="auto"/>
                <w:sz w:val="18"/>
                <w:szCs w:val="18"/>
              </w:rPr>
              <w:t>，化肥、农药减量使用超过20%得5分；介于10%-20%之间得3分；低于10%得1分；未实现化肥、农药减量得0分</w:t>
            </w:r>
          </w:p>
        </w:tc>
      </w:tr>
    </w:tbl>
    <w:p/>
    <w:p>
      <w:pPr>
        <w:pStyle w:val="108"/>
        <w:numPr>
          <w:ilvl w:val="0"/>
          <w:numId w:val="0"/>
        </w:numPr>
        <w:spacing w:beforeLines="0" w:afterLines="0"/>
        <w:jc w:val="center"/>
        <w:rPr>
          <w:rFonts w:hint="eastAsia"/>
          <w:szCs w:val="21"/>
          <w:lang w:val="en-US" w:eastAsia="zh-CN"/>
        </w:rPr>
      </w:pPr>
      <w:bookmarkStart w:id="110" w:name="_Toc7926"/>
    </w:p>
    <w:p>
      <w:pPr>
        <w:pStyle w:val="108"/>
        <w:numPr>
          <w:ilvl w:val="0"/>
          <w:numId w:val="0"/>
        </w:numPr>
        <w:spacing w:beforeLines="0" w:afterLines="0"/>
        <w:jc w:val="center"/>
        <w:rPr>
          <w:rFonts w:hint="eastAsia"/>
          <w:szCs w:val="21"/>
          <w:lang w:val="en-US" w:eastAsia="zh-CN"/>
        </w:rPr>
      </w:pPr>
      <w:r>
        <w:rPr>
          <w:rFonts w:hint="eastAsia"/>
          <w:szCs w:val="21"/>
          <w:lang w:val="en-US" w:eastAsia="zh-CN"/>
        </w:rPr>
        <w:t>表2智慧园艺（设施花）示范基地评价细则</w:t>
      </w:r>
      <w:bookmarkEnd w:id="110"/>
      <w:r>
        <w:rPr>
          <w:rFonts w:hint="eastAsia"/>
          <w:szCs w:val="21"/>
          <w:lang w:val="en-US" w:eastAsia="zh-CN"/>
        </w:rPr>
        <w:t>(第3页/共3页)</w:t>
      </w:r>
    </w:p>
    <w:tbl>
      <w:tblPr>
        <w:tblStyle w:val="29"/>
        <w:tblW w:w="49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251"/>
        <w:gridCol w:w="1850"/>
        <w:gridCol w:w="2138"/>
        <w:gridCol w:w="7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 w:type="pct"/>
            <w:shd w:val="clear" w:color="auto" w:fill="auto"/>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bidi="ar-SA"/>
              </w:rPr>
            </w:pPr>
            <w:r>
              <w:rPr>
                <w:rFonts w:hint="eastAsia" w:ascii="Times New Roman" w:hAnsi="Times New Roman" w:cs="Times New Roman"/>
                <w:b w:val="0"/>
                <w:bCs w:val="0"/>
                <w:color w:val="auto"/>
                <w:kern w:val="0"/>
                <w:sz w:val="18"/>
                <w:szCs w:val="18"/>
                <w:lang w:val="en-US" w:eastAsia="zh-CN"/>
              </w:rPr>
              <w:t>序号</w:t>
            </w:r>
          </w:p>
        </w:tc>
        <w:tc>
          <w:tcPr>
            <w:tcW w:w="45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一级指标</w:t>
            </w:r>
          </w:p>
        </w:tc>
        <w:tc>
          <w:tcPr>
            <w:tcW w:w="66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二级指标</w:t>
            </w:r>
          </w:p>
        </w:tc>
        <w:tc>
          <w:tcPr>
            <w:tcW w:w="77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三级指标</w:t>
            </w:r>
          </w:p>
        </w:tc>
        <w:tc>
          <w:tcPr>
            <w:tcW w:w="287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24</w:t>
            </w:r>
          </w:p>
        </w:tc>
        <w:tc>
          <w:tcPr>
            <w:tcW w:w="451"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创新与规划</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667"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创新（8分）</w:t>
            </w:r>
          </w:p>
        </w:tc>
        <w:tc>
          <w:tcPr>
            <w:tcW w:w="77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模式培育（5分）</w:t>
            </w:r>
          </w:p>
        </w:tc>
        <w:tc>
          <w:tcPr>
            <w:tcW w:w="2871"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宋体" w:hAnsi="宋体" w:eastAsia="宋体" w:cs="宋体"/>
                <w:b w:val="0"/>
                <w:bCs w:val="0"/>
                <w:color w:val="auto"/>
                <w:kern w:val="0"/>
                <w:sz w:val="18"/>
                <w:szCs w:val="18"/>
                <w:highlight w:val="none"/>
              </w:rPr>
              <w:t>培育形成具有特色的智慧农业应用模式创新，并</w:t>
            </w:r>
            <w:r>
              <w:rPr>
                <w:rFonts w:hint="eastAsia" w:ascii="宋体" w:hAnsi="宋体" w:eastAsia="宋体" w:cs="宋体"/>
                <w:b w:val="0"/>
                <w:bCs w:val="0"/>
                <w:color w:val="auto"/>
                <w:kern w:val="0"/>
                <w:sz w:val="18"/>
                <w:szCs w:val="18"/>
                <w:highlight w:val="none"/>
                <w:lang w:val="en-US" w:eastAsia="zh-CN"/>
              </w:rPr>
              <w:t>在其他农业企业、农户中推广复制</w:t>
            </w:r>
            <w:r>
              <w:rPr>
                <w:rFonts w:hint="eastAsia" w:ascii="宋体" w:hAnsi="宋体" w:eastAsia="宋体" w:cs="宋体"/>
                <w:b w:val="0"/>
                <w:bCs w:val="0"/>
                <w:color w:val="auto"/>
                <w:kern w:val="0"/>
                <w:sz w:val="18"/>
                <w:szCs w:val="18"/>
                <w:highlight w:val="none"/>
              </w:rPr>
              <w:t>得5分；</w:t>
            </w:r>
            <w:r>
              <w:rPr>
                <w:rFonts w:hint="eastAsia" w:ascii="宋体" w:hAnsi="宋体" w:eastAsia="宋体" w:cs="宋体"/>
                <w:b w:val="0"/>
                <w:bCs w:val="0"/>
                <w:color w:val="auto"/>
                <w:kern w:val="0"/>
                <w:sz w:val="18"/>
                <w:szCs w:val="18"/>
                <w:highlight w:val="none"/>
                <w:lang w:val="en-US" w:eastAsia="zh-CN"/>
              </w:rPr>
              <w:t>仅</w:t>
            </w:r>
            <w:r>
              <w:rPr>
                <w:rFonts w:hint="eastAsia" w:ascii="宋体" w:hAnsi="宋体" w:eastAsia="宋体" w:cs="宋体"/>
                <w:b w:val="0"/>
                <w:bCs w:val="0"/>
                <w:color w:val="auto"/>
                <w:kern w:val="0"/>
                <w:sz w:val="18"/>
                <w:szCs w:val="18"/>
                <w:highlight w:val="none"/>
              </w:rPr>
              <w:t>培育形成具有特色的智慧农业应用模式创新</w:t>
            </w:r>
            <w:r>
              <w:rPr>
                <w:rFonts w:hint="eastAsia" w:ascii="宋体" w:hAnsi="宋体" w:eastAsia="宋体" w:cs="宋体"/>
                <w:b w:val="0"/>
                <w:bCs w:val="0"/>
                <w:color w:val="auto"/>
                <w:kern w:val="0"/>
                <w:sz w:val="18"/>
                <w:szCs w:val="18"/>
                <w:highlight w:val="none"/>
                <w:lang w:val="en-US" w:eastAsia="zh-CN"/>
              </w:rPr>
              <w:t>得2分；未</w:t>
            </w:r>
            <w:r>
              <w:rPr>
                <w:rFonts w:hint="eastAsia" w:ascii="宋体" w:hAnsi="宋体" w:eastAsia="宋体" w:cs="宋体"/>
                <w:b w:val="0"/>
                <w:bCs w:val="0"/>
                <w:color w:val="auto"/>
                <w:kern w:val="0"/>
                <w:sz w:val="18"/>
                <w:szCs w:val="18"/>
                <w:highlight w:val="none"/>
              </w:rPr>
              <w:t>形成具有特色的智慧农业应用模式创新</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25</w:t>
            </w:r>
          </w:p>
        </w:tc>
        <w:tc>
          <w:tcPr>
            <w:tcW w:w="451"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67"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7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科技项目申报（3分）</w:t>
            </w:r>
          </w:p>
        </w:tc>
        <w:tc>
          <w:tcPr>
            <w:tcW w:w="2871"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近3年承担市级以上与智慧农业相关的科技项目得3分；与高校、科研院所联合承担市级以上与智慧农业相关的科技项目得1分；未承担科技项目得0分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39"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26</w:t>
            </w:r>
          </w:p>
        </w:tc>
        <w:tc>
          <w:tcPr>
            <w:tcW w:w="451"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6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未来规划（2分）</w:t>
            </w:r>
          </w:p>
        </w:tc>
        <w:tc>
          <w:tcPr>
            <w:tcW w:w="77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未来规划（2分）</w:t>
            </w:r>
          </w:p>
        </w:tc>
        <w:tc>
          <w:tcPr>
            <w:tcW w:w="2871"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对基地未来3年的智慧化建设有清晰的规划得2分；没有清晰的规划得0分</w:t>
            </w:r>
          </w:p>
        </w:tc>
      </w:tr>
    </w:tbl>
    <w:p>
      <w:pPr>
        <w:widowControl/>
        <w:adjustRightInd/>
        <w:spacing w:line="240" w:lineRule="auto"/>
        <w:jc w:val="left"/>
      </w:pPr>
    </w:p>
    <w:p>
      <w:pPr>
        <w:widowControl/>
        <w:adjustRightInd/>
        <w:spacing w:line="240" w:lineRule="auto"/>
        <w:jc w:val="left"/>
        <w:rPr>
          <w:rFonts w:ascii="黑体" w:hAnsi="Times New Roman" w:eastAsia="黑体"/>
          <w:kern w:val="0"/>
        </w:rPr>
      </w:pPr>
      <w:r>
        <w:br w:type="page"/>
      </w:r>
    </w:p>
    <w:p>
      <w:pPr>
        <w:pStyle w:val="108"/>
        <w:numPr>
          <w:ilvl w:val="0"/>
          <w:numId w:val="0"/>
        </w:numPr>
        <w:spacing w:before="0" w:beforeLines="0" w:after="0" w:afterLines="0"/>
        <w:jc w:val="center"/>
        <w:rPr>
          <w:szCs w:val="21"/>
        </w:rPr>
      </w:pPr>
      <w:bookmarkStart w:id="111" w:name="_Toc18223"/>
      <w:bookmarkStart w:id="112" w:name="_Toc26386"/>
      <w:bookmarkStart w:id="113" w:name="_Toc79039718"/>
      <w:r>
        <w:rPr>
          <w:rFonts w:hint="eastAsia"/>
          <w:szCs w:val="21"/>
        </w:rPr>
        <w:t xml:space="preserve">附   录 </w:t>
      </w:r>
      <w:r>
        <w:rPr>
          <w:szCs w:val="21"/>
        </w:rPr>
        <w:t xml:space="preserve">  C</w:t>
      </w:r>
      <w:bookmarkEnd w:id="111"/>
      <w:bookmarkEnd w:id="112"/>
      <w:bookmarkEnd w:id="113"/>
    </w:p>
    <w:p>
      <w:pPr>
        <w:pStyle w:val="108"/>
        <w:numPr>
          <w:ilvl w:val="0"/>
          <w:numId w:val="0"/>
        </w:numPr>
        <w:spacing w:before="0" w:beforeLines="0" w:after="0" w:afterLines="0"/>
        <w:jc w:val="center"/>
        <w:rPr>
          <w:szCs w:val="21"/>
        </w:rPr>
      </w:pPr>
      <w:bookmarkStart w:id="114" w:name="_Toc10406"/>
      <w:bookmarkStart w:id="115" w:name="_Toc6099"/>
      <w:bookmarkStart w:id="116" w:name="_Toc79039719"/>
      <w:r>
        <w:rPr>
          <w:rFonts w:hint="eastAsia"/>
          <w:szCs w:val="21"/>
        </w:rPr>
        <w:t>（规范性）</w:t>
      </w:r>
      <w:bookmarkEnd w:id="114"/>
      <w:bookmarkEnd w:id="115"/>
      <w:bookmarkEnd w:id="116"/>
    </w:p>
    <w:p>
      <w:pPr>
        <w:pStyle w:val="108"/>
        <w:keepNext w:val="0"/>
        <w:keepLines w:val="0"/>
        <w:pageBreakBefore w:val="0"/>
        <w:widowControl/>
        <w:numPr>
          <w:ilvl w:val="0"/>
          <w:numId w:val="0"/>
        </w:numPr>
        <w:kinsoku/>
        <w:wordWrap/>
        <w:overflowPunct/>
        <w:topLinePunct w:val="0"/>
        <w:autoSpaceDE/>
        <w:autoSpaceDN/>
        <w:bidi w:val="0"/>
        <w:adjustRightInd/>
        <w:snapToGrid/>
        <w:spacing w:before="100" w:beforeLines="0" w:after="100" w:afterLines="0"/>
        <w:jc w:val="center"/>
        <w:textAlignment w:val="auto"/>
        <w:rPr>
          <w:szCs w:val="21"/>
        </w:rPr>
      </w:pPr>
      <w:bookmarkStart w:id="117" w:name="_Toc79039720"/>
      <w:bookmarkStart w:id="118" w:name="_Toc20818"/>
      <w:bookmarkStart w:id="119" w:name="_Toc2538"/>
      <w:r>
        <w:rPr>
          <w:rFonts w:hint="eastAsia"/>
          <w:szCs w:val="21"/>
          <w:lang w:val="en-US" w:eastAsia="zh-CN"/>
        </w:rPr>
        <w:t>表3</w:t>
      </w:r>
      <w:r>
        <w:rPr>
          <w:rFonts w:hint="eastAsia"/>
          <w:szCs w:val="21"/>
        </w:rPr>
        <w:t>智慧园艺（果园、茶园</w:t>
      </w:r>
      <w:r>
        <w:rPr>
          <w:rFonts w:hint="eastAsia"/>
          <w:szCs w:val="21"/>
          <w:lang w:eastAsia="zh-CN"/>
        </w:rPr>
        <w:t>、</w:t>
      </w:r>
      <w:r>
        <w:rPr>
          <w:rFonts w:hint="eastAsia"/>
          <w:szCs w:val="21"/>
          <w:lang w:val="en-US" w:eastAsia="zh-CN"/>
        </w:rPr>
        <w:t>桑园</w:t>
      </w:r>
      <w:r>
        <w:rPr>
          <w:rFonts w:hint="eastAsia"/>
          <w:szCs w:val="21"/>
        </w:rPr>
        <w:t>）</w:t>
      </w:r>
      <w:bookmarkEnd w:id="117"/>
      <w:r>
        <w:rPr>
          <w:rFonts w:hint="eastAsia"/>
          <w:szCs w:val="21"/>
          <w:lang w:eastAsia="zh-CN"/>
        </w:rPr>
        <w:t>示范基地</w:t>
      </w:r>
      <w:bookmarkEnd w:id="118"/>
      <w:r>
        <w:rPr>
          <w:rFonts w:hint="eastAsia"/>
          <w:szCs w:val="21"/>
          <w:lang w:eastAsia="zh-CN"/>
        </w:rPr>
        <w:t>评价细则</w:t>
      </w:r>
      <w:bookmarkEnd w:id="119"/>
    </w:p>
    <w:tbl>
      <w:tblPr>
        <w:tblStyle w:val="29"/>
        <w:tblW w:w="496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104"/>
        <w:gridCol w:w="1922"/>
        <w:gridCol w:w="2058"/>
        <w:gridCol w:w="8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blHeader/>
        </w:trPr>
        <w:tc>
          <w:tcPr>
            <w:tcW w:w="247" w:type="pct"/>
            <w:shd w:val="clear" w:color="auto" w:fill="auto"/>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序号</w:t>
            </w:r>
          </w:p>
        </w:tc>
        <w:tc>
          <w:tcPr>
            <w:tcW w:w="396"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一级指标</w:t>
            </w:r>
          </w:p>
        </w:tc>
        <w:tc>
          <w:tcPr>
            <w:tcW w:w="68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二级指标</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三级指标</w:t>
            </w:r>
          </w:p>
        </w:tc>
        <w:tc>
          <w:tcPr>
            <w:tcW w:w="292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247" w:type="pct"/>
            <w:shd w:val="clear" w:color="auto" w:fill="auto"/>
            <w:vAlign w:val="center"/>
          </w:tcPr>
          <w:p>
            <w:pPr>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w:t>
            </w:r>
          </w:p>
        </w:tc>
        <w:tc>
          <w:tcPr>
            <w:tcW w:w="396"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基本情况</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68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规模（5分）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种植规模（5分）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种植面积大于30亩得5分；</w:t>
            </w:r>
            <w:r>
              <w:rPr>
                <w:rFonts w:hint="eastAsia" w:ascii="Times New Roman" w:hAnsi="Times New Roman" w:cs="Times New Roman"/>
                <w:b w:val="0"/>
                <w:bCs w:val="0"/>
                <w:color w:val="auto"/>
                <w:kern w:val="0"/>
                <w:sz w:val="18"/>
                <w:szCs w:val="18"/>
                <w:lang w:eastAsia="zh-CN"/>
              </w:rPr>
              <w:t>小于</w:t>
            </w:r>
            <w:r>
              <w:rPr>
                <w:rFonts w:hint="default" w:ascii="Times New Roman" w:hAnsi="Times New Roman" w:eastAsia="宋体" w:cs="Times New Roman"/>
                <w:b w:val="0"/>
                <w:bCs w:val="0"/>
                <w:color w:val="auto"/>
                <w:kern w:val="0"/>
                <w:sz w:val="18"/>
                <w:szCs w:val="18"/>
              </w:rPr>
              <w:t>30亩得0分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47" w:type="pct"/>
            <w:shd w:val="clear" w:color="auto" w:fill="auto"/>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w:t>
            </w:r>
          </w:p>
        </w:tc>
        <w:tc>
          <w:tcPr>
            <w:tcW w:w="396"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信息化投资（5分）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软硬件投资（5分）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近2年软硬件投资大于300万得5分；介于150-300万之间得3分；小于150万得1分；没有投入得0分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47" w:type="pct"/>
            <w:shd w:val="clear" w:color="auto" w:fill="auto"/>
            <w:vAlign w:val="center"/>
          </w:tcPr>
          <w:p>
            <w:pPr>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3</w:t>
            </w:r>
          </w:p>
        </w:tc>
        <w:tc>
          <w:tcPr>
            <w:tcW w:w="396"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生产过程</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（55分）</w:t>
            </w:r>
          </w:p>
        </w:tc>
        <w:tc>
          <w:tcPr>
            <w:tcW w:w="68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投入品</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投入品管理（4分）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采用信息化管理系统对种子、农药、肥料、包装物等投入品进行管理</w:t>
            </w:r>
            <w:r>
              <w:rPr>
                <w:rFonts w:hint="eastAsia" w:ascii="Times New Roman" w:hAnsi="Times New Roman" w:cs="Times New Roman"/>
                <w:b w:val="0"/>
                <w:bCs w:val="0"/>
                <w:color w:val="auto"/>
                <w:kern w:val="0"/>
                <w:sz w:val="18"/>
                <w:szCs w:val="18"/>
                <w:lang w:eastAsia="zh-CN"/>
              </w:rPr>
              <w:t>，</w:t>
            </w:r>
            <w:r>
              <w:rPr>
                <w:rFonts w:hint="eastAsia" w:ascii="宋体" w:hAnsi="宋体" w:eastAsia="宋体" w:cs="宋体"/>
                <w:color w:val="auto"/>
                <w:kern w:val="0"/>
                <w:sz w:val="18"/>
                <w:szCs w:val="18"/>
              </w:rPr>
              <w:t>每</w:t>
            </w:r>
            <w:r>
              <w:rPr>
                <w:rFonts w:hint="eastAsia" w:ascii="宋体" w:hAnsi="宋体" w:cs="宋体"/>
                <w:color w:val="auto"/>
                <w:kern w:val="0"/>
                <w:sz w:val="18"/>
                <w:szCs w:val="18"/>
                <w:lang w:val="en-US" w:eastAsia="zh-CN"/>
              </w:rPr>
              <w:t>有</w:t>
            </w:r>
            <w:r>
              <w:rPr>
                <w:rFonts w:hint="eastAsia" w:ascii="宋体" w:hAnsi="宋体" w:eastAsia="宋体" w:cs="宋体"/>
                <w:color w:val="auto"/>
                <w:kern w:val="0"/>
                <w:sz w:val="18"/>
                <w:szCs w:val="18"/>
              </w:rPr>
              <w:t>1个</w:t>
            </w:r>
            <w:r>
              <w:rPr>
                <w:rFonts w:hint="eastAsia" w:ascii="宋体" w:hAnsi="宋体" w:cs="宋体"/>
                <w:color w:val="auto"/>
                <w:kern w:val="0"/>
                <w:sz w:val="18"/>
                <w:szCs w:val="18"/>
                <w:lang w:val="en-US" w:eastAsia="zh-CN"/>
              </w:rPr>
              <w:t>投入品纳入管理得</w:t>
            </w:r>
            <w:r>
              <w:rPr>
                <w:rFonts w:hint="eastAsia" w:ascii="宋体" w:hAnsi="宋体" w:eastAsia="宋体" w:cs="宋体"/>
                <w:color w:val="auto"/>
                <w:kern w:val="0"/>
                <w:sz w:val="18"/>
                <w:szCs w:val="18"/>
              </w:rPr>
              <w:t>1分</w:t>
            </w:r>
            <w:r>
              <w:rPr>
                <w:rFonts w:hint="eastAsia" w:ascii="宋体" w:hAnsi="宋体" w:cs="宋体"/>
                <w:color w:val="auto"/>
                <w:kern w:val="0"/>
                <w:sz w:val="18"/>
                <w:szCs w:val="18"/>
                <w:lang w:eastAsia="zh-CN"/>
              </w:rPr>
              <w:t>，</w:t>
            </w:r>
            <w:r>
              <w:rPr>
                <w:rFonts w:hint="eastAsia" w:ascii="宋体" w:hAnsi="宋体" w:cs="宋体"/>
                <w:color w:val="auto"/>
                <w:kern w:val="0"/>
                <w:sz w:val="18"/>
                <w:szCs w:val="18"/>
                <w:lang w:val="en-US" w:eastAsia="zh-CN"/>
              </w:rPr>
              <w:t>最多得4分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47"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4</w:t>
            </w:r>
          </w:p>
        </w:tc>
        <w:tc>
          <w:tcPr>
            <w:tcW w:w="39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农情监测（6分）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遥感监测（3分）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采用卫星遥感/无人机进行长势、灾害监测得3分；</w:t>
            </w:r>
            <w:r>
              <w:rPr>
                <w:rFonts w:hint="default" w:ascii="Times New Roman" w:hAnsi="Times New Roman" w:eastAsia="宋体"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7"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5</w:t>
            </w:r>
          </w:p>
        </w:tc>
        <w:tc>
          <w:tcPr>
            <w:tcW w:w="39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虫情监测（3分）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采用虫情智能识别物联网设备监测得3分；</w:t>
            </w:r>
            <w:r>
              <w:rPr>
                <w:rFonts w:hint="default" w:ascii="Times New Roman" w:hAnsi="Times New Roman" w:eastAsia="宋体"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7"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6</w:t>
            </w:r>
          </w:p>
        </w:tc>
        <w:tc>
          <w:tcPr>
            <w:tcW w:w="39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环境监测（4分）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土壤墒情监测（2分）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采用土壤墒情监测物联网设备监测土壤水分得2分；未采用得0分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7"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7</w:t>
            </w:r>
          </w:p>
        </w:tc>
        <w:tc>
          <w:tcPr>
            <w:tcW w:w="39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气象监测（2分）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采用小型自动气象站记录气象信息得2分；未采用得0分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7"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8</w:t>
            </w:r>
          </w:p>
        </w:tc>
        <w:tc>
          <w:tcPr>
            <w:tcW w:w="39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生长管理（23分）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水肥一体化（8分）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采用变量精准控制水肥一体化设备得8分；采用定量水肥一体化设备得3分；未采用水肥一体化设备得0分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47"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9</w:t>
            </w:r>
          </w:p>
        </w:tc>
        <w:tc>
          <w:tcPr>
            <w:tcW w:w="39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模拟和调控（7分）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采用大数据技术建模进行果树、茶树</w:t>
            </w:r>
            <w:r>
              <w:rPr>
                <w:rFonts w:hint="eastAsia" w:ascii="Times New Roman" w:hAnsi="Times New Roman" w:cs="Times New Roman"/>
                <w:b w:val="0"/>
                <w:bCs w:val="0"/>
                <w:color w:val="auto"/>
                <w:kern w:val="0"/>
                <w:sz w:val="18"/>
                <w:szCs w:val="18"/>
                <w:lang w:eastAsia="zh-CN"/>
              </w:rPr>
              <w:t>、</w:t>
            </w:r>
            <w:r>
              <w:rPr>
                <w:rFonts w:hint="eastAsia" w:ascii="Times New Roman" w:hAnsi="Times New Roman" w:cs="Times New Roman"/>
                <w:b w:val="0"/>
                <w:bCs w:val="0"/>
                <w:color w:val="auto"/>
                <w:kern w:val="0"/>
                <w:sz w:val="18"/>
                <w:szCs w:val="18"/>
                <w:lang w:val="en-US" w:eastAsia="zh-CN"/>
              </w:rPr>
              <w:t>桑树</w:t>
            </w:r>
            <w:r>
              <w:rPr>
                <w:rFonts w:hint="default" w:ascii="Times New Roman" w:hAnsi="Times New Roman" w:eastAsia="宋体" w:cs="Times New Roman"/>
                <w:b w:val="0"/>
                <w:bCs w:val="0"/>
                <w:color w:val="auto"/>
                <w:kern w:val="0"/>
                <w:sz w:val="18"/>
                <w:szCs w:val="18"/>
              </w:rPr>
              <w:t>生长模拟和调控得7分；采用生长模型进行生长模拟和调控得3分；无法进行生长模拟和调控得0分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10</w:t>
            </w:r>
          </w:p>
        </w:tc>
        <w:tc>
          <w:tcPr>
            <w:tcW w:w="39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除草（3分）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采用智能</w:t>
            </w:r>
            <w:r>
              <w:rPr>
                <w:rFonts w:hint="eastAsia" w:ascii="Times New Roman" w:hAnsi="Times New Roman" w:cs="Times New Roman"/>
                <w:b w:val="0"/>
                <w:bCs w:val="0"/>
                <w:color w:val="auto"/>
                <w:kern w:val="0"/>
                <w:sz w:val="18"/>
                <w:szCs w:val="18"/>
                <w:lang w:val="en-US" w:eastAsia="zh-CN"/>
              </w:rPr>
              <w:t>装备</w:t>
            </w:r>
            <w:r>
              <w:rPr>
                <w:rFonts w:hint="default" w:ascii="Times New Roman" w:hAnsi="Times New Roman" w:eastAsia="宋体" w:cs="Times New Roman"/>
                <w:b w:val="0"/>
                <w:bCs w:val="0"/>
                <w:color w:val="auto"/>
                <w:kern w:val="0"/>
                <w:sz w:val="18"/>
                <w:szCs w:val="18"/>
              </w:rPr>
              <w:t>除草得3分；</w:t>
            </w:r>
            <w:r>
              <w:rPr>
                <w:rFonts w:hint="default" w:ascii="Times New Roman" w:hAnsi="Times New Roman" w:eastAsia="宋体"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11</w:t>
            </w:r>
          </w:p>
        </w:tc>
        <w:tc>
          <w:tcPr>
            <w:tcW w:w="396"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施药（5分）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采用无人机或无人自走式植保机进行变量精准施药得5分；采用无人机或无人自走式植保机进行定量精准施药得2分；采用人工施药得0分</w:t>
            </w:r>
          </w:p>
        </w:tc>
      </w:tr>
    </w:tbl>
    <w:p/>
    <w:p/>
    <w:p/>
    <w:p>
      <w:pPr>
        <w:pStyle w:val="108"/>
        <w:numPr>
          <w:ilvl w:val="0"/>
          <w:numId w:val="0"/>
        </w:numPr>
        <w:spacing w:beforeLines="0" w:afterLines="0"/>
        <w:jc w:val="center"/>
        <w:rPr>
          <w:rFonts w:hint="eastAsia"/>
          <w:szCs w:val="21"/>
          <w:lang w:eastAsia="zh-CN"/>
        </w:rPr>
      </w:pPr>
      <w:bookmarkStart w:id="120" w:name="_Toc1997"/>
      <w:r>
        <w:rPr>
          <w:rFonts w:hint="eastAsia"/>
          <w:szCs w:val="21"/>
          <w:lang w:val="en-US" w:eastAsia="zh-CN"/>
        </w:rPr>
        <w:t>表3</w:t>
      </w:r>
      <w:r>
        <w:rPr>
          <w:rFonts w:hint="eastAsia"/>
          <w:szCs w:val="21"/>
        </w:rPr>
        <w:t>智慧园艺（果园、茶园</w:t>
      </w:r>
      <w:r>
        <w:rPr>
          <w:rFonts w:hint="eastAsia"/>
          <w:szCs w:val="21"/>
          <w:lang w:eastAsia="zh-CN"/>
        </w:rPr>
        <w:t>、</w:t>
      </w:r>
      <w:r>
        <w:rPr>
          <w:rFonts w:hint="eastAsia"/>
          <w:szCs w:val="21"/>
          <w:lang w:val="en-US" w:eastAsia="zh-CN"/>
        </w:rPr>
        <w:t>桑树</w:t>
      </w:r>
      <w:r>
        <w:rPr>
          <w:rFonts w:hint="eastAsia"/>
          <w:szCs w:val="21"/>
        </w:rPr>
        <w:t>）</w:t>
      </w:r>
      <w:r>
        <w:rPr>
          <w:rFonts w:hint="eastAsia"/>
          <w:szCs w:val="21"/>
          <w:lang w:eastAsia="zh-CN"/>
        </w:rPr>
        <w:t>示范基地评价细则</w:t>
      </w:r>
      <w:bookmarkEnd w:id="120"/>
      <w:r>
        <w:rPr>
          <w:rFonts w:hint="eastAsia" w:ascii="黑体" w:hAnsi="黑体" w:eastAsia="黑体" w:cs="黑体"/>
          <w:b w:val="0"/>
          <w:bCs/>
          <w:lang w:val="en-US" w:eastAsia="zh-CN"/>
        </w:rPr>
        <w:t>(第</w:t>
      </w:r>
      <w:r>
        <w:rPr>
          <w:rFonts w:hint="eastAsia" w:hAnsi="黑体" w:cs="黑体"/>
          <w:b w:val="0"/>
          <w:bCs/>
          <w:lang w:val="en-US" w:eastAsia="zh-CN"/>
        </w:rPr>
        <w:t>2</w:t>
      </w:r>
      <w:r>
        <w:rPr>
          <w:rFonts w:hint="eastAsia" w:ascii="黑体" w:hAnsi="黑体" w:eastAsia="黑体" w:cs="黑体"/>
          <w:b w:val="0"/>
          <w:bCs/>
          <w:lang w:val="en-US" w:eastAsia="zh-CN"/>
        </w:rPr>
        <w:t>页/共3页)</w:t>
      </w:r>
    </w:p>
    <w:tbl>
      <w:tblPr>
        <w:tblStyle w:val="29"/>
        <w:tblW w:w="496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1102"/>
        <w:gridCol w:w="1922"/>
        <w:gridCol w:w="2058"/>
        <w:gridCol w:w="81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7" w:type="pct"/>
            <w:vAlign w:val="center"/>
          </w:tcPr>
          <w:p>
            <w:pPr>
              <w:widowControl/>
              <w:snapToGrid w:val="0"/>
              <w:jc w:val="center"/>
              <w:rPr>
                <w:rFonts w:hint="eastAsia" w:ascii="Times New Roman" w:hAnsi="Times New Roman" w:eastAsia="宋体" w:cs="Times New Roman"/>
                <w:b w:val="0"/>
                <w:bCs w:val="0"/>
                <w:color w:val="auto"/>
                <w:kern w:val="0"/>
                <w:sz w:val="18"/>
                <w:szCs w:val="18"/>
                <w:lang w:val="en-US" w:eastAsia="zh-CN" w:bidi="ar-SA"/>
              </w:rPr>
            </w:pPr>
            <w:r>
              <w:rPr>
                <w:rFonts w:hint="eastAsia" w:ascii="Times New Roman" w:hAnsi="Times New Roman" w:cs="Times New Roman"/>
                <w:b w:val="0"/>
                <w:bCs w:val="0"/>
                <w:color w:val="auto"/>
                <w:kern w:val="0"/>
                <w:sz w:val="18"/>
                <w:szCs w:val="18"/>
                <w:lang w:val="en-US" w:eastAsia="zh-CN"/>
              </w:rPr>
              <w:t>序号</w:t>
            </w:r>
          </w:p>
        </w:tc>
        <w:tc>
          <w:tcPr>
            <w:tcW w:w="395"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一级指标</w:t>
            </w:r>
          </w:p>
        </w:tc>
        <w:tc>
          <w:tcPr>
            <w:tcW w:w="68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二级指标</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三级指标</w:t>
            </w:r>
          </w:p>
        </w:tc>
        <w:tc>
          <w:tcPr>
            <w:tcW w:w="292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12</w:t>
            </w:r>
          </w:p>
        </w:tc>
        <w:tc>
          <w:tcPr>
            <w:tcW w:w="395" w:type="pct"/>
            <w:vMerge w:val="restart"/>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生产过程</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（55分）</w:t>
            </w:r>
          </w:p>
        </w:tc>
        <w:tc>
          <w:tcPr>
            <w:tcW w:w="689"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产品采收与运输</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采收（2分）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自动化采收得2分；半自动化采收得1分；人工采收得0分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13</w:t>
            </w:r>
          </w:p>
        </w:tc>
        <w:tc>
          <w:tcPr>
            <w:tcW w:w="39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运输（2分）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自动化运输得2分；半自动化运输得1分；人工运输得0分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14</w:t>
            </w:r>
          </w:p>
        </w:tc>
        <w:tc>
          <w:tcPr>
            <w:tcW w:w="39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产品分级与包装</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（4分）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分级（2分）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采用机器进行产品自动分级得2分；</w:t>
            </w:r>
            <w:r>
              <w:rPr>
                <w:rFonts w:hint="default" w:ascii="Times New Roman" w:hAnsi="Times New Roman" w:eastAsia="宋体"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15</w:t>
            </w:r>
          </w:p>
        </w:tc>
        <w:tc>
          <w:tcPr>
            <w:tcW w:w="39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包装（2分）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采用机器进行产品自动包装得2分；</w:t>
            </w:r>
            <w:r>
              <w:rPr>
                <w:rFonts w:hint="default" w:ascii="Times New Roman" w:hAnsi="Times New Roman" w:eastAsia="宋体" w:cs="Times New Roman"/>
                <w:b w:val="0"/>
                <w:bCs w:val="0"/>
                <w:color w:val="auto"/>
                <w:kern w:val="0"/>
                <w:sz w:val="18"/>
                <w:szCs w:val="18"/>
                <w:lang w:eastAsia="zh-CN"/>
              </w:rPr>
              <w:t>未采用</w:t>
            </w:r>
            <w:r>
              <w:rPr>
                <w:rFonts w:hint="default" w:ascii="Times New Roman" w:hAnsi="Times New Roman" w:eastAsia="宋体" w:cs="Times New Roman"/>
                <w:b w:val="0"/>
                <w:bCs w:val="0"/>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16</w:t>
            </w:r>
          </w:p>
        </w:tc>
        <w:tc>
          <w:tcPr>
            <w:tcW w:w="39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销售（5分）</w:t>
            </w:r>
          </w:p>
        </w:tc>
        <w:tc>
          <w:tcPr>
            <w:tcW w:w="738"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电子商务（5分）</w:t>
            </w:r>
          </w:p>
        </w:tc>
        <w:tc>
          <w:tcPr>
            <w:tcW w:w="2929" w:type="pct"/>
            <w:shd w:val="clear" w:color="auto" w:fill="auto"/>
            <w:vAlign w:val="center"/>
          </w:tcPr>
          <w:p>
            <w:pPr>
              <w:snapToGrid w:val="0"/>
              <w:jc w:val="left"/>
              <w:rPr>
                <w:rFonts w:hint="default" w:ascii="Times New Roman" w:hAnsi="Times New Roman" w:eastAsia="宋体" w:cs="Times New Roman"/>
                <w:b w:val="0"/>
                <w:bCs w:val="0"/>
                <w:color w:val="auto"/>
                <w:kern w:val="0"/>
                <w:sz w:val="18"/>
                <w:szCs w:val="18"/>
              </w:rPr>
            </w:pPr>
            <w:r>
              <w:rPr>
                <w:rFonts w:hint="eastAsia" w:ascii="宋体" w:hAnsi="宋体" w:eastAsia="宋体" w:cs="宋体"/>
                <w:color w:val="auto"/>
                <w:kern w:val="0"/>
                <w:sz w:val="18"/>
                <w:szCs w:val="18"/>
              </w:rPr>
              <w:t>利用现代信息化技术和互联网平台，搭建</w:t>
            </w:r>
            <w:r>
              <w:rPr>
                <w:rFonts w:hint="eastAsia" w:ascii="宋体" w:hAnsi="宋体" w:cs="宋体"/>
                <w:color w:val="auto"/>
                <w:kern w:val="0"/>
                <w:sz w:val="18"/>
                <w:szCs w:val="18"/>
                <w:lang w:val="en-US" w:eastAsia="zh-CN"/>
              </w:rPr>
              <w:t>或采用第三方电商平台</w:t>
            </w:r>
            <w:r>
              <w:rPr>
                <w:rFonts w:hint="eastAsia" w:ascii="宋体" w:hAnsi="宋体" w:eastAsia="宋体" w:cs="宋体"/>
                <w:color w:val="auto"/>
                <w:kern w:val="0"/>
                <w:sz w:val="18"/>
                <w:szCs w:val="18"/>
              </w:rPr>
              <w:t>进行线上销售得</w:t>
            </w:r>
            <w:r>
              <w:rPr>
                <w:rFonts w:hint="eastAsia" w:ascii="宋体" w:hAnsi="宋体" w:cs="宋体"/>
                <w:color w:val="auto"/>
                <w:kern w:val="0"/>
                <w:sz w:val="18"/>
                <w:szCs w:val="18"/>
                <w:lang w:val="en-US" w:eastAsia="zh-CN"/>
              </w:rPr>
              <w:t>5</w:t>
            </w:r>
            <w:r>
              <w:rPr>
                <w:rFonts w:hint="eastAsia" w:ascii="宋体" w:hAnsi="宋体" w:eastAsia="宋体" w:cs="宋体"/>
                <w:color w:val="auto"/>
                <w:kern w:val="0"/>
                <w:sz w:val="18"/>
                <w:szCs w:val="18"/>
              </w:rPr>
              <w:t>分；</w:t>
            </w:r>
            <w:r>
              <w:rPr>
                <w:rFonts w:hint="eastAsia" w:ascii="宋体" w:hAnsi="宋体" w:cs="宋体"/>
                <w:color w:val="auto"/>
                <w:kern w:val="0"/>
                <w:sz w:val="18"/>
                <w:szCs w:val="18"/>
                <w:lang w:eastAsia="zh-CN"/>
              </w:rPr>
              <w:t>没有</w:t>
            </w:r>
            <w:r>
              <w:rPr>
                <w:rFonts w:hint="eastAsia" w:ascii="宋体" w:hAnsi="宋体" w:eastAsia="宋体" w:cs="宋体"/>
                <w:color w:val="auto"/>
                <w:kern w:val="0"/>
                <w:sz w:val="18"/>
                <w:szCs w:val="18"/>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17</w:t>
            </w:r>
          </w:p>
        </w:tc>
        <w:tc>
          <w:tcPr>
            <w:tcW w:w="39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质量管理（5分）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可追溯（5分）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建有区块链追溯系统且接入省市县追溯平台得5分；采用常规质量追溯系统</w:t>
            </w:r>
            <w:r>
              <w:rPr>
                <w:rFonts w:hint="default" w:ascii="Times New Roman" w:hAnsi="Times New Roman" w:eastAsia="宋体" w:cs="Times New Roman"/>
                <w:b w:val="0"/>
                <w:bCs w:val="0"/>
                <w:color w:val="auto"/>
                <w:kern w:val="0"/>
                <w:sz w:val="18"/>
                <w:szCs w:val="18"/>
                <w:lang w:val="en-US" w:eastAsia="zh-CN"/>
              </w:rPr>
              <w:t>或</w:t>
            </w:r>
            <w:r>
              <w:rPr>
                <w:rFonts w:hint="default" w:ascii="Times New Roman" w:hAnsi="Times New Roman" w:eastAsia="宋体" w:cs="Times New Roman"/>
                <w:b w:val="0"/>
                <w:bCs w:val="0"/>
                <w:color w:val="auto"/>
                <w:kern w:val="0"/>
                <w:sz w:val="18"/>
                <w:szCs w:val="18"/>
              </w:rPr>
              <w:t>接入省市县追溯平台得</w:t>
            </w:r>
            <w:r>
              <w:rPr>
                <w:rFonts w:hint="default" w:ascii="Times New Roman" w:hAnsi="Times New Roman" w:eastAsia="宋体" w:cs="Times New Roman"/>
                <w:b w:val="0"/>
                <w:bCs w:val="0"/>
                <w:color w:val="auto"/>
                <w:kern w:val="0"/>
                <w:sz w:val="18"/>
                <w:szCs w:val="18"/>
                <w:lang w:val="en-US" w:eastAsia="zh-CN"/>
              </w:rPr>
              <w:t>2</w:t>
            </w:r>
            <w:r>
              <w:rPr>
                <w:rFonts w:hint="default" w:ascii="Times New Roman" w:hAnsi="Times New Roman" w:eastAsia="宋体" w:cs="Times New Roman"/>
                <w:b w:val="0"/>
                <w:bCs w:val="0"/>
                <w:color w:val="auto"/>
                <w:kern w:val="0"/>
                <w:sz w:val="18"/>
                <w:szCs w:val="18"/>
              </w:rPr>
              <w:t>分；不可追溯得0分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47"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18</w:t>
            </w:r>
          </w:p>
        </w:tc>
        <w:tc>
          <w:tcPr>
            <w:tcW w:w="395"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管理决策</w:t>
            </w:r>
          </w:p>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（10分）</w:t>
            </w:r>
          </w:p>
        </w:tc>
        <w:tc>
          <w:tcPr>
            <w:tcW w:w="689" w:type="pc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人员管理（2分）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信息化专业背景人员（2分）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具有信息化专业背景或资历证书的人员，每</w:t>
            </w:r>
            <w:r>
              <w:rPr>
                <w:rFonts w:hint="default" w:ascii="Times New Roman" w:hAnsi="Times New Roman" w:eastAsia="宋体" w:cs="Times New Roman"/>
                <w:b w:val="0"/>
                <w:bCs w:val="0"/>
                <w:color w:val="auto"/>
                <w:kern w:val="0"/>
                <w:sz w:val="18"/>
                <w:szCs w:val="18"/>
                <w:lang w:eastAsia="zh-CN"/>
              </w:rPr>
              <w:t>有</w:t>
            </w:r>
            <w:r>
              <w:rPr>
                <w:rFonts w:hint="default" w:ascii="Times New Roman" w:hAnsi="Times New Roman" w:eastAsia="宋体" w:cs="Times New Roman"/>
                <w:b w:val="0"/>
                <w:bCs w:val="0"/>
                <w:color w:val="auto"/>
                <w:kern w:val="0"/>
                <w:sz w:val="18"/>
                <w:szCs w:val="18"/>
                <w:lang w:val="en-US" w:eastAsia="zh-CN"/>
              </w:rPr>
              <w:t>1</w:t>
            </w:r>
            <w:r>
              <w:rPr>
                <w:rFonts w:hint="default" w:ascii="Times New Roman" w:hAnsi="Times New Roman" w:eastAsia="宋体" w:cs="Times New Roman"/>
                <w:b w:val="0"/>
                <w:bCs w:val="0"/>
                <w:color w:val="auto"/>
                <w:kern w:val="0"/>
                <w:sz w:val="18"/>
                <w:szCs w:val="18"/>
              </w:rPr>
              <w:t>人</w:t>
            </w:r>
            <w:r>
              <w:rPr>
                <w:rFonts w:hint="default" w:ascii="Times New Roman" w:hAnsi="Times New Roman" w:eastAsia="宋体" w:cs="Times New Roman"/>
                <w:b w:val="0"/>
                <w:bCs w:val="0"/>
                <w:color w:val="auto"/>
                <w:kern w:val="0"/>
                <w:sz w:val="18"/>
                <w:szCs w:val="18"/>
                <w:lang w:eastAsia="zh-CN"/>
              </w:rPr>
              <w:t>得</w:t>
            </w:r>
            <w:r>
              <w:rPr>
                <w:rFonts w:hint="default" w:ascii="Times New Roman" w:hAnsi="Times New Roman" w:eastAsia="宋体" w:cs="Times New Roman"/>
                <w:b w:val="0"/>
                <w:bCs w:val="0"/>
                <w:color w:val="auto"/>
                <w:kern w:val="0"/>
                <w:sz w:val="18"/>
                <w:szCs w:val="18"/>
              </w:rPr>
              <w:t>1分，最高得2分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247"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19</w:t>
            </w:r>
          </w:p>
        </w:tc>
        <w:tc>
          <w:tcPr>
            <w:tcW w:w="395"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restart"/>
            <w:shd w:val="clear" w:color="auto" w:fill="auto"/>
            <w:vAlign w:val="center"/>
          </w:tcPr>
          <w:p>
            <w:pPr>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决策支持（8分）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互联互通（4分）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各类软硬件设备互联互通得4分；软硬件设备不能互联互通得0分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47"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20</w:t>
            </w:r>
          </w:p>
        </w:tc>
        <w:tc>
          <w:tcPr>
            <w:tcW w:w="395"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89"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决策模式（4分）</w:t>
            </w:r>
          </w:p>
        </w:tc>
        <w:tc>
          <w:tcPr>
            <w:tcW w:w="2929"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具有智能决策支持中心，能根据监测数据自动给出决策指令得4分；需辅以人工判断的半自动决策方式得2分；完全</w:t>
            </w:r>
            <w:r>
              <w:rPr>
                <w:rFonts w:hint="eastAsia" w:ascii="Times New Roman" w:hAnsi="Times New Roman" w:cs="Times New Roman"/>
                <w:b w:val="0"/>
                <w:bCs w:val="0"/>
                <w:color w:val="auto"/>
                <w:kern w:val="0"/>
                <w:sz w:val="18"/>
                <w:szCs w:val="18"/>
                <w:lang w:eastAsia="zh-CN"/>
              </w:rPr>
              <w:t>依靠</w:t>
            </w:r>
            <w:r>
              <w:rPr>
                <w:rFonts w:hint="default" w:ascii="Times New Roman" w:hAnsi="Times New Roman" w:eastAsia="宋体" w:cs="Times New Roman"/>
                <w:b w:val="0"/>
                <w:bCs w:val="0"/>
                <w:color w:val="auto"/>
                <w:kern w:val="0"/>
                <w:sz w:val="18"/>
                <w:szCs w:val="18"/>
              </w:rPr>
              <w:t>人工决策得0分</w:t>
            </w:r>
          </w:p>
        </w:tc>
      </w:tr>
    </w:tbl>
    <w:p/>
    <w:p/>
    <w:p/>
    <w:p/>
    <w:p/>
    <w:p/>
    <w:p/>
    <w:p/>
    <w:p>
      <w:pPr>
        <w:pStyle w:val="108"/>
        <w:numPr>
          <w:ilvl w:val="0"/>
          <w:numId w:val="0"/>
        </w:numPr>
        <w:spacing w:beforeLines="0" w:afterLines="0"/>
        <w:jc w:val="center"/>
      </w:pPr>
      <w:bookmarkStart w:id="121" w:name="_Toc20761"/>
      <w:r>
        <w:rPr>
          <w:rFonts w:hint="eastAsia"/>
          <w:szCs w:val="21"/>
          <w:lang w:val="en-US" w:eastAsia="zh-CN"/>
        </w:rPr>
        <w:t>表3</w:t>
      </w:r>
      <w:r>
        <w:rPr>
          <w:rFonts w:hint="eastAsia"/>
          <w:szCs w:val="21"/>
        </w:rPr>
        <w:t>智慧园艺（果园、茶园</w:t>
      </w:r>
      <w:r>
        <w:rPr>
          <w:rFonts w:hint="eastAsia"/>
          <w:szCs w:val="21"/>
          <w:lang w:eastAsia="zh-CN"/>
        </w:rPr>
        <w:t>、</w:t>
      </w:r>
      <w:r>
        <w:rPr>
          <w:rFonts w:hint="eastAsia"/>
          <w:szCs w:val="21"/>
          <w:lang w:val="en-US" w:eastAsia="zh-CN"/>
        </w:rPr>
        <w:t>桑树</w:t>
      </w:r>
      <w:r>
        <w:rPr>
          <w:rFonts w:hint="eastAsia"/>
          <w:szCs w:val="21"/>
        </w:rPr>
        <w:t>）</w:t>
      </w:r>
      <w:r>
        <w:rPr>
          <w:rFonts w:hint="eastAsia"/>
          <w:szCs w:val="21"/>
          <w:lang w:eastAsia="zh-CN"/>
        </w:rPr>
        <w:t>示范基地评价细则</w:t>
      </w:r>
      <w:bookmarkEnd w:id="121"/>
      <w:r>
        <w:rPr>
          <w:rFonts w:hint="eastAsia" w:ascii="黑体" w:hAnsi="黑体" w:eastAsia="黑体" w:cs="黑体"/>
          <w:b w:val="0"/>
          <w:bCs/>
          <w:lang w:val="en-US" w:eastAsia="zh-CN"/>
        </w:rPr>
        <w:t>(第3页/共3页)</w:t>
      </w:r>
    </w:p>
    <w:tbl>
      <w:tblPr>
        <w:tblStyle w:val="29"/>
        <w:tblW w:w="49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1288"/>
        <w:gridCol w:w="1731"/>
        <w:gridCol w:w="2058"/>
        <w:gridCol w:w="8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46"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eastAsia" w:ascii="Times New Roman" w:hAnsi="Times New Roman" w:cs="Times New Roman"/>
                <w:b w:val="0"/>
                <w:bCs w:val="0"/>
                <w:color w:val="auto"/>
                <w:kern w:val="0"/>
                <w:sz w:val="18"/>
                <w:szCs w:val="18"/>
                <w:lang w:val="en-US" w:eastAsia="zh-CN"/>
              </w:rPr>
              <w:t>序号</w:t>
            </w:r>
          </w:p>
        </w:tc>
        <w:tc>
          <w:tcPr>
            <w:tcW w:w="46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一级指标</w:t>
            </w:r>
          </w:p>
        </w:tc>
        <w:tc>
          <w:tcPr>
            <w:tcW w:w="62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二级指标</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三级指标</w:t>
            </w:r>
          </w:p>
        </w:tc>
        <w:tc>
          <w:tcPr>
            <w:tcW w:w="2932"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bidi="ar-SA"/>
              </w:rPr>
            </w:pPr>
            <w:r>
              <w:rPr>
                <w:rFonts w:hint="default" w:ascii="Times New Roman" w:hAnsi="Times New Roman" w:eastAsia="宋体" w:cs="Times New Roman"/>
                <w:b w:val="0"/>
                <w:bCs w:val="0"/>
                <w:color w:val="auto"/>
                <w:kern w:val="0"/>
                <w:sz w:val="18"/>
                <w:szCs w:val="18"/>
              </w:rPr>
              <w:t>评价内容及评分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46"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21</w:t>
            </w:r>
          </w:p>
        </w:tc>
        <w:tc>
          <w:tcPr>
            <w:tcW w:w="462"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产出效益</w:t>
            </w:r>
          </w:p>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（15分）</w:t>
            </w:r>
          </w:p>
        </w:tc>
        <w:tc>
          <w:tcPr>
            <w:tcW w:w="621"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经济效益（10分）</w:t>
            </w:r>
          </w:p>
        </w:tc>
        <w:tc>
          <w:tcPr>
            <w:tcW w:w="738"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减工降本（5分）</w:t>
            </w:r>
          </w:p>
        </w:tc>
        <w:tc>
          <w:tcPr>
            <w:tcW w:w="2932"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宋体" w:hAnsi="宋体" w:eastAsia="宋体" w:cs="宋体"/>
                <w:b w:val="0"/>
                <w:bCs w:val="0"/>
                <w:color w:val="auto"/>
                <w:kern w:val="0"/>
                <w:sz w:val="18"/>
                <w:szCs w:val="18"/>
                <w:highlight w:val="none"/>
              </w:rPr>
              <w:t>对比常规</w:t>
            </w:r>
            <w:r>
              <w:rPr>
                <w:rFonts w:hint="eastAsia" w:ascii="宋体" w:hAnsi="宋体" w:eastAsia="宋体" w:cs="宋体"/>
                <w:b w:val="0"/>
                <w:bCs w:val="0"/>
                <w:color w:val="auto"/>
                <w:kern w:val="0"/>
                <w:sz w:val="18"/>
                <w:szCs w:val="18"/>
                <w:highlight w:val="none"/>
                <w:lang w:eastAsia="zh-CN"/>
              </w:rPr>
              <w:t>果、茶</w:t>
            </w:r>
            <w:r>
              <w:rPr>
                <w:rFonts w:hint="eastAsia" w:ascii="宋体" w:hAnsi="宋体" w:cs="宋体"/>
                <w:b w:val="0"/>
                <w:bCs w:val="0"/>
                <w:color w:val="auto"/>
                <w:kern w:val="0"/>
                <w:sz w:val="18"/>
                <w:szCs w:val="18"/>
                <w:highlight w:val="none"/>
                <w:lang w:eastAsia="zh-CN"/>
              </w:rPr>
              <w:t>、</w:t>
            </w:r>
            <w:r>
              <w:rPr>
                <w:rFonts w:hint="eastAsia"/>
                <w:sz w:val="18"/>
                <w:szCs w:val="18"/>
                <w:lang w:val="en-US" w:eastAsia="zh-CN"/>
              </w:rPr>
              <w:t>桑</w:t>
            </w:r>
            <w:r>
              <w:rPr>
                <w:rFonts w:hint="eastAsia" w:ascii="宋体" w:hAnsi="宋体" w:eastAsia="宋体" w:cs="宋体"/>
                <w:b w:val="0"/>
                <w:bCs w:val="0"/>
                <w:color w:val="auto"/>
                <w:kern w:val="0"/>
                <w:sz w:val="18"/>
                <w:szCs w:val="18"/>
                <w:highlight w:val="none"/>
              </w:rPr>
              <w:t>种植，通过全产业链机械化和智能化实现</w:t>
            </w:r>
            <w:r>
              <w:rPr>
                <w:rFonts w:hint="eastAsia" w:ascii="宋体" w:hAnsi="宋体" w:eastAsia="宋体" w:cs="宋体"/>
                <w:b w:val="0"/>
                <w:bCs w:val="0"/>
                <w:color w:val="auto"/>
                <w:kern w:val="0"/>
                <w:sz w:val="18"/>
                <w:szCs w:val="18"/>
                <w:highlight w:val="none"/>
                <w:lang w:val="en-US" w:eastAsia="zh-CN"/>
              </w:rPr>
              <w:t>用工减少超过50%得3分；介于30%-50%之间得2分；介于10%-30%之间得1分；低于10%得0分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246" w:type="pct"/>
            <w:shd w:val="clear" w:color="auto" w:fill="auto"/>
            <w:vAlign w:val="center"/>
          </w:tcPr>
          <w:p>
            <w:pPr>
              <w:widowControl/>
              <w:snapToGrid w:val="0"/>
              <w:jc w:val="center"/>
              <w:rPr>
                <w:rFonts w:hint="default" w:eastAsia="宋体"/>
                <w:sz w:val="18"/>
                <w:szCs w:val="18"/>
                <w:lang w:val="en-US" w:eastAsia="zh-CN"/>
              </w:rPr>
            </w:pPr>
            <w:r>
              <w:rPr>
                <w:rFonts w:hint="eastAsia"/>
                <w:sz w:val="18"/>
                <w:szCs w:val="18"/>
                <w:lang w:val="en-US" w:eastAsia="zh-CN"/>
              </w:rPr>
              <w:t>22</w:t>
            </w:r>
          </w:p>
        </w:tc>
        <w:tc>
          <w:tcPr>
            <w:tcW w:w="462" w:type="pct"/>
            <w:vMerge w:val="continue"/>
            <w:shd w:val="clear" w:color="auto" w:fill="auto"/>
            <w:vAlign w:val="center"/>
          </w:tcPr>
          <w:p>
            <w:pPr>
              <w:widowControl/>
              <w:snapToGrid w:val="0"/>
              <w:jc w:val="left"/>
              <w:rPr>
                <w:sz w:val="18"/>
                <w:szCs w:val="18"/>
              </w:rPr>
            </w:pPr>
          </w:p>
        </w:tc>
        <w:tc>
          <w:tcPr>
            <w:tcW w:w="621" w:type="pct"/>
            <w:vMerge w:val="continue"/>
            <w:shd w:val="clear" w:color="auto" w:fill="auto"/>
            <w:vAlign w:val="center"/>
          </w:tcPr>
          <w:p>
            <w:pPr>
              <w:widowControl/>
              <w:snapToGrid w:val="0"/>
              <w:jc w:val="left"/>
              <w:rPr>
                <w:sz w:val="18"/>
                <w:szCs w:val="18"/>
              </w:rPr>
            </w:pPr>
          </w:p>
        </w:tc>
        <w:tc>
          <w:tcPr>
            <w:tcW w:w="738" w:type="pct"/>
            <w:vMerge w:val="continue"/>
            <w:shd w:val="clear" w:color="auto" w:fill="auto"/>
            <w:vAlign w:val="center"/>
          </w:tcPr>
          <w:p>
            <w:pPr>
              <w:widowControl/>
              <w:snapToGrid w:val="0"/>
              <w:jc w:val="left"/>
              <w:rPr>
                <w:sz w:val="18"/>
                <w:szCs w:val="18"/>
              </w:rPr>
            </w:pPr>
          </w:p>
        </w:tc>
        <w:tc>
          <w:tcPr>
            <w:tcW w:w="2932" w:type="pct"/>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rPr>
              <w:t>对比常规</w:t>
            </w:r>
            <w:r>
              <w:rPr>
                <w:rFonts w:hint="eastAsia" w:ascii="宋体" w:hAnsi="宋体" w:eastAsia="宋体" w:cs="宋体"/>
                <w:b w:val="0"/>
                <w:bCs w:val="0"/>
                <w:color w:val="auto"/>
                <w:kern w:val="0"/>
                <w:sz w:val="18"/>
                <w:szCs w:val="18"/>
                <w:highlight w:val="none"/>
                <w:lang w:eastAsia="zh-CN"/>
              </w:rPr>
              <w:t>果、茶</w:t>
            </w:r>
            <w:r>
              <w:rPr>
                <w:rFonts w:hint="eastAsia" w:ascii="宋体" w:hAnsi="宋体" w:cs="宋体"/>
                <w:b w:val="0"/>
                <w:bCs w:val="0"/>
                <w:color w:val="auto"/>
                <w:kern w:val="0"/>
                <w:sz w:val="18"/>
                <w:szCs w:val="18"/>
                <w:highlight w:val="none"/>
                <w:lang w:eastAsia="zh-CN"/>
              </w:rPr>
              <w:t>、</w:t>
            </w:r>
            <w:r>
              <w:rPr>
                <w:rFonts w:hint="eastAsia"/>
                <w:sz w:val="18"/>
                <w:szCs w:val="18"/>
                <w:lang w:val="en-US" w:eastAsia="zh-CN"/>
              </w:rPr>
              <w:t>桑</w:t>
            </w:r>
            <w:r>
              <w:rPr>
                <w:rFonts w:hint="eastAsia" w:ascii="宋体" w:hAnsi="宋体" w:eastAsia="宋体" w:cs="宋体"/>
                <w:b w:val="0"/>
                <w:bCs w:val="0"/>
                <w:color w:val="auto"/>
                <w:kern w:val="0"/>
                <w:sz w:val="18"/>
                <w:szCs w:val="18"/>
                <w:highlight w:val="none"/>
              </w:rPr>
              <w:t>种植，通过全产业链机械化和智能化实现</w:t>
            </w:r>
            <w:r>
              <w:rPr>
                <w:rFonts w:hint="eastAsia" w:ascii="宋体" w:hAnsi="宋体" w:eastAsia="宋体" w:cs="宋体"/>
                <w:b w:val="0"/>
                <w:bCs w:val="0"/>
                <w:color w:val="auto"/>
                <w:kern w:val="0"/>
                <w:sz w:val="18"/>
                <w:szCs w:val="18"/>
                <w:highlight w:val="none"/>
                <w:lang w:val="en-US" w:eastAsia="zh-CN"/>
              </w:rPr>
              <w:t>生产成本减少超过30%得2分；</w:t>
            </w:r>
            <w:r>
              <w:rPr>
                <w:rFonts w:hint="eastAsia" w:ascii="宋体" w:hAnsi="宋体" w:eastAsia="宋体" w:cs="宋体"/>
                <w:b w:val="0"/>
                <w:bCs w:val="0"/>
                <w:color w:val="auto"/>
                <w:kern w:val="0"/>
                <w:sz w:val="18"/>
                <w:szCs w:val="18"/>
                <w:highlight w:val="none"/>
              </w:rPr>
              <w:t>介于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3</w:t>
            </w:r>
            <w:r>
              <w:rPr>
                <w:rFonts w:hint="eastAsia" w:ascii="宋体" w:hAnsi="宋体" w:eastAsia="宋体" w:cs="宋体"/>
                <w:b w:val="0"/>
                <w:bCs w:val="0"/>
                <w:color w:val="auto"/>
                <w:kern w:val="0"/>
                <w:sz w:val="18"/>
                <w:szCs w:val="18"/>
                <w:highlight w:val="none"/>
              </w:rPr>
              <w:t>0%之间得</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分</w:t>
            </w:r>
            <w:r>
              <w:rPr>
                <w:rFonts w:hint="eastAsia" w:ascii="宋体" w:hAnsi="宋体" w:eastAsia="宋体" w:cs="宋体"/>
                <w:b w:val="0"/>
                <w:bCs w:val="0"/>
                <w:color w:val="auto"/>
                <w:kern w:val="0"/>
                <w:sz w:val="18"/>
                <w:szCs w:val="18"/>
                <w:highlight w:val="none"/>
                <w:lang w:eastAsia="zh-CN"/>
              </w:rPr>
              <w:t>；</w:t>
            </w:r>
            <w:r>
              <w:rPr>
                <w:rFonts w:hint="eastAsia" w:ascii="宋体" w:hAnsi="宋体" w:eastAsia="宋体" w:cs="宋体"/>
                <w:b w:val="0"/>
                <w:bCs w:val="0"/>
                <w:color w:val="auto"/>
                <w:kern w:val="0"/>
                <w:sz w:val="18"/>
                <w:szCs w:val="18"/>
                <w:highlight w:val="none"/>
              </w:rPr>
              <w:t>低于</w:t>
            </w:r>
            <w:r>
              <w:rPr>
                <w:rFonts w:hint="eastAsia" w:ascii="宋体" w:hAnsi="宋体" w:eastAsia="宋体" w:cs="宋体"/>
                <w:b w:val="0"/>
                <w:bCs w:val="0"/>
                <w:color w:val="auto"/>
                <w:kern w:val="0"/>
                <w:sz w:val="18"/>
                <w:szCs w:val="18"/>
                <w:highlight w:val="none"/>
                <w:lang w:val="en-US" w:eastAsia="zh-CN"/>
              </w:rPr>
              <w:t>1</w:t>
            </w:r>
            <w:r>
              <w:rPr>
                <w:rFonts w:hint="eastAsia" w:ascii="宋体" w:hAnsi="宋体" w:eastAsia="宋体" w:cs="宋体"/>
                <w:b w:val="0"/>
                <w:bCs w:val="0"/>
                <w:color w:val="auto"/>
                <w:kern w:val="0"/>
                <w:sz w:val="18"/>
                <w:szCs w:val="18"/>
                <w:highlight w:val="none"/>
              </w:rPr>
              <w:t>0%</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246"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23</w:t>
            </w:r>
          </w:p>
        </w:tc>
        <w:tc>
          <w:tcPr>
            <w:tcW w:w="462" w:type="pct"/>
            <w:vMerge w:val="continue"/>
          </w:tcPr>
          <w:p>
            <w:pPr>
              <w:widowControl/>
              <w:snapToGrid w:val="0"/>
              <w:jc w:val="center"/>
              <w:rPr>
                <w:rFonts w:hint="default" w:ascii="Times New Roman" w:hAnsi="Times New Roman" w:eastAsia="宋体" w:cs="Times New Roman"/>
                <w:b w:val="0"/>
                <w:bCs w:val="0"/>
                <w:color w:val="auto"/>
                <w:kern w:val="0"/>
                <w:sz w:val="18"/>
                <w:szCs w:val="18"/>
              </w:rPr>
            </w:pPr>
          </w:p>
        </w:tc>
        <w:tc>
          <w:tcPr>
            <w:tcW w:w="621"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提质增效（5分）</w:t>
            </w:r>
          </w:p>
        </w:tc>
        <w:tc>
          <w:tcPr>
            <w:tcW w:w="2932"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宋体" w:hAnsi="宋体" w:cs="宋体"/>
                <w:b w:val="0"/>
                <w:bCs w:val="0"/>
                <w:color w:val="auto"/>
                <w:kern w:val="0"/>
                <w:sz w:val="18"/>
                <w:szCs w:val="18"/>
                <w:highlight w:val="none"/>
                <w:lang w:val="en-US" w:eastAsia="zh-CN"/>
              </w:rPr>
              <w:t>农产品通过“两品一标”认证得2分；没有得0分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46" w:type="pct"/>
            <w:vAlign w:val="center"/>
          </w:tcPr>
          <w:p>
            <w:pPr>
              <w:widowControl/>
              <w:snapToGrid w:val="0"/>
              <w:jc w:val="center"/>
              <w:rPr>
                <w:rFonts w:hint="default" w:eastAsia="宋体"/>
                <w:sz w:val="18"/>
                <w:szCs w:val="18"/>
                <w:lang w:val="en-US" w:eastAsia="zh-CN"/>
              </w:rPr>
            </w:pPr>
            <w:r>
              <w:rPr>
                <w:rFonts w:hint="eastAsia"/>
                <w:sz w:val="18"/>
                <w:szCs w:val="18"/>
                <w:lang w:val="en-US" w:eastAsia="zh-CN"/>
              </w:rPr>
              <w:t>24</w:t>
            </w:r>
          </w:p>
        </w:tc>
        <w:tc>
          <w:tcPr>
            <w:tcW w:w="462" w:type="pct"/>
            <w:vMerge w:val="continue"/>
          </w:tcPr>
          <w:p>
            <w:pPr>
              <w:widowControl/>
              <w:snapToGrid w:val="0"/>
              <w:jc w:val="left"/>
              <w:rPr>
                <w:sz w:val="18"/>
                <w:szCs w:val="18"/>
              </w:rPr>
            </w:pPr>
          </w:p>
        </w:tc>
        <w:tc>
          <w:tcPr>
            <w:tcW w:w="621" w:type="pct"/>
            <w:vMerge w:val="continue"/>
            <w:vAlign w:val="center"/>
          </w:tcPr>
          <w:p>
            <w:pPr>
              <w:widowControl/>
              <w:snapToGrid w:val="0"/>
              <w:jc w:val="left"/>
              <w:rPr>
                <w:sz w:val="18"/>
                <w:szCs w:val="18"/>
              </w:rPr>
            </w:pPr>
          </w:p>
        </w:tc>
        <w:tc>
          <w:tcPr>
            <w:tcW w:w="738" w:type="pct"/>
            <w:vMerge w:val="continue"/>
            <w:shd w:val="clear" w:color="auto" w:fill="auto"/>
            <w:vAlign w:val="center"/>
          </w:tcPr>
          <w:p>
            <w:pPr>
              <w:widowControl/>
              <w:snapToGrid w:val="0"/>
              <w:jc w:val="left"/>
              <w:rPr>
                <w:sz w:val="18"/>
                <w:szCs w:val="18"/>
              </w:rPr>
            </w:pPr>
          </w:p>
        </w:tc>
        <w:tc>
          <w:tcPr>
            <w:tcW w:w="2932" w:type="pct"/>
            <w:shd w:val="clear" w:color="auto" w:fill="auto"/>
            <w:vAlign w:val="center"/>
          </w:tcPr>
          <w:p>
            <w:pPr>
              <w:widowControl/>
              <w:snapToGrid w:val="0"/>
              <w:jc w:val="left"/>
              <w:rPr>
                <w:rFonts w:hint="eastAsia" w:ascii="宋体" w:hAnsi="宋体" w:eastAsia="宋体" w:cs="宋体"/>
                <w:b w:val="0"/>
                <w:bCs w:val="0"/>
                <w:color w:val="auto"/>
                <w:kern w:val="0"/>
                <w:sz w:val="18"/>
                <w:szCs w:val="18"/>
                <w:highlight w:val="none"/>
              </w:rPr>
            </w:pPr>
            <w:r>
              <w:rPr>
                <w:rFonts w:hint="eastAsia" w:ascii="宋体" w:hAnsi="宋体" w:eastAsia="宋体" w:cs="宋体"/>
                <w:b w:val="0"/>
                <w:bCs w:val="0"/>
                <w:color w:val="auto"/>
                <w:kern w:val="0"/>
                <w:sz w:val="18"/>
                <w:szCs w:val="18"/>
                <w:highlight w:val="none"/>
                <w:lang w:val="en-US" w:eastAsia="zh-CN"/>
              </w:rPr>
              <w:t>实现单位面积收益提升超过10%得3分；介于5%-10%之间得2分；低于5%得0分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 w:hRule="atLeast"/>
        </w:trPr>
        <w:tc>
          <w:tcPr>
            <w:tcW w:w="246"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25</w:t>
            </w:r>
          </w:p>
        </w:tc>
        <w:tc>
          <w:tcPr>
            <w:tcW w:w="46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1"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生态效益（5分）</w:t>
            </w:r>
          </w:p>
        </w:tc>
        <w:tc>
          <w:tcPr>
            <w:tcW w:w="738"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资源节约（5分）</w:t>
            </w:r>
          </w:p>
        </w:tc>
        <w:tc>
          <w:tcPr>
            <w:tcW w:w="2932"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对比常规果、茶</w:t>
            </w:r>
            <w:r>
              <w:rPr>
                <w:rFonts w:hint="eastAsia" w:ascii="宋体" w:hAnsi="宋体" w:cs="宋体"/>
                <w:b w:val="0"/>
                <w:bCs w:val="0"/>
                <w:color w:val="auto"/>
                <w:kern w:val="0"/>
                <w:sz w:val="18"/>
                <w:szCs w:val="18"/>
                <w:highlight w:val="none"/>
                <w:lang w:eastAsia="zh-CN"/>
              </w:rPr>
              <w:t>、</w:t>
            </w:r>
            <w:r>
              <w:rPr>
                <w:rFonts w:hint="eastAsia"/>
                <w:sz w:val="18"/>
                <w:szCs w:val="18"/>
                <w:lang w:val="en-US" w:eastAsia="zh-CN"/>
              </w:rPr>
              <w:t>桑</w:t>
            </w:r>
            <w:r>
              <w:rPr>
                <w:rFonts w:hint="eastAsia" w:ascii="Times New Roman" w:hAnsi="Times New Roman" w:cs="Times New Roman"/>
                <w:b w:val="0"/>
                <w:bCs w:val="0"/>
                <w:color w:val="auto"/>
                <w:kern w:val="0"/>
                <w:sz w:val="18"/>
                <w:szCs w:val="18"/>
                <w:lang w:val="en-US" w:eastAsia="zh-CN"/>
              </w:rPr>
              <w:t>种植</w:t>
            </w:r>
            <w:r>
              <w:rPr>
                <w:rFonts w:hint="default" w:ascii="Times New Roman" w:hAnsi="Times New Roman" w:eastAsia="宋体" w:cs="Times New Roman"/>
                <w:b w:val="0"/>
                <w:bCs w:val="0"/>
                <w:color w:val="auto"/>
                <w:kern w:val="0"/>
                <w:sz w:val="18"/>
                <w:szCs w:val="18"/>
              </w:rPr>
              <w:t>，化肥减量使用超过20%得2分；低于20%得1分；未实现化肥减量得0分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246"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26</w:t>
            </w:r>
          </w:p>
        </w:tc>
        <w:tc>
          <w:tcPr>
            <w:tcW w:w="46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1"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vMerge w:val="continue"/>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2932"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对比常规果、茶</w:t>
            </w:r>
            <w:r>
              <w:rPr>
                <w:rFonts w:hint="eastAsia" w:ascii="宋体" w:hAnsi="宋体" w:cs="宋体"/>
                <w:b w:val="0"/>
                <w:bCs w:val="0"/>
                <w:color w:val="auto"/>
                <w:kern w:val="0"/>
                <w:sz w:val="18"/>
                <w:szCs w:val="18"/>
                <w:highlight w:val="none"/>
                <w:lang w:eastAsia="zh-CN"/>
              </w:rPr>
              <w:t>、</w:t>
            </w:r>
            <w:r>
              <w:rPr>
                <w:rFonts w:hint="eastAsia"/>
                <w:sz w:val="18"/>
                <w:szCs w:val="18"/>
                <w:lang w:val="en-US" w:eastAsia="zh-CN"/>
              </w:rPr>
              <w:t>桑</w:t>
            </w:r>
            <w:r>
              <w:rPr>
                <w:rFonts w:hint="eastAsia" w:ascii="Times New Roman" w:hAnsi="Times New Roman" w:cs="Times New Roman"/>
                <w:b w:val="0"/>
                <w:bCs w:val="0"/>
                <w:color w:val="auto"/>
                <w:kern w:val="0"/>
                <w:sz w:val="18"/>
                <w:szCs w:val="18"/>
                <w:lang w:val="en-US" w:eastAsia="zh-CN"/>
              </w:rPr>
              <w:t>种植</w:t>
            </w:r>
            <w:r>
              <w:rPr>
                <w:rFonts w:hint="default" w:ascii="Times New Roman" w:hAnsi="Times New Roman" w:eastAsia="宋体" w:cs="Times New Roman"/>
                <w:b w:val="0"/>
                <w:bCs w:val="0"/>
                <w:color w:val="auto"/>
                <w:kern w:val="0"/>
                <w:sz w:val="18"/>
                <w:szCs w:val="18"/>
              </w:rPr>
              <w:t>，农药减量使用超过20%得3分；介于10%-20%之间得2分；低于10%得1分；未实现农药减量得0分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trPr>
        <w:tc>
          <w:tcPr>
            <w:tcW w:w="246"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27</w:t>
            </w:r>
          </w:p>
        </w:tc>
        <w:tc>
          <w:tcPr>
            <w:tcW w:w="462"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创新与规划（10分）</w:t>
            </w:r>
          </w:p>
        </w:tc>
        <w:tc>
          <w:tcPr>
            <w:tcW w:w="621" w:type="pct"/>
            <w:vMerge w:val="restar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创新（8分）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模式培育（5分）</w:t>
            </w:r>
          </w:p>
        </w:tc>
        <w:tc>
          <w:tcPr>
            <w:tcW w:w="2932"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eastAsia" w:ascii="宋体" w:hAnsi="宋体" w:eastAsia="宋体" w:cs="宋体"/>
                <w:b w:val="0"/>
                <w:bCs w:val="0"/>
                <w:color w:val="auto"/>
                <w:kern w:val="0"/>
                <w:sz w:val="18"/>
                <w:szCs w:val="18"/>
                <w:highlight w:val="none"/>
              </w:rPr>
              <w:t>培育形成具有特色的智慧农业应用模式创新，并</w:t>
            </w:r>
            <w:r>
              <w:rPr>
                <w:rFonts w:hint="eastAsia" w:ascii="宋体" w:hAnsi="宋体" w:eastAsia="宋体" w:cs="宋体"/>
                <w:b w:val="0"/>
                <w:bCs w:val="0"/>
                <w:color w:val="auto"/>
                <w:kern w:val="0"/>
                <w:sz w:val="18"/>
                <w:szCs w:val="18"/>
                <w:highlight w:val="none"/>
                <w:lang w:val="en-US" w:eastAsia="zh-CN"/>
              </w:rPr>
              <w:t>在其他农业企业、农户中推广复制</w:t>
            </w:r>
            <w:r>
              <w:rPr>
                <w:rFonts w:hint="eastAsia" w:ascii="宋体" w:hAnsi="宋体" w:eastAsia="宋体" w:cs="宋体"/>
                <w:b w:val="0"/>
                <w:bCs w:val="0"/>
                <w:color w:val="auto"/>
                <w:kern w:val="0"/>
                <w:sz w:val="18"/>
                <w:szCs w:val="18"/>
                <w:highlight w:val="none"/>
              </w:rPr>
              <w:t>得5分；</w:t>
            </w:r>
            <w:r>
              <w:rPr>
                <w:rFonts w:hint="eastAsia" w:ascii="宋体" w:hAnsi="宋体" w:eastAsia="宋体" w:cs="宋体"/>
                <w:b w:val="0"/>
                <w:bCs w:val="0"/>
                <w:color w:val="auto"/>
                <w:kern w:val="0"/>
                <w:sz w:val="18"/>
                <w:szCs w:val="18"/>
                <w:highlight w:val="none"/>
                <w:lang w:val="en-US" w:eastAsia="zh-CN"/>
              </w:rPr>
              <w:t>仅</w:t>
            </w:r>
            <w:r>
              <w:rPr>
                <w:rFonts w:hint="eastAsia" w:ascii="宋体" w:hAnsi="宋体" w:eastAsia="宋体" w:cs="宋体"/>
                <w:b w:val="0"/>
                <w:bCs w:val="0"/>
                <w:color w:val="auto"/>
                <w:kern w:val="0"/>
                <w:sz w:val="18"/>
                <w:szCs w:val="18"/>
                <w:highlight w:val="none"/>
              </w:rPr>
              <w:t>培育形成具有特色的智慧农业应用模式创新</w:t>
            </w:r>
            <w:r>
              <w:rPr>
                <w:rFonts w:hint="eastAsia" w:ascii="宋体" w:hAnsi="宋体" w:eastAsia="宋体" w:cs="宋体"/>
                <w:b w:val="0"/>
                <w:bCs w:val="0"/>
                <w:color w:val="auto"/>
                <w:kern w:val="0"/>
                <w:sz w:val="18"/>
                <w:szCs w:val="18"/>
                <w:highlight w:val="none"/>
                <w:lang w:val="en-US" w:eastAsia="zh-CN"/>
              </w:rPr>
              <w:t>得2分；未</w:t>
            </w:r>
            <w:r>
              <w:rPr>
                <w:rFonts w:hint="eastAsia" w:ascii="宋体" w:hAnsi="宋体" w:eastAsia="宋体" w:cs="宋体"/>
                <w:b w:val="0"/>
                <w:bCs w:val="0"/>
                <w:color w:val="auto"/>
                <w:kern w:val="0"/>
                <w:sz w:val="18"/>
                <w:szCs w:val="18"/>
                <w:highlight w:val="none"/>
              </w:rPr>
              <w:t>形成具有特色的智慧农业应用模式创新</w:t>
            </w:r>
            <w:r>
              <w:rPr>
                <w:rFonts w:hint="eastAsia" w:ascii="宋体" w:hAnsi="宋体" w:eastAsia="宋体" w:cs="宋体"/>
                <w:b w:val="0"/>
                <w:bCs w:val="0"/>
                <w:color w:val="auto"/>
                <w:kern w:val="0"/>
                <w:sz w:val="18"/>
                <w:szCs w:val="18"/>
                <w:highlight w:val="none"/>
                <w:lang w:val="en-US" w:eastAsia="zh-CN"/>
              </w:rPr>
              <w:t>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246"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28</w:t>
            </w:r>
          </w:p>
        </w:tc>
        <w:tc>
          <w:tcPr>
            <w:tcW w:w="46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1"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科技项目申报（3分）</w:t>
            </w:r>
          </w:p>
        </w:tc>
        <w:tc>
          <w:tcPr>
            <w:tcW w:w="2932"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近3年承担市级以上与智慧农业相关的科技项目得3分；与高校、科研院所联合承担市级以上与智慧农业相关的科技项目得1分；未承担科技项目得0分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246" w:type="pct"/>
            <w:vAlign w:val="center"/>
          </w:tcPr>
          <w:p>
            <w:pPr>
              <w:widowControl/>
              <w:snapToGrid w:val="0"/>
              <w:jc w:val="center"/>
              <w:rPr>
                <w:rFonts w:hint="default" w:ascii="Times New Roman" w:hAnsi="Times New Roman" w:eastAsia="宋体" w:cs="Times New Roman"/>
                <w:b w:val="0"/>
                <w:bCs w:val="0"/>
                <w:color w:val="auto"/>
                <w:kern w:val="0"/>
                <w:sz w:val="18"/>
                <w:szCs w:val="18"/>
                <w:lang w:val="en-US" w:eastAsia="zh-CN"/>
              </w:rPr>
            </w:pPr>
            <w:r>
              <w:rPr>
                <w:rFonts w:hint="eastAsia" w:ascii="Times New Roman" w:hAnsi="Times New Roman" w:cs="Times New Roman"/>
                <w:b w:val="0"/>
                <w:bCs w:val="0"/>
                <w:color w:val="auto"/>
                <w:kern w:val="0"/>
                <w:sz w:val="18"/>
                <w:szCs w:val="18"/>
                <w:lang w:val="en-US" w:eastAsia="zh-CN"/>
              </w:rPr>
              <w:t>29</w:t>
            </w:r>
          </w:p>
        </w:tc>
        <w:tc>
          <w:tcPr>
            <w:tcW w:w="462" w:type="pct"/>
            <w:vMerge w:val="continue"/>
            <w:vAlign w:val="center"/>
          </w:tcPr>
          <w:p>
            <w:pPr>
              <w:widowControl/>
              <w:snapToGrid w:val="0"/>
              <w:jc w:val="center"/>
              <w:rPr>
                <w:rFonts w:hint="default" w:ascii="Times New Roman" w:hAnsi="Times New Roman" w:eastAsia="宋体" w:cs="Times New Roman"/>
                <w:b w:val="0"/>
                <w:bCs w:val="0"/>
                <w:color w:val="auto"/>
                <w:kern w:val="0"/>
                <w:sz w:val="18"/>
                <w:szCs w:val="18"/>
              </w:rPr>
            </w:pPr>
          </w:p>
        </w:tc>
        <w:tc>
          <w:tcPr>
            <w:tcW w:w="621"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未来规划（2分）</w:t>
            </w:r>
          </w:p>
        </w:tc>
        <w:tc>
          <w:tcPr>
            <w:tcW w:w="738" w:type="pct"/>
            <w:shd w:val="clear" w:color="auto" w:fill="auto"/>
            <w:vAlign w:val="center"/>
          </w:tcPr>
          <w:p>
            <w:pPr>
              <w:widowControl/>
              <w:snapToGrid w:val="0"/>
              <w:jc w:val="center"/>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未来规划（2分）</w:t>
            </w:r>
          </w:p>
        </w:tc>
        <w:tc>
          <w:tcPr>
            <w:tcW w:w="2932" w:type="pct"/>
            <w:shd w:val="clear" w:color="auto" w:fill="auto"/>
            <w:vAlign w:val="center"/>
          </w:tcPr>
          <w:p>
            <w:pPr>
              <w:widowControl/>
              <w:snapToGrid w:val="0"/>
              <w:jc w:val="left"/>
              <w:rPr>
                <w:rFonts w:hint="default" w:ascii="Times New Roman" w:hAnsi="Times New Roman" w:eastAsia="宋体" w:cs="Times New Roman"/>
                <w:b w:val="0"/>
                <w:bCs w:val="0"/>
                <w:color w:val="auto"/>
                <w:kern w:val="0"/>
                <w:sz w:val="18"/>
                <w:szCs w:val="18"/>
              </w:rPr>
            </w:pPr>
            <w:r>
              <w:rPr>
                <w:rFonts w:hint="default" w:ascii="Times New Roman" w:hAnsi="Times New Roman" w:eastAsia="宋体" w:cs="Times New Roman"/>
                <w:b w:val="0"/>
                <w:bCs w:val="0"/>
                <w:color w:val="auto"/>
                <w:kern w:val="0"/>
                <w:sz w:val="18"/>
                <w:szCs w:val="18"/>
              </w:rPr>
              <w:t>对基地未来3年的智慧化建设有清晰的规划得2分；没有清晰的规划得0分</w:t>
            </w:r>
          </w:p>
        </w:tc>
      </w:tr>
    </w:tbl>
    <w:p>
      <w:bookmarkStart w:id="122" w:name="_Toc79039721"/>
      <w:r>
        <w:rPr>
          <w:sz w:val="21"/>
        </w:rPr>
        <mc:AlternateContent>
          <mc:Choice Requires="wps">
            <w:drawing>
              <wp:anchor distT="0" distB="0" distL="114300" distR="114300" simplePos="0" relativeHeight="251666432" behindDoc="0" locked="0" layoutInCell="1" allowOverlap="1">
                <wp:simplePos x="0" y="0"/>
                <wp:positionH relativeFrom="column">
                  <wp:posOffset>3023870</wp:posOffset>
                </wp:positionH>
                <wp:positionV relativeFrom="paragraph">
                  <wp:posOffset>344170</wp:posOffset>
                </wp:positionV>
                <wp:extent cx="2268220" cy="8255"/>
                <wp:effectExtent l="0" t="0" r="0" b="0"/>
                <wp:wrapTopAndBottom/>
                <wp:docPr id="11" name="直接连接符 11"/>
                <wp:cNvGraphicFramePr/>
                <a:graphic xmlns:a="http://schemas.openxmlformats.org/drawingml/2006/main">
                  <a:graphicData uri="http://schemas.microsoft.com/office/word/2010/wordprocessingShape">
                    <wps:wsp>
                      <wps:cNvCnPr/>
                      <wps:spPr>
                        <a:xfrm>
                          <a:off x="0" y="0"/>
                          <a:ext cx="2268220" cy="82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38.1pt;margin-top:27.1pt;height:0.65pt;width:178.6pt;mso-wrap-distance-bottom:0pt;mso-wrap-distance-top:0pt;z-index:251666432;mso-width-relative:page;mso-height-relative:page;" filled="f" stroked="t" coordsize="21600,21600" o:gfxdata="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ezSEDYAAAA&#10;CQEAAA8AAAAAAAAAAQAgAAAAIgAAAGRycy9kb3ducmV2LnhtbFBLAQIUABQAAAAIAIdO4kCJUw1M&#10;5AEAALYDAAAOAAAAAAAAAAEAIAAAACcBAABkcnMvZTJvRG9jLnhtbFBLBQYAAAAABgAGAFkBAAB9&#10;BQAAAAA=&#10;">
                <v:fill on="f" focussize="0,0"/>
                <v:stroke weight="0.5pt" color="#000000 [3213]" miterlimit="8" joinstyle="miter"/>
                <v:imagedata o:title=""/>
                <o:lock v:ext="edit" aspectratio="f"/>
                <w10:wrap type="topAndBottom"/>
              </v:line>
            </w:pict>
          </mc:Fallback>
        </mc:AlternateContent>
      </w:r>
      <w:bookmarkEnd w:id="88"/>
      <w:bookmarkEnd w:id="122"/>
    </w:p>
    <w:sectPr>
      <w:pgSz w:w="16838" w:h="11906" w:orient="landscape"/>
      <w:pgMar w:top="1134" w:right="1134" w:bottom="1134" w:left="1871" w:header="680" w:footer="1134" w:gutter="284"/>
      <w:pgNumType w:fmt="decimal"/>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Light">
    <w:altName w:val="宋体"/>
    <w:panose1 w:val="02010600030101010101"/>
    <w:charset w:val="86"/>
    <w:family w:val="auto"/>
    <w:pitch w:val="default"/>
    <w:sig w:usb0="00000000" w:usb1="00000000"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pPr>
                          <w:r>
                            <w:fldChar w:fldCharType="begin"/>
                          </w:r>
                          <w:r>
                            <w:instrText xml:space="preserve">PAGE   \* MERGEFORMAT</w:instrText>
                          </w:r>
                          <w:r>
                            <w:fldChar w:fldCharType="separate"/>
                          </w:r>
                          <w:r>
                            <w:rPr>
                              <w:lang w:val="zh-CN"/>
                            </w:rP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8"/>
                    </w:pPr>
                    <w:r>
                      <w:fldChar w:fldCharType="begin"/>
                    </w:r>
                    <w:r>
                      <w:instrText xml:space="preserve">PAGE   \* MERGEFORMAT</w:instrText>
                    </w:r>
                    <w:r>
                      <w:fldChar w:fldCharType="separate"/>
                    </w:r>
                    <w:r>
                      <w:rPr>
                        <w:lang w:val="zh-CN"/>
                      </w:rP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fldChar w:fldCharType="begin"/>
                          </w:r>
                          <w:r>
                            <w:instrText xml:space="preserve">PAGE   \* MERGEFORMAT</w:instrText>
                          </w:r>
                          <w:r>
                            <w:fldChar w:fldCharType="separate"/>
                          </w:r>
                          <w:r>
                            <w:rPr>
                              <w:lang w:val="zh-CN"/>
                            </w:rP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56"/>
                    </w:pPr>
                    <w:r>
                      <w:fldChar w:fldCharType="begin"/>
                    </w:r>
                    <w:r>
                      <w:instrText xml:space="preserve">PAGE   \* MERGEFORMAT</w:instrText>
                    </w:r>
                    <w:r>
                      <w:fldChar w:fldCharType="separate"/>
                    </w:r>
                    <w:r>
                      <w:rPr>
                        <w:lang w:val="zh-CN"/>
                      </w:rPr>
                      <w:t>I</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 PAGE   \* MERGEFORMAT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5"/>
                    </w:pPr>
                    <w:r>
                      <w:fldChar w:fldCharType="begin"/>
                    </w:r>
                    <w:r>
                      <w:instrText xml:space="preserve"> PAGE   \* MERGEFORMAT \* MERGEFORMAT </w:instrText>
                    </w:r>
                    <w:r>
                      <w:fldChar w:fldCharType="separate"/>
                    </w:r>
                    <w:r>
                      <w:t>II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rPr>
        <w:sz w:val="18"/>
      </w:rPr>
      <mc:AlternateContent>
        <mc:Choice Requires="wps">
          <w:drawing>
            <wp:anchor distT="0" distB="0" distL="114300" distR="114300" simplePos="0" relativeHeight="251662336" behindDoc="0" locked="0" layoutInCell="1" allowOverlap="1">
              <wp:simplePos x="0" y="0"/>
              <wp:positionH relativeFrom="margin">
                <wp:align>left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fldChar w:fldCharType="begin"/>
                          </w:r>
                          <w:r>
                            <w:instrText xml:space="preserve">PAGE   \* MERGEFORMAT</w:instrText>
                          </w:r>
                          <w:r>
                            <w:fldChar w:fldCharType="separate"/>
                          </w:r>
                          <w:r>
                            <w:rPr>
                              <w:lang w:val="zh-CN"/>
                            </w:rPr>
                            <w:t>III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pStyle w:val="56"/>
                    </w:pPr>
                    <w:r>
                      <w:fldChar w:fldCharType="begin"/>
                    </w:r>
                    <w:r>
                      <w:instrText xml:space="preserve">PAGE   \* MERGEFORMAT</w:instrText>
                    </w:r>
                    <w:r>
                      <w:fldChar w:fldCharType="separate"/>
                    </w:r>
                    <w:r>
                      <w:rPr>
                        <w:lang w:val="zh-CN"/>
                      </w:rPr>
                      <w:t>III</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sz w:val="18"/>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 PAGE   \* MERGEFORMAT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55"/>
                    </w:pPr>
                    <w:r>
                      <w:fldChar w:fldCharType="begin"/>
                    </w:r>
                    <w:r>
                      <w:instrText xml:space="preserve"> PAGE   \* MERGEFORMAT \* MERGEFORMAT </w:instrText>
                    </w:r>
                    <w:r>
                      <w:fldChar w:fldCharType="separate"/>
                    </w:r>
                    <w:r>
                      <w:t>II</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6"/>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6"/>
                          </w:pPr>
                          <w:r>
                            <w:fldChar w:fldCharType="begin"/>
                          </w:r>
                          <w:r>
                            <w:instrText xml:space="preserve">PAGE   \* MERGEFORMAT</w:instrText>
                          </w:r>
                          <w:r>
                            <w:fldChar w:fldCharType="separate"/>
                          </w:r>
                          <w:r>
                            <w:rPr>
                              <w:lang w:val="zh-CN"/>
                            </w:rP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56"/>
                    </w:pPr>
                    <w:r>
                      <w:fldChar w:fldCharType="begin"/>
                    </w:r>
                    <w:r>
                      <w:instrText xml:space="preserve">PAGE   \* MERGEFORMAT</w:instrText>
                    </w:r>
                    <w:r>
                      <w:fldChar w:fldCharType="separate"/>
                    </w:r>
                    <w:r>
                      <w:rPr>
                        <w:lang w:val="zh-CN"/>
                      </w:rP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5"/>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5"/>
                          </w:pPr>
                          <w:r>
                            <w:fldChar w:fldCharType="begin"/>
                          </w:r>
                          <w:r>
                            <w:instrText xml:space="preserve"> PAGE   \* MERGEFORMAT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55"/>
                    </w:pPr>
                    <w:r>
                      <w:fldChar w:fldCharType="begin"/>
                    </w:r>
                    <w:r>
                      <w:instrText xml:space="preserve"> PAGE   \* MERGEFORMAT \* MERGEFORMAT </w:instrText>
                    </w:r>
                    <w:r>
                      <w:fldChar w:fldCharType="separate"/>
                    </w:r>
                    <w:r>
                      <w:t>16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5"/>
    </w:pPr>
    <w:r>
      <w:fldChar w:fldCharType="begin"/>
    </w:r>
    <w:r>
      <w:instrText xml:space="preserve"> STYLEREF  标准文件_文件编号  \* MERGEFORMAT </w:instrText>
    </w:r>
    <w:r>
      <w:fldChar w:fldCharType="separate"/>
    </w:r>
    <w:r>
      <w:t>DB 3205/T XXXXX—2022</w:t>
    </w:r>
    <w: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6"/>
    </w:pPr>
    <w:r>
      <w:fldChar w:fldCharType="begin"/>
    </w:r>
    <w:r>
      <w:instrText xml:space="preserve"> STYLEREF  标准文件_文件编号 \* MERGEFORMAT </w:instrText>
    </w:r>
    <w:r>
      <w:fldChar w:fldCharType="separate"/>
    </w:r>
    <w:r>
      <w:t>DB 3205/T XXXXX—2022</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8"/>
      <w:lvlText w:val="[%1]"/>
      <w:lvlJc w:val="left"/>
      <w:pPr>
        <w:tabs>
          <w:tab w:val="left" w:pos="4764"/>
        </w:tabs>
        <w:ind w:left="4764" w:hanging="648"/>
      </w:pPr>
    </w:lvl>
    <w:lvl w:ilvl="1" w:tentative="0">
      <w:start w:val="1"/>
      <w:numFmt w:val="lowerLetter"/>
      <w:lvlText w:val="%2)"/>
      <w:lvlJc w:val="left"/>
      <w:pPr>
        <w:tabs>
          <w:tab w:val="left" w:pos="4956"/>
        </w:tabs>
        <w:ind w:left="4956" w:hanging="420"/>
      </w:pPr>
    </w:lvl>
    <w:lvl w:ilvl="2" w:tentative="0">
      <w:start w:val="1"/>
      <w:numFmt w:val="lowerRoman"/>
      <w:lvlText w:val="%3."/>
      <w:lvlJc w:val="right"/>
      <w:pPr>
        <w:tabs>
          <w:tab w:val="left" w:pos="5376"/>
        </w:tabs>
        <w:ind w:left="5376" w:hanging="420"/>
      </w:pPr>
    </w:lvl>
    <w:lvl w:ilvl="3" w:tentative="0">
      <w:start w:val="1"/>
      <w:numFmt w:val="decimal"/>
      <w:lvlText w:val="%4."/>
      <w:lvlJc w:val="left"/>
      <w:pPr>
        <w:tabs>
          <w:tab w:val="left" w:pos="5796"/>
        </w:tabs>
        <w:ind w:left="5796" w:hanging="420"/>
      </w:pPr>
    </w:lvl>
    <w:lvl w:ilvl="4" w:tentative="0">
      <w:start w:val="1"/>
      <w:numFmt w:val="lowerLetter"/>
      <w:lvlText w:val="%5)"/>
      <w:lvlJc w:val="left"/>
      <w:pPr>
        <w:tabs>
          <w:tab w:val="left" w:pos="6216"/>
        </w:tabs>
        <w:ind w:left="6216" w:hanging="420"/>
      </w:pPr>
    </w:lvl>
    <w:lvl w:ilvl="5" w:tentative="0">
      <w:start w:val="1"/>
      <w:numFmt w:val="lowerRoman"/>
      <w:lvlText w:val="%6."/>
      <w:lvlJc w:val="right"/>
      <w:pPr>
        <w:tabs>
          <w:tab w:val="left" w:pos="6636"/>
        </w:tabs>
        <w:ind w:left="6636" w:hanging="420"/>
      </w:pPr>
    </w:lvl>
    <w:lvl w:ilvl="6" w:tentative="0">
      <w:start w:val="1"/>
      <w:numFmt w:val="decimal"/>
      <w:lvlText w:val="%7."/>
      <w:lvlJc w:val="left"/>
      <w:pPr>
        <w:tabs>
          <w:tab w:val="left" w:pos="7056"/>
        </w:tabs>
        <w:ind w:left="7056" w:hanging="420"/>
      </w:pPr>
    </w:lvl>
    <w:lvl w:ilvl="7" w:tentative="0">
      <w:start w:val="1"/>
      <w:numFmt w:val="lowerLetter"/>
      <w:lvlText w:val="%8)"/>
      <w:lvlJc w:val="left"/>
      <w:pPr>
        <w:tabs>
          <w:tab w:val="left" w:pos="7476"/>
        </w:tabs>
        <w:ind w:left="7476" w:hanging="420"/>
      </w:pPr>
    </w:lvl>
    <w:lvl w:ilvl="8" w:tentative="0">
      <w:start w:val="1"/>
      <w:numFmt w:val="lowerRoman"/>
      <w:lvlText w:val="%9."/>
      <w:lvlJc w:val="right"/>
      <w:pPr>
        <w:tabs>
          <w:tab w:val="left" w:pos="7896"/>
        </w:tabs>
        <w:ind w:left="7896"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63"/>
      <w:suff w:val="nothing"/>
      <w:lvlText w:val="%1%2.%3　"/>
      <w:lvlJc w:val="left"/>
      <w:pPr>
        <w:ind w:left="0" w:firstLine="0"/>
      </w:pPr>
    </w:lvl>
    <w:lvl w:ilvl="3" w:tentative="0">
      <w:start w:val="1"/>
      <w:numFmt w:val="decimal"/>
      <w:pStyle w:val="122"/>
      <w:suff w:val="nothing"/>
      <w:lvlText w:val="%1%2.%3.%4　"/>
      <w:lvlJc w:val="left"/>
      <w:pPr>
        <w:ind w:left="0" w:firstLine="0"/>
      </w:pPr>
    </w:lvl>
    <w:lvl w:ilvl="4" w:tentative="0">
      <w:start w:val="1"/>
      <w:numFmt w:val="decimal"/>
      <w:pStyle w:val="157"/>
      <w:suff w:val="nothing"/>
      <w:lvlText w:val="%1%2.%3.%4.%5　"/>
      <w:lvlJc w:val="left"/>
      <w:pPr>
        <w:ind w:left="0" w:firstLine="0"/>
      </w:pPr>
    </w:lvl>
    <w:lvl w:ilvl="5" w:tentative="0">
      <w:start w:val="1"/>
      <w:numFmt w:val="decimal"/>
      <w:pStyle w:val="159"/>
      <w:suff w:val="nothing"/>
      <w:lvlText w:val="%1%2.%3.%4.%5.%6　"/>
      <w:lvlJc w:val="left"/>
      <w:pPr>
        <w:ind w:left="0" w:firstLine="0"/>
      </w:pPr>
    </w:lvl>
    <w:lvl w:ilvl="6" w:tentative="0">
      <w:start w:val="1"/>
      <w:numFmt w:val="decimal"/>
      <w:pStyle w:val="162"/>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4"/>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93"/>
      <w:lvlText w:val="%1"/>
      <w:lvlJc w:val="left"/>
      <w:pPr>
        <w:ind w:left="425" w:hanging="425"/>
      </w:pPr>
      <w:rPr>
        <w:rFonts w:hint="eastAsia"/>
      </w:rPr>
    </w:lvl>
    <w:lvl w:ilvl="1" w:tentative="0">
      <w:start w:val="1"/>
      <w:numFmt w:val="decimal"/>
      <w:pStyle w:val="204"/>
      <w:suff w:val="nothing"/>
      <w:lvlText w:val="%10.%2 "/>
      <w:lvlJc w:val="left"/>
      <w:pPr>
        <w:ind w:left="0" w:firstLine="0"/>
      </w:pPr>
      <w:rPr>
        <w:rFonts w:hint="eastAsia" w:ascii="黑体" w:eastAsia="黑体" w:hAnsiTheme="minorHAnsi"/>
        <w:b w:val="0"/>
        <w:i w:val="0"/>
        <w:sz w:val="21"/>
      </w:rPr>
    </w:lvl>
    <w:lvl w:ilvl="2" w:tentative="0">
      <w:start w:val="1"/>
      <w:numFmt w:val="decimal"/>
      <w:pStyle w:val="205"/>
      <w:suff w:val="nothing"/>
      <w:lvlText w:val="%10.%2.%3 "/>
      <w:lvlJc w:val="left"/>
      <w:pPr>
        <w:ind w:left="0" w:firstLine="0"/>
      </w:pPr>
      <w:rPr>
        <w:rFonts w:hint="eastAsia" w:ascii="黑体" w:eastAsia="黑体" w:hAnsiTheme="minorHAnsi"/>
        <w:b w:val="0"/>
        <w:i w:val="0"/>
        <w:sz w:val="21"/>
      </w:rPr>
    </w:lvl>
    <w:lvl w:ilvl="3" w:tentative="0">
      <w:start w:val="1"/>
      <w:numFmt w:val="decimal"/>
      <w:pStyle w:val="206"/>
      <w:suff w:val="nothing"/>
      <w:lvlText w:val="%10.%2.%3.%4 "/>
      <w:lvlJc w:val="left"/>
      <w:pPr>
        <w:ind w:left="0" w:firstLine="0"/>
      </w:pPr>
      <w:rPr>
        <w:rFonts w:hint="eastAsia" w:ascii="黑体" w:eastAsia="黑体" w:hAnsiTheme="minorHAnsi"/>
        <w:b w:val="0"/>
        <w:i w:val="0"/>
        <w:sz w:val="21"/>
      </w:rPr>
    </w:lvl>
    <w:lvl w:ilvl="4" w:tentative="0">
      <w:start w:val="1"/>
      <w:numFmt w:val="decimal"/>
      <w:pStyle w:val="207"/>
      <w:suff w:val="nothing"/>
      <w:lvlText w:val="%10.%2.%3.%4.%5 "/>
      <w:lvlJc w:val="left"/>
      <w:pPr>
        <w:ind w:left="0" w:firstLine="0"/>
      </w:pPr>
      <w:rPr>
        <w:rFonts w:hint="eastAsia" w:ascii="黑体" w:eastAsia="黑体" w:hAnsiTheme="minorHAnsi"/>
        <w:b w:val="0"/>
        <w:i w:val="0"/>
        <w:sz w:val="21"/>
      </w:rPr>
    </w:lvl>
    <w:lvl w:ilvl="5" w:tentative="0">
      <w:start w:val="1"/>
      <w:numFmt w:val="decimal"/>
      <w:pStyle w:val="208"/>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5"/>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71"/>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73"/>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4"/>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9"/>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6"/>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6"/>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91"/>
      <w:lvlText w:val=""/>
      <w:lvlJc w:val="left"/>
      <w:pPr>
        <w:ind w:left="851" w:hanging="431"/>
      </w:pPr>
      <w:rPr>
        <w:rFonts w:hint="default" w:ascii="Symbol" w:hAnsi="Symbol"/>
        <w:sz w:val="21"/>
      </w:rPr>
    </w:lvl>
    <w:lvl w:ilvl="2" w:tentative="0">
      <w:start w:val="1"/>
      <w:numFmt w:val="bullet"/>
      <w:pStyle w:val="176"/>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5"/>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8"/>
      <w:lvlText w:val="%1)"/>
      <w:lvlJc w:val="left"/>
      <w:pPr>
        <w:tabs>
          <w:tab w:val="left" w:pos="851"/>
        </w:tabs>
        <w:ind w:left="851" w:hanging="426"/>
      </w:pPr>
      <w:rPr>
        <w:rFonts w:hint="eastAsia" w:ascii="宋体" w:hAnsi="Times New Roman" w:eastAsia="宋体"/>
        <w:sz w:val="21"/>
      </w:rPr>
    </w:lvl>
    <w:lvl w:ilvl="1" w:tentative="0">
      <w:start w:val="1"/>
      <w:numFmt w:val="decimal"/>
      <w:pStyle w:val="113"/>
      <w:lvlText w:val="%2)"/>
      <w:lvlJc w:val="left"/>
      <w:pPr>
        <w:tabs>
          <w:tab w:val="left" w:pos="1276"/>
        </w:tabs>
        <w:ind w:left="1276" w:hanging="425"/>
      </w:pPr>
      <w:rPr>
        <w:rFonts w:hint="eastAsia" w:ascii="宋体" w:hAnsi="Times New Roman" w:eastAsia="宋体"/>
        <w:sz w:val="21"/>
      </w:rPr>
    </w:lvl>
    <w:lvl w:ilvl="2" w:tentative="0">
      <w:start w:val="1"/>
      <w:numFmt w:val="decimal"/>
      <w:pStyle w:val="121"/>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202"/>
      <w:lvlText w:val="%1"/>
      <w:lvlJc w:val="left"/>
      <w:pPr>
        <w:ind w:left="420" w:hanging="420"/>
      </w:pPr>
      <w:rPr>
        <w:rFonts w:hint="eastAsia"/>
      </w:rPr>
    </w:lvl>
    <w:lvl w:ilvl="1" w:tentative="0">
      <w:start w:val="1"/>
      <w:numFmt w:val="decimal"/>
      <w:pStyle w:val="87"/>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7"/>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20"/>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7"/>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8"/>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203"/>
      <w:suff w:val="space"/>
      <w:lvlText w:val="%1"/>
      <w:lvlJc w:val="left"/>
      <w:pPr>
        <w:ind w:left="425" w:hanging="425"/>
      </w:pPr>
      <w:rPr>
        <w:rFonts w:hint="eastAsia"/>
      </w:rPr>
    </w:lvl>
    <w:lvl w:ilvl="1" w:tentative="0">
      <w:start w:val="1"/>
      <w:numFmt w:val="decimal"/>
      <w:pStyle w:val="81"/>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5"/>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72"/>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6"/>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93"/>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80"/>
      <w:suff w:val="nothing"/>
      <w:lvlText w:val="附录%1"/>
      <w:lvlJc w:val="left"/>
      <w:pPr>
        <w:ind w:left="0" w:firstLine="0"/>
      </w:pPr>
      <w:rPr>
        <w:rFonts w:hint="eastAsia"/>
        <w:spacing w:val="100"/>
      </w:rPr>
    </w:lvl>
    <w:lvl w:ilvl="1" w:tentative="0">
      <w:start w:val="1"/>
      <w:numFmt w:val="decimal"/>
      <w:pStyle w:val="82"/>
      <w:suff w:val="nothing"/>
      <w:lvlText w:val="%1.%2　"/>
      <w:lvlJc w:val="left"/>
      <w:pPr>
        <w:ind w:left="0" w:firstLine="0"/>
      </w:pPr>
      <w:rPr>
        <w:rFonts w:hint="eastAsia" w:ascii="黑体" w:eastAsia="黑体"/>
        <w:b w:val="0"/>
        <w:i w:val="0"/>
        <w:sz w:val="21"/>
      </w:rPr>
    </w:lvl>
    <w:lvl w:ilvl="2" w:tentative="0">
      <w:start w:val="1"/>
      <w:numFmt w:val="decimal"/>
      <w:pStyle w:val="83"/>
      <w:suff w:val="nothing"/>
      <w:lvlText w:val="%1.%2.%3　"/>
      <w:lvlJc w:val="left"/>
      <w:pPr>
        <w:ind w:left="0" w:firstLine="0"/>
      </w:pPr>
      <w:rPr>
        <w:rFonts w:hint="eastAsia" w:ascii="黑体" w:eastAsia="黑体"/>
        <w:b w:val="0"/>
        <w:i w:val="0"/>
        <w:sz w:val="21"/>
      </w:rPr>
    </w:lvl>
    <w:lvl w:ilvl="3" w:tentative="0">
      <w:start w:val="1"/>
      <w:numFmt w:val="decimal"/>
      <w:pStyle w:val="85"/>
      <w:suff w:val="nothing"/>
      <w:lvlText w:val="%1.%2.%3.%4　"/>
      <w:lvlJc w:val="left"/>
      <w:pPr>
        <w:ind w:left="0" w:firstLine="0"/>
      </w:pPr>
      <w:rPr>
        <w:rFonts w:hint="eastAsia" w:ascii="黑体" w:eastAsia="黑体"/>
        <w:b w:val="0"/>
        <w:i w:val="0"/>
        <w:sz w:val="21"/>
      </w:rPr>
    </w:lvl>
    <w:lvl w:ilvl="4" w:tentative="0">
      <w:start w:val="1"/>
      <w:numFmt w:val="decimal"/>
      <w:pStyle w:val="86"/>
      <w:suff w:val="nothing"/>
      <w:lvlText w:val="%1.%2.%3.%4.%5　"/>
      <w:lvlJc w:val="left"/>
      <w:pPr>
        <w:ind w:left="0" w:firstLine="0"/>
      </w:pPr>
      <w:rPr>
        <w:rFonts w:hint="eastAsia" w:ascii="黑体" w:eastAsia="黑体"/>
        <w:b w:val="0"/>
        <w:i w:val="0"/>
        <w:sz w:val="21"/>
      </w:rPr>
    </w:lvl>
    <w:lvl w:ilvl="5" w:tentative="0">
      <w:start w:val="1"/>
      <w:numFmt w:val="decimal"/>
      <w:pStyle w:val="88"/>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92"/>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101"/>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7"/>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6"/>
      <w:suff w:val="nothing"/>
      <w:lvlText w:val="%1"/>
      <w:lvlJc w:val="left"/>
      <w:pPr>
        <w:ind w:left="0" w:firstLine="0"/>
      </w:pPr>
      <w:rPr>
        <w:rFonts w:hint="eastAsia"/>
      </w:rPr>
    </w:lvl>
    <w:lvl w:ilvl="1" w:tentative="0">
      <w:start w:val="1"/>
      <w:numFmt w:val="decimal"/>
      <w:pStyle w:val="108"/>
      <w:suff w:val="nothing"/>
      <w:lvlText w:val="%1%2　"/>
      <w:lvlJc w:val="left"/>
      <w:pPr>
        <w:ind w:left="0" w:firstLine="0"/>
      </w:pPr>
      <w:rPr>
        <w:rFonts w:hint="eastAsia" w:ascii="黑体" w:eastAsia="黑体"/>
        <w:b w:val="0"/>
        <w:i w:val="0"/>
        <w:sz w:val="21"/>
      </w:rPr>
    </w:lvl>
    <w:lvl w:ilvl="2" w:tentative="0">
      <w:start w:val="1"/>
      <w:numFmt w:val="decimal"/>
      <w:pStyle w:val="109"/>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69"/>
      <w:suff w:val="nothing"/>
      <w:lvlText w:val="%1%2.%3.%4　"/>
      <w:lvlJc w:val="left"/>
      <w:pPr>
        <w:ind w:left="0" w:firstLine="0"/>
      </w:pPr>
      <w:rPr>
        <w:rFonts w:hint="eastAsia" w:ascii="黑体" w:eastAsia="黑体"/>
        <w:b w:val="0"/>
        <w:i w:val="0"/>
        <w:sz w:val="21"/>
      </w:rPr>
    </w:lvl>
    <w:lvl w:ilvl="4" w:tentative="0">
      <w:start w:val="1"/>
      <w:numFmt w:val="decimal"/>
      <w:pStyle w:val="98"/>
      <w:suff w:val="nothing"/>
      <w:lvlText w:val="%1%2.%3.%4.%5　"/>
      <w:lvlJc w:val="left"/>
      <w:pPr>
        <w:ind w:left="0" w:firstLine="0"/>
      </w:pPr>
      <w:rPr>
        <w:rFonts w:hint="eastAsia" w:ascii="黑体" w:eastAsia="黑体"/>
        <w:b w:val="0"/>
        <w:i w:val="0"/>
        <w:sz w:val="21"/>
      </w:rPr>
    </w:lvl>
    <w:lvl w:ilvl="5" w:tentative="0">
      <w:start w:val="1"/>
      <w:numFmt w:val="decimal"/>
      <w:pStyle w:val="102"/>
      <w:suff w:val="nothing"/>
      <w:lvlText w:val="%1%2.%3.%4.%5.%6　"/>
      <w:lvlJc w:val="left"/>
      <w:pPr>
        <w:ind w:left="0" w:firstLine="0"/>
      </w:pPr>
      <w:rPr>
        <w:rFonts w:hint="eastAsia" w:ascii="黑体" w:eastAsia="黑体"/>
        <w:b w:val="0"/>
        <w:i w:val="0"/>
        <w:sz w:val="21"/>
      </w:rPr>
    </w:lvl>
    <w:lvl w:ilvl="6" w:tentative="0">
      <w:start w:val="1"/>
      <w:numFmt w:val="decimal"/>
      <w:pStyle w:val="107"/>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83"/>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9"/>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43"/>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attachedTemplate r:id="rId1"/>
  <w:documentProtection w:edit="forms"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1OGEyZDhiZGQyOGU1YTM0YjFmZjVhNjg5NWM0ZDcifQ=="/>
  </w:docVars>
  <w:rsids>
    <w:rsidRoot w:val="001C2726"/>
    <w:rsid w:val="0000040A"/>
    <w:rsid w:val="00000A94"/>
    <w:rsid w:val="00001972"/>
    <w:rsid w:val="00001D9A"/>
    <w:rsid w:val="000027DD"/>
    <w:rsid w:val="00004A3C"/>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5029"/>
    <w:rsid w:val="0004650E"/>
    <w:rsid w:val="00047F28"/>
    <w:rsid w:val="000503AA"/>
    <w:rsid w:val="000506A1"/>
    <w:rsid w:val="00050AC5"/>
    <w:rsid w:val="000515DD"/>
    <w:rsid w:val="0005265A"/>
    <w:rsid w:val="000539DD"/>
    <w:rsid w:val="00053BD3"/>
    <w:rsid w:val="000556ED"/>
    <w:rsid w:val="00055FE2"/>
    <w:rsid w:val="0005616F"/>
    <w:rsid w:val="00060936"/>
    <w:rsid w:val="00060C2E"/>
    <w:rsid w:val="00061033"/>
    <w:rsid w:val="000619E9"/>
    <w:rsid w:val="000622D4"/>
    <w:rsid w:val="0006357D"/>
    <w:rsid w:val="00066268"/>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A5"/>
    <w:rsid w:val="000A19FC"/>
    <w:rsid w:val="000A296B"/>
    <w:rsid w:val="000A4E2D"/>
    <w:rsid w:val="000A6D6C"/>
    <w:rsid w:val="000A7311"/>
    <w:rsid w:val="000B05E9"/>
    <w:rsid w:val="000B060F"/>
    <w:rsid w:val="000B1592"/>
    <w:rsid w:val="000B1FF2"/>
    <w:rsid w:val="000B3CDA"/>
    <w:rsid w:val="000B6A0B"/>
    <w:rsid w:val="000B7D73"/>
    <w:rsid w:val="000C0C7E"/>
    <w:rsid w:val="000C0F6C"/>
    <w:rsid w:val="000C11DB"/>
    <w:rsid w:val="000C1492"/>
    <w:rsid w:val="000C2FBD"/>
    <w:rsid w:val="000C4B41"/>
    <w:rsid w:val="000C57D6"/>
    <w:rsid w:val="000C6362"/>
    <w:rsid w:val="000C7666"/>
    <w:rsid w:val="000D0A9C"/>
    <w:rsid w:val="000D1795"/>
    <w:rsid w:val="000D20F9"/>
    <w:rsid w:val="000D329A"/>
    <w:rsid w:val="000D4B9C"/>
    <w:rsid w:val="000D4EB6"/>
    <w:rsid w:val="000D6557"/>
    <w:rsid w:val="000D753B"/>
    <w:rsid w:val="000E2D7C"/>
    <w:rsid w:val="000E4C9E"/>
    <w:rsid w:val="000E6FD7"/>
    <w:rsid w:val="000F06E1"/>
    <w:rsid w:val="000F0E3C"/>
    <w:rsid w:val="000F19D5"/>
    <w:rsid w:val="000F48DC"/>
    <w:rsid w:val="000F4AEA"/>
    <w:rsid w:val="000F67E9"/>
    <w:rsid w:val="00103A16"/>
    <w:rsid w:val="00104926"/>
    <w:rsid w:val="00106A11"/>
    <w:rsid w:val="001117BA"/>
    <w:rsid w:val="00113B1E"/>
    <w:rsid w:val="0011711C"/>
    <w:rsid w:val="00121498"/>
    <w:rsid w:val="00122346"/>
    <w:rsid w:val="00124E4F"/>
    <w:rsid w:val="001260B7"/>
    <w:rsid w:val="001265CB"/>
    <w:rsid w:val="0013053D"/>
    <w:rsid w:val="001321C6"/>
    <w:rsid w:val="001325C4"/>
    <w:rsid w:val="00133010"/>
    <w:rsid w:val="001338EE"/>
    <w:rsid w:val="00133AAE"/>
    <w:rsid w:val="00135323"/>
    <w:rsid w:val="001356C4"/>
    <w:rsid w:val="00141114"/>
    <w:rsid w:val="00142969"/>
    <w:rsid w:val="00143F12"/>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0EA8"/>
    <w:rsid w:val="0017340B"/>
    <w:rsid w:val="00173FB1"/>
    <w:rsid w:val="00175B38"/>
    <w:rsid w:val="00176DFD"/>
    <w:rsid w:val="001849BE"/>
    <w:rsid w:val="001852C9"/>
    <w:rsid w:val="00190087"/>
    <w:rsid w:val="0019022B"/>
    <w:rsid w:val="001913C4"/>
    <w:rsid w:val="0019348F"/>
    <w:rsid w:val="00193A07"/>
    <w:rsid w:val="00194C95"/>
    <w:rsid w:val="00195C34"/>
    <w:rsid w:val="00196DF9"/>
    <w:rsid w:val="00196EF5"/>
    <w:rsid w:val="001A1A53"/>
    <w:rsid w:val="001A234A"/>
    <w:rsid w:val="001A26EC"/>
    <w:rsid w:val="001A4CF3"/>
    <w:rsid w:val="001B06E8"/>
    <w:rsid w:val="001B53C6"/>
    <w:rsid w:val="001B71D0"/>
    <w:rsid w:val="001B71EE"/>
    <w:rsid w:val="001C04A8"/>
    <w:rsid w:val="001C2726"/>
    <w:rsid w:val="001C2C03"/>
    <w:rsid w:val="001C42F7"/>
    <w:rsid w:val="001C49E5"/>
    <w:rsid w:val="001C680C"/>
    <w:rsid w:val="001C7FEA"/>
    <w:rsid w:val="001D0499"/>
    <w:rsid w:val="001D0BBE"/>
    <w:rsid w:val="001D0ED4"/>
    <w:rsid w:val="001D212F"/>
    <w:rsid w:val="001D29D7"/>
    <w:rsid w:val="001D2DE7"/>
    <w:rsid w:val="001D411C"/>
    <w:rsid w:val="001D62C7"/>
    <w:rsid w:val="001E1B6A"/>
    <w:rsid w:val="001E2484"/>
    <w:rsid w:val="001E3CC4"/>
    <w:rsid w:val="001E4882"/>
    <w:rsid w:val="001E73AB"/>
    <w:rsid w:val="001F092D"/>
    <w:rsid w:val="001F143A"/>
    <w:rsid w:val="001F1605"/>
    <w:rsid w:val="001F2508"/>
    <w:rsid w:val="001F4816"/>
    <w:rsid w:val="001F69B4"/>
    <w:rsid w:val="001F77C7"/>
    <w:rsid w:val="00200183"/>
    <w:rsid w:val="00200333"/>
    <w:rsid w:val="0020107D"/>
    <w:rsid w:val="00202AA4"/>
    <w:rsid w:val="002031F7"/>
    <w:rsid w:val="002040E6"/>
    <w:rsid w:val="0020527B"/>
    <w:rsid w:val="00205F2C"/>
    <w:rsid w:val="00210B15"/>
    <w:rsid w:val="002140A5"/>
    <w:rsid w:val="002142EA"/>
    <w:rsid w:val="002204BB"/>
    <w:rsid w:val="00221B79"/>
    <w:rsid w:val="00221C6B"/>
    <w:rsid w:val="002253A1"/>
    <w:rsid w:val="00225CF8"/>
    <w:rsid w:val="0022794E"/>
    <w:rsid w:val="00232C42"/>
    <w:rsid w:val="00233D64"/>
    <w:rsid w:val="0023482A"/>
    <w:rsid w:val="002359CB"/>
    <w:rsid w:val="00241C12"/>
    <w:rsid w:val="00243540"/>
    <w:rsid w:val="0024372B"/>
    <w:rsid w:val="002437F9"/>
    <w:rsid w:val="0024497B"/>
    <w:rsid w:val="0024515B"/>
    <w:rsid w:val="00246021"/>
    <w:rsid w:val="0024666E"/>
    <w:rsid w:val="00247F52"/>
    <w:rsid w:val="00250B25"/>
    <w:rsid w:val="00250BBE"/>
    <w:rsid w:val="0025112D"/>
    <w:rsid w:val="002515C2"/>
    <w:rsid w:val="0025194F"/>
    <w:rsid w:val="0026148A"/>
    <w:rsid w:val="00261E34"/>
    <w:rsid w:val="00262696"/>
    <w:rsid w:val="00263D25"/>
    <w:rsid w:val="002643C3"/>
    <w:rsid w:val="00264A0C"/>
    <w:rsid w:val="00264FD5"/>
    <w:rsid w:val="00266098"/>
    <w:rsid w:val="00266EEB"/>
    <w:rsid w:val="00267A70"/>
    <w:rsid w:val="00267EF4"/>
    <w:rsid w:val="00270CB8"/>
    <w:rsid w:val="00272B08"/>
    <w:rsid w:val="00277FA6"/>
    <w:rsid w:val="00281BB8"/>
    <w:rsid w:val="00281E9E"/>
    <w:rsid w:val="002822F3"/>
    <w:rsid w:val="00282405"/>
    <w:rsid w:val="00285170"/>
    <w:rsid w:val="00285361"/>
    <w:rsid w:val="0029094A"/>
    <w:rsid w:val="00292D60"/>
    <w:rsid w:val="00293B30"/>
    <w:rsid w:val="00294D34"/>
    <w:rsid w:val="00294E3B"/>
    <w:rsid w:val="00295603"/>
    <w:rsid w:val="00296193"/>
    <w:rsid w:val="00296C66"/>
    <w:rsid w:val="00296EBE"/>
    <w:rsid w:val="002974E3"/>
    <w:rsid w:val="002A084B"/>
    <w:rsid w:val="002A1260"/>
    <w:rsid w:val="002A1589"/>
    <w:rsid w:val="002A1608"/>
    <w:rsid w:val="002A17D8"/>
    <w:rsid w:val="002A25DC"/>
    <w:rsid w:val="002A3AAB"/>
    <w:rsid w:val="002A4CEA"/>
    <w:rsid w:val="002A5977"/>
    <w:rsid w:val="002A5A13"/>
    <w:rsid w:val="002A757F"/>
    <w:rsid w:val="002A7F44"/>
    <w:rsid w:val="002B0C40"/>
    <w:rsid w:val="002B1966"/>
    <w:rsid w:val="002B4508"/>
    <w:rsid w:val="002B5779"/>
    <w:rsid w:val="002B5C88"/>
    <w:rsid w:val="002B7332"/>
    <w:rsid w:val="002B7F51"/>
    <w:rsid w:val="002C09E7"/>
    <w:rsid w:val="002C1E06"/>
    <w:rsid w:val="002C3F07"/>
    <w:rsid w:val="002C5278"/>
    <w:rsid w:val="002C5EAE"/>
    <w:rsid w:val="002C7EBB"/>
    <w:rsid w:val="002D06C1"/>
    <w:rsid w:val="002D15B7"/>
    <w:rsid w:val="002D2BE5"/>
    <w:rsid w:val="002D42B5"/>
    <w:rsid w:val="002D4F1A"/>
    <w:rsid w:val="002D6EC6"/>
    <w:rsid w:val="002D79AC"/>
    <w:rsid w:val="002E039D"/>
    <w:rsid w:val="002E4D5A"/>
    <w:rsid w:val="002E4F07"/>
    <w:rsid w:val="002E6326"/>
    <w:rsid w:val="002F30E0"/>
    <w:rsid w:val="002F35E4"/>
    <w:rsid w:val="002F3730"/>
    <w:rsid w:val="002F38E1"/>
    <w:rsid w:val="002F5EC2"/>
    <w:rsid w:val="002F7AF6"/>
    <w:rsid w:val="00300E63"/>
    <w:rsid w:val="00302F5F"/>
    <w:rsid w:val="0030441D"/>
    <w:rsid w:val="00306063"/>
    <w:rsid w:val="003060F9"/>
    <w:rsid w:val="0030695E"/>
    <w:rsid w:val="00313B85"/>
    <w:rsid w:val="0031437D"/>
    <w:rsid w:val="00317988"/>
    <w:rsid w:val="00320478"/>
    <w:rsid w:val="00321C80"/>
    <w:rsid w:val="003221B4"/>
    <w:rsid w:val="0032258D"/>
    <w:rsid w:val="00322E62"/>
    <w:rsid w:val="00324D13"/>
    <w:rsid w:val="00324EDD"/>
    <w:rsid w:val="00326BF1"/>
    <w:rsid w:val="0033130C"/>
    <w:rsid w:val="00331D2C"/>
    <w:rsid w:val="003331E4"/>
    <w:rsid w:val="00334B0F"/>
    <w:rsid w:val="003367E9"/>
    <w:rsid w:val="00336C64"/>
    <w:rsid w:val="00337162"/>
    <w:rsid w:val="0034194F"/>
    <w:rsid w:val="00344605"/>
    <w:rsid w:val="003474AA"/>
    <w:rsid w:val="00350D1D"/>
    <w:rsid w:val="00352C83"/>
    <w:rsid w:val="003615D2"/>
    <w:rsid w:val="00362EC8"/>
    <w:rsid w:val="0036429C"/>
    <w:rsid w:val="00364A53"/>
    <w:rsid w:val="003654CB"/>
    <w:rsid w:val="00365AA9"/>
    <w:rsid w:val="00365F86"/>
    <w:rsid w:val="00365F87"/>
    <w:rsid w:val="00366E89"/>
    <w:rsid w:val="003705F4"/>
    <w:rsid w:val="003706C3"/>
    <w:rsid w:val="00370D58"/>
    <w:rsid w:val="00371316"/>
    <w:rsid w:val="0037318F"/>
    <w:rsid w:val="0037472B"/>
    <w:rsid w:val="00375FC7"/>
    <w:rsid w:val="00376713"/>
    <w:rsid w:val="00380814"/>
    <w:rsid w:val="00380AE9"/>
    <w:rsid w:val="0038173A"/>
    <w:rsid w:val="00381815"/>
    <w:rsid w:val="003819AF"/>
    <w:rsid w:val="003820E9"/>
    <w:rsid w:val="00382DE7"/>
    <w:rsid w:val="00384FFC"/>
    <w:rsid w:val="003872FC"/>
    <w:rsid w:val="00387ADC"/>
    <w:rsid w:val="00390020"/>
    <w:rsid w:val="003903D6"/>
    <w:rsid w:val="00390EE6"/>
    <w:rsid w:val="0039118F"/>
    <w:rsid w:val="00392AD7"/>
    <w:rsid w:val="00392B0D"/>
    <w:rsid w:val="003938D9"/>
    <w:rsid w:val="00394376"/>
    <w:rsid w:val="003943FF"/>
    <w:rsid w:val="00395320"/>
    <w:rsid w:val="003974EB"/>
    <w:rsid w:val="00397CC5"/>
    <w:rsid w:val="003A1582"/>
    <w:rsid w:val="003A4077"/>
    <w:rsid w:val="003B09AD"/>
    <w:rsid w:val="003B17F5"/>
    <w:rsid w:val="003B1F18"/>
    <w:rsid w:val="003B5BF0"/>
    <w:rsid w:val="003B60BF"/>
    <w:rsid w:val="003B6413"/>
    <w:rsid w:val="003B6BE3"/>
    <w:rsid w:val="003C010C"/>
    <w:rsid w:val="003C0A6C"/>
    <w:rsid w:val="003C14F8"/>
    <w:rsid w:val="003C4840"/>
    <w:rsid w:val="003C5A43"/>
    <w:rsid w:val="003D0519"/>
    <w:rsid w:val="003D0FF6"/>
    <w:rsid w:val="003D11D5"/>
    <w:rsid w:val="003D262C"/>
    <w:rsid w:val="003D28ED"/>
    <w:rsid w:val="003D6D61"/>
    <w:rsid w:val="003D78C4"/>
    <w:rsid w:val="003E091D"/>
    <w:rsid w:val="003E1C53"/>
    <w:rsid w:val="003E2A69"/>
    <w:rsid w:val="003E2D49"/>
    <w:rsid w:val="003E2FD4"/>
    <w:rsid w:val="003E3706"/>
    <w:rsid w:val="003E49F6"/>
    <w:rsid w:val="003E660F"/>
    <w:rsid w:val="003F0841"/>
    <w:rsid w:val="003F1777"/>
    <w:rsid w:val="003F23D3"/>
    <w:rsid w:val="003F3F08"/>
    <w:rsid w:val="003F42BD"/>
    <w:rsid w:val="003F49F1"/>
    <w:rsid w:val="003F4D49"/>
    <w:rsid w:val="003F6272"/>
    <w:rsid w:val="00400E72"/>
    <w:rsid w:val="00401400"/>
    <w:rsid w:val="00404869"/>
    <w:rsid w:val="0040497D"/>
    <w:rsid w:val="00404DD1"/>
    <w:rsid w:val="00405884"/>
    <w:rsid w:val="00407D39"/>
    <w:rsid w:val="00411C51"/>
    <w:rsid w:val="00412E64"/>
    <w:rsid w:val="0041477A"/>
    <w:rsid w:val="004167A3"/>
    <w:rsid w:val="00422064"/>
    <w:rsid w:val="00431E7D"/>
    <w:rsid w:val="00432DAA"/>
    <w:rsid w:val="00432DE5"/>
    <w:rsid w:val="00434305"/>
    <w:rsid w:val="00435DF7"/>
    <w:rsid w:val="00437900"/>
    <w:rsid w:val="00437A5F"/>
    <w:rsid w:val="0044083F"/>
    <w:rsid w:val="00441956"/>
    <w:rsid w:val="00441AE7"/>
    <w:rsid w:val="004444E3"/>
    <w:rsid w:val="00445574"/>
    <w:rsid w:val="004457B9"/>
    <w:rsid w:val="004467FB"/>
    <w:rsid w:val="00452D6B"/>
    <w:rsid w:val="00454484"/>
    <w:rsid w:val="0045517B"/>
    <w:rsid w:val="00463B77"/>
    <w:rsid w:val="00463C7B"/>
    <w:rsid w:val="004644A6"/>
    <w:rsid w:val="004659BD"/>
    <w:rsid w:val="00465D52"/>
    <w:rsid w:val="0046640D"/>
    <w:rsid w:val="00470775"/>
    <w:rsid w:val="004746B1"/>
    <w:rsid w:val="0047583F"/>
    <w:rsid w:val="00475DE8"/>
    <w:rsid w:val="00481C44"/>
    <w:rsid w:val="00484936"/>
    <w:rsid w:val="00485C89"/>
    <w:rsid w:val="00486BE3"/>
    <w:rsid w:val="004905E4"/>
    <w:rsid w:val="00490A89"/>
    <w:rsid w:val="00490AB4"/>
    <w:rsid w:val="00492F02"/>
    <w:rsid w:val="004939AE"/>
    <w:rsid w:val="004A12DF"/>
    <w:rsid w:val="004A1BA8"/>
    <w:rsid w:val="004A4B57"/>
    <w:rsid w:val="004A5C94"/>
    <w:rsid w:val="004A63FA"/>
    <w:rsid w:val="004B0272"/>
    <w:rsid w:val="004B20FF"/>
    <w:rsid w:val="004B2701"/>
    <w:rsid w:val="004B2E1B"/>
    <w:rsid w:val="004B3AA8"/>
    <w:rsid w:val="004B3E93"/>
    <w:rsid w:val="004B4C90"/>
    <w:rsid w:val="004C1FBC"/>
    <w:rsid w:val="004C3F1D"/>
    <w:rsid w:val="004C458D"/>
    <w:rsid w:val="004C7556"/>
    <w:rsid w:val="004C7E8B"/>
    <w:rsid w:val="004C7E9D"/>
    <w:rsid w:val="004C7F67"/>
    <w:rsid w:val="004D076D"/>
    <w:rsid w:val="004D0EF1"/>
    <w:rsid w:val="004D2253"/>
    <w:rsid w:val="004D4406"/>
    <w:rsid w:val="004D6A36"/>
    <w:rsid w:val="004D70D3"/>
    <w:rsid w:val="004D7C42"/>
    <w:rsid w:val="004E0465"/>
    <w:rsid w:val="004E127B"/>
    <w:rsid w:val="004E1446"/>
    <w:rsid w:val="004E1C0A"/>
    <w:rsid w:val="004E30C5"/>
    <w:rsid w:val="004E4AA5"/>
    <w:rsid w:val="004E4AEE"/>
    <w:rsid w:val="004E59E3"/>
    <w:rsid w:val="004E67C0"/>
    <w:rsid w:val="004F115A"/>
    <w:rsid w:val="004F1C4F"/>
    <w:rsid w:val="004F38A2"/>
    <w:rsid w:val="004F391A"/>
    <w:rsid w:val="004F3CFB"/>
    <w:rsid w:val="004F6456"/>
    <w:rsid w:val="004F696E"/>
    <w:rsid w:val="004F6C71"/>
    <w:rsid w:val="00500A86"/>
    <w:rsid w:val="00501139"/>
    <w:rsid w:val="0050363E"/>
    <w:rsid w:val="005039BC"/>
    <w:rsid w:val="005043BB"/>
    <w:rsid w:val="0050494E"/>
    <w:rsid w:val="00504A3D"/>
    <w:rsid w:val="00505767"/>
    <w:rsid w:val="005073F0"/>
    <w:rsid w:val="005079C4"/>
    <w:rsid w:val="00510A7B"/>
    <w:rsid w:val="00510C19"/>
    <w:rsid w:val="00511DAD"/>
    <w:rsid w:val="00512F6E"/>
    <w:rsid w:val="00513038"/>
    <w:rsid w:val="00514174"/>
    <w:rsid w:val="00516088"/>
    <w:rsid w:val="00516B0B"/>
    <w:rsid w:val="00521963"/>
    <w:rsid w:val="005220EC"/>
    <w:rsid w:val="00523F95"/>
    <w:rsid w:val="00524D65"/>
    <w:rsid w:val="00525B16"/>
    <w:rsid w:val="00533D04"/>
    <w:rsid w:val="00534804"/>
    <w:rsid w:val="00534BDF"/>
    <w:rsid w:val="005354EA"/>
    <w:rsid w:val="0053585F"/>
    <w:rsid w:val="00535D0F"/>
    <w:rsid w:val="00535EC4"/>
    <w:rsid w:val="00535ED9"/>
    <w:rsid w:val="0053692B"/>
    <w:rsid w:val="00541853"/>
    <w:rsid w:val="00543BDA"/>
    <w:rsid w:val="005441CC"/>
    <w:rsid w:val="005477E4"/>
    <w:rsid w:val="005479DA"/>
    <w:rsid w:val="00547BCC"/>
    <w:rsid w:val="0055013B"/>
    <w:rsid w:val="00551F6F"/>
    <w:rsid w:val="005539CD"/>
    <w:rsid w:val="00555044"/>
    <w:rsid w:val="00561475"/>
    <w:rsid w:val="005624C1"/>
    <w:rsid w:val="0056487B"/>
    <w:rsid w:val="00564FB9"/>
    <w:rsid w:val="00573D9E"/>
    <w:rsid w:val="0057598A"/>
    <w:rsid w:val="005801E3"/>
    <w:rsid w:val="00581802"/>
    <w:rsid w:val="005836A8"/>
    <w:rsid w:val="0058409C"/>
    <w:rsid w:val="00584262"/>
    <w:rsid w:val="005858E6"/>
    <w:rsid w:val="00586630"/>
    <w:rsid w:val="00587ADD"/>
    <w:rsid w:val="0059114A"/>
    <w:rsid w:val="0059441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1D93"/>
    <w:rsid w:val="005C29B8"/>
    <w:rsid w:val="005C5F21"/>
    <w:rsid w:val="005C7156"/>
    <w:rsid w:val="005D0568"/>
    <w:rsid w:val="005D0C75"/>
    <w:rsid w:val="005D28E7"/>
    <w:rsid w:val="005D2DF8"/>
    <w:rsid w:val="005D4171"/>
    <w:rsid w:val="005D6A95"/>
    <w:rsid w:val="005D6B2C"/>
    <w:rsid w:val="005D6D9C"/>
    <w:rsid w:val="005E0B8E"/>
    <w:rsid w:val="005E167E"/>
    <w:rsid w:val="005E1CF7"/>
    <w:rsid w:val="005E2335"/>
    <w:rsid w:val="005E34CA"/>
    <w:rsid w:val="005E3C18"/>
    <w:rsid w:val="005E6812"/>
    <w:rsid w:val="005E75C7"/>
    <w:rsid w:val="005E7881"/>
    <w:rsid w:val="005E78E0"/>
    <w:rsid w:val="005F0D9C"/>
    <w:rsid w:val="005F284E"/>
    <w:rsid w:val="005F7F2D"/>
    <w:rsid w:val="00600E7B"/>
    <w:rsid w:val="006015CE"/>
    <w:rsid w:val="00604784"/>
    <w:rsid w:val="00606419"/>
    <w:rsid w:val="00607D29"/>
    <w:rsid w:val="00612952"/>
    <w:rsid w:val="00612B9B"/>
    <w:rsid w:val="00614CC1"/>
    <w:rsid w:val="006155B8"/>
    <w:rsid w:val="00615A9D"/>
    <w:rsid w:val="00617387"/>
    <w:rsid w:val="006205D6"/>
    <w:rsid w:val="00622729"/>
    <w:rsid w:val="006252D8"/>
    <w:rsid w:val="006259BC"/>
    <w:rsid w:val="0062636B"/>
    <w:rsid w:val="00627145"/>
    <w:rsid w:val="00632182"/>
    <w:rsid w:val="00632AE0"/>
    <w:rsid w:val="00633C17"/>
    <w:rsid w:val="00634D9E"/>
    <w:rsid w:val="006362AD"/>
    <w:rsid w:val="00636E3E"/>
    <w:rsid w:val="006373CC"/>
    <w:rsid w:val="006379F7"/>
    <w:rsid w:val="00637E4D"/>
    <w:rsid w:val="00640271"/>
    <w:rsid w:val="00640620"/>
    <w:rsid w:val="00641A1F"/>
    <w:rsid w:val="00645904"/>
    <w:rsid w:val="00651ACB"/>
    <w:rsid w:val="00651C47"/>
    <w:rsid w:val="00652AB2"/>
    <w:rsid w:val="006537A0"/>
    <w:rsid w:val="00653AFE"/>
    <w:rsid w:val="00653FED"/>
    <w:rsid w:val="00654EC0"/>
    <w:rsid w:val="0065525B"/>
    <w:rsid w:val="00655D4F"/>
    <w:rsid w:val="00656D29"/>
    <w:rsid w:val="006640E5"/>
    <w:rsid w:val="006646F1"/>
    <w:rsid w:val="00664929"/>
    <w:rsid w:val="00664F62"/>
    <w:rsid w:val="006655E1"/>
    <w:rsid w:val="00671D0D"/>
    <w:rsid w:val="00672060"/>
    <w:rsid w:val="00672BFD"/>
    <w:rsid w:val="006770F4"/>
    <w:rsid w:val="006774E0"/>
    <w:rsid w:val="00677A84"/>
    <w:rsid w:val="0068026D"/>
    <w:rsid w:val="00680A27"/>
    <w:rsid w:val="006816A4"/>
    <w:rsid w:val="006819B8"/>
    <w:rsid w:val="006840A6"/>
    <w:rsid w:val="006850CD"/>
    <w:rsid w:val="00685AAB"/>
    <w:rsid w:val="00687EF3"/>
    <w:rsid w:val="006A07AA"/>
    <w:rsid w:val="006A0866"/>
    <w:rsid w:val="006A25E5"/>
    <w:rsid w:val="006A2B46"/>
    <w:rsid w:val="006A336D"/>
    <w:rsid w:val="006A37B9"/>
    <w:rsid w:val="006B2236"/>
    <w:rsid w:val="006B2672"/>
    <w:rsid w:val="006B33E1"/>
    <w:rsid w:val="006B54BF"/>
    <w:rsid w:val="006B5F44"/>
    <w:rsid w:val="006B5F90"/>
    <w:rsid w:val="006B62E4"/>
    <w:rsid w:val="006C1BBA"/>
    <w:rsid w:val="006C2079"/>
    <w:rsid w:val="006C5A62"/>
    <w:rsid w:val="006C5D68"/>
    <w:rsid w:val="006C6976"/>
    <w:rsid w:val="006C6DD0"/>
    <w:rsid w:val="006C7A97"/>
    <w:rsid w:val="006D04EA"/>
    <w:rsid w:val="006D16C4"/>
    <w:rsid w:val="006D3D3E"/>
    <w:rsid w:val="006D3E96"/>
    <w:rsid w:val="006D4515"/>
    <w:rsid w:val="006D4BB1"/>
    <w:rsid w:val="006D6593"/>
    <w:rsid w:val="006E5FC3"/>
    <w:rsid w:val="006E6028"/>
    <w:rsid w:val="006F03A8"/>
    <w:rsid w:val="006F2ACA"/>
    <w:rsid w:val="006F2ADC"/>
    <w:rsid w:val="006F2BFE"/>
    <w:rsid w:val="006F31E9"/>
    <w:rsid w:val="006F6284"/>
    <w:rsid w:val="007002C5"/>
    <w:rsid w:val="0070203E"/>
    <w:rsid w:val="00704387"/>
    <w:rsid w:val="00704957"/>
    <w:rsid w:val="00704AB8"/>
    <w:rsid w:val="0070529F"/>
    <w:rsid w:val="00707669"/>
    <w:rsid w:val="00711CBA"/>
    <w:rsid w:val="00711FB5"/>
    <w:rsid w:val="00712A01"/>
    <w:rsid w:val="00713AA5"/>
    <w:rsid w:val="00714F58"/>
    <w:rsid w:val="00722FBF"/>
    <w:rsid w:val="00722FC2"/>
    <w:rsid w:val="00724E1B"/>
    <w:rsid w:val="00725888"/>
    <w:rsid w:val="00725949"/>
    <w:rsid w:val="00727FA2"/>
    <w:rsid w:val="00731EBB"/>
    <w:rsid w:val="007322D9"/>
    <w:rsid w:val="00732BC0"/>
    <w:rsid w:val="007349B9"/>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C48"/>
    <w:rsid w:val="00756EDF"/>
    <w:rsid w:val="007600E3"/>
    <w:rsid w:val="00765C43"/>
    <w:rsid w:val="00765CA2"/>
    <w:rsid w:val="00765EFB"/>
    <w:rsid w:val="00766CDB"/>
    <w:rsid w:val="007671CA"/>
    <w:rsid w:val="00767C61"/>
    <w:rsid w:val="0077008A"/>
    <w:rsid w:val="00770256"/>
    <w:rsid w:val="00770D0F"/>
    <w:rsid w:val="00773C1F"/>
    <w:rsid w:val="007740B3"/>
    <w:rsid w:val="00774336"/>
    <w:rsid w:val="00774DA4"/>
    <w:rsid w:val="00776599"/>
    <w:rsid w:val="0078114B"/>
    <w:rsid w:val="00781DD2"/>
    <w:rsid w:val="007821D8"/>
    <w:rsid w:val="00783ECF"/>
    <w:rsid w:val="0078413A"/>
    <w:rsid w:val="00787D14"/>
    <w:rsid w:val="007952BB"/>
    <w:rsid w:val="007959E8"/>
    <w:rsid w:val="00795E9C"/>
    <w:rsid w:val="007A0521"/>
    <w:rsid w:val="007A2E12"/>
    <w:rsid w:val="007A3475"/>
    <w:rsid w:val="007A41C8"/>
    <w:rsid w:val="007A4A56"/>
    <w:rsid w:val="007A54CE"/>
    <w:rsid w:val="007A6FD9"/>
    <w:rsid w:val="007A7FFA"/>
    <w:rsid w:val="007B04EB"/>
    <w:rsid w:val="007B0D4F"/>
    <w:rsid w:val="007B3FBA"/>
    <w:rsid w:val="007B5609"/>
    <w:rsid w:val="007B5A3D"/>
    <w:rsid w:val="007B5B95"/>
    <w:rsid w:val="007B68EA"/>
    <w:rsid w:val="007B7453"/>
    <w:rsid w:val="007C0846"/>
    <w:rsid w:val="007C2D89"/>
    <w:rsid w:val="007C3CEA"/>
    <w:rsid w:val="007C4593"/>
    <w:rsid w:val="007C5309"/>
    <w:rsid w:val="007C6069"/>
    <w:rsid w:val="007C60D4"/>
    <w:rsid w:val="007C75A0"/>
    <w:rsid w:val="007D06C4"/>
    <w:rsid w:val="007D1352"/>
    <w:rsid w:val="007D2508"/>
    <w:rsid w:val="007D290D"/>
    <w:rsid w:val="007D2F74"/>
    <w:rsid w:val="007D346A"/>
    <w:rsid w:val="007D6518"/>
    <w:rsid w:val="007D76BD"/>
    <w:rsid w:val="007E04D2"/>
    <w:rsid w:val="007E0BF1"/>
    <w:rsid w:val="007E1C60"/>
    <w:rsid w:val="007E2E47"/>
    <w:rsid w:val="007F0ED8"/>
    <w:rsid w:val="007F0F63"/>
    <w:rsid w:val="007F75CE"/>
    <w:rsid w:val="008013A4"/>
    <w:rsid w:val="00802082"/>
    <w:rsid w:val="008027CE"/>
    <w:rsid w:val="00802F42"/>
    <w:rsid w:val="0080397F"/>
    <w:rsid w:val="00804383"/>
    <w:rsid w:val="00804BB7"/>
    <w:rsid w:val="00804D41"/>
    <w:rsid w:val="00810257"/>
    <w:rsid w:val="008104F5"/>
    <w:rsid w:val="00811072"/>
    <w:rsid w:val="00811369"/>
    <w:rsid w:val="00815419"/>
    <w:rsid w:val="008163C8"/>
    <w:rsid w:val="008164A1"/>
    <w:rsid w:val="00817290"/>
    <w:rsid w:val="00817325"/>
    <w:rsid w:val="008209E6"/>
    <w:rsid w:val="00823303"/>
    <w:rsid w:val="008233B2"/>
    <w:rsid w:val="00823A9F"/>
    <w:rsid w:val="00823C85"/>
    <w:rsid w:val="00825138"/>
    <w:rsid w:val="008269DD"/>
    <w:rsid w:val="00830621"/>
    <w:rsid w:val="0083348C"/>
    <w:rsid w:val="008373D3"/>
    <w:rsid w:val="00840617"/>
    <w:rsid w:val="00840F84"/>
    <w:rsid w:val="00842A47"/>
    <w:rsid w:val="00843C13"/>
    <w:rsid w:val="008454F8"/>
    <w:rsid w:val="00846131"/>
    <w:rsid w:val="00850DFA"/>
    <w:rsid w:val="0085173A"/>
    <w:rsid w:val="008564C3"/>
    <w:rsid w:val="008603CE"/>
    <w:rsid w:val="008620FC"/>
    <w:rsid w:val="008627A5"/>
    <w:rsid w:val="00863E05"/>
    <w:rsid w:val="00865ACA"/>
    <w:rsid w:val="00865D28"/>
    <w:rsid w:val="00865F85"/>
    <w:rsid w:val="00867956"/>
    <w:rsid w:val="00867C10"/>
    <w:rsid w:val="00870439"/>
    <w:rsid w:val="00870DA1"/>
    <w:rsid w:val="00874821"/>
    <w:rsid w:val="008759B9"/>
    <w:rsid w:val="00875FDB"/>
    <w:rsid w:val="00883F93"/>
    <w:rsid w:val="00884DB3"/>
    <w:rsid w:val="00885035"/>
    <w:rsid w:val="00885A9D"/>
    <w:rsid w:val="008864F6"/>
    <w:rsid w:val="0089049D"/>
    <w:rsid w:val="00891ACD"/>
    <w:rsid w:val="008928C9"/>
    <w:rsid w:val="008930CB"/>
    <w:rsid w:val="008931CB"/>
    <w:rsid w:val="008938DC"/>
    <w:rsid w:val="008939CB"/>
    <w:rsid w:val="00893FD1"/>
    <w:rsid w:val="00894836"/>
    <w:rsid w:val="00895172"/>
    <w:rsid w:val="008952EA"/>
    <w:rsid w:val="00895680"/>
    <w:rsid w:val="00896DFF"/>
    <w:rsid w:val="0089762C"/>
    <w:rsid w:val="008A1893"/>
    <w:rsid w:val="008A3151"/>
    <w:rsid w:val="008A57E6"/>
    <w:rsid w:val="008A6F81"/>
    <w:rsid w:val="008A769A"/>
    <w:rsid w:val="008B0C9C"/>
    <w:rsid w:val="008B117F"/>
    <w:rsid w:val="008B166D"/>
    <w:rsid w:val="008B17F4"/>
    <w:rsid w:val="008B26DA"/>
    <w:rsid w:val="008B3615"/>
    <w:rsid w:val="008B4AC4"/>
    <w:rsid w:val="008B50C8"/>
    <w:rsid w:val="008B5281"/>
    <w:rsid w:val="008B7E05"/>
    <w:rsid w:val="008C1797"/>
    <w:rsid w:val="008C1901"/>
    <w:rsid w:val="008C219C"/>
    <w:rsid w:val="008C475E"/>
    <w:rsid w:val="008C619A"/>
    <w:rsid w:val="008C7353"/>
    <w:rsid w:val="008D0CE8"/>
    <w:rsid w:val="008D2D1D"/>
    <w:rsid w:val="008D453D"/>
    <w:rsid w:val="008D53AD"/>
    <w:rsid w:val="008D562B"/>
    <w:rsid w:val="008D5733"/>
    <w:rsid w:val="008D622B"/>
    <w:rsid w:val="008D666C"/>
    <w:rsid w:val="008D7B54"/>
    <w:rsid w:val="008E0C9D"/>
    <w:rsid w:val="008E1648"/>
    <w:rsid w:val="008E1B3E"/>
    <w:rsid w:val="008E1BC9"/>
    <w:rsid w:val="008E2319"/>
    <w:rsid w:val="008E4BB6"/>
    <w:rsid w:val="008E5518"/>
    <w:rsid w:val="008E5C60"/>
    <w:rsid w:val="008E6A84"/>
    <w:rsid w:val="008F0CDC"/>
    <w:rsid w:val="008F17A3"/>
    <w:rsid w:val="008F1ED3"/>
    <w:rsid w:val="008F31CA"/>
    <w:rsid w:val="008F4C29"/>
    <w:rsid w:val="008F5220"/>
    <w:rsid w:val="008F5924"/>
    <w:rsid w:val="008F6A8D"/>
    <w:rsid w:val="008F70BD"/>
    <w:rsid w:val="008F788F"/>
    <w:rsid w:val="008F7EA2"/>
    <w:rsid w:val="00902722"/>
    <w:rsid w:val="009027BC"/>
    <w:rsid w:val="009054E5"/>
    <w:rsid w:val="009062E6"/>
    <w:rsid w:val="00911BE5"/>
    <w:rsid w:val="00913B50"/>
    <w:rsid w:val="00913CA9"/>
    <w:rsid w:val="009145AE"/>
    <w:rsid w:val="009146CE"/>
    <w:rsid w:val="00914CA7"/>
    <w:rsid w:val="00915C3E"/>
    <w:rsid w:val="009161A8"/>
    <w:rsid w:val="009245F5"/>
    <w:rsid w:val="009249EC"/>
    <w:rsid w:val="009267A1"/>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1E99"/>
    <w:rsid w:val="00974D6B"/>
    <w:rsid w:val="00977010"/>
    <w:rsid w:val="00977D02"/>
    <w:rsid w:val="009809BB"/>
    <w:rsid w:val="0098364B"/>
    <w:rsid w:val="009911AF"/>
    <w:rsid w:val="00991875"/>
    <w:rsid w:val="00991F92"/>
    <w:rsid w:val="00992985"/>
    <w:rsid w:val="00993889"/>
    <w:rsid w:val="0099551B"/>
    <w:rsid w:val="00996999"/>
    <w:rsid w:val="00997BF1"/>
    <w:rsid w:val="009A089C"/>
    <w:rsid w:val="009A118E"/>
    <w:rsid w:val="009A21CD"/>
    <w:rsid w:val="009A278C"/>
    <w:rsid w:val="009A2BC2"/>
    <w:rsid w:val="009A3CFB"/>
    <w:rsid w:val="009A42C1"/>
    <w:rsid w:val="009A5429"/>
    <w:rsid w:val="009A72AD"/>
    <w:rsid w:val="009B09E0"/>
    <w:rsid w:val="009B0BC5"/>
    <w:rsid w:val="009B1247"/>
    <w:rsid w:val="009B6029"/>
    <w:rsid w:val="009B6971"/>
    <w:rsid w:val="009C012B"/>
    <w:rsid w:val="009C27F1"/>
    <w:rsid w:val="009C3152"/>
    <w:rsid w:val="009C4ADE"/>
    <w:rsid w:val="009C4CFA"/>
    <w:rsid w:val="009C5070"/>
    <w:rsid w:val="009D112C"/>
    <w:rsid w:val="009D47FA"/>
    <w:rsid w:val="009D4C5B"/>
    <w:rsid w:val="009D50D2"/>
    <w:rsid w:val="009D6BCA"/>
    <w:rsid w:val="009E0F62"/>
    <w:rsid w:val="009E4A58"/>
    <w:rsid w:val="009E541C"/>
    <w:rsid w:val="009E571E"/>
    <w:rsid w:val="009E5A2D"/>
    <w:rsid w:val="009E5AB2"/>
    <w:rsid w:val="009E6219"/>
    <w:rsid w:val="009E6527"/>
    <w:rsid w:val="009F02EC"/>
    <w:rsid w:val="009F03B3"/>
    <w:rsid w:val="00A0096C"/>
    <w:rsid w:val="00A00B32"/>
    <w:rsid w:val="00A01757"/>
    <w:rsid w:val="00A028C0"/>
    <w:rsid w:val="00A02BAE"/>
    <w:rsid w:val="00A0449B"/>
    <w:rsid w:val="00A06A6B"/>
    <w:rsid w:val="00A07E47"/>
    <w:rsid w:val="00A12744"/>
    <w:rsid w:val="00A129D0"/>
    <w:rsid w:val="00A12C33"/>
    <w:rsid w:val="00A12E9F"/>
    <w:rsid w:val="00A138BA"/>
    <w:rsid w:val="00A14C8E"/>
    <w:rsid w:val="00A15142"/>
    <w:rsid w:val="00A153D9"/>
    <w:rsid w:val="00A15F09"/>
    <w:rsid w:val="00A169B6"/>
    <w:rsid w:val="00A2271D"/>
    <w:rsid w:val="00A22D9E"/>
    <w:rsid w:val="00A237D5"/>
    <w:rsid w:val="00A30EFC"/>
    <w:rsid w:val="00A31984"/>
    <w:rsid w:val="00A32D73"/>
    <w:rsid w:val="00A33409"/>
    <w:rsid w:val="00A3367B"/>
    <w:rsid w:val="00A3597D"/>
    <w:rsid w:val="00A36DD1"/>
    <w:rsid w:val="00A4006C"/>
    <w:rsid w:val="00A40091"/>
    <w:rsid w:val="00A4030F"/>
    <w:rsid w:val="00A41C79"/>
    <w:rsid w:val="00A41CB5"/>
    <w:rsid w:val="00A42CDF"/>
    <w:rsid w:val="00A4452E"/>
    <w:rsid w:val="00A4472C"/>
    <w:rsid w:val="00A44E69"/>
    <w:rsid w:val="00A4661E"/>
    <w:rsid w:val="00A51C23"/>
    <w:rsid w:val="00A55BD6"/>
    <w:rsid w:val="00A55D50"/>
    <w:rsid w:val="00A57142"/>
    <w:rsid w:val="00A648CD"/>
    <w:rsid w:val="00A6537A"/>
    <w:rsid w:val="00A67866"/>
    <w:rsid w:val="00A70B07"/>
    <w:rsid w:val="00A723F8"/>
    <w:rsid w:val="00A73819"/>
    <w:rsid w:val="00A77CCB"/>
    <w:rsid w:val="00A814B7"/>
    <w:rsid w:val="00A83D8D"/>
    <w:rsid w:val="00A8446B"/>
    <w:rsid w:val="00A8473F"/>
    <w:rsid w:val="00A862D6"/>
    <w:rsid w:val="00A8715E"/>
    <w:rsid w:val="00A9295B"/>
    <w:rsid w:val="00A93B09"/>
    <w:rsid w:val="00A952D7"/>
    <w:rsid w:val="00A963F7"/>
    <w:rsid w:val="00A96AD8"/>
    <w:rsid w:val="00AA01B8"/>
    <w:rsid w:val="00AA052C"/>
    <w:rsid w:val="00AA1E45"/>
    <w:rsid w:val="00AA4286"/>
    <w:rsid w:val="00AA456B"/>
    <w:rsid w:val="00AA57F5"/>
    <w:rsid w:val="00AA672E"/>
    <w:rsid w:val="00AA6EC9"/>
    <w:rsid w:val="00AB6309"/>
    <w:rsid w:val="00AB6C5F"/>
    <w:rsid w:val="00AB7129"/>
    <w:rsid w:val="00AC0C22"/>
    <w:rsid w:val="00AC27A6"/>
    <w:rsid w:val="00AC30F7"/>
    <w:rsid w:val="00AC3A5A"/>
    <w:rsid w:val="00AC4D95"/>
    <w:rsid w:val="00AC5DF4"/>
    <w:rsid w:val="00AD0AEF"/>
    <w:rsid w:val="00AD1113"/>
    <w:rsid w:val="00AD11B7"/>
    <w:rsid w:val="00AD137B"/>
    <w:rsid w:val="00AD1A94"/>
    <w:rsid w:val="00AD1C05"/>
    <w:rsid w:val="00AD4126"/>
    <w:rsid w:val="00AD4128"/>
    <w:rsid w:val="00AD421C"/>
    <w:rsid w:val="00AD4428"/>
    <w:rsid w:val="00AD44FA"/>
    <w:rsid w:val="00AE070A"/>
    <w:rsid w:val="00AE101C"/>
    <w:rsid w:val="00AE12FC"/>
    <w:rsid w:val="00AE37E5"/>
    <w:rsid w:val="00AE5EB4"/>
    <w:rsid w:val="00AF0C18"/>
    <w:rsid w:val="00AF0FDA"/>
    <w:rsid w:val="00AF28E8"/>
    <w:rsid w:val="00AF47C5"/>
    <w:rsid w:val="00AF5398"/>
    <w:rsid w:val="00B049AF"/>
    <w:rsid w:val="00B07242"/>
    <w:rsid w:val="00B10534"/>
    <w:rsid w:val="00B113DB"/>
    <w:rsid w:val="00B11D8A"/>
    <w:rsid w:val="00B12981"/>
    <w:rsid w:val="00B147DD"/>
    <w:rsid w:val="00B156FD"/>
    <w:rsid w:val="00B21F61"/>
    <w:rsid w:val="00B261F1"/>
    <w:rsid w:val="00B265BC"/>
    <w:rsid w:val="00B31D62"/>
    <w:rsid w:val="00B31FB1"/>
    <w:rsid w:val="00B33952"/>
    <w:rsid w:val="00B33C5E"/>
    <w:rsid w:val="00B342F4"/>
    <w:rsid w:val="00B34369"/>
    <w:rsid w:val="00B34DC2"/>
    <w:rsid w:val="00B378E5"/>
    <w:rsid w:val="00B4346D"/>
    <w:rsid w:val="00B440F4"/>
    <w:rsid w:val="00B447A5"/>
    <w:rsid w:val="00B4654C"/>
    <w:rsid w:val="00B47293"/>
    <w:rsid w:val="00B50E50"/>
    <w:rsid w:val="00B52120"/>
    <w:rsid w:val="00B54ABC"/>
    <w:rsid w:val="00B55E38"/>
    <w:rsid w:val="00B56D68"/>
    <w:rsid w:val="00B56FBE"/>
    <w:rsid w:val="00B60ACF"/>
    <w:rsid w:val="00B62B58"/>
    <w:rsid w:val="00B65149"/>
    <w:rsid w:val="00B660EA"/>
    <w:rsid w:val="00B66567"/>
    <w:rsid w:val="00B66F00"/>
    <w:rsid w:val="00B66F52"/>
    <w:rsid w:val="00B66FE5"/>
    <w:rsid w:val="00B710C6"/>
    <w:rsid w:val="00B72880"/>
    <w:rsid w:val="00B73B30"/>
    <w:rsid w:val="00B758BF"/>
    <w:rsid w:val="00B77EC8"/>
    <w:rsid w:val="00B827A6"/>
    <w:rsid w:val="00B831CE"/>
    <w:rsid w:val="00B840FA"/>
    <w:rsid w:val="00B86677"/>
    <w:rsid w:val="00B87131"/>
    <w:rsid w:val="00B90FC7"/>
    <w:rsid w:val="00B939B1"/>
    <w:rsid w:val="00B96D40"/>
    <w:rsid w:val="00B97386"/>
    <w:rsid w:val="00BA2096"/>
    <w:rsid w:val="00BA263B"/>
    <w:rsid w:val="00BA42B2"/>
    <w:rsid w:val="00BA58D4"/>
    <w:rsid w:val="00BA5B9E"/>
    <w:rsid w:val="00BA7C9A"/>
    <w:rsid w:val="00BB4486"/>
    <w:rsid w:val="00BB56A8"/>
    <w:rsid w:val="00BB5F8F"/>
    <w:rsid w:val="00BB657A"/>
    <w:rsid w:val="00BC1A4E"/>
    <w:rsid w:val="00BC5DC7"/>
    <w:rsid w:val="00BC6B8B"/>
    <w:rsid w:val="00BC73D8"/>
    <w:rsid w:val="00BC7BA8"/>
    <w:rsid w:val="00BD52D7"/>
    <w:rsid w:val="00BD5AD2"/>
    <w:rsid w:val="00BD7953"/>
    <w:rsid w:val="00BE1622"/>
    <w:rsid w:val="00BE22F3"/>
    <w:rsid w:val="00BE5B52"/>
    <w:rsid w:val="00BE7B8D"/>
    <w:rsid w:val="00BF0993"/>
    <w:rsid w:val="00BF10A9"/>
    <w:rsid w:val="00BF1703"/>
    <w:rsid w:val="00BF1B43"/>
    <w:rsid w:val="00BF231C"/>
    <w:rsid w:val="00BF2487"/>
    <w:rsid w:val="00BF2B48"/>
    <w:rsid w:val="00BF51E5"/>
    <w:rsid w:val="00BF74A6"/>
    <w:rsid w:val="00C013AD"/>
    <w:rsid w:val="00C019E0"/>
    <w:rsid w:val="00C0344A"/>
    <w:rsid w:val="00C04904"/>
    <w:rsid w:val="00C0544A"/>
    <w:rsid w:val="00C056B3"/>
    <w:rsid w:val="00C103E5"/>
    <w:rsid w:val="00C13319"/>
    <w:rsid w:val="00C13EE9"/>
    <w:rsid w:val="00C140E3"/>
    <w:rsid w:val="00C20E50"/>
    <w:rsid w:val="00C21540"/>
    <w:rsid w:val="00C21906"/>
    <w:rsid w:val="00C21BFA"/>
    <w:rsid w:val="00C24C8D"/>
    <w:rsid w:val="00C25FE2"/>
    <w:rsid w:val="00C26B53"/>
    <w:rsid w:val="00C279B2"/>
    <w:rsid w:val="00C33E50"/>
    <w:rsid w:val="00C34C20"/>
    <w:rsid w:val="00C35A3E"/>
    <w:rsid w:val="00C42130"/>
    <w:rsid w:val="00C423A4"/>
    <w:rsid w:val="00C43516"/>
    <w:rsid w:val="00C44BF5"/>
    <w:rsid w:val="00C450D5"/>
    <w:rsid w:val="00C521D6"/>
    <w:rsid w:val="00C55232"/>
    <w:rsid w:val="00C553A4"/>
    <w:rsid w:val="00C55A06"/>
    <w:rsid w:val="00C55D03"/>
    <w:rsid w:val="00C5612C"/>
    <w:rsid w:val="00C601BC"/>
    <w:rsid w:val="00C6329F"/>
    <w:rsid w:val="00C63340"/>
    <w:rsid w:val="00C643F9"/>
    <w:rsid w:val="00C64E95"/>
    <w:rsid w:val="00C67E82"/>
    <w:rsid w:val="00C71372"/>
    <w:rsid w:val="00C72410"/>
    <w:rsid w:val="00C7287F"/>
    <w:rsid w:val="00C77870"/>
    <w:rsid w:val="00C80CB8"/>
    <w:rsid w:val="00C819F8"/>
    <w:rsid w:val="00C822FE"/>
    <w:rsid w:val="00C8248C"/>
    <w:rsid w:val="00C82D3B"/>
    <w:rsid w:val="00C84E33"/>
    <w:rsid w:val="00C86D6F"/>
    <w:rsid w:val="00C905FC"/>
    <w:rsid w:val="00C92D03"/>
    <w:rsid w:val="00C9319C"/>
    <w:rsid w:val="00C941DC"/>
    <w:rsid w:val="00C9435D"/>
    <w:rsid w:val="00C94DF2"/>
    <w:rsid w:val="00C96741"/>
    <w:rsid w:val="00CA2D1B"/>
    <w:rsid w:val="00CA375D"/>
    <w:rsid w:val="00CA662A"/>
    <w:rsid w:val="00CA7AFD"/>
    <w:rsid w:val="00CA7C3C"/>
    <w:rsid w:val="00CB0189"/>
    <w:rsid w:val="00CB0BA2"/>
    <w:rsid w:val="00CB1472"/>
    <w:rsid w:val="00CB1A42"/>
    <w:rsid w:val="00CB1B0C"/>
    <w:rsid w:val="00CB2609"/>
    <w:rsid w:val="00CB2C0B"/>
    <w:rsid w:val="00CB517D"/>
    <w:rsid w:val="00CC038D"/>
    <w:rsid w:val="00CC08DB"/>
    <w:rsid w:val="00CC39FF"/>
    <w:rsid w:val="00CC3C2F"/>
    <w:rsid w:val="00CC4AC8"/>
    <w:rsid w:val="00CC5233"/>
    <w:rsid w:val="00CC5636"/>
    <w:rsid w:val="00CC5DE6"/>
    <w:rsid w:val="00CC62A1"/>
    <w:rsid w:val="00CC6E4E"/>
    <w:rsid w:val="00CC6FE8"/>
    <w:rsid w:val="00CC7202"/>
    <w:rsid w:val="00CC7698"/>
    <w:rsid w:val="00CC76DD"/>
    <w:rsid w:val="00CD11B0"/>
    <w:rsid w:val="00CD139B"/>
    <w:rsid w:val="00CD2808"/>
    <w:rsid w:val="00CD28BF"/>
    <w:rsid w:val="00CD38B9"/>
    <w:rsid w:val="00CD4092"/>
    <w:rsid w:val="00CD4A20"/>
    <w:rsid w:val="00CD50A1"/>
    <w:rsid w:val="00CD519E"/>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34F6"/>
    <w:rsid w:val="00D14460"/>
    <w:rsid w:val="00D1489E"/>
    <w:rsid w:val="00D20737"/>
    <w:rsid w:val="00D21E81"/>
    <w:rsid w:val="00D223DE"/>
    <w:rsid w:val="00D232CA"/>
    <w:rsid w:val="00D2368D"/>
    <w:rsid w:val="00D25E37"/>
    <w:rsid w:val="00D2661A"/>
    <w:rsid w:val="00D269F1"/>
    <w:rsid w:val="00D27582"/>
    <w:rsid w:val="00D27916"/>
    <w:rsid w:val="00D27EC4"/>
    <w:rsid w:val="00D32719"/>
    <w:rsid w:val="00D33333"/>
    <w:rsid w:val="00D352A2"/>
    <w:rsid w:val="00D4162B"/>
    <w:rsid w:val="00D4514F"/>
    <w:rsid w:val="00D451E2"/>
    <w:rsid w:val="00D45E89"/>
    <w:rsid w:val="00D45E8D"/>
    <w:rsid w:val="00D466AE"/>
    <w:rsid w:val="00D4734F"/>
    <w:rsid w:val="00D51BF3"/>
    <w:rsid w:val="00D55BAD"/>
    <w:rsid w:val="00D612E0"/>
    <w:rsid w:val="00D66846"/>
    <w:rsid w:val="00D675FB"/>
    <w:rsid w:val="00D707EB"/>
    <w:rsid w:val="00D71F25"/>
    <w:rsid w:val="00D72A9C"/>
    <w:rsid w:val="00D77031"/>
    <w:rsid w:val="00D81DFE"/>
    <w:rsid w:val="00D84436"/>
    <w:rsid w:val="00D84941"/>
    <w:rsid w:val="00D84FA1"/>
    <w:rsid w:val="00D851F0"/>
    <w:rsid w:val="00D86DB7"/>
    <w:rsid w:val="00D926D0"/>
    <w:rsid w:val="00D93030"/>
    <w:rsid w:val="00D9321C"/>
    <w:rsid w:val="00D94F7C"/>
    <w:rsid w:val="00D950E1"/>
    <w:rsid w:val="00D952A6"/>
    <w:rsid w:val="00D97F99"/>
    <w:rsid w:val="00DA175D"/>
    <w:rsid w:val="00DA1E08"/>
    <w:rsid w:val="00DA24F8"/>
    <w:rsid w:val="00DA28E8"/>
    <w:rsid w:val="00DA38D3"/>
    <w:rsid w:val="00DA3932"/>
    <w:rsid w:val="00DA3AFC"/>
    <w:rsid w:val="00DA64F8"/>
    <w:rsid w:val="00DA6C15"/>
    <w:rsid w:val="00DB0258"/>
    <w:rsid w:val="00DB38EE"/>
    <w:rsid w:val="00DB498B"/>
    <w:rsid w:val="00DB66CA"/>
    <w:rsid w:val="00DB6BCA"/>
    <w:rsid w:val="00DB73F7"/>
    <w:rsid w:val="00DC0321"/>
    <w:rsid w:val="00DC3067"/>
    <w:rsid w:val="00DC370B"/>
    <w:rsid w:val="00DC51CB"/>
    <w:rsid w:val="00DC5B90"/>
    <w:rsid w:val="00DD00FF"/>
    <w:rsid w:val="00DD0619"/>
    <w:rsid w:val="00DD07FB"/>
    <w:rsid w:val="00DD25C6"/>
    <w:rsid w:val="00DD4FE5"/>
    <w:rsid w:val="00DD54B0"/>
    <w:rsid w:val="00DD57EE"/>
    <w:rsid w:val="00DD6BCC"/>
    <w:rsid w:val="00DE0A4B"/>
    <w:rsid w:val="00DE2410"/>
    <w:rsid w:val="00DE2939"/>
    <w:rsid w:val="00DE47C4"/>
    <w:rsid w:val="00DE6E81"/>
    <w:rsid w:val="00DE703F"/>
    <w:rsid w:val="00DE7595"/>
    <w:rsid w:val="00DF1961"/>
    <w:rsid w:val="00DF2985"/>
    <w:rsid w:val="00DF44DE"/>
    <w:rsid w:val="00DF528C"/>
    <w:rsid w:val="00E01138"/>
    <w:rsid w:val="00E02DFB"/>
    <w:rsid w:val="00E030F9"/>
    <w:rsid w:val="00E0311A"/>
    <w:rsid w:val="00E03138"/>
    <w:rsid w:val="00E06404"/>
    <w:rsid w:val="00E11A85"/>
    <w:rsid w:val="00E12495"/>
    <w:rsid w:val="00E15CCD"/>
    <w:rsid w:val="00E2021F"/>
    <w:rsid w:val="00E202EF"/>
    <w:rsid w:val="00E210B5"/>
    <w:rsid w:val="00E2298D"/>
    <w:rsid w:val="00E24316"/>
    <w:rsid w:val="00E2552F"/>
    <w:rsid w:val="00E27943"/>
    <w:rsid w:val="00E3137A"/>
    <w:rsid w:val="00E317FB"/>
    <w:rsid w:val="00E32CCF"/>
    <w:rsid w:val="00E34A98"/>
    <w:rsid w:val="00E35020"/>
    <w:rsid w:val="00E35D1E"/>
    <w:rsid w:val="00E364F9"/>
    <w:rsid w:val="00E365FA"/>
    <w:rsid w:val="00E36789"/>
    <w:rsid w:val="00E44285"/>
    <w:rsid w:val="00E44A83"/>
    <w:rsid w:val="00E502C1"/>
    <w:rsid w:val="00E502DD"/>
    <w:rsid w:val="00E50D3A"/>
    <w:rsid w:val="00E51387"/>
    <w:rsid w:val="00E51E68"/>
    <w:rsid w:val="00E52EFD"/>
    <w:rsid w:val="00E5408A"/>
    <w:rsid w:val="00E56800"/>
    <w:rsid w:val="00E60C63"/>
    <w:rsid w:val="00E62D7A"/>
    <w:rsid w:val="00E62FF9"/>
    <w:rsid w:val="00E635D6"/>
    <w:rsid w:val="00E639BC"/>
    <w:rsid w:val="00E664CC"/>
    <w:rsid w:val="00E70388"/>
    <w:rsid w:val="00E70F92"/>
    <w:rsid w:val="00E73F89"/>
    <w:rsid w:val="00E74C54"/>
    <w:rsid w:val="00E75076"/>
    <w:rsid w:val="00E75854"/>
    <w:rsid w:val="00E77A03"/>
    <w:rsid w:val="00E822E8"/>
    <w:rsid w:val="00E82554"/>
    <w:rsid w:val="00E82606"/>
    <w:rsid w:val="00E826E2"/>
    <w:rsid w:val="00E846C8"/>
    <w:rsid w:val="00E84957"/>
    <w:rsid w:val="00E84A55"/>
    <w:rsid w:val="00E85BFF"/>
    <w:rsid w:val="00E90391"/>
    <w:rsid w:val="00E906C2"/>
    <w:rsid w:val="00E9311F"/>
    <w:rsid w:val="00E934D1"/>
    <w:rsid w:val="00E94AF0"/>
    <w:rsid w:val="00E95294"/>
    <w:rsid w:val="00E95D13"/>
    <w:rsid w:val="00E95DD3"/>
    <w:rsid w:val="00E969D5"/>
    <w:rsid w:val="00EA42DC"/>
    <w:rsid w:val="00EA58D1"/>
    <w:rsid w:val="00EA61BC"/>
    <w:rsid w:val="00EA681A"/>
    <w:rsid w:val="00EA735B"/>
    <w:rsid w:val="00EB1E69"/>
    <w:rsid w:val="00EB2086"/>
    <w:rsid w:val="00EB5EDF"/>
    <w:rsid w:val="00EB60FE"/>
    <w:rsid w:val="00EB74DB"/>
    <w:rsid w:val="00EB763E"/>
    <w:rsid w:val="00EC15F7"/>
    <w:rsid w:val="00EC276C"/>
    <w:rsid w:val="00EC3F6F"/>
    <w:rsid w:val="00EC5359"/>
    <w:rsid w:val="00EC562A"/>
    <w:rsid w:val="00EC7673"/>
    <w:rsid w:val="00ED067A"/>
    <w:rsid w:val="00ED0754"/>
    <w:rsid w:val="00ED2B50"/>
    <w:rsid w:val="00EE0350"/>
    <w:rsid w:val="00EE0719"/>
    <w:rsid w:val="00EE0E80"/>
    <w:rsid w:val="00EE2C6E"/>
    <w:rsid w:val="00EE613F"/>
    <w:rsid w:val="00EE7295"/>
    <w:rsid w:val="00EE7869"/>
    <w:rsid w:val="00EF054A"/>
    <w:rsid w:val="00EF1F46"/>
    <w:rsid w:val="00EF3235"/>
    <w:rsid w:val="00EF5538"/>
    <w:rsid w:val="00EF7E72"/>
    <w:rsid w:val="00F049E3"/>
    <w:rsid w:val="00F06D37"/>
    <w:rsid w:val="00F07B9D"/>
    <w:rsid w:val="00F11586"/>
    <w:rsid w:val="00F1183B"/>
    <w:rsid w:val="00F11C9F"/>
    <w:rsid w:val="00F12263"/>
    <w:rsid w:val="00F13B72"/>
    <w:rsid w:val="00F1409D"/>
    <w:rsid w:val="00F14214"/>
    <w:rsid w:val="00F1543F"/>
    <w:rsid w:val="00F157A9"/>
    <w:rsid w:val="00F16FA8"/>
    <w:rsid w:val="00F2525F"/>
    <w:rsid w:val="00F25BB6"/>
    <w:rsid w:val="00F26B7E"/>
    <w:rsid w:val="00F27A3B"/>
    <w:rsid w:val="00F33817"/>
    <w:rsid w:val="00F420D5"/>
    <w:rsid w:val="00F451EA"/>
    <w:rsid w:val="00F45447"/>
    <w:rsid w:val="00F456C6"/>
    <w:rsid w:val="00F4577B"/>
    <w:rsid w:val="00F46496"/>
    <w:rsid w:val="00F474D0"/>
    <w:rsid w:val="00F50179"/>
    <w:rsid w:val="00F515EE"/>
    <w:rsid w:val="00F53A40"/>
    <w:rsid w:val="00F56511"/>
    <w:rsid w:val="00F6194E"/>
    <w:rsid w:val="00F623AC"/>
    <w:rsid w:val="00F6412A"/>
    <w:rsid w:val="00F64E16"/>
    <w:rsid w:val="00F65893"/>
    <w:rsid w:val="00F66A0E"/>
    <w:rsid w:val="00F66A4A"/>
    <w:rsid w:val="00F71E22"/>
    <w:rsid w:val="00F71E41"/>
    <w:rsid w:val="00F72142"/>
    <w:rsid w:val="00F7258D"/>
    <w:rsid w:val="00F72AE7"/>
    <w:rsid w:val="00F833BA"/>
    <w:rsid w:val="00F84FD0"/>
    <w:rsid w:val="00F859A8"/>
    <w:rsid w:val="00F86D87"/>
    <w:rsid w:val="00F9108B"/>
    <w:rsid w:val="00F91349"/>
    <w:rsid w:val="00F93A8A"/>
    <w:rsid w:val="00F95248"/>
    <w:rsid w:val="00F956A9"/>
    <w:rsid w:val="00F963ED"/>
    <w:rsid w:val="00F966CF"/>
    <w:rsid w:val="00F96CAE"/>
    <w:rsid w:val="00F97C99"/>
    <w:rsid w:val="00FA108E"/>
    <w:rsid w:val="00FA662D"/>
    <w:rsid w:val="00FA73B1"/>
    <w:rsid w:val="00FB0CB9"/>
    <w:rsid w:val="00FB231D"/>
    <w:rsid w:val="00FB3E52"/>
    <w:rsid w:val="00FB40ED"/>
    <w:rsid w:val="00FB45F1"/>
    <w:rsid w:val="00FB4A72"/>
    <w:rsid w:val="00FB5379"/>
    <w:rsid w:val="00FB54E8"/>
    <w:rsid w:val="00FB5E14"/>
    <w:rsid w:val="00FB7054"/>
    <w:rsid w:val="00FC17B7"/>
    <w:rsid w:val="00FC2CB7"/>
    <w:rsid w:val="00FC4090"/>
    <w:rsid w:val="00FC55B4"/>
    <w:rsid w:val="00FD00E6"/>
    <w:rsid w:val="00FD09A1"/>
    <w:rsid w:val="00FD2A7C"/>
    <w:rsid w:val="00FD4A8B"/>
    <w:rsid w:val="00FD59EB"/>
    <w:rsid w:val="00FD7299"/>
    <w:rsid w:val="00FE1FBE"/>
    <w:rsid w:val="00FE228D"/>
    <w:rsid w:val="00FE3901"/>
    <w:rsid w:val="00FE39D3"/>
    <w:rsid w:val="00FE4BCE"/>
    <w:rsid w:val="00FE54AE"/>
    <w:rsid w:val="00FE576A"/>
    <w:rsid w:val="00FE7596"/>
    <w:rsid w:val="00FE7E79"/>
    <w:rsid w:val="00FF0AB1"/>
    <w:rsid w:val="00FF142D"/>
    <w:rsid w:val="00FF3E7D"/>
    <w:rsid w:val="00FF5B99"/>
    <w:rsid w:val="00FF730C"/>
    <w:rsid w:val="00FF73F4"/>
    <w:rsid w:val="00FF7CE4"/>
    <w:rsid w:val="00FF7E39"/>
    <w:rsid w:val="01A96151"/>
    <w:rsid w:val="043C2E16"/>
    <w:rsid w:val="045312A6"/>
    <w:rsid w:val="068858F5"/>
    <w:rsid w:val="075229E7"/>
    <w:rsid w:val="090276B4"/>
    <w:rsid w:val="0B0B35D9"/>
    <w:rsid w:val="0D1A46D8"/>
    <w:rsid w:val="10233BE8"/>
    <w:rsid w:val="120C7C36"/>
    <w:rsid w:val="128F1C67"/>
    <w:rsid w:val="14B22D17"/>
    <w:rsid w:val="152B6F63"/>
    <w:rsid w:val="15C26F8A"/>
    <w:rsid w:val="17A02079"/>
    <w:rsid w:val="194C7CC5"/>
    <w:rsid w:val="19F42522"/>
    <w:rsid w:val="1A7228E0"/>
    <w:rsid w:val="1AF57E02"/>
    <w:rsid w:val="1E116D00"/>
    <w:rsid w:val="20F73F11"/>
    <w:rsid w:val="21300D67"/>
    <w:rsid w:val="21997832"/>
    <w:rsid w:val="22452F4E"/>
    <w:rsid w:val="22603830"/>
    <w:rsid w:val="234F417B"/>
    <w:rsid w:val="23E566FB"/>
    <w:rsid w:val="24BA0541"/>
    <w:rsid w:val="2BFC08E3"/>
    <w:rsid w:val="2C9D153E"/>
    <w:rsid w:val="2CD73EC3"/>
    <w:rsid w:val="2CD80877"/>
    <w:rsid w:val="2D487DFF"/>
    <w:rsid w:val="2F881BE1"/>
    <w:rsid w:val="305E1ACA"/>
    <w:rsid w:val="31B41A25"/>
    <w:rsid w:val="33A87C8F"/>
    <w:rsid w:val="35B0581D"/>
    <w:rsid w:val="3641163C"/>
    <w:rsid w:val="36A0385B"/>
    <w:rsid w:val="381D4D59"/>
    <w:rsid w:val="389E51DD"/>
    <w:rsid w:val="38A547BD"/>
    <w:rsid w:val="39CB5A4E"/>
    <w:rsid w:val="3A9C7A56"/>
    <w:rsid w:val="3AEB3430"/>
    <w:rsid w:val="3DA26190"/>
    <w:rsid w:val="40D47466"/>
    <w:rsid w:val="48D0050E"/>
    <w:rsid w:val="4AD43AD3"/>
    <w:rsid w:val="541A2C24"/>
    <w:rsid w:val="54DB3719"/>
    <w:rsid w:val="5733320D"/>
    <w:rsid w:val="57964995"/>
    <w:rsid w:val="59583E60"/>
    <w:rsid w:val="5A5D05FC"/>
    <w:rsid w:val="5AA47FD9"/>
    <w:rsid w:val="5C02364D"/>
    <w:rsid w:val="5F3F0F01"/>
    <w:rsid w:val="61074888"/>
    <w:rsid w:val="61A66569"/>
    <w:rsid w:val="620078E5"/>
    <w:rsid w:val="64D46F7B"/>
    <w:rsid w:val="64EA4D8E"/>
    <w:rsid w:val="659356F5"/>
    <w:rsid w:val="695F6016"/>
    <w:rsid w:val="6AA1487C"/>
    <w:rsid w:val="6BFC1CC3"/>
    <w:rsid w:val="6D005ACF"/>
    <w:rsid w:val="6F917427"/>
    <w:rsid w:val="70820965"/>
    <w:rsid w:val="70BA1EAD"/>
    <w:rsid w:val="72575C3A"/>
    <w:rsid w:val="736A5E0C"/>
    <w:rsid w:val="74314F9D"/>
    <w:rsid w:val="766E08C9"/>
    <w:rsid w:val="77062217"/>
    <w:rsid w:val="78B611AB"/>
    <w:rsid w:val="7D3C379C"/>
    <w:rsid w:val="7E152E18"/>
    <w:rsid w:val="7FCE43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8"/>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paragraph" w:styleId="5">
    <w:name w:val="heading 4"/>
    <w:basedOn w:val="1"/>
    <w:next w:val="1"/>
    <w:link w:val="41"/>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42"/>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43"/>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4"/>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5"/>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6"/>
    <w:qFormat/>
    <w:uiPriority w:val="0"/>
    <w:pPr>
      <w:keepNext/>
      <w:keepLines/>
      <w:adjustRightInd/>
      <w:spacing w:before="240" w:after="64" w:line="320" w:lineRule="auto"/>
      <w:outlineLvl w:val="8"/>
    </w:pPr>
    <w:rPr>
      <w:rFonts w:ascii="Arial" w:hAnsi="Arial" w:eastAsia="黑体"/>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annotation text"/>
    <w:basedOn w:val="1"/>
    <w:link w:val="234"/>
    <w:semiHidden/>
    <w:qFormat/>
    <w:uiPriority w:val="0"/>
    <w:pPr>
      <w:adjustRightInd/>
      <w:spacing w:line="240" w:lineRule="auto"/>
      <w:jc w:val="left"/>
    </w:pPr>
    <w:rPr>
      <w:rFonts w:ascii="Times New Roman" w:hAnsi="Times New Roman"/>
      <w:szCs w:val="24"/>
    </w:rPr>
  </w:style>
  <w:style w:type="paragraph" w:styleId="14">
    <w:name w:val="Body Text"/>
    <w:basedOn w:val="1"/>
    <w:link w:val="90"/>
    <w:qFormat/>
    <w:uiPriority w:val="0"/>
    <w:pPr>
      <w:spacing w:after="120"/>
    </w:pPr>
  </w:style>
  <w:style w:type="paragraph" w:styleId="15">
    <w:name w:val="toc 5"/>
    <w:basedOn w:val="1"/>
    <w:next w:val="1"/>
    <w:unhideWhenUsed/>
    <w:qFormat/>
    <w:uiPriority w:val="39"/>
    <w:pPr>
      <w:ind w:left="839"/>
    </w:pPr>
    <w:rPr>
      <w:rFonts w:ascii="宋体"/>
    </w:rPr>
  </w:style>
  <w:style w:type="paragraph" w:styleId="16">
    <w:name w:val="toc 3"/>
    <w:basedOn w:val="1"/>
    <w:next w:val="1"/>
    <w:unhideWhenUsed/>
    <w:qFormat/>
    <w:uiPriority w:val="39"/>
    <w:pPr>
      <w:spacing w:line="300" w:lineRule="exact"/>
      <w:ind w:left="420"/>
    </w:pPr>
    <w:rPr>
      <w:rFonts w:ascii="宋体"/>
    </w:rPr>
  </w:style>
  <w:style w:type="paragraph" w:styleId="17">
    <w:name w:val="Balloon Text"/>
    <w:basedOn w:val="1"/>
    <w:link w:val="49"/>
    <w:semiHidden/>
    <w:unhideWhenUsed/>
    <w:qFormat/>
    <w:uiPriority w:val="99"/>
    <w:rPr>
      <w:sz w:val="18"/>
      <w:szCs w:val="18"/>
    </w:rPr>
  </w:style>
  <w:style w:type="paragraph" w:styleId="18">
    <w:name w:val="footer"/>
    <w:basedOn w:val="1"/>
    <w:link w:val="48"/>
    <w:qFormat/>
    <w:uiPriority w:val="99"/>
    <w:pPr>
      <w:tabs>
        <w:tab w:val="center" w:pos="4153"/>
        <w:tab w:val="right" w:pos="8306"/>
      </w:tabs>
      <w:adjustRightInd/>
      <w:snapToGrid w:val="0"/>
      <w:spacing w:line="240" w:lineRule="auto"/>
      <w:jc w:val="right"/>
    </w:pPr>
    <w:rPr>
      <w:rFonts w:ascii="宋体"/>
      <w:sz w:val="18"/>
      <w:szCs w:val="18"/>
    </w:rPr>
  </w:style>
  <w:style w:type="paragraph" w:styleId="19">
    <w:name w:val="header"/>
    <w:basedOn w:val="1"/>
    <w:link w:val="47"/>
    <w:qFormat/>
    <w:uiPriority w:val="99"/>
    <w:pPr>
      <w:tabs>
        <w:tab w:val="center" w:pos="4153"/>
        <w:tab w:val="right" w:pos="8306"/>
      </w:tabs>
      <w:adjustRightInd/>
      <w:snapToGrid w:val="0"/>
      <w:jc w:val="center"/>
    </w:pPr>
    <w:rPr>
      <w:sz w:val="18"/>
      <w:szCs w:val="18"/>
    </w:rPr>
  </w:style>
  <w:style w:type="paragraph" w:styleId="20">
    <w:name w:val="toc 1"/>
    <w:basedOn w:val="1"/>
    <w:next w:val="1"/>
    <w:unhideWhenUsed/>
    <w:qFormat/>
    <w:uiPriority w:val="39"/>
    <w:rPr>
      <w:rFonts w:ascii="宋体"/>
    </w:rPr>
  </w:style>
  <w:style w:type="paragraph" w:styleId="21">
    <w:name w:val="toc 4"/>
    <w:basedOn w:val="1"/>
    <w:next w:val="1"/>
    <w:unhideWhenUsed/>
    <w:qFormat/>
    <w:uiPriority w:val="39"/>
    <w:pPr>
      <w:tabs>
        <w:tab w:val="right" w:leader="dot" w:pos="9344"/>
      </w:tabs>
      <w:spacing w:line="300" w:lineRule="exact"/>
      <w:ind w:left="629"/>
    </w:pPr>
    <w:rPr>
      <w:rFonts w:ascii="宋体"/>
    </w:rPr>
  </w:style>
  <w:style w:type="paragraph" w:styleId="22">
    <w:name w:val="footnote text"/>
    <w:basedOn w:val="1"/>
    <w:next w:val="1"/>
    <w:link w:val="103"/>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3">
    <w:name w:val="toc 6"/>
    <w:basedOn w:val="1"/>
    <w:next w:val="1"/>
    <w:unhideWhenUsed/>
    <w:qFormat/>
    <w:uiPriority w:val="39"/>
    <w:pPr>
      <w:spacing w:line="300" w:lineRule="exact"/>
      <w:ind w:left="1049"/>
    </w:pPr>
    <w:rPr>
      <w:rFonts w:ascii="宋体"/>
    </w:rPr>
  </w:style>
  <w:style w:type="paragraph" w:styleId="24">
    <w:name w:val="table of figures"/>
    <w:basedOn w:val="1"/>
    <w:next w:val="1"/>
    <w:semiHidden/>
    <w:qFormat/>
    <w:uiPriority w:val="0"/>
    <w:pPr>
      <w:adjustRightInd/>
      <w:spacing w:line="240" w:lineRule="auto"/>
      <w:jc w:val="left"/>
    </w:pPr>
    <w:rPr>
      <w:szCs w:val="24"/>
    </w:rPr>
  </w:style>
  <w:style w:type="paragraph" w:styleId="25">
    <w:name w:val="toc 2"/>
    <w:basedOn w:val="1"/>
    <w:next w:val="1"/>
    <w:unhideWhenUsed/>
    <w:qFormat/>
    <w:uiPriority w:val="39"/>
    <w:pPr>
      <w:tabs>
        <w:tab w:val="right" w:leader="dot" w:pos="9344"/>
      </w:tabs>
      <w:spacing w:line="300" w:lineRule="exact"/>
      <w:ind w:left="210"/>
    </w:pPr>
    <w:rPr>
      <w:rFonts w:ascii="宋体"/>
    </w:rPr>
  </w:style>
  <w:style w:type="paragraph" w:styleId="26">
    <w:name w:val="Normal (Web)"/>
    <w:basedOn w:val="1"/>
    <w:semiHidden/>
    <w:unhideWhenUsed/>
    <w:qFormat/>
    <w:uiPriority w:val="99"/>
    <w:pPr>
      <w:widowControl/>
      <w:adjustRightInd/>
      <w:spacing w:before="100" w:beforeAutospacing="1" w:after="100" w:afterAutospacing="1" w:line="240" w:lineRule="auto"/>
      <w:jc w:val="left"/>
    </w:pPr>
    <w:rPr>
      <w:rFonts w:ascii="宋体" w:hAnsi="宋体" w:cs="宋体"/>
      <w:kern w:val="0"/>
      <w:sz w:val="24"/>
      <w:szCs w:val="24"/>
    </w:rPr>
  </w:style>
  <w:style w:type="paragraph" w:styleId="27">
    <w:name w:val="Title"/>
    <w:basedOn w:val="1"/>
    <w:link w:val="52"/>
    <w:qFormat/>
    <w:uiPriority w:val="0"/>
    <w:pPr>
      <w:spacing w:before="240" w:after="60"/>
      <w:jc w:val="center"/>
      <w:outlineLvl w:val="0"/>
    </w:pPr>
    <w:rPr>
      <w:rFonts w:ascii="Arial" w:hAnsi="Arial" w:cs="Arial"/>
      <w:b/>
      <w:bCs/>
      <w:sz w:val="32"/>
      <w:szCs w:val="32"/>
    </w:rPr>
  </w:style>
  <w:style w:type="paragraph" w:styleId="28">
    <w:name w:val="annotation subject"/>
    <w:basedOn w:val="13"/>
    <w:next w:val="13"/>
    <w:link w:val="235"/>
    <w:semiHidden/>
    <w:unhideWhenUsed/>
    <w:qFormat/>
    <w:uiPriority w:val="99"/>
    <w:pPr>
      <w:adjustRightInd w:val="0"/>
      <w:spacing w:line="400" w:lineRule="exact"/>
    </w:pPr>
    <w:rPr>
      <w:rFonts w:ascii="Calibri" w:hAnsi="Calibri"/>
      <w:b/>
      <w:bCs/>
      <w:szCs w:val="21"/>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22"/>
    <w:rPr>
      <w:b/>
      <w:bCs/>
    </w:rPr>
  </w:style>
  <w:style w:type="character" w:styleId="33">
    <w:name w:val="page number"/>
    <w:qFormat/>
    <w:uiPriority w:val="0"/>
    <w:rPr>
      <w:rFonts w:ascii="宋体" w:hAnsi="Times New Roman" w:eastAsia="宋体"/>
      <w:sz w:val="18"/>
    </w:rPr>
  </w:style>
  <w:style w:type="character" w:styleId="34">
    <w:name w:val="Emphasis"/>
    <w:qFormat/>
    <w:uiPriority w:val="20"/>
    <w:rPr>
      <w:i/>
      <w:iCs/>
    </w:rPr>
  </w:style>
  <w:style w:type="character" w:styleId="35">
    <w:name w:val="Hyperlink"/>
    <w:qFormat/>
    <w:uiPriority w:val="99"/>
    <w:rPr>
      <w:rFonts w:ascii="宋体" w:hAnsi="Times New Roman" w:eastAsia="宋体"/>
      <w:color w:val="auto"/>
      <w:spacing w:val="0"/>
      <w:w w:val="100"/>
      <w:position w:val="0"/>
      <w:sz w:val="21"/>
      <w:u w:val="none"/>
      <w:vertAlign w:val="baseline"/>
    </w:rPr>
  </w:style>
  <w:style w:type="character" w:styleId="36">
    <w:name w:val="annotation reference"/>
    <w:semiHidden/>
    <w:qFormat/>
    <w:uiPriority w:val="0"/>
    <w:rPr>
      <w:sz w:val="21"/>
      <w:szCs w:val="21"/>
    </w:rPr>
  </w:style>
  <w:style w:type="character" w:styleId="37">
    <w:name w:val="footnote reference"/>
    <w:semiHidden/>
    <w:qFormat/>
    <w:uiPriority w:val="0"/>
    <w:rPr>
      <w:rFonts w:ascii="宋体" w:hAnsi="宋体" w:eastAsia="宋体" w:cs="Times New Roman"/>
      <w:spacing w:val="0"/>
      <w:sz w:val="18"/>
      <w:vertAlign w:val="superscript"/>
    </w:rPr>
  </w:style>
  <w:style w:type="character" w:customStyle="1" w:styleId="38">
    <w:name w:val="标题 1 字符"/>
    <w:link w:val="2"/>
    <w:qFormat/>
    <w:uiPriority w:val="0"/>
    <w:rPr>
      <w:rFonts w:ascii="Times New Roman" w:hAnsi="Times New Roman" w:eastAsia="宋体" w:cs="Times New Roman"/>
      <w:b/>
      <w:bCs/>
      <w:kern w:val="44"/>
      <w:sz w:val="44"/>
      <w:szCs w:val="44"/>
    </w:rPr>
  </w:style>
  <w:style w:type="character" w:customStyle="1" w:styleId="39">
    <w:name w:val="标题 2 字符"/>
    <w:link w:val="3"/>
    <w:qFormat/>
    <w:uiPriority w:val="0"/>
    <w:rPr>
      <w:rFonts w:ascii="Arial" w:hAnsi="Arial" w:eastAsia="黑体" w:cs="Times New Roman"/>
      <w:b/>
      <w:bCs/>
      <w:sz w:val="32"/>
      <w:szCs w:val="32"/>
    </w:rPr>
  </w:style>
  <w:style w:type="character" w:customStyle="1" w:styleId="40">
    <w:name w:val="标题 3 字符"/>
    <w:link w:val="4"/>
    <w:qFormat/>
    <w:uiPriority w:val="0"/>
    <w:rPr>
      <w:rFonts w:ascii="Times New Roman" w:hAnsi="Times New Roman" w:eastAsia="宋体" w:cs="Times New Roman"/>
      <w:b/>
      <w:bCs/>
      <w:sz w:val="32"/>
      <w:szCs w:val="32"/>
    </w:rPr>
  </w:style>
  <w:style w:type="character" w:customStyle="1" w:styleId="41">
    <w:name w:val="标题 4 字符"/>
    <w:link w:val="5"/>
    <w:qFormat/>
    <w:uiPriority w:val="0"/>
    <w:rPr>
      <w:rFonts w:ascii="Arial" w:hAnsi="Arial" w:eastAsia="黑体" w:cs="Times New Roman"/>
      <w:b/>
      <w:bCs/>
      <w:sz w:val="28"/>
      <w:szCs w:val="28"/>
    </w:rPr>
  </w:style>
  <w:style w:type="character" w:customStyle="1" w:styleId="42">
    <w:name w:val="标题 5 字符"/>
    <w:link w:val="6"/>
    <w:qFormat/>
    <w:uiPriority w:val="0"/>
    <w:rPr>
      <w:rFonts w:ascii="Times New Roman" w:hAnsi="Times New Roman" w:eastAsia="宋体" w:cs="Times New Roman"/>
      <w:b/>
      <w:bCs/>
      <w:sz w:val="28"/>
      <w:szCs w:val="28"/>
    </w:rPr>
  </w:style>
  <w:style w:type="character" w:customStyle="1" w:styleId="43">
    <w:name w:val="标题 6 字符"/>
    <w:link w:val="7"/>
    <w:qFormat/>
    <w:uiPriority w:val="0"/>
    <w:rPr>
      <w:rFonts w:ascii="Arial" w:hAnsi="Arial" w:eastAsia="黑体" w:cs="Times New Roman"/>
      <w:b/>
      <w:bCs/>
      <w:sz w:val="24"/>
      <w:szCs w:val="24"/>
    </w:rPr>
  </w:style>
  <w:style w:type="character" w:customStyle="1" w:styleId="44">
    <w:name w:val="标题 7 字符"/>
    <w:link w:val="8"/>
    <w:qFormat/>
    <w:uiPriority w:val="0"/>
    <w:rPr>
      <w:rFonts w:ascii="Times New Roman" w:hAnsi="Times New Roman" w:eastAsia="宋体" w:cs="Times New Roman"/>
      <w:b/>
      <w:bCs/>
      <w:sz w:val="24"/>
      <w:szCs w:val="24"/>
    </w:rPr>
  </w:style>
  <w:style w:type="character" w:customStyle="1" w:styleId="45">
    <w:name w:val="标题 8 字符"/>
    <w:link w:val="9"/>
    <w:qFormat/>
    <w:uiPriority w:val="0"/>
    <w:rPr>
      <w:rFonts w:ascii="Arial" w:hAnsi="Arial" w:eastAsia="黑体" w:cs="Times New Roman"/>
      <w:sz w:val="24"/>
      <w:szCs w:val="24"/>
    </w:rPr>
  </w:style>
  <w:style w:type="character" w:customStyle="1" w:styleId="46">
    <w:name w:val="标题 9 字符"/>
    <w:link w:val="10"/>
    <w:qFormat/>
    <w:uiPriority w:val="0"/>
    <w:rPr>
      <w:rFonts w:ascii="Arial" w:hAnsi="Arial" w:eastAsia="黑体" w:cs="Times New Roman"/>
      <w:szCs w:val="21"/>
    </w:rPr>
  </w:style>
  <w:style w:type="character" w:customStyle="1" w:styleId="47">
    <w:name w:val="页眉 字符"/>
    <w:link w:val="19"/>
    <w:qFormat/>
    <w:uiPriority w:val="99"/>
    <w:rPr>
      <w:rFonts w:ascii="Times New Roman" w:hAnsi="Times New Roman" w:eastAsia="宋体" w:cs="Times New Roman"/>
      <w:sz w:val="18"/>
      <w:szCs w:val="18"/>
    </w:rPr>
  </w:style>
  <w:style w:type="character" w:customStyle="1" w:styleId="48">
    <w:name w:val="页脚 字符"/>
    <w:link w:val="18"/>
    <w:qFormat/>
    <w:uiPriority w:val="99"/>
    <w:rPr>
      <w:rFonts w:ascii="宋体" w:hAnsi="Times New Roman" w:eastAsia="宋体" w:cs="Times New Roman"/>
      <w:sz w:val="18"/>
      <w:szCs w:val="18"/>
    </w:rPr>
  </w:style>
  <w:style w:type="character" w:customStyle="1" w:styleId="49">
    <w:name w:val="批注框文本 字符"/>
    <w:link w:val="17"/>
    <w:semiHidden/>
    <w:qFormat/>
    <w:uiPriority w:val="99"/>
    <w:rPr>
      <w:sz w:val="18"/>
      <w:szCs w:val="18"/>
    </w:rPr>
  </w:style>
  <w:style w:type="paragraph" w:styleId="50">
    <w:name w:val="Quote"/>
    <w:basedOn w:val="1"/>
    <w:next w:val="1"/>
    <w:link w:val="51"/>
    <w:qFormat/>
    <w:uiPriority w:val="29"/>
    <w:rPr>
      <w:i/>
      <w:iCs/>
      <w:color w:val="000000"/>
    </w:rPr>
  </w:style>
  <w:style w:type="character" w:customStyle="1" w:styleId="51">
    <w:name w:val="引用 字符"/>
    <w:link w:val="50"/>
    <w:qFormat/>
    <w:uiPriority w:val="29"/>
    <w:rPr>
      <w:i/>
      <w:iCs/>
      <w:color w:val="000000"/>
    </w:rPr>
  </w:style>
  <w:style w:type="character" w:customStyle="1" w:styleId="52">
    <w:name w:val="标题 字符"/>
    <w:link w:val="27"/>
    <w:qFormat/>
    <w:uiPriority w:val="0"/>
    <w:rPr>
      <w:rFonts w:ascii="Arial" w:hAnsi="Arial" w:eastAsia="宋体" w:cs="Arial"/>
      <w:b/>
      <w:bCs/>
      <w:sz w:val="32"/>
      <w:szCs w:val="32"/>
    </w:rPr>
  </w:style>
  <w:style w:type="paragraph" w:customStyle="1" w:styleId="53">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4">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5">
    <w:name w:val="标准文件_页脚偶数页"/>
    <w:qFormat/>
    <w:uiPriority w:val="0"/>
    <w:pPr>
      <w:ind w:left="227"/>
    </w:pPr>
    <w:rPr>
      <w:rFonts w:ascii="宋体" w:hAnsi="Times New Roman" w:eastAsia="宋体" w:cs="Times New Roman"/>
      <w:sz w:val="18"/>
      <w:lang w:val="en-US" w:eastAsia="zh-CN" w:bidi="ar-SA"/>
    </w:rPr>
  </w:style>
  <w:style w:type="paragraph" w:customStyle="1" w:styleId="5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7">
    <w:name w:val="标准书眉一"/>
    <w:qFormat/>
    <w:uiPriority w:val="0"/>
    <w:pPr>
      <w:jc w:val="both"/>
    </w:pPr>
    <w:rPr>
      <w:rFonts w:ascii="Times New Roman" w:hAnsi="Times New Roman" w:eastAsia="宋体" w:cs="Times New Roman"/>
      <w:lang w:val="en-US" w:eastAsia="zh-CN" w:bidi="ar-SA"/>
    </w:rPr>
  </w:style>
  <w:style w:type="paragraph" w:customStyle="1" w:styleId="58">
    <w:name w:val="标准文件_ICS"/>
    <w:basedOn w:val="1"/>
    <w:qFormat/>
    <w:uiPriority w:val="0"/>
    <w:pPr>
      <w:spacing w:line="0" w:lineRule="atLeast"/>
    </w:pPr>
    <w:rPr>
      <w:rFonts w:ascii="黑体" w:hAnsi="宋体" w:eastAsia="黑体"/>
    </w:rPr>
  </w:style>
  <w:style w:type="paragraph" w:customStyle="1" w:styleId="59">
    <w:name w:val="标准文件_标准正文"/>
    <w:basedOn w:val="1"/>
    <w:next w:val="60"/>
    <w:qFormat/>
    <w:uiPriority w:val="0"/>
    <w:pPr>
      <w:snapToGrid w:val="0"/>
      <w:ind w:firstLine="200" w:firstLineChars="200"/>
    </w:pPr>
    <w:rPr>
      <w:kern w:val="0"/>
    </w:rPr>
  </w:style>
  <w:style w:type="paragraph" w:customStyle="1" w:styleId="60">
    <w:name w:val="标准文件_段"/>
    <w:link w:val="188"/>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1">
    <w:name w:val="标准文件_版本"/>
    <w:basedOn w:val="59"/>
    <w:qFormat/>
    <w:uiPriority w:val="0"/>
    <w:pPr>
      <w:adjustRightInd/>
      <w:snapToGrid/>
      <w:ind w:firstLine="0" w:firstLineChars="0"/>
    </w:pPr>
    <w:rPr>
      <w:rFonts w:ascii="宋体" w:hAnsi="宋体"/>
      <w:kern w:val="2"/>
    </w:rPr>
  </w:style>
  <w:style w:type="paragraph" w:customStyle="1" w:styleId="62">
    <w:name w:val="标准文件_标准部门"/>
    <w:basedOn w:val="1"/>
    <w:qFormat/>
    <w:uiPriority w:val="0"/>
    <w:pPr>
      <w:jc w:val="center"/>
    </w:pPr>
    <w:rPr>
      <w:rFonts w:ascii="黑体" w:eastAsia="黑体"/>
      <w:kern w:val="0"/>
      <w:sz w:val="44"/>
    </w:rPr>
  </w:style>
  <w:style w:type="paragraph" w:customStyle="1" w:styleId="63">
    <w:name w:val="标准文件_标准代替"/>
    <w:basedOn w:val="1"/>
    <w:next w:val="1"/>
    <w:qFormat/>
    <w:uiPriority w:val="0"/>
    <w:pPr>
      <w:spacing w:line="310" w:lineRule="exact"/>
      <w:jc w:val="right"/>
    </w:pPr>
    <w:rPr>
      <w:rFonts w:ascii="宋体" w:hAnsi="宋体"/>
      <w:kern w:val="0"/>
    </w:rPr>
  </w:style>
  <w:style w:type="paragraph" w:customStyle="1" w:styleId="64">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5">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6">
    <w:name w:val="标准文件_页眉偶数页"/>
    <w:basedOn w:val="65"/>
    <w:next w:val="1"/>
    <w:qFormat/>
    <w:uiPriority w:val="0"/>
    <w:pPr>
      <w:jc w:val="left"/>
    </w:pPr>
  </w:style>
  <w:style w:type="paragraph" w:customStyle="1" w:styleId="67">
    <w:name w:val="标准文件_参考文献标题"/>
    <w:basedOn w:val="1"/>
    <w:next w:val="1"/>
    <w:qFormat/>
    <w:uiPriority w:val="0"/>
    <w:pPr>
      <w:widowControl/>
      <w:shd w:val="clear" w:color="FFFFFF" w:fill="FFFFFF"/>
      <w:adjustRightInd/>
      <w:spacing w:before="40" w:beforeLines="40" w:after="50" w:afterLines="50" w:line="240" w:lineRule="auto"/>
      <w:jc w:val="center"/>
      <w:outlineLvl w:val="0"/>
    </w:pPr>
    <w:rPr>
      <w:rFonts w:ascii="黑体" w:eastAsia="黑体"/>
      <w:kern w:val="0"/>
    </w:rPr>
  </w:style>
  <w:style w:type="paragraph" w:customStyle="1" w:styleId="68">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9">
    <w:name w:val="标准文件_二级条标题"/>
    <w:next w:val="60"/>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70">
    <w:name w:val="标准文件_发布"/>
    <w:qFormat/>
    <w:uiPriority w:val="0"/>
    <w:rPr>
      <w:rFonts w:ascii="黑体" w:eastAsia="黑体"/>
      <w:spacing w:val="0"/>
      <w:w w:val="100"/>
      <w:position w:val="3"/>
      <w:sz w:val="28"/>
    </w:rPr>
  </w:style>
  <w:style w:type="paragraph" w:customStyle="1" w:styleId="71">
    <w:name w:val="标准文件_方框数字列项"/>
    <w:basedOn w:val="60"/>
    <w:qFormat/>
    <w:uiPriority w:val="0"/>
    <w:pPr>
      <w:numPr>
        <w:ilvl w:val="0"/>
        <w:numId w:val="3"/>
      </w:numPr>
      <w:ind w:firstLine="0" w:firstLineChars="0"/>
    </w:pPr>
  </w:style>
  <w:style w:type="paragraph" w:customStyle="1" w:styleId="72">
    <w:name w:val="标准文件_封面标准编号"/>
    <w:basedOn w:val="1"/>
    <w:next w:val="63"/>
    <w:qFormat/>
    <w:uiPriority w:val="0"/>
    <w:pPr>
      <w:spacing w:line="310" w:lineRule="exact"/>
      <w:jc w:val="right"/>
    </w:pPr>
    <w:rPr>
      <w:rFonts w:ascii="黑体" w:eastAsia="黑体"/>
      <w:kern w:val="0"/>
      <w:sz w:val="28"/>
    </w:rPr>
  </w:style>
  <w:style w:type="paragraph" w:customStyle="1" w:styleId="73">
    <w:name w:val="标准文件_封面标准分类号"/>
    <w:basedOn w:val="1"/>
    <w:qFormat/>
    <w:uiPriority w:val="0"/>
    <w:rPr>
      <w:rFonts w:ascii="黑体" w:eastAsia="黑体"/>
      <w:b/>
      <w:kern w:val="0"/>
      <w:sz w:val="28"/>
    </w:rPr>
  </w:style>
  <w:style w:type="paragraph" w:customStyle="1" w:styleId="74">
    <w:name w:val="标准文件_封面标准名称"/>
    <w:basedOn w:val="1"/>
    <w:qFormat/>
    <w:uiPriority w:val="0"/>
    <w:pPr>
      <w:spacing w:line="240" w:lineRule="auto"/>
      <w:jc w:val="center"/>
    </w:pPr>
    <w:rPr>
      <w:rFonts w:ascii="黑体" w:eastAsia="黑体"/>
      <w:kern w:val="0"/>
      <w:sz w:val="52"/>
    </w:rPr>
  </w:style>
  <w:style w:type="paragraph" w:customStyle="1" w:styleId="75">
    <w:name w:val="标准文件_封面标准英文名称"/>
    <w:basedOn w:val="1"/>
    <w:qFormat/>
    <w:uiPriority w:val="0"/>
    <w:pPr>
      <w:spacing w:line="240" w:lineRule="auto"/>
      <w:jc w:val="center"/>
    </w:pPr>
    <w:rPr>
      <w:rFonts w:ascii="黑体" w:eastAsia="黑体"/>
      <w:b/>
      <w:sz w:val="28"/>
    </w:rPr>
  </w:style>
  <w:style w:type="paragraph" w:customStyle="1" w:styleId="76">
    <w:name w:val="标准文件_封面发布日期"/>
    <w:basedOn w:val="1"/>
    <w:qFormat/>
    <w:uiPriority w:val="0"/>
    <w:pPr>
      <w:spacing w:line="310" w:lineRule="exact"/>
    </w:pPr>
    <w:rPr>
      <w:rFonts w:ascii="黑体" w:eastAsia="黑体"/>
      <w:kern w:val="0"/>
      <w:sz w:val="28"/>
    </w:rPr>
  </w:style>
  <w:style w:type="paragraph" w:customStyle="1" w:styleId="77">
    <w:name w:val="标准文件_封面密级"/>
    <w:basedOn w:val="1"/>
    <w:qFormat/>
    <w:uiPriority w:val="0"/>
    <w:rPr>
      <w:rFonts w:eastAsia="黑体"/>
      <w:sz w:val="32"/>
    </w:rPr>
  </w:style>
  <w:style w:type="paragraph" w:customStyle="1" w:styleId="78">
    <w:name w:val="标准文件_封面实施日期"/>
    <w:basedOn w:val="1"/>
    <w:qFormat/>
    <w:uiPriority w:val="0"/>
    <w:pPr>
      <w:spacing w:line="310" w:lineRule="exact"/>
      <w:jc w:val="right"/>
    </w:pPr>
    <w:rPr>
      <w:rFonts w:ascii="黑体" w:eastAsia="黑体"/>
      <w:sz w:val="28"/>
    </w:rPr>
  </w:style>
  <w:style w:type="paragraph" w:customStyle="1" w:styleId="79">
    <w:name w:val="标准文件_封面抬头"/>
    <w:basedOn w:val="60"/>
    <w:qFormat/>
    <w:uiPriority w:val="0"/>
    <w:pPr>
      <w:adjustRightInd w:val="0"/>
      <w:spacing w:line="800" w:lineRule="exact"/>
      <w:ind w:firstLine="0" w:firstLineChars="0"/>
      <w:jc w:val="distribute"/>
    </w:pPr>
    <w:rPr>
      <w:rFonts w:ascii="黑体" w:eastAsia="黑体"/>
      <w:b/>
      <w:sz w:val="64"/>
    </w:rPr>
  </w:style>
  <w:style w:type="paragraph" w:customStyle="1" w:styleId="80">
    <w:name w:val="标准文件_附录标识"/>
    <w:next w:val="60"/>
    <w:qFormat/>
    <w:uiPriority w:val="0"/>
    <w:pPr>
      <w:numPr>
        <w:ilvl w:val="0"/>
        <w:numId w:val="4"/>
      </w:numPr>
      <w:shd w:val="clear" w:color="FFFFFF" w:fill="FFFFFF"/>
      <w:tabs>
        <w:tab w:val="left" w:pos="6406"/>
      </w:tabs>
      <w:spacing w:before="25" w:beforeLines="25" w:after="50" w:afterLines="50"/>
      <w:jc w:val="center"/>
      <w:outlineLvl w:val="0"/>
    </w:pPr>
    <w:rPr>
      <w:rFonts w:ascii="黑体" w:hAnsi="Times New Roman" w:eastAsia="黑体" w:cs="Times New Roman"/>
      <w:sz w:val="21"/>
      <w:lang w:val="en-US" w:eastAsia="zh-CN" w:bidi="ar-SA"/>
    </w:rPr>
  </w:style>
  <w:style w:type="paragraph" w:customStyle="1" w:styleId="81">
    <w:name w:val="标准文件_附录表标题"/>
    <w:next w:val="60"/>
    <w:qFormat/>
    <w:uiPriority w:val="0"/>
    <w:pPr>
      <w:numPr>
        <w:ilvl w:val="1"/>
        <w:numId w:val="5"/>
      </w:numPr>
      <w:adjustRightInd w:val="0"/>
      <w:snapToGrid w:val="0"/>
      <w:spacing w:before="50" w:beforeLines="50" w:after="50" w:afterLines="50"/>
      <w:ind w:firstLine="420"/>
      <w:jc w:val="center"/>
      <w:textAlignment w:val="baseline"/>
    </w:pPr>
    <w:rPr>
      <w:rFonts w:ascii="黑体" w:hAnsi="Times New Roman" w:eastAsia="黑体" w:cs="Times New Roman"/>
      <w:kern w:val="21"/>
      <w:sz w:val="21"/>
      <w:lang w:val="en-US" w:eastAsia="zh-CN" w:bidi="ar-SA"/>
    </w:rPr>
  </w:style>
  <w:style w:type="paragraph" w:customStyle="1" w:styleId="82">
    <w:name w:val="标准文件_附录一级条标题"/>
    <w:next w:val="60"/>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3">
    <w:name w:val="标准文件_附录二级条标题"/>
    <w:basedOn w:val="82"/>
    <w:next w:val="60"/>
    <w:qFormat/>
    <w:uiPriority w:val="0"/>
    <w:pPr>
      <w:widowControl/>
      <w:numPr>
        <w:ilvl w:val="2"/>
      </w:numPr>
      <w:wordWrap w:val="0"/>
      <w:overflowPunct w:val="0"/>
      <w:autoSpaceDE w:val="0"/>
      <w:autoSpaceDN w:val="0"/>
      <w:textAlignment w:val="baseline"/>
      <w:outlineLvl w:val="3"/>
    </w:pPr>
  </w:style>
  <w:style w:type="paragraph" w:customStyle="1" w:styleId="84">
    <w:name w:val="标准文件_附录公式"/>
    <w:basedOn w:val="59"/>
    <w:next w:val="59"/>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5">
    <w:name w:val="标准文件_附录三级条标题"/>
    <w:next w:val="60"/>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6">
    <w:name w:val="标准文件_附录四级条标题"/>
    <w:next w:val="60"/>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7">
    <w:name w:val="标准文件_附录图标题"/>
    <w:next w:val="60"/>
    <w:qFormat/>
    <w:uiPriority w:val="0"/>
    <w:pPr>
      <w:numPr>
        <w:ilvl w:val="1"/>
        <w:numId w:val="6"/>
      </w:numPr>
      <w:adjustRightInd w:val="0"/>
      <w:snapToGrid w:val="0"/>
      <w:spacing w:before="50" w:beforeLines="50" w:after="50" w:afterLines="50"/>
      <w:ind w:firstLine="420"/>
      <w:jc w:val="center"/>
    </w:pPr>
    <w:rPr>
      <w:rFonts w:ascii="黑体" w:hAnsi="Times New Roman" w:eastAsia="黑体" w:cs="Times New Roman"/>
      <w:sz w:val="21"/>
      <w:lang w:val="en-US" w:eastAsia="zh-CN" w:bidi="ar-SA"/>
    </w:rPr>
  </w:style>
  <w:style w:type="paragraph" w:customStyle="1" w:styleId="88">
    <w:name w:val="标准文件_附录五级条标题"/>
    <w:next w:val="60"/>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9">
    <w:name w:val="标准文件_附录英文标识"/>
    <w:next w:val="14"/>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90">
    <w:name w:val="正文文本 字符"/>
    <w:link w:val="14"/>
    <w:qFormat/>
    <w:uiPriority w:val="0"/>
    <w:rPr>
      <w:rFonts w:ascii="Times New Roman" w:hAnsi="Times New Roman" w:eastAsia="宋体" w:cs="Times New Roman"/>
      <w:szCs w:val="20"/>
    </w:rPr>
  </w:style>
  <w:style w:type="paragraph" w:customStyle="1" w:styleId="91">
    <w:name w:val="标准文件_附录章标题"/>
    <w:next w:val="60"/>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92">
    <w:name w:val="标准文件_公式后的破折号"/>
    <w:basedOn w:val="60"/>
    <w:next w:val="60"/>
    <w:qFormat/>
    <w:uiPriority w:val="0"/>
    <w:pPr>
      <w:ind w:left="488" w:leftChars="200" w:hanging="289" w:hangingChars="290"/>
    </w:pPr>
  </w:style>
  <w:style w:type="paragraph" w:customStyle="1" w:styleId="93">
    <w:name w:val="标准文件_前言、引言标题"/>
    <w:next w:val="1"/>
    <w:qFormat/>
    <w:uiPriority w:val="0"/>
    <w:pPr>
      <w:numPr>
        <w:ilvl w:val="0"/>
        <w:numId w:val="8"/>
      </w:numPr>
      <w:shd w:val="clear" w:color="FFFFFF" w:fill="FFFFFF"/>
      <w:spacing w:after="150" w:afterLines="150"/>
      <w:ind w:left="0" w:firstLine="0"/>
      <w:jc w:val="center"/>
      <w:outlineLvl w:val="0"/>
    </w:pPr>
    <w:rPr>
      <w:rFonts w:ascii="黑体" w:hAnsi="Times New Roman" w:eastAsia="黑体" w:cs="Times New Roman"/>
      <w:sz w:val="32"/>
      <w:lang w:val="en-US" w:eastAsia="zh-CN" w:bidi="ar-SA"/>
    </w:rPr>
  </w:style>
  <w:style w:type="paragraph" w:customStyle="1" w:styleId="94">
    <w:name w:val="标准文件_目次、标准名称标题"/>
    <w:basedOn w:val="93"/>
    <w:next w:val="60"/>
    <w:qFormat/>
    <w:uiPriority w:val="0"/>
    <w:pPr>
      <w:spacing w:line="460" w:lineRule="exact"/>
    </w:pPr>
  </w:style>
  <w:style w:type="paragraph" w:customStyle="1" w:styleId="95">
    <w:name w:val="标准文件_目录标题"/>
    <w:basedOn w:val="1"/>
    <w:qFormat/>
    <w:uiPriority w:val="0"/>
    <w:pPr>
      <w:spacing w:after="150" w:afterLines="150" w:line="240" w:lineRule="auto"/>
      <w:jc w:val="center"/>
    </w:pPr>
    <w:rPr>
      <w:rFonts w:ascii="黑体" w:eastAsia="黑体"/>
      <w:sz w:val="32"/>
    </w:rPr>
  </w:style>
  <w:style w:type="paragraph" w:customStyle="1" w:styleId="96">
    <w:name w:val="标准文件_破折号列项"/>
    <w:qFormat/>
    <w:uiPriority w:val="0"/>
    <w:pPr>
      <w:numPr>
        <w:ilvl w:val="0"/>
        <w:numId w:val="9"/>
      </w:numPr>
      <w:adjustRightInd w:val="0"/>
      <w:snapToGrid w:val="0"/>
      <w:ind w:left="0" w:firstLine="200" w:firstLineChars="200"/>
    </w:pPr>
    <w:rPr>
      <w:rFonts w:ascii="Times New Roman" w:hAnsi="Times New Roman" w:eastAsia="宋体" w:cs="Times New Roman"/>
      <w:sz w:val="21"/>
      <w:lang w:val="en-US" w:eastAsia="zh-CN" w:bidi="ar-SA"/>
    </w:rPr>
  </w:style>
  <w:style w:type="paragraph" w:customStyle="1" w:styleId="97">
    <w:name w:val="标准文件_破折号列项（二级）"/>
    <w:basedOn w:val="96"/>
    <w:qFormat/>
    <w:uiPriority w:val="0"/>
    <w:pPr>
      <w:numPr>
        <w:numId w:val="10"/>
      </w:numPr>
      <w:ind w:left="0" w:firstLine="200"/>
    </w:pPr>
  </w:style>
  <w:style w:type="paragraph" w:customStyle="1" w:styleId="98">
    <w:name w:val="标准文件_三级条标题"/>
    <w:basedOn w:val="69"/>
    <w:next w:val="60"/>
    <w:qFormat/>
    <w:uiPriority w:val="0"/>
    <w:pPr>
      <w:widowControl/>
      <w:numPr>
        <w:ilvl w:val="4"/>
      </w:numPr>
      <w:outlineLvl w:val="3"/>
    </w:pPr>
  </w:style>
  <w:style w:type="character" w:customStyle="1" w:styleId="99">
    <w:name w:val="Subtle Reference"/>
    <w:qFormat/>
    <w:uiPriority w:val="31"/>
    <w:rPr>
      <w:smallCaps/>
      <w:color w:val="C0504D"/>
      <w:u w:val="single"/>
    </w:rPr>
  </w:style>
  <w:style w:type="paragraph" w:customStyle="1" w:styleId="100">
    <w:name w:val="标准文件_示例后续"/>
    <w:basedOn w:val="1"/>
    <w:qFormat/>
    <w:uiPriority w:val="0"/>
    <w:pPr>
      <w:adjustRightInd/>
      <w:spacing w:line="240" w:lineRule="auto"/>
      <w:ind w:firstLine="200" w:firstLineChars="200"/>
    </w:pPr>
    <w:rPr>
      <w:sz w:val="18"/>
      <w:szCs w:val="24"/>
    </w:rPr>
  </w:style>
  <w:style w:type="paragraph" w:customStyle="1" w:styleId="101">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102">
    <w:name w:val="标准文件_四级条标题"/>
    <w:next w:val="60"/>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103">
    <w:name w:val="脚注文本 字符"/>
    <w:link w:val="22"/>
    <w:semiHidden/>
    <w:qFormat/>
    <w:uiPriority w:val="0"/>
    <w:rPr>
      <w:rFonts w:ascii="宋体" w:hAnsi="Times New Roman" w:eastAsia="宋体" w:cs="Times New Roman"/>
      <w:sz w:val="18"/>
      <w:szCs w:val="18"/>
    </w:rPr>
  </w:style>
  <w:style w:type="paragraph" w:customStyle="1" w:styleId="104">
    <w:name w:val="标准文件_条文脚注"/>
    <w:basedOn w:val="22"/>
    <w:qFormat/>
    <w:uiPriority w:val="0"/>
    <w:pPr>
      <w:adjustRightInd w:val="0"/>
      <w:spacing w:line="240" w:lineRule="auto"/>
      <w:ind w:left="0" w:leftChars="0" w:firstLine="200" w:firstLineChars="200"/>
      <w:jc w:val="both"/>
    </w:pPr>
    <w:rPr>
      <w:rFonts w:hAnsi="宋体"/>
    </w:rPr>
  </w:style>
  <w:style w:type="paragraph" w:customStyle="1" w:styleId="105">
    <w:name w:val="标准文件_图表脚注"/>
    <w:basedOn w:val="1"/>
    <w:next w:val="60"/>
    <w:qFormat/>
    <w:uiPriority w:val="0"/>
    <w:pPr>
      <w:numPr>
        <w:ilvl w:val="0"/>
        <w:numId w:val="12"/>
      </w:numPr>
      <w:spacing w:line="240" w:lineRule="auto"/>
      <w:jc w:val="left"/>
    </w:pPr>
    <w:rPr>
      <w:rFonts w:ascii="宋体" w:hAnsi="宋体"/>
      <w:sz w:val="18"/>
    </w:rPr>
  </w:style>
  <w:style w:type="character" w:customStyle="1" w:styleId="106">
    <w:name w:val="标准文件_图表脚注内容"/>
    <w:qFormat/>
    <w:uiPriority w:val="0"/>
    <w:rPr>
      <w:rFonts w:ascii="宋体" w:hAnsi="宋体" w:eastAsia="宋体" w:cs="Times New Roman"/>
      <w:spacing w:val="0"/>
      <w:sz w:val="18"/>
      <w:vertAlign w:val="superscript"/>
    </w:rPr>
  </w:style>
  <w:style w:type="paragraph" w:customStyle="1" w:styleId="107">
    <w:name w:val="标准文件_五级条标题"/>
    <w:next w:val="60"/>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8">
    <w:name w:val="标准文件_章标题"/>
    <w:next w:val="60"/>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9">
    <w:name w:val="标准文件_一级条标题"/>
    <w:basedOn w:val="108"/>
    <w:next w:val="60"/>
    <w:qFormat/>
    <w:uiPriority w:val="0"/>
    <w:pPr>
      <w:numPr>
        <w:ilvl w:val="2"/>
      </w:numPr>
      <w:spacing w:before="50" w:beforeLines="50" w:after="50" w:afterLines="50"/>
      <w:outlineLvl w:val="1"/>
    </w:pPr>
  </w:style>
  <w:style w:type="paragraph" w:customStyle="1" w:styleId="110">
    <w:name w:val="标准文件_一致程度"/>
    <w:basedOn w:val="1"/>
    <w:qFormat/>
    <w:uiPriority w:val="0"/>
    <w:pPr>
      <w:spacing w:line="440" w:lineRule="exact"/>
      <w:jc w:val="center"/>
    </w:pPr>
    <w:rPr>
      <w:sz w:val="28"/>
    </w:rPr>
  </w:style>
  <w:style w:type="paragraph" w:customStyle="1" w:styleId="111">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12">
    <w:name w:val="标准文件_英文图表脚注"/>
    <w:basedOn w:val="59"/>
    <w:qFormat/>
    <w:uiPriority w:val="0"/>
    <w:pPr>
      <w:widowControl/>
      <w:adjustRightInd/>
      <w:snapToGrid/>
      <w:spacing w:line="240" w:lineRule="auto"/>
      <w:ind w:left="79" w:hanging="79" w:hangingChars="80"/>
    </w:pPr>
    <w:rPr>
      <w:rFonts w:ascii="宋体" w:hAnsi="宋体"/>
    </w:rPr>
  </w:style>
  <w:style w:type="paragraph" w:customStyle="1" w:styleId="113">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4">
    <w:name w:val="标准文件_英文注："/>
    <w:basedOn w:val="1"/>
    <w:next w:val="60"/>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5">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6">
    <w:name w:val="标准文件_正文表标题"/>
    <w:next w:val="60"/>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7">
    <w:name w:val="标准文件_正文公式"/>
    <w:basedOn w:val="1"/>
    <w:next w:val="59"/>
    <w:qFormat/>
    <w:uiPriority w:val="0"/>
    <w:pPr>
      <w:tabs>
        <w:tab w:val="center" w:pos="4678"/>
        <w:tab w:val="right" w:leader="middleDot" w:pos="9356"/>
      </w:tabs>
      <w:spacing w:line="240" w:lineRule="auto"/>
    </w:pPr>
    <w:rPr>
      <w:rFonts w:ascii="宋体" w:hAnsi="宋体"/>
    </w:rPr>
  </w:style>
  <w:style w:type="paragraph" w:customStyle="1" w:styleId="118">
    <w:name w:val="标准文件_正文图标题"/>
    <w:next w:val="60"/>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9">
    <w:name w:val="标准文件_正文英文表标题"/>
    <w:next w:val="60"/>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20">
    <w:name w:val="标准文件_正文英文图标题"/>
    <w:next w:val="60"/>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21">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22">
    <w:name w:val="二级无标题条"/>
    <w:basedOn w:val="1"/>
    <w:qFormat/>
    <w:uiPriority w:val="0"/>
    <w:pPr>
      <w:numPr>
        <w:ilvl w:val="3"/>
        <w:numId w:val="20"/>
      </w:numPr>
      <w:adjustRightInd/>
      <w:spacing w:line="240" w:lineRule="auto"/>
    </w:pPr>
    <w:rPr>
      <w:rFonts w:ascii="宋体" w:hAnsi="宋体"/>
      <w:szCs w:val="24"/>
    </w:rPr>
  </w:style>
  <w:style w:type="paragraph" w:customStyle="1" w:styleId="123">
    <w:name w:val="发布部门"/>
    <w:next w:val="60"/>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5">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6">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7">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8">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9">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30">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31">
    <w:name w:val="封面正文"/>
    <w:qFormat/>
    <w:uiPriority w:val="0"/>
    <w:pPr>
      <w:jc w:val="both"/>
    </w:pPr>
    <w:rPr>
      <w:rFonts w:ascii="Times New Roman" w:hAnsi="Times New Roman" w:eastAsia="宋体" w:cs="Times New Roman"/>
      <w:lang w:val="en-US" w:eastAsia="zh-CN" w:bidi="ar-SA"/>
    </w:rPr>
  </w:style>
  <w:style w:type="paragraph" w:customStyle="1" w:styleId="132">
    <w:name w:val="附录二级无标题条"/>
    <w:basedOn w:val="1"/>
    <w:next w:val="60"/>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33">
    <w:name w:val="附录三级无标题条"/>
    <w:basedOn w:val="132"/>
    <w:next w:val="60"/>
    <w:qFormat/>
    <w:uiPriority w:val="0"/>
    <w:pPr>
      <w:outlineLvl w:val="4"/>
    </w:pPr>
  </w:style>
  <w:style w:type="paragraph" w:customStyle="1" w:styleId="134">
    <w:name w:val="附录四级无标题条"/>
    <w:basedOn w:val="133"/>
    <w:next w:val="60"/>
    <w:qFormat/>
    <w:uiPriority w:val="0"/>
    <w:pPr>
      <w:outlineLvl w:val="5"/>
    </w:pPr>
  </w:style>
  <w:style w:type="paragraph" w:customStyle="1" w:styleId="135">
    <w:name w:val="附录图"/>
    <w:next w:val="60"/>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6">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7">
    <w:name w:val="附录五级无标题条"/>
    <w:basedOn w:val="134"/>
    <w:next w:val="60"/>
    <w:qFormat/>
    <w:uiPriority w:val="0"/>
    <w:pPr>
      <w:outlineLvl w:val="6"/>
    </w:pPr>
  </w:style>
  <w:style w:type="paragraph" w:customStyle="1" w:styleId="138">
    <w:name w:val="附录性质"/>
    <w:basedOn w:val="1"/>
    <w:qFormat/>
    <w:uiPriority w:val="0"/>
    <w:pPr>
      <w:widowControl/>
      <w:adjustRightInd/>
      <w:jc w:val="center"/>
    </w:pPr>
    <w:rPr>
      <w:rFonts w:ascii="黑体" w:eastAsia="黑体"/>
    </w:rPr>
  </w:style>
  <w:style w:type="paragraph" w:customStyle="1" w:styleId="139">
    <w:name w:val="附录一级无标题条"/>
    <w:basedOn w:val="91"/>
    <w:next w:val="60"/>
    <w:qFormat/>
    <w:uiPriority w:val="0"/>
    <w:pPr>
      <w:autoSpaceDN w:val="0"/>
      <w:outlineLvl w:val="2"/>
    </w:pPr>
    <w:rPr>
      <w:rFonts w:ascii="宋体" w:hAnsi="宋体" w:eastAsia="宋体"/>
    </w:rPr>
  </w:style>
  <w:style w:type="character" w:customStyle="1" w:styleId="140">
    <w:name w:val="个人答复风格"/>
    <w:qFormat/>
    <w:uiPriority w:val="0"/>
    <w:rPr>
      <w:rFonts w:ascii="Arial" w:hAnsi="Arial" w:eastAsia="宋体" w:cs="Arial"/>
      <w:color w:val="auto"/>
      <w:spacing w:val="0"/>
      <w:sz w:val="20"/>
    </w:rPr>
  </w:style>
  <w:style w:type="character" w:customStyle="1" w:styleId="141">
    <w:name w:val="个人撰写风格"/>
    <w:qFormat/>
    <w:uiPriority w:val="0"/>
    <w:rPr>
      <w:rFonts w:ascii="Arial" w:hAnsi="Arial" w:eastAsia="宋体" w:cs="Arial"/>
      <w:color w:val="auto"/>
      <w:spacing w:val="0"/>
      <w:sz w:val="20"/>
    </w:rPr>
  </w:style>
  <w:style w:type="paragraph" w:customStyle="1" w:styleId="142">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43">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4">
    <w:name w:val="列项·"/>
    <w:basedOn w:val="60"/>
    <w:qFormat/>
    <w:uiPriority w:val="0"/>
    <w:pPr>
      <w:tabs>
        <w:tab w:val="left" w:pos="840"/>
      </w:tabs>
    </w:pPr>
  </w:style>
  <w:style w:type="paragraph" w:customStyle="1" w:styleId="145">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6">
    <w:name w:val="目录 21"/>
    <w:basedOn w:val="1"/>
    <w:next w:val="1"/>
    <w:semiHidden/>
    <w:qFormat/>
    <w:uiPriority w:val="0"/>
    <w:pPr>
      <w:adjustRightInd/>
      <w:spacing w:line="240" w:lineRule="auto"/>
      <w:jc w:val="left"/>
    </w:pPr>
    <w:rPr>
      <w:bCs/>
      <w:iCs/>
    </w:rPr>
  </w:style>
  <w:style w:type="paragraph" w:customStyle="1" w:styleId="147">
    <w:name w:val="目录 31"/>
    <w:basedOn w:val="1"/>
    <w:next w:val="1"/>
    <w:semiHidden/>
    <w:qFormat/>
    <w:uiPriority w:val="0"/>
    <w:pPr>
      <w:spacing w:line="240" w:lineRule="auto"/>
    </w:pPr>
    <w:rPr>
      <w:rFonts w:ascii="宋体" w:hAnsi="宋体"/>
      <w:iCs/>
    </w:rPr>
  </w:style>
  <w:style w:type="paragraph" w:customStyle="1" w:styleId="148">
    <w:name w:val="目录 41"/>
    <w:basedOn w:val="1"/>
    <w:next w:val="1"/>
    <w:semiHidden/>
    <w:qFormat/>
    <w:uiPriority w:val="0"/>
    <w:pPr>
      <w:adjustRightInd/>
      <w:spacing w:line="240" w:lineRule="auto"/>
      <w:jc w:val="left"/>
    </w:pPr>
  </w:style>
  <w:style w:type="paragraph" w:customStyle="1" w:styleId="149">
    <w:name w:val="目录 51"/>
    <w:basedOn w:val="1"/>
    <w:next w:val="1"/>
    <w:semiHidden/>
    <w:qFormat/>
    <w:uiPriority w:val="0"/>
    <w:pPr>
      <w:spacing w:line="240" w:lineRule="auto"/>
    </w:pPr>
    <w:rPr>
      <w:rFonts w:ascii="宋体" w:hAnsi="宋体"/>
    </w:rPr>
  </w:style>
  <w:style w:type="paragraph" w:customStyle="1" w:styleId="150">
    <w:name w:val="目录 61"/>
    <w:basedOn w:val="1"/>
    <w:next w:val="1"/>
    <w:semiHidden/>
    <w:qFormat/>
    <w:uiPriority w:val="0"/>
    <w:pPr>
      <w:adjustRightInd/>
      <w:spacing w:line="240" w:lineRule="auto"/>
      <w:jc w:val="left"/>
    </w:pPr>
  </w:style>
  <w:style w:type="paragraph" w:customStyle="1" w:styleId="151">
    <w:name w:val="目录 71"/>
    <w:basedOn w:val="150"/>
    <w:semiHidden/>
    <w:qFormat/>
    <w:uiPriority w:val="0"/>
    <w:pPr>
      <w:ind w:left="1260"/>
    </w:pPr>
  </w:style>
  <w:style w:type="paragraph" w:customStyle="1" w:styleId="152">
    <w:name w:val="目录 81"/>
    <w:basedOn w:val="151"/>
    <w:semiHidden/>
    <w:qFormat/>
    <w:uiPriority w:val="0"/>
    <w:pPr>
      <w:ind w:left="1470"/>
    </w:pPr>
  </w:style>
  <w:style w:type="paragraph" w:customStyle="1" w:styleId="153">
    <w:name w:val="目录 91"/>
    <w:basedOn w:val="152"/>
    <w:semiHidden/>
    <w:qFormat/>
    <w:uiPriority w:val="0"/>
    <w:pPr>
      <w:ind w:left="1680"/>
    </w:pPr>
  </w:style>
  <w:style w:type="paragraph" w:customStyle="1" w:styleId="154">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5">
    <w:name w:val="其他发布部门"/>
    <w:basedOn w:val="123"/>
    <w:qFormat/>
    <w:uiPriority w:val="0"/>
    <w:pPr>
      <w:framePr w:wrap="around"/>
      <w:spacing w:line="0" w:lineRule="atLeast"/>
    </w:pPr>
    <w:rPr>
      <w:rFonts w:ascii="黑体" w:eastAsia="黑体"/>
      <w:b w:val="0"/>
    </w:rPr>
  </w:style>
  <w:style w:type="paragraph" w:customStyle="1" w:styleId="156">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7">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8">
    <w:name w:val="实施日期"/>
    <w:basedOn w:val="124"/>
    <w:qFormat/>
    <w:uiPriority w:val="0"/>
    <w:pPr>
      <w:framePr w:hSpace="0" w:wrap="around" w:xAlign="right"/>
      <w:jc w:val="right"/>
    </w:pPr>
  </w:style>
  <w:style w:type="paragraph" w:customStyle="1" w:styleId="159">
    <w:name w:val="四级无标题条"/>
    <w:basedOn w:val="1"/>
    <w:qFormat/>
    <w:uiPriority w:val="0"/>
    <w:pPr>
      <w:numPr>
        <w:ilvl w:val="5"/>
        <w:numId w:val="20"/>
      </w:numPr>
      <w:adjustRightInd/>
      <w:spacing w:line="240" w:lineRule="auto"/>
    </w:pPr>
    <w:rPr>
      <w:rFonts w:ascii="宋体" w:hAnsi="宋体"/>
      <w:szCs w:val="24"/>
    </w:rPr>
  </w:style>
  <w:style w:type="paragraph" w:customStyle="1" w:styleId="160">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61">
    <w:name w:val="无标题条"/>
    <w:next w:val="60"/>
    <w:qFormat/>
    <w:uiPriority w:val="0"/>
    <w:pPr>
      <w:jc w:val="both"/>
    </w:pPr>
    <w:rPr>
      <w:rFonts w:ascii="宋体" w:hAnsi="宋体" w:eastAsia="宋体" w:cs="Times New Roman"/>
      <w:sz w:val="21"/>
      <w:lang w:val="en-US" w:eastAsia="zh-CN" w:bidi="ar-SA"/>
    </w:rPr>
  </w:style>
  <w:style w:type="paragraph" w:customStyle="1" w:styleId="162">
    <w:name w:val="五级无标题条"/>
    <w:basedOn w:val="1"/>
    <w:qFormat/>
    <w:uiPriority w:val="0"/>
    <w:pPr>
      <w:numPr>
        <w:ilvl w:val="6"/>
        <w:numId w:val="20"/>
      </w:numPr>
      <w:adjustRightInd/>
    </w:pPr>
    <w:rPr>
      <w:szCs w:val="24"/>
    </w:rPr>
  </w:style>
  <w:style w:type="paragraph" w:customStyle="1" w:styleId="163">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4">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5">
    <w:name w:val="注×:后续"/>
    <w:basedOn w:val="164"/>
    <w:qFormat/>
    <w:uiPriority w:val="0"/>
    <w:pPr>
      <w:ind w:left="1406" w:leftChars="0" w:hanging="499" w:firstLineChars="0"/>
    </w:pPr>
  </w:style>
  <w:style w:type="paragraph" w:customStyle="1" w:styleId="166">
    <w:name w:val="标准文件_一级无标题"/>
    <w:basedOn w:val="109"/>
    <w:qFormat/>
    <w:uiPriority w:val="0"/>
    <w:pPr>
      <w:spacing w:before="0" w:beforeLines="0" w:after="0" w:afterLines="0"/>
      <w:outlineLvl w:val="9"/>
    </w:pPr>
    <w:rPr>
      <w:rFonts w:ascii="宋体" w:eastAsia="宋体"/>
    </w:rPr>
  </w:style>
  <w:style w:type="paragraph" w:customStyle="1" w:styleId="167">
    <w:name w:val="标准文件_五级无标题"/>
    <w:basedOn w:val="107"/>
    <w:qFormat/>
    <w:uiPriority w:val="0"/>
    <w:pPr>
      <w:spacing w:before="0" w:beforeLines="0" w:after="0" w:afterLines="0"/>
      <w:outlineLvl w:val="9"/>
    </w:pPr>
    <w:rPr>
      <w:rFonts w:ascii="宋体" w:eastAsia="宋体"/>
    </w:rPr>
  </w:style>
  <w:style w:type="paragraph" w:customStyle="1" w:styleId="168">
    <w:name w:val="标准文件_三级无标题"/>
    <w:basedOn w:val="98"/>
    <w:qFormat/>
    <w:uiPriority w:val="0"/>
    <w:pPr>
      <w:spacing w:before="0" w:beforeLines="0" w:after="0" w:afterLines="0"/>
      <w:outlineLvl w:val="9"/>
    </w:pPr>
    <w:rPr>
      <w:rFonts w:ascii="宋体" w:eastAsia="宋体"/>
    </w:rPr>
  </w:style>
  <w:style w:type="paragraph" w:customStyle="1" w:styleId="169">
    <w:name w:val="标准文件_二级无标题"/>
    <w:basedOn w:val="69"/>
    <w:qFormat/>
    <w:uiPriority w:val="0"/>
    <w:pPr>
      <w:spacing w:before="0" w:beforeLines="0" w:after="0" w:afterLines="0"/>
      <w:outlineLvl w:val="9"/>
    </w:pPr>
    <w:rPr>
      <w:rFonts w:ascii="宋体" w:eastAsia="宋体"/>
    </w:rPr>
  </w:style>
  <w:style w:type="paragraph" w:customStyle="1" w:styleId="170">
    <w:name w:val="标准_四级无标题"/>
    <w:basedOn w:val="102"/>
    <w:next w:val="60"/>
    <w:qFormat/>
    <w:uiPriority w:val="0"/>
    <w:rPr>
      <w:rFonts w:eastAsia="宋体"/>
    </w:rPr>
  </w:style>
  <w:style w:type="paragraph" w:customStyle="1" w:styleId="171">
    <w:name w:val="标准文件_四级无标题"/>
    <w:basedOn w:val="102"/>
    <w:qFormat/>
    <w:uiPriority w:val="0"/>
    <w:pPr>
      <w:spacing w:before="0" w:beforeLines="0" w:after="0" w:afterLines="0"/>
      <w:outlineLvl w:val="9"/>
    </w:pPr>
    <w:rPr>
      <w:rFonts w:ascii="宋体" w:hAnsi="黑体" w:eastAsia="宋体"/>
      <w:szCs w:val="52"/>
    </w:rPr>
  </w:style>
  <w:style w:type="paragraph" w:customStyle="1" w:styleId="172">
    <w:name w:val="标准文件_大写罗马数字编号列项"/>
    <w:basedOn w:val="60"/>
    <w:qFormat/>
    <w:uiPriority w:val="0"/>
    <w:pPr>
      <w:numPr>
        <w:ilvl w:val="0"/>
        <w:numId w:val="23"/>
      </w:numPr>
      <w:ind w:firstLine="0" w:firstLineChars="0"/>
    </w:pPr>
    <w:rPr>
      <w:rFonts w:ascii="Times New Roman" w:cs="Arial"/>
      <w:szCs w:val="28"/>
    </w:rPr>
  </w:style>
  <w:style w:type="paragraph" w:customStyle="1" w:styleId="173">
    <w:name w:val="标准文件_小写罗马数字编号列项"/>
    <w:basedOn w:val="60"/>
    <w:qFormat/>
    <w:uiPriority w:val="0"/>
    <w:pPr>
      <w:numPr>
        <w:ilvl w:val="0"/>
        <w:numId w:val="24"/>
      </w:numPr>
      <w:ind w:firstLine="0" w:firstLineChars="0"/>
    </w:pPr>
    <w:rPr>
      <w:rFonts w:cs="Arial"/>
      <w:szCs w:val="28"/>
    </w:rPr>
  </w:style>
  <w:style w:type="paragraph" w:customStyle="1" w:styleId="174">
    <w:name w:val="标准文件_附录标题"/>
    <w:basedOn w:val="80"/>
    <w:qFormat/>
    <w:uiPriority w:val="0"/>
    <w:pPr>
      <w:numPr>
        <w:numId w:val="0"/>
      </w:numPr>
      <w:spacing w:after="280"/>
      <w:outlineLvl w:val="9"/>
    </w:pPr>
  </w:style>
  <w:style w:type="paragraph" w:customStyle="1" w:styleId="175">
    <w:name w:val="标准文件_二级项"/>
    <w:qFormat/>
    <w:uiPriority w:val="0"/>
    <w:rPr>
      <w:rFonts w:ascii="宋体" w:hAnsi="Times New Roman" w:eastAsia="宋体" w:cs="Times New Roman"/>
      <w:sz w:val="21"/>
      <w:lang w:val="en-US" w:eastAsia="zh-CN" w:bidi="ar-SA"/>
    </w:rPr>
  </w:style>
  <w:style w:type="paragraph" w:customStyle="1" w:styleId="176">
    <w:name w:val="标准文件_三级项"/>
    <w:basedOn w:val="1"/>
    <w:qFormat/>
    <w:uiPriority w:val="0"/>
    <w:pPr>
      <w:numPr>
        <w:ilvl w:val="2"/>
        <w:numId w:val="21"/>
      </w:numPr>
      <w:spacing w:line="536870612" w:lineRule="auto"/>
    </w:pPr>
    <w:rPr>
      <w:rFonts w:ascii="Times New Roman" w:hAnsi="Times New Roman"/>
    </w:rPr>
  </w:style>
  <w:style w:type="paragraph" w:customStyle="1" w:styleId="177">
    <w:name w:val="图表脚注说明"/>
    <w:basedOn w:val="1"/>
    <w:next w:val="60"/>
    <w:qFormat/>
    <w:uiPriority w:val="0"/>
    <w:pPr>
      <w:numPr>
        <w:ilvl w:val="0"/>
        <w:numId w:val="25"/>
      </w:numPr>
      <w:adjustRightInd/>
      <w:spacing w:line="240" w:lineRule="auto"/>
      <w:ind w:left="783"/>
    </w:pPr>
    <w:rPr>
      <w:rFonts w:ascii="宋体" w:hAnsi="Times New Roman"/>
      <w:sz w:val="18"/>
      <w:szCs w:val="18"/>
    </w:rPr>
  </w:style>
  <w:style w:type="paragraph" w:customStyle="1" w:styleId="178">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9">
    <w:name w:val="标准文件_索引字母"/>
    <w:next w:val="60"/>
    <w:qFormat/>
    <w:uiPriority w:val="0"/>
    <w:pPr>
      <w:jc w:val="center"/>
    </w:pPr>
    <w:rPr>
      <w:rFonts w:ascii="宋体" w:hAnsi="宋体" w:eastAsia="Times New Roman" w:cs="Times New Roman"/>
      <w:b/>
      <w:kern w:val="2"/>
      <w:sz w:val="21"/>
      <w:lang w:val="en-US" w:eastAsia="zh-CN" w:bidi="ar-SA"/>
    </w:rPr>
  </w:style>
  <w:style w:type="paragraph" w:customStyle="1" w:styleId="180">
    <w:name w:val="标准文件_附录前"/>
    <w:next w:val="60"/>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81">
    <w:name w:val="标准文件_正文标准名称"/>
    <w:qFormat/>
    <w:uiPriority w:val="0"/>
    <w:pPr>
      <w:spacing w:before="20" w:beforeLines="20" w:after="640" w:line="400" w:lineRule="exact"/>
      <w:jc w:val="center"/>
    </w:pPr>
    <w:rPr>
      <w:rFonts w:ascii="黑体" w:hAnsi="黑体" w:eastAsia="黑体" w:cs="Times New Roman"/>
      <w:kern w:val="2"/>
      <w:sz w:val="32"/>
      <w:szCs w:val="32"/>
      <w:lang w:val="en-US" w:eastAsia="zh-CN" w:bidi="ar-SA"/>
    </w:rPr>
  </w:style>
  <w:style w:type="paragraph" w:customStyle="1" w:styleId="182">
    <w:name w:val="标准文件_表格"/>
    <w:basedOn w:val="60"/>
    <w:qFormat/>
    <w:uiPriority w:val="0"/>
    <w:pPr>
      <w:ind w:firstLine="0" w:firstLineChars="0"/>
      <w:jc w:val="center"/>
    </w:pPr>
    <w:rPr>
      <w:sz w:val="18"/>
    </w:rPr>
  </w:style>
  <w:style w:type="paragraph" w:customStyle="1" w:styleId="183">
    <w:name w:val="标准文件_注："/>
    <w:next w:val="60"/>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4">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5">
    <w:name w:val="标准文件_示例："/>
    <w:next w:val="186"/>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6">
    <w:name w:val="标准文件_示例内容"/>
    <w:basedOn w:val="60"/>
    <w:qFormat/>
    <w:uiPriority w:val="0"/>
    <w:pPr>
      <w:ind w:firstLine="420"/>
    </w:pPr>
    <w:rPr>
      <w:sz w:val="18"/>
    </w:rPr>
  </w:style>
  <w:style w:type="paragraph" w:customStyle="1" w:styleId="187">
    <w:name w:val="标准文件_示例×："/>
    <w:basedOn w:val="1"/>
    <w:next w:val="186"/>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8">
    <w:name w:val="标准文件_段 Char"/>
    <w:link w:val="60"/>
    <w:qFormat/>
    <w:uiPriority w:val="0"/>
    <w:rPr>
      <w:rFonts w:ascii="宋体" w:hAnsi="Times New Roman"/>
      <w:sz w:val="21"/>
    </w:rPr>
  </w:style>
  <w:style w:type="paragraph" w:customStyle="1" w:styleId="189">
    <w:name w:val="标准文件_表格续"/>
    <w:basedOn w:val="60"/>
    <w:next w:val="60"/>
    <w:qFormat/>
    <w:uiPriority w:val="0"/>
    <w:pPr>
      <w:jc w:val="center"/>
    </w:pPr>
    <w:rPr>
      <w:rFonts w:ascii="黑体" w:hAnsi="黑体" w:eastAsia="黑体"/>
    </w:rPr>
  </w:style>
  <w:style w:type="character" w:styleId="190">
    <w:name w:val="Placeholder Text"/>
    <w:basedOn w:val="31"/>
    <w:semiHidden/>
    <w:qFormat/>
    <w:uiPriority w:val="99"/>
    <w:rPr>
      <w:color w:val="808080"/>
    </w:rPr>
  </w:style>
  <w:style w:type="paragraph" w:customStyle="1" w:styleId="191">
    <w:name w:val="标准文件_二级项2"/>
    <w:basedOn w:val="60"/>
    <w:qFormat/>
    <w:uiPriority w:val="0"/>
    <w:pPr>
      <w:numPr>
        <w:ilvl w:val="1"/>
        <w:numId w:val="21"/>
      </w:numPr>
      <w:ind w:left="1271" w:hanging="420" w:firstLineChars="0"/>
    </w:pPr>
  </w:style>
  <w:style w:type="paragraph" w:customStyle="1" w:styleId="192">
    <w:name w:val="标准文件_三级项2"/>
    <w:basedOn w:val="60"/>
    <w:qFormat/>
    <w:uiPriority w:val="0"/>
    <w:pPr>
      <w:numPr>
        <w:ilvl w:val="0"/>
        <w:numId w:val="30"/>
      </w:numPr>
      <w:spacing w:line="300" w:lineRule="exact"/>
      <w:ind w:left="1276" w:hanging="425" w:firstLineChars="0"/>
    </w:pPr>
    <w:rPr>
      <w:rFonts w:ascii="Times New Roman"/>
    </w:rPr>
  </w:style>
  <w:style w:type="paragraph" w:customStyle="1" w:styleId="193">
    <w:name w:val="标准文件_一级项2"/>
    <w:basedOn w:val="60"/>
    <w:qFormat/>
    <w:uiPriority w:val="0"/>
    <w:pPr>
      <w:numPr>
        <w:ilvl w:val="0"/>
        <w:numId w:val="31"/>
      </w:numPr>
      <w:spacing w:line="300" w:lineRule="exact"/>
      <w:ind w:left="1271" w:hanging="420" w:firstLineChars="0"/>
    </w:pPr>
    <w:rPr>
      <w:rFonts w:ascii="Times New Roman"/>
    </w:rPr>
  </w:style>
  <w:style w:type="paragraph" w:customStyle="1" w:styleId="194">
    <w:name w:val="标准文件_提示"/>
    <w:basedOn w:val="60"/>
    <w:next w:val="60"/>
    <w:qFormat/>
    <w:uiPriority w:val="0"/>
    <w:pPr>
      <w:ind w:firstLine="420"/>
    </w:pPr>
    <w:rPr>
      <w:rFonts w:ascii="黑体" w:eastAsia="黑体"/>
    </w:rPr>
  </w:style>
  <w:style w:type="character" w:customStyle="1" w:styleId="195">
    <w:name w:val="标准文件_来源"/>
    <w:basedOn w:val="31"/>
    <w:qFormat/>
    <w:uiPriority w:val="1"/>
    <w:rPr>
      <w:rFonts w:eastAsia="宋体"/>
      <w:sz w:val="21"/>
    </w:rPr>
  </w:style>
  <w:style w:type="paragraph" w:customStyle="1" w:styleId="196">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7">
    <w:name w:val="其他发布日期"/>
    <w:basedOn w:val="124"/>
    <w:qFormat/>
    <w:uiPriority w:val="0"/>
    <w:pPr>
      <w:framePr w:w="3997" w:h="471" w:hRule="exact" w:hSpace="0" w:vSpace="181" w:wrap="around" w:vAnchor="page" w:hAnchor="page" w:x="1419" w:y="14097"/>
    </w:pPr>
  </w:style>
  <w:style w:type="paragraph" w:customStyle="1" w:styleId="198">
    <w:name w:val="其他实施日期"/>
    <w:basedOn w:val="158"/>
    <w:qFormat/>
    <w:uiPriority w:val="0"/>
    <w:pPr>
      <w:framePr w:w="3997" w:h="471" w:hRule="exact" w:vSpace="181" w:wrap="around" w:vAnchor="page" w:hAnchor="page" w:x="7089" w:y="14097"/>
    </w:pPr>
  </w:style>
  <w:style w:type="paragraph" w:customStyle="1" w:styleId="199">
    <w:name w:val="标准文件_文件编号"/>
    <w:basedOn w:val="60"/>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200">
    <w:name w:val="标准文件_替换文件编号"/>
    <w:basedOn w:val="199"/>
    <w:qFormat/>
    <w:uiPriority w:val="0"/>
    <w:pPr>
      <w:spacing w:before="57"/>
    </w:pPr>
    <w:rPr>
      <w:sz w:val="21"/>
    </w:rPr>
  </w:style>
  <w:style w:type="paragraph" w:customStyle="1" w:styleId="201">
    <w:name w:val="标准文件_文件名称"/>
    <w:basedOn w:val="60"/>
    <w:next w:val="60"/>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202">
    <w:name w:val="标准文件_附录图标号"/>
    <w:basedOn w:val="60"/>
    <w:next w:val="60"/>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203">
    <w:name w:val="标准文件_附录表标号"/>
    <w:basedOn w:val="60"/>
    <w:next w:val="60"/>
    <w:qFormat/>
    <w:uiPriority w:val="0"/>
    <w:pPr>
      <w:numPr>
        <w:ilvl w:val="0"/>
        <w:numId w:val="5"/>
      </w:numPr>
      <w:spacing w:line="14" w:lineRule="exact"/>
      <w:ind w:firstLine="0" w:firstLineChars="0"/>
      <w:jc w:val="center"/>
    </w:pPr>
    <w:rPr>
      <w:rFonts w:eastAsia="黑体"/>
      <w:vanish/>
      <w:sz w:val="2"/>
    </w:rPr>
  </w:style>
  <w:style w:type="paragraph" w:customStyle="1" w:styleId="204">
    <w:name w:val="标准文件_引言一级条标题"/>
    <w:basedOn w:val="60"/>
    <w:next w:val="60"/>
    <w:qFormat/>
    <w:uiPriority w:val="0"/>
    <w:pPr>
      <w:numPr>
        <w:ilvl w:val="1"/>
        <w:numId w:val="8"/>
      </w:numPr>
      <w:spacing w:before="50" w:beforeLines="50" w:after="50" w:afterLines="50"/>
      <w:ind w:firstLineChars="0"/>
    </w:pPr>
    <w:rPr>
      <w:rFonts w:ascii="黑体" w:eastAsia="黑体"/>
    </w:rPr>
  </w:style>
  <w:style w:type="paragraph" w:customStyle="1" w:styleId="205">
    <w:name w:val="标准文件_引言二级条标题"/>
    <w:basedOn w:val="60"/>
    <w:next w:val="60"/>
    <w:qFormat/>
    <w:uiPriority w:val="0"/>
    <w:pPr>
      <w:numPr>
        <w:ilvl w:val="2"/>
        <w:numId w:val="8"/>
      </w:numPr>
      <w:spacing w:before="50" w:beforeLines="50" w:after="50" w:afterLines="50"/>
      <w:ind w:firstLineChars="0"/>
    </w:pPr>
    <w:rPr>
      <w:rFonts w:ascii="黑体" w:eastAsia="黑体"/>
    </w:rPr>
  </w:style>
  <w:style w:type="paragraph" w:customStyle="1" w:styleId="206">
    <w:name w:val="标准文件_引言三级条标题"/>
    <w:basedOn w:val="60"/>
    <w:next w:val="60"/>
    <w:qFormat/>
    <w:uiPriority w:val="0"/>
    <w:pPr>
      <w:numPr>
        <w:ilvl w:val="3"/>
        <w:numId w:val="8"/>
      </w:numPr>
      <w:spacing w:before="50" w:beforeLines="50" w:after="50" w:afterLines="50"/>
      <w:ind w:firstLineChars="0"/>
    </w:pPr>
    <w:rPr>
      <w:rFonts w:ascii="黑体" w:eastAsia="黑体"/>
    </w:rPr>
  </w:style>
  <w:style w:type="paragraph" w:customStyle="1" w:styleId="207">
    <w:name w:val="标准文件_引言四级条标题"/>
    <w:basedOn w:val="60"/>
    <w:next w:val="60"/>
    <w:qFormat/>
    <w:uiPriority w:val="0"/>
    <w:pPr>
      <w:numPr>
        <w:ilvl w:val="4"/>
        <w:numId w:val="8"/>
      </w:numPr>
      <w:spacing w:before="50" w:beforeLines="50" w:after="50" w:afterLines="50"/>
      <w:ind w:firstLineChars="0"/>
    </w:pPr>
    <w:rPr>
      <w:rFonts w:ascii="黑体" w:eastAsia="黑体"/>
    </w:rPr>
  </w:style>
  <w:style w:type="paragraph" w:customStyle="1" w:styleId="208">
    <w:name w:val="标准文件_引言五级条标题"/>
    <w:basedOn w:val="60"/>
    <w:next w:val="60"/>
    <w:qFormat/>
    <w:uiPriority w:val="0"/>
    <w:pPr>
      <w:numPr>
        <w:ilvl w:val="5"/>
        <w:numId w:val="8"/>
      </w:numPr>
      <w:spacing w:before="50" w:beforeLines="50" w:after="50" w:afterLines="50"/>
      <w:ind w:firstLineChars="0"/>
    </w:pPr>
    <w:rPr>
      <w:rFonts w:ascii="黑体" w:eastAsia="黑体"/>
    </w:rPr>
  </w:style>
  <w:style w:type="paragraph" w:customStyle="1" w:styleId="209">
    <w:name w:val="标准文件_注后"/>
    <w:basedOn w:val="60"/>
    <w:qFormat/>
    <w:uiPriority w:val="0"/>
    <w:pPr>
      <w:ind w:left="811" w:firstLine="0" w:firstLineChars="0"/>
    </w:pPr>
    <w:rPr>
      <w:sz w:val="18"/>
    </w:rPr>
  </w:style>
  <w:style w:type="paragraph" w:customStyle="1" w:styleId="210">
    <w:name w:val="标准文件_注X后"/>
    <w:basedOn w:val="60"/>
    <w:qFormat/>
    <w:uiPriority w:val="0"/>
    <w:pPr>
      <w:ind w:left="811" w:firstLine="0" w:firstLineChars="0"/>
    </w:pPr>
    <w:rPr>
      <w:sz w:val="18"/>
    </w:rPr>
  </w:style>
  <w:style w:type="paragraph" w:customStyle="1" w:styleId="211">
    <w:name w:val="标准文件_示例后"/>
    <w:basedOn w:val="60"/>
    <w:qFormat/>
    <w:uiPriority w:val="0"/>
    <w:pPr>
      <w:ind w:left="964" w:firstLine="0" w:firstLineChars="0"/>
    </w:pPr>
    <w:rPr>
      <w:sz w:val="18"/>
    </w:rPr>
  </w:style>
  <w:style w:type="paragraph" w:customStyle="1" w:styleId="212">
    <w:name w:val="标准文件_示例X后"/>
    <w:basedOn w:val="60"/>
    <w:link w:val="213"/>
    <w:qFormat/>
    <w:uiPriority w:val="0"/>
    <w:pPr>
      <w:ind w:left="1049" w:firstLine="0" w:firstLineChars="0"/>
    </w:pPr>
    <w:rPr>
      <w:sz w:val="18"/>
    </w:rPr>
  </w:style>
  <w:style w:type="character" w:customStyle="1" w:styleId="213">
    <w:name w:val="标准文件_示例X后 字符"/>
    <w:basedOn w:val="188"/>
    <w:link w:val="212"/>
    <w:qFormat/>
    <w:uiPriority w:val="0"/>
    <w:rPr>
      <w:rFonts w:ascii="宋体" w:hAnsi="Times New Roman"/>
      <w:sz w:val="18"/>
    </w:rPr>
  </w:style>
  <w:style w:type="paragraph" w:customStyle="1" w:styleId="214">
    <w:name w:val="标准文件_索引项"/>
    <w:basedOn w:val="60"/>
    <w:next w:val="60"/>
    <w:qFormat/>
    <w:uiPriority w:val="0"/>
    <w:pPr>
      <w:tabs>
        <w:tab w:val="right" w:leader="dot" w:pos="9356"/>
      </w:tabs>
      <w:ind w:left="210" w:hanging="210" w:firstLineChars="0"/>
      <w:jc w:val="left"/>
    </w:pPr>
  </w:style>
  <w:style w:type="paragraph" w:customStyle="1" w:styleId="215">
    <w:name w:val="标准文件_附录一级无标题"/>
    <w:basedOn w:val="82"/>
    <w:qFormat/>
    <w:uiPriority w:val="0"/>
    <w:pPr>
      <w:spacing w:before="0" w:beforeLines="0" w:after="0" w:afterLines="0" w:line="276" w:lineRule="auto"/>
      <w:outlineLvl w:val="9"/>
    </w:pPr>
    <w:rPr>
      <w:rFonts w:ascii="宋体" w:eastAsia="宋体"/>
    </w:rPr>
  </w:style>
  <w:style w:type="paragraph" w:customStyle="1" w:styleId="216">
    <w:name w:val="标准文件_附录二级无标题"/>
    <w:basedOn w:val="83"/>
    <w:qFormat/>
    <w:uiPriority w:val="0"/>
    <w:pPr>
      <w:spacing w:before="0" w:beforeLines="0" w:after="0" w:afterLines="0" w:line="276" w:lineRule="auto"/>
      <w:outlineLvl w:val="9"/>
    </w:pPr>
    <w:rPr>
      <w:rFonts w:ascii="宋体" w:eastAsia="宋体"/>
    </w:rPr>
  </w:style>
  <w:style w:type="paragraph" w:customStyle="1" w:styleId="217">
    <w:name w:val="标准文件_附录三级无标题"/>
    <w:basedOn w:val="85"/>
    <w:qFormat/>
    <w:uiPriority w:val="0"/>
    <w:pPr>
      <w:spacing w:before="0" w:beforeLines="0" w:after="0" w:afterLines="0" w:line="276" w:lineRule="auto"/>
      <w:outlineLvl w:val="9"/>
    </w:pPr>
    <w:rPr>
      <w:rFonts w:ascii="宋体" w:eastAsia="宋体"/>
    </w:rPr>
  </w:style>
  <w:style w:type="paragraph" w:customStyle="1" w:styleId="218">
    <w:name w:val="标准文件_附录四级无标题"/>
    <w:basedOn w:val="86"/>
    <w:qFormat/>
    <w:uiPriority w:val="0"/>
    <w:pPr>
      <w:spacing w:before="0" w:beforeLines="0" w:after="0" w:afterLines="0" w:line="276" w:lineRule="auto"/>
      <w:outlineLvl w:val="9"/>
    </w:pPr>
    <w:rPr>
      <w:rFonts w:ascii="宋体" w:eastAsia="宋体"/>
    </w:rPr>
  </w:style>
  <w:style w:type="paragraph" w:customStyle="1" w:styleId="219">
    <w:name w:val="标准文件_附录五级无标题"/>
    <w:basedOn w:val="88"/>
    <w:qFormat/>
    <w:uiPriority w:val="0"/>
    <w:pPr>
      <w:spacing w:before="0" w:beforeLines="0" w:after="0" w:afterLines="0" w:line="276" w:lineRule="auto"/>
      <w:outlineLvl w:val="9"/>
    </w:pPr>
    <w:rPr>
      <w:rFonts w:ascii="宋体" w:eastAsia="宋体"/>
    </w:rPr>
  </w:style>
  <w:style w:type="paragraph" w:customStyle="1" w:styleId="220">
    <w:name w:val="标准文件_引言一级无标题"/>
    <w:basedOn w:val="204"/>
    <w:next w:val="60"/>
    <w:qFormat/>
    <w:uiPriority w:val="0"/>
    <w:pPr>
      <w:spacing w:before="0" w:beforeLines="0" w:after="0" w:afterLines="0" w:line="276" w:lineRule="auto"/>
    </w:pPr>
    <w:rPr>
      <w:rFonts w:ascii="宋体" w:eastAsia="宋体"/>
    </w:rPr>
  </w:style>
  <w:style w:type="paragraph" w:customStyle="1" w:styleId="221">
    <w:name w:val="标准文件_引言二级无标题"/>
    <w:basedOn w:val="205"/>
    <w:next w:val="60"/>
    <w:qFormat/>
    <w:uiPriority w:val="0"/>
    <w:pPr>
      <w:spacing w:before="0" w:beforeLines="0" w:after="0" w:afterLines="0" w:line="276" w:lineRule="auto"/>
    </w:pPr>
    <w:rPr>
      <w:rFonts w:ascii="宋体" w:eastAsia="宋体"/>
    </w:rPr>
  </w:style>
  <w:style w:type="paragraph" w:customStyle="1" w:styleId="222">
    <w:name w:val="标准文件_引言三级无标题"/>
    <w:basedOn w:val="206"/>
    <w:next w:val="60"/>
    <w:qFormat/>
    <w:uiPriority w:val="0"/>
    <w:pPr>
      <w:spacing w:before="0" w:beforeLines="0" w:after="0" w:afterLines="0" w:line="276" w:lineRule="auto"/>
    </w:pPr>
    <w:rPr>
      <w:rFonts w:ascii="宋体" w:eastAsia="宋体"/>
    </w:rPr>
  </w:style>
  <w:style w:type="paragraph" w:customStyle="1" w:styleId="223">
    <w:name w:val="标准文件_引言四级无标题"/>
    <w:basedOn w:val="207"/>
    <w:next w:val="60"/>
    <w:qFormat/>
    <w:uiPriority w:val="0"/>
    <w:pPr>
      <w:spacing w:before="0" w:beforeLines="0" w:after="0" w:afterLines="0" w:line="276" w:lineRule="auto"/>
    </w:pPr>
    <w:rPr>
      <w:rFonts w:ascii="宋体" w:eastAsia="宋体"/>
    </w:rPr>
  </w:style>
  <w:style w:type="paragraph" w:customStyle="1" w:styleId="224">
    <w:name w:val="标准文件_引言五级无标题"/>
    <w:basedOn w:val="208"/>
    <w:next w:val="60"/>
    <w:qFormat/>
    <w:uiPriority w:val="0"/>
    <w:pPr>
      <w:spacing w:before="0" w:beforeLines="0" w:after="0" w:afterLines="0" w:line="276" w:lineRule="auto"/>
    </w:pPr>
    <w:rPr>
      <w:rFonts w:ascii="宋体" w:eastAsia="宋体"/>
    </w:rPr>
  </w:style>
  <w:style w:type="paragraph" w:customStyle="1" w:styleId="225">
    <w:name w:val="标准文件_索引标题"/>
    <w:basedOn w:val="67"/>
    <w:next w:val="60"/>
    <w:qFormat/>
    <w:uiPriority w:val="0"/>
    <w:rPr>
      <w:rFonts w:hAnsi="黑体"/>
    </w:rPr>
  </w:style>
  <w:style w:type="paragraph" w:customStyle="1" w:styleId="226">
    <w:name w:val="标准文件_脚注内容"/>
    <w:basedOn w:val="60"/>
    <w:qFormat/>
    <w:uiPriority w:val="0"/>
    <w:pPr>
      <w:ind w:left="400" w:leftChars="200" w:hanging="200" w:hangingChars="200"/>
    </w:pPr>
    <w:rPr>
      <w:sz w:val="15"/>
    </w:rPr>
  </w:style>
  <w:style w:type="paragraph" w:customStyle="1" w:styleId="227">
    <w:name w:val="标准文件_术语条一"/>
    <w:basedOn w:val="166"/>
    <w:next w:val="60"/>
    <w:qFormat/>
    <w:uiPriority w:val="0"/>
  </w:style>
  <w:style w:type="paragraph" w:customStyle="1" w:styleId="228">
    <w:name w:val="标准文件_术语条二"/>
    <w:basedOn w:val="169"/>
    <w:next w:val="60"/>
    <w:qFormat/>
    <w:uiPriority w:val="0"/>
  </w:style>
  <w:style w:type="paragraph" w:customStyle="1" w:styleId="229">
    <w:name w:val="标准文件_术语条三"/>
    <w:basedOn w:val="168"/>
    <w:next w:val="60"/>
    <w:qFormat/>
    <w:uiPriority w:val="0"/>
  </w:style>
  <w:style w:type="paragraph" w:customStyle="1" w:styleId="230">
    <w:name w:val="标准文件_术语条四"/>
    <w:basedOn w:val="171"/>
    <w:next w:val="60"/>
    <w:qFormat/>
    <w:uiPriority w:val="0"/>
  </w:style>
  <w:style w:type="paragraph" w:customStyle="1" w:styleId="231">
    <w:name w:val="标准文件_术语条五"/>
    <w:basedOn w:val="167"/>
    <w:next w:val="60"/>
    <w:qFormat/>
    <w:uiPriority w:val="0"/>
  </w:style>
  <w:style w:type="paragraph" w:customStyle="1" w:styleId="23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33">
    <w:name w:val="发布"/>
    <w:basedOn w:val="31"/>
    <w:qFormat/>
    <w:uiPriority w:val="0"/>
    <w:rPr>
      <w:rFonts w:ascii="黑体" w:eastAsia="黑体"/>
      <w:spacing w:val="85"/>
      <w:w w:val="100"/>
      <w:position w:val="3"/>
      <w:sz w:val="28"/>
      <w:szCs w:val="28"/>
    </w:rPr>
  </w:style>
  <w:style w:type="character" w:customStyle="1" w:styleId="234">
    <w:name w:val="批注文字 字符"/>
    <w:basedOn w:val="31"/>
    <w:link w:val="13"/>
    <w:semiHidden/>
    <w:qFormat/>
    <w:uiPriority w:val="0"/>
    <w:rPr>
      <w:rFonts w:ascii="Times New Roman" w:hAnsi="Times New Roman"/>
      <w:kern w:val="2"/>
      <w:sz w:val="21"/>
      <w:szCs w:val="24"/>
    </w:rPr>
  </w:style>
  <w:style w:type="character" w:customStyle="1" w:styleId="235">
    <w:name w:val="批注主题 字符"/>
    <w:basedOn w:val="234"/>
    <w:link w:val="28"/>
    <w:semiHidden/>
    <w:qFormat/>
    <w:uiPriority w:val="99"/>
    <w:rPr>
      <w:rFonts w:ascii="Times New Roman" w:hAnsi="Times New Roman"/>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glossaryDocument" Target="glossary/document.xml"/><Relationship Id="rId26" Type="http://schemas.openxmlformats.org/officeDocument/2006/relationships/fontTable" Target="fontTable.xml"/><Relationship Id="rId25" Type="http://schemas.openxmlformats.org/officeDocument/2006/relationships/customXml" Target="../customXml/item2.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tiff"/><Relationship Id="rId21" Type="http://schemas.openxmlformats.org/officeDocument/2006/relationships/theme" Target="theme/theme1.xml"/><Relationship Id="rId20" Type="http://schemas.openxmlformats.org/officeDocument/2006/relationships/footer" Target="footer8.xml"/><Relationship Id="rId2" Type="http://schemas.openxmlformats.org/officeDocument/2006/relationships/settings" Target="settings.xml"/><Relationship Id="rId19" Type="http://schemas.openxmlformats.org/officeDocument/2006/relationships/footer" Target="footer7.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footer" Target="footer6.xml"/><Relationship Id="rId15" Type="http://schemas.openxmlformats.org/officeDocument/2006/relationships/footer" Target="footer5.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DD9BDC2ECF948DEBDA5D51D0C85597F"/>
        <w:style w:val=""/>
        <w:category>
          <w:name w:val="常规"/>
          <w:gallery w:val="placeholder"/>
        </w:category>
        <w:types>
          <w:type w:val="bbPlcHdr"/>
        </w:types>
        <w:behaviors>
          <w:behavior w:val="content"/>
        </w:behaviors>
        <w:description w:val=""/>
        <w:guid w:val="{A1B92105-9C76-4004-AED6-B04CD21F5AC2}"/>
      </w:docPartPr>
      <w:docPartBody>
        <w:p>
          <w:pPr>
            <w:pStyle w:val="5"/>
          </w:pPr>
          <w:r>
            <w:rPr>
              <w:rStyle w:val="4"/>
              <w:rFonts w:hint="eastAsia"/>
            </w:rPr>
            <w:t>单击或点击此处输入文字。</w:t>
          </w:r>
        </w:p>
      </w:docPartBody>
    </w:docPart>
    <w:docPart>
      <w:docPartPr>
        <w:name w:val="9BE23F89CA064BC4A98EABD850BBEF76"/>
        <w:style w:val=""/>
        <w:category>
          <w:name w:val="常规"/>
          <w:gallery w:val="placeholder"/>
        </w:category>
        <w:types>
          <w:type w:val="bbPlcHdr"/>
        </w:types>
        <w:behaviors>
          <w:behavior w:val="content"/>
        </w:behaviors>
        <w:description w:val=""/>
        <w:guid w:val="{0AEE0173-AC39-498E-94B8-B283BFC1C8C5}"/>
      </w:docPartPr>
      <w:docPartBody>
        <w:p>
          <w:pPr>
            <w:pStyle w:val="6"/>
          </w:pPr>
          <w:r>
            <w:rPr>
              <w:rStyle w:val="4"/>
              <w:rFonts w:hint="eastAsia"/>
            </w:rPr>
            <w:t>选择一项。</w:t>
          </w:r>
        </w:p>
      </w:docPartBody>
    </w:docPart>
    <w:docPart>
      <w:docPartPr>
        <w:name w:val="A1D5730589A840B58F37A3101F08705E"/>
        <w:style w:val=""/>
        <w:category>
          <w:name w:val="常规"/>
          <w:gallery w:val="placeholder"/>
        </w:category>
        <w:types>
          <w:type w:val="bbPlcHdr"/>
        </w:types>
        <w:behaviors>
          <w:behavior w:val="content"/>
        </w:behaviors>
        <w:description w:val=""/>
        <w:guid w:val="{26698332-8195-4945-A30A-79CE6DF9AF93}"/>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548"/>
    <w:rsid w:val="00041034"/>
    <w:rsid w:val="00082043"/>
    <w:rsid w:val="000D64D7"/>
    <w:rsid w:val="0011173C"/>
    <w:rsid w:val="00122AFC"/>
    <w:rsid w:val="001A5FFD"/>
    <w:rsid w:val="001E0402"/>
    <w:rsid w:val="002965E6"/>
    <w:rsid w:val="002C45A8"/>
    <w:rsid w:val="003A5D18"/>
    <w:rsid w:val="003F260B"/>
    <w:rsid w:val="004340C9"/>
    <w:rsid w:val="00467548"/>
    <w:rsid w:val="004B1A11"/>
    <w:rsid w:val="00532A19"/>
    <w:rsid w:val="00532D9C"/>
    <w:rsid w:val="00552CA6"/>
    <w:rsid w:val="005701CD"/>
    <w:rsid w:val="00597774"/>
    <w:rsid w:val="005C0A92"/>
    <w:rsid w:val="00627444"/>
    <w:rsid w:val="00687C5F"/>
    <w:rsid w:val="006F3E81"/>
    <w:rsid w:val="0070414C"/>
    <w:rsid w:val="00756C15"/>
    <w:rsid w:val="007D3BF4"/>
    <w:rsid w:val="00810AE8"/>
    <w:rsid w:val="009055D5"/>
    <w:rsid w:val="00945CAC"/>
    <w:rsid w:val="009E42BA"/>
    <w:rsid w:val="00AB226E"/>
    <w:rsid w:val="00AE2817"/>
    <w:rsid w:val="00BA6B94"/>
    <w:rsid w:val="00C55184"/>
    <w:rsid w:val="00C94793"/>
    <w:rsid w:val="00CA1FEA"/>
    <w:rsid w:val="00DC5C54"/>
    <w:rsid w:val="00E21150"/>
    <w:rsid w:val="00E33C29"/>
    <w:rsid w:val="00E471F4"/>
    <w:rsid w:val="00E63611"/>
    <w:rsid w:val="00EC6491"/>
    <w:rsid w:val="00EF2269"/>
    <w:rsid w:val="00F34BA6"/>
    <w:rsid w:val="00FF36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DD9BDC2ECF948DEBDA5D51D0C85597F"/>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9BE23F89CA064BC4A98EABD850BBEF7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A1D5730589A840B58F37A3101F08705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8">
    <w:name w:val="11E366EB580D41F783D134AA2ED0088C"/>
    <w:qFormat/>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90219D-E7AE-48E8-ADE8-1A94A7E9052A}">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16</Pages>
  <Words>6893</Words>
  <Characters>7349</Characters>
  <Lines>102</Lines>
  <Paragraphs>28</Paragraphs>
  <TotalTime>8</TotalTime>
  <ScaleCrop>false</ScaleCrop>
  <LinksUpToDate>false</LinksUpToDate>
  <CharactersWithSpaces>7449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2021-07-23T03:35:00Z</dcterms:created>
  <dc:creator>PQ</dc:creator>
  <dc:description>&lt;config cover="true" show_menu="true" version="1.0.0" doctype="SDKXY"&gt;_x000d_
&lt;/config&gt;</dc:description>
  <cp:lastModifiedBy>splashlove</cp:lastModifiedBy>
  <cp:lastPrinted>2020-11-25T01:27:00Z</cp:lastPrinted>
  <dcterms:modified xsi:type="dcterms:W3CDTF">2022-10-31T00:52:13Z</dcterms:modified>
  <dc:title>地方标准</dc:title>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ProductBuildVer">
    <vt:lpwstr>2052-11.1.0.12598</vt:lpwstr>
  </property>
  <property fmtid="{D5CDD505-2E9C-101B-9397-08002B2CF9AE}" pid="16" name="ICV">
    <vt:lpwstr>CF372670316D4D3F868FB25DBF940327</vt:lpwstr>
  </property>
</Properties>
</file>