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BDC44">
      <w:pPr>
        <w:spacing w:line="220" w:lineRule="atLeast"/>
        <w:ind w:firstLine="0" w:firstLineChars="0"/>
        <w:jc w:val="center"/>
        <w:rPr>
          <w:rFonts w:hint="default" w:asciiTheme="minorAscii" w:hAnsiTheme="minorAscii"/>
          <w:b/>
          <w:sz w:val="56"/>
          <w:szCs w:val="21"/>
          <w:lang w:val="en-US" w:eastAsia="zh-CN"/>
        </w:rPr>
      </w:pPr>
    </w:p>
    <w:p w14:paraId="61FFA973">
      <w:pPr>
        <w:spacing w:line="220" w:lineRule="atLeast"/>
        <w:ind w:firstLine="0" w:firstLineChars="0"/>
        <w:jc w:val="center"/>
        <w:rPr>
          <w:rFonts w:hint="default" w:asciiTheme="minorAscii" w:hAnsiTheme="minorAscii"/>
          <w:b/>
          <w:sz w:val="56"/>
          <w:szCs w:val="21"/>
          <w:lang w:val="en-US" w:eastAsia="zh-CN"/>
        </w:rPr>
      </w:pPr>
    </w:p>
    <w:p w14:paraId="0F031724">
      <w:pPr>
        <w:spacing w:line="220" w:lineRule="atLeast"/>
        <w:ind w:firstLine="0" w:firstLineChars="0"/>
        <w:jc w:val="center"/>
        <w:rPr>
          <w:rFonts w:hint="default" w:asciiTheme="minorAscii" w:hAnsiTheme="minorAscii"/>
          <w:b/>
          <w:sz w:val="56"/>
          <w:szCs w:val="21"/>
          <w:lang w:val="en-US" w:eastAsia="zh-CN"/>
        </w:rPr>
      </w:pPr>
    </w:p>
    <w:p w14:paraId="1B28D8DE">
      <w:pPr>
        <w:spacing w:line="220" w:lineRule="atLeast"/>
        <w:ind w:firstLine="0" w:firstLineChars="0"/>
        <w:jc w:val="center"/>
        <w:rPr>
          <w:rFonts w:hint="default" w:asciiTheme="minorAscii" w:hAnsiTheme="minorAscii"/>
          <w:b/>
          <w:sz w:val="56"/>
          <w:szCs w:val="21"/>
          <w:lang w:val="en-US" w:eastAsia="zh-CN"/>
        </w:rPr>
      </w:pPr>
      <w:r>
        <w:rPr>
          <w:rFonts w:hint="default" w:asciiTheme="minorAscii" w:hAnsiTheme="minorAscii"/>
          <w:b/>
          <w:sz w:val="56"/>
          <w:szCs w:val="21"/>
          <w:lang w:val="en-US" w:eastAsia="zh-CN"/>
        </w:rPr>
        <w:t>江苏省个体工商户分型分类培育管理平台</w:t>
      </w:r>
    </w:p>
    <w:p w14:paraId="120C4BCD">
      <w:pPr>
        <w:spacing w:before="120" w:beforeLines="50" w:after="120" w:afterLines="50" w:line="220" w:lineRule="atLeast"/>
        <w:ind w:firstLine="196" w:firstLineChars="41"/>
        <w:jc w:val="center"/>
        <w:rPr>
          <w:sz w:val="48"/>
        </w:rPr>
      </w:pPr>
      <w:r>
        <w:rPr>
          <w:rFonts w:hint="eastAsia"/>
          <w:sz w:val="48"/>
        </w:rPr>
        <w:t>（</w:t>
      </w:r>
      <w:r>
        <w:rPr>
          <w:rFonts w:hint="eastAsia"/>
          <w:sz w:val="48"/>
          <w:lang w:val="en-US" w:eastAsia="zh-CN"/>
        </w:rPr>
        <w:t>申报</w:t>
      </w:r>
      <w:r>
        <w:rPr>
          <w:rFonts w:hint="eastAsia"/>
          <w:sz w:val="48"/>
        </w:rPr>
        <w:t>端）</w:t>
      </w:r>
    </w:p>
    <w:p w14:paraId="47B4622D">
      <w:pPr>
        <w:pBdr>
          <w:top w:val="threeDEngrave" w:color="auto" w:sz="12" w:space="1"/>
          <w:left w:val="threeDEngrave" w:color="auto" w:sz="12" w:space="0"/>
          <w:bottom w:val="threeDEmboss" w:color="auto" w:sz="12" w:space="1"/>
          <w:right w:val="threeDEmboss" w:color="auto" w:sz="12" w:space="0"/>
        </w:pBdr>
        <w:spacing w:before="720" w:after="240"/>
        <w:ind w:firstLine="199" w:firstLineChars="45"/>
        <w:jc w:val="center"/>
        <w:rPr>
          <w:rFonts w:ascii="Times New Roman" w:hAnsi="Times New Roman" w:eastAsia="宋体" w:cs="Times New Roman"/>
          <w:b/>
          <w:bCs/>
          <w:smallCaps/>
          <w:kern w:val="28"/>
          <w:sz w:val="44"/>
          <w:szCs w:val="44"/>
        </w:rPr>
      </w:pPr>
      <w:r>
        <w:rPr>
          <w:rFonts w:hint="eastAsia" w:ascii="Times New Roman" w:hAnsi="Times New Roman" w:eastAsia="宋体" w:cs="Times New Roman"/>
          <w:b/>
          <w:bCs/>
          <w:smallCaps/>
          <w:kern w:val="28"/>
          <w:sz w:val="44"/>
          <w:szCs w:val="44"/>
        </w:rPr>
        <w:t>操作手册</w:t>
      </w:r>
    </w:p>
    <w:p w14:paraId="337B82DC">
      <w:pPr>
        <w:ind w:firstLine="0" w:firstLineChars="0"/>
        <w:jc w:val="center"/>
        <w:rPr>
          <w:rFonts w:hint="default" w:ascii="Times New Roman" w:hAnsi="Times New Roman" w:eastAsia="宋体" w:cs="Times New Roman"/>
          <w:b/>
          <w:bCs/>
          <w:sz w:val="36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24"/>
        </w:rPr>
        <w:t>V1</w:t>
      </w:r>
      <w:r>
        <w:rPr>
          <w:rFonts w:hint="eastAsia" w:ascii="Times New Roman" w:hAnsi="Times New Roman" w:eastAsia="宋体" w:cs="Times New Roman"/>
          <w:b/>
          <w:bCs/>
          <w:sz w:val="36"/>
          <w:szCs w:val="24"/>
          <w:lang w:val="en-US" w:eastAsia="zh-CN"/>
        </w:rPr>
        <w:t>.0</w:t>
      </w:r>
    </w:p>
    <w:p w14:paraId="4884B828">
      <w:pPr>
        <w:spacing w:line="220" w:lineRule="atLeast"/>
        <w:ind w:firstLine="0" w:firstLineChars="0"/>
        <w:jc w:val="center"/>
        <w:rPr>
          <w:rFonts w:hint="default" w:asciiTheme="minorAscii" w:hAnsiTheme="minorAscii"/>
          <w:b/>
          <w:sz w:val="56"/>
          <w:szCs w:val="21"/>
          <w:lang w:val="en-US" w:eastAsia="zh-CN"/>
        </w:rPr>
      </w:pPr>
    </w:p>
    <w:p w14:paraId="461412CA">
      <w:pPr>
        <w:spacing w:line="220" w:lineRule="atLeast"/>
        <w:ind w:firstLine="0" w:firstLineChars="0"/>
        <w:jc w:val="center"/>
        <w:rPr>
          <w:rFonts w:hint="default" w:asciiTheme="minorAscii" w:hAnsiTheme="minorAscii"/>
          <w:b/>
          <w:sz w:val="56"/>
          <w:szCs w:val="21"/>
          <w:lang w:val="en-US" w:eastAsia="zh-CN"/>
        </w:rPr>
      </w:pPr>
    </w:p>
    <w:p w14:paraId="20113588">
      <w:pPr>
        <w:spacing w:line="220" w:lineRule="atLeast"/>
        <w:ind w:firstLine="0" w:firstLineChars="0"/>
        <w:jc w:val="center"/>
        <w:rPr>
          <w:rFonts w:hint="default" w:asciiTheme="minorAscii" w:hAnsiTheme="minorAscii"/>
          <w:b/>
          <w:sz w:val="56"/>
          <w:szCs w:val="21"/>
          <w:lang w:val="en-US" w:eastAsia="zh-CN"/>
        </w:rPr>
      </w:pPr>
    </w:p>
    <w:p w14:paraId="724A2EC3">
      <w:pPr>
        <w:spacing w:line="220" w:lineRule="atLeast"/>
        <w:ind w:firstLine="0" w:firstLineChars="0"/>
        <w:jc w:val="center"/>
        <w:rPr>
          <w:rFonts w:hint="default" w:asciiTheme="minorAscii" w:hAnsiTheme="minorAscii"/>
          <w:b/>
          <w:sz w:val="56"/>
          <w:szCs w:val="21"/>
          <w:lang w:val="en-US" w:eastAsia="zh-CN"/>
        </w:rPr>
      </w:pPr>
    </w:p>
    <w:p w14:paraId="3682F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/>
        <w:jc w:val="center"/>
        <w:textAlignment w:val="auto"/>
        <w:rPr>
          <w:rFonts w:ascii="Arial" w:hAnsi="Arial" w:eastAsia="宋体" w:cs="Arial"/>
          <w:b/>
          <w:bCs/>
          <w:smallCaps/>
          <w:kern w:val="28"/>
          <w:sz w:val="28"/>
          <w:szCs w:val="28"/>
        </w:rPr>
      </w:pPr>
      <w:r>
        <w:rPr>
          <w:rFonts w:hint="eastAsia" w:ascii="Arial" w:hAnsi="Arial" w:eastAsia="宋体" w:cs="Arial"/>
          <w:b/>
          <w:bCs/>
          <w:smallCaps/>
          <w:kern w:val="28"/>
          <w:sz w:val="28"/>
          <w:szCs w:val="28"/>
          <w:lang w:val="en-US" w:eastAsia="zh-CN"/>
        </w:rPr>
        <w:t>中通服咨询设计研究院</w:t>
      </w:r>
      <w:r>
        <w:rPr>
          <w:rFonts w:hint="eastAsia" w:ascii="Arial" w:hAnsi="Arial" w:eastAsia="宋体" w:cs="Arial"/>
          <w:b/>
          <w:bCs/>
          <w:smallCaps/>
          <w:kern w:val="28"/>
          <w:sz w:val="28"/>
          <w:szCs w:val="28"/>
        </w:rPr>
        <w:t>有限公司</w:t>
      </w:r>
    </w:p>
    <w:p w14:paraId="65462FA4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br w:type="page"/>
      </w:r>
    </w:p>
    <w:p w14:paraId="5CBFBB47">
      <w:pPr>
        <w:pStyle w:val="2"/>
        <w:numPr>
          <w:ilvl w:val="0"/>
          <w:numId w:val="1"/>
        </w:numPr>
        <w:bidi w:val="0"/>
        <w:rPr>
          <w:rFonts w:hint="eastAsia"/>
        </w:rPr>
      </w:pPr>
      <w:r>
        <w:rPr>
          <w:rFonts w:hint="eastAsia"/>
        </w:rPr>
        <w:t>系统登录</w:t>
      </w:r>
    </w:p>
    <w:p w14:paraId="571AE95C">
      <w:pPr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在互联网环境下访问</w:t>
      </w:r>
      <w:r>
        <w:rPr>
          <w:rFonts w:hint="default"/>
          <w:sz w:val="24"/>
          <w:szCs w:val="32"/>
          <w:lang w:val="en-US" w:eastAsia="zh-CN"/>
        </w:rPr>
        <w:t>https://scjg.jszwfw.gov.cn:9082/#/myService</w:t>
      </w:r>
      <w:r>
        <w:rPr>
          <w:rFonts w:hint="eastAsia"/>
          <w:sz w:val="24"/>
          <w:szCs w:val="32"/>
          <w:lang w:val="en-US" w:eastAsia="zh-CN"/>
        </w:rPr>
        <w:t>，</w:t>
      </w:r>
      <w:r>
        <w:rPr>
          <w:rFonts w:hint="default"/>
          <w:sz w:val="24"/>
          <w:szCs w:val="32"/>
          <w:lang w:val="en-US" w:eastAsia="zh-CN"/>
        </w:rPr>
        <w:t>进入</w:t>
      </w:r>
      <w:r>
        <w:rPr>
          <w:rFonts w:hint="eastAsia"/>
          <w:sz w:val="24"/>
          <w:szCs w:val="32"/>
          <w:lang w:val="en-US" w:eastAsia="zh-CN"/>
        </w:rPr>
        <w:t>企业通</w:t>
      </w:r>
      <w:r>
        <w:rPr>
          <w:rFonts w:hint="default"/>
          <w:sz w:val="24"/>
          <w:szCs w:val="32"/>
          <w:lang w:val="en-US" w:eastAsia="zh-CN"/>
        </w:rPr>
        <w:t>登录界面（如下图所示）</w:t>
      </w:r>
    </w:p>
    <w:p w14:paraId="036FD24B">
      <w:pPr>
        <w:ind w:left="0" w:leftChars="0" w:firstLine="0" w:firstLineChars="0"/>
      </w:pPr>
      <w:r>
        <w:drawing>
          <wp:inline distT="0" distB="0" distL="114300" distR="114300">
            <wp:extent cx="5264785" cy="2925445"/>
            <wp:effectExtent l="0" t="0" r="571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52212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点击“名特优新”申报入口，通过江苏政务服务网登录系统</w:t>
      </w:r>
      <w:r>
        <w:rPr>
          <w:rFonts w:hint="default"/>
          <w:lang w:val="en-US" w:eastAsia="zh-CN"/>
        </w:rPr>
        <w:t>。</w:t>
      </w:r>
    </w:p>
    <w:p w14:paraId="3437CAFE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登录方式包括：账号密码登录、短信验证码登录、支</w:t>
      </w:r>
      <w:bookmarkStart w:id="0" w:name="_GoBack"/>
      <w:bookmarkEnd w:id="0"/>
      <w:r>
        <w:rPr>
          <w:rFonts w:hint="eastAsia"/>
          <w:lang w:val="en-US" w:eastAsia="zh-CN"/>
        </w:rPr>
        <w:t>付宝登录、国家政务服务平台账号登录、社保卡登录、省人社账号登录。</w:t>
      </w:r>
    </w:p>
    <w:p w14:paraId="13E7469B">
      <w:pPr>
        <w:ind w:left="0" w:leftChars="0" w:firstLine="0" w:firstLineChars="0"/>
        <w:rPr>
          <w:rFonts w:hint="default"/>
        </w:rPr>
      </w:pPr>
      <w:r>
        <w:drawing>
          <wp:inline distT="0" distB="0" distL="114300" distR="114300">
            <wp:extent cx="5264785" cy="2943860"/>
            <wp:effectExtent l="0" t="0" r="5715" b="2540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4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AB27E">
      <w:pPr>
        <w:pStyle w:val="2"/>
        <w:numPr>
          <w:ilvl w:val="0"/>
          <w:numId w:val="1"/>
        </w:numPr>
        <w:bidi w:val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首页</w:t>
      </w:r>
    </w:p>
    <w:p w14:paraId="09F7C38A">
      <w:pPr>
        <w:ind w:left="0" w:leftChars="0" w:firstLine="0" w:firstLineChars="0"/>
      </w:pPr>
      <w:r>
        <w:drawing>
          <wp:inline distT="0" distB="0" distL="114300" distR="114300">
            <wp:extent cx="5264785" cy="2938145"/>
            <wp:effectExtent l="0" t="0" r="571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C90F9">
      <w:pPr>
        <w:bidi w:val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我的分型：</w:t>
      </w:r>
      <w:r>
        <w:rPr>
          <w:rFonts w:hint="eastAsia"/>
          <w:b w:val="0"/>
          <w:bCs w:val="0"/>
          <w:lang w:val="en-US" w:eastAsia="zh-CN"/>
        </w:rPr>
        <w:t>显示当前申报年份分型结果，点击“</w:t>
      </w:r>
      <w:r>
        <w:drawing>
          <wp:inline distT="0" distB="0" distL="114300" distR="114300">
            <wp:extent cx="596900" cy="212090"/>
            <wp:effectExtent l="0" t="0" r="0" b="38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lang w:val="en-US" w:eastAsia="zh-CN"/>
        </w:rPr>
        <w:t>”可以查看具体分型判断依据，如存在异议，点击“</w:t>
      </w:r>
      <w:r>
        <w:drawing>
          <wp:inline distT="0" distB="0" distL="114300" distR="114300">
            <wp:extent cx="499110" cy="230505"/>
            <wp:effectExtent l="0" t="0" r="8890" b="1079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911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lang w:val="en-US" w:eastAsia="zh-CN"/>
        </w:rPr>
        <w:t>”可进入异议申诉菜单发起申诉。</w:t>
      </w:r>
    </w:p>
    <w:p w14:paraId="6DDECA86">
      <w:pPr>
        <w:bidi w:val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我的分类：</w:t>
      </w:r>
      <w:r>
        <w:rPr>
          <w:rFonts w:hint="eastAsia"/>
          <w:b w:val="0"/>
          <w:bCs w:val="0"/>
          <w:lang w:val="en-US" w:eastAsia="zh-CN"/>
        </w:rPr>
        <w:t>显示当前“名特优新”申报结果，在申报期内，可点击“</w:t>
      </w:r>
      <w:r>
        <w:drawing>
          <wp:inline distT="0" distB="0" distL="114300" distR="114300">
            <wp:extent cx="569595" cy="264160"/>
            <wp:effectExtent l="0" t="0" r="1905" b="254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9595" cy="26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lang w:val="en-US" w:eastAsia="zh-CN"/>
        </w:rPr>
        <w:t>”，发起“名特优新”申报流程。点击“</w:t>
      </w:r>
      <w:r>
        <w:drawing>
          <wp:inline distT="0" distB="0" distL="114300" distR="114300">
            <wp:extent cx="664845" cy="230505"/>
            <wp:effectExtent l="0" t="0" r="8255" b="1079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84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lang w:val="en-US" w:eastAsia="zh-CN"/>
        </w:rPr>
        <w:t>”，可查看当前年份复核结果。</w:t>
      </w:r>
    </w:p>
    <w:p w14:paraId="34D28118">
      <w:pPr>
        <w:bidi w:val="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是否符合：</w:t>
      </w:r>
      <w:r>
        <w:rPr>
          <w:rFonts w:hint="eastAsia"/>
          <w:b w:val="0"/>
          <w:bCs w:val="0"/>
          <w:lang w:val="en-US" w:eastAsia="zh-CN"/>
        </w:rPr>
        <w:t>可查询当前年份，用户是否满足“名特优新”申报基础条件。</w:t>
      </w:r>
    </w:p>
    <w:p w14:paraId="59849742"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待办提示：</w:t>
      </w:r>
      <w:r>
        <w:rPr>
          <w:rFonts w:hint="eastAsia"/>
          <w:b w:val="0"/>
          <w:bCs w:val="0"/>
          <w:lang w:val="en-US" w:eastAsia="zh-CN"/>
        </w:rPr>
        <w:t>可查看当前待办事项，主要是退回补充材料，点击待办列表可直接跳转对应页面处理。</w:t>
      </w:r>
    </w:p>
    <w:p w14:paraId="47C94D21">
      <w:pPr>
        <w:pStyle w:val="2"/>
        <w:numPr>
          <w:ilvl w:val="0"/>
          <w:numId w:val="1"/>
        </w:numPr>
        <w:bidi w:val="0"/>
        <w:ind w:firstLine="0"/>
        <w:rPr>
          <w:rFonts w:hint="default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“</w:t>
      </w:r>
      <w:r>
        <w:rPr>
          <w:rFonts w:hint="eastAsia"/>
          <w:b/>
          <w:bCs/>
          <w:sz w:val="28"/>
          <w:szCs w:val="28"/>
          <w:lang w:val="en-US" w:eastAsia="zh-CN"/>
        </w:rPr>
        <w:t>名特优新</w:t>
      </w:r>
      <w:r>
        <w:rPr>
          <w:rFonts w:hint="eastAsia"/>
          <w:b/>
          <w:bCs/>
          <w:sz w:val="28"/>
          <w:szCs w:val="28"/>
          <w:lang w:eastAsia="zh-CN"/>
        </w:rPr>
        <w:t>”</w:t>
      </w:r>
      <w:r>
        <w:rPr>
          <w:rFonts w:hint="eastAsia"/>
          <w:b/>
          <w:bCs/>
          <w:sz w:val="28"/>
          <w:szCs w:val="28"/>
          <w:lang w:val="en-US" w:eastAsia="zh-CN"/>
        </w:rPr>
        <w:t>申报</w:t>
      </w:r>
    </w:p>
    <w:p w14:paraId="4A2AAA46">
      <w:pPr>
        <w:pStyle w:val="3"/>
        <w:numPr>
          <w:ilvl w:val="1"/>
          <w:numId w:val="1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进入申报页面</w:t>
      </w:r>
    </w:p>
    <w:p w14:paraId="5FD5750C">
      <w:pPr>
        <w:bidi w:val="0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hint="eastAsia"/>
          <w:lang w:val="en-US" w:eastAsia="zh-CN"/>
        </w:rPr>
        <w:t>通过“首页-&gt;申报入口”，或“名特优新申报-&gt;对应年份申报任务-&gt;申报”两种途径均可进入“名特优新”申报页面。如存在以下情况，系统将进行提示并无法进入申报页面：</w:t>
      </w:r>
      <w:r>
        <w:rPr>
          <w:rFonts w:ascii="宋体" w:hAnsi="宋体" w:eastAsia="宋体" w:cs="宋体"/>
          <w:sz w:val="24"/>
          <w:szCs w:val="24"/>
        </w:rPr>
        <w:t>①申报期间内，拥有多个个体工商户的自然人在同一区县内仅可申报一次 ②申报期间内，同一个体工商户仅可申报一次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106CC7B">
      <w:pPr>
        <w:bidi w:val="0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路径一：</w:t>
      </w:r>
      <w:r>
        <w:rPr>
          <w:rFonts w:hint="eastAsia"/>
          <w:lang w:val="en-US" w:eastAsia="zh-CN"/>
        </w:rPr>
        <w:t>首页-&gt;申报入口</w:t>
      </w:r>
    </w:p>
    <w:p w14:paraId="7C620885">
      <w:pPr>
        <w:bidi w:val="0"/>
        <w:ind w:left="0" w:leftChars="0" w:firstLine="0" w:firstLineChars="0"/>
      </w:pPr>
      <w:r>
        <w:drawing>
          <wp:inline distT="0" distB="0" distL="114300" distR="114300">
            <wp:extent cx="5264785" cy="2931795"/>
            <wp:effectExtent l="0" t="0" r="5715" b="190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B9569">
      <w:pPr>
        <w:bidi w:val="0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路径二：</w:t>
      </w:r>
      <w:r>
        <w:rPr>
          <w:rFonts w:hint="eastAsia"/>
          <w:lang w:val="en-US" w:eastAsia="zh-CN"/>
        </w:rPr>
        <w:t>名特优新申报-&gt;对应年份申报任务-&gt;申报</w:t>
      </w:r>
    </w:p>
    <w:p w14:paraId="79387C46">
      <w:pPr>
        <w:bidi w:val="0"/>
        <w:ind w:left="0" w:leftChars="0" w:firstLine="0" w:firstLineChars="0"/>
      </w:pPr>
      <w:r>
        <w:drawing>
          <wp:inline distT="0" distB="0" distL="114300" distR="114300">
            <wp:extent cx="5264785" cy="2938145"/>
            <wp:effectExtent l="0" t="0" r="5715" b="825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DCBCF">
      <w:pPr>
        <w:pStyle w:val="3"/>
        <w:numPr>
          <w:ilvl w:val="1"/>
          <w:numId w:val="1"/>
        </w:numPr>
        <w:bidi w:val="0"/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填写申报内容</w:t>
      </w:r>
    </w:p>
    <w:p w14:paraId="7674C023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</w:t>
      </w:r>
      <w:r>
        <w:drawing>
          <wp:inline distT="0" distB="0" distL="114300" distR="114300">
            <wp:extent cx="488950" cy="335915"/>
            <wp:effectExtent l="0" t="0" r="6350" b="698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8950" cy="33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”按钮，切换到填报页面，按照页面要求填写申报内容，其中：</w:t>
      </w:r>
    </w:p>
    <w:p w14:paraId="3AC7DE16">
      <w:pPr>
        <w:bidi w:val="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实际经营地址：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可输入或通过地图选点带入实际经营场所地址</w:t>
      </w:r>
    </w:p>
    <w:p w14:paraId="12DA12BD">
      <w:pPr>
        <w:bidi w:val="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是否线上经营：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如选择选择“是”，需选择入驻平台，包括：抖音、美团、淘宝、小红书、快手、京东、1688、其他，同时在后续上传文件环节需上传对应的线上经营页面截图。</w:t>
      </w:r>
    </w:p>
    <w:p w14:paraId="620C2E4B">
      <w:pPr>
        <w:bidi w:val="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是否使用数字化工具：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如选择选择“是”，需在后续上传文件环节需上传对应的页面截图。</w:t>
      </w:r>
    </w:p>
    <w:p w14:paraId="4A9D4822">
      <w:pPr>
        <w:bidi w:val="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申报行业：包括农林牧渔业、采矿业、制造业、电力热力燃气及水生产和供应业、建筑业、批发业、零售业、交通运输仓储和邮政业、住宿业、餐饮业、信息传输软件和信息技术服务业、金融业、房地产业、租赁和商务服务业、科学研究和技术服务业、水利环境和公共设施管理业、居民服务修理和其他服务业、教育、卫生和社会工作、文化体育和娱乐业、公共管理社会保障和社会组织、国际组织</w:t>
      </w:r>
    </w:p>
    <w:p w14:paraId="71D0C4C6">
      <w:pPr>
        <w:bidi w:val="0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申报类型：可选择知名、特色、优质、新兴，选择对应的类型后，可查看对应类型的申报条件。</w:t>
      </w:r>
    </w:p>
    <w:p w14:paraId="4C93C312">
      <w:pPr>
        <w:bidi w:val="0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其余内容依据实际情况填写。</w:t>
      </w:r>
    </w:p>
    <w:p w14:paraId="78B30D2D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填写完成后点击“</w:t>
      </w:r>
      <w:r>
        <w:drawing>
          <wp:inline distT="0" distB="0" distL="114300" distR="114300">
            <wp:extent cx="562610" cy="243205"/>
            <wp:effectExtent l="0" t="0" r="8890" b="10795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”，进入材料上传。</w:t>
      </w:r>
    </w:p>
    <w:p w14:paraId="08BEF0B8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F7DC8CE">
      <w:pPr>
        <w:ind w:left="0" w:leftChars="0" w:firstLine="0" w:firstLineChars="0"/>
      </w:pPr>
      <w:r>
        <w:drawing>
          <wp:inline distT="0" distB="0" distL="114300" distR="114300">
            <wp:extent cx="5264785" cy="2931795"/>
            <wp:effectExtent l="0" t="0" r="5715" b="190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4B145">
      <w:pPr>
        <w:numPr>
          <w:ilvl w:val="0"/>
          <w:numId w:val="2"/>
        </w:numPr>
        <w:bidi w:val="0"/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上传相关证明材料。每项材料上传窗口内可查看材料要求，需按照要求上传。支持多个材料的上传。</w:t>
      </w:r>
    </w:p>
    <w:p w14:paraId="2795F108">
      <w:pPr>
        <w:numPr>
          <w:ilvl w:val="0"/>
          <w:numId w:val="0"/>
        </w:numPr>
        <w:bidi w:val="0"/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格式要求：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①单个文件大小不得超过50M；</w:t>
      </w:r>
    </w:p>
    <w:p w14:paraId="0847BE50">
      <w:pPr>
        <w:numPr>
          <w:ilvl w:val="0"/>
          <w:numId w:val="0"/>
        </w:numPr>
        <w:bidi w:val="0"/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②文件名称长度不超过20个字符；</w:t>
      </w:r>
    </w:p>
    <w:p w14:paraId="417B7AA7">
      <w:pPr>
        <w:numPr>
          <w:ilvl w:val="0"/>
          <w:numId w:val="0"/>
        </w:numPr>
        <w:bidi w:val="0"/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③文件名称中不得带有空格、半角、英文字符等特殊格式；</w:t>
      </w:r>
    </w:p>
    <w:p w14:paraId="085CF52A">
      <w:pPr>
        <w:numPr>
          <w:ilvl w:val="0"/>
          <w:numId w:val="0"/>
        </w:numPr>
        <w:bidi w:val="0"/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④文件内容中不得包含可执行脚本内容。</w:t>
      </w:r>
    </w:p>
    <w:p w14:paraId="69C64CE4">
      <w:pPr>
        <w:numPr>
          <w:ilvl w:val="0"/>
          <w:numId w:val="0"/>
        </w:numPr>
        <w:bidi w:val="0"/>
        <w:ind w:leftChars="200"/>
        <w:rPr>
          <w:rFonts w:hint="default"/>
          <w:lang w:val="en-US" w:eastAsia="zh-CN"/>
        </w:rPr>
      </w:pPr>
    </w:p>
    <w:p w14:paraId="71729804">
      <w:pPr>
        <w:ind w:left="0" w:leftChars="0" w:firstLine="0" w:firstLineChars="0"/>
      </w:pPr>
      <w:r>
        <w:drawing>
          <wp:inline distT="0" distB="0" distL="114300" distR="114300">
            <wp:extent cx="5264785" cy="2938145"/>
            <wp:effectExtent l="0" t="0" r="5715" b="825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CD361">
      <w:pPr>
        <w:bidi w:val="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材料补充完成后，点击“</w:t>
      </w:r>
      <w:r>
        <w:drawing>
          <wp:inline distT="0" distB="0" distL="114300" distR="114300">
            <wp:extent cx="578485" cy="260350"/>
            <wp:effectExtent l="0" t="0" r="5715" b="6350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8485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”即可完成提交，点击“</w:t>
      </w:r>
      <w:r>
        <w:drawing>
          <wp:inline distT="0" distB="0" distL="114300" distR="114300">
            <wp:extent cx="584200" cy="208915"/>
            <wp:effectExtent l="0" t="0" r="0" b="6985"/>
            <wp:docPr id="2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”保存当前填写的内容，点击“</w:t>
      </w:r>
      <w:r>
        <w:drawing>
          <wp:inline distT="0" distB="0" distL="114300" distR="114300">
            <wp:extent cx="489585" cy="245110"/>
            <wp:effectExtent l="0" t="0" r="5715" b="8890"/>
            <wp:docPr id="2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9585" cy="24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”返回上一页面。</w:t>
      </w:r>
    </w:p>
    <w:p w14:paraId="243AE472">
      <w:pPr>
        <w:ind w:left="0" w:leftChars="0" w:firstLine="0" w:firstLineChars="0"/>
      </w:pPr>
      <w:r>
        <w:drawing>
          <wp:inline distT="0" distB="0" distL="114300" distR="114300">
            <wp:extent cx="5264785" cy="2938145"/>
            <wp:effectExtent l="0" t="0" r="5715" b="8255"/>
            <wp:docPr id="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FC03B">
      <w:pPr>
        <w:pStyle w:val="3"/>
        <w:numPr>
          <w:ilvl w:val="1"/>
          <w:numId w:val="1"/>
        </w:numPr>
        <w:bidi w:val="0"/>
        <w:ind w:left="0" w:leftChars="0" w:firstLine="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申报信息查看</w:t>
      </w:r>
    </w:p>
    <w:p w14:paraId="46A18D0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点击“名特优新”申报或在申报流程中点击“返回”按钮，进入申报信息列表。列表默认展示当前年度申报任务的完整情况，包括申报状态、审批状态、公示结果、三年有效期内每个年度的复核结果。</w:t>
      </w:r>
    </w:p>
    <w:p w14:paraId="38FA96CF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783840"/>
            <wp:effectExtent l="0" t="0" r="5715" b="10160"/>
            <wp:docPr id="2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1C7C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点击操作栏“</w:t>
      </w:r>
      <w:r>
        <w:drawing>
          <wp:inline distT="0" distB="0" distL="114300" distR="114300">
            <wp:extent cx="422275" cy="266700"/>
            <wp:effectExtent l="0" t="0" r="9525" b="0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2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”按钮，可查看基本信息、申报信息以及流程信息。</w:t>
      </w:r>
    </w:p>
    <w:p w14:paraId="7A0D13A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（1）基本信息</w:t>
      </w:r>
    </w:p>
    <w:p w14:paraId="3262FC8B">
      <w:pPr>
        <w:ind w:left="0" w:leftChars="0" w:firstLine="0" w:firstLineChars="0"/>
      </w:pPr>
      <w:r>
        <w:drawing>
          <wp:inline distT="0" distB="0" distL="114300" distR="114300">
            <wp:extent cx="5264785" cy="2931795"/>
            <wp:effectExtent l="0" t="0" r="5715" b="1905"/>
            <wp:docPr id="2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3139D">
      <w:pPr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申报信息</w:t>
      </w:r>
    </w:p>
    <w:p w14:paraId="039D1C30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252720" cy="2938145"/>
            <wp:effectExtent l="0" t="0" r="5080" b="8255"/>
            <wp:docPr id="2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B3028">
      <w:pPr>
        <w:bidi w:val="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流程信息</w:t>
      </w:r>
    </w:p>
    <w:p w14:paraId="00C49AA5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931795"/>
            <wp:effectExtent l="0" t="0" r="5715" b="1905"/>
            <wp:docPr id="2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813A1">
      <w:pPr>
        <w:pStyle w:val="2"/>
        <w:numPr>
          <w:ilvl w:val="0"/>
          <w:numId w:val="1"/>
        </w:numPr>
        <w:bidi w:val="0"/>
        <w:ind w:firstLine="0"/>
        <w:rPr>
          <w:rFonts w:hint="default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异议申诉</w:t>
      </w:r>
    </w:p>
    <w:p w14:paraId="1847A389">
      <w:pPr>
        <w:pStyle w:val="3"/>
        <w:numPr>
          <w:ilvl w:val="1"/>
          <w:numId w:val="1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发起申诉</w:t>
      </w:r>
    </w:p>
    <w:p w14:paraId="15DE0742">
      <w:pPr>
        <w:bidi w:val="0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hint="eastAsia"/>
          <w:lang w:val="en-US" w:eastAsia="zh-CN"/>
        </w:rPr>
        <w:t>如用户对分型结果存在异议，可通过异议申诉模块进行反馈，可通过“首页-&gt;申诉入口”，或“异议申诉-&gt;新增”两种途径进入异议申诉页面。</w:t>
      </w:r>
    </w:p>
    <w:p w14:paraId="6D92B986">
      <w:pPr>
        <w:ind w:left="0" w:leftChars="0" w:firstLine="0" w:firstLineChars="0"/>
      </w:pPr>
      <w:r>
        <w:drawing>
          <wp:inline distT="0" distB="0" distL="114300" distR="114300">
            <wp:extent cx="5264785" cy="2938145"/>
            <wp:effectExtent l="0" t="0" r="5715" b="8255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D9B8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在申诉类型中选择想要变更成为的类型。</w:t>
      </w:r>
    </w:p>
    <w:p w14:paraId="02D475E2">
      <w:pPr>
        <w:jc w:val="center"/>
      </w:pPr>
      <w:r>
        <w:drawing>
          <wp:inline distT="0" distB="0" distL="114300" distR="114300">
            <wp:extent cx="3381375" cy="1042670"/>
            <wp:effectExtent l="0" t="0" r="9525" b="11430"/>
            <wp:docPr id="3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F21E9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同时需填写变更的原因并上传证明材料（如需要）</w:t>
      </w:r>
    </w:p>
    <w:p w14:paraId="4C372FB4">
      <w:pPr>
        <w:jc w:val="both"/>
      </w:pPr>
      <w:r>
        <w:drawing>
          <wp:inline distT="0" distB="0" distL="114300" distR="114300">
            <wp:extent cx="5255895" cy="809625"/>
            <wp:effectExtent l="0" t="0" r="1905" b="3175"/>
            <wp:docPr id="3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1429C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填写完成后，点击“</w:t>
      </w:r>
      <w:r>
        <w:drawing>
          <wp:inline distT="0" distB="0" distL="114300" distR="114300">
            <wp:extent cx="556260" cy="256540"/>
            <wp:effectExtent l="0" t="0" r="2540" b="10160"/>
            <wp:docPr id="3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”按钮，提交申请至区县局管理人员审批，点击“</w:t>
      </w:r>
      <w:r>
        <w:drawing>
          <wp:inline distT="0" distB="0" distL="114300" distR="114300">
            <wp:extent cx="644525" cy="267335"/>
            <wp:effectExtent l="0" t="0" r="3175" b="12065"/>
            <wp:docPr id="3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”取消该申请，填写的内容不会保存。</w:t>
      </w:r>
    </w:p>
    <w:p w14:paraId="2E1B49D6">
      <w:pPr>
        <w:pStyle w:val="3"/>
        <w:numPr>
          <w:ilvl w:val="1"/>
          <w:numId w:val="1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申诉信息查看</w:t>
      </w:r>
    </w:p>
    <w:p w14:paraId="1F56217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点击左侧“异议申诉”菜单，可进入申诉列表页面。</w:t>
      </w:r>
    </w:p>
    <w:p w14:paraId="4E92A8D8">
      <w:pPr>
        <w:ind w:left="0" w:leftChars="0" w:firstLine="0" w:firstLineChars="0"/>
      </w:pPr>
      <w:r>
        <w:drawing>
          <wp:inline distT="0" distB="0" distL="114300" distR="114300">
            <wp:extent cx="5264785" cy="2935605"/>
            <wp:effectExtent l="0" t="0" r="5715" b="10795"/>
            <wp:docPr id="4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3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F575F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点击操作栏中的“查看”按钮，可查看已提交的申诉信息及流程信息。</w:t>
      </w:r>
    </w:p>
    <w:p w14:paraId="5E1AD518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2938145"/>
            <wp:effectExtent l="0" t="0" r="5715" b="8255"/>
            <wp:docPr id="4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34617">
      <w:pPr>
        <w:pStyle w:val="2"/>
        <w:numPr>
          <w:ilvl w:val="0"/>
          <w:numId w:val="1"/>
        </w:numPr>
        <w:bidi w:val="0"/>
        <w:ind w:firstLine="0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发展事迹</w:t>
      </w:r>
      <w:r>
        <w:rPr>
          <w:rFonts w:hint="eastAsia"/>
          <w:b/>
          <w:bCs/>
          <w:sz w:val="28"/>
          <w:szCs w:val="28"/>
          <w:lang w:val="en-US" w:eastAsia="zh-CN"/>
        </w:rPr>
        <w:t>维护</w:t>
      </w:r>
    </w:p>
    <w:p w14:paraId="78F843F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点击左侧“发展事迹维护”菜单，可进入发展事迹维护页面。</w:t>
      </w:r>
    </w:p>
    <w:p w14:paraId="1F686168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2561590"/>
            <wp:effectExtent l="0" t="0" r="5715" b="3810"/>
            <wp:docPr id="4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FF3A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</w:t>
      </w:r>
      <w:r>
        <w:drawing>
          <wp:inline distT="0" distB="0" distL="114300" distR="114300">
            <wp:extent cx="571500" cy="214630"/>
            <wp:effectExtent l="0" t="0" r="0" b="1270"/>
            <wp:docPr id="4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”按钮，在弹出页面中填写发展事迹。</w:t>
      </w:r>
    </w:p>
    <w:p w14:paraId="095CBE3D">
      <w:pPr>
        <w:ind w:left="0" w:leftChars="0" w:firstLine="0" w:firstLineChars="0"/>
      </w:pPr>
      <w:r>
        <w:drawing>
          <wp:inline distT="0" distB="0" distL="114300" distR="114300">
            <wp:extent cx="5264785" cy="2765425"/>
            <wp:effectExtent l="0" t="0" r="5715" b="3175"/>
            <wp:docPr id="4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6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17F97">
      <w:pPr>
        <w:jc w:val="both"/>
      </w:pPr>
      <w:r>
        <w:rPr>
          <w:rFonts w:hint="eastAsia"/>
          <w:lang w:val="en-US" w:eastAsia="zh-CN"/>
        </w:rPr>
        <w:t>填写完成后，点击“</w:t>
      </w:r>
      <w:r>
        <w:drawing>
          <wp:inline distT="0" distB="0" distL="114300" distR="114300">
            <wp:extent cx="556260" cy="256540"/>
            <wp:effectExtent l="0" t="0" r="2540" b="10160"/>
            <wp:docPr id="4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”按钮，提交申请至省局管理人员审批，点击“</w:t>
      </w:r>
      <w:r>
        <w:drawing>
          <wp:inline distT="0" distB="0" distL="114300" distR="114300">
            <wp:extent cx="644525" cy="267335"/>
            <wp:effectExtent l="0" t="0" r="3175" b="12065"/>
            <wp:docPr id="4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”取消填写，填写的内容不会保存。</w:t>
      </w:r>
    </w:p>
    <w:p w14:paraId="3C0ADE7F">
      <w:pPr>
        <w:rPr>
          <w:rFonts w:hint="default"/>
        </w:rPr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  <w:ind w:firstLine="480"/>
      </w:pPr>
      <w:r>
        <w:separator/>
      </w:r>
    </w:p>
  </w:footnote>
  <w:footnote w:type="continuationSeparator" w:id="1">
    <w:p>
      <w:pPr>
        <w:spacing w:line="30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96E1A">
    <w:pPr>
      <w:pStyle w:val="7"/>
      <w:keepNext w:val="0"/>
      <w:keepLines w:val="0"/>
      <w:pageBreakBefore w:val="0"/>
      <w:widowControl w:val="0"/>
      <w:kinsoku/>
      <w:wordWrap w:val="0"/>
      <w:overflowPunct/>
      <w:topLinePunct w:val="0"/>
      <w:bidi w:val="0"/>
      <w:adjustRightInd/>
      <w:snapToGrid w:val="0"/>
      <w:ind w:firstLine="0" w:firstLineChars="0"/>
      <w:jc w:val="right"/>
      <w:textAlignment w:val="auto"/>
      <w:rPr>
        <w:rFonts w:hint="default"/>
        <w:sz w:val="21"/>
        <w:szCs w:val="32"/>
        <w:lang w:val="en-US" w:eastAsia="zh-CN"/>
      </w:rPr>
    </w:pPr>
  </w:p>
  <w:p w14:paraId="313EA572">
    <w:pPr>
      <w:pStyle w:val="7"/>
      <w:keepNext w:val="0"/>
      <w:keepLines w:val="0"/>
      <w:pageBreakBefore w:val="0"/>
      <w:widowControl w:val="0"/>
      <w:kinsoku/>
      <w:wordWrap w:val="0"/>
      <w:overflowPunct/>
      <w:topLinePunct w:val="0"/>
      <w:bidi w:val="0"/>
      <w:adjustRightInd/>
      <w:snapToGrid w:val="0"/>
      <w:ind w:firstLine="0" w:firstLineChars="0"/>
      <w:jc w:val="right"/>
      <w:textAlignment w:val="auto"/>
    </w:pPr>
    <w:r>
      <w:rPr>
        <w:rFonts w:hint="default"/>
        <w:sz w:val="21"/>
        <w:szCs w:val="32"/>
        <w:lang w:val="en-US" w:eastAsia="zh-CN"/>
      </w:rPr>
      <w:t>江苏省个体工商户分型分类培育管理平台</w:t>
    </w:r>
    <w:r>
      <w:rPr>
        <w:rFonts w:hint="eastAsia"/>
        <w:sz w:val="21"/>
        <w:szCs w:val="32"/>
        <w:lang w:val="en-US" w:eastAsia="zh-CN"/>
      </w:rPr>
      <w:t xml:space="preserve">操作手册-申报端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6DD9FF"/>
    <w:multiLevelType w:val="multilevel"/>
    <w:tmpl w:val="D36DD9FF"/>
    <w:lvl w:ilvl="0" w:tentative="0">
      <w:start w:val="1"/>
      <w:numFmt w:val="decimal"/>
      <w:suff w:val="space"/>
      <w:lvlText w:val="%1、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1" w:tentative="0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0" w:firstLine="0"/>
      </w:pPr>
      <w:rPr>
        <w:rFonts w:hint="eastAsia"/>
      </w:rPr>
    </w:lvl>
  </w:abstractNum>
  <w:abstractNum w:abstractNumId="1">
    <w:nsid w:val="E3A50194"/>
    <w:multiLevelType w:val="singleLevel"/>
    <w:tmpl w:val="E3A50194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5319A7EC"/>
    <w:multiLevelType w:val="singleLevel"/>
    <w:tmpl w:val="5319A7EC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6168F5"/>
    <w:rsid w:val="193F4419"/>
    <w:rsid w:val="1FF33B9D"/>
    <w:rsid w:val="24420C90"/>
    <w:rsid w:val="2DF43B26"/>
    <w:rsid w:val="30667671"/>
    <w:rsid w:val="31F577B6"/>
    <w:rsid w:val="54E8456A"/>
    <w:rsid w:val="5D1A3B49"/>
    <w:rsid w:val="5E70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00" w:lineRule="auto"/>
      <w:ind w:firstLine="1124" w:firstLineChars="200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50" w:afterLines="50" w:afterAutospacing="0"/>
      <w:ind w:firstLine="0" w:firstLineChars="0"/>
      <w:jc w:val="left"/>
      <w:outlineLvl w:val="0"/>
    </w:pPr>
    <w:rPr>
      <w:rFonts w:hint="eastAsia" w:ascii="Times New Roman" w:hAnsi="Times New Roman" w:cs="宋体"/>
      <w:b/>
      <w:bCs/>
      <w:kern w:val="44"/>
      <w:sz w:val="30"/>
      <w:szCs w:val="36"/>
      <w:lang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0" w:after="50" w:afterLines="50" w:afterAutospacing="0"/>
      <w:ind w:firstLine="0" w:firstLineChars="0"/>
      <w:jc w:val="left"/>
      <w:outlineLvl w:val="1"/>
    </w:pPr>
    <w:rPr>
      <w:rFonts w:hint="eastAsia" w:ascii="Times New Roman" w:hAnsi="Times New Roman" w:cs="宋体"/>
      <w:b/>
      <w:bCs/>
      <w:kern w:val="0"/>
      <w:sz w:val="28"/>
      <w:szCs w:val="30"/>
      <w:lang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0" w:after="0" w:afterAutospacing="0"/>
      <w:ind w:firstLine="0" w:firstLineChars="0"/>
      <w:jc w:val="left"/>
      <w:outlineLvl w:val="2"/>
    </w:pPr>
    <w:rPr>
      <w:rFonts w:hint="eastAsia" w:ascii="Times New Roman" w:hAnsi="Times New Roman" w:cs="Times New Roman"/>
      <w:b/>
      <w:bCs/>
      <w:kern w:val="0"/>
      <w:sz w:val="28"/>
      <w:szCs w:val="28"/>
      <w:lang w:bidi="ar"/>
    </w:rPr>
  </w:style>
  <w:style w:type="paragraph" w:styleId="5">
    <w:name w:val="heading 4"/>
    <w:basedOn w:val="1"/>
    <w:next w:val="1"/>
    <w:unhideWhenUsed/>
    <w:qFormat/>
    <w:uiPriority w:val="0"/>
    <w:pPr>
      <w:spacing w:before="50" w:beforeLines="50" w:beforeAutospacing="0" w:after="50" w:afterLines="50" w:afterAutospacing="0"/>
      <w:ind w:firstLine="0" w:firstLineChars="0"/>
      <w:jc w:val="left"/>
      <w:outlineLvl w:val="3"/>
    </w:pPr>
    <w:rPr>
      <w:rFonts w:hint="eastAsia" w:ascii="Times New Roman" w:hAnsi="Times New Roman" w:cs="宋体"/>
      <w:b/>
      <w:bCs/>
      <w:kern w:val="0"/>
      <w:lang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0" Type="http://schemas.openxmlformats.org/officeDocument/2006/relationships/fontTable" Target="fontTable.xml"/><Relationship Id="rId4" Type="http://schemas.openxmlformats.org/officeDocument/2006/relationships/endnotes" Target="endnotes.xml"/><Relationship Id="rId39" Type="http://schemas.openxmlformats.org/officeDocument/2006/relationships/numbering" Target="numbering.xml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1585</Words>
  <Characters>1644</Characters>
  <Lines>0</Lines>
  <Paragraphs>0</Paragraphs>
  <TotalTime>46</TotalTime>
  <ScaleCrop>false</ScaleCrop>
  <LinksUpToDate>false</LinksUpToDate>
  <CharactersWithSpaces>1645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2025-09-01T10:01:00Z</dcterms:created>
  <dc:creator>junio</dc:creator>
  <cp:lastModifiedBy>对饮成三人</cp:lastModifiedBy>
  <dcterms:modified xsi:type="dcterms:W3CDTF">2026-10-10T03:09:58Z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eyJoZGlkIjoiMzIyMzVmMDNjMDQ3ZjZjYWI0MjNiNWNmMTJjODFkM2UiLCJ1c2VySWQiOiIyMzc1NjMzNzgifQ==</vt:lpwstr>
  </property>
  <property fmtid="{D5CDD505-2E9C-101B-9397-08002B2CF9AE}" pid="4" name="ICV">
    <vt:lpwstr>6821CBEDD5A94055BE5697994AD59EB8_13</vt:lpwstr>
  </property>
</Properties>
</file>