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59987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FB73C68">
            <w:pPr>
              <w:pStyle w:val="19"/>
              <w:framePr w:wrap="notBeside" w:vAnchor="page" w:hAnchor="page" w:x="1372" w:y="568"/>
              <w:tabs>
                <w:tab w:val="clear" w:pos="4153"/>
                <w:tab w:val="clear" w:pos="8306"/>
              </w:tabs>
              <w:spacing w:line="240" w:lineRule="auto"/>
              <w:jc w:val="left"/>
              <w:rPr>
                <w:rFonts w:hint="eastAsia" w:ascii="黑体" w:hAnsi="黑体" w:eastAsia="黑体"/>
                <w:sz w:val="21"/>
                <w:szCs w:val="21"/>
                <w:highlight w:val="none"/>
              </w:rPr>
            </w:pPr>
            <w:r>
              <w:rPr>
                <w:rFonts w:ascii="Times New Roman" w:hAnsi="Times New Roman" w:eastAsia="黑体"/>
                <w:sz w:val="21"/>
                <w:szCs w:val="21"/>
                <w:highlight w:val="none"/>
              </w:rPr>
              <w:t>ICS</w:t>
            </w:r>
            <w:r>
              <w:rPr>
                <w:rFonts w:ascii="黑体" w:hAnsi="黑体" w:eastAsia="黑体"/>
                <w:sz w:val="21"/>
                <w:szCs w:val="21"/>
                <w:highlight w:val="none"/>
              </w:rPr>
              <w:t xml:space="preserve">  </w:t>
            </w:r>
          </w:p>
        </w:tc>
        <w:tc>
          <w:tcPr>
            <w:tcW w:w="8855" w:type="dxa"/>
          </w:tcPr>
          <w:p w14:paraId="1C35040B">
            <w:pPr>
              <w:pStyle w:val="19"/>
              <w:framePr w:wrap="notBeside" w:vAnchor="page" w:hAnchor="page" w:x="1372" w:y="568"/>
              <w:tabs>
                <w:tab w:val="clear" w:pos="4153"/>
                <w:tab w:val="clear" w:pos="8306"/>
              </w:tabs>
              <w:spacing w:line="240" w:lineRule="auto"/>
              <w:jc w:val="both"/>
              <w:rPr>
                <w:rFonts w:hint="eastAsia" w:ascii="黑体" w:hAnsi="黑体" w:eastAsia="黑体"/>
                <w:sz w:val="21"/>
                <w:szCs w:val="21"/>
                <w:highlight w:val="none"/>
              </w:rPr>
            </w:pPr>
            <w:r>
              <w:rPr>
                <w:rFonts w:ascii="黑体" w:hAnsi="黑体" w:eastAsia="黑体"/>
                <w:sz w:val="21"/>
                <w:szCs w:val="21"/>
                <w:highlight w:val="none"/>
              </w:rPr>
              <w:fldChar w:fldCharType="begin">
                <w:ffData>
                  <w:name w:val="ICS"/>
                  <w:enabled/>
                  <w:calcOnExit w:val="0"/>
                  <w:textInput>
                    <w:default w:val="点击此处添加ICS号"/>
                  </w:textInput>
                </w:ffData>
              </w:fldChar>
            </w:r>
            <w:bookmarkStart w:id="0" w:name="ICS"/>
            <w:r>
              <w:rPr>
                <w:rFonts w:ascii="黑体" w:hAnsi="黑体" w:eastAsia="黑体"/>
                <w:sz w:val="21"/>
                <w:szCs w:val="21"/>
                <w:highlight w:val="none"/>
              </w:rPr>
              <w:instrText xml:space="preserve"> FORMTEXT </w:instrText>
            </w:r>
            <w:r>
              <w:rPr>
                <w:rFonts w:ascii="黑体" w:hAnsi="黑体" w:eastAsia="黑体"/>
                <w:sz w:val="21"/>
                <w:szCs w:val="21"/>
                <w:highlight w:val="none"/>
              </w:rPr>
              <w:fldChar w:fldCharType="separate"/>
            </w:r>
            <w:r>
              <w:rPr>
                <w:rFonts w:hint="eastAsia" w:ascii="黑体" w:hAnsi="黑体" w:eastAsia="黑体"/>
                <w:sz w:val="21"/>
                <w:szCs w:val="21"/>
                <w:highlight w:val="none"/>
              </w:rPr>
              <w:t>03.020</w:t>
            </w:r>
            <w:r>
              <w:rPr>
                <w:rFonts w:ascii="黑体" w:hAnsi="黑体" w:eastAsia="黑体"/>
                <w:sz w:val="21"/>
                <w:szCs w:val="21"/>
                <w:highlight w:val="none"/>
              </w:rPr>
              <w:t xml:space="preserve"> </w:t>
            </w:r>
            <w:r>
              <w:rPr>
                <w:rFonts w:ascii="黑体" w:hAnsi="黑体" w:eastAsia="黑体"/>
                <w:sz w:val="21"/>
                <w:szCs w:val="21"/>
                <w:highlight w:val="none"/>
              </w:rPr>
              <w:fldChar w:fldCharType="end"/>
            </w:r>
            <w:bookmarkEnd w:id="0"/>
          </w:p>
        </w:tc>
      </w:tr>
      <w:tr w14:paraId="677ED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B2AC711">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highlight w:val="none"/>
              </w:rPr>
            </w:pPr>
            <w:r>
              <w:rPr>
                <w:rFonts w:ascii="Times New Roman" w:hAnsi="Times New Roman" w:eastAsia="黑体"/>
                <w:sz w:val="21"/>
                <w:szCs w:val="21"/>
                <w:highlight w:val="none"/>
              </w:rPr>
              <w:t xml:space="preserve">CCS </w:t>
            </w:r>
            <w:r>
              <w:rPr>
                <w:rFonts w:ascii="黑体" w:hAnsi="黑体" w:eastAsia="黑体"/>
                <w:sz w:val="21"/>
                <w:szCs w:val="21"/>
                <w:highlight w:val="none"/>
              </w:rPr>
              <w:t xml:space="preserve"> </w:t>
            </w:r>
          </w:p>
        </w:tc>
        <w:tc>
          <w:tcPr>
            <w:tcW w:w="8855" w:type="dxa"/>
          </w:tcPr>
          <w:p w14:paraId="13FE1D3E">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highlight w:val="none"/>
              </w:rPr>
            </w:pPr>
            <w:r>
              <w:rPr>
                <w:rFonts w:ascii="黑体" w:hAnsi="黑体" w:eastAsia="黑体"/>
                <w:sz w:val="21"/>
                <w:szCs w:val="21"/>
                <w:highlight w:val="none"/>
              </w:rPr>
              <w:fldChar w:fldCharType="begin">
                <w:ffData>
                  <w:name w:val="CSDN"/>
                  <w:enabled/>
                  <w:calcOnExit w:val="0"/>
                  <w:textInput>
                    <w:default w:val="点击此处添加CCS号"/>
                  </w:textInput>
                </w:ffData>
              </w:fldChar>
            </w:r>
            <w:bookmarkStart w:id="1" w:name="CSDN"/>
            <w:r>
              <w:rPr>
                <w:rFonts w:ascii="黑体" w:hAnsi="黑体" w:eastAsia="黑体"/>
                <w:sz w:val="21"/>
                <w:szCs w:val="21"/>
                <w:highlight w:val="none"/>
              </w:rPr>
              <w:instrText xml:space="preserve"> FORMTEXT </w:instrText>
            </w:r>
            <w:r>
              <w:rPr>
                <w:rFonts w:ascii="黑体" w:hAnsi="黑体" w:eastAsia="黑体"/>
                <w:sz w:val="21"/>
                <w:szCs w:val="21"/>
                <w:highlight w:val="none"/>
              </w:rPr>
              <w:fldChar w:fldCharType="separate"/>
            </w:r>
            <w:r>
              <w:rPr>
                <w:rFonts w:hint="eastAsia" w:ascii="黑体" w:hAnsi="黑体" w:eastAsia="黑体"/>
                <w:sz w:val="21"/>
                <w:szCs w:val="21"/>
                <w:highlight w:val="none"/>
              </w:rPr>
              <w:t>A 30</w:t>
            </w:r>
            <w:r>
              <w:rPr>
                <w:rFonts w:ascii="黑体" w:hAnsi="黑体" w:eastAsia="黑体"/>
                <w:sz w:val="21"/>
                <w:szCs w:val="21"/>
                <w:highlight w:val="none"/>
              </w:rPr>
              <w:fldChar w:fldCharType="end"/>
            </w:r>
            <w:bookmarkEnd w:id="1"/>
          </w:p>
        </w:tc>
      </w:tr>
    </w:tbl>
    <w:tbl>
      <w:tblPr>
        <w:tblStyle w:val="28"/>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108C1DE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c>
          <w:tcPr>
            <w:tcW w:w="6407" w:type="dxa"/>
          </w:tcPr>
          <w:p w14:paraId="5F33DCB9">
            <w:pPr>
              <w:pStyle w:val="50"/>
              <w:framePr w:w="0" w:hRule="auto" w:wrap="auto" w:vAnchor="margin" w:hAnchor="text" w:xAlign="left" w:yAlign="inline"/>
              <w:rPr>
                <w:rFonts w:hint="eastAsia" w:ascii="宋体" w:hAnsi="宋体"/>
                <w:sz w:val="28"/>
                <w:szCs w:val="28"/>
                <w:highlight w:val="none"/>
              </w:rPr>
            </w:pPr>
            <w:bookmarkStart w:id="2" w:name="_Hlk26473981"/>
            <w:r>
              <w:rPr>
                <w:highlight w:val="none"/>
              </w:rP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highlight w:val="none"/>
              </w:rPr>
              <w:t xml:space="preserve"> </w:t>
            </w:r>
            <w:r>
              <w:rPr>
                <w:highlight w:val="none"/>
              </w:rPr>
              <w:fldChar w:fldCharType="begin">
                <w:ffData>
                  <w:name w:val="c1"/>
                  <w:enabled/>
                  <w:calcOnExit w:val="0"/>
                  <w:textInput>
                    <w:maxLength w:val="8"/>
                  </w:textInput>
                </w:ffData>
              </w:fldChar>
            </w:r>
            <w:bookmarkStart w:id="3" w:name="c1"/>
            <w:r>
              <w:rPr>
                <w:highlight w:val="none"/>
              </w:rPr>
              <w:instrText xml:space="preserve"> FORMTEXT </w:instrText>
            </w:r>
            <w:r>
              <w:rPr>
                <w:highlight w:val="none"/>
              </w:rPr>
              <w:fldChar w:fldCharType="separate"/>
            </w:r>
            <w:r>
              <w:rPr>
                <w:rFonts w:hint="eastAsia"/>
                <w:highlight w:val="none"/>
              </w:rPr>
              <w:t>3205</w:t>
            </w:r>
            <w:r>
              <w:rPr>
                <w:highlight w:val="none"/>
              </w:rPr>
              <w:fldChar w:fldCharType="end"/>
            </w:r>
            <w:bookmarkEnd w:id="3"/>
          </w:p>
        </w:tc>
      </w:tr>
    </w:tbl>
    <w:p w14:paraId="31F181EA">
      <w:pPr>
        <w:pStyle w:val="51"/>
        <w:framePr w:w="9639" w:h="624" w:hRule="exact" w:hSpace="181" w:vSpace="181" w:wrap="around" w:hAnchor="page" w:x="1305" w:y="2269"/>
        <w:rPr>
          <w:rFonts w:hint="eastAsia" w:ascii="黑体" w:hAnsi="黑体" w:eastAsia="黑体"/>
          <w:b w:val="0"/>
          <w:bCs w:val="0"/>
          <w:w w:val="100"/>
          <w:sz w:val="48"/>
          <w:szCs w:val="48"/>
          <w:highlight w:val="none"/>
        </w:rPr>
      </w:pPr>
      <w:r>
        <w:rPr>
          <w:rFonts w:ascii="黑体" w:eastAsia="黑体"/>
          <w:b w:val="0"/>
          <w:w w:val="100"/>
          <w:sz w:val="48"/>
          <w:highlight w:val="none"/>
        </w:rPr>
        <w:fldChar w:fldCharType="begin">
          <w:ffData>
            <w:name w:val="c2"/>
            <w:enabled/>
            <w:calcOnExit w:val="0"/>
            <w:textInput/>
          </w:ffData>
        </w:fldChar>
      </w:r>
      <w:bookmarkStart w:id="4" w:name="c2"/>
      <w:r>
        <w:rPr>
          <w:rFonts w:ascii="黑体" w:eastAsia="黑体"/>
          <w:b w:val="0"/>
          <w:w w:val="100"/>
          <w:sz w:val="48"/>
          <w:highlight w:val="none"/>
        </w:rPr>
        <w:instrText xml:space="preserve"> FORMTEXT </w:instrText>
      </w:r>
      <w:r>
        <w:rPr>
          <w:rFonts w:ascii="黑体" w:eastAsia="黑体"/>
          <w:b w:val="0"/>
          <w:w w:val="100"/>
          <w:sz w:val="48"/>
          <w:highlight w:val="none"/>
        </w:rPr>
        <w:fldChar w:fldCharType="separate"/>
      </w:r>
      <w:r>
        <w:rPr>
          <w:rFonts w:hint="eastAsia" w:ascii="黑体" w:eastAsia="黑体"/>
          <w:b w:val="0"/>
          <w:w w:val="100"/>
          <w:sz w:val="48"/>
          <w:highlight w:val="none"/>
        </w:rPr>
        <w:t>苏州市</w:t>
      </w:r>
      <w:r>
        <w:rPr>
          <w:rFonts w:ascii="黑体" w:eastAsia="黑体"/>
          <w:b w:val="0"/>
          <w:w w:val="100"/>
          <w:sz w:val="48"/>
          <w:highlight w:val="none"/>
        </w:rPr>
        <w:fldChar w:fldCharType="end"/>
      </w:r>
      <w:bookmarkEnd w:id="4"/>
      <w:r>
        <w:rPr>
          <w:rFonts w:hint="eastAsia" w:ascii="黑体" w:hAnsi="黑体" w:eastAsia="黑体"/>
          <w:b w:val="0"/>
          <w:bCs w:val="0"/>
          <w:w w:val="100"/>
          <w:sz w:val="48"/>
          <w:szCs w:val="48"/>
          <w:highlight w:val="none"/>
        </w:rPr>
        <w:t>地方标准</w:t>
      </w:r>
    </w:p>
    <w:bookmarkEnd w:id="2"/>
    <w:p w14:paraId="27DB6115">
      <w:pPr>
        <w:pStyle w:val="196"/>
        <w:rPr>
          <w:highlight w:val="none"/>
          <w:lang w:val="fr-FR"/>
        </w:rPr>
      </w:pPr>
      <w:r>
        <w:rPr>
          <w:highlight w:val="none"/>
          <w:lang w:val="fr-FR"/>
        </w:rPr>
        <w:t>DB</w:t>
      </w:r>
      <w:r>
        <w:rPr>
          <w:sz w:val="15"/>
          <w:szCs w:val="15"/>
          <w:highlight w:val="none"/>
          <w:lang w:val="fr-FR"/>
        </w:rPr>
        <w:t xml:space="preserve"> </w:t>
      </w:r>
      <w:r>
        <w:rPr>
          <w:highlight w:val="none"/>
        </w:rPr>
        <w:fldChar w:fldCharType="begin">
          <w:ffData>
            <w:name w:val="文字1"/>
            <w:enabled/>
            <w:calcOnExit w:val="0"/>
            <w:textInput>
              <w:default w:val="XX/T"/>
            </w:textInput>
          </w:ffData>
        </w:fldChar>
      </w:r>
      <w:bookmarkStart w:id="5" w:name="文字1"/>
      <w:r>
        <w:rPr>
          <w:highlight w:val="none"/>
          <w:lang w:val="fr-FR"/>
        </w:rPr>
        <w:instrText xml:space="preserve"> FORMTEXT </w:instrText>
      </w:r>
      <w:r>
        <w:rPr>
          <w:highlight w:val="none"/>
        </w:rPr>
        <w:fldChar w:fldCharType="separate"/>
      </w:r>
      <w:r>
        <w:rPr>
          <w:rFonts w:hint="eastAsia"/>
          <w:highlight w:val="none"/>
          <w:lang w:val="fr-FR"/>
        </w:rPr>
        <w:t>3205</w:t>
      </w:r>
      <w:r>
        <w:rPr>
          <w:highlight w:val="none"/>
          <w:lang w:val="fr-FR"/>
        </w:rPr>
        <w:t>/T</w:t>
      </w:r>
      <w:r>
        <w:rPr>
          <w:highlight w:val="none"/>
        </w:rPr>
        <w:fldChar w:fldCharType="end"/>
      </w:r>
      <w:bookmarkEnd w:id="5"/>
      <w:r>
        <w:rPr>
          <w:highlight w:val="none"/>
          <w:lang w:val="fr-FR"/>
        </w:rPr>
        <w:t xml:space="preserve"> </w:t>
      </w:r>
      <w:r>
        <w:rPr>
          <w:highlight w:val="none"/>
        </w:rPr>
        <w:fldChar w:fldCharType="begin">
          <w:ffData>
            <w:name w:val="NSTD_CODE_F"/>
            <w:enabled/>
            <w:calcOnExit w:val="0"/>
            <w:textInput>
              <w:default w:val="XXXX"/>
            </w:textInput>
          </w:ffData>
        </w:fldChar>
      </w:r>
      <w:bookmarkStart w:id="6" w:name="NSTD_CODE_F"/>
      <w:r>
        <w:rPr>
          <w:highlight w:val="none"/>
          <w:lang w:val="fr-FR"/>
        </w:rPr>
        <w:instrText xml:space="preserve"> FORMTEXT </w:instrText>
      </w:r>
      <w:r>
        <w:rPr>
          <w:highlight w:val="none"/>
        </w:rPr>
        <w:fldChar w:fldCharType="separate"/>
      </w:r>
      <w:r>
        <w:rPr>
          <w:highlight w:val="none"/>
          <w:lang w:val="fr-FR"/>
        </w:rPr>
        <w:t>XXXX</w:t>
      </w:r>
      <w:r>
        <w:rPr>
          <w:highlight w:val="none"/>
        </w:rPr>
        <w:fldChar w:fldCharType="end"/>
      </w:r>
      <w:bookmarkEnd w:id="6"/>
      <w:r>
        <w:rPr>
          <w:rFonts w:hAnsi="黑体"/>
          <w:highlight w:val="none"/>
          <w:lang w:val="fr-FR"/>
        </w:rPr>
        <w:t>—</w:t>
      </w:r>
      <w:r>
        <w:rPr>
          <w:highlight w:val="none"/>
        </w:rPr>
        <w:fldChar w:fldCharType="begin">
          <w:ffData>
            <w:name w:val="NSTD_CODE_B"/>
            <w:enabled/>
            <w:calcOnExit w:val="0"/>
            <w:textInput>
              <w:default w:val="XXXX"/>
            </w:textInput>
          </w:ffData>
        </w:fldChar>
      </w:r>
      <w:bookmarkStart w:id="7" w:name="NSTD_CODE_B"/>
      <w:r>
        <w:rPr>
          <w:highlight w:val="none"/>
          <w:lang w:val="fr-FR"/>
        </w:rPr>
        <w:instrText xml:space="preserve"> FORMTEXT </w:instrText>
      </w:r>
      <w:r>
        <w:rPr>
          <w:highlight w:val="none"/>
        </w:rPr>
        <w:fldChar w:fldCharType="separate"/>
      </w:r>
      <w:r>
        <w:rPr>
          <w:highlight w:val="none"/>
          <w:lang w:val="fr-FR"/>
        </w:rPr>
        <w:t>XXXX</w:t>
      </w:r>
      <w:r>
        <w:rPr>
          <w:highlight w:val="none"/>
        </w:rPr>
        <w:fldChar w:fldCharType="end"/>
      </w:r>
      <w:bookmarkEnd w:id="7"/>
    </w:p>
    <w:p w14:paraId="14EA781E">
      <w:pPr>
        <w:pStyle w:val="197"/>
        <w:rPr>
          <w:rFonts w:hint="eastAsia" w:hAnsi="黑体"/>
          <w:highlight w:val="none"/>
        </w:rPr>
      </w:pPr>
      <w:r>
        <w:rPr>
          <w:rFonts w:hAnsi="黑体"/>
          <w:highlight w:val="none"/>
        </w:rPr>
        <w:fldChar w:fldCharType="begin">
          <w:ffData>
            <w:name w:val="OSTD_CODE"/>
            <w:enabled/>
            <w:calcOnExit w:val="0"/>
            <w:textInput/>
          </w:ffData>
        </w:fldChar>
      </w:r>
      <w:bookmarkStart w:id="8" w:name="OSTD_CODE"/>
      <w:r>
        <w:rPr>
          <w:rFonts w:hAnsi="黑体"/>
          <w:highlight w:val="none"/>
        </w:rPr>
        <w:instrText xml:space="preserve"> FORMTEXT </w:instrText>
      </w:r>
      <w:r>
        <w:rPr>
          <w:rFonts w:hAnsi="黑体"/>
          <w:highlight w:val="none"/>
        </w:rPr>
        <w:fldChar w:fldCharType="separate"/>
      </w:r>
      <w:r>
        <w:rPr>
          <w:rFonts w:hAnsi="黑体"/>
          <w:highlight w:val="none"/>
        </w:rPr>
        <w:t>     </w:t>
      </w:r>
      <w:r>
        <w:rPr>
          <w:rFonts w:hAnsi="黑体"/>
          <w:highlight w:val="none"/>
        </w:rPr>
        <w:fldChar w:fldCharType="end"/>
      </w:r>
      <w:bookmarkEnd w:id="8"/>
    </w:p>
    <w:p w14:paraId="10C17F2B">
      <w:pPr>
        <w:spacing w:line="240" w:lineRule="auto"/>
        <w:rPr>
          <w:rFonts w:hint="eastAsia" w:ascii="黑体" w:hAnsi="黑体" w:eastAsia="黑体"/>
          <w:kern w:val="0"/>
          <w:sz w:val="10"/>
          <w:szCs w:val="10"/>
          <w:highlight w:val="none"/>
        </w:rPr>
      </w:pPr>
      <w:r>
        <w:rPr>
          <w:rFonts w:ascii="黑体" w:hAnsi="黑体" w:eastAsia="黑体"/>
          <w:kern w:val="0"/>
          <w:sz w:val="10"/>
          <w:szCs w:val="10"/>
          <w:highlight w:val="none"/>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74096A73">
      <w:pPr>
        <w:pStyle w:val="51"/>
        <w:framePr w:w="9639" w:h="6976" w:hRule="exact" w:hSpace="0" w:vSpace="0" w:wrap="around" w:hAnchor="page" w:y="6408"/>
        <w:jc w:val="center"/>
        <w:rPr>
          <w:rFonts w:hint="eastAsia" w:ascii="黑体" w:hAnsi="黑体" w:eastAsia="黑体"/>
          <w:b w:val="0"/>
          <w:bCs w:val="0"/>
          <w:w w:val="100"/>
          <w:highlight w:val="none"/>
        </w:rPr>
      </w:pPr>
    </w:p>
    <w:p w14:paraId="0C95A604">
      <w:pPr>
        <w:pStyle w:val="198"/>
        <w:framePr w:h="6974" w:hRule="exact" w:wrap="around" w:x="1419" w:anchorLock="1"/>
        <w:rPr>
          <w:rFonts w:hint="eastAsia"/>
          <w:highlight w:val="none"/>
        </w:rPr>
      </w:pPr>
      <w:r>
        <w:rPr>
          <w:highlight w:val="none"/>
        </w:rPr>
        <w:fldChar w:fldCharType="begin">
          <w:ffData>
            <w:name w:val="CSTD_NAME"/>
            <w:enabled/>
            <w:calcOnExit w:val="0"/>
            <w:textInput>
              <w:default w:val="点击此处添加标准名称"/>
            </w:textInput>
          </w:ffData>
        </w:fldChar>
      </w:r>
      <w:bookmarkStart w:id="9" w:name="CSTD_NAME"/>
      <w:r>
        <w:rPr>
          <w:highlight w:val="none"/>
        </w:rPr>
        <w:instrText xml:space="preserve"> FORMTEXT </w:instrText>
      </w:r>
      <w:r>
        <w:rPr>
          <w:highlight w:val="none"/>
        </w:rPr>
        <w:fldChar w:fldCharType="separate"/>
      </w:r>
      <w:r>
        <w:rPr>
          <w:rFonts w:hint="eastAsia"/>
          <w:highlight w:val="none"/>
        </w:rPr>
        <w:t>全过程工程咨询服务标准</w:t>
      </w:r>
      <w:r>
        <w:rPr>
          <w:highlight w:val="none"/>
        </w:rPr>
        <w:fldChar w:fldCharType="end"/>
      </w:r>
      <w:bookmarkEnd w:id="9"/>
    </w:p>
    <w:p w14:paraId="1D0259F2">
      <w:pPr>
        <w:framePr w:w="9639" w:h="6974" w:hRule="exact" w:wrap="around" w:vAnchor="page" w:hAnchor="page" w:x="1419" w:y="6408" w:anchorLock="1"/>
        <w:ind w:left="-1418"/>
        <w:rPr>
          <w:highlight w:val="none"/>
        </w:rPr>
      </w:pPr>
    </w:p>
    <w:p w14:paraId="25335990">
      <w:pPr>
        <w:pStyle w:val="126"/>
        <w:framePr w:w="9639" w:h="6974" w:hRule="exact" w:wrap="around" w:vAnchor="page" w:hAnchor="page" w:x="1419" w:y="6408" w:anchorLock="1"/>
        <w:textAlignment w:val="bottom"/>
        <w:rPr>
          <w:rFonts w:hint="eastAsia" w:ascii="黑体" w:hAnsi="黑体" w:eastAsia="黑体"/>
          <w:szCs w:val="28"/>
          <w:highlight w:val="none"/>
        </w:rPr>
      </w:pPr>
      <w:r>
        <w:rPr>
          <w:rFonts w:ascii="黑体" w:hAnsi="黑体" w:eastAsia="黑体"/>
          <w:szCs w:val="28"/>
          <w:highlight w:val="none"/>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highlight w:val="none"/>
        </w:rPr>
        <w:instrText xml:space="preserve"> FORMTEXT </w:instrText>
      </w:r>
      <w:r>
        <w:rPr>
          <w:rFonts w:ascii="黑体" w:hAnsi="黑体" w:eastAsia="黑体"/>
          <w:szCs w:val="28"/>
          <w:highlight w:val="none"/>
        </w:rPr>
        <w:fldChar w:fldCharType="separate"/>
      </w:r>
      <w:r>
        <w:rPr>
          <w:rFonts w:hint="eastAsia" w:ascii="黑体" w:hAnsi="黑体" w:eastAsia="黑体"/>
          <w:szCs w:val="28"/>
          <w:highlight w:val="none"/>
        </w:rPr>
        <w:t>Specification for whole process engineering consulting services</w:t>
      </w:r>
      <w:r>
        <w:rPr>
          <w:rFonts w:ascii="黑体" w:hAnsi="黑体" w:eastAsia="黑体"/>
          <w:szCs w:val="28"/>
          <w:highlight w:val="none"/>
        </w:rPr>
        <w:fldChar w:fldCharType="end"/>
      </w:r>
      <w:bookmarkEnd w:id="10"/>
    </w:p>
    <w:p w14:paraId="122F8295">
      <w:pPr>
        <w:framePr w:w="9639" w:h="6974" w:hRule="exact" w:wrap="around" w:vAnchor="page" w:hAnchor="page" w:x="1419" w:y="6408" w:anchorLock="1"/>
        <w:spacing w:line="760" w:lineRule="exact"/>
        <w:ind w:left="-1418"/>
        <w:rPr>
          <w:highlight w:val="none"/>
        </w:rPr>
      </w:pPr>
    </w:p>
    <w:p w14:paraId="5D1D9A1E">
      <w:pPr>
        <w:pStyle w:val="126"/>
        <w:framePr w:w="9639" w:h="6974" w:hRule="exact" w:wrap="around" w:vAnchor="page" w:hAnchor="page" w:x="1419" w:y="6408" w:anchorLock="1"/>
        <w:textAlignment w:val="bottom"/>
        <w:rPr>
          <w:rFonts w:eastAsia="黑体"/>
          <w:szCs w:val="28"/>
          <w:highlight w:val="none"/>
        </w:rPr>
      </w:pPr>
    </w:p>
    <w:p w14:paraId="687CA765">
      <w:pPr>
        <w:pStyle w:val="126"/>
        <w:framePr w:w="9639" w:h="6974" w:hRule="exact" w:wrap="around" w:vAnchor="page" w:hAnchor="page" w:x="1419" w:y="6408" w:anchorLock="1"/>
        <w:spacing w:before="440" w:after="160"/>
        <w:textAlignment w:val="bottom"/>
        <w:rPr>
          <w:sz w:val="24"/>
          <w:szCs w:val="28"/>
          <w:highlight w:val="none"/>
        </w:rPr>
      </w:pPr>
      <w:r>
        <w:rPr>
          <w:sz w:val="24"/>
          <w:szCs w:val="28"/>
          <w:highlight w:val="none"/>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highlight w:val="none"/>
        </w:rPr>
        <w:instrText xml:space="preserve"> FORMDROPDOWN </w:instrText>
      </w:r>
      <w:r>
        <w:rPr>
          <w:sz w:val="24"/>
          <w:szCs w:val="28"/>
          <w:highlight w:val="none"/>
        </w:rPr>
        <w:fldChar w:fldCharType="separate"/>
      </w:r>
      <w:r>
        <w:rPr>
          <w:sz w:val="24"/>
          <w:szCs w:val="28"/>
          <w:highlight w:val="none"/>
        </w:rPr>
        <w:fldChar w:fldCharType="end"/>
      </w:r>
      <w:bookmarkEnd w:id="11"/>
    </w:p>
    <w:p w14:paraId="0A926583">
      <w:pPr>
        <w:pStyle w:val="126"/>
        <w:framePr w:w="9639" w:h="6974" w:hRule="exact" w:wrap="around" w:vAnchor="page" w:hAnchor="page" w:x="1419" w:y="6408" w:anchorLock="1"/>
        <w:spacing w:before="180" w:line="240" w:lineRule="atLeast"/>
        <w:textAlignment w:val="bottom"/>
        <w:rPr>
          <w:sz w:val="21"/>
          <w:szCs w:val="28"/>
          <w:highlight w:val="none"/>
        </w:rPr>
      </w:pPr>
      <w:r>
        <w:rPr>
          <w:sz w:val="21"/>
          <w:szCs w:val="28"/>
          <w:highlight w:val="none"/>
        </w:rPr>
        <w:fldChar w:fldCharType="begin">
          <w:ffData>
            <w:name w:val="CMPLSH_DATE"/>
            <w:enabled/>
            <w:calcOnExit w:val="0"/>
            <w:textInput/>
          </w:ffData>
        </w:fldChar>
      </w:r>
      <w:bookmarkStart w:id="12" w:name="CMPLSH_DATE"/>
      <w:r>
        <w:rPr>
          <w:sz w:val="21"/>
          <w:szCs w:val="28"/>
          <w:highlight w:val="none"/>
        </w:rPr>
        <w:instrText xml:space="preserve"> FORMTEXT </w:instrText>
      </w:r>
      <w:r>
        <w:rPr>
          <w:sz w:val="21"/>
          <w:szCs w:val="28"/>
          <w:highlight w:val="none"/>
        </w:rPr>
        <w:fldChar w:fldCharType="separate"/>
      </w:r>
      <w:r>
        <w:rPr>
          <w:sz w:val="21"/>
          <w:szCs w:val="28"/>
          <w:highlight w:val="none"/>
        </w:rPr>
        <w:t>     </w:t>
      </w:r>
      <w:r>
        <w:rPr>
          <w:sz w:val="21"/>
          <w:szCs w:val="28"/>
          <w:highlight w:val="none"/>
        </w:rPr>
        <w:fldChar w:fldCharType="end"/>
      </w:r>
      <w:bookmarkEnd w:id="12"/>
    </w:p>
    <w:p w14:paraId="46584CB3">
      <w:pPr>
        <w:pStyle w:val="126"/>
        <w:framePr w:w="9639" w:h="6974" w:hRule="exact" w:wrap="around" w:vAnchor="page" w:hAnchor="page" w:x="1419" w:y="6408" w:anchorLock="1"/>
        <w:spacing w:before="720" w:beforeLines="300" w:after="72" w:afterLines="30" w:line="240" w:lineRule="auto"/>
        <w:textAlignment w:val="bottom"/>
        <w:rPr>
          <w:b/>
          <w:sz w:val="21"/>
          <w:szCs w:val="28"/>
          <w:highlight w:val="none"/>
        </w:rPr>
      </w:pPr>
      <w:r>
        <w:rPr>
          <w:b/>
          <w:sz w:val="21"/>
          <w:szCs w:val="28"/>
          <w:highlight w:val="none"/>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highlight w:val="none"/>
        </w:rPr>
        <w:instrText xml:space="preserve"> FORMDROPDOWN </w:instrText>
      </w:r>
      <w:r>
        <w:rPr>
          <w:b/>
          <w:sz w:val="21"/>
          <w:szCs w:val="28"/>
          <w:highlight w:val="none"/>
        </w:rPr>
        <w:fldChar w:fldCharType="separate"/>
      </w:r>
      <w:r>
        <w:rPr>
          <w:b/>
          <w:sz w:val="21"/>
          <w:szCs w:val="28"/>
          <w:highlight w:val="none"/>
        </w:rPr>
        <w:fldChar w:fldCharType="end"/>
      </w:r>
      <w:bookmarkEnd w:id="13"/>
    </w:p>
    <w:p w14:paraId="69A3F65B">
      <w:pPr>
        <w:pStyle w:val="194"/>
        <w:framePr w:wrap="around" w:y="14176"/>
        <w:rPr>
          <w:highlight w:val="none"/>
        </w:rPr>
      </w:pPr>
      <w:r>
        <w:rPr>
          <w:rFonts w:ascii="黑体"/>
          <w:highlight w:val="none"/>
        </w:rPr>
        <w:fldChar w:fldCharType="begin">
          <w:ffData>
            <w:name w:val="PLSH_DATE_Y"/>
            <w:enabled/>
            <w:calcOnExit w:val="0"/>
            <w:textInput>
              <w:default w:val="XXXX"/>
              <w:maxLength w:val="4"/>
            </w:textInput>
          </w:ffData>
        </w:fldChar>
      </w:r>
      <w:bookmarkStart w:id="14" w:name="PLSH_DATE_Y"/>
      <w:r>
        <w:rPr>
          <w:rFonts w:ascii="黑体"/>
          <w:highlight w:val="none"/>
        </w:rPr>
        <w:instrText xml:space="preserve"> FORMTEXT </w:instrText>
      </w:r>
      <w:r>
        <w:rPr>
          <w:rFonts w:ascii="黑体"/>
          <w:highlight w:val="none"/>
        </w:rPr>
        <w:fldChar w:fldCharType="separate"/>
      </w:r>
      <w:r>
        <w:rPr>
          <w:rFonts w:ascii="黑体"/>
          <w:highlight w:val="none"/>
        </w:rPr>
        <w:t>XXXX</w:t>
      </w:r>
      <w:r>
        <w:rPr>
          <w:rFonts w:ascii="黑体"/>
          <w:highlight w:val="none"/>
        </w:rPr>
        <w:fldChar w:fldCharType="end"/>
      </w:r>
      <w:bookmarkEnd w:id="14"/>
      <w:r>
        <w:rPr>
          <w:highlight w:val="none"/>
        </w:rPr>
        <w:t xml:space="preserve"> </w:t>
      </w:r>
      <w:r>
        <w:rPr>
          <w:rFonts w:ascii="黑体"/>
          <w:highlight w:val="none"/>
        </w:rPr>
        <w:t>-</w:t>
      </w:r>
      <w:r>
        <w:rPr>
          <w:highlight w:val="none"/>
        </w:rPr>
        <w:t xml:space="preserve"> </w:t>
      </w:r>
      <w:r>
        <w:rPr>
          <w:rFonts w:ascii="黑体"/>
          <w:highlight w:val="none"/>
        </w:rPr>
        <w:fldChar w:fldCharType="begin">
          <w:ffData>
            <w:name w:val="PLSH_DATE_M"/>
            <w:enabled/>
            <w:calcOnExit w:val="0"/>
            <w:textInput>
              <w:default w:val="XX"/>
              <w:maxLength w:val="2"/>
            </w:textInput>
          </w:ffData>
        </w:fldChar>
      </w:r>
      <w:bookmarkStart w:id="15" w:name="PLSH_DATE_M"/>
      <w:r>
        <w:rPr>
          <w:rFonts w:ascii="黑体"/>
          <w:highlight w:val="none"/>
        </w:rPr>
        <w:instrText xml:space="preserve"> FORMTEXT </w:instrText>
      </w:r>
      <w:r>
        <w:rPr>
          <w:rFonts w:ascii="黑体"/>
          <w:highlight w:val="none"/>
        </w:rPr>
        <w:fldChar w:fldCharType="separate"/>
      </w:r>
      <w:r>
        <w:rPr>
          <w:rFonts w:ascii="黑体"/>
          <w:highlight w:val="none"/>
        </w:rPr>
        <w:t>XX</w:t>
      </w:r>
      <w:r>
        <w:rPr>
          <w:rFonts w:ascii="黑体"/>
          <w:highlight w:val="none"/>
        </w:rPr>
        <w:fldChar w:fldCharType="end"/>
      </w:r>
      <w:bookmarkEnd w:id="15"/>
      <w:r>
        <w:rPr>
          <w:highlight w:val="none"/>
        </w:rPr>
        <w:t xml:space="preserve"> </w:t>
      </w:r>
      <w:r>
        <w:rPr>
          <w:rFonts w:ascii="黑体"/>
          <w:highlight w:val="none"/>
        </w:rPr>
        <w:t>-</w:t>
      </w:r>
      <w:r>
        <w:rPr>
          <w:highlight w:val="none"/>
        </w:rPr>
        <w:t xml:space="preserve"> </w:t>
      </w:r>
      <w:r>
        <w:rPr>
          <w:rFonts w:ascii="黑体"/>
          <w:highlight w:val="none"/>
        </w:rPr>
        <w:fldChar w:fldCharType="begin">
          <w:ffData>
            <w:name w:val="PLSH_DATE_D"/>
            <w:enabled/>
            <w:calcOnExit w:val="0"/>
            <w:textInput>
              <w:default w:val="XX"/>
              <w:maxLength w:val="2"/>
            </w:textInput>
          </w:ffData>
        </w:fldChar>
      </w:r>
      <w:bookmarkStart w:id="16" w:name="PLSH_DATE_D"/>
      <w:r>
        <w:rPr>
          <w:rFonts w:ascii="黑体"/>
          <w:highlight w:val="none"/>
        </w:rPr>
        <w:instrText xml:space="preserve"> FORMTEXT </w:instrText>
      </w:r>
      <w:r>
        <w:rPr>
          <w:rFonts w:ascii="黑体"/>
          <w:highlight w:val="none"/>
        </w:rPr>
        <w:fldChar w:fldCharType="separate"/>
      </w:r>
      <w:r>
        <w:rPr>
          <w:rFonts w:ascii="黑体"/>
          <w:highlight w:val="none"/>
        </w:rPr>
        <w:t>XX</w:t>
      </w:r>
      <w:r>
        <w:rPr>
          <w:rFonts w:ascii="黑体"/>
          <w:highlight w:val="none"/>
        </w:rPr>
        <w:fldChar w:fldCharType="end"/>
      </w:r>
      <w:bookmarkEnd w:id="16"/>
      <w:r>
        <w:rPr>
          <w:rFonts w:hint="eastAsia"/>
          <w:highlight w:val="none"/>
        </w:rPr>
        <w:t>发布</w:t>
      </w:r>
    </w:p>
    <w:p w14:paraId="71485F6A">
      <w:pPr>
        <w:pStyle w:val="195"/>
        <w:framePr w:wrap="around" w:y="14176"/>
        <w:rPr>
          <w:highlight w:val="none"/>
        </w:rPr>
      </w:pPr>
      <w:r>
        <w:rPr>
          <w:rFonts w:ascii="黑体"/>
          <w:highlight w:val="none"/>
        </w:rPr>
        <w:fldChar w:fldCharType="begin">
          <w:ffData>
            <w:name w:val="CROT_DATE_Y"/>
            <w:enabled/>
            <w:calcOnExit w:val="0"/>
            <w:textInput>
              <w:default w:val="XXXX"/>
              <w:maxLength w:val="4"/>
            </w:textInput>
          </w:ffData>
        </w:fldChar>
      </w:r>
      <w:bookmarkStart w:id="17" w:name="CROT_DATE_Y"/>
      <w:r>
        <w:rPr>
          <w:rFonts w:ascii="黑体"/>
          <w:highlight w:val="none"/>
        </w:rPr>
        <w:instrText xml:space="preserve"> FORMTEXT </w:instrText>
      </w:r>
      <w:r>
        <w:rPr>
          <w:rFonts w:ascii="黑体"/>
          <w:highlight w:val="none"/>
        </w:rPr>
        <w:fldChar w:fldCharType="separate"/>
      </w:r>
      <w:r>
        <w:rPr>
          <w:rFonts w:ascii="黑体"/>
          <w:highlight w:val="none"/>
        </w:rPr>
        <w:t>XXXX</w:t>
      </w:r>
      <w:r>
        <w:rPr>
          <w:rFonts w:ascii="黑体"/>
          <w:highlight w:val="none"/>
        </w:rPr>
        <w:fldChar w:fldCharType="end"/>
      </w:r>
      <w:bookmarkEnd w:id="17"/>
      <w:r>
        <w:rPr>
          <w:highlight w:val="none"/>
        </w:rPr>
        <w:t xml:space="preserve"> </w:t>
      </w:r>
      <w:r>
        <w:rPr>
          <w:rFonts w:ascii="黑体"/>
          <w:highlight w:val="none"/>
        </w:rPr>
        <w:t>-</w:t>
      </w:r>
      <w:r>
        <w:rPr>
          <w:highlight w:val="none"/>
        </w:rPr>
        <w:t xml:space="preserve"> </w:t>
      </w:r>
      <w:r>
        <w:rPr>
          <w:rFonts w:ascii="黑体"/>
          <w:highlight w:val="none"/>
        </w:rPr>
        <w:fldChar w:fldCharType="begin">
          <w:ffData>
            <w:name w:val="CROT_DATE_M"/>
            <w:enabled/>
            <w:calcOnExit w:val="0"/>
            <w:textInput>
              <w:default w:val="XX"/>
              <w:maxLength w:val="2"/>
            </w:textInput>
          </w:ffData>
        </w:fldChar>
      </w:r>
      <w:bookmarkStart w:id="18" w:name="CROT_DATE_M"/>
      <w:r>
        <w:rPr>
          <w:rFonts w:ascii="黑体"/>
          <w:highlight w:val="none"/>
        </w:rPr>
        <w:instrText xml:space="preserve"> FORMTEXT </w:instrText>
      </w:r>
      <w:r>
        <w:rPr>
          <w:rFonts w:ascii="黑体"/>
          <w:highlight w:val="none"/>
        </w:rPr>
        <w:fldChar w:fldCharType="separate"/>
      </w:r>
      <w:r>
        <w:rPr>
          <w:rFonts w:ascii="黑体"/>
          <w:highlight w:val="none"/>
        </w:rPr>
        <w:t>XX</w:t>
      </w:r>
      <w:r>
        <w:rPr>
          <w:rFonts w:ascii="黑体"/>
          <w:highlight w:val="none"/>
        </w:rPr>
        <w:fldChar w:fldCharType="end"/>
      </w:r>
      <w:bookmarkEnd w:id="18"/>
      <w:r>
        <w:rPr>
          <w:highlight w:val="none"/>
        </w:rPr>
        <w:t xml:space="preserve"> </w:t>
      </w:r>
      <w:r>
        <w:rPr>
          <w:rFonts w:ascii="黑体"/>
          <w:highlight w:val="none"/>
        </w:rPr>
        <w:t>-</w:t>
      </w:r>
      <w:r>
        <w:rPr>
          <w:highlight w:val="none"/>
        </w:rPr>
        <w:t xml:space="preserve"> </w:t>
      </w:r>
      <w:r>
        <w:rPr>
          <w:rFonts w:ascii="黑体"/>
          <w:highlight w:val="none"/>
        </w:rPr>
        <w:fldChar w:fldCharType="begin">
          <w:ffData>
            <w:name w:val="CROT_DATE_D"/>
            <w:enabled/>
            <w:calcOnExit w:val="0"/>
            <w:textInput>
              <w:default w:val="XX"/>
              <w:maxLength w:val="2"/>
            </w:textInput>
          </w:ffData>
        </w:fldChar>
      </w:r>
      <w:bookmarkStart w:id="19" w:name="CROT_DATE_D"/>
      <w:r>
        <w:rPr>
          <w:rFonts w:ascii="黑体"/>
          <w:highlight w:val="none"/>
        </w:rPr>
        <w:instrText xml:space="preserve"> FORMTEXT </w:instrText>
      </w:r>
      <w:r>
        <w:rPr>
          <w:rFonts w:ascii="黑体"/>
          <w:highlight w:val="none"/>
        </w:rPr>
        <w:fldChar w:fldCharType="separate"/>
      </w:r>
      <w:r>
        <w:rPr>
          <w:rFonts w:ascii="黑体"/>
          <w:highlight w:val="none"/>
        </w:rPr>
        <w:t>XX</w:t>
      </w:r>
      <w:r>
        <w:rPr>
          <w:rFonts w:ascii="黑体"/>
          <w:highlight w:val="none"/>
        </w:rPr>
        <w:fldChar w:fldCharType="end"/>
      </w:r>
      <w:bookmarkEnd w:id="19"/>
      <w:r>
        <w:rPr>
          <w:rFonts w:hint="eastAsia"/>
          <w:highlight w:val="none"/>
        </w:rPr>
        <w:t>实施</w:t>
      </w:r>
    </w:p>
    <w:p w14:paraId="14A2C10F">
      <w:pPr>
        <w:pStyle w:val="152"/>
        <w:framePr w:h="584" w:hRule="exact" w:hSpace="181" w:vSpace="181" w:wrap="around" w:y="15027"/>
        <w:rPr>
          <w:rFonts w:hint="eastAsia" w:hAnsi="黑体"/>
          <w:highlight w:val="none"/>
        </w:rPr>
      </w:pPr>
      <w:r>
        <w:rPr>
          <w:rFonts w:hAnsi="黑体"/>
          <w:w w:val="100"/>
          <w:sz w:val="28"/>
          <w:highlight w:val="none"/>
        </w:rPr>
        <w:fldChar w:fldCharType="begin">
          <w:ffData>
            <w:name w:val="fm"/>
            <w:enabled/>
            <w:calcOnExit w:val="0"/>
            <w:textInput/>
          </w:ffData>
        </w:fldChar>
      </w:r>
      <w:bookmarkStart w:id="20" w:name="fm"/>
      <w:r>
        <w:rPr>
          <w:rFonts w:hAnsi="黑体"/>
          <w:w w:val="100"/>
          <w:sz w:val="28"/>
          <w:highlight w:val="none"/>
        </w:rPr>
        <w:instrText xml:space="preserve"> FORMTEXT </w:instrText>
      </w:r>
      <w:r>
        <w:rPr>
          <w:rFonts w:hAnsi="黑体"/>
          <w:w w:val="100"/>
          <w:sz w:val="28"/>
          <w:highlight w:val="none"/>
        </w:rPr>
        <w:fldChar w:fldCharType="separate"/>
      </w:r>
      <w:r>
        <w:rPr>
          <w:rFonts w:hint="eastAsia" w:hAnsi="黑体"/>
          <w:w w:val="100"/>
          <w:sz w:val="28"/>
          <w:highlight w:val="none"/>
        </w:rPr>
        <w:t>苏州市市场监督管理局</w:t>
      </w:r>
      <w:r>
        <w:rPr>
          <w:rFonts w:hAnsi="黑体"/>
          <w:w w:val="100"/>
          <w:sz w:val="28"/>
          <w:highlight w:val="none"/>
        </w:rPr>
        <w:fldChar w:fldCharType="end"/>
      </w:r>
      <w:bookmarkEnd w:id="20"/>
      <w:r>
        <w:rPr>
          <w:rFonts w:ascii="Times New Roman"/>
          <w:w w:val="100"/>
          <w:sz w:val="28"/>
          <w:highlight w:val="none"/>
        </w:rPr>
        <w:t>  </w:t>
      </w:r>
      <w:r>
        <w:rPr>
          <w:rStyle w:val="230"/>
          <w:rFonts w:hint="eastAsia" w:hAnsi="黑体"/>
          <w:position w:val="0"/>
          <w:highlight w:val="none"/>
        </w:rPr>
        <w:t>发</w:t>
      </w:r>
      <w:r>
        <w:rPr>
          <w:rStyle w:val="230"/>
          <w:rFonts w:hint="eastAsia" w:hAnsi="黑体"/>
          <w:spacing w:val="0"/>
          <w:position w:val="0"/>
          <w:highlight w:val="none"/>
        </w:rPr>
        <w:t>布</w:t>
      </w:r>
    </w:p>
    <w:p w14:paraId="3D206E99">
      <w:pPr>
        <w:rPr>
          <w:rFonts w:hint="eastAsia" w:ascii="宋体" w:hAnsi="宋体"/>
          <w:sz w:val="28"/>
          <w:szCs w:val="28"/>
          <w:highlight w:val="none"/>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highlight w:val="none"/>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6C18109C">
      <w:pPr>
        <w:pStyle w:val="92"/>
        <w:spacing w:after="468"/>
        <w:rPr>
          <w:rFonts w:hint="eastAsia"/>
          <w:highlight w:val="none"/>
        </w:rPr>
      </w:pPr>
      <w:bookmarkStart w:id="21" w:name="BookMark1"/>
      <w:bookmarkStart w:id="22" w:name="_Toc194135314"/>
      <w:r>
        <w:rPr>
          <w:rFonts w:hint="eastAsia"/>
          <w:spacing w:val="320"/>
          <w:highlight w:val="none"/>
        </w:rPr>
        <w:t>目</w:t>
      </w:r>
      <w:r>
        <w:rPr>
          <w:rFonts w:hint="eastAsia"/>
          <w:highlight w:val="none"/>
        </w:rPr>
        <w:t>次</w:t>
      </w:r>
    </w:p>
    <w:p w14:paraId="18ADB660">
      <w:pPr>
        <w:pStyle w:val="20"/>
        <w:tabs>
          <w:tab w:val="right" w:leader="dot" w:pos="9354"/>
        </w:tabs>
      </w:pPr>
      <w:r>
        <w:rPr>
          <w:highlight w:val="none"/>
        </w:rPr>
        <w:fldChar w:fldCharType="begin"/>
      </w:r>
      <w:r>
        <w:rPr>
          <w:highlight w:val="none"/>
        </w:rPr>
        <w:instrText xml:space="preserve"> TOC \o "1-1" \h \t "标准文件_一级条标题,2,标准文件_附录一级条标题,2," </w:instrText>
      </w:r>
      <w:r>
        <w:rPr>
          <w:highlight w:val="none"/>
        </w:rPr>
        <w:fldChar w:fldCharType="separate"/>
      </w:r>
      <w:r>
        <w:rPr>
          <w:highlight w:val="none"/>
        </w:rPr>
        <w:fldChar w:fldCharType="begin"/>
      </w:r>
      <w:r>
        <w:rPr>
          <w:highlight w:val="none"/>
        </w:rPr>
        <w:instrText xml:space="preserve"> HYPERLINK \l _Toc7326 </w:instrText>
      </w:r>
      <w:r>
        <w:rPr>
          <w:highlight w:val="none"/>
        </w:rPr>
        <w:fldChar w:fldCharType="separate"/>
      </w:r>
      <w:r>
        <w:rPr>
          <w:rFonts w:hint="eastAsia"/>
          <w:spacing w:val="320"/>
          <w:highlight w:val="none"/>
        </w:rPr>
        <w:t>前</w:t>
      </w:r>
      <w:r>
        <w:rPr>
          <w:rFonts w:hint="eastAsia"/>
          <w:highlight w:val="none"/>
        </w:rPr>
        <w:t>言</w:t>
      </w:r>
      <w:r>
        <w:tab/>
      </w:r>
      <w:r>
        <w:fldChar w:fldCharType="begin"/>
      </w:r>
      <w:r>
        <w:instrText xml:space="preserve"> PAGEREF _Toc7326 \h </w:instrText>
      </w:r>
      <w:r>
        <w:fldChar w:fldCharType="separate"/>
      </w:r>
      <w:r>
        <w:t>III</w:t>
      </w:r>
      <w:r>
        <w:fldChar w:fldCharType="end"/>
      </w:r>
      <w:r>
        <w:rPr>
          <w:highlight w:val="none"/>
        </w:rPr>
        <w:fldChar w:fldCharType="end"/>
      </w:r>
    </w:p>
    <w:p w14:paraId="25EDEC7A">
      <w:pPr>
        <w:pStyle w:val="20"/>
        <w:tabs>
          <w:tab w:val="right" w:leader="dot" w:pos="9354"/>
        </w:tabs>
      </w:pPr>
      <w:r>
        <w:rPr>
          <w:highlight w:val="none"/>
        </w:rPr>
        <w:fldChar w:fldCharType="begin"/>
      </w:r>
      <w:r>
        <w:rPr>
          <w:highlight w:val="none"/>
        </w:rPr>
        <w:instrText xml:space="preserve"> HYPERLINK \l _Toc17950 </w:instrText>
      </w:r>
      <w:r>
        <w:rPr>
          <w:highlight w:val="none"/>
        </w:rPr>
        <w:fldChar w:fldCharType="separate"/>
      </w:r>
      <w:r>
        <w:rPr>
          <w:rFonts w:hint="eastAsia"/>
          <w:spacing w:val="320"/>
          <w:highlight w:val="none"/>
        </w:rPr>
        <w:t>引</w:t>
      </w:r>
      <w:r>
        <w:rPr>
          <w:rFonts w:hint="eastAsia"/>
          <w:highlight w:val="none"/>
        </w:rPr>
        <w:t>言</w:t>
      </w:r>
      <w:r>
        <w:tab/>
      </w:r>
      <w:r>
        <w:fldChar w:fldCharType="begin"/>
      </w:r>
      <w:r>
        <w:instrText xml:space="preserve"> PAGEREF _Toc17950 \h </w:instrText>
      </w:r>
      <w:r>
        <w:fldChar w:fldCharType="separate"/>
      </w:r>
      <w:r>
        <w:t>IV</w:t>
      </w:r>
      <w:r>
        <w:fldChar w:fldCharType="end"/>
      </w:r>
      <w:r>
        <w:rPr>
          <w:highlight w:val="none"/>
        </w:rPr>
        <w:fldChar w:fldCharType="end"/>
      </w:r>
    </w:p>
    <w:p w14:paraId="7F5C37F9">
      <w:pPr>
        <w:pStyle w:val="20"/>
        <w:tabs>
          <w:tab w:val="right" w:leader="dot" w:pos="9354"/>
        </w:tabs>
      </w:pPr>
      <w:r>
        <w:rPr>
          <w:highlight w:val="none"/>
        </w:rPr>
        <w:fldChar w:fldCharType="begin"/>
      </w:r>
      <w:r>
        <w:rPr>
          <w:highlight w:val="none"/>
        </w:rPr>
        <w:instrText xml:space="preserve"> HYPERLINK \l _Toc30648 </w:instrText>
      </w:r>
      <w:r>
        <w:rPr>
          <w:highlight w:val="none"/>
        </w:rPr>
        <w:fldChar w:fldCharType="separate"/>
      </w:r>
      <w:r>
        <w:rPr>
          <w:rFonts w:hint="eastAsia" w:ascii="黑体" w:eastAsia="黑体"/>
          <w:i w:val="0"/>
        </w:rPr>
        <w:t xml:space="preserve">1 </w:t>
      </w:r>
      <w:r>
        <w:rPr>
          <w:rFonts w:hint="eastAsia"/>
          <w:highlight w:val="none"/>
        </w:rPr>
        <w:t>范围</w:t>
      </w:r>
      <w:r>
        <w:tab/>
      </w:r>
      <w:r>
        <w:fldChar w:fldCharType="begin"/>
      </w:r>
      <w:r>
        <w:instrText xml:space="preserve"> PAGEREF _Toc30648 \h </w:instrText>
      </w:r>
      <w:r>
        <w:fldChar w:fldCharType="separate"/>
      </w:r>
      <w:r>
        <w:t>1</w:t>
      </w:r>
      <w:r>
        <w:fldChar w:fldCharType="end"/>
      </w:r>
      <w:r>
        <w:rPr>
          <w:highlight w:val="none"/>
        </w:rPr>
        <w:fldChar w:fldCharType="end"/>
      </w:r>
    </w:p>
    <w:p w14:paraId="19E22F4C">
      <w:pPr>
        <w:pStyle w:val="20"/>
        <w:tabs>
          <w:tab w:val="right" w:leader="dot" w:pos="9354"/>
        </w:tabs>
      </w:pPr>
      <w:r>
        <w:rPr>
          <w:highlight w:val="none"/>
        </w:rPr>
        <w:fldChar w:fldCharType="begin"/>
      </w:r>
      <w:r>
        <w:rPr>
          <w:highlight w:val="none"/>
        </w:rPr>
        <w:instrText xml:space="preserve"> HYPERLINK \l _Toc1807 </w:instrText>
      </w:r>
      <w:r>
        <w:rPr>
          <w:highlight w:val="none"/>
        </w:rPr>
        <w:fldChar w:fldCharType="separate"/>
      </w:r>
      <w:r>
        <w:rPr>
          <w:rFonts w:hint="eastAsia" w:ascii="黑体" w:eastAsia="黑体"/>
          <w:i w:val="0"/>
        </w:rPr>
        <w:t xml:space="preserve">2 </w:t>
      </w:r>
      <w:r>
        <w:rPr>
          <w:rFonts w:hint="eastAsia"/>
          <w:highlight w:val="none"/>
        </w:rPr>
        <w:t>规范性引用文件</w:t>
      </w:r>
      <w:r>
        <w:tab/>
      </w:r>
      <w:r>
        <w:fldChar w:fldCharType="begin"/>
      </w:r>
      <w:r>
        <w:instrText xml:space="preserve"> PAGEREF _Toc1807 \h </w:instrText>
      </w:r>
      <w:r>
        <w:fldChar w:fldCharType="separate"/>
      </w:r>
      <w:r>
        <w:t>1</w:t>
      </w:r>
      <w:r>
        <w:fldChar w:fldCharType="end"/>
      </w:r>
      <w:r>
        <w:rPr>
          <w:highlight w:val="none"/>
        </w:rPr>
        <w:fldChar w:fldCharType="end"/>
      </w:r>
    </w:p>
    <w:p w14:paraId="0E960EBA">
      <w:pPr>
        <w:pStyle w:val="20"/>
        <w:tabs>
          <w:tab w:val="right" w:leader="dot" w:pos="9354"/>
        </w:tabs>
      </w:pPr>
      <w:r>
        <w:rPr>
          <w:highlight w:val="none"/>
        </w:rPr>
        <w:fldChar w:fldCharType="begin"/>
      </w:r>
      <w:r>
        <w:rPr>
          <w:highlight w:val="none"/>
        </w:rPr>
        <w:instrText xml:space="preserve"> HYPERLINK \l _Toc8521 </w:instrText>
      </w:r>
      <w:r>
        <w:rPr>
          <w:highlight w:val="none"/>
        </w:rPr>
        <w:fldChar w:fldCharType="separate"/>
      </w:r>
      <w:r>
        <w:rPr>
          <w:rFonts w:hint="eastAsia" w:ascii="黑体" w:eastAsia="黑体"/>
          <w:i w:val="0"/>
        </w:rPr>
        <w:t xml:space="preserve">3 </w:t>
      </w:r>
      <w:r>
        <w:rPr>
          <w:rFonts w:hint="eastAsia"/>
          <w:szCs w:val="21"/>
          <w:highlight w:val="none"/>
        </w:rPr>
        <w:t>术语和定义</w:t>
      </w:r>
      <w:r>
        <w:tab/>
      </w:r>
      <w:r>
        <w:fldChar w:fldCharType="begin"/>
      </w:r>
      <w:r>
        <w:instrText xml:space="preserve"> PAGEREF _Toc8521 \h </w:instrText>
      </w:r>
      <w:r>
        <w:fldChar w:fldCharType="separate"/>
      </w:r>
      <w:r>
        <w:t>1</w:t>
      </w:r>
      <w:r>
        <w:fldChar w:fldCharType="end"/>
      </w:r>
      <w:r>
        <w:rPr>
          <w:highlight w:val="none"/>
        </w:rPr>
        <w:fldChar w:fldCharType="end"/>
      </w:r>
    </w:p>
    <w:p w14:paraId="59CA0592">
      <w:pPr>
        <w:pStyle w:val="20"/>
        <w:tabs>
          <w:tab w:val="right" w:leader="dot" w:pos="9354"/>
        </w:tabs>
      </w:pPr>
      <w:r>
        <w:rPr>
          <w:highlight w:val="none"/>
        </w:rPr>
        <w:fldChar w:fldCharType="begin"/>
      </w:r>
      <w:r>
        <w:rPr>
          <w:highlight w:val="none"/>
        </w:rPr>
        <w:instrText xml:space="preserve"> HYPERLINK \l _Toc7115 </w:instrText>
      </w:r>
      <w:r>
        <w:rPr>
          <w:highlight w:val="none"/>
        </w:rPr>
        <w:fldChar w:fldCharType="separate"/>
      </w:r>
      <w:r>
        <w:rPr>
          <w:rFonts w:hint="eastAsia" w:ascii="黑体" w:eastAsia="黑体"/>
          <w:i w:val="0"/>
        </w:rPr>
        <w:t xml:space="preserve">4 </w:t>
      </w:r>
      <w:r>
        <w:rPr>
          <w:rFonts w:hint="eastAsia"/>
          <w:highlight w:val="none"/>
        </w:rPr>
        <w:t>总体要求</w:t>
      </w:r>
      <w:r>
        <w:tab/>
      </w:r>
      <w:r>
        <w:fldChar w:fldCharType="begin"/>
      </w:r>
      <w:r>
        <w:instrText xml:space="preserve"> PAGEREF _Toc7115 \h </w:instrText>
      </w:r>
      <w:r>
        <w:fldChar w:fldCharType="separate"/>
      </w:r>
      <w:r>
        <w:t>4</w:t>
      </w:r>
      <w:r>
        <w:fldChar w:fldCharType="end"/>
      </w:r>
      <w:r>
        <w:rPr>
          <w:highlight w:val="none"/>
        </w:rPr>
        <w:fldChar w:fldCharType="end"/>
      </w:r>
    </w:p>
    <w:p w14:paraId="4DBB5BC8">
      <w:pPr>
        <w:pStyle w:val="25"/>
        <w:tabs>
          <w:tab w:val="right" w:leader="dot" w:pos="9354"/>
          <w:tab w:val="clear" w:pos="9344"/>
        </w:tabs>
      </w:pPr>
      <w:r>
        <w:rPr>
          <w:highlight w:val="none"/>
        </w:rPr>
        <w:fldChar w:fldCharType="begin"/>
      </w:r>
      <w:r>
        <w:rPr>
          <w:highlight w:val="none"/>
        </w:rPr>
        <w:instrText xml:space="preserve"> HYPERLINK \l _Toc10978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4.1 </w:t>
      </w:r>
      <w:r>
        <w:rPr>
          <w:rFonts w:hint="eastAsia"/>
          <w:highlight w:val="none"/>
        </w:rPr>
        <w:t>基本规定</w:t>
      </w:r>
      <w:r>
        <w:tab/>
      </w:r>
      <w:r>
        <w:fldChar w:fldCharType="begin"/>
      </w:r>
      <w:r>
        <w:instrText xml:space="preserve"> PAGEREF _Toc10978 \h </w:instrText>
      </w:r>
      <w:r>
        <w:fldChar w:fldCharType="separate"/>
      </w:r>
      <w:r>
        <w:t>5</w:t>
      </w:r>
      <w:r>
        <w:fldChar w:fldCharType="end"/>
      </w:r>
      <w:r>
        <w:rPr>
          <w:highlight w:val="none"/>
        </w:rPr>
        <w:fldChar w:fldCharType="end"/>
      </w:r>
    </w:p>
    <w:p w14:paraId="3F9A6710">
      <w:pPr>
        <w:pStyle w:val="25"/>
        <w:tabs>
          <w:tab w:val="right" w:leader="dot" w:pos="9354"/>
          <w:tab w:val="clear" w:pos="9344"/>
        </w:tabs>
      </w:pPr>
      <w:r>
        <w:rPr>
          <w:highlight w:val="none"/>
        </w:rPr>
        <w:fldChar w:fldCharType="begin"/>
      </w:r>
      <w:r>
        <w:rPr>
          <w:highlight w:val="none"/>
        </w:rPr>
        <w:instrText xml:space="preserve"> HYPERLINK \l _Toc13110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4.2 </w:t>
      </w:r>
      <w:r>
        <w:rPr>
          <w:rFonts w:hint="eastAsia"/>
          <w:highlight w:val="none"/>
        </w:rPr>
        <w:t>全过程工程咨询的组织方式</w:t>
      </w:r>
      <w:r>
        <w:tab/>
      </w:r>
      <w:r>
        <w:fldChar w:fldCharType="begin"/>
      </w:r>
      <w:r>
        <w:instrText xml:space="preserve"> PAGEREF _Toc13110 \h </w:instrText>
      </w:r>
      <w:r>
        <w:fldChar w:fldCharType="separate"/>
      </w:r>
      <w:r>
        <w:t>5</w:t>
      </w:r>
      <w:r>
        <w:fldChar w:fldCharType="end"/>
      </w:r>
      <w:r>
        <w:rPr>
          <w:highlight w:val="none"/>
        </w:rPr>
        <w:fldChar w:fldCharType="end"/>
      </w:r>
    </w:p>
    <w:p w14:paraId="230800FE">
      <w:pPr>
        <w:pStyle w:val="25"/>
        <w:tabs>
          <w:tab w:val="right" w:leader="dot" w:pos="9354"/>
          <w:tab w:val="clear" w:pos="9344"/>
        </w:tabs>
      </w:pPr>
      <w:r>
        <w:rPr>
          <w:highlight w:val="none"/>
        </w:rPr>
        <w:fldChar w:fldCharType="begin"/>
      </w:r>
      <w:r>
        <w:rPr>
          <w:highlight w:val="none"/>
        </w:rPr>
        <w:instrText xml:space="preserve"> HYPERLINK \l _Toc9507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4.3 </w:t>
      </w:r>
      <w:r>
        <w:rPr>
          <w:rFonts w:hint="eastAsia"/>
          <w:highlight w:val="none"/>
        </w:rPr>
        <w:t>全过程工程咨询的服务范围与服务内容</w:t>
      </w:r>
      <w:r>
        <w:tab/>
      </w:r>
      <w:r>
        <w:fldChar w:fldCharType="begin"/>
      </w:r>
      <w:r>
        <w:instrText xml:space="preserve"> PAGEREF _Toc9507 \h </w:instrText>
      </w:r>
      <w:r>
        <w:fldChar w:fldCharType="separate"/>
      </w:r>
      <w:r>
        <w:t>5</w:t>
      </w:r>
      <w:r>
        <w:fldChar w:fldCharType="end"/>
      </w:r>
      <w:r>
        <w:rPr>
          <w:highlight w:val="none"/>
        </w:rPr>
        <w:fldChar w:fldCharType="end"/>
      </w:r>
    </w:p>
    <w:p w14:paraId="14D3DF31">
      <w:pPr>
        <w:pStyle w:val="25"/>
        <w:tabs>
          <w:tab w:val="right" w:leader="dot" w:pos="9354"/>
          <w:tab w:val="clear" w:pos="9344"/>
        </w:tabs>
      </w:pPr>
      <w:r>
        <w:rPr>
          <w:highlight w:val="none"/>
        </w:rPr>
        <w:fldChar w:fldCharType="begin"/>
      </w:r>
      <w:r>
        <w:rPr>
          <w:highlight w:val="none"/>
        </w:rPr>
        <w:instrText xml:space="preserve"> HYPERLINK \l _Toc27532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4.4 </w:t>
      </w:r>
      <w:r>
        <w:rPr>
          <w:rFonts w:hint="eastAsia"/>
          <w:highlight w:val="none"/>
        </w:rPr>
        <w:t>全过程工程咨询服务准则</w:t>
      </w:r>
      <w:r>
        <w:tab/>
      </w:r>
      <w:r>
        <w:fldChar w:fldCharType="begin"/>
      </w:r>
      <w:r>
        <w:instrText xml:space="preserve"> PAGEREF _Toc27532 \h </w:instrText>
      </w:r>
      <w:r>
        <w:fldChar w:fldCharType="separate"/>
      </w:r>
      <w:r>
        <w:t>6</w:t>
      </w:r>
      <w:r>
        <w:fldChar w:fldCharType="end"/>
      </w:r>
      <w:r>
        <w:rPr>
          <w:highlight w:val="none"/>
        </w:rPr>
        <w:fldChar w:fldCharType="end"/>
      </w:r>
    </w:p>
    <w:p w14:paraId="16C5DB7F">
      <w:pPr>
        <w:pStyle w:val="20"/>
        <w:tabs>
          <w:tab w:val="right" w:leader="dot" w:pos="9354"/>
        </w:tabs>
      </w:pPr>
      <w:r>
        <w:rPr>
          <w:highlight w:val="none"/>
        </w:rPr>
        <w:fldChar w:fldCharType="begin"/>
      </w:r>
      <w:r>
        <w:rPr>
          <w:highlight w:val="none"/>
        </w:rPr>
        <w:instrText xml:space="preserve"> HYPERLINK \l _Toc19697 </w:instrText>
      </w:r>
      <w:r>
        <w:rPr>
          <w:highlight w:val="none"/>
        </w:rPr>
        <w:fldChar w:fldCharType="separate"/>
      </w:r>
      <w:r>
        <w:rPr>
          <w:rFonts w:hint="eastAsia" w:ascii="黑体" w:eastAsia="黑体"/>
          <w:i w:val="0"/>
        </w:rPr>
        <w:t xml:space="preserve">5 </w:t>
      </w:r>
      <w:r>
        <w:rPr>
          <w:rFonts w:hint="eastAsia"/>
          <w:highlight w:val="none"/>
        </w:rPr>
        <w:t>工程咨询方要求</w:t>
      </w:r>
      <w:r>
        <w:tab/>
      </w:r>
      <w:bookmarkStart w:id="193" w:name="_GoBack"/>
      <w:bookmarkEnd w:id="193"/>
      <w:r>
        <w:fldChar w:fldCharType="begin"/>
      </w:r>
      <w:r>
        <w:instrText xml:space="preserve"> PAGEREF _Toc19697 \h </w:instrText>
      </w:r>
      <w:r>
        <w:fldChar w:fldCharType="separate"/>
      </w:r>
      <w:r>
        <w:t>7</w:t>
      </w:r>
      <w:r>
        <w:fldChar w:fldCharType="end"/>
      </w:r>
      <w:r>
        <w:rPr>
          <w:highlight w:val="none"/>
        </w:rPr>
        <w:fldChar w:fldCharType="end"/>
      </w:r>
    </w:p>
    <w:p w14:paraId="54129EA2">
      <w:pPr>
        <w:pStyle w:val="25"/>
        <w:tabs>
          <w:tab w:val="right" w:leader="dot" w:pos="9354"/>
          <w:tab w:val="clear" w:pos="9344"/>
        </w:tabs>
      </w:pPr>
      <w:r>
        <w:rPr>
          <w:highlight w:val="none"/>
        </w:rPr>
        <w:fldChar w:fldCharType="begin"/>
      </w:r>
      <w:r>
        <w:rPr>
          <w:highlight w:val="none"/>
        </w:rPr>
        <w:instrText xml:space="preserve"> HYPERLINK \l _Toc12119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5.1 </w:t>
      </w:r>
      <w:r>
        <w:rPr>
          <w:rFonts w:hint="eastAsia"/>
          <w:highlight w:val="none"/>
        </w:rPr>
        <w:t>一般规定</w:t>
      </w:r>
      <w:r>
        <w:tab/>
      </w:r>
      <w:r>
        <w:fldChar w:fldCharType="begin"/>
      </w:r>
      <w:r>
        <w:instrText xml:space="preserve"> PAGEREF _Toc12119 \h </w:instrText>
      </w:r>
      <w:r>
        <w:fldChar w:fldCharType="separate"/>
      </w:r>
      <w:r>
        <w:t>7</w:t>
      </w:r>
      <w:r>
        <w:fldChar w:fldCharType="end"/>
      </w:r>
      <w:r>
        <w:rPr>
          <w:highlight w:val="none"/>
        </w:rPr>
        <w:fldChar w:fldCharType="end"/>
      </w:r>
    </w:p>
    <w:p w14:paraId="6FC4A6E9">
      <w:pPr>
        <w:pStyle w:val="25"/>
        <w:tabs>
          <w:tab w:val="right" w:leader="dot" w:pos="9354"/>
          <w:tab w:val="clear" w:pos="9344"/>
        </w:tabs>
      </w:pPr>
      <w:r>
        <w:rPr>
          <w:highlight w:val="none"/>
        </w:rPr>
        <w:fldChar w:fldCharType="begin"/>
      </w:r>
      <w:r>
        <w:rPr>
          <w:highlight w:val="none"/>
        </w:rPr>
        <w:instrText xml:space="preserve"> HYPERLINK \l _Toc18198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5.2 </w:t>
      </w:r>
      <w:r>
        <w:rPr>
          <w:rFonts w:hint="eastAsia"/>
          <w:highlight w:val="none"/>
        </w:rPr>
        <w:t>全过程工程咨询方管理</w:t>
      </w:r>
      <w:r>
        <w:tab/>
      </w:r>
      <w:r>
        <w:fldChar w:fldCharType="begin"/>
      </w:r>
      <w:r>
        <w:instrText xml:space="preserve"> PAGEREF _Toc18198 \h </w:instrText>
      </w:r>
      <w:r>
        <w:fldChar w:fldCharType="separate"/>
      </w:r>
      <w:r>
        <w:t>7</w:t>
      </w:r>
      <w:r>
        <w:fldChar w:fldCharType="end"/>
      </w:r>
      <w:r>
        <w:rPr>
          <w:highlight w:val="none"/>
        </w:rPr>
        <w:fldChar w:fldCharType="end"/>
      </w:r>
    </w:p>
    <w:p w14:paraId="194DA624">
      <w:pPr>
        <w:pStyle w:val="25"/>
        <w:tabs>
          <w:tab w:val="right" w:leader="dot" w:pos="9354"/>
          <w:tab w:val="clear" w:pos="9344"/>
        </w:tabs>
      </w:pPr>
      <w:r>
        <w:rPr>
          <w:highlight w:val="none"/>
        </w:rPr>
        <w:fldChar w:fldCharType="begin"/>
      </w:r>
      <w:r>
        <w:rPr>
          <w:highlight w:val="none"/>
        </w:rPr>
        <w:instrText xml:space="preserve"> HYPERLINK \l _Toc2806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5.3 </w:t>
      </w:r>
      <w:r>
        <w:rPr>
          <w:rFonts w:hint="eastAsia"/>
          <w:highlight w:val="none"/>
        </w:rPr>
        <w:t>全过程工程咨询服务团队要求</w:t>
      </w:r>
      <w:r>
        <w:tab/>
      </w:r>
      <w:r>
        <w:fldChar w:fldCharType="begin"/>
      </w:r>
      <w:r>
        <w:instrText xml:space="preserve"> PAGEREF _Toc2806 \h </w:instrText>
      </w:r>
      <w:r>
        <w:fldChar w:fldCharType="separate"/>
      </w:r>
      <w:r>
        <w:t>8</w:t>
      </w:r>
      <w:r>
        <w:fldChar w:fldCharType="end"/>
      </w:r>
      <w:r>
        <w:rPr>
          <w:highlight w:val="none"/>
        </w:rPr>
        <w:fldChar w:fldCharType="end"/>
      </w:r>
    </w:p>
    <w:p w14:paraId="2C011FCE">
      <w:pPr>
        <w:pStyle w:val="25"/>
        <w:tabs>
          <w:tab w:val="right" w:leader="dot" w:pos="9354"/>
          <w:tab w:val="clear" w:pos="9344"/>
        </w:tabs>
      </w:pPr>
      <w:r>
        <w:rPr>
          <w:highlight w:val="none"/>
        </w:rPr>
        <w:fldChar w:fldCharType="begin"/>
      </w:r>
      <w:r>
        <w:rPr>
          <w:highlight w:val="none"/>
        </w:rPr>
        <w:instrText xml:space="preserve"> HYPERLINK \l _Toc1584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5.4 </w:t>
      </w:r>
      <w:r>
        <w:rPr>
          <w:rFonts w:hint="eastAsia"/>
          <w:highlight w:val="none"/>
        </w:rPr>
        <w:t>全过程工程咨询服务人员职责</w:t>
      </w:r>
      <w:r>
        <w:tab/>
      </w:r>
      <w:r>
        <w:fldChar w:fldCharType="begin"/>
      </w:r>
      <w:r>
        <w:instrText xml:space="preserve"> PAGEREF _Toc1584 \h </w:instrText>
      </w:r>
      <w:r>
        <w:fldChar w:fldCharType="separate"/>
      </w:r>
      <w:r>
        <w:t>8</w:t>
      </w:r>
      <w:r>
        <w:fldChar w:fldCharType="end"/>
      </w:r>
      <w:r>
        <w:rPr>
          <w:highlight w:val="none"/>
        </w:rPr>
        <w:fldChar w:fldCharType="end"/>
      </w:r>
    </w:p>
    <w:p w14:paraId="746C0070">
      <w:pPr>
        <w:pStyle w:val="20"/>
        <w:tabs>
          <w:tab w:val="right" w:leader="dot" w:pos="9354"/>
        </w:tabs>
      </w:pPr>
      <w:r>
        <w:rPr>
          <w:highlight w:val="none"/>
        </w:rPr>
        <w:fldChar w:fldCharType="begin"/>
      </w:r>
      <w:r>
        <w:rPr>
          <w:highlight w:val="none"/>
        </w:rPr>
        <w:instrText xml:space="preserve"> HYPERLINK \l _Toc18273 </w:instrText>
      </w:r>
      <w:r>
        <w:rPr>
          <w:highlight w:val="none"/>
        </w:rPr>
        <w:fldChar w:fldCharType="separate"/>
      </w:r>
      <w:r>
        <w:rPr>
          <w:rFonts w:hint="eastAsia" w:ascii="黑体" w:eastAsia="黑体"/>
          <w:i w:val="0"/>
        </w:rPr>
        <w:t xml:space="preserve">6 </w:t>
      </w:r>
      <w:r>
        <w:rPr>
          <w:rFonts w:hint="eastAsia"/>
          <w:highlight w:val="none"/>
        </w:rPr>
        <w:t>全过程工程咨询服务策划</w:t>
      </w:r>
      <w:r>
        <w:tab/>
      </w:r>
      <w:r>
        <w:fldChar w:fldCharType="begin"/>
      </w:r>
      <w:r>
        <w:instrText xml:space="preserve"> PAGEREF _Toc18273 \h </w:instrText>
      </w:r>
      <w:r>
        <w:fldChar w:fldCharType="separate"/>
      </w:r>
      <w:r>
        <w:t>9</w:t>
      </w:r>
      <w:r>
        <w:fldChar w:fldCharType="end"/>
      </w:r>
      <w:r>
        <w:rPr>
          <w:highlight w:val="none"/>
        </w:rPr>
        <w:fldChar w:fldCharType="end"/>
      </w:r>
    </w:p>
    <w:p w14:paraId="038C87C9">
      <w:pPr>
        <w:pStyle w:val="25"/>
        <w:tabs>
          <w:tab w:val="right" w:leader="dot" w:pos="9354"/>
          <w:tab w:val="clear" w:pos="9344"/>
        </w:tabs>
      </w:pPr>
      <w:r>
        <w:rPr>
          <w:highlight w:val="none"/>
        </w:rPr>
        <w:fldChar w:fldCharType="begin"/>
      </w:r>
      <w:r>
        <w:rPr>
          <w:highlight w:val="none"/>
        </w:rPr>
        <w:instrText xml:space="preserve"> HYPERLINK \l _Toc5346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6.1 </w:t>
      </w:r>
      <w:r>
        <w:rPr>
          <w:rFonts w:hint="eastAsia"/>
          <w:highlight w:val="none"/>
        </w:rPr>
        <w:t>一般规定</w:t>
      </w:r>
      <w:r>
        <w:tab/>
      </w:r>
      <w:r>
        <w:fldChar w:fldCharType="begin"/>
      </w:r>
      <w:r>
        <w:instrText xml:space="preserve"> PAGEREF _Toc5346 \h </w:instrText>
      </w:r>
      <w:r>
        <w:fldChar w:fldCharType="separate"/>
      </w:r>
      <w:r>
        <w:t>9</w:t>
      </w:r>
      <w:r>
        <w:fldChar w:fldCharType="end"/>
      </w:r>
      <w:r>
        <w:rPr>
          <w:highlight w:val="none"/>
        </w:rPr>
        <w:fldChar w:fldCharType="end"/>
      </w:r>
    </w:p>
    <w:p w14:paraId="30DEF479">
      <w:pPr>
        <w:pStyle w:val="25"/>
        <w:tabs>
          <w:tab w:val="right" w:leader="dot" w:pos="9354"/>
          <w:tab w:val="clear" w:pos="9344"/>
        </w:tabs>
      </w:pPr>
      <w:r>
        <w:rPr>
          <w:highlight w:val="none"/>
        </w:rPr>
        <w:fldChar w:fldCharType="begin"/>
      </w:r>
      <w:r>
        <w:rPr>
          <w:highlight w:val="none"/>
        </w:rPr>
        <w:instrText xml:space="preserve"> HYPERLINK \l _Toc15378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6.2 </w:t>
      </w:r>
      <w:r>
        <w:rPr>
          <w:rFonts w:hint="eastAsia"/>
          <w:highlight w:val="none"/>
        </w:rPr>
        <w:t>全过程工程咨询服务工作大纲</w:t>
      </w:r>
      <w:r>
        <w:tab/>
      </w:r>
      <w:r>
        <w:fldChar w:fldCharType="begin"/>
      </w:r>
      <w:r>
        <w:instrText xml:space="preserve"> PAGEREF _Toc15378 \h </w:instrText>
      </w:r>
      <w:r>
        <w:fldChar w:fldCharType="separate"/>
      </w:r>
      <w:r>
        <w:t>9</w:t>
      </w:r>
      <w:r>
        <w:fldChar w:fldCharType="end"/>
      </w:r>
      <w:r>
        <w:rPr>
          <w:highlight w:val="none"/>
        </w:rPr>
        <w:fldChar w:fldCharType="end"/>
      </w:r>
    </w:p>
    <w:p w14:paraId="2B1EF4C3">
      <w:pPr>
        <w:pStyle w:val="25"/>
        <w:tabs>
          <w:tab w:val="right" w:leader="dot" w:pos="9354"/>
          <w:tab w:val="clear" w:pos="9344"/>
        </w:tabs>
      </w:pPr>
      <w:r>
        <w:rPr>
          <w:highlight w:val="none"/>
        </w:rPr>
        <w:fldChar w:fldCharType="begin"/>
      </w:r>
      <w:r>
        <w:rPr>
          <w:highlight w:val="none"/>
        </w:rPr>
        <w:instrText xml:space="preserve"> HYPERLINK \l _Toc3734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6.3 </w:t>
      </w:r>
      <w:r>
        <w:rPr>
          <w:rFonts w:hint="eastAsia"/>
          <w:highlight w:val="none"/>
        </w:rPr>
        <w:t>专业咨询实施方案</w:t>
      </w:r>
      <w:r>
        <w:tab/>
      </w:r>
      <w:r>
        <w:fldChar w:fldCharType="begin"/>
      </w:r>
      <w:r>
        <w:instrText xml:space="preserve"> PAGEREF _Toc3734 \h </w:instrText>
      </w:r>
      <w:r>
        <w:fldChar w:fldCharType="separate"/>
      </w:r>
      <w:r>
        <w:t>10</w:t>
      </w:r>
      <w:r>
        <w:fldChar w:fldCharType="end"/>
      </w:r>
      <w:r>
        <w:rPr>
          <w:highlight w:val="none"/>
        </w:rPr>
        <w:fldChar w:fldCharType="end"/>
      </w:r>
    </w:p>
    <w:p w14:paraId="32360805">
      <w:pPr>
        <w:pStyle w:val="20"/>
        <w:tabs>
          <w:tab w:val="right" w:leader="dot" w:pos="9354"/>
        </w:tabs>
      </w:pPr>
      <w:r>
        <w:rPr>
          <w:highlight w:val="none"/>
        </w:rPr>
        <w:fldChar w:fldCharType="begin"/>
      </w:r>
      <w:r>
        <w:rPr>
          <w:highlight w:val="none"/>
        </w:rPr>
        <w:instrText xml:space="preserve"> HYPERLINK \l _Toc6462 </w:instrText>
      </w:r>
      <w:r>
        <w:rPr>
          <w:highlight w:val="none"/>
        </w:rPr>
        <w:fldChar w:fldCharType="separate"/>
      </w:r>
      <w:r>
        <w:rPr>
          <w:rFonts w:hint="eastAsia" w:ascii="黑体" w:eastAsia="黑体"/>
          <w:i w:val="0"/>
        </w:rPr>
        <w:t xml:space="preserve">7 </w:t>
      </w:r>
      <w:r>
        <w:rPr>
          <w:rFonts w:hint="eastAsia"/>
          <w:highlight w:val="none"/>
        </w:rPr>
        <w:t>前期咨询服务</w:t>
      </w:r>
      <w:r>
        <w:tab/>
      </w:r>
      <w:r>
        <w:fldChar w:fldCharType="begin"/>
      </w:r>
      <w:r>
        <w:instrText xml:space="preserve"> PAGEREF _Toc6462 \h </w:instrText>
      </w:r>
      <w:r>
        <w:fldChar w:fldCharType="separate"/>
      </w:r>
      <w:r>
        <w:t>10</w:t>
      </w:r>
      <w:r>
        <w:fldChar w:fldCharType="end"/>
      </w:r>
      <w:r>
        <w:rPr>
          <w:highlight w:val="none"/>
        </w:rPr>
        <w:fldChar w:fldCharType="end"/>
      </w:r>
    </w:p>
    <w:p w14:paraId="36FE7CE3">
      <w:pPr>
        <w:pStyle w:val="25"/>
        <w:tabs>
          <w:tab w:val="right" w:leader="dot" w:pos="9354"/>
          <w:tab w:val="clear" w:pos="9344"/>
        </w:tabs>
      </w:pPr>
      <w:r>
        <w:rPr>
          <w:highlight w:val="none"/>
        </w:rPr>
        <w:fldChar w:fldCharType="begin"/>
      </w:r>
      <w:r>
        <w:rPr>
          <w:highlight w:val="none"/>
        </w:rPr>
        <w:instrText xml:space="preserve"> HYPERLINK \l _Toc9050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 </w:t>
      </w:r>
      <w:r>
        <w:rPr>
          <w:rFonts w:hint="eastAsia"/>
          <w:highlight w:val="none"/>
        </w:rPr>
        <w:t>一般规定</w:t>
      </w:r>
      <w:r>
        <w:tab/>
      </w:r>
      <w:r>
        <w:fldChar w:fldCharType="begin"/>
      </w:r>
      <w:r>
        <w:instrText xml:space="preserve"> PAGEREF _Toc9050 \h </w:instrText>
      </w:r>
      <w:r>
        <w:fldChar w:fldCharType="separate"/>
      </w:r>
      <w:r>
        <w:t>10</w:t>
      </w:r>
      <w:r>
        <w:fldChar w:fldCharType="end"/>
      </w:r>
      <w:r>
        <w:rPr>
          <w:highlight w:val="none"/>
        </w:rPr>
        <w:fldChar w:fldCharType="end"/>
      </w:r>
    </w:p>
    <w:p w14:paraId="3E0E0074">
      <w:pPr>
        <w:pStyle w:val="25"/>
        <w:tabs>
          <w:tab w:val="right" w:leader="dot" w:pos="9354"/>
          <w:tab w:val="clear" w:pos="9344"/>
        </w:tabs>
      </w:pPr>
      <w:r>
        <w:rPr>
          <w:highlight w:val="none"/>
        </w:rPr>
        <w:fldChar w:fldCharType="begin"/>
      </w:r>
      <w:r>
        <w:rPr>
          <w:highlight w:val="none"/>
        </w:rPr>
        <w:instrText xml:space="preserve"> HYPERLINK \l _Toc13502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7.2 </w:t>
      </w:r>
      <w:r>
        <w:rPr>
          <w:rFonts w:hint="eastAsia"/>
          <w:highlight w:val="none"/>
        </w:rPr>
        <w:t>项目策划</w:t>
      </w:r>
      <w:r>
        <w:tab/>
      </w:r>
      <w:r>
        <w:fldChar w:fldCharType="begin"/>
      </w:r>
      <w:r>
        <w:instrText xml:space="preserve"> PAGEREF _Toc13502 \h </w:instrText>
      </w:r>
      <w:r>
        <w:fldChar w:fldCharType="separate"/>
      </w:r>
      <w:r>
        <w:t>10</w:t>
      </w:r>
      <w:r>
        <w:fldChar w:fldCharType="end"/>
      </w:r>
      <w:r>
        <w:rPr>
          <w:highlight w:val="none"/>
        </w:rPr>
        <w:fldChar w:fldCharType="end"/>
      </w:r>
    </w:p>
    <w:p w14:paraId="4583C948">
      <w:pPr>
        <w:pStyle w:val="25"/>
        <w:tabs>
          <w:tab w:val="right" w:leader="dot" w:pos="9354"/>
          <w:tab w:val="clear" w:pos="9344"/>
        </w:tabs>
      </w:pPr>
      <w:r>
        <w:rPr>
          <w:highlight w:val="none"/>
        </w:rPr>
        <w:fldChar w:fldCharType="begin"/>
      </w:r>
      <w:r>
        <w:rPr>
          <w:highlight w:val="none"/>
        </w:rPr>
        <w:instrText xml:space="preserve"> HYPERLINK \l _Toc10139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7.3 </w:t>
      </w:r>
      <w:r>
        <w:rPr>
          <w:rFonts w:hint="eastAsia"/>
          <w:highlight w:val="none"/>
        </w:rPr>
        <w:t>项目建议书</w:t>
      </w:r>
      <w:r>
        <w:tab/>
      </w:r>
      <w:r>
        <w:fldChar w:fldCharType="begin"/>
      </w:r>
      <w:r>
        <w:instrText xml:space="preserve"> PAGEREF _Toc10139 \h </w:instrText>
      </w:r>
      <w:r>
        <w:fldChar w:fldCharType="separate"/>
      </w:r>
      <w:r>
        <w:t>11</w:t>
      </w:r>
      <w:r>
        <w:fldChar w:fldCharType="end"/>
      </w:r>
      <w:r>
        <w:rPr>
          <w:highlight w:val="none"/>
        </w:rPr>
        <w:fldChar w:fldCharType="end"/>
      </w:r>
    </w:p>
    <w:p w14:paraId="177FD8DE">
      <w:pPr>
        <w:pStyle w:val="25"/>
        <w:tabs>
          <w:tab w:val="right" w:leader="dot" w:pos="9354"/>
          <w:tab w:val="clear" w:pos="9344"/>
        </w:tabs>
      </w:pPr>
      <w:r>
        <w:rPr>
          <w:highlight w:val="none"/>
        </w:rPr>
        <w:fldChar w:fldCharType="begin"/>
      </w:r>
      <w:r>
        <w:rPr>
          <w:highlight w:val="none"/>
        </w:rPr>
        <w:instrText xml:space="preserve"> HYPERLINK \l _Toc30552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7.4 </w:t>
      </w:r>
      <w:r>
        <w:rPr>
          <w:rFonts w:hint="eastAsia"/>
          <w:highlight w:val="none"/>
        </w:rPr>
        <w:t>可行性研究报告</w:t>
      </w:r>
      <w:r>
        <w:tab/>
      </w:r>
      <w:r>
        <w:fldChar w:fldCharType="begin"/>
      </w:r>
      <w:r>
        <w:instrText xml:space="preserve"> PAGEREF _Toc30552 \h </w:instrText>
      </w:r>
      <w:r>
        <w:fldChar w:fldCharType="separate"/>
      </w:r>
      <w:r>
        <w:t>11</w:t>
      </w:r>
      <w:r>
        <w:fldChar w:fldCharType="end"/>
      </w:r>
      <w:r>
        <w:rPr>
          <w:highlight w:val="none"/>
        </w:rPr>
        <w:fldChar w:fldCharType="end"/>
      </w:r>
    </w:p>
    <w:p w14:paraId="151AE0BC">
      <w:pPr>
        <w:pStyle w:val="25"/>
        <w:tabs>
          <w:tab w:val="right" w:leader="dot" w:pos="9354"/>
          <w:tab w:val="clear" w:pos="9344"/>
        </w:tabs>
      </w:pPr>
      <w:r>
        <w:rPr>
          <w:highlight w:val="none"/>
        </w:rPr>
        <w:fldChar w:fldCharType="begin"/>
      </w:r>
      <w:r>
        <w:rPr>
          <w:highlight w:val="none"/>
        </w:rPr>
        <w:instrText xml:space="preserve"> HYPERLINK \l _Toc30416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7.5 </w:t>
      </w:r>
      <w:r>
        <w:rPr>
          <w:rFonts w:hint="eastAsia"/>
          <w:highlight w:val="none"/>
        </w:rPr>
        <w:t>投资估算</w:t>
      </w:r>
      <w:r>
        <w:tab/>
      </w:r>
      <w:r>
        <w:fldChar w:fldCharType="begin"/>
      </w:r>
      <w:r>
        <w:instrText xml:space="preserve"> PAGEREF _Toc30416 \h </w:instrText>
      </w:r>
      <w:r>
        <w:fldChar w:fldCharType="separate"/>
      </w:r>
      <w:r>
        <w:t>12</w:t>
      </w:r>
      <w:r>
        <w:fldChar w:fldCharType="end"/>
      </w:r>
      <w:r>
        <w:rPr>
          <w:highlight w:val="none"/>
        </w:rPr>
        <w:fldChar w:fldCharType="end"/>
      </w:r>
    </w:p>
    <w:p w14:paraId="05F79375">
      <w:pPr>
        <w:pStyle w:val="25"/>
        <w:tabs>
          <w:tab w:val="right" w:leader="dot" w:pos="9354"/>
          <w:tab w:val="clear" w:pos="9344"/>
        </w:tabs>
      </w:pPr>
      <w:r>
        <w:rPr>
          <w:highlight w:val="none"/>
        </w:rPr>
        <w:fldChar w:fldCharType="begin"/>
      </w:r>
      <w:r>
        <w:rPr>
          <w:highlight w:val="none"/>
        </w:rPr>
        <w:instrText xml:space="preserve"> HYPERLINK \l _Toc13647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7.6 </w:t>
      </w:r>
      <w:r>
        <w:rPr>
          <w:rFonts w:hint="eastAsia"/>
          <w:highlight w:val="none"/>
        </w:rPr>
        <w:t>建设条件单项咨询服务</w:t>
      </w:r>
      <w:r>
        <w:tab/>
      </w:r>
      <w:r>
        <w:fldChar w:fldCharType="begin"/>
      </w:r>
      <w:r>
        <w:instrText xml:space="preserve"> PAGEREF _Toc13647 \h </w:instrText>
      </w:r>
      <w:r>
        <w:fldChar w:fldCharType="separate"/>
      </w:r>
      <w:r>
        <w:t>13</w:t>
      </w:r>
      <w:r>
        <w:fldChar w:fldCharType="end"/>
      </w:r>
      <w:r>
        <w:rPr>
          <w:highlight w:val="none"/>
        </w:rPr>
        <w:fldChar w:fldCharType="end"/>
      </w:r>
    </w:p>
    <w:p w14:paraId="5DA6F611">
      <w:pPr>
        <w:pStyle w:val="20"/>
        <w:tabs>
          <w:tab w:val="right" w:leader="dot" w:pos="9354"/>
        </w:tabs>
      </w:pPr>
      <w:r>
        <w:rPr>
          <w:highlight w:val="none"/>
        </w:rPr>
        <w:fldChar w:fldCharType="begin"/>
      </w:r>
      <w:r>
        <w:rPr>
          <w:highlight w:val="none"/>
        </w:rPr>
        <w:instrText xml:space="preserve"> HYPERLINK \l _Toc26699 </w:instrText>
      </w:r>
      <w:r>
        <w:rPr>
          <w:highlight w:val="none"/>
        </w:rPr>
        <w:fldChar w:fldCharType="separate"/>
      </w:r>
      <w:r>
        <w:rPr>
          <w:rFonts w:hint="eastAsia" w:ascii="黑体" w:eastAsia="黑体"/>
          <w:i w:val="0"/>
        </w:rPr>
        <w:t xml:space="preserve">8 </w:t>
      </w:r>
      <w:r>
        <w:rPr>
          <w:rFonts w:hint="eastAsia"/>
          <w:highlight w:val="none"/>
        </w:rPr>
        <w:t>项目报建服务</w:t>
      </w:r>
      <w:r>
        <w:tab/>
      </w:r>
      <w:r>
        <w:fldChar w:fldCharType="begin"/>
      </w:r>
      <w:r>
        <w:instrText xml:space="preserve"> PAGEREF _Toc26699 \h </w:instrText>
      </w:r>
      <w:r>
        <w:fldChar w:fldCharType="separate"/>
      </w:r>
      <w:r>
        <w:t>14</w:t>
      </w:r>
      <w:r>
        <w:fldChar w:fldCharType="end"/>
      </w:r>
      <w:r>
        <w:rPr>
          <w:highlight w:val="none"/>
        </w:rPr>
        <w:fldChar w:fldCharType="end"/>
      </w:r>
    </w:p>
    <w:p w14:paraId="3A80A467">
      <w:pPr>
        <w:pStyle w:val="25"/>
        <w:tabs>
          <w:tab w:val="right" w:leader="dot" w:pos="9354"/>
          <w:tab w:val="clear" w:pos="9344"/>
        </w:tabs>
      </w:pPr>
      <w:r>
        <w:rPr>
          <w:highlight w:val="none"/>
        </w:rPr>
        <w:fldChar w:fldCharType="begin"/>
      </w:r>
      <w:r>
        <w:rPr>
          <w:highlight w:val="none"/>
        </w:rPr>
        <w:instrText xml:space="preserve"> HYPERLINK \l _Toc21596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8.1 </w:t>
      </w:r>
      <w:r>
        <w:rPr>
          <w:rFonts w:hint="eastAsia"/>
          <w:highlight w:val="none"/>
        </w:rPr>
        <w:t>一般规定</w:t>
      </w:r>
      <w:r>
        <w:tab/>
      </w:r>
      <w:r>
        <w:fldChar w:fldCharType="begin"/>
      </w:r>
      <w:r>
        <w:instrText xml:space="preserve"> PAGEREF _Toc21596 \h </w:instrText>
      </w:r>
      <w:r>
        <w:fldChar w:fldCharType="separate"/>
      </w:r>
      <w:r>
        <w:t>14</w:t>
      </w:r>
      <w:r>
        <w:fldChar w:fldCharType="end"/>
      </w:r>
      <w:r>
        <w:rPr>
          <w:highlight w:val="none"/>
        </w:rPr>
        <w:fldChar w:fldCharType="end"/>
      </w:r>
    </w:p>
    <w:p w14:paraId="456D7668">
      <w:pPr>
        <w:pStyle w:val="25"/>
        <w:tabs>
          <w:tab w:val="right" w:leader="dot" w:pos="9354"/>
          <w:tab w:val="clear" w:pos="9344"/>
        </w:tabs>
      </w:pPr>
      <w:r>
        <w:rPr>
          <w:highlight w:val="none"/>
        </w:rPr>
        <w:fldChar w:fldCharType="begin"/>
      </w:r>
      <w:r>
        <w:rPr>
          <w:highlight w:val="none"/>
        </w:rPr>
        <w:instrText xml:space="preserve"> HYPERLINK \l _Toc20430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8.2 </w:t>
      </w:r>
      <w:r>
        <w:rPr>
          <w:rFonts w:hint="eastAsia"/>
          <w:highlight w:val="none"/>
        </w:rPr>
        <w:t>报批报建管理</w:t>
      </w:r>
      <w:r>
        <w:tab/>
      </w:r>
      <w:r>
        <w:fldChar w:fldCharType="begin"/>
      </w:r>
      <w:r>
        <w:instrText xml:space="preserve"> PAGEREF _Toc20430 \h </w:instrText>
      </w:r>
      <w:r>
        <w:fldChar w:fldCharType="separate"/>
      </w:r>
      <w:r>
        <w:t>15</w:t>
      </w:r>
      <w:r>
        <w:fldChar w:fldCharType="end"/>
      </w:r>
      <w:r>
        <w:rPr>
          <w:highlight w:val="none"/>
        </w:rPr>
        <w:fldChar w:fldCharType="end"/>
      </w:r>
    </w:p>
    <w:p w14:paraId="03D5E2C4">
      <w:pPr>
        <w:pStyle w:val="20"/>
        <w:tabs>
          <w:tab w:val="right" w:leader="dot" w:pos="9354"/>
        </w:tabs>
      </w:pPr>
      <w:r>
        <w:rPr>
          <w:highlight w:val="none"/>
        </w:rPr>
        <w:fldChar w:fldCharType="begin"/>
      </w:r>
      <w:r>
        <w:rPr>
          <w:highlight w:val="none"/>
        </w:rPr>
        <w:instrText xml:space="preserve"> HYPERLINK \l _Toc29307 </w:instrText>
      </w:r>
      <w:r>
        <w:rPr>
          <w:highlight w:val="none"/>
        </w:rPr>
        <w:fldChar w:fldCharType="separate"/>
      </w:r>
      <w:r>
        <w:rPr>
          <w:rFonts w:hint="eastAsia" w:ascii="黑体" w:eastAsia="黑体"/>
          <w:i w:val="0"/>
        </w:rPr>
        <w:t xml:space="preserve">9 </w:t>
      </w:r>
      <w:r>
        <w:rPr>
          <w:rFonts w:hint="eastAsia"/>
          <w:highlight w:val="none"/>
        </w:rPr>
        <w:t>勘察设计阶段的咨询服务</w:t>
      </w:r>
      <w:r>
        <w:tab/>
      </w:r>
      <w:r>
        <w:fldChar w:fldCharType="begin"/>
      </w:r>
      <w:r>
        <w:instrText xml:space="preserve"> PAGEREF _Toc29307 \h </w:instrText>
      </w:r>
      <w:r>
        <w:fldChar w:fldCharType="separate"/>
      </w:r>
      <w:r>
        <w:t>15</w:t>
      </w:r>
      <w:r>
        <w:fldChar w:fldCharType="end"/>
      </w:r>
      <w:r>
        <w:rPr>
          <w:highlight w:val="none"/>
        </w:rPr>
        <w:fldChar w:fldCharType="end"/>
      </w:r>
    </w:p>
    <w:p w14:paraId="5CFE5F12">
      <w:pPr>
        <w:pStyle w:val="25"/>
        <w:tabs>
          <w:tab w:val="right" w:leader="dot" w:pos="9354"/>
          <w:tab w:val="clear" w:pos="9344"/>
        </w:tabs>
      </w:pPr>
      <w:r>
        <w:rPr>
          <w:highlight w:val="none"/>
        </w:rPr>
        <w:fldChar w:fldCharType="begin"/>
      </w:r>
      <w:r>
        <w:rPr>
          <w:highlight w:val="none"/>
        </w:rPr>
        <w:instrText xml:space="preserve"> HYPERLINK \l _Toc3993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9.1 </w:t>
      </w:r>
      <w:r>
        <w:rPr>
          <w:rFonts w:hint="eastAsia"/>
          <w:highlight w:val="none"/>
        </w:rPr>
        <w:t>一般规定</w:t>
      </w:r>
      <w:r>
        <w:tab/>
      </w:r>
      <w:r>
        <w:fldChar w:fldCharType="begin"/>
      </w:r>
      <w:r>
        <w:instrText xml:space="preserve"> PAGEREF _Toc3993 \h </w:instrText>
      </w:r>
      <w:r>
        <w:fldChar w:fldCharType="separate"/>
      </w:r>
      <w:r>
        <w:t>15</w:t>
      </w:r>
      <w:r>
        <w:fldChar w:fldCharType="end"/>
      </w:r>
      <w:r>
        <w:rPr>
          <w:highlight w:val="none"/>
        </w:rPr>
        <w:fldChar w:fldCharType="end"/>
      </w:r>
    </w:p>
    <w:p w14:paraId="04BB76C8">
      <w:pPr>
        <w:pStyle w:val="25"/>
        <w:tabs>
          <w:tab w:val="right" w:leader="dot" w:pos="9354"/>
          <w:tab w:val="clear" w:pos="9344"/>
        </w:tabs>
      </w:pPr>
      <w:r>
        <w:rPr>
          <w:highlight w:val="none"/>
        </w:rPr>
        <w:fldChar w:fldCharType="begin"/>
      </w:r>
      <w:r>
        <w:rPr>
          <w:highlight w:val="none"/>
        </w:rPr>
        <w:instrText xml:space="preserve"> HYPERLINK \l _Toc7230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9.2 </w:t>
      </w:r>
      <w:r>
        <w:rPr>
          <w:rFonts w:hint="eastAsia"/>
          <w:highlight w:val="none"/>
        </w:rPr>
        <w:t>工程勘察管理</w:t>
      </w:r>
      <w:r>
        <w:tab/>
      </w:r>
      <w:r>
        <w:fldChar w:fldCharType="begin"/>
      </w:r>
      <w:r>
        <w:instrText xml:space="preserve"> PAGEREF _Toc7230 \h </w:instrText>
      </w:r>
      <w:r>
        <w:fldChar w:fldCharType="separate"/>
      </w:r>
      <w:r>
        <w:t>16</w:t>
      </w:r>
      <w:r>
        <w:fldChar w:fldCharType="end"/>
      </w:r>
      <w:r>
        <w:rPr>
          <w:highlight w:val="none"/>
        </w:rPr>
        <w:fldChar w:fldCharType="end"/>
      </w:r>
    </w:p>
    <w:p w14:paraId="1444119A">
      <w:pPr>
        <w:pStyle w:val="25"/>
        <w:tabs>
          <w:tab w:val="right" w:leader="dot" w:pos="9354"/>
          <w:tab w:val="clear" w:pos="9344"/>
        </w:tabs>
      </w:pPr>
      <w:r>
        <w:rPr>
          <w:highlight w:val="none"/>
        </w:rPr>
        <w:fldChar w:fldCharType="begin"/>
      </w:r>
      <w:r>
        <w:rPr>
          <w:highlight w:val="none"/>
        </w:rPr>
        <w:instrText xml:space="preserve"> HYPERLINK \l _Toc12295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9.3 </w:t>
      </w:r>
      <w:r>
        <w:rPr>
          <w:rFonts w:hint="eastAsia"/>
          <w:highlight w:val="none"/>
        </w:rPr>
        <w:t>工程设计管理</w:t>
      </w:r>
      <w:r>
        <w:tab/>
      </w:r>
      <w:r>
        <w:fldChar w:fldCharType="begin"/>
      </w:r>
      <w:r>
        <w:instrText xml:space="preserve"> PAGEREF _Toc12295 \h </w:instrText>
      </w:r>
      <w:r>
        <w:fldChar w:fldCharType="separate"/>
      </w:r>
      <w:r>
        <w:t>16</w:t>
      </w:r>
      <w:r>
        <w:fldChar w:fldCharType="end"/>
      </w:r>
      <w:r>
        <w:rPr>
          <w:highlight w:val="none"/>
        </w:rPr>
        <w:fldChar w:fldCharType="end"/>
      </w:r>
    </w:p>
    <w:p w14:paraId="4A3563A1">
      <w:pPr>
        <w:pStyle w:val="25"/>
        <w:tabs>
          <w:tab w:val="right" w:leader="dot" w:pos="9354"/>
          <w:tab w:val="clear" w:pos="9344"/>
        </w:tabs>
      </w:pPr>
      <w:r>
        <w:rPr>
          <w:highlight w:val="none"/>
        </w:rPr>
        <w:fldChar w:fldCharType="begin"/>
      </w:r>
      <w:r>
        <w:rPr>
          <w:highlight w:val="none"/>
        </w:rPr>
        <w:instrText xml:space="preserve"> HYPERLINK \l _Toc22135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9.4 </w:t>
      </w:r>
      <w:r>
        <w:rPr>
          <w:rFonts w:hint="eastAsia"/>
          <w:highlight w:val="none"/>
        </w:rPr>
        <w:t>造价管理</w:t>
      </w:r>
      <w:r>
        <w:tab/>
      </w:r>
      <w:r>
        <w:fldChar w:fldCharType="begin"/>
      </w:r>
      <w:r>
        <w:instrText xml:space="preserve"> PAGEREF _Toc22135 \h </w:instrText>
      </w:r>
      <w:r>
        <w:fldChar w:fldCharType="separate"/>
      </w:r>
      <w:r>
        <w:t>17</w:t>
      </w:r>
      <w:r>
        <w:fldChar w:fldCharType="end"/>
      </w:r>
      <w:r>
        <w:rPr>
          <w:highlight w:val="none"/>
        </w:rPr>
        <w:fldChar w:fldCharType="end"/>
      </w:r>
    </w:p>
    <w:p w14:paraId="69137227">
      <w:pPr>
        <w:pStyle w:val="20"/>
        <w:tabs>
          <w:tab w:val="right" w:leader="dot" w:pos="9354"/>
        </w:tabs>
      </w:pPr>
      <w:r>
        <w:rPr>
          <w:highlight w:val="none"/>
        </w:rPr>
        <w:fldChar w:fldCharType="begin"/>
      </w:r>
      <w:r>
        <w:rPr>
          <w:highlight w:val="none"/>
        </w:rPr>
        <w:instrText xml:space="preserve"> HYPERLINK \l _Toc20725 </w:instrText>
      </w:r>
      <w:r>
        <w:rPr>
          <w:highlight w:val="none"/>
        </w:rPr>
        <w:fldChar w:fldCharType="separate"/>
      </w:r>
      <w:r>
        <w:rPr>
          <w:rFonts w:hint="eastAsia" w:ascii="黑体" w:eastAsia="黑体"/>
          <w:i w:val="0"/>
        </w:rPr>
        <w:t xml:space="preserve">10 </w:t>
      </w:r>
      <w:r>
        <w:rPr>
          <w:rFonts w:hint="eastAsia"/>
          <w:highlight w:val="none"/>
        </w:rPr>
        <w:t>招标采购阶段的咨询服务</w:t>
      </w:r>
      <w:r>
        <w:tab/>
      </w:r>
      <w:r>
        <w:fldChar w:fldCharType="begin"/>
      </w:r>
      <w:r>
        <w:instrText xml:space="preserve"> PAGEREF _Toc20725 \h </w:instrText>
      </w:r>
      <w:r>
        <w:fldChar w:fldCharType="separate"/>
      </w:r>
      <w:r>
        <w:t>18</w:t>
      </w:r>
      <w:r>
        <w:fldChar w:fldCharType="end"/>
      </w:r>
      <w:r>
        <w:rPr>
          <w:highlight w:val="none"/>
        </w:rPr>
        <w:fldChar w:fldCharType="end"/>
      </w:r>
    </w:p>
    <w:p w14:paraId="5F53AE80">
      <w:pPr>
        <w:pStyle w:val="25"/>
        <w:tabs>
          <w:tab w:val="right" w:leader="dot" w:pos="9354"/>
          <w:tab w:val="clear" w:pos="9344"/>
        </w:tabs>
      </w:pPr>
      <w:r>
        <w:rPr>
          <w:highlight w:val="none"/>
        </w:rPr>
        <w:fldChar w:fldCharType="begin"/>
      </w:r>
      <w:r>
        <w:rPr>
          <w:highlight w:val="none"/>
        </w:rPr>
        <w:instrText xml:space="preserve"> HYPERLINK \l _Toc7805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10.1 </w:t>
      </w:r>
      <w:r>
        <w:rPr>
          <w:rFonts w:hint="eastAsia"/>
          <w:highlight w:val="none"/>
        </w:rPr>
        <w:t>一般规定</w:t>
      </w:r>
      <w:r>
        <w:tab/>
      </w:r>
      <w:r>
        <w:fldChar w:fldCharType="begin"/>
      </w:r>
      <w:r>
        <w:instrText xml:space="preserve"> PAGEREF _Toc7805 \h </w:instrText>
      </w:r>
      <w:r>
        <w:fldChar w:fldCharType="separate"/>
      </w:r>
      <w:r>
        <w:t>18</w:t>
      </w:r>
      <w:r>
        <w:fldChar w:fldCharType="end"/>
      </w:r>
      <w:r>
        <w:rPr>
          <w:highlight w:val="none"/>
        </w:rPr>
        <w:fldChar w:fldCharType="end"/>
      </w:r>
    </w:p>
    <w:p w14:paraId="2AA7910C">
      <w:pPr>
        <w:pStyle w:val="25"/>
        <w:tabs>
          <w:tab w:val="right" w:leader="dot" w:pos="9354"/>
          <w:tab w:val="clear" w:pos="9344"/>
        </w:tabs>
      </w:pPr>
      <w:r>
        <w:rPr>
          <w:highlight w:val="none"/>
        </w:rPr>
        <w:fldChar w:fldCharType="begin"/>
      </w:r>
      <w:r>
        <w:rPr>
          <w:highlight w:val="none"/>
        </w:rPr>
        <w:instrText xml:space="preserve"> HYPERLINK \l _Toc11148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10.2 </w:t>
      </w:r>
      <w:r>
        <w:rPr>
          <w:rFonts w:hint="eastAsia"/>
          <w:highlight w:val="none"/>
        </w:rPr>
        <w:t>招标采购策划</w:t>
      </w:r>
      <w:r>
        <w:tab/>
      </w:r>
      <w:r>
        <w:fldChar w:fldCharType="begin"/>
      </w:r>
      <w:r>
        <w:instrText xml:space="preserve"> PAGEREF _Toc11148 \h </w:instrText>
      </w:r>
      <w:r>
        <w:fldChar w:fldCharType="separate"/>
      </w:r>
      <w:r>
        <w:t>18</w:t>
      </w:r>
      <w:r>
        <w:fldChar w:fldCharType="end"/>
      </w:r>
      <w:r>
        <w:rPr>
          <w:highlight w:val="none"/>
        </w:rPr>
        <w:fldChar w:fldCharType="end"/>
      </w:r>
    </w:p>
    <w:p w14:paraId="736C328E">
      <w:pPr>
        <w:pStyle w:val="25"/>
        <w:tabs>
          <w:tab w:val="right" w:leader="dot" w:pos="9354"/>
          <w:tab w:val="clear" w:pos="9344"/>
        </w:tabs>
      </w:pPr>
      <w:r>
        <w:rPr>
          <w:highlight w:val="none"/>
        </w:rPr>
        <w:fldChar w:fldCharType="begin"/>
      </w:r>
      <w:r>
        <w:rPr>
          <w:highlight w:val="none"/>
        </w:rPr>
        <w:instrText xml:space="preserve"> HYPERLINK \l _Toc23900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10.3 </w:t>
      </w:r>
      <w:r>
        <w:rPr>
          <w:rFonts w:hint="eastAsia"/>
          <w:highlight w:val="none"/>
        </w:rPr>
        <w:t>招标采购文件编制</w:t>
      </w:r>
      <w:r>
        <w:tab/>
      </w:r>
      <w:r>
        <w:fldChar w:fldCharType="begin"/>
      </w:r>
      <w:r>
        <w:instrText xml:space="preserve"> PAGEREF _Toc23900 \h </w:instrText>
      </w:r>
      <w:r>
        <w:fldChar w:fldCharType="separate"/>
      </w:r>
      <w:r>
        <w:t>18</w:t>
      </w:r>
      <w:r>
        <w:fldChar w:fldCharType="end"/>
      </w:r>
      <w:r>
        <w:rPr>
          <w:highlight w:val="none"/>
        </w:rPr>
        <w:fldChar w:fldCharType="end"/>
      </w:r>
    </w:p>
    <w:p w14:paraId="78282963">
      <w:pPr>
        <w:pStyle w:val="25"/>
        <w:tabs>
          <w:tab w:val="right" w:leader="dot" w:pos="9354"/>
          <w:tab w:val="clear" w:pos="9344"/>
        </w:tabs>
      </w:pPr>
      <w:r>
        <w:rPr>
          <w:highlight w:val="none"/>
        </w:rPr>
        <w:fldChar w:fldCharType="begin"/>
      </w:r>
      <w:r>
        <w:rPr>
          <w:highlight w:val="none"/>
        </w:rPr>
        <w:instrText xml:space="preserve"> HYPERLINK \l _Toc20257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10.4 </w:t>
      </w:r>
      <w:r>
        <w:rPr>
          <w:rFonts w:hint="eastAsia"/>
          <w:highlight w:val="none"/>
        </w:rPr>
        <w:t>招标采购过程管理</w:t>
      </w:r>
      <w:r>
        <w:tab/>
      </w:r>
      <w:r>
        <w:fldChar w:fldCharType="begin"/>
      </w:r>
      <w:r>
        <w:instrText xml:space="preserve"> PAGEREF _Toc20257 \h </w:instrText>
      </w:r>
      <w:r>
        <w:fldChar w:fldCharType="separate"/>
      </w:r>
      <w:r>
        <w:t>19</w:t>
      </w:r>
      <w:r>
        <w:fldChar w:fldCharType="end"/>
      </w:r>
      <w:r>
        <w:rPr>
          <w:highlight w:val="none"/>
        </w:rPr>
        <w:fldChar w:fldCharType="end"/>
      </w:r>
    </w:p>
    <w:p w14:paraId="47306681">
      <w:pPr>
        <w:pStyle w:val="25"/>
        <w:tabs>
          <w:tab w:val="right" w:leader="dot" w:pos="9354"/>
          <w:tab w:val="clear" w:pos="9344"/>
        </w:tabs>
      </w:pPr>
      <w:r>
        <w:rPr>
          <w:highlight w:val="none"/>
        </w:rPr>
        <w:fldChar w:fldCharType="begin"/>
      </w:r>
      <w:r>
        <w:rPr>
          <w:highlight w:val="none"/>
        </w:rPr>
        <w:instrText xml:space="preserve"> HYPERLINK \l _Toc28072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10.5 </w:t>
      </w:r>
      <w:r>
        <w:rPr>
          <w:rFonts w:hint="eastAsia"/>
          <w:highlight w:val="none"/>
        </w:rPr>
        <w:t>合同条款策划</w:t>
      </w:r>
      <w:r>
        <w:tab/>
      </w:r>
      <w:r>
        <w:fldChar w:fldCharType="begin"/>
      </w:r>
      <w:r>
        <w:instrText xml:space="preserve"> PAGEREF _Toc28072 \h </w:instrText>
      </w:r>
      <w:r>
        <w:fldChar w:fldCharType="separate"/>
      </w:r>
      <w:r>
        <w:t>19</w:t>
      </w:r>
      <w:r>
        <w:fldChar w:fldCharType="end"/>
      </w:r>
      <w:r>
        <w:rPr>
          <w:highlight w:val="none"/>
        </w:rPr>
        <w:fldChar w:fldCharType="end"/>
      </w:r>
    </w:p>
    <w:p w14:paraId="143A1184">
      <w:pPr>
        <w:pStyle w:val="25"/>
        <w:tabs>
          <w:tab w:val="right" w:leader="dot" w:pos="9354"/>
          <w:tab w:val="clear" w:pos="9344"/>
        </w:tabs>
      </w:pPr>
      <w:r>
        <w:rPr>
          <w:highlight w:val="none"/>
        </w:rPr>
        <w:fldChar w:fldCharType="begin"/>
      </w:r>
      <w:r>
        <w:rPr>
          <w:highlight w:val="none"/>
        </w:rPr>
        <w:instrText xml:space="preserve"> HYPERLINK \l _Toc23107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10.6 </w:t>
      </w:r>
      <w:r>
        <w:rPr>
          <w:rFonts w:hint="eastAsia"/>
          <w:highlight w:val="none"/>
        </w:rPr>
        <w:t>造价管理</w:t>
      </w:r>
      <w:r>
        <w:tab/>
      </w:r>
      <w:r>
        <w:fldChar w:fldCharType="begin"/>
      </w:r>
      <w:r>
        <w:instrText xml:space="preserve"> PAGEREF _Toc23107 \h </w:instrText>
      </w:r>
      <w:r>
        <w:fldChar w:fldCharType="separate"/>
      </w:r>
      <w:r>
        <w:t>19</w:t>
      </w:r>
      <w:r>
        <w:fldChar w:fldCharType="end"/>
      </w:r>
      <w:r>
        <w:rPr>
          <w:highlight w:val="none"/>
        </w:rPr>
        <w:fldChar w:fldCharType="end"/>
      </w:r>
    </w:p>
    <w:p w14:paraId="6C384688">
      <w:pPr>
        <w:pStyle w:val="20"/>
        <w:tabs>
          <w:tab w:val="right" w:leader="dot" w:pos="9354"/>
        </w:tabs>
      </w:pPr>
      <w:r>
        <w:rPr>
          <w:highlight w:val="none"/>
        </w:rPr>
        <w:fldChar w:fldCharType="begin"/>
      </w:r>
      <w:r>
        <w:rPr>
          <w:highlight w:val="none"/>
        </w:rPr>
        <w:instrText xml:space="preserve"> HYPERLINK \l _Toc4303 </w:instrText>
      </w:r>
      <w:r>
        <w:rPr>
          <w:highlight w:val="none"/>
        </w:rPr>
        <w:fldChar w:fldCharType="separate"/>
      </w:r>
      <w:r>
        <w:rPr>
          <w:rFonts w:hint="eastAsia" w:ascii="黑体" w:eastAsia="黑体"/>
          <w:i w:val="0"/>
        </w:rPr>
        <w:t xml:space="preserve">11 </w:t>
      </w:r>
      <w:r>
        <w:rPr>
          <w:rFonts w:hint="eastAsia"/>
          <w:highlight w:val="none"/>
        </w:rPr>
        <w:t>工程施工阶段的咨询服务</w:t>
      </w:r>
      <w:r>
        <w:tab/>
      </w:r>
      <w:r>
        <w:fldChar w:fldCharType="begin"/>
      </w:r>
      <w:r>
        <w:instrText xml:space="preserve"> PAGEREF _Toc4303 \h </w:instrText>
      </w:r>
      <w:r>
        <w:fldChar w:fldCharType="separate"/>
      </w:r>
      <w:r>
        <w:t>20</w:t>
      </w:r>
      <w:r>
        <w:fldChar w:fldCharType="end"/>
      </w:r>
      <w:r>
        <w:rPr>
          <w:highlight w:val="none"/>
        </w:rPr>
        <w:fldChar w:fldCharType="end"/>
      </w:r>
    </w:p>
    <w:p w14:paraId="6ED81183">
      <w:pPr>
        <w:pStyle w:val="25"/>
        <w:tabs>
          <w:tab w:val="right" w:leader="dot" w:pos="9354"/>
          <w:tab w:val="clear" w:pos="9344"/>
        </w:tabs>
      </w:pPr>
      <w:r>
        <w:rPr>
          <w:highlight w:val="none"/>
        </w:rPr>
        <w:fldChar w:fldCharType="begin"/>
      </w:r>
      <w:r>
        <w:rPr>
          <w:highlight w:val="none"/>
        </w:rPr>
        <w:instrText xml:space="preserve"> HYPERLINK \l _Toc14656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11.1 </w:t>
      </w:r>
      <w:r>
        <w:rPr>
          <w:rFonts w:hint="eastAsia"/>
          <w:highlight w:val="none"/>
        </w:rPr>
        <w:t>一般规定</w:t>
      </w:r>
      <w:r>
        <w:tab/>
      </w:r>
      <w:r>
        <w:fldChar w:fldCharType="begin"/>
      </w:r>
      <w:r>
        <w:instrText xml:space="preserve"> PAGEREF _Toc14656 \h </w:instrText>
      </w:r>
      <w:r>
        <w:fldChar w:fldCharType="separate"/>
      </w:r>
      <w:r>
        <w:t>20</w:t>
      </w:r>
      <w:r>
        <w:fldChar w:fldCharType="end"/>
      </w:r>
      <w:r>
        <w:rPr>
          <w:highlight w:val="none"/>
        </w:rPr>
        <w:fldChar w:fldCharType="end"/>
      </w:r>
    </w:p>
    <w:p w14:paraId="1C62A8D6">
      <w:pPr>
        <w:pStyle w:val="25"/>
        <w:tabs>
          <w:tab w:val="right" w:leader="dot" w:pos="9354"/>
          <w:tab w:val="clear" w:pos="9344"/>
        </w:tabs>
      </w:pPr>
      <w:r>
        <w:rPr>
          <w:highlight w:val="none"/>
        </w:rPr>
        <w:fldChar w:fldCharType="begin"/>
      </w:r>
      <w:r>
        <w:rPr>
          <w:highlight w:val="none"/>
        </w:rPr>
        <w:instrText xml:space="preserve"> HYPERLINK \l _Toc22561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11.2 </w:t>
      </w:r>
      <w:r>
        <w:rPr>
          <w:rFonts w:hint="eastAsia"/>
          <w:highlight w:val="none"/>
        </w:rPr>
        <w:t>工程监理</w:t>
      </w:r>
      <w:r>
        <w:tab/>
      </w:r>
      <w:r>
        <w:fldChar w:fldCharType="begin"/>
      </w:r>
      <w:r>
        <w:instrText xml:space="preserve"> PAGEREF _Toc22561 \h </w:instrText>
      </w:r>
      <w:r>
        <w:fldChar w:fldCharType="separate"/>
      </w:r>
      <w:r>
        <w:t>20</w:t>
      </w:r>
      <w:r>
        <w:fldChar w:fldCharType="end"/>
      </w:r>
      <w:r>
        <w:rPr>
          <w:highlight w:val="none"/>
        </w:rPr>
        <w:fldChar w:fldCharType="end"/>
      </w:r>
    </w:p>
    <w:p w14:paraId="203254CF">
      <w:pPr>
        <w:pStyle w:val="25"/>
        <w:tabs>
          <w:tab w:val="right" w:leader="dot" w:pos="9354"/>
          <w:tab w:val="clear" w:pos="9344"/>
        </w:tabs>
      </w:pPr>
      <w:r>
        <w:rPr>
          <w:highlight w:val="none"/>
        </w:rPr>
        <w:fldChar w:fldCharType="begin"/>
      </w:r>
      <w:r>
        <w:rPr>
          <w:highlight w:val="none"/>
        </w:rPr>
        <w:instrText xml:space="preserve"> HYPERLINK \l _Toc32150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11.3 </w:t>
      </w:r>
      <w:r>
        <w:rPr>
          <w:rFonts w:hint="eastAsia"/>
          <w:highlight w:val="none"/>
        </w:rPr>
        <w:t>造价管理</w:t>
      </w:r>
      <w:r>
        <w:tab/>
      </w:r>
      <w:r>
        <w:fldChar w:fldCharType="begin"/>
      </w:r>
      <w:r>
        <w:instrText xml:space="preserve"> PAGEREF _Toc32150 \h </w:instrText>
      </w:r>
      <w:r>
        <w:fldChar w:fldCharType="separate"/>
      </w:r>
      <w:r>
        <w:t>21</w:t>
      </w:r>
      <w:r>
        <w:fldChar w:fldCharType="end"/>
      </w:r>
      <w:r>
        <w:rPr>
          <w:highlight w:val="none"/>
        </w:rPr>
        <w:fldChar w:fldCharType="end"/>
      </w:r>
    </w:p>
    <w:p w14:paraId="49AFF065">
      <w:pPr>
        <w:pStyle w:val="25"/>
        <w:tabs>
          <w:tab w:val="right" w:leader="dot" w:pos="9354"/>
          <w:tab w:val="clear" w:pos="9344"/>
        </w:tabs>
      </w:pPr>
      <w:r>
        <w:rPr>
          <w:highlight w:val="none"/>
        </w:rPr>
        <w:fldChar w:fldCharType="begin"/>
      </w:r>
      <w:r>
        <w:rPr>
          <w:highlight w:val="none"/>
        </w:rPr>
        <w:instrText xml:space="preserve"> HYPERLINK \l _Toc26337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11.4 </w:t>
      </w:r>
      <w:r>
        <w:rPr>
          <w:rFonts w:hint="eastAsia"/>
          <w:highlight w:val="none"/>
        </w:rPr>
        <w:t>设计技术咨询服务</w:t>
      </w:r>
      <w:r>
        <w:tab/>
      </w:r>
      <w:r>
        <w:fldChar w:fldCharType="begin"/>
      </w:r>
      <w:r>
        <w:instrText xml:space="preserve"> PAGEREF _Toc26337 \h </w:instrText>
      </w:r>
      <w:r>
        <w:fldChar w:fldCharType="separate"/>
      </w:r>
      <w:r>
        <w:t>22</w:t>
      </w:r>
      <w:r>
        <w:fldChar w:fldCharType="end"/>
      </w:r>
      <w:r>
        <w:rPr>
          <w:highlight w:val="none"/>
        </w:rPr>
        <w:fldChar w:fldCharType="end"/>
      </w:r>
    </w:p>
    <w:p w14:paraId="04DBACF5">
      <w:pPr>
        <w:pStyle w:val="25"/>
        <w:tabs>
          <w:tab w:val="right" w:leader="dot" w:pos="9354"/>
          <w:tab w:val="clear" w:pos="9344"/>
        </w:tabs>
      </w:pPr>
      <w:r>
        <w:rPr>
          <w:highlight w:val="none"/>
        </w:rPr>
        <w:fldChar w:fldCharType="begin"/>
      </w:r>
      <w:r>
        <w:rPr>
          <w:highlight w:val="none"/>
        </w:rPr>
        <w:instrText xml:space="preserve"> HYPERLINK \l _Toc15920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11.5 </w:t>
      </w:r>
      <w:r>
        <w:rPr>
          <w:rFonts w:hint="eastAsia"/>
          <w:highlight w:val="none"/>
        </w:rPr>
        <w:t>安全文明施工与绿色施工管理</w:t>
      </w:r>
      <w:r>
        <w:tab/>
      </w:r>
      <w:r>
        <w:fldChar w:fldCharType="begin"/>
      </w:r>
      <w:r>
        <w:instrText xml:space="preserve"> PAGEREF _Toc15920 \h </w:instrText>
      </w:r>
      <w:r>
        <w:fldChar w:fldCharType="separate"/>
      </w:r>
      <w:r>
        <w:t>22</w:t>
      </w:r>
      <w:r>
        <w:fldChar w:fldCharType="end"/>
      </w:r>
      <w:r>
        <w:rPr>
          <w:highlight w:val="none"/>
        </w:rPr>
        <w:fldChar w:fldCharType="end"/>
      </w:r>
    </w:p>
    <w:p w14:paraId="2BD18731">
      <w:pPr>
        <w:pStyle w:val="25"/>
        <w:tabs>
          <w:tab w:val="right" w:leader="dot" w:pos="9354"/>
          <w:tab w:val="clear" w:pos="9344"/>
        </w:tabs>
      </w:pPr>
      <w:r>
        <w:rPr>
          <w:highlight w:val="none"/>
        </w:rPr>
        <w:fldChar w:fldCharType="begin"/>
      </w:r>
      <w:r>
        <w:rPr>
          <w:highlight w:val="none"/>
        </w:rPr>
        <w:instrText xml:space="preserve"> HYPERLINK \l _Toc24097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11.6 </w:t>
      </w:r>
      <w:r>
        <w:rPr>
          <w:rFonts w:hint="eastAsia"/>
          <w:highlight w:val="none"/>
          <w:lang w:val="en-US" w:eastAsia="zh-CN"/>
        </w:rPr>
        <w:t>智能施工管理</w:t>
      </w:r>
      <w:r>
        <w:tab/>
      </w:r>
      <w:r>
        <w:fldChar w:fldCharType="begin"/>
      </w:r>
      <w:r>
        <w:instrText xml:space="preserve"> PAGEREF _Toc24097 \h </w:instrText>
      </w:r>
      <w:r>
        <w:fldChar w:fldCharType="separate"/>
      </w:r>
      <w:r>
        <w:t>23</w:t>
      </w:r>
      <w:r>
        <w:fldChar w:fldCharType="end"/>
      </w:r>
      <w:r>
        <w:rPr>
          <w:highlight w:val="none"/>
        </w:rPr>
        <w:fldChar w:fldCharType="end"/>
      </w:r>
    </w:p>
    <w:p w14:paraId="67C2A1D4">
      <w:pPr>
        <w:pStyle w:val="20"/>
        <w:tabs>
          <w:tab w:val="right" w:leader="dot" w:pos="9354"/>
        </w:tabs>
      </w:pPr>
      <w:r>
        <w:rPr>
          <w:highlight w:val="none"/>
        </w:rPr>
        <w:fldChar w:fldCharType="begin"/>
      </w:r>
      <w:r>
        <w:rPr>
          <w:highlight w:val="none"/>
        </w:rPr>
        <w:instrText xml:space="preserve"> HYPERLINK \l _Toc11880 </w:instrText>
      </w:r>
      <w:r>
        <w:rPr>
          <w:highlight w:val="none"/>
        </w:rPr>
        <w:fldChar w:fldCharType="separate"/>
      </w:r>
      <w:r>
        <w:rPr>
          <w:rFonts w:hint="eastAsia" w:ascii="黑体" w:eastAsia="黑体"/>
          <w:i w:val="0"/>
        </w:rPr>
        <w:t xml:space="preserve">12 </w:t>
      </w:r>
      <w:r>
        <w:rPr>
          <w:rFonts w:hint="eastAsia"/>
          <w:highlight w:val="none"/>
        </w:rPr>
        <w:t>竣工验收阶段的咨询服务</w:t>
      </w:r>
      <w:r>
        <w:tab/>
      </w:r>
      <w:r>
        <w:fldChar w:fldCharType="begin"/>
      </w:r>
      <w:r>
        <w:instrText xml:space="preserve"> PAGEREF _Toc11880 \h </w:instrText>
      </w:r>
      <w:r>
        <w:fldChar w:fldCharType="separate"/>
      </w:r>
      <w:r>
        <w:t>24</w:t>
      </w:r>
      <w:r>
        <w:fldChar w:fldCharType="end"/>
      </w:r>
      <w:r>
        <w:rPr>
          <w:highlight w:val="none"/>
        </w:rPr>
        <w:fldChar w:fldCharType="end"/>
      </w:r>
    </w:p>
    <w:p w14:paraId="342487AD">
      <w:pPr>
        <w:pStyle w:val="25"/>
        <w:tabs>
          <w:tab w:val="right" w:leader="dot" w:pos="9354"/>
          <w:tab w:val="clear" w:pos="9344"/>
        </w:tabs>
      </w:pPr>
      <w:r>
        <w:rPr>
          <w:highlight w:val="none"/>
        </w:rPr>
        <w:fldChar w:fldCharType="begin"/>
      </w:r>
      <w:r>
        <w:rPr>
          <w:highlight w:val="none"/>
        </w:rPr>
        <w:instrText xml:space="preserve"> HYPERLINK \l _Toc2100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12.1 </w:t>
      </w:r>
      <w:r>
        <w:rPr>
          <w:rFonts w:hint="eastAsia"/>
          <w:highlight w:val="none"/>
        </w:rPr>
        <w:t>一般规定</w:t>
      </w:r>
      <w:r>
        <w:tab/>
      </w:r>
      <w:r>
        <w:fldChar w:fldCharType="begin"/>
      </w:r>
      <w:r>
        <w:instrText xml:space="preserve"> PAGEREF _Toc2100 \h </w:instrText>
      </w:r>
      <w:r>
        <w:fldChar w:fldCharType="separate"/>
      </w:r>
      <w:r>
        <w:t>24</w:t>
      </w:r>
      <w:r>
        <w:fldChar w:fldCharType="end"/>
      </w:r>
      <w:r>
        <w:rPr>
          <w:highlight w:val="none"/>
        </w:rPr>
        <w:fldChar w:fldCharType="end"/>
      </w:r>
    </w:p>
    <w:p w14:paraId="459B776F">
      <w:pPr>
        <w:pStyle w:val="25"/>
        <w:tabs>
          <w:tab w:val="right" w:leader="dot" w:pos="9354"/>
          <w:tab w:val="clear" w:pos="9344"/>
        </w:tabs>
      </w:pPr>
      <w:r>
        <w:rPr>
          <w:highlight w:val="none"/>
        </w:rPr>
        <w:fldChar w:fldCharType="begin"/>
      </w:r>
      <w:r>
        <w:rPr>
          <w:highlight w:val="none"/>
        </w:rPr>
        <w:instrText xml:space="preserve"> HYPERLINK \l _Toc18969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12.2 </w:t>
      </w:r>
      <w:r>
        <w:rPr>
          <w:rFonts w:hint="eastAsia"/>
          <w:highlight w:val="none"/>
        </w:rPr>
        <w:t>竣工验收</w:t>
      </w:r>
      <w:r>
        <w:tab/>
      </w:r>
      <w:r>
        <w:fldChar w:fldCharType="begin"/>
      </w:r>
      <w:r>
        <w:instrText xml:space="preserve"> PAGEREF _Toc18969 \h </w:instrText>
      </w:r>
      <w:r>
        <w:fldChar w:fldCharType="separate"/>
      </w:r>
      <w:r>
        <w:t>25</w:t>
      </w:r>
      <w:r>
        <w:fldChar w:fldCharType="end"/>
      </w:r>
      <w:r>
        <w:rPr>
          <w:highlight w:val="none"/>
        </w:rPr>
        <w:fldChar w:fldCharType="end"/>
      </w:r>
    </w:p>
    <w:p w14:paraId="5850AB26">
      <w:pPr>
        <w:pStyle w:val="25"/>
        <w:tabs>
          <w:tab w:val="right" w:leader="dot" w:pos="9354"/>
          <w:tab w:val="clear" w:pos="9344"/>
        </w:tabs>
      </w:pPr>
      <w:r>
        <w:rPr>
          <w:highlight w:val="none"/>
        </w:rPr>
        <w:fldChar w:fldCharType="begin"/>
      </w:r>
      <w:r>
        <w:rPr>
          <w:highlight w:val="none"/>
        </w:rPr>
        <w:instrText xml:space="preserve"> HYPERLINK \l _Toc18684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12.3 </w:t>
      </w:r>
      <w:r>
        <w:rPr>
          <w:rFonts w:hint="eastAsia"/>
          <w:highlight w:val="none"/>
        </w:rPr>
        <w:t>竣工结算审核</w:t>
      </w:r>
      <w:r>
        <w:tab/>
      </w:r>
      <w:r>
        <w:fldChar w:fldCharType="begin"/>
      </w:r>
      <w:r>
        <w:instrText xml:space="preserve"> PAGEREF _Toc18684 \h </w:instrText>
      </w:r>
      <w:r>
        <w:fldChar w:fldCharType="separate"/>
      </w:r>
      <w:r>
        <w:t>25</w:t>
      </w:r>
      <w:r>
        <w:fldChar w:fldCharType="end"/>
      </w:r>
      <w:r>
        <w:rPr>
          <w:highlight w:val="none"/>
        </w:rPr>
        <w:fldChar w:fldCharType="end"/>
      </w:r>
    </w:p>
    <w:p w14:paraId="032D57B6">
      <w:pPr>
        <w:pStyle w:val="25"/>
        <w:tabs>
          <w:tab w:val="right" w:leader="dot" w:pos="9354"/>
          <w:tab w:val="clear" w:pos="9344"/>
        </w:tabs>
      </w:pPr>
      <w:r>
        <w:rPr>
          <w:highlight w:val="none"/>
        </w:rPr>
        <w:fldChar w:fldCharType="begin"/>
      </w:r>
      <w:r>
        <w:rPr>
          <w:highlight w:val="none"/>
        </w:rPr>
        <w:instrText xml:space="preserve"> HYPERLINK \l _Toc10061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12.4 </w:t>
      </w:r>
      <w:r>
        <w:rPr>
          <w:rFonts w:hint="eastAsia"/>
          <w:highlight w:val="none"/>
        </w:rPr>
        <w:t>竣工移交</w:t>
      </w:r>
      <w:r>
        <w:tab/>
      </w:r>
      <w:r>
        <w:fldChar w:fldCharType="begin"/>
      </w:r>
      <w:r>
        <w:instrText xml:space="preserve"> PAGEREF _Toc10061 \h </w:instrText>
      </w:r>
      <w:r>
        <w:fldChar w:fldCharType="separate"/>
      </w:r>
      <w:r>
        <w:t>26</w:t>
      </w:r>
      <w:r>
        <w:fldChar w:fldCharType="end"/>
      </w:r>
      <w:r>
        <w:rPr>
          <w:highlight w:val="none"/>
        </w:rPr>
        <w:fldChar w:fldCharType="end"/>
      </w:r>
    </w:p>
    <w:p w14:paraId="09A5E587">
      <w:pPr>
        <w:pStyle w:val="25"/>
        <w:tabs>
          <w:tab w:val="right" w:leader="dot" w:pos="9354"/>
          <w:tab w:val="clear" w:pos="9344"/>
        </w:tabs>
      </w:pPr>
      <w:r>
        <w:rPr>
          <w:highlight w:val="none"/>
        </w:rPr>
        <w:fldChar w:fldCharType="begin"/>
      </w:r>
      <w:r>
        <w:rPr>
          <w:highlight w:val="none"/>
        </w:rPr>
        <w:instrText xml:space="preserve"> HYPERLINK \l _Toc16736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12.5 </w:t>
      </w:r>
      <w:r>
        <w:rPr>
          <w:rFonts w:hint="eastAsia"/>
          <w:highlight w:val="none"/>
        </w:rPr>
        <w:t>竣工决算</w:t>
      </w:r>
      <w:r>
        <w:tab/>
      </w:r>
      <w:r>
        <w:fldChar w:fldCharType="begin"/>
      </w:r>
      <w:r>
        <w:instrText xml:space="preserve"> PAGEREF _Toc16736 \h </w:instrText>
      </w:r>
      <w:r>
        <w:fldChar w:fldCharType="separate"/>
      </w:r>
      <w:r>
        <w:t>27</w:t>
      </w:r>
      <w:r>
        <w:fldChar w:fldCharType="end"/>
      </w:r>
      <w:r>
        <w:rPr>
          <w:highlight w:val="none"/>
        </w:rPr>
        <w:fldChar w:fldCharType="end"/>
      </w:r>
    </w:p>
    <w:p w14:paraId="1DB6EAEF">
      <w:pPr>
        <w:pStyle w:val="20"/>
        <w:tabs>
          <w:tab w:val="right" w:leader="dot" w:pos="9354"/>
        </w:tabs>
      </w:pPr>
      <w:r>
        <w:rPr>
          <w:highlight w:val="none"/>
        </w:rPr>
        <w:fldChar w:fldCharType="begin"/>
      </w:r>
      <w:r>
        <w:rPr>
          <w:highlight w:val="none"/>
        </w:rPr>
        <w:instrText xml:space="preserve"> HYPERLINK \l _Toc16966 </w:instrText>
      </w:r>
      <w:r>
        <w:rPr>
          <w:highlight w:val="none"/>
        </w:rPr>
        <w:fldChar w:fldCharType="separate"/>
      </w:r>
      <w:r>
        <w:rPr>
          <w:rFonts w:hint="eastAsia" w:ascii="黑体" w:eastAsia="黑体"/>
          <w:i w:val="0"/>
        </w:rPr>
        <w:t xml:space="preserve">13 </w:t>
      </w:r>
      <w:r>
        <w:rPr>
          <w:rFonts w:hint="eastAsia"/>
          <w:highlight w:val="none"/>
        </w:rPr>
        <w:t>项目运营维护阶段的咨询服务</w:t>
      </w:r>
      <w:r>
        <w:tab/>
      </w:r>
      <w:r>
        <w:fldChar w:fldCharType="begin"/>
      </w:r>
      <w:r>
        <w:instrText xml:space="preserve"> PAGEREF _Toc16966 \h </w:instrText>
      </w:r>
      <w:r>
        <w:fldChar w:fldCharType="separate"/>
      </w:r>
      <w:r>
        <w:t>27</w:t>
      </w:r>
      <w:r>
        <w:fldChar w:fldCharType="end"/>
      </w:r>
      <w:r>
        <w:rPr>
          <w:highlight w:val="none"/>
        </w:rPr>
        <w:fldChar w:fldCharType="end"/>
      </w:r>
    </w:p>
    <w:p w14:paraId="550773E0">
      <w:pPr>
        <w:pStyle w:val="25"/>
        <w:tabs>
          <w:tab w:val="right" w:leader="dot" w:pos="9354"/>
          <w:tab w:val="clear" w:pos="9344"/>
        </w:tabs>
      </w:pPr>
      <w:r>
        <w:rPr>
          <w:highlight w:val="none"/>
        </w:rPr>
        <w:fldChar w:fldCharType="begin"/>
      </w:r>
      <w:r>
        <w:rPr>
          <w:highlight w:val="none"/>
        </w:rPr>
        <w:instrText xml:space="preserve"> HYPERLINK \l _Toc18342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13.1 </w:t>
      </w:r>
      <w:r>
        <w:rPr>
          <w:rFonts w:hint="eastAsia"/>
          <w:highlight w:val="none"/>
        </w:rPr>
        <w:t>一般规定</w:t>
      </w:r>
      <w:r>
        <w:tab/>
      </w:r>
      <w:r>
        <w:fldChar w:fldCharType="begin"/>
      </w:r>
      <w:r>
        <w:instrText xml:space="preserve"> PAGEREF _Toc18342 \h </w:instrText>
      </w:r>
      <w:r>
        <w:fldChar w:fldCharType="separate"/>
      </w:r>
      <w:r>
        <w:t>27</w:t>
      </w:r>
      <w:r>
        <w:fldChar w:fldCharType="end"/>
      </w:r>
      <w:r>
        <w:rPr>
          <w:highlight w:val="none"/>
        </w:rPr>
        <w:fldChar w:fldCharType="end"/>
      </w:r>
    </w:p>
    <w:p w14:paraId="2A77F1A9">
      <w:pPr>
        <w:pStyle w:val="25"/>
        <w:tabs>
          <w:tab w:val="right" w:leader="dot" w:pos="9354"/>
          <w:tab w:val="clear" w:pos="9344"/>
        </w:tabs>
      </w:pPr>
      <w:r>
        <w:rPr>
          <w:highlight w:val="none"/>
        </w:rPr>
        <w:fldChar w:fldCharType="begin"/>
      </w:r>
      <w:r>
        <w:rPr>
          <w:highlight w:val="none"/>
        </w:rPr>
        <w:instrText xml:space="preserve"> HYPERLINK \l _Toc32506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13.2 </w:t>
      </w:r>
      <w:r>
        <w:rPr>
          <w:rFonts w:hint="eastAsia"/>
          <w:highlight w:val="none"/>
        </w:rPr>
        <w:t>项目后评价</w:t>
      </w:r>
      <w:r>
        <w:tab/>
      </w:r>
      <w:r>
        <w:fldChar w:fldCharType="begin"/>
      </w:r>
      <w:r>
        <w:instrText xml:space="preserve"> PAGEREF _Toc32506 \h </w:instrText>
      </w:r>
      <w:r>
        <w:fldChar w:fldCharType="separate"/>
      </w:r>
      <w:r>
        <w:t>27</w:t>
      </w:r>
      <w:r>
        <w:fldChar w:fldCharType="end"/>
      </w:r>
      <w:r>
        <w:rPr>
          <w:highlight w:val="none"/>
        </w:rPr>
        <w:fldChar w:fldCharType="end"/>
      </w:r>
    </w:p>
    <w:p w14:paraId="493BFDE4">
      <w:pPr>
        <w:pStyle w:val="25"/>
        <w:tabs>
          <w:tab w:val="right" w:leader="dot" w:pos="9354"/>
          <w:tab w:val="clear" w:pos="9344"/>
        </w:tabs>
      </w:pPr>
      <w:r>
        <w:rPr>
          <w:highlight w:val="none"/>
        </w:rPr>
        <w:fldChar w:fldCharType="begin"/>
      </w:r>
      <w:r>
        <w:rPr>
          <w:highlight w:val="none"/>
        </w:rPr>
        <w:instrText xml:space="preserve"> HYPERLINK \l _Toc9108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13.3 </w:t>
      </w:r>
      <w:r>
        <w:rPr>
          <w:rFonts w:hint="eastAsia"/>
          <w:highlight w:val="none"/>
        </w:rPr>
        <w:t>项目绩效评价</w:t>
      </w:r>
      <w:r>
        <w:tab/>
      </w:r>
      <w:r>
        <w:fldChar w:fldCharType="begin"/>
      </w:r>
      <w:r>
        <w:instrText xml:space="preserve"> PAGEREF _Toc9108 \h </w:instrText>
      </w:r>
      <w:r>
        <w:fldChar w:fldCharType="separate"/>
      </w:r>
      <w:r>
        <w:t>28</w:t>
      </w:r>
      <w:r>
        <w:fldChar w:fldCharType="end"/>
      </w:r>
      <w:r>
        <w:rPr>
          <w:highlight w:val="none"/>
        </w:rPr>
        <w:fldChar w:fldCharType="end"/>
      </w:r>
    </w:p>
    <w:p w14:paraId="0331E7BD">
      <w:pPr>
        <w:pStyle w:val="25"/>
        <w:tabs>
          <w:tab w:val="right" w:leader="dot" w:pos="9354"/>
          <w:tab w:val="clear" w:pos="9344"/>
        </w:tabs>
      </w:pPr>
      <w:r>
        <w:rPr>
          <w:highlight w:val="none"/>
        </w:rPr>
        <w:fldChar w:fldCharType="begin"/>
      </w:r>
      <w:r>
        <w:rPr>
          <w:highlight w:val="none"/>
        </w:rPr>
        <w:instrText xml:space="preserve"> HYPERLINK \l _Toc13108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13.4 </w:t>
      </w:r>
      <w:r>
        <w:rPr>
          <w:rFonts w:hint="eastAsia"/>
          <w:highlight w:val="none"/>
        </w:rPr>
        <w:t>设施管理</w:t>
      </w:r>
      <w:r>
        <w:tab/>
      </w:r>
      <w:r>
        <w:fldChar w:fldCharType="begin"/>
      </w:r>
      <w:r>
        <w:instrText xml:space="preserve"> PAGEREF _Toc13108 \h </w:instrText>
      </w:r>
      <w:r>
        <w:fldChar w:fldCharType="separate"/>
      </w:r>
      <w:r>
        <w:t>29</w:t>
      </w:r>
      <w:r>
        <w:fldChar w:fldCharType="end"/>
      </w:r>
      <w:r>
        <w:rPr>
          <w:highlight w:val="none"/>
        </w:rPr>
        <w:fldChar w:fldCharType="end"/>
      </w:r>
    </w:p>
    <w:p w14:paraId="69C4EC7A">
      <w:pPr>
        <w:pStyle w:val="25"/>
        <w:tabs>
          <w:tab w:val="right" w:leader="dot" w:pos="9354"/>
          <w:tab w:val="clear" w:pos="9344"/>
        </w:tabs>
      </w:pPr>
      <w:r>
        <w:rPr>
          <w:highlight w:val="none"/>
        </w:rPr>
        <w:fldChar w:fldCharType="begin"/>
      </w:r>
      <w:r>
        <w:rPr>
          <w:highlight w:val="none"/>
        </w:rPr>
        <w:instrText xml:space="preserve"> HYPERLINK \l _Toc13430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13.5 </w:t>
      </w:r>
      <w:r>
        <w:rPr>
          <w:rFonts w:hint="eastAsia"/>
          <w:highlight w:val="none"/>
        </w:rPr>
        <w:t>资产管理</w:t>
      </w:r>
      <w:r>
        <w:tab/>
      </w:r>
      <w:r>
        <w:fldChar w:fldCharType="begin"/>
      </w:r>
      <w:r>
        <w:instrText xml:space="preserve"> PAGEREF _Toc13430 \h </w:instrText>
      </w:r>
      <w:r>
        <w:fldChar w:fldCharType="separate"/>
      </w:r>
      <w:r>
        <w:t>29</w:t>
      </w:r>
      <w:r>
        <w:fldChar w:fldCharType="end"/>
      </w:r>
      <w:r>
        <w:rPr>
          <w:highlight w:val="none"/>
        </w:rPr>
        <w:fldChar w:fldCharType="end"/>
      </w:r>
    </w:p>
    <w:p w14:paraId="42260F7D">
      <w:pPr>
        <w:pStyle w:val="25"/>
        <w:tabs>
          <w:tab w:val="right" w:leader="dot" w:pos="9354"/>
          <w:tab w:val="clear" w:pos="9344"/>
        </w:tabs>
      </w:pPr>
      <w:r>
        <w:rPr>
          <w:highlight w:val="none"/>
        </w:rPr>
        <w:fldChar w:fldCharType="begin"/>
      </w:r>
      <w:r>
        <w:rPr>
          <w:highlight w:val="none"/>
        </w:rPr>
        <w:instrText xml:space="preserve"> HYPERLINK \l _Toc26362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13.6 </w:t>
      </w:r>
      <w:r>
        <w:rPr>
          <w:rFonts w:hint="eastAsia"/>
          <w:highlight w:val="none"/>
        </w:rPr>
        <w:t>运维能耗管理</w:t>
      </w:r>
      <w:r>
        <w:tab/>
      </w:r>
      <w:r>
        <w:fldChar w:fldCharType="begin"/>
      </w:r>
      <w:r>
        <w:instrText xml:space="preserve"> PAGEREF _Toc26362 \h </w:instrText>
      </w:r>
      <w:r>
        <w:fldChar w:fldCharType="separate"/>
      </w:r>
      <w:r>
        <w:t>29</w:t>
      </w:r>
      <w:r>
        <w:fldChar w:fldCharType="end"/>
      </w:r>
      <w:r>
        <w:rPr>
          <w:highlight w:val="none"/>
        </w:rPr>
        <w:fldChar w:fldCharType="end"/>
      </w:r>
    </w:p>
    <w:p w14:paraId="3BA8FD1F">
      <w:pPr>
        <w:pStyle w:val="20"/>
        <w:tabs>
          <w:tab w:val="right" w:leader="dot" w:pos="9354"/>
        </w:tabs>
      </w:pPr>
      <w:r>
        <w:rPr>
          <w:highlight w:val="none"/>
        </w:rPr>
        <w:fldChar w:fldCharType="begin"/>
      </w:r>
      <w:r>
        <w:rPr>
          <w:highlight w:val="none"/>
        </w:rPr>
        <w:instrText xml:space="preserve"> HYPERLINK \l _Toc6273 </w:instrText>
      </w:r>
      <w:r>
        <w:rPr>
          <w:highlight w:val="none"/>
        </w:rPr>
        <w:fldChar w:fldCharType="separate"/>
      </w:r>
      <w:r>
        <w:rPr>
          <w:rFonts w:hint="eastAsia" w:ascii="黑体" w:eastAsia="黑体"/>
          <w:i w:val="0"/>
        </w:rPr>
        <w:t xml:space="preserve">14 </w:t>
      </w:r>
      <w:r>
        <w:rPr>
          <w:rFonts w:hint="eastAsia"/>
          <w:highlight w:val="none"/>
        </w:rPr>
        <w:t>全过程工程咨询服务的数字化管理</w:t>
      </w:r>
      <w:r>
        <w:tab/>
      </w:r>
      <w:r>
        <w:fldChar w:fldCharType="begin"/>
      </w:r>
      <w:r>
        <w:instrText xml:space="preserve"> PAGEREF _Toc6273 \h </w:instrText>
      </w:r>
      <w:r>
        <w:fldChar w:fldCharType="separate"/>
      </w:r>
      <w:r>
        <w:t>30</w:t>
      </w:r>
      <w:r>
        <w:fldChar w:fldCharType="end"/>
      </w:r>
      <w:r>
        <w:rPr>
          <w:highlight w:val="none"/>
        </w:rPr>
        <w:fldChar w:fldCharType="end"/>
      </w:r>
    </w:p>
    <w:p w14:paraId="42DE97BB">
      <w:pPr>
        <w:pStyle w:val="25"/>
        <w:tabs>
          <w:tab w:val="right" w:leader="dot" w:pos="9354"/>
          <w:tab w:val="clear" w:pos="9344"/>
        </w:tabs>
      </w:pPr>
      <w:r>
        <w:rPr>
          <w:highlight w:val="none"/>
        </w:rPr>
        <w:fldChar w:fldCharType="begin"/>
      </w:r>
      <w:r>
        <w:rPr>
          <w:highlight w:val="none"/>
        </w:rPr>
        <w:instrText xml:space="preserve"> HYPERLINK \l _Toc9449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14.1 </w:t>
      </w:r>
      <w:r>
        <w:rPr>
          <w:rFonts w:hint="eastAsia"/>
          <w:highlight w:val="none"/>
        </w:rPr>
        <w:t>一般规定</w:t>
      </w:r>
      <w:r>
        <w:tab/>
      </w:r>
      <w:r>
        <w:fldChar w:fldCharType="begin"/>
      </w:r>
      <w:r>
        <w:instrText xml:space="preserve"> PAGEREF _Toc9449 \h </w:instrText>
      </w:r>
      <w:r>
        <w:fldChar w:fldCharType="separate"/>
      </w:r>
      <w:r>
        <w:t>30</w:t>
      </w:r>
      <w:r>
        <w:fldChar w:fldCharType="end"/>
      </w:r>
      <w:r>
        <w:rPr>
          <w:highlight w:val="none"/>
        </w:rPr>
        <w:fldChar w:fldCharType="end"/>
      </w:r>
    </w:p>
    <w:p w14:paraId="321A8D8A">
      <w:pPr>
        <w:pStyle w:val="25"/>
        <w:tabs>
          <w:tab w:val="right" w:leader="dot" w:pos="9354"/>
          <w:tab w:val="clear" w:pos="9344"/>
        </w:tabs>
      </w:pPr>
      <w:r>
        <w:rPr>
          <w:highlight w:val="none"/>
        </w:rPr>
        <w:fldChar w:fldCharType="begin"/>
      </w:r>
      <w:r>
        <w:rPr>
          <w:highlight w:val="none"/>
        </w:rPr>
        <w:instrText xml:space="preserve"> HYPERLINK \l _Toc26667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14.2 </w:t>
      </w:r>
      <w:r>
        <w:rPr>
          <w:rFonts w:hint="eastAsia"/>
          <w:highlight w:val="none"/>
        </w:rPr>
        <w:t>数字化管理的规划</w:t>
      </w:r>
      <w:r>
        <w:tab/>
      </w:r>
      <w:r>
        <w:fldChar w:fldCharType="begin"/>
      </w:r>
      <w:r>
        <w:instrText xml:space="preserve"> PAGEREF _Toc26667 \h </w:instrText>
      </w:r>
      <w:r>
        <w:fldChar w:fldCharType="separate"/>
      </w:r>
      <w:r>
        <w:t>31</w:t>
      </w:r>
      <w:r>
        <w:fldChar w:fldCharType="end"/>
      </w:r>
      <w:r>
        <w:rPr>
          <w:highlight w:val="none"/>
        </w:rPr>
        <w:fldChar w:fldCharType="end"/>
      </w:r>
    </w:p>
    <w:p w14:paraId="591D74BC">
      <w:pPr>
        <w:pStyle w:val="25"/>
        <w:tabs>
          <w:tab w:val="right" w:leader="dot" w:pos="9354"/>
          <w:tab w:val="clear" w:pos="9344"/>
        </w:tabs>
      </w:pPr>
      <w:r>
        <w:rPr>
          <w:highlight w:val="none"/>
        </w:rPr>
        <w:fldChar w:fldCharType="begin"/>
      </w:r>
      <w:r>
        <w:rPr>
          <w:highlight w:val="none"/>
        </w:rPr>
        <w:instrText xml:space="preserve"> HYPERLINK \l _Toc17059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14.3 </w:t>
      </w:r>
      <w:r>
        <w:rPr>
          <w:rFonts w:hint="eastAsia"/>
          <w:highlight w:val="none"/>
        </w:rPr>
        <w:t>数字化管理的实施</w:t>
      </w:r>
      <w:r>
        <w:tab/>
      </w:r>
      <w:r>
        <w:fldChar w:fldCharType="begin"/>
      </w:r>
      <w:r>
        <w:instrText xml:space="preserve"> PAGEREF _Toc17059 \h </w:instrText>
      </w:r>
      <w:r>
        <w:fldChar w:fldCharType="separate"/>
      </w:r>
      <w:r>
        <w:t>31</w:t>
      </w:r>
      <w:r>
        <w:fldChar w:fldCharType="end"/>
      </w:r>
      <w:r>
        <w:rPr>
          <w:highlight w:val="none"/>
        </w:rPr>
        <w:fldChar w:fldCharType="end"/>
      </w:r>
    </w:p>
    <w:p w14:paraId="68F04BD4">
      <w:pPr>
        <w:pStyle w:val="20"/>
        <w:tabs>
          <w:tab w:val="right" w:leader="dot" w:pos="9354"/>
        </w:tabs>
      </w:pPr>
      <w:r>
        <w:rPr>
          <w:highlight w:val="none"/>
        </w:rPr>
        <w:fldChar w:fldCharType="begin"/>
      </w:r>
      <w:r>
        <w:rPr>
          <w:highlight w:val="none"/>
        </w:rPr>
        <w:instrText xml:space="preserve"> HYPERLINK \l _Toc28019 </w:instrText>
      </w:r>
      <w:r>
        <w:rPr>
          <w:highlight w:val="none"/>
        </w:rPr>
        <w:fldChar w:fldCharType="separate"/>
      </w:r>
      <w:r>
        <w:rPr>
          <w:rFonts w:hint="eastAsia" w:ascii="黑体" w:eastAsia="黑体"/>
          <w:i w:val="0"/>
        </w:rPr>
        <w:t xml:space="preserve">15 </w:t>
      </w:r>
      <w:r>
        <w:rPr>
          <w:rFonts w:hint="eastAsia"/>
          <w:highlight w:val="none"/>
        </w:rPr>
        <w:t>专项服务</w:t>
      </w:r>
      <w:r>
        <w:tab/>
      </w:r>
      <w:r>
        <w:fldChar w:fldCharType="begin"/>
      </w:r>
      <w:r>
        <w:instrText xml:space="preserve"> PAGEREF _Toc28019 \h </w:instrText>
      </w:r>
      <w:r>
        <w:fldChar w:fldCharType="separate"/>
      </w:r>
      <w:r>
        <w:t>32</w:t>
      </w:r>
      <w:r>
        <w:fldChar w:fldCharType="end"/>
      </w:r>
      <w:r>
        <w:rPr>
          <w:highlight w:val="none"/>
        </w:rPr>
        <w:fldChar w:fldCharType="end"/>
      </w:r>
    </w:p>
    <w:p w14:paraId="42126527">
      <w:pPr>
        <w:pStyle w:val="25"/>
        <w:tabs>
          <w:tab w:val="right" w:leader="dot" w:pos="9354"/>
          <w:tab w:val="clear" w:pos="9344"/>
        </w:tabs>
      </w:pPr>
      <w:r>
        <w:rPr>
          <w:highlight w:val="none"/>
        </w:rPr>
        <w:fldChar w:fldCharType="begin"/>
      </w:r>
      <w:r>
        <w:rPr>
          <w:highlight w:val="none"/>
        </w:rPr>
        <w:instrText xml:space="preserve"> HYPERLINK \l _Toc2439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15.1 </w:t>
      </w:r>
      <w:r>
        <w:rPr>
          <w:rFonts w:hint="eastAsia"/>
          <w:highlight w:val="none"/>
        </w:rPr>
        <w:t>集中建设项目的全过程咨询服务</w:t>
      </w:r>
      <w:r>
        <w:tab/>
      </w:r>
      <w:r>
        <w:fldChar w:fldCharType="begin"/>
      </w:r>
      <w:r>
        <w:instrText xml:space="preserve"> PAGEREF _Toc2439 \h </w:instrText>
      </w:r>
      <w:r>
        <w:fldChar w:fldCharType="separate"/>
      </w:r>
      <w:r>
        <w:t>32</w:t>
      </w:r>
      <w:r>
        <w:fldChar w:fldCharType="end"/>
      </w:r>
      <w:r>
        <w:rPr>
          <w:highlight w:val="none"/>
        </w:rPr>
        <w:fldChar w:fldCharType="end"/>
      </w:r>
    </w:p>
    <w:p w14:paraId="5CD1E440">
      <w:pPr>
        <w:pStyle w:val="25"/>
        <w:tabs>
          <w:tab w:val="right" w:leader="dot" w:pos="9354"/>
          <w:tab w:val="clear" w:pos="9344"/>
        </w:tabs>
      </w:pPr>
      <w:r>
        <w:rPr>
          <w:highlight w:val="none"/>
        </w:rPr>
        <w:fldChar w:fldCharType="begin"/>
      </w:r>
      <w:r>
        <w:rPr>
          <w:highlight w:val="none"/>
        </w:rPr>
        <w:instrText xml:space="preserve"> HYPERLINK \l _Toc15917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15.2 </w:t>
      </w:r>
      <w:r>
        <w:rPr>
          <w:rFonts w:hint="eastAsia"/>
          <w:highlight w:val="none"/>
        </w:rPr>
        <w:t>全过程BIM技术应用咨询服务</w:t>
      </w:r>
      <w:r>
        <w:tab/>
      </w:r>
      <w:r>
        <w:fldChar w:fldCharType="begin"/>
      </w:r>
      <w:r>
        <w:instrText xml:space="preserve"> PAGEREF _Toc15917 \h </w:instrText>
      </w:r>
      <w:r>
        <w:fldChar w:fldCharType="separate"/>
      </w:r>
      <w:r>
        <w:t>34</w:t>
      </w:r>
      <w:r>
        <w:fldChar w:fldCharType="end"/>
      </w:r>
      <w:r>
        <w:rPr>
          <w:highlight w:val="none"/>
        </w:rPr>
        <w:fldChar w:fldCharType="end"/>
      </w:r>
    </w:p>
    <w:p w14:paraId="6B4697DE">
      <w:pPr>
        <w:pStyle w:val="25"/>
        <w:tabs>
          <w:tab w:val="right" w:leader="dot" w:pos="9354"/>
          <w:tab w:val="clear" w:pos="9344"/>
        </w:tabs>
      </w:pPr>
      <w:r>
        <w:rPr>
          <w:highlight w:val="none"/>
        </w:rPr>
        <w:fldChar w:fldCharType="begin"/>
      </w:r>
      <w:r>
        <w:rPr>
          <w:highlight w:val="none"/>
        </w:rPr>
        <w:instrText xml:space="preserve"> HYPERLINK \l _Toc10825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15.3 </w:t>
      </w:r>
      <w:r>
        <w:rPr>
          <w:rFonts w:hint="eastAsia"/>
          <w:highlight w:val="none"/>
          <w:lang w:val="en-US" w:eastAsia="zh-CN"/>
        </w:rPr>
        <w:t>部品部件智能生产应用咨询服务</w:t>
      </w:r>
      <w:r>
        <w:tab/>
      </w:r>
      <w:r>
        <w:fldChar w:fldCharType="begin"/>
      </w:r>
      <w:r>
        <w:instrText xml:space="preserve"> PAGEREF _Toc10825 \h </w:instrText>
      </w:r>
      <w:r>
        <w:fldChar w:fldCharType="separate"/>
      </w:r>
      <w:r>
        <w:t>36</w:t>
      </w:r>
      <w:r>
        <w:fldChar w:fldCharType="end"/>
      </w:r>
      <w:r>
        <w:rPr>
          <w:highlight w:val="none"/>
        </w:rPr>
        <w:fldChar w:fldCharType="end"/>
      </w:r>
    </w:p>
    <w:p w14:paraId="29124C6C">
      <w:pPr>
        <w:pStyle w:val="25"/>
        <w:tabs>
          <w:tab w:val="right" w:leader="dot" w:pos="9354"/>
          <w:tab w:val="clear" w:pos="9344"/>
        </w:tabs>
      </w:pPr>
      <w:r>
        <w:rPr>
          <w:highlight w:val="none"/>
        </w:rPr>
        <w:fldChar w:fldCharType="begin"/>
      </w:r>
      <w:r>
        <w:rPr>
          <w:highlight w:val="none"/>
        </w:rPr>
        <w:instrText xml:space="preserve"> HYPERLINK \l _Toc6593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15.4 </w:t>
      </w:r>
      <w:r>
        <w:rPr>
          <w:rFonts w:hint="eastAsia"/>
          <w:highlight w:val="none"/>
          <w:lang w:val="en-US" w:eastAsia="zh-CN"/>
        </w:rPr>
        <w:t>机器人及智能装备应用咨询服务</w:t>
      </w:r>
      <w:r>
        <w:tab/>
      </w:r>
      <w:r>
        <w:fldChar w:fldCharType="begin"/>
      </w:r>
      <w:r>
        <w:instrText xml:space="preserve"> PAGEREF _Toc6593 \h </w:instrText>
      </w:r>
      <w:r>
        <w:fldChar w:fldCharType="separate"/>
      </w:r>
      <w:r>
        <w:t>37</w:t>
      </w:r>
      <w:r>
        <w:fldChar w:fldCharType="end"/>
      </w:r>
      <w:r>
        <w:rPr>
          <w:highlight w:val="none"/>
        </w:rPr>
        <w:fldChar w:fldCharType="end"/>
      </w:r>
    </w:p>
    <w:p w14:paraId="090698FA">
      <w:pPr>
        <w:pStyle w:val="25"/>
        <w:tabs>
          <w:tab w:val="right" w:leader="dot" w:pos="9354"/>
          <w:tab w:val="clear" w:pos="9344"/>
        </w:tabs>
      </w:pPr>
      <w:r>
        <w:rPr>
          <w:highlight w:val="none"/>
        </w:rPr>
        <w:fldChar w:fldCharType="begin"/>
      </w:r>
      <w:r>
        <w:rPr>
          <w:highlight w:val="none"/>
        </w:rPr>
        <w:instrText xml:space="preserve"> HYPERLINK \l _Toc31265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15.5 </w:t>
      </w:r>
      <w:r>
        <w:rPr>
          <w:rFonts w:hint="eastAsia"/>
          <w:highlight w:val="none"/>
        </w:rPr>
        <w:t>设计优化咨询</w:t>
      </w:r>
      <w:r>
        <w:tab/>
      </w:r>
      <w:r>
        <w:fldChar w:fldCharType="begin"/>
      </w:r>
      <w:r>
        <w:instrText xml:space="preserve"> PAGEREF _Toc31265 \h </w:instrText>
      </w:r>
      <w:r>
        <w:fldChar w:fldCharType="separate"/>
      </w:r>
      <w:r>
        <w:t>39</w:t>
      </w:r>
      <w:r>
        <w:fldChar w:fldCharType="end"/>
      </w:r>
      <w:r>
        <w:rPr>
          <w:highlight w:val="none"/>
        </w:rPr>
        <w:fldChar w:fldCharType="end"/>
      </w:r>
    </w:p>
    <w:p w14:paraId="3C647113">
      <w:pPr>
        <w:pStyle w:val="25"/>
        <w:tabs>
          <w:tab w:val="right" w:leader="dot" w:pos="9354"/>
          <w:tab w:val="clear" w:pos="9344"/>
        </w:tabs>
      </w:pPr>
      <w:r>
        <w:rPr>
          <w:highlight w:val="none"/>
        </w:rPr>
        <w:fldChar w:fldCharType="begin"/>
      </w:r>
      <w:r>
        <w:rPr>
          <w:highlight w:val="none"/>
        </w:rPr>
        <w:instrText xml:space="preserve"> HYPERLINK \l _Toc11797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15.6 </w:t>
      </w:r>
      <w:r>
        <w:rPr>
          <w:rFonts w:hint="eastAsia"/>
          <w:highlight w:val="none"/>
        </w:rPr>
        <w:t>第三方检查咨询服务</w:t>
      </w:r>
      <w:r>
        <w:tab/>
      </w:r>
      <w:r>
        <w:fldChar w:fldCharType="begin"/>
      </w:r>
      <w:r>
        <w:instrText xml:space="preserve"> PAGEREF _Toc11797 \h </w:instrText>
      </w:r>
      <w:r>
        <w:fldChar w:fldCharType="separate"/>
      </w:r>
      <w:r>
        <w:t>39</w:t>
      </w:r>
      <w:r>
        <w:fldChar w:fldCharType="end"/>
      </w:r>
      <w:r>
        <w:rPr>
          <w:highlight w:val="none"/>
        </w:rPr>
        <w:fldChar w:fldCharType="end"/>
      </w:r>
    </w:p>
    <w:p w14:paraId="526CB781">
      <w:pPr>
        <w:pStyle w:val="25"/>
        <w:tabs>
          <w:tab w:val="right" w:leader="dot" w:pos="9354"/>
          <w:tab w:val="clear" w:pos="9344"/>
        </w:tabs>
      </w:pPr>
      <w:r>
        <w:rPr>
          <w:highlight w:val="none"/>
        </w:rPr>
        <w:fldChar w:fldCharType="begin"/>
      </w:r>
      <w:r>
        <w:rPr>
          <w:highlight w:val="none"/>
        </w:rPr>
        <w:instrText xml:space="preserve"> HYPERLINK \l _Toc11953 </w:instrText>
      </w:r>
      <w:r>
        <w:rPr>
          <w:highlight w:val="none"/>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15.7 </w:t>
      </w:r>
      <w:r>
        <w:rPr>
          <w:rFonts w:hint="eastAsia"/>
          <w:highlight w:val="none"/>
        </w:rPr>
        <w:t>建筑节能与绿色建筑咨询</w:t>
      </w:r>
      <w:r>
        <w:tab/>
      </w:r>
      <w:r>
        <w:fldChar w:fldCharType="begin"/>
      </w:r>
      <w:r>
        <w:instrText xml:space="preserve"> PAGEREF _Toc11953 \h </w:instrText>
      </w:r>
      <w:r>
        <w:fldChar w:fldCharType="separate"/>
      </w:r>
      <w:r>
        <w:t>40</w:t>
      </w:r>
      <w:r>
        <w:fldChar w:fldCharType="end"/>
      </w:r>
      <w:r>
        <w:rPr>
          <w:highlight w:val="none"/>
        </w:rPr>
        <w:fldChar w:fldCharType="end"/>
      </w:r>
    </w:p>
    <w:p w14:paraId="16360E40">
      <w:pPr>
        <w:pStyle w:val="20"/>
        <w:tabs>
          <w:tab w:val="right" w:leader="dot" w:pos="9354"/>
        </w:tabs>
      </w:pPr>
      <w:r>
        <w:rPr>
          <w:highlight w:val="none"/>
        </w:rPr>
        <w:fldChar w:fldCharType="begin"/>
      </w:r>
      <w:r>
        <w:rPr>
          <w:highlight w:val="none"/>
        </w:rPr>
        <w:instrText xml:space="preserve"> HYPERLINK \l _Toc17512 </w:instrText>
      </w:r>
      <w:r>
        <w:rPr>
          <w:highlight w:val="none"/>
        </w:rPr>
        <w:fldChar w:fldCharType="separate"/>
      </w:r>
      <w:r>
        <w:rPr>
          <w:rFonts w:hint="eastAsia"/>
          <w:spacing w:val="100"/>
        </w:rPr>
        <w:t xml:space="preserve">附录A </w:t>
      </w:r>
      <w:r>
        <w:rPr>
          <w:highlight w:val="none"/>
        </w:rPr>
        <w:t xml:space="preserve"> </w:t>
      </w:r>
      <w:r>
        <w:rPr>
          <w:rFonts w:hint="eastAsia"/>
          <w:highlight w:val="none"/>
        </w:rPr>
        <w:t>（规范性）</w:t>
      </w:r>
      <w:r>
        <w:rPr>
          <w:highlight w:val="none"/>
        </w:rPr>
        <w:t xml:space="preserve"> </w:t>
      </w:r>
      <w:r>
        <w:rPr>
          <w:rFonts w:hint="eastAsia"/>
          <w:highlight w:val="none"/>
        </w:rPr>
        <w:t>全过程工程咨询服务清单</w:t>
      </w:r>
      <w:r>
        <w:tab/>
      </w:r>
      <w:r>
        <w:fldChar w:fldCharType="begin"/>
      </w:r>
      <w:r>
        <w:instrText xml:space="preserve"> PAGEREF _Toc17512 \h </w:instrText>
      </w:r>
      <w:r>
        <w:fldChar w:fldCharType="separate"/>
      </w:r>
      <w:r>
        <w:t>42</w:t>
      </w:r>
      <w:r>
        <w:fldChar w:fldCharType="end"/>
      </w:r>
      <w:r>
        <w:rPr>
          <w:highlight w:val="none"/>
        </w:rPr>
        <w:fldChar w:fldCharType="end"/>
      </w:r>
    </w:p>
    <w:p w14:paraId="1F6530A4">
      <w:pPr>
        <w:pStyle w:val="20"/>
        <w:tabs>
          <w:tab w:val="right" w:leader="dot" w:pos="9354"/>
        </w:tabs>
      </w:pPr>
      <w:r>
        <w:rPr>
          <w:highlight w:val="none"/>
        </w:rPr>
        <w:fldChar w:fldCharType="begin"/>
      </w:r>
      <w:r>
        <w:rPr>
          <w:highlight w:val="none"/>
        </w:rPr>
        <w:instrText xml:space="preserve"> HYPERLINK \l _Toc13773 </w:instrText>
      </w:r>
      <w:r>
        <w:rPr>
          <w:highlight w:val="none"/>
        </w:rPr>
        <w:fldChar w:fldCharType="separate"/>
      </w:r>
      <w:r>
        <w:rPr>
          <w:rFonts w:hint="eastAsia"/>
          <w:spacing w:val="105"/>
          <w:highlight w:val="none"/>
        </w:rPr>
        <w:t>参考文</w:t>
      </w:r>
      <w:r>
        <w:rPr>
          <w:rFonts w:hint="eastAsia"/>
          <w:highlight w:val="none"/>
        </w:rPr>
        <w:t>献</w:t>
      </w:r>
      <w:r>
        <w:tab/>
      </w:r>
      <w:r>
        <w:fldChar w:fldCharType="begin"/>
      </w:r>
      <w:r>
        <w:instrText xml:space="preserve"> PAGEREF _Toc13773 \h </w:instrText>
      </w:r>
      <w:r>
        <w:fldChar w:fldCharType="separate"/>
      </w:r>
      <w:r>
        <w:t>46</w:t>
      </w:r>
      <w:r>
        <w:fldChar w:fldCharType="end"/>
      </w:r>
      <w:r>
        <w:rPr>
          <w:highlight w:val="none"/>
        </w:rPr>
        <w:fldChar w:fldCharType="end"/>
      </w:r>
    </w:p>
    <w:p w14:paraId="059107B3">
      <w:pPr>
        <w:pStyle w:val="92"/>
        <w:spacing w:after="468"/>
        <w:rPr>
          <w:highlight w:val="none"/>
        </w:rPr>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rPr>
          <w:highlight w:val="none"/>
        </w:rPr>
        <w:fldChar w:fldCharType="end"/>
      </w:r>
    </w:p>
    <w:bookmarkEnd w:id="21"/>
    <w:p w14:paraId="455550C4">
      <w:pPr>
        <w:pStyle w:val="90"/>
        <w:spacing w:before="900" w:after="468"/>
        <w:rPr>
          <w:highlight w:val="none"/>
        </w:rPr>
      </w:pPr>
      <w:bookmarkStart w:id="23" w:name="_Toc7326"/>
      <w:bookmarkStart w:id="24" w:name="BookMark2"/>
      <w:r>
        <w:rPr>
          <w:rFonts w:hint="eastAsia"/>
          <w:spacing w:val="320"/>
          <w:highlight w:val="none"/>
        </w:rPr>
        <w:t>前</w:t>
      </w:r>
      <w:r>
        <w:rPr>
          <w:rFonts w:hint="eastAsia"/>
          <w:highlight w:val="none"/>
        </w:rPr>
        <w:t>言</w:t>
      </w:r>
      <w:bookmarkEnd w:id="22"/>
      <w:bookmarkEnd w:id="23"/>
    </w:p>
    <w:p w14:paraId="4C5776DE">
      <w:pPr>
        <w:pStyle w:val="57"/>
        <w:ind w:firstLine="420"/>
        <w:rPr>
          <w:highlight w:val="none"/>
        </w:rPr>
      </w:pPr>
      <w:r>
        <w:rPr>
          <w:rFonts w:hint="eastAsia"/>
          <w:highlight w:val="none"/>
        </w:rPr>
        <w:t>本文件按照GB/T 1.1—2020《标准化工作导则  第1部分：标准化文件的结构和起草规则》的规定起草。</w:t>
      </w:r>
    </w:p>
    <w:p w14:paraId="11BFF177">
      <w:pPr>
        <w:pStyle w:val="57"/>
        <w:ind w:firstLine="420"/>
        <w:rPr>
          <w:highlight w:val="none"/>
        </w:rPr>
      </w:pPr>
      <w:r>
        <w:rPr>
          <w:rFonts w:hint="eastAsia"/>
          <w:highlight w:val="none"/>
        </w:rPr>
        <w:t>请注意本文件的某些内容可能涉及专利。本文件的发布机构不承担识别专利的责任。</w:t>
      </w:r>
    </w:p>
    <w:p w14:paraId="3432096A">
      <w:pPr>
        <w:pStyle w:val="57"/>
        <w:ind w:firstLine="420"/>
        <w:rPr>
          <w:highlight w:val="none"/>
        </w:rPr>
      </w:pPr>
      <w:r>
        <w:rPr>
          <w:rFonts w:hint="eastAsia"/>
          <w:highlight w:val="none"/>
        </w:rPr>
        <w:t>本文件由苏州市住房和城乡建设局提出并归口。</w:t>
      </w:r>
    </w:p>
    <w:p w14:paraId="73C8D9BF">
      <w:pPr>
        <w:pStyle w:val="57"/>
        <w:ind w:firstLine="420"/>
        <w:rPr>
          <w:highlight w:val="none"/>
        </w:rPr>
      </w:pPr>
      <w:r>
        <w:rPr>
          <w:rFonts w:hint="eastAsia"/>
          <w:highlight w:val="none"/>
        </w:rPr>
        <w:t>本文件起草单位：中诚智信工程咨询集团股份有限公司、江苏中发建筑设计有限公司、启迪设计集团股份有限公司、苏州东大工程咨询管理有限公司、中衡设计集团工程咨询有限公司、苏州建设监理有限公司、苏州城投项目投资管理有限公司、中正建设工程管理（苏州）有限公司、中亿丰数字科技集团股份有限公司。</w:t>
      </w:r>
    </w:p>
    <w:p w14:paraId="2C6219DC">
      <w:pPr>
        <w:pStyle w:val="57"/>
        <w:ind w:firstLine="420"/>
        <w:rPr>
          <w:highlight w:val="none"/>
        </w:rPr>
      </w:pPr>
      <w:r>
        <w:rPr>
          <w:rFonts w:hint="eastAsia"/>
          <w:highlight w:val="none"/>
        </w:rPr>
        <w:t>本文件主要起草人：</w:t>
      </w:r>
    </w:p>
    <w:p w14:paraId="7F1B2364">
      <w:pPr>
        <w:pStyle w:val="57"/>
        <w:ind w:firstLine="420"/>
        <w:rPr>
          <w:highlight w:val="none"/>
        </w:rPr>
      </w:pPr>
    </w:p>
    <w:p w14:paraId="2878AD7D">
      <w:pPr>
        <w:pStyle w:val="57"/>
        <w:ind w:firstLine="420"/>
        <w:rPr>
          <w:highlight w:val="none"/>
        </w:rPr>
        <w:sectPr>
          <w:pgSz w:w="11906" w:h="16838"/>
          <w:pgMar w:top="1928" w:right="1134" w:bottom="1134" w:left="1134" w:header="1418" w:footer="1134" w:gutter="284"/>
          <w:pgNumType w:fmt="upperRoman"/>
          <w:cols w:space="425" w:num="1"/>
          <w:formProt w:val="0"/>
          <w:docGrid w:type="lines" w:linePitch="312" w:charSpace="0"/>
        </w:sectPr>
      </w:pPr>
    </w:p>
    <w:bookmarkEnd w:id="24"/>
    <w:p w14:paraId="30CA1DFD">
      <w:pPr>
        <w:pStyle w:val="90"/>
        <w:spacing w:after="468"/>
        <w:rPr>
          <w:highlight w:val="none"/>
        </w:rPr>
      </w:pPr>
      <w:bookmarkStart w:id="25" w:name="_Toc17950"/>
      <w:bookmarkStart w:id="26" w:name="_Toc194135315"/>
      <w:bookmarkStart w:id="27" w:name="BookMark3"/>
      <w:r>
        <w:rPr>
          <w:rFonts w:hint="eastAsia"/>
          <w:spacing w:val="320"/>
          <w:highlight w:val="none"/>
        </w:rPr>
        <w:t>引</w:t>
      </w:r>
      <w:r>
        <w:rPr>
          <w:rFonts w:hint="eastAsia"/>
          <w:highlight w:val="none"/>
        </w:rPr>
        <w:t>言</w:t>
      </w:r>
      <w:bookmarkEnd w:id="25"/>
      <w:bookmarkEnd w:id="26"/>
    </w:p>
    <w:p w14:paraId="5649C6C3">
      <w:pPr>
        <w:pStyle w:val="57"/>
        <w:ind w:firstLine="420"/>
        <w:rPr>
          <w:highlight w:val="none"/>
        </w:rPr>
      </w:pPr>
      <w:r>
        <w:rPr>
          <w:rFonts w:hint="eastAsia"/>
          <w:highlight w:val="none"/>
        </w:rPr>
        <w:t>为贯彻国家、江苏省和苏州市关于推进全过程工程咨询服务发展的相关要求，以提高工程质量、节约工程造价、缩短建设工期、适应市场为需要的目的，在借鉴吸收国际国内有关全过程项目管理和工程咨询较为成熟经验的基础上，文件编制组经深入调查研究，认真总结全过程工程咨询实践经验，参考国内外相关标准，结合苏州市实际，并在广泛征求意见的基础上，编制本标准文件，适用于房屋建筑、市政工程项目全过程或某一阶段工程咨询服务的规范与管理。</w:t>
      </w:r>
    </w:p>
    <w:p w14:paraId="266EDC32">
      <w:pPr>
        <w:pStyle w:val="57"/>
        <w:ind w:firstLine="420"/>
        <w:rPr>
          <w:highlight w:val="none"/>
        </w:rPr>
      </w:pPr>
      <w:r>
        <w:rPr>
          <w:rFonts w:hint="eastAsia"/>
          <w:highlight w:val="none"/>
        </w:rPr>
        <w:t>本文件共分通用服务和专项服务两大部分，通用服务按建设工程各阶段咨询服务内容划分，主要内容包括：范围、规范性引用文件、术语和定义、总体要求、全过程工程咨询方要求、全过程工程咨询服务策划、前期咨询服务、项目报建报批管理、勘察设计阶段的咨询服务、招标采购阶段的咨询服务、工程施工阶段的咨询服务、竣工验收阶段的咨询服务、项目运营维护阶段的咨询服务，以及全过程工程咨询服务的数字化管理，并将投资造价管理咨询服务贯穿于全过程。专项服务则按专业/专项划分，主要内容包括：政府投资项目集中建设的全过程工程咨询服务、全过程BIM技术应用咨询服务、部品部件智能生产应用咨询服务、机器人及智能装备应用咨询服务、设计优化咨询、第三方检查咨询服务、建筑节能与绿色建筑咨询。</w:t>
      </w:r>
    </w:p>
    <w:p w14:paraId="76656FF2">
      <w:pPr>
        <w:pStyle w:val="57"/>
        <w:ind w:firstLine="420"/>
        <w:rPr>
          <w:highlight w:val="none"/>
        </w:rPr>
      </w:pPr>
    </w:p>
    <w:p w14:paraId="1C2C0EB8">
      <w:pPr>
        <w:pStyle w:val="57"/>
        <w:ind w:firstLine="420"/>
        <w:rPr>
          <w:highlight w:val="none"/>
        </w:rPr>
        <w:sectPr>
          <w:pgSz w:w="11906" w:h="16838"/>
          <w:pgMar w:top="1928" w:right="1134" w:bottom="1134" w:left="1134" w:header="1418" w:footer="1134" w:gutter="284"/>
          <w:pgNumType w:fmt="upperRoman"/>
          <w:cols w:space="425" w:num="1"/>
          <w:formProt w:val="0"/>
          <w:docGrid w:type="lines" w:linePitch="312" w:charSpace="0"/>
        </w:sectPr>
      </w:pPr>
    </w:p>
    <w:bookmarkEnd w:id="27"/>
    <w:p w14:paraId="5249C1E8">
      <w:pPr>
        <w:spacing w:line="20" w:lineRule="exact"/>
        <w:jc w:val="center"/>
        <w:rPr>
          <w:rFonts w:hint="eastAsia" w:ascii="黑体" w:hAnsi="黑体" w:eastAsia="黑体"/>
          <w:sz w:val="32"/>
          <w:szCs w:val="32"/>
          <w:highlight w:val="none"/>
        </w:rPr>
      </w:pPr>
      <w:bookmarkStart w:id="28" w:name="BookMark4"/>
    </w:p>
    <w:p w14:paraId="712B5A43">
      <w:pPr>
        <w:spacing w:line="20" w:lineRule="exact"/>
        <w:jc w:val="center"/>
        <w:rPr>
          <w:rFonts w:hint="eastAsia" w:ascii="黑体" w:hAnsi="黑体" w:eastAsia="黑体"/>
          <w:sz w:val="32"/>
          <w:szCs w:val="32"/>
          <w:highlight w:val="none"/>
        </w:rPr>
      </w:pPr>
    </w:p>
    <w:sdt>
      <w:sdtPr>
        <w:rPr>
          <w:highlight w:val="none"/>
        </w:rPr>
        <w:tag w:val="NEW_STAND_NAME"/>
        <w:id w:val="595910757"/>
        <w:lock w:val="sdtLocked"/>
        <w:placeholder>
          <w:docPart w:val="EC6E4671127042B9ABA0572C04AA079A"/>
        </w:placeholder>
      </w:sdtPr>
      <w:sdtEndPr>
        <w:rPr>
          <w:highlight w:val="none"/>
        </w:rPr>
      </w:sdtEndPr>
      <w:sdtContent>
        <w:p w14:paraId="6D3F4769">
          <w:pPr>
            <w:pStyle w:val="178"/>
            <w:spacing w:before="312" w:beforeLines="100" w:after="686" w:afterLines="220"/>
            <w:rPr>
              <w:rFonts w:hint="eastAsia"/>
              <w:highlight w:val="none"/>
            </w:rPr>
          </w:pPr>
          <w:bookmarkStart w:id="29" w:name="NEW_STAND_NAME"/>
          <w:r>
            <w:rPr>
              <w:rFonts w:hint="eastAsia"/>
              <w:highlight w:val="none"/>
            </w:rPr>
            <w:t>全过程工程咨询服务标准</w:t>
          </w:r>
        </w:p>
      </w:sdtContent>
    </w:sdt>
    <w:bookmarkEnd w:id="29"/>
    <w:p w14:paraId="0F4443B6">
      <w:pPr>
        <w:pStyle w:val="105"/>
        <w:spacing w:before="312" w:after="312"/>
        <w:rPr>
          <w:highlight w:val="none"/>
        </w:rPr>
      </w:pPr>
      <w:bookmarkStart w:id="30" w:name="_Toc24884211"/>
      <w:bookmarkStart w:id="31" w:name="_Toc17233333"/>
      <w:bookmarkStart w:id="32" w:name="_Toc26718930"/>
      <w:bookmarkStart w:id="33" w:name="_Toc97191423"/>
      <w:bookmarkStart w:id="34" w:name="_Toc26986530"/>
      <w:bookmarkStart w:id="35" w:name="_Toc17233325"/>
      <w:bookmarkStart w:id="36" w:name="_Toc30648"/>
      <w:bookmarkStart w:id="37" w:name="_Toc26986771"/>
      <w:bookmarkStart w:id="38" w:name="_Toc194135316"/>
      <w:bookmarkStart w:id="39" w:name="_Toc24884218"/>
      <w:bookmarkStart w:id="40" w:name="_Toc26648465"/>
      <w:r>
        <w:rPr>
          <w:rFonts w:hint="eastAsia"/>
          <w:highlight w:val="none"/>
        </w:rPr>
        <w:t>范围</w:t>
      </w:r>
      <w:bookmarkEnd w:id="30"/>
      <w:bookmarkEnd w:id="31"/>
      <w:bookmarkEnd w:id="32"/>
      <w:bookmarkEnd w:id="33"/>
      <w:bookmarkEnd w:id="34"/>
      <w:bookmarkEnd w:id="35"/>
      <w:bookmarkEnd w:id="36"/>
      <w:bookmarkEnd w:id="37"/>
      <w:bookmarkEnd w:id="38"/>
      <w:bookmarkEnd w:id="39"/>
      <w:bookmarkEnd w:id="40"/>
    </w:p>
    <w:p w14:paraId="13711539">
      <w:pPr>
        <w:pStyle w:val="57"/>
        <w:ind w:firstLine="420"/>
        <w:rPr>
          <w:highlight w:val="none"/>
        </w:rPr>
      </w:pPr>
      <w:bookmarkStart w:id="41" w:name="_Toc17233334"/>
      <w:bookmarkStart w:id="42" w:name="_Toc26648466"/>
      <w:bookmarkStart w:id="43" w:name="_Toc17233326"/>
      <w:bookmarkStart w:id="44" w:name="_Toc24884219"/>
      <w:bookmarkStart w:id="45" w:name="_Toc24884212"/>
      <w:r>
        <w:rPr>
          <w:rFonts w:hint="eastAsia"/>
          <w:highlight w:val="none"/>
        </w:rPr>
        <w:t>本文件规定了全过程工程咨询服务的总体要求、工程咨询方要求、全过程工程咨询服务策划、前期咨询服务、项目报建服务、勘察设计阶段的咨询服务、招标采购阶段的咨询服务、工程施工阶段的咨询服务、竣工验收阶段的咨询服务、项目运营维护阶段的咨询服务、全过程工程咨询服务的数字化管理及专项服务等要求。</w:t>
      </w:r>
    </w:p>
    <w:p w14:paraId="395034D7">
      <w:pPr>
        <w:pStyle w:val="57"/>
        <w:ind w:firstLine="420"/>
        <w:rPr>
          <w:highlight w:val="none"/>
        </w:rPr>
      </w:pPr>
      <w:r>
        <w:rPr>
          <w:rFonts w:hint="eastAsia"/>
          <w:highlight w:val="none"/>
        </w:rPr>
        <w:t>本文件适用于建设项目全生命周期或阶段</w:t>
      </w:r>
      <w:r>
        <w:rPr>
          <w:rFonts w:hint="eastAsia"/>
          <w:highlight w:val="none"/>
          <w:lang w:val="en-US" w:eastAsia="zh-CN"/>
        </w:rPr>
        <w:t>性</w:t>
      </w:r>
      <w:r>
        <w:rPr>
          <w:rFonts w:hint="eastAsia"/>
          <w:highlight w:val="none"/>
        </w:rPr>
        <w:t>的工程咨询服务和管理</w:t>
      </w:r>
      <w:r>
        <w:rPr>
          <w:rFonts w:hint="eastAsia"/>
          <w:highlight w:val="none"/>
          <w:lang w:eastAsia="zh-CN"/>
        </w:rPr>
        <w:t>，</w:t>
      </w:r>
      <w:r>
        <w:rPr>
          <w:rFonts w:hint="eastAsia"/>
          <w:highlight w:val="none"/>
          <w:lang w:val="en-US" w:eastAsia="zh-CN"/>
        </w:rPr>
        <w:t>也适用于苏州市实行集中建设的</w:t>
      </w:r>
      <w:r>
        <w:rPr>
          <w:rFonts w:hint="eastAsia"/>
          <w:highlight w:val="none"/>
          <w:lang w:eastAsia="zh-CN"/>
        </w:rPr>
        <w:t>政府投资工程的全过程</w:t>
      </w:r>
      <w:r>
        <w:rPr>
          <w:rFonts w:hint="eastAsia"/>
          <w:highlight w:val="none"/>
          <w:lang w:val="en-US" w:eastAsia="zh-CN"/>
        </w:rPr>
        <w:t>工程</w:t>
      </w:r>
      <w:r>
        <w:rPr>
          <w:rFonts w:hint="eastAsia"/>
          <w:highlight w:val="none"/>
          <w:lang w:eastAsia="zh-CN"/>
        </w:rPr>
        <w:t>咨询</w:t>
      </w:r>
      <w:r>
        <w:rPr>
          <w:rFonts w:hint="eastAsia"/>
          <w:highlight w:val="none"/>
          <w:lang w:val="en-US" w:eastAsia="zh-CN"/>
        </w:rPr>
        <w:t>管理</w:t>
      </w:r>
      <w:r>
        <w:rPr>
          <w:rFonts w:hint="eastAsia"/>
          <w:highlight w:val="none"/>
          <w:lang w:eastAsia="zh-CN"/>
        </w:rPr>
        <w:t>服务</w:t>
      </w:r>
      <w:r>
        <w:rPr>
          <w:rFonts w:hint="eastAsia"/>
          <w:highlight w:val="none"/>
        </w:rPr>
        <w:t>。</w:t>
      </w:r>
    </w:p>
    <w:p w14:paraId="5C4EFE56">
      <w:pPr>
        <w:pStyle w:val="105"/>
        <w:spacing w:before="312" w:after="312"/>
        <w:rPr>
          <w:highlight w:val="none"/>
        </w:rPr>
      </w:pPr>
      <w:bookmarkStart w:id="46" w:name="_Toc26986772"/>
      <w:bookmarkStart w:id="47" w:name="_Toc1807"/>
      <w:bookmarkStart w:id="48" w:name="_Toc26718931"/>
      <w:bookmarkStart w:id="49" w:name="_Toc194135317"/>
      <w:bookmarkStart w:id="50" w:name="_Toc97191424"/>
      <w:bookmarkStart w:id="51" w:name="_Toc26986531"/>
      <w:r>
        <w:rPr>
          <w:rFonts w:hint="eastAsia"/>
          <w:highlight w:val="none"/>
        </w:rPr>
        <w:t>规范性引用文件</w:t>
      </w:r>
      <w:bookmarkEnd w:id="41"/>
      <w:bookmarkEnd w:id="42"/>
      <w:bookmarkEnd w:id="43"/>
      <w:bookmarkEnd w:id="44"/>
      <w:bookmarkEnd w:id="45"/>
      <w:bookmarkEnd w:id="46"/>
      <w:bookmarkEnd w:id="47"/>
      <w:bookmarkEnd w:id="48"/>
      <w:bookmarkEnd w:id="49"/>
      <w:bookmarkEnd w:id="50"/>
      <w:bookmarkEnd w:id="51"/>
    </w:p>
    <w:sdt>
      <w:sdtPr>
        <w:rPr>
          <w:rFonts w:hint="eastAsia"/>
          <w:highlight w:val="none"/>
        </w:rPr>
        <w:id w:val="715848253"/>
        <w:placeholder>
          <w:docPart w:val="D58D67062FDA4679A405CDF148A93CFA"/>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highlight w:val="none"/>
        </w:rPr>
      </w:sdtEndPr>
      <w:sdtContent>
        <w:p w14:paraId="4BC449FA">
          <w:pPr>
            <w:pStyle w:val="57"/>
            <w:ind w:firstLine="420"/>
            <w:rPr>
              <w:highlight w:val="none"/>
            </w:rPr>
          </w:pPr>
          <w:r>
            <w:rPr>
              <w:rFonts w:hint="eastAsia"/>
              <w:highlight w:val="none"/>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51799780">
      <w:pPr>
        <w:pStyle w:val="57"/>
        <w:ind w:firstLine="420"/>
        <w:rPr>
          <w:highlight w:val="none"/>
        </w:rPr>
      </w:pPr>
      <w:bookmarkStart w:id="52" w:name="_Toc97191425"/>
      <w:r>
        <w:rPr>
          <w:rFonts w:hint="eastAsia"/>
          <w:highlight w:val="none"/>
        </w:rPr>
        <w:t>GB/T 50319  建设工程监理规范</w:t>
      </w:r>
    </w:p>
    <w:p w14:paraId="61A0FFD6">
      <w:pPr>
        <w:pStyle w:val="57"/>
        <w:ind w:firstLine="420"/>
        <w:rPr>
          <w:highlight w:val="none"/>
        </w:rPr>
      </w:pPr>
      <w:r>
        <w:rPr>
          <w:highlight w:val="none"/>
        </w:rPr>
        <w:t>GB/T 50378</w:t>
      </w:r>
      <w:r>
        <w:rPr>
          <w:rFonts w:hint="eastAsia"/>
          <w:highlight w:val="none"/>
        </w:rPr>
        <w:t xml:space="preserve">  绿色建筑评价标准</w:t>
      </w:r>
    </w:p>
    <w:p w14:paraId="449E5A47">
      <w:pPr>
        <w:pStyle w:val="105"/>
        <w:spacing w:before="312" w:after="312"/>
        <w:rPr>
          <w:highlight w:val="none"/>
        </w:rPr>
      </w:pPr>
      <w:bookmarkStart w:id="53" w:name="_Toc194135318"/>
      <w:bookmarkStart w:id="54" w:name="_Toc8521"/>
      <w:r>
        <w:rPr>
          <w:rFonts w:hint="eastAsia"/>
          <w:szCs w:val="21"/>
          <w:highlight w:val="none"/>
        </w:rPr>
        <w:t>术语和定义</w:t>
      </w:r>
      <w:bookmarkEnd w:id="52"/>
      <w:bookmarkEnd w:id="53"/>
      <w:bookmarkEnd w:id="54"/>
    </w:p>
    <w:sdt>
      <w:sdtPr>
        <w:rPr>
          <w:highlight w:val="none"/>
        </w:rPr>
        <w:id w:val="-1909835108"/>
        <w:placeholder>
          <w:docPart w:val="8AF1B583D6BF4C52A3124C63BF0B4C52"/>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highlight w:val="none"/>
        </w:rPr>
      </w:sdtEndPr>
      <w:sdtContent>
        <w:p w14:paraId="396B986B">
          <w:pPr>
            <w:pStyle w:val="57"/>
            <w:ind w:firstLine="420"/>
            <w:rPr>
              <w:highlight w:val="none"/>
            </w:rPr>
          </w:pPr>
          <w:bookmarkStart w:id="55" w:name="_Toc26986532"/>
          <w:bookmarkEnd w:id="55"/>
          <w:r>
            <w:rPr>
              <w:highlight w:val="none"/>
            </w:rPr>
            <w:t>下列术语和定义适用于本文件。</w:t>
          </w:r>
        </w:p>
      </w:sdtContent>
    </w:sdt>
    <w:p w14:paraId="56045686">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工程项目  engineer project</w:t>
      </w:r>
    </w:p>
    <w:p w14:paraId="2E97138C">
      <w:pPr>
        <w:pStyle w:val="57"/>
        <w:ind w:firstLine="420"/>
        <w:rPr>
          <w:highlight w:val="none"/>
        </w:rPr>
      </w:pPr>
      <w:r>
        <w:rPr>
          <w:rFonts w:hint="eastAsia"/>
          <w:highlight w:val="none"/>
        </w:rPr>
        <w:t>形成特定的生产能力或使用效能而进行投资建设，并形成固定资产的各类项目。</w:t>
      </w:r>
    </w:p>
    <w:p w14:paraId="4A2B8E92">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项目全生命周期  whole project life cycle</w:t>
      </w:r>
    </w:p>
    <w:p w14:paraId="04243AB5">
      <w:pPr>
        <w:pStyle w:val="57"/>
        <w:ind w:firstLine="420"/>
        <w:rPr>
          <w:highlight w:val="none"/>
        </w:rPr>
      </w:pPr>
      <w:r>
        <w:rPr>
          <w:rFonts w:hint="eastAsia"/>
          <w:highlight w:val="none"/>
        </w:rPr>
        <w:t>项目从启动至结束所经历的一系列阶段，主要包括投资决策阶段、工程建设阶段和运营阶段。</w:t>
      </w:r>
    </w:p>
    <w:p w14:paraId="26C26FCB">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工程咨询  engineering consulting</w:t>
      </w:r>
    </w:p>
    <w:p w14:paraId="42FD73C3">
      <w:pPr>
        <w:pStyle w:val="57"/>
        <w:ind w:firstLine="420"/>
        <w:rPr>
          <w:highlight w:val="none"/>
        </w:rPr>
      </w:pPr>
      <w:r>
        <w:rPr>
          <w:rFonts w:hint="eastAsia"/>
          <w:highlight w:val="none"/>
        </w:rPr>
        <w:t>遵循独立、公正、科学的原则，综合运用多学科知识、工程实践经验、现代科学和管理方法，在经济社会发展、境内外投资建设项目决策与实施活动中，为投资者和政府部门提供阶段性或全过程咨询的智力服务。</w:t>
      </w:r>
    </w:p>
    <w:p w14:paraId="7867B6D4">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全过程工程咨询  whole process engineering consulting</w:t>
      </w:r>
    </w:p>
    <w:p w14:paraId="4682E3E8">
      <w:pPr>
        <w:pStyle w:val="57"/>
        <w:ind w:firstLine="420"/>
        <w:rPr>
          <w:highlight w:val="none"/>
        </w:rPr>
      </w:pPr>
      <w:r>
        <w:rPr>
          <w:rFonts w:hint="eastAsia"/>
          <w:highlight w:val="none"/>
        </w:rPr>
        <w:t>工程咨询方综合运用多学科知识、工程实践经验、现代科学技术和经济管理方法，采用多种服务方式组合，为委托人在项目投资决策、前期准备阶段、工程施工阶段、竣工验收阶段</w:t>
      </w:r>
      <w:r>
        <w:rPr>
          <w:rFonts w:hint="eastAsia"/>
          <w:highlight w:val="none"/>
          <w:lang w:val="en-US" w:eastAsia="zh-CN"/>
        </w:rPr>
        <w:t>及</w:t>
      </w:r>
      <w:r>
        <w:rPr>
          <w:rFonts w:hint="eastAsia"/>
          <w:highlight w:val="none"/>
        </w:rPr>
        <w:t>运营阶段提供阶段性或整体解决方案的综合性工程咨询服务。</w:t>
      </w:r>
    </w:p>
    <w:p w14:paraId="3C80E7C1">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委托方  client</w:t>
      </w:r>
    </w:p>
    <w:p w14:paraId="1D501465">
      <w:pPr>
        <w:pStyle w:val="57"/>
        <w:ind w:firstLine="420"/>
        <w:rPr>
          <w:highlight w:val="none"/>
        </w:rPr>
      </w:pPr>
      <w:r>
        <w:rPr>
          <w:rFonts w:hint="eastAsia"/>
          <w:highlight w:val="none"/>
        </w:rPr>
        <w:t>委托工程咨询的组织或个人，及其合法继承人和允许的受让人。在投资决策和工程建设阶段通常称建设单位。</w:t>
      </w:r>
    </w:p>
    <w:p w14:paraId="0DDDA8F6">
      <w:pPr>
        <w:pStyle w:val="181"/>
        <w:rPr>
          <w:highlight w:val="none"/>
        </w:rPr>
      </w:pPr>
      <w:r>
        <w:rPr>
          <w:rFonts w:hint="eastAsia"/>
          <w:highlight w:val="none"/>
        </w:rPr>
        <w:t>包括全过程工程咨询的委托方，也包括专项服务的委托方；</w:t>
      </w:r>
    </w:p>
    <w:p w14:paraId="30EE5088">
      <w:pPr>
        <w:pStyle w:val="181"/>
        <w:rPr>
          <w:highlight w:val="none"/>
        </w:rPr>
      </w:pPr>
      <w:r>
        <w:rPr>
          <w:rFonts w:hint="eastAsia"/>
          <w:highlight w:val="none"/>
        </w:rPr>
        <w:t>包括在集中建设制模式中的实施单位或/和使用单位；</w:t>
      </w:r>
    </w:p>
    <w:p w14:paraId="4B8FD667">
      <w:pPr>
        <w:pStyle w:val="181"/>
        <w:rPr>
          <w:highlight w:val="none"/>
        </w:rPr>
      </w:pPr>
      <w:r>
        <w:rPr>
          <w:rFonts w:hint="eastAsia"/>
          <w:highlight w:val="none"/>
        </w:rPr>
        <w:t>不包括设计方、施工总包方等技术专项委托，也不包括工程咨询方将咨询合同中部分进行分包或转委托而成为委托方的情况</w:t>
      </w:r>
      <w:r>
        <w:rPr>
          <w:rFonts w:hint="eastAsia"/>
          <w:highlight w:val="none"/>
          <w:lang w:eastAsia="zh-CN"/>
        </w:rPr>
        <w:t>；</w:t>
      </w:r>
    </w:p>
    <w:p w14:paraId="4F7930EF">
      <w:pPr>
        <w:pStyle w:val="181"/>
        <w:rPr>
          <w:highlight w:val="none"/>
        </w:rPr>
      </w:pPr>
      <w:r>
        <w:rPr>
          <w:rFonts w:hint="eastAsia"/>
          <w:highlight w:val="none"/>
        </w:rPr>
        <w:t>某些场合，委托方与建设单位、项目法人、招标人同义。</w:t>
      </w:r>
    </w:p>
    <w:p w14:paraId="665DE1FD">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全过程工程咨询服务单位  whole process engineering consulting service unit</w:t>
      </w:r>
    </w:p>
    <w:p w14:paraId="5D9FA5D0">
      <w:pPr>
        <w:pStyle w:val="57"/>
        <w:ind w:firstLine="420"/>
        <w:rPr>
          <w:highlight w:val="none"/>
        </w:rPr>
      </w:pPr>
      <w:r>
        <w:rPr>
          <w:rFonts w:hint="eastAsia"/>
          <w:highlight w:val="none"/>
        </w:rPr>
        <w:t>具备相关资质和能力，并结合委托人的实际需求与合同要求，承担建设项目全过程工程咨询服务的独立法人单位或联合体。</w:t>
      </w:r>
    </w:p>
    <w:p w14:paraId="24CBA1EF">
      <w:pPr>
        <w:pStyle w:val="180"/>
        <w:rPr>
          <w:highlight w:val="none"/>
        </w:rPr>
      </w:pPr>
      <w:r>
        <w:rPr>
          <w:rFonts w:hint="eastAsia"/>
          <w:highlight w:val="none"/>
          <w:lang w:val="en-US" w:eastAsia="zh-CN"/>
        </w:rPr>
        <w:t>某些场合，</w:t>
      </w:r>
      <w:r>
        <w:rPr>
          <w:rFonts w:hint="eastAsia"/>
          <w:highlight w:val="none"/>
        </w:rPr>
        <w:t>与全过程工程咨询方、咨询人、受委托方同义。</w:t>
      </w:r>
    </w:p>
    <w:p w14:paraId="5192E8C6">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全过程工程咨询服务团队  whole-process engineering consulting service team</w:t>
      </w:r>
    </w:p>
    <w:p w14:paraId="00DD8950">
      <w:pPr>
        <w:pStyle w:val="57"/>
        <w:ind w:firstLine="420"/>
        <w:rPr>
          <w:highlight w:val="none"/>
        </w:rPr>
      </w:pPr>
      <w:r>
        <w:rPr>
          <w:rFonts w:hint="eastAsia"/>
          <w:highlight w:val="none"/>
        </w:rPr>
        <w:t>在建设工程项目的全生命周期内，提供从项目策划、设计、施工到运营维护等各阶段的一体化、专业化咨询服务的团队。</w:t>
      </w:r>
    </w:p>
    <w:p w14:paraId="0F6EA84D">
      <w:pPr>
        <w:pStyle w:val="180"/>
        <w:rPr>
          <w:highlight w:val="none"/>
        </w:rPr>
      </w:pPr>
      <w:r>
        <w:rPr>
          <w:rFonts w:hint="eastAsia"/>
          <w:highlight w:val="none"/>
        </w:rPr>
        <w:t>全过程工程咨询服务团队与全过程工程咨询服务机构同义。</w:t>
      </w:r>
    </w:p>
    <w:p w14:paraId="0DE5BCE9">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投资决策综合性咨询  comprehensive consulting for implementation stage</w:t>
      </w:r>
    </w:p>
    <w:p w14:paraId="4C69321E">
      <w:pPr>
        <w:pStyle w:val="57"/>
        <w:ind w:firstLine="420"/>
        <w:rPr>
          <w:highlight w:val="none"/>
        </w:rPr>
      </w:pPr>
      <w:r>
        <w:rPr>
          <w:rFonts w:hint="eastAsia"/>
          <w:highlight w:val="none"/>
        </w:rPr>
        <w:t>工程咨询方接受委托方委托，在项目投资决策阶段，就投资项目的市场、技术、经济、生态环境、能源、资源、安全等等影响可行性的要素，结合国家、地区、行业发展规划及相关重大专项建设规划、产业政策、技术标准及相关审批要求进行综合分析研究和论证，为委托人提供决策依据和建议的活动。</w:t>
      </w:r>
    </w:p>
    <w:p w14:paraId="79D72694">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工程建设全过程咨询  whole process construction engineering consulting</w:t>
      </w:r>
    </w:p>
    <w:p w14:paraId="4F5E7E1F">
      <w:pPr>
        <w:pStyle w:val="57"/>
        <w:ind w:firstLine="420"/>
        <w:rPr>
          <w:highlight w:val="none"/>
        </w:rPr>
      </w:pPr>
      <w:r>
        <w:rPr>
          <w:rFonts w:hint="eastAsia"/>
          <w:highlight w:val="none"/>
        </w:rPr>
        <w:t>工程咨询方接受委托方委托，在工程建设阶段，提供项目招标代理、勘察、设计、监理、造价、项目管理等专业咨询的组合或集成整合的综合咨询服务活动。</w:t>
      </w:r>
    </w:p>
    <w:p w14:paraId="3C83F27E">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建筑信息模型技术咨询（简称BIM咨询）  building information modeling consulting（BIM consultation）</w:t>
      </w:r>
    </w:p>
    <w:p w14:paraId="065A85FF">
      <w:pPr>
        <w:pStyle w:val="57"/>
        <w:ind w:firstLine="420"/>
        <w:rPr>
          <w:rFonts w:hint="eastAsia"/>
          <w:highlight w:val="none"/>
        </w:rPr>
      </w:pPr>
      <w:r>
        <w:rPr>
          <w:rFonts w:hint="eastAsia"/>
          <w:highlight w:val="none"/>
        </w:rPr>
        <w:t>工程咨询方利用建筑信息模型（BIM）技术，为工程项目提供全生命周期的信息和数字化管理服务。</w:t>
      </w:r>
    </w:p>
    <w:p w14:paraId="19629B2F">
      <w:pPr>
        <w:pStyle w:val="181"/>
        <w:numPr>
          <w:ilvl w:val="0"/>
          <w:numId w:val="32"/>
        </w:numPr>
        <w:rPr>
          <w:highlight w:val="none"/>
        </w:rPr>
      </w:pPr>
      <w:r>
        <w:rPr>
          <w:rFonts w:hint="eastAsia"/>
          <w:highlight w:val="none"/>
        </w:rPr>
        <w:t>应用BIM软件导入、创建、传递和共享模型数据并按照一定设计、施工流程所产生的交付成果，谓之BIM交付成果；</w:t>
      </w:r>
    </w:p>
    <w:p w14:paraId="541D8349">
      <w:pPr>
        <w:pStyle w:val="181"/>
        <w:numPr>
          <w:ilvl w:val="0"/>
          <w:numId w:val="32"/>
        </w:numPr>
        <w:rPr>
          <w:highlight w:val="none"/>
        </w:rPr>
      </w:pPr>
      <w:r>
        <w:rPr>
          <w:rFonts w:hint="eastAsia"/>
          <w:highlight w:val="none"/>
        </w:rPr>
        <w:t>设计阶段的建筑信息模型应用与实施、建筑信息模型设计成果及相应应用，简称设计BIM；</w:t>
      </w:r>
    </w:p>
    <w:p w14:paraId="21D6D6DC">
      <w:pPr>
        <w:pStyle w:val="181"/>
        <w:numPr>
          <w:ilvl w:val="0"/>
          <w:numId w:val="32"/>
        </w:numPr>
        <w:rPr>
          <w:highlight w:val="none"/>
        </w:rPr>
      </w:pPr>
      <w:r>
        <w:rPr>
          <w:rFonts w:hint="eastAsia"/>
          <w:highlight w:val="none"/>
        </w:rPr>
        <w:t>施工阶段的建筑信息模型应用与实施、建筑信息模型在施工过程中产生的成果及相应应用，简称施工BIM；</w:t>
      </w:r>
    </w:p>
    <w:p w14:paraId="7D82BB74">
      <w:pPr>
        <w:pStyle w:val="181"/>
        <w:numPr>
          <w:ilvl w:val="0"/>
          <w:numId w:val="32"/>
        </w:numPr>
        <w:rPr>
          <w:highlight w:val="none"/>
        </w:rPr>
      </w:pPr>
      <w:r>
        <w:rPr>
          <w:rFonts w:hint="eastAsia"/>
          <w:highlight w:val="none"/>
        </w:rPr>
        <w:t>服务于项目运营应用的建筑信息模型，简称为运维BIM。</w:t>
      </w:r>
    </w:p>
    <w:p w14:paraId="6ADF4032">
      <w:pPr>
        <w:pStyle w:val="57"/>
        <w:ind w:firstLine="420"/>
        <w:rPr>
          <w:rFonts w:hint="eastAsia"/>
          <w:highlight w:val="none"/>
        </w:rPr>
      </w:pPr>
      <w:r>
        <w:rPr>
          <w:rFonts w:hint="eastAsia"/>
          <w:highlight w:val="none"/>
        </w:rPr>
        <w:t>[来源：</w:t>
      </w:r>
      <w:r>
        <w:rPr>
          <w:highlight w:val="none"/>
        </w:rPr>
        <w:t>DB3205/T 1161—2024</w:t>
      </w:r>
      <w:r>
        <w:rPr>
          <w:rFonts w:hint="eastAsia"/>
          <w:highlight w:val="none"/>
        </w:rPr>
        <w:t>]</w:t>
      </w:r>
    </w:p>
    <w:p w14:paraId="71EB5D66">
      <w:pPr>
        <w:pStyle w:val="224"/>
        <w:ind w:left="420" w:hanging="420" w:hangingChars="200"/>
        <w:rPr>
          <w:rFonts w:hint="eastAsia" w:ascii="黑体" w:hAnsi="黑体" w:eastAsia="黑体"/>
          <w:highlight w:val="none"/>
        </w:rPr>
      </w:pPr>
    </w:p>
    <w:p w14:paraId="6D120732">
      <w:pPr>
        <w:pStyle w:val="224"/>
        <w:numPr>
          <w:ilvl w:val="2"/>
          <w:numId w:val="0"/>
        </w:numPr>
        <w:ind w:leftChars="-200" w:firstLine="840" w:firstLineChars="400"/>
        <w:rPr>
          <w:rFonts w:hint="eastAsia" w:ascii="黑体" w:hAnsi="黑体" w:eastAsia="黑体"/>
          <w:highlight w:val="none"/>
        </w:rPr>
      </w:pPr>
      <w:r>
        <w:rPr>
          <w:rFonts w:hint="eastAsia" w:ascii="黑体" w:hAnsi="黑体" w:eastAsia="黑体"/>
          <w:highlight w:val="none"/>
          <w:lang w:eastAsia="zh-CN"/>
        </w:rPr>
        <w:t xml:space="preserve">部品部件智能生产应用咨询 </w:t>
      </w:r>
      <w:r>
        <w:rPr>
          <w:rFonts w:hint="eastAsia" w:ascii="黑体" w:hAnsi="黑体" w:eastAsia="黑体"/>
          <w:highlight w:val="none"/>
          <w:lang w:val="en-US" w:eastAsia="zh-CN"/>
        </w:rPr>
        <w:t>i</w:t>
      </w:r>
      <w:r>
        <w:rPr>
          <w:rFonts w:hint="eastAsia" w:ascii="黑体" w:hAnsi="黑体" w:eastAsia="黑体"/>
          <w:highlight w:val="none"/>
          <w:lang w:eastAsia="zh-CN"/>
        </w:rPr>
        <w:t xml:space="preserve">ntelligent </w:t>
      </w:r>
      <w:r>
        <w:rPr>
          <w:rFonts w:hint="eastAsia" w:ascii="黑体" w:hAnsi="黑体" w:eastAsia="黑体"/>
          <w:highlight w:val="none"/>
          <w:lang w:val="en-US" w:eastAsia="zh-CN"/>
        </w:rPr>
        <w:t>p</w:t>
      </w:r>
      <w:r>
        <w:rPr>
          <w:rFonts w:hint="eastAsia" w:ascii="黑体" w:hAnsi="黑体" w:eastAsia="黑体"/>
          <w:highlight w:val="none"/>
          <w:lang w:eastAsia="zh-CN"/>
        </w:rPr>
        <w:t xml:space="preserve">roduction </w:t>
      </w:r>
      <w:r>
        <w:rPr>
          <w:rFonts w:hint="eastAsia" w:ascii="黑体" w:hAnsi="黑体" w:eastAsia="黑体"/>
          <w:highlight w:val="none"/>
          <w:lang w:val="en-US" w:eastAsia="zh-CN"/>
        </w:rPr>
        <w:t>a</w:t>
      </w:r>
      <w:r>
        <w:rPr>
          <w:rFonts w:hint="eastAsia" w:ascii="黑体" w:hAnsi="黑体" w:eastAsia="黑体"/>
          <w:highlight w:val="none"/>
          <w:lang w:eastAsia="zh-CN"/>
        </w:rPr>
        <w:t xml:space="preserve">pplication </w:t>
      </w:r>
      <w:r>
        <w:rPr>
          <w:rFonts w:hint="eastAsia" w:ascii="黑体" w:hAnsi="黑体" w:eastAsia="黑体"/>
          <w:highlight w:val="none"/>
          <w:lang w:val="en-US" w:eastAsia="zh-CN"/>
        </w:rPr>
        <w:t>c</w:t>
      </w:r>
      <w:r>
        <w:rPr>
          <w:rFonts w:hint="eastAsia" w:ascii="黑体" w:hAnsi="黑体" w:eastAsia="黑体"/>
          <w:highlight w:val="none"/>
          <w:lang w:eastAsia="zh-CN"/>
        </w:rPr>
        <w:t xml:space="preserve">onsulting for </w:t>
      </w:r>
      <w:r>
        <w:rPr>
          <w:rFonts w:hint="eastAsia" w:ascii="黑体" w:hAnsi="黑体" w:eastAsia="黑体"/>
          <w:highlight w:val="none"/>
          <w:lang w:val="en-US" w:eastAsia="zh-CN"/>
        </w:rPr>
        <w:t>c</w:t>
      </w:r>
      <w:r>
        <w:rPr>
          <w:rFonts w:hint="eastAsia" w:ascii="黑体" w:hAnsi="黑体" w:eastAsia="黑体"/>
          <w:highlight w:val="none"/>
          <w:lang w:eastAsia="zh-CN"/>
        </w:rPr>
        <w:t xml:space="preserve">omponents and </w:t>
      </w:r>
      <w:r>
        <w:rPr>
          <w:rFonts w:hint="eastAsia" w:ascii="黑体" w:hAnsi="黑体" w:eastAsia="黑体"/>
          <w:highlight w:val="none"/>
          <w:lang w:val="en-US" w:eastAsia="zh-CN"/>
        </w:rPr>
        <w:t>p</w:t>
      </w:r>
      <w:r>
        <w:rPr>
          <w:rFonts w:hint="eastAsia" w:ascii="黑体" w:hAnsi="黑体" w:eastAsia="黑体"/>
          <w:highlight w:val="none"/>
          <w:lang w:eastAsia="zh-CN"/>
        </w:rPr>
        <w:t>arts</w:t>
      </w:r>
    </w:p>
    <w:p w14:paraId="38D86909">
      <w:pPr>
        <w:pStyle w:val="57"/>
        <w:ind w:firstLine="420"/>
        <w:rPr>
          <w:rFonts w:hint="eastAsia"/>
          <w:highlight w:val="none"/>
          <w:lang w:eastAsia="zh-CN"/>
        </w:rPr>
      </w:pPr>
      <w:bookmarkStart w:id="56" w:name="OLE_LINK1"/>
      <w:r>
        <w:rPr>
          <w:rFonts w:hint="eastAsia"/>
          <w:highlight w:val="none"/>
          <w:lang w:eastAsia="zh-CN"/>
        </w:rPr>
        <w:t>为建筑工业化项目提供从设计适配、智能产线规划</w:t>
      </w:r>
      <w:bookmarkEnd w:id="56"/>
      <w:r>
        <w:rPr>
          <w:rFonts w:hint="eastAsia"/>
          <w:highlight w:val="none"/>
          <w:lang w:val="en-US" w:eastAsia="zh-CN"/>
        </w:rPr>
        <w:t>到</w:t>
      </w:r>
      <w:r>
        <w:rPr>
          <w:rFonts w:hint="eastAsia"/>
          <w:highlight w:val="none"/>
          <w:lang w:eastAsia="zh-CN"/>
        </w:rPr>
        <w:t>生产全流程管理、生产数据交付的专业化咨询服务，通过数字化技术实现预制构件的高效制造与质量可控。</w:t>
      </w:r>
    </w:p>
    <w:p w14:paraId="688EB023">
      <w:pPr>
        <w:pStyle w:val="57"/>
        <w:ind w:firstLine="420"/>
        <w:rPr>
          <w:rFonts w:hint="eastAsia"/>
          <w:highlight w:val="none"/>
          <w:lang w:eastAsia="zh-CN"/>
        </w:rPr>
      </w:pPr>
    </w:p>
    <w:p w14:paraId="77154417">
      <w:pPr>
        <w:pStyle w:val="224"/>
        <w:ind w:left="420" w:hanging="420" w:hangingChars="200"/>
        <w:rPr>
          <w:rFonts w:hint="default" w:ascii="黑体" w:hAnsi="黑体" w:eastAsia="黑体"/>
          <w:highlight w:val="none"/>
          <w:lang w:val="en-US" w:eastAsia="zh-CN"/>
        </w:rPr>
      </w:pPr>
      <w:r>
        <w:rPr>
          <w:rFonts w:hint="eastAsia" w:ascii="黑体" w:hAnsi="黑体" w:eastAsia="黑体"/>
          <w:highlight w:val="none"/>
          <w:lang w:val="en-US" w:eastAsia="zh-CN"/>
        </w:rPr>
        <w:t xml:space="preserve"> </w:t>
      </w:r>
    </w:p>
    <w:p w14:paraId="4CC9C2B0">
      <w:pPr>
        <w:pStyle w:val="224"/>
        <w:numPr>
          <w:ilvl w:val="2"/>
          <w:numId w:val="0"/>
        </w:numPr>
        <w:ind w:leftChars="-200" w:firstLine="840" w:firstLineChars="400"/>
        <w:rPr>
          <w:rFonts w:hint="default" w:ascii="黑体" w:hAnsi="黑体" w:eastAsia="黑体"/>
          <w:highlight w:val="none"/>
          <w:lang w:val="en-US" w:eastAsia="zh-CN"/>
        </w:rPr>
      </w:pPr>
      <w:r>
        <w:rPr>
          <w:rFonts w:hint="eastAsia" w:ascii="黑体" w:hAnsi="黑体" w:eastAsia="黑体"/>
          <w:highlight w:val="none"/>
          <w:lang w:val="en-US" w:eastAsia="zh-CN"/>
        </w:rPr>
        <w:t xml:space="preserve">机器人及智能装备应用咨询 robotics and intelligent equipment application consulting </w:t>
      </w:r>
    </w:p>
    <w:p w14:paraId="109B1FBB">
      <w:pPr>
        <w:pStyle w:val="57"/>
        <w:rPr>
          <w:rFonts w:hint="default"/>
          <w:highlight w:val="none"/>
          <w:lang w:val="en-US" w:eastAsia="zh-CN"/>
        </w:rPr>
      </w:pPr>
      <w:r>
        <w:rPr>
          <w:rFonts w:hint="eastAsia"/>
          <w:highlight w:val="none"/>
          <w:lang w:val="en-US" w:eastAsia="zh-CN"/>
        </w:rPr>
        <w:t>根据</w:t>
      </w:r>
      <w:r>
        <w:rPr>
          <w:rFonts w:hint="default"/>
          <w:highlight w:val="none"/>
          <w:lang w:val="en-US" w:eastAsia="zh-CN"/>
        </w:rPr>
        <w:t>建筑工程</w:t>
      </w:r>
      <w:r>
        <w:rPr>
          <w:rFonts w:hint="eastAsia"/>
          <w:highlight w:val="none"/>
          <w:lang w:val="en-US" w:eastAsia="zh-CN"/>
        </w:rPr>
        <w:t>情况</w:t>
      </w:r>
      <w:r>
        <w:rPr>
          <w:rFonts w:hint="default"/>
          <w:highlight w:val="none"/>
          <w:lang w:val="en-US" w:eastAsia="zh-CN"/>
        </w:rPr>
        <w:t>，提供机器人选型、</w:t>
      </w:r>
      <w:r>
        <w:rPr>
          <w:rFonts w:hint="eastAsia"/>
          <w:highlight w:val="none"/>
          <w:lang w:val="en-US" w:eastAsia="zh-CN"/>
        </w:rPr>
        <w:t>设备管理、实施监督、</w:t>
      </w:r>
      <w:r>
        <w:rPr>
          <w:rFonts w:hint="default"/>
          <w:highlight w:val="none"/>
          <w:lang w:val="en-US" w:eastAsia="zh-CN"/>
        </w:rPr>
        <w:t>安全管控等系统性服务，推动智能装备在复杂环境中的精准作业与效能提升。</w:t>
      </w:r>
    </w:p>
    <w:p w14:paraId="7839F469">
      <w:pPr>
        <w:pStyle w:val="57"/>
        <w:ind w:firstLine="420"/>
        <w:rPr>
          <w:rFonts w:hint="eastAsia"/>
          <w:highlight w:val="none"/>
        </w:rPr>
      </w:pPr>
    </w:p>
    <w:p w14:paraId="108252AC">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专业/专项工程咨询  professional engineering consulting</w:t>
      </w:r>
    </w:p>
    <w:p w14:paraId="7807E9B6">
      <w:pPr>
        <w:pStyle w:val="57"/>
        <w:ind w:firstLine="420"/>
        <w:rPr>
          <w:highlight w:val="none"/>
        </w:rPr>
      </w:pPr>
      <w:r>
        <w:rPr>
          <w:rFonts w:hint="eastAsia"/>
          <w:highlight w:val="none"/>
          <w:lang w:val="en-US" w:eastAsia="zh-CN"/>
        </w:rPr>
        <w:t>本系列标准中，专业工程咨询指</w:t>
      </w:r>
      <w:r>
        <w:rPr>
          <w:rFonts w:hint="eastAsia"/>
          <w:highlight w:val="none"/>
        </w:rPr>
        <w:t>全过程工程咨询服务合同包中的某一阶段、某一专业的咨询内容；专项工程咨询指委托方单独委托或平行发包的咨询服务。</w:t>
      </w:r>
    </w:p>
    <w:p w14:paraId="4C620EA4">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全过程工程咨询服务总负责人  chief consultant for whole process engineering consulting</w:t>
      </w:r>
    </w:p>
    <w:p w14:paraId="3A4ABAF9">
      <w:pPr>
        <w:pStyle w:val="57"/>
        <w:ind w:firstLine="420"/>
        <w:rPr>
          <w:highlight w:val="none"/>
        </w:rPr>
      </w:pPr>
      <w:r>
        <w:rPr>
          <w:rFonts w:hint="eastAsia"/>
          <w:highlight w:val="none"/>
        </w:rPr>
        <w:t>由受托的全过程工程咨询服务机构（联合体单位组成的机构需由各联合体单位共同授权）的法定代表人书面授权，全面负责履行合同、主持全过程工程咨询服务机构工作的专业人士。</w:t>
      </w:r>
    </w:p>
    <w:p w14:paraId="7A3230E2">
      <w:pPr>
        <w:pStyle w:val="180"/>
        <w:rPr>
          <w:highlight w:val="none"/>
        </w:rPr>
      </w:pPr>
      <w:r>
        <w:rPr>
          <w:rFonts w:hint="eastAsia"/>
          <w:highlight w:val="none"/>
          <w:lang w:val="en-US" w:eastAsia="zh-CN"/>
        </w:rPr>
        <w:t>某些场合，</w:t>
      </w:r>
      <w:r>
        <w:rPr>
          <w:rFonts w:hint="eastAsia"/>
          <w:highlight w:val="none"/>
        </w:rPr>
        <w:t>全过程工程咨询服务总负责人与总咨询师同义。</w:t>
      </w:r>
    </w:p>
    <w:p w14:paraId="399F5199">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全过程工程咨询服务专业负责人  lead professional in whole process engineering consulting</w:t>
      </w:r>
    </w:p>
    <w:p w14:paraId="21FC6068">
      <w:pPr>
        <w:pStyle w:val="57"/>
        <w:ind w:firstLine="420"/>
        <w:rPr>
          <w:highlight w:val="none"/>
        </w:rPr>
      </w:pPr>
      <w:r>
        <w:rPr>
          <w:rFonts w:hint="eastAsia"/>
          <w:highlight w:val="none"/>
        </w:rPr>
        <w:t>具备相应资格和能力、受托人的法定代表人委派，在全过程工程咨询服务总负责人的管理协调下，主持相应专业咨询服务工作的专业人士。</w:t>
      </w:r>
    </w:p>
    <w:p w14:paraId="60810209">
      <w:pPr>
        <w:pStyle w:val="180"/>
        <w:rPr>
          <w:highlight w:val="none"/>
        </w:rPr>
      </w:pPr>
      <w:r>
        <w:rPr>
          <w:rFonts w:hint="eastAsia"/>
          <w:highlight w:val="none"/>
        </w:rPr>
        <w:t>专业负责人与专项咨询负责人</w:t>
      </w:r>
      <w:r>
        <w:rPr>
          <w:rFonts w:hint="eastAsia"/>
          <w:highlight w:val="none"/>
          <w:lang w:val="en-US" w:eastAsia="zh-CN"/>
        </w:rPr>
        <w:t>不应</w:t>
      </w:r>
      <w:r>
        <w:rPr>
          <w:rFonts w:hint="eastAsia"/>
          <w:highlight w:val="none"/>
        </w:rPr>
        <w:t>同义。</w:t>
      </w:r>
    </w:p>
    <w:p w14:paraId="4DD77109">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前期咨询  preliminary stage consulting</w:t>
      </w:r>
    </w:p>
    <w:p w14:paraId="3EDF0D82">
      <w:pPr>
        <w:pStyle w:val="57"/>
        <w:ind w:firstLine="420"/>
        <w:rPr>
          <w:highlight w:val="none"/>
        </w:rPr>
      </w:pPr>
      <w:r>
        <w:rPr>
          <w:rFonts w:hint="eastAsia"/>
          <w:highlight w:val="none"/>
          <w:lang w:val="en-US" w:eastAsia="zh-CN"/>
        </w:rPr>
        <w:t>本标准中，前期咨询主要指</w:t>
      </w:r>
      <w:r>
        <w:rPr>
          <w:rFonts w:hint="eastAsia"/>
          <w:highlight w:val="none"/>
        </w:rPr>
        <w:t>在项目建设前期，对项目建议书、可行性研究报告、投资估算、单项建设条件等进行编制、评估、论证和报建报审的管理咨询服务。</w:t>
      </w:r>
    </w:p>
    <w:p w14:paraId="6DAD8FF5">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勘察设计  survey and design</w:t>
      </w:r>
    </w:p>
    <w:p w14:paraId="11BFFF7F">
      <w:pPr>
        <w:pStyle w:val="57"/>
        <w:ind w:firstLine="420"/>
        <w:rPr>
          <w:highlight w:val="none"/>
        </w:rPr>
      </w:pPr>
      <w:r>
        <w:rPr>
          <w:rFonts w:hint="eastAsia"/>
          <w:highlight w:val="none"/>
          <w:lang w:val="en-US" w:eastAsia="zh-CN"/>
        </w:rPr>
        <w:t>本标准中，勘察设计主要</w:t>
      </w:r>
      <w:r>
        <w:rPr>
          <w:rFonts w:hint="eastAsia"/>
          <w:highlight w:val="none"/>
        </w:rPr>
        <w:t>包含岩土勘察，方案深化、初步设计、施工图设计，专项设计（抗震、消防、防雷等）以及设计管理（论证、会审交底、变更）等咨询与管理事务。</w:t>
      </w:r>
    </w:p>
    <w:p w14:paraId="07667066">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设计优化咨询  design optimization consulting</w:t>
      </w:r>
    </w:p>
    <w:p w14:paraId="02FA1CFC">
      <w:pPr>
        <w:pStyle w:val="57"/>
        <w:ind w:firstLine="420"/>
        <w:rPr>
          <w:highlight w:val="none"/>
        </w:rPr>
      </w:pPr>
      <w:r>
        <w:rPr>
          <w:rFonts w:hint="eastAsia"/>
          <w:highlight w:val="none"/>
        </w:rPr>
        <w:t>设计优化咨询单位依据委托合同，按照有关法律、法规及委托合同要求，在保证设计质量的前提下，凭借严谨的态度、专业的技术、精细的工作，通过对方案设计、初步设计、施工图设计进行过程或结果的审核优化，采取建筑信息模型（BIM）等信息化手段，通过指标测算、设计方案调整、改进施工做法等方式，实现投资项目价值最大化的工作。</w:t>
      </w:r>
    </w:p>
    <w:p w14:paraId="5551E871">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招标代理  bid agency</w:t>
      </w:r>
    </w:p>
    <w:p w14:paraId="60410A55">
      <w:pPr>
        <w:pStyle w:val="57"/>
        <w:ind w:firstLine="420"/>
        <w:rPr>
          <w:highlight w:val="none"/>
        </w:rPr>
      </w:pPr>
      <w:r>
        <w:rPr>
          <w:rFonts w:hint="eastAsia"/>
          <w:highlight w:val="none"/>
          <w:lang w:val="en-US" w:eastAsia="zh-CN"/>
        </w:rPr>
        <w:t>本标准中，招标代理主要</w:t>
      </w:r>
      <w:r>
        <w:rPr>
          <w:rFonts w:hint="eastAsia"/>
          <w:highlight w:val="none"/>
        </w:rPr>
        <w:t>包含招标采购计划、材料供应商考察、招标文件报审、招标答疑及回复、中标通知书等在内的咨询服务和管理工作。</w:t>
      </w:r>
    </w:p>
    <w:p w14:paraId="537E850B">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造价咨询  cost consulting</w:t>
      </w:r>
    </w:p>
    <w:p w14:paraId="1DE1E543">
      <w:pPr>
        <w:pStyle w:val="57"/>
        <w:ind w:firstLine="420"/>
        <w:rPr>
          <w:highlight w:val="none"/>
        </w:rPr>
      </w:pPr>
      <w:r>
        <w:rPr>
          <w:rFonts w:hint="eastAsia"/>
          <w:highlight w:val="none"/>
          <w:lang w:val="en-US" w:eastAsia="zh-CN"/>
        </w:rPr>
        <w:t>本标准中，造价咨询主要</w:t>
      </w:r>
      <w:r>
        <w:rPr>
          <w:rFonts w:hint="eastAsia"/>
          <w:highlight w:val="none"/>
        </w:rPr>
        <w:t>包含投资估算、设计概算、施工图预算、材料（设备）询价认价、进度款审批、变更签证、项目结算等在内的咨询服务和管理工作。</w:t>
      </w:r>
    </w:p>
    <w:p w14:paraId="76ADBB15">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建设工程监理  construction project management</w:t>
      </w:r>
    </w:p>
    <w:p w14:paraId="2ADE9FF8">
      <w:pPr>
        <w:pStyle w:val="57"/>
        <w:ind w:firstLine="420"/>
        <w:rPr>
          <w:highlight w:val="none"/>
        </w:rPr>
      </w:pPr>
      <w:r>
        <w:rPr>
          <w:rFonts w:hint="eastAsia"/>
          <w:highlight w:val="none"/>
        </w:rPr>
        <w:t>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44FAFD10">
      <w:pPr>
        <w:pStyle w:val="57"/>
        <w:ind w:firstLine="420"/>
        <w:rPr>
          <w:highlight w:val="none"/>
        </w:rPr>
      </w:pPr>
      <w:r>
        <w:rPr>
          <w:rFonts w:hint="eastAsia"/>
          <w:highlight w:val="none"/>
        </w:rPr>
        <w:t>[来源：GB/T 50319—2013，2.0.2]</w:t>
      </w:r>
    </w:p>
    <w:p w14:paraId="108D8E58">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统筹管理  comprehensive management</w:t>
      </w:r>
    </w:p>
    <w:p w14:paraId="31C01799">
      <w:pPr>
        <w:pStyle w:val="57"/>
        <w:ind w:firstLine="420"/>
        <w:rPr>
          <w:highlight w:val="none"/>
        </w:rPr>
      </w:pPr>
      <w:r>
        <w:rPr>
          <w:rFonts w:hint="eastAsia"/>
          <w:highlight w:val="none"/>
        </w:rPr>
        <w:t>全过程工程咨询方以投资建设项目全生命周期综合目标最优化为核心，在投资决策、工程建设、项目运营等各阶段，从建设必要性、工程可行性、</w:t>
      </w:r>
      <w:r>
        <w:rPr>
          <w:rFonts w:hint="eastAsia"/>
          <w:highlight w:val="none"/>
          <w:lang w:val="en-US" w:eastAsia="zh-CN"/>
        </w:rPr>
        <w:t>经济</w:t>
      </w:r>
      <w:r>
        <w:rPr>
          <w:rFonts w:hint="eastAsia"/>
          <w:highlight w:val="none"/>
        </w:rPr>
        <w:t>合理性、</w:t>
      </w:r>
      <w:r>
        <w:rPr>
          <w:rFonts w:hint="eastAsia"/>
          <w:highlight w:val="none"/>
          <w:lang w:val="en-US" w:eastAsia="zh-CN"/>
        </w:rPr>
        <w:t>可</w:t>
      </w:r>
      <w:r>
        <w:rPr>
          <w:rFonts w:hint="eastAsia"/>
          <w:highlight w:val="none"/>
        </w:rPr>
        <w:t>持续性和风险可控性等方面进行整体考虑，综合系统运用相关理论、方法、技术、工具和经验等，在找出关键环节和主要矛盾的基础上进行全面策划，组织协调各利益相关方，实现项目目标和价值交付的管理活动。</w:t>
      </w:r>
    </w:p>
    <w:p w14:paraId="4EBDB680">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项目管理  project management</w:t>
      </w:r>
    </w:p>
    <w:p w14:paraId="16854BDB">
      <w:pPr>
        <w:pStyle w:val="57"/>
        <w:ind w:firstLine="420"/>
        <w:rPr>
          <w:highlight w:val="none"/>
        </w:rPr>
      </w:pPr>
      <w:r>
        <w:rPr>
          <w:rFonts w:hint="eastAsia"/>
          <w:highlight w:val="none"/>
        </w:rPr>
        <w:t>将知识、技能、工具与技术应用于项目活动，以满足项目的需求，为实现项目目标而进行的全过程或阶段性管理服务。</w:t>
      </w:r>
    </w:p>
    <w:p w14:paraId="742660F5">
      <w:pPr>
        <w:pStyle w:val="181"/>
        <w:numPr>
          <w:ilvl w:val="0"/>
          <w:numId w:val="33"/>
        </w:numPr>
        <w:rPr>
          <w:highlight w:val="none"/>
        </w:rPr>
      </w:pPr>
      <w:r>
        <w:rPr>
          <w:rFonts w:hint="eastAsia"/>
          <w:highlight w:val="none"/>
        </w:rPr>
        <w:t>一种方法论，指导项目工作以交付预期成果；</w:t>
      </w:r>
    </w:p>
    <w:p w14:paraId="1E1CB7C9">
      <w:pPr>
        <w:pStyle w:val="181"/>
        <w:numPr>
          <w:ilvl w:val="0"/>
          <w:numId w:val="33"/>
        </w:numPr>
        <w:rPr>
          <w:highlight w:val="none"/>
        </w:rPr>
      </w:pPr>
      <w:r>
        <w:rPr>
          <w:rFonts w:hint="eastAsia"/>
          <w:highlight w:val="none"/>
        </w:rPr>
        <w:t>一种工程咨询服务，当委托方将其有关本工程建设的项目管理工作全部或部分委托给工程咨询方时，工程咨询方提供的服务可称为项目管理，项目管理可以包括项目策划、报批报建、勘察设计管理、合同管理、招标采购管理、施工管理、验收交付管理等。</w:t>
      </w:r>
    </w:p>
    <w:p w14:paraId="53AED17E">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运营咨询  operation consulting</w:t>
      </w:r>
    </w:p>
    <w:p w14:paraId="00DC782D">
      <w:pPr>
        <w:pStyle w:val="57"/>
        <w:ind w:firstLine="420"/>
        <w:rPr>
          <w:highlight w:val="none"/>
        </w:rPr>
      </w:pPr>
      <w:r>
        <w:rPr>
          <w:rFonts w:hint="eastAsia"/>
          <w:highlight w:val="none"/>
        </w:rPr>
        <w:t>工程咨询方接受委托方委托，在项目建成使用阶段，对物业管理、设施管理、商业运营管理、生产组织管理、设施设备管理、工艺流程管理等提供策划、管理、咨询服务。</w:t>
      </w:r>
    </w:p>
    <w:p w14:paraId="040F21F5">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政府投资集中建设  government-funded centralized construction management</w:t>
      </w:r>
    </w:p>
    <w:p w14:paraId="79692335">
      <w:pPr>
        <w:pStyle w:val="57"/>
        <w:ind w:firstLine="420"/>
        <w:rPr>
          <w:highlight w:val="none"/>
        </w:rPr>
      </w:pPr>
      <w:r>
        <w:rPr>
          <w:rFonts w:hint="eastAsia"/>
          <w:highlight w:val="none"/>
          <w:lang w:val="en-US" w:eastAsia="zh-CN"/>
        </w:rPr>
        <w:t>本标准中，政府投资集中建设主要指</w:t>
      </w:r>
      <w:r>
        <w:rPr>
          <w:rFonts w:hint="eastAsia"/>
          <w:highlight w:val="none"/>
        </w:rPr>
        <w:t>由政府确定的集中建设实施单位，对政府投资的非经营性工程项目实施集中建设管理，履行项目建设单位职责，项目建成后移交项目使用单位的工程建设组织实施方式。</w:t>
      </w:r>
    </w:p>
    <w:p w14:paraId="572AB18A">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政府投资项目  government-funded construction projects</w:t>
      </w:r>
    </w:p>
    <w:p w14:paraId="24569A9F">
      <w:pPr>
        <w:pStyle w:val="57"/>
        <w:ind w:firstLine="420"/>
        <w:rPr>
          <w:highlight w:val="none"/>
        </w:rPr>
      </w:pPr>
      <w:r>
        <w:rPr>
          <w:rFonts w:hint="eastAsia"/>
          <w:highlight w:val="none"/>
          <w:lang w:val="en-US" w:eastAsia="zh-CN"/>
        </w:rPr>
        <w:t>本标准中，政府投资项目主要指</w:t>
      </w:r>
      <w:r>
        <w:rPr>
          <w:rFonts w:hint="eastAsia"/>
          <w:highlight w:val="none"/>
        </w:rPr>
        <w:t>以政府</w:t>
      </w:r>
      <w:r>
        <w:rPr>
          <w:rFonts w:hint="eastAsia"/>
          <w:highlight w:val="none"/>
          <w:lang w:val="en-US" w:eastAsia="zh-CN"/>
        </w:rPr>
        <w:t>性</w:t>
      </w:r>
      <w:r>
        <w:rPr>
          <w:rFonts w:hint="eastAsia"/>
          <w:highlight w:val="none"/>
        </w:rPr>
        <w:t>资金为主要来源的各类新建、改建、扩建、维修改造等政府投资非经营性房屋建筑、市政基础设施和信息化建设项目。</w:t>
      </w:r>
    </w:p>
    <w:p w14:paraId="32CB100B">
      <w:pPr>
        <w:pStyle w:val="180"/>
        <w:rPr>
          <w:highlight w:val="none"/>
        </w:rPr>
      </w:pPr>
      <w:r>
        <w:rPr>
          <w:rFonts w:hint="eastAsia"/>
          <w:highlight w:val="none"/>
          <w:lang w:val="en-US" w:eastAsia="zh-CN"/>
        </w:rPr>
        <w:t>本办法所称政府投资项目包括</w:t>
      </w:r>
      <w:r>
        <w:rPr>
          <w:rFonts w:hint="eastAsia"/>
          <w:highlight w:val="none"/>
        </w:rPr>
        <w:t>党政机关、事业单位、</w:t>
      </w:r>
      <w:r>
        <w:rPr>
          <w:rFonts w:hint="eastAsia"/>
          <w:highlight w:val="none"/>
          <w:lang w:val="en-US" w:eastAsia="zh-CN"/>
        </w:rPr>
        <w:t>社会</w:t>
      </w:r>
      <w:r>
        <w:rPr>
          <w:rFonts w:hint="eastAsia"/>
          <w:highlight w:val="none"/>
        </w:rPr>
        <w:t>团体等办公、业务用房以及相关设施工程</w:t>
      </w:r>
      <w:r>
        <w:rPr>
          <w:rFonts w:hint="eastAsia"/>
          <w:highlight w:val="none"/>
          <w:lang w:val="en-US" w:eastAsia="zh-CN"/>
        </w:rPr>
        <w:t>项目</w:t>
      </w:r>
      <w:r>
        <w:rPr>
          <w:rFonts w:hint="eastAsia"/>
          <w:highlight w:val="none"/>
        </w:rPr>
        <w:t>；教育、科技、民政、文化、卫生、体育</w:t>
      </w:r>
      <w:r>
        <w:rPr>
          <w:rFonts w:hint="eastAsia"/>
          <w:highlight w:val="none"/>
          <w:lang w:val="en-US" w:eastAsia="zh-CN"/>
        </w:rPr>
        <w:t>及社会福利</w:t>
      </w:r>
      <w:r>
        <w:rPr>
          <w:rFonts w:hint="eastAsia"/>
          <w:highlight w:val="none"/>
        </w:rPr>
        <w:t>等社会事业工程</w:t>
      </w:r>
      <w:r>
        <w:rPr>
          <w:rFonts w:hint="eastAsia"/>
          <w:highlight w:val="none"/>
          <w:lang w:val="en-US" w:eastAsia="zh-CN"/>
        </w:rPr>
        <w:t>项目</w:t>
      </w:r>
      <w:r>
        <w:rPr>
          <w:rFonts w:hint="eastAsia"/>
          <w:highlight w:val="none"/>
        </w:rPr>
        <w:t>；</w:t>
      </w:r>
      <w:r>
        <w:rPr>
          <w:rFonts w:hint="eastAsia"/>
          <w:highlight w:val="none"/>
          <w:lang w:val="en-US" w:eastAsia="zh-CN"/>
        </w:rPr>
        <w:t>交通、水利、市政、园林绿化等基础设施项目；</w:t>
      </w:r>
      <w:r>
        <w:rPr>
          <w:rFonts w:hint="eastAsia"/>
          <w:highlight w:val="none"/>
        </w:rPr>
        <w:t>县级以上地方人民政府确定</w:t>
      </w:r>
      <w:r>
        <w:rPr>
          <w:rFonts w:hint="eastAsia"/>
          <w:highlight w:val="none"/>
          <w:lang w:val="en-US" w:eastAsia="zh-CN"/>
        </w:rPr>
        <w:t>实行集中建设的</w:t>
      </w:r>
      <w:r>
        <w:rPr>
          <w:rFonts w:hint="eastAsia"/>
          <w:highlight w:val="none"/>
        </w:rPr>
        <w:t>其他</w:t>
      </w:r>
      <w:r>
        <w:rPr>
          <w:rFonts w:hint="eastAsia"/>
          <w:highlight w:val="none"/>
          <w:lang w:val="en-US" w:eastAsia="zh-CN"/>
        </w:rPr>
        <w:t>非经营性</w:t>
      </w:r>
      <w:r>
        <w:rPr>
          <w:rFonts w:hint="eastAsia"/>
          <w:highlight w:val="none"/>
        </w:rPr>
        <w:t>工程</w:t>
      </w:r>
      <w:r>
        <w:rPr>
          <w:rFonts w:hint="eastAsia"/>
          <w:highlight w:val="none"/>
          <w:lang w:val="en-US" w:eastAsia="zh-CN"/>
        </w:rPr>
        <w:t>项目</w:t>
      </w:r>
      <w:r>
        <w:rPr>
          <w:rFonts w:hint="eastAsia"/>
          <w:highlight w:val="none"/>
        </w:rPr>
        <w:t>。</w:t>
      </w:r>
    </w:p>
    <w:p w14:paraId="16B3C63A">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实施单位  implementing entity</w:t>
      </w:r>
    </w:p>
    <w:p w14:paraId="116A4313">
      <w:pPr>
        <w:pStyle w:val="57"/>
        <w:ind w:firstLine="420"/>
        <w:rPr>
          <w:highlight w:val="none"/>
        </w:rPr>
      </w:pPr>
      <w:r>
        <w:rPr>
          <w:rFonts w:hint="eastAsia"/>
          <w:highlight w:val="none"/>
          <w:lang w:val="en-US" w:eastAsia="zh-CN"/>
        </w:rPr>
        <w:t>本标准中，实施单位主要指</w:t>
      </w:r>
      <w:r>
        <w:rPr>
          <w:rFonts w:hint="eastAsia"/>
          <w:highlight w:val="none"/>
        </w:rPr>
        <w:t>具有法人资格，具备项目建设管理能力，承担政府规定的集中建设工作的单位，可以是政府所属部门、事业单位、国有全资企业。</w:t>
      </w:r>
    </w:p>
    <w:p w14:paraId="22757FE5">
      <w:pPr>
        <w:pStyle w:val="224"/>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使用单位  user entity</w:t>
      </w:r>
    </w:p>
    <w:p w14:paraId="5630410A">
      <w:pPr>
        <w:pStyle w:val="57"/>
        <w:ind w:firstLine="420"/>
        <w:rPr>
          <w:highlight w:val="none"/>
        </w:rPr>
      </w:pPr>
      <w:r>
        <w:rPr>
          <w:rFonts w:hint="eastAsia"/>
          <w:highlight w:val="none"/>
          <w:lang w:val="en-US" w:eastAsia="zh-CN"/>
        </w:rPr>
        <w:t>本标准中，使用单位主要指</w:t>
      </w:r>
      <w:r>
        <w:rPr>
          <w:rFonts w:hint="eastAsia"/>
          <w:highlight w:val="none"/>
        </w:rPr>
        <w:t>政府投资工程竣工验收合格后接收并使用该工程的单位。</w:t>
      </w:r>
    </w:p>
    <w:p w14:paraId="6B3A0409">
      <w:pPr>
        <w:pStyle w:val="105"/>
        <w:spacing w:before="312" w:after="312"/>
        <w:rPr>
          <w:highlight w:val="none"/>
        </w:rPr>
      </w:pPr>
      <w:bookmarkStart w:id="57" w:name="_Toc7115"/>
      <w:bookmarkStart w:id="58" w:name="_Toc194135319"/>
      <w:r>
        <w:rPr>
          <w:rFonts w:hint="eastAsia"/>
          <w:highlight w:val="none"/>
        </w:rPr>
        <w:t>总体要求</w:t>
      </w:r>
      <w:bookmarkEnd w:id="57"/>
      <w:bookmarkEnd w:id="58"/>
    </w:p>
    <w:p w14:paraId="4AA1351C">
      <w:pPr>
        <w:pStyle w:val="106"/>
        <w:spacing w:before="156" w:after="156"/>
        <w:rPr>
          <w:highlight w:val="none"/>
        </w:rPr>
      </w:pPr>
      <w:bookmarkStart w:id="59" w:name="_Toc194135320"/>
      <w:bookmarkStart w:id="60" w:name="_Toc10978"/>
      <w:r>
        <w:rPr>
          <w:rFonts w:hint="eastAsia"/>
          <w:highlight w:val="none"/>
        </w:rPr>
        <w:t>基本规定</w:t>
      </w:r>
      <w:bookmarkEnd w:id="59"/>
      <w:bookmarkEnd w:id="60"/>
    </w:p>
    <w:p w14:paraId="5C7AD69E">
      <w:pPr>
        <w:pStyle w:val="166"/>
        <w:rPr>
          <w:highlight w:val="none"/>
        </w:rPr>
      </w:pPr>
      <w:r>
        <w:rPr>
          <w:rFonts w:hint="eastAsia"/>
          <w:highlight w:val="none"/>
        </w:rPr>
        <w:t>全过程工程咨询方应充分发挥统筹管理作用，构建综合性、跨阶段、一体化的工程咨询服务体系，为委托方提供高质量的项目决策、工程建设、运营维护等全生命周期咨询服务。</w:t>
      </w:r>
    </w:p>
    <w:p w14:paraId="45437151">
      <w:pPr>
        <w:pStyle w:val="166"/>
        <w:rPr>
          <w:highlight w:val="none"/>
        </w:rPr>
      </w:pPr>
      <w:r>
        <w:rPr>
          <w:rFonts w:hint="eastAsia"/>
          <w:highlight w:val="none"/>
        </w:rPr>
        <w:t>全过程工程咨询应以提升项目价值为导向，以建设项目目标总控（投资、质量、进度、安全）为主线，在项目全生命周期的各个阶段，为委托方提供技术咨询和管理服务，实现项目整体目标。</w:t>
      </w:r>
    </w:p>
    <w:p w14:paraId="1BEB7018">
      <w:pPr>
        <w:pStyle w:val="166"/>
        <w:rPr>
          <w:highlight w:val="none"/>
        </w:rPr>
      </w:pPr>
      <w:r>
        <w:rPr>
          <w:rFonts w:hint="eastAsia"/>
          <w:highlight w:val="none"/>
        </w:rPr>
        <w:t>实施全过程工程咨询前，委托方应委托具有相应能力的咨询方订立建设项目全过程工程咨询服务合同。</w:t>
      </w:r>
    </w:p>
    <w:p w14:paraId="2FA535D7">
      <w:pPr>
        <w:pStyle w:val="166"/>
        <w:rPr>
          <w:highlight w:val="none"/>
        </w:rPr>
      </w:pPr>
      <w:r>
        <w:rPr>
          <w:rFonts w:hint="eastAsia"/>
          <w:highlight w:val="none"/>
        </w:rPr>
        <w:t>全过程工程咨询服务单位委托专业/专项咨询工作时，应与专业咨询单位依法签订合同，明确双方的权利、义务和责任。</w:t>
      </w:r>
    </w:p>
    <w:p w14:paraId="70D82306">
      <w:pPr>
        <w:pStyle w:val="166"/>
        <w:rPr>
          <w:highlight w:val="none"/>
        </w:rPr>
      </w:pPr>
      <w:r>
        <w:rPr>
          <w:rFonts w:hint="eastAsia"/>
          <w:highlight w:val="none"/>
        </w:rPr>
        <w:t>全过程工程咨询</w:t>
      </w:r>
      <w:r>
        <w:rPr>
          <w:rFonts w:hint="eastAsia"/>
          <w:highlight w:val="none"/>
          <w:lang w:val="en-US" w:eastAsia="zh-CN"/>
        </w:rPr>
        <w:t>方</w:t>
      </w:r>
      <w:r>
        <w:rPr>
          <w:rFonts w:hint="eastAsia"/>
          <w:highlight w:val="none"/>
        </w:rPr>
        <w:t>应充分考虑应用信息化、数字化技术，加快知识体系建设，改进传统的工程咨询模式，提高工作效率，加大管控力度，提升咨询效果，为委托方及相关方提供更有价值的服务。</w:t>
      </w:r>
    </w:p>
    <w:p w14:paraId="42CA82C4">
      <w:pPr>
        <w:pStyle w:val="166"/>
        <w:rPr>
          <w:highlight w:val="none"/>
        </w:rPr>
      </w:pPr>
      <w:r>
        <w:rPr>
          <w:rFonts w:hint="eastAsia"/>
          <w:highlight w:val="none"/>
        </w:rPr>
        <w:t>同一项目的全过程工程咨询服务的咨询方及其项目负责人、专项咨询负责人等咨询人员与工程总承包、施工、材料设备供应单位之间不应有利害关系。</w:t>
      </w:r>
    </w:p>
    <w:p w14:paraId="0ED42354">
      <w:pPr>
        <w:pStyle w:val="166"/>
        <w:rPr>
          <w:highlight w:val="none"/>
        </w:rPr>
      </w:pPr>
      <w:r>
        <w:rPr>
          <w:rFonts w:hint="eastAsia"/>
          <w:highlight w:val="none"/>
          <w:lang w:val="en-US" w:eastAsia="zh-CN"/>
        </w:rPr>
        <w:t>全过程工程</w:t>
      </w:r>
      <w:r>
        <w:rPr>
          <w:rFonts w:hint="eastAsia"/>
          <w:highlight w:val="none"/>
        </w:rPr>
        <w:t>咨询方应</w:t>
      </w:r>
      <w:r>
        <w:rPr>
          <w:rFonts w:hint="eastAsia"/>
          <w:highlight w:val="none"/>
          <w:lang w:val="en-US" w:eastAsia="zh-CN"/>
        </w:rPr>
        <w:t>提供优质的咨询服务，依照法律、法规和合同约定对全过程工程咨询质量负责，承担相应法定责任和合同约定义务，并对咨询服务成果的真实性、有效性和科学性负责。</w:t>
      </w:r>
    </w:p>
    <w:p w14:paraId="2169E561">
      <w:pPr>
        <w:pStyle w:val="166"/>
        <w:rPr>
          <w:highlight w:val="none"/>
        </w:rPr>
      </w:pPr>
      <w:r>
        <w:rPr>
          <w:rFonts w:hint="eastAsia"/>
          <w:highlight w:val="none"/>
          <w:lang w:val="en-US" w:eastAsia="zh-CN"/>
        </w:rPr>
        <w:t>全过程工程咨询除应符合本文件外，还应符合国家现行针对各类咨询服务的有关规定和标准。</w:t>
      </w:r>
    </w:p>
    <w:p w14:paraId="5E1E6015">
      <w:pPr>
        <w:pStyle w:val="106"/>
        <w:spacing w:before="156" w:after="156"/>
        <w:rPr>
          <w:highlight w:val="none"/>
        </w:rPr>
      </w:pPr>
      <w:bookmarkStart w:id="61" w:name="_Toc13110"/>
      <w:bookmarkStart w:id="62" w:name="_Toc194135321"/>
      <w:r>
        <w:rPr>
          <w:rFonts w:hint="eastAsia"/>
          <w:highlight w:val="none"/>
        </w:rPr>
        <w:t>全过程工程咨询的组织方式</w:t>
      </w:r>
      <w:bookmarkEnd w:id="61"/>
      <w:bookmarkEnd w:id="62"/>
    </w:p>
    <w:p w14:paraId="28208C2E">
      <w:pPr>
        <w:pStyle w:val="66"/>
        <w:spacing w:before="156" w:after="156"/>
        <w:rPr>
          <w:highlight w:val="none"/>
        </w:rPr>
      </w:pPr>
      <w:r>
        <w:rPr>
          <w:rFonts w:hint="eastAsia"/>
          <w:highlight w:val="none"/>
        </w:rPr>
        <w:t>咨询组织模式选择原则</w:t>
      </w:r>
    </w:p>
    <w:p w14:paraId="7E80712C">
      <w:pPr>
        <w:pStyle w:val="57"/>
        <w:ind w:firstLine="420"/>
        <w:rPr>
          <w:highlight w:val="none"/>
        </w:rPr>
      </w:pPr>
      <w:r>
        <w:rPr>
          <w:rFonts w:hint="eastAsia"/>
          <w:highlight w:val="none"/>
        </w:rPr>
        <w:t>全过程工程咨询宜根据项目阶段、工程规模、复杂程度等因素，委托方可根据不同需求，选择适宜的组织方式，为投资决策、工程建设和运营持续提供局部或整体解决方案。</w:t>
      </w:r>
    </w:p>
    <w:p w14:paraId="7570E3FA">
      <w:pPr>
        <w:pStyle w:val="66"/>
        <w:spacing w:before="156" w:after="156"/>
        <w:rPr>
          <w:highlight w:val="none"/>
        </w:rPr>
      </w:pPr>
      <w:r>
        <w:rPr>
          <w:rFonts w:hint="eastAsia"/>
          <w:highlight w:val="none"/>
        </w:rPr>
        <w:t>独立委托模式</w:t>
      </w:r>
    </w:p>
    <w:p w14:paraId="247A5FB9">
      <w:pPr>
        <w:pStyle w:val="57"/>
        <w:ind w:firstLine="420"/>
        <w:rPr>
          <w:highlight w:val="none"/>
        </w:rPr>
      </w:pPr>
      <w:r>
        <w:rPr>
          <w:rFonts w:hint="eastAsia"/>
          <w:highlight w:val="none"/>
        </w:rPr>
        <w:t>由一家具有与咨询业务相适应资质和能力的咨询单位实施全过程工程咨询业务。</w:t>
      </w:r>
    </w:p>
    <w:p w14:paraId="0ED57E14">
      <w:pPr>
        <w:pStyle w:val="66"/>
        <w:spacing w:before="156" w:after="156"/>
        <w:rPr>
          <w:highlight w:val="none"/>
        </w:rPr>
      </w:pPr>
      <w:r>
        <w:rPr>
          <w:rFonts w:hint="eastAsia"/>
          <w:highlight w:val="none"/>
        </w:rPr>
        <w:t>联合体模式</w:t>
      </w:r>
    </w:p>
    <w:p w14:paraId="02DCC6E0">
      <w:pPr>
        <w:pStyle w:val="57"/>
        <w:ind w:firstLine="420"/>
        <w:rPr>
          <w:highlight w:val="none"/>
        </w:rPr>
      </w:pPr>
      <w:r>
        <w:rPr>
          <w:rFonts w:hint="eastAsia"/>
          <w:highlight w:val="none"/>
        </w:rPr>
        <w:t>由多家具有投资决策咨询、工程勘察、工程设计、招标代理、工程监理、造价咨询、项目管理</w:t>
      </w:r>
      <w:r>
        <w:rPr>
          <w:rFonts w:hint="eastAsia"/>
          <w:highlight w:val="none"/>
          <w:lang w:eastAsia="zh-CN"/>
        </w:rPr>
        <w:t>、</w:t>
      </w:r>
      <w:r>
        <w:rPr>
          <w:rFonts w:hint="eastAsia"/>
          <w:highlight w:val="none"/>
          <w:lang w:val="en-US" w:eastAsia="zh-CN"/>
        </w:rPr>
        <w:t>运营咨询</w:t>
      </w:r>
      <w:r>
        <w:rPr>
          <w:rFonts w:hint="eastAsia"/>
          <w:highlight w:val="none"/>
        </w:rPr>
        <w:t>等专业能力的咨询单位联合实施，联合体成员数量一般不超过5家。由多家咨询单位联合实施的，应当明确牵头单位及成员单位的权利、义务和责任，其中统筹管理工作应由联合体牵头单位完成。当选择了具有相应勘察、设计或监理资质的咨询单位开展全过程工程咨询时，除法律法规另有规定外，可不再另行委托勘察、设计或监理单位。</w:t>
      </w:r>
    </w:p>
    <w:p w14:paraId="78A84F52">
      <w:pPr>
        <w:pStyle w:val="66"/>
        <w:spacing w:before="156" w:after="156"/>
        <w:rPr>
          <w:highlight w:val="none"/>
        </w:rPr>
      </w:pPr>
      <w:r>
        <w:rPr>
          <w:rFonts w:hint="eastAsia"/>
          <w:highlight w:val="none"/>
        </w:rPr>
        <w:t>咨询总包模式</w:t>
      </w:r>
    </w:p>
    <w:p w14:paraId="373D703C">
      <w:pPr>
        <w:pStyle w:val="57"/>
        <w:ind w:firstLine="420"/>
        <w:rPr>
          <w:highlight w:val="none"/>
        </w:rPr>
      </w:pPr>
      <w:r>
        <w:rPr>
          <w:rFonts w:hint="eastAsia"/>
          <w:highlight w:val="none"/>
        </w:rPr>
        <w:t>由一家具有综合能力的咨询单位实施，咨询单位承担全过程工程咨询服务时，应自行完成自有资质证书许可范围内的业务。在保证整个咨询服务完整性的前提下，按照合同约定或经委托人同意，可将部分咨询业务择优委托给具有相应等级资质及能力的单位，并对全过程工程咨询业务负总责，其中统筹管理工作应由咨询总包方完成。</w:t>
      </w:r>
    </w:p>
    <w:p w14:paraId="3149D401">
      <w:pPr>
        <w:pStyle w:val="106"/>
        <w:spacing w:before="156" w:after="156"/>
        <w:rPr>
          <w:highlight w:val="none"/>
        </w:rPr>
      </w:pPr>
      <w:bookmarkStart w:id="63" w:name="_Toc194135322"/>
      <w:bookmarkStart w:id="64" w:name="_Toc9507"/>
      <w:r>
        <w:rPr>
          <w:rFonts w:hint="eastAsia"/>
          <w:highlight w:val="none"/>
        </w:rPr>
        <w:t>全过程工程咨询的服务范围与服务内容</w:t>
      </w:r>
      <w:bookmarkEnd w:id="63"/>
      <w:bookmarkEnd w:id="64"/>
    </w:p>
    <w:p w14:paraId="7B7C0C9C">
      <w:pPr>
        <w:pStyle w:val="166"/>
        <w:rPr>
          <w:highlight w:val="none"/>
        </w:rPr>
      </w:pPr>
      <w:r>
        <w:rPr>
          <w:rFonts w:hint="eastAsia"/>
          <w:highlight w:val="none"/>
        </w:rPr>
        <w:t>全过程工程咨询方应与委托人以书面形式订立工程咨询服务合同，明确咨询服务范围和内容。</w:t>
      </w:r>
    </w:p>
    <w:p w14:paraId="39BC2F1F">
      <w:pPr>
        <w:pStyle w:val="166"/>
        <w:rPr>
          <w:highlight w:val="none"/>
        </w:rPr>
      </w:pPr>
      <w:r>
        <w:rPr>
          <w:rFonts w:hint="eastAsia"/>
          <w:highlight w:val="none"/>
        </w:rPr>
        <w:t>服务范围可涵盖项目全生命周期工程咨询服务，根据项目周期与建设程序要求，分为</w:t>
      </w:r>
      <w:r>
        <w:rPr>
          <w:rFonts w:hint="eastAsia"/>
          <w:highlight w:val="none"/>
          <w:lang w:val="en-US" w:eastAsia="zh-CN"/>
        </w:rPr>
        <w:t>前期咨询（</w:t>
      </w:r>
      <w:r>
        <w:rPr>
          <w:rFonts w:hint="eastAsia"/>
          <w:highlight w:val="none"/>
        </w:rPr>
        <w:t>投资决策综合性咨询</w:t>
      </w:r>
      <w:r>
        <w:rPr>
          <w:rFonts w:hint="eastAsia"/>
          <w:highlight w:val="none"/>
          <w:lang w:eastAsia="zh-CN"/>
        </w:rPr>
        <w:t>）</w:t>
      </w:r>
      <w:r>
        <w:rPr>
          <w:rFonts w:hint="eastAsia"/>
          <w:highlight w:val="none"/>
        </w:rPr>
        <w:t>、工程建设全过程咨询、运营咨询，也可跨阶段咨询服务组合，或同一阶段不同类型的咨询服务组合，具体应在委托合同中约定。</w:t>
      </w:r>
    </w:p>
    <w:p w14:paraId="05E5FF6E">
      <w:pPr>
        <w:pStyle w:val="166"/>
        <w:rPr>
          <w:highlight w:val="none"/>
        </w:rPr>
      </w:pPr>
      <w:r>
        <w:rPr>
          <w:rFonts w:hint="eastAsia" w:ascii="宋体" w:hAnsi="Times New Roman" w:eastAsia="宋体" w:cs="Times New Roman"/>
          <w:highlight w:val="none"/>
        </w:rPr>
        <w:t>服务内容是合同委托范围内各项专业咨询及实施中的全过程策划、管理与协调，应兼顾技术咨询和管理咨询。委托方可根据项目需求、自身条件等选择各专业或专项咨询服务内容。全过程工程咨询的服务内容可包含全过程工程项目管理服务与专业</w:t>
      </w:r>
      <w:r>
        <w:rPr>
          <w:rFonts w:hint="eastAsia" w:cs="Times New Roman"/>
          <w:highlight w:val="none"/>
          <w:lang w:val="en-US" w:eastAsia="zh-CN"/>
        </w:rPr>
        <w:t>/专项</w:t>
      </w:r>
      <w:r>
        <w:rPr>
          <w:rFonts w:hint="eastAsia" w:ascii="宋体" w:hAnsi="Times New Roman" w:eastAsia="宋体" w:cs="Times New Roman"/>
          <w:highlight w:val="none"/>
        </w:rPr>
        <w:t>咨询服务，</w:t>
      </w:r>
      <w:r>
        <w:rPr>
          <w:rFonts w:hint="eastAsia" w:ascii="宋体" w:hAnsi="Times New Roman" w:eastAsia="宋体" w:cs="Times New Roman"/>
          <w:highlight w:val="none"/>
          <w:lang w:val="en-US" w:eastAsia="zh-CN"/>
        </w:rPr>
        <w:t>根据建设项目业主方的需求</w:t>
      </w:r>
      <w:r>
        <w:rPr>
          <w:rFonts w:hint="eastAsia" w:cs="Times New Roman"/>
          <w:highlight w:val="none"/>
          <w:lang w:val="en-US" w:eastAsia="zh-CN"/>
        </w:rPr>
        <w:t>，</w:t>
      </w:r>
      <w:r>
        <w:rPr>
          <w:rFonts w:hint="eastAsia"/>
          <w:highlight w:val="none"/>
        </w:rPr>
        <w:t>内容如下：</w:t>
      </w:r>
    </w:p>
    <w:p w14:paraId="3E2DAA04">
      <w:pPr>
        <w:pStyle w:val="175"/>
        <w:rPr>
          <w:highlight w:val="none"/>
        </w:rPr>
      </w:pPr>
      <w:r>
        <w:rPr>
          <w:rFonts w:hint="eastAsia"/>
          <w:highlight w:val="none"/>
        </w:rPr>
        <w:t>全过程工程项目管理服务的内容，可包含项目策划管理、项目报批报建、勘察管理、设计管理、投资管理、招标采购管理、合同管理、进度管理、组织协调管理、安全生产和绿色施工管理、数字化管理、</w:t>
      </w:r>
      <w:r>
        <w:rPr>
          <w:rFonts w:hint="eastAsia"/>
          <w:highlight w:val="none"/>
          <w:lang w:val="en-US" w:eastAsia="zh-CN"/>
        </w:rPr>
        <w:t>智能施工管理、</w:t>
      </w:r>
      <w:r>
        <w:rPr>
          <w:rFonts w:hint="eastAsia"/>
          <w:highlight w:val="none"/>
        </w:rPr>
        <w:t>风险管理、竣工验收管理、项目后评价与运营维护管理等方面的管理服务；</w:t>
      </w:r>
    </w:p>
    <w:p w14:paraId="63BC2F45">
      <w:pPr>
        <w:pStyle w:val="175"/>
        <w:rPr>
          <w:highlight w:val="none"/>
        </w:rPr>
      </w:pPr>
      <w:r>
        <w:rPr>
          <w:rFonts w:hint="eastAsia"/>
          <w:highlight w:val="none"/>
        </w:rPr>
        <w:t>专业</w:t>
      </w:r>
      <w:r>
        <w:rPr>
          <w:rFonts w:hint="eastAsia"/>
          <w:highlight w:val="none"/>
          <w:lang w:val="en-US" w:eastAsia="zh-CN"/>
        </w:rPr>
        <w:t>/专项</w:t>
      </w:r>
      <w:r>
        <w:rPr>
          <w:rFonts w:hint="eastAsia"/>
          <w:highlight w:val="none"/>
        </w:rPr>
        <w:t>咨询的内容，可包含决策阶段咨询、招标采购阶段咨询、勘察设计阶段咨询、设计优化咨询、造价咨询、工程监理、运营阶段咨询、BIM数字化咨询</w:t>
      </w:r>
      <w:r>
        <w:rPr>
          <w:rFonts w:hint="eastAsia" w:ascii="宋体" w:eastAsia="宋体"/>
          <w:highlight w:val="none"/>
        </w:rPr>
        <w:t>、</w:t>
      </w:r>
      <w:r>
        <w:rPr>
          <w:rFonts w:hint="eastAsia" w:ascii="宋体" w:eastAsia="宋体"/>
          <w:highlight w:val="none"/>
          <w:lang w:val="en-US" w:eastAsia="zh-CN"/>
        </w:rPr>
        <w:t>部品部件智能生产应用咨询、机器人及智能装备应用咨询、</w:t>
      </w:r>
      <w:r>
        <w:rPr>
          <w:rFonts w:hint="eastAsia" w:ascii="宋体" w:eastAsia="宋体"/>
          <w:highlight w:val="none"/>
        </w:rPr>
        <w:t>建筑节能和绿色建筑咨询和其他</w:t>
      </w:r>
      <w:r>
        <w:rPr>
          <w:rFonts w:hint="eastAsia"/>
          <w:highlight w:val="none"/>
        </w:rPr>
        <w:t>专业咨询。</w:t>
      </w:r>
    </w:p>
    <w:p w14:paraId="4A3112DB">
      <w:pPr>
        <w:pStyle w:val="166"/>
        <w:rPr>
          <w:highlight w:val="none"/>
        </w:rPr>
      </w:pPr>
      <w:r>
        <w:rPr>
          <w:rFonts w:hint="eastAsia"/>
          <w:highlight w:val="none"/>
        </w:rPr>
        <w:t>全过程工程咨询服务清单见附录A。</w:t>
      </w:r>
    </w:p>
    <w:p w14:paraId="3DA7B16B">
      <w:pPr>
        <w:pStyle w:val="106"/>
        <w:spacing w:before="156" w:after="156"/>
        <w:rPr>
          <w:highlight w:val="none"/>
        </w:rPr>
      </w:pPr>
      <w:bookmarkStart w:id="65" w:name="_Toc27532"/>
      <w:bookmarkStart w:id="66" w:name="_Toc194135323"/>
      <w:r>
        <w:rPr>
          <w:rFonts w:hint="eastAsia"/>
          <w:highlight w:val="none"/>
        </w:rPr>
        <w:t>全过程工程咨询服务准则</w:t>
      </w:r>
      <w:bookmarkEnd w:id="65"/>
      <w:bookmarkEnd w:id="66"/>
    </w:p>
    <w:p w14:paraId="4D9A5EF1">
      <w:pPr>
        <w:pStyle w:val="66"/>
        <w:spacing w:before="156" w:after="156"/>
        <w:rPr>
          <w:highlight w:val="none"/>
        </w:rPr>
      </w:pPr>
      <w:r>
        <w:rPr>
          <w:rFonts w:hint="eastAsia"/>
          <w:highlight w:val="none"/>
        </w:rPr>
        <w:t>咨询工程师工作要求</w:t>
      </w:r>
    </w:p>
    <w:p w14:paraId="2D1A3DE8">
      <w:pPr>
        <w:pStyle w:val="165"/>
        <w:rPr>
          <w:highlight w:val="none"/>
        </w:rPr>
      </w:pPr>
      <w:r>
        <w:rPr>
          <w:rFonts w:hint="eastAsia"/>
          <w:highlight w:val="none"/>
        </w:rPr>
        <w:t>独立公正的要求如下：</w:t>
      </w:r>
    </w:p>
    <w:p w14:paraId="59BC12F7">
      <w:pPr>
        <w:pStyle w:val="175"/>
        <w:numPr>
          <w:ilvl w:val="0"/>
          <w:numId w:val="34"/>
        </w:numPr>
        <w:rPr>
          <w:highlight w:val="none"/>
        </w:rPr>
      </w:pPr>
      <w:r>
        <w:rPr>
          <w:rFonts w:hint="eastAsia"/>
          <w:highlight w:val="none"/>
        </w:rPr>
        <w:t>应接受委托合同所赋予的职责，不受外部偏好、意图的干扰，独立自主地开展咨询活动，并对自己的咨询服务成果承担相应法律责任；</w:t>
      </w:r>
    </w:p>
    <w:p w14:paraId="69491947">
      <w:pPr>
        <w:pStyle w:val="175"/>
        <w:rPr>
          <w:highlight w:val="none"/>
        </w:rPr>
      </w:pPr>
      <w:r>
        <w:rPr>
          <w:rFonts w:hint="eastAsia"/>
          <w:highlight w:val="none"/>
        </w:rPr>
        <w:t>在提供职业咨询、评审或决策建议时应保持公正的立场，首先考虑委托方的合法权益，若判断项目决策或项目建设有可能为委托方、社会、环境等带来潜在风险及利益冲突时，要如实告知可能受影响的利益相关方，并提出合理化建议。</w:t>
      </w:r>
    </w:p>
    <w:p w14:paraId="5C61F0B7">
      <w:pPr>
        <w:pStyle w:val="165"/>
        <w:rPr>
          <w:highlight w:val="none"/>
        </w:rPr>
      </w:pPr>
      <w:r>
        <w:rPr>
          <w:rFonts w:hint="eastAsia"/>
          <w:highlight w:val="none"/>
        </w:rPr>
        <w:t>科学可靠的要求如下：</w:t>
      </w:r>
    </w:p>
    <w:p w14:paraId="1F394CF6">
      <w:pPr>
        <w:pStyle w:val="175"/>
        <w:numPr>
          <w:ilvl w:val="0"/>
          <w:numId w:val="35"/>
        </w:numPr>
        <w:rPr>
          <w:highlight w:val="none"/>
        </w:rPr>
      </w:pPr>
      <w:r>
        <w:rPr>
          <w:rFonts w:hint="eastAsia"/>
          <w:highlight w:val="none"/>
        </w:rPr>
        <w:t>应坚持科学精神，运用科学的理论、方法、知识、技术和工具开展业务；</w:t>
      </w:r>
    </w:p>
    <w:p w14:paraId="0FC6ECC8">
      <w:pPr>
        <w:pStyle w:val="175"/>
        <w:rPr>
          <w:highlight w:val="none"/>
        </w:rPr>
      </w:pPr>
      <w:r>
        <w:rPr>
          <w:rFonts w:hint="eastAsia"/>
          <w:highlight w:val="none"/>
        </w:rPr>
        <w:t>借助BIM、大数据、云计算、物联网</w:t>
      </w:r>
      <w:r>
        <w:rPr>
          <w:rFonts w:hint="eastAsia"/>
          <w:highlight w:val="none"/>
          <w:lang w:eastAsia="zh-CN"/>
        </w:rPr>
        <w:t>、</w:t>
      </w:r>
      <w:r>
        <w:rPr>
          <w:rFonts w:hint="eastAsia"/>
          <w:highlight w:val="none"/>
          <w:lang w:val="en-US" w:eastAsia="zh-CN"/>
        </w:rPr>
        <w:t>AI</w:t>
      </w:r>
      <w:r>
        <w:rPr>
          <w:rFonts w:hint="eastAsia"/>
          <w:highlight w:val="none"/>
        </w:rPr>
        <w:t>等信息技术及数据资源，对项目全过程中的投资、进度、质量、安全等目标进行有效控制，其咨询服务成果须能充分反映客观真实的情况，可信、可靠、可用，并能经得住时间的检验。</w:t>
      </w:r>
    </w:p>
    <w:p w14:paraId="20F17810">
      <w:pPr>
        <w:pStyle w:val="165"/>
        <w:rPr>
          <w:highlight w:val="none"/>
        </w:rPr>
      </w:pPr>
      <w:r>
        <w:rPr>
          <w:rFonts w:hint="eastAsia"/>
          <w:highlight w:val="none"/>
        </w:rPr>
        <w:t>服务为本的要求如下：</w:t>
      </w:r>
    </w:p>
    <w:p w14:paraId="29EEC791">
      <w:pPr>
        <w:pStyle w:val="175"/>
        <w:numPr>
          <w:ilvl w:val="0"/>
          <w:numId w:val="36"/>
        </w:numPr>
        <w:rPr>
          <w:highlight w:val="none"/>
        </w:rPr>
      </w:pPr>
      <w:r>
        <w:rPr>
          <w:rFonts w:hint="eastAsia"/>
          <w:highlight w:val="none"/>
        </w:rPr>
        <w:t>应规范自身的服务标准，在开展咨询业务时需充分考虑委托方的诉求与利益及项目的独特性与复杂性，按照合同要求，切实履行约定条款的各项义务，努力提高服务品质；</w:t>
      </w:r>
    </w:p>
    <w:p w14:paraId="3DCCDF3C">
      <w:pPr>
        <w:pStyle w:val="175"/>
        <w:rPr>
          <w:highlight w:val="none"/>
        </w:rPr>
      </w:pPr>
      <w:r>
        <w:rPr>
          <w:rFonts w:hint="eastAsia"/>
          <w:highlight w:val="none"/>
        </w:rPr>
        <w:t>应具备主动服务思维，站在委托方的角度甚至高于委托方的角度考虑项目全生命周期成本效益、技术运用、实施组织、潜在风险等内容，主动谋划、主动思考、主动工作，为委托方提供优质的咨询服务。</w:t>
      </w:r>
    </w:p>
    <w:p w14:paraId="0EED3031">
      <w:pPr>
        <w:pStyle w:val="165"/>
        <w:rPr>
          <w:highlight w:val="none"/>
        </w:rPr>
      </w:pPr>
      <w:r>
        <w:rPr>
          <w:rFonts w:hint="eastAsia"/>
          <w:highlight w:val="none"/>
        </w:rPr>
        <w:t>廉洁自律的要求如下：</w:t>
      </w:r>
    </w:p>
    <w:p w14:paraId="094193D0">
      <w:pPr>
        <w:pStyle w:val="175"/>
        <w:numPr>
          <w:ilvl w:val="0"/>
          <w:numId w:val="37"/>
        </w:numPr>
        <w:rPr>
          <w:highlight w:val="none"/>
        </w:rPr>
      </w:pPr>
      <w:r>
        <w:rPr>
          <w:rFonts w:hint="eastAsia"/>
          <w:highlight w:val="none"/>
        </w:rPr>
        <w:t>应遵守国家或行业管理等相关规定，在符合自身职业准入资格和专业能力范围内开展咨询活动，不应通过弄虚作假、泄露委托方机密等手段直接或间接地接受任何有损客观、独立和公正判断的其他利益；</w:t>
      </w:r>
    </w:p>
    <w:p w14:paraId="44092B3B">
      <w:pPr>
        <w:pStyle w:val="175"/>
        <w:rPr>
          <w:highlight w:val="none"/>
        </w:rPr>
      </w:pPr>
      <w:r>
        <w:rPr>
          <w:rFonts w:hint="eastAsia"/>
          <w:highlight w:val="none"/>
        </w:rPr>
        <w:t>应严于律己，恪守行业规范和职业道德，积极维护工程咨询行业的声誉和秩序，并在执业过程中自觉接受政府行政主管部门及行业协会的指导和监督。</w:t>
      </w:r>
    </w:p>
    <w:p w14:paraId="79DD8D3D">
      <w:pPr>
        <w:pStyle w:val="66"/>
        <w:spacing w:before="156" w:after="156"/>
        <w:rPr>
          <w:highlight w:val="none"/>
        </w:rPr>
      </w:pPr>
      <w:r>
        <w:rPr>
          <w:rFonts w:hint="eastAsia"/>
          <w:highlight w:val="none"/>
        </w:rPr>
        <w:t>咨询服务工作要求</w:t>
      </w:r>
    </w:p>
    <w:p w14:paraId="5C1C2EAD">
      <w:pPr>
        <w:pStyle w:val="165"/>
        <w:rPr>
          <w:highlight w:val="none"/>
        </w:rPr>
      </w:pPr>
      <w:r>
        <w:rPr>
          <w:rFonts w:hint="eastAsia"/>
          <w:highlight w:val="none"/>
        </w:rPr>
        <w:t>程序合规的要求如下：</w:t>
      </w:r>
    </w:p>
    <w:p w14:paraId="7BB08473">
      <w:pPr>
        <w:pStyle w:val="175"/>
        <w:numPr>
          <w:ilvl w:val="0"/>
          <w:numId w:val="38"/>
        </w:numPr>
        <w:rPr>
          <w:highlight w:val="none"/>
        </w:rPr>
      </w:pPr>
      <w:r>
        <w:rPr>
          <w:rFonts w:hint="eastAsia"/>
          <w:highlight w:val="none"/>
        </w:rPr>
        <w:t>应严格遵循工程建设的客观程序及合规制度开展项目的全过程工程咨询服务；</w:t>
      </w:r>
    </w:p>
    <w:p w14:paraId="2B3BFC7B">
      <w:pPr>
        <w:pStyle w:val="175"/>
        <w:rPr>
          <w:highlight w:val="none"/>
        </w:rPr>
      </w:pPr>
      <w:r>
        <w:rPr>
          <w:rFonts w:hint="eastAsia"/>
          <w:highlight w:val="none"/>
        </w:rPr>
        <w:t>服务成果文件应依据法律法规、有关发展建设规划、技术标准、产业政策以及政府部门发布的标准规范等进行编写，且需在成果文件上加盖工程咨询方公章及相关人员签章。</w:t>
      </w:r>
    </w:p>
    <w:p w14:paraId="4B8E3D83">
      <w:pPr>
        <w:pStyle w:val="165"/>
        <w:rPr>
          <w:highlight w:val="none"/>
        </w:rPr>
      </w:pPr>
      <w:r>
        <w:rPr>
          <w:rFonts w:hint="eastAsia"/>
          <w:highlight w:val="none"/>
        </w:rPr>
        <w:t>价值交付的要求如下：</w:t>
      </w:r>
    </w:p>
    <w:p w14:paraId="6A5851C7">
      <w:pPr>
        <w:pStyle w:val="175"/>
        <w:numPr>
          <w:ilvl w:val="0"/>
          <w:numId w:val="39"/>
        </w:numPr>
        <w:rPr>
          <w:highlight w:val="none"/>
        </w:rPr>
      </w:pPr>
      <w:r>
        <w:rPr>
          <w:rFonts w:hint="eastAsia"/>
          <w:highlight w:val="none"/>
        </w:rPr>
        <w:t>应考虑政策调整及市场因素，充分理解和满足委托方对于项目各阶段的服务需求，积极探索咨询组织模式的多元化发展，形成具有市场竞争力的工程咨询服务产品；</w:t>
      </w:r>
    </w:p>
    <w:p w14:paraId="448E9F36">
      <w:pPr>
        <w:pStyle w:val="175"/>
        <w:rPr>
          <w:highlight w:val="none"/>
        </w:rPr>
      </w:pPr>
      <w:r>
        <w:rPr>
          <w:rFonts w:hint="eastAsia"/>
          <w:highlight w:val="none"/>
        </w:rPr>
        <w:t>应注重开发、拥有和保护知识产权，有意识地建立工程咨询标准，塑造良好企业品牌。</w:t>
      </w:r>
    </w:p>
    <w:p w14:paraId="078C5CB5">
      <w:pPr>
        <w:pStyle w:val="165"/>
        <w:rPr>
          <w:highlight w:val="none"/>
        </w:rPr>
      </w:pPr>
      <w:r>
        <w:rPr>
          <w:rFonts w:hint="eastAsia"/>
          <w:highlight w:val="none"/>
        </w:rPr>
        <w:t>质量保证的要求如下：</w:t>
      </w:r>
    </w:p>
    <w:p w14:paraId="272A133D">
      <w:pPr>
        <w:pStyle w:val="175"/>
        <w:numPr>
          <w:ilvl w:val="0"/>
          <w:numId w:val="40"/>
        </w:numPr>
        <w:rPr>
          <w:highlight w:val="none"/>
        </w:rPr>
      </w:pPr>
      <w:r>
        <w:rPr>
          <w:rFonts w:hint="eastAsia"/>
          <w:highlight w:val="none"/>
        </w:rPr>
        <w:t>应通过引进或自主培养人才来实现人力资源的开发，优化人才结构、专业结构和年龄结构，满足全过程工程咨询涉及专业领域多、时间跨度大、需要丰富的工程实践经验的特点；</w:t>
      </w:r>
    </w:p>
    <w:p w14:paraId="1D3797FF">
      <w:pPr>
        <w:pStyle w:val="175"/>
        <w:rPr>
          <w:highlight w:val="none"/>
        </w:rPr>
      </w:pPr>
      <w:r>
        <w:rPr>
          <w:rFonts w:hint="eastAsia"/>
          <w:highlight w:val="none"/>
        </w:rPr>
        <w:t>应根据委托合同的内容与范围，形成科学、客观、精准、即时的履约评价体系供委托方进行服务满意度评判，结合委托方视角了解自身咨询服务的不足及改进之处，推动咨询业务质量的提升与创新。</w:t>
      </w:r>
    </w:p>
    <w:p w14:paraId="19204DA8">
      <w:pPr>
        <w:pStyle w:val="165"/>
        <w:rPr>
          <w:highlight w:val="none"/>
        </w:rPr>
      </w:pPr>
      <w:r>
        <w:rPr>
          <w:rFonts w:hint="eastAsia"/>
          <w:highlight w:val="none"/>
        </w:rPr>
        <w:t>风险应对的要求如下：</w:t>
      </w:r>
    </w:p>
    <w:p w14:paraId="400AA939">
      <w:pPr>
        <w:pStyle w:val="175"/>
        <w:numPr>
          <w:ilvl w:val="0"/>
          <w:numId w:val="41"/>
        </w:numPr>
        <w:rPr>
          <w:highlight w:val="none"/>
        </w:rPr>
      </w:pPr>
      <w:r>
        <w:rPr>
          <w:rFonts w:hint="eastAsia"/>
          <w:highlight w:val="none"/>
        </w:rPr>
        <w:t>在开展咨询业务前应对项目各阶段可能存在影响项目投资、进度、质量、安全、</w:t>
      </w:r>
      <w:r>
        <w:rPr>
          <w:rFonts w:hint="eastAsia"/>
          <w:highlight w:val="none"/>
          <w:lang w:val="en-US" w:eastAsia="zh-CN"/>
        </w:rPr>
        <w:t>信息、环境</w:t>
      </w:r>
      <w:r>
        <w:rPr>
          <w:rFonts w:hint="eastAsia"/>
          <w:highlight w:val="none"/>
        </w:rPr>
        <w:t>等因素进行风险识别、分析及评价，并能够提出合理化建议，运用相关风险对策（如风险回避、损失控制、风险转移或自留）降低风险损失；</w:t>
      </w:r>
    </w:p>
    <w:p w14:paraId="7461941C">
      <w:pPr>
        <w:pStyle w:val="175"/>
        <w:rPr>
          <w:highlight w:val="none"/>
        </w:rPr>
      </w:pPr>
      <w:r>
        <w:rPr>
          <w:rFonts w:hint="eastAsia"/>
          <w:highlight w:val="none"/>
        </w:rPr>
        <w:t>应建立一套完整的风险管理制度体系并且严格执行，可运用工程咨询职业责任保险、工程保险、法律顾问等手段，提高市场竞争能力和抗风险能力。</w:t>
      </w:r>
    </w:p>
    <w:p w14:paraId="08B239B7">
      <w:pPr>
        <w:pStyle w:val="105"/>
        <w:spacing w:before="312" w:after="312"/>
        <w:rPr>
          <w:highlight w:val="none"/>
        </w:rPr>
      </w:pPr>
      <w:bookmarkStart w:id="67" w:name="_Toc19697"/>
      <w:bookmarkStart w:id="68" w:name="_Toc194135324"/>
      <w:r>
        <w:rPr>
          <w:rFonts w:hint="eastAsia"/>
          <w:highlight w:val="none"/>
        </w:rPr>
        <w:t>工程咨询方要求</w:t>
      </w:r>
      <w:bookmarkEnd w:id="67"/>
      <w:bookmarkEnd w:id="68"/>
    </w:p>
    <w:p w14:paraId="3928F25F">
      <w:pPr>
        <w:pStyle w:val="106"/>
        <w:spacing w:before="156" w:after="156"/>
        <w:rPr>
          <w:highlight w:val="none"/>
        </w:rPr>
      </w:pPr>
      <w:bookmarkStart w:id="69" w:name="_Toc12119"/>
      <w:bookmarkStart w:id="70" w:name="_Toc194135325"/>
      <w:r>
        <w:rPr>
          <w:rFonts w:hint="eastAsia"/>
          <w:highlight w:val="none"/>
        </w:rPr>
        <w:t>一般规定</w:t>
      </w:r>
      <w:bookmarkEnd w:id="69"/>
      <w:bookmarkEnd w:id="70"/>
    </w:p>
    <w:p w14:paraId="11F4EFD4">
      <w:pPr>
        <w:pStyle w:val="166"/>
        <w:rPr>
          <w:highlight w:val="none"/>
        </w:rPr>
      </w:pPr>
      <w:r>
        <w:rPr>
          <w:rFonts w:hint="eastAsia"/>
          <w:highlight w:val="none"/>
        </w:rPr>
        <w:t>全过程工程咨询由一家具有相应资质、资信和能力的工程咨询单位承担或若干家具有相应资质、资信和能力的工程咨询单位以联合体形式承担。</w:t>
      </w:r>
    </w:p>
    <w:p w14:paraId="047F9BEA">
      <w:pPr>
        <w:pStyle w:val="166"/>
        <w:rPr>
          <w:highlight w:val="none"/>
        </w:rPr>
      </w:pPr>
      <w:r>
        <w:rPr>
          <w:rFonts w:hint="eastAsia"/>
          <w:highlight w:val="none"/>
        </w:rPr>
        <w:t>全过程工程咨询服务合同中应明确咨询总负责人以及各专业咨询负责人。以联合体方式承担的，应在联合体与委托方签订全过程工程咨询合同中明确联合体牵头单位、成员单位以及职责分工。</w:t>
      </w:r>
    </w:p>
    <w:p w14:paraId="35C3AE5A">
      <w:pPr>
        <w:pStyle w:val="106"/>
        <w:spacing w:before="156" w:after="156"/>
        <w:rPr>
          <w:highlight w:val="none"/>
        </w:rPr>
      </w:pPr>
      <w:bookmarkStart w:id="71" w:name="_Toc194135326"/>
      <w:bookmarkStart w:id="72" w:name="_Toc18198"/>
      <w:r>
        <w:rPr>
          <w:rFonts w:hint="eastAsia"/>
          <w:highlight w:val="none"/>
        </w:rPr>
        <w:t>全过程工程咨询方管理</w:t>
      </w:r>
      <w:bookmarkEnd w:id="71"/>
      <w:bookmarkEnd w:id="72"/>
    </w:p>
    <w:p w14:paraId="1D13C386">
      <w:pPr>
        <w:pStyle w:val="66"/>
        <w:spacing w:before="156" w:after="156"/>
        <w:rPr>
          <w:highlight w:val="none"/>
        </w:rPr>
      </w:pPr>
      <w:r>
        <w:rPr>
          <w:rFonts w:hint="eastAsia"/>
          <w:highlight w:val="none"/>
        </w:rPr>
        <w:t>资质要求</w:t>
      </w:r>
    </w:p>
    <w:p w14:paraId="25C861FC">
      <w:pPr>
        <w:pStyle w:val="57"/>
        <w:ind w:firstLine="420"/>
        <w:rPr>
          <w:highlight w:val="none"/>
        </w:rPr>
      </w:pPr>
      <w:r>
        <w:rPr>
          <w:rFonts w:hint="eastAsia"/>
          <w:highlight w:val="none"/>
        </w:rPr>
        <w:t>全过程工程咨询方资质应满足以下要求：</w:t>
      </w:r>
    </w:p>
    <w:p w14:paraId="43CC011E">
      <w:pPr>
        <w:pStyle w:val="175"/>
        <w:numPr>
          <w:ilvl w:val="0"/>
          <w:numId w:val="42"/>
        </w:numPr>
        <w:rPr>
          <w:highlight w:val="none"/>
        </w:rPr>
      </w:pPr>
      <w:r>
        <w:rPr>
          <w:rFonts w:hint="eastAsia"/>
          <w:highlight w:val="none"/>
        </w:rPr>
        <w:t>应具有相应专业工程咨询、工程勘察、工程设计、工程监理的一项或多项，并与工程规模及委托内容相适应的资信或资质；</w:t>
      </w:r>
    </w:p>
    <w:p w14:paraId="469AFE25">
      <w:pPr>
        <w:pStyle w:val="175"/>
        <w:numPr>
          <w:ilvl w:val="0"/>
          <w:numId w:val="42"/>
        </w:numPr>
        <w:rPr>
          <w:highlight w:val="none"/>
        </w:rPr>
      </w:pPr>
      <w:r>
        <w:rPr>
          <w:rFonts w:hint="eastAsia"/>
          <w:highlight w:val="none"/>
        </w:rPr>
        <w:t>由两家或两家以上咨询单位以联合体形式承担全过程工程咨询时，联合体牵头单位和成员单位应具有与分工专业相对应的资信或资质。</w:t>
      </w:r>
    </w:p>
    <w:p w14:paraId="764E67A7">
      <w:pPr>
        <w:pStyle w:val="66"/>
        <w:spacing w:before="156" w:after="156"/>
        <w:rPr>
          <w:highlight w:val="none"/>
        </w:rPr>
      </w:pPr>
      <w:r>
        <w:rPr>
          <w:rFonts w:hint="eastAsia"/>
          <w:highlight w:val="none"/>
        </w:rPr>
        <w:t>能力要求</w:t>
      </w:r>
    </w:p>
    <w:p w14:paraId="55926A9A">
      <w:pPr>
        <w:pStyle w:val="57"/>
        <w:ind w:firstLine="420"/>
        <w:rPr>
          <w:highlight w:val="none"/>
        </w:rPr>
      </w:pPr>
      <w:r>
        <w:rPr>
          <w:rFonts w:hint="eastAsia"/>
          <w:highlight w:val="none"/>
        </w:rPr>
        <w:t>全过程工程咨询方应具有以下能力：</w:t>
      </w:r>
    </w:p>
    <w:p w14:paraId="3B67675C">
      <w:pPr>
        <w:pStyle w:val="175"/>
        <w:numPr>
          <w:ilvl w:val="0"/>
          <w:numId w:val="43"/>
        </w:numPr>
        <w:rPr>
          <w:highlight w:val="none"/>
        </w:rPr>
      </w:pPr>
      <w:r>
        <w:rPr>
          <w:rFonts w:hint="eastAsia"/>
          <w:highlight w:val="none"/>
        </w:rPr>
        <w:t>具有全过程工程咨询相应业绩；</w:t>
      </w:r>
    </w:p>
    <w:p w14:paraId="662D5ADB">
      <w:pPr>
        <w:pStyle w:val="175"/>
        <w:numPr>
          <w:ilvl w:val="0"/>
          <w:numId w:val="43"/>
        </w:numPr>
        <w:rPr>
          <w:highlight w:val="none"/>
        </w:rPr>
      </w:pPr>
      <w:r>
        <w:rPr>
          <w:rFonts w:hint="eastAsia"/>
          <w:highlight w:val="none"/>
        </w:rPr>
        <w:t>建立完善的技术标准、管理标准，以及质量管理体系、职业健康安全和环境管理体系等，取得相关体系认证证书；</w:t>
      </w:r>
    </w:p>
    <w:p w14:paraId="08ABE3EC">
      <w:pPr>
        <w:pStyle w:val="175"/>
        <w:numPr>
          <w:ilvl w:val="0"/>
          <w:numId w:val="43"/>
        </w:numPr>
        <w:rPr>
          <w:highlight w:val="none"/>
        </w:rPr>
      </w:pPr>
      <w:r>
        <w:rPr>
          <w:rFonts w:hint="eastAsia"/>
          <w:highlight w:val="none"/>
        </w:rPr>
        <w:t>建立并健全咨询工作质量管理制度，授予对应各级岗位人员相应的权限与职责；</w:t>
      </w:r>
    </w:p>
    <w:p w14:paraId="5E6E2C6F">
      <w:pPr>
        <w:pStyle w:val="175"/>
        <w:rPr>
          <w:highlight w:val="none"/>
        </w:rPr>
      </w:pPr>
      <w:r>
        <w:rPr>
          <w:rFonts w:hint="eastAsia"/>
          <w:highlight w:val="none"/>
        </w:rPr>
        <w:t>具有投资</w:t>
      </w:r>
      <w:r>
        <w:rPr>
          <w:rFonts w:hint="eastAsia" w:ascii="宋体" w:eastAsia="宋体"/>
          <w:highlight w:val="none"/>
        </w:rPr>
        <w:t>咨询</w:t>
      </w:r>
      <w:r>
        <w:rPr>
          <w:rFonts w:hint="eastAsia"/>
          <w:highlight w:val="none"/>
        </w:rPr>
        <w:t>、招标代理、工程勘察、工程设计、工程监理、造价咨</w:t>
      </w:r>
      <w:r>
        <w:rPr>
          <w:rFonts w:hint="eastAsia" w:ascii="宋体" w:eastAsia="宋体"/>
          <w:highlight w:val="none"/>
        </w:rPr>
        <w:t>询、项目管理</w:t>
      </w:r>
      <w:r>
        <w:rPr>
          <w:rFonts w:hint="eastAsia" w:ascii="宋体" w:eastAsia="宋体"/>
          <w:highlight w:val="none"/>
          <w:lang w:eastAsia="zh-CN"/>
        </w:rPr>
        <w:t>、</w:t>
      </w:r>
      <w:r>
        <w:rPr>
          <w:rFonts w:hint="eastAsia" w:ascii="宋体" w:eastAsia="宋体"/>
          <w:highlight w:val="none"/>
          <w:lang w:val="en-US" w:eastAsia="zh-CN"/>
        </w:rPr>
        <w:t>BIM全过程咨询、部品部件智能生产应用咨询、机器人及智能装备应用咨询</w:t>
      </w:r>
      <w:r>
        <w:rPr>
          <w:rFonts w:hint="eastAsia" w:ascii="宋体" w:eastAsia="宋体"/>
          <w:highlight w:val="none"/>
        </w:rPr>
        <w:t>等</w:t>
      </w:r>
      <w:r>
        <w:rPr>
          <w:rFonts w:hint="eastAsia"/>
          <w:highlight w:val="none"/>
        </w:rPr>
        <w:t>咨询服务能力。</w:t>
      </w:r>
    </w:p>
    <w:p w14:paraId="4B839D77">
      <w:pPr>
        <w:pStyle w:val="66"/>
        <w:spacing w:before="156" w:after="156"/>
        <w:rPr>
          <w:highlight w:val="none"/>
        </w:rPr>
      </w:pPr>
      <w:r>
        <w:rPr>
          <w:rFonts w:hint="eastAsia"/>
          <w:highlight w:val="none"/>
        </w:rPr>
        <w:t>服务要求</w:t>
      </w:r>
    </w:p>
    <w:p w14:paraId="0A9D9F0A">
      <w:pPr>
        <w:pStyle w:val="57"/>
        <w:ind w:firstLine="420"/>
        <w:rPr>
          <w:highlight w:val="none"/>
        </w:rPr>
      </w:pPr>
      <w:r>
        <w:rPr>
          <w:rFonts w:hint="eastAsia"/>
          <w:highlight w:val="none"/>
        </w:rPr>
        <w:t>全过程工程咨询方应符合以下服务要求：</w:t>
      </w:r>
    </w:p>
    <w:p w14:paraId="0E1D5E37">
      <w:pPr>
        <w:pStyle w:val="175"/>
        <w:numPr>
          <w:ilvl w:val="0"/>
          <w:numId w:val="44"/>
        </w:numPr>
        <w:rPr>
          <w:highlight w:val="none"/>
        </w:rPr>
      </w:pPr>
      <w:r>
        <w:rPr>
          <w:rFonts w:hint="eastAsia"/>
          <w:highlight w:val="none"/>
        </w:rPr>
        <w:t>整体解决方案，对建设项目的全过程进行计划组织、指挥协调、控制和评价等专业化的咨询服务和管理服务；</w:t>
      </w:r>
    </w:p>
    <w:p w14:paraId="42E1955C">
      <w:pPr>
        <w:pStyle w:val="175"/>
        <w:numPr>
          <w:ilvl w:val="0"/>
          <w:numId w:val="42"/>
        </w:numPr>
        <w:rPr>
          <w:highlight w:val="none"/>
        </w:rPr>
      </w:pPr>
      <w:r>
        <w:rPr>
          <w:rFonts w:hint="eastAsia"/>
          <w:highlight w:val="none"/>
        </w:rPr>
        <w:t>应通过提高咨询人员业务能力、风险意识、法律意识、职业操守等相应措施，持续改进咨询服务质量，防范技术服务风险、职业道德风险和企业管理风险。</w:t>
      </w:r>
    </w:p>
    <w:p w14:paraId="4381B10F">
      <w:pPr>
        <w:pStyle w:val="106"/>
        <w:spacing w:before="156" w:after="156"/>
        <w:rPr>
          <w:highlight w:val="none"/>
        </w:rPr>
      </w:pPr>
      <w:bookmarkStart w:id="73" w:name="_Toc194135327"/>
      <w:bookmarkStart w:id="74" w:name="_Toc2806"/>
      <w:r>
        <w:rPr>
          <w:rFonts w:hint="eastAsia"/>
          <w:highlight w:val="none"/>
        </w:rPr>
        <w:t>全过程工程咨询服务团队要求</w:t>
      </w:r>
      <w:bookmarkEnd w:id="73"/>
      <w:bookmarkEnd w:id="74"/>
    </w:p>
    <w:p w14:paraId="4B6E241D">
      <w:pPr>
        <w:pStyle w:val="66"/>
        <w:spacing w:before="156" w:after="156"/>
        <w:rPr>
          <w:highlight w:val="none"/>
        </w:rPr>
      </w:pPr>
      <w:r>
        <w:rPr>
          <w:rFonts w:hint="eastAsia"/>
          <w:highlight w:val="none"/>
        </w:rPr>
        <w:t>组建及服务原则</w:t>
      </w:r>
    </w:p>
    <w:p w14:paraId="0AD9635C">
      <w:pPr>
        <w:pStyle w:val="57"/>
        <w:ind w:firstLine="420"/>
        <w:rPr>
          <w:highlight w:val="none"/>
        </w:rPr>
      </w:pPr>
      <w:r>
        <w:rPr>
          <w:rFonts w:hint="eastAsia"/>
          <w:highlight w:val="none"/>
        </w:rPr>
        <w:t>组建及服务应满足以下原则和要求：</w:t>
      </w:r>
    </w:p>
    <w:p w14:paraId="1485A9EC">
      <w:pPr>
        <w:pStyle w:val="175"/>
        <w:numPr>
          <w:ilvl w:val="0"/>
          <w:numId w:val="45"/>
        </w:numPr>
        <w:rPr>
          <w:highlight w:val="none"/>
        </w:rPr>
      </w:pPr>
      <w:r>
        <w:rPr>
          <w:rFonts w:hint="eastAsia"/>
          <w:highlight w:val="none"/>
        </w:rPr>
        <w:t>全过程工程咨询服务机构的咨询总负责人、专业咨询负责人、专业工程师和其他辅助人员的数量、能力、资格应满足咨询服务需要和合同要求；</w:t>
      </w:r>
    </w:p>
    <w:p w14:paraId="091C539F">
      <w:pPr>
        <w:pStyle w:val="175"/>
        <w:numPr>
          <w:ilvl w:val="0"/>
          <w:numId w:val="42"/>
        </w:numPr>
        <w:rPr>
          <w:highlight w:val="none"/>
        </w:rPr>
      </w:pPr>
      <w:r>
        <w:rPr>
          <w:rFonts w:hint="eastAsia"/>
          <w:highlight w:val="none"/>
        </w:rPr>
        <w:t>全过程工程咨询服务机构应根据项目特点及合同要求，制定咨询服务规划、项目控制流程、资源配置计划、成果审签规定等，保证咨询服务质量。</w:t>
      </w:r>
    </w:p>
    <w:p w14:paraId="34BDB8E1">
      <w:pPr>
        <w:pStyle w:val="66"/>
        <w:spacing w:before="156" w:after="156"/>
        <w:rPr>
          <w:highlight w:val="none"/>
        </w:rPr>
      </w:pPr>
      <w:r>
        <w:rPr>
          <w:rFonts w:hint="eastAsia"/>
          <w:highlight w:val="none"/>
        </w:rPr>
        <w:t>职业资格及职称要求</w:t>
      </w:r>
    </w:p>
    <w:p w14:paraId="00434E5E">
      <w:pPr>
        <w:pStyle w:val="57"/>
        <w:ind w:firstLine="420"/>
        <w:rPr>
          <w:highlight w:val="none"/>
        </w:rPr>
      </w:pPr>
      <w:r>
        <w:rPr>
          <w:rFonts w:hint="eastAsia"/>
          <w:highlight w:val="none"/>
        </w:rPr>
        <w:t>咨询服务人员应满足以下要求：</w:t>
      </w:r>
    </w:p>
    <w:p w14:paraId="7BB903C7">
      <w:pPr>
        <w:pStyle w:val="175"/>
        <w:numPr>
          <w:ilvl w:val="0"/>
          <w:numId w:val="46"/>
        </w:numPr>
        <w:rPr>
          <w:highlight w:val="none"/>
        </w:rPr>
      </w:pPr>
      <w:r>
        <w:rPr>
          <w:rFonts w:hint="eastAsia"/>
          <w:highlight w:val="none"/>
        </w:rPr>
        <w:t>咨询项目总负责人应取得咨询工程师（投资）职业资格证书或工程建设类注册职业资格，且具有工程类、工程经济类高级职称；</w:t>
      </w:r>
    </w:p>
    <w:p w14:paraId="2CA76D20">
      <w:pPr>
        <w:pStyle w:val="175"/>
        <w:numPr>
          <w:ilvl w:val="0"/>
          <w:numId w:val="42"/>
        </w:numPr>
        <w:rPr>
          <w:highlight w:val="none"/>
        </w:rPr>
      </w:pPr>
      <w:r>
        <w:rPr>
          <w:rFonts w:hint="eastAsia"/>
          <w:highlight w:val="none"/>
        </w:rPr>
        <w:t>承担投资决策咨询、工程勘察、设计、监理和造价等咨询业务的专业咨询负责人，应具有法律法规规定的相应职业资格；</w:t>
      </w:r>
    </w:p>
    <w:p w14:paraId="0968BDD5">
      <w:pPr>
        <w:pStyle w:val="175"/>
        <w:numPr>
          <w:ilvl w:val="0"/>
          <w:numId w:val="42"/>
        </w:numPr>
        <w:rPr>
          <w:highlight w:val="none"/>
        </w:rPr>
      </w:pPr>
      <w:r>
        <w:rPr>
          <w:rFonts w:hint="eastAsia"/>
          <w:highlight w:val="none"/>
        </w:rPr>
        <w:t>承担投资决策咨询、工程勘察、设计、监理和造价等岗位的专业工程师，应具有法律法规规定的相应职业资格。</w:t>
      </w:r>
    </w:p>
    <w:p w14:paraId="729B43F9">
      <w:pPr>
        <w:pStyle w:val="106"/>
        <w:spacing w:before="156" w:after="156"/>
        <w:rPr>
          <w:highlight w:val="none"/>
        </w:rPr>
      </w:pPr>
      <w:bookmarkStart w:id="75" w:name="_Toc194135328"/>
      <w:bookmarkStart w:id="76" w:name="_Toc1584"/>
      <w:r>
        <w:rPr>
          <w:rFonts w:hint="eastAsia"/>
          <w:highlight w:val="none"/>
        </w:rPr>
        <w:t>全过程工程咨询服务人员职责</w:t>
      </w:r>
      <w:bookmarkEnd w:id="75"/>
      <w:bookmarkEnd w:id="76"/>
    </w:p>
    <w:p w14:paraId="4542577E">
      <w:pPr>
        <w:pStyle w:val="166"/>
        <w:rPr>
          <w:rFonts w:hint="eastAsia"/>
          <w:highlight w:val="none"/>
        </w:rPr>
      </w:pPr>
      <w:r>
        <w:rPr>
          <w:rFonts w:hint="eastAsia"/>
          <w:highlight w:val="none"/>
        </w:rPr>
        <w:t>咨询项目总负责人的主要职责应包括但不限于：</w:t>
      </w:r>
    </w:p>
    <w:p w14:paraId="41CC65C5">
      <w:pPr>
        <w:pStyle w:val="175"/>
        <w:numPr>
          <w:ilvl w:val="0"/>
          <w:numId w:val="47"/>
        </w:numPr>
        <w:rPr>
          <w:highlight w:val="none"/>
        </w:rPr>
      </w:pPr>
      <w:r>
        <w:rPr>
          <w:rFonts w:hint="eastAsia"/>
          <w:highlight w:val="none"/>
        </w:rPr>
        <w:t>签订并依据授权执行目标责任书，向企业汇报工作进展；</w:t>
      </w:r>
    </w:p>
    <w:p w14:paraId="0E0F180E">
      <w:pPr>
        <w:pStyle w:val="175"/>
        <w:numPr>
          <w:ilvl w:val="0"/>
          <w:numId w:val="42"/>
        </w:numPr>
        <w:rPr>
          <w:highlight w:val="none"/>
        </w:rPr>
      </w:pPr>
      <w:r>
        <w:rPr>
          <w:rFonts w:hint="eastAsia"/>
          <w:highlight w:val="none"/>
        </w:rPr>
        <w:t>组建项目咨询机构，负责团队管理与建设；</w:t>
      </w:r>
    </w:p>
    <w:p w14:paraId="5B9F9131">
      <w:pPr>
        <w:pStyle w:val="175"/>
        <w:numPr>
          <w:ilvl w:val="0"/>
          <w:numId w:val="42"/>
        </w:numPr>
        <w:rPr>
          <w:highlight w:val="none"/>
        </w:rPr>
      </w:pPr>
      <w:r>
        <w:rPr>
          <w:rFonts w:hint="eastAsia"/>
          <w:highlight w:val="none"/>
        </w:rPr>
        <w:t>组织编制全过程工程咨询总体策划大纲（服务工作大纲），审核专项/专业咨询策划方案和实施细则，并按规定进行报批和交底；</w:t>
      </w:r>
    </w:p>
    <w:p w14:paraId="0A9B7CB8">
      <w:pPr>
        <w:pStyle w:val="175"/>
        <w:numPr>
          <w:ilvl w:val="0"/>
          <w:numId w:val="42"/>
        </w:numPr>
        <w:rPr>
          <w:highlight w:val="none"/>
        </w:rPr>
      </w:pPr>
      <w:r>
        <w:rPr>
          <w:rFonts w:hint="eastAsia"/>
          <w:highlight w:val="none"/>
        </w:rPr>
        <w:t>监督、检查各类策划文件的执行，针对发现的问题采取措施组织纠偏；</w:t>
      </w:r>
    </w:p>
    <w:p w14:paraId="4866A468">
      <w:pPr>
        <w:pStyle w:val="175"/>
        <w:numPr>
          <w:ilvl w:val="0"/>
          <w:numId w:val="42"/>
        </w:numPr>
        <w:rPr>
          <w:highlight w:val="none"/>
        </w:rPr>
      </w:pPr>
      <w:r>
        <w:rPr>
          <w:rFonts w:hint="eastAsia"/>
          <w:highlight w:val="none"/>
        </w:rPr>
        <w:t>负责主要相关干系人的沟通管理和工作界面协调，统筹各专项咨询工作；</w:t>
      </w:r>
    </w:p>
    <w:p w14:paraId="3F10A169">
      <w:pPr>
        <w:pStyle w:val="175"/>
        <w:numPr>
          <w:ilvl w:val="0"/>
          <w:numId w:val="42"/>
        </w:numPr>
        <w:rPr>
          <w:highlight w:val="none"/>
        </w:rPr>
      </w:pPr>
      <w:r>
        <w:rPr>
          <w:rFonts w:hint="eastAsia"/>
          <w:highlight w:val="none"/>
        </w:rPr>
        <w:t>根据权限设置签发通知、函件、会议纪要、备忘录、专题建议等服务过程文件；</w:t>
      </w:r>
    </w:p>
    <w:p w14:paraId="7DF5B814">
      <w:pPr>
        <w:pStyle w:val="175"/>
        <w:numPr>
          <w:ilvl w:val="0"/>
          <w:numId w:val="42"/>
        </w:numPr>
        <w:rPr>
          <w:highlight w:val="none"/>
        </w:rPr>
      </w:pPr>
      <w:r>
        <w:rPr>
          <w:rFonts w:hint="eastAsia"/>
          <w:highlight w:val="none"/>
        </w:rPr>
        <w:t>审核咨询成果文件；</w:t>
      </w:r>
    </w:p>
    <w:p w14:paraId="71AC0D09">
      <w:pPr>
        <w:pStyle w:val="175"/>
        <w:numPr>
          <w:ilvl w:val="0"/>
          <w:numId w:val="42"/>
        </w:numPr>
        <w:rPr>
          <w:highlight w:val="none"/>
        </w:rPr>
      </w:pPr>
      <w:r>
        <w:rPr>
          <w:rFonts w:hint="eastAsia"/>
          <w:highlight w:val="none"/>
        </w:rPr>
        <w:t>组织项目资料管理和归档，负责咨询数字化应用和科技创新；</w:t>
      </w:r>
    </w:p>
    <w:p w14:paraId="5BBA906B">
      <w:pPr>
        <w:pStyle w:val="175"/>
        <w:numPr>
          <w:ilvl w:val="0"/>
          <w:numId w:val="42"/>
        </w:numPr>
        <w:rPr>
          <w:highlight w:val="none"/>
        </w:rPr>
      </w:pPr>
      <w:r>
        <w:rPr>
          <w:rFonts w:hint="eastAsia"/>
          <w:highlight w:val="none"/>
        </w:rPr>
        <w:t>组织开展项目收尾和咨询服务总结工作。</w:t>
      </w:r>
    </w:p>
    <w:p w14:paraId="7E12DE99">
      <w:pPr>
        <w:pStyle w:val="166"/>
        <w:rPr>
          <w:highlight w:val="none"/>
        </w:rPr>
      </w:pPr>
      <w:r>
        <w:rPr>
          <w:rFonts w:hint="eastAsia"/>
          <w:highlight w:val="none"/>
        </w:rPr>
        <w:t>专业咨询负责人的主要职责应包括：</w:t>
      </w:r>
    </w:p>
    <w:p w14:paraId="41FD42B4">
      <w:pPr>
        <w:pStyle w:val="175"/>
        <w:numPr>
          <w:ilvl w:val="0"/>
          <w:numId w:val="48"/>
        </w:numPr>
        <w:rPr>
          <w:highlight w:val="none"/>
        </w:rPr>
      </w:pPr>
      <w:r>
        <w:rPr>
          <w:rFonts w:hint="eastAsia"/>
          <w:highlight w:val="none"/>
        </w:rPr>
        <w:t>参与编制全过程工程咨询总体策划大纲；</w:t>
      </w:r>
    </w:p>
    <w:p w14:paraId="1B0A95E2">
      <w:pPr>
        <w:pStyle w:val="175"/>
        <w:numPr>
          <w:ilvl w:val="0"/>
          <w:numId w:val="42"/>
        </w:numPr>
        <w:rPr>
          <w:highlight w:val="none"/>
        </w:rPr>
      </w:pPr>
      <w:r>
        <w:rPr>
          <w:rFonts w:hint="eastAsia"/>
          <w:highlight w:val="none"/>
        </w:rPr>
        <w:t>负责编制专项咨询策划方案和实施细则，并按规定进行报批和交底；</w:t>
      </w:r>
    </w:p>
    <w:p w14:paraId="64A911B2">
      <w:pPr>
        <w:pStyle w:val="175"/>
        <w:numPr>
          <w:ilvl w:val="0"/>
          <w:numId w:val="42"/>
        </w:numPr>
        <w:rPr>
          <w:highlight w:val="none"/>
        </w:rPr>
      </w:pPr>
      <w:r>
        <w:rPr>
          <w:rFonts w:hint="eastAsia"/>
          <w:highlight w:val="none"/>
        </w:rPr>
        <w:t>负责专项咨询策划文件的执行和纠偏；</w:t>
      </w:r>
    </w:p>
    <w:p w14:paraId="58C6DDC1">
      <w:pPr>
        <w:pStyle w:val="175"/>
        <w:numPr>
          <w:ilvl w:val="0"/>
          <w:numId w:val="42"/>
        </w:numPr>
        <w:rPr>
          <w:highlight w:val="none"/>
        </w:rPr>
      </w:pPr>
      <w:r>
        <w:rPr>
          <w:rFonts w:hint="eastAsia"/>
          <w:highlight w:val="none"/>
        </w:rPr>
        <w:t>负责专项咨询涉及的相关干系人沟通管理和工作界面协调，协助工程咨询项目总负责人的统筹管理工作；</w:t>
      </w:r>
    </w:p>
    <w:p w14:paraId="29747D62">
      <w:pPr>
        <w:pStyle w:val="175"/>
        <w:numPr>
          <w:ilvl w:val="0"/>
          <w:numId w:val="42"/>
        </w:numPr>
        <w:rPr>
          <w:highlight w:val="none"/>
        </w:rPr>
      </w:pPr>
      <w:r>
        <w:rPr>
          <w:rFonts w:hint="eastAsia"/>
          <w:highlight w:val="none"/>
        </w:rPr>
        <w:t>根据权限设置签发专项咨询相关的通知、函件、会议纪要、备忘录、专题建议等服务过程文件；</w:t>
      </w:r>
    </w:p>
    <w:p w14:paraId="11F752AA">
      <w:pPr>
        <w:pStyle w:val="175"/>
        <w:numPr>
          <w:ilvl w:val="0"/>
          <w:numId w:val="42"/>
        </w:numPr>
        <w:rPr>
          <w:highlight w:val="none"/>
        </w:rPr>
      </w:pPr>
      <w:r>
        <w:rPr>
          <w:rFonts w:hint="eastAsia"/>
          <w:highlight w:val="none"/>
        </w:rPr>
        <w:t>组织编制专项咨询成果文件；</w:t>
      </w:r>
    </w:p>
    <w:p w14:paraId="726927E6">
      <w:pPr>
        <w:pStyle w:val="175"/>
        <w:numPr>
          <w:ilvl w:val="0"/>
          <w:numId w:val="42"/>
        </w:numPr>
        <w:rPr>
          <w:highlight w:val="none"/>
        </w:rPr>
      </w:pPr>
      <w:r>
        <w:rPr>
          <w:rFonts w:hint="eastAsia"/>
          <w:highlight w:val="none"/>
        </w:rPr>
        <w:t>组织专项咨询的项目资料管理和归档，以及相应数智化应用和科技创新；</w:t>
      </w:r>
    </w:p>
    <w:p w14:paraId="3FCD2BFB">
      <w:pPr>
        <w:pStyle w:val="175"/>
        <w:numPr>
          <w:ilvl w:val="0"/>
          <w:numId w:val="42"/>
        </w:numPr>
        <w:rPr>
          <w:highlight w:val="none"/>
        </w:rPr>
      </w:pPr>
      <w:r>
        <w:rPr>
          <w:rFonts w:hint="eastAsia"/>
          <w:highlight w:val="none"/>
        </w:rPr>
        <w:t>参与项目收尾和咨询服务总结工作；</w:t>
      </w:r>
    </w:p>
    <w:p w14:paraId="410A58B6">
      <w:pPr>
        <w:pStyle w:val="175"/>
        <w:numPr>
          <w:ilvl w:val="0"/>
          <w:numId w:val="42"/>
        </w:numPr>
        <w:rPr>
          <w:highlight w:val="none"/>
        </w:rPr>
      </w:pPr>
      <w:r>
        <w:rPr>
          <w:rFonts w:hint="eastAsia"/>
          <w:highlight w:val="none"/>
        </w:rPr>
        <w:t>完成工程咨询项目总负责人安排的其他工作。</w:t>
      </w:r>
    </w:p>
    <w:p w14:paraId="45E9A00E">
      <w:pPr>
        <w:pStyle w:val="166"/>
        <w:rPr>
          <w:highlight w:val="none"/>
        </w:rPr>
      </w:pPr>
      <w:r>
        <w:rPr>
          <w:rFonts w:hint="eastAsia"/>
          <w:highlight w:val="none"/>
        </w:rPr>
        <w:t>专业工程师的主要职责应包括：</w:t>
      </w:r>
    </w:p>
    <w:p w14:paraId="30FCA2E7">
      <w:pPr>
        <w:pStyle w:val="175"/>
        <w:numPr>
          <w:ilvl w:val="0"/>
          <w:numId w:val="49"/>
        </w:numPr>
        <w:rPr>
          <w:highlight w:val="none"/>
        </w:rPr>
      </w:pPr>
      <w:r>
        <w:rPr>
          <w:rFonts w:hint="eastAsia"/>
          <w:highlight w:val="none"/>
        </w:rPr>
        <w:t>参与编制专项咨询策划方案和实施细则，并具体执行本专业范围的内容；</w:t>
      </w:r>
    </w:p>
    <w:p w14:paraId="1D75092D">
      <w:pPr>
        <w:pStyle w:val="175"/>
        <w:numPr>
          <w:ilvl w:val="0"/>
          <w:numId w:val="42"/>
        </w:numPr>
        <w:rPr>
          <w:highlight w:val="none"/>
        </w:rPr>
      </w:pPr>
      <w:r>
        <w:rPr>
          <w:rFonts w:hint="eastAsia"/>
          <w:highlight w:val="none"/>
        </w:rPr>
        <w:t>负责编制咨询方案、管理制度、周月报、工作总结、专项咨询成果等咨询文件中与本专业相关的内容；</w:t>
      </w:r>
    </w:p>
    <w:p w14:paraId="4CD59EDC">
      <w:pPr>
        <w:pStyle w:val="175"/>
        <w:numPr>
          <w:ilvl w:val="0"/>
          <w:numId w:val="42"/>
        </w:numPr>
        <w:rPr>
          <w:highlight w:val="none"/>
        </w:rPr>
      </w:pPr>
      <w:r>
        <w:rPr>
          <w:rFonts w:hint="eastAsia"/>
          <w:highlight w:val="none"/>
        </w:rPr>
        <w:t>根据权限设置编制或参与编制专项咨询相关的通知、函件、会议纪要、备忘录、专题建议等服务过程文件；</w:t>
      </w:r>
    </w:p>
    <w:p w14:paraId="12783E80">
      <w:pPr>
        <w:pStyle w:val="175"/>
        <w:numPr>
          <w:ilvl w:val="0"/>
          <w:numId w:val="42"/>
        </w:numPr>
        <w:rPr>
          <w:highlight w:val="none"/>
        </w:rPr>
      </w:pPr>
      <w:r>
        <w:rPr>
          <w:rFonts w:hint="eastAsia"/>
          <w:highlight w:val="none"/>
        </w:rPr>
        <w:t>审核参建各方报送的本专业工程文件，提出处理意见和建议，报专项咨询负责人审核；</w:t>
      </w:r>
    </w:p>
    <w:p w14:paraId="61981927">
      <w:pPr>
        <w:pStyle w:val="175"/>
        <w:numPr>
          <w:ilvl w:val="0"/>
          <w:numId w:val="42"/>
        </w:numPr>
        <w:rPr>
          <w:highlight w:val="none"/>
        </w:rPr>
      </w:pPr>
      <w:r>
        <w:rPr>
          <w:rFonts w:hint="eastAsia"/>
          <w:highlight w:val="none"/>
        </w:rPr>
        <w:t>跟踪检查专业问题整改情况，实施动态控制；</w:t>
      </w:r>
    </w:p>
    <w:p w14:paraId="113A7D90">
      <w:pPr>
        <w:pStyle w:val="175"/>
        <w:numPr>
          <w:ilvl w:val="0"/>
          <w:numId w:val="42"/>
        </w:numPr>
        <w:rPr>
          <w:highlight w:val="none"/>
        </w:rPr>
      </w:pPr>
      <w:r>
        <w:rPr>
          <w:rFonts w:hint="eastAsia"/>
          <w:highlight w:val="none"/>
        </w:rPr>
        <w:t>负责本专业项目咨询资料管理和归档，以及参与相应数智化应用和科技创新；</w:t>
      </w:r>
    </w:p>
    <w:p w14:paraId="2E781097">
      <w:pPr>
        <w:pStyle w:val="175"/>
        <w:numPr>
          <w:ilvl w:val="0"/>
          <w:numId w:val="42"/>
        </w:numPr>
        <w:rPr>
          <w:highlight w:val="none"/>
        </w:rPr>
      </w:pPr>
      <w:r>
        <w:rPr>
          <w:rFonts w:hint="eastAsia"/>
          <w:highlight w:val="none"/>
        </w:rPr>
        <w:t>参与项目收尾和咨询服务总结工作；</w:t>
      </w:r>
    </w:p>
    <w:p w14:paraId="2441CA54">
      <w:pPr>
        <w:pStyle w:val="175"/>
        <w:numPr>
          <w:ilvl w:val="0"/>
          <w:numId w:val="42"/>
        </w:numPr>
        <w:rPr>
          <w:highlight w:val="none"/>
        </w:rPr>
      </w:pPr>
      <w:r>
        <w:rPr>
          <w:rFonts w:hint="eastAsia"/>
          <w:highlight w:val="none"/>
        </w:rPr>
        <w:t>完成专业咨询负责人安排的其他工作。</w:t>
      </w:r>
    </w:p>
    <w:p w14:paraId="1D45F260">
      <w:pPr>
        <w:pStyle w:val="105"/>
        <w:spacing w:before="312" w:after="312"/>
        <w:rPr>
          <w:highlight w:val="none"/>
        </w:rPr>
      </w:pPr>
      <w:bookmarkStart w:id="77" w:name="_Toc18273"/>
      <w:bookmarkStart w:id="78" w:name="_Toc194135329"/>
      <w:r>
        <w:rPr>
          <w:rFonts w:hint="eastAsia"/>
          <w:highlight w:val="none"/>
        </w:rPr>
        <w:t>全过程工程咨询服务策划</w:t>
      </w:r>
      <w:bookmarkEnd w:id="77"/>
      <w:bookmarkEnd w:id="78"/>
    </w:p>
    <w:p w14:paraId="6039EACB">
      <w:pPr>
        <w:pStyle w:val="106"/>
        <w:spacing w:before="156" w:after="156"/>
        <w:rPr>
          <w:highlight w:val="none"/>
        </w:rPr>
      </w:pPr>
      <w:bookmarkStart w:id="79" w:name="_Toc194135330"/>
      <w:bookmarkStart w:id="80" w:name="_Toc5346"/>
      <w:r>
        <w:rPr>
          <w:rFonts w:hint="eastAsia"/>
          <w:highlight w:val="none"/>
        </w:rPr>
        <w:t>一般规定</w:t>
      </w:r>
      <w:bookmarkEnd w:id="79"/>
      <w:bookmarkEnd w:id="80"/>
    </w:p>
    <w:p w14:paraId="3E581187">
      <w:pPr>
        <w:pStyle w:val="166"/>
        <w:rPr>
          <w:highlight w:val="none"/>
        </w:rPr>
      </w:pPr>
      <w:r>
        <w:rPr>
          <w:rFonts w:hint="eastAsia"/>
          <w:highlight w:val="none"/>
        </w:rPr>
        <w:t>工程咨询机构应根据委托方及利益相关方的需求、项目实际情况和全过程工程咨询服务合同约定，进行全过程工程咨询服务策划，形成全过程工程咨询总体策划大纲、专项咨询策划方案、专项咨询实施细则和工作制度体系等成果文件，并经工程咨询项目总负责人审核后</w:t>
      </w:r>
      <w:r>
        <w:rPr>
          <w:rFonts w:hint="eastAsia"/>
          <w:highlight w:val="none"/>
          <w:lang w:eastAsia="zh-CN"/>
        </w:rPr>
        <w:t>发予</w:t>
      </w:r>
      <w:r>
        <w:rPr>
          <w:rFonts w:hint="eastAsia"/>
          <w:highlight w:val="none"/>
        </w:rPr>
        <w:t>委托方。针对特定专项咨询，若法律法规对审核程序或人员做了特殊规定的，按相应规定执行。</w:t>
      </w:r>
    </w:p>
    <w:p w14:paraId="33F3E5A9">
      <w:pPr>
        <w:pStyle w:val="166"/>
        <w:rPr>
          <w:highlight w:val="none"/>
        </w:rPr>
      </w:pPr>
      <w:r>
        <w:rPr>
          <w:rFonts w:hint="eastAsia"/>
          <w:highlight w:val="none"/>
        </w:rPr>
        <w:t>全过程工程咨询总体策划大纲应由工程咨询项目总负责人牵头组织各专项咨询负责人编制。</w:t>
      </w:r>
    </w:p>
    <w:p w14:paraId="448DA22E">
      <w:pPr>
        <w:pStyle w:val="166"/>
        <w:rPr>
          <w:highlight w:val="none"/>
        </w:rPr>
      </w:pPr>
      <w:r>
        <w:rPr>
          <w:rFonts w:hint="eastAsia"/>
          <w:highlight w:val="none"/>
        </w:rPr>
        <w:t>专项咨询策划方案应由专项咨询负责人在专项咨询开展前负责编制。</w:t>
      </w:r>
    </w:p>
    <w:p w14:paraId="341A8C74">
      <w:pPr>
        <w:pStyle w:val="106"/>
        <w:spacing w:before="156" w:after="156"/>
        <w:rPr>
          <w:highlight w:val="none"/>
        </w:rPr>
      </w:pPr>
      <w:bookmarkStart w:id="81" w:name="_Toc15378"/>
      <w:bookmarkStart w:id="82" w:name="_Toc194135331"/>
      <w:r>
        <w:rPr>
          <w:rFonts w:hint="eastAsia"/>
          <w:highlight w:val="none"/>
        </w:rPr>
        <w:t>全过程工程咨询服务工作大纲</w:t>
      </w:r>
      <w:bookmarkEnd w:id="81"/>
      <w:bookmarkEnd w:id="82"/>
    </w:p>
    <w:p w14:paraId="6C08C34D">
      <w:pPr>
        <w:pStyle w:val="166"/>
        <w:rPr>
          <w:highlight w:val="none"/>
        </w:rPr>
      </w:pPr>
      <w:r>
        <w:rPr>
          <w:rFonts w:hint="eastAsia"/>
          <w:highlight w:val="none"/>
        </w:rPr>
        <w:t>应根据全过程工程咨询服务合同进行编制，并应满足下列要求：</w:t>
      </w:r>
    </w:p>
    <w:p w14:paraId="2ED55446">
      <w:pPr>
        <w:pStyle w:val="175"/>
        <w:numPr>
          <w:ilvl w:val="0"/>
          <w:numId w:val="50"/>
        </w:numPr>
        <w:rPr>
          <w:highlight w:val="none"/>
        </w:rPr>
      </w:pPr>
      <w:r>
        <w:rPr>
          <w:rFonts w:hint="eastAsia"/>
          <w:highlight w:val="none"/>
        </w:rPr>
        <w:t>明确全过程工程咨询服务的目标和控制要求；</w:t>
      </w:r>
    </w:p>
    <w:p w14:paraId="16EBCA1C">
      <w:pPr>
        <w:pStyle w:val="175"/>
        <w:numPr>
          <w:ilvl w:val="0"/>
          <w:numId w:val="42"/>
        </w:numPr>
        <w:rPr>
          <w:highlight w:val="none"/>
        </w:rPr>
      </w:pPr>
      <w:r>
        <w:rPr>
          <w:rFonts w:hint="eastAsia"/>
          <w:highlight w:val="none"/>
        </w:rPr>
        <w:t>明确全过程工程咨询服务的管理职责和实施程序。</w:t>
      </w:r>
    </w:p>
    <w:p w14:paraId="55704D71">
      <w:pPr>
        <w:pStyle w:val="166"/>
        <w:rPr>
          <w:highlight w:val="none"/>
        </w:rPr>
      </w:pPr>
      <w:r>
        <w:rPr>
          <w:rFonts w:hint="eastAsia"/>
          <w:highlight w:val="none"/>
        </w:rPr>
        <w:t>全过程工程咨询服务工作大纲应根据合同委托编写，内容可包括：</w:t>
      </w:r>
    </w:p>
    <w:p w14:paraId="7E8E403D">
      <w:pPr>
        <w:pStyle w:val="175"/>
        <w:numPr>
          <w:ilvl w:val="0"/>
          <w:numId w:val="51"/>
        </w:numPr>
        <w:rPr>
          <w:highlight w:val="none"/>
        </w:rPr>
      </w:pPr>
      <w:r>
        <w:rPr>
          <w:rFonts w:hint="eastAsia"/>
          <w:highlight w:val="none"/>
        </w:rPr>
        <w:t>项目概况；</w:t>
      </w:r>
    </w:p>
    <w:p w14:paraId="78BCDEB6">
      <w:pPr>
        <w:pStyle w:val="175"/>
        <w:numPr>
          <w:ilvl w:val="0"/>
          <w:numId w:val="42"/>
        </w:numPr>
        <w:rPr>
          <w:highlight w:val="none"/>
        </w:rPr>
      </w:pPr>
      <w:r>
        <w:rPr>
          <w:rFonts w:hint="eastAsia"/>
          <w:highlight w:val="none"/>
        </w:rPr>
        <w:t>服务范围和内容；</w:t>
      </w:r>
    </w:p>
    <w:p w14:paraId="04F6E105">
      <w:pPr>
        <w:pStyle w:val="175"/>
        <w:numPr>
          <w:ilvl w:val="0"/>
          <w:numId w:val="42"/>
        </w:numPr>
        <w:rPr>
          <w:highlight w:val="none"/>
        </w:rPr>
      </w:pPr>
      <w:r>
        <w:rPr>
          <w:rFonts w:hint="eastAsia"/>
          <w:highlight w:val="none"/>
        </w:rPr>
        <w:t>管理目标；</w:t>
      </w:r>
    </w:p>
    <w:p w14:paraId="5671DA2C">
      <w:pPr>
        <w:pStyle w:val="175"/>
        <w:numPr>
          <w:ilvl w:val="0"/>
          <w:numId w:val="42"/>
        </w:numPr>
        <w:rPr>
          <w:highlight w:val="none"/>
        </w:rPr>
      </w:pPr>
      <w:r>
        <w:rPr>
          <w:rFonts w:hint="eastAsia"/>
          <w:highlight w:val="none"/>
        </w:rPr>
        <w:t>组织模式与管理措施；</w:t>
      </w:r>
    </w:p>
    <w:p w14:paraId="5DD24C95">
      <w:pPr>
        <w:pStyle w:val="175"/>
        <w:numPr>
          <w:ilvl w:val="0"/>
          <w:numId w:val="42"/>
        </w:numPr>
        <w:rPr>
          <w:highlight w:val="none"/>
        </w:rPr>
      </w:pPr>
      <w:r>
        <w:rPr>
          <w:rFonts w:hint="eastAsia"/>
          <w:highlight w:val="none"/>
        </w:rPr>
        <w:t>合同委托的各项咨询服务。</w:t>
      </w:r>
    </w:p>
    <w:p w14:paraId="6F010C07">
      <w:pPr>
        <w:pStyle w:val="166"/>
        <w:rPr>
          <w:highlight w:val="none"/>
        </w:rPr>
      </w:pPr>
      <w:r>
        <w:rPr>
          <w:rFonts w:hint="eastAsia"/>
          <w:highlight w:val="none"/>
        </w:rPr>
        <w:t>全过程工程咨询服务工作大纲按规定由全过程工程咨询服务单位审批后报送委托人，进行交底并形成交底记录。</w:t>
      </w:r>
    </w:p>
    <w:p w14:paraId="7E1177B8">
      <w:pPr>
        <w:pStyle w:val="106"/>
        <w:spacing w:before="156" w:after="156"/>
        <w:rPr>
          <w:highlight w:val="none"/>
        </w:rPr>
      </w:pPr>
      <w:bookmarkStart w:id="83" w:name="_Toc194135332"/>
      <w:bookmarkStart w:id="84" w:name="_Toc3734"/>
      <w:r>
        <w:rPr>
          <w:rFonts w:hint="eastAsia"/>
          <w:highlight w:val="none"/>
        </w:rPr>
        <w:t>专业</w:t>
      </w:r>
      <w:r>
        <w:rPr>
          <w:rFonts w:hint="eastAsia"/>
          <w:highlight w:val="none"/>
          <w:lang w:val="en-US" w:eastAsia="zh-CN"/>
        </w:rPr>
        <w:t>/专项</w:t>
      </w:r>
      <w:r>
        <w:rPr>
          <w:rFonts w:hint="eastAsia"/>
          <w:highlight w:val="none"/>
        </w:rPr>
        <w:t>咨询实施方案</w:t>
      </w:r>
      <w:bookmarkEnd w:id="83"/>
      <w:bookmarkEnd w:id="84"/>
    </w:p>
    <w:p w14:paraId="5A324849">
      <w:pPr>
        <w:pStyle w:val="166"/>
        <w:rPr>
          <w:highlight w:val="none"/>
        </w:rPr>
      </w:pPr>
      <w:r>
        <w:rPr>
          <w:rFonts w:hint="eastAsia"/>
          <w:highlight w:val="none"/>
          <w:lang w:val="en-US" w:eastAsia="zh-CN"/>
        </w:rPr>
        <w:t>专业/专项咨询实施方案</w:t>
      </w:r>
      <w:r>
        <w:rPr>
          <w:rFonts w:hint="eastAsia"/>
          <w:highlight w:val="none"/>
        </w:rPr>
        <w:t>应根据全过程工程咨询服务工作大纲要求进行编制，并应满足下列要求：</w:t>
      </w:r>
    </w:p>
    <w:p w14:paraId="73616E53">
      <w:pPr>
        <w:pStyle w:val="175"/>
        <w:numPr>
          <w:ilvl w:val="0"/>
          <w:numId w:val="52"/>
        </w:numPr>
        <w:rPr>
          <w:highlight w:val="none"/>
        </w:rPr>
      </w:pPr>
      <w:r>
        <w:rPr>
          <w:rFonts w:hint="eastAsia"/>
          <w:highlight w:val="none"/>
        </w:rPr>
        <w:t>对全</w:t>
      </w:r>
      <w:r>
        <w:rPr>
          <w:rFonts w:hint="eastAsia"/>
          <w:highlight w:val="none"/>
          <w:lang w:val="en-US" w:eastAsia="zh-CN"/>
        </w:rPr>
        <w:t>过程</w:t>
      </w:r>
      <w:r>
        <w:rPr>
          <w:rFonts w:hint="eastAsia"/>
          <w:highlight w:val="none"/>
        </w:rPr>
        <w:t>咨询服务工作大纲的相应内容进行细化，满足全过程工程咨询服务目标的实际需要；</w:t>
      </w:r>
    </w:p>
    <w:p w14:paraId="39865F74">
      <w:pPr>
        <w:pStyle w:val="175"/>
        <w:numPr>
          <w:ilvl w:val="0"/>
          <w:numId w:val="42"/>
        </w:numPr>
        <w:rPr>
          <w:highlight w:val="none"/>
        </w:rPr>
      </w:pPr>
      <w:r>
        <w:rPr>
          <w:rFonts w:hint="eastAsia"/>
          <w:highlight w:val="none"/>
        </w:rPr>
        <w:t>结合单项专业咨询任务的特点，具有可操作性。</w:t>
      </w:r>
    </w:p>
    <w:p w14:paraId="144D27A2">
      <w:pPr>
        <w:pStyle w:val="166"/>
        <w:rPr>
          <w:highlight w:val="none"/>
        </w:rPr>
      </w:pPr>
      <w:r>
        <w:rPr>
          <w:rFonts w:hint="eastAsia"/>
          <w:highlight w:val="none"/>
        </w:rPr>
        <w:t>专业</w:t>
      </w:r>
      <w:r>
        <w:rPr>
          <w:rFonts w:hint="eastAsia"/>
          <w:highlight w:val="none"/>
          <w:lang w:val="en-US" w:eastAsia="zh-CN"/>
        </w:rPr>
        <w:t>/专项</w:t>
      </w:r>
      <w:r>
        <w:rPr>
          <w:rFonts w:hint="eastAsia"/>
          <w:highlight w:val="none"/>
        </w:rPr>
        <w:t>咨询实施方案应包括下列内容：</w:t>
      </w:r>
    </w:p>
    <w:p w14:paraId="4AEDA4DF">
      <w:pPr>
        <w:pStyle w:val="175"/>
        <w:numPr>
          <w:ilvl w:val="0"/>
          <w:numId w:val="53"/>
        </w:numPr>
        <w:rPr>
          <w:highlight w:val="none"/>
        </w:rPr>
      </w:pPr>
      <w:r>
        <w:rPr>
          <w:rFonts w:hint="eastAsia"/>
          <w:highlight w:val="none"/>
          <w:lang w:val="en-US" w:eastAsia="zh-CN"/>
        </w:rPr>
        <w:t>专业/</w:t>
      </w:r>
      <w:r>
        <w:rPr>
          <w:rFonts w:hint="eastAsia"/>
          <w:highlight w:val="none"/>
        </w:rPr>
        <w:t>专项咨询项目概况；</w:t>
      </w:r>
    </w:p>
    <w:p w14:paraId="0DD92353">
      <w:pPr>
        <w:pStyle w:val="175"/>
        <w:numPr>
          <w:ilvl w:val="0"/>
          <w:numId w:val="42"/>
        </w:numPr>
        <w:rPr>
          <w:highlight w:val="none"/>
        </w:rPr>
      </w:pPr>
      <w:r>
        <w:rPr>
          <w:rFonts w:hint="eastAsia"/>
          <w:highlight w:val="none"/>
        </w:rPr>
        <w:t>工作范围；</w:t>
      </w:r>
    </w:p>
    <w:p w14:paraId="2E6A545D">
      <w:pPr>
        <w:pStyle w:val="175"/>
        <w:numPr>
          <w:ilvl w:val="0"/>
          <w:numId w:val="42"/>
        </w:numPr>
        <w:rPr>
          <w:highlight w:val="none"/>
        </w:rPr>
      </w:pPr>
      <w:r>
        <w:rPr>
          <w:rFonts w:hint="eastAsia"/>
          <w:highlight w:val="none"/>
        </w:rPr>
        <w:t>工作内容；</w:t>
      </w:r>
    </w:p>
    <w:p w14:paraId="4B0C1C2D">
      <w:pPr>
        <w:pStyle w:val="175"/>
        <w:numPr>
          <w:ilvl w:val="0"/>
          <w:numId w:val="42"/>
        </w:numPr>
        <w:rPr>
          <w:highlight w:val="none"/>
        </w:rPr>
      </w:pPr>
      <w:r>
        <w:rPr>
          <w:rFonts w:hint="eastAsia"/>
          <w:highlight w:val="none"/>
        </w:rPr>
        <w:t>工作目标；</w:t>
      </w:r>
    </w:p>
    <w:p w14:paraId="46629832">
      <w:pPr>
        <w:pStyle w:val="175"/>
        <w:numPr>
          <w:ilvl w:val="0"/>
          <w:numId w:val="42"/>
        </w:numPr>
        <w:rPr>
          <w:highlight w:val="none"/>
        </w:rPr>
      </w:pPr>
      <w:r>
        <w:rPr>
          <w:rFonts w:hint="eastAsia"/>
          <w:highlight w:val="none"/>
        </w:rPr>
        <w:t>编制依据；</w:t>
      </w:r>
    </w:p>
    <w:p w14:paraId="1B4C91B2">
      <w:pPr>
        <w:pStyle w:val="175"/>
        <w:numPr>
          <w:ilvl w:val="0"/>
          <w:numId w:val="42"/>
        </w:numPr>
        <w:rPr>
          <w:highlight w:val="none"/>
        </w:rPr>
      </w:pPr>
      <w:r>
        <w:rPr>
          <w:rFonts w:hint="eastAsia"/>
          <w:highlight w:val="none"/>
        </w:rPr>
        <w:t>工作流程；</w:t>
      </w:r>
    </w:p>
    <w:p w14:paraId="31D85F05">
      <w:pPr>
        <w:pStyle w:val="175"/>
        <w:numPr>
          <w:ilvl w:val="0"/>
          <w:numId w:val="42"/>
        </w:numPr>
        <w:rPr>
          <w:highlight w:val="none"/>
        </w:rPr>
      </w:pPr>
      <w:r>
        <w:rPr>
          <w:rFonts w:hint="eastAsia"/>
          <w:highlight w:val="none"/>
        </w:rPr>
        <w:t>组织方案；</w:t>
      </w:r>
    </w:p>
    <w:p w14:paraId="1F76C50F">
      <w:pPr>
        <w:pStyle w:val="175"/>
        <w:numPr>
          <w:ilvl w:val="0"/>
          <w:numId w:val="42"/>
        </w:numPr>
        <w:rPr>
          <w:highlight w:val="none"/>
        </w:rPr>
      </w:pPr>
      <w:r>
        <w:rPr>
          <w:rFonts w:hint="eastAsia"/>
          <w:highlight w:val="none"/>
        </w:rPr>
        <w:t>重点、难点及薄弱环节分析；</w:t>
      </w:r>
    </w:p>
    <w:p w14:paraId="0B6DCAC6">
      <w:pPr>
        <w:pStyle w:val="175"/>
        <w:numPr>
          <w:ilvl w:val="0"/>
          <w:numId w:val="42"/>
        </w:numPr>
        <w:rPr>
          <w:highlight w:val="none"/>
        </w:rPr>
      </w:pPr>
      <w:r>
        <w:rPr>
          <w:rFonts w:hint="eastAsia"/>
          <w:highlight w:val="none"/>
        </w:rPr>
        <w:t>服务措施。</w:t>
      </w:r>
    </w:p>
    <w:p w14:paraId="24F6FD3D">
      <w:pPr>
        <w:pStyle w:val="166"/>
        <w:rPr>
          <w:highlight w:val="none"/>
        </w:rPr>
      </w:pPr>
      <w:r>
        <w:rPr>
          <w:rFonts w:hint="eastAsia"/>
          <w:highlight w:val="none"/>
          <w:lang w:val="en-US" w:eastAsia="zh-CN"/>
        </w:rPr>
        <w:t>专业/</w:t>
      </w:r>
      <w:r>
        <w:rPr>
          <w:rFonts w:hint="eastAsia"/>
          <w:highlight w:val="none"/>
        </w:rPr>
        <w:t>专项咨询实施方案编审应遵循下列程序：</w:t>
      </w:r>
    </w:p>
    <w:p w14:paraId="104A4699">
      <w:pPr>
        <w:pStyle w:val="175"/>
        <w:numPr>
          <w:ilvl w:val="0"/>
          <w:numId w:val="54"/>
        </w:numPr>
        <w:rPr>
          <w:highlight w:val="none"/>
        </w:rPr>
      </w:pPr>
      <w:r>
        <w:rPr>
          <w:rFonts w:hint="eastAsia"/>
          <w:highlight w:val="none"/>
          <w:lang w:val="en-US" w:eastAsia="zh-CN"/>
        </w:rPr>
        <w:t>专业/</w:t>
      </w:r>
      <w:r>
        <w:rPr>
          <w:rFonts w:hint="eastAsia"/>
          <w:highlight w:val="none"/>
        </w:rPr>
        <w:t>专项咨询负责人组织专业咨询工程师编制；</w:t>
      </w:r>
    </w:p>
    <w:p w14:paraId="28E70EEF">
      <w:pPr>
        <w:pStyle w:val="175"/>
        <w:numPr>
          <w:ilvl w:val="0"/>
          <w:numId w:val="42"/>
        </w:numPr>
        <w:rPr>
          <w:highlight w:val="none"/>
        </w:rPr>
      </w:pPr>
      <w:r>
        <w:rPr>
          <w:rFonts w:hint="eastAsia"/>
          <w:highlight w:val="none"/>
          <w:lang w:val="en-US" w:eastAsia="zh-CN"/>
        </w:rPr>
        <w:t>专业/</w:t>
      </w:r>
      <w:r>
        <w:rPr>
          <w:rFonts w:hint="eastAsia"/>
          <w:highlight w:val="none"/>
        </w:rPr>
        <w:t>专项咨询负责人审核签字后，报全过程工程咨询项目负责人审批，规定由咨询</w:t>
      </w:r>
      <w:r>
        <w:rPr>
          <w:rFonts w:hint="eastAsia"/>
          <w:highlight w:val="none"/>
          <w:lang w:val="en-US" w:eastAsia="zh-CN"/>
        </w:rPr>
        <w:t>单位</w:t>
      </w:r>
      <w:r>
        <w:rPr>
          <w:rFonts w:hint="eastAsia"/>
          <w:highlight w:val="none"/>
        </w:rPr>
        <w:t>技术负责人审批的应报其审批；</w:t>
      </w:r>
    </w:p>
    <w:p w14:paraId="04E406CE">
      <w:pPr>
        <w:pStyle w:val="175"/>
        <w:numPr>
          <w:ilvl w:val="0"/>
          <w:numId w:val="42"/>
        </w:numPr>
        <w:rPr>
          <w:highlight w:val="none"/>
        </w:rPr>
      </w:pPr>
      <w:r>
        <w:rPr>
          <w:rFonts w:hint="eastAsia"/>
          <w:highlight w:val="none"/>
        </w:rPr>
        <w:t>专项咨询服务实施方案根据需要应报委托人批准。</w:t>
      </w:r>
    </w:p>
    <w:p w14:paraId="5643DFF0">
      <w:pPr>
        <w:pStyle w:val="166"/>
        <w:rPr>
          <w:highlight w:val="none"/>
        </w:rPr>
      </w:pPr>
      <w:r>
        <w:rPr>
          <w:rFonts w:hint="eastAsia"/>
          <w:highlight w:val="none"/>
        </w:rPr>
        <w:t>专业</w:t>
      </w:r>
      <w:r>
        <w:rPr>
          <w:rFonts w:hint="eastAsia"/>
          <w:highlight w:val="none"/>
          <w:lang w:val="en-US" w:eastAsia="zh-CN"/>
        </w:rPr>
        <w:t>/专项</w:t>
      </w:r>
      <w:r>
        <w:rPr>
          <w:rFonts w:hint="eastAsia"/>
          <w:highlight w:val="none"/>
        </w:rPr>
        <w:t>咨询</w:t>
      </w:r>
      <w:r>
        <w:rPr>
          <w:rFonts w:hint="eastAsia"/>
          <w:highlight w:val="none"/>
          <w:lang w:val="en-US" w:eastAsia="zh-CN"/>
        </w:rPr>
        <w:t>实施方案应在全过程工程咨询服务团队内部进行</w:t>
      </w:r>
      <w:r>
        <w:rPr>
          <w:rFonts w:hint="eastAsia"/>
          <w:highlight w:val="none"/>
        </w:rPr>
        <w:t>交底并形成交底记录。</w:t>
      </w:r>
    </w:p>
    <w:p w14:paraId="4517FB19">
      <w:pPr>
        <w:pStyle w:val="105"/>
        <w:spacing w:before="312" w:after="312"/>
        <w:rPr>
          <w:highlight w:val="none"/>
        </w:rPr>
      </w:pPr>
      <w:bookmarkStart w:id="85" w:name="_Toc6462"/>
      <w:bookmarkStart w:id="86" w:name="_Toc194135333"/>
      <w:r>
        <w:rPr>
          <w:rFonts w:hint="eastAsia"/>
          <w:highlight w:val="none"/>
        </w:rPr>
        <w:t>前期咨询服务</w:t>
      </w:r>
      <w:bookmarkEnd w:id="85"/>
      <w:bookmarkEnd w:id="86"/>
    </w:p>
    <w:p w14:paraId="6B33C65A">
      <w:pPr>
        <w:pStyle w:val="106"/>
        <w:spacing w:before="156" w:after="156"/>
        <w:rPr>
          <w:highlight w:val="none"/>
        </w:rPr>
      </w:pPr>
      <w:bookmarkStart w:id="87" w:name="_Toc9050"/>
      <w:bookmarkStart w:id="88" w:name="_Toc194135334"/>
      <w:r>
        <w:rPr>
          <w:rFonts w:hint="eastAsia"/>
          <w:highlight w:val="none"/>
        </w:rPr>
        <w:t>一般规定</w:t>
      </w:r>
      <w:bookmarkEnd w:id="87"/>
      <w:bookmarkEnd w:id="88"/>
    </w:p>
    <w:p w14:paraId="2E52510A">
      <w:pPr>
        <w:pStyle w:val="166"/>
        <w:rPr>
          <w:highlight w:val="none"/>
        </w:rPr>
      </w:pPr>
      <w:r>
        <w:rPr>
          <w:rFonts w:hint="eastAsia"/>
          <w:highlight w:val="none"/>
        </w:rPr>
        <w:t>全过程工程咨询服务单位应按照全过程工程咨询服务合同的要求，结合当地经济社会发展需要，与委托人充分沟通并进行市场调查，在项目前期为委托人提供项目融投资策划、项目建议书编制、可行性研究论证、投资估算等咨询服务。</w:t>
      </w:r>
    </w:p>
    <w:p w14:paraId="6657BBCE">
      <w:pPr>
        <w:pStyle w:val="166"/>
        <w:rPr>
          <w:highlight w:val="none"/>
        </w:rPr>
      </w:pPr>
      <w:r>
        <w:rPr>
          <w:rFonts w:hint="eastAsia"/>
          <w:highlight w:val="none"/>
        </w:rPr>
        <w:t>全过程工程咨询服务单位前期咨询的工作内容，主要包括《项目策划报告》《项目建议书》《项目可行性研究报告》《投资估算》等相关报告的编制以及报送审批工作。</w:t>
      </w:r>
    </w:p>
    <w:p w14:paraId="6A563B6E">
      <w:pPr>
        <w:pStyle w:val="166"/>
        <w:rPr>
          <w:highlight w:val="none"/>
        </w:rPr>
      </w:pPr>
      <w:r>
        <w:rPr>
          <w:rFonts w:hint="eastAsia"/>
          <w:highlight w:val="none"/>
        </w:rPr>
        <w:t>全过程工程咨询服务单位宜采用投资决策综合性咨询的方式，将建设条件单项或多项评价、评估，以及专业/专项咨询服务一并纳入可行性研究统筹论证，减少分散专项评价评估，避免可行性研究论证碎片化。</w:t>
      </w:r>
    </w:p>
    <w:p w14:paraId="2021F4E6">
      <w:pPr>
        <w:pStyle w:val="166"/>
        <w:rPr>
          <w:highlight w:val="none"/>
        </w:rPr>
      </w:pPr>
      <w:r>
        <w:rPr>
          <w:rFonts w:hint="eastAsia"/>
          <w:highlight w:val="none"/>
        </w:rPr>
        <w:t>实行集中建设的政府投资项目的前期咨询服务，宜在项目法人具有投资意向时介入。</w:t>
      </w:r>
    </w:p>
    <w:p w14:paraId="19BDBA0B">
      <w:pPr>
        <w:pStyle w:val="106"/>
        <w:spacing w:before="156" w:after="156"/>
        <w:rPr>
          <w:highlight w:val="none"/>
        </w:rPr>
      </w:pPr>
      <w:bookmarkStart w:id="89" w:name="_Toc13502"/>
      <w:bookmarkStart w:id="90" w:name="_Toc194135335"/>
      <w:r>
        <w:rPr>
          <w:rFonts w:hint="eastAsia"/>
          <w:highlight w:val="none"/>
        </w:rPr>
        <w:t>项目策划</w:t>
      </w:r>
      <w:bookmarkEnd w:id="89"/>
      <w:bookmarkEnd w:id="90"/>
    </w:p>
    <w:p w14:paraId="25A091B3">
      <w:pPr>
        <w:pStyle w:val="166"/>
        <w:rPr>
          <w:highlight w:val="none"/>
        </w:rPr>
      </w:pPr>
      <w:r>
        <w:rPr>
          <w:rFonts w:hint="eastAsia"/>
          <w:highlight w:val="none"/>
        </w:rPr>
        <w:t>项目策划咨询服务应满足下列要求：</w:t>
      </w:r>
    </w:p>
    <w:p w14:paraId="382EB00D">
      <w:pPr>
        <w:pStyle w:val="175"/>
        <w:numPr>
          <w:ilvl w:val="0"/>
          <w:numId w:val="55"/>
        </w:numPr>
        <w:rPr>
          <w:highlight w:val="none"/>
        </w:rPr>
      </w:pPr>
      <w:r>
        <w:rPr>
          <w:rFonts w:hint="eastAsia"/>
          <w:highlight w:val="none"/>
        </w:rPr>
        <w:t>为建设单位的项目决策提供依据和建议；</w:t>
      </w:r>
    </w:p>
    <w:p w14:paraId="1E339F26">
      <w:pPr>
        <w:pStyle w:val="175"/>
        <w:numPr>
          <w:ilvl w:val="0"/>
          <w:numId w:val="42"/>
        </w:numPr>
        <w:rPr>
          <w:highlight w:val="none"/>
        </w:rPr>
      </w:pPr>
      <w:r>
        <w:rPr>
          <w:rFonts w:hint="eastAsia"/>
          <w:highlight w:val="none"/>
        </w:rPr>
        <w:t>项目策划应在项目规划、可行性研究、方案设计等阶段之前进行；</w:t>
      </w:r>
    </w:p>
    <w:p w14:paraId="6D07431A">
      <w:pPr>
        <w:pStyle w:val="175"/>
        <w:numPr>
          <w:ilvl w:val="0"/>
          <w:numId w:val="42"/>
        </w:numPr>
        <w:rPr>
          <w:highlight w:val="none"/>
        </w:rPr>
      </w:pPr>
      <w:r>
        <w:rPr>
          <w:rFonts w:hint="eastAsia"/>
          <w:highlight w:val="none"/>
        </w:rPr>
        <w:t>项目策划咨询服务应编制《项目策划方案》《项目策划报告》。</w:t>
      </w:r>
    </w:p>
    <w:p w14:paraId="34C31F19">
      <w:pPr>
        <w:pStyle w:val="166"/>
        <w:rPr>
          <w:highlight w:val="none"/>
        </w:rPr>
      </w:pPr>
      <w:r>
        <w:rPr>
          <w:rFonts w:hint="eastAsia"/>
          <w:highlight w:val="none"/>
        </w:rPr>
        <w:t>项目策划报告应包括下列内容：</w:t>
      </w:r>
    </w:p>
    <w:p w14:paraId="55701DE5">
      <w:pPr>
        <w:pStyle w:val="175"/>
        <w:numPr>
          <w:ilvl w:val="0"/>
          <w:numId w:val="56"/>
        </w:numPr>
        <w:rPr>
          <w:highlight w:val="none"/>
        </w:rPr>
      </w:pPr>
      <w:r>
        <w:rPr>
          <w:rFonts w:hint="eastAsia"/>
          <w:highlight w:val="none"/>
        </w:rPr>
        <w:t>市场研究；</w:t>
      </w:r>
    </w:p>
    <w:p w14:paraId="7AF840C4">
      <w:pPr>
        <w:pStyle w:val="175"/>
        <w:numPr>
          <w:ilvl w:val="0"/>
          <w:numId w:val="42"/>
        </w:numPr>
        <w:rPr>
          <w:highlight w:val="none"/>
        </w:rPr>
      </w:pPr>
      <w:r>
        <w:rPr>
          <w:rFonts w:hint="eastAsia"/>
          <w:highlight w:val="none"/>
        </w:rPr>
        <w:t>项目定位；</w:t>
      </w:r>
    </w:p>
    <w:p w14:paraId="56BCF26C">
      <w:pPr>
        <w:pStyle w:val="175"/>
        <w:numPr>
          <w:ilvl w:val="0"/>
          <w:numId w:val="42"/>
        </w:numPr>
        <w:rPr>
          <w:highlight w:val="none"/>
        </w:rPr>
      </w:pPr>
      <w:r>
        <w:rPr>
          <w:rFonts w:hint="eastAsia"/>
          <w:highlight w:val="none"/>
        </w:rPr>
        <w:t>设计策划；</w:t>
      </w:r>
    </w:p>
    <w:p w14:paraId="41FD8366">
      <w:pPr>
        <w:pStyle w:val="175"/>
        <w:numPr>
          <w:ilvl w:val="0"/>
          <w:numId w:val="42"/>
        </w:numPr>
        <w:rPr>
          <w:highlight w:val="none"/>
        </w:rPr>
      </w:pPr>
      <w:r>
        <w:rPr>
          <w:rFonts w:hint="eastAsia"/>
          <w:highlight w:val="none"/>
        </w:rPr>
        <w:t>运营策划；</w:t>
      </w:r>
    </w:p>
    <w:p w14:paraId="53065809">
      <w:pPr>
        <w:pStyle w:val="175"/>
        <w:numPr>
          <w:ilvl w:val="0"/>
          <w:numId w:val="42"/>
        </w:numPr>
        <w:rPr>
          <w:highlight w:val="none"/>
        </w:rPr>
      </w:pPr>
      <w:r>
        <w:rPr>
          <w:rFonts w:hint="eastAsia"/>
          <w:highlight w:val="none"/>
        </w:rPr>
        <w:t>融资模式；</w:t>
      </w:r>
    </w:p>
    <w:p w14:paraId="2A13C687">
      <w:pPr>
        <w:pStyle w:val="175"/>
        <w:numPr>
          <w:ilvl w:val="0"/>
          <w:numId w:val="42"/>
        </w:numPr>
        <w:rPr>
          <w:highlight w:val="none"/>
        </w:rPr>
      </w:pPr>
      <w:r>
        <w:rPr>
          <w:rFonts w:hint="eastAsia"/>
          <w:highlight w:val="none"/>
        </w:rPr>
        <w:t>经济性评价。</w:t>
      </w:r>
    </w:p>
    <w:p w14:paraId="3D1C4148">
      <w:pPr>
        <w:pStyle w:val="166"/>
        <w:rPr>
          <w:highlight w:val="none"/>
        </w:rPr>
      </w:pPr>
      <w:r>
        <w:rPr>
          <w:rFonts w:hint="eastAsia"/>
          <w:highlight w:val="none"/>
        </w:rPr>
        <w:t>项目策划中的市场研究，可采用实地调研、网络调查、问卷调研、访谈等方式，收集相关资料和重要数据；项目策划宜包含案例分析；项目策划宜根据项目需求分级开展。</w:t>
      </w:r>
    </w:p>
    <w:p w14:paraId="32C909AE">
      <w:pPr>
        <w:pStyle w:val="106"/>
        <w:spacing w:before="156" w:after="156"/>
        <w:rPr>
          <w:highlight w:val="none"/>
        </w:rPr>
      </w:pPr>
      <w:bookmarkStart w:id="91" w:name="_Toc10139"/>
      <w:r>
        <w:rPr>
          <w:rFonts w:hint="eastAsia"/>
          <w:highlight w:val="none"/>
        </w:rPr>
        <w:t>项目建议书</w:t>
      </w:r>
      <w:bookmarkEnd w:id="91"/>
    </w:p>
    <w:p w14:paraId="4AACAAC0">
      <w:pPr>
        <w:pStyle w:val="166"/>
        <w:rPr>
          <w:rFonts w:hint="eastAsia"/>
          <w:highlight w:val="none"/>
        </w:rPr>
      </w:pPr>
      <w:r>
        <w:rPr>
          <w:rFonts w:hint="eastAsia"/>
          <w:highlight w:val="none"/>
        </w:rPr>
        <w:t>项目建议书作为政府投资项目立项的重要依据，应对项目建设的必要性进行充分论证，并对主要建设内容、拟建地点、拟建规模、投资估算、资金筹措以及社会效益和经济效益等进行初步分析。</w:t>
      </w:r>
    </w:p>
    <w:p w14:paraId="3C98DB02">
      <w:pPr>
        <w:pStyle w:val="166"/>
        <w:rPr>
          <w:rFonts w:hint="eastAsia"/>
          <w:highlight w:val="none"/>
        </w:rPr>
      </w:pPr>
      <w:r>
        <w:rPr>
          <w:rFonts w:hint="eastAsia"/>
          <w:highlight w:val="none"/>
        </w:rPr>
        <w:t>项目建议书的编制应满足下列要求：</w:t>
      </w:r>
    </w:p>
    <w:p w14:paraId="477642D4">
      <w:pPr>
        <w:pStyle w:val="175"/>
        <w:numPr>
          <w:ilvl w:val="0"/>
          <w:numId w:val="57"/>
        </w:numPr>
        <w:rPr>
          <w:rFonts w:hint="eastAsia"/>
          <w:highlight w:val="none"/>
        </w:rPr>
      </w:pPr>
      <w:r>
        <w:rPr>
          <w:rFonts w:hint="eastAsia"/>
          <w:highlight w:val="none"/>
        </w:rPr>
        <w:t>依据建设项目的相关资料进行编制。</w:t>
      </w:r>
    </w:p>
    <w:p w14:paraId="3698EA13">
      <w:pPr>
        <w:pStyle w:val="175"/>
        <w:numPr>
          <w:ilvl w:val="0"/>
          <w:numId w:val="42"/>
        </w:numPr>
        <w:rPr>
          <w:rFonts w:hint="eastAsia"/>
          <w:highlight w:val="none"/>
        </w:rPr>
      </w:pPr>
      <w:r>
        <w:rPr>
          <w:rFonts w:hint="eastAsia"/>
          <w:highlight w:val="none"/>
        </w:rPr>
        <w:t>编制格式、内容和深度达到规定要求。</w:t>
      </w:r>
    </w:p>
    <w:p w14:paraId="0304E995">
      <w:pPr>
        <w:pStyle w:val="175"/>
        <w:numPr>
          <w:ilvl w:val="0"/>
          <w:numId w:val="42"/>
        </w:numPr>
        <w:rPr>
          <w:rFonts w:hint="eastAsia"/>
          <w:highlight w:val="none"/>
        </w:rPr>
      </w:pPr>
      <w:r>
        <w:rPr>
          <w:rFonts w:hint="eastAsia"/>
          <w:highlight w:val="none"/>
        </w:rPr>
        <w:t>由专业咨询工程师编制，经总咨询师审核、建设单位确认后报投资主管部门审批。</w:t>
      </w:r>
    </w:p>
    <w:p w14:paraId="1D1977D1">
      <w:pPr>
        <w:pStyle w:val="166"/>
        <w:rPr>
          <w:rFonts w:hint="eastAsia"/>
          <w:highlight w:val="none"/>
        </w:rPr>
      </w:pPr>
      <w:r>
        <w:rPr>
          <w:rFonts w:hint="eastAsia"/>
          <w:highlight w:val="none"/>
        </w:rPr>
        <w:t>项目建议书的编制和评估应注意下列事项：</w:t>
      </w:r>
    </w:p>
    <w:p w14:paraId="7FFCC060">
      <w:pPr>
        <w:pStyle w:val="175"/>
        <w:numPr>
          <w:ilvl w:val="0"/>
          <w:numId w:val="58"/>
        </w:numPr>
        <w:rPr>
          <w:rFonts w:hint="eastAsia"/>
          <w:highlight w:val="none"/>
        </w:rPr>
      </w:pPr>
      <w:r>
        <w:rPr>
          <w:rFonts w:hint="eastAsia"/>
          <w:highlight w:val="none"/>
        </w:rPr>
        <w:t>重点论证项目建设的必要性和可能性；</w:t>
      </w:r>
    </w:p>
    <w:p w14:paraId="3B724F44">
      <w:pPr>
        <w:pStyle w:val="175"/>
        <w:numPr>
          <w:ilvl w:val="0"/>
          <w:numId w:val="42"/>
        </w:numPr>
        <w:rPr>
          <w:rFonts w:hint="eastAsia"/>
          <w:highlight w:val="none"/>
        </w:rPr>
      </w:pPr>
      <w:r>
        <w:rPr>
          <w:rFonts w:hint="eastAsia"/>
          <w:highlight w:val="none"/>
        </w:rPr>
        <w:t>全面掌握宏观信息，即国家经济和社会发展规划、行业或地区规划、项目周边自然资源等信息，从投资、效益、风险等进行深入阐述，消除决策主体项目选择的盲目性；</w:t>
      </w:r>
    </w:p>
    <w:p w14:paraId="00C5254F">
      <w:pPr>
        <w:pStyle w:val="175"/>
        <w:numPr>
          <w:ilvl w:val="0"/>
          <w:numId w:val="42"/>
        </w:numPr>
        <w:rPr>
          <w:rFonts w:hint="eastAsia"/>
          <w:highlight w:val="none"/>
        </w:rPr>
      </w:pPr>
      <w:r>
        <w:rPr>
          <w:rFonts w:hint="eastAsia"/>
          <w:highlight w:val="none"/>
        </w:rPr>
        <w:t>着力阐述项目的规划设想，重点说明项目的社会和经济效益，达到立项报批的目的；</w:t>
      </w:r>
    </w:p>
    <w:p w14:paraId="4B267B6E">
      <w:pPr>
        <w:pStyle w:val="175"/>
        <w:numPr>
          <w:ilvl w:val="0"/>
          <w:numId w:val="42"/>
        </w:numPr>
        <w:rPr>
          <w:rFonts w:hint="eastAsia"/>
          <w:highlight w:val="none"/>
        </w:rPr>
      </w:pPr>
      <w:r>
        <w:rPr>
          <w:rFonts w:hint="eastAsia"/>
          <w:highlight w:val="none"/>
        </w:rPr>
        <w:t>保证项目整体构架完整，避免建设内容遗漏。</w:t>
      </w:r>
    </w:p>
    <w:p w14:paraId="5917CCC0">
      <w:pPr>
        <w:pStyle w:val="106"/>
        <w:spacing w:before="156" w:after="156"/>
        <w:rPr>
          <w:rFonts w:hint="eastAsia"/>
          <w:highlight w:val="none"/>
        </w:rPr>
      </w:pPr>
      <w:bookmarkStart w:id="92" w:name="_Toc30552"/>
      <w:r>
        <w:rPr>
          <w:rFonts w:hint="eastAsia"/>
          <w:highlight w:val="none"/>
        </w:rPr>
        <w:t>可行性研究报告</w:t>
      </w:r>
      <w:bookmarkEnd w:id="92"/>
    </w:p>
    <w:p w14:paraId="6FB762C3">
      <w:pPr>
        <w:pStyle w:val="166"/>
        <w:rPr>
          <w:rFonts w:hint="eastAsia"/>
          <w:highlight w:val="none"/>
        </w:rPr>
      </w:pPr>
      <w:r>
        <w:rPr>
          <w:rFonts w:hint="eastAsia"/>
          <w:highlight w:val="none"/>
        </w:rPr>
        <w:t>政府和企业投资项目的可行性研究应分类编制。</w:t>
      </w:r>
    </w:p>
    <w:p w14:paraId="628789D6">
      <w:pPr>
        <w:pStyle w:val="166"/>
        <w:rPr>
          <w:rFonts w:hint="eastAsia"/>
          <w:highlight w:val="none"/>
        </w:rPr>
      </w:pPr>
      <w:r>
        <w:rPr>
          <w:rFonts w:hint="eastAsia"/>
          <w:highlight w:val="none"/>
        </w:rPr>
        <w:t>可行性研究应以批准的项目建议书和委托合同为依据，在充分调查研究、评价预测和必要的勘测基础上，主要围绕项目建设必要性、方案可行性、风险可控性三大目标等进行系统、专业、深入论证。重点把握需求可靠性、要素保障性、工程可行性、运营有效性、财务合理性、影响持续性以及风险管控七个维度开展研究论证，对不同方案进行比选，提出研究结论和推荐方案。</w:t>
      </w:r>
    </w:p>
    <w:p w14:paraId="60113240">
      <w:pPr>
        <w:pStyle w:val="166"/>
        <w:rPr>
          <w:rFonts w:hint="eastAsia"/>
          <w:highlight w:val="none"/>
        </w:rPr>
      </w:pPr>
      <w:r>
        <w:rPr>
          <w:rFonts w:hint="eastAsia"/>
          <w:highlight w:val="none"/>
        </w:rPr>
        <w:t>可行性研究报告编制应满足下列要求：</w:t>
      </w:r>
    </w:p>
    <w:p w14:paraId="6F4278B9">
      <w:pPr>
        <w:pStyle w:val="175"/>
        <w:numPr>
          <w:ilvl w:val="0"/>
          <w:numId w:val="59"/>
        </w:numPr>
        <w:rPr>
          <w:rFonts w:hint="eastAsia"/>
          <w:highlight w:val="none"/>
        </w:rPr>
      </w:pPr>
      <w:r>
        <w:rPr>
          <w:rFonts w:hint="eastAsia"/>
          <w:highlight w:val="none"/>
        </w:rPr>
        <w:t>全过程工程咨询服务单位负责编制项目可行性研究报告任务书，明确提出可行性研究报告编制工作的范围、重点、深度要求、完成时间、费用预算和质量要求；</w:t>
      </w:r>
    </w:p>
    <w:p w14:paraId="6A2F0826">
      <w:pPr>
        <w:pStyle w:val="175"/>
        <w:numPr>
          <w:ilvl w:val="0"/>
          <w:numId w:val="42"/>
        </w:numPr>
        <w:rPr>
          <w:rFonts w:hint="eastAsia"/>
          <w:highlight w:val="none"/>
        </w:rPr>
      </w:pPr>
      <w:r>
        <w:rPr>
          <w:rFonts w:hint="eastAsia"/>
          <w:highlight w:val="none"/>
        </w:rPr>
        <w:t>可行性研究报告编制工作由其他咨询服务机构承担时，全过程工程咨询服务单位按项目可行性研究报告任务书的规定，与被委托单位签订委托合同；</w:t>
      </w:r>
    </w:p>
    <w:p w14:paraId="141D3A76">
      <w:pPr>
        <w:pStyle w:val="175"/>
        <w:numPr>
          <w:ilvl w:val="0"/>
          <w:numId w:val="42"/>
        </w:numPr>
        <w:rPr>
          <w:rFonts w:hint="eastAsia"/>
          <w:highlight w:val="none"/>
        </w:rPr>
      </w:pPr>
      <w:r>
        <w:rPr>
          <w:rFonts w:hint="eastAsia"/>
          <w:highlight w:val="none"/>
        </w:rPr>
        <w:t>全过程工程咨询服务单位监督可行性研究报告编制单位组建专业齐全、技术资格合格、工作能力匹配、组织有序的团队承担编制任务；</w:t>
      </w:r>
    </w:p>
    <w:p w14:paraId="420F62AA">
      <w:pPr>
        <w:pStyle w:val="175"/>
        <w:numPr>
          <w:ilvl w:val="0"/>
          <w:numId w:val="42"/>
        </w:numPr>
        <w:rPr>
          <w:rFonts w:hint="eastAsia"/>
          <w:highlight w:val="none"/>
        </w:rPr>
      </w:pPr>
      <w:r>
        <w:rPr>
          <w:rFonts w:hint="eastAsia"/>
          <w:highlight w:val="none"/>
        </w:rPr>
        <w:t>全过程工程咨询服务单位根据项目特点和工程进度的总体要求，对可行性研究报告编制团队制定的工作计划和可行性研究报告编制大纲提出意见，并以双方认定的工作计划和编制大纲为依据开展工作；</w:t>
      </w:r>
    </w:p>
    <w:p w14:paraId="07C2A422">
      <w:pPr>
        <w:pStyle w:val="175"/>
        <w:numPr>
          <w:ilvl w:val="0"/>
          <w:numId w:val="42"/>
        </w:numPr>
        <w:rPr>
          <w:rFonts w:hint="eastAsia"/>
          <w:highlight w:val="none"/>
        </w:rPr>
      </w:pPr>
      <w:r>
        <w:rPr>
          <w:rFonts w:hint="eastAsia"/>
          <w:highlight w:val="none"/>
        </w:rPr>
        <w:t>可行性研究报告的编制格式、内容和深度达到规定要求；</w:t>
      </w:r>
    </w:p>
    <w:p w14:paraId="5144761B">
      <w:pPr>
        <w:pStyle w:val="175"/>
        <w:numPr>
          <w:ilvl w:val="0"/>
          <w:numId w:val="42"/>
        </w:numPr>
        <w:rPr>
          <w:rFonts w:hint="eastAsia"/>
          <w:highlight w:val="none"/>
        </w:rPr>
      </w:pPr>
      <w:r>
        <w:rPr>
          <w:rFonts w:hint="eastAsia"/>
          <w:highlight w:val="none"/>
        </w:rPr>
        <w:t>全过程工程咨询服务单位对可行性研究报告编制实施全过程管理监督，在报告初稿形成后，提出修改完善意见；</w:t>
      </w:r>
    </w:p>
    <w:p w14:paraId="4369CF3A">
      <w:pPr>
        <w:pStyle w:val="175"/>
        <w:numPr>
          <w:ilvl w:val="0"/>
          <w:numId w:val="42"/>
        </w:numPr>
        <w:rPr>
          <w:rFonts w:hint="eastAsia"/>
          <w:highlight w:val="none"/>
        </w:rPr>
      </w:pPr>
      <w:r>
        <w:rPr>
          <w:rFonts w:hint="eastAsia"/>
          <w:highlight w:val="none"/>
        </w:rPr>
        <w:t>全过程工程咨询服务单位组织可行性研究报告成果的评审和验收，并按照国家、地方和行业的相关规定，完成论证和报审工作；</w:t>
      </w:r>
    </w:p>
    <w:p w14:paraId="4E260E7D">
      <w:pPr>
        <w:pStyle w:val="175"/>
        <w:numPr>
          <w:ilvl w:val="0"/>
          <w:numId w:val="42"/>
        </w:numPr>
        <w:rPr>
          <w:rFonts w:hint="eastAsia"/>
          <w:highlight w:val="none"/>
        </w:rPr>
      </w:pPr>
      <w:r>
        <w:rPr>
          <w:rFonts w:hint="eastAsia"/>
          <w:highlight w:val="none"/>
        </w:rPr>
        <w:t>可行性研究报告编制包括调查收集资料、制定技术路线、编制方案及评价、撰写研究报告、成果验收报审、评审修改完善等工作阶段</w:t>
      </w:r>
      <w:r>
        <w:rPr>
          <w:rFonts w:hint="eastAsia"/>
          <w:highlight w:val="none"/>
          <w:lang w:eastAsia="zh-CN"/>
        </w:rPr>
        <w:t>。</w:t>
      </w:r>
    </w:p>
    <w:p w14:paraId="2C1ED557">
      <w:pPr>
        <w:pStyle w:val="166"/>
        <w:rPr>
          <w:rFonts w:hint="eastAsia"/>
          <w:highlight w:val="none"/>
        </w:rPr>
      </w:pPr>
      <w:r>
        <w:rPr>
          <w:rFonts w:hint="eastAsia"/>
          <w:highlight w:val="none"/>
        </w:rPr>
        <w:t>可行性研究报告编制应注意下列事项：</w:t>
      </w:r>
    </w:p>
    <w:p w14:paraId="042FEBBB">
      <w:pPr>
        <w:pStyle w:val="175"/>
        <w:numPr>
          <w:ilvl w:val="0"/>
          <w:numId w:val="60"/>
        </w:numPr>
        <w:rPr>
          <w:rFonts w:hint="eastAsia"/>
          <w:highlight w:val="none"/>
        </w:rPr>
      </w:pPr>
      <w:r>
        <w:rPr>
          <w:rFonts w:hint="eastAsia"/>
          <w:highlight w:val="none"/>
        </w:rPr>
        <w:t>规划政策符合性：依据国家、地方、行业的相关规划及重大项目建设计划，阐述项目与经济社会发展规划、区域规划、专项规划、国土空间规划等重大规划的衔接性，确保项目符合相关法律法规和产业政策，符合有关技术标准、规范和审批要求等规定。</w:t>
      </w:r>
    </w:p>
    <w:p w14:paraId="04A5C988">
      <w:pPr>
        <w:pStyle w:val="175"/>
        <w:numPr>
          <w:ilvl w:val="0"/>
          <w:numId w:val="42"/>
        </w:numPr>
        <w:rPr>
          <w:rFonts w:hint="eastAsia"/>
          <w:highlight w:val="none"/>
        </w:rPr>
      </w:pPr>
      <w:r>
        <w:rPr>
          <w:rFonts w:hint="eastAsia"/>
          <w:highlight w:val="none"/>
        </w:rPr>
        <w:t>建设必要性：阐述项目建设背景，从存在的问题、重大战略和规划、产业政策、社会经济发展、项目单位履职尽责等层面，论证项目建设必要性和建设时机的适当性。</w:t>
      </w:r>
    </w:p>
    <w:p w14:paraId="2CEC0538">
      <w:pPr>
        <w:pStyle w:val="175"/>
        <w:numPr>
          <w:ilvl w:val="0"/>
          <w:numId w:val="42"/>
        </w:numPr>
        <w:rPr>
          <w:rFonts w:hint="eastAsia"/>
          <w:highlight w:val="none"/>
        </w:rPr>
      </w:pPr>
      <w:r>
        <w:rPr>
          <w:rFonts w:hint="eastAsia"/>
          <w:highlight w:val="none"/>
        </w:rPr>
        <w:t>需求及产出方案准确性：在调查项目所涉产品或服务需求现状的基础上，通过对历史、现状资料研究，分析产品或服务的可接受性或市场需求潜力，对未来的市场需求、投资效益或效果进行预测和评估，提出项目功能定位、近期和远期目标、产品或服务的需求总量及结构。</w:t>
      </w:r>
    </w:p>
    <w:p w14:paraId="44DFD7EA">
      <w:pPr>
        <w:pStyle w:val="175"/>
        <w:numPr>
          <w:ilvl w:val="0"/>
          <w:numId w:val="42"/>
        </w:numPr>
        <w:rPr>
          <w:rFonts w:hint="eastAsia"/>
          <w:highlight w:val="none"/>
        </w:rPr>
      </w:pPr>
      <w:r>
        <w:rPr>
          <w:rFonts w:hint="eastAsia"/>
          <w:highlight w:val="none"/>
        </w:rPr>
        <w:t>要素保障可支撑性：统筹考虑影响项目可行性的各种因素，结合项目需要，做好项目用地、能效水平、环境容量、资源利用等要素的承载力分析，做好与单独开展的专项评价评估的协调、衔接。</w:t>
      </w:r>
    </w:p>
    <w:p w14:paraId="7F34A2FF">
      <w:pPr>
        <w:pStyle w:val="175"/>
        <w:numPr>
          <w:ilvl w:val="0"/>
          <w:numId w:val="42"/>
        </w:numPr>
        <w:rPr>
          <w:rFonts w:hint="eastAsia"/>
          <w:highlight w:val="none"/>
        </w:rPr>
      </w:pPr>
      <w:r>
        <w:rPr>
          <w:rFonts w:hint="eastAsia"/>
          <w:highlight w:val="none"/>
        </w:rPr>
        <w:t>方案可行性和合理性：通过技术、设备、建设方案的比选，选择与投资决策精度和项目审批深度要求相适应的技术、设备配置、建筑（或市政）工程技术方案。涉及土地征收的项目要提出合理可行的征收补偿方案。具备条件的项目宜提出数字化应用方案。建设管理方案要切实、可行，具有可操作性。</w:t>
      </w:r>
    </w:p>
    <w:p w14:paraId="52D7A4D7">
      <w:pPr>
        <w:pStyle w:val="175"/>
        <w:numPr>
          <w:ilvl w:val="0"/>
          <w:numId w:val="42"/>
        </w:numPr>
        <w:rPr>
          <w:rFonts w:hint="eastAsia"/>
          <w:highlight w:val="none"/>
        </w:rPr>
      </w:pPr>
      <w:r>
        <w:rPr>
          <w:rFonts w:hint="eastAsia"/>
          <w:highlight w:val="none"/>
        </w:rPr>
        <w:t>运营有效性：项目建成后运营方案的可行性研究要重视运营模</w:t>
      </w:r>
      <w:r>
        <w:rPr>
          <w:rFonts w:hint="eastAsia"/>
          <w:highlight w:val="none"/>
          <w:lang w:eastAsia="zh-CN"/>
        </w:rPr>
        <w:t>式的</w:t>
      </w:r>
      <w:r>
        <w:rPr>
          <w:rFonts w:hint="eastAsia"/>
          <w:highlight w:val="none"/>
        </w:rPr>
        <w:t>选择和创新，政府投资项目要评价市场化运营的可行性和利益相关方的可接受性，企业投资项目要确定生产经营方案；项目运营需要研究运营组织方案，并制定项目全生命周期关键绩效指标和绩效管理机制，提出绩效管理方案。</w:t>
      </w:r>
    </w:p>
    <w:p w14:paraId="55498551">
      <w:pPr>
        <w:pStyle w:val="175"/>
        <w:numPr>
          <w:ilvl w:val="0"/>
          <w:numId w:val="42"/>
        </w:numPr>
        <w:rPr>
          <w:rFonts w:hint="eastAsia"/>
          <w:highlight w:val="none"/>
        </w:rPr>
      </w:pPr>
      <w:r>
        <w:rPr>
          <w:rFonts w:hint="eastAsia"/>
          <w:highlight w:val="none"/>
        </w:rPr>
        <w:t>风险可控性：全面分析、预测、规避各类风险，提出切实可行、合理有效的风险规避策略及方法。</w:t>
      </w:r>
    </w:p>
    <w:p w14:paraId="6F453DA3">
      <w:pPr>
        <w:pStyle w:val="175"/>
        <w:numPr>
          <w:ilvl w:val="0"/>
          <w:numId w:val="42"/>
        </w:numPr>
        <w:rPr>
          <w:highlight w:val="none"/>
        </w:rPr>
      </w:pPr>
      <w:r>
        <w:rPr>
          <w:rFonts w:hint="eastAsia"/>
          <w:highlight w:val="none"/>
        </w:rPr>
        <w:t>项目投融资与财务方案应包括：</w:t>
      </w:r>
    </w:p>
    <w:p w14:paraId="6712400B">
      <w:pPr>
        <w:pStyle w:val="110"/>
        <w:numPr>
          <w:ilvl w:val="1"/>
          <w:numId w:val="42"/>
        </w:numPr>
        <w:rPr>
          <w:highlight w:val="none"/>
        </w:rPr>
      </w:pPr>
      <w:r>
        <w:rPr>
          <w:rFonts w:hint="eastAsia"/>
          <w:highlight w:val="none"/>
        </w:rPr>
        <w:t>投资估算；</w:t>
      </w:r>
    </w:p>
    <w:p w14:paraId="2EE1AE89">
      <w:pPr>
        <w:pStyle w:val="110"/>
        <w:numPr>
          <w:ilvl w:val="1"/>
          <w:numId w:val="42"/>
        </w:numPr>
        <w:rPr>
          <w:highlight w:val="none"/>
        </w:rPr>
      </w:pPr>
      <w:r>
        <w:rPr>
          <w:rFonts w:hint="eastAsia"/>
          <w:highlight w:val="none"/>
        </w:rPr>
        <w:t>盈利能力分析；</w:t>
      </w:r>
    </w:p>
    <w:p w14:paraId="03B7E2C2">
      <w:pPr>
        <w:pStyle w:val="110"/>
        <w:numPr>
          <w:ilvl w:val="1"/>
          <w:numId w:val="42"/>
        </w:numPr>
        <w:rPr>
          <w:highlight w:val="none"/>
        </w:rPr>
      </w:pPr>
      <w:r>
        <w:rPr>
          <w:rFonts w:hint="eastAsia"/>
          <w:highlight w:val="none"/>
        </w:rPr>
        <w:t>投融资方案；</w:t>
      </w:r>
    </w:p>
    <w:p w14:paraId="20531183">
      <w:pPr>
        <w:pStyle w:val="110"/>
        <w:numPr>
          <w:ilvl w:val="1"/>
          <w:numId w:val="42"/>
        </w:numPr>
        <w:rPr>
          <w:highlight w:val="none"/>
        </w:rPr>
      </w:pPr>
      <w:r>
        <w:rPr>
          <w:rFonts w:hint="eastAsia"/>
          <w:highlight w:val="none"/>
        </w:rPr>
        <w:t>债务清偿能力分析；</w:t>
      </w:r>
    </w:p>
    <w:p w14:paraId="7505DA0B">
      <w:pPr>
        <w:pStyle w:val="110"/>
        <w:numPr>
          <w:ilvl w:val="1"/>
          <w:numId w:val="42"/>
        </w:numPr>
        <w:rPr>
          <w:rFonts w:hint="eastAsia"/>
          <w:highlight w:val="none"/>
        </w:rPr>
      </w:pPr>
      <w:r>
        <w:rPr>
          <w:rFonts w:hint="eastAsia"/>
          <w:highlight w:val="none"/>
        </w:rPr>
        <w:t>财务可持续性分析等。</w:t>
      </w:r>
    </w:p>
    <w:p w14:paraId="1DE6CF79">
      <w:pPr>
        <w:pStyle w:val="106"/>
        <w:spacing w:before="156" w:after="156"/>
        <w:rPr>
          <w:rFonts w:hint="eastAsia"/>
          <w:highlight w:val="none"/>
        </w:rPr>
      </w:pPr>
      <w:bookmarkStart w:id="93" w:name="_Toc30416"/>
      <w:r>
        <w:rPr>
          <w:rFonts w:hint="eastAsia"/>
          <w:highlight w:val="none"/>
        </w:rPr>
        <w:t>投资估算</w:t>
      </w:r>
      <w:bookmarkEnd w:id="93"/>
    </w:p>
    <w:p w14:paraId="56750D5E">
      <w:pPr>
        <w:pStyle w:val="166"/>
        <w:rPr>
          <w:rFonts w:hint="eastAsia"/>
          <w:highlight w:val="none"/>
        </w:rPr>
      </w:pPr>
      <w:r>
        <w:rPr>
          <w:rFonts w:hint="eastAsia"/>
          <w:highlight w:val="none"/>
        </w:rPr>
        <w:t>前期咨询投资估算的目标如下：</w:t>
      </w:r>
    </w:p>
    <w:p w14:paraId="3DF7796D">
      <w:pPr>
        <w:pStyle w:val="175"/>
        <w:numPr>
          <w:ilvl w:val="0"/>
          <w:numId w:val="61"/>
        </w:numPr>
        <w:rPr>
          <w:rFonts w:hint="eastAsia"/>
          <w:highlight w:val="none"/>
        </w:rPr>
      </w:pPr>
      <w:r>
        <w:rPr>
          <w:rFonts w:hint="eastAsia"/>
          <w:highlight w:val="none"/>
        </w:rPr>
        <w:t>通过初步估算总投资，帮助业主或投资方判断项目是否具备经济可行性；</w:t>
      </w:r>
    </w:p>
    <w:p w14:paraId="3C6E0FE3">
      <w:pPr>
        <w:pStyle w:val="175"/>
        <w:numPr>
          <w:ilvl w:val="0"/>
          <w:numId w:val="42"/>
        </w:numPr>
        <w:rPr>
          <w:rFonts w:hint="eastAsia"/>
          <w:highlight w:val="none"/>
        </w:rPr>
      </w:pPr>
      <w:r>
        <w:rPr>
          <w:rFonts w:hint="eastAsia"/>
          <w:highlight w:val="none"/>
        </w:rPr>
        <w:t>明确资金需求，防止后期因预算不足导致项目中断或超支；</w:t>
      </w:r>
    </w:p>
    <w:p w14:paraId="448E3267">
      <w:pPr>
        <w:pStyle w:val="175"/>
        <w:numPr>
          <w:ilvl w:val="0"/>
          <w:numId w:val="42"/>
        </w:numPr>
        <w:rPr>
          <w:rFonts w:hint="eastAsia"/>
          <w:highlight w:val="none"/>
        </w:rPr>
      </w:pPr>
      <w:r>
        <w:rPr>
          <w:rFonts w:hint="eastAsia"/>
          <w:highlight w:val="none"/>
        </w:rPr>
        <w:t>初步分配资金到各分项（如设计、施工、设备采购等），避免资源浪费。</w:t>
      </w:r>
    </w:p>
    <w:p w14:paraId="1BBACD32">
      <w:pPr>
        <w:pStyle w:val="166"/>
        <w:rPr>
          <w:rFonts w:hint="eastAsia"/>
          <w:highlight w:val="none"/>
        </w:rPr>
      </w:pPr>
      <w:r>
        <w:rPr>
          <w:rFonts w:hint="eastAsia"/>
          <w:highlight w:val="none"/>
        </w:rPr>
        <w:t>投资估算的编制依据需综合项目基础资料、技术经济参数、市场价格、政策规范等多维度信息，通过科学方法实现成本预测，最终目标是为项目决策提供可靠的经济依据，并控制总投资在合理范围内。</w:t>
      </w:r>
    </w:p>
    <w:p w14:paraId="251590A2">
      <w:pPr>
        <w:pStyle w:val="166"/>
        <w:rPr>
          <w:rFonts w:hint="eastAsia"/>
          <w:highlight w:val="none"/>
        </w:rPr>
      </w:pPr>
      <w:r>
        <w:rPr>
          <w:rFonts w:hint="eastAsia"/>
          <w:highlight w:val="none"/>
        </w:rPr>
        <w:t>在项目前期阶段，投资估算的编制内容是围绕项目全生命周期内的各项成本进行系统性分解与预测，涵盖从前期准备到竣工验收的所有费用。其核心内容通常包括以下部分：</w:t>
      </w:r>
    </w:p>
    <w:p w14:paraId="4FABFC0D">
      <w:pPr>
        <w:pStyle w:val="175"/>
        <w:numPr>
          <w:ilvl w:val="0"/>
          <w:numId w:val="62"/>
        </w:numPr>
        <w:rPr>
          <w:rFonts w:hint="eastAsia"/>
          <w:highlight w:val="none"/>
        </w:rPr>
      </w:pPr>
      <w:r>
        <w:rPr>
          <w:rFonts w:hint="eastAsia"/>
          <w:highlight w:val="none"/>
        </w:rPr>
        <w:t>工程费用：建筑工程费、安装工程费</w:t>
      </w:r>
      <w:r>
        <w:rPr>
          <w:rFonts w:hint="eastAsia"/>
          <w:lang w:eastAsia="zh-CN"/>
        </w:rPr>
        <w:t>、</w:t>
      </w:r>
      <w:r>
        <w:rPr>
          <w:rFonts w:hint="eastAsia"/>
          <w:highlight w:val="none"/>
        </w:rPr>
        <w:t>设备及工器具购置费；</w:t>
      </w:r>
    </w:p>
    <w:p w14:paraId="070810CC">
      <w:pPr>
        <w:pStyle w:val="175"/>
        <w:numPr>
          <w:ilvl w:val="0"/>
          <w:numId w:val="42"/>
        </w:numPr>
        <w:rPr>
          <w:rFonts w:hint="eastAsia"/>
          <w:highlight w:val="none"/>
        </w:rPr>
      </w:pPr>
      <w:r>
        <w:rPr>
          <w:rFonts w:hint="eastAsia"/>
          <w:highlight w:val="none"/>
        </w:rPr>
        <w:t>工程建设其他费用：前期咨询费、土地使用费、建设单位管理费、临时设施费、其他专项费用；</w:t>
      </w:r>
    </w:p>
    <w:p w14:paraId="4441D959">
      <w:pPr>
        <w:pStyle w:val="175"/>
        <w:numPr>
          <w:ilvl w:val="0"/>
          <w:numId w:val="42"/>
        </w:numPr>
        <w:rPr>
          <w:rFonts w:hint="eastAsia"/>
          <w:highlight w:val="none"/>
        </w:rPr>
      </w:pPr>
      <w:r>
        <w:rPr>
          <w:rFonts w:hint="eastAsia"/>
          <w:highlight w:val="none"/>
        </w:rPr>
        <w:t>预备费：基本预备费、涨价预备费；</w:t>
      </w:r>
    </w:p>
    <w:p w14:paraId="3722C4D2">
      <w:pPr>
        <w:pStyle w:val="175"/>
        <w:numPr>
          <w:ilvl w:val="0"/>
          <w:numId w:val="42"/>
        </w:numPr>
        <w:rPr>
          <w:rFonts w:hint="eastAsia"/>
          <w:highlight w:val="none"/>
        </w:rPr>
      </w:pPr>
      <w:r>
        <w:rPr>
          <w:rFonts w:hint="eastAsia"/>
          <w:highlight w:val="none"/>
        </w:rPr>
        <w:t>建设期利息；</w:t>
      </w:r>
    </w:p>
    <w:p w14:paraId="7C31E7D7">
      <w:pPr>
        <w:pStyle w:val="175"/>
        <w:numPr>
          <w:ilvl w:val="0"/>
          <w:numId w:val="42"/>
        </w:numPr>
        <w:rPr>
          <w:rFonts w:hint="eastAsia"/>
          <w:highlight w:val="none"/>
        </w:rPr>
      </w:pPr>
      <w:r>
        <w:rPr>
          <w:rFonts w:hint="eastAsia"/>
          <w:highlight w:val="none"/>
        </w:rPr>
        <w:t>流动资金（经营性项目）。</w:t>
      </w:r>
    </w:p>
    <w:p w14:paraId="2CD7914B">
      <w:pPr>
        <w:pStyle w:val="166"/>
        <w:rPr>
          <w:rFonts w:hint="eastAsia"/>
          <w:highlight w:val="none"/>
        </w:rPr>
      </w:pPr>
      <w:r>
        <w:rPr>
          <w:rFonts w:hint="eastAsia"/>
          <w:highlight w:val="none"/>
        </w:rPr>
        <w:t>投资估算的编制流程如下：</w:t>
      </w:r>
    </w:p>
    <w:p w14:paraId="0250F6BB">
      <w:pPr>
        <w:pStyle w:val="175"/>
        <w:numPr>
          <w:ilvl w:val="0"/>
          <w:numId w:val="63"/>
        </w:numPr>
        <w:rPr>
          <w:rFonts w:hint="eastAsia"/>
          <w:highlight w:val="none"/>
        </w:rPr>
      </w:pPr>
      <w:r>
        <w:rPr>
          <w:rFonts w:hint="eastAsia"/>
          <w:highlight w:val="none"/>
        </w:rPr>
        <w:t>明确编制目标与范围；</w:t>
      </w:r>
    </w:p>
    <w:p w14:paraId="426C182F">
      <w:pPr>
        <w:pStyle w:val="175"/>
        <w:numPr>
          <w:ilvl w:val="0"/>
          <w:numId w:val="42"/>
        </w:numPr>
        <w:rPr>
          <w:rFonts w:hint="eastAsia"/>
          <w:highlight w:val="none"/>
        </w:rPr>
      </w:pPr>
      <w:r>
        <w:rPr>
          <w:rFonts w:hint="eastAsia"/>
          <w:highlight w:val="none"/>
        </w:rPr>
        <w:t>收集基础资料：项目资料、市场数据、政策文件等；</w:t>
      </w:r>
    </w:p>
    <w:p w14:paraId="171067F9">
      <w:pPr>
        <w:pStyle w:val="175"/>
        <w:numPr>
          <w:ilvl w:val="0"/>
          <w:numId w:val="42"/>
        </w:numPr>
        <w:rPr>
          <w:rFonts w:hint="eastAsia"/>
          <w:highlight w:val="none"/>
        </w:rPr>
      </w:pPr>
      <w:r>
        <w:rPr>
          <w:rFonts w:hint="eastAsia"/>
          <w:highlight w:val="none"/>
        </w:rPr>
        <w:t>组建编制团队；</w:t>
      </w:r>
    </w:p>
    <w:p w14:paraId="2CE488DE">
      <w:pPr>
        <w:pStyle w:val="175"/>
        <w:numPr>
          <w:ilvl w:val="0"/>
          <w:numId w:val="42"/>
        </w:numPr>
        <w:rPr>
          <w:rFonts w:hint="eastAsia"/>
          <w:highlight w:val="none"/>
        </w:rPr>
      </w:pPr>
      <w:r>
        <w:rPr>
          <w:rFonts w:hint="eastAsia"/>
          <w:highlight w:val="none"/>
        </w:rPr>
        <w:t>划分投资构成；</w:t>
      </w:r>
    </w:p>
    <w:p w14:paraId="478B3F58">
      <w:pPr>
        <w:pStyle w:val="175"/>
        <w:numPr>
          <w:ilvl w:val="0"/>
          <w:numId w:val="42"/>
        </w:numPr>
        <w:rPr>
          <w:rFonts w:hint="eastAsia"/>
          <w:highlight w:val="none"/>
        </w:rPr>
      </w:pPr>
      <w:r>
        <w:rPr>
          <w:rFonts w:hint="eastAsia"/>
          <w:highlight w:val="none"/>
        </w:rPr>
        <w:t>编制投资估算表；</w:t>
      </w:r>
    </w:p>
    <w:p w14:paraId="0F002423">
      <w:pPr>
        <w:pStyle w:val="175"/>
        <w:numPr>
          <w:ilvl w:val="0"/>
          <w:numId w:val="42"/>
        </w:numPr>
        <w:rPr>
          <w:rFonts w:hint="eastAsia"/>
          <w:highlight w:val="none"/>
        </w:rPr>
      </w:pPr>
      <w:r>
        <w:rPr>
          <w:rFonts w:hint="eastAsia"/>
          <w:highlight w:val="none"/>
        </w:rPr>
        <w:t>汇总总投资；</w:t>
      </w:r>
    </w:p>
    <w:p w14:paraId="06E6D85F">
      <w:pPr>
        <w:pStyle w:val="175"/>
        <w:numPr>
          <w:ilvl w:val="0"/>
          <w:numId w:val="42"/>
        </w:numPr>
        <w:rPr>
          <w:rFonts w:hint="eastAsia"/>
          <w:highlight w:val="none"/>
        </w:rPr>
      </w:pPr>
      <w:r>
        <w:rPr>
          <w:rFonts w:hint="eastAsia"/>
          <w:highlight w:val="none"/>
        </w:rPr>
        <w:t>横向对比验证；</w:t>
      </w:r>
    </w:p>
    <w:p w14:paraId="2696126A">
      <w:pPr>
        <w:pStyle w:val="175"/>
        <w:numPr>
          <w:ilvl w:val="0"/>
          <w:numId w:val="42"/>
        </w:numPr>
        <w:rPr>
          <w:rFonts w:hint="eastAsia"/>
          <w:highlight w:val="none"/>
        </w:rPr>
      </w:pPr>
      <w:r>
        <w:rPr>
          <w:rFonts w:hint="eastAsia"/>
          <w:highlight w:val="none"/>
        </w:rPr>
        <w:t>专家评审与修正。</w:t>
      </w:r>
    </w:p>
    <w:p w14:paraId="49E11848">
      <w:pPr>
        <w:pStyle w:val="166"/>
        <w:rPr>
          <w:rFonts w:hint="eastAsia"/>
          <w:highlight w:val="none"/>
        </w:rPr>
      </w:pPr>
      <w:r>
        <w:rPr>
          <w:rFonts w:hint="eastAsia"/>
          <w:highlight w:val="none"/>
        </w:rPr>
        <w:t>投资估算的编制应注意下列事项：</w:t>
      </w:r>
    </w:p>
    <w:p w14:paraId="2AC36AFE">
      <w:pPr>
        <w:pStyle w:val="175"/>
        <w:numPr>
          <w:ilvl w:val="0"/>
          <w:numId w:val="64"/>
        </w:numPr>
        <w:rPr>
          <w:rFonts w:hint="eastAsia"/>
          <w:highlight w:val="none"/>
        </w:rPr>
      </w:pPr>
      <w:r>
        <w:rPr>
          <w:rFonts w:hint="eastAsia"/>
          <w:highlight w:val="none"/>
        </w:rPr>
        <w:t>与项目建议书和可行性研究报告的编写深度相适应；</w:t>
      </w:r>
    </w:p>
    <w:p w14:paraId="5D0BEF60">
      <w:pPr>
        <w:pStyle w:val="175"/>
        <w:numPr>
          <w:ilvl w:val="0"/>
          <w:numId w:val="42"/>
        </w:numPr>
        <w:rPr>
          <w:rFonts w:hint="eastAsia"/>
          <w:highlight w:val="none"/>
        </w:rPr>
      </w:pPr>
      <w:r>
        <w:rPr>
          <w:rFonts w:hint="eastAsia"/>
          <w:highlight w:val="none"/>
        </w:rPr>
        <w:t>从实际出发，深入开展调查研究，掌握第一手资料，严禁弄虚作假；</w:t>
      </w:r>
    </w:p>
    <w:p w14:paraId="314BD08A">
      <w:pPr>
        <w:pStyle w:val="175"/>
        <w:numPr>
          <w:ilvl w:val="0"/>
          <w:numId w:val="42"/>
        </w:numPr>
        <w:rPr>
          <w:rFonts w:hint="eastAsia"/>
          <w:highlight w:val="none"/>
        </w:rPr>
      </w:pPr>
      <w:r>
        <w:rPr>
          <w:rFonts w:hint="eastAsia"/>
          <w:highlight w:val="none"/>
        </w:rPr>
        <w:t>合理利用资源，实现效益最高。</w:t>
      </w:r>
    </w:p>
    <w:p w14:paraId="6E1D6B9A">
      <w:pPr>
        <w:pStyle w:val="106"/>
        <w:spacing w:before="156" w:after="156"/>
        <w:rPr>
          <w:rFonts w:hint="eastAsia"/>
          <w:highlight w:val="none"/>
        </w:rPr>
      </w:pPr>
      <w:bookmarkStart w:id="94" w:name="_Toc13647"/>
      <w:r>
        <w:rPr>
          <w:rFonts w:hint="eastAsia"/>
          <w:highlight w:val="none"/>
        </w:rPr>
        <w:t>建设条件单项咨询服务</w:t>
      </w:r>
      <w:bookmarkEnd w:id="94"/>
    </w:p>
    <w:p w14:paraId="4B223503">
      <w:pPr>
        <w:pStyle w:val="166"/>
        <w:rPr>
          <w:rFonts w:hint="eastAsia"/>
          <w:highlight w:val="none"/>
        </w:rPr>
      </w:pPr>
      <w:r>
        <w:rPr>
          <w:rFonts w:hint="eastAsia"/>
          <w:highlight w:val="none"/>
        </w:rPr>
        <w:t>全过程工程咨询服务单位在提供前期咨询服务和开展项目可行性研究时，宜将如项目选址论证、环境影响评价等建设条件专项和多项的评价、论证、审查、报批报建等工作，一并纳入前期咨询服务范围和内容，提高项目可行性研究的完整性和集成度。</w:t>
      </w:r>
    </w:p>
    <w:p w14:paraId="7CB3B497">
      <w:pPr>
        <w:pStyle w:val="166"/>
        <w:rPr>
          <w:rFonts w:hint="eastAsia"/>
          <w:highlight w:val="none"/>
        </w:rPr>
      </w:pPr>
      <w:r>
        <w:rPr>
          <w:rFonts w:hint="eastAsia"/>
          <w:highlight w:val="none"/>
        </w:rPr>
        <w:t>全过程工程咨询服务单位可根据自身能力和条件，根据委托合同和项目实际情况，自行承担建设条件单项咨询服务或负责管理建设条件单项咨询服务的实施完成。</w:t>
      </w:r>
    </w:p>
    <w:p w14:paraId="4C6FB20C">
      <w:pPr>
        <w:pStyle w:val="166"/>
        <w:rPr>
          <w:rFonts w:hint="eastAsia"/>
          <w:highlight w:val="none"/>
        </w:rPr>
      </w:pPr>
      <w:r>
        <w:rPr>
          <w:rFonts w:hint="eastAsia"/>
          <w:highlight w:val="none"/>
        </w:rPr>
        <w:t>建设条件单项咨询服务和管理的范围和内容，包括但不限于：</w:t>
      </w:r>
    </w:p>
    <w:p w14:paraId="43FF4960">
      <w:pPr>
        <w:pStyle w:val="175"/>
        <w:numPr>
          <w:ilvl w:val="0"/>
          <w:numId w:val="65"/>
        </w:numPr>
        <w:rPr>
          <w:rFonts w:hint="eastAsia"/>
          <w:highlight w:val="none"/>
        </w:rPr>
      </w:pPr>
      <w:r>
        <w:rPr>
          <w:rFonts w:hint="eastAsia"/>
          <w:highlight w:val="none"/>
        </w:rPr>
        <w:t>建设项目用地与选址论证：根据项目资料收集与调查，完成项目选址方案，对项目选址方案分析，形成结论和建议，其主要咨询服务成果为《项目选址论证报告》；</w:t>
      </w:r>
    </w:p>
    <w:p w14:paraId="4D81C933">
      <w:pPr>
        <w:pStyle w:val="175"/>
        <w:numPr>
          <w:ilvl w:val="0"/>
          <w:numId w:val="42"/>
        </w:numPr>
        <w:rPr>
          <w:rFonts w:hint="eastAsia"/>
          <w:highlight w:val="none"/>
        </w:rPr>
      </w:pPr>
      <w:r>
        <w:rPr>
          <w:rFonts w:hint="eastAsia"/>
          <w:highlight w:val="none"/>
        </w:rPr>
        <w:t>建设项目环境影响评价：对项目周围环境现状调查，</w:t>
      </w:r>
      <w:r>
        <w:rPr>
          <w:rFonts w:hint="eastAsia"/>
          <w:highlight w:val="none"/>
          <w:lang w:eastAsia="zh-CN"/>
        </w:rPr>
        <w:t>针对</w:t>
      </w:r>
      <w:r>
        <w:rPr>
          <w:rFonts w:hint="eastAsia"/>
          <w:highlight w:val="none"/>
        </w:rPr>
        <w:t>项目对环境（自然、社会）可能造成影响的分析、预测和评价；论证项目环境保护措施及其技术、经济可行性，形成项目实施环境管理及监测的建议；对风险评价及公众参与、清洁生产和循环经济、总量控制、对环境影响的经济损益进行分析，形成环境影响评价的结论等主要咨询服务成果为《环境影响报告书》《环境影响报告表</w:t>
      </w:r>
      <w:r>
        <w:rPr>
          <w:rFonts w:hint="eastAsia"/>
          <w:highlight w:val="none"/>
          <w:lang w:eastAsia="zh-CN"/>
        </w:rPr>
        <w:t>》《</w:t>
      </w:r>
      <w:r>
        <w:rPr>
          <w:rFonts w:hint="eastAsia"/>
          <w:highlight w:val="none"/>
        </w:rPr>
        <w:t>项目环境影响登记表》；</w:t>
      </w:r>
    </w:p>
    <w:p w14:paraId="3E049378">
      <w:pPr>
        <w:pStyle w:val="175"/>
        <w:numPr>
          <w:ilvl w:val="0"/>
          <w:numId w:val="42"/>
        </w:numPr>
        <w:rPr>
          <w:rFonts w:hint="eastAsia"/>
          <w:highlight w:val="none"/>
        </w:rPr>
      </w:pPr>
      <w:r>
        <w:rPr>
          <w:rFonts w:hint="eastAsia"/>
          <w:highlight w:val="none"/>
        </w:rPr>
        <w:t>节能评价：对项目能源供应情况、用能方案、用能工艺和用能设备、项目能源消耗及能效水平进行分析，对节能措施进行评估，形成结论、存在问题及建议。主要咨询服务成果为《固定资产投资项目节能报告》《固定资产投资项目节能登记表》；</w:t>
      </w:r>
    </w:p>
    <w:p w14:paraId="07918009">
      <w:pPr>
        <w:pStyle w:val="175"/>
        <w:numPr>
          <w:ilvl w:val="0"/>
          <w:numId w:val="42"/>
        </w:numPr>
        <w:rPr>
          <w:rFonts w:hint="eastAsia"/>
          <w:highlight w:val="none"/>
        </w:rPr>
      </w:pPr>
      <w:r>
        <w:rPr>
          <w:rFonts w:hint="eastAsia"/>
          <w:highlight w:val="none"/>
        </w:rPr>
        <w:t>社会稳定风险分析：围绕项目建设合法性、合理性、可行性和可控性等方面的风险调查，针对利益相关者对项目的态度，全面查找、归纳、分析可能引发社会稳定风险的因素，采用定性与定量相结合的风险分析方法，对主要风险因素的风险程度进行风险估计，研究提出风险防</w:t>
      </w:r>
      <w:r>
        <w:rPr>
          <w:rFonts w:hint="eastAsia"/>
          <w:highlight w:val="none"/>
          <w:lang w:eastAsia="zh-CN"/>
        </w:rPr>
        <w:t>范和</w:t>
      </w:r>
      <w:r>
        <w:rPr>
          <w:rFonts w:hint="eastAsia"/>
          <w:highlight w:val="none"/>
        </w:rPr>
        <w:t>化解措施，对项目采取风险防范和化解措施后的风险水平进行预测、评价，确定风险等级。其主要咨询服务成果为《社会稳定风险分析报告》和《社会稳定风险评估报告》；</w:t>
      </w:r>
    </w:p>
    <w:p w14:paraId="343AB5ED">
      <w:pPr>
        <w:pStyle w:val="175"/>
        <w:numPr>
          <w:ilvl w:val="0"/>
          <w:numId w:val="42"/>
        </w:numPr>
        <w:rPr>
          <w:rFonts w:hint="eastAsia"/>
          <w:highlight w:val="none"/>
        </w:rPr>
      </w:pPr>
      <w:r>
        <w:rPr>
          <w:rFonts w:hint="eastAsia"/>
          <w:highlight w:val="none"/>
        </w:rPr>
        <w:t>建设项目压覆重要矿产资源评估：建设项目压覆重要矿产资源评估主要内容应包括项目基本情况、项目选址工作区地质矿产情况，主要确定压覆矿产的矿种、种类、面积及压覆矿产资源/储量的类型、质量、数量、经济价值、矿业权归属情况等。工程咨询机构应根据建设项目压覆重要矿产资源评估结论，协助委托方向有权限的自然资源主管部门报批。主要咨询服务成果为《建设项目压覆重要矿产资源评估报告》；</w:t>
      </w:r>
    </w:p>
    <w:p w14:paraId="58A4D874">
      <w:pPr>
        <w:pStyle w:val="175"/>
        <w:numPr>
          <w:ilvl w:val="0"/>
          <w:numId w:val="42"/>
        </w:numPr>
        <w:rPr>
          <w:rFonts w:hint="eastAsia"/>
          <w:highlight w:val="none"/>
        </w:rPr>
      </w:pPr>
      <w:r>
        <w:rPr>
          <w:rFonts w:hint="eastAsia"/>
          <w:highlight w:val="none"/>
        </w:rPr>
        <w:t>生产建设项目水土保持评价：对项目水土保持进行评价，对项目水土流失分析与预测，完成水土保持措施设计、水土保持监测设计，对水土保持投资估算与效益分析，对水土保持管理进行分析，形成结论与建议。主要咨询服务成果为《生产建设项目水土保持方案报告书》《生产建设项目水土保持方案报告表》；</w:t>
      </w:r>
    </w:p>
    <w:p w14:paraId="6BDB2025">
      <w:pPr>
        <w:pStyle w:val="175"/>
        <w:numPr>
          <w:ilvl w:val="0"/>
          <w:numId w:val="42"/>
        </w:numPr>
        <w:rPr>
          <w:rFonts w:hint="eastAsia"/>
          <w:highlight w:val="none"/>
        </w:rPr>
      </w:pPr>
      <w:r>
        <w:rPr>
          <w:rFonts w:hint="eastAsia"/>
          <w:highlight w:val="none"/>
        </w:rPr>
        <w:t>水资源论证：对规划水资源承载状况、规划需水、节水、实施影响、项目水资源及其利用开发状况、用水合理性进行分析，论证水资源配置、取水水源、取水影响、退水影响，提出水资源节约、保护及管理措施分析，形成结论与建议。主要咨询服务成果为《规划水资源论证报告书》《建设项目水资源论证报告书》和《建设项目水资源论证报告表》；</w:t>
      </w:r>
    </w:p>
    <w:p w14:paraId="08A869FF">
      <w:pPr>
        <w:pStyle w:val="175"/>
        <w:numPr>
          <w:ilvl w:val="0"/>
          <w:numId w:val="42"/>
        </w:numPr>
        <w:rPr>
          <w:rFonts w:hint="eastAsia"/>
          <w:highlight w:val="none"/>
        </w:rPr>
      </w:pPr>
      <w:r>
        <w:rPr>
          <w:rFonts w:hint="eastAsia"/>
          <w:highlight w:val="none"/>
        </w:rPr>
        <w:t>建设工程文物保护：全面掌握拟建项目建设地点、工程规划和设计方案、文物保护单位的具体情况等，开展建设工程对文物可能产生破坏或影响的评估。主要咨询服务成果为《建设工程对文物可能产生破坏或影响的评估报告》；</w:t>
      </w:r>
    </w:p>
    <w:p w14:paraId="1D89AF74">
      <w:pPr>
        <w:pStyle w:val="175"/>
        <w:numPr>
          <w:ilvl w:val="0"/>
          <w:numId w:val="42"/>
        </w:numPr>
        <w:rPr>
          <w:rFonts w:hint="eastAsia"/>
          <w:highlight w:val="none"/>
        </w:rPr>
      </w:pPr>
      <w:r>
        <w:rPr>
          <w:rFonts w:hint="eastAsia"/>
          <w:highlight w:val="none"/>
        </w:rPr>
        <w:t>建设项目防洪（洪水）影响评价：对于涉河建设项目、蓄滞洪区内建设非防洪建设项目，分析工程河段近期演变情况及其演变趋势，计算分析正常富水后的运行初期和实施近期阶段及竣工后，工程对河道洪水水位、蓄水期水位以及流速的影响大小和范围，分析工程实施对现有的水位、蓄水期水位以及流速的影响大小和范围，分析工程实施对现有的</w:t>
      </w:r>
      <w:r>
        <w:rPr>
          <w:rFonts w:hint="eastAsia"/>
          <w:highlight w:val="none"/>
          <w:lang w:eastAsia="zh-CN"/>
        </w:rPr>
        <w:t>防洪堤</w:t>
      </w:r>
      <w:r>
        <w:rPr>
          <w:rFonts w:hint="eastAsia"/>
          <w:highlight w:val="none"/>
        </w:rPr>
        <w:t>等水利工程以及涉水工程设施影响程度，进行工程对防洪以及河势影响评价。主要咨询服务成果为《防洪影响评价报告》（《洪水影响评价报告》）；</w:t>
      </w:r>
    </w:p>
    <w:p w14:paraId="47DDC8DF">
      <w:pPr>
        <w:pStyle w:val="175"/>
        <w:numPr>
          <w:ilvl w:val="0"/>
          <w:numId w:val="42"/>
        </w:numPr>
        <w:rPr>
          <w:rFonts w:hint="eastAsia"/>
          <w:highlight w:val="none"/>
        </w:rPr>
      </w:pPr>
      <w:r>
        <w:rPr>
          <w:rFonts w:hint="eastAsia"/>
          <w:highlight w:val="none"/>
        </w:rPr>
        <w:t>建设项目交通影响评价：确定交通影响评价的范围与年限，对评价范围内现状、各评价年限的土地利用与交通系统、交通需求、建设项目交通影响程度进行评价；提出对建设项目评价范围内的交通系统、建设项目选址、建设项目报审方案的改善建议；并对改善措施进行评价，形成结论和建议。主要咨询服务成果为《交通影响评价报告》；</w:t>
      </w:r>
    </w:p>
    <w:p w14:paraId="208A75FE">
      <w:pPr>
        <w:pStyle w:val="175"/>
        <w:numPr>
          <w:ilvl w:val="0"/>
          <w:numId w:val="42"/>
        </w:numPr>
        <w:rPr>
          <w:rFonts w:hint="eastAsia"/>
          <w:highlight w:val="none"/>
        </w:rPr>
      </w:pPr>
      <w:r>
        <w:rPr>
          <w:rFonts w:hint="eastAsia"/>
          <w:highlight w:val="none"/>
        </w:rPr>
        <w:t>地质灾害危险性评估：对项目地质环境条件调查、勘查，对地质灾害危险性现状评估；对项目建设中、建成后引发地质灾害危险性预测评估；对项目建设遭受地质灾害危险性预测评估；对地质灾害危险性综合评估及建设用地适宜性评价；分析提出防治措施，形成结论与建议。主要咨询服务成果为《地质灾害危险性评估报告》</w:t>
      </w:r>
      <w:r>
        <w:rPr>
          <w:rFonts w:hint="eastAsia"/>
          <w:highlight w:val="none"/>
          <w:lang w:eastAsia="zh-CN"/>
        </w:rPr>
        <w:t>；</w:t>
      </w:r>
    </w:p>
    <w:p w14:paraId="39620E8B">
      <w:pPr>
        <w:pStyle w:val="175"/>
        <w:numPr>
          <w:ilvl w:val="0"/>
          <w:numId w:val="42"/>
        </w:numPr>
        <w:rPr>
          <w:rFonts w:hint="eastAsia"/>
          <w:highlight w:val="none"/>
        </w:rPr>
      </w:pPr>
      <w:r>
        <w:rPr>
          <w:rFonts w:hint="eastAsia"/>
          <w:highlight w:val="none"/>
        </w:rPr>
        <w:t>生产、储存危险化学品建设项目安全条件评价：对新建、改建、扩建生产、储存危险化学品的建设项目，建设单位应当对建设项目进行安全条件论证，委托具备国家规定的资质条件的机构对建设项目进行安全评价，主要包括对危险、有害因素的</w:t>
      </w:r>
      <w:r>
        <w:rPr>
          <w:rFonts w:hint="eastAsia"/>
          <w:highlight w:val="none"/>
          <w:lang w:eastAsia="zh-CN"/>
        </w:rPr>
        <w:t>辨识</w:t>
      </w:r>
      <w:r>
        <w:rPr>
          <w:rFonts w:hint="eastAsia"/>
          <w:highlight w:val="none"/>
        </w:rPr>
        <w:t>，作业场所职业危害程度分析</w:t>
      </w:r>
      <w:r>
        <w:rPr>
          <w:rFonts w:hint="eastAsia"/>
          <w:highlight w:val="none"/>
          <w:lang w:eastAsia="zh-CN"/>
        </w:rPr>
        <w:t>；</w:t>
      </w:r>
      <w:r>
        <w:rPr>
          <w:rFonts w:hint="eastAsia"/>
          <w:highlight w:val="none"/>
        </w:rPr>
        <w:t>项目与周边社区的相互影响及风险程度分析，管理人员和技术人员配备的合理性分析。主要咨询服务成果为《建设项目安全条件评价报告》。</w:t>
      </w:r>
    </w:p>
    <w:p w14:paraId="0A62B2EB">
      <w:pPr>
        <w:pStyle w:val="105"/>
        <w:spacing w:before="312" w:after="312"/>
        <w:rPr>
          <w:highlight w:val="none"/>
        </w:rPr>
      </w:pPr>
      <w:bookmarkStart w:id="95" w:name="_Toc194135338"/>
      <w:bookmarkStart w:id="96" w:name="_Toc26699"/>
      <w:r>
        <w:rPr>
          <w:rFonts w:hint="eastAsia"/>
          <w:highlight w:val="none"/>
        </w:rPr>
        <w:t>项目报建服务</w:t>
      </w:r>
      <w:bookmarkEnd w:id="95"/>
      <w:bookmarkEnd w:id="96"/>
    </w:p>
    <w:p w14:paraId="6D8F39C1">
      <w:pPr>
        <w:pStyle w:val="106"/>
        <w:spacing w:before="156" w:after="156"/>
        <w:rPr>
          <w:highlight w:val="none"/>
        </w:rPr>
      </w:pPr>
      <w:bookmarkStart w:id="97" w:name="_Toc21596"/>
      <w:bookmarkStart w:id="98" w:name="_Toc194135339"/>
      <w:r>
        <w:rPr>
          <w:rFonts w:hint="eastAsia"/>
          <w:highlight w:val="none"/>
        </w:rPr>
        <w:t>一般规定</w:t>
      </w:r>
      <w:bookmarkEnd w:id="97"/>
      <w:bookmarkEnd w:id="98"/>
    </w:p>
    <w:p w14:paraId="1B3D0D3B">
      <w:pPr>
        <w:pStyle w:val="166"/>
        <w:rPr>
          <w:highlight w:val="none"/>
        </w:rPr>
      </w:pPr>
      <w:r>
        <w:rPr>
          <w:rFonts w:hint="eastAsia"/>
          <w:highlight w:val="none"/>
        </w:rPr>
        <w:t>全过程工程咨询服务单位应根据项目所在地政策、项目特点及进度安排，编制报批报建工作计划。</w:t>
      </w:r>
    </w:p>
    <w:p w14:paraId="56893E84">
      <w:pPr>
        <w:pStyle w:val="166"/>
        <w:rPr>
          <w:highlight w:val="none"/>
        </w:rPr>
      </w:pPr>
      <w:r>
        <w:rPr>
          <w:rFonts w:hint="eastAsia"/>
          <w:highlight w:val="none"/>
        </w:rPr>
        <w:t>报批报建工作计划应包括行政审批事项、办理程序、审批部门、审批时序（周期）、紧前（紧后）事项、所需资料及其供应方等，并负责完成报批报建的申报工作及成果文件归档。</w:t>
      </w:r>
    </w:p>
    <w:p w14:paraId="2F7FACC4">
      <w:pPr>
        <w:pStyle w:val="166"/>
        <w:rPr>
          <w:highlight w:val="none"/>
        </w:rPr>
      </w:pPr>
      <w:r>
        <w:rPr>
          <w:rFonts w:hint="eastAsia"/>
          <w:highlight w:val="none"/>
        </w:rPr>
        <w:t>全过程工程咨询服务单位应确保项目报批报建工作高效、准确、合法推进，协助业主在规定时间内完成各类报批报建手续，获取项目建设所需的委托范围的行政许可。</w:t>
      </w:r>
    </w:p>
    <w:p w14:paraId="0672E257">
      <w:pPr>
        <w:pStyle w:val="166"/>
        <w:rPr>
          <w:highlight w:val="none"/>
        </w:rPr>
      </w:pPr>
      <w:r>
        <w:rPr>
          <w:rFonts w:hint="eastAsia"/>
          <w:highlight w:val="none"/>
        </w:rPr>
        <w:t>严格报批报建资料管理，建立分类归档的资料档案库，确保资料完整、准确、可追溯。资料库应具备安全防护措施，防止丢失、损坏或泄露。详细记录资料提交、审核、反馈等环节，便于跟踪进度和问题处理。</w:t>
      </w:r>
    </w:p>
    <w:p w14:paraId="77F3589B">
      <w:pPr>
        <w:pStyle w:val="106"/>
        <w:spacing w:before="156" w:after="156"/>
        <w:rPr>
          <w:highlight w:val="none"/>
        </w:rPr>
      </w:pPr>
      <w:bookmarkStart w:id="99" w:name="_Toc194135340"/>
      <w:bookmarkStart w:id="100" w:name="_Toc20430"/>
      <w:r>
        <w:rPr>
          <w:rFonts w:hint="eastAsia"/>
          <w:highlight w:val="none"/>
        </w:rPr>
        <w:t>报批报建管理</w:t>
      </w:r>
      <w:bookmarkEnd w:id="99"/>
      <w:bookmarkEnd w:id="100"/>
    </w:p>
    <w:p w14:paraId="550BB8F5">
      <w:pPr>
        <w:pStyle w:val="66"/>
        <w:spacing w:before="156" w:after="156"/>
        <w:rPr>
          <w:highlight w:val="none"/>
        </w:rPr>
      </w:pPr>
      <w:r>
        <w:rPr>
          <w:rFonts w:hint="eastAsia"/>
          <w:highlight w:val="none"/>
        </w:rPr>
        <w:t>立项用地规划许可阶段</w:t>
      </w:r>
    </w:p>
    <w:p w14:paraId="59CDF003">
      <w:pPr>
        <w:pStyle w:val="57"/>
        <w:ind w:firstLine="420"/>
        <w:rPr>
          <w:highlight w:val="none"/>
        </w:rPr>
      </w:pPr>
      <w:r>
        <w:rPr>
          <w:rFonts w:hint="eastAsia"/>
          <w:highlight w:val="none"/>
        </w:rPr>
        <w:t>立项用地规划许可阶段包含以下内容：</w:t>
      </w:r>
    </w:p>
    <w:p w14:paraId="7DC0C0A6">
      <w:pPr>
        <w:pStyle w:val="175"/>
        <w:numPr>
          <w:ilvl w:val="0"/>
          <w:numId w:val="66"/>
        </w:numPr>
        <w:rPr>
          <w:highlight w:val="none"/>
        </w:rPr>
      </w:pPr>
      <w:r>
        <w:rPr>
          <w:rFonts w:hint="eastAsia"/>
          <w:highlight w:val="none"/>
        </w:rPr>
        <w:t>编写并获批项目建议书；</w:t>
      </w:r>
    </w:p>
    <w:p w14:paraId="33745F66">
      <w:pPr>
        <w:pStyle w:val="175"/>
        <w:numPr>
          <w:ilvl w:val="0"/>
          <w:numId w:val="42"/>
        </w:numPr>
        <w:rPr>
          <w:rFonts w:hint="eastAsia"/>
          <w:highlight w:val="none"/>
        </w:rPr>
      </w:pPr>
      <w:r>
        <w:rPr>
          <w:rFonts w:hint="eastAsia"/>
          <w:highlight w:val="none"/>
        </w:rPr>
        <w:t>审查并提交用地预审与选址材料，取得批复文件（建设项目用地预审与选址意见书）；</w:t>
      </w:r>
    </w:p>
    <w:p w14:paraId="08DDBF5D">
      <w:pPr>
        <w:pStyle w:val="175"/>
        <w:numPr>
          <w:ilvl w:val="0"/>
          <w:numId w:val="42"/>
        </w:numPr>
        <w:rPr>
          <w:highlight w:val="none"/>
        </w:rPr>
      </w:pPr>
      <w:r>
        <w:rPr>
          <w:rFonts w:hint="eastAsia"/>
          <w:highlight w:val="none"/>
        </w:rPr>
        <w:t>编写并获批可行性研究报告；</w:t>
      </w:r>
    </w:p>
    <w:p w14:paraId="17C811D6">
      <w:pPr>
        <w:pStyle w:val="175"/>
        <w:numPr>
          <w:ilvl w:val="0"/>
          <w:numId w:val="42"/>
        </w:numPr>
        <w:rPr>
          <w:highlight w:val="none"/>
        </w:rPr>
      </w:pPr>
      <w:r>
        <w:rPr>
          <w:rFonts w:hint="eastAsia"/>
          <w:highlight w:val="none"/>
        </w:rPr>
        <w:t>获取建设用地规划许可证。</w:t>
      </w:r>
    </w:p>
    <w:p w14:paraId="06499C89">
      <w:pPr>
        <w:pStyle w:val="66"/>
        <w:spacing w:before="156" w:after="156"/>
        <w:rPr>
          <w:highlight w:val="none"/>
        </w:rPr>
      </w:pPr>
      <w:r>
        <w:rPr>
          <w:rFonts w:hint="eastAsia"/>
          <w:highlight w:val="none"/>
        </w:rPr>
        <w:t>工程建设许可阶段</w:t>
      </w:r>
    </w:p>
    <w:p w14:paraId="1A941D52">
      <w:pPr>
        <w:pStyle w:val="57"/>
        <w:ind w:firstLine="420"/>
        <w:rPr>
          <w:highlight w:val="none"/>
        </w:rPr>
      </w:pPr>
      <w:r>
        <w:rPr>
          <w:rFonts w:hint="eastAsia"/>
          <w:highlight w:val="none"/>
        </w:rPr>
        <w:t>工程建设许可阶段应包含以下内容：</w:t>
      </w:r>
    </w:p>
    <w:p w14:paraId="0ECF3964">
      <w:pPr>
        <w:pStyle w:val="175"/>
        <w:numPr>
          <w:ilvl w:val="0"/>
          <w:numId w:val="67"/>
        </w:numPr>
        <w:rPr>
          <w:highlight w:val="none"/>
        </w:rPr>
      </w:pPr>
      <w:r>
        <w:rPr>
          <w:rFonts w:hint="eastAsia"/>
          <w:highlight w:val="none"/>
        </w:rPr>
        <w:t>开展施工图审图，报送和获批工程设计方案；</w:t>
      </w:r>
    </w:p>
    <w:p w14:paraId="2177A3D4">
      <w:pPr>
        <w:pStyle w:val="175"/>
        <w:numPr>
          <w:ilvl w:val="0"/>
          <w:numId w:val="67"/>
        </w:numPr>
        <w:rPr>
          <w:highlight w:val="none"/>
        </w:rPr>
      </w:pPr>
      <w:r>
        <w:rPr>
          <w:rFonts w:hint="eastAsia"/>
          <w:highlight w:val="none"/>
        </w:rPr>
        <w:t>申请和取得建设工程规划许可证；</w:t>
      </w:r>
    </w:p>
    <w:p w14:paraId="729813A5">
      <w:pPr>
        <w:pStyle w:val="175"/>
        <w:numPr>
          <w:ilvl w:val="0"/>
          <w:numId w:val="67"/>
        </w:numPr>
        <w:rPr>
          <w:highlight w:val="none"/>
        </w:rPr>
      </w:pPr>
      <w:r>
        <w:rPr>
          <w:rFonts w:hint="eastAsia"/>
          <w:highlight w:val="none"/>
        </w:rPr>
        <w:t>报建城市及城市规划区内新建民用建筑建设防空地下室。</w:t>
      </w:r>
    </w:p>
    <w:p w14:paraId="32596086">
      <w:pPr>
        <w:pStyle w:val="66"/>
        <w:spacing w:before="156" w:after="156"/>
        <w:rPr>
          <w:highlight w:val="none"/>
        </w:rPr>
      </w:pPr>
      <w:r>
        <w:rPr>
          <w:rFonts w:hint="eastAsia"/>
          <w:highlight w:val="none"/>
        </w:rPr>
        <w:t>施工许可阶段</w:t>
      </w:r>
    </w:p>
    <w:p w14:paraId="4886B75B">
      <w:pPr>
        <w:pStyle w:val="57"/>
        <w:ind w:firstLine="420"/>
        <w:rPr>
          <w:highlight w:val="none"/>
        </w:rPr>
      </w:pPr>
      <w:r>
        <w:rPr>
          <w:rFonts w:hint="eastAsia"/>
          <w:highlight w:val="none"/>
        </w:rPr>
        <w:t>施工许可阶段应包含以下内容：</w:t>
      </w:r>
    </w:p>
    <w:p w14:paraId="0639F547">
      <w:pPr>
        <w:pStyle w:val="175"/>
        <w:numPr>
          <w:ilvl w:val="0"/>
          <w:numId w:val="68"/>
        </w:numPr>
        <w:rPr>
          <w:highlight w:val="none"/>
        </w:rPr>
      </w:pPr>
      <w:r>
        <w:rPr>
          <w:rFonts w:hint="eastAsia"/>
          <w:highlight w:val="none"/>
        </w:rPr>
        <w:t>施工图送审，获取审图合格证；</w:t>
      </w:r>
    </w:p>
    <w:p w14:paraId="51D09865">
      <w:pPr>
        <w:pStyle w:val="175"/>
        <w:numPr>
          <w:ilvl w:val="0"/>
          <w:numId w:val="68"/>
        </w:numPr>
        <w:rPr>
          <w:highlight w:val="none"/>
        </w:rPr>
      </w:pPr>
      <w:r>
        <w:rPr>
          <w:rFonts w:hint="eastAsia"/>
          <w:highlight w:val="none"/>
        </w:rPr>
        <w:t>报批特殊建设工程消防设计审查；</w:t>
      </w:r>
    </w:p>
    <w:p w14:paraId="790B4DCD">
      <w:pPr>
        <w:pStyle w:val="175"/>
        <w:numPr>
          <w:ilvl w:val="0"/>
          <w:numId w:val="68"/>
        </w:numPr>
        <w:rPr>
          <w:highlight w:val="none"/>
        </w:rPr>
      </w:pPr>
      <w:r>
        <w:rPr>
          <w:rFonts w:hint="eastAsia"/>
          <w:highlight w:val="none"/>
        </w:rPr>
        <w:t>组织责任单位办理合同归集；</w:t>
      </w:r>
    </w:p>
    <w:p w14:paraId="68E048F6">
      <w:pPr>
        <w:pStyle w:val="175"/>
        <w:numPr>
          <w:ilvl w:val="0"/>
          <w:numId w:val="68"/>
        </w:numPr>
        <w:rPr>
          <w:highlight w:val="none"/>
        </w:rPr>
      </w:pPr>
      <w:r>
        <w:rPr>
          <w:rFonts w:hint="eastAsia"/>
          <w:highlight w:val="none"/>
        </w:rPr>
        <w:t>依据地方政策要求，协助委托方及时申报临时用电、正式用电、临时用水、正式用水、热力燃气、通信、排污管等各项市政接入手续。</w:t>
      </w:r>
    </w:p>
    <w:p w14:paraId="3832B82A">
      <w:pPr>
        <w:pStyle w:val="175"/>
        <w:numPr>
          <w:ilvl w:val="0"/>
          <w:numId w:val="68"/>
        </w:numPr>
        <w:rPr>
          <w:highlight w:val="none"/>
        </w:rPr>
      </w:pPr>
      <w:r>
        <w:rPr>
          <w:rFonts w:hint="eastAsia"/>
          <w:highlight w:val="none"/>
        </w:rPr>
        <w:t>办理质量安全监督手续；</w:t>
      </w:r>
    </w:p>
    <w:p w14:paraId="4D3F7F36">
      <w:pPr>
        <w:pStyle w:val="175"/>
        <w:numPr>
          <w:ilvl w:val="0"/>
          <w:numId w:val="68"/>
        </w:numPr>
        <w:rPr>
          <w:highlight w:val="none"/>
        </w:rPr>
      </w:pPr>
      <w:r>
        <w:rPr>
          <w:rFonts w:hint="eastAsia"/>
          <w:highlight w:val="none"/>
        </w:rPr>
        <w:t>获取建筑工程施工许可证。</w:t>
      </w:r>
    </w:p>
    <w:p w14:paraId="4DD118F9">
      <w:pPr>
        <w:pStyle w:val="66"/>
        <w:spacing w:before="156" w:after="156"/>
        <w:rPr>
          <w:highlight w:val="none"/>
        </w:rPr>
      </w:pPr>
      <w:r>
        <w:rPr>
          <w:rFonts w:hint="eastAsia"/>
          <w:highlight w:val="none"/>
        </w:rPr>
        <w:t>竣工验收阶段</w:t>
      </w:r>
    </w:p>
    <w:p w14:paraId="19AEFE59">
      <w:pPr>
        <w:pStyle w:val="57"/>
        <w:ind w:firstLine="420"/>
        <w:rPr>
          <w:highlight w:val="none"/>
        </w:rPr>
      </w:pPr>
      <w:r>
        <w:rPr>
          <w:rFonts w:hint="eastAsia"/>
          <w:highlight w:val="none"/>
        </w:rPr>
        <w:t>竣工验收阶段应包含以下内容：</w:t>
      </w:r>
    </w:p>
    <w:p w14:paraId="14430104">
      <w:pPr>
        <w:pStyle w:val="175"/>
        <w:numPr>
          <w:ilvl w:val="0"/>
          <w:numId w:val="69"/>
        </w:numPr>
        <w:rPr>
          <w:highlight w:val="none"/>
        </w:rPr>
      </w:pPr>
      <w:r>
        <w:rPr>
          <w:rFonts w:hint="eastAsia"/>
          <w:highlight w:val="none"/>
        </w:rPr>
        <w:t>报批工程竣工验收以及需要的各类专项验收；</w:t>
      </w:r>
    </w:p>
    <w:p w14:paraId="540768C4">
      <w:pPr>
        <w:pStyle w:val="175"/>
        <w:numPr>
          <w:ilvl w:val="0"/>
          <w:numId w:val="69"/>
        </w:numPr>
        <w:rPr>
          <w:highlight w:val="none"/>
        </w:rPr>
      </w:pPr>
      <w:r>
        <w:rPr>
          <w:rFonts w:hint="eastAsia"/>
          <w:highlight w:val="none"/>
        </w:rPr>
        <w:t>协助委托方完成竣工验收备案；</w:t>
      </w:r>
    </w:p>
    <w:p w14:paraId="30F27456">
      <w:pPr>
        <w:pStyle w:val="175"/>
        <w:numPr>
          <w:ilvl w:val="0"/>
          <w:numId w:val="69"/>
        </w:numPr>
        <w:rPr>
          <w:highlight w:val="none"/>
        </w:rPr>
      </w:pPr>
      <w:r>
        <w:rPr>
          <w:rFonts w:hint="eastAsia"/>
          <w:highlight w:val="none"/>
        </w:rPr>
        <w:t>城建等资料文件档案移交。对于集中建设的政府投资项目，还涉及资产档案、财务档案等的移交。</w:t>
      </w:r>
    </w:p>
    <w:p w14:paraId="0741C1B7">
      <w:pPr>
        <w:pStyle w:val="105"/>
        <w:spacing w:before="312" w:after="312"/>
        <w:rPr>
          <w:highlight w:val="none"/>
        </w:rPr>
      </w:pPr>
      <w:bookmarkStart w:id="101" w:name="_Toc29307"/>
      <w:bookmarkStart w:id="102" w:name="_Toc194135341"/>
      <w:r>
        <w:rPr>
          <w:rFonts w:hint="eastAsia"/>
          <w:highlight w:val="none"/>
        </w:rPr>
        <w:t>勘察设计阶段的咨询服务</w:t>
      </w:r>
      <w:bookmarkEnd w:id="101"/>
      <w:bookmarkEnd w:id="102"/>
    </w:p>
    <w:p w14:paraId="49CB895E">
      <w:pPr>
        <w:pStyle w:val="106"/>
        <w:spacing w:before="156" w:after="156"/>
        <w:rPr>
          <w:highlight w:val="none"/>
        </w:rPr>
      </w:pPr>
      <w:bookmarkStart w:id="103" w:name="_Toc3993"/>
      <w:bookmarkStart w:id="104" w:name="_Toc194135342"/>
      <w:r>
        <w:rPr>
          <w:rFonts w:hint="eastAsia"/>
          <w:highlight w:val="none"/>
        </w:rPr>
        <w:t>一般规定</w:t>
      </w:r>
      <w:bookmarkEnd w:id="103"/>
      <w:bookmarkEnd w:id="104"/>
    </w:p>
    <w:p w14:paraId="6C415A87">
      <w:pPr>
        <w:pStyle w:val="166"/>
        <w:rPr>
          <w:highlight w:val="none"/>
        </w:rPr>
      </w:pPr>
      <w:r>
        <w:rPr>
          <w:rFonts w:hint="eastAsia"/>
          <w:highlight w:val="none"/>
        </w:rPr>
        <w:t>全过程工程咨询服务单位应建立勘察设计管理制度，明确管理目标、职责，制定流程计划，实施全过程动态管控。</w:t>
      </w:r>
    </w:p>
    <w:p w14:paraId="19A41294">
      <w:pPr>
        <w:pStyle w:val="166"/>
        <w:rPr>
          <w:highlight w:val="none"/>
        </w:rPr>
      </w:pPr>
      <w:r>
        <w:rPr>
          <w:rFonts w:hint="eastAsia"/>
          <w:highlight w:val="none"/>
        </w:rPr>
        <w:t>勘察设计阶段咨询服务应贯穿项目全生命周期，确保进度满足各阶段要求，推进绿色建筑、智能建造、BIM技术等创新应用。</w:t>
      </w:r>
    </w:p>
    <w:p w14:paraId="53EF1ADA">
      <w:pPr>
        <w:pStyle w:val="166"/>
        <w:rPr>
          <w:highlight w:val="none"/>
        </w:rPr>
      </w:pPr>
      <w:r>
        <w:rPr>
          <w:rFonts w:hint="eastAsia"/>
          <w:highlight w:val="none"/>
        </w:rPr>
        <w:t>勘察设计应从全局出发，统筹兼顾，做到安全适用、技术先进、经济合理。</w:t>
      </w:r>
    </w:p>
    <w:p w14:paraId="7434DD0A">
      <w:pPr>
        <w:pStyle w:val="166"/>
        <w:rPr>
          <w:highlight w:val="none"/>
        </w:rPr>
      </w:pPr>
      <w:r>
        <w:rPr>
          <w:rFonts w:hint="eastAsia"/>
          <w:highlight w:val="none"/>
        </w:rPr>
        <w:t>在项目设计阶段，工程咨询机构应根据合同约定及项目实际情况，提供制定限额设计造价控制目标、编制初步设计概算、施工图预算等工程造价咨询服务。</w:t>
      </w:r>
    </w:p>
    <w:p w14:paraId="0376114B">
      <w:pPr>
        <w:pStyle w:val="106"/>
        <w:spacing w:before="156" w:after="156"/>
        <w:rPr>
          <w:highlight w:val="none"/>
        </w:rPr>
      </w:pPr>
      <w:bookmarkStart w:id="105" w:name="_Toc7230"/>
      <w:bookmarkStart w:id="106" w:name="_Toc194135343"/>
      <w:r>
        <w:rPr>
          <w:rFonts w:hint="eastAsia"/>
          <w:highlight w:val="none"/>
        </w:rPr>
        <w:t>工程勘察管理</w:t>
      </w:r>
      <w:bookmarkEnd w:id="105"/>
      <w:bookmarkEnd w:id="106"/>
    </w:p>
    <w:p w14:paraId="6B71A33E">
      <w:pPr>
        <w:pStyle w:val="166"/>
        <w:rPr>
          <w:highlight w:val="none"/>
        </w:rPr>
      </w:pPr>
      <w:r>
        <w:rPr>
          <w:rFonts w:hint="eastAsia"/>
          <w:highlight w:val="none"/>
        </w:rPr>
        <w:t>全过程工程咨询服务单位应编制《工程勘察任务书》，明确勘察范围、内容、深度及技术要求。</w:t>
      </w:r>
    </w:p>
    <w:p w14:paraId="58B0582E">
      <w:pPr>
        <w:pStyle w:val="166"/>
        <w:rPr>
          <w:highlight w:val="none"/>
        </w:rPr>
      </w:pPr>
      <w:r>
        <w:rPr>
          <w:rFonts w:hint="eastAsia"/>
          <w:highlight w:val="none"/>
        </w:rPr>
        <w:t>监督勘察外业实施过程，重点检查关键环节，确保数据真实可靠。</w:t>
      </w:r>
    </w:p>
    <w:p w14:paraId="3E296478">
      <w:pPr>
        <w:pStyle w:val="166"/>
        <w:rPr>
          <w:highlight w:val="none"/>
        </w:rPr>
      </w:pPr>
      <w:r>
        <w:rPr>
          <w:rFonts w:hint="eastAsia"/>
          <w:highlight w:val="none"/>
        </w:rPr>
        <w:t>协调解决勘察中的异常情况，及时组织专家论证并提出处理建议。</w:t>
      </w:r>
    </w:p>
    <w:p w14:paraId="2BCAFD25">
      <w:pPr>
        <w:pStyle w:val="166"/>
        <w:rPr>
          <w:highlight w:val="none"/>
        </w:rPr>
      </w:pPr>
      <w:r>
        <w:rPr>
          <w:rFonts w:hint="eastAsia"/>
          <w:highlight w:val="none"/>
        </w:rPr>
        <w:t>组织审查工程勘察成果，协调处理勘察成果的修改。</w:t>
      </w:r>
    </w:p>
    <w:p w14:paraId="22E35C0F">
      <w:pPr>
        <w:pStyle w:val="166"/>
        <w:rPr>
          <w:highlight w:val="none"/>
        </w:rPr>
      </w:pPr>
      <w:r>
        <w:rPr>
          <w:rFonts w:hint="eastAsia"/>
          <w:highlight w:val="none"/>
        </w:rPr>
        <w:t>组织勘察单位与各参建单位的工作对接和勘察文件的解释说明，以及各阶段工程勘察的验收工作。</w:t>
      </w:r>
    </w:p>
    <w:p w14:paraId="7ECFE196">
      <w:pPr>
        <w:pStyle w:val="166"/>
        <w:rPr>
          <w:highlight w:val="none"/>
        </w:rPr>
      </w:pPr>
      <w:r>
        <w:rPr>
          <w:rFonts w:hint="eastAsia"/>
          <w:highlight w:val="none"/>
        </w:rPr>
        <w:t>审查合格的勘察成果文件作为设计、施工依据，并存档备查。</w:t>
      </w:r>
    </w:p>
    <w:p w14:paraId="76824BA0">
      <w:pPr>
        <w:pStyle w:val="166"/>
        <w:rPr>
          <w:highlight w:val="none"/>
        </w:rPr>
      </w:pPr>
      <w:r>
        <w:rPr>
          <w:rFonts w:hint="eastAsia"/>
          <w:highlight w:val="none"/>
        </w:rPr>
        <w:t>在施工阶段，全过程工程咨询服务机构的勘察管理工作应包括：</w:t>
      </w:r>
    </w:p>
    <w:p w14:paraId="44939341">
      <w:pPr>
        <w:pStyle w:val="175"/>
        <w:numPr>
          <w:ilvl w:val="0"/>
          <w:numId w:val="70"/>
        </w:numPr>
        <w:rPr>
          <w:highlight w:val="none"/>
        </w:rPr>
      </w:pPr>
      <w:r>
        <w:rPr>
          <w:rFonts w:hint="eastAsia"/>
          <w:highlight w:val="none"/>
        </w:rPr>
        <w:t>组织勘察单位与设计单位、施工单位、监测单位的衔接配合；</w:t>
      </w:r>
    </w:p>
    <w:p w14:paraId="126C7D38">
      <w:pPr>
        <w:pStyle w:val="175"/>
        <w:numPr>
          <w:ilvl w:val="0"/>
          <w:numId w:val="70"/>
        </w:numPr>
        <w:rPr>
          <w:highlight w:val="none"/>
        </w:rPr>
      </w:pPr>
      <w:r>
        <w:rPr>
          <w:rFonts w:hint="eastAsia"/>
          <w:highlight w:val="none"/>
        </w:rPr>
        <w:t>组织勘察单位参加地基基础等验收工作；</w:t>
      </w:r>
    </w:p>
    <w:p w14:paraId="5CE48108">
      <w:pPr>
        <w:pStyle w:val="175"/>
        <w:numPr>
          <w:ilvl w:val="0"/>
          <w:numId w:val="70"/>
        </w:numPr>
        <w:rPr>
          <w:highlight w:val="none"/>
        </w:rPr>
      </w:pPr>
      <w:r>
        <w:rPr>
          <w:rFonts w:hint="eastAsia"/>
          <w:highlight w:val="none"/>
        </w:rPr>
        <w:t>当实际地质条件与原勘查资料不一致或施工过程出现边坡失稳等特殊情形时，工程咨询机构宜组织工程勘察单位开展专项勘查或施工补勘；</w:t>
      </w:r>
    </w:p>
    <w:p w14:paraId="301F367A">
      <w:pPr>
        <w:pStyle w:val="175"/>
        <w:numPr>
          <w:ilvl w:val="0"/>
          <w:numId w:val="70"/>
        </w:numPr>
        <w:rPr>
          <w:highlight w:val="none"/>
        </w:rPr>
      </w:pPr>
      <w:r>
        <w:rPr>
          <w:rFonts w:hint="eastAsia"/>
          <w:highlight w:val="none"/>
        </w:rPr>
        <w:t>若勘察过程中发现文物、地下工程管线、矿藏等事项，工程咨询机构应及时向相关部门汇报，并督促工程勘察单位采取相应保护措施。</w:t>
      </w:r>
    </w:p>
    <w:p w14:paraId="2DED76D2">
      <w:pPr>
        <w:pStyle w:val="106"/>
        <w:spacing w:before="156" w:after="156"/>
        <w:rPr>
          <w:highlight w:val="none"/>
        </w:rPr>
      </w:pPr>
      <w:bookmarkStart w:id="107" w:name="_Toc194135344"/>
      <w:bookmarkStart w:id="108" w:name="_Toc12295"/>
      <w:r>
        <w:rPr>
          <w:rFonts w:hint="eastAsia"/>
          <w:highlight w:val="none"/>
        </w:rPr>
        <w:t>工程设计管理</w:t>
      </w:r>
      <w:bookmarkEnd w:id="107"/>
      <w:bookmarkEnd w:id="108"/>
    </w:p>
    <w:p w14:paraId="1611FBC0">
      <w:pPr>
        <w:pStyle w:val="166"/>
        <w:rPr>
          <w:rFonts w:hint="eastAsia" w:ascii="宋体" w:eastAsia="宋体"/>
          <w:highlight w:val="none"/>
        </w:rPr>
      </w:pPr>
      <w:r>
        <w:rPr>
          <w:rFonts w:hint="eastAsia" w:ascii="宋体" w:eastAsia="宋体"/>
          <w:highlight w:val="none"/>
        </w:rPr>
        <w:t>一般规定</w:t>
      </w:r>
    </w:p>
    <w:p w14:paraId="3AECEEC4">
      <w:pPr>
        <w:pStyle w:val="165"/>
        <w:rPr>
          <w:highlight w:val="none"/>
        </w:rPr>
      </w:pPr>
      <w:r>
        <w:rPr>
          <w:rFonts w:hint="eastAsia"/>
          <w:highlight w:val="none"/>
        </w:rPr>
        <w:t>全过程工程咨询服务单位应编制各阶段《工程设计任务书》，明确设计范围、功能需求、技术标准、限额指标及专项要求。</w:t>
      </w:r>
    </w:p>
    <w:p w14:paraId="2A0799DD">
      <w:pPr>
        <w:pStyle w:val="165"/>
        <w:rPr>
          <w:highlight w:val="none"/>
        </w:rPr>
      </w:pPr>
      <w:r>
        <w:rPr>
          <w:rFonts w:hint="eastAsia"/>
          <w:highlight w:val="none"/>
        </w:rPr>
        <w:t>工程设计阶段流程包括方案设计、初步设计、施工图设计和专项设计，各阶段需满足相应深度和审查要求。</w:t>
      </w:r>
    </w:p>
    <w:p w14:paraId="12EE5688">
      <w:pPr>
        <w:pStyle w:val="165"/>
        <w:rPr>
          <w:highlight w:val="none"/>
        </w:rPr>
      </w:pPr>
      <w:r>
        <w:rPr>
          <w:rFonts w:hint="eastAsia"/>
          <w:highlight w:val="none"/>
        </w:rPr>
        <w:t>建立多专业协同设计机制，设计成果通过设计、校核、审核三级质量控制。</w:t>
      </w:r>
    </w:p>
    <w:p w14:paraId="482E4068">
      <w:pPr>
        <w:pStyle w:val="165"/>
        <w:rPr>
          <w:highlight w:val="none"/>
        </w:rPr>
      </w:pPr>
      <w:r>
        <w:rPr>
          <w:rFonts w:hint="eastAsia"/>
          <w:highlight w:val="none"/>
        </w:rPr>
        <w:t>组织审查工程设计成果，协调处理设计成果的修改。</w:t>
      </w:r>
    </w:p>
    <w:p w14:paraId="62FC8D83">
      <w:pPr>
        <w:pStyle w:val="165"/>
        <w:rPr>
          <w:highlight w:val="none"/>
        </w:rPr>
      </w:pPr>
      <w:r>
        <w:rPr>
          <w:rFonts w:hint="eastAsia"/>
          <w:highlight w:val="none"/>
        </w:rPr>
        <w:t>组织设计单位与各参建单位的工作对接和设计文件的解释说明，以及各阶段工程设计的验收工作。</w:t>
      </w:r>
    </w:p>
    <w:p w14:paraId="24E75230">
      <w:pPr>
        <w:pStyle w:val="165"/>
        <w:rPr>
          <w:highlight w:val="none"/>
        </w:rPr>
      </w:pPr>
      <w:r>
        <w:rPr>
          <w:rFonts w:hint="eastAsia"/>
          <w:highlight w:val="none"/>
        </w:rPr>
        <w:t>协助建设单位收集、归档和储存设计相关资料，并存档备查。</w:t>
      </w:r>
    </w:p>
    <w:p w14:paraId="52257CD8">
      <w:pPr>
        <w:pStyle w:val="166"/>
        <w:rPr>
          <w:rFonts w:hint="eastAsia" w:ascii="宋体" w:eastAsia="宋体"/>
          <w:highlight w:val="none"/>
        </w:rPr>
      </w:pPr>
      <w:r>
        <w:rPr>
          <w:rFonts w:hint="eastAsia" w:ascii="宋体" w:eastAsia="宋体"/>
          <w:highlight w:val="none"/>
        </w:rPr>
        <w:t>在设计准备阶段，全过程工程咨询服务机构的设计管理工作应包括：</w:t>
      </w:r>
    </w:p>
    <w:p w14:paraId="776F065E">
      <w:pPr>
        <w:pStyle w:val="175"/>
        <w:numPr>
          <w:ilvl w:val="0"/>
          <w:numId w:val="71"/>
        </w:numPr>
        <w:rPr>
          <w:highlight w:val="none"/>
        </w:rPr>
      </w:pPr>
      <w:r>
        <w:rPr>
          <w:rFonts w:hint="eastAsia"/>
          <w:highlight w:val="none"/>
        </w:rPr>
        <w:t>组织勘察单位向设计进行成果交底，并做好勘察单位与设计单位之间的工作协调管理；</w:t>
      </w:r>
    </w:p>
    <w:p w14:paraId="55B848C8">
      <w:pPr>
        <w:pStyle w:val="175"/>
        <w:numPr>
          <w:ilvl w:val="0"/>
          <w:numId w:val="69"/>
        </w:numPr>
        <w:rPr>
          <w:highlight w:val="none"/>
        </w:rPr>
      </w:pPr>
      <w:r>
        <w:rPr>
          <w:rFonts w:hint="eastAsia"/>
          <w:highlight w:val="none"/>
        </w:rPr>
        <w:t>结合相关法律法规和管理规定、同类项目案例等资料，通过会议、访谈等方式收集委托方设计需求，明确投资规模、建设定位、功能需求、进度目标等项目信息；</w:t>
      </w:r>
    </w:p>
    <w:p w14:paraId="7721A4B7">
      <w:pPr>
        <w:pStyle w:val="175"/>
        <w:numPr>
          <w:ilvl w:val="0"/>
          <w:numId w:val="69"/>
        </w:numPr>
        <w:rPr>
          <w:highlight w:val="none"/>
        </w:rPr>
      </w:pPr>
      <w:r>
        <w:rPr>
          <w:rFonts w:hint="eastAsia"/>
          <w:highlight w:val="none"/>
        </w:rPr>
        <w:t>基于设计需求调研编制项目设计任务书，明确各阶段设计范围、内容、技术要求、进度计划、成果要求和工作界面及流程等，避免设计内容的缺项漏项。多单位参与的设计内容，应在设计任务书中划分各参与单位的职责与界面；</w:t>
      </w:r>
    </w:p>
    <w:p w14:paraId="19562CD4">
      <w:pPr>
        <w:pStyle w:val="175"/>
        <w:numPr>
          <w:ilvl w:val="0"/>
          <w:numId w:val="69"/>
        </w:numPr>
        <w:rPr>
          <w:highlight w:val="none"/>
        </w:rPr>
      </w:pPr>
      <w:r>
        <w:rPr>
          <w:rFonts w:hint="eastAsia"/>
          <w:highlight w:val="none"/>
        </w:rPr>
        <w:t>策划项目设计发包模式并协助委托方完成项目设计任务的委托。需设计单位提供施工阶段驻场服务时，工程咨询机构应在此阶段提前策划，并在设计合同中予以明确；</w:t>
      </w:r>
    </w:p>
    <w:p w14:paraId="46C29279">
      <w:pPr>
        <w:pStyle w:val="175"/>
        <w:numPr>
          <w:ilvl w:val="0"/>
          <w:numId w:val="69"/>
        </w:numPr>
        <w:rPr>
          <w:highlight w:val="none"/>
        </w:rPr>
      </w:pPr>
      <w:r>
        <w:rPr>
          <w:rFonts w:hint="eastAsia"/>
          <w:highlight w:val="none"/>
        </w:rPr>
        <w:t>工程咨询机构应根据项目总进度计划审核设计单位的设计进度计划，并对各阶段设计进度统筹管理，做好与报批报建、招采、施工等方面进度的搭接</w:t>
      </w:r>
      <w:r>
        <w:rPr>
          <w:rFonts w:hint="eastAsia"/>
          <w:highlight w:val="none"/>
          <w:lang w:eastAsia="zh-CN"/>
        </w:rPr>
        <w:t>。</w:t>
      </w:r>
    </w:p>
    <w:p w14:paraId="0AD939EA">
      <w:pPr>
        <w:pStyle w:val="166"/>
        <w:rPr>
          <w:rFonts w:hint="eastAsia" w:ascii="宋体" w:eastAsia="宋体"/>
          <w:highlight w:val="none"/>
        </w:rPr>
      </w:pPr>
      <w:r>
        <w:rPr>
          <w:rFonts w:hint="eastAsia" w:ascii="宋体" w:eastAsia="宋体"/>
          <w:highlight w:val="none"/>
        </w:rPr>
        <w:t>在设计阶段，全过程工程咨询服务机构的设计管理工作应包括：</w:t>
      </w:r>
    </w:p>
    <w:p w14:paraId="2A096394">
      <w:pPr>
        <w:pStyle w:val="175"/>
        <w:numPr>
          <w:ilvl w:val="0"/>
          <w:numId w:val="72"/>
        </w:numPr>
        <w:rPr>
          <w:highlight w:val="none"/>
        </w:rPr>
      </w:pPr>
      <w:r>
        <w:rPr>
          <w:rFonts w:hint="eastAsia"/>
          <w:highlight w:val="none"/>
        </w:rPr>
        <w:t>根据需要协助委托方组织设计方案竞赛活动</w:t>
      </w:r>
      <w:r>
        <w:rPr>
          <w:rFonts w:hint="eastAsia"/>
          <w:highlight w:val="none"/>
          <w:lang w:eastAsia="zh-CN"/>
        </w:rPr>
        <w:t>；</w:t>
      </w:r>
    </w:p>
    <w:p w14:paraId="4C552A6F">
      <w:pPr>
        <w:pStyle w:val="175"/>
        <w:numPr>
          <w:ilvl w:val="0"/>
          <w:numId w:val="69"/>
        </w:numPr>
        <w:rPr>
          <w:highlight w:val="none"/>
        </w:rPr>
      </w:pPr>
      <w:r>
        <w:rPr>
          <w:rFonts w:hint="eastAsia"/>
          <w:highlight w:val="none"/>
        </w:rPr>
        <w:t>组织各阶段的多方案技术比选与技术定案；</w:t>
      </w:r>
    </w:p>
    <w:p w14:paraId="13D97454">
      <w:pPr>
        <w:pStyle w:val="175"/>
        <w:numPr>
          <w:ilvl w:val="0"/>
          <w:numId w:val="69"/>
        </w:numPr>
        <w:rPr>
          <w:highlight w:val="none"/>
        </w:rPr>
      </w:pPr>
      <w:r>
        <w:rPr>
          <w:rFonts w:hint="eastAsia"/>
          <w:highlight w:val="none"/>
        </w:rPr>
        <w:t>各阶段设计过程中管理与协调；</w:t>
      </w:r>
    </w:p>
    <w:p w14:paraId="7768EFC2">
      <w:pPr>
        <w:pStyle w:val="175"/>
        <w:numPr>
          <w:ilvl w:val="0"/>
          <w:numId w:val="69"/>
        </w:numPr>
        <w:rPr>
          <w:highlight w:val="none"/>
        </w:rPr>
      </w:pPr>
      <w:r>
        <w:rPr>
          <w:rFonts w:hint="eastAsia"/>
          <w:highlight w:val="none"/>
        </w:rPr>
        <w:t>从功能需求、技术可行性、经济合理性等角度组织各阶段设计成果的多专业、多顾问交叉审核，重点审查上一阶段审查意见的修改落实情况；</w:t>
      </w:r>
    </w:p>
    <w:p w14:paraId="6EC80AC0">
      <w:pPr>
        <w:pStyle w:val="175"/>
        <w:numPr>
          <w:ilvl w:val="0"/>
          <w:numId w:val="69"/>
        </w:numPr>
        <w:rPr>
          <w:highlight w:val="none"/>
        </w:rPr>
      </w:pPr>
      <w:r>
        <w:rPr>
          <w:rFonts w:hint="eastAsia"/>
          <w:highlight w:val="none"/>
        </w:rPr>
        <w:t>对超规超限项目，根据项目需求组织抗震超限审查、特殊消防设计等专项技术审查工作</w:t>
      </w:r>
      <w:r>
        <w:rPr>
          <w:rFonts w:hint="eastAsia"/>
          <w:highlight w:val="none"/>
          <w:lang w:eastAsia="zh-CN"/>
        </w:rPr>
        <w:t>；</w:t>
      </w:r>
    </w:p>
    <w:p w14:paraId="7993F3D0">
      <w:pPr>
        <w:pStyle w:val="175"/>
        <w:numPr>
          <w:ilvl w:val="0"/>
          <w:numId w:val="69"/>
        </w:numPr>
        <w:rPr>
          <w:highlight w:val="none"/>
        </w:rPr>
      </w:pPr>
      <w:r>
        <w:rPr>
          <w:rFonts w:hint="eastAsia"/>
          <w:highlight w:val="none"/>
        </w:rPr>
        <w:t>在施工图设计阶段，根据项目需求及合同约定组织编制技术规格书</w:t>
      </w:r>
      <w:r>
        <w:rPr>
          <w:rFonts w:hint="eastAsia"/>
          <w:highlight w:val="none"/>
          <w:lang w:eastAsia="zh-CN"/>
        </w:rPr>
        <w:t>；</w:t>
      </w:r>
    </w:p>
    <w:p w14:paraId="00BBFCE9">
      <w:pPr>
        <w:pStyle w:val="175"/>
        <w:numPr>
          <w:ilvl w:val="0"/>
          <w:numId w:val="69"/>
        </w:numPr>
        <w:rPr>
          <w:highlight w:val="none"/>
        </w:rPr>
      </w:pPr>
      <w:r>
        <w:rPr>
          <w:rFonts w:hint="eastAsia"/>
          <w:highlight w:val="none"/>
        </w:rPr>
        <w:t>组织各阶段设计成果的汇报与确认；</w:t>
      </w:r>
    </w:p>
    <w:p w14:paraId="18192F20">
      <w:pPr>
        <w:pStyle w:val="175"/>
        <w:numPr>
          <w:ilvl w:val="0"/>
          <w:numId w:val="69"/>
        </w:numPr>
        <w:rPr>
          <w:highlight w:val="none"/>
        </w:rPr>
      </w:pPr>
      <w:r>
        <w:rPr>
          <w:rFonts w:hint="eastAsia"/>
          <w:highlight w:val="none"/>
        </w:rPr>
        <w:t>根据建设主管部门要求，组织各阶段设计成果的外部专家论证与报审等工作</w:t>
      </w:r>
      <w:r>
        <w:rPr>
          <w:rFonts w:hint="eastAsia"/>
          <w:highlight w:val="none"/>
          <w:lang w:eastAsia="zh-CN"/>
        </w:rPr>
        <w:t>；</w:t>
      </w:r>
    </w:p>
    <w:p w14:paraId="7869E363">
      <w:pPr>
        <w:pStyle w:val="175"/>
        <w:numPr>
          <w:ilvl w:val="0"/>
          <w:numId w:val="69"/>
        </w:numPr>
        <w:rPr>
          <w:highlight w:val="none"/>
        </w:rPr>
      </w:pPr>
      <w:r>
        <w:rPr>
          <w:rFonts w:hint="eastAsia"/>
          <w:highlight w:val="none"/>
        </w:rPr>
        <w:t>项目采用BIM技术时，应结合BIM技术应用开展设计管理与设计审查</w:t>
      </w:r>
      <w:r>
        <w:rPr>
          <w:rFonts w:hint="eastAsia"/>
          <w:highlight w:val="none"/>
          <w:lang w:eastAsia="zh-CN"/>
        </w:rPr>
        <w:t>；</w:t>
      </w:r>
    </w:p>
    <w:p w14:paraId="586BA69C">
      <w:pPr>
        <w:pStyle w:val="175"/>
        <w:numPr>
          <w:ilvl w:val="0"/>
          <w:numId w:val="69"/>
        </w:numPr>
        <w:rPr>
          <w:highlight w:val="none"/>
        </w:rPr>
      </w:pPr>
      <w:r>
        <w:rPr>
          <w:rFonts w:hint="eastAsia"/>
          <w:highlight w:val="none"/>
        </w:rPr>
        <w:t>对设计进度进行管理，当进度出现偏差时，应及时分析原因并采取纠偏措施。</w:t>
      </w:r>
    </w:p>
    <w:p w14:paraId="72E9F909">
      <w:pPr>
        <w:pStyle w:val="166"/>
        <w:rPr>
          <w:rFonts w:hint="eastAsia" w:ascii="宋体" w:eastAsia="宋体"/>
          <w:highlight w:val="none"/>
        </w:rPr>
      </w:pPr>
      <w:r>
        <w:rPr>
          <w:rFonts w:hint="eastAsia" w:ascii="宋体" w:eastAsia="宋体"/>
          <w:highlight w:val="none"/>
        </w:rPr>
        <w:t>在专项设计阶段，全过程工程咨询服务机构的设计管理工作应包括：</w:t>
      </w:r>
    </w:p>
    <w:p w14:paraId="04219015">
      <w:pPr>
        <w:pStyle w:val="175"/>
        <w:numPr>
          <w:ilvl w:val="0"/>
          <w:numId w:val="73"/>
        </w:numPr>
        <w:rPr>
          <w:highlight w:val="none"/>
        </w:rPr>
      </w:pPr>
      <w:r>
        <w:rPr>
          <w:rFonts w:hint="eastAsia"/>
          <w:highlight w:val="none"/>
        </w:rPr>
        <w:t>会同主体设计单位进行专项策划，内容包括设计接口、设计内容、技术要求、进度计划和成果要求等；</w:t>
      </w:r>
    </w:p>
    <w:p w14:paraId="1230E96B">
      <w:pPr>
        <w:pStyle w:val="175"/>
        <w:numPr>
          <w:ilvl w:val="0"/>
          <w:numId w:val="69"/>
        </w:numPr>
        <w:rPr>
          <w:highlight w:val="none"/>
        </w:rPr>
      </w:pPr>
      <w:r>
        <w:rPr>
          <w:rFonts w:hint="eastAsia"/>
          <w:highlight w:val="none"/>
        </w:rPr>
        <w:t>分阶段组织专项设计；</w:t>
      </w:r>
    </w:p>
    <w:p w14:paraId="24C9F2F9">
      <w:pPr>
        <w:pStyle w:val="175"/>
        <w:numPr>
          <w:ilvl w:val="0"/>
          <w:numId w:val="69"/>
        </w:numPr>
        <w:rPr>
          <w:highlight w:val="none"/>
        </w:rPr>
      </w:pPr>
      <w:r>
        <w:rPr>
          <w:rFonts w:hint="eastAsia"/>
          <w:highlight w:val="none"/>
        </w:rPr>
        <w:t>组织各专项设计过程中的技术比选与定案；</w:t>
      </w:r>
    </w:p>
    <w:p w14:paraId="7A27C51C">
      <w:pPr>
        <w:pStyle w:val="175"/>
        <w:numPr>
          <w:ilvl w:val="0"/>
          <w:numId w:val="69"/>
        </w:numPr>
        <w:rPr>
          <w:highlight w:val="none"/>
        </w:rPr>
      </w:pPr>
      <w:r>
        <w:rPr>
          <w:rFonts w:hint="eastAsia"/>
          <w:highlight w:val="none"/>
        </w:rPr>
        <w:t>组织各专项的设计选样与封样；</w:t>
      </w:r>
    </w:p>
    <w:p w14:paraId="21A2C3C1">
      <w:pPr>
        <w:pStyle w:val="175"/>
        <w:numPr>
          <w:ilvl w:val="0"/>
          <w:numId w:val="69"/>
        </w:numPr>
        <w:rPr>
          <w:highlight w:val="none"/>
        </w:rPr>
      </w:pPr>
      <w:r>
        <w:rPr>
          <w:rFonts w:hint="eastAsia"/>
          <w:highlight w:val="none"/>
        </w:rPr>
        <w:t>各专项设计过程中的管理协调；</w:t>
      </w:r>
    </w:p>
    <w:p w14:paraId="1E3D35D5">
      <w:pPr>
        <w:pStyle w:val="175"/>
        <w:numPr>
          <w:ilvl w:val="0"/>
          <w:numId w:val="69"/>
        </w:numPr>
        <w:rPr>
          <w:highlight w:val="none"/>
        </w:rPr>
      </w:pPr>
      <w:r>
        <w:rPr>
          <w:rFonts w:hint="eastAsia"/>
          <w:highlight w:val="none"/>
        </w:rPr>
        <w:t>组织各专业界面衔接处的条件提资，从功能需求、技术可行性、经济合理性等角度组织设计成果多专业、多顾问交叉审核；</w:t>
      </w:r>
    </w:p>
    <w:p w14:paraId="465B87C3">
      <w:pPr>
        <w:pStyle w:val="175"/>
        <w:numPr>
          <w:ilvl w:val="0"/>
          <w:numId w:val="69"/>
        </w:numPr>
        <w:rPr>
          <w:highlight w:val="none"/>
        </w:rPr>
      </w:pPr>
      <w:r>
        <w:rPr>
          <w:rFonts w:hint="eastAsia"/>
          <w:highlight w:val="none"/>
        </w:rPr>
        <w:t>根据建设主管部门要求，组织专项设计成果的论证与报审。</w:t>
      </w:r>
    </w:p>
    <w:p w14:paraId="0356E054">
      <w:pPr>
        <w:pStyle w:val="166"/>
        <w:rPr>
          <w:rFonts w:hint="eastAsia" w:ascii="宋体" w:eastAsia="宋体"/>
          <w:highlight w:val="none"/>
        </w:rPr>
      </w:pPr>
      <w:r>
        <w:rPr>
          <w:rFonts w:hint="eastAsia" w:ascii="宋体" w:eastAsia="宋体"/>
          <w:highlight w:val="none"/>
        </w:rPr>
        <w:t>在施工阶段，全过程工程咨询服务机构的设计管理工作应包括：</w:t>
      </w:r>
    </w:p>
    <w:p w14:paraId="1E6843A2">
      <w:pPr>
        <w:pStyle w:val="175"/>
        <w:numPr>
          <w:ilvl w:val="0"/>
          <w:numId w:val="74"/>
        </w:numPr>
        <w:rPr>
          <w:highlight w:val="none"/>
        </w:rPr>
      </w:pPr>
      <w:r>
        <w:rPr>
          <w:rFonts w:hint="eastAsia"/>
          <w:highlight w:val="none"/>
        </w:rPr>
        <w:t>组织设计交底及图纸会审；</w:t>
      </w:r>
    </w:p>
    <w:p w14:paraId="191F753A">
      <w:pPr>
        <w:pStyle w:val="175"/>
        <w:numPr>
          <w:ilvl w:val="0"/>
          <w:numId w:val="69"/>
        </w:numPr>
        <w:rPr>
          <w:highlight w:val="none"/>
        </w:rPr>
      </w:pPr>
      <w:r>
        <w:rPr>
          <w:rFonts w:hint="eastAsia"/>
          <w:highlight w:val="none"/>
        </w:rPr>
        <w:t>设计图纸版本收发及版本管理；</w:t>
      </w:r>
    </w:p>
    <w:p w14:paraId="7C1446F6">
      <w:pPr>
        <w:pStyle w:val="175"/>
        <w:numPr>
          <w:ilvl w:val="0"/>
          <w:numId w:val="69"/>
        </w:numPr>
        <w:rPr>
          <w:highlight w:val="none"/>
        </w:rPr>
      </w:pPr>
      <w:r>
        <w:rPr>
          <w:rFonts w:hint="eastAsia"/>
          <w:highlight w:val="none"/>
        </w:rPr>
        <w:t>设计变更、技术核定的审核与管理；</w:t>
      </w:r>
    </w:p>
    <w:p w14:paraId="2420D5E3">
      <w:pPr>
        <w:pStyle w:val="175"/>
        <w:numPr>
          <w:ilvl w:val="0"/>
          <w:numId w:val="69"/>
        </w:numPr>
        <w:rPr>
          <w:highlight w:val="none"/>
        </w:rPr>
      </w:pPr>
      <w:r>
        <w:rPr>
          <w:rFonts w:hint="eastAsia"/>
          <w:highlight w:val="none"/>
        </w:rPr>
        <w:t>深化设计的组织与协调管理；</w:t>
      </w:r>
    </w:p>
    <w:p w14:paraId="3A4508BA">
      <w:pPr>
        <w:pStyle w:val="175"/>
        <w:numPr>
          <w:ilvl w:val="0"/>
          <w:numId w:val="69"/>
        </w:numPr>
        <w:rPr>
          <w:highlight w:val="none"/>
        </w:rPr>
      </w:pPr>
      <w:r>
        <w:rPr>
          <w:rFonts w:hint="eastAsia"/>
          <w:highlight w:val="none"/>
        </w:rPr>
        <w:t>组织施工阶段材料样品样板的选样与封样；</w:t>
      </w:r>
    </w:p>
    <w:p w14:paraId="5C798377">
      <w:pPr>
        <w:pStyle w:val="175"/>
        <w:numPr>
          <w:ilvl w:val="0"/>
          <w:numId w:val="69"/>
        </w:numPr>
        <w:rPr>
          <w:highlight w:val="none"/>
        </w:rPr>
      </w:pPr>
      <w:r>
        <w:rPr>
          <w:rFonts w:hint="eastAsia"/>
          <w:highlight w:val="none"/>
        </w:rPr>
        <w:t>组织设计单位、施工单位之间的技术协调管理；</w:t>
      </w:r>
    </w:p>
    <w:p w14:paraId="3C66FB00">
      <w:pPr>
        <w:pStyle w:val="175"/>
        <w:numPr>
          <w:ilvl w:val="0"/>
          <w:numId w:val="69"/>
        </w:numPr>
        <w:rPr>
          <w:highlight w:val="none"/>
        </w:rPr>
      </w:pPr>
      <w:r>
        <w:rPr>
          <w:rFonts w:hint="eastAsia"/>
          <w:highlight w:val="none"/>
        </w:rPr>
        <w:t>组织设计单位参与分部工程验收、竣工验收。</w:t>
      </w:r>
    </w:p>
    <w:p w14:paraId="49DE9ADA">
      <w:pPr>
        <w:pStyle w:val="106"/>
        <w:spacing w:before="156" w:after="156"/>
        <w:rPr>
          <w:highlight w:val="none"/>
        </w:rPr>
      </w:pPr>
      <w:bookmarkStart w:id="109" w:name="_Toc194135345"/>
      <w:bookmarkStart w:id="110" w:name="_Toc22135"/>
      <w:r>
        <w:rPr>
          <w:rFonts w:hint="eastAsia"/>
          <w:highlight w:val="none"/>
        </w:rPr>
        <w:t>造价管理</w:t>
      </w:r>
      <w:bookmarkEnd w:id="109"/>
      <w:bookmarkEnd w:id="110"/>
    </w:p>
    <w:p w14:paraId="3D229B7B">
      <w:pPr>
        <w:pStyle w:val="166"/>
        <w:rPr>
          <w:rFonts w:hint="eastAsia" w:ascii="宋体" w:eastAsia="宋体"/>
          <w:highlight w:val="none"/>
        </w:rPr>
      </w:pPr>
      <w:bookmarkStart w:id="111" w:name="_Toc194135346"/>
      <w:r>
        <w:rPr>
          <w:rFonts w:hint="eastAsia" w:ascii="宋体" w:eastAsia="宋体"/>
          <w:highlight w:val="none"/>
          <w:lang w:val="en-US" w:eastAsia="zh-CN"/>
        </w:rPr>
        <w:t>在勘察设计阶段，造价咨询工程师负责的主要工作有：设计概算的编制或审核、根据前期审批决策要求拟定项目限额设计指标、对设计文件进行造价测算与经济优化建议、分析项目投资风险，提出管控措施。</w:t>
      </w:r>
    </w:p>
    <w:p w14:paraId="73E984CF">
      <w:pPr>
        <w:pStyle w:val="166"/>
        <w:rPr>
          <w:rFonts w:hint="eastAsia" w:ascii="宋体" w:eastAsia="宋体"/>
          <w:highlight w:val="none"/>
          <w:lang w:val="en-US" w:eastAsia="zh-CN"/>
        </w:rPr>
      </w:pPr>
      <w:r>
        <w:rPr>
          <w:rFonts w:hint="default" w:ascii="宋体" w:eastAsia="宋体"/>
          <w:highlight w:val="none"/>
          <w:lang w:val="en-US" w:eastAsia="zh-CN"/>
        </w:rPr>
        <w:t>设计阶段造价管理应满足下列要求</w:t>
      </w:r>
      <w:r>
        <w:rPr>
          <w:rFonts w:hint="eastAsia"/>
          <w:highlight w:val="none"/>
          <w:lang w:val="en-US" w:eastAsia="zh-CN"/>
        </w:rPr>
        <w:t>：</w:t>
      </w:r>
    </w:p>
    <w:p w14:paraId="0BE9393C">
      <w:pPr>
        <w:pStyle w:val="166"/>
        <w:numPr>
          <w:ilvl w:val="0"/>
          <w:numId w:val="75"/>
        </w:numPr>
        <w:ind w:leftChars="0" w:firstLine="420" w:firstLineChars="200"/>
        <w:rPr>
          <w:sz w:val="21"/>
          <w:szCs w:val="21"/>
          <w:highlight w:val="none"/>
        </w:rPr>
      </w:pPr>
      <w:r>
        <w:rPr>
          <w:rFonts w:hint="default" w:ascii="STSong-Light" w:hAnsi="STSong-Light" w:eastAsia="STSong-Light" w:cs="STSong-Light"/>
          <w:b w:val="0"/>
          <w:bCs w:val="0"/>
          <w:color w:val="000000"/>
          <w:sz w:val="21"/>
          <w:szCs w:val="21"/>
          <w:highlight w:val="none"/>
        </w:rPr>
        <w:t>根据投资估算情况，对项目定位、功能、建设标准等提</w:t>
      </w:r>
      <w:r>
        <w:rPr>
          <w:rFonts w:hint="eastAsia" w:ascii="STSong-Light" w:hAnsi="STSong-Light" w:eastAsia="宋体" w:cs="STSong-Light"/>
          <w:b w:val="0"/>
          <w:bCs w:val="0"/>
          <w:color w:val="000000"/>
          <w:sz w:val="21"/>
          <w:szCs w:val="21"/>
          <w:highlight w:val="none"/>
          <w:lang w:val="en-US" w:eastAsia="zh-CN"/>
        </w:rPr>
        <w:t>出建议。</w:t>
      </w:r>
    </w:p>
    <w:p w14:paraId="383484E6">
      <w:pPr>
        <w:pStyle w:val="166"/>
        <w:numPr>
          <w:ilvl w:val="0"/>
          <w:numId w:val="75"/>
        </w:numPr>
        <w:ind w:leftChars="0" w:firstLine="420" w:firstLineChars="200"/>
        <w:rPr>
          <w:sz w:val="21"/>
          <w:szCs w:val="21"/>
          <w:highlight w:val="none"/>
        </w:rPr>
      </w:pPr>
      <w:r>
        <w:rPr>
          <w:rFonts w:hint="default" w:ascii="STSong-Light" w:hAnsi="STSong-Light" w:eastAsia="STSong-Light" w:cs="STSong-Light"/>
          <w:b w:val="0"/>
          <w:bCs w:val="0"/>
          <w:color w:val="000000"/>
          <w:sz w:val="21"/>
          <w:szCs w:val="21"/>
          <w:highlight w:val="none"/>
        </w:rPr>
        <w:t>根据项目的总体目标确定合理的功能水平。</w:t>
      </w:r>
    </w:p>
    <w:p w14:paraId="349BF6B6">
      <w:pPr>
        <w:pStyle w:val="166"/>
        <w:numPr>
          <w:ilvl w:val="0"/>
          <w:numId w:val="75"/>
        </w:numPr>
        <w:ind w:leftChars="0" w:firstLine="420" w:firstLineChars="200"/>
        <w:rPr>
          <w:sz w:val="21"/>
          <w:szCs w:val="21"/>
          <w:highlight w:val="none"/>
        </w:rPr>
      </w:pPr>
      <w:r>
        <w:rPr>
          <w:rFonts w:hint="default" w:ascii="STSong-Light" w:hAnsi="STSong-Light" w:eastAsia="STSong-Light" w:cs="STSong-Light"/>
          <w:b w:val="0"/>
          <w:bCs w:val="0"/>
          <w:color w:val="000000"/>
          <w:sz w:val="21"/>
          <w:szCs w:val="21"/>
          <w:highlight w:val="none"/>
        </w:rPr>
        <w:t>初步设计概算不超过立项批复的投资估算。</w:t>
      </w:r>
    </w:p>
    <w:p w14:paraId="4660619B">
      <w:pPr>
        <w:pStyle w:val="166"/>
        <w:numPr>
          <w:ilvl w:val="0"/>
          <w:numId w:val="75"/>
        </w:numPr>
        <w:ind w:leftChars="0" w:firstLine="420" w:firstLineChars="200"/>
        <w:rPr>
          <w:sz w:val="21"/>
          <w:szCs w:val="21"/>
          <w:highlight w:val="none"/>
        </w:rPr>
      </w:pPr>
      <w:r>
        <w:rPr>
          <w:rFonts w:hint="default" w:ascii="STSong-Light" w:hAnsi="STSong-Light" w:eastAsia="STSong-Light" w:cs="STSong-Light"/>
          <w:b w:val="0"/>
          <w:bCs w:val="0"/>
          <w:color w:val="000000"/>
          <w:sz w:val="21"/>
          <w:szCs w:val="21"/>
          <w:highlight w:val="none"/>
        </w:rPr>
        <w:t>经审查的施工图预算不超过设计概算。</w:t>
      </w:r>
    </w:p>
    <w:p w14:paraId="21602317">
      <w:pPr>
        <w:pStyle w:val="166"/>
        <w:numPr>
          <w:ilvl w:val="0"/>
          <w:numId w:val="75"/>
        </w:numPr>
        <w:ind w:left="0" w:leftChars="0" w:firstLine="420" w:firstLineChars="200"/>
        <w:rPr>
          <w:sz w:val="21"/>
          <w:szCs w:val="21"/>
          <w:highlight w:val="none"/>
        </w:rPr>
      </w:pPr>
      <w:r>
        <w:rPr>
          <w:rFonts w:hint="default" w:ascii="STSong-Light" w:hAnsi="STSong-Light" w:eastAsia="STSong-Light" w:cs="STSong-Light"/>
          <w:b w:val="0"/>
          <w:bCs w:val="0"/>
          <w:color w:val="000000"/>
          <w:sz w:val="21"/>
          <w:szCs w:val="21"/>
          <w:highlight w:val="none"/>
        </w:rPr>
        <w:t>设计方案评价与优化采用统一的经济技术评价指标体系。</w:t>
      </w:r>
    </w:p>
    <w:p w14:paraId="627AB055">
      <w:pPr>
        <w:pStyle w:val="166"/>
        <w:rPr>
          <w:rFonts w:hint="default" w:ascii="宋体" w:eastAsia="宋体"/>
          <w:highlight w:val="none"/>
          <w:lang w:val="en-US" w:eastAsia="zh-CN"/>
        </w:rPr>
      </w:pPr>
      <w:r>
        <w:rPr>
          <w:rFonts w:hint="default" w:ascii="宋体" w:eastAsia="宋体"/>
          <w:highlight w:val="none"/>
          <w:lang w:val="en-US" w:eastAsia="zh-CN"/>
        </w:rPr>
        <w:t>设计阶段造价管理应包括下列内容</w:t>
      </w:r>
      <w:r>
        <w:rPr>
          <w:rFonts w:hint="eastAsia"/>
          <w:highlight w:val="none"/>
          <w:lang w:val="en-US" w:eastAsia="zh-CN"/>
        </w:rPr>
        <w:t>：</w:t>
      </w:r>
    </w:p>
    <w:p w14:paraId="44BB3006">
      <w:pPr>
        <w:pStyle w:val="175"/>
        <w:numPr>
          <w:ilvl w:val="0"/>
          <w:numId w:val="76"/>
        </w:numPr>
        <w:rPr>
          <w:rFonts w:hint="default" w:ascii="宋体" w:eastAsia="宋体"/>
          <w:highlight w:val="none"/>
        </w:rPr>
      </w:pPr>
      <w:r>
        <w:rPr>
          <w:rFonts w:hint="default" w:ascii="宋体" w:eastAsia="宋体"/>
          <w:highlight w:val="none"/>
        </w:rPr>
        <w:t>设计概算的编制与组织审核。</w:t>
      </w:r>
    </w:p>
    <w:p w14:paraId="0F1415A8">
      <w:pPr>
        <w:pStyle w:val="175"/>
        <w:numPr>
          <w:ilvl w:val="0"/>
          <w:numId w:val="76"/>
        </w:numPr>
        <w:rPr>
          <w:rFonts w:hint="eastAsia" w:ascii="宋体" w:eastAsia="宋体"/>
          <w:highlight w:val="none"/>
          <w:lang w:val="en-US" w:eastAsia="zh-CN"/>
        </w:rPr>
      </w:pPr>
      <w:r>
        <w:rPr>
          <w:rFonts w:hint="eastAsia" w:ascii="宋体" w:eastAsia="宋体"/>
          <w:highlight w:val="none"/>
          <w:lang w:val="en-US" w:eastAsia="zh-CN"/>
        </w:rPr>
        <w:t>制定限额设计造价控制目标。</w:t>
      </w:r>
    </w:p>
    <w:p w14:paraId="4BF5EBED">
      <w:pPr>
        <w:pStyle w:val="175"/>
        <w:numPr>
          <w:ilvl w:val="0"/>
          <w:numId w:val="76"/>
        </w:numPr>
        <w:rPr>
          <w:rFonts w:hint="default" w:ascii="宋体" w:eastAsia="宋体"/>
          <w:highlight w:val="none"/>
        </w:rPr>
      </w:pPr>
      <w:r>
        <w:rPr>
          <w:rFonts w:hint="eastAsia" w:ascii="宋体" w:eastAsia="宋体"/>
          <w:highlight w:val="none"/>
          <w:lang w:val="en-US" w:eastAsia="zh-CN"/>
        </w:rPr>
        <w:t>对</w:t>
      </w:r>
      <w:r>
        <w:rPr>
          <w:rFonts w:hint="default" w:ascii="宋体" w:eastAsia="宋体"/>
          <w:highlight w:val="none"/>
        </w:rPr>
        <w:t>设计方案</w:t>
      </w:r>
      <w:r>
        <w:rPr>
          <w:rFonts w:hint="eastAsia" w:ascii="宋体" w:eastAsia="宋体"/>
          <w:highlight w:val="none"/>
          <w:lang w:val="en-US" w:eastAsia="zh-CN"/>
        </w:rPr>
        <w:t>进行技术</w:t>
      </w:r>
      <w:r>
        <w:rPr>
          <w:rFonts w:hint="default" w:ascii="宋体" w:eastAsia="宋体"/>
          <w:highlight w:val="none"/>
        </w:rPr>
        <w:t>经济</w:t>
      </w:r>
      <w:r>
        <w:rPr>
          <w:rFonts w:hint="eastAsia" w:ascii="宋体" w:eastAsia="宋体"/>
          <w:highlight w:val="none"/>
          <w:lang w:val="en-US" w:eastAsia="zh-CN"/>
        </w:rPr>
        <w:t>指标分析，为设计方案优化提供建议</w:t>
      </w:r>
      <w:r>
        <w:rPr>
          <w:rFonts w:hint="default" w:ascii="宋体" w:eastAsia="宋体"/>
          <w:highlight w:val="none"/>
        </w:rPr>
        <w:t>。</w:t>
      </w:r>
    </w:p>
    <w:p w14:paraId="0E19EE76">
      <w:pPr>
        <w:pStyle w:val="175"/>
        <w:numPr>
          <w:ilvl w:val="0"/>
          <w:numId w:val="76"/>
        </w:numPr>
        <w:rPr>
          <w:rFonts w:hint="default" w:ascii="宋体" w:eastAsia="宋体"/>
          <w:highlight w:val="none"/>
          <w:lang w:val="en-US" w:eastAsia="zh-CN"/>
        </w:rPr>
      </w:pPr>
      <w:r>
        <w:rPr>
          <w:rFonts w:hint="eastAsia" w:ascii="宋体" w:eastAsia="宋体"/>
          <w:highlight w:val="none"/>
          <w:lang w:val="en-US" w:eastAsia="zh-CN"/>
        </w:rPr>
        <w:t>编制或审核初步设计概算。</w:t>
      </w:r>
    </w:p>
    <w:p w14:paraId="5DE82FF7">
      <w:pPr>
        <w:pStyle w:val="175"/>
        <w:numPr>
          <w:ilvl w:val="0"/>
          <w:numId w:val="76"/>
        </w:numPr>
        <w:rPr>
          <w:rFonts w:hint="default" w:ascii="宋体" w:eastAsia="宋体"/>
          <w:highlight w:val="none"/>
        </w:rPr>
      </w:pPr>
      <w:r>
        <w:rPr>
          <w:rFonts w:hint="eastAsia" w:ascii="宋体" w:eastAsia="宋体"/>
          <w:highlight w:val="none"/>
          <w:lang w:val="en-US" w:eastAsia="zh-CN"/>
        </w:rPr>
        <w:t>编制或审核</w:t>
      </w:r>
      <w:r>
        <w:rPr>
          <w:rFonts w:hint="default" w:ascii="宋体" w:eastAsia="宋体"/>
          <w:highlight w:val="none"/>
        </w:rPr>
        <w:t>施工图预算。</w:t>
      </w:r>
    </w:p>
    <w:p w14:paraId="441E76EE">
      <w:pPr>
        <w:pStyle w:val="166"/>
        <w:rPr>
          <w:rFonts w:hint="eastAsia" w:ascii="宋体" w:eastAsia="宋体"/>
          <w:highlight w:val="none"/>
          <w:lang w:val="en-US" w:eastAsia="zh-CN"/>
        </w:rPr>
      </w:pPr>
      <w:r>
        <w:rPr>
          <w:rFonts w:hint="eastAsia" w:ascii="宋体" w:eastAsia="宋体"/>
          <w:highlight w:val="none"/>
          <w:lang w:val="en-US" w:eastAsia="zh-CN"/>
        </w:rPr>
        <w:t>设计阶段造价管理的主要咨询服务成果可包括下列内容：</w:t>
      </w:r>
    </w:p>
    <w:p w14:paraId="24C732DB">
      <w:pPr>
        <w:pStyle w:val="175"/>
        <w:numPr>
          <w:ilvl w:val="0"/>
          <w:numId w:val="77"/>
        </w:numPr>
        <w:rPr>
          <w:rFonts w:hint="eastAsia" w:ascii="宋体" w:eastAsia="宋体"/>
          <w:highlight w:val="none"/>
          <w:lang w:val="en-US" w:eastAsia="zh-CN"/>
        </w:rPr>
      </w:pPr>
      <w:r>
        <w:rPr>
          <w:rFonts w:hint="eastAsia" w:ascii="宋体" w:eastAsia="宋体"/>
          <w:highlight w:val="none"/>
          <w:lang w:val="en-US" w:eastAsia="zh-CN"/>
        </w:rPr>
        <w:t>项目总体设计方案的技术经济分析报告。</w:t>
      </w:r>
    </w:p>
    <w:p w14:paraId="66D89C62">
      <w:pPr>
        <w:pStyle w:val="175"/>
        <w:numPr>
          <w:ilvl w:val="0"/>
          <w:numId w:val="77"/>
        </w:numPr>
        <w:rPr>
          <w:rFonts w:hint="eastAsia" w:ascii="宋体" w:eastAsia="宋体"/>
          <w:highlight w:val="none"/>
          <w:lang w:val="en-US" w:eastAsia="zh-CN"/>
        </w:rPr>
      </w:pPr>
      <w:r>
        <w:rPr>
          <w:rFonts w:hint="eastAsia" w:ascii="宋体" w:eastAsia="宋体"/>
          <w:highlight w:val="none"/>
          <w:lang w:val="en-US" w:eastAsia="zh-CN"/>
        </w:rPr>
        <w:t>项目专项设计方案的技术经济分析报告。</w:t>
      </w:r>
    </w:p>
    <w:p w14:paraId="7C450104">
      <w:pPr>
        <w:pStyle w:val="175"/>
        <w:numPr>
          <w:ilvl w:val="0"/>
          <w:numId w:val="77"/>
        </w:numPr>
        <w:rPr>
          <w:rFonts w:hint="eastAsia" w:ascii="宋体" w:eastAsia="宋体"/>
          <w:highlight w:val="none"/>
          <w:lang w:val="en-US" w:eastAsia="zh-CN"/>
        </w:rPr>
      </w:pPr>
      <w:r>
        <w:rPr>
          <w:rFonts w:hint="eastAsia" w:ascii="宋体" w:eastAsia="宋体"/>
          <w:highlight w:val="none"/>
          <w:lang w:val="en-US" w:eastAsia="zh-CN"/>
        </w:rPr>
        <w:t>工程设计概算书。</w:t>
      </w:r>
    </w:p>
    <w:p w14:paraId="0C44DEA3">
      <w:pPr>
        <w:pStyle w:val="175"/>
        <w:numPr>
          <w:ilvl w:val="0"/>
          <w:numId w:val="77"/>
        </w:numPr>
        <w:rPr>
          <w:rFonts w:hint="eastAsia" w:ascii="宋体" w:eastAsia="宋体"/>
          <w:highlight w:val="none"/>
          <w:lang w:val="en-US" w:eastAsia="zh-CN"/>
        </w:rPr>
      </w:pPr>
      <w:r>
        <w:rPr>
          <w:rFonts w:hint="eastAsia" w:ascii="宋体" w:eastAsia="宋体"/>
          <w:highlight w:val="none"/>
          <w:lang w:val="en-US" w:eastAsia="zh-CN"/>
        </w:rPr>
        <w:t>工程设计概算审核报告。</w:t>
      </w:r>
    </w:p>
    <w:p w14:paraId="140D5DFF">
      <w:pPr>
        <w:pStyle w:val="175"/>
        <w:numPr>
          <w:ilvl w:val="0"/>
          <w:numId w:val="77"/>
        </w:numPr>
        <w:rPr>
          <w:rFonts w:hint="eastAsia" w:ascii="宋体" w:eastAsia="宋体"/>
          <w:highlight w:val="none"/>
          <w:lang w:val="en-US" w:eastAsia="zh-CN"/>
        </w:rPr>
      </w:pPr>
      <w:r>
        <w:rPr>
          <w:rFonts w:hint="eastAsia" w:ascii="宋体" w:eastAsia="宋体"/>
          <w:highlight w:val="none"/>
          <w:lang w:val="en-US" w:eastAsia="zh-CN"/>
        </w:rPr>
        <w:t>工程项目投资概算与投资估算的差异分析报告。</w:t>
      </w:r>
    </w:p>
    <w:p w14:paraId="76F01705">
      <w:pPr>
        <w:pStyle w:val="175"/>
        <w:numPr>
          <w:ilvl w:val="0"/>
          <w:numId w:val="77"/>
        </w:numPr>
        <w:rPr>
          <w:rFonts w:hint="eastAsia" w:ascii="宋体" w:eastAsia="宋体"/>
          <w:highlight w:val="none"/>
          <w:lang w:val="en-US" w:eastAsia="zh-CN"/>
        </w:rPr>
      </w:pPr>
      <w:r>
        <w:rPr>
          <w:rFonts w:hint="eastAsia" w:ascii="宋体" w:eastAsia="宋体"/>
          <w:highlight w:val="none"/>
          <w:lang w:val="en-US" w:eastAsia="zh-CN"/>
        </w:rPr>
        <w:t>工程施工图预算书。</w:t>
      </w:r>
    </w:p>
    <w:p w14:paraId="561F85F1">
      <w:pPr>
        <w:pStyle w:val="175"/>
        <w:numPr>
          <w:ilvl w:val="0"/>
          <w:numId w:val="77"/>
        </w:numPr>
        <w:rPr>
          <w:rFonts w:hint="eastAsia" w:ascii="宋体" w:eastAsia="宋体"/>
          <w:highlight w:val="none"/>
          <w:lang w:val="en-US" w:eastAsia="zh-CN"/>
        </w:rPr>
      </w:pPr>
      <w:r>
        <w:rPr>
          <w:rFonts w:hint="eastAsia" w:ascii="宋体" w:eastAsia="宋体"/>
          <w:highlight w:val="none"/>
          <w:lang w:val="en-US" w:eastAsia="zh-CN"/>
        </w:rPr>
        <w:t>工程施工图预算审核报告。</w:t>
      </w:r>
    </w:p>
    <w:p w14:paraId="0C5350EF">
      <w:pPr>
        <w:pStyle w:val="175"/>
        <w:numPr>
          <w:ilvl w:val="0"/>
          <w:numId w:val="77"/>
        </w:numPr>
        <w:rPr>
          <w:rFonts w:hint="eastAsia" w:ascii="宋体" w:eastAsia="宋体"/>
          <w:highlight w:val="none"/>
          <w:lang w:val="en-US" w:eastAsia="zh-CN"/>
        </w:rPr>
      </w:pPr>
      <w:r>
        <w:rPr>
          <w:rFonts w:hint="eastAsia" w:ascii="宋体" w:eastAsia="宋体"/>
          <w:highlight w:val="none"/>
          <w:lang w:val="en-US" w:eastAsia="zh-CN"/>
        </w:rPr>
        <w:t>工程施工图预算与设计概算的差异分析报告。</w:t>
      </w:r>
    </w:p>
    <w:p w14:paraId="55CC1A5E">
      <w:pPr>
        <w:pStyle w:val="175"/>
        <w:numPr>
          <w:ilvl w:val="0"/>
          <w:numId w:val="77"/>
        </w:numPr>
        <w:rPr>
          <w:rFonts w:hint="default" w:ascii="宋体" w:eastAsia="宋体"/>
          <w:highlight w:val="none"/>
          <w:lang w:val="en-US" w:eastAsia="zh-CN"/>
        </w:rPr>
      </w:pPr>
      <w:r>
        <w:rPr>
          <w:rFonts w:hint="eastAsia" w:ascii="宋体" w:eastAsia="宋体"/>
          <w:highlight w:val="none"/>
          <w:lang w:val="en-US" w:eastAsia="zh-CN"/>
        </w:rPr>
        <w:t>委托合同约定的其他造价咨询服务成果。</w:t>
      </w:r>
    </w:p>
    <w:p w14:paraId="73E241FD">
      <w:pPr>
        <w:pStyle w:val="105"/>
        <w:spacing w:before="312" w:after="312"/>
        <w:rPr>
          <w:highlight w:val="none"/>
        </w:rPr>
      </w:pPr>
      <w:bookmarkStart w:id="112" w:name="_Toc20725"/>
      <w:r>
        <w:rPr>
          <w:rFonts w:hint="eastAsia"/>
          <w:highlight w:val="none"/>
        </w:rPr>
        <w:t>招标采购阶段的咨询服务</w:t>
      </w:r>
      <w:bookmarkEnd w:id="111"/>
      <w:bookmarkEnd w:id="112"/>
    </w:p>
    <w:p w14:paraId="2269839D">
      <w:pPr>
        <w:pStyle w:val="106"/>
        <w:spacing w:before="156" w:after="156"/>
        <w:rPr>
          <w:highlight w:val="none"/>
        </w:rPr>
      </w:pPr>
      <w:bookmarkStart w:id="113" w:name="_Toc194135347"/>
      <w:bookmarkStart w:id="114" w:name="_Toc7805"/>
      <w:r>
        <w:rPr>
          <w:rFonts w:hint="eastAsia"/>
          <w:highlight w:val="none"/>
        </w:rPr>
        <w:t>一般规定</w:t>
      </w:r>
      <w:bookmarkEnd w:id="113"/>
      <w:bookmarkEnd w:id="114"/>
    </w:p>
    <w:p w14:paraId="40913446">
      <w:pPr>
        <w:pStyle w:val="166"/>
        <w:rPr>
          <w:highlight w:val="none"/>
        </w:rPr>
      </w:pPr>
      <w:r>
        <w:rPr>
          <w:rFonts w:hint="eastAsia"/>
          <w:highlight w:val="none"/>
        </w:rPr>
        <w:t>招标采购阶段的咨询服务应在立项及概算批准、招标方案核准、技术资料齐全后组织实施。</w:t>
      </w:r>
    </w:p>
    <w:p w14:paraId="3C332CF8">
      <w:pPr>
        <w:pStyle w:val="166"/>
        <w:rPr>
          <w:highlight w:val="none"/>
        </w:rPr>
      </w:pPr>
      <w:r>
        <w:rPr>
          <w:rFonts w:hint="eastAsia"/>
          <w:highlight w:val="none"/>
        </w:rPr>
        <w:t>全过程工程咨询服务单位应按照合同约定，依法依规开展招标代理活动，做好组织、审核和流程管理，完成所服务项目的采购工作。</w:t>
      </w:r>
    </w:p>
    <w:p w14:paraId="0739C73B">
      <w:pPr>
        <w:pStyle w:val="166"/>
        <w:rPr>
          <w:highlight w:val="none"/>
        </w:rPr>
      </w:pPr>
      <w:r>
        <w:rPr>
          <w:rFonts w:hint="eastAsia"/>
          <w:highlight w:val="none"/>
        </w:rPr>
        <w:t>工程咨询机构应根据合同约定及项目实际情况，提供包括协助策划招标方案（政府采购方案）、编制或审核工程量清单、编制或审核</w:t>
      </w:r>
      <w:r>
        <w:rPr>
          <w:rFonts w:hint="eastAsia"/>
          <w:highlight w:val="none"/>
          <w:lang w:val="en-US" w:eastAsia="zh-CN"/>
        </w:rPr>
        <w:t>最高投标限</w:t>
      </w:r>
      <w:r>
        <w:rPr>
          <w:rFonts w:hint="eastAsia"/>
          <w:highlight w:val="none"/>
        </w:rPr>
        <w:t>价、起草或审核合同文本、协助委托方进行合同谈判和签订在内的工程造价咨询服务。</w:t>
      </w:r>
    </w:p>
    <w:p w14:paraId="5CC4C4AB">
      <w:pPr>
        <w:pStyle w:val="106"/>
        <w:spacing w:before="156" w:after="156"/>
        <w:rPr>
          <w:highlight w:val="none"/>
        </w:rPr>
      </w:pPr>
      <w:bookmarkStart w:id="115" w:name="_Toc11148"/>
      <w:bookmarkStart w:id="116" w:name="_Toc194135348"/>
      <w:r>
        <w:rPr>
          <w:rFonts w:hint="eastAsia"/>
          <w:highlight w:val="none"/>
        </w:rPr>
        <w:t>招标采购策划</w:t>
      </w:r>
      <w:bookmarkEnd w:id="115"/>
      <w:bookmarkEnd w:id="116"/>
    </w:p>
    <w:p w14:paraId="313453AC">
      <w:pPr>
        <w:pStyle w:val="166"/>
        <w:rPr>
          <w:highlight w:val="none"/>
        </w:rPr>
      </w:pPr>
      <w:r>
        <w:rPr>
          <w:rFonts w:hint="eastAsia"/>
          <w:highlight w:val="none"/>
        </w:rPr>
        <w:t>服务内容包括但不限于：</w:t>
      </w:r>
    </w:p>
    <w:p w14:paraId="7F805A2A">
      <w:pPr>
        <w:pStyle w:val="175"/>
        <w:numPr>
          <w:ilvl w:val="0"/>
          <w:numId w:val="78"/>
        </w:numPr>
        <w:rPr>
          <w:highlight w:val="none"/>
        </w:rPr>
      </w:pPr>
      <w:r>
        <w:rPr>
          <w:rFonts w:hint="eastAsia"/>
          <w:highlight w:val="none"/>
        </w:rPr>
        <w:t>招标方式确定：收集项目相关的基础资料，详细了解项目的建设目标、功能要求、技术要求等，科学合理地确定招标方式，同时对项目进行恰当的标段划分；</w:t>
      </w:r>
    </w:p>
    <w:p w14:paraId="711B8136">
      <w:pPr>
        <w:pStyle w:val="175"/>
        <w:numPr>
          <w:ilvl w:val="0"/>
          <w:numId w:val="69"/>
        </w:numPr>
        <w:rPr>
          <w:highlight w:val="none"/>
        </w:rPr>
      </w:pPr>
      <w:r>
        <w:rPr>
          <w:rFonts w:hint="eastAsia"/>
          <w:highlight w:val="none"/>
        </w:rPr>
        <w:t>制定招标计划：紧密结合项目整体进度安排，充分考虑项目各阶段的时间节点与逻辑关系，同时深度契合招标人的个性化要求，制定出科学合理、详尽细致的招标采购时间进度计划。</w:t>
      </w:r>
    </w:p>
    <w:p w14:paraId="2E506925">
      <w:pPr>
        <w:pStyle w:val="166"/>
        <w:rPr>
          <w:highlight w:val="none"/>
        </w:rPr>
      </w:pPr>
      <w:r>
        <w:rPr>
          <w:rFonts w:hint="eastAsia"/>
          <w:highlight w:val="none"/>
        </w:rPr>
        <w:t>应遵循国家及地方现行的招标采购相关法律法规，确保招标采购活动的合法性与合规性。在技术标准方面，依据项目所属行业的技术规范与标准，结合项目自身独特的技术要求与特点，提供契合项目实际情况的招标采购服务。</w:t>
      </w:r>
    </w:p>
    <w:p w14:paraId="65B4BECC">
      <w:pPr>
        <w:pStyle w:val="106"/>
        <w:spacing w:before="156" w:after="156"/>
        <w:rPr>
          <w:highlight w:val="none"/>
        </w:rPr>
      </w:pPr>
      <w:bookmarkStart w:id="117" w:name="_Toc194135349"/>
      <w:bookmarkStart w:id="118" w:name="_Toc23900"/>
      <w:r>
        <w:rPr>
          <w:rFonts w:hint="eastAsia"/>
          <w:highlight w:val="none"/>
        </w:rPr>
        <w:t>招标采购文件编制</w:t>
      </w:r>
      <w:bookmarkEnd w:id="117"/>
      <w:bookmarkEnd w:id="118"/>
    </w:p>
    <w:p w14:paraId="330B8680">
      <w:pPr>
        <w:pStyle w:val="166"/>
        <w:rPr>
          <w:highlight w:val="none"/>
        </w:rPr>
      </w:pPr>
      <w:r>
        <w:rPr>
          <w:rFonts w:hint="eastAsia"/>
          <w:highlight w:val="none"/>
        </w:rPr>
        <w:t>服务内容包括但不限于：</w:t>
      </w:r>
    </w:p>
    <w:p w14:paraId="4CF8CE3D">
      <w:pPr>
        <w:pStyle w:val="175"/>
        <w:numPr>
          <w:ilvl w:val="0"/>
          <w:numId w:val="79"/>
        </w:numPr>
        <w:rPr>
          <w:highlight w:val="none"/>
        </w:rPr>
      </w:pPr>
      <w:r>
        <w:rPr>
          <w:rFonts w:hint="eastAsia"/>
          <w:highlight w:val="none"/>
        </w:rPr>
        <w:t>招标文件应使用标准文件编制，内容不得违反法律、行政法规的强制性规定，不得违反公开、公平、公正和诚实信用原则；</w:t>
      </w:r>
    </w:p>
    <w:p w14:paraId="7F2952FC">
      <w:pPr>
        <w:pStyle w:val="175"/>
        <w:numPr>
          <w:ilvl w:val="0"/>
          <w:numId w:val="79"/>
        </w:numPr>
        <w:rPr>
          <w:highlight w:val="none"/>
        </w:rPr>
      </w:pPr>
      <w:r>
        <w:rPr>
          <w:rFonts w:hint="eastAsia"/>
          <w:highlight w:val="none"/>
        </w:rPr>
        <w:t>充分结合招标采购内容与项目特点，从招标范围、技术要求、评标办法等方面进行招标文件编制。</w:t>
      </w:r>
    </w:p>
    <w:p w14:paraId="77526F0A">
      <w:pPr>
        <w:pStyle w:val="166"/>
        <w:rPr>
          <w:highlight w:val="none"/>
        </w:rPr>
      </w:pPr>
      <w:r>
        <w:rPr>
          <w:rFonts w:hint="eastAsia"/>
          <w:highlight w:val="none"/>
        </w:rPr>
        <w:t>服务要求如下：</w:t>
      </w:r>
    </w:p>
    <w:p w14:paraId="1630BEF1">
      <w:pPr>
        <w:pStyle w:val="175"/>
        <w:numPr>
          <w:ilvl w:val="0"/>
          <w:numId w:val="80"/>
        </w:numPr>
        <w:rPr>
          <w:highlight w:val="none"/>
        </w:rPr>
      </w:pPr>
      <w:r>
        <w:rPr>
          <w:rFonts w:hint="eastAsia"/>
          <w:highlight w:val="none"/>
        </w:rPr>
        <w:t>招标人应在招标文件中规定实质性要求和条件，并用醒目的方式集中列明；</w:t>
      </w:r>
    </w:p>
    <w:p w14:paraId="52B85D78">
      <w:pPr>
        <w:pStyle w:val="175"/>
        <w:numPr>
          <w:ilvl w:val="0"/>
          <w:numId w:val="69"/>
        </w:numPr>
        <w:rPr>
          <w:highlight w:val="none"/>
        </w:rPr>
      </w:pPr>
      <w:r>
        <w:rPr>
          <w:rFonts w:hint="eastAsia"/>
          <w:highlight w:val="none"/>
        </w:rPr>
        <w:t>采取资格预审的，招标人应在资格预审文件中载明资格预审的条件、标准和方法；采取资格后审的，招标人应当在招标文件中载明对投标人资格要求的条件、标准和方法；</w:t>
      </w:r>
    </w:p>
    <w:p w14:paraId="3D814F71">
      <w:pPr>
        <w:pStyle w:val="175"/>
        <w:numPr>
          <w:ilvl w:val="0"/>
          <w:numId w:val="69"/>
        </w:numPr>
        <w:rPr>
          <w:highlight w:val="none"/>
        </w:rPr>
      </w:pPr>
      <w:r>
        <w:rPr>
          <w:rFonts w:hint="eastAsia"/>
          <w:highlight w:val="none"/>
        </w:rPr>
        <w:t>招标人不应以不合理的条件限制、排斥潜在投标人或者投标人。依法必须进行招标的项目的招标人不得利用划分标段规避招标。</w:t>
      </w:r>
    </w:p>
    <w:p w14:paraId="02C108A2">
      <w:pPr>
        <w:pStyle w:val="106"/>
        <w:spacing w:before="156" w:after="156"/>
        <w:rPr>
          <w:highlight w:val="none"/>
        </w:rPr>
      </w:pPr>
      <w:bookmarkStart w:id="119" w:name="_Toc20257"/>
      <w:bookmarkStart w:id="120" w:name="_Toc194135350"/>
      <w:r>
        <w:rPr>
          <w:rFonts w:hint="eastAsia"/>
          <w:highlight w:val="none"/>
        </w:rPr>
        <w:t>招标采购过程管理</w:t>
      </w:r>
      <w:bookmarkEnd w:id="119"/>
      <w:bookmarkEnd w:id="120"/>
    </w:p>
    <w:p w14:paraId="66D8828A">
      <w:pPr>
        <w:pStyle w:val="166"/>
        <w:rPr>
          <w:highlight w:val="none"/>
        </w:rPr>
      </w:pPr>
      <w:r>
        <w:rPr>
          <w:rFonts w:hint="eastAsia"/>
          <w:highlight w:val="none"/>
        </w:rPr>
        <w:t>招标采购实施过程应至少包括以下内容：</w:t>
      </w:r>
    </w:p>
    <w:p w14:paraId="35A8420D">
      <w:pPr>
        <w:pStyle w:val="175"/>
        <w:numPr>
          <w:ilvl w:val="0"/>
          <w:numId w:val="81"/>
        </w:numPr>
        <w:rPr>
          <w:highlight w:val="none"/>
        </w:rPr>
      </w:pPr>
      <w:r>
        <w:rPr>
          <w:rFonts w:hint="eastAsia"/>
          <w:highlight w:val="none"/>
        </w:rPr>
        <w:t>拟定招标方案；</w:t>
      </w:r>
    </w:p>
    <w:p w14:paraId="02BE2F5C">
      <w:pPr>
        <w:pStyle w:val="175"/>
        <w:numPr>
          <w:ilvl w:val="0"/>
          <w:numId w:val="69"/>
        </w:numPr>
        <w:rPr>
          <w:highlight w:val="none"/>
        </w:rPr>
      </w:pPr>
      <w:r>
        <w:rPr>
          <w:rFonts w:hint="eastAsia"/>
          <w:highlight w:val="none"/>
        </w:rPr>
        <w:t>编制及发布招标公告（发出投标邀请书）；</w:t>
      </w:r>
    </w:p>
    <w:p w14:paraId="45F1F705">
      <w:pPr>
        <w:pStyle w:val="175"/>
        <w:numPr>
          <w:ilvl w:val="0"/>
          <w:numId w:val="69"/>
        </w:numPr>
        <w:rPr>
          <w:highlight w:val="none"/>
        </w:rPr>
      </w:pPr>
      <w:r>
        <w:rPr>
          <w:rFonts w:hint="eastAsia"/>
          <w:highlight w:val="none"/>
        </w:rPr>
        <w:t>编制及发布资格预审文件或招标文件；</w:t>
      </w:r>
    </w:p>
    <w:p w14:paraId="163B32B9">
      <w:pPr>
        <w:pStyle w:val="175"/>
        <w:numPr>
          <w:ilvl w:val="0"/>
          <w:numId w:val="69"/>
        </w:numPr>
        <w:rPr>
          <w:highlight w:val="none"/>
        </w:rPr>
      </w:pPr>
      <w:r>
        <w:rPr>
          <w:rFonts w:hint="eastAsia"/>
          <w:highlight w:val="none"/>
        </w:rPr>
        <w:t>审查投标人资格；</w:t>
      </w:r>
    </w:p>
    <w:p w14:paraId="6B37908F">
      <w:pPr>
        <w:pStyle w:val="175"/>
        <w:numPr>
          <w:ilvl w:val="0"/>
          <w:numId w:val="69"/>
        </w:numPr>
        <w:rPr>
          <w:highlight w:val="none"/>
        </w:rPr>
      </w:pPr>
      <w:r>
        <w:rPr>
          <w:rFonts w:hint="eastAsia"/>
          <w:highlight w:val="none"/>
        </w:rPr>
        <w:t>组织现场踏勘和答疑；</w:t>
      </w:r>
    </w:p>
    <w:p w14:paraId="7C28768D">
      <w:pPr>
        <w:pStyle w:val="175"/>
        <w:numPr>
          <w:ilvl w:val="0"/>
          <w:numId w:val="69"/>
        </w:numPr>
        <w:rPr>
          <w:highlight w:val="none"/>
        </w:rPr>
      </w:pPr>
      <w:r>
        <w:rPr>
          <w:rFonts w:hint="eastAsia"/>
          <w:highlight w:val="none"/>
        </w:rPr>
        <w:t>组织开标、评标，协助招标人定标；</w:t>
      </w:r>
    </w:p>
    <w:p w14:paraId="131B64E2">
      <w:pPr>
        <w:pStyle w:val="175"/>
        <w:numPr>
          <w:ilvl w:val="0"/>
          <w:numId w:val="69"/>
        </w:numPr>
        <w:rPr>
          <w:highlight w:val="none"/>
        </w:rPr>
      </w:pPr>
      <w:r>
        <w:rPr>
          <w:rFonts w:hint="eastAsia"/>
          <w:highlight w:val="none"/>
        </w:rPr>
        <w:t>草拟合同；</w:t>
      </w:r>
    </w:p>
    <w:p w14:paraId="11F8C857">
      <w:pPr>
        <w:pStyle w:val="175"/>
        <w:numPr>
          <w:ilvl w:val="0"/>
          <w:numId w:val="69"/>
        </w:numPr>
        <w:rPr>
          <w:highlight w:val="none"/>
        </w:rPr>
      </w:pPr>
      <w:r>
        <w:rPr>
          <w:rFonts w:hint="eastAsia"/>
          <w:highlight w:val="none"/>
        </w:rPr>
        <w:t>与发包有关的其他事宜。</w:t>
      </w:r>
    </w:p>
    <w:p w14:paraId="274EF270">
      <w:pPr>
        <w:pStyle w:val="166"/>
        <w:rPr>
          <w:highlight w:val="none"/>
        </w:rPr>
      </w:pPr>
      <w:r>
        <w:rPr>
          <w:rFonts w:hint="eastAsia"/>
          <w:highlight w:val="none"/>
        </w:rPr>
        <w:t>服务要求包括但不限于：</w:t>
      </w:r>
    </w:p>
    <w:p w14:paraId="68D387C7">
      <w:pPr>
        <w:pStyle w:val="175"/>
        <w:numPr>
          <w:ilvl w:val="0"/>
          <w:numId w:val="82"/>
        </w:numPr>
        <w:rPr>
          <w:highlight w:val="none"/>
        </w:rPr>
      </w:pPr>
      <w:r>
        <w:rPr>
          <w:rFonts w:hint="eastAsia"/>
          <w:highlight w:val="none"/>
        </w:rPr>
        <w:t>按照国家法律、法规以及建设行政主管部门的有关规定从事招投标代理活动；</w:t>
      </w:r>
    </w:p>
    <w:p w14:paraId="2665A57A">
      <w:pPr>
        <w:pStyle w:val="175"/>
        <w:numPr>
          <w:ilvl w:val="0"/>
          <w:numId w:val="69"/>
        </w:numPr>
        <w:rPr>
          <w:highlight w:val="none"/>
        </w:rPr>
      </w:pPr>
      <w:r>
        <w:rPr>
          <w:rFonts w:hint="eastAsia"/>
          <w:highlight w:val="none"/>
        </w:rPr>
        <w:t>按照合同约定，在合同约定的代理范围内依法依规开展招标代理活动；</w:t>
      </w:r>
    </w:p>
    <w:p w14:paraId="7DC52F06">
      <w:pPr>
        <w:pStyle w:val="175"/>
        <w:numPr>
          <w:ilvl w:val="0"/>
          <w:numId w:val="69"/>
        </w:numPr>
        <w:rPr>
          <w:highlight w:val="none"/>
        </w:rPr>
      </w:pPr>
      <w:r>
        <w:rPr>
          <w:rFonts w:hint="eastAsia"/>
          <w:highlight w:val="none"/>
        </w:rPr>
        <w:t>向招标人提供招标计划以及相关的招投标资料，做好相关法律、法规及规章的解释工作；</w:t>
      </w:r>
    </w:p>
    <w:p w14:paraId="335F3E4F">
      <w:pPr>
        <w:pStyle w:val="175"/>
        <w:numPr>
          <w:ilvl w:val="0"/>
          <w:numId w:val="69"/>
        </w:numPr>
        <w:rPr>
          <w:highlight w:val="none"/>
        </w:rPr>
      </w:pPr>
      <w:r>
        <w:rPr>
          <w:rFonts w:hint="eastAsia"/>
          <w:highlight w:val="none"/>
        </w:rPr>
        <w:t>在代理活动场所中不得泄露依法应当保密的任何信息；</w:t>
      </w:r>
    </w:p>
    <w:p w14:paraId="5212AF89">
      <w:pPr>
        <w:pStyle w:val="175"/>
        <w:numPr>
          <w:ilvl w:val="0"/>
          <w:numId w:val="69"/>
        </w:numPr>
        <w:rPr>
          <w:highlight w:val="none"/>
        </w:rPr>
      </w:pPr>
      <w:r>
        <w:rPr>
          <w:rFonts w:hint="eastAsia"/>
          <w:highlight w:val="none"/>
        </w:rPr>
        <w:t>对代理过程中提出的技术方案、数据参数、技术经济分析结论负责；</w:t>
      </w:r>
    </w:p>
    <w:p w14:paraId="6347FBF8">
      <w:pPr>
        <w:pStyle w:val="175"/>
        <w:numPr>
          <w:ilvl w:val="0"/>
          <w:numId w:val="69"/>
        </w:numPr>
        <w:rPr>
          <w:highlight w:val="none"/>
        </w:rPr>
      </w:pPr>
      <w:r>
        <w:rPr>
          <w:rFonts w:hint="eastAsia"/>
          <w:highlight w:val="none"/>
        </w:rPr>
        <w:t>成立招标代理项目组，负责该项目招标代理工作。</w:t>
      </w:r>
    </w:p>
    <w:p w14:paraId="65F50B0E">
      <w:pPr>
        <w:pStyle w:val="106"/>
        <w:spacing w:before="156" w:after="156"/>
        <w:rPr>
          <w:highlight w:val="none"/>
        </w:rPr>
      </w:pPr>
      <w:bookmarkStart w:id="121" w:name="_Toc194135351"/>
      <w:bookmarkStart w:id="122" w:name="_Toc28072"/>
      <w:r>
        <w:rPr>
          <w:rFonts w:hint="eastAsia"/>
          <w:highlight w:val="none"/>
        </w:rPr>
        <w:t>合同条款策划</w:t>
      </w:r>
      <w:bookmarkEnd w:id="121"/>
      <w:bookmarkEnd w:id="122"/>
    </w:p>
    <w:p w14:paraId="3DA3890C">
      <w:pPr>
        <w:pStyle w:val="166"/>
        <w:rPr>
          <w:highlight w:val="none"/>
        </w:rPr>
      </w:pPr>
      <w:r>
        <w:rPr>
          <w:rFonts w:hint="eastAsia"/>
          <w:highlight w:val="none"/>
        </w:rPr>
        <w:t>服务内容包括但不限于：</w:t>
      </w:r>
    </w:p>
    <w:p w14:paraId="411C6EC3">
      <w:pPr>
        <w:pStyle w:val="175"/>
        <w:numPr>
          <w:ilvl w:val="0"/>
          <w:numId w:val="83"/>
        </w:numPr>
        <w:rPr>
          <w:highlight w:val="none"/>
        </w:rPr>
      </w:pPr>
      <w:r>
        <w:rPr>
          <w:rFonts w:hint="eastAsia"/>
          <w:highlight w:val="none"/>
        </w:rPr>
        <w:t>合同条款应采用详细、准确的语言描述项目范围、工作内容、双方权利义务、风险分担机制等关键要素，避免合同执行过程中的争议与纠纷，降低项目成本，提高项目的整体效益；</w:t>
      </w:r>
    </w:p>
    <w:p w14:paraId="425E793A">
      <w:pPr>
        <w:pStyle w:val="175"/>
        <w:numPr>
          <w:ilvl w:val="0"/>
          <w:numId w:val="69"/>
        </w:numPr>
        <w:rPr>
          <w:highlight w:val="none"/>
        </w:rPr>
      </w:pPr>
      <w:r>
        <w:rPr>
          <w:rFonts w:hint="eastAsia"/>
          <w:highlight w:val="none"/>
        </w:rPr>
        <w:t>合理选择合适的价格形式并明确价格调整的条件和方法；</w:t>
      </w:r>
    </w:p>
    <w:p w14:paraId="43909680">
      <w:pPr>
        <w:pStyle w:val="175"/>
        <w:numPr>
          <w:ilvl w:val="0"/>
          <w:numId w:val="69"/>
        </w:numPr>
        <w:rPr>
          <w:highlight w:val="none"/>
        </w:rPr>
      </w:pPr>
      <w:r>
        <w:rPr>
          <w:rFonts w:hint="eastAsia"/>
          <w:highlight w:val="none"/>
        </w:rPr>
        <w:t>合理确定项目工期、质量标准；</w:t>
      </w:r>
    </w:p>
    <w:p w14:paraId="3C682F4D">
      <w:pPr>
        <w:pStyle w:val="175"/>
        <w:numPr>
          <w:ilvl w:val="0"/>
          <w:numId w:val="69"/>
        </w:numPr>
        <w:rPr>
          <w:highlight w:val="none"/>
        </w:rPr>
      </w:pPr>
      <w:r>
        <w:rPr>
          <w:rFonts w:hint="eastAsia"/>
          <w:highlight w:val="none"/>
        </w:rPr>
        <w:t>合理制定支付方式和支付节点；</w:t>
      </w:r>
    </w:p>
    <w:p w14:paraId="2E5A2BCA">
      <w:pPr>
        <w:pStyle w:val="175"/>
        <w:numPr>
          <w:ilvl w:val="0"/>
          <w:numId w:val="69"/>
        </w:numPr>
        <w:rPr>
          <w:highlight w:val="none"/>
        </w:rPr>
      </w:pPr>
      <w:r>
        <w:rPr>
          <w:rFonts w:hint="eastAsia"/>
          <w:highlight w:val="none"/>
        </w:rPr>
        <w:t>合理制定违约责任条款及处理方法；</w:t>
      </w:r>
    </w:p>
    <w:p w14:paraId="2C529592">
      <w:pPr>
        <w:pStyle w:val="175"/>
        <w:numPr>
          <w:ilvl w:val="0"/>
          <w:numId w:val="69"/>
        </w:numPr>
        <w:rPr>
          <w:highlight w:val="none"/>
        </w:rPr>
      </w:pPr>
      <w:r>
        <w:rPr>
          <w:rFonts w:hint="eastAsia"/>
          <w:highlight w:val="none"/>
        </w:rPr>
        <w:t>合理制定发、承包人的索赔条款及处理方法。</w:t>
      </w:r>
    </w:p>
    <w:p w14:paraId="4612F88D">
      <w:pPr>
        <w:pStyle w:val="166"/>
        <w:rPr>
          <w:highlight w:val="none"/>
        </w:rPr>
      </w:pPr>
      <w:r>
        <w:rPr>
          <w:rFonts w:hint="eastAsia"/>
          <w:highlight w:val="none"/>
        </w:rPr>
        <w:t>服务要求包括但不限于：</w:t>
      </w:r>
    </w:p>
    <w:p w14:paraId="3599DC5A">
      <w:pPr>
        <w:pStyle w:val="175"/>
        <w:numPr>
          <w:ilvl w:val="0"/>
          <w:numId w:val="84"/>
        </w:numPr>
        <w:rPr>
          <w:highlight w:val="none"/>
        </w:rPr>
      </w:pPr>
      <w:r>
        <w:rPr>
          <w:rFonts w:hint="eastAsia"/>
          <w:highlight w:val="none"/>
        </w:rPr>
        <w:t>合同条款必须符合国家法律法规的强制性规定，不得违反法律的禁止性规定；</w:t>
      </w:r>
    </w:p>
    <w:p w14:paraId="5FA689AD">
      <w:pPr>
        <w:pStyle w:val="175"/>
        <w:numPr>
          <w:ilvl w:val="0"/>
          <w:numId w:val="69"/>
        </w:numPr>
        <w:rPr>
          <w:highlight w:val="none"/>
        </w:rPr>
      </w:pPr>
      <w:r>
        <w:rPr>
          <w:rFonts w:hint="eastAsia"/>
          <w:highlight w:val="none"/>
        </w:rPr>
        <w:t>中标人确定后，招标人应在规定时间内与中标人按照招标文件和中标人的投标文件订立书面合同，不应再行订立背离合同实质性内容的其他协议。</w:t>
      </w:r>
    </w:p>
    <w:p w14:paraId="573D23DB">
      <w:pPr>
        <w:pStyle w:val="106"/>
        <w:spacing w:before="156" w:after="156"/>
        <w:rPr>
          <w:highlight w:val="none"/>
        </w:rPr>
      </w:pPr>
      <w:bookmarkStart w:id="123" w:name="_Toc23107"/>
      <w:bookmarkStart w:id="124" w:name="_Toc194135352"/>
      <w:r>
        <w:rPr>
          <w:rFonts w:hint="eastAsia"/>
          <w:highlight w:val="none"/>
        </w:rPr>
        <w:t>造价管理</w:t>
      </w:r>
      <w:bookmarkEnd w:id="123"/>
      <w:bookmarkEnd w:id="124"/>
    </w:p>
    <w:p w14:paraId="1D2ED89C">
      <w:pPr>
        <w:pStyle w:val="66"/>
        <w:spacing w:before="156" w:after="156"/>
        <w:rPr>
          <w:highlight w:val="none"/>
        </w:rPr>
      </w:pPr>
      <w:r>
        <w:rPr>
          <w:rFonts w:hint="eastAsia"/>
          <w:highlight w:val="none"/>
        </w:rPr>
        <w:t>一般规定</w:t>
      </w:r>
    </w:p>
    <w:p w14:paraId="37EE3762">
      <w:pPr>
        <w:pStyle w:val="57"/>
        <w:ind w:firstLine="420"/>
        <w:rPr>
          <w:highlight w:val="none"/>
        </w:rPr>
      </w:pPr>
      <w:r>
        <w:rPr>
          <w:rFonts w:hint="eastAsia"/>
          <w:highlight w:val="none"/>
        </w:rPr>
        <w:t>在项目招标采购阶段，工程咨询机构应根据合同约定及项目实际情况，完成以下工程造价咨询相关工作：</w:t>
      </w:r>
    </w:p>
    <w:p w14:paraId="631388B8">
      <w:pPr>
        <w:pStyle w:val="175"/>
        <w:numPr>
          <w:ilvl w:val="0"/>
          <w:numId w:val="85"/>
        </w:numPr>
        <w:rPr>
          <w:highlight w:val="none"/>
        </w:rPr>
      </w:pPr>
      <w:r>
        <w:rPr>
          <w:rFonts w:hint="eastAsia"/>
          <w:highlight w:val="none"/>
        </w:rPr>
        <w:t>协助策划招标方案；</w:t>
      </w:r>
    </w:p>
    <w:p w14:paraId="32A9C1C3">
      <w:pPr>
        <w:pStyle w:val="175"/>
        <w:numPr>
          <w:ilvl w:val="0"/>
          <w:numId w:val="69"/>
        </w:numPr>
        <w:rPr>
          <w:highlight w:val="none"/>
        </w:rPr>
      </w:pPr>
      <w:r>
        <w:rPr>
          <w:rFonts w:hint="eastAsia"/>
          <w:highlight w:val="none"/>
        </w:rPr>
        <w:t>编制或审核招标文件中有关造价条款；</w:t>
      </w:r>
    </w:p>
    <w:p w14:paraId="62764EE3">
      <w:pPr>
        <w:pStyle w:val="175"/>
        <w:numPr>
          <w:ilvl w:val="0"/>
          <w:numId w:val="69"/>
        </w:numPr>
        <w:rPr>
          <w:highlight w:val="none"/>
        </w:rPr>
      </w:pPr>
      <w:r>
        <w:rPr>
          <w:rFonts w:hint="eastAsia"/>
          <w:highlight w:val="none"/>
        </w:rPr>
        <w:t>起草或审核合同文本；</w:t>
      </w:r>
    </w:p>
    <w:p w14:paraId="384B78BF">
      <w:pPr>
        <w:pStyle w:val="175"/>
        <w:numPr>
          <w:ilvl w:val="0"/>
          <w:numId w:val="69"/>
        </w:numPr>
        <w:rPr>
          <w:highlight w:val="none"/>
        </w:rPr>
      </w:pPr>
      <w:r>
        <w:rPr>
          <w:rFonts w:hint="eastAsia"/>
          <w:highlight w:val="none"/>
        </w:rPr>
        <w:t>编制或审核工程量清单；</w:t>
      </w:r>
    </w:p>
    <w:p w14:paraId="5EEA061A">
      <w:pPr>
        <w:pStyle w:val="175"/>
        <w:numPr>
          <w:ilvl w:val="0"/>
          <w:numId w:val="69"/>
        </w:numPr>
        <w:rPr>
          <w:highlight w:val="none"/>
        </w:rPr>
      </w:pPr>
      <w:r>
        <w:rPr>
          <w:rFonts w:hint="eastAsia"/>
          <w:highlight w:val="none"/>
        </w:rPr>
        <w:t>编制或审核</w:t>
      </w:r>
      <w:r>
        <w:rPr>
          <w:rFonts w:hint="eastAsia"/>
          <w:highlight w:val="none"/>
          <w:lang w:val="en-US" w:eastAsia="zh-CN"/>
        </w:rPr>
        <w:t>最高投标限</w:t>
      </w:r>
      <w:r>
        <w:rPr>
          <w:rFonts w:hint="eastAsia"/>
          <w:highlight w:val="none"/>
        </w:rPr>
        <w:t>价或参考预算；</w:t>
      </w:r>
    </w:p>
    <w:p w14:paraId="17037051">
      <w:pPr>
        <w:pStyle w:val="175"/>
        <w:numPr>
          <w:ilvl w:val="0"/>
          <w:numId w:val="69"/>
        </w:numPr>
        <w:rPr>
          <w:highlight w:val="none"/>
        </w:rPr>
      </w:pPr>
      <w:r>
        <w:rPr>
          <w:rFonts w:hint="eastAsia"/>
          <w:highlight w:val="none"/>
        </w:rPr>
        <w:t>参加交底会及现场踏勘；</w:t>
      </w:r>
    </w:p>
    <w:p w14:paraId="0A527EE0">
      <w:pPr>
        <w:pStyle w:val="175"/>
        <w:numPr>
          <w:ilvl w:val="0"/>
          <w:numId w:val="69"/>
        </w:numPr>
        <w:rPr>
          <w:highlight w:val="none"/>
        </w:rPr>
      </w:pPr>
      <w:r>
        <w:rPr>
          <w:rFonts w:hint="eastAsia"/>
          <w:highlight w:val="none"/>
        </w:rPr>
        <w:t>协助委托方进行清标并组织编制回标分析报告；</w:t>
      </w:r>
    </w:p>
    <w:p w14:paraId="0946C90C">
      <w:pPr>
        <w:pStyle w:val="175"/>
        <w:numPr>
          <w:ilvl w:val="0"/>
          <w:numId w:val="69"/>
        </w:numPr>
        <w:rPr>
          <w:highlight w:val="none"/>
        </w:rPr>
      </w:pPr>
      <w:r>
        <w:rPr>
          <w:rFonts w:hint="eastAsia"/>
          <w:highlight w:val="none"/>
        </w:rPr>
        <w:t>协助委托方进行合同谈判和签订。</w:t>
      </w:r>
    </w:p>
    <w:p w14:paraId="01AF73E1">
      <w:pPr>
        <w:pStyle w:val="66"/>
        <w:spacing w:before="156" w:after="156"/>
        <w:rPr>
          <w:highlight w:val="none"/>
        </w:rPr>
      </w:pPr>
      <w:r>
        <w:rPr>
          <w:rFonts w:hint="eastAsia"/>
          <w:highlight w:val="none"/>
        </w:rPr>
        <w:t>工程量清单</w:t>
      </w:r>
    </w:p>
    <w:p w14:paraId="3D12505A">
      <w:pPr>
        <w:pStyle w:val="165"/>
        <w:rPr>
          <w:highlight w:val="none"/>
        </w:rPr>
      </w:pPr>
      <w:r>
        <w:rPr>
          <w:rFonts w:hint="eastAsia"/>
          <w:highlight w:val="none"/>
        </w:rPr>
        <w:t>建设项目具备完善的施工图时，建设项目可按照法律法规的规定编制工程量清单。</w:t>
      </w:r>
    </w:p>
    <w:p w14:paraId="0CE41BA9">
      <w:pPr>
        <w:pStyle w:val="165"/>
        <w:rPr>
          <w:highlight w:val="none"/>
        </w:rPr>
      </w:pPr>
      <w:r>
        <w:rPr>
          <w:rFonts w:hint="eastAsia"/>
          <w:highlight w:val="none"/>
        </w:rPr>
        <w:t>项目工程量清单应依据相关工程量清单计量标准编制，全部使用国有资金投资或者以国有资金投资为主的项目，应当采用工程量清单计价。非国有资金投资的项目，鼓励采用工程量清单计价。</w:t>
      </w:r>
    </w:p>
    <w:p w14:paraId="738495E6">
      <w:pPr>
        <w:pStyle w:val="165"/>
        <w:rPr>
          <w:highlight w:val="none"/>
        </w:rPr>
      </w:pPr>
      <w:r>
        <w:rPr>
          <w:rFonts w:hint="eastAsia"/>
          <w:highlight w:val="none"/>
        </w:rPr>
        <w:t>咨询服务机构按照现行的国家工程量清单计价规范</w:t>
      </w:r>
      <w:r>
        <w:rPr>
          <w:rFonts w:hint="eastAsia"/>
          <w:highlight w:val="none"/>
          <w:lang w:val="en-US" w:eastAsia="zh-CN"/>
        </w:rPr>
        <w:t>和计算规范</w:t>
      </w:r>
      <w:r>
        <w:rPr>
          <w:rFonts w:hint="eastAsia"/>
          <w:highlight w:val="none"/>
        </w:rPr>
        <w:t>组织编审工程量清单时，如遇现行计算规范未</w:t>
      </w:r>
      <w:r>
        <w:rPr>
          <w:rFonts w:hint="eastAsia"/>
          <w:highlight w:val="none"/>
          <w:lang w:val="en-US" w:eastAsia="zh-CN"/>
        </w:rPr>
        <w:t>包括</w:t>
      </w:r>
      <w:r>
        <w:rPr>
          <w:rFonts w:hint="eastAsia"/>
          <w:highlight w:val="none"/>
        </w:rPr>
        <w:t>的项目，</w:t>
      </w:r>
      <w:r>
        <w:rPr>
          <w:rFonts w:hint="eastAsia"/>
          <w:highlight w:val="none"/>
          <w:lang w:val="en-US" w:eastAsia="zh-CN"/>
        </w:rPr>
        <w:t>应</w:t>
      </w:r>
      <w:r>
        <w:rPr>
          <w:rFonts w:hint="eastAsia"/>
          <w:highlight w:val="none"/>
        </w:rPr>
        <w:t>按</w:t>
      </w:r>
      <w:r>
        <w:rPr>
          <w:rFonts w:hint="eastAsia"/>
          <w:highlight w:val="none"/>
          <w:lang w:val="en-US" w:eastAsia="zh-CN"/>
        </w:rPr>
        <w:t>规定做</w:t>
      </w:r>
      <w:r>
        <w:rPr>
          <w:rFonts w:hint="eastAsia"/>
          <w:highlight w:val="none"/>
        </w:rPr>
        <w:t>补充。</w:t>
      </w:r>
    </w:p>
    <w:p w14:paraId="66A05745">
      <w:pPr>
        <w:pStyle w:val="165"/>
        <w:rPr>
          <w:highlight w:val="none"/>
        </w:rPr>
      </w:pPr>
      <w:r>
        <w:rPr>
          <w:rFonts w:hint="eastAsia"/>
          <w:highlight w:val="none"/>
        </w:rPr>
        <w:t>编审工程量清单时，咨询服务机构应注意审核图纸说明和各项选用规范是否符合技术要求，并审核工程量清单中主要设备的型号、规格等是否符合设计要求。重点关注界面划分，是否有漏项或</w:t>
      </w:r>
      <w:r>
        <w:rPr>
          <w:rFonts w:hint="eastAsia"/>
          <w:highlight w:val="none"/>
          <w:lang w:val="en-US" w:eastAsia="zh-CN"/>
        </w:rPr>
        <w:t>存在</w:t>
      </w:r>
      <w:r>
        <w:rPr>
          <w:rFonts w:hint="eastAsia"/>
          <w:highlight w:val="none"/>
        </w:rPr>
        <w:t>对造价有重大影响的子目等。</w:t>
      </w:r>
    </w:p>
    <w:p w14:paraId="5F77CD7A">
      <w:pPr>
        <w:pStyle w:val="165"/>
        <w:rPr>
          <w:highlight w:val="none"/>
        </w:rPr>
      </w:pPr>
      <w:r>
        <w:rPr>
          <w:rFonts w:hint="eastAsia"/>
          <w:highlight w:val="none"/>
        </w:rPr>
        <w:t>工程量清单应经造价咨询负责人审核、咨询项目负责人审批，并经委托人批准后实施。</w:t>
      </w:r>
    </w:p>
    <w:p w14:paraId="52182C24">
      <w:pPr>
        <w:pStyle w:val="66"/>
        <w:spacing w:before="156" w:after="156"/>
        <w:rPr>
          <w:highlight w:val="none"/>
        </w:rPr>
      </w:pPr>
      <w:r>
        <w:rPr>
          <w:rFonts w:hint="eastAsia"/>
          <w:highlight w:val="none"/>
        </w:rPr>
        <w:t>最高投</w:t>
      </w:r>
      <w:r>
        <w:rPr>
          <w:rFonts w:hint="eastAsia"/>
          <w:highlight w:val="none"/>
          <w:lang w:val="en-US" w:eastAsia="zh-CN"/>
        </w:rPr>
        <w:t>标</w:t>
      </w:r>
      <w:r>
        <w:rPr>
          <w:rFonts w:hint="eastAsia"/>
          <w:highlight w:val="none"/>
        </w:rPr>
        <w:t>限价</w:t>
      </w:r>
    </w:p>
    <w:p w14:paraId="50E0BD40">
      <w:pPr>
        <w:pStyle w:val="165"/>
        <w:rPr>
          <w:highlight w:val="none"/>
        </w:rPr>
      </w:pPr>
      <w:r>
        <w:rPr>
          <w:rFonts w:hint="eastAsia"/>
          <w:highlight w:val="none"/>
        </w:rPr>
        <w:t>最高投标限价是咨询服务机构根据招标文件/采购文件规定的招标范围，结合有关规定、投资计划、市场要素价格水平以及合理可行的技术经济实施方案，通过科学测算出的委托人可以接受的最高投标价格。最高投标限价或最高投标限价的计算方法应在招标/采购文件中公布。</w:t>
      </w:r>
    </w:p>
    <w:p w14:paraId="2512F83A">
      <w:pPr>
        <w:pStyle w:val="165"/>
        <w:rPr>
          <w:highlight w:val="none"/>
        </w:rPr>
      </w:pPr>
      <w:r>
        <w:rPr>
          <w:rFonts w:hint="eastAsia"/>
          <w:highlight w:val="none"/>
        </w:rPr>
        <w:t>咨询服务机构组织编审的最高投标限价应客观反映市场真实价格，不得随意提高或降低。</w:t>
      </w:r>
    </w:p>
    <w:p w14:paraId="55923FCD">
      <w:pPr>
        <w:pStyle w:val="165"/>
        <w:rPr>
          <w:highlight w:val="none"/>
        </w:rPr>
      </w:pPr>
      <w:r>
        <w:rPr>
          <w:rFonts w:hint="eastAsia"/>
          <w:highlight w:val="none"/>
        </w:rPr>
        <w:t>咨询服务机构应将最高投标限价与对应的单项工程综合概算或单位工程概算进行比对，出现实质性偏差时应暂停招标，并告知委托人进行相应调整，必要时还需向原概算批复部门申请调概。</w:t>
      </w:r>
    </w:p>
    <w:p w14:paraId="4AC30887">
      <w:pPr>
        <w:pStyle w:val="165"/>
        <w:rPr>
          <w:highlight w:val="none"/>
        </w:rPr>
      </w:pPr>
      <w:r>
        <w:rPr>
          <w:rFonts w:hint="eastAsia"/>
          <w:highlight w:val="none"/>
        </w:rPr>
        <w:t>最高投标限价应经造价咨询负责人审核、项目负责人审批，并经委托人批准后实施。</w:t>
      </w:r>
    </w:p>
    <w:p w14:paraId="3D45FAA2">
      <w:pPr>
        <w:pStyle w:val="105"/>
        <w:spacing w:before="312" w:after="312"/>
        <w:rPr>
          <w:highlight w:val="none"/>
        </w:rPr>
      </w:pPr>
      <w:bookmarkStart w:id="125" w:name="_Toc4303"/>
      <w:bookmarkStart w:id="126" w:name="_Toc194135353"/>
      <w:r>
        <w:rPr>
          <w:rFonts w:hint="eastAsia"/>
          <w:highlight w:val="none"/>
        </w:rPr>
        <w:t>工程施工阶段的咨询服务</w:t>
      </w:r>
      <w:bookmarkEnd w:id="125"/>
      <w:bookmarkEnd w:id="126"/>
    </w:p>
    <w:p w14:paraId="125BCA34">
      <w:pPr>
        <w:pStyle w:val="106"/>
        <w:spacing w:before="156" w:after="156"/>
        <w:rPr>
          <w:highlight w:val="none"/>
        </w:rPr>
      </w:pPr>
      <w:bookmarkStart w:id="127" w:name="_Toc194135354"/>
      <w:bookmarkStart w:id="128" w:name="_Toc14656"/>
      <w:r>
        <w:rPr>
          <w:rFonts w:hint="eastAsia"/>
          <w:highlight w:val="none"/>
        </w:rPr>
        <w:t>一般规定</w:t>
      </w:r>
      <w:bookmarkEnd w:id="127"/>
      <w:bookmarkEnd w:id="128"/>
    </w:p>
    <w:p w14:paraId="559D9881">
      <w:pPr>
        <w:pStyle w:val="166"/>
        <w:rPr>
          <w:highlight w:val="none"/>
        </w:rPr>
      </w:pPr>
      <w:r>
        <w:rPr>
          <w:rFonts w:hint="eastAsia"/>
          <w:highlight w:val="none"/>
        </w:rPr>
        <w:t>全过程工程咨询单位应按照合同要求，对工程质量、进度和造价进行控制，对安全生产、合同和信息进行管理。</w:t>
      </w:r>
    </w:p>
    <w:p w14:paraId="71EDFA82">
      <w:pPr>
        <w:pStyle w:val="166"/>
        <w:rPr>
          <w:highlight w:val="none"/>
        </w:rPr>
      </w:pPr>
      <w:r>
        <w:rPr>
          <w:rFonts w:hint="eastAsia"/>
          <w:highlight w:val="none"/>
        </w:rPr>
        <w:t>全过程工程咨询单位应按照全过程工程咨询服务工作大纲的要求，负责工程施工过程中涉及勘察、设计、造价、招标采购、监理、施工等相关工作的实施和协同管理。</w:t>
      </w:r>
    </w:p>
    <w:p w14:paraId="1C1AB061">
      <w:pPr>
        <w:pStyle w:val="106"/>
        <w:spacing w:before="156" w:after="156"/>
        <w:rPr>
          <w:highlight w:val="none"/>
        </w:rPr>
      </w:pPr>
      <w:bookmarkStart w:id="129" w:name="_Toc194135355"/>
      <w:bookmarkStart w:id="130" w:name="_Toc22561"/>
      <w:r>
        <w:rPr>
          <w:rFonts w:hint="eastAsia"/>
          <w:highlight w:val="none"/>
        </w:rPr>
        <w:t>工程监理</w:t>
      </w:r>
      <w:bookmarkEnd w:id="129"/>
      <w:bookmarkEnd w:id="130"/>
    </w:p>
    <w:p w14:paraId="2B6C016D">
      <w:pPr>
        <w:pStyle w:val="166"/>
        <w:rPr>
          <w:highlight w:val="none"/>
        </w:rPr>
      </w:pPr>
      <w:r>
        <w:rPr>
          <w:rFonts w:hint="eastAsia"/>
          <w:highlight w:val="none"/>
        </w:rPr>
        <w:t>全过程工程咨询服务单位应自行或督促工程监理单位按照规范、合同的要求，制订相匹配的监理管理体系，组建项目监理机构，明确监理机构的职责，监理人员的配置应满足要求。应合理设置监理机构与全过程咨询机构内部其他专项咨询部门之间的职责分工与协作关系，合理设置总监理工程师与全过程咨询项目总负责人及其他专项咨询负责人之间的管理与协作关系。</w:t>
      </w:r>
    </w:p>
    <w:p w14:paraId="7498500C">
      <w:pPr>
        <w:pStyle w:val="166"/>
        <w:rPr>
          <w:rFonts w:hint="eastAsia"/>
          <w:highlight w:val="none"/>
        </w:rPr>
      </w:pPr>
      <w:r>
        <w:rPr>
          <w:rFonts w:hint="eastAsia"/>
          <w:highlight w:val="none"/>
        </w:rPr>
        <w:t>自行承担工程监理的全过程工程咨询服务机构应编制监理规划、监理细则，在监理规划的基础上，针对专业性强、危险性大或采用新技术、新工艺、新材料、新设备的工程编制可操作的监理实施细则。</w:t>
      </w:r>
    </w:p>
    <w:p w14:paraId="29480CA1">
      <w:pPr>
        <w:pStyle w:val="166"/>
        <w:rPr>
          <w:highlight w:val="none"/>
        </w:rPr>
      </w:pPr>
      <w:r>
        <w:rPr>
          <w:rFonts w:hint="eastAsia"/>
          <w:highlight w:val="none"/>
        </w:rPr>
        <w:t>自行或督促工程监理机构按照合同和规范的要求，对工程质量、进度和造价进行控制</w:t>
      </w:r>
      <w:r>
        <w:rPr>
          <w:rFonts w:hint="eastAsia"/>
          <w:highlight w:val="none"/>
          <w:lang w:eastAsia="zh-CN"/>
        </w:rPr>
        <w:t>，</w:t>
      </w:r>
      <w:r>
        <w:rPr>
          <w:rFonts w:hint="eastAsia"/>
          <w:highlight w:val="none"/>
        </w:rPr>
        <w:t>对安全生产、合同和信息进行管理</w:t>
      </w:r>
      <w:r>
        <w:rPr>
          <w:rFonts w:hint="eastAsia"/>
          <w:highlight w:val="none"/>
          <w:lang w:eastAsia="zh-CN"/>
        </w:rPr>
        <w:t>，</w:t>
      </w:r>
      <w:r>
        <w:rPr>
          <w:rFonts w:hint="eastAsia"/>
          <w:highlight w:val="none"/>
        </w:rPr>
        <w:t>对工程建设相关方的关系进行协调，监理工作应符合GB/T 50319和相关政策法规的规定。</w:t>
      </w:r>
    </w:p>
    <w:p w14:paraId="06183243">
      <w:pPr>
        <w:pStyle w:val="166"/>
        <w:rPr>
          <w:highlight w:val="none"/>
        </w:rPr>
      </w:pPr>
      <w:r>
        <w:rPr>
          <w:rFonts w:hint="eastAsia"/>
          <w:highlight w:val="none"/>
        </w:rPr>
        <w:t>自行或要求项目监理机构积极配合其他专项咨询工作，提供必要的支持，并根据其他专项咨询部门的反馈，及时动态调整监理工作，确保在质量、进度、造价、安全、合同及信息管理等方面实现预期目标。</w:t>
      </w:r>
    </w:p>
    <w:p w14:paraId="74A89510">
      <w:pPr>
        <w:pStyle w:val="166"/>
        <w:rPr>
          <w:highlight w:val="none"/>
        </w:rPr>
      </w:pPr>
      <w:r>
        <w:rPr>
          <w:rFonts w:hint="eastAsia"/>
          <w:highlight w:val="none"/>
        </w:rPr>
        <w:t>全过程工程咨询服务监理机构在工程施工结算</w:t>
      </w:r>
      <w:r>
        <w:rPr>
          <w:rFonts w:hint="eastAsia"/>
          <w:highlight w:val="none"/>
          <w:lang w:val="en-US" w:eastAsia="zh-CN"/>
        </w:rPr>
        <w:t>时</w:t>
      </w:r>
      <w:r>
        <w:rPr>
          <w:rFonts w:hint="eastAsia"/>
          <w:highlight w:val="none"/>
        </w:rPr>
        <w:t>须与全过程咨询其他专项咨询单位紧密协同，确保项目各阶段目标的高质量、高效实现。全过程咨询下监理协同内容如下：</w:t>
      </w:r>
    </w:p>
    <w:p w14:paraId="1D646F52">
      <w:pPr>
        <w:pStyle w:val="175"/>
        <w:numPr>
          <w:ilvl w:val="0"/>
          <w:numId w:val="86"/>
        </w:numPr>
        <w:rPr>
          <w:highlight w:val="none"/>
        </w:rPr>
      </w:pPr>
      <w:r>
        <w:rPr>
          <w:rFonts w:hint="eastAsia"/>
          <w:highlight w:val="none"/>
        </w:rPr>
        <w:t>与全过程咨询管理团队的协同：</w:t>
      </w:r>
    </w:p>
    <w:p w14:paraId="0E318E04">
      <w:pPr>
        <w:pStyle w:val="110"/>
        <w:numPr>
          <w:ilvl w:val="1"/>
          <w:numId w:val="69"/>
        </w:numPr>
        <w:rPr>
          <w:highlight w:val="none"/>
        </w:rPr>
      </w:pPr>
      <w:r>
        <w:rPr>
          <w:rFonts w:hint="eastAsia"/>
          <w:highlight w:val="none"/>
        </w:rPr>
        <w:t>信息共享：与全过程咨询管理团队共享项目信息，确保沟通顺畅；</w:t>
      </w:r>
    </w:p>
    <w:p w14:paraId="6EB2D606">
      <w:pPr>
        <w:pStyle w:val="110"/>
        <w:numPr>
          <w:ilvl w:val="1"/>
          <w:numId w:val="69"/>
        </w:numPr>
        <w:rPr>
          <w:highlight w:val="none"/>
        </w:rPr>
      </w:pPr>
      <w:r>
        <w:rPr>
          <w:rFonts w:hint="eastAsia"/>
          <w:highlight w:val="none"/>
        </w:rPr>
        <w:t>技术协作：参与全过程咨询管理团队的技术讨论，提供施工可行性建议；</w:t>
      </w:r>
    </w:p>
    <w:p w14:paraId="7C5D1323">
      <w:pPr>
        <w:pStyle w:val="110"/>
        <w:numPr>
          <w:ilvl w:val="1"/>
          <w:numId w:val="69"/>
        </w:numPr>
        <w:rPr>
          <w:highlight w:val="none"/>
        </w:rPr>
      </w:pPr>
      <w:r>
        <w:rPr>
          <w:rFonts w:hint="eastAsia"/>
          <w:highlight w:val="none"/>
        </w:rPr>
        <w:t>风险管理：与全过程咨询管理团队共同制定风险管理计划，确保风险可控。</w:t>
      </w:r>
    </w:p>
    <w:p w14:paraId="27E5D041">
      <w:pPr>
        <w:pStyle w:val="175"/>
        <w:numPr>
          <w:ilvl w:val="0"/>
          <w:numId w:val="86"/>
        </w:numPr>
        <w:rPr>
          <w:highlight w:val="none"/>
        </w:rPr>
      </w:pPr>
      <w:r>
        <w:rPr>
          <w:rFonts w:hint="eastAsia"/>
          <w:highlight w:val="none"/>
        </w:rPr>
        <w:t>与设计单位的协同：</w:t>
      </w:r>
    </w:p>
    <w:p w14:paraId="1804EE9D">
      <w:pPr>
        <w:pStyle w:val="110"/>
        <w:numPr>
          <w:ilvl w:val="1"/>
          <w:numId w:val="69"/>
        </w:numPr>
        <w:rPr>
          <w:highlight w:val="none"/>
        </w:rPr>
      </w:pPr>
      <w:r>
        <w:rPr>
          <w:rFonts w:hint="eastAsia"/>
          <w:highlight w:val="none"/>
        </w:rPr>
        <w:t>设计优化：参与设计优化讨论，提出施工可行性建议；</w:t>
      </w:r>
    </w:p>
    <w:p w14:paraId="2AD25336">
      <w:pPr>
        <w:pStyle w:val="110"/>
        <w:numPr>
          <w:ilvl w:val="1"/>
          <w:numId w:val="69"/>
        </w:numPr>
        <w:rPr>
          <w:highlight w:val="none"/>
        </w:rPr>
      </w:pPr>
      <w:r>
        <w:rPr>
          <w:rFonts w:hint="eastAsia"/>
          <w:highlight w:val="none"/>
        </w:rPr>
        <w:t>设计交底：确保施工单位理解设计意图。</w:t>
      </w:r>
    </w:p>
    <w:p w14:paraId="1988D955">
      <w:pPr>
        <w:pStyle w:val="175"/>
        <w:numPr>
          <w:ilvl w:val="0"/>
          <w:numId w:val="86"/>
        </w:numPr>
        <w:rPr>
          <w:highlight w:val="none"/>
        </w:rPr>
      </w:pPr>
      <w:r>
        <w:rPr>
          <w:rFonts w:hint="eastAsia"/>
          <w:highlight w:val="none"/>
        </w:rPr>
        <w:t>与施工单位的协同：</w:t>
      </w:r>
    </w:p>
    <w:p w14:paraId="78A41763">
      <w:pPr>
        <w:pStyle w:val="110"/>
        <w:numPr>
          <w:ilvl w:val="1"/>
          <w:numId w:val="69"/>
        </w:numPr>
        <w:rPr>
          <w:highlight w:val="none"/>
        </w:rPr>
      </w:pPr>
      <w:r>
        <w:rPr>
          <w:rFonts w:hint="eastAsia"/>
          <w:highlight w:val="none"/>
        </w:rPr>
        <w:t>施工监督：监督施工过程，确保施工质量、进度</w:t>
      </w:r>
      <w:r>
        <w:rPr>
          <w:rFonts w:hint="eastAsia"/>
          <w:highlight w:val="none"/>
          <w:lang w:eastAsia="zh-CN"/>
        </w:rPr>
        <w:t>、</w:t>
      </w:r>
      <w:r>
        <w:rPr>
          <w:rFonts w:hint="eastAsia"/>
          <w:highlight w:val="none"/>
          <w:lang w:val="en-US" w:eastAsia="zh-CN"/>
        </w:rPr>
        <w:t>投资</w:t>
      </w:r>
      <w:r>
        <w:rPr>
          <w:rFonts w:hint="eastAsia"/>
          <w:highlight w:val="none"/>
        </w:rPr>
        <w:t>和安全；</w:t>
      </w:r>
    </w:p>
    <w:p w14:paraId="01D38973">
      <w:pPr>
        <w:pStyle w:val="110"/>
        <w:numPr>
          <w:ilvl w:val="1"/>
          <w:numId w:val="69"/>
        </w:numPr>
        <w:rPr>
          <w:highlight w:val="none"/>
        </w:rPr>
      </w:pPr>
      <w:r>
        <w:rPr>
          <w:rFonts w:hint="eastAsia"/>
          <w:highlight w:val="none"/>
        </w:rPr>
        <w:t>问题解决：协助施工单位解决施工中的技术问题。</w:t>
      </w:r>
    </w:p>
    <w:p w14:paraId="20F8F282">
      <w:pPr>
        <w:pStyle w:val="175"/>
        <w:numPr>
          <w:ilvl w:val="0"/>
          <w:numId w:val="86"/>
        </w:numPr>
        <w:rPr>
          <w:highlight w:val="none"/>
        </w:rPr>
      </w:pPr>
      <w:r>
        <w:rPr>
          <w:rFonts w:hint="eastAsia"/>
          <w:highlight w:val="none"/>
        </w:rPr>
        <w:t>与业主的协同：</w:t>
      </w:r>
    </w:p>
    <w:p w14:paraId="797EB2EE">
      <w:pPr>
        <w:pStyle w:val="110"/>
        <w:numPr>
          <w:ilvl w:val="1"/>
          <w:numId w:val="69"/>
        </w:numPr>
        <w:rPr>
          <w:highlight w:val="none"/>
        </w:rPr>
      </w:pPr>
      <w:r>
        <w:rPr>
          <w:rFonts w:hint="eastAsia"/>
          <w:highlight w:val="none"/>
        </w:rPr>
        <w:t>需求沟通：确保业主需求在施工过程中得到落实；</w:t>
      </w:r>
    </w:p>
    <w:p w14:paraId="0244158C">
      <w:pPr>
        <w:pStyle w:val="110"/>
        <w:numPr>
          <w:ilvl w:val="1"/>
          <w:numId w:val="69"/>
        </w:numPr>
        <w:rPr>
          <w:highlight w:val="none"/>
        </w:rPr>
      </w:pPr>
      <w:r>
        <w:rPr>
          <w:rFonts w:hint="eastAsia"/>
          <w:highlight w:val="none"/>
        </w:rPr>
        <w:t>进度汇报：定期向业主汇报施工进度和质量情况。</w:t>
      </w:r>
    </w:p>
    <w:p w14:paraId="277F6EC5">
      <w:pPr>
        <w:pStyle w:val="106"/>
        <w:spacing w:before="156" w:after="156"/>
        <w:rPr>
          <w:highlight w:val="none"/>
        </w:rPr>
      </w:pPr>
      <w:bookmarkStart w:id="131" w:name="_Toc32150"/>
      <w:bookmarkStart w:id="132" w:name="_Toc194135356"/>
      <w:r>
        <w:rPr>
          <w:rFonts w:hint="eastAsia"/>
          <w:highlight w:val="none"/>
        </w:rPr>
        <w:t>造价管理</w:t>
      </w:r>
      <w:bookmarkEnd w:id="131"/>
      <w:bookmarkEnd w:id="132"/>
    </w:p>
    <w:p w14:paraId="05BA8AB5">
      <w:pPr>
        <w:pStyle w:val="66"/>
        <w:spacing w:before="156" w:after="156"/>
        <w:rPr>
          <w:highlight w:val="none"/>
        </w:rPr>
      </w:pPr>
      <w:r>
        <w:rPr>
          <w:rFonts w:hint="eastAsia"/>
          <w:highlight w:val="none"/>
        </w:rPr>
        <w:t>工程施工阶段造价控制目标</w:t>
      </w:r>
    </w:p>
    <w:p w14:paraId="1D9EAABD">
      <w:pPr>
        <w:pStyle w:val="165"/>
        <w:rPr>
          <w:highlight w:val="none"/>
        </w:rPr>
      </w:pPr>
      <w:r>
        <w:rPr>
          <w:rFonts w:hint="eastAsia"/>
          <w:highlight w:val="none"/>
        </w:rPr>
        <w:t>全过程工程咨询服务单位应根据工程质量、工期和风险控制等目标，按核准的设计概算确定本项目造价控制总目标，并根据造价控制总目标，确定项目单项工程、单位工程、分部分项工程等分目标</w:t>
      </w:r>
      <w:r>
        <w:rPr>
          <w:rFonts w:hint="eastAsia"/>
          <w:highlight w:val="none"/>
          <w:lang w:eastAsia="zh-CN"/>
        </w:rPr>
        <w:t>。</w:t>
      </w:r>
    </w:p>
    <w:p w14:paraId="3E828378">
      <w:pPr>
        <w:pStyle w:val="165"/>
        <w:rPr>
          <w:highlight w:val="none"/>
        </w:rPr>
      </w:pPr>
      <w:r>
        <w:rPr>
          <w:rFonts w:hint="eastAsia"/>
          <w:highlight w:val="none"/>
        </w:rPr>
        <w:t>结合施工合同的签订，分析、分解合同价对应造价控制目标，并对建设项目施工阶段的工程造价实施全过程动态控制工作，编制并提交建设项目全过程工程造价咨询动态管理控制分析报告中，报告可分月报、季报、年报及专项报告等形式。</w:t>
      </w:r>
    </w:p>
    <w:p w14:paraId="308766D6">
      <w:pPr>
        <w:pStyle w:val="66"/>
        <w:spacing w:before="156" w:after="156"/>
        <w:rPr>
          <w:highlight w:val="none"/>
        </w:rPr>
      </w:pPr>
      <w:r>
        <w:rPr>
          <w:rFonts w:hint="eastAsia"/>
          <w:highlight w:val="none"/>
        </w:rPr>
        <w:t>造价咨询服务内容</w:t>
      </w:r>
    </w:p>
    <w:p w14:paraId="189C29DB">
      <w:pPr>
        <w:pStyle w:val="165"/>
        <w:keepNext w:val="0"/>
        <w:keepLines w:val="0"/>
        <w:pageBreakBefore w:val="0"/>
        <w:widowControl/>
        <w:numPr>
          <w:ilvl w:val="4"/>
          <w:numId w:val="0"/>
        </w:numPr>
        <w:kinsoku/>
        <w:wordWrap/>
        <w:overflowPunct/>
        <w:topLinePunct w:val="0"/>
        <w:autoSpaceDE/>
        <w:autoSpaceDN/>
        <w:bidi w:val="0"/>
        <w:adjustRightInd/>
        <w:snapToGrid/>
        <w:ind w:leftChars="0" w:firstLine="420" w:firstLineChars="200"/>
        <w:textAlignment w:val="auto"/>
        <w:rPr>
          <w:highlight w:val="none"/>
        </w:rPr>
      </w:pPr>
      <w:r>
        <w:rPr>
          <w:rFonts w:hint="eastAsia"/>
          <w:highlight w:val="none"/>
        </w:rPr>
        <w:t>造价咨询服务内容如下：</w:t>
      </w:r>
    </w:p>
    <w:p w14:paraId="48B5CB20">
      <w:pPr>
        <w:pStyle w:val="175"/>
        <w:numPr>
          <w:ilvl w:val="0"/>
          <w:numId w:val="87"/>
        </w:numPr>
        <w:rPr>
          <w:highlight w:val="none"/>
        </w:rPr>
      </w:pPr>
      <w:r>
        <w:rPr>
          <w:rFonts w:hint="eastAsia"/>
          <w:highlight w:val="none"/>
        </w:rPr>
        <w:t>项目资金支付计划：全过程工程咨询服务单位应按确定的造价控制目标并根据相关合同条款、支付时间节点、付款条件、合同价格清单以及批准的工程进度计划编制项目资金支付计划，并根据工程变更、项目实际施工情况、委托人资金情况等定期适时动态调整；</w:t>
      </w:r>
    </w:p>
    <w:p w14:paraId="59F20A95">
      <w:pPr>
        <w:pStyle w:val="175"/>
        <w:numPr>
          <w:ilvl w:val="0"/>
          <w:numId w:val="87"/>
        </w:numPr>
        <w:rPr>
          <w:highlight w:val="none"/>
        </w:rPr>
      </w:pPr>
      <w:r>
        <w:rPr>
          <w:rFonts w:hint="eastAsia"/>
          <w:highlight w:val="none"/>
        </w:rPr>
        <w:t>工程计量及工程价款支付：</w:t>
      </w:r>
    </w:p>
    <w:p w14:paraId="1FD418C4">
      <w:pPr>
        <w:pStyle w:val="110"/>
        <w:numPr>
          <w:ilvl w:val="1"/>
          <w:numId w:val="69"/>
        </w:numPr>
        <w:rPr>
          <w:highlight w:val="none"/>
        </w:rPr>
      </w:pPr>
      <w:r>
        <w:rPr>
          <w:rFonts w:hint="eastAsia"/>
          <w:highlight w:val="none"/>
        </w:rPr>
        <w:t>全过程工程咨询服务单位应根据工程施工合同以及工程材料、设备采购等合同中有关工程计量周期、合同价款支付时间节点的约定条款，及时对合同价款的申请进行审核，确定本期应付款金额，并向委托人提交合同价款支付审核意见，还应建立工程计量及价款支付台账，并按合同分类管理；</w:t>
      </w:r>
    </w:p>
    <w:p w14:paraId="23470B0D">
      <w:pPr>
        <w:pStyle w:val="110"/>
        <w:numPr>
          <w:ilvl w:val="1"/>
          <w:numId w:val="69"/>
        </w:numPr>
        <w:rPr>
          <w:highlight w:val="none"/>
        </w:rPr>
      </w:pPr>
      <w:r>
        <w:rPr>
          <w:rFonts w:hint="eastAsia"/>
          <w:highlight w:val="none"/>
        </w:rPr>
        <w:t>根据委托人要求对工程建设其他费用的支付进行审核，并建立相应支付台账，编制工程建设其他费用合同价款及支付情况表，并对工程建设其他费用进行分类管理。</w:t>
      </w:r>
    </w:p>
    <w:p w14:paraId="190FA75A">
      <w:pPr>
        <w:pStyle w:val="175"/>
        <w:numPr>
          <w:ilvl w:val="0"/>
          <w:numId w:val="69"/>
        </w:numPr>
        <w:rPr>
          <w:highlight w:val="none"/>
        </w:rPr>
      </w:pPr>
      <w:r>
        <w:rPr>
          <w:rFonts w:hint="eastAsia"/>
          <w:highlight w:val="none"/>
        </w:rPr>
        <w:t>询价与核价：</w:t>
      </w:r>
    </w:p>
    <w:p w14:paraId="1FA3FD78">
      <w:pPr>
        <w:pStyle w:val="110"/>
        <w:numPr>
          <w:ilvl w:val="1"/>
          <w:numId w:val="69"/>
        </w:numPr>
        <w:rPr>
          <w:highlight w:val="none"/>
        </w:rPr>
      </w:pPr>
      <w:r>
        <w:rPr>
          <w:rFonts w:hint="eastAsia"/>
          <w:highlight w:val="none"/>
        </w:rPr>
        <w:t>全过程工程咨询服务单位应根据需要承担人工、主要材料设备或特殊新型材料、机械、设备及专业工程等市场价格的查询，并应出具相应的价格咨询报告；</w:t>
      </w:r>
    </w:p>
    <w:p w14:paraId="2E005384">
      <w:pPr>
        <w:pStyle w:val="110"/>
        <w:numPr>
          <w:ilvl w:val="1"/>
          <w:numId w:val="69"/>
        </w:numPr>
        <w:rPr>
          <w:highlight w:val="none"/>
        </w:rPr>
      </w:pPr>
      <w:r>
        <w:rPr>
          <w:rFonts w:hint="eastAsia"/>
          <w:highlight w:val="none"/>
        </w:rPr>
        <w:t>对人工、材料、机械、设备等价格，应按合同约定进行审核。</w:t>
      </w:r>
    </w:p>
    <w:p w14:paraId="7D20DABC">
      <w:pPr>
        <w:pStyle w:val="175"/>
        <w:numPr>
          <w:ilvl w:val="0"/>
          <w:numId w:val="69"/>
        </w:numPr>
        <w:rPr>
          <w:highlight w:val="none"/>
        </w:rPr>
      </w:pPr>
      <w:r>
        <w:rPr>
          <w:rFonts w:hint="eastAsia"/>
          <w:highlight w:val="none"/>
        </w:rPr>
        <w:t>工程变更、工程签证与索赔：</w:t>
      </w:r>
    </w:p>
    <w:p w14:paraId="1D4577E6">
      <w:pPr>
        <w:pStyle w:val="110"/>
        <w:numPr>
          <w:ilvl w:val="1"/>
          <w:numId w:val="69"/>
        </w:numPr>
        <w:rPr>
          <w:highlight w:val="none"/>
        </w:rPr>
      </w:pPr>
      <w:r>
        <w:rPr>
          <w:rFonts w:hint="eastAsia"/>
          <w:highlight w:val="none"/>
        </w:rPr>
        <w:t>全过程工程咨询服务单位应对工程合同约定的工程变更、工程签证与索赔进行审核；</w:t>
      </w:r>
    </w:p>
    <w:p w14:paraId="1DF3787D">
      <w:pPr>
        <w:pStyle w:val="110"/>
        <w:numPr>
          <w:ilvl w:val="1"/>
          <w:numId w:val="69"/>
        </w:numPr>
        <w:rPr>
          <w:highlight w:val="none"/>
        </w:rPr>
      </w:pPr>
      <w:r>
        <w:rPr>
          <w:rFonts w:hint="eastAsia"/>
          <w:highlight w:val="none"/>
        </w:rPr>
        <w:t>在工程变更、工程签证与索赔确认前，对可能引起的工程造价的变化提出专业意见，并对满足施工合同约定的有效工程变更、工程签证与索赔进行审核，同时根据合同及相应的计价规范计算工程变更、工程签证与索赔引起的工程造价变化，计入当期工程造价；</w:t>
      </w:r>
    </w:p>
    <w:p w14:paraId="0E32CB2D">
      <w:pPr>
        <w:pStyle w:val="110"/>
        <w:numPr>
          <w:ilvl w:val="1"/>
          <w:numId w:val="69"/>
        </w:numPr>
        <w:rPr>
          <w:highlight w:val="none"/>
        </w:rPr>
      </w:pPr>
      <w:r>
        <w:rPr>
          <w:rFonts w:hint="eastAsia"/>
          <w:highlight w:val="none"/>
        </w:rPr>
        <w:t>对工程变更、工程签证与索赔的相关手续及资料进行符合性检查，确保手续及资料的完备性。</w:t>
      </w:r>
    </w:p>
    <w:p w14:paraId="42BE3626">
      <w:pPr>
        <w:pStyle w:val="175"/>
        <w:numPr>
          <w:ilvl w:val="0"/>
          <w:numId w:val="69"/>
        </w:numPr>
        <w:rPr>
          <w:highlight w:val="none"/>
        </w:rPr>
      </w:pPr>
      <w:r>
        <w:rPr>
          <w:rFonts w:hint="eastAsia"/>
          <w:highlight w:val="none"/>
        </w:rPr>
        <w:t>分阶段结算、专业分包结算、合同中止结算</w:t>
      </w:r>
      <w:r>
        <w:rPr>
          <w:rFonts w:hint="eastAsia"/>
          <w:highlight w:val="none"/>
          <w:lang w:eastAsia="zh-CN"/>
        </w:rPr>
        <w:t>：</w:t>
      </w:r>
    </w:p>
    <w:p w14:paraId="0436A42F">
      <w:pPr>
        <w:pStyle w:val="110"/>
        <w:numPr>
          <w:ilvl w:val="1"/>
          <w:numId w:val="69"/>
        </w:numPr>
        <w:rPr>
          <w:highlight w:val="none"/>
        </w:rPr>
      </w:pPr>
      <w:r>
        <w:rPr>
          <w:rFonts w:hint="eastAsia"/>
          <w:highlight w:val="none"/>
        </w:rPr>
        <w:t>全过程工程咨询服务单位在工程施工阶段应根据竣工结算的有关要求，编制或审核分阶段工程结算、专业工程分包结算和合同中止结算，并向委托人提供相应的结算咨询报告；</w:t>
      </w:r>
    </w:p>
    <w:p w14:paraId="3DE582EA">
      <w:pPr>
        <w:pStyle w:val="110"/>
        <w:numPr>
          <w:ilvl w:val="1"/>
          <w:numId w:val="69"/>
        </w:numPr>
        <w:rPr>
          <w:highlight w:val="none"/>
        </w:rPr>
      </w:pPr>
      <w:r>
        <w:rPr>
          <w:rFonts w:hint="eastAsia"/>
          <w:highlight w:val="none"/>
        </w:rPr>
        <w:t>分阶段工程结算、专业工程分包结算的依据、方法、程序与工程竣工结算相同，且应与总包合同承诺的结算计价体系一致，总体措施费结算依据合同约定计算；</w:t>
      </w:r>
    </w:p>
    <w:p w14:paraId="0A807E32">
      <w:pPr>
        <w:pStyle w:val="110"/>
        <w:numPr>
          <w:ilvl w:val="1"/>
          <w:numId w:val="69"/>
        </w:numPr>
        <w:rPr>
          <w:highlight w:val="none"/>
        </w:rPr>
      </w:pPr>
      <w:r>
        <w:rPr>
          <w:rFonts w:hint="eastAsia"/>
          <w:highlight w:val="none"/>
        </w:rPr>
        <w:t>合同中止结算应按合同约定，在明确完成界面的基础上，方法同分阶段工程结算，并应将已进场未安装的合格材料及设备费用、已发生的总包管理费用、合同约定的与违约责任人相关的费用等一并纳入结算范围。</w:t>
      </w:r>
    </w:p>
    <w:p w14:paraId="40B01CC3">
      <w:pPr>
        <w:pStyle w:val="106"/>
        <w:spacing w:before="156" w:after="156"/>
        <w:rPr>
          <w:highlight w:val="none"/>
        </w:rPr>
      </w:pPr>
      <w:bookmarkStart w:id="133" w:name="_Toc26337"/>
      <w:bookmarkStart w:id="134" w:name="_Toc194135357"/>
      <w:r>
        <w:rPr>
          <w:rFonts w:hint="eastAsia"/>
          <w:highlight w:val="none"/>
        </w:rPr>
        <w:t>设计技术咨询服务</w:t>
      </w:r>
      <w:bookmarkEnd w:id="133"/>
      <w:bookmarkEnd w:id="134"/>
    </w:p>
    <w:p w14:paraId="71DB7AAE">
      <w:pPr>
        <w:pStyle w:val="166"/>
        <w:rPr>
          <w:highlight w:val="none"/>
        </w:rPr>
      </w:pPr>
      <w:r>
        <w:rPr>
          <w:rFonts w:hint="eastAsia"/>
          <w:highlight w:val="none"/>
        </w:rPr>
        <w:t>全过程工程咨询服务单位应确保工程施工阶段设计技术咨询与施工的协调与配合。</w:t>
      </w:r>
    </w:p>
    <w:p w14:paraId="68360DC3">
      <w:pPr>
        <w:pStyle w:val="166"/>
        <w:rPr>
          <w:highlight w:val="none"/>
        </w:rPr>
      </w:pPr>
      <w:r>
        <w:rPr>
          <w:rFonts w:hint="eastAsia"/>
          <w:highlight w:val="none"/>
        </w:rPr>
        <w:t>工程施工阶段设计技术咨询服务应包括下列内容：</w:t>
      </w:r>
    </w:p>
    <w:p w14:paraId="37A9924E">
      <w:pPr>
        <w:pStyle w:val="175"/>
        <w:numPr>
          <w:ilvl w:val="0"/>
          <w:numId w:val="88"/>
        </w:numPr>
        <w:rPr>
          <w:highlight w:val="none"/>
        </w:rPr>
      </w:pPr>
      <w:r>
        <w:rPr>
          <w:rFonts w:hint="eastAsia"/>
          <w:highlight w:val="none"/>
        </w:rPr>
        <w:t>组织或参与设计交底与图纸会审；</w:t>
      </w:r>
    </w:p>
    <w:p w14:paraId="4DF76E44">
      <w:pPr>
        <w:pStyle w:val="175"/>
        <w:numPr>
          <w:ilvl w:val="0"/>
          <w:numId w:val="69"/>
        </w:numPr>
        <w:rPr>
          <w:highlight w:val="none"/>
        </w:rPr>
      </w:pPr>
      <w:r>
        <w:rPr>
          <w:rFonts w:hint="eastAsia"/>
          <w:highlight w:val="none"/>
        </w:rPr>
        <w:t>组织专项设计或深化设计，满足总体要求；</w:t>
      </w:r>
    </w:p>
    <w:p w14:paraId="672A9E82">
      <w:pPr>
        <w:pStyle w:val="175"/>
        <w:numPr>
          <w:ilvl w:val="0"/>
          <w:numId w:val="69"/>
        </w:numPr>
        <w:rPr>
          <w:highlight w:val="none"/>
        </w:rPr>
      </w:pPr>
      <w:r>
        <w:rPr>
          <w:rFonts w:hint="eastAsia"/>
          <w:highlight w:val="none"/>
        </w:rPr>
        <w:t>对变更的必要性、技术性及经济性审核提供技术确认；</w:t>
      </w:r>
    </w:p>
    <w:p w14:paraId="0EE07B20">
      <w:pPr>
        <w:pStyle w:val="175"/>
        <w:numPr>
          <w:ilvl w:val="0"/>
          <w:numId w:val="69"/>
        </w:numPr>
        <w:rPr>
          <w:highlight w:val="none"/>
        </w:rPr>
      </w:pPr>
      <w:r>
        <w:rPr>
          <w:rFonts w:hint="eastAsia"/>
          <w:highlight w:val="none"/>
        </w:rPr>
        <w:t>参与有关分部及单位工程竣工验收。</w:t>
      </w:r>
    </w:p>
    <w:p w14:paraId="4EBB610A">
      <w:pPr>
        <w:pStyle w:val="106"/>
        <w:spacing w:before="156" w:after="156"/>
        <w:rPr>
          <w:highlight w:val="none"/>
        </w:rPr>
      </w:pPr>
      <w:bookmarkStart w:id="135" w:name="_Toc194135358"/>
      <w:bookmarkStart w:id="136" w:name="_Toc15920"/>
      <w:r>
        <w:rPr>
          <w:rFonts w:hint="eastAsia"/>
          <w:highlight w:val="none"/>
        </w:rPr>
        <w:t>安全文明施工与绿色施工管理</w:t>
      </w:r>
      <w:bookmarkEnd w:id="135"/>
      <w:bookmarkEnd w:id="136"/>
    </w:p>
    <w:p w14:paraId="4E9C918D">
      <w:pPr>
        <w:pStyle w:val="166"/>
        <w:rPr>
          <w:highlight w:val="none"/>
        </w:rPr>
      </w:pPr>
      <w:r>
        <w:rPr>
          <w:rFonts w:hint="eastAsia"/>
          <w:highlight w:val="none"/>
        </w:rPr>
        <w:t>全过程工程咨询服务单位应根据工程项目的具体情况，组织制定项目的安全文明施工与绿色施工目标，并督促落实。</w:t>
      </w:r>
    </w:p>
    <w:p w14:paraId="49BBFE54">
      <w:pPr>
        <w:pStyle w:val="166"/>
        <w:rPr>
          <w:highlight w:val="none"/>
        </w:rPr>
      </w:pPr>
      <w:r>
        <w:rPr>
          <w:rFonts w:hint="eastAsia"/>
          <w:highlight w:val="none"/>
        </w:rPr>
        <w:t>安全文明施工咨询服务应包括下列内容：</w:t>
      </w:r>
    </w:p>
    <w:p w14:paraId="7B251741">
      <w:pPr>
        <w:pStyle w:val="175"/>
        <w:numPr>
          <w:ilvl w:val="0"/>
          <w:numId w:val="89"/>
        </w:numPr>
        <w:rPr>
          <w:highlight w:val="none"/>
        </w:rPr>
      </w:pPr>
      <w:r>
        <w:rPr>
          <w:rFonts w:hint="eastAsia"/>
          <w:highlight w:val="none"/>
        </w:rPr>
        <w:t>科学确定创优目标，推进建筑施工安全监管信息系统建设。</w:t>
      </w:r>
    </w:p>
    <w:p w14:paraId="4A80E147">
      <w:pPr>
        <w:pStyle w:val="175"/>
        <w:numPr>
          <w:ilvl w:val="0"/>
          <w:numId w:val="69"/>
        </w:numPr>
        <w:rPr>
          <w:highlight w:val="none"/>
        </w:rPr>
      </w:pPr>
      <w:r>
        <w:rPr>
          <w:rFonts w:hint="eastAsia"/>
          <w:highlight w:val="none"/>
        </w:rPr>
        <w:t>督促施工单位建立健全施工安全生产管理体系和落实安全生产责任制度。</w:t>
      </w:r>
    </w:p>
    <w:p w14:paraId="2BD8D871">
      <w:pPr>
        <w:pStyle w:val="175"/>
        <w:numPr>
          <w:ilvl w:val="0"/>
          <w:numId w:val="69"/>
        </w:numPr>
        <w:rPr>
          <w:highlight w:val="none"/>
        </w:rPr>
      </w:pPr>
      <w:r>
        <w:rPr>
          <w:rFonts w:hint="eastAsia"/>
          <w:highlight w:val="none"/>
        </w:rPr>
        <w:t>进行安全文明施工的考核和奖惩，督促施工单位持续改进项目的安全文明施工措施。</w:t>
      </w:r>
    </w:p>
    <w:p w14:paraId="0BBD1BE9">
      <w:pPr>
        <w:pStyle w:val="166"/>
        <w:rPr>
          <w:highlight w:val="none"/>
        </w:rPr>
      </w:pPr>
      <w:r>
        <w:rPr>
          <w:rFonts w:hint="eastAsia"/>
          <w:highlight w:val="none"/>
        </w:rPr>
        <w:t>绿色施工咨询服务应包括下列内容：</w:t>
      </w:r>
    </w:p>
    <w:p w14:paraId="784D5895">
      <w:pPr>
        <w:pStyle w:val="175"/>
        <w:numPr>
          <w:ilvl w:val="0"/>
          <w:numId w:val="90"/>
        </w:numPr>
        <w:rPr>
          <w:highlight w:val="none"/>
        </w:rPr>
      </w:pPr>
      <w:r>
        <w:rPr>
          <w:rFonts w:hint="eastAsia"/>
          <w:highlight w:val="none"/>
        </w:rPr>
        <w:t>制定绿色施工目标和关键指标；</w:t>
      </w:r>
    </w:p>
    <w:p w14:paraId="6A9D1DC0">
      <w:pPr>
        <w:pStyle w:val="175"/>
        <w:numPr>
          <w:ilvl w:val="0"/>
          <w:numId w:val="69"/>
        </w:numPr>
        <w:rPr>
          <w:highlight w:val="none"/>
        </w:rPr>
      </w:pPr>
      <w:r>
        <w:rPr>
          <w:rFonts w:hint="eastAsia"/>
          <w:highlight w:val="none"/>
        </w:rPr>
        <w:t>组织进行绿色施工总体策划，推进绿色施工新技术、新材料、新工艺、新设备的应用；</w:t>
      </w:r>
    </w:p>
    <w:p w14:paraId="2AC5D81E">
      <w:pPr>
        <w:pStyle w:val="175"/>
        <w:numPr>
          <w:ilvl w:val="0"/>
          <w:numId w:val="69"/>
        </w:numPr>
        <w:rPr>
          <w:highlight w:val="none"/>
        </w:rPr>
      </w:pPr>
      <w:r>
        <w:rPr>
          <w:rFonts w:hint="eastAsia"/>
          <w:highlight w:val="none"/>
        </w:rPr>
        <w:t>督促和检查施工单位编制涵盖绿色施工及环境保护、职业健康与安全等内容的绿色施工专项方案；</w:t>
      </w:r>
    </w:p>
    <w:p w14:paraId="71227BC5">
      <w:pPr>
        <w:pStyle w:val="175"/>
        <w:numPr>
          <w:ilvl w:val="0"/>
          <w:numId w:val="69"/>
        </w:numPr>
        <w:rPr>
          <w:highlight w:val="none"/>
        </w:rPr>
      </w:pPr>
      <w:r>
        <w:rPr>
          <w:rFonts w:hint="eastAsia"/>
          <w:highlight w:val="none"/>
        </w:rPr>
        <w:t>开展绿色施工实施效果考核、评价，督促施工单位持续改进绿色施工措施。</w:t>
      </w:r>
    </w:p>
    <w:p w14:paraId="3F70DC46">
      <w:pPr>
        <w:pStyle w:val="166"/>
        <w:rPr>
          <w:highlight w:val="none"/>
        </w:rPr>
      </w:pPr>
      <w:r>
        <w:rPr>
          <w:rFonts w:hint="eastAsia"/>
          <w:highlight w:val="none"/>
        </w:rPr>
        <w:t>安全文明施工与绿色施工应注意下列事项：</w:t>
      </w:r>
    </w:p>
    <w:p w14:paraId="06A90BD8">
      <w:pPr>
        <w:pStyle w:val="175"/>
        <w:numPr>
          <w:ilvl w:val="0"/>
          <w:numId w:val="91"/>
        </w:numPr>
        <w:rPr>
          <w:highlight w:val="none"/>
        </w:rPr>
      </w:pPr>
      <w:r>
        <w:rPr>
          <w:rFonts w:hint="eastAsia"/>
          <w:highlight w:val="none"/>
        </w:rPr>
        <w:t>建立健全教育培训制度，确保施工人员进场之前教育培训全覆盖；</w:t>
      </w:r>
    </w:p>
    <w:p w14:paraId="57D49EC7">
      <w:pPr>
        <w:pStyle w:val="175"/>
        <w:numPr>
          <w:ilvl w:val="0"/>
          <w:numId w:val="69"/>
        </w:numPr>
        <w:rPr>
          <w:highlight w:val="none"/>
        </w:rPr>
      </w:pPr>
      <w:r>
        <w:rPr>
          <w:rFonts w:hint="eastAsia"/>
          <w:highlight w:val="none"/>
        </w:rPr>
        <w:t>充分保证安全文明施工与绿色施工的资源配置与投入，确保安全文明施工与绿色施工的落实；</w:t>
      </w:r>
    </w:p>
    <w:p w14:paraId="4DEF33E7">
      <w:pPr>
        <w:pStyle w:val="175"/>
        <w:numPr>
          <w:ilvl w:val="0"/>
          <w:numId w:val="69"/>
        </w:numPr>
        <w:rPr>
          <w:highlight w:val="none"/>
        </w:rPr>
      </w:pPr>
      <w:r>
        <w:rPr>
          <w:rFonts w:hint="eastAsia"/>
          <w:highlight w:val="none"/>
        </w:rPr>
        <w:t>对施工现场进行定期和不定期巡检，加大对现场施工人员安全文明施工与绿色施工执行力度的监督。</w:t>
      </w:r>
    </w:p>
    <w:p w14:paraId="74E4119C">
      <w:pPr>
        <w:pStyle w:val="106"/>
        <w:spacing w:before="156" w:after="156"/>
        <w:rPr>
          <w:rFonts w:hint="eastAsia"/>
          <w:highlight w:val="none"/>
          <w:lang w:val="en-US" w:eastAsia="zh-CN"/>
        </w:rPr>
      </w:pPr>
      <w:bookmarkStart w:id="137" w:name="_Toc24097"/>
      <w:bookmarkStart w:id="138" w:name="_Toc194135359"/>
      <w:r>
        <w:rPr>
          <w:rFonts w:hint="eastAsia"/>
          <w:highlight w:val="none"/>
          <w:lang w:val="en-US" w:eastAsia="zh-CN"/>
        </w:rPr>
        <w:t>智能施工管理</w:t>
      </w:r>
      <w:bookmarkEnd w:id="137"/>
    </w:p>
    <w:p w14:paraId="61C37E7D">
      <w:pPr>
        <w:pStyle w:val="166"/>
        <w:rPr>
          <w:rFonts w:hint="default" w:ascii="宋体" w:eastAsia="宋体"/>
          <w:highlight w:val="none"/>
          <w:lang w:val="en-US" w:eastAsia="zh-CN"/>
        </w:rPr>
      </w:pPr>
      <w:r>
        <w:rPr>
          <w:rFonts w:hint="eastAsia" w:ascii="宋体" w:eastAsia="宋体"/>
          <w:highlight w:val="none"/>
          <w:lang w:val="en-US" w:eastAsia="zh-CN"/>
        </w:rPr>
        <w:t>咨询服务方应</w:t>
      </w:r>
      <w:r>
        <w:rPr>
          <w:rFonts w:hint="eastAsia"/>
          <w:highlight w:val="none"/>
          <w:lang w:val="en-US" w:eastAsia="zh-CN"/>
        </w:rPr>
        <w:t>根据江苏省、苏州市智慧工地建设有关政策</w:t>
      </w:r>
      <w:r>
        <w:rPr>
          <w:rFonts w:hint="eastAsia" w:ascii="宋体" w:eastAsia="宋体"/>
          <w:highlight w:val="none"/>
          <w:lang w:val="en-US" w:eastAsia="zh-CN"/>
        </w:rPr>
        <w:t>组建专业团队开展施工阶段的</w:t>
      </w:r>
      <w:r>
        <w:rPr>
          <w:rFonts w:hint="eastAsia"/>
          <w:highlight w:val="none"/>
          <w:lang w:val="en-US" w:eastAsia="zh-CN"/>
        </w:rPr>
        <w:t>智能施工</w:t>
      </w:r>
      <w:r>
        <w:rPr>
          <w:rFonts w:hint="eastAsia" w:ascii="宋体" w:eastAsia="宋体"/>
          <w:highlight w:val="none"/>
          <w:lang w:val="en-US" w:eastAsia="zh-CN"/>
        </w:rPr>
        <w:t>咨询服务工作，确保智能施工过程与勘察设计、智能生产的协调与配合。</w:t>
      </w:r>
    </w:p>
    <w:p w14:paraId="0EA95858">
      <w:pPr>
        <w:pStyle w:val="166"/>
        <w:rPr>
          <w:rFonts w:hint="default" w:ascii="宋体" w:eastAsia="宋体"/>
          <w:highlight w:val="none"/>
          <w:lang w:val="en-US" w:eastAsia="zh-CN"/>
        </w:rPr>
      </w:pPr>
      <w:r>
        <w:rPr>
          <w:rFonts w:hint="eastAsia" w:ascii="宋体" w:eastAsia="宋体"/>
          <w:highlight w:val="none"/>
          <w:lang w:val="en-US" w:eastAsia="zh-CN"/>
        </w:rPr>
        <w:t>智能施工管理应根据智慧工地建设有关政策规范要求，进行整体策划及实施方案编制</w:t>
      </w:r>
      <w:r>
        <w:rPr>
          <w:rFonts w:hint="eastAsia"/>
          <w:highlight w:val="none"/>
          <w:lang w:val="en-US" w:eastAsia="zh-CN"/>
        </w:rPr>
        <w:t>，明确各软硬件设备应用范围、点位部署、设备主要参数等。</w:t>
      </w:r>
    </w:p>
    <w:p w14:paraId="77EA7D38">
      <w:pPr>
        <w:pStyle w:val="166"/>
        <w:rPr>
          <w:rFonts w:hint="default" w:ascii="宋体" w:eastAsia="宋体"/>
          <w:highlight w:val="none"/>
          <w:lang w:val="en-US" w:eastAsia="zh-CN"/>
        </w:rPr>
      </w:pPr>
      <w:r>
        <w:rPr>
          <w:rFonts w:hint="default" w:ascii="宋体" w:eastAsia="宋体"/>
          <w:highlight w:val="none"/>
          <w:lang w:val="en-US" w:eastAsia="zh-CN"/>
        </w:rPr>
        <w:t>智能施工应采用工业化、数字化、智能化的建造方式，降低人工成本、降低工人劳动强度、规范现场管理、提高工作效率、降低施工风险。</w:t>
      </w:r>
    </w:p>
    <w:p w14:paraId="071083E0">
      <w:pPr>
        <w:pStyle w:val="166"/>
        <w:rPr>
          <w:rFonts w:hint="default" w:ascii="宋体" w:eastAsia="宋体"/>
          <w:highlight w:val="none"/>
          <w:lang w:val="en-US" w:eastAsia="zh-CN"/>
        </w:rPr>
      </w:pPr>
      <w:r>
        <w:rPr>
          <w:rFonts w:hint="eastAsia" w:ascii="宋体" w:eastAsia="宋体"/>
          <w:highlight w:val="none"/>
          <w:lang w:val="en-US" w:eastAsia="zh-CN"/>
        </w:rPr>
        <w:t>智能施工管理应建立安全风险分级管控机制，通过数据采集与分析预判潜在隐患，提供针对性防范措施。</w:t>
      </w:r>
    </w:p>
    <w:p w14:paraId="2A6DD152">
      <w:pPr>
        <w:pStyle w:val="166"/>
        <w:rPr>
          <w:rFonts w:hint="default" w:ascii="宋体" w:eastAsia="宋体"/>
          <w:highlight w:val="none"/>
          <w:lang w:val="en-US" w:eastAsia="zh-CN"/>
        </w:rPr>
      </w:pPr>
      <w:r>
        <w:rPr>
          <w:rFonts w:hint="eastAsia" w:ascii="宋体" w:eastAsia="宋体"/>
          <w:highlight w:val="none"/>
          <w:lang w:val="en-US" w:eastAsia="zh-CN"/>
        </w:rPr>
        <w:t>智能施工管理应集成AI、IOT等技术，</w:t>
      </w:r>
      <w:r>
        <w:rPr>
          <w:rFonts w:cs="Times New Roman"/>
          <w:highlight w:val="none"/>
        </w:rPr>
        <w:t>通过接入现场物联感知设备，对项目人员、机械、物料、绿色施工等要素进行全方位管理</w:t>
      </w:r>
      <w:r>
        <w:rPr>
          <w:rFonts w:hint="eastAsia" w:cs="Times New Roman"/>
          <w:highlight w:val="none"/>
          <w:lang w:eastAsia="zh-CN"/>
        </w:rPr>
        <w:t>。</w:t>
      </w:r>
    </w:p>
    <w:p w14:paraId="71B7A771">
      <w:pPr>
        <w:pStyle w:val="166"/>
        <w:rPr>
          <w:rFonts w:hint="eastAsia"/>
          <w:highlight w:val="none"/>
          <w:lang w:val="en-US" w:eastAsia="zh-CN"/>
        </w:rPr>
      </w:pPr>
      <w:r>
        <w:rPr>
          <w:rFonts w:hint="eastAsia" w:ascii="宋体" w:eastAsia="宋体"/>
          <w:highlight w:val="none"/>
          <w:lang w:val="en-US" w:eastAsia="zh-CN"/>
        </w:rPr>
        <w:t>人员管理应采用人脸识别系统，并与门禁系统联动，实现现场劳务人员实名制考勤和规范化管理</w:t>
      </w:r>
      <w:r>
        <w:rPr>
          <w:rFonts w:hint="eastAsia"/>
          <w:highlight w:val="none"/>
          <w:lang w:val="en-US" w:eastAsia="zh-CN"/>
        </w:rPr>
        <w:t>，至少包括以下内容：</w:t>
      </w:r>
    </w:p>
    <w:p w14:paraId="3CFDDCD5">
      <w:pPr>
        <w:pStyle w:val="166"/>
        <w:numPr>
          <w:ilvl w:val="0"/>
          <w:numId w:val="92"/>
        </w:numPr>
        <w:ind w:leftChars="0" w:firstLine="420" w:firstLineChars="200"/>
        <w:rPr>
          <w:rFonts w:hint="eastAsia"/>
          <w:highlight w:val="none"/>
          <w:lang w:val="en-US" w:eastAsia="zh-CN"/>
        </w:rPr>
      </w:pPr>
      <w:r>
        <w:rPr>
          <w:rFonts w:hint="eastAsia"/>
          <w:highlight w:val="none"/>
          <w:lang w:val="en-US" w:eastAsia="zh-CN"/>
        </w:rPr>
        <w:t>能够展示当日进出人员数据和数量曲线以及工地上“苏安码”绿码、黄码人数。</w:t>
      </w:r>
    </w:p>
    <w:p w14:paraId="68C571E3">
      <w:pPr>
        <w:pStyle w:val="166"/>
        <w:numPr>
          <w:ilvl w:val="0"/>
          <w:numId w:val="92"/>
        </w:numPr>
        <w:ind w:leftChars="0" w:firstLine="420" w:firstLineChars="200"/>
        <w:rPr>
          <w:rFonts w:hint="default"/>
          <w:highlight w:val="none"/>
          <w:lang w:val="en-US" w:eastAsia="zh-CN"/>
        </w:rPr>
      </w:pPr>
      <w:r>
        <w:rPr>
          <w:rFonts w:hint="default"/>
          <w:highlight w:val="none"/>
          <w:lang w:val="en-US" w:eastAsia="zh-CN"/>
        </w:rPr>
        <w:t>能够展示参建单位、班组信息</w:t>
      </w:r>
      <w:r>
        <w:rPr>
          <w:rFonts w:hint="eastAsia"/>
          <w:highlight w:val="none"/>
          <w:lang w:val="en-US" w:eastAsia="zh-CN"/>
        </w:rPr>
        <w:t>。</w:t>
      </w:r>
    </w:p>
    <w:p w14:paraId="02DEA0B6">
      <w:pPr>
        <w:pStyle w:val="166"/>
        <w:numPr>
          <w:ilvl w:val="0"/>
          <w:numId w:val="92"/>
        </w:numPr>
        <w:ind w:leftChars="0" w:firstLine="420" w:firstLineChars="200"/>
        <w:rPr>
          <w:rFonts w:hint="default"/>
          <w:highlight w:val="none"/>
          <w:lang w:val="en-US" w:eastAsia="zh-CN"/>
        </w:rPr>
      </w:pPr>
      <w:r>
        <w:rPr>
          <w:rFonts w:hint="default"/>
          <w:highlight w:val="none"/>
          <w:lang w:val="en-US" w:eastAsia="zh-CN"/>
        </w:rPr>
        <w:t>能够对劳务人员年龄、工种、籍贯等进行信息分析并上传。</w:t>
      </w:r>
    </w:p>
    <w:p w14:paraId="56DAB1A6">
      <w:pPr>
        <w:pStyle w:val="166"/>
        <w:numPr>
          <w:ilvl w:val="0"/>
          <w:numId w:val="92"/>
        </w:numPr>
        <w:ind w:leftChars="0" w:firstLine="420" w:firstLineChars="200"/>
        <w:rPr>
          <w:rFonts w:hint="default"/>
          <w:highlight w:val="none"/>
          <w:lang w:val="en-US" w:eastAsia="zh-CN"/>
        </w:rPr>
      </w:pPr>
      <w:r>
        <w:rPr>
          <w:rFonts w:hint="default"/>
          <w:highlight w:val="none"/>
          <w:lang w:val="en-US" w:eastAsia="zh-CN"/>
        </w:rPr>
        <w:t>能够对日常安全教育进行分类分析。</w:t>
      </w:r>
    </w:p>
    <w:p w14:paraId="559307A9">
      <w:pPr>
        <w:pStyle w:val="166"/>
        <w:numPr>
          <w:ilvl w:val="0"/>
          <w:numId w:val="92"/>
        </w:numPr>
        <w:ind w:leftChars="0" w:firstLine="420" w:firstLineChars="200"/>
        <w:rPr>
          <w:rFonts w:hint="default"/>
          <w:highlight w:val="none"/>
          <w:lang w:val="en-US" w:eastAsia="zh-CN"/>
        </w:rPr>
      </w:pPr>
      <w:r>
        <w:rPr>
          <w:rFonts w:hint="default"/>
          <w:highlight w:val="none"/>
          <w:lang w:val="en-US" w:eastAsia="zh-CN"/>
        </w:rPr>
        <w:t>能够按日、按月统计安管人员（项目经理与专职安全员）在岗信息。</w:t>
      </w:r>
    </w:p>
    <w:p w14:paraId="658A37DE">
      <w:pPr>
        <w:pStyle w:val="166"/>
        <w:rPr>
          <w:rFonts w:hint="default" w:ascii="宋体" w:eastAsia="宋体"/>
          <w:highlight w:val="none"/>
          <w:lang w:val="en-US" w:eastAsia="zh-CN"/>
        </w:rPr>
      </w:pPr>
      <w:r>
        <w:rPr>
          <w:rFonts w:hint="eastAsia" w:ascii="宋体" w:eastAsia="宋体"/>
          <w:highlight w:val="none"/>
          <w:lang w:val="en-US" w:eastAsia="zh-CN"/>
        </w:rPr>
        <w:t>物资</w:t>
      </w:r>
      <w:r>
        <w:rPr>
          <w:rFonts w:hint="eastAsia"/>
          <w:highlight w:val="none"/>
          <w:lang w:val="en-US" w:eastAsia="zh-CN"/>
        </w:rPr>
        <w:t>管理</w:t>
      </w:r>
      <w:r>
        <w:rPr>
          <w:rFonts w:cs="Times New Roman"/>
          <w:highlight w:val="none"/>
        </w:rPr>
        <w:t>应实现物资规格、车牌、重量、供应商等数据的自动采集与实时数据传输。</w:t>
      </w:r>
      <w:r>
        <w:rPr>
          <w:rFonts w:hint="eastAsia" w:cs="Times New Roman"/>
          <w:highlight w:val="none"/>
          <w:lang w:val="en-US" w:eastAsia="zh-CN"/>
        </w:rPr>
        <w:t>对</w:t>
      </w:r>
      <w:r>
        <w:rPr>
          <w:rFonts w:hint="eastAsia" w:cs="Times New Roman"/>
          <w:highlight w:val="none"/>
        </w:rPr>
        <w:t>主要材料的进场验收、入库存放、出库使用等信息化管理，并可对材料的检测报告、见证取样及相关有效性能验证信息的查询、归档功能。</w:t>
      </w:r>
    </w:p>
    <w:p w14:paraId="6BB4F724">
      <w:pPr>
        <w:pStyle w:val="166"/>
        <w:rPr>
          <w:rFonts w:hint="default" w:ascii="宋体" w:eastAsia="宋体"/>
          <w:highlight w:val="none"/>
          <w:lang w:val="en-US" w:eastAsia="zh-CN"/>
        </w:rPr>
      </w:pPr>
      <w:r>
        <w:rPr>
          <w:rFonts w:hint="eastAsia" w:ascii="宋体" w:eastAsia="宋体"/>
          <w:highlight w:val="none"/>
          <w:lang w:val="en-US" w:eastAsia="zh-CN"/>
        </w:rPr>
        <w:t>机械</w:t>
      </w:r>
      <w:r>
        <w:rPr>
          <w:rFonts w:hint="eastAsia" w:eastAsia="宋体" w:cs="Times New Roman"/>
          <w:highlight w:val="none"/>
          <w:lang w:val="en-US" w:eastAsia="zh-CN"/>
        </w:rPr>
        <w:t>管理应</w:t>
      </w:r>
      <w:r>
        <w:rPr>
          <w:rFonts w:cs="Times New Roman"/>
          <w:highlight w:val="none"/>
        </w:rPr>
        <w:t>具备机械设备监控功能，支持特种设备的实时状态监测与台账管理</w:t>
      </w:r>
      <w:r>
        <w:rPr>
          <w:rFonts w:hint="eastAsia" w:cs="Times New Roman"/>
          <w:highlight w:val="none"/>
          <w:lang w:eastAsia="zh-CN"/>
        </w:rPr>
        <w:t>，进行故障预警和安全分析，确保设备运行安全。</w:t>
      </w:r>
    </w:p>
    <w:p w14:paraId="0263FC33">
      <w:pPr>
        <w:pStyle w:val="166"/>
        <w:rPr>
          <w:rFonts w:hint="default" w:ascii="宋体" w:eastAsia="宋体"/>
          <w:highlight w:val="none"/>
          <w:lang w:val="en-US" w:eastAsia="zh-CN"/>
        </w:rPr>
      </w:pPr>
      <w:r>
        <w:rPr>
          <w:rFonts w:hint="eastAsia"/>
          <w:highlight w:val="none"/>
          <w:lang w:val="en-US" w:eastAsia="zh-CN"/>
        </w:rPr>
        <w:t>塔吊智能监测应至少实现以下内容：</w:t>
      </w:r>
    </w:p>
    <w:p w14:paraId="1FCE4827">
      <w:pPr>
        <w:pStyle w:val="166"/>
        <w:numPr>
          <w:ilvl w:val="0"/>
          <w:numId w:val="93"/>
        </w:numPr>
        <w:ind w:left="420" w:leftChars="0" w:firstLine="0" w:firstLineChars="0"/>
        <w:rPr>
          <w:rFonts w:hint="default" w:ascii="宋体" w:eastAsia="宋体"/>
          <w:highlight w:val="none"/>
          <w:lang w:val="en-US" w:eastAsia="zh-CN"/>
        </w:rPr>
      </w:pPr>
      <w:r>
        <w:rPr>
          <w:rFonts w:hint="default" w:ascii="宋体" w:eastAsia="宋体"/>
          <w:highlight w:val="none"/>
          <w:lang w:val="en-US" w:eastAsia="zh-CN"/>
        </w:rPr>
        <w:t>能够展示塔吊司机的基本信息、资质验证信息、身份识别信息</w:t>
      </w:r>
      <w:r>
        <w:rPr>
          <w:rFonts w:hint="eastAsia"/>
          <w:highlight w:val="none"/>
          <w:lang w:val="en-US" w:eastAsia="zh-CN"/>
        </w:rPr>
        <w:t>。</w:t>
      </w:r>
    </w:p>
    <w:p w14:paraId="49BB57DB">
      <w:pPr>
        <w:pStyle w:val="166"/>
        <w:numPr>
          <w:ilvl w:val="0"/>
          <w:numId w:val="93"/>
        </w:numPr>
        <w:ind w:left="420" w:leftChars="0" w:firstLine="0" w:firstLineChars="0"/>
        <w:rPr>
          <w:rFonts w:hint="default" w:ascii="宋体" w:eastAsia="宋体"/>
          <w:highlight w:val="none"/>
          <w:lang w:val="en-US" w:eastAsia="zh-CN"/>
        </w:rPr>
      </w:pPr>
      <w:r>
        <w:rPr>
          <w:rFonts w:hint="default" w:ascii="宋体" w:eastAsia="宋体"/>
          <w:highlight w:val="none"/>
          <w:lang w:val="en-US" w:eastAsia="zh-CN"/>
        </w:rPr>
        <w:t>能够展示塔吊基本信息、检测信息、安装信息、使用登记信息。</w:t>
      </w:r>
    </w:p>
    <w:p w14:paraId="03896E77">
      <w:pPr>
        <w:pStyle w:val="166"/>
        <w:numPr>
          <w:ilvl w:val="0"/>
          <w:numId w:val="93"/>
        </w:numPr>
        <w:ind w:left="420" w:leftChars="0" w:firstLine="0" w:firstLineChars="0"/>
        <w:rPr>
          <w:rFonts w:hint="default" w:ascii="宋体" w:eastAsia="宋体"/>
          <w:highlight w:val="none"/>
          <w:lang w:val="en-US" w:eastAsia="zh-CN"/>
        </w:rPr>
      </w:pPr>
      <w:r>
        <w:rPr>
          <w:rFonts w:hint="default" w:ascii="宋体" w:eastAsia="宋体"/>
          <w:highlight w:val="none"/>
          <w:lang w:val="en-US" w:eastAsia="zh-CN"/>
        </w:rPr>
        <w:t>能够展示塔吊当前的运行状态</w:t>
      </w:r>
      <w:r>
        <w:rPr>
          <w:rFonts w:hint="eastAsia"/>
          <w:highlight w:val="none"/>
          <w:lang w:val="en-US" w:eastAsia="zh-CN"/>
        </w:rPr>
        <w:t>。</w:t>
      </w:r>
    </w:p>
    <w:p w14:paraId="553C1F06">
      <w:pPr>
        <w:pStyle w:val="166"/>
        <w:numPr>
          <w:ilvl w:val="0"/>
          <w:numId w:val="93"/>
        </w:numPr>
        <w:ind w:left="420" w:leftChars="0" w:firstLine="0" w:firstLineChars="0"/>
        <w:rPr>
          <w:rFonts w:hint="default" w:ascii="宋体" w:eastAsia="宋体"/>
          <w:highlight w:val="none"/>
          <w:lang w:val="en-US" w:eastAsia="zh-CN"/>
        </w:rPr>
      </w:pPr>
      <w:r>
        <w:rPr>
          <w:rFonts w:hint="default" w:ascii="宋体" w:eastAsia="宋体"/>
          <w:highlight w:val="none"/>
          <w:lang w:val="en-US" w:eastAsia="zh-CN"/>
        </w:rPr>
        <w:t>具备塔吊吊钩可视化功能</w:t>
      </w:r>
      <w:r>
        <w:rPr>
          <w:rFonts w:hint="eastAsia"/>
          <w:highlight w:val="none"/>
          <w:lang w:val="en-US" w:eastAsia="zh-CN"/>
        </w:rPr>
        <w:t>。</w:t>
      </w:r>
    </w:p>
    <w:p w14:paraId="68160847">
      <w:pPr>
        <w:pStyle w:val="166"/>
        <w:numPr>
          <w:ilvl w:val="0"/>
          <w:numId w:val="93"/>
        </w:numPr>
        <w:ind w:left="420" w:leftChars="0" w:firstLine="0" w:firstLineChars="0"/>
        <w:rPr>
          <w:rFonts w:hint="default" w:ascii="宋体" w:eastAsia="宋体"/>
          <w:highlight w:val="none"/>
          <w:lang w:val="en-US" w:eastAsia="zh-CN"/>
        </w:rPr>
      </w:pPr>
      <w:r>
        <w:rPr>
          <w:rFonts w:hint="default" w:ascii="宋体" w:eastAsia="宋体"/>
          <w:highlight w:val="none"/>
          <w:lang w:val="en-US" w:eastAsia="zh-CN"/>
        </w:rPr>
        <w:t>能够展示塔吊历史报警预警数据、分析。</w:t>
      </w:r>
    </w:p>
    <w:p w14:paraId="5D44E052">
      <w:pPr>
        <w:pStyle w:val="166"/>
        <w:rPr>
          <w:rFonts w:hint="default" w:ascii="宋体" w:eastAsia="宋体"/>
          <w:highlight w:val="none"/>
          <w:lang w:val="en-US" w:eastAsia="zh-CN"/>
        </w:rPr>
      </w:pPr>
      <w:r>
        <w:rPr>
          <w:rFonts w:hint="eastAsia"/>
          <w:highlight w:val="none"/>
          <w:lang w:val="en-US" w:eastAsia="zh-CN"/>
        </w:rPr>
        <w:t>施工升降机智能监测应实现以下内容：</w:t>
      </w:r>
    </w:p>
    <w:p w14:paraId="664E4DA0">
      <w:pPr>
        <w:pStyle w:val="166"/>
        <w:numPr>
          <w:ilvl w:val="0"/>
          <w:numId w:val="94"/>
        </w:numPr>
        <w:ind w:firstLine="420" w:firstLineChars="200"/>
        <w:rPr>
          <w:rFonts w:hint="eastAsia"/>
          <w:highlight w:val="none"/>
          <w:lang w:val="en-US" w:eastAsia="zh-CN"/>
        </w:rPr>
      </w:pPr>
      <w:r>
        <w:rPr>
          <w:rFonts w:hint="default" w:ascii="宋体" w:eastAsia="宋体"/>
          <w:highlight w:val="none"/>
          <w:lang w:val="en-US" w:eastAsia="zh-CN"/>
        </w:rPr>
        <w:t>能够展示施工升降机司机的基本信息、资质验证信息、身份识别信息。</w:t>
      </w:r>
    </w:p>
    <w:p w14:paraId="3B96A387">
      <w:pPr>
        <w:pStyle w:val="166"/>
        <w:numPr>
          <w:ilvl w:val="0"/>
          <w:numId w:val="94"/>
        </w:numPr>
        <w:ind w:firstLine="420" w:firstLineChars="200"/>
        <w:rPr>
          <w:rFonts w:hint="eastAsia"/>
          <w:highlight w:val="none"/>
          <w:lang w:val="en-US" w:eastAsia="zh-CN"/>
        </w:rPr>
      </w:pPr>
      <w:r>
        <w:rPr>
          <w:rFonts w:hint="eastAsia"/>
          <w:highlight w:val="none"/>
          <w:lang w:val="en-US" w:eastAsia="zh-CN"/>
        </w:rPr>
        <w:t>能够展示施工升降机基本信息、检测信息、安装信息、使用登记信息。</w:t>
      </w:r>
    </w:p>
    <w:p w14:paraId="2589F2FB">
      <w:pPr>
        <w:pStyle w:val="166"/>
        <w:numPr>
          <w:ilvl w:val="0"/>
          <w:numId w:val="94"/>
        </w:numPr>
        <w:ind w:firstLine="420" w:firstLineChars="200"/>
        <w:rPr>
          <w:rFonts w:hint="eastAsia"/>
          <w:highlight w:val="none"/>
          <w:lang w:val="en-US" w:eastAsia="zh-CN"/>
        </w:rPr>
      </w:pPr>
      <w:r>
        <w:rPr>
          <w:rFonts w:hint="eastAsia"/>
          <w:highlight w:val="none"/>
          <w:lang w:val="en-US" w:eastAsia="zh-CN"/>
        </w:rPr>
        <w:t>能够展示施工升降机当前的运行状态。</w:t>
      </w:r>
    </w:p>
    <w:p w14:paraId="7E5989FD">
      <w:pPr>
        <w:pStyle w:val="166"/>
        <w:numPr>
          <w:ilvl w:val="0"/>
          <w:numId w:val="94"/>
        </w:numPr>
        <w:ind w:firstLine="420" w:firstLineChars="200"/>
        <w:rPr>
          <w:rFonts w:hint="eastAsia"/>
          <w:highlight w:val="none"/>
          <w:lang w:val="en-US" w:eastAsia="zh-CN"/>
        </w:rPr>
      </w:pPr>
      <w:r>
        <w:rPr>
          <w:rFonts w:hint="eastAsia"/>
          <w:highlight w:val="none"/>
          <w:lang w:val="en-US" w:eastAsia="zh-CN"/>
        </w:rPr>
        <w:t>能够展示施工升降机历史报警预警数据、分析。</w:t>
      </w:r>
    </w:p>
    <w:p w14:paraId="6EBD1649">
      <w:pPr>
        <w:pStyle w:val="166"/>
        <w:numPr>
          <w:ilvl w:val="0"/>
          <w:numId w:val="94"/>
        </w:numPr>
        <w:ind w:firstLine="420" w:firstLineChars="200"/>
        <w:rPr>
          <w:rFonts w:hint="eastAsia"/>
          <w:highlight w:val="none"/>
          <w:lang w:val="en-US" w:eastAsia="zh-CN"/>
        </w:rPr>
      </w:pPr>
      <w:r>
        <w:rPr>
          <w:rFonts w:hint="eastAsia"/>
          <w:highlight w:val="none"/>
          <w:lang w:val="en-US" w:eastAsia="zh-CN"/>
        </w:rPr>
        <w:t>具备施工升降机AI识别人数限制功能。</w:t>
      </w:r>
    </w:p>
    <w:p w14:paraId="3D32EACE">
      <w:pPr>
        <w:pStyle w:val="166"/>
        <w:rPr>
          <w:rFonts w:hint="default" w:ascii="宋体" w:eastAsia="宋体"/>
          <w:highlight w:val="none"/>
          <w:lang w:val="en-US" w:eastAsia="zh-CN"/>
        </w:rPr>
      </w:pPr>
      <w:r>
        <w:rPr>
          <w:rFonts w:hint="eastAsia"/>
          <w:highlight w:val="none"/>
          <w:lang w:val="en-US" w:eastAsia="zh-CN"/>
        </w:rPr>
        <w:t>卸料平台智能监测应实现以下内容：</w:t>
      </w:r>
    </w:p>
    <w:p w14:paraId="637181A4">
      <w:pPr>
        <w:pStyle w:val="166"/>
        <w:numPr>
          <w:ilvl w:val="0"/>
          <w:numId w:val="95"/>
        </w:numPr>
        <w:ind w:leftChars="0" w:firstLine="420" w:firstLineChars="200"/>
        <w:rPr>
          <w:rFonts w:hint="default"/>
          <w:highlight w:val="none"/>
          <w:lang w:val="en-US" w:eastAsia="zh-CN"/>
        </w:rPr>
      </w:pPr>
      <w:r>
        <w:rPr>
          <w:rFonts w:hint="default"/>
          <w:highlight w:val="none"/>
          <w:lang w:val="en-US" w:eastAsia="zh-CN"/>
        </w:rPr>
        <w:t>能够展示卸料平台当前的运行状态。</w:t>
      </w:r>
    </w:p>
    <w:p w14:paraId="626AE9FD">
      <w:pPr>
        <w:pStyle w:val="166"/>
        <w:numPr>
          <w:ilvl w:val="0"/>
          <w:numId w:val="95"/>
        </w:numPr>
        <w:ind w:leftChars="0" w:firstLine="420" w:firstLineChars="200"/>
        <w:rPr>
          <w:rFonts w:hint="default"/>
          <w:highlight w:val="none"/>
          <w:lang w:val="en-US" w:eastAsia="zh-CN"/>
        </w:rPr>
      </w:pPr>
      <w:r>
        <w:rPr>
          <w:rFonts w:hint="default"/>
          <w:highlight w:val="none"/>
          <w:lang w:val="en-US" w:eastAsia="zh-CN"/>
        </w:rPr>
        <w:t>能够</w:t>
      </w:r>
      <w:r>
        <w:rPr>
          <w:rFonts w:hint="eastAsia"/>
          <w:highlight w:val="none"/>
          <w:lang w:val="en-US" w:eastAsia="zh-CN"/>
        </w:rPr>
        <w:t>展示</w:t>
      </w:r>
      <w:r>
        <w:rPr>
          <w:rFonts w:hint="default"/>
          <w:highlight w:val="none"/>
          <w:lang w:val="en-US" w:eastAsia="zh-CN"/>
        </w:rPr>
        <w:t>卸料平台历史报警预警数据、分析。</w:t>
      </w:r>
    </w:p>
    <w:p w14:paraId="6A8D3693">
      <w:pPr>
        <w:pStyle w:val="166"/>
        <w:rPr>
          <w:rFonts w:hint="default"/>
          <w:highlight w:val="none"/>
          <w:lang w:val="en-US" w:eastAsia="zh-CN"/>
        </w:rPr>
      </w:pPr>
      <w:r>
        <w:rPr>
          <w:rFonts w:hint="default"/>
          <w:highlight w:val="none"/>
          <w:lang w:val="en-US" w:eastAsia="zh-CN"/>
        </w:rPr>
        <w:t>深基坑</w:t>
      </w:r>
      <w:r>
        <w:rPr>
          <w:rFonts w:hint="eastAsia"/>
          <w:highlight w:val="none"/>
          <w:lang w:val="en-US" w:eastAsia="zh-CN"/>
        </w:rPr>
        <w:t>智能监测应实现以下内容：</w:t>
      </w:r>
    </w:p>
    <w:p w14:paraId="62E0C5CB">
      <w:pPr>
        <w:pStyle w:val="166"/>
        <w:numPr>
          <w:ilvl w:val="0"/>
          <w:numId w:val="96"/>
        </w:numPr>
        <w:ind w:left="420" w:leftChars="0" w:firstLine="0" w:firstLineChars="0"/>
        <w:rPr>
          <w:rFonts w:hint="eastAsia"/>
          <w:highlight w:val="none"/>
          <w:lang w:val="en-US" w:eastAsia="zh-CN"/>
        </w:rPr>
      </w:pPr>
      <w:r>
        <w:rPr>
          <w:rFonts w:hint="eastAsia"/>
          <w:highlight w:val="none"/>
          <w:lang w:val="en-US" w:eastAsia="zh-CN"/>
        </w:rPr>
        <w:t>能够展示深基坑监测参数当前信息及历史数据。</w:t>
      </w:r>
    </w:p>
    <w:p w14:paraId="23C3C826">
      <w:pPr>
        <w:pStyle w:val="166"/>
        <w:numPr>
          <w:ilvl w:val="0"/>
          <w:numId w:val="96"/>
        </w:numPr>
        <w:ind w:left="420" w:leftChars="0" w:firstLine="0" w:firstLineChars="0"/>
        <w:rPr>
          <w:rFonts w:hint="default"/>
          <w:highlight w:val="none"/>
          <w:lang w:val="en-US" w:eastAsia="zh-CN"/>
        </w:rPr>
      </w:pPr>
      <w:r>
        <w:rPr>
          <w:rFonts w:hint="default"/>
          <w:highlight w:val="none"/>
          <w:lang w:val="en-US" w:eastAsia="zh-CN"/>
        </w:rPr>
        <w:t>能够展示深基坑监测参数历史报警预警数据。</w:t>
      </w:r>
    </w:p>
    <w:p w14:paraId="62395F4C">
      <w:pPr>
        <w:pStyle w:val="166"/>
        <w:rPr>
          <w:rFonts w:hint="default" w:ascii="宋体" w:eastAsia="宋体"/>
          <w:highlight w:val="none"/>
          <w:lang w:val="en-US" w:eastAsia="zh-CN"/>
        </w:rPr>
      </w:pPr>
      <w:r>
        <w:rPr>
          <w:rFonts w:hint="eastAsia"/>
          <w:highlight w:val="none"/>
          <w:lang w:val="en-US" w:eastAsia="zh-CN"/>
        </w:rPr>
        <w:t>高大支模智能监测应实现以下内容：</w:t>
      </w:r>
    </w:p>
    <w:p w14:paraId="034244BA">
      <w:pPr>
        <w:pStyle w:val="166"/>
        <w:numPr>
          <w:ilvl w:val="0"/>
          <w:numId w:val="97"/>
        </w:numPr>
        <w:ind w:leftChars="200"/>
        <w:rPr>
          <w:rFonts w:hint="eastAsia"/>
          <w:highlight w:val="none"/>
          <w:lang w:val="en-US" w:eastAsia="zh-CN"/>
        </w:rPr>
      </w:pPr>
      <w:r>
        <w:rPr>
          <w:rFonts w:hint="eastAsia"/>
          <w:highlight w:val="none"/>
          <w:lang w:val="en-US" w:eastAsia="zh-CN"/>
        </w:rPr>
        <w:t>能够展示高大支模监测参数当前信息及历史数据。</w:t>
      </w:r>
    </w:p>
    <w:p w14:paraId="57EC600E">
      <w:pPr>
        <w:pStyle w:val="166"/>
        <w:numPr>
          <w:ilvl w:val="0"/>
          <w:numId w:val="97"/>
        </w:numPr>
        <w:ind w:leftChars="200"/>
        <w:rPr>
          <w:rFonts w:hint="default" w:ascii="宋体" w:eastAsia="宋体"/>
          <w:highlight w:val="none"/>
          <w:lang w:val="en-US" w:eastAsia="zh-CN"/>
        </w:rPr>
      </w:pPr>
      <w:r>
        <w:rPr>
          <w:rFonts w:hint="default"/>
          <w:highlight w:val="none"/>
          <w:lang w:val="en-US" w:eastAsia="zh-CN"/>
        </w:rPr>
        <w:t>能够展示高大支模监测参数历史报警预警数据</w:t>
      </w:r>
      <w:r>
        <w:rPr>
          <w:rFonts w:hint="eastAsia"/>
          <w:highlight w:val="none"/>
          <w:lang w:val="en-US" w:eastAsia="zh-CN"/>
        </w:rPr>
        <w:t>、分析</w:t>
      </w:r>
      <w:r>
        <w:rPr>
          <w:rFonts w:hint="default"/>
          <w:highlight w:val="none"/>
          <w:lang w:val="en-US" w:eastAsia="zh-CN"/>
        </w:rPr>
        <w:t>。</w:t>
      </w:r>
    </w:p>
    <w:p w14:paraId="24006796">
      <w:pPr>
        <w:pStyle w:val="166"/>
        <w:rPr>
          <w:rFonts w:hint="default" w:ascii="宋体" w:eastAsia="宋体"/>
          <w:highlight w:val="none"/>
          <w:lang w:val="en-US" w:eastAsia="zh-CN"/>
        </w:rPr>
      </w:pPr>
      <w:r>
        <w:rPr>
          <w:rFonts w:hint="eastAsia"/>
          <w:highlight w:val="none"/>
          <w:lang w:val="en-US" w:eastAsia="zh-CN"/>
        </w:rPr>
        <w:t>环境</w:t>
      </w:r>
      <w:r>
        <w:rPr>
          <w:rFonts w:hint="eastAsia" w:ascii="宋体" w:eastAsia="宋体"/>
          <w:highlight w:val="none"/>
          <w:lang w:val="en-US" w:eastAsia="zh-CN"/>
        </w:rPr>
        <w:t>管理通过智能水电表、喷淋扬尘自控装置</w:t>
      </w:r>
      <w:r>
        <w:rPr>
          <w:rFonts w:hint="eastAsia"/>
          <w:highlight w:val="none"/>
          <w:lang w:val="en-US" w:eastAsia="zh-CN"/>
        </w:rPr>
        <w:t>、洗车监测</w:t>
      </w:r>
      <w:r>
        <w:rPr>
          <w:rFonts w:hint="eastAsia" w:ascii="宋体" w:eastAsia="宋体"/>
          <w:highlight w:val="none"/>
          <w:lang w:val="en-US" w:eastAsia="zh-CN"/>
        </w:rPr>
        <w:t>等，实现绿色施工与能耗管理</w:t>
      </w:r>
      <w:r>
        <w:rPr>
          <w:rFonts w:hint="eastAsia"/>
          <w:highlight w:val="none"/>
          <w:lang w:val="en-US" w:eastAsia="zh-CN"/>
        </w:rPr>
        <w:t>，至少包含以下内容：</w:t>
      </w:r>
    </w:p>
    <w:p w14:paraId="4B94817A">
      <w:pPr>
        <w:pStyle w:val="166"/>
        <w:numPr>
          <w:ilvl w:val="0"/>
          <w:numId w:val="98"/>
        </w:numPr>
        <w:ind w:leftChars="0" w:firstLine="420" w:firstLineChars="200"/>
        <w:rPr>
          <w:rFonts w:hint="eastAsia"/>
          <w:highlight w:val="none"/>
          <w:lang w:val="en-US" w:eastAsia="zh-CN"/>
        </w:rPr>
      </w:pPr>
      <w:r>
        <w:rPr>
          <w:rFonts w:hint="eastAsia"/>
          <w:highlight w:val="none"/>
          <w:lang w:val="en-US" w:eastAsia="zh-CN"/>
        </w:rPr>
        <w:t>具备对施工不洁车辆清洗抓拍管理功能。</w:t>
      </w:r>
    </w:p>
    <w:p w14:paraId="599C92F6">
      <w:pPr>
        <w:pStyle w:val="166"/>
        <w:numPr>
          <w:ilvl w:val="0"/>
          <w:numId w:val="98"/>
        </w:numPr>
        <w:ind w:leftChars="0" w:firstLine="420" w:firstLineChars="200"/>
        <w:rPr>
          <w:rFonts w:hint="default"/>
          <w:highlight w:val="none"/>
          <w:lang w:val="en-US" w:eastAsia="zh-CN"/>
        </w:rPr>
      </w:pPr>
      <w:r>
        <w:rPr>
          <w:rFonts w:hint="default"/>
          <w:highlight w:val="none"/>
          <w:lang w:val="en-US" w:eastAsia="zh-CN"/>
        </w:rPr>
        <w:t>具备施工</w:t>
      </w:r>
      <w:r>
        <w:rPr>
          <w:rFonts w:hint="eastAsia"/>
          <w:highlight w:val="none"/>
          <w:lang w:val="en-US" w:eastAsia="zh-CN"/>
        </w:rPr>
        <w:t>用水</w:t>
      </w:r>
      <w:r>
        <w:rPr>
          <w:rFonts w:hint="default"/>
          <w:highlight w:val="none"/>
          <w:lang w:val="en-US" w:eastAsia="zh-CN"/>
        </w:rPr>
        <w:t>用电智能监测管理功能</w:t>
      </w:r>
      <w:r>
        <w:rPr>
          <w:rFonts w:hint="eastAsia"/>
          <w:highlight w:val="none"/>
          <w:lang w:val="en-US" w:eastAsia="zh-CN"/>
        </w:rPr>
        <w:t>。</w:t>
      </w:r>
    </w:p>
    <w:p w14:paraId="355DB5FB">
      <w:pPr>
        <w:pStyle w:val="166"/>
        <w:numPr>
          <w:ilvl w:val="0"/>
          <w:numId w:val="98"/>
        </w:numPr>
        <w:ind w:leftChars="0" w:firstLine="420" w:firstLineChars="200"/>
        <w:rPr>
          <w:rFonts w:hint="default"/>
          <w:highlight w:val="none"/>
          <w:lang w:val="en-US" w:eastAsia="zh-CN"/>
        </w:rPr>
      </w:pPr>
      <w:r>
        <w:rPr>
          <w:rFonts w:hint="default"/>
          <w:highlight w:val="none"/>
          <w:lang w:val="en-US" w:eastAsia="zh-CN"/>
        </w:rPr>
        <w:t>具备建筑垃圾进出场智能管理功能。</w:t>
      </w:r>
    </w:p>
    <w:p w14:paraId="66C865D4">
      <w:pPr>
        <w:pStyle w:val="166"/>
        <w:numPr>
          <w:ilvl w:val="0"/>
          <w:numId w:val="98"/>
        </w:numPr>
        <w:ind w:leftChars="0" w:firstLine="420" w:firstLineChars="200"/>
        <w:rPr>
          <w:rFonts w:hint="default" w:ascii="宋体" w:eastAsia="宋体"/>
          <w:highlight w:val="none"/>
          <w:lang w:val="en-US" w:eastAsia="zh-CN"/>
        </w:rPr>
      </w:pPr>
      <w:r>
        <w:rPr>
          <w:rFonts w:hint="eastAsia"/>
          <w:highlight w:val="none"/>
          <w:lang w:val="en-US" w:eastAsia="zh-CN"/>
        </w:rPr>
        <w:t>具备当前环境扬尘监测数据实时监测展示、预警分析功能，按照日、周、月进行数据分析展示。</w:t>
      </w:r>
    </w:p>
    <w:p w14:paraId="7BDAC4D6">
      <w:pPr>
        <w:pStyle w:val="166"/>
        <w:rPr>
          <w:rFonts w:hint="default" w:ascii="宋体" w:eastAsia="宋体"/>
          <w:highlight w:val="none"/>
          <w:lang w:val="en-US" w:eastAsia="zh-CN"/>
        </w:rPr>
      </w:pPr>
      <w:r>
        <w:rPr>
          <w:rFonts w:hint="default" w:ascii="宋体" w:eastAsia="宋体"/>
          <w:highlight w:val="none"/>
          <w:lang w:val="en-US" w:eastAsia="zh-CN"/>
        </w:rPr>
        <w:t>质量管理需依托物联网</w:t>
      </w:r>
      <w:r>
        <w:rPr>
          <w:rFonts w:hint="eastAsia"/>
          <w:highlight w:val="none"/>
          <w:lang w:val="en-US" w:eastAsia="zh-CN"/>
        </w:rPr>
        <w:t>、</w:t>
      </w:r>
      <w:r>
        <w:rPr>
          <w:rFonts w:hint="default" w:ascii="宋体" w:eastAsia="宋体"/>
          <w:highlight w:val="none"/>
          <w:lang w:val="en-US" w:eastAsia="zh-CN"/>
        </w:rPr>
        <w:t>大数据</w:t>
      </w:r>
      <w:r>
        <w:rPr>
          <w:rFonts w:hint="eastAsia"/>
          <w:highlight w:val="none"/>
          <w:lang w:val="en-US" w:eastAsia="zh-CN"/>
        </w:rPr>
        <w:t>、AI</w:t>
      </w:r>
      <w:r>
        <w:rPr>
          <w:rFonts w:hint="default" w:ascii="宋体" w:eastAsia="宋体"/>
          <w:highlight w:val="none"/>
          <w:lang w:val="en-US" w:eastAsia="zh-CN"/>
        </w:rPr>
        <w:t>技术，实时监测施工过程，确保材料、工艺及验收全流程符合国家质量验收规范标准</w:t>
      </w:r>
      <w:r>
        <w:rPr>
          <w:rFonts w:hint="eastAsia"/>
          <w:highlight w:val="none"/>
          <w:lang w:val="en-US" w:eastAsia="zh-CN"/>
        </w:rPr>
        <w:t>。</w:t>
      </w:r>
    </w:p>
    <w:p w14:paraId="62865251">
      <w:pPr>
        <w:pStyle w:val="166"/>
        <w:rPr>
          <w:rFonts w:hint="eastAsia" w:ascii="宋体" w:hAnsi="宋体" w:eastAsia="宋体" w:cs="宋体"/>
          <w:highlight w:val="none"/>
          <w:lang w:val="en-US" w:eastAsia="zh-CN"/>
        </w:rPr>
      </w:pPr>
      <w:r>
        <w:rPr>
          <w:rFonts w:hint="default" w:ascii="宋体" w:eastAsia="宋体"/>
          <w:highlight w:val="none"/>
          <w:lang w:val="en-US" w:eastAsia="zh-CN"/>
        </w:rPr>
        <w:t>安全管理应</w:t>
      </w:r>
      <w:r>
        <w:rPr>
          <w:rFonts w:hint="eastAsia"/>
          <w:highlight w:val="none"/>
          <w:lang w:val="en-US" w:eastAsia="zh-CN"/>
        </w:rPr>
        <w:t>通过</w:t>
      </w:r>
      <w:r>
        <w:rPr>
          <w:rFonts w:hint="default" w:ascii="宋体" w:eastAsia="宋体"/>
          <w:highlight w:val="none"/>
          <w:lang w:val="en-US" w:eastAsia="zh-CN"/>
        </w:rPr>
        <w:t>视频AI技术，实现对人员违规行为、环境异常情况自动监测预警</w:t>
      </w:r>
      <w:r>
        <w:rPr>
          <w:rFonts w:hint="eastAsia"/>
          <w:highlight w:val="none"/>
          <w:lang w:val="en-US" w:eastAsia="zh-CN"/>
        </w:rPr>
        <w:t>，实现安全隐患动态排查，保障施工全过程安全可控。</w:t>
      </w:r>
    </w:p>
    <w:p w14:paraId="7FDCD923">
      <w:pPr>
        <w:pStyle w:val="105"/>
        <w:spacing w:before="312" w:after="312"/>
        <w:rPr>
          <w:highlight w:val="none"/>
        </w:rPr>
      </w:pPr>
      <w:bookmarkStart w:id="139" w:name="_Toc11880"/>
      <w:r>
        <w:rPr>
          <w:rFonts w:hint="eastAsia"/>
          <w:highlight w:val="none"/>
        </w:rPr>
        <w:t>竣工验收阶段的咨询服务</w:t>
      </w:r>
      <w:bookmarkEnd w:id="138"/>
      <w:bookmarkEnd w:id="139"/>
    </w:p>
    <w:p w14:paraId="18B647B8">
      <w:pPr>
        <w:pStyle w:val="106"/>
        <w:spacing w:before="156" w:after="156"/>
        <w:rPr>
          <w:highlight w:val="none"/>
        </w:rPr>
      </w:pPr>
      <w:bookmarkStart w:id="140" w:name="_Toc194135360"/>
      <w:bookmarkStart w:id="141" w:name="_Toc2100"/>
      <w:r>
        <w:rPr>
          <w:rFonts w:hint="eastAsia"/>
          <w:highlight w:val="none"/>
        </w:rPr>
        <w:t>一般规定</w:t>
      </w:r>
      <w:bookmarkEnd w:id="140"/>
      <w:bookmarkEnd w:id="141"/>
    </w:p>
    <w:p w14:paraId="14B242D8">
      <w:pPr>
        <w:pStyle w:val="166"/>
        <w:rPr>
          <w:highlight w:val="none"/>
        </w:rPr>
      </w:pPr>
      <w:r>
        <w:rPr>
          <w:rFonts w:hint="eastAsia"/>
          <w:highlight w:val="none"/>
        </w:rPr>
        <w:t>咨询方应组织各参与方收集、整理建设项目从投资决策到实施阶段形成的过程文件、图纸等资料，协助委托人完成竣工验收（含行政主管部门专项验收）、竣工结算、竣工移交、竣工决算、竣工备案等全部工作。</w:t>
      </w:r>
    </w:p>
    <w:p w14:paraId="006E40F3">
      <w:pPr>
        <w:pStyle w:val="166"/>
        <w:rPr>
          <w:highlight w:val="none"/>
        </w:rPr>
      </w:pPr>
      <w:r>
        <w:rPr>
          <w:rFonts w:hint="eastAsia"/>
          <w:highlight w:val="none"/>
        </w:rPr>
        <w:t>咨询方要协助项目各方处理验收过程中出现的问题，确保工程在竣工验收阶段符合合同、技术规范、设计要求和法律法规，并能够安全、稳定地投入使用。</w:t>
      </w:r>
    </w:p>
    <w:p w14:paraId="0D7F27BC">
      <w:pPr>
        <w:pStyle w:val="166"/>
        <w:rPr>
          <w:highlight w:val="none"/>
        </w:rPr>
      </w:pPr>
      <w:r>
        <w:rPr>
          <w:rFonts w:hint="eastAsia"/>
          <w:highlight w:val="none"/>
        </w:rPr>
        <w:t>竣工验收阶段的咨询服务内容包括但不限于：</w:t>
      </w:r>
    </w:p>
    <w:p w14:paraId="3CE57CC3">
      <w:pPr>
        <w:pStyle w:val="175"/>
        <w:numPr>
          <w:ilvl w:val="0"/>
          <w:numId w:val="99"/>
        </w:numPr>
        <w:rPr>
          <w:highlight w:val="none"/>
        </w:rPr>
      </w:pPr>
      <w:r>
        <w:rPr>
          <w:rFonts w:hint="eastAsia"/>
          <w:highlight w:val="none"/>
        </w:rPr>
        <w:t>竣工验收文件的审查：包括对竣工图纸、质量检测报告、环保验收报告、设备调试记录等相关文件的审查，确保文件齐全、符合要求；</w:t>
      </w:r>
    </w:p>
    <w:p w14:paraId="2DDC5D3B">
      <w:pPr>
        <w:pStyle w:val="175"/>
        <w:numPr>
          <w:ilvl w:val="0"/>
          <w:numId w:val="69"/>
        </w:numPr>
        <w:rPr>
          <w:highlight w:val="none"/>
        </w:rPr>
      </w:pPr>
      <w:r>
        <w:rPr>
          <w:rFonts w:hint="eastAsia"/>
          <w:highlight w:val="none"/>
        </w:rPr>
        <w:t>现场检查与质量验收：对工程现场进行全面检查，评估施工质量是否达到验收标准，确认施工过程中存在的问题是否已经整改到位；</w:t>
      </w:r>
    </w:p>
    <w:p w14:paraId="2717A44E">
      <w:pPr>
        <w:pStyle w:val="175"/>
        <w:numPr>
          <w:ilvl w:val="0"/>
          <w:numId w:val="69"/>
        </w:numPr>
        <w:rPr>
          <w:highlight w:val="none"/>
        </w:rPr>
      </w:pPr>
      <w:r>
        <w:rPr>
          <w:rFonts w:hint="eastAsia"/>
          <w:highlight w:val="none"/>
        </w:rPr>
        <w:t>施工质量的独立验收：根据设计和规范要求，安排独立验收小组进行施工质量的验收，确保工程质量满足使用需求；</w:t>
      </w:r>
    </w:p>
    <w:p w14:paraId="474C6EDE">
      <w:pPr>
        <w:pStyle w:val="175"/>
        <w:numPr>
          <w:ilvl w:val="0"/>
          <w:numId w:val="69"/>
        </w:numPr>
        <w:rPr>
          <w:highlight w:val="none"/>
        </w:rPr>
      </w:pPr>
      <w:r>
        <w:rPr>
          <w:rFonts w:hint="eastAsia"/>
          <w:highlight w:val="none"/>
        </w:rPr>
        <w:t>设备与设施的验收：对涉及的设备、设施进行功能性测试，确保其性能符合技术要求，能正常投入使用；</w:t>
      </w:r>
    </w:p>
    <w:p w14:paraId="506A92E6">
      <w:pPr>
        <w:pStyle w:val="175"/>
        <w:numPr>
          <w:ilvl w:val="0"/>
          <w:numId w:val="69"/>
        </w:numPr>
        <w:rPr>
          <w:highlight w:val="none"/>
        </w:rPr>
      </w:pPr>
      <w:r>
        <w:rPr>
          <w:rFonts w:hint="eastAsia"/>
          <w:highlight w:val="none"/>
        </w:rPr>
        <w:t>验收报告的编制与确认：依据检查和评估结果编制竣工验收报告，明确问题和整改措施，确保各方共同确认报告内容。</w:t>
      </w:r>
    </w:p>
    <w:p w14:paraId="28E16A7B">
      <w:pPr>
        <w:pStyle w:val="175"/>
        <w:numPr>
          <w:ilvl w:val="0"/>
          <w:numId w:val="69"/>
        </w:numPr>
        <w:rPr>
          <w:highlight w:val="none"/>
        </w:rPr>
      </w:pPr>
      <w:r>
        <w:rPr>
          <w:rFonts w:hint="eastAsia"/>
          <w:highlight w:val="none"/>
        </w:rPr>
        <w:t>竣工验收阶段的咨询服务应独立、公正、客观，不得有偏袒任何一方的行为；</w:t>
      </w:r>
    </w:p>
    <w:p w14:paraId="6B4FB730">
      <w:pPr>
        <w:pStyle w:val="175"/>
        <w:numPr>
          <w:ilvl w:val="0"/>
          <w:numId w:val="69"/>
        </w:numPr>
        <w:rPr>
          <w:highlight w:val="none"/>
        </w:rPr>
      </w:pPr>
      <w:r>
        <w:rPr>
          <w:rFonts w:hint="eastAsia"/>
          <w:highlight w:val="none"/>
        </w:rPr>
        <w:t>咨询单位应拥有相关的专业技术人员，具备必要的工程技术水平和经验，能够高效处理竣工验收阶段可能出现的各类问题；</w:t>
      </w:r>
    </w:p>
    <w:p w14:paraId="559503AC">
      <w:pPr>
        <w:pStyle w:val="175"/>
        <w:numPr>
          <w:ilvl w:val="0"/>
          <w:numId w:val="69"/>
        </w:numPr>
        <w:rPr>
          <w:highlight w:val="none"/>
        </w:rPr>
      </w:pPr>
      <w:r>
        <w:rPr>
          <w:rFonts w:hint="eastAsia"/>
          <w:highlight w:val="none"/>
          <w:lang w:val="en-US" w:eastAsia="zh-CN"/>
        </w:rPr>
        <w:t>咨询</w:t>
      </w:r>
      <w:r>
        <w:rPr>
          <w:rFonts w:hint="eastAsia"/>
          <w:highlight w:val="none"/>
        </w:rPr>
        <w:t>单位应与建设单位、施工单位、监理单位等相关方保持紧密沟通，确保信息畅通；</w:t>
      </w:r>
    </w:p>
    <w:p w14:paraId="0B368A92">
      <w:pPr>
        <w:pStyle w:val="175"/>
        <w:numPr>
          <w:ilvl w:val="0"/>
          <w:numId w:val="69"/>
        </w:numPr>
        <w:rPr>
          <w:highlight w:val="none"/>
        </w:rPr>
      </w:pPr>
      <w:r>
        <w:rPr>
          <w:rFonts w:hint="eastAsia"/>
          <w:highlight w:val="none"/>
        </w:rPr>
        <w:t>服务过程中应注重环保、安全等因素，确保</w:t>
      </w:r>
      <w:r>
        <w:rPr>
          <w:rFonts w:hint="eastAsia"/>
          <w:highlight w:val="none"/>
          <w:lang w:eastAsia="zh-CN"/>
        </w:rPr>
        <w:t>工程验收</w:t>
      </w:r>
      <w:r>
        <w:rPr>
          <w:rFonts w:hint="eastAsia"/>
          <w:highlight w:val="none"/>
        </w:rPr>
        <w:t>符合技术要求，符合社会责任的标准。</w:t>
      </w:r>
    </w:p>
    <w:p w14:paraId="67BE8C0F">
      <w:pPr>
        <w:pStyle w:val="106"/>
        <w:spacing w:before="156" w:after="156"/>
        <w:rPr>
          <w:highlight w:val="none"/>
        </w:rPr>
      </w:pPr>
      <w:bookmarkStart w:id="142" w:name="_Toc194135361"/>
      <w:bookmarkStart w:id="143" w:name="_Toc18969"/>
      <w:r>
        <w:rPr>
          <w:rFonts w:hint="eastAsia"/>
          <w:highlight w:val="none"/>
        </w:rPr>
        <w:t>竣工验收</w:t>
      </w:r>
      <w:bookmarkEnd w:id="142"/>
      <w:bookmarkEnd w:id="143"/>
    </w:p>
    <w:p w14:paraId="05AAE001">
      <w:pPr>
        <w:pStyle w:val="57"/>
        <w:ind w:firstLine="420"/>
        <w:rPr>
          <w:highlight w:val="none"/>
        </w:rPr>
      </w:pPr>
      <w:r>
        <w:rPr>
          <w:rFonts w:hint="eastAsia"/>
          <w:highlight w:val="none"/>
        </w:rPr>
        <w:t>项目竣工验收咨询服务应包括以下内容：</w:t>
      </w:r>
    </w:p>
    <w:p w14:paraId="53E748DF">
      <w:pPr>
        <w:pStyle w:val="175"/>
        <w:numPr>
          <w:ilvl w:val="0"/>
          <w:numId w:val="100"/>
        </w:numPr>
        <w:rPr>
          <w:highlight w:val="none"/>
        </w:rPr>
      </w:pPr>
      <w:r>
        <w:rPr>
          <w:rFonts w:hint="eastAsia"/>
          <w:highlight w:val="none"/>
        </w:rPr>
        <w:t>接收各承包人提交的竣工验收申请，并进行初步审核。</w:t>
      </w:r>
    </w:p>
    <w:p w14:paraId="7CA26C7B">
      <w:pPr>
        <w:pStyle w:val="175"/>
        <w:numPr>
          <w:ilvl w:val="0"/>
          <w:numId w:val="69"/>
        </w:numPr>
        <w:rPr>
          <w:highlight w:val="none"/>
        </w:rPr>
      </w:pPr>
      <w:r>
        <w:rPr>
          <w:rFonts w:hint="eastAsia"/>
          <w:highlight w:val="none"/>
        </w:rPr>
        <w:t>审查项目竣工验收的实际情况，参与项目预验收工作。</w:t>
      </w:r>
    </w:p>
    <w:p w14:paraId="581814CE">
      <w:pPr>
        <w:pStyle w:val="175"/>
        <w:numPr>
          <w:ilvl w:val="0"/>
          <w:numId w:val="69"/>
        </w:numPr>
        <w:rPr>
          <w:highlight w:val="none"/>
        </w:rPr>
      </w:pPr>
      <w:r>
        <w:rPr>
          <w:rFonts w:hint="eastAsia"/>
          <w:highlight w:val="none"/>
        </w:rPr>
        <w:t>协助建设单位制定工程项目验收计划，并对计划进行审核。</w:t>
      </w:r>
    </w:p>
    <w:p w14:paraId="3F1C2953">
      <w:pPr>
        <w:pStyle w:val="175"/>
        <w:numPr>
          <w:ilvl w:val="0"/>
          <w:numId w:val="69"/>
        </w:numPr>
        <w:rPr>
          <w:highlight w:val="none"/>
        </w:rPr>
      </w:pPr>
      <w:r>
        <w:rPr>
          <w:rFonts w:hint="eastAsia"/>
          <w:highlight w:val="none"/>
        </w:rPr>
        <w:t>按照竣工验收程序，协助组织工程相关方进行正式验收。</w:t>
      </w:r>
    </w:p>
    <w:p w14:paraId="45A95766">
      <w:pPr>
        <w:pStyle w:val="175"/>
        <w:numPr>
          <w:ilvl w:val="0"/>
          <w:numId w:val="69"/>
        </w:numPr>
        <w:rPr>
          <w:highlight w:val="none"/>
        </w:rPr>
      </w:pPr>
      <w:r>
        <w:rPr>
          <w:rFonts w:hint="eastAsia"/>
          <w:highlight w:val="none"/>
        </w:rPr>
        <w:t>确保竣工资料的完整性和规范性，协助建设单位进行资料归档。</w:t>
      </w:r>
    </w:p>
    <w:p w14:paraId="16CEFCFB">
      <w:pPr>
        <w:pStyle w:val="175"/>
        <w:numPr>
          <w:ilvl w:val="0"/>
          <w:numId w:val="69"/>
        </w:numPr>
        <w:rPr>
          <w:highlight w:val="none"/>
        </w:rPr>
      </w:pPr>
      <w:r>
        <w:rPr>
          <w:rFonts w:hint="eastAsia"/>
          <w:highlight w:val="none"/>
        </w:rPr>
        <w:t>协助建设单位完成工程移交和备案手续。</w:t>
      </w:r>
    </w:p>
    <w:p w14:paraId="1F79597D">
      <w:pPr>
        <w:pStyle w:val="175"/>
        <w:numPr>
          <w:ilvl w:val="0"/>
          <w:numId w:val="69"/>
        </w:numPr>
        <w:rPr>
          <w:highlight w:val="none"/>
        </w:rPr>
      </w:pPr>
      <w:r>
        <w:rPr>
          <w:rFonts w:hint="eastAsia"/>
          <w:highlight w:val="none"/>
        </w:rPr>
        <w:t>协助建设单位接受审计部门的审计监督。</w:t>
      </w:r>
    </w:p>
    <w:p w14:paraId="70A4DC72">
      <w:pPr>
        <w:pStyle w:val="175"/>
        <w:numPr>
          <w:ilvl w:val="0"/>
          <w:numId w:val="69"/>
        </w:numPr>
        <w:rPr>
          <w:rFonts w:hint="eastAsia"/>
          <w:highlight w:val="none"/>
        </w:rPr>
      </w:pPr>
      <w:r>
        <w:rPr>
          <w:rFonts w:hint="eastAsia"/>
          <w:highlight w:val="none"/>
        </w:rPr>
        <w:t>协助建设单位进行房产测绘并取得产权证</w:t>
      </w:r>
    </w:p>
    <w:p w14:paraId="354C82A1">
      <w:pPr>
        <w:pStyle w:val="106"/>
        <w:spacing w:before="156" w:after="156"/>
        <w:rPr>
          <w:highlight w:val="none"/>
        </w:rPr>
      </w:pPr>
      <w:bookmarkStart w:id="144" w:name="_Toc194135362"/>
      <w:bookmarkStart w:id="145" w:name="_Toc18684"/>
      <w:r>
        <w:rPr>
          <w:rFonts w:hint="eastAsia"/>
          <w:highlight w:val="none"/>
        </w:rPr>
        <w:t>竣工结算审核</w:t>
      </w:r>
      <w:bookmarkEnd w:id="144"/>
      <w:bookmarkEnd w:id="145"/>
    </w:p>
    <w:p w14:paraId="7C6CB53B">
      <w:pPr>
        <w:pStyle w:val="66"/>
        <w:spacing w:before="156" w:after="156"/>
        <w:rPr>
          <w:highlight w:val="none"/>
        </w:rPr>
      </w:pPr>
      <w:r>
        <w:rPr>
          <w:rFonts w:hint="eastAsia"/>
          <w:highlight w:val="none"/>
        </w:rPr>
        <w:t>竣工结算审核目的</w:t>
      </w:r>
    </w:p>
    <w:p w14:paraId="1A337E12">
      <w:pPr>
        <w:pStyle w:val="165"/>
        <w:rPr>
          <w:highlight w:val="none"/>
        </w:rPr>
      </w:pPr>
      <w:r>
        <w:rPr>
          <w:rFonts w:hint="eastAsia"/>
          <w:highlight w:val="none"/>
        </w:rPr>
        <w:t>核定工程实际造价：</w:t>
      </w:r>
    </w:p>
    <w:p w14:paraId="562BB43A">
      <w:pPr>
        <w:pStyle w:val="175"/>
        <w:numPr>
          <w:ilvl w:val="0"/>
          <w:numId w:val="101"/>
        </w:numPr>
        <w:rPr>
          <w:highlight w:val="none"/>
        </w:rPr>
      </w:pPr>
      <w:r>
        <w:rPr>
          <w:rFonts w:hint="eastAsia"/>
          <w:highlight w:val="none"/>
        </w:rPr>
        <w:t>明确最终成本：通过审核工程量、单价及费用计取，形成精准的工程造价数据，作为工程款支付与财务决算的法定依据；</w:t>
      </w:r>
    </w:p>
    <w:p w14:paraId="14B15EA2">
      <w:pPr>
        <w:pStyle w:val="175"/>
        <w:numPr>
          <w:ilvl w:val="0"/>
          <w:numId w:val="69"/>
        </w:numPr>
        <w:rPr>
          <w:highlight w:val="none"/>
        </w:rPr>
      </w:pPr>
      <w:r>
        <w:rPr>
          <w:rFonts w:hint="eastAsia"/>
          <w:highlight w:val="none"/>
        </w:rPr>
        <w:t>固化资产价值：将审核后的造价作为固定资产入账基础，确保后续折旧计提与资产管理合规。</w:t>
      </w:r>
    </w:p>
    <w:p w14:paraId="7CA1D1C7">
      <w:pPr>
        <w:pStyle w:val="165"/>
        <w:rPr>
          <w:highlight w:val="none"/>
        </w:rPr>
      </w:pPr>
      <w:r>
        <w:rPr>
          <w:rFonts w:hint="eastAsia"/>
          <w:highlight w:val="none"/>
        </w:rPr>
        <w:t>验证建设过程合规性</w:t>
      </w:r>
      <w:r>
        <w:rPr>
          <w:rFonts w:hint="eastAsia" w:ascii="Times New Roman"/>
          <w:highlight w:val="none"/>
        </w:rPr>
        <w:t>：</w:t>
      </w:r>
    </w:p>
    <w:p w14:paraId="48735E4E">
      <w:pPr>
        <w:pStyle w:val="175"/>
        <w:numPr>
          <w:ilvl w:val="0"/>
          <w:numId w:val="102"/>
        </w:numPr>
        <w:rPr>
          <w:highlight w:val="none"/>
        </w:rPr>
      </w:pPr>
      <w:r>
        <w:rPr>
          <w:rFonts w:hint="eastAsia"/>
          <w:highlight w:val="none"/>
        </w:rPr>
        <w:t>资金使用规范：核查资金流向是否遵循合同约定及财务制度，防范截留、挪用等违规行为；</w:t>
      </w:r>
    </w:p>
    <w:p w14:paraId="1B1B1118">
      <w:pPr>
        <w:pStyle w:val="175"/>
        <w:numPr>
          <w:ilvl w:val="0"/>
          <w:numId w:val="69"/>
        </w:numPr>
        <w:rPr>
          <w:highlight w:val="none"/>
        </w:rPr>
      </w:pPr>
      <w:r>
        <w:rPr>
          <w:rFonts w:hint="eastAsia"/>
          <w:highlight w:val="none"/>
        </w:rPr>
        <w:t>合同执行监督：审查设计变更、签证等文件的合规性，确保施工流程与合同条款一致。</w:t>
      </w:r>
    </w:p>
    <w:p w14:paraId="6DD91437">
      <w:pPr>
        <w:pStyle w:val="165"/>
        <w:rPr>
          <w:highlight w:val="none"/>
        </w:rPr>
      </w:pPr>
      <w:r>
        <w:rPr>
          <w:rFonts w:hint="eastAsia"/>
          <w:highlight w:val="none"/>
        </w:rPr>
        <w:t>保障利益相关方权益</w:t>
      </w:r>
      <w:r>
        <w:rPr>
          <w:rFonts w:hint="eastAsia" w:ascii="Times New Roman"/>
          <w:highlight w:val="none"/>
        </w:rPr>
        <w:t>：</w:t>
      </w:r>
    </w:p>
    <w:p w14:paraId="5163775C">
      <w:pPr>
        <w:pStyle w:val="175"/>
        <w:numPr>
          <w:ilvl w:val="0"/>
          <w:numId w:val="103"/>
        </w:numPr>
        <w:rPr>
          <w:highlight w:val="none"/>
        </w:rPr>
      </w:pPr>
      <w:r>
        <w:rPr>
          <w:rFonts w:hint="eastAsia"/>
          <w:highlight w:val="none"/>
        </w:rPr>
        <w:t>平衡双方权益：通过客观审核工程量与费用，避免虚增或漏项，维护建设方与施工方的经济利益；</w:t>
      </w:r>
    </w:p>
    <w:p w14:paraId="68027789">
      <w:pPr>
        <w:pStyle w:val="175"/>
        <w:numPr>
          <w:ilvl w:val="0"/>
          <w:numId w:val="69"/>
        </w:numPr>
        <w:rPr>
          <w:highlight w:val="none"/>
        </w:rPr>
      </w:pPr>
      <w:r>
        <w:rPr>
          <w:rFonts w:hint="eastAsia"/>
          <w:highlight w:val="none"/>
        </w:rPr>
        <w:t>风险责任追溯：记录争议问题处理结果，为后续法律纠纷提供举证依据。</w:t>
      </w:r>
    </w:p>
    <w:p w14:paraId="52D19519">
      <w:pPr>
        <w:pStyle w:val="165"/>
        <w:rPr>
          <w:highlight w:val="none"/>
        </w:rPr>
      </w:pPr>
      <w:r>
        <w:rPr>
          <w:rFonts w:hint="eastAsia"/>
          <w:highlight w:val="none"/>
        </w:rPr>
        <w:t>支撑管理决策与经验沉淀</w:t>
      </w:r>
      <w:r>
        <w:rPr>
          <w:rFonts w:hint="eastAsia" w:ascii="Times New Roman"/>
          <w:highlight w:val="none"/>
        </w:rPr>
        <w:t>：</w:t>
      </w:r>
    </w:p>
    <w:p w14:paraId="64448CD7">
      <w:pPr>
        <w:pStyle w:val="175"/>
        <w:numPr>
          <w:ilvl w:val="0"/>
          <w:numId w:val="104"/>
        </w:numPr>
        <w:rPr>
          <w:highlight w:val="none"/>
        </w:rPr>
      </w:pPr>
      <w:r>
        <w:rPr>
          <w:rFonts w:hint="eastAsia"/>
          <w:highlight w:val="none"/>
        </w:rPr>
        <w:t>投资效益分析：通过对比概算、预算与结算数据，评估项目成本控制效果，为后续项目投资决策提供参考；</w:t>
      </w:r>
    </w:p>
    <w:p w14:paraId="6E3817A9">
      <w:pPr>
        <w:pStyle w:val="175"/>
        <w:numPr>
          <w:ilvl w:val="0"/>
          <w:numId w:val="69"/>
        </w:numPr>
        <w:rPr>
          <w:highlight w:val="none"/>
        </w:rPr>
      </w:pPr>
      <w:r>
        <w:rPr>
          <w:rFonts w:hint="eastAsia"/>
          <w:highlight w:val="none"/>
        </w:rPr>
        <w:t>技术经济积累：将审核结果纳入企业数据库，形成标准化案例库，优化未来工程管理流程。</w:t>
      </w:r>
    </w:p>
    <w:p w14:paraId="5B349B34">
      <w:pPr>
        <w:pStyle w:val="165"/>
        <w:rPr>
          <w:highlight w:val="none"/>
        </w:rPr>
      </w:pPr>
      <w:r>
        <w:rPr>
          <w:rFonts w:hint="eastAsia"/>
          <w:highlight w:val="none"/>
        </w:rPr>
        <w:t>满足审计与监管要求：</w:t>
      </w:r>
    </w:p>
    <w:p w14:paraId="3208C3B8">
      <w:pPr>
        <w:pStyle w:val="175"/>
        <w:numPr>
          <w:ilvl w:val="0"/>
          <w:numId w:val="105"/>
        </w:numPr>
        <w:rPr>
          <w:highlight w:val="none"/>
        </w:rPr>
      </w:pPr>
      <w:r>
        <w:rPr>
          <w:rFonts w:hint="eastAsia"/>
          <w:highlight w:val="none"/>
        </w:rPr>
        <w:t>合规审计支撑：提供完整的财务与工程量数据链，满足政府审计部门及第三方机构的审查需求；</w:t>
      </w:r>
    </w:p>
    <w:p w14:paraId="1D5C1936">
      <w:pPr>
        <w:pStyle w:val="175"/>
        <w:numPr>
          <w:ilvl w:val="0"/>
          <w:numId w:val="69"/>
        </w:numPr>
        <w:rPr>
          <w:highlight w:val="none"/>
        </w:rPr>
      </w:pPr>
      <w:r>
        <w:rPr>
          <w:rFonts w:hint="eastAsia"/>
          <w:highlight w:val="none"/>
        </w:rPr>
        <w:t>信息公开透明：确保竣工结算数据可追溯、可复核，提升项目管理公信力与社会责任履行水平。</w:t>
      </w:r>
    </w:p>
    <w:p w14:paraId="2D3AEBCF">
      <w:pPr>
        <w:pStyle w:val="66"/>
        <w:spacing w:before="156" w:after="156"/>
        <w:rPr>
          <w:highlight w:val="none"/>
        </w:rPr>
      </w:pPr>
      <w:r>
        <w:rPr>
          <w:rFonts w:hint="eastAsia"/>
          <w:highlight w:val="none"/>
        </w:rPr>
        <w:t>竣工结算审核依据</w:t>
      </w:r>
    </w:p>
    <w:p w14:paraId="58753720">
      <w:pPr>
        <w:pStyle w:val="165"/>
        <w:rPr>
          <w:highlight w:val="none"/>
        </w:rPr>
      </w:pPr>
      <w:r>
        <w:rPr>
          <w:rFonts w:hint="eastAsia"/>
          <w:highlight w:val="none"/>
        </w:rPr>
        <w:t>竣工结算审核依据要求如下：</w:t>
      </w:r>
    </w:p>
    <w:p w14:paraId="534A2E47">
      <w:pPr>
        <w:pStyle w:val="175"/>
        <w:numPr>
          <w:ilvl w:val="0"/>
          <w:numId w:val="106"/>
        </w:numPr>
        <w:rPr>
          <w:highlight w:val="none"/>
        </w:rPr>
      </w:pPr>
      <w:r>
        <w:rPr>
          <w:rFonts w:hint="eastAsia"/>
          <w:highlight w:val="none"/>
        </w:rPr>
        <w:t>合同文件与补充协议、招投标文件、中标报价书、投标承诺等；</w:t>
      </w:r>
    </w:p>
    <w:p w14:paraId="598DDF4B">
      <w:pPr>
        <w:pStyle w:val="175"/>
        <w:numPr>
          <w:ilvl w:val="0"/>
          <w:numId w:val="69"/>
        </w:numPr>
        <w:rPr>
          <w:highlight w:val="none"/>
        </w:rPr>
      </w:pPr>
      <w:r>
        <w:rPr>
          <w:rFonts w:hint="eastAsia"/>
          <w:highlight w:val="none"/>
        </w:rPr>
        <w:t>施工过程文件：设计文件与技术资料、施工图、竣工图、设计变更通知单、图纸会审记录等，用于验证工程量与施工内容的合规性。</w:t>
      </w:r>
    </w:p>
    <w:p w14:paraId="5F8C8667">
      <w:pPr>
        <w:pStyle w:val="165"/>
        <w:rPr>
          <w:highlight w:val="none"/>
        </w:rPr>
      </w:pPr>
      <w:r>
        <w:rPr>
          <w:rFonts w:hint="eastAsia"/>
          <w:highlight w:val="none"/>
        </w:rPr>
        <w:t>隐蔽工程记录、现场签证单需附影像资料及三方签字确认，确保真实性。变更与签证依据、设计变更需提供必要性证明（如验收记录）、合规性证明（审批流程完整性）。材料认价单、索赔报告等作为费用调整的直接依据。</w:t>
      </w:r>
    </w:p>
    <w:p w14:paraId="5DCF4EB3">
      <w:pPr>
        <w:pStyle w:val="165"/>
        <w:rPr>
          <w:highlight w:val="none"/>
        </w:rPr>
      </w:pPr>
      <w:r>
        <w:rPr>
          <w:rFonts w:hint="eastAsia"/>
          <w:highlight w:val="none"/>
        </w:rPr>
        <w:t>验收与结算资料</w:t>
      </w:r>
      <w:r>
        <w:rPr>
          <w:rFonts w:hint="eastAsia" w:ascii="Times New Roman"/>
          <w:highlight w:val="none"/>
        </w:rPr>
        <w:t>：</w:t>
      </w:r>
    </w:p>
    <w:p w14:paraId="5C488EEC">
      <w:pPr>
        <w:pStyle w:val="175"/>
        <w:numPr>
          <w:ilvl w:val="0"/>
          <w:numId w:val="107"/>
        </w:numPr>
        <w:rPr>
          <w:highlight w:val="none"/>
        </w:rPr>
      </w:pPr>
      <w:r>
        <w:rPr>
          <w:rFonts w:hint="eastAsia"/>
          <w:highlight w:val="none"/>
        </w:rPr>
        <w:t>验收文件：工程竣工验收报告、竣工结算报表、质量评定文件等，作为项目完工的法定证明</w:t>
      </w:r>
      <w:r>
        <w:rPr>
          <w:rFonts w:hint="eastAsia" w:hAnsi="宋体" w:cs="宋体"/>
          <w:highlight w:val="none"/>
        </w:rPr>
        <w:t>；</w:t>
      </w:r>
    </w:p>
    <w:p w14:paraId="6F4A3E9B">
      <w:pPr>
        <w:pStyle w:val="175"/>
        <w:numPr>
          <w:ilvl w:val="0"/>
          <w:numId w:val="69"/>
        </w:numPr>
        <w:rPr>
          <w:highlight w:val="none"/>
        </w:rPr>
      </w:pPr>
      <w:r>
        <w:rPr>
          <w:rFonts w:hint="eastAsia"/>
          <w:highlight w:val="none"/>
        </w:rPr>
        <w:t>结算编制文件：完整有效的工程结算书、分部分项工程量清单、措施项目清单等，需与合同及现场实际一致；</w:t>
      </w:r>
    </w:p>
    <w:p w14:paraId="214C8695">
      <w:pPr>
        <w:pStyle w:val="175"/>
        <w:numPr>
          <w:ilvl w:val="0"/>
          <w:numId w:val="69"/>
        </w:numPr>
        <w:rPr>
          <w:highlight w:val="none"/>
        </w:rPr>
      </w:pPr>
      <w:r>
        <w:rPr>
          <w:rFonts w:hint="eastAsia"/>
          <w:highlight w:val="none"/>
        </w:rPr>
        <w:t>计价规范与政策。</w:t>
      </w:r>
    </w:p>
    <w:p w14:paraId="432DBA7B">
      <w:pPr>
        <w:pStyle w:val="66"/>
        <w:spacing w:before="156" w:after="156"/>
        <w:rPr>
          <w:highlight w:val="none"/>
        </w:rPr>
      </w:pPr>
      <w:r>
        <w:rPr>
          <w:rFonts w:hint="eastAsia"/>
          <w:highlight w:val="none"/>
        </w:rPr>
        <w:t>竣工结算审核内容</w:t>
      </w:r>
    </w:p>
    <w:p w14:paraId="0EC803AC">
      <w:pPr>
        <w:pStyle w:val="57"/>
        <w:ind w:firstLine="420"/>
        <w:rPr>
          <w:highlight w:val="none"/>
        </w:rPr>
      </w:pPr>
      <w:r>
        <w:rPr>
          <w:rFonts w:hint="eastAsia"/>
          <w:highlight w:val="none"/>
        </w:rPr>
        <w:t>竣工结算审核内容包括但不限于：</w:t>
      </w:r>
    </w:p>
    <w:p w14:paraId="0EC8CE74">
      <w:pPr>
        <w:pStyle w:val="175"/>
        <w:numPr>
          <w:ilvl w:val="0"/>
          <w:numId w:val="108"/>
        </w:numPr>
        <w:rPr>
          <w:highlight w:val="none"/>
        </w:rPr>
      </w:pPr>
      <w:r>
        <w:rPr>
          <w:rFonts w:hint="eastAsia"/>
          <w:highlight w:val="none"/>
        </w:rPr>
        <w:t>竣工图纸与合同文件核对，需确保竣工图与施工图一致，并与合同范围、招标文件、补充协议等匹配，重点关注设计变更、现场签证的完整性和有效性；</w:t>
      </w:r>
    </w:p>
    <w:p w14:paraId="0E139E44">
      <w:pPr>
        <w:pStyle w:val="175"/>
        <w:numPr>
          <w:ilvl w:val="0"/>
          <w:numId w:val="69"/>
        </w:numPr>
        <w:rPr>
          <w:highlight w:val="none"/>
        </w:rPr>
      </w:pPr>
      <w:r>
        <w:rPr>
          <w:rFonts w:hint="eastAsia"/>
          <w:highlight w:val="none"/>
        </w:rPr>
        <w:t>资料的真实性验证，审核资料是否为原件，是否连续编号且标注时间，隐蔽工程记录、材料验收单等需经多方签字确认；</w:t>
      </w:r>
    </w:p>
    <w:p w14:paraId="17FB9700">
      <w:pPr>
        <w:pStyle w:val="175"/>
        <w:numPr>
          <w:ilvl w:val="0"/>
          <w:numId w:val="69"/>
        </w:numPr>
        <w:rPr>
          <w:highlight w:val="none"/>
        </w:rPr>
      </w:pPr>
      <w:r>
        <w:rPr>
          <w:rFonts w:hint="eastAsia"/>
          <w:highlight w:val="none"/>
        </w:rPr>
        <w:t>按招标文件、合同、清单计价规范要求，计算图纸工程量，逐项审核，避免重复、多算、漏算；</w:t>
      </w:r>
    </w:p>
    <w:p w14:paraId="0FF66E5E">
      <w:pPr>
        <w:pStyle w:val="175"/>
        <w:numPr>
          <w:ilvl w:val="0"/>
          <w:numId w:val="69"/>
        </w:numPr>
        <w:rPr>
          <w:highlight w:val="none"/>
        </w:rPr>
      </w:pPr>
      <w:r>
        <w:rPr>
          <w:rFonts w:hint="eastAsia"/>
          <w:highlight w:val="none"/>
        </w:rPr>
        <w:t>变更必要性审查，核实设计变更、工程洽商单的审批流程是否合规，内容是否实际执行，避免虚构或重复签证</w:t>
      </w:r>
      <w:r>
        <w:rPr>
          <w:rFonts w:hint="eastAsia" w:ascii="Times New Roman"/>
          <w:highlight w:val="none"/>
        </w:rPr>
        <w:t>；</w:t>
      </w:r>
    </w:p>
    <w:p w14:paraId="1F62E737">
      <w:pPr>
        <w:pStyle w:val="175"/>
        <w:numPr>
          <w:ilvl w:val="0"/>
          <w:numId w:val="69"/>
        </w:numPr>
        <w:rPr>
          <w:highlight w:val="none"/>
        </w:rPr>
      </w:pPr>
      <w:r>
        <w:rPr>
          <w:rFonts w:hint="eastAsia"/>
          <w:highlight w:val="none"/>
        </w:rPr>
        <w:t>综合单价合理性，检查变更工程的</w:t>
      </w:r>
      <w:r>
        <w:rPr>
          <w:rFonts w:hint="eastAsia"/>
          <w:highlight w:val="none"/>
          <w:lang w:val="en-US" w:eastAsia="zh-CN"/>
        </w:rPr>
        <w:t>组价</w:t>
      </w:r>
      <w:r>
        <w:rPr>
          <w:rFonts w:hint="eastAsia"/>
          <w:highlight w:val="none"/>
        </w:rPr>
        <w:t>是否与合同</w:t>
      </w:r>
      <w:r>
        <w:rPr>
          <w:rFonts w:hint="eastAsia"/>
          <w:highlight w:val="none"/>
          <w:lang w:val="en-US" w:eastAsia="zh-CN"/>
        </w:rPr>
        <w:t>相符</w:t>
      </w:r>
      <w:r>
        <w:rPr>
          <w:rFonts w:hint="eastAsia"/>
          <w:highlight w:val="none"/>
        </w:rPr>
        <w:t>，避免高套、重复套用子项目，尤其关注隐蔽工程签证的规范性；</w:t>
      </w:r>
    </w:p>
    <w:p w14:paraId="2D2EFDFF">
      <w:pPr>
        <w:pStyle w:val="175"/>
        <w:numPr>
          <w:ilvl w:val="0"/>
          <w:numId w:val="69"/>
        </w:numPr>
        <w:rPr>
          <w:highlight w:val="none"/>
        </w:rPr>
      </w:pPr>
      <w:r>
        <w:rPr>
          <w:rFonts w:hint="eastAsia"/>
          <w:highlight w:val="none"/>
        </w:rPr>
        <w:t>合同条款符合性审核。</w:t>
      </w:r>
    </w:p>
    <w:p w14:paraId="68414D34">
      <w:pPr>
        <w:pStyle w:val="106"/>
        <w:spacing w:before="156" w:after="156"/>
        <w:rPr>
          <w:highlight w:val="none"/>
        </w:rPr>
      </w:pPr>
      <w:bookmarkStart w:id="146" w:name="_Toc194135363"/>
      <w:bookmarkStart w:id="147" w:name="_Toc10061"/>
      <w:r>
        <w:rPr>
          <w:rFonts w:hint="eastAsia"/>
          <w:highlight w:val="none"/>
        </w:rPr>
        <w:t>竣工移交</w:t>
      </w:r>
      <w:bookmarkEnd w:id="146"/>
      <w:bookmarkEnd w:id="147"/>
    </w:p>
    <w:p w14:paraId="23F816D7">
      <w:pPr>
        <w:pStyle w:val="166"/>
        <w:rPr>
          <w:highlight w:val="none"/>
        </w:rPr>
      </w:pPr>
      <w:r>
        <w:rPr>
          <w:rFonts w:hint="eastAsia"/>
          <w:highlight w:val="none"/>
        </w:rPr>
        <w:t>项目竣工移交应满足下列要求：</w:t>
      </w:r>
    </w:p>
    <w:p w14:paraId="28E4320B">
      <w:pPr>
        <w:pStyle w:val="175"/>
        <w:numPr>
          <w:ilvl w:val="0"/>
          <w:numId w:val="109"/>
        </w:numPr>
        <w:rPr>
          <w:highlight w:val="none"/>
        </w:rPr>
      </w:pPr>
      <w:r>
        <w:rPr>
          <w:rFonts w:hint="eastAsia"/>
          <w:highlight w:val="none"/>
        </w:rPr>
        <w:t>项目移交应在工程竣工验收合格后3个月内完成；</w:t>
      </w:r>
    </w:p>
    <w:p w14:paraId="58DD9F80">
      <w:pPr>
        <w:pStyle w:val="175"/>
        <w:numPr>
          <w:ilvl w:val="0"/>
          <w:numId w:val="69"/>
        </w:numPr>
        <w:rPr>
          <w:highlight w:val="none"/>
        </w:rPr>
      </w:pPr>
      <w:r>
        <w:rPr>
          <w:rFonts w:hint="eastAsia"/>
          <w:highlight w:val="none"/>
        </w:rPr>
        <w:t>项目竣工移交包括项目竣工档案移交、项目工程实体移交、数字化移交。</w:t>
      </w:r>
    </w:p>
    <w:p w14:paraId="3BD09BD9">
      <w:pPr>
        <w:pStyle w:val="166"/>
        <w:rPr>
          <w:highlight w:val="none"/>
        </w:rPr>
      </w:pPr>
      <w:r>
        <w:rPr>
          <w:rFonts w:hint="eastAsia"/>
          <w:highlight w:val="none"/>
        </w:rPr>
        <w:t>项目竣工档案移交咨询服务应包括下列内容：</w:t>
      </w:r>
    </w:p>
    <w:p w14:paraId="52EC3D06">
      <w:pPr>
        <w:pStyle w:val="175"/>
        <w:numPr>
          <w:ilvl w:val="0"/>
          <w:numId w:val="110"/>
        </w:numPr>
        <w:rPr>
          <w:highlight w:val="none"/>
        </w:rPr>
      </w:pPr>
      <w:r>
        <w:rPr>
          <w:rFonts w:hint="eastAsia"/>
          <w:highlight w:val="none"/>
          <w:lang w:val="en-US" w:eastAsia="zh-CN"/>
        </w:rPr>
        <w:t>在办理建设工程施工许可时，协助委托人向项目所在地的城市建设档案机构办理城建档案登记</w:t>
      </w:r>
      <w:r>
        <w:rPr>
          <w:rFonts w:hint="eastAsia"/>
          <w:highlight w:val="none"/>
        </w:rPr>
        <w:t>；</w:t>
      </w:r>
    </w:p>
    <w:p w14:paraId="3A4C4BCB">
      <w:pPr>
        <w:pStyle w:val="175"/>
        <w:numPr>
          <w:ilvl w:val="0"/>
          <w:numId w:val="69"/>
        </w:numPr>
        <w:rPr>
          <w:highlight w:val="none"/>
        </w:rPr>
      </w:pPr>
      <w:r>
        <w:rPr>
          <w:rFonts w:hint="eastAsia"/>
          <w:highlight w:val="none"/>
        </w:rPr>
        <w:t>协助组织各参与单位参加城建档案馆进行的业务指导和技术培训；</w:t>
      </w:r>
    </w:p>
    <w:p w14:paraId="7C769752">
      <w:pPr>
        <w:pStyle w:val="175"/>
        <w:numPr>
          <w:ilvl w:val="0"/>
          <w:numId w:val="69"/>
        </w:numPr>
        <w:rPr>
          <w:highlight w:val="none"/>
        </w:rPr>
      </w:pPr>
      <w:r>
        <w:rPr>
          <w:rFonts w:hint="eastAsia"/>
          <w:highlight w:val="none"/>
        </w:rPr>
        <w:t>组织项目各参与单位按建设工程档案报送范围、归档目录对建设项目档案进行收集、整理与汇总；</w:t>
      </w:r>
    </w:p>
    <w:p w14:paraId="1F378C22">
      <w:pPr>
        <w:pStyle w:val="175"/>
        <w:numPr>
          <w:ilvl w:val="0"/>
          <w:numId w:val="69"/>
        </w:numPr>
        <w:rPr>
          <w:highlight w:val="none"/>
        </w:rPr>
      </w:pPr>
      <w:r>
        <w:rPr>
          <w:rFonts w:hint="eastAsia"/>
          <w:highlight w:val="none"/>
          <w:lang w:val="en-US" w:eastAsia="zh-CN"/>
        </w:rPr>
        <w:t>咨询人应协助委托人组织各参与单位依法向城市建设档案机构报送工程档案，并申请工程档案验收，在工程竣工验收备案前完成工程档案的移交。</w:t>
      </w:r>
    </w:p>
    <w:p w14:paraId="01AD52C3">
      <w:pPr>
        <w:pStyle w:val="166"/>
        <w:rPr>
          <w:highlight w:val="none"/>
        </w:rPr>
      </w:pPr>
      <w:r>
        <w:rPr>
          <w:rFonts w:hint="eastAsia"/>
          <w:highlight w:val="none"/>
        </w:rPr>
        <w:t>项目工程实体移交咨询服务应包括下列内容：</w:t>
      </w:r>
    </w:p>
    <w:p w14:paraId="3B806982">
      <w:pPr>
        <w:pStyle w:val="175"/>
        <w:numPr>
          <w:ilvl w:val="0"/>
          <w:numId w:val="111"/>
        </w:numPr>
        <w:rPr>
          <w:highlight w:val="none"/>
        </w:rPr>
      </w:pPr>
      <w:r>
        <w:rPr>
          <w:rFonts w:hint="eastAsia"/>
          <w:highlight w:val="none"/>
        </w:rPr>
        <w:t>依照移交内容制定移交计划，明确各项移交工作的主体、移交时间、移交责任人等事项；</w:t>
      </w:r>
    </w:p>
    <w:p w14:paraId="77013110">
      <w:pPr>
        <w:pStyle w:val="175"/>
        <w:numPr>
          <w:ilvl w:val="0"/>
          <w:numId w:val="69"/>
        </w:numPr>
        <w:rPr>
          <w:highlight w:val="none"/>
        </w:rPr>
      </w:pPr>
      <w:r>
        <w:rPr>
          <w:rFonts w:hint="eastAsia"/>
          <w:highlight w:val="none"/>
        </w:rPr>
        <w:t>组织承包人提交房屋竣工验收报告、消防验收文件、电梯验收文件等相关资料；</w:t>
      </w:r>
    </w:p>
    <w:p w14:paraId="080EE4E8">
      <w:pPr>
        <w:pStyle w:val="175"/>
        <w:numPr>
          <w:ilvl w:val="0"/>
          <w:numId w:val="69"/>
        </w:numPr>
        <w:rPr>
          <w:highlight w:val="none"/>
        </w:rPr>
      </w:pPr>
      <w:r>
        <w:rPr>
          <w:rFonts w:hint="eastAsia"/>
          <w:highlight w:val="none"/>
        </w:rPr>
        <w:t>协助委托人向当地建设行政管理部门办理竣工验收备案手续，取得竣工验收备案回执；</w:t>
      </w:r>
    </w:p>
    <w:p w14:paraId="21A0E397">
      <w:pPr>
        <w:pStyle w:val="175"/>
        <w:numPr>
          <w:ilvl w:val="0"/>
          <w:numId w:val="69"/>
        </w:numPr>
        <w:rPr>
          <w:highlight w:val="none"/>
        </w:rPr>
      </w:pPr>
      <w:r>
        <w:rPr>
          <w:rFonts w:hint="eastAsia"/>
          <w:highlight w:val="none"/>
        </w:rPr>
        <w:t>参与工程移交预验收，发现问题后立即组织承包人在限期内进行整改并跟踪处理结果；</w:t>
      </w:r>
    </w:p>
    <w:p w14:paraId="198E382A">
      <w:pPr>
        <w:pStyle w:val="175"/>
        <w:numPr>
          <w:ilvl w:val="0"/>
          <w:numId w:val="69"/>
        </w:numPr>
        <w:rPr>
          <w:highlight w:val="none"/>
        </w:rPr>
      </w:pPr>
      <w:r>
        <w:rPr>
          <w:rFonts w:hint="eastAsia"/>
          <w:highlight w:val="none"/>
        </w:rPr>
        <w:t>办理工程移交手续，并协助委托人提前组织设备厂商、承包人编制项目使用和维护手册，并组织运营人员完成技术培训。</w:t>
      </w:r>
    </w:p>
    <w:p w14:paraId="762ED563">
      <w:pPr>
        <w:pStyle w:val="166"/>
        <w:rPr>
          <w:highlight w:val="none"/>
        </w:rPr>
      </w:pPr>
      <w:r>
        <w:rPr>
          <w:rFonts w:hint="eastAsia"/>
          <w:highlight w:val="none"/>
        </w:rPr>
        <w:t>项目数字化移交咨询服务应包括下列内容：</w:t>
      </w:r>
    </w:p>
    <w:p w14:paraId="7555DCDB">
      <w:pPr>
        <w:pStyle w:val="175"/>
        <w:numPr>
          <w:ilvl w:val="0"/>
          <w:numId w:val="112"/>
        </w:numPr>
        <w:rPr>
          <w:rFonts w:hint="default" w:ascii="宋体" w:eastAsia="宋体"/>
          <w:highlight w:val="none"/>
          <w:lang w:val="en-US" w:eastAsia="zh-CN"/>
        </w:rPr>
      </w:pPr>
      <w:r>
        <w:rPr>
          <w:rFonts w:hint="eastAsia" w:ascii="宋体" w:eastAsia="宋体"/>
          <w:highlight w:val="none"/>
          <w:lang w:val="en-US" w:eastAsia="zh-CN"/>
        </w:rPr>
        <w:t>咨询服务方应制定数字化交付统一标准，明确数字化交付的数据要求、职责权限、交付计划、成果要求等内容。</w:t>
      </w:r>
    </w:p>
    <w:p w14:paraId="1C5A81E0">
      <w:pPr>
        <w:pStyle w:val="175"/>
        <w:numPr>
          <w:ilvl w:val="0"/>
          <w:numId w:val="112"/>
        </w:numPr>
        <w:rPr>
          <w:rFonts w:hint="default" w:ascii="宋体" w:eastAsia="宋体"/>
          <w:highlight w:val="none"/>
          <w:lang w:val="en-US" w:eastAsia="zh-CN"/>
        </w:rPr>
      </w:pPr>
      <w:r>
        <w:rPr>
          <w:rFonts w:hint="eastAsia" w:ascii="宋体" w:eastAsia="宋体"/>
          <w:highlight w:val="none"/>
          <w:lang w:val="en-US" w:eastAsia="zh-CN"/>
        </w:rPr>
        <w:t>咨询服务方宜</w:t>
      </w:r>
      <w:r>
        <w:rPr>
          <w:rFonts w:hint="default" w:ascii="宋体" w:eastAsia="宋体"/>
          <w:highlight w:val="none"/>
          <w:lang w:val="en-US" w:eastAsia="zh-CN"/>
        </w:rPr>
        <w:t>采用数字孪生技术集成</w:t>
      </w:r>
      <w:r>
        <w:rPr>
          <w:rFonts w:hint="eastAsia" w:ascii="宋体" w:eastAsia="宋体"/>
          <w:highlight w:val="none"/>
          <w:lang w:val="en-US" w:eastAsia="zh-CN"/>
        </w:rPr>
        <w:t>BIM</w:t>
      </w:r>
      <w:r>
        <w:rPr>
          <w:rFonts w:hint="default" w:ascii="宋体" w:eastAsia="宋体"/>
          <w:highlight w:val="none"/>
          <w:lang w:val="en-US" w:eastAsia="zh-CN"/>
        </w:rPr>
        <w:t>竣工模型、资产信息模型</w:t>
      </w:r>
      <w:r>
        <w:rPr>
          <w:rFonts w:hint="eastAsia" w:ascii="宋体" w:eastAsia="宋体"/>
          <w:highlight w:val="none"/>
          <w:lang w:val="en-US" w:eastAsia="zh-CN"/>
        </w:rPr>
        <w:t>等，</w:t>
      </w:r>
      <w:r>
        <w:rPr>
          <w:rFonts w:hint="default" w:ascii="宋体" w:eastAsia="宋体"/>
          <w:highlight w:val="none"/>
          <w:lang w:val="en-US" w:eastAsia="zh-CN"/>
        </w:rPr>
        <w:t>为智慧运维提供支撑。</w:t>
      </w:r>
    </w:p>
    <w:p w14:paraId="1E6F123E">
      <w:pPr>
        <w:pStyle w:val="175"/>
        <w:numPr>
          <w:ilvl w:val="0"/>
          <w:numId w:val="112"/>
        </w:numPr>
        <w:rPr>
          <w:rFonts w:hint="eastAsia" w:ascii="宋体" w:eastAsia="宋体"/>
          <w:highlight w:val="none"/>
        </w:rPr>
      </w:pPr>
      <w:r>
        <w:rPr>
          <w:rFonts w:hint="eastAsia" w:ascii="宋体" w:eastAsia="宋体"/>
          <w:highlight w:val="none"/>
          <w:lang w:val="en-US" w:eastAsia="zh-CN"/>
        </w:rPr>
        <w:t>咨询服务方</w:t>
      </w:r>
      <w:r>
        <w:rPr>
          <w:rFonts w:hint="default" w:ascii="宋体" w:eastAsia="宋体"/>
          <w:highlight w:val="none"/>
          <w:lang w:val="en-US" w:eastAsia="zh-CN"/>
        </w:rPr>
        <w:t>应按照运维的需求创建数字化交付模板，对运维管理活动的必需数据进行数字化集成、归类及管理，为物业单位提供用于数字化运维管理的知识图谱，为智慧运维提供支撑。</w:t>
      </w:r>
    </w:p>
    <w:p w14:paraId="0DC3D02D">
      <w:pPr>
        <w:pStyle w:val="166"/>
        <w:rPr>
          <w:highlight w:val="none"/>
        </w:rPr>
      </w:pPr>
      <w:r>
        <w:rPr>
          <w:rFonts w:hint="eastAsia"/>
          <w:highlight w:val="none"/>
        </w:rPr>
        <w:t>实行集中建设的政府投资项目的工程移交咨询服务还包括下列内容：</w:t>
      </w:r>
    </w:p>
    <w:p w14:paraId="5B8383A4">
      <w:pPr>
        <w:pStyle w:val="175"/>
        <w:numPr>
          <w:ilvl w:val="0"/>
          <w:numId w:val="113"/>
        </w:numPr>
        <w:rPr>
          <w:highlight w:val="none"/>
        </w:rPr>
      </w:pPr>
      <w:r>
        <w:rPr>
          <w:rFonts w:hint="eastAsia"/>
          <w:highlight w:val="none"/>
        </w:rPr>
        <w:t>协助项目使用单位与集中建设实施单位依据财务决算批复进行财务调整，完善资产档案、财务档案等相关资料；</w:t>
      </w:r>
    </w:p>
    <w:p w14:paraId="2C0DAE74">
      <w:pPr>
        <w:pStyle w:val="175"/>
        <w:numPr>
          <w:ilvl w:val="0"/>
          <w:numId w:val="112"/>
        </w:numPr>
        <w:rPr>
          <w:highlight w:val="none"/>
        </w:rPr>
      </w:pPr>
      <w:r>
        <w:rPr>
          <w:rFonts w:hint="eastAsia"/>
          <w:highlight w:val="none"/>
        </w:rPr>
        <w:t>协助实施单位自完成向城建档案馆（室）移交城建档案手续后向使用单位移交项目建设各阶段形成的城建档案；</w:t>
      </w:r>
    </w:p>
    <w:p w14:paraId="0287DFFE">
      <w:pPr>
        <w:pStyle w:val="175"/>
        <w:numPr>
          <w:ilvl w:val="0"/>
          <w:numId w:val="112"/>
        </w:numPr>
        <w:rPr>
          <w:highlight w:val="none"/>
        </w:rPr>
      </w:pPr>
      <w:r>
        <w:rPr>
          <w:rFonts w:hint="eastAsia"/>
          <w:highlight w:val="none"/>
        </w:rPr>
        <w:t>协助实施单位自收到竣工财务决算批复后向使用单位移交资产档案、财务档案等相关资料。</w:t>
      </w:r>
    </w:p>
    <w:p w14:paraId="601741C7">
      <w:pPr>
        <w:pStyle w:val="106"/>
        <w:spacing w:before="156" w:after="156"/>
        <w:rPr>
          <w:highlight w:val="none"/>
        </w:rPr>
      </w:pPr>
      <w:bookmarkStart w:id="148" w:name="_Toc194135364"/>
      <w:bookmarkStart w:id="149" w:name="_Toc16736"/>
      <w:r>
        <w:rPr>
          <w:rFonts w:hint="eastAsia"/>
          <w:highlight w:val="none"/>
        </w:rPr>
        <w:t>竣工决算</w:t>
      </w:r>
      <w:bookmarkEnd w:id="148"/>
      <w:bookmarkEnd w:id="149"/>
    </w:p>
    <w:p w14:paraId="3FC49DB9">
      <w:pPr>
        <w:pStyle w:val="166"/>
        <w:rPr>
          <w:highlight w:val="none"/>
        </w:rPr>
      </w:pPr>
      <w:r>
        <w:rPr>
          <w:rFonts w:hint="eastAsia"/>
          <w:highlight w:val="none"/>
        </w:rPr>
        <w:t>全过程工程咨询服务单位承担工程竣工决算编制或审核时，应符合国家有关工程竣工决算的管理规定，并应具备相应资质资信和能力、人员资格等要求，并与会计人员配合完成咨询服务。</w:t>
      </w:r>
    </w:p>
    <w:p w14:paraId="2AE3C28F">
      <w:pPr>
        <w:pStyle w:val="166"/>
        <w:rPr>
          <w:highlight w:val="none"/>
        </w:rPr>
      </w:pPr>
      <w:r>
        <w:rPr>
          <w:rFonts w:hint="eastAsia"/>
          <w:highlight w:val="none"/>
        </w:rPr>
        <w:t>编制项目竣工财务决算前，咨询人应协助委托人应当完成各项财务处理及财产物资的盘查核实，做到账账、账证、账实、账表相符，并逐项盘点核实、填列各种材料、设备、工具、器具等清单并妥善保管，应变价处理的库存设备、材料以及应处理的自有固定资产要公开变价处理。</w:t>
      </w:r>
    </w:p>
    <w:p w14:paraId="074E0A89">
      <w:pPr>
        <w:pStyle w:val="166"/>
        <w:rPr>
          <w:highlight w:val="none"/>
        </w:rPr>
      </w:pPr>
      <w:r>
        <w:rPr>
          <w:rFonts w:hint="eastAsia"/>
          <w:highlight w:val="none"/>
        </w:rPr>
        <w:t>项目竣工财务决算的编制依据主要包括：国家有关法律法规；经批准的可行性研究报告、初步设计、概算及概算调整文件；招标文件及招标投标书，咨询服务、施工、设备采购等合同，政府采购审批文件、采购合同；历年下达的项目年度财政资金投资计划、预算；工程结算资料；有关的会计及财务管理资料；其他有关资料。</w:t>
      </w:r>
    </w:p>
    <w:p w14:paraId="42B6B2E1">
      <w:pPr>
        <w:pStyle w:val="166"/>
        <w:rPr>
          <w:highlight w:val="none"/>
        </w:rPr>
      </w:pPr>
      <w:r>
        <w:rPr>
          <w:rFonts w:hint="eastAsia"/>
          <w:highlight w:val="none"/>
        </w:rPr>
        <w:t>项目竣工财务决算的内容主要包括：项目竣工财务决算表、竣工财务决算说明书、竣工财务决（结）算审核情况及相关资料。</w:t>
      </w:r>
    </w:p>
    <w:p w14:paraId="3259EF94">
      <w:pPr>
        <w:pStyle w:val="166"/>
        <w:rPr>
          <w:highlight w:val="none"/>
        </w:rPr>
      </w:pPr>
      <w:r>
        <w:rPr>
          <w:rFonts w:hint="eastAsia"/>
          <w:highlight w:val="none"/>
        </w:rPr>
        <w:t>实行集中建设的政府投资项目的造价咨询服务，全过程工程咨询服务机构还需要协助使用单位与实施单位依据竣工财务决算批复进行财务调整，完善资产档案、财务档案等相关资料，并自收到竣工财务决算批复之后及时向使用单位移交资产档案、财务档案等相关资料。</w:t>
      </w:r>
    </w:p>
    <w:p w14:paraId="62E2CD60">
      <w:pPr>
        <w:pStyle w:val="105"/>
        <w:spacing w:before="312" w:after="312"/>
        <w:rPr>
          <w:highlight w:val="none"/>
        </w:rPr>
      </w:pPr>
      <w:bookmarkStart w:id="150" w:name="_Toc16966"/>
      <w:bookmarkStart w:id="151" w:name="_Toc194135365"/>
      <w:r>
        <w:rPr>
          <w:rFonts w:hint="eastAsia"/>
          <w:highlight w:val="none"/>
        </w:rPr>
        <w:t>项目运营维护阶段的咨询服务</w:t>
      </w:r>
      <w:bookmarkEnd w:id="150"/>
      <w:bookmarkEnd w:id="151"/>
    </w:p>
    <w:p w14:paraId="324D66A6">
      <w:pPr>
        <w:pStyle w:val="106"/>
        <w:spacing w:before="156" w:after="156"/>
        <w:rPr>
          <w:highlight w:val="none"/>
        </w:rPr>
      </w:pPr>
      <w:bookmarkStart w:id="152" w:name="_Toc18342"/>
      <w:bookmarkStart w:id="153" w:name="_Toc194135366"/>
      <w:r>
        <w:rPr>
          <w:rFonts w:hint="eastAsia"/>
          <w:highlight w:val="none"/>
        </w:rPr>
        <w:t>一般规定</w:t>
      </w:r>
      <w:bookmarkEnd w:id="152"/>
      <w:bookmarkEnd w:id="153"/>
    </w:p>
    <w:p w14:paraId="744523A3">
      <w:pPr>
        <w:pStyle w:val="166"/>
        <w:rPr>
          <w:highlight w:val="none"/>
        </w:rPr>
      </w:pPr>
      <w:r>
        <w:rPr>
          <w:rFonts w:hint="eastAsia"/>
          <w:highlight w:val="none"/>
        </w:rPr>
        <w:t>项目竣工交付后，全过程工程咨询服务单位应为委托人提供项目后评价、项目绩效评价、设施管理、能耗管理、资产管理等方面的咨询服务，保证项目具备预期的使用性能可靠度和保值增值，充分发挥建设项目的投资效益。</w:t>
      </w:r>
    </w:p>
    <w:p w14:paraId="6F4C3708">
      <w:pPr>
        <w:pStyle w:val="166"/>
        <w:rPr>
          <w:highlight w:val="none"/>
        </w:rPr>
      </w:pPr>
      <w:r>
        <w:rPr>
          <w:rFonts w:hint="eastAsia"/>
          <w:highlight w:val="none"/>
        </w:rPr>
        <w:t>运营维护阶段的咨询服务应确保项目能够依据预期功能、质量和成本顺利投入运营并持续高效运行，保障项目的长期经济效益和社会效益。</w:t>
      </w:r>
    </w:p>
    <w:p w14:paraId="637FDD3D">
      <w:pPr>
        <w:pStyle w:val="106"/>
        <w:spacing w:before="156" w:after="156"/>
        <w:rPr>
          <w:highlight w:val="none"/>
        </w:rPr>
      </w:pPr>
      <w:bookmarkStart w:id="154" w:name="_Toc32506"/>
      <w:bookmarkStart w:id="155" w:name="_Toc194135367"/>
      <w:r>
        <w:rPr>
          <w:rFonts w:hint="eastAsia"/>
          <w:highlight w:val="none"/>
        </w:rPr>
        <w:t>项目后评价</w:t>
      </w:r>
      <w:bookmarkEnd w:id="154"/>
      <w:bookmarkEnd w:id="155"/>
    </w:p>
    <w:p w14:paraId="62A004D3">
      <w:pPr>
        <w:pStyle w:val="166"/>
        <w:rPr>
          <w:highlight w:val="none"/>
        </w:rPr>
      </w:pPr>
      <w:r>
        <w:rPr>
          <w:rFonts w:hint="eastAsia"/>
          <w:highlight w:val="none"/>
        </w:rPr>
        <w:t>全过程工程咨询服务单位应当按照委托要求，根据业内应遵循的评价方法、工作流程、质量保证要求和执业行为规范，独立开展项目后评价工作，在规定时限内完成项目后评价任务，提出合格的项目后评价报告。</w:t>
      </w:r>
    </w:p>
    <w:p w14:paraId="1F399382">
      <w:pPr>
        <w:pStyle w:val="166"/>
        <w:rPr>
          <w:highlight w:val="none"/>
        </w:rPr>
      </w:pPr>
      <w:r>
        <w:rPr>
          <w:rFonts w:hint="eastAsia"/>
          <w:highlight w:val="none"/>
        </w:rPr>
        <w:t>项目后评价咨询服务应包括项目自我总结评价报告编制和项目后评价报告编制。</w:t>
      </w:r>
    </w:p>
    <w:p w14:paraId="1D4C9FBF">
      <w:pPr>
        <w:pStyle w:val="166"/>
        <w:rPr>
          <w:highlight w:val="none"/>
        </w:rPr>
      </w:pPr>
      <w:r>
        <w:rPr>
          <w:rFonts w:hint="eastAsia"/>
          <w:highlight w:val="none"/>
        </w:rPr>
        <w:t>全过程工程咨询服务单位项目后评价咨询服务，应满足下列要求：</w:t>
      </w:r>
    </w:p>
    <w:p w14:paraId="4170A0C7">
      <w:pPr>
        <w:pStyle w:val="175"/>
        <w:numPr>
          <w:ilvl w:val="0"/>
          <w:numId w:val="114"/>
        </w:numPr>
        <w:rPr>
          <w:highlight w:val="none"/>
        </w:rPr>
      </w:pPr>
      <w:r>
        <w:rPr>
          <w:rFonts w:hint="eastAsia"/>
          <w:highlight w:val="none"/>
        </w:rPr>
        <w:t>对所承担的全过程工程咨询项目编制项目自我总结评价报告；</w:t>
      </w:r>
    </w:p>
    <w:p w14:paraId="34F13D16">
      <w:pPr>
        <w:pStyle w:val="175"/>
        <w:numPr>
          <w:ilvl w:val="0"/>
          <w:numId w:val="112"/>
        </w:numPr>
        <w:rPr>
          <w:highlight w:val="none"/>
        </w:rPr>
      </w:pPr>
      <w:r>
        <w:rPr>
          <w:rFonts w:hint="eastAsia"/>
          <w:highlight w:val="none"/>
        </w:rPr>
        <w:t>不得对所承担的全过程工程咨询项目编制项目后评价报告；</w:t>
      </w:r>
    </w:p>
    <w:p w14:paraId="657F661C">
      <w:pPr>
        <w:pStyle w:val="175"/>
        <w:numPr>
          <w:ilvl w:val="0"/>
          <w:numId w:val="112"/>
        </w:numPr>
        <w:rPr>
          <w:highlight w:val="none"/>
        </w:rPr>
      </w:pPr>
      <w:r>
        <w:rPr>
          <w:rFonts w:hint="eastAsia"/>
          <w:highlight w:val="none"/>
        </w:rPr>
        <w:t>可对未参与过项目前期、建设实施及项目自我总结评价报告编制的项目提供编制项目后评价报告的咨询服务。</w:t>
      </w:r>
    </w:p>
    <w:p w14:paraId="495254D9">
      <w:pPr>
        <w:pStyle w:val="166"/>
        <w:rPr>
          <w:highlight w:val="none"/>
        </w:rPr>
      </w:pPr>
      <w:r>
        <w:rPr>
          <w:rFonts w:hint="eastAsia"/>
          <w:highlight w:val="none"/>
        </w:rPr>
        <w:t>项目自我评价总结报告应包括下列内容：</w:t>
      </w:r>
    </w:p>
    <w:p w14:paraId="7EF0FC4D">
      <w:pPr>
        <w:pStyle w:val="175"/>
        <w:numPr>
          <w:ilvl w:val="0"/>
          <w:numId w:val="115"/>
        </w:numPr>
        <w:rPr>
          <w:highlight w:val="none"/>
        </w:rPr>
      </w:pPr>
      <w:r>
        <w:rPr>
          <w:rFonts w:hint="eastAsia"/>
          <w:highlight w:val="none"/>
        </w:rPr>
        <w:t>项目概况；</w:t>
      </w:r>
    </w:p>
    <w:p w14:paraId="151DC221">
      <w:pPr>
        <w:pStyle w:val="175"/>
        <w:numPr>
          <w:ilvl w:val="0"/>
          <w:numId w:val="112"/>
        </w:numPr>
        <w:rPr>
          <w:highlight w:val="none"/>
        </w:rPr>
      </w:pPr>
      <w:r>
        <w:rPr>
          <w:rFonts w:hint="eastAsia"/>
          <w:highlight w:val="none"/>
        </w:rPr>
        <w:t>项目实施过程总结；</w:t>
      </w:r>
    </w:p>
    <w:p w14:paraId="358BFC2D">
      <w:pPr>
        <w:pStyle w:val="175"/>
        <w:numPr>
          <w:ilvl w:val="0"/>
          <w:numId w:val="112"/>
        </w:numPr>
        <w:rPr>
          <w:highlight w:val="none"/>
        </w:rPr>
      </w:pPr>
      <w:r>
        <w:rPr>
          <w:rFonts w:hint="eastAsia"/>
          <w:highlight w:val="none"/>
        </w:rPr>
        <w:t>项目实施效果评价；</w:t>
      </w:r>
    </w:p>
    <w:p w14:paraId="0DE4AAE2">
      <w:pPr>
        <w:pStyle w:val="175"/>
        <w:numPr>
          <w:ilvl w:val="0"/>
          <w:numId w:val="112"/>
        </w:numPr>
        <w:rPr>
          <w:highlight w:val="none"/>
        </w:rPr>
      </w:pPr>
      <w:r>
        <w:rPr>
          <w:rFonts w:hint="eastAsia"/>
          <w:highlight w:val="none"/>
        </w:rPr>
        <w:t>项目目标评价；</w:t>
      </w:r>
    </w:p>
    <w:p w14:paraId="3D3BCB10">
      <w:pPr>
        <w:pStyle w:val="175"/>
        <w:numPr>
          <w:ilvl w:val="0"/>
          <w:numId w:val="112"/>
        </w:numPr>
        <w:rPr>
          <w:highlight w:val="none"/>
        </w:rPr>
      </w:pPr>
      <w:r>
        <w:rPr>
          <w:rFonts w:hint="eastAsia"/>
          <w:highlight w:val="none"/>
        </w:rPr>
        <w:t>评价结论、主要经验教训和相关建议。</w:t>
      </w:r>
    </w:p>
    <w:p w14:paraId="5D9D879F">
      <w:pPr>
        <w:pStyle w:val="166"/>
        <w:rPr>
          <w:highlight w:val="none"/>
        </w:rPr>
      </w:pPr>
      <w:r>
        <w:rPr>
          <w:rFonts w:hint="eastAsia"/>
          <w:highlight w:val="none"/>
        </w:rPr>
        <w:t>项目后评价报告应包括下列内容：</w:t>
      </w:r>
    </w:p>
    <w:p w14:paraId="38F7BD45">
      <w:pPr>
        <w:pStyle w:val="175"/>
        <w:numPr>
          <w:ilvl w:val="0"/>
          <w:numId w:val="116"/>
        </w:numPr>
        <w:rPr>
          <w:highlight w:val="none"/>
        </w:rPr>
      </w:pPr>
      <w:r>
        <w:rPr>
          <w:rFonts w:hint="eastAsia"/>
          <w:highlight w:val="none"/>
        </w:rPr>
        <w:t>项目概况；</w:t>
      </w:r>
    </w:p>
    <w:p w14:paraId="47B4926B">
      <w:pPr>
        <w:pStyle w:val="175"/>
        <w:numPr>
          <w:ilvl w:val="0"/>
          <w:numId w:val="112"/>
        </w:numPr>
        <w:rPr>
          <w:highlight w:val="none"/>
        </w:rPr>
      </w:pPr>
      <w:r>
        <w:rPr>
          <w:rFonts w:hint="eastAsia"/>
          <w:highlight w:val="none"/>
        </w:rPr>
        <w:t>项目全过程总结和评价；</w:t>
      </w:r>
    </w:p>
    <w:p w14:paraId="03E56080">
      <w:pPr>
        <w:pStyle w:val="175"/>
        <w:numPr>
          <w:ilvl w:val="0"/>
          <w:numId w:val="112"/>
        </w:numPr>
        <w:rPr>
          <w:highlight w:val="none"/>
        </w:rPr>
      </w:pPr>
      <w:r>
        <w:rPr>
          <w:rFonts w:hint="eastAsia"/>
          <w:highlight w:val="none"/>
        </w:rPr>
        <w:t>项目效果和效益评价；</w:t>
      </w:r>
    </w:p>
    <w:p w14:paraId="3ACB4A3C">
      <w:pPr>
        <w:pStyle w:val="175"/>
        <w:numPr>
          <w:ilvl w:val="0"/>
          <w:numId w:val="112"/>
        </w:numPr>
        <w:rPr>
          <w:highlight w:val="none"/>
        </w:rPr>
      </w:pPr>
      <w:r>
        <w:rPr>
          <w:rFonts w:hint="eastAsia"/>
          <w:highlight w:val="none"/>
        </w:rPr>
        <w:t>项目目标和可持续性评价；</w:t>
      </w:r>
    </w:p>
    <w:p w14:paraId="5BE3D1CC">
      <w:pPr>
        <w:pStyle w:val="175"/>
        <w:numPr>
          <w:ilvl w:val="0"/>
          <w:numId w:val="112"/>
        </w:numPr>
        <w:rPr>
          <w:highlight w:val="none"/>
        </w:rPr>
      </w:pPr>
      <w:r>
        <w:rPr>
          <w:rFonts w:hint="eastAsia"/>
          <w:highlight w:val="none"/>
        </w:rPr>
        <w:t>项目后评价结论、主要经验教训；</w:t>
      </w:r>
    </w:p>
    <w:p w14:paraId="1246C8A7">
      <w:pPr>
        <w:pStyle w:val="175"/>
        <w:numPr>
          <w:ilvl w:val="0"/>
          <w:numId w:val="112"/>
        </w:numPr>
        <w:rPr>
          <w:highlight w:val="none"/>
        </w:rPr>
      </w:pPr>
      <w:r>
        <w:rPr>
          <w:rFonts w:hint="eastAsia"/>
          <w:highlight w:val="none"/>
        </w:rPr>
        <w:t>相关的对策建议。</w:t>
      </w:r>
    </w:p>
    <w:p w14:paraId="56741929">
      <w:pPr>
        <w:pStyle w:val="166"/>
        <w:rPr>
          <w:highlight w:val="none"/>
        </w:rPr>
      </w:pPr>
      <w:r>
        <w:rPr>
          <w:rFonts w:hint="eastAsia"/>
          <w:highlight w:val="none"/>
        </w:rPr>
        <w:t>项目后评价咨询服务应注意下列事项：</w:t>
      </w:r>
    </w:p>
    <w:p w14:paraId="2723275B">
      <w:pPr>
        <w:pStyle w:val="175"/>
        <w:numPr>
          <w:ilvl w:val="0"/>
          <w:numId w:val="117"/>
        </w:numPr>
        <w:rPr>
          <w:highlight w:val="none"/>
        </w:rPr>
      </w:pPr>
      <w:r>
        <w:rPr>
          <w:rFonts w:hint="eastAsia"/>
          <w:highlight w:val="none"/>
        </w:rPr>
        <w:t>依据真实、可靠的建设项目工程资料、运营维护阶段资料，将项目建成投产后的实际效果对照项目可行性研究报告、初步设计文件、相关审批文件进行对比分析，全面系统地编制项目自我总结评价报告和项目后评价报告；</w:t>
      </w:r>
    </w:p>
    <w:p w14:paraId="6DF1E74F">
      <w:pPr>
        <w:pStyle w:val="175"/>
        <w:numPr>
          <w:ilvl w:val="0"/>
          <w:numId w:val="112"/>
        </w:numPr>
        <w:rPr>
          <w:highlight w:val="none"/>
        </w:rPr>
      </w:pPr>
      <w:r>
        <w:rPr>
          <w:rFonts w:hint="eastAsia"/>
          <w:highlight w:val="none"/>
        </w:rPr>
        <w:t>采取适合工程项目特点的评价方法，过程评价与结果评价相配套，定性评价与定量评价相结合开展项目后评价咨询工作；</w:t>
      </w:r>
    </w:p>
    <w:p w14:paraId="7F154BAE">
      <w:pPr>
        <w:pStyle w:val="175"/>
        <w:numPr>
          <w:ilvl w:val="0"/>
          <w:numId w:val="112"/>
        </w:numPr>
        <w:rPr>
          <w:highlight w:val="none"/>
        </w:rPr>
      </w:pPr>
      <w:r>
        <w:rPr>
          <w:rFonts w:hint="eastAsia"/>
          <w:highlight w:val="none"/>
        </w:rPr>
        <w:t>在开展项目后评价的过程中，应重视公众参与，广泛听取、采纳各方合理评价意见，并在后评价报告中予以客观反映。评价和管理过程应公开、公平、公正，评价结果应符合规定的要求；</w:t>
      </w:r>
    </w:p>
    <w:p w14:paraId="46520D42">
      <w:pPr>
        <w:pStyle w:val="175"/>
        <w:numPr>
          <w:ilvl w:val="0"/>
          <w:numId w:val="112"/>
        </w:numPr>
        <w:rPr>
          <w:highlight w:val="none"/>
        </w:rPr>
      </w:pPr>
      <w:r>
        <w:rPr>
          <w:rFonts w:hint="eastAsia"/>
          <w:highlight w:val="none"/>
        </w:rPr>
        <w:t>项目后评价资料应及时归档和保存。</w:t>
      </w:r>
    </w:p>
    <w:p w14:paraId="7F42AD80">
      <w:pPr>
        <w:pStyle w:val="106"/>
        <w:spacing w:before="156" w:after="156"/>
        <w:rPr>
          <w:highlight w:val="none"/>
        </w:rPr>
      </w:pPr>
      <w:bookmarkStart w:id="156" w:name="_Toc9108"/>
      <w:bookmarkStart w:id="157" w:name="_Toc194135368"/>
      <w:r>
        <w:rPr>
          <w:rFonts w:hint="eastAsia"/>
          <w:highlight w:val="none"/>
        </w:rPr>
        <w:t>项目绩效评价</w:t>
      </w:r>
      <w:bookmarkEnd w:id="156"/>
      <w:bookmarkEnd w:id="157"/>
    </w:p>
    <w:p w14:paraId="4D00EDFB">
      <w:pPr>
        <w:pStyle w:val="166"/>
        <w:rPr>
          <w:highlight w:val="none"/>
        </w:rPr>
      </w:pPr>
      <w:r>
        <w:rPr>
          <w:rFonts w:hint="eastAsia"/>
          <w:highlight w:val="none"/>
        </w:rPr>
        <w:t>项目绩效评价咨询服务应满足下列要求：</w:t>
      </w:r>
    </w:p>
    <w:p w14:paraId="33E98D0C">
      <w:pPr>
        <w:pStyle w:val="175"/>
        <w:numPr>
          <w:ilvl w:val="0"/>
          <w:numId w:val="118"/>
        </w:numPr>
        <w:rPr>
          <w:highlight w:val="none"/>
        </w:rPr>
      </w:pPr>
      <w:r>
        <w:rPr>
          <w:rFonts w:hint="eastAsia"/>
          <w:highlight w:val="none"/>
        </w:rPr>
        <w:t>全过程工程咨询服务单位可根据委托合同，提供项目绩效评价咨询服务；</w:t>
      </w:r>
    </w:p>
    <w:p w14:paraId="4270B322">
      <w:pPr>
        <w:pStyle w:val="175"/>
        <w:numPr>
          <w:ilvl w:val="0"/>
          <w:numId w:val="112"/>
        </w:numPr>
        <w:rPr>
          <w:highlight w:val="none"/>
        </w:rPr>
      </w:pPr>
      <w:r>
        <w:rPr>
          <w:rFonts w:hint="eastAsia"/>
          <w:highlight w:val="none"/>
        </w:rPr>
        <w:t>根据设定的绩效目标，运用科学、合理的绩效评价指标体系、评价标准和评价方法，对财务支出的经济性、效率和效益进行客观、公正的评价；</w:t>
      </w:r>
    </w:p>
    <w:p w14:paraId="1626D939">
      <w:pPr>
        <w:pStyle w:val="175"/>
        <w:numPr>
          <w:ilvl w:val="0"/>
          <w:numId w:val="112"/>
        </w:numPr>
        <w:rPr>
          <w:highlight w:val="none"/>
        </w:rPr>
      </w:pPr>
      <w:r>
        <w:rPr>
          <w:rFonts w:hint="eastAsia"/>
          <w:highlight w:val="none"/>
        </w:rPr>
        <w:t>以项目绩效评价报告作为最终成果。</w:t>
      </w:r>
    </w:p>
    <w:p w14:paraId="55AF100F">
      <w:pPr>
        <w:pStyle w:val="166"/>
        <w:rPr>
          <w:highlight w:val="none"/>
        </w:rPr>
      </w:pPr>
      <w:r>
        <w:rPr>
          <w:rFonts w:hint="eastAsia"/>
          <w:highlight w:val="none"/>
        </w:rPr>
        <w:t>项目绩效评价报告应包含下列内容：</w:t>
      </w:r>
    </w:p>
    <w:p w14:paraId="55EFA481">
      <w:pPr>
        <w:pStyle w:val="175"/>
        <w:numPr>
          <w:ilvl w:val="0"/>
          <w:numId w:val="119"/>
        </w:numPr>
        <w:rPr>
          <w:highlight w:val="none"/>
        </w:rPr>
      </w:pPr>
      <w:r>
        <w:rPr>
          <w:rFonts w:hint="eastAsia"/>
          <w:highlight w:val="none"/>
        </w:rPr>
        <w:t>项目基本情况；</w:t>
      </w:r>
    </w:p>
    <w:p w14:paraId="6C9ECAE2">
      <w:pPr>
        <w:pStyle w:val="175"/>
        <w:numPr>
          <w:ilvl w:val="0"/>
          <w:numId w:val="112"/>
        </w:numPr>
        <w:rPr>
          <w:highlight w:val="none"/>
        </w:rPr>
      </w:pPr>
      <w:r>
        <w:rPr>
          <w:rFonts w:hint="eastAsia"/>
          <w:highlight w:val="none"/>
        </w:rPr>
        <w:t>项目绩效评价的组织实施情况；</w:t>
      </w:r>
    </w:p>
    <w:p w14:paraId="55ECC695">
      <w:pPr>
        <w:pStyle w:val="175"/>
        <w:numPr>
          <w:ilvl w:val="0"/>
          <w:numId w:val="112"/>
        </w:numPr>
        <w:rPr>
          <w:highlight w:val="none"/>
        </w:rPr>
      </w:pPr>
      <w:r>
        <w:rPr>
          <w:rFonts w:hint="eastAsia"/>
          <w:highlight w:val="none"/>
        </w:rPr>
        <w:t>项目绩效评价的指标体系、评价标准和评价方法；</w:t>
      </w:r>
    </w:p>
    <w:p w14:paraId="6E7BA858">
      <w:pPr>
        <w:pStyle w:val="175"/>
        <w:numPr>
          <w:ilvl w:val="0"/>
          <w:numId w:val="112"/>
        </w:numPr>
        <w:rPr>
          <w:highlight w:val="none"/>
        </w:rPr>
      </w:pPr>
      <w:r>
        <w:rPr>
          <w:rFonts w:hint="eastAsia"/>
          <w:highlight w:val="none"/>
        </w:rPr>
        <w:t>项目绩效分析及绩效评价结论；</w:t>
      </w:r>
    </w:p>
    <w:p w14:paraId="59351240">
      <w:pPr>
        <w:pStyle w:val="175"/>
        <w:numPr>
          <w:ilvl w:val="0"/>
          <w:numId w:val="112"/>
        </w:numPr>
        <w:rPr>
          <w:highlight w:val="none"/>
        </w:rPr>
      </w:pPr>
      <w:r>
        <w:rPr>
          <w:rFonts w:hint="eastAsia"/>
          <w:highlight w:val="none"/>
        </w:rPr>
        <w:t>项目的主要经验及做法；</w:t>
      </w:r>
    </w:p>
    <w:p w14:paraId="090A4D4C">
      <w:pPr>
        <w:pStyle w:val="175"/>
        <w:numPr>
          <w:ilvl w:val="0"/>
          <w:numId w:val="112"/>
        </w:numPr>
        <w:rPr>
          <w:highlight w:val="none"/>
        </w:rPr>
      </w:pPr>
      <w:r>
        <w:rPr>
          <w:rFonts w:hint="eastAsia"/>
          <w:highlight w:val="none"/>
        </w:rPr>
        <w:t>存在问题及原因分析；</w:t>
      </w:r>
    </w:p>
    <w:p w14:paraId="6F5088D7">
      <w:pPr>
        <w:pStyle w:val="175"/>
        <w:numPr>
          <w:ilvl w:val="0"/>
          <w:numId w:val="112"/>
        </w:numPr>
        <w:rPr>
          <w:highlight w:val="none"/>
        </w:rPr>
      </w:pPr>
      <w:r>
        <w:rPr>
          <w:rFonts w:hint="eastAsia"/>
          <w:highlight w:val="none"/>
        </w:rPr>
        <w:t>相关建议；</w:t>
      </w:r>
    </w:p>
    <w:p w14:paraId="63931653">
      <w:pPr>
        <w:pStyle w:val="175"/>
        <w:numPr>
          <w:ilvl w:val="0"/>
          <w:numId w:val="112"/>
        </w:numPr>
        <w:rPr>
          <w:highlight w:val="none"/>
        </w:rPr>
      </w:pPr>
      <w:r>
        <w:rPr>
          <w:rFonts w:hint="eastAsia"/>
          <w:highlight w:val="none"/>
        </w:rPr>
        <w:t>项目绩效评价报告使用限制等其他需要说明的问题；</w:t>
      </w:r>
    </w:p>
    <w:p w14:paraId="749AACC2">
      <w:pPr>
        <w:pStyle w:val="175"/>
        <w:numPr>
          <w:ilvl w:val="0"/>
          <w:numId w:val="112"/>
        </w:numPr>
        <w:rPr>
          <w:highlight w:val="none"/>
        </w:rPr>
      </w:pPr>
      <w:r>
        <w:rPr>
          <w:rFonts w:hint="eastAsia"/>
          <w:highlight w:val="none"/>
        </w:rPr>
        <w:t>相关附件。</w:t>
      </w:r>
    </w:p>
    <w:p w14:paraId="345BD894">
      <w:pPr>
        <w:pStyle w:val="106"/>
        <w:spacing w:before="156" w:after="156"/>
        <w:rPr>
          <w:highlight w:val="none"/>
        </w:rPr>
      </w:pPr>
      <w:bookmarkStart w:id="158" w:name="_Toc13108"/>
      <w:bookmarkStart w:id="159" w:name="_Toc194135369"/>
      <w:r>
        <w:rPr>
          <w:rFonts w:hint="eastAsia"/>
          <w:highlight w:val="none"/>
        </w:rPr>
        <w:t>设施管理</w:t>
      </w:r>
      <w:bookmarkEnd w:id="158"/>
      <w:bookmarkEnd w:id="159"/>
    </w:p>
    <w:p w14:paraId="6FF80CE6">
      <w:pPr>
        <w:pStyle w:val="166"/>
        <w:rPr>
          <w:highlight w:val="none"/>
        </w:rPr>
      </w:pPr>
      <w:r>
        <w:rPr>
          <w:rFonts w:hint="eastAsia"/>
          <w:highlight w:val="none"/>
        </w:rPr>
        <w:t>全过程工程咨询服务单位应为委托的项目提供设施管理方案，对项目的设施管理提出专业化、精细化、集约化、智能化、信息化、定制化等工作要求和建议。</w:t>
      </w:r>
    </w:p>
    <w:p w14:paraId="69FFBBC1">
      <w:pPr>
        <w:pStyle w:val="166"/>
        <w:rPr>
          <w:highlight w:val="none"/>
        </w:rPr>
      </w:pPr>
      <w:r>
        <w:rPr>
          <w:rFonts w:hint="eastAsia"/>
          <w:highlight w:val="none"/>
        </w:rPr>
        <w:t>项目设施管理方案应包括下列内容：</w:t>
      </w:r>
    </w:p>
    <w:p w14:paraId="03288397">
      <w:pPr>
        <w:pStyle w:val="175"/>
        <w:numPr>
          <w:ilvl w:val="0"/>
          <w:numId w:val="120"/>
        </w:numPr>
        <w:rPr>
          <w:highlight w:val="none"/>
        </w:rPr>
      </w:pPr>
      <w:r>
        <w:rPr>
          <w:rFonts w:hint="eastAsia"/>
          <w:highlight w:val="none"/>
        </w:rPr>
        <w:t>空间管理；</w:t>
      </w:r>
    </w:p>
    <w:p w14:paraId="02D9CB49">
      <w:pPr>
        <w:pStyle w:val="175"/>
        <w:numPr>
          <w:ilvl w:val="0"/>
          <w:numId w:val="112"/>
        </w:numPr>
        <w:rPr>
          <w:highlight w:val="none"/>
        </w:rPr>
      </w:pPr>
      <w:r>
        <w:rPr>
          <w:rFonts w:hint="eastAsia"/>
          <w:highlight w:val="none"/>
        </w:rPr>
        <w:t>租赁管理；</w:t>
      </w:r>
    </w:p>
    <w:p w14:paraId="3DE37550">
      <w:pPr>
        <w:pStyle w:val="175"/>
        <w:numPr>
          <w:ilvl w:val="0"/>
          <w:numId w:val="112"/>
        </w:numPr>
        <w:rPr>
          <w:highlight w:val="none"/>
        </w:rPr>
      </w:pPr>
      <w:r>
        <w:rPr>
          <w:rFonts w:hint="eastAsia"/>
          <w:highlight w:val="none"/>
        </w:rPr>
        <w:t>运维管理；</w:t>
      </w:r>
    </w:p>
    <w:p w14:paraId="393EB459">
      <w:pPr>
        <w:pStyle w:val="175"/>
        <w:numPr>
          <w:ilvl w:val="0"/>
          <w:numId w:val="112"/>
        </w:numPr>
        <w:rPr>
          <w:highlight w:val="none"/>
        </w:rPr>
      </w:pPr>
      <w:r>
        <w:rPr>
          <w:rFonts w:hint="eastAsia"/>
          <w:highlight w:val="none"/>
        </w:rPr>
        <w:t>环境和风险管理；</w:t>
      </w:r>
    </w:p>
    <w:p w14:paraId="3D7FE497">
      <w:pPr>
        <w:pStyle w:val="175"/>
        <w:numPr>
          <w:ilvl w:val="0"/>
          <w:numId w:val="112"/>
        </w:numPr>
        <w:rPr>
          <w:highlight w:val="none"/>
        </w:rPr>
      </w:pPr>
      <w:r>
        <w:rPr>
          <w:rFonts w:hint="eastAsia"/>
          <w:highlight w:val="none"/>
        </w:rPr>
        <w:t>家具和设备管理；</w:t>
      </w:r>
    </w:p>
    <w:p w14:paraId="10653C12">
      <w:pPr>
        <w:pStyle w:val="175"/>
        <w:numPr>
          <w:ilvl w:val="0"/>
          <w:numId w:val="112"/>
        </w:numPr>
        <w:rPr>
          <w:highlight w:val="none"/>
        </w:rPr>
      </w:pPr>
      <w:r>
        <w:rPr>
          <w:rFonts w:hint="eastAsia"/>
          <w:highlight w:val="none"/>
        </w:rPr>
        <w:t>工作场所管理；</w:t>
      </w:r>
    </w:p>
    <w:p w14:paraId="00095AC5">
      <w:pPr>
        <w:pStyle w:val="175"/>
        <w:numPr>
          <w:ilvl w:val="0"/>
          <w:numId w:val="112"/>
        </w:numPr>
        <w:rPr>
          <w:highlight w:val="none"/>
        </w:rPr>
      </w:pPr>
      <w:r>
        <w:rPr>
          <w:rFonts w:hint="eastAsia"/>
          <w:highlight w:val="none"/>
        </w:rPr>
        <w:t>物业管理；</w:t>
      </w:r>
    </w:p>
    <w:p w14:paraId="0A14F144">
      <w:pPr>
        <w:pStyle w:val="175"/>
        <w:numPr>
          <w:ilvl w:val="0"/>
          <w:numId w:val="112"/>
        </w:numPr>
        <w:rPr>
          <w:highlight w:val="none"/>
        </w:rPr>
      </w:pPr>
      <w:r>
        <w:rPr>
          <w:rFonts w:hint="eastAsia"/>
          <w:highlight w:val="none"/>
        </w:rPr>
        <w:t>绿色运行管理；</w:t>
      </w:r>
    </w:p>
    <w:p w14:paraId="7FB109BA">
      <w:pPr>
        <w:pStyle w:val="175"/>
        <w:numPr>
          <w:ilvl w:val="0"/>
          <w:numId w:val="112"/>
        </w:numPr>
        <w:rPr>
          <w:highlight w:val="none"/>
        </w:rPr>
      </w:pPr>
      <w:r>
        <w:rPr>
          <w:rFonts w:hint="eastAsia"/>
          <w:highlight w:val="none"/>
        </w:rPr>
        <w:t>其他系统与运维系统的数据交换管理。包括但不限于办公、消防、安保、网络通讯、楼宇控制等智能建筑系统与运维系统的数据交换管理。</w:t>
      </w:r>
    </w:p>
    <w:p w14:paraId="731E4C63">
      <w:pPr>
        <w:pStyle w:val="106"/>
        <w:spacing w:before="156" w:after="156"/>
        <w:rPr>
          <w:highlight w:val="none"/>
        </w:rPr>
      </w:pPr>
      <w:bookmarkStart w:id="160" w:name="_Toc194135370"/>
      <w:bookmarkStart w:id="161" w:name="_Toc13430"/>
      <w:r>
        <w:rPr>
          <w:rFonts w:hint="eastAsia"/>
          <w:highlight w:val="none"/>
        </w:rPr>
        <w:t>资产管理</w:t>
      </w:r>
      <w:bookmarkEnd w:id="160"/>
      <w:bookmarkEnd w:id="161"/>
    </w:p>
    <w:p w14:paraId="00B0D34A">
      <w:pPr>
        <w:pStyle w:val="166"/>
        <w:rPr>
          <w:highlight w:val="none"/>
        </w:rPr>
      </w:pPr>
      <w:r>
        <w:rPr>
          <w:rFonts w:hint="eastAsia"/>
          <w:highlight w:val="none"/>
        </w:rPr>
        <w:t>项目资产管理咨询服务应满足下列要求：</w:t>
      </w:r>
    </w:p>
    <w:p w14:paraId="670F3DF5">
      <w:pPr>
        <w:pStyle w:val="175"/>
        <w:numPr>
          <w:ilvl w:val="0"/>
          <w:numId w:val="121"/>
        </w:numPr>
        <w:rPr>
          <w:highlight w:val="none"/>
        </w:rPr>
      </w:pPr>
      <w:r>
        <w:rPr>
          <w:rFonts w:hint="eastAsia"/>
          <w:highlight w:val="none"/>
        </w:rPr>
        <w:t>通过对资产和运营的科学分析和量化，对委托人提出的问题进行总结，协助委托人制定切实可行的运营方案，为下一步资产管理提供依据。</w:t>
      </w:r>
    </w:p>
    <w:p w14:paraId="1B93026B">
      <w:pPr>
        <w:pStyle w:val="175"/>
        <w:numPr>
          <w:ilvl w:val="0"/>
          <w:numId w:val="112"/>
        </w:numPr>
        <w:rPr>
          <w:highlight w:val="none"/>
        </w:rPr>
      </w:pPr>
      <w:r>
        <w:rPr>
          <w:rFonts w:hint="eastAsia"/>
          <w:highlight w:val="none"/>
        </w:rPr>
        <w:t>通过协调并优化资产管理系统，以最大限度地提高资金的价值和利益相关方期望的满意度。</w:t>
      </w:r>
    </w:p>
    <w:p w14:paraId="0D24BDB1">
      <w:pPr>
        <w:pStyle w:val="166"/>
        <w:rPr>
          <w:highlight w:val="none"/>
        </w:rPr>
      </w:pPr>
      <w:r>
        <w:rPr>
          <w:rFonts w:hint="eastAsia"/>
          <w:highlight w:val="none"/>
        </w:rPr>
        <w:t>项目资产管理咨询服务应包括下列内容：</w:t>
      </w:r>
    </w:p>
    <w:p w14:paraId="759DA1FB">
      <w:pPr>
        <w:pStyle w:val="175"/>
        <w:numPr>
          <w:ilvl w:val="0"/>
          <w:numId w:val="122"/>
        </w:numPr>
        <w:rPr>
          <w:highlight w:val="none"/>
        </w:rPr>
      </w:pPr>
      <w:r>
        <w:rPr>
          <w:rFonts w:hint="eastAsia"/>
          <w:highlight w:val="none"/>
        </w:rPr>
        <w:t>资产保值和增值分析，降低资产持有风险，增加现金流量。</w:t>
      </w:r>
    </w:p>
    <w:p w14:paraId="122C3BE4">
      <w:pPr>
        <w:pStyle w:val="175"/>
        <w:numPr>
          <w:ilvl w:val="0"/>
          <w:numId w:val="112"/>
        </w:numPr>
        <w:rPr>
          <w:highlight w:val="none"/>
        </w:rPr>
      </w:pPr>
      <w:r>
        <w:rPr>
          <w:rFonts w:hint="eastAsia"/>
          <w:highlight w:val="none"/>
        </w:rPr>
        <w:t>建设项目资产运营风险分析、评价、控制与管理。</w:t>
      </w:r>
    </w:p>
    <w:p w14:paraId="6A4E70BA">
      <w:pPr>
        <w:pStyle w:val="175"/>
        <w:numPr>
          <w:ilvl w:val="0"/>
          <w:numId w:val="112"/>
        </w:numPr>
        <w:rPr>
          <w:highlight w:val="none"/>
        </w:rPr>
      </w:pPr>
      <w:r>
        <w:rPr>
          <w:rFonts w:hint="eastAsia"/>
          <w:highlight w:val="none"/>
        </w:rPr>
        <w:t>建设项目运营资金的监督、检查和考核，按项目战略计划及时评估，进行资产重新定位。</w:t>
      </w:r>
    </w:p>
    <w:p w14:paraId="2E61B20B">
      <w:pPr>
        <w:pStyle w:val="175"/>
        <w:numPr>
          <w:ilvl w:val="0"/>
          <w:numId w:val="112"/>
        </w:numPr>
        <w:rPr>
          <w:highlight w:val="none"/>
        </w:rPr>
      </w:pPr>
      <w:r>
        <w:rPr>
          <w:rFonts w:hint="eastAsia"/>
          <w:highlight w:val="none"/>
        </w:rPr>
        <w:t>建设项目招商和租赁管理策划，维护良好租户组合，适时调整租赁期限和合同内容，应对市场风险。</w:t>
      </w:r>
    </w:p>
    <w:p w14:paraId="074B43B0">
      <w:pPr>
        <w:pStyle w:val="175"/>
        <w:numPr>
          <w:ilvl w:val="0"/>
          <w:numId w:val="112"/>
        </w:numPr>
        <w:rPr>
          <w:highlight w:val="none"/>
        </w:rPr>
      </w:pPr>
      <w:r>
        <w:rPr>
          <w:rFonts w:hint="eastAsia"/>
          <w:highlight w:val="none"/>
        </w:rPr>
        <w:t>建设项目资产管理的其他服务。</w:t>
      </w:r>
    </w:p>
    <w:p w14:paraId="44842482">
      <w:pPr>
        <w:pStyle w:val="106"/>
        <w:spacing w:before="156" w:after="156"/>
        <w:rPr>
          <w:highlight w:val="none"/>
        </w:rPr>
      </w:pPr>
      <w:bookmarkStart w:id="162" w:name="_Toc26362"/>
      <w:bookmarkStart w:id="163" w:name="_Toc194135371"/>
      <w:r>
        <w:rPr>
          <w:rFonts w:hint="eastAsia"/>
          <w:highlight w:val="none"/>
        </w:rPr>
        <w:t>运维能耗管理</w:t>
      </w:r>
      <w:bookmarkEnd w:id="162"/>
      <w:bookmarkEnd w:id="163"/>
    </w:p>
    <w:p w14:paraId="3858B8BD">
      <w:pPr>
        <w:pStyle w:val="166"/>
        <w:rPr>
          <w:highlight w:val="none"/>
        </w:rPr>
      </w:pPr>
      <w:r>
        <w:rPr>
          <w:rFonts w:hint="eastAsia"/>
          <w:highlight w:val="none"/>
        </w:rPr>
        <w:t>全过程工程咨询服务团队能够帮助建筑维营方实现高效、可持续的能耗管理，从而降低运营维护成本、提升建筑价值并减少环境负担。</w:t>
      </w:r>
    </w:p>
    <w:p w14:paraId="23658154">
      <w:pPr>
        <w:pStyle w:val="166"/>
        <w:rPr>
          <w:highlight w:val="none"/>
        </w:rPr>
      </w:pPr>
      <w:r>
        <w:rPr>
          <w:rFonts w:hint="eastAsia"/>
          <w:highlight w:val="none"/>
        </w:rPr>
        <w:t>建设工程项目运维能耗管理咨询服务应满足下列要求：</w:t>
      </w:r>
    </w:p>
    <w:p w14:paraId="0BA50D93">
      <w:pPr>
        <w:pStyle w:val="175"/>
        <w:numPr>
          <w:ilvl w:val="0"/>
          <w:numId w:val="123"/>
        </w:numPr>
        <w:rPr>
          <w:highlight w:val="none"/>
        </w:rPr>
      </w:pPr>
      <w:r>
        <w:rPr>
          <w:rFonts w:hint="eastAsia"/>
          <w:highlight w:val="none"/>
        </w:rPr>
        <w:t>合规性要求：能耗管理应符合国家及地方节能法规、政策和标准，应满足绿色建筑认证（如LEED、BREEAM、GB/T 50378等）的能耗管理要求；</w:t>
      </w:r>
    </w:p>
    <w:p w14:paraId="2984C30E">
      <w:pPr>
        <w:pStyle w:val="175"/>
        <w:numPr>
          <w:ilvl w:val="0"/>
          <w:numId w:val="112"/>
        </w:numPr>
        <w:rPr>
          <w:highlight w:val="none"/>
        </w:rPr>
      </w:pPr>
      <w:r>
        <w:rPr>
          <w:rFonts w:hint="eastAsia"/>
          <w:highlight w:val="none"/>
        </w:rPr>
        <w:t>数据准确性：应建立完善的能耗数据采集和监测系统，确保数据的实时性、准确性和完整性。应定期对能耗数据进行审计和分析；</w:t>
      </w:r>
    </w:p>
    <w:p w14:paraId="54C162F1">
      <w:pPr>
        <w:pStyle w:val="175"/>
        <w:numPr>
          <w:ilvl w:val="0"/>
          <w:numId w:val="112"/>
        </w:numPr>
        <w:rPr>
          <w:highlight w:val="none"/>
        </w:rPr>
      </w:pPr>
      <w:r>
        <w:rPr>
          <w:rFonts w:hint="eastAsia"/>
          <w:highlight w:val="none"/>
        </w:rPr>
        <w:t>节能目标：应制定明确的节能目标和实施计划，确保能耗逐年降低或维持在合理水平。针对不同建筑功能区域（如办公区、设备区、公共区域等）设定差异化的能耗指标；</w:t>
      </w:r>
    </w:p>
    <w:p w14:paraId="16875BF3">
      <w:pPr>
        <w:pStyle w:val="175"/>
        <w:numPr>
          <w:ilvl w:val="0"/>
          <w:numId w:val="112"/>
        </w:numPr>
        <w:rPr>
          <w:highlight w:val="none"/>
        </w:rPr>
      </w:pPr>
      <w:r>
        <w:rPr>
          <w:rFonts w:hint="eastAsia"/>
          <w:highlight w:val="none"/>
        </w:rPr>
        <w:t>技术先进性：应采用先进的能耗监测技术（如物联网、大数据分析、人工智能等）实现智能化管理。应推广使用节能设备和技术（如高效照明系统、智能 HVAC 系统、可再生能源等）；</w:t>
      </w:r>
    </w:p>
    <w:p w14:paraId="60301D7C">
      <w:pPr>
        <w:pStyle w:val="175"/>
        <w:numPr>
          <w:ilvl w:val="0"/>
          <w:numId w:val="112"/>
        </w:numPr>
        <w:rPr>
          <w:highlight w:val="none"/>
        </w:rPr>
      </w:pPr>
      <w:r>
        <w:rPr>
          <w:rFonts w:hint="eastAsia"/>
          <w:highlight w:val="none"/>
        </w:rPr>
        <w:t>持续改进：应定期评估能耗管理效果，提出改进措施并实施，并建立能耗管理的长效机制，确保节能措施的有效性和可持续性。</w:t>
      </w:r>
    </w:p>
    <w:p w14:paraId="2490E205">
      <w:pPr>
        <w:pStyle w:val="166"/>
        <w:rPr>
          <w:highlight w:val="none"/>
        </w:rPr>
      </w:pPr>
      <w:r>
        <w:rPr>
          <w:rFonts w:hint="eastAsia"/>
          <w:highlight w:val="none"/>
        </w:rPr>
        <w:t>建设工程项目运维能耗管理咨询应包括下列服务内容：</w:t>
      </w:r>
    </w:p>
    <w:p w14:paraId="5A5A0D35">
      <w:pPr>
        <w:pStyle w:val="175"/>
        <w:numPr>
          <w:ilvl w:val="0"/>
          <w:numId w:val="124"/>
        </w:numPr>
        <w:rPr>
          <w:highlight w:val="none"/>
        </w:rPr>
      </w:pPr>
      <w:r>
        <w:rPr>
          <w:rFonts w:hint="eastAsia"/>
          <w:highlight w:val="none"/>
        </w:rPr>
        <w:t>能耗监测与分析：安装能耗监测设备，实时采集水、电、气、热等能源消耗数据，并对能耗数据进行多维度分析，识别能耗异常和高耗能环节；</w:t>
      </w:r>
    </w:p>
    <w:p w14:paraId="76205345">
      <w:pPr>
        <w:pStyle w:val="175"/>
        <w:numPr>
          <w:ilvl w:val="0"/>
          <w:numId w:val="112"/>
        </w:numPr>
        <w:rPr>
          <w:highlight w:val="none"/>
        </w:rPr>
      </w:pPr>
      <w:r>
        <w:rPr>
          <w:rFonts w:hint="eastAsia"/>
          <w:highlight w:val="none"/>
        </w:rPr>
        <w:t>能耗审计与评估：开展能耗审计，评估建筑能耗现状，找出节能潜力。编制能耗审计报告，提出节能改造建议；</w:t>
      </w:r>
    </w:p>
    <w:p w14:paraId="18C16CAE">
      <w:pPr>
        <w:pStyle w:val="175"/>
        <w:numPr>
          <w:ilvl w:val="0"/>
          <w:numId w:val="112"/>
        </w:numPr>
        <w:rPr>
          <w:highlight w:val="none"/>
        </w:rPr>
      </w:pPr>
      <w:r>
        <w:rPr>
          <w:rFonts w:hint="eastAsia"/>
          <w:highlight w:val="none"/>
        </w:rPr>
        <w:t>节能规划与设计：制定建筑节能规划，明确节能目标和实施路径。设计节能改造方案，包括设备升级、系统优化等；</w:t>
      </w:r>
    </w:p>
    <w:p w14:paraId="13299E6D">
      <w:pPr>
        <w:pStyle w:val="175"/>
        <w:numPr>
          <w:ilvl w:val="0"/>
          <w:numId w:val="112"/>
        </w:numPr>
        <w:rPr>
          <w:highlight w:val="none"/>
        </w:rPr>
      </w:pPr>
      <w:r>
        <w:rPr>
          <w:rFonts w:hint="eastAsia"/>
          <w:highlight w:val="none"/>
        </w:rPr>
        <w:t>智能化能耗管理：部署智能化能耗管理平台，实现能耗数据的可视化、动态监控和预警。利用大数据和人工智能技术，优化能源调度和使用策略；</w:t>
      </w:r>
    </w:p>
    <w:p w14:paraId="51DBDE9A">
      <w:pPr>
        <w:pStyle w:val="175"/>
        <w:numPr>
          <w:ilvl w:val="0"/>
          <w:numId w:val="112"/>
        </w:numPr>
        <w:rPr>
          <w:highlight w:val="none"/>
        </w:rPr>
      </w:pPr>
      <w:r>
        <w:rPr>
          <w:rFonts w:hint="eastAsia"/>
          <w:highlight w:val="none"/>
        </w:rPr>
        <w:t>节能改造实施：组织实施节能改造项目，如更换高效照明设备、优化 HVAC 系统、安装太阳能光伏系统等。监督改造过程，确保改造效果符合预期；</w:t>
      </w:r>
    </w:p>
    <w:p w14:paraId="25A61104">
      <w:pPr>
        <w:pStyle w:val="175"/>
        <w:numPr>
          <w:ilvl w:val="0"/>
          <w:numId w:val="112"/>
        </w:numPr>
        <w:rPr>
          <w:highlight w:val="none"/>
        </w:rPr>
      </w:pPr>
      <w:r>
        <w:rPr>
          <w:rFonts w:hint="eastAsia"/>
          <w:highlight w:val="none"/>
        </w:rPr>
        <w:t>培训与宣传：对运营管理人员进行节能技术培训，提升其能耗管理能力。开展节能宣传活动，提高建筑使用者的节能意识；</w:t>
      </w:r>
    </w:p>
    <w:p w14:paraId="626FB268">
      <w:pPr>
        <w:pStyle w:val="175"/>
        <w:numPr>
          <w:ilvl w:val="0"/>
          <w:numId w:val="112"/>
        </w:numPr>
        <w:rPr>
          <w:highlight w:val="none"/>
        </w:rPr>
      </w:pPr>
      <w:r>
        <w:rPr>
          <w:rFonts w:hint="eastAsia"/>
          <w:highlight w:val="none"/>
        </w:rPr>
        <w:t>绩效评估与改进：定期评估能耗管理绩效，分析节能措施的效果。根据评估结果，优化能耗管理策略，持续改进节能效果；</w:t>
      </w:r>
    </w:p>
    <w:p w14:paraId="7F2EB1F6">
      <w:pPr>
        <w:pStyle w:val="175"/>
        <w:numPr>
          <w:ilvl w:val="0"/>
          <w:numId w:val="112"/>
        </w:numPr>
        <w:rPr>
          <w:highlight w:val="none"/>
        </w:rPr>
      </w:pPr>
      <w:r>
        <w:rPr>
          <w:rFonts w:hint="eastAsia"/>
          <w:highlight w:val="none"/>
        </w:rPr>
        <w:t>绿色运营支持：提供绿色建筑运营维护的咨询服务，协助建筑获得或维持绿色建筑认证。推广可再生能源使用，减少建筑碳排放。</w:t>
      </w:r>
    </w:p>
    <w:p w14:paraId="2C789E8B">
      <w:pPr>
        <w:pStyle w:val="105"/>
        <w:spacing w:before="312" w:after="312"/>
        <w:rPr>
          <w:highlight w:val="none"/>
        </w:rPr>
      </w:pPr>
      <w:bookmarkStart w:id="164" w:name="_Toc194135372"/>
      <w:bookmarkStart w:id="165" w:name="_Toc6273"/>
      <w:r>
        <w:rPr>
          <w:rFonts w:hint="eastAsia"/>
          <w:highlight w:val="none"/>
        </w:rPr>
        <w:t>全过程工程咨询服务的数字化管理</w:t>
      </w:r>
      <w:bookmarkEnd w:id="164"/>
      <w:bookmarkEnd w:id="165"/>
    </w:p>
    <w:p w14:paraId="471C9F4B">
      <w:pPr>
        <w:pStyle w:val="106"/>
        <w:spacing w:before="156" w:after="156"/>
        <w:rPr>
          <w:highlight w:val="none"/>
        </w:rPr>
      </w:pPr>
      <w:bookmarkStart w:id="166" w:name="_Toc9449"/>
      <w:bookmarkStart w:id="167" w:name="_Toc194135373"/>
      <w:r>
        <w:rPr>
          <w:rFonts w:hint="eastAsia"/>
          <w:highlight w:val="none"/>
        </w:rPr>
        <w:t>一般规定</w:t>
      </w:r>
      <w:bookmarkEnd w:id="166"/>
      <w:bookmarkEnd w:id="167"/>
    </w:p>
    <w:p w14:paraId="31030C7C">
      <w:pPr>
        <w:pStyle w:val="166"/>
        <w:rPr>
          <w:highlight w:val="none"/>
        </w:rPr>
      </w:pPr>
      <w:r>
        <w:rPr>
          <w:rFonts w:hint="eastAsia"/>
          <w:highlight w:val="none"/>
        </w:rPr>
        <w:t>全过程工程咨询服务的数字化管理（以下简称：数字化管理）应贯穿工程咨询服务的全过程，包括前期咨询、勘察设计管理、招标采购代理、项目管理、工程监理、项目后评价、档案归档等各阶段各专业。从发起、解决到闭合，做到管理留痕、透明、实时。</w:t>
      </w:r>
    </w:p>
    <w:p w14:paraId="5F843CF0">
      <w:pPr>
        <w:pStyle w:val="166"/>
        <w:rPr>
          <w:highlight w:val="none"/>
        </w:rPr>
      </w:pPr>
      <w:r>
        <w:rPr>
          <w:rFonts w:hint="eastAsia"/>
          <w:highlight w:val="none"/>
        </w:rPr>
        <w:t>数字化管理应确保数据在项目各阶段之间的有效衔接，通过统一的数字化平台，确保数据在投资、设计、施工、竣工等各阶段的完整、准确和及时传递，避免信息孤岛。</w:t>
      </w:r>
    </w:p>
    <w:p w14:paraId="38956967">
      <w:pPr>
        <w:pStyle w:val="166"/>
        <w:rPr>
          <w:highlight w:val="none"/>
        </w:rPr>
      </w:pPr>
      <w:r>
        <w:rPr>
          <w:rFonts w:hint="eastAsia"/>
          <w:highlight w:val="none"/>
        </w:rPr>
        <w:t>全过程工程咨询服务中的数字化管理应确保相应的组织管理、人力资源和IT环境的支持。确保各阶段的数字化工具和平台能够满足项目需求，并配备专业的技术人员进行维护。</w:t>
      </w:r>
    </w:p>
    <w:p w14:paraId="4E580688">
      <w:pPr>
        <w:pStyle w:val="166"/>
        <w:rPr>
          <w:highlight w:val="none"/>
        </w:rPr>
      </w:pPr>
      <w:r>
        <w:rPr>
          <w:rFonts w:hint="eastAsia"/>
          <w:highlight w:val="none"/>
        </w:rPr>
        <w:t>数字化管理的实施内容应包括工程数据库建立、工程咨询软件使用及数字化管理（云）平台的建设。平台应具备数据安全可控的功能，确保项目数据的隐私和安全。</w:t>
      </w:r>
    </w:p>
    <w:p w14:paraId="464BE227">
      <w:pPr>
        <w:pStyle w:val="166"/>
        <w:rPr>
          <w:highlight w:val="none"/>
        </w:rPr>
      </w:pPr>
      <w:r>
        <w:rPr>
          <w:rFonts w:hint="eastAsia"/>
          <w:highlight w:val="none"/>
        </w:rPr>
        <w:t>全过程工程咨询服务应利用数字化手段，结合市场造价信息资料和项目各阶段积累的工程数据建立数据库，工程数据库内容包括政策法规、工程全阶段 BIM数据、工程计价定额、市场价格、工程造价指标数据库、建筑市场动态信息等。</w:t>
      </w:r>
    </w:p>
    <w:p w14:paraId="404C3EC2">
      <w:pPr>
        <w:pStyle w:val="166"/>
        <w:rPr>
          <w:highlight w:val="none"/>
        </w:rPr>
      </w:pPr>
      <w:r>
        <w:rPr>
          <w:rFonts w:hint="eastAsia"/>
          <w:highlight w:val="none"/>
        </w:rPr>
        <w:t>全过程工程咨询服务各阶段工程咨询软件包括：BIM软件、材价信息（数据）管理软件，工程项目估算、概算、预（结）算编审软件，招投标管理软件，施工阶段项目管理平台等。</w:t>
      </w:r>
    </w:p>
    <w:p w14:paraId="0F79B061">
      <w:pPr>
        <w:pStyle w:val="166"/>
        <w:rPr>
          <w:rFonts w:hint="default"/>
          <w:highlight w:val="none"/>
          <w:lang w:val="en-US" w:eastAsia="zh-CN"/>
        </w:rPr>
      </w:pPr>
      <w:r>
        <w:rPr>
          <w:rFonts w:hint="eastAsia"/>
          <w:highlight w:val="none"/>
          <w:lang w:val="en-US" w:eastAsia="zh-CN"/>
        </w:rPr>
        <w:t>咨询服务方应制定统一的应用标准，创建工程建设各参与方协同工作的应用场景，建立协同工作机制，明确各方协同工作的工作界面、工作内容。支持设计、生产、施工、监理等单位在线协同办公，实现任务分配、进度跟踪、问题反馈的闭环管理。</w:t>
      </w:r>
    </w:p>
    <w:p w14:paraId="3B333AC9">
      <w:pPr>
        <w:pStyle w:val="166"/>
        <w:rPr>
          <w:rFonts w:hint="eastAsia" w:ascii="宋体" w:hAnsi="Times New Roman" w:eastAsia="宋体" w:cs="Times New Roman"/>
          <w:highlight w:val="none"/>
          <w:lang w:eastAsia="zh-CN"/>
        </w:rPr>
      </w:pPr>
      <w:r>
        <w:rPr>
          <w:rFonts w:hint="eastAsia"/>
          <w:highlight w:val="none"/>
          <w:lang w:val="en-US" w:eastAsia="zh-CN"/>
        </w:rPr>
        <w:t>全过程工程咨询数字化管理</w:t>
      </w:r>
      <w:r>
        <w:rPr>
          <w:rFonts w:hint="default"/>
          <w:highlight w:val="none"/>
          <w:lang w:val="en-US" w:eastAsia="zh-CN"/>
        </w:rPr>
        <w:t>应制定统一的数据交互标准，明确BIM 模型分类编码、物联网设备接口协议、数据存储格式等要求，确保设计模型、生产数据、施工记录与运维信息的无缝衔接。</w:t>
      </w:r>
    </w:p>
    <w:p w14:paraId="15377CF5">
      <w:pPr>
        <w:pStyle w:val="106"/>
        <w:spacing w:before="156" w:after="156"/>
        <w:rPr>
          <w:highlight w:val="none"/>
        </w:rPr>
      </w:pPr>
      <w:bookmarkStart w:id="168" w:name="_Toc194135374"/>
      <w:bookmarkStart w:id="169" w:name="_Toc26667"/>
      <w:r>
        <w:rPr>
          <w:rFonts w:hint="eastAsia"/>
          <w:highlight w:val="none"/>
        </w:rPr>
        <w:t>数字化管理的规划</w:t>
      </w:r>
      <w:bookmarkEnd w:id="168"/>
      <w:bookmarkEnd w:id="169"/>
    </w:p>
    <w:p w14:paraId="3900272C">
      <w:pPr>
        <w:pStyle w:val="166"/>
        <w:rPr>
          <w:highlight w:val="none"/>
        </w:rPr>
      </w:pPr>
      <w:r>
        <w:rPr>
          <w:rFonts w:hint="eastAsia"/>
          <w:highlight w:val="none"/>
        </w:rPr>
        <w:t>全过程工程咨询数字化管理是全过程工程咨询服务工作大纲的重要组成部分，其规划应与整体服务目标、深度、进度和质量要求相匹配。</w:t>
      </w:r>
    </w:p>
    <w:p w14:paraId="7D14F810">
      <w:pPr>
        <w:pStyle w:val="166"/>
        <w:rPr>
          <w:highlight w:val="none"/>
        </w:rPr>
      </w:pPr>
      <w:r>
        <w:rPr>
          <w:rFonts w:hint="eastAsia"/>
          <w:highlight w:val="none"/>
        </w:rPr>
        <w:t>全过程工程咨询数字化管理规划应包括下列内容：</w:t>
      </w:r>
    </w:p>
    <w:p w14:paraId="00E82680">
      <w:pPr>
        <w:pStyle w:val="175"/>
        <w:numPr>
          <w:ilvl w:val="0"/>
          <w:numId w:val="125"/>
        </w:numPr>
        <w:rPr>
          <w:highlight w:val="none"/>
        </w:rPr>
      </w:pPr>
      <w:r>
        <w:rPr>
          <w:rFonts w:hint="eastAsia"/>
          <w:highlight w:val="none"/>
        </w:rPr>
        <w:t>目标与愿景；</w:t>
      </w:r>
    </w:p>
    <w:p w14:paraId="3A280BB8">
      <w:pPr>
        <w:pStyle w:val="175"/>
        <w:numPr>
          <w:ilvl w:val="0"/>
          <w:numId w:val="112"/>
        </w:numPr>
        <w:rPr>
          <w:highlight w:val="none"/>
        </w:rPr>
      </w:pPr>
      <w:r>
        <w:rPr>
          <w:rFonts w:hint="eastAsia"/>
          <w:highlight w:val="none"/>
        </w:rPr>
        <w:t>需求分析；</w:t>
      </w:r>
    </w:p>
    <w:p w14:paraId="2F5F6E52">
      <w:pPr>
        <w:pStyle w:val="175"/>
        <w:numPr>
          <w:ilvl w:val="0"/>
          <w:numId w:val="112"/>
        </w:numPr>
        <w:rPr>
          <w:highlight w:val="none"/>
        </w:rPr>
      </w:pPr>
      <w:r>
        <w:rPr>
          <w:rFonts w:hint="eastAsia"/>
          <w:highlight w:val="none"/>
        </w:rPr>
        <w:t>组织架构；</w:t>
      </w:r>
    </w:p>
    <w:p w14:paraId="57A4D00C">
      <w:pPr>
        <w:pStyle w:val="175"/>
        <w:numPr>
          <w:ilvl w:val="0"/>
          <w:numId w:val="112"/>
        </w:numPr>
        <w:rPr>
          <w:highlight w:val="none"/>
        </w:rPr>
      </w:pPr>
      <w:r>
        <w:rPr>
          <w:rFonts w:hint="eastAsia"/>
          <w:highlight w:val="none"/>
        </w:rPr>
        <w:t>模块设计；</w:t>
      </w:r>
    </w:p>
    <w:p w14:paraId="79C211B5">
      <w:pPr>
        <w:pStyle w:val="175"/>
        <w:numPr>
          <w:ilvl w:val="0"/>
          <w:numId w:val="112"/>
        </w:numPr>
        <w:rPr>
          <w:highlight w:val="none"/>
        </w:rPr>
      </w:pPr>
      <w:r>
        <w:rPr>
          <w:rFonts w:hint="eastAsia"/>
          <w:highlight w:val="none"/>
        </w:rPr>
        <w:t>数据管理；</w:t>
      </w:r>
    </w:p>
    <w:p w14:paraId="48C1E3BA">
      <w:pPr>
        <w:pStyle w:val="175"/>
        <w:numPr>
          <w:ilvl w:val="0"/>
          <w:numId w:val="112"/>
        </w:numPr>
        <w:rPr>
          <w:highlight w:val="none"/>
        </w:rPr>
      </w:pPr>
      <w:r>
        <w:rPr>
          <w:rFonts w:hint="eastAsia"/>
          <w:highlight w:val="none"/>
        </w:rPr>
        <w:t>人员培训；</w:t>
      </w:r>
    </w:p>
    <w:p w14:paraId="4A7CD61F">
      <w:pPr>
        <w:pStyle w:val="175"/>
        <w:numPr>
          <w:ilvl w:val="0"/>
          <w:numId w:val="112"/>
        </w:numPr>
        <w:rPr>
          <w:highlight w:val="none"/>
        </w:rPr>
      </w:pPr>
      <w:r>
        <w:rPr>
          <w:rFonts w:hint="eastAsia"/>
          <w:highlight w:val="none"/>
        </w:rPr>
        <w:t>技术支持与维护。</w:t>
      </w:r>
    </w:p>
    <w:p w14:paraId="43B3050B">
      <w:pPr>
        <w:pStyle w:val="166"/>
        <w:rPr>
          <w:highlight w:val="none"/>
        </w:rPr>
      </w:pPr>
      <w:r>
        <w:rPr>
          <w:rFonts w:hint="eastAsia"/>
          <w:highlight w:val="none"/>
        </w:rPr>
        <w:t>全过程工程咨询数字化管理的整体规划目标应基于项目类型、规模、复杂程度和合同要求等因素综合确定。</w:t>
      </w:r>
    </w:p>
    <w:p w14:paraId="44CAFCCD">
      <w:pPr>
        <w:pStyle w:val="166"/>
        <w:rPr>
          <w:highlight w:val="none"/>
        </w:rPr>
      </w:pPr>
      <w:r>
        <w:rPr>
          <w:rFonts w:hint="eastAsia"/>
          <w:highlight w:val="none"/>
        </w:rPr>
        <w:t>制定全过程工程咨询数字化管理规划时应注意下列事项：</w:t>
      </w:r>
    </w:p>
    <w:p w14:paraId="22C0CD4D">
      <w:pPr>
        <w:pStyle w:val="175"/>
        <w:numPr>
          <w:ilvl w:val="0"/>
          <w:numId w:val="126"/>
        </w:numPr>
        <w:rPr>
          <w:highlight w:val="none"/>
        </w:rPr>
      </w:pPr>
      <w:r>
        <w:rPr>
          <w:rFonts w:hint="eastAsia"/>
          <w:highlight w:val="none"/>
        </w:rPr>
        <w:t>项目标准的提前拟定：若数字化管理涉及项目标准的制定，应在所有供方招标采购前完成。确保标准明确，避免后续实施中的不一致或冲突；</w:t>
      </w:r>
    </w:p>
    <w:p w14:paraId="3B6D9D42">
      <w:pPr>
        <w:pStyle w:val="175"/>
        <w:numPr>
          <w:ilvl w:val="0"/>
          <w:numId w:val="112"/>
        </w:numPr>
        <w:rPr>
          <w:highlight w:val="none"/>
        </w:rPr>
      </w:pPr>
      <w:r>
        <w:rPr>
          <w:rFonts w:hint="eastAsia"/>
          <w:highlight w:val="none"/>
        </w:rPr>
        <w:t>供方参与合同保障：若供方需参与数字化管理的实施，应在招标文件中明确项目标准，并通过合同确保供方按标准执行，保障项目顺利推进；</w:t>
      </w:r>
    </w:p>
    <w:p w14:paraId="43D75ED9">
      <w:pPr>
        <w:pStyle w:val="175"/>
        <w:numPr>
          <w:ilvl w:val="0"/>
          <w:numId w:val="112"/>
        </w:numPr>
        <w:rPr>
          <w:highlight w:val="none"/>
        </w:rPr>
      </w:pPr>
      <w:r>
        <w:rPr>
          <w:rFonts w:hint="eastAsia"/>
          <w:highlight w:val="none"/>
        </w:rPr>
        <w:t>平台功能与特点的区分：不同数字化管理平台的功能和使用特点各异，需根据项目需求选择合适的平台，确保其与项目目标和管理流程相匹配；</w:t>
      </w:r>
    </w:p>
    <w:p w14:paraId="79A9DCDB">
      <w:pPr>
        <w:pStyle w:val="175"/>
        <w:numPr>
          <w:ilvl w:val="0"/>
          <w:numId w:val="112"/>
        </w:numPr>
        <w:rPr>
          <w:highlight w:val="none"/>
        </w:rPr>
      </w:pPr>
      <w:r>
        <w:rPr>
          <w:rFonts w:hint="eastAsia"/>
          <w:highlight w:val="none"/>
        </w:rPr>
        <w:t>数据安全与隐私保护：数字化管理涉及大量数据，需确保数据安全和隐私保护，采取必要的技术和管理措施，防止数据泄露或滥用。</w:t>
      </w:r>
    </w:p>
    <w:p w14:paraId="34C2F543">
      <w:pPr>
        <w:pStyle w:val="106"/>
        <w:spacing w:before="156" w:after="156"/>
        <w:rPr>
          <w:highlight w:val="none"/>
        </w:rPr>
      </w:pPr>
      <w:bookmarkStart w:id="170" w:name="_Toc194135375"/>
      <w:bookmarkStart w:id="171" w:name="_Toc17059"/>
      <w:r>
        <w:rPr>
          <w:rFonts w:hint="eastAsia"/>
          <w:highlight w:val="none"/>
        </w:rPr>
        <w:t>数字化管理的实施</w:t>
      </w:r>
      <w:bookmarkEnd w:id="170"/>
      <w:bookmarkEnd w:id="171"/>
    </w:p>
    <w:p w14:paraId="09262CE7">
      <w:pPr>
        <w:pStyle w:val="166"/>
        <w:rPr>
          <w:highlight w:val="none"/>
        </w:rPr>
      </w:pPr>
      <w:r>
        <w:rPr>
          <w:rFonts w:hint="eastAsia"/>
          <w:highlight w:val="none"/>
        </w:rPr>
        <w:t>全过程工程咨询数字化管理的实施应满足下列要求：</w:t>
      </w:r>
    </w:p>
    <w:p w14:paraId="5CC101AA">
      <w:pPr>
        <w:pStyle w:val="175"/>
        <w:numPr>
          <w:ilvl w:val="0"/>
          <w:numId w:val="127"/>
        </w:numPr>
        <w:rPr>
          <w:highlight w:val="none"/>
        </w:rPr>
      </w:pPr>
      <w:r>
        <w:rPr>
          <w:rFonts w:hint="eastAsia"/>
          <w:highlight w:val="none"/>
        </w:rPr>
        <w:t>提供从项目立项到竣工验收的全生命周期管理工具，涵盖进度、质量、成本、安全等核心要素。支持项目各参与方的协同工作，确保信息实时共享与沟通；</w:t>
      </w:r>
    </w:p>
    <w:p w14:paraId="4E32C1CA">
      <w:pPr>
        <w:pStyle w:val="175"/>
        <w:numPr>
          <w:ilvl w:val="0"/>
          <w:numId w:val="112"/>
        </w:numPr>
        <w:rPr>
          <w:highlight w:val="none"/>
        </w:rPr>
      </w:pPr>
      <w:r>
        <w:rPr>
          <w:rFonts w:hint="eastAsia"/>
          <w:highlight w:val="none"/>
        </w:rPr>
        <w:t>提供数据分析与可视化功能，辅助决策和风险管理；</w:t>
      </w:r>
    </w:p>
    <w:p w14:paraId="4700467A">
      <w:pPr>
        <w:pStyle w:val="175"/>
        <w:numPr>
          <w:ilvl w:val="0"/>
          <w:numId w:val="112"/>
        </w:numPr>
        <w:rPr>
          <w:highlight w:val="none"/>
        </w:rPr>
      </w:pPr>
      <w:r>
        <w:rPr>
          <w:rFonts w:hint="eastAsia"/>
          <w:highlight w:val="none"/>
        </w:rPr>
        <w:t>提供项目建设过程中所需的投资咨询、勘察、设计、造价咨询、招标代理、监理、运营维护咨询等专业咨询服务业务的数字化管理支持。</w:t>
      </w:r>
    </w:p>
    <w:p w14:paraId="0F8B67BE">
      <w:pPr>
        <w:pStyle w:val="175"/>
        <w:numPr>
          <w:ilvl w:val="0"/>
          <w:numId w:val="127"/>
        </w:numPr>
        <w:rPr>
          <w:rFonts w:hint="default" w:ascii="宋体" w:eastAsia="宋体"/>
          <w:highlight w:val="none"/>
          <w:lang w:val="en-US" w:eastAsia="zh-CN"/>
        </w:rPr>
      </w:pPr>
      <w:r>
        <w:rPr>
          <w:rFonts w:hint="eastAsia" w:ascii="宋体" w:eastAsia="宋体"/>
          <w:highlight w:val="none"/>
          <w:lang w:val="en-US" w:eastAsia="zh-CN"/>
        </w:rPr>
        <w:t>项目数字化管理平台实现全生命周期模型轻量化展示，实时更新并同步设计成果。</w:t>
      </w:r>
    </w:p>
    <w:p w14:paraId="79A28612">
      <w:pPr>
        <w:pStyle w:val="175"/>
        <w:numPr>
          <w:ilvl w:val="0"/>
          <w:numId w:val="127"/>
        </w:numPr>
        <w:rPr>
          <w:rFonts w:hint="default" w:ascii="宋体" w:eastAsia="宋体"/>
          <w:highlight w:val="none"/>
          <w:lang w:val="en-US" w:eastAsia="zh-CN"/>
        </w:rPr>
      </w:pPr>
      <w:r>
        <w:rPr>
          <w:rFonts w:hint="eastAsia" w:ascii="宋体" w:eastAsia="宋体"/>
          <w:highlight w:val="none"/>
          <w:lang w:val="en-US" w:eastAsia="zh-CN"/>
        </w:rPr>
        <w:t>项目数字化管理平台实时监控部品部件生产进度、质量数据及物流信息，可实现从生产、运输到施工安装的全流程追溯。</w:t>
      </w:r>
    </w:p>
    <w:p w14:paraId="0DF7B8C9">
      <w:pPr>
        <w:pStyle w:val="175"/>
        <w:numPr>
          <w:ilvl w:val="0"/>
          <w:numId w:val="127"/>
        </w:numPr>
        <w:rPr>
          <w:rFonts w:hint="default" w:ascii="宋体" w:eastAsia="宋体"/>
          <w:highlight w:val="none"/>
          <w:lang w:val="en-US" w:eastAsia="zh-CN"/>
        </w:rPr>
      </w:pPr>
      <w:r>
        <w:rPr>
          <w:rFonts w:hint="eastAsia" w:ascii="宋体" w:eastAsia="宋体"/>
          <w:highlight w:val="none"/>
          <w:lang w:val="en-US" w:eastAsia="zh-CN"/>
        </w:rPr>
        <w:t>项目数字化管理平台以结合物联网设备与智能传感网络，对施工现场人、机、料、法、环要素进行实时监控，结合AI算法实现进度预测、质量隐患预警和安全风险智能识别。</w:t>
      </w:r>
    </w:p>
    <w:p w14:paraId="2B8D7DB3">
      <w:pPr>
        <w:pStyle w:val="166"/>
        <w:rPr>
          <w:highlight w:val="none"/>
        </w:rPr>
      </w:pPr>
      <w:r>
        <w:rPr>
          <w:rFonts w:hint="eastAsia"/>
          <w:highlight w:val="none"/>
        </w:rPr>
        <w:t>全过程工程咨询服务数字化管理实施应包括下列内容：</w:t>
      </w:r>
    </w:p>
    <w:p w14:paraId="1C110675">
      <w:pPr>
        <w:pStyle w:val="175"/>
        <w:numPr>
          <w:ilvl w:val="0"/>
          <w:numId w:val="128"/>
        </w:numPr>
        <w:rPr>
          <w:highlight w:val="none"/>
        </w:rPr>
      </w:pPr>
      <w:r>
        <w:rPr>
          <w:rFonts w:hint="eastAsia"/>
          <w:highlight w:val="none"/>
        </w:rPr>
        <w:t>数字化管理平台建设</w:t>
      </w:r>
    </w:p>
    <w:p w14:paraId="07363C74">
      <w:pPr>
        <w:pStyle w:val="175"/>
        <w:numPr>
          <w:ilvl w:val="0"/>
          <w:numId w:val="112"/>
        </w:numPr>
        <w:rPr>
          <w:highlight w:val="none"/>
        </w:rPr>
      </w:pPr>
      <w:r>
        <w:rPr>
          <w:rFonts w:hint="eastAsia"/>
          <w:highlight w:val="none"/>
        </w:rPr>
        <w:t>数据服务层建设。</w:t>
      </w:r>
    </w:p>
    <w:p w14:paraId="3BA8A541">
      <w:pPr>
        <w:pStyle w:val="175"/>
        <w:numPr>
          <w:ilvl w:val="0"/>
          <w:numId w:val="112"/>
        </w:numPr>
        <w:rPr>
          <w:highlight w:val="none"/>
        </w:rPr>
      </w:pPr>
      <w:r>
        <w:rPr>
          <w:rFonts w:hint="eastAsia"/>
          <w:highlight w:val="none"/>
        </w:rPr>
        <w:t>多方参与协同信息共享。</w:t>
      </w:r>
    </w:p>
    <w:p w14:paraId="418C175B">
      <w:pPr>
        <w:pStyle w:val="175"/>
        <w:numPr>
          <w:ilvl w:val="0"/>
          <w:numId w:val="112"/>
        </w:numPr>
        <w:rPr>
          <w:highlight w:val="none"/>
        </w:rPr>
      </w:pPr>
      <w:r>
        <w:rPr>
          <w:rFonts w:hint="eastAsia"/>
          <w:highlight w:val="none"/>
        </w:rPr>
        <w:t>数字化项目管理。</w:t>
      </w:r>
    </w:p>
    <w:p w14:paraId="7E032DBA">
      <w:pPr>
        <w:pStyle w:val="175"/>
        <w:numPr>
          <w:ilvl w:val="0"/>
          <w:numId w:val="112"/>
        </w:numPr>
        <w:rPr>
          <w:highlight w:val="none"/>
        </w:rPr>
      </w:pPr>
      <w:r>
        <w:rPr>
          <w:rFonts w:hint="eastAsia"/>
          <w:highlight w:val="none"/>
        </w:rPr>
        <w:t>数字化管理流程建设。</w:t>
      </w:r>
    </w:p>
    <w:p w14:paraId="4FED0AAD">
      <w:pPr>
        <w:pStyle w:val="175"/>
        <w:numPr>
          <w:ilvl w:val="0"/>
          <w:numId w:val="112"/>
        </w:numPr>
        <w:rPr>
          <w:highlight w:val="none"/>
        </w:rPr>
      </w:pPr>
      <w:r>
        <w:rPr>
          <w:rFonts w:hint="eastAsia"/>
          <w:highlight w:val="none"/>
        </w:rPr>
        <w:t>数字资产的形成。</w:t>
      </w:r>
    </w:p>
    <w:p w14:paraId="77BED822">
      <w:pPr>
        <w:pStyle w:val="175"/>
        <w:numPr>
          <w:ilvl w:val="0"/>
          <w:numId w:val="112"/>
        </w:numPr>
        <w:rPr>
          <w:highlight w:val="none"/>
        </w:rPr>
      </w:pPr>
      <w:r>
        <w:rPr>
          <w:rFonts w:hint="eastAsia"/>
          <w:highlight w:val="none"/>
        </w:rPr>
        <w:t>数字化管理人才培养。</w:t>
      </w:r>
    </w:p>
    <w:p w14:paraId="554D659D">
      <w:pPr>
        <w:pStyle w:val="166"/>
        <w:rPr>
          <w:highlight w:val="none"/>
        </w:rPr>
      </w:pPr>
      <w:r>
        <w:rPr>
          <w:rFonts w:hint="eastAsia"/>
          <w:highlight w:val="none"/>
        </w:rPr>
        <w:t>全过程工程咨询数字化管理应注意下列事项：</w:t>
      </w:r>
    </w:p>
    <w:p w14:paraId="6DC5B597">
      <w:pPr>
        <w:pStyle w:val="175"/>
        <w:numPr>
          <w:ilvl w:val="0"/>
          <w:numId w:val="129"/>
        </w:numPr>
        <w:rPr>
          <w:highlight w:val="none"/>
        </w:rPr>
      </w:pPr>
      <w:r>
        <w:rPr>
          <w:rFonts w:hint="eastAsia"/>
          <w:highlight w:val="none"/>
        </w:rPr>
        <w:t>分阶段编制成果文件：</w:t>
      </w:r>
    </w:p>
    <w:p w14:paraId="7DAADF2F">
      <w:pPr>
        <w:pStyle w:val="110"/>
        <w:numPr>
          <w:ilvl w:val="1"/>
          <w:numId w:val="112"/>
        </w:numPr>
        <w:rPr>
          <w:highlight w:val="none"/>
        </w:rPr>
      </w:pPr>
      <w:r>
        <w:rPr>
          <w:rFonts w:hint="eastAsia"/>
          <w:highlight w:val="none"/>
        </w:rPr>
        <w:t>各阶段依据标准：在项目决策、勘察设计、招标采购、工程施工、竣工验收、运营维护等阶段，严格遵循相关标准规范和项目要求，编制相应的成果文件；</w:t>
      </w:r>
    </w:p>
    <w:p w14:paraId="1A5A8E1A">
      <w:pPr>
        <w:pStyle w:val="110"/>
        <w:numPr>
          <w:ilvl w:val="1"/>
          <w:numId w:val="112"/>
        </w:numPr>
        <w:rPr>
          <w:highlight w:val="none"/>
        </w:rPr>
      </w:pPr>
      <w:r>
        <w:rPr>
          <w:rFonts w:hint="eastAsia"/>
          <w:highlight w:val="none"/>
        </w:rPr>
        <w:t>专业性与一致性：确保各阶段成果文件符合专业标准，并保持前后一致，避免信息断层或重复工作。</w:t>
      </w:r>
    </w:p>
    <w:p w14:paraId="7DAD544B">
      <w:pPr>
        <w:pStyle w:val="175"/>
        <w:numPr>
          <w:ilvl w:val="0"/>
          <w:numId w:val="112"/>
        </w:numPr>
        <w:rPr>
          <w:highlight w:val="none"/>
        </w:rPr>
      </w:pPr>
      <w:r>
        <w:rPr>
          <w:rFonts w:hint="eastAsia"/>
          <w:highlight w:val="none"/>
        </w:rPr>
        <w:t>优化管理流程，降低成本：</w:t>
      </w:r>
    </w:p>
    <w:p w14:paraId="29B968B6">
      <w:pPr>
        <w:pStyle w:val="110"/>
        <w:numPr>
          <w:ilvl w:val="1"/>
          <w:numId w:val="112"/>
        </w:numPr>
        <w:rPr>
          <w:highlight w:val="none"/>
        </w:rPr>
      </w:pPr>
      <w:r>
        <w:rPr>
          <w:rFonts w:hint="eastAsia"/>
          <w:highlight w:val="none"/>
        </w:rPr>
        <w:t>成本控制与收益提升：以降低管理成本、提高项目收益为目标，持续优化管理流程，减少冗余环节；</w:t>
      </w:r>
    </w:p>
    <w:p w14:paraId="361BE7F4">
      <w:pPr>
        <w:pStyle w:val="110"/>
        <w:numPr>
          <w:ilvl w:val="1"/>
          <w:numId w:val="112"/>
        </w:numPr>
        <w:rPr>
          <w:highlight w:val="none"/>
        </w:rPr>
      </w:pPr>
      <w:r>
        <w:rPr>
          <w:rFonts w:hint="eastAsia"/>
          <w:highlight w:val="none"/>
        </w:rPr>
        <w:t>信息化标准建设：通过总结项目经验，建立企业信息化管理标准，提升管理效率，确保流程规范化、标准化。</w:t>
      </w:r>
    </w:p>
    <w:p w14:paraId="6E9F3AF9">
      <w:pPr>
        <w:pStyle w:val="175"/>
        <w:numPr>
          <w:ilvl w:val="0"/>
          <w:numId w:val="112"/>
        </w:numPr>
        <w:rPr>
          <w:highlight w:val="none"/>
        </w:rPr>
      </w:pPr>
      <w:r>
        <w:rPr>
          <w:rFonts w:hint="eastAsia"/>
          <w:highlight w:val="none"/>
        </w:rPr>
        <w:t>因地制宜，建立数字化流程与平台：</w:t>
      </w:r>
    </w:p>
    <w:p w14:paraId="6721C6C6">
      <w:pPr>
        <w:pStyle w:val="110"/>
        <w:numPr>
          <w:ilvl w:val="1"/>
          <w:numId w:val="112"/>
        </w:numPr>
        <w:rPr>
          <w:highlight w:val="none"/>
        </w:rPr>
      </w:pPr>
      <w:r>
        <w:rPr>
          <w:rFonts w:hint="eastAsia"/>
          <w:highlight w:val="none"/>
        </w:rPr>
        <w:t>根据实际情况定制：结合企业自身条件和项目需求，制定适合的数字化管理流程，避免盲目照搬；</w:t>
      </w:r>
    </w:p>
    <w:p w14:paraId="00E65995">
      <w:pPr>
        <w:pStyle w:val="110"/>
        <w:numPr>
          <w:ilvl w:val="1"/>
          <w:numId w:val="112"/>
        </w:numPr>
        <w:rPr>
          <w:highlight w:val="none"/>
        </w:rPr>
      </w:pPr>
      <w:r>
        <w:rPr>
          <w:rFonts w:hint="eastAsia"/>
          <w:highlight w:val="none"/>
        </w:rPr>
        <w:t>辅助平台建设：搭建适合的数字化管理平台，确保各阶段数据无缝衔接，提升信息共享与协同效率。</w:t>
      </w:r>
    </w:p>
    <w:p w14:paraId="413E852A">
      <w:pPr>
        <w:pStyle w:val="166"/>
        <w:rPr>
          <w:highlight w:val="none"/>
        </w:rPr>
      </w:pPr>
      <w:r>
        <w:rPr>
          <w:rFonts w:hint="eastAsia"/>
          <w:highlight w:val="none"/>
        </w:rPr>
        <w:t>数字化管理平台应对项目建设全过程中数据进行收集和分析，实现建筑全生命期各参与方在同一多维建筑信息模型基础上的数据共享。实现企业级项目管理一体化，管理制度流程化，管理过程数字化，过程数据可视化，并兼容系统的企业级部署和项目化定制，提升协同管理效率。</w:t>
      </w:r>
    </w:p>
    <w:p w14:paraId="0EBC63D5">
      <w:pPr>
        <w:pStyle w:val="166"/>
        <w:rPr>
          <w:highlight w:val="none"/>
        </w:rPr>
      </w:pPr>
      <w:r>
        <w:rPr>
          <w:rFonts w:hint="eastAsia"/>
          <w:highlight w:val="none"/>
        </w:rPr>
        <w:t>咨询人应组织对各参建方提交的数字化成果进行审核，确保成果的正确性、准确性实现图模一致、物模一致。</w:t>
      </w:r>
    </w:p>
    <w:p w14:paraId="1D9C0F6F">
      <w:pPr>
        <w:pStyle w:val="105"/>
        <w:spacing w:before="312" w:after="312"/>
        <w:rPr>
          <w:highlight w:val="none"/>
        </w:rPr>
      </w:pPr>
      <w:bookmarkStart w:id="172" w:name="_Toc28019"/>
      <w:bookmarkStart w:id="173" w:name="_Toc194135376"/>
      <w:r>
        <w:rPr>
          <w:rFonts w:hint="eastAsia"/>
          <w:highlight w:val="none"/>
        </w:rPr>
        <w:t>专项服务</w:t>
      </w:r>
      <w:bookmarkEnd w:id="172"/>
      <w:bookmarkEnd w:id="173"/>
    </w:p>
    <w:p w14:paraId="5B4D145B">
      <w:pPr>
        <w:pStyle w:val="106"/>
        <w:spacing w:before="156" w:after="156"/>
        <w:rPr>
          <w:highlight w:val="none"/>
        </w:rPr>
      </w:pPr>
      <w:bookmarkStart w:id="174" w:name="_Toc194135377"/>
      <w:bookmarkStart w:id="175" w:name="_Toc2439"/>
      <w:r>
        <w:rPr>
          <w:rFonts w:hint="eastAsia"/>
          <w:highlight w:val="none"/>
        </w:rPr>
        <w:t>集中建设项目的全过程咨询服务</w:t>
      </w:r>
      <w:bookmarkEnd w:id="174"/>
      <w:bookmarkEnd w:id="175"/>
    </w:p>
    <w:p w14:paraId="5B58722C">
      <w:pPr>
        <w:pStyle w:val="66"/>
        <w:spacing w:before="156" w:after="156"/>
        <w:rPr>
          <w:highlight w:val="none"/>
        </w:rPr>
      </w:pPr>
      <w:r>
        <w:rPr>
          <w:rFonts w:hint="eastAsia"/>
          <w:highlight w:val="none"/>
        </w:rPr>
        <w:t>一般规定</w:t>
      </w:r>
    </w:p>
    <w:p w14:paraId="403D2765">
      <w:pPr>
        <w:pStyle w:val="165"/>
        <w:rPr>
          <w:highlight w:val="none"/>
        </w:rPr>
      </w:pPr>
      <w:r>
        <w:rPr>
          <w:rFonts w:hint="eastAsia"/>
          <w:highlight w:val="none"/>
        </w:rPr>
        <w:t>苏州市行政区域内使用预算安排资金的各类新建、改建、扩建、维修改造和信息化建设等政府投资非经营性项目（不含未达到必须招标标准的工程项目），实行集中组织建设。</w:t>
      </w:r>
    </w:p>
    <w:p w14:paraId="081E217B">
      <w:pPr>
        <w:pStyle w:val="165"/>
        <w:rPr>
          <w:highlight w:val="none"/>
        </w:rPr>
      </w:pPr>
      <w:r>
        <w:rPr>
          <w:rFonts w:hint="eastAsia"/>
          <w:highlight w:val="none"/>
        </w:rPr>
        <w:t>集中建设活动遵循“投资、建设、监管、使用”四权相互分离的原则，集中建设领导小组办公室、项目使用单位、集中建设实施单位和各相关行业主管、行政审批和职能部门各司其职。</w:t>
      </w:r>
    </w:p>
    <w:p w14:paraId="09CAD516">
      <w:pPr>
        <w:pStyle w:val="165"/>
        <w:rPr>
          <w:highlight w:val="none"/>
        </w:rPr>
      </w:pPr>
      <w:r>
        <w:rPr>
          <w:rFonts w:hint="eastAsia"/>
          <w:highlight w:val="none"/>
        </w:rPr>
        <w:t>集中建设政府投资项目积极推行工程总承包、全过程工程咨询和建筑师负责制等工程建设组织模式，全面推广采用装配式建筑技术、鼓励采用BIM数字建造方式。</w:t>
      </w:r>
    </w:p>
    <w:p w14:paraId="34B50443">
      <w:pPr>
        <w:pStyle w:val="165"/>
        <w:rPr>
          <w:highlight w:val="none"/>
        </w:rPr>
      </w:pPr>
      <w:r>
        <w:rPr>
          <w:rFonts w:hint="eastAsia"/>
          <w:highlight w:val="none"/>
        </w:rPr>
        <w:t>集中建设项目具有“项目双法人”特色，项目使用单位和集中建设实施单位共同申报项目可行性研究报告。集中建设实施单位作为项目建设实施主体，履行建设单位职责，项目使用单位作为项目使用和接收的主体，项目竣工验收合格后予以接收和管理。</w:t>
      </w:r>
    </w:p>
    <w:p w14:paraId="35C19B01">
      <w:pPr>
        <w:pStyle w:val="165"/>
        <w:rPr>
          <w:highlight w:val="none"/>
        </w:rPr>
      </w:pPr>
      <w:r>
        <w:rPr>
          <w:rFonts w:hint="eastAsia"/>
          <w:highlight w:val="none"/>
        </w:rPr>
        <w:t>集中建设项目推行全过程工程咨询服务管理，旨在通过系统化、专业化的咨询服务，提升项目决策、实施和运营的效率与质量，确保资金有效使用，降低风险，促进项目顺利推进，从而实现公共资源的优化配置和社会效益的最大化。</w:t>
      </w:r>
    </w:p>
    <w:p w14:paraId="405983D0">
      <w:pPr>
        <w:pStyle w:val="66"/>
        <w:spacing w:before="156" w:after="156"/>
        <w:rPr>
          <w:highlight w:val="none"/>
        </w:rPr>
      </w:pPr>
      <w:r>
        <w:rPr>
          <w:rFonts w:hint="eastAsia"/>
          <w:highlight w:val="none"/>
        </w:rPr>
        <w:t>集中建设项目全过程工程咨询服务的组织实施</w:t>
      </w:r>
    </w:p>
    <w:p w14:paraId="2C9B7025">
      <w:pPr>
        <w:pStyle w:val="165"/>
        <w:rPr>
          <w:highlight w:val="none"/>
        </w:rPr>
      </w:pPr>
      <w:r>
        <w:rPr>
          <w:rFonts w:hint="eastAsia"/>
          <w:highlight w:val="none"/>
        </w:rPr>
        <w:t>集中建设实施单位履行招标人主体责任，根据项目需要和实际情况，会同项目使用单位负责全过程工程咨询服务单位的选择，按规定要求确定全过程工程咨询服务单位，签订咨询合同并组织实施。</w:t>
      </w:r>
    </w:p>
    <w:p w14:paraId="5CC72A34">
      <w:pPr>
        <w:pStyle w:val="165"/>
        <w:rPr>
          <w:highlight w:val="none"/>
        </w:rPr>
      </w:pPr>
      <w:r>
        <w:rPr>
          <w:rFonts w:hint="eastAsia"/>
          <w:highlight w:val="none"/>
        </w:rPr>
        <w:t>全过程工程咨询委托服务范围内若包含工程勘察、工程设计、工程监理服务的，应当依法采用招标方式选择全过程工程咨询服务单位。</w:t>
      </w:r>
    </w:p>
    <w:p w14:paraId="26080BE0">
      <w:pPr>
        <w:pStyle w:val="165"/>
        <w:rPr>
          <w:highlight w:val="none"/>
        </w:rPr>
      </w:pPr>
      <w:r>
        <w:rPr>
          <w:rFonts w:hint="eastAsia"/>
          <w:highlight w:val="none"/>
        </w:rPr>
        <w:t>全过程工程咨询服务可以采用独立委托模式或咨询总包模式，也可采用联合体模式，集中建设项目的全过程工程咨询服务联合体成员数量一般不超过3家。</w:t>
      </w:r>
    </w:p>
    <w:p w14:paraId="49781FB0">
      <w:pPr>
        <w:pStyle w:val="165"/>
        <w:rPr>
          <w:highlight w:val="none"/>
        </w:rPr>
      </w:pPr>
      <w:r>
        <w:rPr>
          <w:rFonts w:hint="eastAsia"/>
          <w:highlight w:val="none"/>
        </w:rPr>
        <w:t>集中建设实施单位可以将原自行承担的某些阶段和某些专业的项目管理工作，部分或全部委托全过程工程咨询服务单位承担。</w:t>
      </w:r>
    </w:p>
    <w:p w14:paraId="4EA418CA">
      <w:pPr>
        <w:pStyle w:val="165"/>
        <w:rPr>
          <w:highlight w:val="none"/>
        </w:rPr>
      </w:pPr>
      <w:r>
        <w:rPr>
          <w:rFonts w:hint="eastAsia"/>
          <w:highlight w:val="none"/>
        </w:rPr>
        <w:t>集中建设项目全过程工程咨询服务单位在项目对接前和项目移交后，主要为项目使用单位提供服务，在工程建设实施阶段主要为项目实施单位提供服务，并根据合同约定和实际情况，可在不同阶段和不同专业，同时为实施单位和使用单位提供咨询管理服务。</w:t>
      </w:r>
    </w:p>
    <w:p w14:paraId="4D770B19">
      <w:pPr>
        <w:pStyle w:val="165"/>
        <w:rPr>
          <w:highlight w:val="none"/>
        </w:rPr>
      </w:pPr>
      <w:r>
        <w:rPr>
          <w:rFonts w:hint="eastAsia"/>
          <w:highlight w:val="none"/>
        </w:rPr>
        <w:t>全过程工程咨询服务单位应组建满足委托人要求的全过程工程咨询服务机构，当作为联合体牵头单位实施统筹管理时，对不在自有资质证书许可范围</w:t>
      </w:r>
      <w:r>
        <w:rPr>
          <w:rFonts w:hint="eastAsia"/>
          <w:highlight w:val="none"/>
          <w:lang w:eastAsia="zh-CN"/>
        </w:rPr>
        <w:t>内的</w:t>
      </w:r>
      <w:r>
        <w:rPr>
          <w:rFonts w:hint="eastAsia"/>
          <w:highlight w:val="none"/>
        </w:rPr>
        <w:t>专业/专项咨询的协调，应配备具有工程建设类中级及以上技术职称的咨询管理人员。</w:t>
      </w:r>
    </w:p>
    <w:p w14:paraId="03991775">
      <w:pPr>
        <w:pStyle w:val="66"/>
        <w:spacing w:before="156" w:after="156"/>
        <w:rPr>
          <w:highlight w:val="none"/>
        </w:rPr>
      </w:pPr>
      <w:r>
        <w:rPr>
          <w:rFonts w:hint="eastAsia"/>
          <w:highlight w:val="none"/>
        </w:rPr>
        <w:t>集中建设项目全过程工程咨询服务的范围和内容</w:t>
      </w:r>
    </w:p>
    <w:p w14:paraId="7EBD92F0">
      <w:pPr>
        <w:pStyle w:val="165"/>
        <w:rPr>
          <w:highlight w:val="none"/>
        </w:rPr>
      </w:pPr>
      <w:r>
        <w:rPr>
          <w:rFonts w:hint="eastAsia"/>
          <w:highlight w:val="none"/>
        </w:rPr>
        <w:t>集中建设项目的全过程工程咨询服务，应当充分考虑项目建设“双法人”的组织实施特点，以高质量实现项目建设目标为导向，围绕对业务流、信息流、解决方案等的集成和优化，对项目投资决策、工程建设、运营各阶段目标和需求、各利益相关方诉求、各类风险应对、资源供给与配置等进行整体和系统性策划，在咨询合同中明确咨询服务范围和内容，以及咨询服务应达到的工作标准和提交的咨询服务成果。</w:t>
      </w:r>
    </w:p>
    <w:p w14:paraId="33E0FD0D">
      <w:pPr>
        <w:pStyle w:val="165"/>
        <w:rPr>
          <w:highlight w:val="none"/>
        </w:rPr>
      </w:pPr>
      <w:r>
        <w:rPr>
          <w:rFonts w:hint="eastAsia"/>
          <w:highlight w:val="none"/>
        </w:rPr>
        <w:t>集中建设项目的全过程工程咨询服务，应当包括前期咨询（投资决策综合咨询）、工程勘察、工程设计、招标代理、工程监理、造价咨询、项目管理（含报批报建）等专业/专项咨询管理服务中的3项及以上且应该包括工程设计、工程监理和造价咨询业务中的2项及以上。</w:t>
      </w:r>
    </w:p>
    <w:p w14:paraId="6CADD582">
      <w:pPr>
        <w:pStyle w:val="165"/>
        <w:rPr>
          <w:highlight w:val="none"/>
        </w:rPr>
      </w:pPr>
      <w:r>
        <w:rPr>
          <w:rFonts w:hint="eastAsia"/>
          <w:highlight w:val="none"/>
        </w:rPr>
        <w:t>全过程工程咨询服务单位应根据委托合同的约定，协助或自行完成下列咨询服务管理工作，包括但不限于：</w:t>
      </w:r>
    </w:p>
    <w:p w14:paraId="191F4781">
      <w:pPr>
        <w:pStyle w:val="175"/>
        <w:numPr>
          <w:ilvl w:val="0"/>
          <w:numId w:val="130"/>
        </w:numPr>
        <w:rPr>
          <w:highlight w:val="none"/>
        </w:rPr>
      </w:pPr>
      <w:r>
        <w:rPr>
          <w:rFonts w:hint="eastAsia"/>
          <w:highlight w:val="none"/>
        </w:rPr>
        <w:t>参与或自行承担项目建议书（初步可行性研究）的编制报批，提出项目使用需求意见；</w:t>
      </w:r>
    </w:p>
    <w:p w14:paraId="14C89390">
      <w:pPr>
        <w:pStyle w:val="175"/>
        <w:numPr>
          <w:ilvl w:val="0"/>
          <w:numId w:val="130"/>
        </w:numPr>
        <w:rPr>
          <w:highlight w:val="none"/>
        </w:rPr>
      </w:pPr>
      <w:r>
        <w:rPr>
          <w:rFonts w:hint="eastAsia"/>
          <w:highlight w:val="none"/>
        </w:rPr>
        <w:t>参与立项批复后实施单位与使用单位的项目对接；</w:t>
      </w:r>
    </w:p>
    <w:p w14:paraId="3DB2CDE3">
      <w:pPr>
        <w:pStyle w:val="175"/>
        <w:numPr>
          <w:ilvl w:val="0"/>
          <w:numId w:val="130"/>
        </w:numPr>
        <w:rPr>
          <w:highlight w:val="none"/>
        </w:rPr>
      </w:pPr>
      <w:r>
        <w:rPr>
          <w:rFonts w:hint="eastAsia"/>
          <w:highlight w:val="none"/>
        </w:rPr>
        <w:t>参与或自行完成可行性研究报告的编制，负责项目可行性研究报告审批前置事项的办理；</w:t>
      </w:r>
    </w:p>
    <w:p w14:paraId="627DEA80">
      <w:pPr>
        <w:pStyle w:val="175"/>
        <w:numPr>
          <w:ilvl w:val="0"/>
          <w:numId w:val="130"/>
        </w:numPr>
        <w:rPr>
          <w:highlight w:val="none"/>
        </w:rPr>
      </w:pPr>
      <w:r>
        <w:rPr>
          <w:rFonts w:hint="eastAsia"/>
          <w:highlight w:val="none"/>
        </w:rPr>
        <w:t>参与或承担项目申请报告的编制和报批；</w:t>
      </w:r>
    </w:p>
    <w:p w14:paraId="3CB57C8B">
      <w:pPr>
        <w:pStyle w:val="175"/>
        <w:numPr>
          <w:ilvl w:val="0"/>
          <w:numId w:val="130"/>
        </w:numPr>
        <w:rPr>
          <w:highlight w:val="none"/>
        </w:rPr>
      </w:pPr>
      <w:r>
        <w:rPr>
          <w:rFonts w:hint="eastAsia"/>
          <w:highlight w:val="none"/>
        </w:rPr>
        <w:t>按照建设资金年度使用计划，编制财政性资金预算，制定建设资金年度使用计划，筹措落实其他建设资金，并严格执行经批准的财政性资金预算；</w:t>
      </w:r>
    </w:p>
    <w:p w14:paraId="1150290E">
      <w:pPr>
        <w:pStyle w:val="175"/>
        <w:numPr>
          <w:ilvl w:val="0"/>
          <w:numId w:val="130"/>
        </w:numPr>
        <w:rPr>
          <w:highlight w:val="none"/>
        </w:rPr>
      </w:pPr>
      <w:r>
        <w:rPr>
          <w:rFonts w:hint="eastAsia"/>
          <w:highlight w:val="none"/>
        </w:rPr>
        <w:t>自行承担和督促完成各种建设条件单项咨询，包括但不限于依法申请办理用地预审与选址意见书，开展环境影响评价、社会稳定风险评估、节能审查、交通和防洪影响评价、水土保持方案审查等；</w:t>
      </w:r>
    </w:p>
    <w:p w14:paraId="4313E733">
      <w:pPr>
        <w:pStyle w:val="175"/>
        <w:numPr>
          <w:ilvl w:val="0"/>
          <w:numId w:val="130"/>
        </w:numPr>
        <w:rPr>
          <w:highlight w:val="none"/>
        </w:rPr>
      </w:pPr>
      <w:r>
        <w:rPr>
          <w:rFonts w:hint="eastAsia"/>
          <w:highlight w:val="none"/>
        </w:rPr>
        <w:t>自行承担或督促办理包括建设用地规划许可、建设工程规划许可、建设工程施工许可在内的各类报批报建工作；</w:t>
      </w:r>
    </w:p>
    <w:p w14:paraId="4975A125">
      <w:pPr>
        <w:pStyle w:val="175"/>
        <w:numPr>
          <w:ilvl w:val="0"/>
          <w:numId w:val="130"/>
        </w:numPr>
        <w:rPr>
          <w:highlight w:val="none"/>
        </w:rPr>
      </w:pPr>
      <w:r>
        <w:rPr>
          <w:rFonts w:hint="eastAsia"/>
          <w:highlight w:val="none"/>
        </w:rPr>
        <w:t>自行承担或审查编制初步设计文件、概算并按规定程序办理报批手续；</w:t>
      </w:r>
    </w:p>
    <w:p w14:paraId="517318AF">
      <w:pPr>
        <w:pStyle w:val="175"/>
        <w:numPr>
          <w:ilvl w:val="0"/>
          <w:numId w:val="130"/>
        </w:numPr>
        <w:rPr>
          <w:highlight w:val="none"/>
        </w:rPr>
      </w:pPr>
      <w:r>
        <w:rPr>
          <w:rFonts w:hint="eastAsia"/>
          <w:highlight w:val="none"/>
        </w:rPr>
        <w:t>组织编制施工图设计文件并办理施工图设计文件审查、消防设计审查、建设工程质量安全监督、城建档案登记等建设手续；</w:t>
      </w:r>
    </w:p>
    <w:p w14:paraId="36E6A59B">
      <w:pPr>
        <w:pStyle w:val="175"/>
        <w:numPr>
          <w:ilvl w:val="0"/>
          <w:numId w:val="130"/>
        </w:numPr>
        <w:rPr>
          <w:highlight w:val="none"/>
        </w:rPr>
      </w:pPr>
      <w:r>
        <w:rPr>
          <w:rFonts w:hint="eastAsia"/>
          <w:highlight w:val="none"/>
        </w:rPr>
        <w:t>办理项目建设配套手续，包括依据地方政策要求，协助委托方申报临时用电、正式用电、临时用水、正式用水、热力燃气、通信、排污管等市政接入手续；</w:t>
      </w:r>
    </w:p>
    <w:p w14:paraId="220EC1F5">
      <w:pPr>
        <w:pStyle w:val="175"/>
        <w:numPr>
          <w:ilvl w:val="0"/>
          <w:numId w:val="130"/>
        </w:numPr>
        <w:rPr>
          <w:highlight w:val="none"/>
        </w:rPr>
      </w:pPr>
      <w:r>
        <w:rPr>
          <w:rFonts w:hint="eastAsia"/>
          <w:highlight w:val="none"/>
        </w:rPr>
        <w:t>组织和管理参建单位开展施工、技术交底、中间验收、阶段验收和竣工验收，加强建设过程质量安全管理；</w:t>
      </w:r>
    </w:p>
    <w:p w14:paraId="4EAFBC36">
      <w:pPr>
        <w:pStyle w:val="175"/>
        <w:numPr>
          <w:ilvl w:val="0"/>
          <w:numId w:val="130"/>
        </w:numPr>
        <w:rPr>
          <w:highlight w:val="none"/>
        </w:rPr>
      </w:pPr>
      <w:r>
        <w:rPr>
          <w:rFonts w:hint="eastAsia"/>
          <w:highlight w:val="none"/>
        </w:rPr>
        <w:t>负责项目建设过程中的投资控制、工期进度、档案资料、项目移交等管理工作，配合项目使用单位办理不动产登记等相关手续，编报项目竣工财务决算；</w:t>
      </w:r>
    </w:p>
    <w:p w14:paraId="0AB4D3D8">
      <w:pPr>
        <w:pStyle w:val="175"/>
        <w:numPr>
          <w:ilvl w:val="0"/>
          <w:numId w:val="130"/>
        </w:numPr>
        <w:rPr>
          <w:highlight w:val="none"/>
        </w:rPr>
      </w:pPr>
      <w:r>
        <w:rPr>
          <w:rFonts w:hint="eastAsia"/>
          <w:highlight w:val="none"/>
        </w:rPr>
        <w:t>组织或协助实施单位进行工程竣工验收，并做好项目移交各项准备工作，包括进行竣工财务决算、完善资产档案、财务档案、城建档案等；</w:t>
      </w:r>
    </w:p>
    <w:p w14:paraId="3516F592">
      <w:pPr>
        <w:pStyle w:val="175"/>
        <w:numPr>
          <w:ilvl w:val="0"/>
          <w:numId w:val="130"/>
        </w:numPr>
        <w:rPr>
          <w:highlight w:val="none"/>
        </w:rPr>
      </w:pPr>
      <w:r>
        <w:rPr>
          <w:rFonts w:hint="eastAsia"/>
          <w:highlight w:val="none"/>
        </w:rPr>
        <w:t>协助实施单位移交项目、使用单位接收项目，包括工程实体、资产档案、财务档案、信息资料档案的移交和交割；</w:t>
      </w:r>
    </w:p>
    <w:p w14:paraId="157EF48A">
      <w:pPr>
        <w:pStyle w:val="175"/>
        <w:numPr>
          <w:ilvl w:val="0"/>
          <w:numId w:val="130"/>
        </w:numPr>
        <w:rPr>
          <w:highlight w:val="none"/>
        </w:rPr>
      </w:pPr>
      <w:r>
        <w:rPr>
          <w:rFonts w:hint="eastAsia"/>
          <w:highlight w:val="none"/>
        </w:rPr>
        <w:t>协助使用单位办理不动产登记事项；</w:t>
      </w:r>
    </w:p>
    <w:p w14:paraId="30DC9CE5">
      <w:pPr>
        <w:pStyle w:val="175"/>
        <w:numPr>
          <w:ilvl w:val="0"/>
          <w:numId w:val="130"/>
        </w:numPr>
        <w:rPr>
          <w:highlight w:val="none"/>
        </w:rPr>
      </w:pPr>
      <w:r>
        <w:rPr>
          <w:rFonts w:hint="eastAsia"/>
          <w:highlight w:val="none"/>
        </w:rPr>
        <w:t>履行法律法规规定和咨询合同约定的其他职责。</w:t>
      </w:r>
    </w:p>
    <w:p w14:paraId="3648729D">
      <w:pPr>
        <w:pStyle w:val="106"/>
        <w:spacing w:before="156" w:after="156"/>
        <w:rPr>
          <w:highlight w:val="none"/>
        </w:rPr>
      </w:pPr>
      <w:bookmarkStart w:id="176" w:name="_Toc15917"/>
      <w:bookmarkStart w:id="177" w:name="_Toc194135378"/>
      <w:r>
        <w:rPr>
          <w:rFonts w:hint="eastAsia"/>
          <w:highlight w:val="none"/>
        </w:rPr>
        <w:t>全过程BIM技术应用咨询服务</w:t>
      </w:r>
      <w:bookmarkEnd w:id="176"/>
      <w:bookmarkEnd w:id="177"/>
    </w:p>
    <w:p w14:paraId="5E210BCE">
      <w:pPr>
        <w:pStyle w:val="66"/>
        <w:spacing w:before="156" w:after="156"/>
        <w:rPr>
          <w:highlight w:val="none"/>
        </w:rPr>
      </w:pPr>
      <w:r>
        <w:rPr>
          <w:rFonts w:hint="eastAsia"/>
          <w:highlight w:val="none"/>
        </w:rPr>
        <w:t>一般规定</w:t>
      </w:r>
    </w:p>
    <w:p w14:paraId="32D87072">
      <w:pPr>
        <w:pStyle w:val="165"/>
        <w:rPr>
          <w:highlight w:val="none"/>
        </w:rPr>
      </w:pPr>
      <w:r>
        <w:rPr>
          <w:rFonts w:hint="eastAsia"/>
          <w:highlight w:val="none"/>
        </w:rPr>
        <w:t>全过程BIM技术应用咨询服务是指在项目设计、施工、竣工及运维的全生命周期过程中运用BIM技术为建筑工程项目提供全面、专业的咨询服务。</w:t>
      </w:r>
    </w:p>
    <w:p w14:paraId="5746AE32">
      <w:pPr>
        <w:pStyle w:val="165"/>
        <w:rPr>
          <w:highlight w:val="none"/>
        </w:rPr>
      </w:pPr>
      <w:r>
        <w:rPr>
          <w:rFonts w:hint="eastAsia"/>
          <w:highlight w:val="none"/>
        </w:rPr>
        <w:t>BIM数字化管理平台应对项目建设全过程中数据进行收集和分析，实现建筑全生命期各参与方在同一多维建筑信息模型基础上的数据共享，对项目进行优化、协同与管理。</w:t>
      </w:r>
    </w:p>
    <w:p w14:paraId="71E57934">
      <w:pPr>
        <w:pStyle w:val="165"/>
        <w:rPr>
          <w:highlight w:val="none"/>
        </w:rPr>
      </w:pPr>
      <w:r>
        <w:rPr>
          <w:rFonts w:hint="eastAsia"/>
          <w:highlight w:val="none"/>
        </w:rPr>
        <w:t>咨询人负责指导、审核自行承担或参建单位编制所承接项目的</w:t>
      </w:r>
      <w:r>
        <w:rPr>
          <w:rFonts w:hint="eastAsia"/>
          <w:highlight w:val="none"/>
          <w:lang w:eastAsia="zh-CN"/>
        </w:rPr>
        <w:t>BIM</w:t>
      </w:r>
      <w:r>
        <w:rPr>
          <w:rFonts w:hint="eastAsia"/>
          <w:highlight w:val="none"/>
        </w:rPr>
        <w:t>实施方案，保障各参建单位职责界面清晰。</w:t>
      </w:r>
    </w:p>
    <w:p w14:paraId="1D45E5D3">
      <w:pPr>
        <w:pStyle w:val="165"/>
        <w:rPr>
          <w:highlight w:val="none"/>
        </w:rPr>
      </w:pPr>
      <w:r>
        <w:rPr>
          <w:rFonts w:hint="eastAsia"/>
          <w:highlight w:val="none"/>
        </w:rPr>
        <w:t>咨询人应在项目推进中不断完善</w:t>
      </w:r>
      <w:r>
        <w:rPr>
          <w:rFonts w:hint="eastAsia"/>
          <w:highlight w:val="none"/>
          <w:lang w:eastAsia="zh-CN"/>
        </w:rPr>
        <w:t>BIM</w:t>
      </w:r>
      <w:r>
        <w:rPr>
          <w:rFonts w:hint="eastAsia"/>
          <w:highlight w:val="none"/>
        </w:rPr>
        <w:t>总实施方案，并根据</w:t>
      </w:r>
      <w:r>
        <w:rPr>
          <w:rFonts w:hint="eastAsia"/>
          <w:highlight w:val="none"/>
          <w:lang w:eastAsia="zh-CN"/>
        </w:rPr>
        <w:t>BIM</w:t>
      </w:r>
      <w:r>
        <w:rPr>
          <w:rFonts w:hint="eastAsia"/>
          <w:highlight w:val="none"/>
        </w:rPr>
        <w:t>应用情况编制 BIM实施细则。</w:t>
      </w:r>
    </w:p>
    <w:p w14:paraId="5F1A685A">
      <w:pPr>
        <w:pStyle w:val="165"/>
        <w:rPr>
          <w:highlight w:val="none"/>
        </w:rPr>
      </w:pPr>
      <w:r>
        <w:rPr>
          <w:rFonts w:hint="eastAsia"/>
          <w:highlight w:val="none"/>
        </w:rPr>
        <w:t>咨询人应组织对各参建方提交的数字化成果进行审核，确保成果的正确性、准确性，实现图模一致、物模一致。</w:t>
      </w:r>
    </w:p>
    <w:p w14:paraId="2C445A5D">
      <w:pPr>
        <w:pStyle w:val="165"/>
        <w:rPr>
          <w:highlight w:val="none"/>
        </w:rPr>
      </w:pPr>
      <w:r>
        <w:rPr>
          <w:rFonts w:hint="eastAsia"/>
          <w:highlight w:val="none"/>
        </w:rPr>
        <w:t>咨询人宜根据参建单位BIM实施情况，定期组织BIM实施专项培训。</w:t>
      </w:r>
    </w:p>
    <w:p w14:paraId="170767D3">
      <w:pPr>
        <w:pStyle w:val="165"/>
        <w:rPr>
          <w:rFonts w:hint="default" w:ascii="宋体" w:eastAsia="宋体"/>
          <w:highlight w:val="none"/>
          <w:lang w:val="en-US" w:eastAsia="zh-CN"/>
        </w:rPr>
      </w:pPr>
      <w:r>
        <w:rPr>
          <w:rFonts w:hint="eastAsia" w:ascii="宋体" w:eastAsia="宋体"/>
          <w:highlight w:val="none"/>
          <w:lang w:val="en-US" w:eastAsia="zh-CN"/>
        </w:rPr>
        <w:t>咨询人在</w:t>
      </w:r>
      <w:r>
        <w:rPr>
          <w:rFonts w:hint="default" w:ascii="宋体" w:eastAsia="宋体"/>
          <w:highlight w:val="none"/>
          <w:lang w:val="en-US" w:eastAsia="zh-CN"/>
        </w:rPr>
        <w:t>BIM技术实施前，依据项目特点、相关方需求及已有资源，编制BIM实施策划方案，并依此进行过程管理。方案应明确项目BIM实施组织架构、团队岗位设置、职责与专业要求，以及应用目标、范围、进度计划、成果交付标准、协同流程、技术标准等。</w:t>
      </w:r>
    </w:p>
    <w:p w14:paraId="75B0AA80">
      <w:pPr>
        <w:pStyle w:val="66"/>
        <w:spacing w:before="156" w:after="156"/>
        <w:rPr>
          <w:rFonts w:hint="eastAsia"/>
          <w:highlight w:val="none"/>
        </w:rPr>
      </w:pPr>
      <w:r>
        <w:rPr>
          <w:rFonts w:hint="eastAsia"/>
          <w:highlight w:val="none"/>
        </w:rPr>
        <w:t>模型生产</w:t>
      </w:r>
    </w:p>
    <w:p w14:paraId="0B8263E2">
      <w:pPr>
        <w:pStyle w:val="165"/>
        <w:rPr>
          <w:rFonts w:hint="eastAsia" w:ascii="宋体" w:eastAsia="宋体"/>
          <w:highlight w:val="none"/>
          <w:lang w:val="en-US" w:eastAsia="zh-CN"/>
        </w:rPr>
      </w:pPr>
      <w:r>
        <w:rPr>
          <w:rFonts w:hint="eastAsia" w:ascii="宋体" w:eastAsia="宋体"/>
          <w:highlight w:val="none"/>
          <w:lang w:val="en-US" w:eastAsia="zh-CN"/>
        </w:rPr>
        <w:t>依据各专业包括但不限于建筑、结构、机电、装饰以及幕墙等专业的设计图纸，运用专业的建模软件，创建符合BIM技术应用需求的主体模型：</w:t>
      </w:r>
    </w:p>
    <w:p w14:paraId="60D0F167">
      <w:pPr>
        <w:pStyle w:val="175"/>
        <w:numPr>
          <w:ilvl w:val="0"/>
          <w:numId w:val="131"/>
        </w:numPr>
        <w:rPr>
          <w:highlight w:val="none"/>
        </w:rPr>
      </w:pPr>
      <w:r>
        <w:rPr>
          <w:rFonts w:hint="eastAsia"/>
          <w:highlight w:val="none"/>
        </w:rPr>
        <w:t>模型生产过程应具备完整的质量控制体系，包括模型审核机制、质量检查标准和反馈修正流程。在建模过程中，采用自动化的模型检查工具和人工检查相结合的方式，对模型的准确性、一致性、完整性进行全面检查；</w:t>
      </w:r>
    </w:p>
    <w:p w14:paraId="10B0F995">
      <w:pPr>
        <w:pStyle w:val="175"/>
        <w:numPr>
          <w:ilvl w:val="0"/>
          <w:numId w:val="112"/>
        </w:numPr>
        <w:rPr>
          <w:highlight w:val="none"/>
        </w:rPr>
      </w:pPr>
      <w:r>
        <w:rPr>
          <w:rFonts w:hint="eastAsia"/>
          <w:highlight w:val="none"/>
        </w:rPr>
        <w:t>模型在数据格式、接口标准等方面应与数字化管理平台兼容，确保模型能够顺利上传、存储、共享和查询，方便项目各方人员在不同阶段对模型进行访问和应用，实现项目全生命周期的信息集成和协同管理。</w:t>
      </w:r>
    </w:p>
    <w:p w14:paraId="1A7A327F">
      <w:pPr>
        <w:pStyle w:val="165"/>
        <w:rPr>
          <w:rFonts w:hint="default" w:ascii="宋体" w:eastAsia="宋体"/>
          <w:highlight w:val="none"/>
          <w:lang w:val="en-US" w:eastAsia="zh-CN"/>
        </w:rPr>
      </w:pPr>
      <w:r>
        <w:rPr>
          <w:rFonts w:hint="eastAsia" w:ascii="宋体" w:eastAsia="宋体"/>
          <w:highlight w:val="none"/>
          <w:lang w:val="en-US" w:eastAsia="zh-CN"/>
        </w:rPr>
        <w:t>为协同各专业工作，保证数据传递的一致性和高效性，应建立以下标准规范：</w:t>
      </w:r>
    </w:p>
    <w:p w14:paraId="6D056790">
      <w:pPr>
        <w:pStyle w:val="175"/>
        <w:numPr>
          <w:ilvl w:val="0"/>
          <w:numId w:val="132"/>
        </w:numPr>
        <w:rPr>
          <w:rFonts w:hint="default" w:ascii="宋体" w:eastAsia="宋体"/>
          <w:highlight w:val="none"/>
          <w:lang w:val="en-US" w:eastAsia="zh-CN"/>
        </w:rPr>
      </w:pPr>
      <w:r>
        <w:rPr>
          <w:rFonts w:hint="eastAsia" w:ascii="宋体" w:eastAsia="宋体"/>
          <w:highlight w:val="none"/>
          <w:lang w:val="en-US" w:eastAsia="zh-CN"/>
        </w:rPr>
        <w:t>建立模型的标准化命名体系，规范模型命名格式，提高模型及其对应文件的储存、交互、管理、检索效率。</w:t>
      </w:r>
    </w:p>
    <w:p w14:paraId="1DCE134F">
      <w:pPr>
        <w:pStyle w:val="175"/>
        <w:numPr>
          <w:ilvl w:val="0"/>
          <w:numId w:val="132"/>
        </w:numPr>
        <w:rPr>
          <w:rFonts w:hint="default" w:ascii="宋体" w:eastAsia="宋体"/>
          <w:highlight w:val="none"/>
          <w:lang w:val="en-US" w:eastAsia="zh-CN"/>
        </w:rPr>
      </w:pPr>
      <w:r>
        <w:rPr>
          <w:rFonts w:hint="eastAsia" w:ascii="宋体" w:eastAsia="宋体"/>
          <w:highlight w:val="none"/>
          <w:lang w:val="en-US" w:eastAsia="zh-CN"/>
        </w:rPr>
        <w:t>制定不同建造阶段模型的精细度要求，包含几何信息与非几何信息深度标准。</w:t>
      </w:r>
    </w:p>
    <w:p w14:paraId="31884B9B">
      <w:pPr>
        <w:pStyle w:val="175"/>
        <w:numPr>
          <w:ilvl w:val="0"/>
          <w:numId w:val="132"/>
        </w:numPr>
        <w:rPr>
          <w:rFonts w:hint="default" w:ascii="宋体" w:eastAsia="宋体"/>
          <w:highlight w:val="none"/>
          <w:lang w:val="en-US" w:eastAsia="zh-CN"/>
        </w:rPr>
      </w:pPr>
      <w:r>
        <w:rPr>
          <w:rFonts w:hint="default" w:ascii="宋体" w:eastAsia="宋体"/>
          <w:highlight w:val="none"/>
          <w:lang w:val="en-US" w:eastAsia="zh-CN"/>
        </w:rPr>
        <w:t>建立统一的拆分原则及编码体系，构件编码在建设全过程应做到唯一性、规范性、简明性和可实施性。</w:t>
      </w:r>
    </w:p>
    <w:p w14:paraId="5A264A1E">
      <w:pPr>
        <w:pStyle w:val="175"/>
        <w:numPr>
          <w:ilvl w:val="0"/>
          <w:numId w:val="132"/>
        </w:numPr>
        <w:rPr>
          <w:rFonts w:hint="default" w:ascii="宋体" w:eastAsia="宋体"/>
          <w:highlight w:val="none"/>
          <w:lang w:val="en-US" w:eastAsia="zh-CN"/>
        </w:rPr>
      </w:pPr>
      <w:r>
        <w:rPr>
          <w:rFonts w:hint="default" w:ascii="宋体" w:eastAsia="宋体"/>
          <w:highlight w:val="none"/>
          <w:lang w:val="en-US" w:eastAsia="zh-CN"/>
        </w:rPr>
        <w:t>建立标准化的数据储存结构，以标准化的格式进行数据储存、交互、编辑，保障信息传递的完整性、高效性。</w:t>
      </w:r>
    </w:p>
    <w:p w14:paraId="27161164">
      <w:pPr>
        <w:pStyle w:val="175"/>
        <w:numPr>
          <w:ilvl w:val="0"/>
          <w:numId w:val="132"/>
        </w:numPr>
        <w:rPr>
          <w:rFonts w:hint="default" w:ascii="宋体" w:eastAsia="宋体"/>
          <w:highlight w:val="none"/>
          <w:lang w:val="en-US" w:eastAsia="zh-CN"/>
        </w:rPr>
      </w:pPr>
      <w:r>
        <w:rPr>
          <w:rFonts w:hint="default" w:ascii="宋体" w:eastAsia="宋体"/>
          <w:highlight w:val="none"/>
          <w:lang w:val="en-US" w:eastAsia="zh-CN"/>
        </w:rPr>
        <w:t>建立统一各专业的空间基准等模型交互接口信息，实现全专业协同建模，集成优化。</w:t>
      </w:r>
    </w:p>
    <w:p w14:paraId="023C5065">
      <w:pPr>
        <w:pStyle w:val="66"/>
        <w:spacing w:before="156" w:after="156"/>
        <w:rPr>
          <w:rFonts w:hint="eastAsia"/>
          <w:highlight w:val="none"/>
          <w:lang w:val="en-US" w:eastAsia="zh-CN"/>
        </w:rPr>
      </w:pPr>
      <w:r>
        <w:rPr>
          <w:rFonts w:hint="eastAsia"/>
          <w:highlight w:val="none"/>
          <w:lang w:val="en-US" w:eastAsia="zh-CN"/>
        </w:rPr>
        <w:t>设计阶段应用</w:t>
      </w:r>
    </w:p>
    <w:p w14:paraId="33AACF65">
      <w:pPr>
        <w:pStyle w:val="165"/>
        <w:rPr>
          <w:rFonts w:hint="default" w:ascii="宋体" w:eastAsia="宋体"/>
          <w:highlight w:val="none"/>
          <w:lang w:val="en-US" w:eastAsia="zh-CN"/>
        </w:rPr>
      </w:pPr>
      <w:r>
        <w:rPr>
          <w:rFonts w:hint="default" w:ascii="宋体" w:eastAsia="宋体"/>
          <w:highlight w:val="none"/>
          <w:lang w:val="en-US" w:eastAsia="zh-CN"/>
        </w:rPr>
        <w:t>应基于统一BIM协同平台开展全专业（建筑、结构、机电、装修等）协同设计，实现模型信息实时共享与冲突自动检测。</w:t>
      </w:r>
    </w:p>
    <w:p w14:paraId="3522EAE1">
      <w:pPr>
        <w:pStyle w:val="165"/>
        <w:rPr>
          <w:rFonts w:hint="default" w:ascii="宋体" w:eastAsia="宋体"/>
          <w:highlight w:val="none"/>
          <w:lang w:val="en-US" w:eastAsia="zh-CN"/>
        </w:rPr>
      </w:pPr>
      <w:r>
        <w:rPr>
          <w:rFonts w:hint="default" w:ascii="宋体" w:eastAsia="宋体"/>
          <w:highlight w:val="none"/>
          <w:lang w:val="en-US" w:eastAsia="zh-CN"/>
        </w:rPr>
        <w:t>应通过BIM软件自动校验设计图纸与模型一致性，确保平、立、剖面图与三维模型无冲突</w:t>
      </w:r>
      <w:r>
        <w:rPr>
          <w:rFonts w:hint="eastAsia" w:ascii="宋体" w:eastAsia="宋体"/>
          <w:highlight w:val="none"/>
          <w:lang w:val="en-US" w:eastAsia="zh-CN"/>
        </w:rPr>
        <w:t>。</w:t>
      </w:r>
    </w:p>
    <w:p w14:paraId="24292534">
      <w:pPr>
        <w:pStyle w:val="165"/>
        <w:rPr>
          <w:rFonts w:hint="default" w:ascii="宋体" w:eastAsia="宋体"/>
          <w:highlight w:val="none"/>
          <w:lang w:val="en-US" w:eastAsia="zh-CN"/>
        </w:rPr>
      </w:pPr>
      <w:r>
        <w:rPr>
          <w:rFonts w:hint="eastAsia" w:ascii="宋体" w:eastAsia="宋体"/>
          <w:highlight w:val="none"/>
          <w:lang w:val="en-US" w:eastAsia="zh-CN"/>
        </w:rPr>
        <w:t>应使用 BIM、人工智能、虚拟现实等技术辅助建筑设计，进行设计方案模拟分析，辅助方案决策。</w:t>
      </w:r>
    </w:p>
    <w:p w14:paraId="5E33C234">
      <w:pPr>
        <w:pStyle w:val="165"/>
        <w:rPr>
          <w:rFonts w:hint="default" w:ascii="宋体" w:eastAsia="宋体"/>
          <w:highlight w:val="none"/>
          <w:lang w:val="en-US" w:eastAsia="zh-CN"/>
        </w:rPr>
      </w:pPr>
      <w:r>
        <w:rPr>
          <w:rFonts w:hint="default" w:ascii="宋体" w:eastAsia="宋体"/>
          <w:highlight w:val="none"/>
          <w:lang w:val="en-US" w:eastAsia="zh-CN"/>
        </w:rPr>
        <w:t>应基于BIM模型进行建筑能耗、日照、通风、声环境模拟分析，优化设计方案，实现绿色建筑、智慧建筑目标，提高建筑性能</w:t>
      </w:r>
      <w:r>
        <w:rPr>
          <w:rFonts w:hint="eastAsia" w:ascii="宋体" w:eastAsia="宋体"/>
          <w:highlight w:val="none"/>
          <w:lang w:val="en-US" w:eastAsia="zh-CN"/>
        </w:rPr>
        <w:t>。</w:t>
      </w:r>
    </w:p>
    <w:p w14:paraId="2EA52B57">
      <w:pPr>
        <w:pStyle w:val="165"/>
        <w:rPr>
          <w:rFonts w:hint="default" w:ascii="宋体" w:eastAsia="宋体"/>
          <w:highlight w:val="none"/>
          <w:lang w:val="en-US" w:eastAsia="zh-CN"/>
        </w:rPr>
      </w:pPr>
      <w:r>
        <w:rPr>
          <w:rFonts w:hint="default" w:ascii="宋体" w:eastAsia="宋体"/>
          <w:highlight w:val="none"/>
          <w:lang w:val="en-US" w:eastAsia="zh-CN"/>
        </w:rPr>
        <w:t>宜通过参数化设计工具动态调整空间布局与结构形式，生成多方案比选报告</w:t>
      </w:r>
      <w:r>
        <w:rPr>
          <w:rFonts w:hint="eastAsia" w:ascii="宋体" w:eastAsia="宋体"/>
          <w:highlight w:val="none"/>
          <w:lang w:val="en-US" w:eastAsia="zh-CN"/>
        </w:rPr>
        <w:t>。</w:t>
      </w:r>
    </w:p>
    <w:p w14:paraId="7A936065">
      <w:pPr>
        <w:pStyle w:val="165"/>
        <w:rPr>
          <w:rFonts w:hint="default" w:ascii="宋体" w:eastAsia="宋体"/>
          <w:highlight w:val="none"/>
          <w:lang w:val="en-US" w:eastAsia="zh-CN"/>
        </w:rPr>
      </w:pPr>
      <w:r>
        <w:rPr>
          <w:rFonts w:hint="eastAsia" w:ascii="宋体" w:eastAsia="宋体"/>
          <w:highlight w:val="none"/>
          <w:lang w:val="en-US" w:eastAsia="zh-CN"/>
        </w:rPr>
        <w:t>通过BIM技术进行全专业碰撞及管线综合检查，规避“错漏碰缺”，确保净高满足使用要求。</w:t>
      </w:r>
    </w:p>
    <w:p w14:paraId="269274D6">
      <w:pPr>
        <w:pStyle w:val="165"/>
        <w:rPr>
          <w:rFonts w:hint="default" w:ascii="宋体" w:eastAsia="宋体"/>
          <w:highlight w:val="none"/>
          <w:lang w:val="en-US" w:eastAsia="zh-CN"/>
        </w:rPr>
      </w:pPr>
      <w:r>
        <w:rPr>
          <w:rFonts w:hint="default" w:ascii="宋体" w:eastAsia="宋体"/>
          <w:highlight w:val="none"/>
          <w:lang w:val="en-US" w:eastAsia="zh-CN"/>
        </w:rPr>
        <w:t>基于BIM模型自动提取工程量清单</w:t>
      </w:r>
      <w:r>
        <w:rPr>
          <w:rFonts w:hint="eastAsia" w:ascii="宋体" w:eastAsia="宋体"/>
          <w:highlight w:val="none"/>
          <w:lang w:val="en-US" w:eastAsia="zh-CN"/>
        </w:rPr>
        <w:t>，并与传统算量结果交叉验证。</w:t>
      </w:r>
    </w:p>
    <w:p w14:paraId="6BD356C6">
      <w:pPr>
        <w:pStyle w:val="165"/>
        <w:rPr>
          <w:rFonts w:hint="default" w:ascii="宋体" w:eastAsia="宋体"/>
          <w:highlight w:val="none"/>
          <w:lang w:val="en-US" w:eastAsia="zh-CN"/>
        </w:rPr>
      </w:pPr>
      <w:r>
        <w:rPr>
          <w:rFonts w:hint="default" w:ascii="宋体" w:eastAsia="宋体"/>
          <w:highlight w:val="none"/>
          <w:lang w:val="en-US" w:eastAsia="zh-CN"/>
        </w:rPr>
        <w:t>宜采用轻量化、云端化、智能化、实时化、文件储存交换格式标准化的设计协同平台，实现项目设计参与方的数据共享、互联互通</w:t>
      </w:r>
      <w:r>
        <w:rPr>
          <w:rFonts w:hint="eastAsia" w:ascii="宋体" w:eastAsia="宋体"/>
          <w:highlight w:val="none"/>
          <w:lang w:val="en-US" w:eastAsia="zh-CN"/>
        </w:rPr>
        <w:t>。</w:t>
      </w:r>
    </w:p>
    <w:p w14:paraId="5CE14234">
      <w:pPr>
        <w:pStyle w:val="66"/>
        <w:spacing w:before="156" w:after="156"/>
        <w:rPr>
          <w:rFonts w:hint="eastAsia"/>
          <w:highlight w:val="none"/>
          <w:lang w:val="en-US" w:eastAsia="zh-CN"/>
        </w:rPr>
      </w:pPr>
      <w:r>
        <w:rPr>
          <w:rFonts w:hint="eastAsia"/>
          <w:highlight w:val="none"/>
          <w:lang w:val="en-US" w:eastAsia="zh-CN"/>
        </w:rPr>
        <w:t>施工阶段应用</w:t>
      </w:r>
    </w:p>
    <w:p w14:paraId="78AA0BBE">
      <w:pPr>
        <w:pStyle w:val="165"/>
        <w:rPr>
          <w:rFonts w:hint="default" w:ascii="宋体" w:eastAsia="宋体"/>
          <w:highlight w:val="none"/>
          <w:lang w:val="en-US" w:eastAsia="zh-CN"/>
        </w:rPr>
      </w:pPr>
      <w:r>
        <w:rPr>
          <w:rFonts w:hint="eastAsia" w:ascii="宋体" w:eastAsia="宋体"/>
          <w:highlight w:val="none"/>
          <w:lang w:val="en-US" w:eastAsia="zh-CN"/>
        </w:rPr>
        <w:t>基于设计模型进行施工深化，补充施工工艺、临时设施、预留预埋等信息，精准落实设计意图。</w:t>
      </w:r>
    </w:p>
    <w:p w14:paraId="195E5AA2">
      <w:pPr>
        <w:pStyle w:val="165"/>
        <w:rPr>
          <w:rFonts w:hint="default" w:ascii="宋体" w:eastAsia="宋体"/>
          <w:highlight w:val="none"/>
          <w:lang w:val="en-US" w:eastAsia="zh-CN"/>
        </w:rPr>
      </w:pPr>
      <w:r>
        <w:rPr>
          <w:rFonts w:hint="eastAsia" w:ascii="宋体" w:eastAsia="宋体"/>
          <w:highlight w:val="none"/>
          <w:lang w:val="en-US" w:eastAsia="zh-CN"/>
        </w:rPr>
        <w:t>应用BIM碰撞检查核查消除图纸隐患，避免返工。</w:t>
      </w:r>
    </w:p>
    <w:p w14:paraId="1168AC71">
      <w:pPr>
        <w:pStyle w:val="165"/>
        <w:rPr>
          <w:rFonts w:hint="default" w:ascii="宋体" w:eastAsia="宋体"/>
          <w:highlight w:val="none"/>
          <w:lang w:val="en-US" w:eastAsia="zh-CN"/>
        </w:rPr>
      </w:pPr>
      <w:r>
        <w:rPr>
          <w:rFonts w:hint="default" w:ascii="宋体" w:eastAsia="宋体"/>
          <w:highlight w:val="none"/>
          <w:lang w:val="en-US" w:eastAsia="zh-CN"/>
        </w:rPr>
        <w:t>宜将BIM技术应用于场地布置，结合数字勘察的相关成果，实现施工现场的合理布局</w:t>
      </w:r>
      <w:r>
        <w:rPr>
          <w:rFonts w:hint="eastAsia" w:ascii="宋体" w:eastAsia="宋体"/>
          <w:highlight w:val="none"/>
          <w:lang w:val="en-US" w:eastAsia="zh-CN"/>
        </w:rPr>
        <w:t>。</w:t>
      </w:r>
    </w:p>
    <w:p w14:paraId="61AD65FA">
      <w:pPr>
        <w:pStyle w:val="165"/>
        <w:rPr>
          <w:rFonts w:hint="default" w:ascii="宋体" w:eastAsia="宋体"/>
          <w:highlight w:val="none"/>
          <w:lang w:val="en-US" w:eastAsia="zh-CN"/>
        </w:rPr>
      </w:pPr>
      <w:r>
        <w:rPr>
          <w:rFonts w:hint="default" w:ascii="宋体" w:eastAsia="宋体"/>
          <w:highlight w:val="none"/>
          <w:lang w:val="en-US" w:eastAsia="zh-CN"/>
        </w:rPr>
        <w:t>宜采用4D模拟技术，直观展示项目实际进度与计划间差异，实现对进度计划的可视化验证，提升对项目进度的管控水平</w:t>
      </w:r>
      <w:r>
        <w:rPr>
          <w:rFonts w:hint="eastAsia" w:ascii="宋体" w:eastAsia="宋体"/>
          <w:highlight w:val="none"/>
          <w:lang w:val="en-US" w:eastAsia="zh-CN"/>
        </w:rPr>
        <w:t>。</w:t>
      </w:r>
    </w:p>
    <w:p w14:paraId="63E5FD95">
      <w:pPr>
        <w:pStyle w:val="165"/>
        <w:rPr>
          <w:rFonts w:hint="default" w:ascii="宋体" w:eastAsia="宋体"/>
          <w:highlight w:val="none"/>
          <w:lang w:val="en-US" w:eastAsia="zh-CN"/>
        </w:rPr>
      </w:pPr>
      <w:r>
        <w:rPr>
          <w:rFonts w:hint="default" w:ascii="宋体" w:eastAsia="宋体"/>
          <w:highlight w:val="none"/>
          <w:lang w:val="en-US" w:eastAsia="zh-CN"/>
        </w:rPr>
        <w:t>宜使用BIM 技术，辅助施工现场材料使用量的计算，通过对比实际工程量、模型实物量、预算清单量，进行项目资金、成本数据的汇总与分析，清晰显示项目当前进度、预计收益，实现动态成本控制。</w:t>
      </w:r>
    </w:p>
    <w:p w14:paraId="1FC13FA9">
      <w:pPr>
        <w:pStyle w:val="165"/>
        <w:rPr>
          <w:rFonts w:hint="default" w:ascii="宋体" w:eastAsia="宋体"/>
          <w:highlight w:val="none"/>
          <w:lang w:val="en-US" w:eastAsia="zh-CN"/>
        </w:rPr>
      </w:pPr>
      <w:r>
        <w:rPr>
          <w:rFonts w:hint="eastAsia" w:ascii="宋体" w:eastAsia="宋体"/>
          <w:highlight w:val="none"/>
          <w:lang w:val="en-US" w:eastAsia="zh-CN"/>
        </w:rPr>
        <w:t>针对工艺复杂的工序，宜采用BIM数字样板，并辅以工艺动画进行施工交底，提高施工人员对图纸、工艺理解度。</w:t>
      </w:r>
    </w:p>
    <w:p w14:paraId="401ADE68">
      <w:pPr>
        <w:pStyle w:val="165"/>
        <w:rPr>
          <w:rFonts w:hint="default" w:ascii="宋体" w:eastAsia="宋体"/>
          <w:highlight w:val="none"/>
          <w:lang w:val="en-US" w:eastAsia="zh-CN"/>
        </w:rPr>
      </w:pPr>
      <w:r>
        <w:rPr>
          <w:rFonts w:hint="default" w:ascii="宋体" w:eastAsia="宋体"/>
          <w:highlight w:val="none"/>
          <w:lang w:val="en-US" w:eastAsia="zh-CN"/>
        </w:rPr>
        <w:t>宜采用BIM+AR技术</w:t>
      </w:r>
      <w:r>
        <w:rPr>
          <w:rFonts w:hint="eastAsia" w:ascii="宋体" w:eastAsia="宋体"/>
          <w:highlight w:val="none"/>
          <w:lang w:val="en-US" w:eastAsia="zh-CN"/>
        </w:rPr>
        <w:t>进行现场施工成果校核。</w:t>
      </w:r>
    </w:p>
    <w:p w14:paraId="7435E8FB">
      <w:pPr>
        <w:pStyle w:val="166"/>
        <w:numPr>
          <w:ilvl w:val="3"/>
          <w:numId w:val="0"/>
        </w:numPr>
        <w:ind w:leftChars="0"/>
        <w:rPr>
          <w:rFonts w:hint="default"/>
          <w:highlight w:val="cyan"/>
          <w:lang w:val="en-US" w:eastAsia="zh-CN"/>
        </w:rPr>
      </w:pPr>
    </w:p>
    <w:p w14:paraId="603C0DCF">
      <w:pPr>
        <w:pStyle w:val="66"/>
        <w:spacing w:before="156" w:after="156"/>
        <w:rPr>
          <w:rFonts w:hint="eastAsia"/>
          <w:highlight w:val="none"/>
          <w:lang w:val="en-US" w:eastAsia="zh-CN"/>
        </w:rPr>
      </w:pPr>
      <w:r>
        <w:rPr>
          <w:rFonts w:hint="eastAsia"/>
          <w:highlight w:val="none"/>
          <w:lang w:val="en-US" w:eastAsia="zh-CN"/>
        </w:rPr>
        <w:t>竣工阶段应用</w:t>
      </w:r>
    </w:p>
    <w:p w14:paraId="53D86038">
      <w:pPr>
        <w:pStyle w:val="165"/>
        <w:rPr>
          <w:rFonts w:hint="default" w:ascii="宋体" w:eastAsia="宋体"/>
          <w:highlight w:val="none"/>
          <w:lang w:val="en-US" w:eastAsia="zh-CN"/>
        </w:rPr>
      </w:pPr>
      <w:r>
        <w:rPr>
          <w:rFonts w:hint="eastAsia" w:ascii="宋体" w:eastAsia="宋体"/>
          <w:highlight w:val="none"/>
          <w:lang w:val="en-US" w:eastAsia="zh-CN"/>
        </w:rPr>
        <w:t>应提交与实体建筑一致的BIM竣工模型，呈现项目最终状态，反映建筑实际情况，同时提供图纸、模型运维手册及数据接口文件等。</w:t>
      </w:r>
    </w:p>
    <w:p w14:paraId="72235086">
      <w:pPr>
        <w:pStyle w:val="165"/>
        <w:rPr>
          <w:rFonts w:hint="default" w:ascii="宋体" w:eastAsia="宋体"/>
          <w:highlight w:val="none"/>
          <w:lang w:val="en-US" w:eastAsia="zh-CN"/>
        </w:rPr>
      </w:pPr>
      <w:r>
        <w:rPr>
          <w:rFonts w:hint="default" w:ascii="宋体" w:eastAsia="宋体"/>
          <w:highlight w:val="none"/>
          <w:lang w:val="en-US" w:eastAsia="zh-CN"/>
        </w:rPr>
        <w:t>应通过BIM模型完整记录机电管线走向、阀门位置等隐蔽工程信息</w:t>
      </w:r>
      <w:r>
        <w:rPr>
          <w:rFonts w:hint="eastAsia" w:ascii="宋体" w:eastAsia="宋体"/>
          <w:highlight w:val="none"/>
          <w:lang w:val="en-US" w:eastAsia="zh-CN"/>
        </w:rPr>
        <w:t>，为运维检修提供依据。</w:t>
      </w:r>
    </w:p>
    <w:p w14:paraId="03A6A238">
      <w:pPr>
        <w:pStyle w:val="165"/>
        <w:rPr>
          <w:rFonts w:hint="default" w:ascii="宋体" w:eastAsia="宋体"/>
          <w:highlight w:val="none"/>
          <w:lang w:val="en-US" w:eastAsia="zh-CN"/>
        </w:rPr>
      </w:pPr>
      <w:r>
        <w:rPr>
          <w:rFonts w:hint="default" w:ascii="宋体" w:eastAsia="宋体"/>
          <w:highlight w:val="none"/>
          <w:lang w:val="en-US" w:eastAsia="zh-CN"/>
        </w:rPr>
        <w:t>应在模型中挂接设备参数、保修期限、供应商信息，支持二维码扫码调取</w:t>
      </w:r>
      <w:r>
        <w:rPr>
          <w:rFonts w:hint="eastAsia" w:ascii="宋体" w:eastAsia="宋体"/>
          <w:highlight w:val="none"/>
          <w:lang w:val="en-US" w:eastAsia="zh-CN"/>
        </w:rPr>
        <w:t>，便于设备全生命周期管理。</w:t>
      </w:r>
    </w:p>
    <w:p w14:paraId="3AA75409">
      <w:pPr>
        <w:pStyle w:val="165"/>
        <w:rPr>
          <w:rFonts w:hint="default" w:ascii="宋体" w:eastAsia="宋体"/>
          <w:highlight w:val="none"/>
          <w:lang w:val="en-US" w:eastAsia="zh-CN"/>
        </w:rPr>
      </w:pPr>
      <w:r>
        <w:rPr>
          <w:rFonts w:hint="default" w:ascii="宋体" w:eastAsia="宋体"/>
          <w:highlight w:val="none"/>
          <w:lang w:val="en-US" w:eastAsia="zh-CN"/>
        </w:rPr>
        <w:t>宜采用轻量化格式交付，确保移动端流畅浏览</w:t>
      </w:r>
      <w:r>
        <w:rPr>
          <w:rFonts w:hint="eastAsia" w:ascii="宋体" w:eastAsia="宋体"/>
          <w:highlight w:val="none"/>
          <w:lang w:val="en-US" w:eastAsia="zh-CN"/>
        </w:rPr>
        <w:t>。</w:t>
      </w:r>
    </w:p>
    <w:p w14:paraId="38C5E123">
      <w:pPr>
        <w:pStyle w:val="66"/>
        <w:spacing w:before="156" w:after="156"/>
        <w:rPr>
          <w:rFonts w:hint="default"/>
          <w:highlight w:val="none"/>
          <w:lang w:val="en-US" w:eastAsia="zh-CN"/>
        </w:rPr>
      </w:pPr>
      <w:r>
        <w:rPr>
          <w:rFonts w:hint="eastAsia"/>
          <w:highlight w:val="none"/>
          <w:lang w:val="en-US" w:eastAsia="zh-CN"/>
        </w:rPr>
        <w:t>运维阶段应用</w:t>
      </w:r>
    </w:p>
    <w:p w14:paraId="7543186C">
      <w:pPr>
        <w:pStyle w:val="165"/>
        <w:rPr>
          <w:rFonts w:hint="default" w:ascii="宋体" w:eastAsia="宋体"/>
          <w:highlight w:val="none"/>
          <w:lang w:val="en-US" w:eastAsia="zh-CN"/>
        </w:rPr>
      </w:pPr>
      <w:r>
        <w:rPr>
          <w:rFonts w:hint="default" w:ascii="宋体" w:eastAsia="宋体"/>
          <w:highlight w:val="none"/>
          <w:lang w:val="en-US" w:eastAsia="zh-CN"/>
        </w:rPr>
        <w:t>应集成BIM模型与物联网实时数据（能耗、设备状态、环境参数），构建运维数字孪生体</w:t>
      </w:r>
      <w:r>
        <w:rPr>
          <w:rFonts w:hint="eastAsia" w:ascii="宋体" w:eastAsia="宋体"/>
          <w:highlight w:val="none"/>
          <w:lang w:val="en-US" w:eastAsia="zh-CN"/>
        </w:rPr>
        <w:t>。</w:t>
      </w:r>
    </w:p>
    <w:p w14:paraId="117A4D2B">
      <w:pPr>
        <w:pStyle w:val="165"/>
        <w:rPr>
          <w:rFonts w:hint="default" w:ascii="宋体" w:eastAsia="宋体"/>
          <w:highlight w:val="none"/>
          <w:lang w:val="en-US" w:eastAsia="zh-CN"/>
        </w:rPr>
      </w:pPr>
      <w:r>
        <w:rPr>
          <w:rFonts w:hint="default" w:ascii="宋体" w:eastAsia="宋体"/>
          <w:highlight w:val="none"/>
          <w:lang w:val="en-US" w:eastAsia="zh-CN"/>
        </w:rPr>
        <w:t>应通过BIM模型关联设备运行日志、维修记录、更换周期，自动生成保养计划。</w:t>
      </w:r>
    </w:p>
    <w:p w14:paraId="4A23B28F">
      <w:pPr>
        <w:pStyle w:val="165"/>
        <w:rPr>
          <w:rFonts w:hint="eastAsia" w:ascii="宋体" w:eastAsia="宋体"/>
          <w:highlight w:val="none"/>
          <w:lang w:val="en-US" w:eastAsia="zh-CN"/>
        </w:rPr>
      </w:pPr>
      <w:r>
        <w:rPr>
          <w:rFonts w:hint="default" w:ascii="宋体" w:eastAsia="宋体"/>
          <w:highlight w:val="none"/>
          <w:lang w:val="en-US" w:eastAsia="zh-CN"/>
        </w:rPr>
        <w:t>应通过BIM模型管理房间使用状态、租约信息，支持空间利用率统计分析</w:t>
      </w:r>
      <w:r>
        <w:rPr>
          <w:rFonts w:hint="eastAsia" w:ascii="宋体" w:eastAsia="宋体"/>
          <w:highlight w:val="none"/>
          <w:lang w:val="en-US" w:eastAsia="zh-CN"/>
        </w:rPr>
        <w:t>。</w:t>
      </w:r>
    </w:p>
    <w:p w14:paraId="2FF61DF0">
      <w:pPr>
        <w:pStyle w:val="165"/>
        <w:rPr>
          <w:rFonts w:hint="eastAsia" w:ascii="宋体" w:eastAsia="宋体"/>
          <w:highlight w:val="none"/>
          <w:lang w:val="en-US" w:eastAsia="zh-CN"/>
        </w:rPr>
      </w:pPr>
      <w:r>
        <w:rPr>
          <w:rFonts w:hint="default" w:ascii="宋体" w:eastAsia="宋体"/>
          <w:highlight w:val="none"/>
          <w:lang w:val="en-US" w:eastAsia="zh-CN"/>
        </w:rPr>
        <w:t>应基于BIM模型分析建筑能耗热点，优化空调、照明系统运行策略</w:t>
      </w:r>
      <w:r>
        <w:rPr>
          <w:rFonts w:hint="eastAsia" w:ascii="宋体" w:eastAsia="宋体"/>
          <w:highlight w:val="none"/>
          <w:lang w:val="en-US" w:eastAsia="zh-CN"/>
        </w:rPr>
        <w:t>。</w:t>
      </w:r>
    </w:p>
    <w:p w14:paraId="3692C22D">
      <w:pPr>
        <w:pStyle w:val="106"/>
        <w:spacing w:before="156" w:after="156"/>
        <w:rPr>
          <w:rFonts w:hint="default"/>
          <w:highlight w:val="none"/>
          <w:lang w:val="en-US" w:eastAsia="zh-CN"/>
        </w:rPr>
      </w:pPr>
      <w:bookmarkStart w:id="178" w:name="_Toc10825"/>
      <w:r>
        <w:rPr>
          <w:rFonts w:hint="eastAsia"/>
          <w:highlight w:val="none"/>
          <w:lang w:val="en-US" w:eastAsia="zh-CN"/>
        </w:rPr>
        <w:t>部品部件智能生产应用咨询服务</w:t>
      </w:r>
      <w:bookmarkEnd w:id="178"/>
    </w:p>
    <w:p w14:paraId="525877A8">
      <w:pPr>
        <w:pStyle w:val="66"/>
        <w:spacing w:before="156" w:after="156"/>
        <w:rPr>
          <w:rFonts w:hint="default"/>
          <w:highlight w:val="none"/>
          <w:lang w:val="en-US" w:eastAsia="zh-CN"/>
        </w:rPr>
      </w:pPr>
      <w:r>
        <w:rPr>
          <w:rFonts w:hint="eastAsia"/>
          <w:highlight w:val="none"/>
          <w:lang w:val="en-US" w:eastAsia="zh-CN"/>
        </w:rPr>
        <w:t>一般规定</w:t>
      </w:r>
    </w:p>
    <w:p w14:paraId="1A7264D0">
      <w:pPr>
        <w:pStyle w:val="165"/>
        <w:rPr>
          <w:rFonts w:hint="default" w:ascii="宋体" w:eastAsia="宋体"/>
          <w:highlight w:val="none"/>
          <w:lang w:val="en-US" w:eastAsia="zh-CN"/>
        </w:rPr>
      </w:pPr>
      <w:r>
        <w:rPr>
          <w:rFonts w:hint="eastAsia" w:ascii="宋体" w:eastAsia="宋体"/>
          <w:highlight w:val="none"/>
          <w:lang w:val="en-US" w:eastAsia="zh-CN"/>
        </w:rPr>
        <w:t>部品部件智能生产应用咨询</w:t>
      </w:r>
      <w:r>
        <w:rPr>
          <w:rFonts w:hint="default" w:ascii="宋体" w:eastAsia="宋体"/>
          <w:highlight w:val="none"/>
          <w:lang w:val="en-US" w:eastAsia="zh-CN"/>
        </w:rPr>
        <w:t>应以绿色建材生产为导向，融合新型工业化理念，贯穿设计、制造、应用全生命周期，通过智能技术优化生产工艺，促进产业链智能化、绿色化转型</w:t>
      </w:r>
      <w:r>
        <w:rPr>
          <w:rFonts w:hint="eastAsia" w:ascii="宋体" w:eastAsia="宋体"/>
          <w:highlight w:val="none"/>
          <w:lang w:val="en-US" w:eastAsia="zh-CN"/>
        </w:rPr>
        <w:t>，</w:t>
      </w:r>
      <w:r>
        <w:rPr>
          <w:rFonts w:hint="default" w:ascii="宋体" w:eastAsia="宋体"/>
          <w:highlight w:val="none"/>
          <w:lang w:val="en-US" w:eastAsia="zh-CN"/>
        </w:rPr>
        <w:t>推动材料性能升级</w:t>
      </w:r>
      <w:r>
        <w:rPr>
          <w:rFonts w:hint="eastAsia" w:ascii="宋体" w:eastAsia="宋体"/>
          <w:highlight w:val="none"/>
          <w:lang w:val="en-US" w:eastAsia="zh-CN"/>
        </w:rPr>
        <w:t>、品质提升</w:t>
      </w:r>
      <w:r>
        <w:rPr>
          <w:rFonts w:hint="default" w:ascii="宋体" w:eastAsia="宋体"/>
          <w:highlight w:val="none"/>
          <w:lang w:val="en-US" w:eastAsia="zh-CN"/>
        </w:rPr>
        <w:t>与资源高效利用。</w:t>
      </w:r>
    </w:p>
    <w:p w14:paraId="3FA27345">
      <w:pPr>
        <w:pStyle w:val="165"/>
        <w:rPr>
          <w:rFonts w:hint="default" w:ascii="宋体" w:eastAsia="宋体"/>
          <w:highlight w:val="none"/>
          <w:lang w:val="en-US" w:eastAsia="zh-CN"/>
        </w:rPr>
      </w:pPr>
      <w:r>
        <w:rPr>
          <w:rFonts w:hint="eastAsia" w:ascii="宋体" w:eastAsia="宋体"/>
          <w:highlight w:val="none"/>
          <w:lang w:val="en-US" w:eastAsia="zh-CN"/>
        </w:rPr>
        <w:t>咨询服务方应组建专业团队开展智能生产阶段咨询服务工作，智能生产过程与勘察设计、施工的协调与配合。</w:t>
      </w:r>
    </w:p>
    <w:p w14:paraId="6E624972">
      <w:pPr>
        <w:pStyle w:val="165"/>
        <w:rPr>
          <w:rFonts w:hint="default" w:ascii="宋体" w:eastAsia="宋体"/>
          <w:highlight w:val="none"/>
          <w:lang w:val="en-US" w:eastAsia="zh-CN"/>
        </w:rPr>
      </w:pPr>
      <w:r>
        <w:rPr>
          <w:rFonts w:hint="eastAsia" w:ascii="宋体" w:eastAsia="宋体"/>
          <w:highlight w:val="none"/>
          <w:lang w:val="en-US" w:eastAsia="zh-CN"/>
        </w:rPr>
        <w:t>咨询服务方应制定智能生产应用的具体要求、应用点策划、应用内容等，指导施工单位与材料供应单位具体实施。</w:t>
      </w:r>
    </w:p>
    <w:p w14:paraId="08396ADE">
      <w:pPr>
        <w:pStyle w:val="165"/>
        <w:rPr>
          <w:rFonts w:hint="eastAsia" w:ascii="宋体" w:eastAsia="宋体"/>
          <w:highlight w:val="none"/>
          <w:lang w:val="en-US" w:eastAsia="zh-CN"/>
        </w:rPr>
      </w:pPr>
      <w:r>
        <w:rPr>
          <w:rFonts w:hint="eastAsia" w:ascii="宋体" w:eastAsia="宋体"/>
          <w:highlight w:val="none"/>
          <w:lang w:val="en-US" w:eastAsia="zh-CN"/>
        </w:rPr>
        <w:t>智能生产应采用工业化、数字化、智能化生产制造技术，完善部品部件产业链，实现精益生产、智能建造。</w:t>
      </w:r>
    </w:p>
    <w:p w14:paraId="170C354F">
      <w:pPr>
        <w:pStyle w:val="165"/>
        <w:rPr>
          <w:rFonts w:hint="default" w:ascii="宋体" w:eastAsia="宋体"/>
          <w:highlight w:val="none"/>
          <w:lang w:val="en-US" w:eastAsia="zh-CN"/>
        </w:rPr>
      </w:pPr>
      <w:r>
        <w:rPr>
          <w:rFonts w:hint="eastAsia" w:ascii="宋体" w:eastAsia="宋体"/>
          <w:highlight w:val="none"/>
          <w:lang w:val="en-US" w:eastAsia="zh-CN"/>
        </w:rPr>
        <w:t>咨询服务方应制定项目数字化管理平台生产数据、物流数据、安装施工数据对接标准。</w:t>
      </w:r>
    </w:p>
    <w:p w14:paraId="10240E59">
      <w:pPr>
        <w:pStyle w:val="165"/>
        <w:rPr>
          <w:rFonts w:hint="default" w:ascii="宋体" w:eastAsia="宋体"/>
          <w:highlight w:val="none"/>
          <w:lang w:val="en-US" w:eastAsia="zh-CN"/>
        </w:rPr>
      </w:pPr>
      <w:r>
        <w:rPr>
          <w:rFonts w:hint="eastAsia" w:ascii="宋体" w:eastAsia="宋体"/>
          <w:highlight w:val="none"/>
          <w:lang w:val="en-US" w:eastAsia="zh-CN"/>
        </w:rPr>
        <w:t>对于有预制构件的项目智能生产的产品交付时，应提供带有产品信息的BIM模型资料，可通过扫码或 RFID等技术，查看产品模型、工艺流程、技术参数、质量管理过程、隐蔽验收资料等数据，实现构件全生命周期质量溯源。</w:t>
      </w:r>
    </w:p>
    <w:p w14:paraId="61C504D8">
      <w:pPr>
        <w:pStyle w:val="66"/>
        <w:spacing w:before="156" w:after="156"/>
        <w:rPr>
          <w:rFonts w:hint="default"/>
          <w:highlight w:val="none"/>
          <w:lang w:val="en-US" w:eastAsia="zh-CN"/>
        </w:rPr>
      </w:pPr>
      <w:r>
        <w:rPr>
          <w:rFonts w:hint="eastAsia"/>
          <w:highlight w:val="none"/>
          <w:lang w:val="en-US" w:eastAsia="zh-CN"/>
        </w:rPr>
        <w:t>生产系统规划与协同管理</w:t>
      </w:r>
    </w:p>
    <w:p w14:paraId="4BE008FF">
      <w:pPr>
        <w:pStyle w:val="165"/>
        <w:rPr>
          <w:rFonts w:hint="default" w:ascii="宋体" w:eastAsia="宋体"/>
          <w:highlight w:val="none"/>
          <w:lang w:val="en-US" w:eastAsia="zh-CN"/>
        </w:rPr>
      </w:pPr>
      <w:r>
        <w:rPr>
          <w:rFonts w:hint="default" w:ascii="宋体" w:eastAsia="宋体"/>
          <w:highlight w:val="none"/>
          <w:lang w:val="en-US" w:eastAsia="zh-CN"/>
        </w:rPr>
        <w:t>咨询服务需基于项目需求制定智能生产专项规划，明确数据接口标准、生产流程优化目标和数字化产线布局</w:t>
      </w:r>
      <w:r>
        <w:rPr>
          <w:rFonts w:hint="eastAsia"/>
          <w:highlight w:val="none"/>
          <w:lang w:val="en-US" w:eastAsia="zh-CN"/>
        </w:rPr>
        <w:t>。</w:t>
      </w:r>
    </w:p>
    <w:p w14:paraId="5DF02853">
      <w:pPr>
        <w:pStyle w:val="165"/>
        <w:rPr>
          <w:rFonts w:hint="default" w:ascii="宋体" w:eastAsia="宋体"/>
          <w:highlight w:val="none"/>
          <w:lang w:val="en-US" w:eastAsia="zh-CN"/>
        </w:rPr>
      </w:pPr>
      <w:r>
        <w:rPr>
          <w:rFonts w:hint="eastAsia" w:ascii="宋体" w:eastAsia="宋体"/>
          <w:highlight w:val="none"/>
          <w:lang w:val="en-US" w:eastAsia="zh-CN"/>
        </w:rPr>
        <w:t>应</w:t>
      </w:r>
      <w:r>
        <w:rPr>
          <w:rFonts w:hint="default" w:ascii="宋体" w:eastAsia="宋体"/>
          <w:highlight w:val="none"/>
          <w:lang w:val="en-US" w:eastAsia="zh-CN"/>
        </w:rPr>
        <w:t>根据设计模型进行产线布局模拟，优化物料流转路径与设备定位，减少生产冗余环节</w:t>
      </w:r>
      <w:r>
        <w:rPr>
          <w:rFonts w:hint="eastAsia" w:ascii="宋体" w:eastAsia="宋体"/>
          <w:highlight w:val="none"/>
          <w:lang w:val="en-US" w:eastAsia="zh-CN"/>
        </w:rPr>
        <w:t>。</w:t>
      </w:r>
    </w:p>
    <w:p w14:paraId="62EEE64B">
      <w:pPr>
        <w:pStyle w:val="165"/>
        <w:rPr>
          <w:rFonts w:hint="default" w:ascii="宋体" w:eastAsia="宋体"/>
          <w:highlight w:val="none"/>
          <w:lang w:val="en-US" w:eastAsia="zh-CN"/>
        </w:rPr>
      </w:pPr>
      <w:r>
        <w:rPr>
          <w:rFonts w:hint="eastAsia" w:ascii="宋体" w:eastAsia="宋体"/>
          <w:highlight w:val="none"/>
          <w:lang w:val="en-US" w:eastAsia="zh-CN"/>
        </w:rPr>
        <w:t>应</w:t>
      </w:r>
      <w:r>
        <w:rPr>
          <w:rFonts w:hint="default" w:ascii="宋体" w:eastAsia="宋体"/>
          <w:highlight w:val="none"/>
          <w:lang w:val="en-US" w:eastAsia="zh-CN"/>
        </w:rPr>
        <w:t>建立设计</w:t>
      </w:r>
      <w:r>
        <w:rPr>
          <w:rFonts w:hint="eastAsia"/>
          <w:highlight w:val="none"/>
          <w:lang w:val="en-US" w:eastAsia="zh-CN"/>
        </w:rPr>
        <w:t>－</w:t>
      </w:r>
      <w:r>
        <w:rPr>
          <w:rFonts w:hint="default" w:ascii="宋体" w:eastAsia="宋体"/>
          <w:highlight w:val="none"/>
          <w:lang w:val="en-US" w:eastAsia="zh-CN"/>
        </w:rPr>
        <w:t>生产协同机制，要求BIM模型数据与制造执行系统（MES）实现双向传输，确保参数精准对接</w:t>
      </w:r>
      <w:r>
        <w:rPr>
          <w:rFonts w:hint="eastAsia" w:ascii="宋体" w:eastAsia="宋体"/>
          <w:highlight w:val="none"/>
          <w:lang w:val="en-US" w:eastAsia="zh-CN"/>
        </w:rPr>
        <w:t>。</w:t>
      </w:r>
    </w:p>
    <w:p w14:paraId="04A0DC55">
      <w:pPr>
        <w:pStyle w:val="165"/>
        <w:rPr>
          <w:rFonts w:hint="default" w:ascii="宋体" w:eastAsia="宋体"/>
          <w:highlight w:val="none"/>
          <w:lang w:val="en-US" w:eastAsia="zh-CN"/>
        </w:rPr>
      </w:pPr>
      <w:r>
        <w:rPr>
          <w:rFonts w:hint="eastAsia" w:ascii="宋体" w:eastAsia="宋体"/>
          <w:highlight w:val="none"/>
          <w:lang w:val="en-US" w:eastAsia="zh-CN"/>
        </w:rPr>
        <w:t>应</w:t>
      </w:r>
      <w:r>
        <w:rPr>
          <w:rFonts w:hint="default" w:ascii="宋体" w:eastAsia="宋体"/>
          <w:highlight w:val="none"/>
          <w:lang w:val="en-US" w:eastAsia="zh-CN"/>
        </w:rPr>
        <w:t>制定生产设备选型标准，优先采用数控加工中心、激光切割机器人等智能装备，实现自动化加工</w:t>
      </w:r>
      <w:r>
        <w:rPr>
          <w:rFonts w:hint="eastAsia" w:ascii="宋体" w:eastAsia="宋体"/>
          <w:highlight w:val="none"/>
          <w:lang w:val="en-US" w:eastAsia="zh-CN"/>
        </w:rPr>
        <w:t>。</w:t>
      </w:r>
    </w:p>
    <w:p w14:paraId="6465A889">
      <w:pPr>
        <w:pStyle w:val="165"/>
        <w:rPr>
          <w:rFonts w:hint="default" w:ascii="宋体" w:eastAsia="宋体"/>
          <w:highlight w:val="none"/>
          <w:lang w:val="en-US" w:eastAsia="zh-CN"/>
        </w:rPr>
      </w:pPr>
      <w:r>
        <w:rPr>
          <w:rFonts w:hint="eastAsia" w:ascii="宋体" w:eastAsia="宋体"/>
          <w:highlight w:val="none"/>
          <w:lang w:val="en-US" w:eastAsia="zh-CN"/>
        </w:rPr>
        <w:t>应</w:t>
      </w:r>
      <w:r>
        <w:rPr>
          <w:rFonts w:hint="default" w:ascii="宋体" w:eastAsia="宋体"/>
          <w:highlight w:val="none"/>
          <w:lang w:val="en-US" w:eastAsia="zh-CN"/>
        </w:rPr>
        <w:t>规划WMS仓储管理系统，实现原材料入库、库存预警、成品出库的全流程数字化追溯</w:t>
      </w:r>
      <w:r>
        <w:rPr>
          <w:rFonts w:hint="eastAsia" w:ascii="宋体" w:eastAsia="宋体"/>
          <w:highlight w:val="none"/>
          <w:lang w:val="en-US" w:eastAsia="zh-CN"/>
        </w:rPr>
        <w:t>。</w:t>
      </w:r>
    </w:p>
    <w:p w14:paraId="0B1317F5">
      <w:pPr>
        <w:pStyle w:val="165"/>
        <w:rPr>
          <w:rFonts w:hint="default" w:ascii="宋体" w:eastAsia="宋体"/>
          <w:highlight w:val="none"/>
          <w:lang w:val="en-US" w:eastAsia="zh-CN"/>
        </w:rPr>
      </w:pPr>
      <w:r>
        <w:rPr>
          <w:rFonts w:hint="eastAsia" w:ascii="宋体" w:eastAsia="宋体"/>
          <w:highlight w:val="none"/>
          <w:lang w:val="en-US" w:eastAsia="zh-CN"/>
        </w:rPr>
        <w:t>对于有预制构件的项目</w:t>
      </w:r>
      <w:r>
        <w:rPr>
          <w:rFonts w:hint="default" w:ascii="宋体" w:eastAsia="宋体"/>
          <w:highlight w:val="none"/>
          <w:lang w:val="en-US" w:eastAsia="zh-CN"/>
        </w:rPr>
        <w:t>要求生产线配置RFID/二维码标识系统，实现构件身份唯一绑定与全生命周期数据关联</w:t>
      </w:r>
      <w:r>
        <w:rPr>
          <w:rFonts w:hint="eastAsia" w:ascii="宋体" w:eastAsia="宋体"/>
          <w:highlight w:val="none"/>
          <w:lang w:val="en-US" w:eastAsia="zh-CN"/>
        </w:rPr>
        <w:t>。</w:t>
      </w:r>
    </w:p>
    <w:p w14:paraId="07B8C54A">
      <w:pPr>
        <w:pStyle w:val="66"/>
        <w:spacing w:before="156" w:after="156"/>
        <w:rPr>
          <w:rFonts w:hint="default"/>
          <w:highlight w:val="none"/>
          <w:lang w:val="en-US" w:eastAsia="zh-CN"/>
        </w:rPr>
      </w:pPr>
      <w:r>
        <w:rPr>
          <w:rFonts w:hint="eastAsia"/>
          <w:highlight w:val="none"/>
          <w:lang w:val="en-US" w:eastAsia="zh-CN"/>
        </w:rPr>
        <w:t>智能产线实施与质量控制</w:t>
      </w:r>
    </w:p>
    <w:p w14:paraId="59EEBC2F">
      <w:pPr>
        <w:pStyle w:val="165"/>
        <w:rPr>
          <w:rFonts w:hint="default" w:ascii="宋体" w:eastAsia="宋体"/>
          <w:highlight w:val="none"/>
          <w:lang w:val="en-US" w:eastAsia="zh-CN"/>
        </w:rPr>
      </w:pPr>
      <w:r>
        <w:rPr>
          <w:rFonts w:hint="default" w:ascii="宋体" w:eastAsia="宋体"/>
          <w:highlight w:val="none"/>
          <w:lang w:val="en-US" w:eastAsia="zh-CN"/>
        </w:rPr>
        <w:t>生产阶段</w:t>
      </w:r>
      <w:r>
        <w:rPr>
          <w:rFonts w:hint="eastAsia" w:ascii="宋体" w:eastAsia="宋体"/>
          <w:highlight w:val="none"/>
          <w:lang w:val="en-US" w:eastAsia="zh-CN"/>
        </w:rPr>
        <w:t>宜</w:t>
      </w:r>
      <w:r>
        <w:rPr>
          <w:rFonts w:hint="default" w:ascii="宋体" w:eastAsia="宋体"/>
          <w:highlight w:val="none"/>
          <w:lang w:val="en-US" w:eastAsia="zh-CN"/>
        </w:rPr>
        <w:t>实现工艺参数智能校核、质量数据实时采集与异常预警</w:t>
      </w:r>
      <w:r>
        <w:rPr>
          <w:rFonts w:hint="eastAsia" w:ascii="宋体" w:eastAsia="宋体"/>
          <w:highlight w:val="none"/>
          <w:lang w:val="en-US" w:eastAsia="zh-CN"/>
        </w:rPr>
        <w:t>。</w:t>
      </w:r>
    </w:p>
    <w:p w14:paraId="56086453">
      <w:pPr>
        <w:pStyle w:val="165"/>
        <w:rPr>
          <w:rFonts w:hint="default" w:ascii="宋体" w:eastAsia="宋体"/>
          <w:highlight w:val="none"/>
          <w:lang w:val="en-US" w:eastAsia="zh-CN"/>
        </w:rPr>
      </w:pPr>
      <w:r>
        <w:rPr>
          <w:rFonts w:hint="default" w:ascii="宋体" w:eastAsia="宋体"/>
          <w:highlight w:val="none"/>
          <w:lang w:val="en-US" w:eastAsia="zh-CN"/>
        </w:rPr>
        <w:t>宜在生产线上采用智能化数控设备，通过控制系统操控数控设备，实现装备智能化。</w:t>
      </w:r>
    </w:p>
    <w:p w14:paraId="17C38777">
      <w:pPr>
        <w:pStyle w:val="165"/>
        <w:rPr>
          <w:rFonts w:hint="default" w:ascii="宋体" w:eastAsia="宋体"/>
          <w:highlight w:val="none"/>
          <w:lang w:val="en-US" w:eastAsia="zh-CN"/>
        </w:rPr>
      </w:pPr>
      <w:r>
        <w:rPr>
          <w:rFonts w:hint="eastAsia" w:ascii="宋体" w:eastAsia="宋体"/>
          <w:highlight w:val="none"/>
          <w:lang w:val="en-US" w:eastAsia="zh-CN"/>
        </w:rPr>
        <w:t>宜</w:t>
      </w:r>
      <w:r>
        <w:rPr>
          <w:rFonts w:hint="default" w:ascii="宋体" w:eastAsia="宋体"/>
          <w:highlight w:val="none"/>
          <w:lang w:val="en-US" w:eastAsia="zh-CN"/>
        </w:rPr>
        <w:t>建立智能产线工艺数据库，包含加工参数、公差标准及工艺工法库，支持自动调参</w:t>
      </w:r>
      <w:r>
        <w:rPr>
          <w:rFonts w:hint="eastAsia" w:ascii="宋体" w:eastAsia="宋体"/>
          <w:highlight w:val="none"/>
          <w:lang w:val="en-US" w:eastAsia="zh-CN"/>
        </w:rPr>
        <w:t>。</w:t>
      </w:r>
    </w:p>
    <w:p w14:paraId="7FDB6C49">
      <w:pPr>
        <w:pStyle w:val="165"/>
        <w:rPr>
          <w:rFonts w:hint="default" w:ascii="宋体" w:eastAsia="宋体"/>
          <w:highlight w:val="none"/>
          <w:lang w:val="en-US" w:eastAsia="zh-CN"/>
        </w:rPr>
      </w:pPr>
      <w:r>
        <w:rPr>
          <w:rFonts w:hint="eastAsia" w:ascii="宋体" w:eastAsia="宋体"/>
          <w:highlight w:val="none"/>
          <w:lang w:val="en-US" w:eastAsia="zh-CN"/>
        </w:rPr>
        <w:t>宜</w:t>
      </w:r>
      <w:r>
        <w:rPr>
          <w:rFonts w:hint="default" w:ascii="宋体" w:eastAsia="宋体"/>
          <w:highlight w:val="none"/>
          <w:lang w:val="en-US" w:eastAsia="zh-CN"/>
        </w:rPr>
        <w:t>部署视觉检测设备，对构件尺寸、焊缝质量、表面平整度进行自动化检测并生成报告</w:t>
      </w:r>
      <w:r>
        <w:rPr>
          <w:rFonts w:hint="eastAsia" w:ascii="宋体" w:eastAsia="宋体"/>
          <w:highlight w:val="none"/>
          <w:lang w:val="en-US" w:eastAsia="zh-CN"/>
        </w:rPr>
        <w:t>。</w:t>
      </w:r>
    </w:p>
    <w:p w14:paraId="2F657A36">
      <w:pPr>
        <w:pStyle w:val="165"/>
        <w:rPr>
          <w:rFonts w:hint="default" w:ascii="宋体" w:eastAsia="宋体"/>
          <w:highlight w:val="none"/>
          <w:lang w:val="en-US" w:eastAsia="zh-CN"/>
        </w:rPr>
      </w:pPr>
      <w:r>
        <w:rPr>
          <w:rFonts w:hint="eastAsia" w:ascii="宋体" w:eastAsia="宋体"/>
          <w:highlight w:val="none"/>
          <w:lang w:val="en-US" w:eastAsia="zh-CN"/>
        </w:rPr>
        <w:t>宜</w:t>
      </w:r>
      <w:r>
        <w:rPr>
          <w:rFonts w:hint="default" w:ascii="宋体" w:eastAsia="宋体"/>
          <w:highlight w:val="none"/>
          <w:lang w:val="en-US" w:eastAsia="zh-CN"/>
        </w:rPr>
        <w:t>生产执行系统（MES）与ERP系统</w:t>
      </w:r>
      <w:r>
        <w:rPr>
          <w:rFonts w:hint="eastAsia" w:ascii="宋体" w:eastAsia="宋体"/>
          <w:highlight w:val="none"/>
          <w:lang w:val="en-US" w:eastAsia="zh-CN"/>
        </w:rPr>
        <w:t>交互</w:t>
      </w:r>
      <w:r>
        <w:rPr>
          <w:rFonts w:hint="default" w:ascii="宋体" w:eastAsia="宋体"/>
          <w:highlight w:val="none"/>
          <w:lang w:val="en-US" w:eastAsia="zh-CN"/>
        </w:rPr>
        <w:t>，动态调整排产计划并反馈物料需求</w:t>
      </w:r>
      <w:r>
        <w:rPr>
          <w:rFonts w:hint="eastAsia" w:ascii="宋体" w:eastAsia="宋体"/>
          <w:highlight w:val="none"/>
          <w:lang w:val="en-US" w:eastAsia="zh-CN"/>
        </w:rPr>
        <w:t>。</w:t>
      </w:r>
    </w:p>
    <w:p w14:paraId="72AB4B7D">
      <w:pPr>
        <w:pStyle w:val="165"/>
        <w:rPr>
          <w:rFonts w:hint="default" w:ascii="宋体" w:eastAsia="宋体"/>
          <w:highlight w:val="none"/>
          <w:lang w:val="en-US" w:eastAsia="zh-CN"/>
        </w:rPr>
      </w:pPr>
      <w:r>
        <w:rPr>
          <w:rFonts w:hint="default" w:ascii="宋体" w:eastAsia="宋体"/>
          <w:highlight w:val="none"/>
          <w:lang w:val="en-US" w:eastAsia="zh-CN"/>
        </w:rPr>
        <w:t>宜统筹考虑整个生产制造过程的智能化生产、有限能力排产、物料自动配送、优化控制、智能调度、设备运行状态监控、质量追溯及管理等，实现生产执行管理智能化</w:t>
      </w:r>
      <w:r>
        <w:rPr>
          <w:rFonts w:hint="eastAsia" w:ascii="宋体" w:eastAsia="宋体"/>
          <w:highlight w:val="none"/>
          <w:lang w:val="en-US" w:eastAsia="zh-CN"/>
        </w:rPr>
        <w:t>。</w:t>
      </w:r>
    </w:p>
    <w:p w14:paraId="50382D42">
      <w:pPr>
        <w:pStyle w:val="165"/>
        <w:rPr>
          <w:rFonts w:hint="default" w:ascii="宋体" w:eastAsia="宋体"/>
          <w:highlight w:val="none"/>
          <w:lang w:val="en-US" w:eastAsia="zh-CN"/>
        </w:rPr>
      </w:pPr>
      <w:r>
        <w:rPr>
          <w:rFonts w:hint="eastAsia" w:ascii="宋体" w:eastAsia="宋体"/>
          <w:highlight w:val="none"/>
          <w:lang w:val="en-US" w:eastAsia="zh-CN"/>
        </w:rPr>
        <w:t>推</w:t>
      </w:r>
      <w:r>
        <w:rPr>
          <w:rFonts w:hint="default" w:ascii="宋体" w:eastAsia="宋体"/>
          <w:highlight w:val="none"/>
          <w:lang w:val="en-US" w:eastAsia="zh-CN"/>
        </w:rPr>
        <w:t>进生产执行系统与工程建设项目生产需求计划的互联互通，实现建筑部品部件的实际生产进度与项目现场实时同步，生产管理系统根据订单和项目要求进行自动化排产，支持快速重排、快速补单、快速应变。</w:t>
      </w:r>
    </w:p>
    <w:p w14:paraId="41370288">
      <w:pPr>
        <w:pStyle w:val="165"/>
        <w:rPr>
          <w:rFonts w:hint="default" w:ascii="宋体" w:eastAsia="宋体"/>
          <w:highlight w:val="none"/>
          <w:lang w:val="en-US" w:eastAsia="zh-CN"/>
        </w:rPr>
      </w:pPr>
      <w:r>
        <w:rPr>
          <w:rFonts w:hint="default" w:ascii="宋体" w:eastAsia="宋体"/>
          <w:highlight w:val="none"/>
          <w:lang w:val="en-US" w:eastAsia="zh-CN"/>
        </w:rPr>
        <w:t>预制混凝土构件生产线智能化</w:t>
      </w:r>
      <w:r>
        <w:rPr>
          <w:rFonts w:hint="eastAsia" w:ascii="宋体" w:eastAsia="宋体"/>
          <w:highlight w:val="none"/>
          <w:lang w:val="en-US" w:eastAsia="zh-CN"/>
        </w:rPr>
        <w:t>宜利用划线涂油、拆布模、钢筋网片自动生产等机器人及设备，结合设计与物料清单数据，完成构件轮廓划线、模台涂油、边模操作、钢筋网片和桁架生产投放等；通过智能调度系统规划混凝土生产与运输，智能布料机实现自动均匀布料，智能质检设备完成自动化质量检测。</w:t>
      </w:r>
    </w:p>
    <w:p w14:paraId="7E1139C7">
      <w:pPr>
        <w:pStyle w:val="165"/>
        <w:rPr>
          <w:rFonts w:hint="default" w:ascii="宋体" w:eastAsia="宋体"/>
          <w:highlight w:val="none"/>
          <w:lang w:val="en-US" w:eastAsia="zh-CN"/>
        </w:rPr>
      </w:pPr>
      <w:r>
        <w:rPr>
          <w:rFonts w:hint="default" w:ascii="宋体" w:eastAsia="宋体"/>
          <w:highlight w:val="none"/>
          <w:lang w:val="en-US" w:eastAsia="zh-CN"/>
        </w:rPr>
        <w:t>钢构件生产线智能化</w:t>
      </w:r>
      <w:r>
        <w:rPr>
          <w:rFonts w:hint="eastAsia" w:ascii="宋体" w:eastAsia="宋体"/>
          <w:highlight w:val="none"/>
          <w:lang w:val="en-US" w:eastAsia="zh-CN"/>
        </w:rPr>
        <w:t>宜</w:t>
      </w:r>
      <w:r>
        <w:rPr>
          <w:rFonts w:hint="default" w:ascii="宋体" w:eastAsia="宋体"/>
          <w:highlight w:val="none"/>
          <w:lang w:val="en-US" w:eastAsia="zh-CN"/>
        </w:rPr>
        <w:t>运用板材加工中心、激光下料中心等设备完成下料，智能坡口机器人等开设坡口</w:t>
      </w:r>
      <w:r>
        <w:rPr>
          <w:rFonts w:hint="eastAsia" w:ascii="宋体" w:eastAsia="宋体"/>
          <w:highlight w:val="none"/>
          <w:lang w:val="en-US" w:eastAsia="zh-CN"/>
        </w:rPr>
        <w:t>。</w:t>
      </w:r>
      <w:r>
        <w:rPr>
          <w:rFonts w:hint="default" w:ascii="宋体" w:eastAsia="宋体"/>
          <w:highlight w:val="none"/>
          <w:lang w:val="en-US" w:eastAsia="zh-CN"/>
        </w:rPr>
        <w:t>借助三维激光扫描和“5G + 超宽带”定位技术进行零件识别、检测、分类与配送</w:t>
      </w:r>
      <w:r>
        <w:rPr>
          <w:rFonts w:hint="eastAsia" w:ascii="宋体" w:eastAsia="宋体"/>
          <w:highlight w:val="none"/>
          <w:lang w:val="en-US" w:eastAsia="zh-CN"/>
        </w:rPr>
        <w:t>。宜</w:t>
      </w:r>
      <w:r>
        <w:rPr>
          <w:rFonts w:hint="default" w:ascii="宋体" w:eastAsia="宋体"/>
          <w:highlight w:val="none"/>
          <w:lang w:val="en-US" w:eastAsia="zh-CN"/>
        </w:rPr>
        <w:t>建立总装焊接一体化工作站实现钢结构装配焊接无人化</w:t>
      </w:r>
      <w:r>
        <w:rPr>
          <w:rFonts w:hint="eastAsia" w:ascii="宋体" w:eastAsia="宋体"/>
          <w:highlight w:val="none"/>
          <w:lang w:val="en-US" w:eastAsia="zh-CN"/>
        </w:rPr>
        <w:t>。</w:t>
      </w:r>
    </w:p>
    <w:p w14:paraId="6C889856">
      <w:pPr>
        <w:pStyle w:val="165"/>
        <w:rPr>
          <w:rFonts w:hint="default" w:ascii="宋体" w:eastAsia="宋体"/>
          <w:highlight w:val="none"/>
          <w:lang w:val="en-US" w:eastAsia="zh-CN"/>
        </w:rPr>
      </w:pPr>
      <w:r>
        <w:rPr>
          <w:rFonts w:hint="default" w:ascii="宋体" w:eastAsia="宋体"/>
          <w:highlight w:val="none"/>
          <w:lang w:val="en-US" w:eastAsia="zh-CN"/>
        </w:rPr>
        <w:t>钢筋制品加工智能化</w:t>
      </w:r>
      <w:r>
        <w:rPr>
          <w:rFonts w:hint="eastAsia" w:ascii="宋体" w:eastAsia="宋体"/>
          <w:highlight w:val="none"/>
          <w:lang w:val="en-US" w:eastAsia="zh-CN"/>
        </w:rPr>
        <w:t>宜</w:t>
      </w:r>
      <w:r>
        <w:rPr>
          <w:rFonts w:hint="default" w:ascii="宋体" w:eastAsia="宋体"/>
          <w:highlight w:val="none"/>
          <w:lang w:val="en-US" w:eastAsia="zh-CN"/>
        </w:rPr>
        <w:t>采用钢筋自动加工设备和数字化系统，对钢筋制品下料、成型、加工、质检、配送等流程进行智能优化和数字化管控，降低材料损耗。</w:t>
      </w:r>
    </w:p>
    <w:p w14:paraId="433A2CAD">
      <w:pPr>
        <w:pStyle w:val="165"/>
        <w:rPr>
          <w:rFonts w:hint="default" w:ascii="宋体" w:eastAsia="宋体"/>
          <w:highlight w:val="none"/>
          <w:lang w:val="en-US" w:eastAsia="zh-CN"/>
        </w:rPr>
      </w:pPr>
      <w:r>
        <w:rPr>
          <w:rFonts w:hint="default" w:ascii="宋体" w:eastAsia="宋体"/>
          <w:highlight w:val="none"/>
          <w:lang w:val="en-US" w:eastAsia="zh-CN"/>
        </w:rPr>
        <w:t>装饰装修板材生产线智能化</w:t>
      </w:r>
      <w:r>
        <w:rPr>
          <w:rFonts w:hint="eastAsia" w:ascii="宋体" w:eastAsia="宋体"/>
          <w:highlight w:val="none"/>
          <w:lang w:val="en-US" w:eastAsia="zh-CN"/>
        </w:rPr>
        <w:t>宜</w:t>
      </w:r>
      <w:r>
        <w:rPr>
          <w:rFonts w:hint="default" w:ascii="宋体" w:eastAsia="宋体"/>
          <w:highlight w:val="none"/>
          <w:lang w:val="en-US" w:eastAsia="zh-CN"/>
        </w:rPr>
        <w:t>由数字化生产管理系统驱动各类装备，实现部品部件按节拍自动运输；板材包覆系统完成板材定位、涂胶、覆膜及切割</w:t>
      </w:r>
      <w:r>
        <w:rPr>
          <w:rFonts w:hint="eastAsia" w:ascii="宋体" w:eastAsia="宋体"/>
          <w:highlight w:val="none"/>
          <w:lang w:val="en-US" w:eastAsia="zh-CN"/>
        </w:rPr>
        <w:t>，</w:t>
      </w:r>
      <w:r>
        <w:rPr>
          <w:rFonts w:hint="default" w:ascii="宋体" w:eastAsia="宋体"/>
          <w:highlight w:val="none"/>
          <w:lang w:val="en-US" w:eastAsia="zh-CN"/>
        </w:rPr>
        <w:t>集成多种技术实现板材自动上下料、印花、辊涂等智能涂装。</w:t>
      </w:r>
    </w:p>
    <w:p w14:paraId="4EA94A7A">
      <w:pPr>
        <w:pStyle w:val="165"/>
        <w:rPr>
          <w:rFonts w:hint="default" w:ascii="宋体" w:eastAsia="宋体"/>
          <w:highlight w:val="none"/>
          <w:lang w:val="en-US" w:eastAsia="zh-CN"/>
        </w:rPr>
      </w:pPr>
      <w:r>
        <w:rPr>
          <w:rFonts w:hint="default" w:ascii="宋体" w:eastAsia="宋体"/>
          <w:highlight w:val="none"/>
          <w:lang w:val="en-US" w:eastAsia="zh-CN"/>
        </w:rPr>
        <w:t>机电支吊架和机电装配式单元</w:t>
      </w:r>
      <w:r>
        <w:rPr>
          <w:rFonts w:hint="eastAsia" w:ascii="宋体" w:eastAsia="宋体"/>
          <w:highlight w:val="none"/>
          <w:lang w:val="en-US" w:eastAsia="zh-CN"/>
        </w:rPr>
        <w:t>宜</w:t>
      </w:r>
      <w:r>
        <w:rPr>
          <w:rFonts w:hint="default" w:ascii="宋体" w:eastAsia="宋体"/>
          <w:highlight w:val="none"/>
          <w:lang w:val="en-US" w:eastAsia="zh-CN"/>
        </w:rPr>
        <w:t>采用数字化集中上料、切割、焊接和存储智能化系统，实现从原材料到成品的智能化生产。</w:t>
      </w:r>
    </w:p>
    <w:p w14:paraId="526B2B6F">
      <w:pPr>
        <w:pStyle w:val="66"/>
        <w:spacing w:before="156" w:after="156"/>
        <w:rPr>
          <w:rFonts w:hint="default"/>
          <w:highlight w:val="none"/>
          <w:lang w:val="en-US" w:eastAsia="zh-CN"/>
        </w:rPr>
      </w:pPr>
      <w:r>
        <w:rPr>
          <w:rFonts w:hint="eastAsia"/>
          <w:highlight w:val="none"/>
          <w:lang w:val="en-US" w:eastAsia="zh-CN"/>
        </w:rPr>
        <w:t>生产数据交付</w:t>
      </w:r>
    </w:p>
    <w:p w14:paraId="011141AB">
      <w:pPr>
        <w:pStyle w:val="165"/>
        <w:rPr>
          <w:rFonts w:hint="default" w:ascii="宋体" w:eastAsia="宋体"/>
          <w:highlight w:val="none"/>
          <w:lang w:val="en-US" w:eastAsia="zh-CN"/>
        </w:rPr>
      </w:pPr>
      <w:r>
        <w:rPr>
          <w:rFonts w:hint="eastAsia" w:ascii="宋体" w:eastAsia="宋体"/>
          <w:highlight w:val="none"/>
          <w:lang w:val="en-US" w:eastAsia="zh-CN"/>
        </w:rPr>
        <w:t>生产数据宜与施工、运维阶段无缝衔接，支持数字化交付要求。</w:t>
      </w:r>
    </w:p>
    <w:p w14:paraId="2A448D41">
      <w:pPr>
        <w:pStyle w:val="165"/>
        <w:rPr>
          <w:rFonts w:hint="default" w:ascii="宋体" w:eastAsia="宋体"/>
          <w:highlight w:val="none"/>
          <w:lang w:val="en-US" w:eastAsia="zh-CN"/>
        </w:rPr>
      </w:pPr>
      <w:r>
        <w:rPr>
          <w:rFonts w:hint="eastAsia" w:ascii="宋体" w:eastAsia="宋体"/>
          <w:highlight w:val="none"/>
          <w:lang w:val="en-US" w:eastAsia="zh-CN"/>
        </w:rPr>
        <w:t>宜建立完整的生产信息数字化交付标准，建立数据与模型的关联关系，通过模型关联产品生产过程数据，明确交付内容及深度、数据接口、数据安全、工作流程及成果形式要求，并根据标准构建数据模型，实现数据与模型的整体交付、验收与存档。</w:t>
      </w:r>
    </w:p>
    <w:p w14:paraId="7879949C">
      <w:pPr>
        <w:pStyle w:val="165"/>
        <w:rPr>
          <w:rFonts w:hint="default" w:ascii="宋体" w:eastAsia="宋体"/>
          <w:highlight w:val="none"/>
          <w:lang w:val="en-US" w:eastAsia="zh-CN"/>
        </w:rPr>
      </w:pPr>
      <w:r>
        <w:rPr>
          <w:rFonts w:hint="eastAsia" w:ascii="宋体" w:eastAsia="宋体"/>
          <w:highlight w:val="none"/>
          <w:lang w:val="en-US" w:eastAsia="zh-CN"/>
        </w:rPr>
        <w:t>宜</w:t>
      </w:r>
      <w:r>
        <w:rPr>
          <w:rFonts w:hint="default" w:ascii="宋体" w:eastAsia="宋体"/>
          <w:highlight w:val="none"/>
          <w:lang w:val="en-US" w:eastAsia="zh-CN"/>
        </w:rPr>
        <w:t>提供生产数据接口协议，</w:t>
      </w:r>
      <w:r>
        <w:rPr>
          <w:rFonts w:hint="eastAsia" w:ascii="宋体" w:eastAsia="宋体"/>
          <w:highlight w:val="none"/>
          <w:lang w:val="en-US" w:eastAsia="zh-CN"/>
        </w:rPr>
        <w:t>接入项目数字化管理平台，</w:t>
      </w:r>
      <w:r>
        <w:rPr>
          <w:rFonts w:hint="default" w:ascii="宋体" w:eastAsia="宋体"/>
          <w:highlight w:val="none"/>
          <w:lang w:val="en-US" w:eastAsia="zh-CN"/>
        </w:rPr>
        <w:t>支持施工阶段进度模拟与物料进场计划自动匹配</w:t>
      </w:r>
      <w:r>
        <w:rPr>
          <w:rFonts w:hint="eastAsia" w:ascii="宋体" w:eastAsia="宋体"/>
          <w:highlight w:val="none"/>
          <w:lang w:val="en-US" w:eastAsia="zh-CN"/>
        </w:rPr>
        <w:t>。</w:t>
      </w:r>
    </w:p>
    <w:p w14:paraId="7B4A8F83">
      <w:pPr>
        <w:pStyle w:val="165"/>
        <w:rPr>
          <w:rFonts w:hint="default" w:ascii="宋体" w:eastAsia="宋体"/>
          <w:highlight w:val="none"/>
          <w:lang w:val="en-US" w:eastAsia="zh-CN"/>
        </w:rPr>
      </w:pPr>
      <w:r>
        <w:rPr>
          <w:rFonts w:hint="eastAsia" w:ascii="宋体" w:eastAsia="宋体"/>
          <w:highlight w:val="none"/>
          <w:lang w:val="en-US" w:eastAsia="zh-CN"/>
        </w:rPr>
        <w:t>宜</w:t>
      </w:r>
      <w:r>
        <w:rPr>
          <w:rFonts w:hint="default" w:ascii="宋体" w:eastAsia="宋体"/>
          <w:highlight w:val="none"/>
          <w:lang w:val="en-US" w:eastAsia="zh-CN"/>
        </w:rPr>
        <w:t>建立部品部件数据库，分类存储构件生产批次、供应商信息及质保期限</w:t>
      </w:r>
      <w:r>
        <w:rPr>
          <w:rFonts w:hint="eastAsia" w:ascii="宋体" w:eastAsia="宋体"/>
          <w:highlight w:val="none"/>
          <w:lang w:val="en-US" w:eastAsia="zh-CN"/>
        </w:rPr>
        <w:t>。</w:t>
      </w:r>
    </w:p>
    <w:p w14:paraId="7D62924D">
      <w:pPr>
        <w:pStyle w:val="165"/>
        <w:rPr>
          <w:rFonts w:hint="default" w:ascii="宋体" w:eastAsia="宋体"/>
          <w:highlight w:val="none"/>
          <w:lang w:val="en-US" w:eastAsia="zh-CN"/>
        </w:rPr>
      </w:pPr>
      <w:r>
        <w:rPr>
          <w:rFonts w:hint="eastAsia" w:ascii="宋体" w:eastAsia="宋体"/>
          <w:highlight w:val="none"/>
          <w:lang w:val="en-US" w:eastAsia="zh-CN"/>
        </w:rPr>
        <w:t>宜部署运输管理系统，实时追踪构件物流轨迹并与施工场地吊装计划联动。</w:t>
      </w:r>
    </w:p>
    <w:p w14:paraId="2F9021E4">
      <w:pPr>
        <w:rPr>
          <w:rFonts w:hint="default"/>
          <w:highlight w:val="none"/>
          <w:lang w:val="en-US" w:eastAsia="zh-CN"/>
        </w:rPr>
      </w:pPr>
    </w:p>
    <w:p w14:paraId="77325342">
      <w:pPr>
        <w:pStyle w:val="106"/>
        <w:spacing w:before="156" w:after="156"/>
        <w:rPr>
          <w:rFonts w:hint="default"/>
          <w:highlight w:val="none"/>
          <w:lang w:val="en-US" w:eastAsia="zh-CN"/>
        </w:rPr>
      </w:pPr>
      <w:bookmarkStart w:id="179" w:name="_Toc6593"/>
      <w:r>
        <w:rPr>
          <w:rFonts w:hint="eastAsia"/>
          <w:highlight w:val="none"/>
          <w:lang w:val="en-US" w:eastAsia="zh-CN"/>
        </w:rPr>
        <w:t>机器人及智能装备应用咨询服务</w:t>
      </w:r>
      <w:bookmarkEnd w:id="179"/>
    </w:p>
    <w:p w14:paraId="7E405830">
      <w:pPr>
        <w:pStyle w:val="66"/>
        <w:spacing w:before="156" w:after="156"/>
        <w:rPr>
          <w:rFonts w:hint="default"/>
          <w:highlight w:val="none"/>
          <w:lang w:val="en-US" w:eastAsia="zh-CN"/>
        </w:rPr>
      </w:pPr>
      <w:r>
        <w:rPr>
          <w:rFonts w:hint="eastAsia"/>
          <w:highlight w:val="none"/>
          <w:lang w:val="en-US" w:eastAsia="zh-CN"/>
        </w:rPr>
        <w:t>一般规定</w:t>
      </w:r>
    </w:p>
    <w:p w14:paraId="466734B8">
      <w:pPr>
        <w:pStyle w:val="165"/>
        <w:rPr>
          <w:rFonts w:hint="default" w:ascii="宋体" w:eastAsia="宋体"/>
          <w:highlight w:val="none"/>
          <w:lang w:val="en-US" w:eastAsia="zh-CN"/>
        </w:rPr>
      </w:pPr>
      <w:r>
        <w:rPr>
          <w:rFonts w:hint="eastAsia" w:ascii="宋体" w:eastAsia="宋体"/>
          <w:highlight w:val="none"/>
          <w:lang w:val="en-US" w:eastAsia="zh-CN"/>
        </w:rPr>
        <w:t>咨询服务方应结合工程类型与项目实际情况，在项目初期编制建筑机器人应用指南。</w:t>
      </w:r>
    </w:p>
    <w:p w14:paraId="0F123EE8">
      <w:pPr>
        <w:pStyle w:val="165"/>
        <w:rPr>
          <w:rFonts w:hint="default" w:ascii="宋体" w:eastAsia="宋体"/>
          <w:highlight w:val="none"/>
          <w:lang w:val="en-US" w:eastAsia="zh-CN"/>
        </w:rPr>
      </w:pPr>
      <w:r>
        <w:rPr>
          <w:rFonts w:hint="eastAsia" w:ascii="宋体" w:eastAsia="宋体"/>
          <w:highlight w:val="none"/>
          <w:lang w:val="en-US" w:eastAsia="zh-CN"/>
        </w:rPr>
        <w:t>咨询服务方应明确建筑机器人、配套设施等的应用范围及选型方法，计算各分项工程量，结合各款机器人工效、覆盖率及施工进度要求，明确对建筑机器人的需求及进场计划。</w:t>
      </w:r>
    </w:p>
    <w:p w14:paraId="3462A453">
      <w:pPr>
        <w:pStyle w:val="165"/>
        <w:rPr>
          <w:rFonts w:hint="default" w:ascii="宋体" w:eastAsia="宋体"/>
          <w:highlight w:val="none"/>
          <w:lang w:val="en-US" w:eastAsia="zh-CN"/>
        </w:rPr>
      </w:pPr>
      <w:r>
        <w:rPr>
          <w:rFonts w:hint="eastAsia" w:ascii="宋体" w:eastAsia="宋体"/>
          <w:highlight w:val="none"/>
          <w:lang w:val="en-US" w:eastAsia="zh-CN"/>
        </w:rPr>
        <w:t>咨询服务方应结合项目实际情况考虑技术水平、成本投入、效益产出等因素，确定机器人应用范围。</w:t>
      </w:r>
    </w:p>
    <w:p w14:paraId="6D557D22">
      <w:pPr>
        <w:pStyle w:val="165"/>
        <w:rPr>
          <w:rFonts w:hint="default" w:ascii="宋体" w:eastAsia="宋体"/>
          <w:highlight w:val="none"/>
          <w:lang w:val="en-US" w:eastAsia="zh-CN"/>
        </w:rPr>
      </w:pPr>
      <w:r>
        <w:rPr>
          <w:rFonts w:hint="eastAsia" w:ascii="宋体" w:eastAsia="宋体"/>
          <w:highlight w:val="none"/>
          <w:lang w:val="en-US" w:eastAsia="zh-CN"/>
        </w:rPr>
        <w:t>咨询服务方应合理划分施工界面，明确机器人施工界面、合约界面以及工序搭接</w:t>
      </w:r>
      <w:r>
        <w:rPr>
          <w:rFonts w:hint="eastAsia"/>
          <w:highlight w:val="none"/>
          <w:lang w:val="en-US" w:eastAsia="zh-CN"/>
        </w:rPr>
        <w:t>。</w:t>
      </w:r>
    </w:p>
    <w:p w14:paraId="530E2EF0">
      <w:pPr>
        <w:pStyle w:val="165"/>
        <w:rPr>
          <w:rFonts w:hint="default" w:ascii="宋体" w:eastAsia="宋体"/>
          <w:highlight w:val="none"/>
          <w:lang w:val="en-US" w:eastAsia="zh-CN"/>
        </w:rPr>
      </w:pPr>
      <w:r>
        <w:rPr>
          <w:rFonts w:hint="eastAsia" w:ascii="宋体" w:eastAsia="宋体"/>
          <w:highlight w:val="none"/>
          <w:lang w:val="en-US" w:eastAsia="zh-CN"/>
        </w:rPr>
        <w:t>咨询服务方应在设计阶段提出各专业标准化设计要求，提高设计方案的标准化、模块化、可复制，为机器人施工创造条件，提高建筑机器人作业覆盖率。</w:t>
      </w:r>
    </w:p>
    <w:p w14:paraId="110E9488">
      <w:pPr>
        <w:pStyle w:val="165"/>
        <w:rPr>
          <w:rFonts w:hint="default" w:ascii="宋体" w:eastAsia="宋体"/>
          <w:highlight w:val="none"/>
          <w:lang w:val="en-US" w:eastAsia="zh-CN"/>
        </w:rPr>
      </w:pPr>
      <w:r>
        <w:rPr>
          <w:rFonts w:hint="eastAsia" w:ascii="宋体" w:eastAsia="宋体"/>
          <w:highlight w:val="none"/>
          <w:lang w:val="en-US" w:eastAsia="zh-CN"/>
        </w:rPr>
        <w:t>咨询服务方应在施工阶段根据机器人施工作业特点，对传统施工方案提出相应要求及建议，满足建筑机器人施工要求，提高机器人施工效率。</w:t>
      </w:r>
    </w:p>
    <w:p w14:paraId="516263D1">
      <w:pPr>
        <w:pStyle w:val="165"/>
        <w:rPr>
          <w:rFonts w:hint="default" w:ascii="宋体" w:eastAsia="宋体"/>
          <w:highlight w:val="none"/>
          <w:lang w:val="en-US" w:eastAsia="zh-CN"/>
        </w:rPr>
      </w:pPr>
      <w:r>
        <w:rPr>
          <w:rFonts w:hint="eastAsia"/>
          <w:highlight w:val="none"/>
          <w:lang w:val="en-US" w:eastAsia="zh-CN"/>
        </w:rPr>
        <w:t>咨询服务</w:t>
      </w:r>
      <w:r>
        <w:rPr>
          <w:rFonts w:hint="eastAsia" w:ascii="宋体" w:eastAsia="宋体"/>
          <w:highlight w:val="none"/>
          <w:lang w:val="en-US" w:eastAsia="zh-CN"/>
        </w:rPr>
        <w:t>方应对项目过程中的建筑机器人及装备的使用提供培训指导，建立机器人领航员培训、考核制度，要求领航员应持证上岗。</w:t>
      </w:r>
    </w:p>
    <w:p w14:paraId="11BA8CAC">
      <w:pPr>
        <w:pStyle w:val="66"/>
        <w:spacing w:before="156" w:after="156"/>
        <w:rPr>
          <w:rFonts w:hint="default"/>
          <w:highlight w:val="none"/>
          <w:lang w:val="en-US" w:eastAsia="zh-CN"/>
        </w:rPr>
      </w:pPr>
      <w:r>
        <w:rPr>
          <w:rFonts w:hint="eastAsia"/>
          <w:highlight w:val="none"/>
          <w:lang w:val="en-US" w:eastAsia="zh-CN"/>
        </w:rPr>
        <w:t>设备选型管理</w:t>
      </w:r>
    </w:p>
    <w:p w14:paraId="39217E15">
      <w:pPr>
        <w:pStyle w:val="165"/>
        <w:rPr>
          <w:rFonts w:hint="default" w:ascii="宋体" w:eastAsia="宋体"/>
          <w:highlight w:val="none"/>
          <w:lang w:val="en-US" w:eastAsia="zh-CN"/>
        </w:rPr>
      </w:pPr>
      <w:r>
        <w:rPr>
          <w:rFonts w:hint="eastAsia" w:ascii="宋体" w:eastAsia="宋体"/>
          <w:highlight w:val="none"/>
          <w:lang w:val="en-US" w:eastAsia="zh-CN"/>
        </w:rPr>
        <w:t>宜</w:t>
      </w:r>
      <w:r>
        <w:rPr>
          <w:rFonts w:hint="default" w:ascii="宋体" w:eastAsia="宋体"/>
          <w:highlight w:val="none"/>
          <w:lang w:val="en-US" w:eastAsia="zh-CN"/>
        </w:rPr>
        <w:t>采应用无人机航测技术，实时测算土方量并生成三维实景进度模型，实现施工可视化管控。</w:t>
      </w:r>
      <w:r>
        <w:rPr>
          <w:rFonts w:hint="eastAsia" w:ascii="宋体" w:eastAsia="宋体"/>
          <w:highlight w:val="none"/>
          <w:lang w:val="en-US" w:eastAsia="zh-CN"/>
        </w:rPr>
        <w:t>定期生成不同时间段施工现场三维实景模型，直观展示施工现场进度。</w:t>
      </w:r>
    </w:p>
    <w:p w14:paraId="5904768C">
      <w:pPr>
        <w:pStyle w:val="165"/>
        <w:rPr>
          <w:rFonts w:hint="default" w:ascii="宋体" w:eastAsia="宋体"/>
          <w:highlight w:val="none"/>
          <w:lang w:val="en-US" w:eastAsia="zh-CN"/>
        </w:rPr>
      </w:pPr>
      <w:r>
        <w:rPr>
          <w:rFonts w:hint="eastAsia" w:ascii="宋体" w:eastAsia="宋体"/>
          <w:highlight w:val="none"/>
          <w:lang w:val="en-US" w:eastAsia="zh-CN"/>
        </w:rPr>
        <w:t>宜</w:t>
      </w:r>
      <w:r>
        <w:rPr>
          <w:rFonts w:hint="default" w:ascii="宋体" w:eastAsia="宋体"/>
          <w:highlight w:val="none"/>
          <w:lang w:val="en-US" w:eastAsia="zh-CN"/>
        </w:rPr>
        <w:t>部署智能桩工系统，通过自动定位与路径优化算法提升软基桩位施工精度和效率</w:t>
      </w:r>
      <w:r>
        <w:rPr>
          <w:rFonts w:hint="eastAsia" w:ascii="宋体" w:eastAsia="宋体"/>
          <w:highlight w:val="none"/>
          <w:lang w:val="en-US" w:eastAsia="zh-CN"/>
        </w:rPr>
        <w:t>。</w:t>
      </w:r>
    </w:p>
    <w:p w14:paraId="726A93C1">
      <w:pPr>
        <w:pStyle w:val="165"/>
        <w:rPr>
          <w:rFonts w:hint="default" w:ascii="宋体" w:eastAsia="宋体"/>
          <w:highlight w:val="none"/>
          <w:lang w:val="en-US" w:eastAsia="zh-CN"/>
        </w:rPr>
      </w:pPr>
      <w:r>
        <w:rPr>
          <w:rFonts w:hint="eastAsia" w:ascii="宋体" w:eastAsia="宋体"/>
          <w:highlight w:val="none"/>
          <w:lang w:val="en-US" w:eastAsia="zh-CN"/>
        </w:rPr>
        <w:t>装配式建筑中宜</w:t>
      </w:r>
      <w:r>
        <w:rPr>
          <w:rFonts w:hint="default" w:ascii="宋体" w:eastAsia="宋体"/>
          <w:highlight w:val="none"/>
          <w:lang w:val="en-US" w:eastAsia="zh-CN"/>
        </w:rPr>
        <w:t>采用条板安装机器人进行大尺寸条板安装，实现条板</w:t>
      </w:r>
      <w:r>
        <w:rPr>
          <w:rFonts w:hint="eastAsia" w:ascii="宋体" w:eastAsia="宋体"/>
          <w:highlight w:val="none"/>
          <w:lang w:val="en-US" w:eastAsia="zh-CN"/>
        </w:rPr>
        <w:t>抓取、举升、转动、行走、对位、挤浆等全过程自动化安装作业。</w:t>
      </w:r>
    </w:p>
    <w:p w14:paraId="58D5C33E">
      <w:pPr>
        <w:pStyle w:val="165"/>
        <w:rPr>
          <w:rFonts w:hint="default" w:ascii="宋体" w:eastAsia="宋体"/>
          <w:highlight w:val="none"/>
          <w:lang w:val="en-US" w:eastAsia="zh-CN"/>
        </w:rPr>
      </w:pPr>
      <w:r>
        <w:rPr>
          <w:rFonts w:hint="eastAsia" w:ascii="宋体" w:eastAsia="宋体"/>
          <w:highlight w:val="none"/>
          <w:lang w:val="en-US" w:eastAsia="zh-CN"/>
        </w:rPr>
        <w:t>宜</w:t>
      </w:r>
      <w:r>
        <w:rPr>
          <w:rFonts w:hint="default" w:ascii="宋体" w:eastAsia="宋体"/>
          <w:highlight w:val="none"/>
          <w:lang w:val="en-US" w:eastAsia="zh-CN"/>
        </w:rPr>
        <w:t>配备智能钢筋捆扎设备，实现人机协同的高效钢筋绑扎作业</w:t>
      </w:r>
      <w:r>
        <w:rPr>
          <w:rFonts w:hint="eastAsia" w:ascii="宋体" w:eastAsia="宋体"/>
          <w:highlight w:val="none"/>
          <w:lang w:val="en-US" w:eastAsia="zh-CN"/>
        </w:rPr>
        <w:t>。</w:t>
      </w:r>
    </w:p>
    <w:p w14:paraId="20D87E2F">
      <w:pPr>
        <w:pStyle w:val="165"/>
        <w:rPr>
          <w:rFonts w:hint="default" w:ascii="宋体" w:eastAsia="宋体"/>
          <w:highlight w:val="none"/>
          <w:lang w:val="en-US" w:eastAsia="zh-CN"/>
        </w:rPr>
      </w:pPr>
      <w:r>
        <w:rPr>
          <w:rFonts w:hint="eastAsia" w:ascii="宋体" w:eastAsia="宋体"/>
          <w:highlight w:val="none"/>
          <w:lang w:val="en-US" w:eastAsia="zh-CN"/>
        </w:rPr>
        <w:t>应</w:t>
      </w:r>
      <w:r>
        <w:rPr>
          <w:rFonts w:hint="default" w:ascii="宋体" w:eastAsia="宋体"/>
          <w:highlight w:val="none"/>
          <w:lang w:val="en-US" w:eastAsia="zh-CN"/>
        </w:rPr>
        <w:t>采用智能施工升降机，进行施工人员和物料垂直运输，并加强运行安全监测，实现超载超重识别、笼顶防撞、层门防夹、双笼联动和故障诊断提醒。</w:t>
      </w:r>
    </w:p>
    <w:p w14:paraId="215F5AD3">
      <w:pPr>
        <w:pStyle w:val="165"/>
        <w:rPr>
          <w:rFonts w:hint="default" w:ascii="宋体" w:eastAsia="宋体"/>
          <w:highlight w:val="none"/>
          <w:lang w:val="en-US" w:eastAsia="zh-CN"/>
        </w:rPr>
      </w:pPr>
      <w:r>
        <w:rPr>
          <w:rFonts w:hint="eastAsia" w:ascii="宋体" w:eastAsia="宋体"/>
          <w:highlight w:val="none"/>
          <w:lang w:val="en-US" w:eastAsia="zh-CN"/>
        </w:rPr>
        <w:t>宜</w:t>
      </w:r>
      <w:r>
        <w:rPr>
          <w:rFonts w:hint="default" w:ascii="宋体" w:eastAsia="宋体"/>
          <w:highlight w:val="none"/>
          <w:lang w:val="en-US" w:eastAsia="zh-CN"/>
        </w:rPr>
        <w:t>采用搬运机器人进行物料自动化运输作业，通过与智能升降机的数据联网，进行自动导航、栈板叉取、障碍物识别，实现垂直运输和水平运输的高效联动。</w:t>
      </w:r>
    </w:p>
    <w:p w14:paraId="4036A9C8">
      <w:pPr>
        <w:pStyle w:val="165"/>
        <w:rPr>
          <w:rFonts w:hint="default" w:ascii="宋体" w:eastAsia="宋体"/>
          <w:highlight w:val="none"/>
          <w:lang w:val="en-US" w:eastAsia="zh-CN"/>
        </w:rPr>
      </w:pPr>
      <w:r>
        <w:rPr>
          <w:rFonts w:hint="eastAsia" w:ascii="宋体" w:eastAsia="宋体"/>
          <w:highlight w:val="none"/>
          <w:lang w:val="en-US" w:eastAsia="zh-CN"/>
        </w:rPr>
        <w:t>应</w:t>
      </w:r>
      <w:r>
        <w:rPr>
          <w:rFonts w:hint="default" w:ascii="宋体" w:eastAsia="宋体"/>
          <w:highlight w:val="none"/>
          <w:lang w:val="en-US" w:eastAsia="zh-CN"/>
        </w:rPr>
        <w:t>组合使用整平机器人、抹平机器人及抹光机器人，进行大面积地面混凝土浇筑施工，实现全自动作业和高精度施工。</w:t>
      </w:r>
    </w:p>
    <w:p w14:paraId="53FB5CD3">
      <w:pPr>
        <w:pStyle w:val="165"/>
        <w:rPr>
          <w:rFonts w:hint="default" w:ascii="宋体" w:eastAsia="宋体"/>
          <w:highlight w:val="none"/>
          <w:lang w:val="en-US" w:eastAsia="zh-CN"/>
        </w:rPr>
      </w:pPr>
      <w:r>
        <w:rPr>
          <w:rFonts w:hint="eastAsia" w:ascii="宋体" w:eastAsia="宋体"/>
          <w:highlight w:val="none"/>
          <w:lang w:val="en-US" w:eastAsia="zh-CN"/>
        </w:rPr>
        <w:t>宜</w:t>
      </w:r>
      <w:r>
        <w:rPr>
          <w:rFonts w:hint="default" w:ascii="宋体" w:eastAsia="宋体"/>
          <w:highlight w:val="none"/>
          <w:lang w:val="en-US" w:eastAsia="zh-CN"/>
        </w:rPr>
        <w:t>利用地坪研磨、地坪漆涂敷和地库车位划线机器人，进行大面积环氧地坪漆施工，实现路径自动规划和导航、混合出料、精准布料、自主避障、自动收放线和自动吸尘。</w:t>
      </w:r>
    </w:p>
    <w:p w14:paraId="28373C30">
      <w:pPr>
        <w:pStyle w:val="165"/>
        <w:rPr>
          <w:rFonts w:hint="default" w:ascii="宋体" w:eastAsia="宋体"/>
          <w:highlight w:val="none"/>
          <w:lang w:val="en-US" w:eastAsia="zh-CN"/>
        </w:rPr>
      </w:pPr>
      <w:r>
        <w:rPr>
          <w:rFonts w:hint="default" w:ascii="宋体" w:eastAsia="宋体"/>
          <w:highlight w:val="none"/>
          <w:lang w:val="en-US" w:eastAsia="zh-CN"/>
        </w:rPr>
        <w:t>采用墙面</w:t>
      </w:r>
      <w:r>
        <w:rPr>
          <w:rFonts w:hint="eastAsia" w:ascii="宋体" w:eastAsia="宋体"/>
          <w:highlight w:val="none"/>
          <w:lang w:val="en-US" w:eastAsia="zh-CN"/>
        </w:rPr>
        <w:t>喷涂、打磨</w:t>
      </w:r>
      <w:r>
        <w:rPr>
          <w:rFonts w:hint="default" w:ascii="宋体" w:eastAsia="宋体"/>
          <w:highlight w:val="none"/>
          <w:lang w:val="en-US" w:eastAsia="zh-CN"/>
        </w:rPr>
        <w:t>机器人进行大面积的室内墙面施工，实现墙面基层打磨、抹刮腻子和漆面喷涂的自动化作业。</w:t>
      </w:r>
    </w:p>
    <w:p w14:paraId="63CAB745">
      <w:pPr>
        <w:pStyle w:val="165"/>
        <w:rPr>
          <w:rFonts w:hint="default" w:ascii="宋体" w:eastAsia="宋体"/>
          <w:highlight w:val="none"/>
          <w:lang w:val="en-US" w:eastAsia="zh-CN"/>
        </w:rPr>
      </w:pPr>
      <w:r>
        <w:rPr>
          <w:rFonts w:hint="eastAsia" w:ascii="宋体" w:eastAsia="宋体"/>
          <w:highlight w:val="none"/>
          <w:lang w:val="en-US" w:eastAsia="zh-CN"/>
        </w:rPr>
        <w:t>应</w:t>
      </w:r>
      <w:r>
        <w:rPr>
          <w:rFonts w:hint="default" w:ascii="宋体" w:eastAsia="宋体"/>
          <w:highlight w:val="none"/>
          <w:lang w:val="en-US" w:eastAsia="zh-CN"/>
        </w:rPr>
        <w:t>采用喷涂机器人进行建筑外立面墙漆喷涂施工，实现作业路径自动规划以及底漆、中涂、面漆、罩光漆自动喷涂。</w:t>
      </w:r>
    </w:p>
    <w:p w14:paraId="7677030B">
      <w:pPr>
        <w:pStyle w:val="165"/>
        <w:rPr>
          <w:rFonts w:hint="default" w:ascii="宋体" w:eastAsia="宋体"/>
          <w:highlight w:val="none"/>
          <w:lang w:val="en-US" w:eastAsia="zh-CN"/>
        </w:rPr>
      </w:pPr>
      <w:r>
        <w:rPr>
          <w:rFonts w:hint="eastAsia" w:ascii="宋体" w:eastAsia="宋体"/>
          <w:highlight w:val="none"/>
          <w:lang w:val="en-US" w:eastAsia="zh-CN"/>
        </w:rPr>
        <w:t>应</w:t>
      </w:r>
      <w:r>
        <w:rPr>
          <w:rFonts w:hint="default" w:ascii="宋体" w:eastAsia="宋体"/>
          <w:highlight w:val="none"/>
          <w:lang w:val="en-US" w:eastAsia="zh-CN"/>
        </w:rPr>
        <w:t>采用防水卷材施工机器人进行相对规整的大面积屋面和地下工程防水卷材施工，实现集控制、行走、轨迹校正、卷材及地面加热、压实摊铺于一体的自动化摊铺。</w:t>
      </w:r>
    </w:p>
    <w:p w14:paraId="2D797383">
      <w:pPr>
        <w:pStyle w:val="165"/>
        <w:rPr>
          <w:rFonts w:hint="default" w:ascii="宋体" w:eastAsia="宋体"/>
          <w:highlight w:val="none"/>
          <w:lang w:val="en-US" w:eastAsia="zh-CN"/>
        </w:rPr>
      </w:pPr>
      <w:r>
        <w:rPr>
          <w:rFonts w:hint="eastAsia" w:ascii="宋体" w:eastAsia="宋体"/>
          <w:highlight w:val="none"/>
          <w:lang w:val="en-US" w:eastAsia="zh-CN"/>
        </w:rPr>
        <w:t>应视智能建造装备使用需要，设置库房、充电站、清洗站、运输中转站、行走通道、指定堆放区等配套设施。</w:t>
      </w:r>
    </w:p>
    <w:p w14:paraId="61A5D18E">
      <w:pPr>
        <w:pStyle w:val="66"/>
        <w:spacing w:before="156" w:after="156"/>
        <w:rPr>
          <w:rFonts w:hint="default"/>
          <w:highlight w:val="none"/>
          <w:lang w:val="en-US" w:eastAsia="zh-CN"/>
        </w:rPr>
      </w:pPr>
      <w:r>
        <w:rPr>
          <w:rFonts w:hint="default"/>
          <w:highlight w:val="none"/>
          <w:lang w:val="en-US" w:eastAsia="zh-CN"/>
        </w:rPr>
        <w:t>设备管理系统与智能调度</w:t>
      </w:r>
    </w:p>
    <w:p w14:paraId="62CDA935">
      <w:pPr>
        <w:pStyle w:val="165"/>
        <w:rPr>
          <w:rFonts w:hint="default" w:ascii="宋体" w:eastAsia="宋体"/>
          <w:highlight w:val="none"/>
          <w:lang w:val="en-US" w:eastAsia="zh-CN"/>
        </w:rPr>
      </w:pPr>
      <w:r>
        <w:rPr>
          <w:rFonts w:hint="eastAsia" w:ascii="宋体" w:eastAsia="宋体"/>
          <w:highlight w:val="none"/>
          <w:lang w:val="en-US" w:eastAsia="zh-CN"/>
        </w:rPr>
        <w:t>应</w:t>
      </w:r>
      <w:r>
        <w:rPr>
          <w:rFonts w:hint="default" w:ascii="宋体" w:eastAsia="宋体"/>
          <w:highlight w:val="none"/>
          <w:lang w:val="en-US" w:eastAsia="zh-CN"/>
        </w:rPr>
        <w:t>搭建机器人集中管控平台，实现任务派发、状态监控与数据分析一体化</w:t>
      </w:r>
      <w:r>
        <w:rPr>
          <w:rFonts w:hint="eastAsia" w:ascii="宋体" w:eastAsia="宋体"/>
          <w:highlight w:val="none"/>
          <w:lang w:val="en-US" w:eastAsia="zh-CN"/>
        </w:rPr>
        <w:t>。</w:t>
      </w:r>
    </w:p>
    <w:p w14:paraId="3DB2EA6C">
      <w:pPr>
        <w:pStyle w:val="165"/>
        <w:rPr>
          <w:rFonts w:hint="default" w:ascii="宋体" w:eastAsia="宋体"/>
          <w:highlight w:val="none"/>
          <w:lang w:val="en-US" w:eastAsia="zh-CN"/>
        </w:rPr>
      </w:pPr>
      <w:r>
        <w:rPr>
          <w:rFonts w:hint="default" w:ascii="宋体" w:eastAsia="宋体"/>
          <w:highlight w:val="none"/>
          <w:lang w:val="en-US" w:eastAsia="zh-CN"/>
        </w:rPr>
        <w:t>应建立数字化管理平台，集成管理设备基础信息、作业记录、操作记录、维修维保信息等。</w:t>
      </w:r>
    </w:p>
    <w:p w14:paraId="61FB04EE">
      <w:pPr>
        <w:pStyle w:val="165"/>
        <w:rPr>
          <w:rFonts w:hint="default" w:ascii="宋体" w:eastAsia="宋体"/>
          <w:highlight w:val="none"/>
          <w:lang w:val="en-US" w:eastAsia="zh-CN"/>
        </w:rPr>
      </w:pPr>
      <w:r>
        <w:rPr>
          <w:rFonts w:hint="default" w:ascii="宋体" w:eastAsia="宋体"/>
          <w:highlight w:val="none"/>
          <w:lang w:val="en-US" w:eastAsia="zh-CN"/>
        </w:rPr>
        <w:t>宜基于BIM模型和路径云平台计算技术，结合机器人施工特点，自动生成路径文件，实现建筑机器人的全自动作业。</w:t>
      </w:r>
    </w:p>
    <w:p w14:paraId="587D37FA">
      <w:pPr>
        <w:pStyle w:val="165"/>
        <w:rPr>
          <w:rFonts w:hint="default" w:ascii="宋体" w:eastAsia="宋体"/>
          <w:highlight w:val="none"/>
          <w:lang w:val="en-US" w:eastAsia="zh-CN"/>
        </w:rPr>
      </w:pPr>
      <w:r>
        <w:rPr>
          <w:rFonts w:hint="default" w:ascii="宋体" w:eastAsia="宋体"/>
          <w:highlight w:val="none"/>
          <w:lang w:val="en-US" w:eastAsia="zh-CN"/>
        </w:rPr>
        <w:t>宜结合机器人调度系统与操作系统，实现单机以及多机联动全自动作业。</w:t>
      </w:r>
    </w:p>
    <w:p w14:paraId="230594F2">
      <w:pPr>
        <w:pStyle w:val="66"/>
        <w:spacing w:before="156" w:after="156"/>
        <w:rPr>
          <w:rFonts w:hint="default"/>
          <w:highlight w:val="none"/>
          <w:lang w:val="en-US" w:eastAsia="zh-CN"/>
        </w:rPr>
      </w:pPr>
      <w:r>
        <w:rPr>
          <w:rFonts w:hint="eastAsia"/>
          <w:highlight w:val="none"/>
          <w:lang w:val="en-US" w:eastAsia="zh-CN"/>
        </w:rPr>
        <w:t>现场实施与安全保障</w:t>
      </w:r>
    </w:p>
    <w:p w14:paraId="44D07CF5">
      <w:pPr>
        <w:pStyle w:val="165"/>
        <w:rPr>
          <w:rFonts w:hint="default" w:ascii="宋体" w:eastAsia="宋体"/>
          <w:highlight w:val="none"/>
          <w:lang w:val="en-US" w:eastAsia="zh-CN"/>
        </w:rPr>
      </w:pPr>
      <w:r>
        <w:rPr>
          <w:rFonts w:hint="default" w:ascii="宋体" w:eastAsia="宋体"/>
          <w:highlight w:val="none"/>
          <w:lang w:val="en-US" w:eastAsia="zh-CN"/>
        </w:rPr>
        <w:t>组建专业机器人操作团队，编制全周期项目管理标准化手册</w:t>
      </w:r>
      <w:r>
        <w:rPr>
          <w:rFonts w:hint="eastAsia"/>
          <w:highlight w:val="none"/>
          <w:lang w:val="en-US" w:eastAsia="zh-CN"/>
        </w:rPr>
        <w:t>。</w:t>
      </w:r>
    </w:p>
    <w:p w14:paraId="2E4384CF">
      <w:pPr>
        <w:pStyle w:val="165"/>
        <w:rPr>
          <w:rFonts w:hint="default" w:ascii="宋体" w:eastAsia="宋体"/>
          <w:highlight w:val="none"/>
          <w:lang w:val="en-US" w:eastAsia="zh-CN"/>
        </w:rPr>
      </w:pPr>
      <w:r>
        <w:rPr>
          <w:rFonts w:hint="eastAsia" w:ascii="宋体" w:eastAsia="宋体"/>
          <w:highlight w:val="none"/>
          <w:lang w:val="en-US" w:eastAsia="zh-CN"/>
        </w:rPr>
        <w:t>应</w:t>
      </w:r>
      <w:r>
        <w:rPr>
          <w:rFonts w:hint="default" w:ascii="宋体" w:eastAsia="宋体"/>
          <w:highlight w:val="none"/>
          <w:lang w:val="en-US" w:eastAsia="zh-CN"/>
        </w:rPr>
        <w:t>优化施工平面布局，重点保障机器人通行效能，精简物料堆场与垂直运输路径，设置专用充电/存储安全区。</w:t>
      </w:r>
    </w:p>
    <w:p w14:paraId="7745ADB4">
      <w:pPr>
        <w:pStyle w:val="165"/>
        <w:rPr>
          <w:rFonts w:hint="default" w:ascii="宋体" w:eastAsia="宋体"/>
          <w:highlight w:val="none"/>
          <w:lang w:val="en-US" w:eastAsia="zh-CN"/>
        </w:rPr>
      </w:pPr>
      <w:r>
        <w:rPr>
          <w:rFonts w:hint="eastAsia" w:ascii="宋体" w:eastAsia="宋体"/>
          <w:highlight w:val="none"/>
          <w:lang w:val="en-US" w:eastAsia="zh-CN"/>
        </w:rPr>
        <w:t>应科学划分人机施工界面，明确合约界面与工序衔接标准。</w:t>
      </w:r>
    </w:p>
    <w:p w14:paraId="159BBF17">
      <w:pPr>
        <w:pStyle w:val="165"/>
        <w:rPr>
          <w:rFonts w:hint="default" w:ascii="宋体" w:eastAsia="宋体"/>
          <w:highlight w:val="none"/>
          <w:lang w:val="en-US" w:eastAsia="zh-CN"/>
        </w:rPr>
      </w:pPr>
      <w:r>
        <w:rPr>
          <w:rFonts w:hint="default" w:ascii="宋体" w:eastAsia="宋体"/>
          <w:highlight w:val="none"/>
          <w:lang w:val="en-US" w:eastAsia="zh-CN"/>
        </w:rPr>
        <w:t>应综合考虑建筑机器人施工前置工作面及设计标准要求，提高施工过程构件精度，减少BIM 模型与现场的误差。</w:t>
      </w:r>
    </w:p>
    <w:p w14:paraId="0AD5C7F8">
      <w:pPr>
        <w:pStyle w:val="165"/>
        <w:rPr>
          <w:rFonts w:hint="default" w:ascii="宋体" w:eastAsia="宋体"/>
          <w:highlight w:val="none"/>
          <w:lang w:val="en-US" w:eastAsia="zh-CN"/>
        </w:rPr>
      </w:pPr>
      <w:r>
        <w:rPr>
          <w:rFonts w:hint="eastAsia" w:ascii="宋体" w:eastAsia="宋体"/>
          <w:highlight w:val="none"/>
          <w:lang w:val="en-US" w:eastAsia="zh-CN"/>
        </w:rPr>
        <w:t>应建立任务管理系统联动的智能进度计划体系，实现进度动态监控与闭环管理。</w:t>
      </w:r>
    </w:p>
    <w:p w14:paraId="23B9506A">
      <w:pPr>
        <w:pStyle w:val="165"/>
        <w:rPr>
          <w:rFonts w:hint="default" w:ascii="宋体" w:eastAsia="宋体"/>
          <w:highlight w:val="none"/>
          <w:lang w:val="en-US" w:eastAsia="zh-CN"/>
        </w:rPr>
      </w:pPr>
      <w:r>
        <w:rPr>
          <w:rFonts w:hint="default" w:ascii="宋体" w:eastAsia="宋体"/>
          <w:highlight w:val="none"/>
          <w:lang w:val="en-US" w:eastAsia="zh-CN"/>
        </w:rPr>
        <w:t>应明确建筑机器人投入数量、人机配比，在分项工程开始前进行建筑机器人方向的建筑新型产业工人招聘、培训、考核。</w:t>
      </w:r>
    </w:p>
    <w:p w14:paraId="02E78CF5">
      <w:pPr>
        <w:pStyle w:val="165"/>
        <w:rPr>
          <w:rFonts w:hint="default" w:ascii="宋体" w:eastAsia="宋体"/>
          <w:highlight w:val="none"/>
          <w:lang w:val="en-US" w:eastAsia="zh-CN"/>
        </w:rPr>
      </w:pPr>
      <w:r>
        <w:rPr>
          <w:rFonts w:hint="default" w:ascii="宋体" w:eastAsia="宋体"/>
          <w:highlight w:val="none"/>
          <w:lang w:val="en-US" w:eastAsia="zh-CN"/>
        </w:rPr>
        <w:t>划定机器人专用作业区域，设置声光警示装置，人员误入时立即触发停机保护机制。</w:t>
      </w:r>
    </w:p>
    <w:p w14:paraId="361E84A2">
      <w:pPr>
        <w:pStyle w:val="165"/>
        <w:rPr>
          <w:rFonts w:hint="default" w:ascii="宋体" w:eastAsia="宋体"/>
          <w:highlight w:val="none"/>
          <w:lang w:val="en-US" w:eastAsia="zh-CN"/>
        </w:rPr>
      </w:pPr>
      <w:r>
        <w:rPr>
          <w:rFonts w:hint="default" w:ascii="宋体" w:eastAsia="宋体"/>
          <w:highlight w:val="none"/>
          <w:lang w:val="en-US" w:eastAsia="zh-CN"/>
        </w:rPr>
        <w:t>针对设备故障、网络安全等风险制定专项应急预案，定期组织演练并完善处置流程。</w:t>
      </w:r>
    </w:p>
    <w:p w14:paraId="769E62DE">
      <w:pPr>
        <w:pStyle w:val="106"/>
        <w:spacing w:before="156" w:after="156"/>
        <w:rPr>
          <w:highlight w:val="none"/>
        </w:rPr>
      </w:pPr>
      <w:bookmarkStart w:id="180" w:name="_Toc194135379"/>
      <w:bookmarkStart w:id="181" w:name="_Toc31265"/>
      <w:r>
        <w:rPr>
          <w:rFonts w:hint="eastAsia"/>
          <w:highlight w:val="none"/>
        </w:rPr>
        <w:t>设计优化咨询</w:t>
      </w:r>
      <w:bookmarkEnd w:id="180"/>
      <w:bookmarkEnd w:id="181"/>
    </w:p>
    <w:p w14:paraId="661F3328">
      <w:pPr>
        <w:pStyle w:val="166"/>
        <w:rPr>
          <w:highlight w:val="none"/>
        </w:rPr>
      </w:pPr>
      <w:r>
        <w:rPr>
          <w:rFonts w:hint="eastAsia"/>
          <w:highlight w:val="none"/>
        </w:rPr>
        <w:t>设计优化咨询，是指设计优化咨询单位依据建设单位或政府职能部</w:t>
      </w:r>
      <w:r>
        <w:rPr>
          <w:rFonts w:hint="eastAsia"/>
          <w:highlight w:val="none"/>
          <w:lang w:eastAsia="zh-CN"/>
        </w:rPr>
        <w:t>门的</w:t>
      </w:r>
      <w:r>
        <w:rPr>
          <w:rFonts w:hint="eastAsia"/>
          <w:highlight w:val="none"/>
        </w:rPr>
        <w:t>委托，按照有关法律、法规及委托合同要求，在保证设计质</w:t>
      </w:r>
      <w:r>
        <w:rPr>
          <w:rFonts w:hint="eastAsia"/>
          <w:highlight w:val="none"/>
          <w:lang w:eastAsia="zh-CN"/>
        </w:rPr>
        <w:t>量的</w:t>
      </w:r>
      <w:r>
        <w:rPr>
          <w:rFonts w:hint="eastAsia"/>
          <w:highlight w:val="none"/>
        </w:rPr>
        <w:t>前提下，凭借严谨的态度、专业的技术、精细的工作，通过对方案设计、初步设计、施工图设计进行过程或结果的审核优化，采取建筑信息模型（BIM） 等信息化手段，通过指标测算、设计方案调整、改进施工做法等方式，实现投资项目价值的最大化。</w:t>
      </w:r>
    </w:p>
    <w:p w14:paraId="393C002A">
      <w:pPr>
        <w:pStyle w:val="166"/>
        <w:rPr>
          <w:highlight w:val="none"/>
        </w:rPr>
      </w:pPr>
      <w:r>
        <w:rPr>
          <w:rFonts w:hint="eastAsia"/>
          <w:highlight w:val="none"/>
        </w:rPr>
        <w:t>优化工作应满足现行法律法规及工程强制性要求，不得降低工程质量、影响建筑使用功能，优先落实绿色建造、推广新技术、新工艺、新材料的应用，从而实现降本增效的目标。</w:t>
      </w:r>
    </w:p>
    <w:p w14:paraId="2546003C">
      <w:pPr>
        <w:pStyle w:val="166"/>
        <w:rPr>
          <w:highlight w:val="none"/>
        </w:rPr>
      </w:pPr>
      <w:r>
        <w:rPr>
          <w:rFonts w:hint="eastAsia"/>
          <w:highlight w:val="none"/>
        </w:rPr>
        <w:t>设计优化重点内容包括但不限于：</w:t>
      </w:r>
    </w:p>
    <w:p w14:paraId="56754952">
      <w:pPr>
        <w:pStyle w:val="175"/>
        <w:numPr>
          <w:ilvl w:val="0"/>
          <w:numId w:val="133"/>
        </w:numPr>
        <w:rPr>
          <w:highlight w:val="none"/>
        </w:rPr>
      </w:pPr>
      <w:r>
        <w:rPr>
          <w:rFonts w:hint="eastAsia"/>
          <w:highlight w:val="none"/>
        </w:rPr>
        <w:t>投资决策阶段：根据项目特点，排摸优化项目类似案例造价数据，分析投资估算，合理确定项目投资估算或目标成本。作为设计任务下达的投资限额，对概算、预算、结算起控制、限额作用；</w:t>
      </w:r>
    </w:p>
    <w:p w14:paraId="64D893B0">
      <w:pPr>
        <w:pStyle w:val="175"/>
        <w:numPr>
          <w:ilvl w:val="0"/>
          <w:numId w:val="112"/>
        </w:numPr>
        <w:rPr>
          <w:highlight w:val="none"/>
        </w:rPr>
      </w:pPr>
      <w:r>
        <w:rPr>
          <w:rFonts w:hint="eastAsia"/>
          <w:highlight w:val="none"/>
        </w:rPr>
        <w:t>设计阶段：包含但不限于房屋建筑、市政基础设施（包括道路、桥梁、河道、土石方、照明、监控、污水处理、垃圾处理等项目）、装饰装修、机电安装、智能化、景观园林绿化、水利工程、交通工程等工程专业，以及与工程专业建设相关的材料、设备采购的设计优化。</w:t>
      </w:r>
    </w:p>
    <w:p w14:paraId="43C36CEF">
      <w:pPr>
        <w:pStyle w:val="166"/>
        <w:rPr>
          <w:highlight w:val="none"/>
        </w:rPr>
      </w:pPr>
      <w:r>
        <w:rPr>
          <w:rFonts w:hint="eastAsia"/>
          <w:highlight w:val="none"/>
        </w:rPr>
        <w:t>全过程工程咨询服务单位应编制《工程设计优化实施方案》，用以指导优化工作。</w:t>
      </w:r>
    </w:p>
    <w:p w14:paraId="2F76875C">
      <w:pPr>
        <w:pStyle w:val="166"/>
        <w:rPr>
          <w:highlight w:val="none"/>
        </w:rPr>
      </w:pPr>
      <w:r>
        <w:rPr>
          <w:rFonts w:hint="eastAsia"/>
          <w:highlight w:val="none"/>
        </w:rPr>
        <w:t>设计优化工作包括协助委托方编制设计任务书、审核设计成果（包含方案设计、初步设计和施工图设计）、提出节能环保、建筑功能、空间利用、平面布局、经济性优化等方面建议、完成并提交设计优化文件。</w:t>
      </w:r>
    </w:p>
    <w:p w14:paraId="579B5226">
      <w:pPr>
        <w:pStyle w:val="166"/>
        <w:rPr>
          <w:highlight w:val="none"/>
        </w:rPr>
      </w:pPr>
      <w:r>
        <w:rPr>
          <w:rFonts w:hint="eastAsia"/>
          <w:highlight w:val="none"/>
        </w:rPr>
        <w:t>设计优化文件由设计优化专业负责人起草，设计优化专业总工程师审核，报送委托方和设计单位。包括项目概况、编制依据、选型分析、优化意见、设计单位回复、委托方回复等内容；</w:t>
      </w:r>
    </w:p>
    <w:p w14:paraId="302F3C5F">
      <w:pPr>
        <w:pStyle w:val="166"/>
        <w:rPr>
          <w:highlight w:val="none"/>
        </w:rPr>
      </w:pPr>
      <w:r>
        <w:rPr>
          <w:rFonts w:hint="eastAsia"/>
          <w:highlight w:val="none"/>
        </w:rPr>
        <w:t>设计优化总结报告由设计优化项目负责人起草，设计优化专业总工程师审核，报送委托方。包括项目概况、编制依据、设计优化组织体系、合同履行情况、工作流水、已落实的优化意见摘要、优化成果、优化工作总结等内容。</w:t>
      </w:r>
    </w:p>
    <w:p w14:paraId="5E26FCEC">
      <w:pPr>
        <w:pStyle w:val="106"/>
        <w:spacing w:before="156" w:after="156"/>
        <w:rPr>
          <w:highlight w:val="none"/>
        </w:rPr>
      </w:pPr>
      <w:bookmarkStart w:id="182" w:name="_Toc11797"/>
      <w:bookmarkStart w:id="183" w:name="_Toc194135380"/>
      <w:r>
        <w:rPr>
          <w:rFonts w:hint="eastAsia"/>
          <w:highlight w:val="none"/>
        </w:rPr>
        <w:t>第三方检查咨询服务</w:t>
      </w:r>
      <w:bookmarkEnd w:id="182"/>
      <w:bookmarkEnd w:id="183"/>
    </w:p>
    <w:p w14:paraId="35A332F7">
      <w:pPr>
        <w:pStyle w:val="66"/>
        <w:spacing w:before="156" w:after="156"/>
        <w:rPr>
          <w:highlight w:val="none"/>
        </w:rPr>
      </w:pPr>
      <w:r>
        <w:rPr>
          <w:rFonts w:hint="eastAsia"/>
          <w:highlight w:val="none"/>
        </w:rPr>
        <w:t>一般规定</w:t>
      </w:r>
    </w:p>
    <w:p w14:paraId="4F6EDFD1">
      <w:pPr>
        <w:pStyle w:val="165"/>
        <w:rPr>
          <w:highlight w:val="none"/>
        </w:rPr>
      </w:pPr>
      <w:r>
        <w:rPr>
          <w:rFonts w:hint="eastAsia"/>
          <w:highlight w:val="none"/>
        </w:rPr>
        <w:t>第三方检查咨询服务旨在通过独立的、专业的检查机构对工程项目的实施过程进行全面或特定环节的监督与检查，确保工程质量、安全及进度符合合同及规范要求。</w:t>
      </w:r>
    </w:p>
    <w:p w14:paraId="64327843">
      <w:pPr>
        <w:pStyle w:val="165"/>
        <w:rPr>
          <w:highlight w:val="none"/>
        </w:rPr>
      </w:pPr>
      <w:r>
        <w:rPr>
          <w:rFonts w:hint="eastAsia"/>
          <w:highlight w:val="none"/>
        </w:rPr>
        <w:t>第三方检查咨询服务机构应具备相应的资质和经验，按照合同约定的服务范围和标准，独立、公正地开展工作。</w:t>
      </w:r>
    </w:p>
    <w:p w14:paraId="0ED3D0EB">
      <w:pPr>
        <w:pStyle w:val="165"/>
        <w:rPr>
          <w:highlight w:val="none"/>
        </w:rPr>
      </w:pPr>
      <w:r>
        <w:rPr>
          <w:rFonts w:hint="eastAsia"/>
          <w:highlight w:val="none"/>
        </w:rPr>
        <w:t>第三方检查咨询服务采用“现场巡查与非现场核查相结合”模式，通过资料审查、抽样检测、影像记录、数据记录等手段，确保检查结果的客观性、准确性及全过程可追溯。</w:t>
      </w:r>
    </w:p>
    <w:p w14:paraId="1B2C0107">
      <w:pPr>
        <w:pStyle w:val="66"/>
        <w:spacing w:before="156" w:after="156"/>
        <w:rPr>
          <w:highlight w:val="none"/>
        </w:rPr>
      </w:pPr>
      <w:r>
        <w:rPr>
          <w:rFonts w:hint="eastAsia"/>
          <w:highlight w:val="none"/>
        </w:rPr>
        <w:t>基本内容</w:t>
      </w:r>
    </w:p>
    <w:p w14:paraId="53AA77B5">
      <w:pPr>
        <w:pStyle w:val="165"/>
        <w:rPr>
          <w:highlight w:val="none"/>
        </w:rPr>
      </w:pPr>
      <w:r>
        <w:rPr>
          <w:rFonts w:hint="eastAsia"/>
          <w:highlight w:val="none"/>
        </w:rPr>
        <w:t>第三方检查咨询服务内容包括但不限于：</w:t>
      </w:r>
    </w:p>
    <w:p w14:paraId="6C458222">
      <w:pPr>
        <w:pStyle w:val="175"/>
        <w:numPr>
          <w:ilvl w:val="0"/>
          <w:numId w:val="134"/>
        </w:numPr>
        <w:rPr>
          <w:highlight w:val="none"/>
        </w:rPr>
      </w:pPr>
      <w:r>
        <w:rPr>
          <w:rFonts w:hint="eastAsia"/>
          <w:highlight w:val="none"/>
        </w:rPr>
        <w:t>质量检查；</w:t>
      </w:r>
    </w:p>
    <w:p w14:paraId="548B208B">
      <w:pPr>
        <w:pStyle w:val="175"/>
        <w:numPr>
          <w:ilvl w:val="0"/>
          <w:numId w:val="112"/>
        </w:numPr>
        <w:rPr>
          <w:highlight w:val="none"/>
        </w:rPr>
      </w:pPr>
      <w:r>
        <w:rPr>
          <w:rFonts w:hint="eastAsia"/>
          <w:highlight w:val="none"/>
        </w:rPr>
        <w:t>安全检查；</w:t>
      </w:r>
    </w:p>
    <w:p w14:paraId="17B9E4FE">
      <w:pPr>
        <w:pStyle w:val="175"/>
        <w:numPr>
          <w:ilvl w:val="0"/>
          <w:numId w:val="112"/>
        </w:numPr>
        <w:rPr>
          <w:highlight w:val="none"/>
        </w:rPr>
      </w:pPr>
      <w:r>
        <w:rPr>
          <w:rFonts w:hint="eastAsia"/>
          <w:highlight w:val="none"/>
        </w:rPr>
        <w:t>进度检查；</w:t>
      </w:r>
    </w:p>
    <w:p w14:paraId="0BEC41F6">
      <w:pPr>
        <w:pStyle w:val="175"/>
        <w:numPr>
          <w:ilvl w:val="0"/>
          <w:numId w:val="112"/>
        </w:numPr>
        <w:rPr>
          <w:highlight w:val="none"/>
        </w:rPr>
      </w:pPr>
      <w:r>
        <w:rPr>
          <w:rFonts w:hint="eastAsia"/>
          <w:highlight w:val="none"/>
        </w:rPr>
        <w:t>资料检查；</w:t>
      </w:r>
    </w:p>
    <w:p w14:paraId="5C84760B">
      <w:pPr>
        <w:pStyle w:val="175"/>
        <w:numPr>
          <w:ilvl w:val="0"/>
          <w:numId w:val="112"/>
        </w:numPr>
        <w:rPr>
          <w:highlight w:val="none"/>
        </w:rPr>
      </w:pPr>
      <w:r>
        <w:rPr>
          <w:rFonts w:hint="eastAsia"/>
          <w:highlight w:val="none"/>
        </w:rPr>
        <w:t>合规性检查。</w:t>
      </w:r>
    </w:p>
    <w:p w14:paraId="6B99554A">
      <w:pPr>
        <w:pStyle w:val="165"/>
        <w:rPr>
          <w:highlight w:val="none"/>
        </w:rPr>
      </w:pPr>
      <w:r>
        <w:rPr>
          <w:rFonts w:hint="eastAsia"/>
          <w:highlight w:val="none"/>
        </w:rPr>
        <w:t>第三方检查咨询服务成果包括但不限于：</w:t>
      </w:r>
    </w:p>
    <w:p w14:paraId="16C6E2D0">
      <w:pPr>
        <w:pStyle w:val="175"/>
        <w:numPr>
          <w:ilvl w:val="0"/>
          <w:numId w:val="135"/>
        </w:numPr>
        <w:rPr>
          <w:highlight w:val="none"/>
        </w:rPr>
      </w:pPr>
      <w:r>
        <w:rPr>
          <w:rFonts w:hint="eastAsia"/>
          <w:highlight w:val="none"/>
        </w:rPr>
        <w:t>检查报告；</w:t>
      </w:r>
    </w:p>
    <w:p w14:paraId="61A8ED6B">
      <w:pPr>
        <w:pStyle w:val="175"/>
        <w:numPr>
          <w:ilvl w:val="0"/>
          <w:numId w:val="112"/>
        </w:numPr>
        <w:rPr>
          <w:highlight w:val="none"/>
        </w:rPr>
      </w:pPr>
      <w:r>
        <w:rPr>
          <w:rFonts w:hint="eastAsia"/>
          <w:highlight w:val="none"/>
        </w:rPr>
        <w:t>整改记录；</w:t>
      </w:r>
    </w:p>
    <w:p w14:paraId="44217CF5">
      <w:pPr>
        <w:pStyle w:val="175"/>
        <w:numPr>
          <w:ilvl w:val="0"/>
          <w:numId w:val="112"/>
        </w:numPr>
        <w:rPr>
          <w:highlight w:val="none"/>
        </w:rPr>
      </w:pPr>
      <w:r>
        <w:rPr>
          <w:rFonts w:hint="eastAsia"/>
          <w:highlight w:val="none"/>
        </w:rPr>
        <w:t>数据分析报告。</w:t>
      </w:r>
    </w:p>
    <w:p w14:paraId="3D7EAB1A">
      <w:pPr>
        <w:pStyle w:val="106"/>
        <w:spacing w:before="156" w:after="156"/>
        <w:rPr>
          <w:highlight w:val="none"/>
        </w:rPr>
      </w:pPr>
      <w:bookmarkStart w:id="184" w:name="_Toc194135381"/>
      <w:bookmarkStart w:id="185" w:name="_Toc11953"/>
      <w:r>
        <w:rPr>
          <w:rFonts w:hint="eastAsia"/>
          <w:highlight w:val="none"/>
        </w:rPr>
        <w:t>建筑节能与绿色建筑咨询</w:t>
      </w:r>
      <w:bookmarkEnd w:id="184"/>
      <w:bookmarkEnd w:id="185"/>
    </w:p>
    <w:p w14:paraId="2FA576AC">
      <w:pPr>
        <w:pStyle w:val="166"/>
        <w:rPr>
          <w:highlight w:val="none"/>
        </w:rPr>
      </w:pPr>
      <w:r>
        <w:rPr>
          <w:rFonts w:hint="eastAsia"/>
          <w:highlight w:val="none"/>
        </w:rPr>
        <w:t>绿色节能与绿色建筑咨询应确保项目在设计、施工、运营等各阶段实现节能与绿色目标咨询服务须具备一体性。绿色节能与绿色建筑咨询已包含：前期策划咨询；绿色设计咨询；</w:t>
      </w:r>
    </w:p>
    <w:p w14:paraId="2D5EA422">
      <w:pPr>
        <w:pStyle w:val="166"/>
        <w:rPr>
          <w:highlight w:val="none"/>
        </w:rPr>
      </w:pPr>
      <w:r>
        <w:rPr>
          <w:rFonts w:hint="eastAsia"/>
          <w:highlight w:val="none"/>
        </w:rPr>
        <w:t>前期策划与可行性研究咨询：</w:t>
      </w:r>
    </w:p>
    <w:p w14:paraId="2FCF6574">
      <w:pPr>
        <w:pStyle w:val="175"/>
        <w:numPr>
          <w:ilvl w:val="0"/>
          <w:numId w:val="136"/>
        </w:numPr>
        <w:rPr>
          <w:highlight w:val="none"/>
        </w:rPr>
      </w:pPr>
      <w:r>
        <w:rPr>
          <w:rFonts w:hint="eastAsia"/>
          <w:highlight w:val="none"/>
        </w:rPr>
        <w:t>需求分析：明确节能与绿色建筑目标，如能耗、碳排放等；</w:t>
      </w:r>
    </w:p>
    <w:p w14:paraId="68B5376C">
      <w:pPr>
        <w:pStyle w:val="175"/>
        <w:numPr>
          <w:ilvl w:val="0"/>
          <w:numId w:val="112"/>
        </w:numPr>
        <w:rPr>
          <w:highlight w:val="none"/>
        </w:rPr>
      </w:pPr>
      <w:r>
        <w:rPr>
          <w:rFonts w:hint="eastAsia"/>
          <w:highlight w:val="none"/>
        </w:rPr>
        <w:t>政策合规：确保项目符合国家和地方的节能与绿色建筑政策；</w:t>
      </w:r>
    </w:p>
    <w:p w14:paraId="3549ADDB">
      <w:pPr>
        <w:pStyle w:val="175"/>
        <w:numPr>
          <w:ilvl w:val="0"/>
          <w:numId w:val="112"/>
        </w:numPr>
        <w:rPr>
          <w:highlight w:val="none"/>
        </w:rPr>
      </w:pPr>
      <w:r>
        <w:rPr>
          <w:rFonts w:hint="eastAsia"/>
          <w:highlight w:val="none"/>
        </w:rPr>
        <w:t>技术可行性：评估节能技术（如太阳能、地源热泵）的适用性；</w:t>
      </w:r>
    </w:p>
    <w:p w14:paraId="454042D8">
      <w:pPr>
        <w:pStyle w:val="175"/>
        <w:numPr>
          <w:ilvl w:val="0"/>
          <w:numId w:val="112"/>
        </w:numPr>
        <w:rPr>
          <w:highlight w:val="none"/>
        </w:rPr>
      </w:pPr>
      <w:r>
        <w:rPr>
          <w:rFonts w:hint="eastAsia"/>
          <w:highlight w:val="none"/>
        </w:rPr>
        <w:t>经济分析：进行成本效益分析，评估投资回报。</w:t>
      </w:r>
    </w:p>
    <w:p w14:paraId="0C1F9F18">
      <w:pPr>
        <w:pStyle w:val="166"/>
        <w:rPr>
          <w:highlight w:val="none"/>
        </w:rPr>
      </w:pPr>
      <w:r>
        <w:rPr>
          <w:rFonts w:hint="eastAsia"/>
          <w:highlight w:val="none"/>
        </w:rPr>
        <w:t>绿色设计阶段咨询：</w:t>
      </w:r>
    </w:p>
    <w:p w14:paraId="239E2371">
      <w:pPr>
        <w:pStyle w:val="175"/>
        <w:numPr>
          <w:ilvl w:val="0"/>
          <w:numId w:val="137"/>
        </w:numPr>
        <w:rPr>
          <w:highlight w:val="none"/>
        </w:rPr>
      </w:pPr>
      <w:r>
        <w:rPr>
          <w:rFonts w:hint="eastAsia"/>
          <w:highlight w:val="none"/>
        </w:rPr>
        <w:t>节能设计：优化建筑围护结构、暖通系统等，降低能耗；</w:t>
      </w:r>
    </w:p>
    <w:p w14:paraId="07369E11">
      <w:pPr>
        <w:pStyle w:val="175"/>
        <w:numPr>
          <w:ilvl w:val="0"/>
          <w:numId w:val="112"/>
        </w:numPr>
        <w:rPr>
          <w:highlight w:val="none"/>
        </w:rPr>
      </w:pPr>
      <w:r>
        <w:rPr>
          <w:rFonts w:hint="eastAsia"/>
          <w:highlight w:val="none"/>
        </w:rPr>
        <w:t>绿色设计：采用环保材料，设计自然通风、采光，减少环境影响；</w:t>
      </w:r>
    </w:p>
    <w:p w14:paraId="19B7B625">
      <w:pPr>
        <w:pStyle w:val="175"/>
        <w:numPr>
          <w:ilvl w:val="0"/>
          <w:numId w:val="112"/>
        </w:numPr>
        <w:rPr>
          <w:highlight w:val="none"/>
        </w:rPr>
      </w:pPr>
      <w:r>
        <w:rPr>
          <w:rFonts w:hint="eastAsia"/>
          <w:highlight w:val="none"/>
        </w:rPr>
        <w:t>模拟分析：利用软件模拟能耗、采光、通风等，优化设计；</w:t>
      </w:r>
    </w:p>
    <w:p w14:paraId="35C071DA">
      <w:pPr>
        <w:pStyle w:val="175"/>
        <w:numPr>
          <w:ilvl w:val="0"/>
          <w:numId w:val="112"/>
        </w:numPr>
        <w:rPr>
          <w:highlight w:val="none"/>
        </w:rPr>
      </w:pPr>
      <w:r>
        <w:rPr>
          <w:rFonts w:hint="eastAsia"/>
          <w:highlight w:val="none"/>
        </w:rPr>
        <w:t>标准合规：确保设计符合绿色建筑认证标准（如LEED、BREEAM）。</w:t>
      </w:r>
    </w:p>
    <w:p w14:paraId="729B14F7">
      <w:pPr>
        <w:pStyle w:val="166"/>
        <w:rPr>
          <w:highlight w:val="none"/>
        </w:rPr>
      </w:pPr>
      <w:r>
        <w:rPr>
          <w:rFonts w:hint="eastAsia"/>
          <w:highlight w:val="none"/>
        </w:rPr>
        <w:t>绿色施工阶段咨询：</w:t>
      </w:r>
    </w:p>
    <w:p w14:paraId="6B22A5F9">
      <w:pPr>
        <w:pStyle w:val="175"/>
        <w:numPr>
          <w:ilvl w:val="0"/>
          <w:numId w:val="138"/>
        </w:numPr>
        <w:rPr>
          <w:highlight w:val="none"/>
        </w:rPr>
      </w:pPr>
      <w:r>
        <w:rPr>
          <w:rFonts w:hint="eastAsia"/>
          <w:highlight w:val="none"/>
        </w:rPr>
        <w:t>施工管理：监督节能与绿色措施的实施，确保按设计执行；</w:t>
      </w:r>
    </w:p>
    <w:p w14:paraId="557365E2">
      <w:pPr>
        <w:pStyle w:val="175"/>
        <w:numPr>
          <w:ilvl w:val="0"/>
          <w:numId w:val="112"/>
        </w:numPr>
        <w:rPr>
          <w:highlight w:val="none"/>
        </w:rPr>
      </w:pPr>
      <w:r>
        <w:rPr>
          <w:rFonts w:hint="eastAsia"/>
          <w:highlight w:val="none"/>
        </w:rPr>
        <w:t>材料选择：推荐环保、可再生材料，减少碳足迹；</w:t>
      </w:r>
    </w:p>
    <w:p w14:paraId="182CA0D9">
      <w:pPr>
        <w:pStyle w:val="175"/>
        <w:numPr>
          <w:ilvl w:val="0"/>
          <w:numId w:val="112"/>
        </w:numPr>
        <w:rPr>
          <w:highlight w:val="none"/>
        </w:rPr>
      </w:pPr>
      <w:r>
        <w:rPr>
          <w:rFonts w:hint="eastAsia"/>
          <w:highlight w:val="none"/>
        </w:rPr>
        <w:t>施工工艺：推广节能施工技术，减少资源浪费；</w:t>
      </w:r>
    </w:p>
    <w:p w14:paraId="16377BB1">
      <w:pPr>
        <w:pStyle w:val="175"/>
        <w:numPr>
          <w:ilvl w:val="0"/>
          <w:numId w:val="112"/>
        </w:numPr>
        <w:rPr>
          <w:highlight w:val="none"/>
        </w:rPr>
      </w:pPr>
      <w:r>
        <w:rPr>
          <w:rFonts w:hint="eastAsia"/>
          <w:highlight w:val="none"/>
        </w:rPr>
        <w:t>质量控制：确保施工质量符合节能与绿色标准。</w:t>
      </w:r>
    </w:p>
    <w:p w14:paraId="3FF8E612">
      <w:pPr>
        <w:pStyle w:val="166"/>
        <w:rPr>
          <w:highlight w:val="none"/>
        </w:rPr>
      </w:pPr>
      <w:r>
        <w:rPr>
          <w:rFonts w:hint="eastAsia"/>
          <w:highlight w:val="none"/>
        </w:rPr>
        <w:t>验收与调试：</w:t>
      </w:r>
    </w:p>
    <w:p w14:paraId="4E522ACD">
      <w:pPr>
        <w:pStyle w:val="175"/>
        <w:numPr>
          <w:ilvl w:val="0"/>
          <w:numId w:val="139"/>
        </w:numPr>
        <w:rPr>
          <w:highlight w:val="none"/>
        </w:rPr>
      </w:pPr>
      <w:r>
        <w:rPr>
          <w:rFonts w:hint="eastAsia"/>
          <w:highlight w:val="none"/>
        </w:rPr>
        <w:t>性能测试：进行能耗、室内环境质量等测试，确保达标；</w:t>
      </w:r>
    </w:p>
    <w:p w14:paraId="6A6F4B3C">
      <w:pPr>
        <w:pStyle w:val="175"/>
        <w:numPr>
          <w:ilvl w:val="0"/>
          <w:numId w:val="112"/>
        </w:numPr>
        <w:rPr>
          <w:highlight w:val="none"/>
        </w:rPr>
      </w:pPr>
      <w:r>
        <w:rPr>
          <w:rFonts w:hint="eastAsia"/>
          <w:highlight w:val="none"/>
        </w:rPr>
        <w:t>系统调试：优化暖通、照明等系统，确保高效运行；</w:t>
      </w:r>
    </w:p>
    <w:p w14:paraId="4D67236D">
      <w:pPr>
        <w:pStyle w:val="175"/>
        <w:numPr>
          <w:ilvl w:val="0"/>
          <w:numId w:val="112"/>
        </w:numPr>
        <w:rPr>
          <w:highlight w:val="none"/>
        </w:rPr>
      </w:pPr>
      <w:r>
        <w:rPr>
          <w:rFonts w:hint="eastAsia"/>
          <w:highlight w:val="none"/>
        </w:rPr>
        <w:t>验收标准：依据国家和地方标准进行验收，确保符合节能与绿色要求。</w:t>
      </w:r>
    </w:p>
    <w:p w14:paraId="28FE294C">
      <w:pPr>
        <w:pStyle w:val="166"/>
        <w:rPr>
          <w:highlight w:val="none"/>
        </w:rPr>
      </w:pPr>
      <w:r>
        <w:rPr>
          <w:rFonts w:hint="eastAsia"/>
          <w:highlight w:val="none"/>
        </w:rPr>
        <w:t>运营与维护咨询：</w:t>
      </w:r>
    </w:p>
    <w:p w14:paraId="2D154FB3">
      <w:pPr>
        <w:pStyle w:val="175"/>
        <w:numPr>
          <w:ilvl w:val="0"/>
          <w:numId w:val="140"/>
        </w:numPr>
        <w:rPr>
          <w:highlight w:val="none"/>
        </w:rPr>
      </w:pPr>
      <w:r>
        <w:rPr>
          <w:rFonts w:hint="eastAsia"/>
          <w:highlight w:val="none"/>
        </w:rPr>
        <w:t>运营管理：制定节能运营方案，优化设备运行；</w:t>
      </w:r>
    </w:p>
    <w:p w14:paraId="43A31ECC">
      <w:pPr>
        <w:pStyle w:val="175"/>
        <w:numPr>
          <w:ilvl w:val="0"/>
          <w:numId w:val="140"/>
        </w:numPr>
        <w:rPr>
          <w:rFonts w:hint="eastAsia" w:ascii="宋体" w:eastAsia="宋体"/>
          <w:highlight w:val="none"/>
        </w:rPr>
      </w:pPr>
      <w:r>
        <w:rPr>
          <w:rFonts w:hint="eastAsia" w:ascii="宋体" w:eastAsia="宋体"/>
          <w:highlight w:val="none"/>
        </w:rPr>
        <w:t>维护建议：提供设备维护建议，确保长期高效运行；</w:t>
      </w:r>
    </w:p>
    <w:p w14:paraId="3CBF38BB">
      <w:pPr>
        <w:pStyle w:val="175"/>
        <w:numPr>
          <w:ilvl w:val="0"/>
          <w:numId w:val="140"/>
        </w:numPr>
        <w:rPr>
          <w:rFonts w:hint="eastAsia" w:ascii="宋体" w:eastAsia="宋体"/>
          <w:highlight w:val="none"/>
        </w:rPr>
      </w:pPr>
      <w:r>
        <w:rPr>
          <w:rFonts w:hint="eastAsia" w:ascii="宋体" w:eastAsia="宋体"/>
          <w:highlight w:val="none"/>
        </w:rPr>
        <w:t>数据监测：建立能耗监测系统，实时跟踪并优化能耗；</w:t>
      </w:r>
    </w:p>
    <w:p w14:paraId="59134A0E">
      <w:pPr>
        <w:pStyle w:val="175"/>
        <w:numPr>
          <w:ilvl w:val="0"/>
          <w:numId w:val="140"/>
        </w:numPr>
        <w:rPr>
          <w:rFonts w:hint="eastAsia" w:ascii="宋体" w:eastAsia="宋体"/>
          <w:highlight w:val="none"/>
        </w:rPr>
      </w:pPr>
      <w:r>
        <w:rPr>
          <w:rFonts w:hint="eastAsia" w:ascii="宋体" w:eastAsia="宋体"/>
          <w:highlight w:val="none"/>
        </w:rPr>
        <w:t>用户培训：培训用户节能操作，提升绿色建筑使用效果。</w:t>
      </w:r>
    </w:p>
    <w:p w14:paraId="7ED39933">
      <w:pPr>
        <w:pStyle w:val="166"/>
        <w:rPr>
          <w:highlight w:val="none"/>
        </w:rPr>
      </w:pPr>
      <w:r>
        <w:rPr>
          <w:rFonts w:hint="eastAsia"/>
          <w:highlight w:val="none"/>
        </w:rPr>
        <w:t>后评估与改进：</w:t>
      </w:r>
    </w:p>
    <w:p w14:paraId="0CB0ADA4">
      <w:pPr>
        <w:pStyle w:val="175"/>
        <w:numPr>
          <w:ilvl w:val="0"/>
          <w:numId w:val="141"/>
        </w:numPr>
        <w:rPr>
          <w:highlight w:val="none"/>
        </w:rPr>
      </w:pPr>
      <w:r>
        <w:rPr>
          <w:rFonts w:hint="eastAsia"/>
          <w:highlight w:val="none"/>
        </w:rPr>
        <w:t>后评估：评估实际能耗与设计目标的差距，分析原因；</w:t>
      </w:r>
    </w:p>
    <w:p w14:paraId="09B0417B">
      <w:pPr>
        <w:pStyle w:val="175"/>
        <w:numPr>
          <w:ilvl w:val="0"/>
          <w:numId w:val="112"/>
        </w:numPr>
        <w:rPr>
          <w:highlight w:val="none"/>
        </w:rPr>
      </w:pPr>
      <w:r>
        <w:rPr>
          <w:rFonts w:hint="eastAsia"/>
          <w:highlight w:val="none"/>
        </w:rPr>
        <w:t>持续改进：根据评估结果提出改进措施，优化建筑性能；</w:t>
      </w:r>
    </w:p>
    <w:p w14:paraId="7AC35B7E">
      <w:pPr>
        <w:pStyle w:val="175"/>
        <w:numPr>
          <w:ilvl w:val="0"/>
          <w:numId w:val="112"/>
        </w:numPr>
        <w:rPr>
          <w:highlight w:val="none"/>
        </w:rPr>
      </w:pPr>
      <w:r>
        <w:rPr>
          <w:rFonts w:hint="eastAsia"/>
          <w:highlight w:val="none"/>
        </w:rPr>
        <w:t>反馈机制：建立反馈机制，持续提升节能与绿色建筑水平。</w:t>
      </w:r>
    </w:p>
    <w:p w14:paraId="15E14CFA">
      <w:pPr>
        <w:pStyle w:val="166"/>
        <w:rPr>
          <w:highlight w:val="none"/>
        </w:rPr>
      </w:pPr>
      <w:r>
        <w:rPr>
          <w:rFonts w:hint="eastAsia"/>
          <w:highlight w:val="none"/>
        </w:rPr>
        <w:t>绿色认证与标识：</w:t>
      </w:r>
    </w:p>
    <w:p w14:paraId="4CFF8D64">
      <w:pPr>
        <w:pStyle w:val="175"/>
        <w:numPr>
          <w:ilvl w:val="0"/>
          <w:numId w:val="142"/>
        </w:numPr>
        <w:rPr>
          <w:highlight w:val="none"/>
        </w:rPr>
      </w:pPr>
      <w:r>
        <w:rPr>
          <w:rFonts w:hint="eastAsia"/>
          <w:highlight w:val="none"/>
        </w:rPr>
        <w:t>绿色认证：协助申请LEED、BREEAM等绿色建筑认证；</w:t>
      </w:r>
    </w:p>
    <w:p w14:paraId="550E28AF">
      <w:pPr>
        <w:pStyle w:val="175"/>
        <w:numPr>
          <w:ilvl w:val="0"/>
          <w:numId w:val="112"/>
        </w:numPr>
        <w:rPr>
          <w:highlight w:val="none"/>
        </w:rPr>
      </w:pPr>
      <w:r>
        <w:rPr>
          <w:rFonts w:hint="eastAsia"/>
          <w:highlight w:val="none"/>
        </w:rPr>
        <w:t>能效标识：申请建筑能效标识，提升市场竞争力。</w:t>
      </w:r>
    </w:p>
    <w:p w14:paraId="1BC44B2E">
      <w:pPr>
        <w:pStyle w:val="166"/>
        <w:rPr>
          <w:highlight w:val="none"/>
        </w:rPr>
      </w:pPr>
      <w:r>
        <w:rPr>
          <w:rFonts w:hint="eastAsia"/>
          <w:highlight w:val="none"/>
        </w:rPr>
        <w:t>政策与市场咨询：</w:t>
      </w:r>
    </w:p>
    <w:p w14:paraId="5E20DBB8">
      <w:pPr>
        <w:pStyle w:val="175"/>
        <w:numPr>
          <w:ilvl w:val="0"/>
          <w:numId w:val="143"/>
        </w:numPr>
        <w:rPr>
          <w:highlight w:val="none"/>
        </w:rPr>
      </w:pPr>
      <w:r>
        <w:rPr>
          <w:rFonts w:hint="eastAsia"/>
          <w:highlight w:val="none"/>
        </w:rPr>
        <w:t>政策解读：提供最新节能与绿色建筑政策解读；</w:t>
      </w:r>
    </w:p>
    <w:p w14:paraId="45BD24B8">
      <w:pPr>
        <w:pStyle w:val="175"/>
        <w:numPr>
          <w:ilvl w:val="0"/>
          <w:numId w:val="112"/>
        </w:numPr>
        <w:rPr>
          <w:highlight w:val="none"/>
        </w:rPr>
      </w:pPr>
      <w:r>
        <w:rPr>
          <w:rFonts w:hint="eastAsia"/>
          <w:highlight w:val="none"/>
        </w:rPr>
        <w:t>市场分析：分析市场趋势，提供投资与开发建议。</w:t>
      </w:r>
    </w:p>
    <w:p w14:paraId="2135BADA">
      <w:pPr>
        <w:pStyle w:val="166"/>
        <w:rPr>
          <w:highlight w:val="none"/>
        </w:rPr>
      </w:pPr>
      <w:r>
        <w:rPr>
          <w:rFonts w:hint="eastAsia"/>
          <w:highlight w:val="none"/>
        </w:rPr>
        <w:t>风险管理：</w:t>
      </w:r>
    </w:p>
    <w:p w14:paraId="0035F81C">
      <w:pPr>
        <w:pStyle w:val="175"/>
        <w:numPr>
          <w:ilvl w:val="0"/>
          <w:numId w:val="144"/>
        </w:numPr>
        <w:rPr>
          <w:highlight w:val="none"/>
        </w:rPr>
      </w:pPr>
      <w:r>
        <w:rPr>
          <w:rFonts w:hint="eastAsia"/>
          <w:highlight w:val="none"/>
        </w:rPr>
        <w:t>风险识别：识别节能与绿色建筑项目中的潜在风险；</w:t>
      </w:r>
    </w:p>
    <w:p w14:paraId="273C449A">
      <w:pPr>
        <w:pStyle w:val="175"/>
        <w:numPr>
          <w:ilvl w:val="0"/>
          <w:numId w:val="112"/>
        </w:numPr>
        <w:rPr>
          <w:highlight w:val="none"/>
        </w:rPr>
      </w:pPr>
      <w:r>
        <w:rPr>
          <w:rFonts w:hint="eastAsia"/>
          <w:highlight w:val="none"/>
        </w:rPr>
        <w:t>应对措施：制定风险应对策略，确保项目顺利推进。</w:t>
      </w:r>
    </w:p>
    <w:p w14:paraId="045DCE58">
      <w:pPr>
        <w:pStyle w:val="166"/>
        <w:rPr>
          <w:highlight w:val="none"/>
        </w:rPr>
      </w:pPr>
      <w:r>
        <w:rPr>
          <w:rFonts w:hint="eastAsia"/>
          <w:highlight w:val="none"/>
        </w:rPr>
        <w:t>创新与技术推广：</w:t>
      </w:r>
    </w:p>
    <w:p w14:paraId="35B231AB">
      <w:pPr>
        <w:pStyle w:val="175"/>
        <w:numPr>
          <w:ilvl w:val="0"/>
          <w:numId w:val="145"/>
        </w:numPr>
        <w:rPr>
          <w:highlight w:val="none"/>
        </w:rPr>
      </w:pPr>
      <w:r>
        <w:rPr>
          <w:rFonts w:hint="eastAsia"/>
          <w:highlight w:val="none"/>
        </w:rPr>
        <w:t>技术创新：推广新技术、新材料，提升节能与绿色建筑水平；</w:t>
      </w:r>
    </w:p>
    <w:p w14:paraId="5017DA09">
      <w:pPr>
        <w:pStyle w:val="175"/>
        <w:numPr>
          <w:ilvl w:val="0"/>
          <w:numId w:val="112"/>
        </w:numPr>
        <w:rPr>
          <w:highlight w:val="none"/>
        </w:rPr>
      </w:pPr>
      <w:r>
        <w:rPr>
          <w:rFonts w:hint="eastAsia"/>
          <w:highlight w:val="none"/>
        </w:rPr>
        <w:t>案例分享：通过成功案例推广最佳实践。</w:t>
      </w:r>
    </w:p>
    <w:p w14:paraId="791B9DCB">
      <w:pPr>
        <w:pStyle w:val="175"/>
        <w:rPr>
          <w:highlight w:val="none"/>
        </w:rPr>
        <w:sectPr>
          <w:pgSz w:w="11906" w:h="16838"/>
          <w:pgMar w:top="1928" w:right="1134" w:bottom="1134" w:left="1134" w:header="1418" w:footer="1134" w:gutter="284"/>
          <w:pgNumType w:start="1"/>
          <w:cols w:space="425" w:num="1"/>
          <w:formProt w:val="0"/>
          <w:docGrid w:type="lines" w:linePitch="312" w:charSpace="0"/>
        </w:sectPr>
      </w:pPr>
    </w:p>
    <w:bookmarkEnd w:id="28"/>
    <w:p w14:paraId="0B757C0D">
      <w:pPr>
        <w:pStyle w:val="199"/>
        <w:rPr>
          <w:rFonts w:hint="eastAsia"/>
          <w:highlight w:val="none"/>
        </w:rPr>
      </w:pPr>
      <w:bookmarkStart w:id="186" w:name="BookMark5"/>
    </w:p>
    <w:p w14:paraId="33165E91">
      <w:pPr>
        <w:pStyle w:val="200"/>
        <w:rPr>
          <w:highlight w:val="none"/>
        </w:rPr>
      </w:pPr>
      <w:r>
        <w:rPr>
          <w:rFonts w:hint="eastAsia"/>
          <w:highlight w:val="none"/>
        </w:rPr>
        <w:t>集中建设项目的全过程咨询服务</w:t>
      </w:r>
    </w:p>
    <w:p w14:paraId="1CFA52EA">
      <w:pPr>
        <w:pStyle w:val="77"/>
        <w:spacing w:after="156"/>
        <w:rPr>
          <w:highlight w:val="none"/>
        </w:rPr>
      </w:pPr>
      <w:bookmarkStart w:id="187" w:name="_Toc17512"/>
      <w:r>
        <w:rPr>
          <w:highlight w:val="none"/>
        </w:rPr>
        <w:br w:type="textWrapping"/>
      </w:r>
      <w:bookmarkStart w:id="188" w:name="_Toc194135382"/>
      <w:r>
        <w:rPr>
          <w:rFonts w:hint="eastAsia"/>
          <w:highlight w:val="none"/>
        </w:rPr>
        <w:t>（规范性）</w:t>
      </w:r>
      <w:r>
        <w:rPr>
          <w:highlight w:val="none"/>
        </w:rPr>
        <w:br w:type="textWrapping"/>
      </w:r>
      <w:r>
        <w:rPr>
          <w:rFonts w:hint="eastAsia"/>
          <w:highlight w:val="none"/>
        </w:rPr>
        <w:t>全过程工程咨询服务</w:t>
      </w:r>
      <w:bookmarkEnd w:id="188"/>
      <w:r>
        <w:rPr>
          <w:rFonts w:hint="eastAsia"/>
          <w:highlight w:val="none"/>
        </w:rPr>
        <w:t>清单</w:t>
      </w:r>
      <w:bookmarkEnd w:id="187"/>
    </w:p>
    <w:p w14:paraId="4173613A">
      <w:pPr>
        <w:pStyle w:val="57"/>
        <w:ind w:firstLine="420"/>
        <w:rPr>
          <w:highlight w:val="none"/>
        </w:rPr>
      </w:pPr>
      <w:r>
        <w:rPr>
          <w:rFonts w:hint="eastAsia"/>
          <w:highlight w:val="none"/>
        </w:rPr>
        <w:t>全过程工程咨询服务清单见表A.1。</w:t>
      </w:r>
    </w:p>
    <w:p w14:paraId="61FE6D73">
      <w:pPr>
        <w:pStyle w:val="78"/>
        <w:spacing w:before="156" w:after="156"/>
        <w:rPr>
          <w:highlight w:val="none"/>
        </w:rPr>
      </w:pPr>
      <w:r>
        <w:rPr>
          <w:rFonts w:hint="eastAsia"/>
          <w:highlight w:val="none"/>
        </w:rPr>
        <w:t>全过程咨询服务清单</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975"/>
        <w:gridCol w:w="6662"/>
        <w:gridCol w:w="697"/>
      </w:tblGrid>
      <w:tr w14:paraId="3BB569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975" w:type="dxa"/>
            <w:tcBorders>
              <w:top w:val="single" w:color="auto" w:sz="8" w:space="0"/>
              <w:bottom w:val="single" w:color="auto" w:sz="8" w:space="0"/>
            </w:tcBorders>
            <w:shd w:val="clear" w:color="auto" w:fill="auto"/>
            <w:vAlign w:val="center"/>
          </w:tcPr>
          <w:p w14:paraId="2ABAFF42">
            <w:pPr>
              <w:pStyle w:val="179"/>
              <w:rPr>
                <w:highlight w:val="none"/>
              </w:rPr>
            </w:pPr>
            <w:r>
              <w:rPr>
                <w:rFonts w:hint="eastAsia"/>
                <w:highlight w:val="none"/>
              </w:rPr>
              <w:t>项目阶段</w:t>
            </w:r>
          </w:p>
        </w:tc>
        <w:tc>
          <w:tcPr>
            <w:tcW w:w="6662" w:type="dxa"/>
            <w:tcBorders>
              <w:top w:val="single" w:color="auto" w:sz="8" w:space="0"/>
              <w:bottom w:val="single" w:color="auto" w:sz="8" w:space="0"/>
            </w:tcBorders>
            <w:shd w:val="clear" w:color="auto" w:fill="auto"/>
            <w:vAlign w:val="center"/>
          </w:tcPr>
          <w:p w14:paraId="1AD2BB22">
            <w:pPr>
              <w:pStyle w:val="179"/>
              <w:rPr>
                <w:highlight w:val="none"/>
              </w:rPr>
            </w:pPr>
            <w:r>
              <w:rPr>
                <w:rFonts w:hint="eastAsia"/>
                <w:highlight w:val="none"/>
              </w:rPr>
              <w:t>服务名称及工作内容</w:t>
            </w:r>
          </w:p>
        </w:tc>
        <w:tc>
          <w:tcPr>
            <w:tcW w:w="697" w:type="dxa"/>
            <w:tcBorders>
              <w:top w:val="single" w:color="auto" w:sz="8" w:space="0"/>
              <w:bottom w:val="single" w:color="auto" w:sz="8" w:space="0"/>
            </w:tcBorders>
            <w:shd w:val="clear" w:color="auto" w:fill="auto"/>
            <w:vAlign w:val="center"/>
          </w:tcPr>
          <w:p w14:paraId="4D2102F7">
            <w:pPr>
              <w:pStyle w:val="179"/>
              <w:rPr>
                <w:highlight w:val="none"/>
              </w:rPr>
            </w:pPr>
            <w:r>
              <w:rPr>
                <w:rFonts w:hint="eastAsia"/>
                <w:highlight w:val="none"/>
              </w:rPr>
              <w:t>备注</w:t>
            </w:r>
          </w:p>
        </w:tc>
      </w:tr>
      <w:tr w14:paraId="2C38AE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75" w:type="dxa"/>
            <w:tcBorders>
              <w:top w:val="single" w:color="auto" w:sz="8" w:space="0"/>
            </w:tcBorders>
            <w:shd w:val="clear" w:color="auto" w:fill="auto"/>
            <w:vAlign w:val="center"/>
          </w:tcPr>
          <w:p w14:paraId="69F85E3C">
            <w:pPr>
              <w:pStyle w:val="179"/>
              <w:rPr>
                <w:highlight w:val="none"/>
              </w:rPr>
            </w:pPr>
            <w:r>
              <w:rPr>
                <w:rFonts w:hint="eastAsia"/>
                <w:highlight w:val="none"/>
              </w:rPr>
              <w:t>全过程工程咨询服务策划</w:t>
            </w:r>
          </w:p>
        </w:tc>
        <w:tc>
          <w:tcPr>
            <w:tcW w:w="6662" w:type="dxa"/>
            <w:tcBorders>
              <w:top w:val="single" w:color="auto" w:sz="8" w:space="0"/>
            </w:tcBorders>
            <w:shd w:val="clear" w:color="auto" w:fill="auto"/>
            <w:vAlign w:val="center"/>
          </w:tcPr>
          <w:p w14:paraId="56B05DB7">
            <w:pPr>
              <w:pStyle w:val="179"/>
              <w:jc w:val="both"/>
              <w:rPr>
                <w:highlight w:val="none"/>
              </w:rPr>
            </w:pPr>
            <w:r>
              <w:rPr>
                <w:rFonts w:hint="eastAsia"/>
                <w:highlight w:val="none"/>
              </w:rPr>
              <w:t>服务策划：（1）全过程工程咨询服务工作大纲；（2）专项/专业咨询实施方案；（3）专项/专业咨询实施细则；（4）工作制度体系。</w:t>
            </w:r>
          </w:p>
        </w:tc>
        <w:tc>
          <w:tcPr>
            <w:tcW w:w="697" w:type="dxa"/>
            <w:tcBorders>
              <w:top w:val="single" w:color="auto" w:sz="8" w:space="0"/>
            </w:tcBorders>
            <w:shd w:val="clear" w:color="auto" w:fill="auto"/>
            <w:vAlign w:val="center"/>
          </w:tcPr>
          <w:p w14:paraId="228ACF85">
            <w:pPr>
              <w:pStyle w:val="179"/>
              <w:rPr>
                <w:highlight w:val="none"/>
              </w:rPr>
            </w:pPr>
          </w:p>
        </w:tc>
      </w:tr>
      <w:tr w14:paraId="1A4BCB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75" w:type="dxa"/>
            <w:shd w:val="clear" w:color="auto" w:fill="auto"/>
            <w:vAlign w:val="center"/>
          </w:tcPr>
          <w:p w14:paraId="2EF95245">
            <w:pPr>
              <w:pStyle w:val="179"/>
              <w:rPr>
                <w:highlight w:val="none"/>
              </w:rPr>
            </w:pPr>
            <w:r>
              <w:rPr>
                <w:rFonts w:hint="eastAsia"/>
                <w:highlight w:val="none"/>
              </w:rPr>
              <w:t>前期咨询</w:t>
            </w:r>
          </w:p>
          <w:p w14:paraId="11012F75">
            <w:pPr>
              <w:pStyle w:val="179"/>
              <w:rPr>
                <w:highlight w:val="none"/>
              </w:rPr>
            </w:pPr>
            <w:r>
              <w:rPr>
                <w:rFonts w:hint="eastAsia"/>
                <w:highlight w:val="none"/>
              </w:rPr>
              <w:t>（投资决策阶段）</w:t>
            </w:r>
          </w:p>
        </w:tc>
        <w:tc>
          <w:tcPr>
            <w:tcW w:w="6662" w:type="dxa"/>
            <w:shd w:val="clear" w:color="auto" w:fill="auto"/>
            <w:vAlign w:val="center"/>
          </w:tcPr>
          <w:p w14:paraId="66A9C0EC">
            <w:pPr>
              <w:pStyle w:val="179"/>
              <w:jc w:val="both"/>
              <w:rPr>
                <w:highlight w:val="none"/>
              </w:rPr>
            </w:pPr>
            <w:r>
              <w:rPr>
                <w:rFonts w:hint="eastAsia"/>
                <w:highlight w:val="none"/>
              </w:rPr>
              <w:t>1 投资决策综合性咨询：（1）投资机会研究；（2）项目建议书；（3）可行性研究报告；（4）项目申请报告；（5）资金申请报告；（6）建设项目用地与选址论证；（7）建设项目环境影响评价；（8）社会风险评估；（9）建设项目压覆重要矿产资源评估；（10）防洪（洪水）影响评价；（11）生产建设项目水土保持评价；（12）水资源论证；（13）交通影响评价；（14）建设工程文物保护。</w:t>
            </w:r>
          </w:p>
          <w:p w14:paraId="22212E5E">
            <w:pPr>
              <w:pStyle w:val="179"/>
              <w:jc w:val="both"/>
              <w:rPr>
                <w:highlight w:val="none"/>
              </w:rPr>
            </w:pPr>
            <w:r>
              <w:rPr>
                <w:rFonts w:hint="eastAsia"/>
                <w:highlight w:val="none"/>
              </w:rPr>
              <w:t>2 报批报建：（1）项目报批报建策划；（2）协助办理项目建议书、可行性研究报告等审查审批；（3）协助办理建设项目选址意见书、用地手续、社会风险评估、节能评估报告等审查审批；（4）协助办理建设项目核准备案、规划条件核实、建设工程设计方案审查等手续。</w:t>
            </w:r>
          </w:p>
          <w:p w14:paraId="4914B75B">
            <w:pPr>
              <w:pStyle w:val="179"/>
              <w:jc w:val="both"/>
              <w:rPr>
                <w:highlight w:val="none"/>
              </w:rPr>
            </w:pPr>
            <w:r>
              <w:rPr>
                <w:rFonts w:hint="eastAsia"/>
                <w:highlight w:val="none"/>
              </w:rPr>
              <w:t>3 设计管理：（1）需求调查；（2）组织编制设计任务书；（3）协助完成项目设计任务的委托；（4）组织方案设计工作及设计进度管理；（5）组织设计方案评审工作。</w:t>
            </w:r>
          </w:p>
          <w:p w14:paraId="71B06835">
            <w:pPr>
              <w:pStyle w:val="179"/>
              <w:jc w:val="both"/>
              <w:rPr>
                <w:highlight w:val="none"/>
              </w:rPr>
            </w:pPr>
            <w:r>
              <w:rPr>
                <w:rFonts w:hint="eastAsia"/>
                <w:highlight w:val="none"/>
              </w:rPr>
              <w:t>4 工程设计服务：（1）编制总体规划方案设计；（2）各专项方案设计；（3）技术规格书。</w:t>
            </w:r>
          </w:p>
          <w:p w14:paraId="635701BE">
            <w:pPr>
              <w:pStyle w:val="179"/>
              <w:jc w:val="both"/>
              <w:rPr>
                <w:highlight w:val="none"/>
              </w:rPr>
            </w:pPr>
            <w:r>
              <w:rPr>
                <w:rFonts w:hint="eastAsia"/>
                <w:highlight w:val="none"/>
              </w:rPr>
              <w:t>5 造价咨询：（1）分析项目投资风险，提出管控措施；（2）投资估算编制与审核。</w:t>
            </w:r>
          </w:p>
          <w:p w14:paraId="4DDDD4FD">
            <w:pPr>
              <w:pStyle w:val="179"/>
              <w:jc w:val="both"/>
              <w:rPr>
                <w:highlight w:val="none"/>
              </w:rPr>
            </w:pPr>
            <w:r>
              <w:rPr>
                <w:rFonts w:hint="eastAsia"/>
                <w:highlight w:val="none"/>
              </w:rPr>
              <w:t>6 专项咨询：（1）项目融资咨询；（2）建筑节能与绿色建筑咨询；（3）工程保险咨询等。</w:t>
            </w:r>
          </w:p>
          <w:p w14:paraId="035649EF">
            <w:pPr>
              <w:pStyle w:val="179"/>
              <w:jc w:val="both"/>
              <w:rPr>
                <w:highlight w:val="none"/>
              </w:rPr>
            </w:pPr>
            <w:r>
              <w:rPr>
                <w:rFonts w:hint="eastAsia"/>
                <w:highlight w:val="none"/>
              </w:rPr>
              <w:t>7 信息技术咨询：（1）项目信息技术应用策划方案编制；（2）BIM 总体策划方案；（3）规划方案分析报告及模型；（4）构建BIM模型辅助进行场址优选、技术经济及建设条件分析。</w:t>
            </w:r>
          </w:p>
        </w:tc>
        <w:tc>
          <w:tcPr>
            <w:tcW w:w="697" w:type="dxa"/>
            <w:shd w:val="clear" w:color="auto" w:fill="auto"/>
            <w:vAlign w:val="center"/>
          </w:tcPr>
          <w:p w14:paraId="64B0D75A">
            <w:pPr>
              <w:pStyle w:val="179"/>
              <w:rPr>
                <w:highlight w:val="none"/>
              </w:rPr>
            </w:pPr>
          </w:p>
        </w:tc>
      </w:tr>
      <w:tr w14:paraId="76D7B7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75" w:type="dxa"/>
            <w:shd w:val="clear" w:color="auto" w:fill="auto"/>
            <w:vAlign w:val="center"/>
          </w:tcPr>
          <w:p w14:paraId="5C1AAD5B">
            <w:pPr>
              <w:pStyle w:val="179"/>
              <w:rPr>
                <w:highlight w:val="none"/>
              </w:rPr>
            </w:pPr>
            <w:r>
              <w:rPr>
                <w:rFonts w:hint="eastAsia"/>
                <w:highlight w:val="none"/>
              </w:rPr>
              <w:t>前期准备阶段</w:t>
            </w:r>
          </w:p>
        </w:tc>
        <w:tc>
          <w:tcPr>
            <w:tcW w:w="6662" w:type="dxa"/>
            <w:shd w:val="clear" w:color="auto" w:fill="auto"/>
            <w:vAlign w:val="center"/>
          </w:tcPr>
          <w:p w14:paraId="18B42F02">
            <w:pPr>
              <w:pStyle w:val="179"/>
              <w:jc w:val="both"/>
              <w:rPr>
                <w:highlight w:val="none"/>
              </w:rPr>
            </w:pPr>
            <w:r>
              <w:rPr>
                <w:rFonts w:hint="eastAsia"/>
                <w:highlight w:val="none"/>
              </w:rPr>
              <w:t>1 报批报建：（1）协助办理建设项目初步设计及设计概算审查；（2）协助办理项目建设配套手续审查，包括交通和防洪影响评价报告、地震安全性评价、人防、超限报告、水土保持方案等审查；（3）协助办理建设用地规划许可证；（4）协助办理建设工程规划许可证；（5）协助办理建设工程施工许可证。</w:t>
            </w:r>
          </w:p>
          <w:p w14:paraId="3DFD607B">
            <w:pPr>
              <w:pStyle w:val="179"/>
              <w:jc w:val="both"/>
              <w:rPr>
                <w:highlight w:val="none"/>
              </w:rPr>
            </w:pPr>
            <w:r>
              <w:rPr>
                <w:rFonts w:hint="eastAsia"/>
                <w:highlight w:val="none"/>
              </w:rPr>
              <w:t>2 勘察设计管理：（1）组织编制勘察要求（勘察任务书）；（2）组织工程各阶段勘察工作及进度管理；（3）组织各阶段勘察成果审查；（4）组织初步设计工作及进度管理；（5）组织初步设计评审；（6）组织施工图设计工作及进度管理；（7）组织施工图审查；（8）组织各专项设计工作及进度管理、评审工作。</w:t>
            </w:r>
          </w:p>
          <w:p w14:paraId="30D73520">
            <w:pPr>
              <w:pStyle w:val="179"/>
              <w:numPr>
                <w:ilvl w:val="-1"/>
                <w:numId w:val="0"/>
              </w:numPr>
              <w:jc w:val="both"/>
              <w:rPr>
                <w:highlight w:val="none"/>
              </w:rPr>
            </w:pPr>
            <w:r>
              <w:rPr>
                <w:rFonts w:hint="eastAsia"/>
                <w:highlight w:val="none"/>
                <w:lang w:val="en-US" w:eastAsia="zh-CN"/>
              </w:rPr>
              <w:t xml:space="preserve">3 </w:t>
            </w:r>
            <w:r>
              <w:rPr>
                <w:rFonts w:hint="eastAsia"/>
                <w:highlight w:val="none"/>
              </w:rPr>
              <w:t>工程设计服务：（1）总体设计图纸、说明及概算等设计内容；（2）技术规格书。（3）施工设计图纸、设计说明及设计预算；（4）技术规格书。</w:t>
            </w:r>
          </w:p>
          <w:p w14:paraId="319D1E68">
            <w:pPr>
              <w:pStyle w:val="179"/>
              <w:jc w:val="both"/>
              <w:rPr>
                <w:highlight w:val="none"/>
              </w:rPr>
            </w:pPr>
            <w:r>
              <w:rPr>
                <w:rFonts w:hint="eastAsia"/>
                <w:highlight w:val="none"/>
              </w:rPr>
              <w:t>4 造价咨询：（1）为设计方案比选（如基础选型、结构选型、设备选型等）提供造价对比分析；（2）设计概算的编制或审核；（3）确定项目限额设计指标；（4）对设计文件进行造价测算与经济优化建议；（5）施工图预算的编制或审核；（6）编制项目资金使用计划；（7）工程量清单的编制或审核；（8）</w:t>
            </w:r>
            <w:r>
              <w:rPr>
                <w:rFonts w:hint="eastAsia"/>
                <w:highlight w:val="none"/>
                <w:lang w:val="en-US" w:eastAsia="zh-CN"/>
              </w:rPr>
              <w:t>最高投标限</w:t>
            </w:r>
            <w:r>
              <w:rPr>
                <w:rFonts w:hint="eastAsia"/>
                <w:highlight w:val="none"/>
              </w:rPr>
              <w:t>价的编制或审核；（9）参与招标文件答疑和澄清；（10）清标或核标；（11）拟定合同文本，协助合同谈判。</w:t>
            </w:r>
          </w:p>
          <w:p w14:paraId="24B92BBA">
            <w:pPr>
              <w:pStyle w:val="179"/>
              <w:jc w:val="both"/>
              <w:rPr>
                <w:highlight w:val="none"/>
              </w:rPr>
            </w:pPr>
            <w:r>
              <w:rPr>
                <w:rFonts w:hint="eastAsia"/>
                <w:highlight w:val="none"/>
              </w:rPr>
              <w:t>5 招标采购：（1）招标采购策划，包括制定项目合约规划、明确工作界面、制定招标计划、选择合理的招标采购模式及合同模式等工作；（2）编制招标文件，含工程量清单、</w:t>
            </w:r>
            <w:r>
              <w:rPr>
                <w:rFonts w:hint="eastAsia"/>
                <w:highlight w:val="none"/>
                <w:lang w:val="en-US" w:eastAsia="zh-CN"/>
              </w:rPr>
              <w:t>最高投标限</w:t>
            </w:r>
            <w:r>
              <w:rPr>
                <w:rFonts w:hint="eastAsia"/>
                <w:highlight w:val="none"/>
              </w:rPr>
              <w:t>价、合同条款等；（3）招标工作实施：发布招标公告或资格预审公告，组织招标文件答疑和澄清，组织开标、评标工作，编制评标报告报委托人确认，协助签发中标通知书，协助合同签订等。</w:t>
            </w:r>
          </w:p>
          <w:p w14:paraId="2B5E9FB5">
            <w:pPr>
              <w:pStyle w:val="179"/>
              <w:jc w:val="both"/>
              <w:rPr>
                <w:highlight w:val="none"/>
              </w:rPr>
            </w:pPr>
            <w:r>
              <w:rPr>
                <w:rFonts w:hint="eastAsia"/>
                <w:highlight w:val="none"/>
              </w:rPr>
              <w:t>6 项目管理：</w:t>
            </w:r>
          </w:p>
          <w:p w14:paraId="4E4725E8">
            <w:pPr>
              <w:pStyle w:val="179"/>
              <w:jc w:val="both"/>
              <w:rPr>
                <w:highlight w:val="none"/>
              </w:rPr>
            </w:pPr>
            <w:r>
              <w:rPr>
                <w:rFonts w:hint="eastAsia"/>
                <w:highlight w:val="none"/>
              </w:rPr>
              <w:t>（1）施工前计划管理工作：①制定施工阶段的工程管理制度和工作计划；②编制场地使用计划；③审核施工单位提交的施工总进度计划；④审核造价咨询机构制定的施工阶段资金使用计划。</w:t>
            </w:r>
          </w:p>
          <w:p w14:paraId="0B938403">
            <w:pPr>
              <w:pStyle w:val="179"/>
              <w:jc w:val="both"/>
              <w:rPr>
                <w:highlight w:val="none"/>
              </w:rPr>
            </w:pPr>
            <w:r>
              <w:rPr>
                <w:rFonts w:hint="eastAsia"/>
                <w:highlight w:val="none"/>
              </w:rPr>
              <w:t>（</w:t>
            </w:r>
            <w:r>
              <w:rPr>
                <w:highlight w:val="none"/>
              </w:rPr>
              <w:t>2</w:t>
            </w:r>
            <w:r>
              <w:rPr>
                <w:rFonts w:hint="eastAsia"/>
                <w:highlight w:val="none"/>
              </w:rPr>
              <w:t>）开工准备工作：①编制项目施工管理工作策划；②组织设计交底；③组织安全管理及制度交底；④审核施工组织设计；⑤审核并报委托人批准监理规划；⑥检查监理单位的组织准备情况；⑦核查现场施工机械、材料的准备情况；⑧核查现场人员的准备情况及质量和安全保证体系；⑨落实施工现场条件；⑩督促项目监理机构核签开工报告；</w:t>
            </w:r>
            <w:r>
              <w:rPr>
                <w:rFonts w:ascii="Cambria Math" w:hAnsi="Cambria Math" w:cs="Cambria Math"/>
                <w:highlight w:val="none"/>
              </w:rPr>
              <w:t>⑪</w:t>
            </w:r>
            <w:r>
              <w:rPr>
                <w:rFonts w:hint="eastAsia" w:hAnsi="宋体" w:cs="宋体"/>
                <w:highlight w:val="none"/>
              </w:rPr>
              <w:t>督促工程监理单位组织召开第一次工地会议。</w:t>
            </w:r>
          </w:p>
          <w:p w14:paraId="408845BE">
            <w:pPr>
              <w:pStyle w:val="179"/>
              <w:jc w:val="both"/>
              <w:rPr>
                <w:highlight w:val="none"/>
              </w:rPr>
            </w:pPr>
            <w:r>
              <w:rPr>
                <w:rFonts w:hint="eastAsia"/>
                <w:highlight w:val="none"/>
              </w:rPr>
              <w:t>7 实行集中建设政府投资项目咨询：（1）完成实施单位与使用单位项目对接。</w:t>
            </w:r>
          </w:p>
          <w:p w14:paraId="74D69BDF">
            <w:pPr>
              <w:pStyle w:val="179"/>
              <w:jc w:val="both"/>
              <w:rPr>
                <w:highlight w:val="none"/>
              </w:rPr>
            </w:pPr>
            <w:r>
              <w:rPr>
                <w:rFonts w:hint="eastAsia"/>
                <w:highlight w:val="none"/>
              </w:rPr>
              <w:t>8 其他专项咨询：（1）项目融资咨询；（2）建筑节能与绿色建筑咨询；（3）工程保险咨询。</w:t>
            </w:r>
          </w:p>
          <w:p w14:paraId="1C390D75">
            <w:pPr>
              <w:pStyle w:val="179"/>
              <w:jc w:val="both"/>
              <w:rPr>
                <w:highlight w:val="none"/>
              </w:rPr>
            </w:pPr>
            <w:r>
              <w:rPr>
                <w:rFonts w:hint="eastAsia"/>
                <w:highlight w:val="none"/>
              </w:rPr>
              <w:t>9 信息技术咨询：（1）建立或辅助建立方案设计、初步设计、施工图设计 BIM模型；（2）采用BIM等技术辅助投资控制；（4）采用BIM辅助设计方案比选、建筑性能模拟分析、交通仿真优化、管线碰撞检测、虚拟仿真漫游、工程算量计价等。</w:t>
            </w:r>
          </w:p>
        </w:tc>
        <w:tc>
          <w:tcPr>
            <w:tcW w:w="697" w:type="dxa"/>
            <w:shd w:val="clear" w:color="auto" w:fill="auto"/>
            <w:vAlign w:val="center"/>
          </w:tcPr>
          <w:p w14:paraId="76D39217">
            <w:pPr>
              <w:pStyle w:val="179"/>
              <w:rPr>
                <w:highlight w:val="none"/>
              </w:rPr>
            </w:pPr>
          </w:p>
        </w:tc>
      </w:tr>
      <w:tr w14:paraId="54F447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75" w:type="dxa"/>
            <w:shd w:val="clear" w:color="auto" w:fill="auto"/>
            <w:vAlign w:val="center"/>
          </w:tcPr>
          <w:p w14:paraId="09139E88">
            <w:pPr>
              <w:pStyle w:val="179"/>
              <w:rPr>
                <w:highlight w:val="none"/>
              </w:rPr>
            </w:pPr>
            <w:r>
              <w:rPr>
                <w:rFonts w:hint="eastAsia"/>
                <w:highlight w:val="none"/>
              </w:rPr>
              <w:t>工程施工阶段</w:t>
            </w:r>
          </w:p>
        </w:tc>
        <w:tc>
          <w:tcPr>
            <w:tcW w:w="6662" w:type="dxa"/>
            <w:shd w:val="clear" w:color="auto" w:fill="auto"/>
            <w:vAlign w:val="center"/>
          </w:tcPr>
          <w:p w14:paraId="6B247ED7">
            <w:pPr>
              <w:pStyle w:val="179"/>
              <w:jc w:val="both"/>
              <w:rPr>
                <w:highlight w:val="none"/>
              </w:rPr>
            </w:pPr>
            <w:r>
              <w:rPr>
                <w:rFonts w:hint="eastAsia"/>
                <w:highlight w:val="none"/>
              </w:rPr>
              <w:t>1 报批报建：（1）协助申报临时用电、正式用电、临时用水、正式用水、热力燃气、通信、排污、雨水等各项市政接入手续；（2）如有必要协助办理预售许可证；（3）协助施工中各项验收工作。</w:t>
            </w:r>
          </w:p>
          <w:p w14:paraId="581B04F1">
            <w:pPr>
              <w:pStyle w:val="179"/>
              <w:jc w:val="both"/>
              <w:rPr>
                <w:highlight w:val="none"/>
              </w:rPr>
            </w:pPr>
            <w:r>
              <w:rPr>
                <w:rFonts w:hint="eastAsia"/>
                <w:highlight w:val="none"/>
              </w:rPr>
              <w:t>2 勘察设计管理：（1）组织勘察、设计人员为施工现场提供技术服务；（2）组织勘察、设计交底，组织图纸会审；（3）进行施工现场的技术协调和管理；（4）进行工程材料设备选型和技术管理；（5）审核、处理设计变更、工程洽商、签证的技术问题；（6）根据施工需求组织或实施设计优化工作；（7）组织勘察单位、设计单位参与重要分部工程、单位工程验收。</w:t>
            </w:r>
          </w:p>
          <w:p w14:paraId="0304A8F6">
            <w:pPr>
              <w:pStyle w:val="179"/>
              <w:jc w:val="both"/>
              <w:rPr>
                <w:highlight w:val="none"/>
              </w:rPr>
            </w:pPr>
            <w:r>
              <w:rPr>
                <w:rFonts w:hint="eastAsia"/>
                <w:highlight w:val="none"/>
              </w:rPr>
              <w:t>3 工程设计服务：（1）技术规格书；（2）设计交底会议纪要；（3）工程变更及相关现场会议纪要；（4）工程变更确认单；（5）工程设计归档文件。</w:t>
            </w:r>
          </w:p>
          <w:p w14:paraId="340B4628">
            <w:pPr>
              <w:pStyle w:val="179"/>
              <w:jc w:val="both"/>
              <w:rPr>
                <w:highlight w:val="none"/>
              </w:rPr>
            </w:pPr>
            <w:r>
              <w:rPr>
                <w:rFonts w:hint="eastAsia"/>
                <w:highlight w:val="none"/>
              </w:rPr>
              <w:t>4 造价咨询：（1）合同价款咨询，包括合同分析、合同交底、合同变更意见建议；（2）材料、设备的询价，提供核价建议；（3）施工阶段投资风险分析及建议；（4）计算及审核工程预付款和进度款；（5）参与工程变更、签证及索赔并提出咨询意见；（6）按一定周期进行项目动态造价分析；（7）审核及汇总分阶段工程结算。</w:t>
            </w:r>
          </w:p>
          <w:p w14:paraId="4947641F">
            <w:pPr>
              <w:pStyle w:val="179"/>
              <w:jc w:val="both"/>
              <w:rPr>
                <w:highlight w:val="none"/>
              </w:rPr>
            </w:pPr>
            <w:r>
              <w:rPr>
                <w:rFonts w:hint="eastAsia"/>
                <w:highlight w:val="none"/>
              </w:rPr>
              <w:t>5 工程监理：（1）编制项目监理规划和实施细则；（2）质量控制；（3）造价控制；（4）进度控制；（5）安全生产与文明施工控制；（6）监理文件资料管理；（7）设备采购与设备监造（若有）。</w:t>
            </w:r>
          </w:p>
          <w:p w14:paraId="6D51E479">
            <w:pPr>
              <w:pStyle w:val="179"/>
              <w:jc w:val="both"/>
              <w:rPr>
                <w:highlight w:val="none"/>
              </w:rPr>
            </w:pPr>
            <w:r>
              <w:rPr>
                <w:rFonts w:hint="eastAsia"/>
                <w:highlight w:val="none"/>
              </w:rPr>
              <w:t>6 项目管理：</w:t>
            </w:r>
          </w:p>
          <w:p w14:paraId="6D993831">
            <w:pPr>
              <w:pStyle w:val="179"/>
              <w:jc w:val="both"/>
              <w:rPr>
                <w:highlight w:val="none"/>
              </w:rPr>
            </w:pPr>
            <w:r>
              <w:rPr>
                <w:rFonts w:hint="eastAsia"/>
                <w:highlight w:val="none"/>
              </w:rPr>
              <w:t>（1）进度管理：①建立健全项目进度控制体系，②编制项目总控进度计划，③审核并跟踪施工总进度计划及各专项计划的执行情况，④定期编制进度分析报告，⑤协调各参建单位的施工进度矛盾，⑥审批并处理工程停工、复工及工期变更事项；</w:t>
            </w:r>
          </w:p>
          <w:p w14:paraId="177350C0">
            <w:pPr>
              <w:pStyle w:val="179"/>
              <w:jc w:val="both"/>
              <w:rPr>
                <w:highlight w:val="none"/>
              </w:rPr>
            </w:pPr>
            <w:r>
              <w:rPr>
                <w:rFonts w:hint="eastAsia"/>
                <w:highlight w:val="none"/>
              </w:rPr>
              <w:t>（2）质量管理：①组织编制施工质量管理策划，②建立工程质量控制体系，③施工过程中质量监管，④推动参建各方开展质量创优工作，⑤及时组织处理工程质量问题及事故；</w:t>
            </w:r>
          </w:p>
          <w:p w14:paraId="00AED143">
            <w:pPr>
              <w:pStyle w:val="179"/>
              <w:jc w:val="both"/>
              <w:rPr>
                <w:highlight w:val="none"/>
              </w:rPr>
            </w:pPr>
            <w:r>
              <w:rPr>
                <w:rFonts w:hint="eastAsia"/>
                <w:highlight w:val="none"/>
              </w:rPr>
              <w:t>（3）安全文明管理：①组织编制施工安全文明管理策划，②建立工程安全文明生产管理体系，③施工过程中现场安全文明管理，④组织参建各方开展安全文明工地创优工作，⑤及时组织处理工程安全问题及事故；</w:t>
            </w:r>
          </w:p>
          <w:p w14:paraId="774E2478">
            <w:pPr>
              <w:pStyle w:val="179"/>
              <w:jc w:val="both"/>
              <w:rPr>
                <w:highlight w:val="none"/>
              </w:rPr>
            </w:pPr>
            <w:r>
              <w:rPr>
                <w:rFonts w:hint="eastAsia"/>
                <w:highlight w:val="none"/>
              </w:rPr>
              <w:t>（4）组织施工阶段甲供材料、设备采购等工作。</w:t>
            </w:r>
          </w:p>
          <w:p w14:paraId="3CF91E5E">
            <w:pPr>
              <w:pStyle w:val="179"/>
              <w:jc w:val="both"/>
              <w:rPr>
                <w:highlight w:val="none"/>
              </w:rPr>
            </w:pPr>
            <w:r>
              <w:rPr>
                <w:rFonts w:hint="eastAsia"/>
                <w:highlight w:val="none"/>
              </w:rPr>
              <w:t>（5）投资管理：①组织编制并动态调整资金使用计划，②审核、处理工程变更和签证的造价事项，③审核工程款支付申请，④审核施工过程中费用索赔，⑤组织开展工程结算工作；</w:t>
            </w:r>
          </w:p>
          <w:p w14:paraId="16E44DBA">
            <w:pPr>
              <w:pStyle w:val="179"/>
              <w:jc w:val="both"/>
              <w:rPr>
                <w:highlight w:val="none"/>
              </w:rPr>
            </w:pPr>
            <w:r>
              <w:rPr>
                <w:rFonts w:hint="eastAsia"/>
                <w:highlight w:val="none"/>
              </w:rPr>
              <w:t>（6）合同管理：①优化合同框架与界面，②参与合同谈判和签订，③建立合同管理台账，④督促各方履约，⑤处理合同变更，争议与索赔事项，⑥合同风险管理；</w:t>
            </w:r>
          </w:p>
          <w:p w14:paraId="0773D8DE">
            <w:pPr>
              <w:pStyle w:val="179"/>
              <w:jc w:val="both"/>
              <w:rPr>
                <w:highlight w:val="none"/>
              </w:rPr>
            </w:pPr>
            <w:r>
              <w:rPr>
                <w:rFonts w:hint="eastAsia"/>
                <w:highlight w:val="none"/>
              </w:rPr>
              <w:t>（7）技术管理：①规范施工图纸和技术文件的管理，②组织重大技术方案等的专家评审/论证会，③组织确认材料、设备选型和品牌及技术参数，④组织确认工程样品与施工样板，⑤组织编写专业分包施工界面和管理要求；</w:t>
            </w:r>
          </w:p>
          <w:p w14:paraId="3A0A2962">
            <w:pPr>
              <w:pStyle w:val="179"/>
              <w:jc w:val="both"/>
              <w:rPr>
                <w:rFonts w:hint="eastAsia" w:ascii="宋体" w:eastAsia="宋体"/>
                <w:highlight w:val="none"/>
              </w:rPr>
            </w:pPr>
            <w:r>
              <w:rPr>
                <w:rFonts w:hint="eastAsia"/>
                <w:highlight w:val="none"/>
              </w:rPr>
              <w:t>（8）信息管理：①建立项目信息管理体系，②监督检查各参建单位的信息管理工作，③编制各类工程项目报表、报告，④做好各类文件的收集、整理、流转和台账管理，⑤督</w:t>
            </w:r>
            <w:r>
              <w:rPr>
                <w:rFonts w:hint="eastAsia" w:ascii="宋体" w:eastAsia="宋体"/>
                <w:highlight w:val="none"/>
              </w:rPr>
              <w:t>促各参建单位做好工程资料与档案管理。</w:t>
            </w:r>
          </w:p>
          <w:p w14:paraId="31BDFF01">
            <w:pPr>
              <w:pStyle w:val="179"/>
              <w:jc w:val="both"/>
              <w:rPr>
                <w:rFonts w:hint="default" w:ascii="宋体" w:eastAsia="宋体"/>
                <w:highlight w:val="none"/>
                <w:lang w:val="en-US" w:eastAsia="zh-CN"/>
              </w:rPr>
            </w:pPr>
            <w:r>
              <w:rPr>
                <w:rFonts w:hint="eastAsia" w:ascii="宋体" w:eastAsia="宋体"/>
                <w:highlight w:val="none"/>
                <w:lang w:eastAsia="zh-CN"/>
              </w:rPr>
              <w:t>（</w:t>
            </w:r>
            <w:r>
              <w:rPr>
                <w:rFonts w:hint="eastAsia" w:ascii="宋体" w:eastAsia="宋体"/>
                <w:highlight w:val="none"/>
                <w:lang w:val="en-US" w:eastAsia="zh-CN"/>
              </w:rPr>
              <w:t>9）智能施工管理：①人员管理②物资管理③机械管理④环境管理⑤</w:t>
            </w:r>
            <w:r>
              <w:rPr>
                <w:rFonts w:hint="default" w:ascii="宋体" w:eastAsia="宋体"/>
                <w:highlight w:val="none"/>
                <w:lang w:val="en-US" w:eastAsia="zh-CN"/>
              </w:rPr>
              <w:t>质量管理</w:t>
            </w:r>
            <w:r>
              <w:rPr>
                <w:rFonts w:hint="eastAsia" w:ascii="宋体" w:eastAsia="宋体"/>
                <w:highlight w:val="none"/>
                <w:lang w:val="en-US" w:eastAsia="zh-CN"/>
              </w:rPr>
              <w:t>⑥</w:t>
            </w:r>
            <w:r>
              <w:rPr>
                <w:rFonts w:hint="default" w:ascii="宋体" w:eastAsia="宋体"/>
                <w:highlight w:val="none"/>
                <w:lang w:val="en-US" w:eastAsia="zh-CN"/>
              </w:rPr>
              <w:t>安全</w:t>
            </w:r>
            <w:r>
              <w:rPr>
                <w:rFonts w:hint="eastAsia" w:ascii="宋体" w:eastAsia="宋体"/>
                <w:highlight w:val="none"/>
                <w:lang w:val="en-US" w:eastAsia="zh-CN"/>
              </w:rPr>
              <w:t>风险</w:t>
            </w:r>
            <w:r>
              <w:rPr>
                <w:rFonts w:hint="default" w:ascii="宋体" w:eastAsia="宋体"/>
                <w:highlight w:val="none"/>
                <w:lang w:val="en-US" w:eastAsia="zh-CN"/>
              </w:rPr>
              <w:t>管理</w:t>
            </w:r>
          </w:p>
          <w:p w14:paraId="01212A0B">
            <w:pPr>
              <w:pStyle w:val="179"/>
              <w:jc w:val="both"/>
              <w:rPr>
                <w:highlight w:val="none"/>
              </w:rPr>
            </w:pPr>
            <w:r>
              <w:rPr>
                <w:rFonts w:hint="eastAsia"/>
                <w:highlight w:val="none"/>
              </w:rPr>
              <w:t>7 第三方检查咨询服务：（1）工程质量检查；（2）安全文明生产检查；（3）工程进度检查；（4）工程文件资料检查；（5）环保、节能、绿色建筑等合规性检查。</w:t>
            </w:r>
          </w:p>
          <w:p w14:paraId="76C004CF">
            <w:pPr>
              <w:pStyle w:val="179"/>
              <w:jc w:val="both"/>
              <w:rPr>
                <w:highlight w:val="none"/>
              </w:rPr>
            </w:pPr>
            <w:r>
              <w:rPr>
                <w:rFonts w:hint="eastAsia"/>
                <w:highlight w:val="none"/>
              </w:rPr>
              <w:t>8 实行集中建设政府投资项目咨询：按合同约定履行全咨单位责任和义务。</w:t>
            </w:r>
          </w:p>
          <w:p w14:paraId="17ED3A30">
            <w:pPr>
              <w:pStyle w:val="179"/>
              <w:jc w:val="both"/>
              <w:rPr>
                <w:rFonts w:hint="eastAsia"/>
                <w:highlight w:val="none"/>
              </w:rPr>
            </w:pPr>
            <w:r>
              <w:rPr>
                <w:rFonts w:hint="eastAsia"/>
                <w:highlight w:val="none"/>
              </w:rPr>
              <w:t>9 信息技术咨询：（1）通过BIM技术进行全专业协同、可视化技术交底，进行投资、进度、材料、设备等多维信息管理及流程优化；（2）对施工方案及进度计划模拟、分析，建立变更记录模型，辅助工程量统计；（3）基于</w:t>
            </w:r>
            <w:r>
              <w:rPr>
                <w:rFonts w:hint="eastAsia"/>
                <w:highlight w:val="none"/>
                <w:lang w:eastAsia="zh-CN"/>
              </w:rPr>
              <w:t>BIM</w:t>
            </w:r>
            <w:r>
              <w:rPr>
                <w:rFonts w:hint="eastAsia"/>
                <w:highlight w:val="none"/>
              </w:rPr>
              <w:t>等的设计优化与变更处理；（4）利用信息化平台辅助现场管理，最终建立竣工模型。</w:t>
            </w:r>
          </w:p>
          <w:p w14:paraId="2DDF4807">
            <w:pPr>
              <w:pStyle w:val="179"/>
              <w:numPr>
                <w:ilvl w:val="-1"/>
                <w:numId w:val="0"/>
              </w:numPr>
              <w:jc w:val="both"/>
              <w:rPr>
                <w:rFonts w:hint="default" w:ascii="宋体" w:eastAsia="宋体"/>
                <w:highlight w:val="none"/>
                <w:lang w:val="en-US" w:eastAsia="zh-CN"/>
              </w:rPr>
            </w:pPr>
            <w:r>
              <w:rPr>
                <w:rFonts w:hint="eastAsia"/>
                <w:highlight w:val="none"/>
                <w:lang w:val="en-US" w:eastAsia="zh-CN"/>
              </w:rPr>
              <w:t xml:space="preserve">10 </w:t>
            </w:r>
            <w:r>
              <w:rPr>
                <w:rFonts w:hint="eastAsia" w:ascii="宋体" w:eastAsia="宋体"/>
                <w:highlight w:val="none"/>
                <w:lang w:val="en-US" w:eastAsia="zh-CN"/>
              </w:rPr>
              <w:t>部品部件生产应用咨询：（1）应用专项方案（2）生产系统规划（3）智能产线实施管理（4）生产质量管理（5）生产数据交付管理</w:t>
            </w:r>
          </w:p>
          <w:p w14:paraId="2D30F365">
            <w:pPr>
              <w:pStyle w:val="179"/>
              <w:jc w:val="both"/>
              <w:rPr>
                <w:rFonts w:hint="eastAsia"/>
                <w:highlight w:val="none"/>
              </w:rPr>
            </w:pPr>
            <w:r>
              <w:rPr>
                <w:rFonts w:hint="eastAsia" w:ascii="宋体" w:eastAsia="宋体"/>
                <w:highlight w:val="none"/>
                <w:lang w:val="en-US" w:eastAsia="zh-CN"/>
              </w:rPr>
              <w:t>11</w:t>
            </w:r>
            <w:r>
              <w:rPr>
                <w:rFonts w:hint="eastAsia"/>
                <w:highlight w:val="none"/>
                <w:lang w:val="en-US" w:eastAsia="zh-CN"/>
              </w:rPr>
              <w:t xml:space="preserve"> </w:t>
            </w:r>
            <w:r>
              <w:rPr>
                <w:rFonts w:hint="eastAsia" w:ascii="宋体" w:eastAsia="宋体"/>
                <w:highlight w:val="none"/>
                <w:lang w:val="en-US" w:eastAsia="zh-CN"/>
              </w:rPr>
              <w:t>机器人及智能装备应用咨询：（1）应用专项方案（2）设备选型管理（3）设备管理系统（4）现场实施监督管理（5）安全保障方案（6）培训</w:t>
            </w:r>
          </w:p>
        </w:tc>
        <w:tc>
          <w:tcPr>
            <w:tcW w:w="697" w:type="dxa"/>
            <w:shd w:val="clear" w:color="auto" w:fill="auto"/>
            <w:vAlign w:val="center"/>
          </w:tcPr>
          <w:p w14:paraId="246B33F8">
            <w:pPr>
              <w:pStyle w:val="179"/>
              <w:rPr>
                <w:highlight w:val="none"/>
              </w:rPr>
            </w:pPr>
          </w:p>
        </w:tc>
      </w:tr>
      <w:tr w14:paraId="379F76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75" w:type="dxa"/>
            <w:shd w:val="clear" w:color="auto" w:fill="auto"/>
            <w:vAlign w:val="center"/>
          </w:tcPr>
          <w:p w14:paraId="2D5608B5">
            <w:pPr>
              <w:pStyle w:val="179"/>
              <w:rPr>
                <w:highlight w:val="none"/>
              </w:rPr>
            </w:pPr>
            <w:r>
              <w:rPr>
                <w:rFonts w:hint="eastAsia"/>
                <w:highlight w:val="none"/>
              </w:rPr>
              <w:t>竣工验收阶段</w:t>
            </w:r>
          </w:p>
        </w:tc>
        <w:tc>
          <w:tcPr>
            <w:tcW w:w="6662" w:type="dxa"/>
            <w:shd w:val="clear" w:color="auto" w:fill="auto"/>
            <w:vAlign w:val="center"/>
          </w:tcPr>
          <w:p w14:paraId="74CF9781">
            <w:pPr>
              <w:pStyle w:val="179"/>
              <w:jc w:val="both"/>
              <w:rPr>
                <w:highlight w:val="none"/>
              </w:rPr>
            </w:pPr>
            <w:r>
              <w:rPr>
                <w:rFonts w:hint="eastAsia"/>
                <w:highlight w:val="none"/>
              </w:rPr>
              <w:t>1 报批报建：协助组织建筑工程竣工验收和办理竣工验收备案。</w:t>
            </w:r>
          </w:p>
          <w:p w14:paraId="4E2429DB">
            <w:pPr>
              <w:pStyle w:val="179"/>
              <w:jc w:val="both"/>
              <w:rPr>
                <w:highlight w:val="none"/>
              </w:rPr>
            </w:pPr>
            <w:r>
              <w:rPr>
                <w:rFonts w:hint="eastAsia"/>
                <w:highlight w:val="none"/>
              </w:rPr>
              <w:t>2 勘察设计管理：（1）配合组织项目竣工验收；（2）对勘察文件、设计文件进行整理和归档；（3）组织实施项目设计工作总结。</w:t>
            </w:r>
          </w:p>
          <w:p w14:paraId="2450A83F">
            <w:pPr>
              <w:pStyle w:val="179"/>
              <w:jc w:val="both"/>
              <w:rPr>
                <w:highlight w:val="none"/>
              </w:rPr>
            </w:pPr>
            <w:r>
              <w:rPr>
                <w:rFonts w:hint="eastAsia"/>
                <w:highlight w:val="none"/>
              </w:rPr>
              <w:t>3 造价咨询：（1）竣工结算审核；（2）工程技术经济指标分析；（3）竣工决算报告的编制或审核；（4）配合完成竣工结算的政府审计，根据审计结果对工程的最终结算价款进行审定；（5）编制项目绩效评价报告。</w:t>
            </w:r>
          </w:p>
          <w:p w14:paraId="3121D55E">
            <w:pPr>
              <w:pStyle w:val="179"/>
              <w:jc w:val="both"/>
              <w:rPr>
                <w:highlight w:val="none"/>
              </w:rPr>
            </w:pPr>
            <w:r>
              <w:rPr>
                <w:rFonts w:hint="eastAsia"/>
                <w:highlight w:val="none"/>
              </w:rPr>
              <w:t>4 工程监理：（1）工程验收策划与组织；（2）组织竣工预验收，参与竣工验收；（3）竣工资料收集与整理；（4）工程质量缺陷管理。</w:t>
            </w:r>
          </w:p>
          <w:p w14:paraId="58B2D852">
            <w:pPr>
              <w:pStyle w:val="179"/>
              <w:jc w:val="both"/>
              <w:rPr>
                <w:highlight w:val="none"/>
              </w:rPr>
            </w:pPr>
            <w:r>
              <w:rPr>
                <w:rFonts w:hint="eastAsia"/>
                <w:highlight w:val="none"/>
              </w:rPr>
              <w:t>5 项目管理：（1）协助委托方完成验收方案策划，并协助委托方组织竣工验收；（2）组织施工单位与运营或物业单位制定完善的移交方案，并协助委托方组织实体移交；（3）组织审核施工单位提交的竣工结算申请，协助委托方编制工程竣工决算；（4）编制项目后评价报告；（5）保修阶段管理：①组织制定保修管理方案，②组织项目保修管理会议，③过程协调与定期回访。</w:t>
            </w:r>
          </w:p>
          <w:p w14:paraId="19836862">
            <w:pPr>
              <w:pStyle w:val="179"/>
              <w:jc w:val="both"/>
              <w:rPr>
                <w:highlight w:val="none"/>
              </w:rPr>
            </w:pPr>
            <w:r>
              <w:rPr>
                <w:rFonts w:hint="eastAsia"/>
                <w:highlight w:val="none"/>
              </w:rPr>
              <w:t>6 实行集中建设政府投资项目咨询：（1）协助实施单位向项目使用单位进行项目移交；（2）协助实施单位向城建档案馆进行城建档案移交；（3）协助实施单位向使用单位进行资产档案、财务档案移交。</w:t>
            </w:r>
          </w:p>
          <w:p w14:paraId="7C4B8F9D">
            <w:pPr>
              <w:pStyle w:val="179"/>
              <w:jc w:val="both"/>
              <w:rPr>
                <w:rFonts w:hint="eastAsia" w:ascii="宋体" w:eastAsia="宋体"/>
                <w:highlight w:val="none"/>
                <w:lang w:val="en-US" w:eastAsia="zh-CN"/>
              </w:rPr>
            </w:pPr>
            <w:r>
              <w:rPr>
                <w:rFonts w:hint="eastAsia"/>
                <w:highlight w:val="none"/>
              </w:rPr>
              <w:t>7 信息技术咨询：</w:t>
            </w:r>
            <w:r>
              <w:rPr>
                <w:rFonts w:hint="eastAsia" w:ascii="宋体" w:eastAsia="宋体"/>
                <w:highlight w:val="none"/>
              </w:rPr>
              <w:t>（1）完成工程竣工BIM模型；（2）采用</w:t>
            </w:r>
            <w:r>
              <w:rPr>
                <w:rFonts w:hint="eastAsia" w:ascii="宋体" w:eastAsia="宋体"/>
                <w:highlight w:val="none"/>
                <w:lang w:eastAsia="zh-CN"/>
              </w:rPr>
              <w:t>BIM</w:t>
            </w:r>
            <w:r>
              <w:rPr>
                <w:rFonts w:hint="eastAsia" w:ascii="宋体" w:eastAsia="宋体"/>
                <w:highlight w:val="none"/>
              </w:rPr>
              <w:t>辅助竣工项目投资控制与审核</w:t>
            </w:r>
            <w:r>
              <w:rPr>
                <w:rFonts w:hint="eastAsia" w:ascii="宋体" w:eastAsia="宋体"/>
                <w:highlight w:val="none"/>
                <w:lang w:eastAsia="zh-CN"/>
              </w:rPr>
              <w:t>；（</w:t>
            </w:r>
            <w:r>
              <w:rPr>
                <w:rFonts w:hint="eastAsia" w:ascii="宋体" w:eastAsia="宋体"/>
                <w:highlight w:val="none"/>
                <w:lang w:val="en-US" w:eastAsia="zh-CN"/>
              </w:rPr>
              <w:t>3）采用数字孪生技术集成BIM竣工模型、资产信息模型等，为智慧运维提供支撑。</w:t>
            </w:r>
          </w:p>
          <w:p w14:paraId="0EC2A8D1">
            <w:pPr>
              <w:pStyle w:val="179"/>
              <w:jc w:val="both"/>
              <w:rPr>
                <w:rFonts w:hint="eastAsia" w:ascii="宋体" w:eastAsia="宋体"/>
                <w:highlight w:val="none"/>
                <w:lang w:eastAsia="zh-CN"/>
              </w:rPr>
            </w:pPr>
          </w:p>
          <w:p w14:paraId="01E32F34">
            <w:pPr>
              <w:pStyle w:val="179"/>
              <w:jc w:val="both"/>
              <w:rPr>
                <w:highlight w:val="none"/>
              </w:rPr>
            </w:pPr>
            <w:r>
              <w:rPr>
                <w:rFonts w:hint="eastAsia"/>
                <w:highlight w:val="none"/>
              </w:rPr>
              <w:t>8 项目后评估：（1）项目目标实现情况；（2）经济效益评价；（3）社会效益评价；（4）环境影响评价；（5）技术创新与应用报告；（6）全过程咨询服务质量评价；（7）经验总结与改进建议。</w:t>
            </w:r>
          </w:p>
          <w:p w14:paraId="03AE8B7F">
            <w:pPr>
              <w:pStyle w:val="179"/>
              <w:jc w:val="both"/>
              <w:rPr>
                <w:highlight w:val="none"/>
              </w:rPr>
            </w:pPr>
            <w:r>
              <w:rPr>
                <w:rFonts w:hint="eastAsia"/>
                <w:highlight w:val="none"/>
              </w:rPr>
              <w:t>9</w:t>
            </w:r>
            <w:r>
              <w:rPr>
                <w:rFonts w:hint="eastAsia"/>
                <w:highlight w:val="none"/>
                <w:lang w:val="en-US" w:eastAsia="zh-CN"/>
              </w:rPr>
              <w:t xml:space="preserve"> </w:t>
            </w:r>
            <w:r>
              <w:rPr>
                <w:rFonts w:hint="eastAsia"/>
                <w:highlight w:val="none"/>
              </w:rPr>
              <w:t>项目绩效评价：（1）财务绩效；（2）运营效率；（3）质量与安全；（4）用户满意度；（5）社会影响；（6）全过程咨询服务效果。</w:t>
            </w:r>
          </w:p>
        </w:tc>
        <w:tc>
          <w:tcPr>
            <w:tcW w:w="697" w:type="dxa"/>
            <w:shd w:val="clear" w:color="auto" w:fill="auto"/>
            <w:vAlign w:val="center"/>
          </w:tcPr>
          <w:p w14:paraId="55655CBE">
            <w:pPr>
              <w:pStyle w:val="179"/>
              <w:rPr>
                <w:highlight w:val="none"/>
              </w:rPr>
            </w:pPr>
          </w:p>
        </w:tc>
      </w:tr>
      <w:tr w14:paraId="1C5312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75" w:type="dxa"/>
            <w:shd w:val="clear" w:color="auto" w:fill="auto"/>
            <w:vAlign w:val="center"/>
          </w:tcPr>
          <w:p w14:paraId="0FCC87FC">
            <w:pPr>
              <w:pStyle w:val="179"/>
              <w:rPr>
                <w:highlight w:val="none"/>
              </w:rPr>
            </w:pPr>
            <w:r>
              <w:rPr>
                <w:rFonts w:hint="eastAsia"/>
                <w:highlight w:val="none"/>
              </w:rPr>
              <w:t>运营阶段</w:t>
            </w:r>
          </w:p>
        </w:tc>
        <w:tc>
          <w:tcPr>
            <w:tcW w:w="6662" w:type="dxa"/>
            <w:shd w:val="clear" w:color="auto" w:fill="auto"/>
            <w:vAlign w:val="center"/>
          </w:tcPr>
          <w:p w14:paraId="4EAD8C4D">
            <w:pPr>
              <w:pStyle w:val="179"/>
              <w:jc w:val="both"/>
              <w:rPr>
                <w:highlight w:val="none"/>
              </w:rPr>
            </w:pPr>
            <w:r>
              <w:rPr>
                <w:rFonts w:hint="eastAsia"/>
                <w:highlight w:val="none"/>
              </w:rPr>
              <w:t>1 设施运维咨询：（1）编制并管理运营维护实施方案。</w:t>
            </w:r>
          </w:p>
          <w:p w14:paraId="037BD767">
            <w:pPr>
              <w:pStyle w:val="179"/>
              <w:jc w:val="both"/>
              <w:rPr>
                <w:highlight w:val="none"/>
              </w:rPr>
            </w:pPr>
            <w:r>
              <w:rPr>
                <w:rFonts w:hint="eastAsia"/>
                <w:highlight w:val="none"/>
              </w:rPr>
              <w:t>2 运营能耗管理咨询：（1）编制并管理能源管理实施方案；（2）建立能耗台账；（3）编制能耗管理阶段性报告。</w:t>
            </w:r>
          </w:p>
          <w:p w14:paraId="44667851">
            <w:pPr>
              <w:pStyle w:val="179"/>
              <w:jc w:val="both"/>
              <w:rPr>
                <w:highlight w:val="none"/>
              </w:rPr>
            </w:pPr>
            <w:r>
              <w:rPr>
                <w:rFonts w:hint="eastAsia"/>
                <w:highlight w:val="none"/>
              </w:rPr>
              <w:t>3 资产管理咨询：编制并管理资产管理方案；（2）编制资产管理阶段性报告。</w:t>
            </w:r>
          </w:p>
          <w:p w14:paraId="233A4C24">
            <w:pPr>
              <w:pStyle w:val="179"/>
              <w:jc w:val="both"/>
              <w:rPr>
                <w:highlight w:val="none"/>
              </w:rPr>
            </w:pPr>
            <w:r>
              <w:rPr>
                <w:rFonts w:hint="eastAsia"/>
                <w:highlight w:val="none"/>
              </w:rPr>
              <w:t>4 运营成本咨询：（1）编制维护预算；（2）编制运营维护成本审核报告；（3）编制运营维护管理阶段性报告。</w:t>
            </w:r>
          </w:p>
          <w:p w14:paraId="6A8F942B">
            <w:pPr>
              <w:pStyle w:val="179"/>
              <w:jc w:val="both"/>
              <w:rPr>
                <w:highlight w:val="none"/>
              </w:rPr>
            </w:pPr>
            <w:r>
              <w:rPr>
                <w:rFonts w:hint="eastAsia"/>
                <w:highlight w:val="none"/>
              </w:rPr>
              <w:t>5 环境、健康与安全管理（EHS）：（1）编制环境、健康与安全管理目标与方案；（2）识别环境要素，开展建筑环境健康评价；（3）识别健康与安全危险源；（4）实施环境、健康与安全审核。</w:t>
            </w:r>
          </w:p>
          <w:p w14:paraId="055D9483">
            <w:pPr>
              <w:pStyle w:val="179"/>
              <w:jc w:val="both"/>
              <w:rPr>
                <w:highlight w:val="none"/>
              </w:rPr>
            </w:pPr>
            <w:r>
              <w:rPr>
                <w:rFonts w:hint="eastAsia"/>
                <w:highlight w:val="none"/>
              </w:rPr>
              <w:t>6 信息技术咨询：（1）BIM运维信息管</w:t>
            </w:r>
            <w:r>
              <w:rPr>
                <w:rFonts w:hint="eastAsia" w:ascii="宋体" w:eastAsia="宋体"/>
                <w:highlight w:val="none"/>
              </w:rPr>
              <w:t>理平台选型、比对；（2）BIM 运维信息管理。</w:t>
            </w:r>
            <w:r>
              <w:rPr>
                <w:rFonts w:hint="eastAsia" w:ascii="宋体" w:eastAsia="宋体"/>
                <w:highlight w:val="none"/>
                <w:lang w:eastAsia="zh-CN"/>
              </w:rPr>
              <w:t>（</w:t>
            </w:r>
            <w:r>
              <w:rPr>
                <w:rFonts w:hint="eastAsia" w:ascii="宋体" w:eastAsia="宋体"/>
                <w:highlight w:val="none"/>
                <w:lang w:val="en-US" w:eastAsia="zh-CN"/>
              </w:rPr>
              <w:t>3）基于BIM的设备设施管理、空间环境管理、资产管理、能耗管理。</w:t>
            </w:r>
          </w:p>
        </w:tc>
        <w:tc>
          <w:tcPr>
            <w:tcW w:w="697" w:type="dxa"/>
            <w:shd w:val="clear" w:color="auto" w:fill="auto"/>
            <w:vAlign w:val="center"/>
          </w:tcPr>
          <w:p w14:paraId="08724EF2">
            <w:pPr>
              <w:pStyle w:val="179"/>
              <w:rPr>
                <w:highlight w:val="none"/>
              </w:rPr>
            </w:pPr>
          </w:p>
        </w:tc>
      </w:tr>
      <w:tr w14:paraId="25E601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75" w:type="dxa"/>
            <w:shd w:val="clear" w:color="auto" w:fill="auto"/>
            <w:vAlign w:val="center"/>
          </w:tcPr>
          <w:p w14:paraId="4E6C5660">
            <w:pPr>
              <w:pStyle w:val="179"/>
              <w:rPr>
                <w:highlight w:val="none"/>
              </w:rPr>
            </w:pPr>
            <w:r>
              <w:rPr>
                <w:rFonts w:hint="eastAsia"/>
                <w:highlight w:val="none"/>
              </w:rPr>
              <w:t>专项服务</w:t>
            </w:r>
          </w:p>
        </w:tc>
        <w:tc>
          <w:tcPr>
            <w:tcW w:w="6662" w:type="dxa"/>
            <w:shd w:val="clear" w:color="auto" w:fill="auto"/>
            <w:vAlign w:val="center"/>
          </w:tcPr>
          <w:p w14:paraId="50F7DE41">
            <w:pPr>
              <w:pStyle w:val="179"/>
              <w:numPr>
                <w:ilvl w:val="-1"/>
                <w:numId w:val="0"/>
              </w:numPr>
              <w:jc w:val="both"/>
              <w:rPr>
                <w:highlight w:val="none"/>
              </w:rPr>
            </w:pPr>
            <w:r>
              <w:rPr>
                <w:rFonts w:hint="eastAsia"/>
                <w:highlight w:val="none"/>
              </w:rPr>
              <w:t>1</w:t>
            </w:r>
            <w:r>
              <w:rPr>
                <w:rFonts w:hint="eastAsia"/>
                <w:highlight w:val="none"/>
                <w:lang w:val="en-US" w:eastAsia="zh-CN"/>
              </w:rPr>
              <w:t xml:space="preserve"> </w:t>
            </w:r>
            <w:r>
              <w:rPr>
                <w:rFonts w:hint="eastAsia"/>
                <w:highlight w:val="none"/>
              </w:rPr>
              <w:t>全过程BIM技术应用咨询服务：（1）BIM应用大纲和实施方案；（2）模型生产；（3）模型应用。（4）现场BIM应用的软硬件系统维护管理及全咨管理平台开发（或引进）及升级。</w:t>
            </w:r>
          </w:p>
          <w:p w14:paraId="270F8944">
            <w:pPr>
              <w:pStyle w:val="179"/>
              <w:jc w:val="both"/>
              <w:rPr>
                <w:highlight w:val="none"/>
              </w:rPr>
            </w:pPr>
            <w:r>
              <w:rPr>
                <w:rFonts w:hint="eastAsia"/>
                <w:highlight w:val="none"/>
              </w:rPr>
              <w:t>2</w:t>
            </w:r>
            <w:r>
              <w:rPr>
                <w:rFonts w:hint="eastAsia"/>
                <w:highlight w:val="none"/>
                <w:lang w:val="en-US" w:eastAsia="zh-CN"/>
              </w:rPr>
              <w:t xml:space="preserve"> </w:t>
            </w:r>
            <w:r>
              <w:rPr>
                <w:rFonts w:hint="eastAsia"/>
                <w:highlight w:val="none"/>
              </w:rPr>
              <w:t>设计优化咨询：（1）工程设计优化实施方案；（2）初步优化意见及价格测算；（3）最终优化意见及价格测算。（4）设计优化咨询成果总结报告。</w:t>
            </w:r>
          </w:p>
          <w:p w14:paraId="5E37EBB7">
            <w:pPr>
              <w:pStyle w:val="179"/>
              <w:jc w:val="both"/>
              <w:rPr>
                <w:highlight w:val="none"/>
              </w:rPr>
            </w:pPr>
            <w:r>
              <w:rPr>
                <w:rFonts w:hint="eastAsia"/>
                <w:highlight w:val="none"/>
              </w:rPr>
              <w:t>3</w:t>
            </w:r>
            <w:r>
              <w:rPr>
                <w:rFonts w:hint="eastAsia"/>
                <w:highlight w:val="none"/>
                <w:lang w:val="en-US" w:eastAsia="zh-CN"/>
              </w:rPr>
              <w:t xml:space="preserve"> </w:t>
            </w:r>
            <w:r>
              <w:rPr>
                <w:rFonts w:hint="eastAsia"/>
                <w:highlight w:val="none"/>
              </w:rPr>
              <w:t>第三方检查咨询服务：（1）质量、安全、进度、资料、合规性检查报告；（2）整改记录；（3）数据分析报告。</w:t>
            </w:r>
          </w:p>
          <w:p w14:paraId="6CCA5AD1">
            <w:pPr>
              <w:pStyle w:val="179"/>
              <w:jc w:val="both"/>
              <w:rPr>
                <w:highlight w:val="none"/>
              </w:rPr>
            </w:pPr>
            <w:r>
              <w:rPr>
                <w:rFonts w:hint="eastAsia"/>
                <w:highlight w:val="none"/>
              </w:rPr>
              <w:t>建筑节能与绿色建筑咨询：（1）前期策划咨询；（2）绿色设计咨询；（3）绿色施工咨询；（4）招标采购咨询；（5）绿色建筑申报咨询。</w:t>
            </w:r>
          </w:p>
        </w:tc>
        <w:tc>
          <w:tcPr>
            <w:tcW w:w="697" w:type="dxa"/>
            <w:shd w:val="clear" w:color="auto" w:fill="auto"/>
            <w:vAlign w:val="center"/>
          </w:tcPr>
          <w:p w14:paraId="45C9E32A">
            <w:pPr>
              <w:pStyle w:val="179"/>
              <w:rPr>
                <w:highlight w:val="none"/>
              </w:rPr>
            </w:pPr>
          </w:p>
        </w:tc>
      </w:tr>
    </w:tbl>
    <w:p w14:paraId="3E598E2D">
      <w:pPr>
        <w:pStyle w:val="57"/>
        <w:ind w:firstLine="420"/>
        <w:rPr>
          <w:highlight w:val="none"/>
        </w:rPr>
      </w:pPr>
    </w:p>
    <w:p w14:paraId="64755A6D">
      <w:pPr>
        <w:pStyle w:val="57"/>
        <w:ind w:firstLine="420"/>
        <w:rPr>
          <w:highlight w:val="none"/>
        </w:rPr>
      </w:pPr>
    </w:p>
    <w:p w14:paraId="343D4203">
      <w:pPr>
        <w:pStyle w:val="57"/>
        <w:ind w:firstLine="420"/>
        <w:rPr>
          <w:highlight w:val="none"/>
        </w:rPr>
      </w:pPr>
    </w:p>
    <w:p w14:paraId="3DFCF880">
      <w:pPr>
        <w:pStyle w:val="57"/>
        <w:ind w:firstLine="420"/>
        <w:rPr>
          <w:highlight w:val="none"/>
        </w:rPr>
      </w:pPr>
    </w:p>
    <w:p w14:paraId="0FE8E6CF">
      <w:pPr>
        <w:pStyle w:val="175"/>
        <w:rPr>
          <w:highlight w:val="none"/>
        </w:rPr>
        <w:sectPr>
          <w:pgSz w:w="11906" w:h="16838"/>
          <w:pgMar w:top="1928" w:right="1134" w:bottom="1134" w:left="1134" w:header="1418" w:footer="1134" w:gutter="284"/>
          <w:cols w:space="425" w:num="1"/>
          <w:formProt w:val="0"/>
          <w:docGrid w:type="lines" w:linePitch="312" w:charSpace="0"/>
        </w:sectPr>
      </w:pPr>
    </w:p>
    <w:bookmarkEnd w:id="186"/>
    <w:p w14:paraId="556B3448">
      <w:pPr>
        <w:pStyle w:val="64"/>
        <w:spacing w:after="156"/>
        <w:rPr>
          <w:highlight w:val="none"/>
        </w:rPr>
      </w:pPr>
      <w:bookmarkStart w:id="189" w:name="_Toc13773"/>
      <w:bookmarkStart w:id="190" w:name="_Toc194135383"/>
      <w:bookmarkStart w:id="191" w:name="BookMark6"/>
      <w:r>
        <w:rPr>
          <w:rFonts w:hint="eastAsia"/>
          <w:spacing w:val="105"/>
          <w:highlight w:val="none"/>
        </w:rPr>
        <w:t>参考文</w:t>
      </w:r>
      <w:r>
        <w:rPr>
          <w:rFonts w:hint="eastAsia"/>
          <w:highlight w:val="none"/>
        </w:rPr>
        <w:t>献</w:t>
      </w:r>
      <w:bookmarkEnd w:id="189"/>
      <w:bookmarkEnd w:id="190"/>
    </w:p>
    <w:p w14:paraId="441A896F">
      <w:pPr>
        <w:pStyle w:val="57"/>
        <w:ind w:firstLine="420"/>
        <w:rPr>
          <w:highlight w:val="none"/>
        </w:rPr>
      </w:pPr>
      <w:r>
        <w:rPr>
          <w:rFonts w:hint="eastAsia"/>
          <w:highlight w:val="none"/>
        </w:rPr>
        <w:t>[1]  《江苏省政府投资工程集中建设管理办法》</w:t>
      </w:r>
    </w:p>
    <w:p w14:paraId="6C410699">
      <w:pPr>
        <w:pStyle w:val="57"/>
        <w:ind w:firstLine="420"/>
        <w:rPr>
          <w:highlight w:val="none"/>
        </w:rPr>
      </w:pPr>
      <w:r>
        <w:rPr>
          <w:rFonts w:hint="eastAsia"/>
          <w:highlight w:val="none"/>
        </w:rPr>
        <w:t>[2]  江苏省全过程工程咨询服务导则（试行）（苏建科</w:t>
      </w:r>
      <w:r>
        <w:rPr>
          <w:rFonts w:hint="eastAsia" w:hAnsi="宋体"/>
          <w:highlight w:val="none"/>
        </w:rPr>
        <w:t>〔</w:t>
      </w:r>
      <w:r>
        <w:rPr>
          <w:rFonts w:hint="eastAsia"/>
          <w:highlight w:val="none"/>
        </w:rPr>
        <w:t>2018</w:t>
      </w:r>
      <w:r>
        <w:rPr>
          <w:rFonts w:hint="eastAsia" w:hAnsi="宋体"/>
          <w:highlight w:val="none"/>
        </w:rPr>
        <w:t>〕</w:t>
      </w:r>
      <w:r>
        <w:rPr>
          <w:rFonts w:hint="eastAsia"/>
          <w:highlight w:val="none"/>
        </w:rPr>
        <w:t>940号）</w:t>
      </w:r>
    </w:p>
    <w:p w14:paraId="056C7AF7">
      <w:pPr>
        <w:pStyle w:val="57"/>
        <w:ind w:firstLine="420"/>
        <w:rPr>
          <w:highlight w:val="none"/>
        </w:rPr>
      </w:pPr>
      <w:r>
        <w:rPr>
          <w:rFonts w:hint="eastAsia"/>
          <w:highlight w:val="none"/>
        </w:rPr>
        <w:t xml:space="preserve">[3]  DB3205/T 1161—2024  </w:t>
      </w:r>
      <w:r>
        <w:rPr>
          <w:rFonts w:hint="eastAsia"/>
          <w:highlight w:val="none"/>
          <w:lang w:val="fr-FR"/>
        </w:rPr>
        <w:t>建筑信息模型应用统一标准</w:t>
      </w:r>
    </w:p>
    <w:p w14:paraId="58ADF056">
      <w:pPr>
        <w:pStyle w:val="57"/>
        <w:ind w:firstLine="420"/>
        <w:rPr>
          <w:highlight w:val="none"/>
        </w:rPr>
      </w:pPr>
      <w:r>
        <w:rPr>
          <w:rFonts w:hint="eastAsia"/>
          <w:highlight w:val="none"/>
        </w:rPr>
        <w:t xml:space="preserve">[4]  T/CNAEC 0602—2024  </w:t>
      </w:r>
      <w:r>
        <w:rPr>
          <w:rFonts w:hint="eastAsia"/>
          <w:highlight w:val="none"/>
          <w:lang w:val="fr-FR"/>
        </w:rPr>
        <w:t>全过程工程咨询服务导则</w:t>
      </w:r>
    </w:p>
    <w:p w14:paraId="23640D18">
      <w:pPr>
        <w:pStyle w:val="57"/>
        <w:ind w:firstLine="420"/>
        <w:rPr>
          <w:highlight w:val="none"/>
        </w:rPr>
      </w:pPr>
      <w:r>
        <w:rPr>
          <w:rFonts w:hint="eastAsia"/>
          <w:highlight w:val="none"/>
        </w:rPr>
        <w:t>[5]  《苏州市市级政府投资项目集中建设管理办法（试行）》（苏建建组</w:t>
      </w:r>
      <w:r>
        <w:rPr>
          <w:rFonts w:hint="eastAsia" w:hAnsi="宋体"/>
          <w:highlight w:val="none"/>
        </w:rPr>
        <w:t>〔</w:t>
      </w:r>
      <w:r>
        <w:rPr>
          <w:rFonts w:hint="eastAsia"/>
          <w:highlight w:val="none"/>
        </w:rPr>
        <w:t>2021</w:t>
      </w:r>
      <w:r>
        <w:rPr>
          <w:rFonts w:hint="eastAsia" w:hAnsi="宋体"/>
          <w:highlight w:val="none"/>
        </w:rPr>
        <w:t>〕</w:t>
      </w:r>
      <w:r>
        <w:rPr>
          <w:rFonts w:hint="eastAsia"/>
          <w:highlight w:val="none"/>
        </w:rPr>
        <w:t>1号）</w:t>
      </w:r>
      <w:bookmarkEnd w:id="191"/>
    </w:p>
    <w:p w14:paraId="2CEB7BA2">
      <w:pPr>
        <w:pStyle w:val="57"/>
        <w:ind w:firstLine="0" w:firstLineChars="0"/>
        <w:jc w:val="center"/>
        <w:rPr>
          <w:highlight w:val="none"/>
        </w:rPr>
      </w:pPr>
      <w:bookmarkStart w:id="192" w:name="BookMark8"/>
      <w:r>
        <w:rPr>
          <w:highlight w:val="none"/>
        </w:rPr>
        <w:drawing>
          <wp:inline distT="0" distB="0" distL="0" distR="0">
            <wp:extent cx="1485900" cy="317500"/>
            <wp:effectExtent l="0" t="0" r="0" b="6350"/>
            <wp:docPr id="1054496354" name="图片 3"/>
            <wp:cNvGraphicFramePr/>
            <a:graphic xmlns:a="http://schemas.openxmlformats.org/drawingml/2006/main">
              <a:graphicData uri="http://schemas.openxmlformats.org/drawingml/2006/picture">
                <pic:pic xmlns:pic="http://schemas.openxmlformats.org/drawingml/2006/picture">
                  <pic:nvPicPr>
                    <pic:cNvPr id="1054496354" name="图片 3"/>
                    <pic:cNvPicPr/>
                  </pic:nvPicPr>
                  <pic:blipFill>
                    <a:blip r:embed="rId16">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92"/>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TSong-Light">
    <w:altName w:val="Times New Roman"/>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A9877">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F4049">
    <w:pPr>
      <w:pStyle w:val="18"/>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FB135">
    <w:pPr>
      <w:pStyle w:val="1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F310C">
    <w:pPr>
      <w:pStyle w:val="53"/>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D71DD">
    <w:pPr>
      <w:pStyle w:val="19"/>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F832B">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CC701">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ACB06">
    <w:pPr>
      <w:pStyle w:val="62"/>
      <w:rPr>
        <w:rFonts w:hint="eastAsia"/>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3205/T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0C553">
    <w:pPr>
      <w:pStyle w:val="19"/>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3205/T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E34059"/>
    <w:multiLevelType w:val="singleLevel"/>
    <w:tmpl w:val="8DE34059"/>
    <w:lvl w:ilvl="0" w:tentative="0">
      <w:start w:val="1"/>
      <w:numFmt w:val="lowerLetter"/>
      <w:lvlText w:val="%1)"/>
      <w:lvlJc w:val="left"/>
      <w:pPr>
        <w:tabs>
          <w:tab w:val="left" w:pos="312"/>
        </w:tabs>
        <w:ind w:left="420" w:leftChars="0" w:firstLine="0" w:firstLineChars="0"/>
      </w:pPr>
    </w:lvl>
  </w:abstractNum>
  <w:abstractNum w:abstractNumId="1">
    <w:nsid w:val="B84D9D8A"/>
    <w:multiLevelType w:val="singleLevel"/>
    <w:tmpl w:val="B84D9D8A"/>
    <w:lvl w:ilvl="0" w:tentative="0">
      <w:start w:val="1"/>
      <w:numFmt w:val="lowerLetter"/>
      <w:lvlText w:val="%1)"/>
      <w:lvlJc w:val="left"/>
      <w:pPr>
        <w:tabs>
          <w:tab w:val="left" w:pos="312"/>
        </w:tabs>
      </w:pPr>
    </w:lvl>
  </w:abstractNum>
  <w:abstractNum w:abstractNumId="2">
    <w:nsid w:val="EEC8AC49"/>
    <w:multiLevelType w:val="singleLevel"/>
    <w:tmpl w:val="EEC8AC49"/>
    <w:lvl w:ilvl="0" w:tentative="0">
      <w:start w:val="1"/>
      <w:numFmt w:val="lowerLetter"/>
      <w:suff w:val="space"/>
      <w:lvlText w:val="%1)"/>
      <w:lvlJc w:val="left"/>
      <w:pPr>
        <w:ind w:left="420" w:leftChars="0" w:firstLine="0" w:firstLineChars="0"/>
      </w:pPr>
    </w:lvl>
  </w:abstractNum>
  <w:abstractNum w:abstractNumId="3">
    <w:nsid w:val="02837933"/>
    <w:multiLevelType w:val="multilevel"/>
    <w:tmpl w:val="02837933"/>
    <w:lvl w:ilvl="0" w:tentative="0">
      <w:start w:val="1"/>
      <w:numFmt w:val="decimal"/>
      <w:pStyle w:val="6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4">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0"/>
      <w:suff w:val="nothing"/>
      <w:lvlText w:val="%1%2.%3　"/>
      <w:lvlJc w:val="left"/>
      <w:pPr>
        <w:ind w:left="0" w:firstLine="0"/>
      </w:pPr>
    </w:lvl>
    <w:lvl w:ilvl="3" w:tentative="0">
      <w:start w:val="1"/>
      <w:numFmt w:val="decimal"/>
      <w:pStyle w:val="119"/>
      <w:suff w:val="nothing"/>
      <w:lvlText w:val="%1%2.%3.%4　"/>
      <w:lvlJc w:val="left"/>
      <w:pPr>
        <w:ind w:left="0" w:firstLine="0"/>
      </w:pPr>
    </w:lvl>
    <w:lvl w:ilvl="4" w:tentative="0">
      <w:start w:val="1"/>
      <w:numFmt w:val="decimal"/>
      <w:pStyle w:val="154"/>
      <w:suff w:val="nothing"/>
      <w:lvlText w:val="%1%2.%3.%4.%5　"/>
      <w:lvlJc w:val="left"/>
      <w:pPr>
        <w:ind w:left="0" w:firstLine="0"/>
      </w:pPr>
    </w:lvl>
    <w:lvl w:ilvl="5" w:tentative="0">
      <w:start w:val="1"/>
      <w:numFmt w:val="decimal"/>
      <w:pStyle w:val="156"/>
      <w:suff w:val="nothing"/>
      <w:lvlText w:val="%1%2.%3.%4.%5.%6　"/>
      <w:lvlJc w:val="left"/>
      <w:pPr>
        <w:ind w:left="0" w:firstLine="0"/>
      </w:pPr>
    </w:lvl>
    <w:lvl w:ilvl="6" w:tentative="0">
      <w:start w:val="1"/>
      <w:numFmt w:val="decimal"/>
      <w:pStyle w:val="159"/>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5">
    <w:nsid w:val="079102AD"/>
    <w:multiLevelType w:val="multilevel"/>
    <w:tmpl w:val="079102AD"/>
    <w:lvl w:ilvl="0" w:tentative="0">
      <w:start w:val="1"/>
      <w:numFmt w:val="decimal"/>
      <w:pStyle w:val="181"/>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6">
    <w:nsid w:val="07ED3FEA"/>
    <w:multiLevelType w:val="multilevel"/>
    <w:tmpl w:val="07ED3FEA"/>
    <w:lvl w:ilvl="0" w:tentative="0">
      <w:start w:val="1"/>
      <w:numFmt w:val="none"/>
      <w:pStyle w:val="90"/>
      <w:lvlText w:val="%1"/>
      <w:lvlJc w:val="left"/>
      <w:pPr>
        <w:ind w:left="425" w:hanging="425"/>
      </w:pPr>
      <w:rPr>
        <w:rFonts w:hint="eastAsia"/>
      </w:rPr>
    </w:lvl>
    <w:lvl w:ilvl="1" w:tentative="0">
      <w:start w:val="1"/>
      <w:numFmt w:val="decimal"/>
      <w:pStyle w:val="201"/>
      <w:suff w:val="nothing"/>
      <w:lvlText w:val="%10.%2 "/>
      <w:lvlJc w:val="left"/>
      <w:pPr>
        <w:ind w:left="0" w:firstLine="0"/>
      </w:pPr>
      <w:rPr>
        <w:rFonts w:hint="eastAsia" w:ascii="黑体" w:eastAsia="黑体" w:hAnsiTheme="minorHAnsi"/>
        <w:b w:val="0"/>
        <w:i w:val="0"/>
        <w:sz w:val="21"/>
      </w:rPr>
    </w:lvl>
    <w:lvl w:ilvl="2" w:tentative="0">
      <w:start w:val="1"/>
      <w:numFmt w:val="decimal"/>
      <w:pStyle w:val="202"/>
      <w:suff w:val="nothing"/>
      <w:lvlText w:val="%10.%2.%3 "/>
      <w:lvlJc w:val="left"/>
      <w:pPr>
        <w:ind w:left="0" w:firstLine="0"/>
      </w:pPr>
      <w:rPr>
        <w:rFonts w:hint="eastAsia" w:ascii="黑体" w:eastAsia="黑体" w:hAnsiTheme="minorHAnsi"/>
        <w:b w:val="0"/>
        <w:i w:val="0"/>
        <w:sz w:val="21"/>
      </w:rPr>
    </w:lvl>
    <w:lvl w:ilvl="3" w:tentative="0">
      <w:start w:val="1"/>
      <w:numFmt w:val="decimal"/>
      <w:pStyle w:val="203"/>
      <w:suff w:val="nothing"/>
      <w:lvlText w:val="%10.%2.%3.%4 "/>
      <w:lvlJc w:val="left"/>
      <w:pPr>
        <w:ind w:left="0" w:firstLine="0"/>
      </w:pPr>
      <w:rPr>
        <w:rFonts w:hint="eastAsia" w:ascii="黑体" w:eastAsia="黑体" w:hAnsiTheme="minorHAnsi"/>
        <w:b w:val="0"/>
        <w:i w:val="0"/>
        <w:sz w:val="21"/>
      </w:rPr>
    </w:lvl>
    <w:lvl w:ilvl="4" w:tentative="0">
      <w:start w:val="1"/>
      <w:numFmt w:val="decimal"/>
      <w:pStyle w:val="204"/>
      <w:suff w:val="nothing"/>
      <w:lvlText w:val="%10.%2.%3.%4.%5 "/>
      <w:lvlJc w:val="left"/>
      <w:pPr>
        <w:ind w:left="0" w:firstLine="0"/>
      </w:pPr>
      <w:rPr>
        <w:rFonts w:hint="eastAsia" w:ascii="黑体" w:eastAsia="黑体" w:hAnsiTheme="minorHAnsi"/>
        <w:b w:val="0"/>
        <w:i w:val="0"/>
        <w:sz w:val="21"/>
      </w:rPr>
    </w:lvl>
    <w:lvl w:ilvl="5" w:tentative="0">
      <w:start w:val="1"/>
      <w:numFmt w:val="decimal"/>
      <w:pStyle w:val="205"/>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085F876C"/>
    <w:multiLevelType w:val="singleLevel"/>
    <w:tmpl w:val="085F876C"/>
    <w:lvl w:ilvl="0" w:tentative="0">
      <w:start w:val="1"/>
      <w:numFmt w:val="lowerLetter"/>
      <w:suff w:val="space"/>
      <w:lvlText w:val="%1)"/>
      <w:lvlJc w:val="left"/>
    </w:lvl>
  </w:abstractNum>
  <w:abstractNum w:abstractNumId="8">
    <w:nsid w:val="0AE367E9"/>
    <w:multiLevelType w:val="multilevel"/>
    <w:tmpl w:val="0AE367E9"/>
    <w:lvl w:ilvl="0" w:tentative="0">
      <w:start w:val="1"/>
      <w:numFmt w:val="none"/>
      <w:pStyle w:val="182"/>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9">
    <w:nsid w:val="0BDC1670"/>
    <w:multiLevelType w:val="multilevel"/>
    <w:tmpl w:val="0BDC1670"/>
    <w:lvl w:ilvl="0" w:tentative="0">
      <w:start w:val="1"/>
      <w:numFmt w:val="decimal"/>
      <w:pStyle w:val="68"/>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D051F45"/>
    <w:multiLevelType w:val="multilevel"/>
    <w:tmpl w:val="0D051F45"/>
    <w:lvl w:ilvl="0" w:tentative="0">
      <w:start w:val="1"/>
      <w:numFmt w:val="low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1">
    <w:nsid w:val="153B7088"/>
    <w:multiLevelType w:val="singleLevel"/>
    <w:tmpl w:val="153B7088"/>
    <w:lvl w:ilvl="0" w:tentative="0">
      <w:start w:val="1"/>
      <w:numFmt w:val="lowerLetter"/>
      <w:suff w:val="space"/>
      <w:lvlText w:val="%1)"/>
      <w:lvlJc w:val="left"/>
    </w:lvl>
  </w:abstractNum>
  <w:abstractNum w:abstractNumId="12">
    <w:nsid w:val="1AD20F90"/>
    <w:multiLevelType w:val="multilevel"/>
    <w:tmpl w:val="1AD20F90"/>
    <w:lvl w:ilvl="0" w:tentative="0">
      <w:start w:val="1"/>
      <w:numFmt w:val="none"/>
      <w:pStyle w:val="11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AF15012"/>
    <w:multiLevelType w:val="multilevel"/>
    <w:tmpl w:val="1AF15012"/>
    <w:lvl w:ilvl="0" w:tentative="0">
      <w:start w:val="1"/>
      <w:numFmt w:val="upperLetter"/>
      <w:pStyle w:val="86"/>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4">
    <w:nsid w:val="1CD27527"/>
    <w:multiLevelType w:val="singleLevel"/>
    <w:tmpl w:val="1CD27527"/>
    <w:lvl w:ilvl="0" w:tentative="0">
      <w:start w:val="1"/>
      <w:numFmt w:val="lowerLetter"/>
      <w:suff w:val="nothing"/>
      <w:lvlText w:val="%1）"/>
      <w:lvlJc w:val="left"/>
    </w:lvl>
  </w:abstractNum>
  <w:abstractNum w:abstractNumId="15">
    <w:nsid w:val="1EAA1992"/>
    <w:multiLevelType w:val="multilevel"/>
    <w:tmpl w:val="1EAA1992"/>
    <w:lvl w:ilvl="0" w:tentative="0">
      <w:start w:val="1"/>
      <w:numFmt w:val="none"/>
      <w:pStyle w:val="93"/>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6">
    <w:nsid w:val="2C5917C3"/>
    <w:multiLevelType w:val="multilevel"/>
    <w:tmpl w:val="2C5917C3"/>
    <w:lvl w:ilvl="0" w:tentative="0">
      <w:start w:val="1"/>
      <w:numFmt w:val="none"/>
      <w:pStyle w:val="133"/>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8"/>
      <w:lvlText w:val=""/>
      <w:lvlJc w:val="left"/>
      <w:pPr>
        <w:ind w:left="851" w:hanging="431"/>
      </w:pPr>
      <w:rPr>
        <w:rFonts w:hint="default" w:ascii="Symbol" w:hAnsi="Symbol"/>
        <w:sz w:val="21"/>
      </w:rPr>
    </w:lvl>
    <w:lvl w:ilvl="2" w:tentative="0">
      <w:start w:val="1"/>
      <w:numFmt w:val="bullet"/>
      <w:pStyle w:val="173"/>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7">
    <w:nsid w:val="32F04FB2"/>
    <w:multiLevelType w:val="multilevel"/>
    <w:tmpl w:val="32F04FB2"/>
    <w:lvl w:ilvl="0" w:tentative="0">
      <w:start w:val="1"/>
      <w:numFmt w:val="lowerLetter"/>
      <w:pStyle w:val="102"/>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8">
    <w:nsid w:val="3CA83498"/>
    <w:multiLevelType w:val="singleLevel"/>
    <w:tmpl w:val="3CA83498"/>
    <w:lvl w:ilvl="0" w:tentative="0">
      <w:start w:val="1"/>
      <w:numFmt w:val="lowerLetter"/>
      <w:suff w:val="space"/>
      <w:lvlText w:val="%1)"/>
      <w:lvlJc w:val="left"/>
    </w:lvl>
  </w:abstractNum>
  <w:abstractNum w:abstractNumId="19">
    <w:nsid w:val="44C50F90"/>
    <w:multiLevelType w:val="multilevel"/>
    <w:tmpl w:val="44C50F90"/>
    <w:lvl w:ilvl="0" w:tentative="0">
      <w:start w:val="1"/>
      <w:numFmt w:val="lowerLetter"/>
      <w:pStyle w:val="175"/>
      <w:lvlText w:val="%1)"/>
      <w:lvlJc w:val="left"/>
      <w:pPr>
        <w:tabs>
          <w:tab w:val="left" w:pos="851"/>
        </w:tabs>
        <w:ind w:left="851" w:hanging="426"/>
      </w:pPr>
      <w:rPr>
        <w:rFonts w:hint="eastAsia" w:ascii="宋体" w:hAnsi="Times New Roman" w:eastAsia="宋体"/>
        <w:sz w:val="21"/>
      </w:rPr>
    </w:lvl>
    <w:lvl w:ilvl="1" w:tentative="0">
      <w:start w:val="1"/>
      <w:numFmt w:val="decimal"/>
      <w:pStyle w:val="110"/>
      <w:lvlText w:val="%2)"/>
      <w:lvlJc w:val="left"/>
      <w:pPr>
        <w:tabs>
          <w:tab w:val="left" w:pos="1276"/>
        </w:tabs>
        <w:ind w:left="1276" w:hanging="425"/>
      </w:pPr>
      <w:rPr>
        <w:rFonts w:hint="eastAsia" w:ascii="宋体" w:hAnsi="Times New Roman" w:eastAsia="宋体"/>
        <w:sz w:val="21"/>
      </w:rPr>
    </w:lvl>
    <w:lvl w:ilvl="2" w:tentative="0">
      <w:start w:val="1"/>
      <w:numFmt w:val="decimal"/>
      <w:pStyle w:val="11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0">
    <w:nsid w:val="48802D1C"/>
    <w:multiLevelType w:val="multilevel"/>
    <w:tmpl w:val="48802D1C"/>
    <w:lvl w:ilvl="0" w:tentative="0">
      <w:start w:val="1"/>
      <w:numFmt w:val="upperLetter"/>
      <w:pStyle w:val="199"/>
      <w:lvlText w:val="%1"/>
      <w:lvlJc w:val="left"/>
      <w:pPr>
        <w:ind w:left="420" w:hanging="420"/>
      </w:pPr>
      <w:rPr>
        <w:rFonts w:hint="eastAsia"/>
      </w:rPr>
    </w:lvl>
    <w:lvl w:ilvl="1" w:tentative="0">
      <w:start w:val="1"/>
      <w:numFmt w:val="decimal"/>
      <w:pStyle w:val="8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1">
    <w:nsid w:val="4B733A5F"/>
    <w:multiLevelType w:val="multilevel"/>
    <w:tmpl w:val="4B733A5F"/>
    <w:lvl w:ilvl="0" w:tentative="0">
      <w:start w:val="1"/>
      <w:numFmt w:val="decimal"/>
      <w:pStyle w:val="18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2">
    <w:nsid w:val="4E52B146"/>
    <w:multiLevelType w:val="singleLevel"/>
    <w:tmpl w:val="4E52B146"/>
    <w:lvl w:ilvl="0" w:tentative="0">
      <w:start w:val="1"/>
      <w:numFmt w:val="lowerLetter"/>
      <w:lvlText w:val="%1)"/>
      <w:lvlJc w:val="left"/>
      <w:pPr>
        <w:tabs>
          <w:tab w:val="left" w:pos="312"/>
        </w:tabs>
      </w:pPr>
    </w:lvl>
  </w:abstractNum>
  <w:abstractNum w:abstractNumId="23">
    <w:nsid w:val="4E5D0534"/>
    <w:multiLevelType w:val="multilevel"/>
    <w:tmpl w:val="4E5D0534"/>
    <w:lvl w:ilvl="0" w:tentative="0">
      <w:start w:val="1"/>
      <w:numFmt w:val="decimal"/>
      <w:pStyle w:val="117"/>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4">
    <w:nsid w:val="54632751"/>
    <w:multiLevelType w:val="multilevel"/>
    <w:tmpl w:val="54632751"/>
    <w:lvl w:ilvl="0" w:tentative="0">
      <w:start w:val="1"/>
      <w:numFmt w:val="none"/>
      <w:pStyle w:val="94"/>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5">
    <w:nsid w:val="557C2AF5"/>
    <w:multiLevelType w:val="multilevel"/>
    <w:tmpl w:val="557C2AF5"/>
    <w:lvl w:ilvl="0" w:tentative="0">
      <w:start w:val="1"/>
      <w:numFmt w:val="decimal"/>
      <w:pStyle w:val="11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6">
    <w:nsid w:val="5603797C"/>
    <w:multiLevelType w:val="multilevel"/>
    <w:tmpl w:val="5603797C"/>
    <w:lvl w:ilvl="0" w:tentative="0">
      <w:start w:val="1"/>
      <w:numFmt w:val="upperLetter"/>
      <w:pStyle w:val="200"/>
      <w:suff w:val="space"/>
      <w:lvlText w:val="%1"/>
      <w:lvlJc w:val="left"/>
      <w:pPr>
        <w:ind w:left="425" w:hanging="425"/>
      </w:pPr>
      <w:rPr>
        <w:rFonts w:hint="eastAsia"/>
      </w:rPr>
    </w:lvl>
    <w:lvl w:ilvl="1" w:tentative="0">
      <w:start w:val="1"/>
      <w:numFmt w:val="decimal"/>
      <w:pStyle w:val="78"/>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7">
    <w:nsid w:val="564D2089"/>
    <w:multiLevelType w:val="multilevel"/>
    <w:tmpl w:val="564D2089"/>
    <w:lvl w:ilvl="0" w:tentative="0">
      <w:start w:val="1"/>
      <w:numFmt w:val="none"/>
      <w:pStyle w:val="112"/>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644622F9"/>
    <w:multiLevelType w:val="multilevel"/>
    <w:tmpl w:val="644622F9"/>
    <w:lvl w:ilvl="0" w:tentative="0">
      <w:start w:val="1"/>
      <w:numFmt w:val="upp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9">
    <w:nsid w:val="646260FA"/>
    <w:multiLevelType w:val="multilevel"/>
    <w:tmpl w:val="646260FA"/>
    <w:lvl w:ilvl="0" w:tentative="0">
      <w:start w:val="1"/>
      <w:numFmt w:val="decimal"/>
      <w:pStyle w:val="113"/>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0">
    <w:nsid w:val="654A26C9"/>
    <w:multiLevelType w:val="multilevel"/>
    <w:tmpl w:val="654A26C9"/>
    <w:lvl w:ilvl="0" w:tentative="0">
      <w:start w:val="1"/>
      <w:numFmt w:val="none"/>
      <w:pStyle w:val="190"/>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1">
    <w:nsid w:val="657D3FBC"/>
    <w:multiLevelType w:val="multilevel"/>
    <w:tmpl w:val="657D3FBC"/>
    <w:lvl w:ilvl="0" w:tentative="0">
      <w:start w:val="1"/>
      <w:numFmt w:val="upperLetter"/>
      <w:pStyle w:val="77"/>
      <w:suff w:val="nothing"/>
      <w:lvlText w:val="附录%1"/>
      <w:lvlJc w:val="left"/>
      <w:pPr>
        <w:ind w:left="0" w:firstLine="0"/>
      </w:pPr>
      <w:rPr>
        <w:rFonts w:hint="eastAsia"/>
        <w:spacing w:val="100"/>
      </w:rPr>
    </w:lvl>
    <w:lvl w:ilvl="1" w:tentative="0">
      <w:start w:val="1"/>
      <w:numFmt w:val="decimal"/>
      <w:pStyle w:val="79"/>
      <w:suff w:val="nothing"/>
      <w:lvlText w:val="%1.%2　"/>
      <w:lvlJc w:val="left"/>
      <w:pPr>
        <w:ind w:left="0" w:firstLine="0"/>
      </w:pPr>
      <w:rPr>
        <w:rFonts w:hint="eastAsia" w:ascii="黑体" w:eastAsia="黑体"/>
        <w:b w:val="0"/>
        <w:i w:val="0"/>
        <w:sz w:val="21"/>
      </w:rPr>
    </w:lvl>
    <w:lvl w:ilvl="2" w:tentative="0">
      <w:start w:val="1"/>
      <w:numFmt w:val="decimal"/>
      <w:pStyle w:val="80"/>
      <w:suff w:val="nothing"/>
      <w:lvlText w:val="%1.%2.%3　"/>
      <w:lvlJc w:val="left"/>
      <w:pPr>
        <w:ind w:left="0" w:firstLine="0"/>
      </w:pPr>
      <w:rPr>
        <w:rFonts w:hint="eastAsia" w:ascii="黑体" w:eastAsia="黑体"/>
        <w:b w:val="0"/>
        <w:i w:val="0"/>
        <w:sz w:val="21"/>
      </w:rPr>
    </w:lvl>
    <w:lvl w:ilvl="3" w:tentative="0">
      <w:start w:val="1"/>
      <w:numFmt w:val="decimal"/>
      <w:pStyle w:val="82"/>
      <w:suff w:val="nothing"/>
      <w:lvlText w:val="%1.%2.%3.%4　"/>
      <w:lvlJc w:val="left"/>
      <w:pPr>
        <w:ind w:left="0" w:firstLine="0"/>
      </w:pPr>
      <w:rPr>
        <w:rFonts w:hint="eastAsia" w:ascii="黑体" w:eastAsia="黑体"/>
        <w:b w:val="0"/>
        <w:i w:val="0"/>
        <w:sz w:val="21"/>
      </w:rPr>
    </w:lvl>
    <w:lvl w:ilvl="4" w:tentative="0">
      <w:start w:val="1"/>
      <w:numFmt w:val="decimal"/>
      <w:pStyle w:val="83"/>
      <w:suff w:val="nothing"/>
      <w:lvlText w:val="%1.%2.%3.%4.%5　"/>
      <w:lvlJc w:val="left"/>
      <w:pPr>
        <w:ind w:left="0" w:firstLine="0"/>
      </w:pPr>
      <w:rPr>
        <w:rFonts w:hint="eastAsia" w:ascii="黑体" w:eastAsia="黑体"/>
        <w:b w:val="0"/>
        <w:i w:val="0"/>
        <w:sz w:val="21"/>
      </w:rPr>
    </w:lvl>
    <w:lvl w:ilvl="5" w:tentative="0">
      <w:start w:val="1"/>
      <w:numFmt w:val="decimal"/>
      <w:pStyle w:val="85"/>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2">
    <w:nsid w:val="69506ABF"/>
    <w:multiLevelType w:val="multilevel"/>
    <w:tmpl w:val="69506ABF"/>
    <w:lvl w:ilvl="0" w:tentative="0">
      <w:start w:val="1"/>
      <w:numFmt w:val="bullet"/>
      <w:pStyle w:val="189"/>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3">
    <w:nsid w:val="6CA41985"/>
    <w:multiLevelType w:val="multilevel"/>
    <w:tmpl w:val="6CA41985"/>
    <w:lvl w:ilvl="0" w:tentative="0">
      <w:start w:val="1"/>
      <w:numFmt w:val="decimal"/>
      <w:pStyle w:val="98"/>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6CE42AC1"/>
    <w:multiLevelType w:val="multilevel"/>
    <w:tmpl w:val="6CE42AC1"/>
    <w:lvl w:ilvl="0" w:tentative="0">
      <w:start w:val="1"/>
      <w:numFmt w:val="lowerLetter"/>
      <w:pStyle w:val="17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6CEA2025"/>
    <w:multiLevelType w:val="multilevel"/>
    <w:tmpl w:val="6CEA2025"/>
    <w:lvl w:ilvl="0" w:tentative="0">
      <w:start w:val="1"/>
      <w:numFmt w:val="none"/>
      <w:pStyle w:val="153"/>
      <w:suff w:val="nothing"/>
      <w:lvlText w:val="%1"/>
      <w:lvlJc w:val="left"/>
      <w:pPr>
        <w:ind w:left="0" w:firstLine="0"/>
      </w:pPr>
      <w:rPr>
        <w:rFonts w:hint="eastAsia"/>
      </w:rPr>
    </w:lvl>
    <w:lvl w:ilvl="1" w:tentative="0">
      <w:start w:val="1"/>
      <w:numFmt w:val="decimal"/>
      <w:pStyle w:val="105"/>
      <w:suff w:val="nothing"/>
      <w:lvlText w:val="%1%2　"/>
      <w:lvlJc w:val="left"/>
      <w:pPr>
        <w:ind w:left="0" w:firstLine="0"/>
      </w:pPr>
      <w:rPr>
        <w:rFonts w:hint="eastAsia" w:ascii="黑体" w:eastAsia="黑体"/>
        <w:b w:val="0"/>
        <w:i w:val="0"/>
        <w:sz w:val="21"/>
      </w:rPr>
    </w:lvl>
    <w:lvl w:ilvl="2" w:tentative="0">
      <w:start w:val="1"/>
      <w:numFmt w:val="decimal"/>
      <w:pStyle w:val="10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6"/>
      <w:suff w:val="nothing"/>
      <w:lvlText w:val="%1%2.%3.%4　"/>
      <w:lvlJc w:val="left"/>
      <w:pPr>
        <w:ind w:left="0" w:firstLine="0"/>
      </w:pPr>
      <w:rPr>
        <w:rFonts w:hint="eastAsia" w:ascii="黑体" w:eastAsia="黑体"/>
        <w:b w:val="0"/>
        <w:i w:val="0"/>
        <w:sz w:val="21"/>
      </w:rPr>
    </w:lvl>
    <w:lvl w:ilvl="4" w:tentative="0">
      <w:start w:val="1"/>
      <w:numFmt w:val="decimal"/>
      <w:pStyle w:val="95"/>
      <w:suff w:val="nothing"/>
      <w:lvlText w:val="%1%2.%3.%4.%5　"/>
      <w:lvlJc w:val="left"/>
      <w:pPr>
        <w:ind w:left="0" w:firstLine="0"/>
      </w:pPr>
      <w:rPr>
        <w:rFonts w:hint="eastAsia" w:ascii="黑体" w:eastAsia="黑体"/>
        <w:b w:val="0"/>
        <w:i w:val="0"/>
        <w:sz w:val="21"/>
      </w:rPr>
    </w:lvl>
    <w:lvl w:ilvl="5" w:tentative="0">
      <w:start w:val="1"/>
      <w:numFmt w:val="decimal"/>
      <w:pStyle w:val="99"/>
      <w:suff w:val="nothing"/>
      <w:lvlText w:val="%1%2.%3.%4.%5.%6　"/>
      <w:lvlJc w:val="left"/>
      <w:pPr>
        <w:ind w:left="0" w:firstLine="0"/>
      </w:pPr>
      <w:rPr>
        <w:rFonts w:hint="eastAsia" w:ascii="黑体" w:eastAsia="黑体"/>
        <w:b w:val="0"/>
        <w:i w:val="0"/>
        <w:sz w:val="21"/>
      </w:rPr>
    </w:lvl>
    <w:lvl w:ilvl="6" w:tentative="0">
      <w:start w:val="1"/>
      <w:numFmt w:val="decimal"/>
      <w:pStyle w:val="104"/>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6">
    <w:nsid w:val="6DBF04F4"/>
    <w:multiLevelType w:val="multilevel"/>
    <w:tmpl w:val="6DBF04F4"/>
    <w:lvl w:ilvl="0" w:tentative="0">
      <w:start w:val="1"/>
      <w:numFmt w:val="none"/>
      <w:pStyle w:val="180"/>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7">
    <w:nsid w:val="6DF35F19"/>
    <w:multiLevelType w:val="multilevel"/>
    <w:tmpl w:val="6DF35F19"/>
    <w:lvl w:ilvl="0" w:tentative="0">
      <w:start w:val="1"/>
      <w:numFmt w:val="decimal"/>
      <w:pStyle w:val="11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8">
    <w:nsid w:val="76933334"/>
    <w:multiLevelType w:val="multilevel"/>
    <w:tmpl w:val="76933334"/>
    <w:lvl w:ilvl="0" w:tentative="0">
      <w:start w:val="1"/>
      <w:numFmt w:val="none"/>
      <w:pStyle w:val="140"/>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35"/>
  </w:num>
  <w:num w:numId="3">
    <w:abstractNumId w:val="9"/>
  </w:num>
  <w:num w:numId="4">
    <w:abstractNumId w:val="31"/>
  </w:num>
  <w:num w:numId="5">
    <w:abstractNumId w:val="26"/>
  </w:num>
  <w:num w:numId="6">
    <w:abstractNumId w:val="20"/>
  </w:num>
  <w:num w:numId="7">
    <w:abstractNumId w:val="13"/>
  </w:num>
  <w:num w:numId="8">
    <w:abstractNumId w:val="6"/>
  </w:num>
  <w:num w:numId="9">
    <w:abstractNumId w:val="15"/>
  </w:num>
  <w:num w:numId="10">
    <w:abstractNumId w:val="24"/>
  </w:num>
  <w:num w:numId="11">
    <w:abstractNumId w:val="33"/>
  </w:num>
  <w:num w:numId="12">
    <w:abstractNumId w:val="17"/>
  </w:num>
  <w:num w:numId="13">
    <w:abstractNumId w:val="19"/>
  </w:num>
  <w:num w:numId="14">
    <w:abstractNumId w:val="12"/>
  </w:num>
  <w:num w:numId="15">
    <w:abstractNumId w:val="27"/>
  </w:num>
  <w:num w:numId="16">
    <w:abstractNumId w:val="29"/>
  </w:num>
  <w:num w:numId="17">
    <w:abstractNumId w:val="25"/>
  </w:num>
  <w:num w:numId="18">
    <w:abstractNumId w:val="37"/>
  </w:num>
  <w:num w:numId="19">
    <w:abstractNumId w:val="23"/>
  </w:num>
  <w:num w:numId="20">
    <w:abstractNumId w:val="4"/>
  </w:num>
  <w:num w:numId="21">
    <w:abstractNumId w:val="16"/>
  </w:num>
  <w:num w:numId="22">
    <w:abstractNumId w:val="38"/>
  </w:num>
  <w:num w:numId="23">
    <w:abstractNumId w:val="28"/>
  </w:num>
  <w:num w:numId="24">
    <w:abstractNumId w:val="10"/>
  </w:num>
  <w:num w:numId="25">
    <w:abstractNumId w:val="34"/>
  </w:num>
  <w:num w:numId="26">
    <w:abstractNumId w:val="36"/>
  </w:num>
  <w:num w:numId="27">
    <w:abstractNumId w:val="5"/>
  </w:num>
  <w:num w:numId="28">
    <w:abstractNumId w:val="8"/>
  </w:num>
  <w:num w:numId="29">
    <w:abstractNumId w:val="21"/>
  </w:num>
  <w:num w:numId="30">
    <w:abstractNumId w:val="32"/>
  </w:num>
  <w:num w:numId="31">
    <w:abstractNumId w:val="30"/>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8"/>
  </w:num>
  <w:num w:numId="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2"/>
  </w:num>
  <w:num w:numId="93">
    <w:abstractNumId w:val="2"/>
  </w:num>
  <w:num w:numId="94">
    <w:abstractNumId w:val="7"/>
  </w:num>
  <w:num w:numId="95">
    <w:abstractNumId w:val="11"/>
  </w:num>
  <w:num w:numId="96">
    <w:abstractNumId w:val="0"/>
  </w:num>
  <w:num w:numId="97">
    <w:abstractNumId w:val="14"/>
  </w:num>
  <w:num w:numId="98">
    <w:abstractNumId w:val="1"/>
  </w:num>
  <w:num w:numId="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attachedTemplate r:id="rId1"/>
  <w:revisionView w:markup="0"/>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D8C"/>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6EFC"/>
    <w:rsid w:val="00047F28"/>
    <w:rsid w:val="000503AA"/>
    <w:rsid w:val="000506A1"/>
    <w:rsid w:val="000515DD"/>
    <w:rsid w:val="0005265A"/>
    <w:rsid w:val="00053750"/>
    <w:rsid w:val="000539DD"/>
    <w:rsid w:val="00053BD3"/>
    <w:rsid w:val="000556ED"/>
    <w:rsid w:val="00055FE2"/>
    <w:rsid w:val="0005616F"/>
    <w:rsid w:val="000607A3"/>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07C"/>
    <w:rsid w:val="000A0B60"/>
    <w:rsid w:val="000A0EB8"/>
    <w:rsid w:val="000A19FC"/>
    <w:rsid w:val="000A1A82"/>
    <w:rsid w:val="000A296B"/>
    <w:rsid w:val="000A7311"/>
    <w:rsid w:val="000B060F"/>
    <w:rsid w:val="000B1592"/>
    <w:rsid w:val="000B1FF2"/>
    <w:rsid w:val="000B3CDA"/>
    <w:rsid w:val="000B6163"/>
    <w:rsid w:val="000B6A0B"/>
    <w:rsid w:val="000C0F6C"/>
    <w:rsid w:val="000C11DB"/>
    <w:rsid w:val="000C1492"/>
    <w:rsid w:val="000C2FBD"/>
    <w:rsid w:val="000C4B41"/>
    <w:rsid w:val="000C57D6"/>
    <w:rsid w:val="000C6362"/>
    <w:rsid w:val="000C7666"/>
    <w:rsid w:val="000D01A2"/>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661"/>
    <w:rsid w:val="00156B25"/>
    <w:rsid w:val="00156E1A"/>
    <w:rsid w:val="00157894"/>
    <w:rsid w:val="00157B55"/>
    <w:rsid w:val="001642FA"/>
    <w:rsid w:val="001649EB"/>
    <w:rsid w:val="00164BAF"/>
    <w:rsid w:val="00164FA8"/>
    <w:rsid w:val="00165065"/>
    <w:rsid w:val="00165434"/>
    <w:rsid w:val="0016580B"/>
    <w:rsid w:val="00165F49"/>
    <w:rsid w:val="001667E6"/>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6D50"/>
    <w:rsid w:val="001E73AB"/>
    <w:rsid w:val="001F092D"/>
    <w:rsid w:val="001F143A"/>
    <w:rsid w:val="001F1605"/>
    <w:rsid w:val="001F2508"/>
    <w:rsid w:val="001F4816"/>
    <w:rsid w:val="001F4EE9"/>
    <w:rsid w:val="001F5A3B"/>
    <w:rsid w:val="001F69B4"/>
    <w:rsid w:val="001F77C7"/>
    <w:rsid w:val="00200183"/>
    <w:rsid w:val="00200333"/>
    <w:rsid w:val="0020107D"/>
    <w:rsid w:val="00202AA4"/>
    <w:rsid w:val="002031F7"/>
    <w:rsid w:val="002040E6"/>
    <w:rsid w:val="0020527B"/>
    <w:rsid w:val="00205F2C"/>
    <w:rsid w:val="00210B15"/>
    <w:rsid w:val="002121FB"/>
    <w:rsid w:val="002142EA"/>
    <w:rsid w:val="002204BB"/>
    <w:rsid w:val="00221B79"/>
    <w:rsid w:val="00221C6B"/>
    <w:rsid w:val="002253A1"/>
    <w:rsid w:val="00225CF8"/>
    <w:rsid w:val="0022794E"/>
    <w:rsid w:val="00233D64"/>
    <w:rsid w:val="0023482A"/>
    <w:rsid w:val="002359CB"/>
    <w:rsid w:val="00237ACD"/>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778"/>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2E36"/>
    <w:rsid w:val="002D42B5"/>
    <w:rsid w:val="002D4F1A"/>
    <w:rsid w:val="002D6EC6"/>
    <w:rsid w:val="002D79AC"/>
    <w:rsid w:val="002E039D"/>
    <w:rsid w:val="002E4D5A"/>
    <w:rsid w:val="002E6326"/>
    <w:rsid w:val="002F28B2"/>
    <w:rsid w:val="002F30E0"/>
    <w:rsid w:val="002F35E4"/>
    <w:rsid w:val="002F3730"/>
    <w:rsid w:val="002F38E1"/>
    <w:rsid w:val="002F7AF6"/>
    <w:rsid w:val="00300E63"/>
    <w:rsid w:val="003025B8"/>
    <w:rsid w:val="00302F5F"/>
    <w:rsid w:val="0030441D"/>
    <w:rsid w:val="00306063"/>
    <w:rsid w:val="00313B85"/>
    <w:rsid w:val="00317988"/>
    <w:rsid w:val="003221B4"/>
    <w:rsid w:val="0032258D"/>
    <w:rsid w:val="00322E62"/>
    <w:rsid w:val="00324D13"/>
    <w:rsid w:val="00324D2A"/>
    <w:rsid w:val="00324EDD"/>
    <w:rsid w:val="00331971"/>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266F"/>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C77F1"/>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4FAC"/>
    <w:rsid w:val="00435DF7"/>
    <w:rsid w:val="0044083F"/>
    <w:rsid w:val="00441AE7"/>
    <w:rsid w:val="00445574"/>
    <w:rsid w:val="004467FB"/>
    <w:rsid w:val="00452D6B"/>
    <w:rsid w:val="00454484"/>
    <w:rsid w:val="0045517B"/>
    <w:rsid w:val="00463B77"/>
    <w:rsid w:val="00463C7B"/>
    <w:rsid w:val="004644A6"/>
    <w:rsid w:val="004659BD"/>
    <w:rsid w:val="00470775"/>
    <w:rsid w:val="0047366E"/>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29B7"/>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628"/>
    <w:rsid w:val="004E2B06"/>
    <w:rsid w:val="004E30C5"/>
    <w:rsid w:val="004E4AA5"/>
    <w:rsid w:val="004E4AEE"/>
    <w:rsid w:val="004E59E3"/>
    <w:rsid w:val="004E67C0"/>
    <w:rsid w:val="004F0B4F"/>
    <w:rsid w:val="004F391A"/>
    <w:rsid w:val="004F3CFB"/>
    <w:rsid w:val="004F6456"/>
    <w:rsid w:val="004F696E"/>
    <w:rsid w:val="004F6C71"/>
    <w:rsid w:val="00500802"/>
    <w:rsid w:val="00501139"/>
    <w:rsid w:val="0050363E"/>
    <w:rsid w:val="005039BC"/>
    <w:rsid w:val="005043BB"/>
    <w:rsid w:val="00504A3D"/>
    <w:rsid w:val="00505767"/>
    <w:rsid w:val="005073F0"/>
    <w:rsid w:val="00510A7B"/>
    <w:rsid w:val="00512F6E"/>
    <w:rsid w:val="00513038"/>
    <w:rsid w:val="00514174"/>
    <w:rsid w:val="00516088"/>
    <w:rsid w:val="00516B0B"/>
    <w:rsid w:val="00521453"/>
    <w:rsid w:val="005220EC"/>
    <w:rsid w:val="00523F95"/>
    <w:rsid w:val="00524D65"/>
    <w:rsid w:val="00525B16"/>
    <w:rsid w:val="00531EC7"/>
    <w:rsid w:val="00533D04"/>
    <w:rsid w:val="00534804"/>
    <w:rsid w:val="00534BDF"/>
    <w:rsid w:val="005354EA"/>
    <w:rsid w:val="0053585F"/>
    <w:rsid w:val="00535EC4"/>
    <w:rsid w:val="00535ED9"/>
    <w:rsid w:val="0053692B"/>
    <w:rsid w:val="00541721"/>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209A"/>
    <w:rsid w:val="005836A8"/>
    <w:rsid w:val="0058409C"/>
    <w:rsid w:val="00584262"/>
    <w:rsid w:val="00586630"/>
    <w:rsid w:val="00586E99"/>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16E0"/>
    <w:rsid w:val="005E2335"/>
    <w:rsid w:val="005E34CA"/>
    <w:rsid w:val="005E3C18"/>
    <w:rsid w:val="005E6812"/>
    <w:rsid w:val="005E7881"/>
    <w:rsid w:val="005E78E0"/>
    <w:rsid w:val="005F0D9C"/>
    <w:rsid w:val="005F284E"/>
    <w:rsid w:val="005F4712"/>
    <w:rsid w:val="006015CE"/>
    <w:rsid w:val="00604784"/>
    <w:rsid w:val="00606419"/>
    <w:rsid w:val="00607D29"/>
    <w:rsid w:val="00607F21"/>
    <w:rsid w:val="00610E1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940"/>
    <w:rsid w:val="00641A1F"/>
    <w:rsid w:val="00645904"/>
    <w:rsid w:val="006513B1"/>
    <w:rsid w:val="00651ACB"/>
    <w:rsid w:val="00651C47"/>
    <w:rsid w:val="00652AB2"/>
    <w:rsid w:val="00653FED"/>
    <w:rsid w:val="00654EC0"/>
    <w:rsid w:val="0065525B"/>
    <w:rsid w:val="00655D4F"/>
    <w:rsid w:val="00656D29"/>
    <w:rsid w:val="0066088C"/>
    <w:rsid w:val="006627D7"/>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02F6"/>
    <w:rsid w:val="006E23EA"/>
    <w:rsid w:val="006E6D8C"/>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1C4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574A0"/>
    <w:rsid w:val="007600E3"/>
    <w:rsid w:val="00765C43"/>
    <w:rsid w:val="00765EFB"/>
    <w:rsid w:val="00766545"/>
    <w:rsid w:val="007671CA"/>
    <w:rsid w:val="00767C61"/>
    <w:rsid w:val="0077008A"/>
    <w:rsid w:val="00771A01"/>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5E1"/>
    <w:rsid w:val="007E0BF1"/>
    <w:rsid w:val="007F0ED8"/>
    <w:rsid w:val="007F0F63"/>
    <w:rsid w:val="007F75CE"/>
    <w:rsid w:val="008013A4"/>
    <w:rsid w:val="008027CE"/>
    <w:rsid w:val="00802F42"/>
    <w:rsid w:val="00803498"/>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3D"/>
    <w:rsid w:val="0083348C"/>
    <w:rsid w:val="008373D3"/>
    <w:rsid w:val="00840617"/>
    <w:rsid w:val="00840F84"/>
    <w:rsid w:val="00842A47"/>
    <w:rsid w:val="00843C13"/>
    <w:rsid w:val="008454F8"/>
    <w:rsid w:val="00850652"/>
    <w:rsid w:val="0085173A"/>
    <w:rsid w:val="00856316"/>
    <w:rsid w:val="008603CE"/>
    <w:rsid w:val="008620FC"/>
    <w:rsid w:val="008627A5"/>
    <w:rsid w:val="00863E05"/>
    <w:rsid w:val="00865ACA"/>
    <w:rsid w:val="00865D28"/>
    <w:rsid w:val="00865F85"/>
    <w:rsid w:val="00867C10"/>
    <w:rsid w:val="00870439"/>
    <w:rsid w:val="00870DA1"/>
    <w:rsid w:val="008830F7"/>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2A5E"/>
    <w:rsid w:val="009062E6"/>
    <w:rsid w:val="00911BE5"/>
    <w:rsid w:val="00913CA9"/>
    <w:rsid w:val="009145AE"/>
    <w:rsid w:val="009146CE"/>
    <w:rsid w:val="00914CA7"/>
    <w:rsid w:val="00915C3E"/>
    <w:rsid w:val="009161A8"/>
    <w:rsid w:val="009245F5"/>
    <w:rsid w:val="009249EC"/>
    <w:rsid w:val="009273B3"/>
    <w:rsid w:val="009305B5"/>
    <w:rsid w:val="00932439"/>
    <w:rsid w:val="009429D5"/>
    <w:rsid w:val="00942BF1"/>
    <w:rsid w:val="00945180"/>
    <w:rsid w:val="00945428"/>
    <w:rsid w:val="0094607B"/>
    <w:rsid w:val="00951A0C"/>
    <w:rsid w:val="00952744"/>
    <w:rsid w:val="00953604"/>
    <w:rsid w:val="0095496B"/>
    <w:rsid w:val="00954FAA"/>
    <w:rsid w:val="009610DC"/>
    <w:rsid w:val="00961490"/>
    <w:rsid w:val="009636CF"/>
    <w:rsid w:val="0096381A"/>
    <w:rsid w:val="00964D0D"/>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079"/>
    <w:rsid w:val="009E4A58"/>
    <w:rsid w:val="009E5A2D"/>
    <w:rsid w:val="009E5AB2"/>
    <w:rsid w:val="009E6219"/>
    <w:rsid w:val="009F03B3"/>
    <w:rsid w:val="009F6E6F"/>
    <w:rsid w:val="00A0096C"/>
    <w:rsid w:val="00A01757"/>
    <w:rsid w:val="00A028C0"/>
    <w:rsid w:val="00A02BAE"/>
    <w:rsid w:val="00A06A6B"/>
    <w:rsid w:val="00A07E47"/>
    <w:rsid w:val="00A129D0"/>
    <w:rsid w:val="00A12C33"/>
    <w:rsid w:val="00A138BA"/>
    <w:rsid w:val="00A14C8E"/>
    <w:rsid w:val="00A15135"/>
    <w:rsid w:val="00A153D9"/>
    <w:rsid w:val="00A15F09"/>
    <w:rsid w:val="00A169B6"/>
    <w:rsid w:val="00A20988"/>
    <w:rsid w:val="00A2271D"/>
    <w:rsid w:val="00A237D5"/>
    <w:rsid w:val="00A2561C"/>
    <w:rsid w:val="00A30EFC"/>
    <w:rsid w:val="00A31984"/>
    <w:rsid w:val="00A32D73"/>
    <w:rsid w:val="00A3367B"/>
    <w:rsid w:val="00A3597D"/>
    <w:rsid w:val="00A36DD1"/>
    <w:rsid w:val="00A4006C"/>
    <w:rsid w:val="00A40091"/>
    <w:rsid w:val="00A4030F"/>
    <w:rsid w:val="00A41C79"/>
    <w:rsid w:val="00A41CB5"/>
    <w:rsid w:val="00A42B9F"/>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27E1"/>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2E01"/>
    <w:rsid w:val="00AF47C5"/>
    <w:rsid w:val="00AF5398"/>
    <w:rsid w:val="00B049AF"/>
    <w:rsid w:val="00B07242"/>
    <w:rsid w:val="00B10534"/>
    <w:rsid w:val="00B113DB"/>
    <w:rsid w:val="00B11D8A"/>
    <w:rsid w:val="00B12981"/>
    <w:rsid w:val="00B147DD"/>
    <w:rsid w:val="00B156FD"/>
    <w:rsid w:val="00B21616"/>
    <w:rsid w:val="00B21F61"/>
    <w:rsid w:val="00B261F1"/>
    <w:rsid w:val="00B265BC"/>
    <w:rsid w:val="00B31FB1"/>
    <w:rsid w:val="00B32B33"/>
    <w:rsid w:val="00B33952"/>
    <w:rsid w:val="00B33C5E"/>
    <w:rsid w:val="00B342F4"/>
    <w:rsid w:val="00B34369"/>
    <w:rsid w:val="00B34DC2"/>
    <w:rsid w:val="00B378E5"/>
    <w:rsid w:val="00B41FDB"/>
    <w:rsid w:val="00B4346D"/>
    <w:rsid w:val="00B435FC"/>
    <w:rsid w:val="00B440F4"/>
    <w:rsid w:val="00B4443A"/>
    <w:rsid w:val="00B447A5"/>
    <w:rsid w:val="00B4654C"/>
    <w:rsid w:val="00B46AF0"/>
    <w:rsid w:val="00B471AE"/>
    <w:rsid w:val="00B47293"/>
    <w:rsid w:val="00B50E50"/>
    <w:rsid w:val="00B52120"/>
    <w:rsid w:val="00B54ABC"/>
    <w:rsid w:val="00B54DDE"/>
    <w:rsid w:val="00B566BC"/>
    <w:rsid w:val="00B56FBE"/>
    <w:rsid w:val="00B60ACF"/>
    <w:rsid w:val="00B62B58"/>
    <w:rsid w:val="00B65149"/>
    <w:rsid w:val="00B66567"/>
    <w:rsid w:val="00B66F52"/>
    <w:rsid w:val="00B66FE5"/>
    <w:rsid w:val="00B72880"/>
    <w:rsid w:val="00B758BF"/>
    <w:rsid w:val="00B77EC8"/>
    <w:rsid w:val="00B827A6"/>
    <w:rsid w:val="00B831CE"/>
    <w:rsid w:val="00B86677"/>
    <w:rsid w:val="00B866F2"/>
    <w:rsid w:val="00B87131"/>
    <w:rsid w:val="00B939B1"/>
    <w:rsid w:val="00B96D40"/>
    <w:rsid w:val="00B97386"/>
    <w:rsid w:val="00BA263B"/>
    <w:rsid w:val="00BA42B2"/>
    <w:rsid w:val="00BA4845"/>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2B64"/>
    <w:rsid w:val="00C445CF"/>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76F86"/>
    <w:rsid w:val="00C80982"/>
    <w:rsid w:val="00C80CB8"/>
    <w:rsid w:val="00C810AB"/>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B54A9"/>
    <w:rsid w:val="00CC038D"/>
    <w:rsid w:val="00CC08DB"/>
    <w:rsid w:val="00CC2495"/>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22DE"/>
    <w:rsid w:val="00CE30EA"/>
    <w:rsid w:val="00CF048A"/>
    <w:rsid w:val="00CF155A"/>
    <w:rsid w:val="00CF2947"/>
    <w:rsid w:val="00CF686F"/>
    <w:rsid w:val="00CF6E60"/>
    <w:rsid w:val="00CF7BCA"/>
    <w:rsid w:val="00D008FD"/>
    <w:rsid w:val="00D00B8B"/>
    <w:rsid w:val="00D01F99"/>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37850"/>
    <w:rsid w:val="00D4162B"/>
    <w:rsid w:val="00D42BA0"/>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3780"/>
    <w:rsid w:val="00DC5B90"/>
    <w:rsid w:val="00DD00FF"/>
    <w:rsid w:val="00DD0619"/>
    <w:rsid w:val="00DD07FB"/>
    <w:rsid w:val="00DD25C6"/>
    <w:rsid w:val="00DD4FE5"/>
    <w:rsid w:val="00DD54B0"/>
    <w:rsid w:val="00DD57EE"/>
    <w:rsid w:val="00DD6BCC"/>
    <w:rsid w:val="00DE0A4B"/>
    <w:rsid w:val="00DE2410"/>
    <w:rsid w:val="00DE2939"/>
    <w:rsid w:val="00DE491A"/>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2D57"/>
    <w:rsid w:val="00E15CCD"/>
    <w:rsid w:val="00E202EF"/>
    <w:rsid w:val="00E210B5"/>
    <w:rsid w:val="00E23D99"/>
    <w:rsid w:val="00E2552F"/>
    <w:rsid w:val="00E3137A"/>
    <w:rsid w:val="00E32CCF"/>
    <w:rsid w:val="00E34A98"/>
    <w:rsid w:val="00E35D1E"/>
    <w:rsid w:val="00E364F9"/>
    <w:rsid w:val="00E365FA"/>
    <w:rsid w:val="00E36789"/>
    <w:rsid w:val="00E44A83"/>
    <w:rsid w:val="00E50259"/>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B75BE"/>
    <w:rsid w:val="00EC4C99"/>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1B43"/>
    <w:rsid w:val="00F833BA"/>
    <w:rsid w:val="00F84FD0"/>
    <w:rsid w:val="00F859A8"/>
    <w:rsid w:val="00F86D87"/>
    <w:rsid w:val="00F9108B"/>
    <w:rsid w:val="00F91349"/>
    <w:rsid w:val="00F93A8A"/>
    <w:rsid w:val="00F95248"/>
    <w:rsid w:val="00F956A9"/>
    <w:rsid w:val="00F963ED"/>
    <w:rsid w:val="00F966CF"/>
    <w:rsid w:val="00F96CAE"/>
    <w:rsid w:val="00F97C99"/>
    <w:rsid w:val="00FA1350"/>
    <w:rsid w:val="00FA4DAC"/>
    <w:rsid w:val="00FA662D"/>
    <w:rsid w:val="00FA6B19"/>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D7F9F"/>
    <w:rsid w:val="00FE1FBE"/>
    <w:rsid w:val="00FE3901"/>
    <w:rsid w:val="00FE39D3"/>
    <w:rsid w:val="00FE4BCE"/>
    <w:rsid w:val="00FE54AE"/>
    <w:rsid w:val="00FE576A"/>
    <w:rsid w:val="00FE7E79"/>
    <w:rsid w:val="00FF3E7D"/>
    <w:rsid w:val="00FF5B99"/>
    <w:rsid w:val="00FF730C"/>
    <w:rsid w:val="00FF73F4"/>
    <w:rsid w:val="00FF7CE4"/>
    <w:rsid w:val="00FF7E39"/>
    <w:rsid w:val="012E5F4D"/>
    <w:rsid w:val="04917F42"/>
    <w:rsid w:val="0696261C"/>
    <w:rsid w:val="06C6426B"/>
    <w:rsid w:val="078839B2"/>
    <w:rsid w:val="0B8D7890"/>
    <w:rsid w:val="0DD9618A"/>
    <w:rsid w:val="0DE620DB"/>
    <w:rsid w:val="0DE66EA9"/>
    <w:rsid w:val="0FA566FC"/>
    <w:rsid w:val="11716160"/>
    <w:rsid w:val="12646661"/>
    <w:rsid w:val="16D73E4A"/>
    <w:rsid w:val="17AD3AD9"/>
    <w:rsid w:val="1944278E"/>
    <w:rsid w:val="19B13FAC"/>
    <w:rsid w:val="19ED4FB2"/>
    <w:rsid w:val="1AE87493"/>
    <w:rsid w:val="1B2F50C2"/>
    <w:rsid w:val="1CB03FE0"/>
    <w:rsid w:val="1CD75A11"/>
    <w:rsid w:val="200A1C59"/>
    <w:rsid w:val="23F0400F"/>
    <w:rsid w:val="26522AD4"/>
    <w:rsid w:val="27332D0C"/>
    <w:rsid w:val="2B6E0932"/>
    <w:rsid w:val="2B724B56"/>
    <w:rsid w:val="2B942D1F"/>
    <w:rsid w:val="313844C5"/>
    <w:rsid w:val="34395192"/>
    <w:rsid w:val="35B77E36"/>
    <w:rsid w:val="36F45DA4"/>
    <w:rsid w:val="371D31FA"/>
    <w:rsid w:val="3ABC52C8"/>
    <w:rsid w:val="3E103C0E"/>
    <w:rsid w:val="3E6E3A8E"/>
    <w:rsid w:val="3F62294C"/>
    <w:rsid w:val="41265D6F"/>
    <w:rsid w:val="41894C7C"/>
    <w:rsid w:val="4493196E"/>
    <w:rsid w:val="45FF6626"/>
    <w:rsid w:val="47484C91"/>
    <w:rsid w:val="480C1999"/>
    <w:rsid w:val="49EC3FFA"/>
    <w:rsid w:val="4B46773A"/>
    <w:rsid w:val="4CA333DD"/>
    <w:rsid w:val="4D5F2D35"/>
    <w:rsid w:val="4E597784"/>
    <w:rsid w:val="4ECE7859"/>
    <w:rsid w:val="51227249"/>
    <w:rsid w:val="51B7093F"/>
    <w:rsid w:val="5494339E"/>
    <w:rsid w:val="58337298"/>
    <w:rsid w:val="5A6343C3"/>
    <w:rsid w:val="5AC16DDD"/>
    <w:rsid w:val="5B9B4A8F"/>
    <w:rsid w:val="5C1178F0"/>
    <w:rsid w:val="5FEB77E2"/>
    <w:rsid w:val="62AF7E63"/>
    <w:rsid w:val="636C1EF9"/>
    <w:rsid w:val="64064B81"/>
    <w:rsid w:val="64155AA4"/>
    <w:rsid w:val="67A4786A"/>
    <w:rsid w:val="684B374B"/>
    <w:rsid w:val="6A007B26"/>
    <w:rsid w:val="6A332BA1"/>
    <w:rsid w:val="6AB954A7"/>
    <w:rsid w:val="6B256F14"/>
    <w:rsid w:val="6C830921"/>
    <w:rsid w:val="6D195C89"/>
    <w:rsid w:val="6DEC1F6B"/>
    <w:rsid w:val="6F806E0F"/>
    <w:rsid w:val="6FD21C4F"/>
    <w:rsid w:val="71454833"/>
    <w:rsid w:val="717C53B4"/>
    <w:rsid w:val="723D4B43"/>
    <w:rsid w:val="72AB41A3"/>
    <w:rsid w:val="75B4336E"/>
    <w:rsid w:val="7641171E"/>
    <w:rsid w:val="77B70883"/>
    <w:rsid w:val="78376284"/>
    <w:rsid w:val="7B3207A5"/>
    <w:rsid w:val="7D346391"/>
    <w:rsid w:val="7DA43BE7"/>
    <w:rsid w:val="7DBD4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7"/>
    <w:qFormat/>
    <w:uiPriority w:val="0"/>
    <w:pPr>
      <w:keepNext/>
      <w:keepLines/>
      <w:spacing w:before="260" w:after="260" w:line="416" w:lineRule="auto"/>
      <w:outlineLvl w:val="2"/>
    </w:pPr>
    <w:rPr>
      <w:b/>
      <w:bCs/>
      <w:sz w:val="32"/>
      <w:szCs w:val="32"/>
    </w:rPr>
  </w:style>
  <w:style w:type="paragraph" w:styleId="5">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9"/>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0"/>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1"/>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2"/>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3"/>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semiHidden/>
    <w:unhideWhenUsed/>
    <w:qFormat/>
    <w:uiPriority w:val="99"/>
    <w:pPr>
      <w:jc w:val="left"/>
    </w:pPr>
  </w:style>
  <w:style w:type="paragraph" w:styleId="14">
    <w:name w:val="Body Text"/>
    <w:basedOn w:val="1"/>
    <w:link w:val="87"/>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6"/>
    <w:semiHidden/>
    <w:unhideWhenUsed/>
    <w:qFormat/>
    <w:uiPriority w:val="99"/>
    <w:rPr>
      <w:sz w:val="18"/>
      <w:szCs w:val="18"/>
    </w:rPr>
  </w:style>
  <w:style w:type="paragraph" w:styleId="18">
    <w:name w:val="footer"/>
    <w:basedOn w:val="1"/>
    <w:link w:val="45"/>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4"/>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0"/>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Title"/>
    <w:basedOn w:val="1"/>
    <w:link w:val="49"/>
    <w:qFormat/>
    <w:uiPriority w:val="0"/>
    <w:pPr>
      <w:spacing w:before="240" w:after="60"/>
      <w:jc w:val="center"/>
      <w:outlineLvl w:val="0"/>
    </w:pPr>
    <w:rPr>
      <w:rFonts w:ascii="Arial" w:hAnsi="Arial" w:cs="Arial"/>
      <w:b/>
      <w:bCs/>
      <w:sz w:val="32"/>
      <w:szCs w:val="32"/>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footnote reference"/>
    <w:semiHidden/>
    <w:qFormat/>
    <w:uiPriority w:val="0"/>
    <w:rPr>
      <w:rFonts w:ascii="宋体" w:hAnsi="宋体" w:eastAsia="宋体" w:cs="Times New Roman"/>
      <w:spacing w:val="0"/>
      <w:sz w:val="18"/>
      <w:vertAlign w:val="superscript"/>
    </w:rPr>
  </w:style>
  <w:style w:type="character" w:customStyle="1" w:styleId="35">
    <w:name w:val="标题 1 字符"/>
    <w:link w:val="2"/>
    <w:qFormat/>
    <w:uiPriority w:val="0"/>
    <w:rPr>
      <w:b/>
      <w:bCs/>
      <w:kern w:val="44"/>
      <w:sz w:val="44"/>
      <w:szCs w:val="44"/>
    </w:rPr>
  </w:style>
  <w:style w:type="character" w:customStyle="1" w:styleId="36">
    <w:name w:val="标题 2 字符"/>
    <w:link w:val="3"/>
    <w:qFormat/>
    <w:uiPriority w:val="0"/>
    <w:rPr>
      <w:rFonts w:ascii="Arial" w:hAnsi="Arial" w:eastAsia="黑体"/>
      <w:b/>
      <w:bCs/>
      <w:kern w:val="2"/>
      <w:sz w:val="32"/>
      <w:szCs w:val="32"/>
    </w:rPr>
  </w:style>
  <w:style w:type="character" w:customStyle="1" w:styleId="37">
    <w:name w:val="标题 3 字符"/>
    <w:link w:val="4"/>
    <w:qFormat/>
    <w:uiPriority w:val="0"/>
    <w:rPr>
      <w:b/>
      <w:bCs/>
      <w:kern w:val="2"/>
      <w:sz w:val="32"/>
      <w:szCs w:val="32"/>
    </w:rPr>
  </w:style>
  <w:style w:type="character" w:customStyle="1" w:styleId="38">
    <w:name w:val="标题 4 字符"/>
    <w:link w:val="5"/>
    <w:qFormat/>
    <w:uiPriority w:val="0"/>
    <w:rPr>
      <w:rFonts w:ascii="Arial" w:hAnsi="Arial" w:eastAsia="黑体"/>
      <w:b/>
      <w:bCs/>
      <w:kern w:val="2"/>
      <w:sz w:val="28"/>
      <w:szCs w:val="28"/>
    </w:rPr>
  </w:style>
  <w:style w:type="character" w:customStyle="1" w:styleId="39">
    <w:name w:val="标题 5 字符"/>
    <w:link w:val="6"/>
    <w:qFormat/>
    <w:uiPriority w:val="0"/>
    <w:rPr>
      <w:b/>
      <w:bCs/>
      <w:kern w:val="2"/>
      <w:sz w:val="28"/>
      <w:szCs w:val="28"/>
    </w:rPr>
  </w:style>
  <w:style w:type="character" w:customStyle="1" w:styleId="40">
    <w:name w:val="标题 6 字符"/>
    <w:link w:val="7"/>
    <w:qFormat/>
    <w:uiPriority w:val="0"/>
    <w:rPr>
      <w:rFonts w:ascii="Arial" w:hAnsi="Arial" w:eastAsia="黑体"/>
      <w:b/>
      <w:bCs/>
      <w:kern w:val="2"/>
      <w:sz w:val="24"/>
      <w:szCs w:val="24"/>
    </w:rPr>
  </w:style>
  <w:style w:type="character" w:customStyle="1" w:styleId="41">
    <w:name w:val="标题 7 字符"/>
    <w:link w:val="8"/>
    <w:qFormat/>
    <w:uiPriority w:val="0"/>
    <w:rPr>
      <w:b/>
      <w:bCs/>
      <w:kern w:val="2"/>
      <w:sz w:val="24"/>
      <w:szCs w:val="24"/>
    </w:rPr>
  </w:style>
  <w:style w:type="character" w:customStyle="1" w:styleId="42">
    <w:name w:val="标题 8 字符"/>
    <w:link w:val="9"/>
    <w:qFormat/>
    <w:uiPriority w:val="0"/>
    <w:rPr>
      <w:rFonts w:ascii="Arial" w:hAnsi="Arial" w:eastAsia="黑体"/>
      <w:kern w:val="2"/>
      <w:sz w:val="24"/>
      <w:szCs w:val="24"/>
    </w:rPr>
  </w:style>
  <w:style w:type="character" w:customStyle="1" w:styleId="43">
    <w:name w:val="标题 9 字符"/>
    <w:link w:val="10"/>
    <w:qFormat/>
    <w:uiPriority w:val="0"/>
    <w:rPr>
      <w:rFonts w:ascii="Arial" w:hAnsi="Arial" w:eastAsia="黑体"/>
      <w:kern w:val="2"/>
      <w:sz w:val="21"/>
      <w:szCs w:val="21"/>
    </w:rPr>
  </w:style>
  <w:style w:type="character" w:customStyle="1" w:styleId="44">
    <w:name w:val="页眉 字符"/>
    <w:link w:val="19"/>
    <w:qFormat/>
    <w:uiPriority w:val="99"/>
    <w:rPr>
      <w:kern w:val="2"/>
      <w:sz w:val="18"/>
      <w:szCs w:val="18"/>
    </w:rPr>
  </w:style>
  <w:style w:type="character" w:customStyle="1" w:styleId="45">
    <w:name w:val="页脚 字符"/>
    <w:link w:val="18"/>
    <w:qFormat/>
    <w:uiPriority w:val="99"/>
    <w:rPr>
      <w:rFonts w:ascii="宋体"/>
      <w:kern w:val="2"/>
      <w:sz w:val="18"/>
      <w:szCs w:val="18"/>
    </w:rPr>
  </w:style>
  <w:style w:type="character" w:customStyle="1" w:styleId="46">
    <w:name w:val="批注框文本 字符"/>
    <w:link w:val="17"/>
    <w:semiHidden/>
    <w:qFormat/>
    <w:uiPriority w:val="99"/>
    <w:rPr>
      <w:kern w:val="2"/>
      <w:sz w:val="18"/>
      <w:szCs w:val="18"/>
    </w:rPr>
  </w:style>
  <w:style w:type="paragraph" w:styleId="47">
    <w:name w:val="Quote"/>
    <w:basedOn w:val="1"/>
    <w:next w:val="1"/>
    <w:link w:val="48"/>
    <w:qFormat/>
    <w:uiPriority w:val="29"/>
    <w:rPr>
      <w:i/>
      <w:iCs/>
      <w:color w:val="000000"/>
    </w:rPr>
  </w:style>
  <w:style w:type="character" w:customStyle="1" w:styleId="48">
    <w:name w:val="引用 字符"/>
    <w:link w:val="47"/>
    <w:qFormat/>
    <w:uiPriority w:val="29"/>
    <w:rPr>
      <w:i/>
      <w:iCs/>
      <w:color w:val="000000"/>
      <w:kern w:val="2"/>
      <w:sz w:val="21"/>
      <w:szCs w:val="21"/>
    </w:rPr>
  </w:style>
  <w:style w:type="character" w:customStyle="1" w:styleId="49">
    <w:name w:val="标题 字符"/>
    <w:link w:val="26"/>
    <w:qFormat/>
    <w:uiPriority w:val="0"/>
    <w:rPr>
      <w:rFonts w:ascii="Arial" w:hAnsi="Arial" w:cs="Arial"/>
      <w:b/>
      <w:bCs/>
      <w:kern w:val="2"/>
      <w:sz w:val="32"/>
      <w:szCs w:val="32"/>
    </w:rPr>
  </w:style>
  <w:style w:type="paragraph" w:customStyle="1" w:styleId="5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4">
    <w:name w:val="标准书眉一"/>
    <w:qFormat/>
    <w:uiPriority w:val="0"/>
    <w:pPr>
      <w:jc w:val="both"/>
    </w:pPr>
    <w:rPr>
      <w:rFonts w:ascii="Times New Roman" w:hAnsi="Times New Roman" w:eastAsia="宋体" w:cs="Times New Roman"/>
      <w:lang w:val="en-US" w:eastAsia="zh-CN" w:bidi="ar-SA"/>
    </w:rPr>
  </w:style>
  <w:style w:type="paragraph" w:customStyle="1" w:styleId="55">
    <w:name w:val="标准文件_ICS"/>
    <w:basedOn w:val="1"/>
    <w:qFormat/>
    <w:uiPriority w:val="0"/>
    <w:pPr>
      <w:spacing w:line="0" w:lineRule="atLeast"/>
    </w:pPr>
    <w:rPr>
      <w:rFonts w:ascii="黑体" w:hAnsi="宋体" w:eastAsia="黑体"/>
    </w:rPr>
  </w:style>
  <w:style w:type="paragraph" w:customStyle="1" w:styleId="56">
    <w:name w:val="标准文件_标准正文"/>
    <w:basedOn w:val="1"/>
    <w:next w:val="57"/>
    <w:qFormat/>
    <w:uiPriority w:val="0"/>
    <w:pPr>
      <w:snapToGrid w:val="0"/>
      <w:ind w:firstLine="200" w:firstLineChars="200"/>
    </w:pPr>
    <w:rPr>
      <w:kern w:val="0"/>
    </w:rPr>
  </w:style>
  <w:style w:type="paragraph" w:customStyle="1" w:styleId="57">
    <w:name w:val="标准文件_段"/>
    <w:link w:val="18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8">
    <w:name w:val="标准文件_版本"/>
    <w:basedOn w:val="56"/>
    <w:qFormat/>
    <w:uiPriority w:val="0"/>
    <w:pPr>
      <w:adjustRightInd/>
      <w:snapToGrid/>
      <w:ind w:firstLine="0" w:firstLineChars="0"/>
    </w:pPr>
    <w:rPr>
      <w:rFonts w:ascii="宋体" w:hAnsi="宋体"/>
      <w:kern w:val="2"/>
    </w:rPr>
  </w:style>
  <w:style w:type="paragraph" w:customStyle="1" w:styleId="59">
    <w:name w:val="标准文件_标准部门"/>
    <w:basedOn w:val="1"/>
    <w:qFormat/>
    <w:uiPriority w:val="0"/>
    <w:pPr>
      <w:jc w:val="center"/>
    </w:pPr>
    <w:rPr>
      <w:rFonts w:ascii="黑体" w:eastAsia="黑体"/>
      <w:kern w:val="0"/>
      <w:sz w:val="44"/>
    </w:rPr>
  </w:style>
  <w:style w:type="paragraph" w:customStyle="1" w:styleId="60">
    <w:name w:val="标准文件_标准代替"/>
    <w:basedOn w:val="1"/>
    <w:next w:val="1"/>
    <w:qFormat/>
    <w:uiPriority w:val="0"/>
    <w:pPr>
      <w:spacing w:line="310" w:lineRule="exact"/>
      <w:jc w:val="right"/>
    </w:pPr>
    <w:rPr>
      <w:rFonts w:ascii="宋体" w:hAnsi="宋体"/>
      <w:kern w:val="0"/>
    </w:rPr>
  </w:style>
  <w:style w:type="paragraph" w:customStyle="1" w:styleId="61">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2">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3">
    <w:name w:val="标准文件_页眉偶数页"/>
    <w:basedOn w:val="62"/>
    <w:next w:val="1"/>
    <w:qFormat/>
    <w:uiPriority w:val="0"/>
    <w:pPr>
      <w:jc w:val="left"/>
    </w:pPr>
  </w:style>
  <w:style w:type="paragraph" w:customStyle="1" w:styleId="64">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5">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6">
    <w:name w:val="标准文件_二级条标题"/>
    <w:next w:val="57"/>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7">
    <w:name w:val="标准文件_发布"/>
    <w:qFormat/>
    <w:uiPriority w:val="0"/>
    <w:rPr>
      <w:rFonts w:ascii="黑体" w:eastAsia="黑体"/>
      <w:spacing w:val="0"/>
      <w:w w:val="100"/>
      <w:position w:val="3"/>
      <w:sz w:val="28"/>
    </w:rPr>
  </w:style>
  <w:style w:type="paragraph" w:customStyle="1" w:styleId="68">
    <w:name w:val="标准文件_方框数字列项"/>
    <w:basedOn w:val="57"/>
    <w:qFormat/>
    <w:uiPriority w:val="0"/>
    <w:pPr>
      <w:numPr>
        <w:ilvl w:val="0"/>
        <w:numId w:val="3"/>
      </w:numPr>
      <w:ind w:firstLine="0" w:firstLineChars="0"/>
    </w:pPr>
  </w:style>
  <w:style w:type="paragraph" w:customStyle="1" w:styleId="69">
    <w:name w:val="标准文件_封面标准编号"/>
    <w:basedOn w:val="1"/>
    <w:next w:val="60"/>
    <w:qFormat/>
    <w:uiPriority w:val="0"/>
    <w:pPr>
      <w:spacing w:line="310" w:lineRule="exact"/>
      <w:jc w:val="right"/>
    </w:pPr>
    <w:rPr>
      <w:rFonts w:ascii="黑体" w:eastAsia="黑体"/>
      <w:kern w:val="0"/>
      <w:sz w:val="28"/>
    </w:rPr>
  </w:style>
  <w:style w:type="paragraph" w:customStyle="1" w:styleId="70">
    <w:name w:val="标准文件_封面标准分类号"/>
    <w:basedOn w:val="1"/>
    <w:qFormat/>
    <w:uiPriority w:val="0"/>
    <w:rPr>
      <w:rFonts w:ascii="黑体" w:eastAsia="黑体"/>
      <w:b/>
      <w:kern w:val="0"/>
      <w:sz w:val="28"/>
    </w:rPr>
  </w:style>
  <w:style w:type="paragraph" w:customStyle="1" w:styleId="71">
    <w:name w:val="标准文件_封面标准名称"/>
    <w:basedOn w:val="1"/>
    <w:qFormat/>
    <w:uiPriority w:val="0"/>
    <w:pPr>
      <w:spacing w:line="240" w:lineRule="auto"/>
      <w:jc w:val="center"/>
    </w:pPr>
    <w:rPr>
      <w:rFonts w:ascii="黑体" w:eastAsia="黑体"/>
      <w:kern w:val="0"/>
      <w:sz w:val="52"/>
    </w:rPr>
  </w:style>
  <w:style w:type="paragraph" w:customStyle="1" w:styleId="72">
    <w:name w:val="标准文件_封面标准英文名称"/>
    <w:basedOn w:val="1"/>
    <w:qFormat/>
    <w:uiPriority w:val="0"/>
    <w:pPr>
      <w:spacing w:line="240" w:lineRule="auto"/>
      <w:jc w:val="center"/>
    </w:pPr>
    <w:rPr>
      <w:rFonts w:ascii="黑体" w:eastAsia="黑体"/>
      <w:b/>
      <w:sz w:val="28"/>
    </w:rPr>
  </w:style>
  <w:style w:type="paragraph" w:customStyle="1" w:styleId="73">
    <w:name w:val="标准文件_封面发布日期"/>
    <w:basedOn w:val="1"/>
    <w:qFormat/>
    <w:uiPriority w:val="0"/>
    <w:pPr>
      <w:spacing w:line="310" w:lineRule="exact"/>
    </w:pPr>
    <w:rPr>
      <w:rFonts w:ascii="黑体" w:eastAsia="黑体"/>
      <w:kern w:val="0"/>
      <w:sz w:val="28"/>
    </w:rPr>
  </w:style>
  <w:style w:type="paragraph" w:customStyle="1" w:styleId="74">
    <w:name w:val="标准文件_封面密级"/>
    <w:basedOn w:val="1"/>
    <w:qFormat/>
    <w:uiPriority w:val="0"/>
    <w:rPr>
      <w:rFonts w:eastAsia="黑体"/>
      <w:sz w:val="32"/>
    </w:rPr>
  </w:style>
  <w:style w:type="paragraph" w:customStyle="1" w:styleId="75">
    <w:name w:val="标准文件_封面实施日期"/>
    <w:basedOn w:val="1"/>
    <w:qFormat/>
    <w:uiPriority w:val="0"/>
    <w:pPr>
      <w:spacing w:line="310" w:lineRule="exact"/>
      <w:jc w:val="right"/>
    </w:pPr>
    <w:rPr>
      <w:rFonts w:ascii="黑体" w:eastAsia="黑体"/>
      <w:sz w:val="28"/>
    </w:rPr>
  </w:style>
  <w:style w:type="paragraph" w:customStyle="1" w:styleId="76">
    <w:name w:val="标准文件_封面抬头"/>
    <w:basedOn w:val="57"/>
    <w:qFormat/>
    <w:uiPriority w:val="0"/>
    <w:pPr>
      <w:adjustRightInd w:val="0"/>
      <w:spacing w:line="800" w:lineRule="exact"/>
      <w:ind w:firstLine="0" w:firstLineChars="0"/>
      <w:jc w:val="distribute"/>
    </w:pPr>
    <w:rPr>
      <w:rFonts w:ascii="黑体" w:eastAsia="黑体"/>
      <w:b/>
      <w:sz w:val="64"/>
    </w:rPr>
  </w:style>
  <w:style w:type="paragraph" w:customStyle="1" w:styleId="77">
    <w:name w:val="标准文件_附录标识"/>
    <w:next w:val="57"/>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8">
    <w:name w:val="标准文件_附录表标题"/>
    <w:next w:val="57"/>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9">
    <w:name w:val="标准文件_附录一级条标题"/>
    <w:next w:val="57"/>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0">
    <w:name w:val="标准文件_附录二级条标题"/>
    <w:basedOn w:val="79"/>
    <w:next w:val="57"/>
    <w:qFormat/>
    <w:uiPriority w:val="0"/>
    <w:pPr>
      <w:widowControl/>
      <w:numPr>
        <w:ilvl w:val="2"/>
      </w:numPr>
      <w:wordWrap w:val="0"/>
      <w:overflowPunct w:val="0"/>
      <w:autoSpaceDE w:val="0"/>
      <w:autoSpaceDN w:val="0"/>
      <w:textAlignment w:val="baseline"/>
      <w:outlineLvl w:val="3"/>
    </w:pPr>
  </w:style>
  <w:style w:type="paragraph" w:customStyle="1" w:styleId="81">
    <w:name w:val="标准文件_附录公式"/>
    <w:basedOn w:val="56"/>
    <w:next w:val="56"/>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2">
    <w:name w:val="标准文件_附录三级条标题"/>
    <w:next w:val="57"/>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3">
    <w:name w:val="标准文件_附录四级条标题"/>
    <w:next w:val="57"/>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4">
    <w:name w:val="标准文件_附录图标题"/>
    <w:next w:val="57"/>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5">
    <w:name w:val="标准文件_附录五级条标题"/>
    <w:next w:val="57"/>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6">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7">
    <w:name w:val="正文文本 字符"/>
    <w:link w:val="14"/>
    <w:qFormat/>
    <w:uiPriority w:val="0"/>
    <w:rPr>
      <w:kern w:val="2"/>
      <w:sz w:val="21"/>
      <w:szCs w:val="21"/>
    </w:rPr>
  </w:style>
  <w:style w:type="paragraph" w:customStyle="1" w:styleId="88">
    <w:name w:val="标准文件_附录章标题"/>
    <w:next w:val="5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9">
    <w:name w:val="标准文件_公式后的破折号"/>
    <w:basedOn w:val="57"/>
    <w:next w:val="57"/>
    <w:qFormat/>
    <w:uiPriority w:val="0"/>
    <w:pPr>
      <w:ind w:left="488" w:leftChars="200" w:hanging="289" w:hangingChars="290"/>
    </w:pPr>
  </w:style>
  <w:style w:type="paragraph" w:customStyle="1" w:styleId="90">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1">
    <w:name w:val="标准文件_目次、标准名称标题"/>
    <w:basedOn w:val="90"/>
    <w:next w:val="57"/>
    <w:qFormat/>
    <w:uiPriority w:val="0"/>
    <w:pPr>
      <w:spacing w:line="460" w:lineRule="exact"/>
      <w:ind w:left="0" w:firstLine="0"/>
    </w:pPr>
  </w:style>
  <w:style w:type="paragraph" w:customStyle="1" w:styleId="92">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3">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4">
    <w:name w:val="标准文件_破折号列项（二级）"/>
    <w:basedOn w:val="93"/>
    <w:qFormat/>
    <w:uiPriority w:val="0"/>
    <w:pPr>
      <w:numPr>
        <w:numId w:val="10"/>
      </w:numPr>
    </w:pPr>
  </w:style>
  <w:style w:type="paragraph" w:customStyle="1" w:styleId="95">
    <w:name w:val="标准文件_三级条标题"/>
    <w:basedOn w:val="66"/>
    <w:next w:val="57"/>
    <w:qFormat/>
    <w:uiPriority w:val="0"/>
    <w:pPr>
      <w:widowControl/>
      <w:numPr>
        <w:ilvl w:val="4"/>
      </w:numPr>
      <w:outlineLvl w:val="3"/>
    </w:pPr>
  </w:style>
  <w:style w:type="character" w:customStyle="1" w:styleId="96">
    <w:name w:val="不明显参考1"/>
    <w:qFormat/>
    <w:uiPriority w:val="31"/>
    <w:rPr>
      <w:smallCaps/>
      <w:color w:val="C0504D"/>
      <w:u w:val="single"/>
    </w:rPr>
  </w:style>
  <w:style w:type="paragraph" w:customStyle="1" w:styleId="97">
    <w:name w:val="标准文件_示例后续"/>
    <w:basedOn w:val="1"/>
    <w:qFormat/>
    <w:uiPriority w:val="0"/>
    <w:pPr>
      <w:adjustRightInd/>
      <w:spacing w:line="240" w:lineRule="auto"/>
      <w:ind w:firstLine="200" w:firstLineChars="200"/>
    </w:pPr>
    <w:rPr>
      <w:sz w:val="18"/>
      <w:szCs w:val="24"/>
    </w:rPr>
  </w:style>
  <w:style w:type="paragraph" w:customStyle="1" w:styleId="98">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9">
    <w:name w:val="标准文件_四级条标题"/>
    <w:next w:val="57"/>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0">
    <w:name w:val="脚注文本 字符"/>
    <w:link w:val="22"/>
    <w:semiHidden/>
    <w:qFormat/>
    <w:uiPriority w:val="0"/>
    <w:rPr>
      <w:rFonts w:ascii="宋体"/>
      <w:kern w:val="2"/>
      <w:sz w:val="18"/>
      <w:szCs w:val="18"/>
    </w:rPr>
  </w:style>
  <w:style w:type="paragraph" w:customStyle="1" w:styleId="101">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2">
    <w:name w:val="标准文件_图表脚注"/>
    <w:basedOn w:val="1"/>
    <w:next w:val="57"/>
    <w:qFormat/>
    <w:uiPriority w:val="0"/>
    <w:pPr>
      <w:numPr>
        <w:ilvl w:val="0"/>
        <w:numId w:val="12"/>
      </w:numPr>
      <w:spacing w:line="240" w:lineRule="auto"/>
      <w:jc w:val="left"/>
    </w:pPr>
    <w:rPr>
      <w:rFonts w:ascii="宋体" w:hAnsi="宋体"/>
      <w:sz w:val="18"/>
    </w:rPr>
  </w:style>
  <w:style w:type="character" w:customStyle="1" w:styleId="103">
    <w:name w:val="标准文件_图表脚注内容"/>
    <w:qFormat/>
    <w:uiPriority w:val="0"/>
    <w:rPr>
      <w:rFonts w:ascii="宋体" w:hAnsi="宋体" w:eastAsia="宋体" w:cs="Times New Roman"/>
      <w:spacing w:val="0"/>
      <w:sz w:val="18"/>
      <w:vertAlign w:val="superscript"/>
    </w:rPr>
  </w:style>
  <w:style w:type="paragraph" w:customStyle="1" w:styleId="104">
    <w:name w:val="标准文件_五级条标题"/>
    <w:next w:val="57"/>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5">
    <w:name w:val="标准文件_章标题"/>
    <w:next w:val="1"/>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6">
    <w:name w:val="标准文件_一级条标题"/>
    <w:basedOn w:val="105"/>
    <w:next w:val="57"/>
    <w:qFormat/>
    <w:uiPriority w:val="0"/>
    <w:pPr>
      <w:numPr>
        <w:ilvl w:val="2"/>
      </w:numPr>
      <w:spacing w:before="50" w:beforeLines="50" w:after="50" w:afterLines="50"/>
      <w:outlineLvl w:val="1"/>
    </w:pPr>
  </w:style>
  <w:style w:type="paragraph" w:customStyle="1" w:styleId="107">
    <w:name w:val="标准文件_一致程度"/>
    <w:basedOn w:val="1"/>
    <w:qFormat/>
    <w:uiPriority w:val="0"/>
    <w:pPr>
      <w:spacing w:line="440" w:lineRule="exact"/>
      <w:jc w:val="center"/>
    </w:pPr>
    <w:rPr>
      <w:sz w:val="28"/>
    </w:rPr>
  </w:style>
  <w:style w:type="paragraph" w:customStyle="1" w:styleId="108">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9">
    <w:name w:val="标准文件_英文图表脚注"/>
    <w:basedOn w:val="56"/>
    <w:qFormat/>
    <w:uiPriority w:val="0"/>
    <w:pPr>
      <w:widowControl/>
      <w:adjustRightInd/>
      <w:snapToGrid/>
      <w:spacing w:line="240" w:lineRule="auto"/>
      <w:ind w:left="79" w:hanging="79" w:hangingChars="80"/>
    </w:pPr>
    <w:rPr>
      <w:rFonts w:ascii="宋体" w:hAnsi="宋体"/>
    </w:rPr>
  </w:style>
  <w:style w:type="paragraph" w:customStyle="1" w:styleId="110">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1">
    <w:name w:val="标准文件_英文注："/>
    <w:basedOn w:val="1"/>
    <w:next w:val="57"/>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2">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3">
    <w:name w:val="标准文件_正文表标题"/>
    <w:next w:val="57"/>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4">
    <w:name w:val="标准文件_正文公式"/>
    <w:basedOn w:val="1"/>
    <w:next w:val="56"/>
    <w:qFormat/>
    <w:uiPriority w:val="0"/>
    <w:pPr>
      <w:tabs>
        <w:tab w:val="center" w:pos="4678"/>
        <w:tab w:val="right" w:leader="middleDot" w:pos="9356"/>
      </w:tabs>
      <w:spacing w:line="240" w:lineRule="auto"/>
    </w:pPr>
    <w:rPr>
      <w:rFonts w:ascii="宋体" w:hAnsi="宋体"/>
    </w:rPr>
  </w:style>
  <w:style w:type="paragraph" w:customStyle="1" w:styleId="115">
    <w:name w:val="标准文件_正文图标题"/>
    <w:next w:val="57"/>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英文表标题"/>
    <w:next w:val="57"/>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7">
    <w:name w:val="标准文件_正文英文图标题"/>
    <w:next w:val="57"/>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8">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19">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0">
    <w:name w:val="发布部门"/>
    <w:next w:val="57"/>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1">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2">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5">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6">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7">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8">
    <w:name w:val="封面正文"/>
    <w:qFormat/>
    <w:uiPriority w:val="0"/>
    <w:pPr>
      <w:jc w:val="both"/>
    </w:pPr>
    <w:rPr>
      <w:rFonts w:ascii="Times New Roman" w:hAnsi="Times New Roman" w:eastAsia="宋体" w:cs="Times New Roman"/>
      <w:lang w:val="en-US" w:eastAsia="zh-CN" w:bidi="ar-SA"/>
    </w:rPr>
  </w:style>
  <w:style w:type="paragraph" w:customStyle="1" w:styleId="129">
    <w:name w:val="附录二级无标题条"/>
    <w:basedOn w:val="1"/>
    <w:next w:val="5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0">
    <w:name w:val="附录三级无标题条"/>
    <w:basedOn w:val="129"/>
    <w:next w:val="57"/>
    <w:qFormat/>
    <w:uiPriority w:val="0"/>
    <w:pPr>
      <w:outlineLvl w:val="4"/>
    </w:pPr>
  </w:style>
  <w:style w:type="paragraph" w:customStyle="1" w:styleId="131">
    <w:name w:val="附录四级无标题条"/>
    <w:basedOn w:val="130"/>
    <w:next w:val="57"/>
    <w:qFormat/>
    <w:uiPriority w:val="0"/>
    <w:pPr>
      <w:outlineLvl w:val="5"/>
    </w:pPr>
  </w:style>
  <w:style w:type="paragraph" w:customStyle="1" w:styleId="132">
    <w:name w:val="附录图"/>
    <w:next w:val="57"/>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3">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4">
    <w:name w:val="附录五级无标题条"/>
    <w:basedOn w:val="131"/>
    <w:next w:val="57"/>
    <w:qFormat/>
    <w:uiPriority w:val="0"/>
    <w:pPr>
      <w:outlineLvl w:val="6"/>
    </w:pPr>
  </w:style>
  <w:style w:type="paragraph" w:customStyle="1" w:styleId="135">
    <w:name w:val="附录性质"/>
    <w:basedOn w:val="1"/>
    <w:qFormat/>
    <w:uiPriority w:val="0"/>
    <w:pPr>
      <w:widowControl/>
      <w:adjustRightInd/>
      <w:jc w:val="center"/>
    </w:pPr>
    <w:rPr>
      <w:rFonts w:ascii="黑体" w:eastAsia="黑体"/>
    </w:rPr>
  </w:style>
  <w:style w:type="paragraph" w:customStyle="1" w:styleId="136">
    <w:name w:val="附录一级无标题条"/>
    <w:basedOn w:val="88"/>
    <w:next w:val="57"/>
    <w:qFormat/>
    <w:uiPriority w:val="0"/>
    <w:pPr>
      <w:autoSpaceDN w:val="0"/>
      <w:outlineLvl w:val="2"/>
    </w:pPr>
    <w:rPr>
      <w:rFonts w:ascii="宋体" w:hAnsi="宋体" w:eastAsia="宋体"/>
    </w:rPr>
  </w:style>
  <w:style w:type="character" w:customStyle="1" w:styleId="137">
    <w:name w:val="个人答复风格"/>
    <w:qFormat/>
    <w:uiPriority w:val="0"/>
    <w:rPr>
      <w:rFonts w:ascii="Arial" w:hAnsi="Arial" w:eastAsia="宋体" w:cs="Arial"/>
      <w:color w:val="auto"/>
      <w:spacing w:val="0"/>
      <w:sz w:val="20"/>
    </w:rPr>
  </w:style>
  <w:style w:type="character" w:customStyle="1" w:styleId="138">
    <w:name w:val="个人撰写风格"/>
    <w:qFormat/>
    <w:uiPriority w:val="0"/>
    <w:rPr>
      <w:rFonts w:ascii="Arial" w:hAnsi="Arial" w:eastAsia="宋体" w:cs="Arial"/>
      <w:color w:val="auto"/>
      <w:spacing w:val="0"/>
      <w:sz w:val="20"/>
    </w:rPr>
  </w:style>
  <w:style w:type="paragraph" w:customStyle="1" w:styleId="13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0">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1">
    <w:name w:val="列项·"/>
    <w:basedOn w:val="57"/>
    <w:qFormat/>
    <w:uiPriority w:val="0"/>
    <w:pPr>
      <w:tabs>
        <w:tab w:val="left" w:pos="840"/>
      </w:tabs>
    </w:pPr>
  </w:style>
  <w:style w:type="paragraph" w:customStyle="1" w:styleId="14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3">
    <w:name w:val="目录 21"/>
    <w:basedOn w:val="1"/>
    <w:next w:val="1"/>
    <w:semiHidden/>
    <w:qFormat/>
    <w:uiPriority w:val="0"/>
    <w:pPr>
      <w:adjustRightInd/>
      <w:spacing w:line="240" w:lineRule="auto"/>
      <w:jc w:val="left"/>
    </w:pPr>
    <w:rPr>
      <w:bCs/>
      <w:iCs/>
    </w:rPr>
  </w:style>
  <w:style w:type="paragraph" w:customStyle="1" w:styleId="144">
    <w:name w:val="目录 31"/>
    <w:basedOn w:val="1"/>
    <w:next w:val="1"/>
    <w:semiHidden/>
    <w:qFormat/>
    <w:uiPriority w:val="0"/>
    <w:pPr>
      <w:spacing w:line="240" w:lineRule="auto"/>
    </w:pPr>
    <w:rPr>
      <w:rFonts w:ascii="宋体" w:hAnsi="宋体"/>
      <w:iCs/>
    </w:rPr>
  </w:style>
  <w:style w:type="paragraph" w:customStyle="1" w:styleId="145">
    <w:name w:val="目录 41"/>
    <w:basedOn w:val="1"/>
    <w:next w:val="1"/>
    <w:semiHidden/>
    <w:qFormat/>
    <w:uiPriority w:val="0"/>
    <w:pPr>
      <w:adjustRightInd/>
      <w:spacing w:line="240" w:lineRule="auto"/>
      <w:jc w:val="left"/>
    </w:pPr>
  </w:style>
  <w:style w:type="paragraph" w:customStyle="1" w:styleId="146">
    <w:name w:val="目录 51"/>
    <w:basedOn w:val="1"/>
    <w:next w:val="1"/>
    <w:semiHidden/>
    <w:qFormat/>
    <w:uiPriority w:val="0"/>
    <w:pPr>
      <w:spacing w:line="240" w:lineRule="auto"/>
    </w:pPr>
    <w:rPr>
      <w:rFonts w:ascii="宋体" w:hAnsi="宋体"/>
    </w:rPr>
  </w:style>
  <w:style w:type="paragraph" w:customStyle="1" w:styleId="147">
    <w:name w:val="目录 61"/>
    <w:basedOn w:val="1"/>
    <w:next w:val="1"/>
    <w:semiHidden/>
    <w:qFormat/>
    <w:uiPriority w:val="0"/>
    <w:pPr>
      <w:adjustRightInd/>
      <w:spacing w:line="240" w:lineRule="auto"/>
      <w:jc w:val="left"/>
    </w:pPr>
  </w:style>
  <w:style w:type="paragraph" w:customStyle="1" w:styleId="148">
    <w:name w:val="目录 71"/>
    <w:basedOn w:val="147"/>
    <w:semiHidden/>
    <w:qFormat/>
    <w:uiPriority w:val="0"/>
    <w:pPr>
      <w:ind w:left="1260"/>
    </w:pPr>
  </w:style>
  <w:style w:type="paragraph" w:customStyle="1" w:styleId="149">
    <w:name w:val="目录 81"/>
    <w:basedOn w:val="148"/>
    <w:semiHidden/>
    <w:qFormat/>
    <w:uiPriority w:val="0"/>
    <w:pPr>
      <w:ind w:left="1470"/>
    </w:pPr>
  </w:style>
  <w:style w:type="paragraph" w:customStyle="1" w:styleId="150">
    <w:name w:val="目录 91"/>
    <w:basedOn w:val="149"/>
    <w:semiHidden/>
    <w:qFormat/>
    <w:uiPriority w:val="0"/>
    <w:pPr>
      <w:ind w:left="1680"/>
    </w:pPr>
  </w:style>
  <w:style w:type="paragraph" w:customStyle="1" w:styleId="15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2">
    <w:name w:val="其他发布部门"/>
    <w:basedOn w:val="120"/>
    <w:qFormat/>
    <w:uiPriority w:val="0"/>
    <w:pPr>
      <w:framePr w:wrap="around"/>
      <w:spacing w:line="0" w:lineRule="atLeast"/>
    </w:pPr>
    <w:rPr>
      <w:rFonts w:ascii="黑体" w:eastAsia="黑体"/>
      <w:b w:val="0"/>
    </w:rPr>
  </w:style>
  <w:style w:type="paragraph" w:customStyle="1" w:styleId="153">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4">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5">
    <w:name w:val="实施日期"/>
    <w:basedOn w:val="121"/>
    <w:qFormat/>
    <w:uiPriority w:val="0"/>
    <w:pPr>
      <w:framePr w:hSpace="0" w:wrap="around" w:xAlign="right"/>
      <w:jc w:val="right"/>
    </w:pPr>
  </w:style>
  <w:style w:type="paragraph" w:customStyle="1" w:styleId="156">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7">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8">
    <w:name w:val="无标题条"/>
    <w:next w:val="57"/>
    <w:qFormat/>
    <w:uiPriority w:val="0"/>
    <w:pPr>
      <w:jc w:val="both"/>
    </w:pPr>
    <w:rPr>
      <w:rFonts w:ascii="宋体" w:hAnsi="宋体" w:eastAsia="宋体" w:cs="Times New Roman"/>
      <w:sz w:val="21"/>
      <w:lang w:val="en-US" w:eastAsia="zh-CN" w:bidi="ar-SA"/>
    </w:rPr>
  </w:style>
  <w:style w:type="paragraph" w:customStyle="1" w:styleId="159">
    <w:name w:val="五级无标题条"/>
    <w:basedOn w:val="1"/>
    <w:qFormat/>
    <w:uiPriority w:val="0"/>
    <w:pPr>
      <w:numPr>
        <w:ilvl w:val="6"/>
        <w:numId w:val="20"/>
      </w:numPr>
      <w:adjustRightInd/>
    </w:pPr>
    <w:rPr>
      <w:szCs w:val="24"/>
    </w:rPr>
  </w:style>
  <w:style w:type="paragraph" w:customStyle="1" w:styleId="160">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1">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2">
    <w:name w:val="注×:后续"/>
    <w:basedOn w:val="161"/>
    <w:qFormat/>
    <w:uiPriority w:val="0"/>
    <w:pPr>
      <w:ind w:left="1406" w:leftChars="0" w:hanging="499" w:firstLineChars="0"/>
    </w:pPr>
  </w:style>
  <w:style w:type="paragraph" w:customStyle="1" w:styleId="163">
    <w:name w:val="标准文件_一级无标题"/>
    <w:basedOn w:val="106"/>
    <w:qFormat/>
    <w:uiPriority w:val="0"/>
    <w:pPr>
      <w:spacing w:before="0" w:beforeLines="0" w:after="0" w:afterLines="0"/>
      <w:outlineLvl w:val="9"/>
    </w:pPr>
    <w:rPr>
      <w:rFonts w:ascii="宋体" w:eastAsia="宋体"/>
    </w:rPr>
  </w:style>
  <w:style w:type="paragraph" w:customStyle="1" w:styleId="164">
    <w:name w:val="标准文件_五级无标题"/>
    <w:basedOn w:val="104"/>
    <w:qFormat/>
    <w:uiPriority w:val="0"/>
    <w:pPr>
      <w:spacing w:before="0" w:beforeLines="0" w:after="0" w:afterLines="0"/>
      <w:outlineLvl w:val="9"/>
    </w:pPr>
    <w:rPr>
      <w:rFonts w:ascii="宋体" w:eastAsia="宋体"/>
    </w:rPr>
  </w:style>
  <w:style w:type="paragraph" w:customStyle="1" w:styleId="165">
    <w:name w:val="标准文件_三级无标题"/>
    <w:basedOn w:val="95"/>
    <w:qFormat/>
    <w:uiPriority w:val="0"/>
    <w:pPr>
      <w:spacing w:before="0" w:beforeLines="0" w:after="0" w:afterLines="0"/>
      <w:outlineLvl w:val="9"/>
    </w:pPr>
    <w:rPr>
      <w:rFonts w:ascii="宋体" w:eastAsia="宋体"/>
    </w:rPr>
  </w:style>
  <w:style w:type="paragraph" w:customStyle="1" w:styleId="166">
    <w:name w:val="标准文件_二级无标题"/>
    <w:basedOn w:val="66"/>
    <w:qFormat/>
    <w:uiPriority w:val="0"/>
    <w:pPr>
      <w:spacing w:before="0" w:beforeLines="0" w:after="0" w:afterLines="0"/>
      <w:outlineLvl w:val="9"/>
    </w:pPr>
    <w:rPr>
      <w:rFonts w:ascii="宋体" w:eastAsia="宋体"/>
    </w:rPr>
  </w:style>
  <w:style w:type="paragraph" w:customStyle="1" w:styleId="167">
    <w:name w:val="标准_四级无标题"/>
    <w:basedOn w:val="99"/>
    <w:next w:val="57"/>
    <w:qFormat/>
    <w:uiPriority w:val="0"/>
    <w:rPr>
      <w:rFonts w:eastAsia="宋体"/>
    </w:rPr>
  </w:style>
  <w:style w:type="paragraph" w:customStyle="1" w:styleId="168">
    <w:name w:val="标准文件_四级无标题"/>
    <w:basedOn w:val="99"/>
    <w:qFormat/>
    <w:uiPriority w:val="0"/>
    <w:pPr>
      <w:spacing w:before="0" w:beforeLines="0" w:after="0" w:afterLines="0"/>
      <w:outlineLvl w:val="9"/>
    </w:pPr>
    <w:rPr>
      <w:rFonts w:ascii="宋体" w:hAnsi="黑体" w:eastAsia="宋体"/>
      <w:szCs w:val="52"/>
    </w:rPr>
  </w:style>
  <w:style w:type="paragraph" w:customStyle="1" w:styleId="169">
    <w:name w:val="标准文件_大写罗马数字编号列项"/>
    <w:basedOn w:val="57"/>
    <w:qFormat/>
    <w:uiPriority w:val="0"/>
    <w:pPr>
      <w:numPr>
        <w:ilvl w:val="0"/>
        <w:numId w:val="23"/>
      </w:numPr>
      <w:ind w:firstLine="0" w:firstLineChars="0"/>
    </w:pPr>
    <w:rPr>
      <w:rFonts w:ascii="Times New Roman" w:cs="Arial"/>
      <w:szCs w:val="28"/>
    </w:rPr>
  </w:style>
  <w:style w:type="paragraph" w:customStyle="1" w:styleId="170">
    <w:name w:val="标准文件_小写罗马数字编号列项"/>
    <w:basedOn w:val="57"/>
    <w:qFormat/>
    <w:uiPriority w:val="0"/>
    <w:pPr>
      <w:numPr>
        <w:ilvl w:val="0"/>
        <w:numId w:val="24"/>
      </w:numPr>
      <w:ind w:firstLine="0" w:firstLineChars="0"/>
    </w:pPr>
    <w:rPr>
      <w:rFonts w:cs="Arial"/>
      <w:szCs w:val="28"/>
    </w:rPr>
  </w:style>
  <w:style w:type="paragraph" w:customStyle="1" w:styleId="171">
    <w:name w:val="标准文件_附录标题"/>
    <w:basedOn w:val="77"/>
    <w:qFormat/>
    <w:uiPriority w:val="0"/>
    <w:pPr>
      <w:numPr>
        <w:numId w:val="0"/>
      </w:numPr>
      <w:spacing w:after="280"/>
      <w:outlineLvl w:val="9"/>
    </w:pPr>
  </w:style>
  <w:style w:type="paragraph" w:customStyle="1" w:styleId="172">
    <w:name w:val="标准文件_二级项"/>
    <w:qFormat/>
    <w:uiPriority w:val="0"/>
    <w:rPr>
      <w:rFonts w:ascii="宋体" w:hAnsi="Times New Roman" w:eastAsia="宋体" w:cs="Times New Roman"/>
      <w:sz w:val="21"/>
      <w:lang w:val="en-US" w:eastAsia="zh-CN" w:bidi="ar-SA"/>
    </w:rPr>
  </w:style>
  <w:style w:type="paragraph" w:customStyle="1" w:styleId="173">
    <w:name w:val="标准文件_三级项"/>
    <w:basedOn w:val="1"/>
    <w:qFormat/>
    <w:uiPriority w:val="0"/>
    <w:pPr>
      <w:numPr>
        <w:ilvl w:val="2"/>
        <w:numId w:val="21"/>
      </w:numPr>
      <w:spacing w:line="536870612" w:lineRule="auto"/>
    </w:pPr>
    <w:rPr>
      <w:rFonts w:ascii="Times New Roman" w:hAnsi="Times New Roman"/>
    </w:rPr>
  </w:style>
  <w:style w:type="paragraph" w:customStyle="1" w:styleId="174">
    <w:name w:val="图表脚注说明"/>
    <w:basedOn w:val="1"/>
    <w:next w:val="57"/>
    <w:qFormat/>
    <w:uiPriority w:val="0"/>
    <w:pPr>
      <w:numPr>
        <w:ilvl w:val="0"/>
        <w:numId w:val="25"/>
      </w:numPr>
      <w:adjustRightInd/>
      <w:spacing w:line="240" w:lineRule="auto"/>
    </w:pPr>
    <w:rPr>
      <w:rFonts w:ascii="宋体" w:hAnsi="Times New Roman"/>
      <w:sz w:val="18"/>
      <w:szCs w:val="18"/>
    </w:rPr>
  </w:style>
  <w:style w:type="paragraph" w:customStyle="1" w:styleId="175">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6">
    <w:name w:val="标准文件_索引字母"/>
    <w:next w:val="57"/>
    <w:qFormat/>
    <w:uiPriority w:val="0"/>
    <w:pPr>
      <w:jc w:val="center"/>
    </w:pPr>
    <w:rPr>
      <w:rFonts w:ascii="宋体" w:hAnsi="宋体" w:eastAsia="Times New Roman" w:cs="Times New Roman"/>
      <w:b/>
      <w:kern w:val="2"/>
      <w:sz w:val="21"/>
      <w:lang w:val="en-US" w:eastAsia="zh-CN" w:bidi="ar-SA"/>
    </w:rPr>
  </w:style>
  <w:style w:type="paragraph" w:customStyle="1" w:styleId="177">
    <w:name w:val="标准文件_附录前"/>
    <w:next w:val="5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8">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9">
    <w:name w:val="标准文件_表格"/>
    <w:basedOn w:val="57"/>
    <w:qFormat/>
    <w:uiPriority w:val="0"/>
    <w:pPr>
      <w:ind w:firstLine="0" w:firstLineChars="0"/>
      <w:jc w:val="center"/>
    </w:pPr>
    <w:rPr>
      <w:sz w:val="18"/>
    </w:rPr>
  </w:style>
  <w:style w:type="paragraph" w:customStyle="1" w:styleId="180">
    <w:name w:val="标准文件_注："/>
    <w:next w:val="57"/>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示例："/>
    <w:next w:val="183"/>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3">
    <w:name w:val="标准文件_示例内容"/>
    <w:basedOn w:val="57"/>
    <w:qFormat/>
    <w:uiPriority w:val="0"/>
    <w:pPr>
      <w:ind w:firstLine="420"/>
    </w:pPr>
    <w:rPr>
      <w:sz w:val="18"/>
    </w:rPr>
  </w:style>
  <w:style w:type="paragraph" w:customStyle="1" w:styleId="184">
    <w:name w:val="标准文件_示例×："/>
    <w:basedOn w:val="1"/>
    <w:next w:val="183"/>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5">
    <w:name w:val="标准文件_段 Char"/>
    <w:link w:val="57"/>
    <w:qFormat/>
    <w:uiPriority w:val="0"/>
    <w:rPr>
      <w:rFonts w:ascii="宋体" w:hAnsi="Times New Roman"/>
      <w:sz w:val="21"/>
    </w:rPr>
  </w:style>
  <w:style w:type="paragraph" w:customStyle="1" w:styleId="186">
    <w:name w:val="标准文件_表格续"/>
    <w:basedOn w:val="57"/>
    <w:next w:val="57"/>
    <w:qFormat/>
    <w:uiPriority w:val="0"/>
    <w:pPr>
      <w:jc w:val="center"/>
    </w:pPr>
    <w:rPr>
      <w:rFonts w:ascii="黑体" w:hAnsi="黑体" w:eastAsia="黑体"/>
    </w:rPr>
  </w:style>
  <w:style w:type="character" w:styleId="187">
    <w:name w:val="Placeholder Text"/>
    <w:basedOn w:val="29"/>
    <w:semiHidden/>
    <w:qFormat/>
    <w:uiPriority w:val="99"/>
    <w:rPr>
      <w:color w:val="808080"/>
    </w:rPr>
  </w:style>
  <w:style w:type="paragraph" w:customStyle="1" w:styleId="188">
    <w:name w:val="标准文件_二级项2"/>
    <w:basedOn w:val="57"/>
    <w:qFormat/>
    <w:uiPriority w:val="0"/>
    <w:pPr>
      <w:numPr>
        <w:ilvl w:val="1"/>
        <w:numId w:val="21"/>
      </w:numPr>
      <w:ind w:firstLine="0" w:firstLineChars="0"/>
    </w:pPr>
  </w:style>
  <w:style w:type="paragraph" w:customStyle="1" w:styleId="189">
    <w:name w:val="标准文件_三级项2"/>
    <w:basedOn w:val="57"/>
    <w:qFormat/>
    <w:uiPriority w:val="0"/>
    <w:pPr>
      <w:numPr>
        <w:ilvl w:val="0"/>
        <w:numId w:val="30"/>
      </w:numPr>
      <w:spacing w:line="300" w:lineRule="exact"/>
      <w:ind w:firstLineChars="0"/>
    </w:pPr>
    <w:rPr>
      <w:rFonts w:ascii="Times New Roman"/>
    </w:rPr>
  </w:style>
  <w:style w:type="paragraph" w:customStyle="1" w:styleId="190">
    <w:name w:val="标准文件_一级项2"/>
    <w:basedOn w:val="57"/>
    <w:qFormat/>
    <w:uiPriority w:val="0"/>
    <w:pPr>
      <w:numPr>
        <w:ilvl w:val="0"/>
        <w:numId w:val="31"/>
      </w:numPr>
      <w:spacing w:line="300" w:lineRule="exact"/>
      <w:ind w:firstLineChars="0"/>
    </w:pPr>
    <w:rPr>
      <w:rFonts w:ascii="Times New Roman"/>
    </w:rPr>
  </w:style>
  <w:style w:type="paragraph" w:customStyle="1" w:styleId="191">
    <w:name w:val="标准文件_提示"/>
    <w:basedOn w:val="57"/>
    <w:next w:val="57"/>
    <w:qFormat/>
    <w:uiPriority w:val="0"/>
    <w:pPr>
      <w:ind w:firstLine="420"/>
    </w:pPr>
    <w:rPr>
      <w:rFonts w:ascii="黑体" w:eastAsia="黑体"/>
    </w:rPr>
  </w:style>
  <w:style w:type="character" w:customStyle="1" w:styleId="192">
    <w:name w:val="标准文件_来源"/>
    <w:basedOn w:val="29"/>
    <w:qFormat/>
    <w:uiPriority w:val="1"/>
    <w:rPr>
      <w:rFonts w:eastAsia="宋体"/>
      <w:sz w:val="21"/>
    </w:rPr>
  </w:style>
  <w:style w:type="paragraph" w:customStyle="1" w:styleId="19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4">
    <w:name w:val="其他发布日期"/>
    <w:basedOn w:val="121"/>
    <w:qFormat/>
    <w:uiPriority w:val="0"/>
    <w:pPr>
      <w:framePr w:w="3997" w:h="471" w:hRule="exact" w:hSpace="0" w:vSpace="181" w:wrap="around" w:vAnchor="page" w:hAnchor="page" w:x="1419" w:y="14097"/>
    </w:pPr>
  </w:style>
  <w:style w:type="paragraph" w:customStyle="1" w:styleId="195">
    <w:name w:val="其他实施日期"/>
    <w:basedOn w:val="155"/>
    <w:qFormat/>
    <w:uiPriority w:val="0"/>
    <w:pPr>
      <w:framePr w:w="3997" w:h="471" w:hRule="exact" w:vSpace="181" w:wrap="around" w:vAnchor="page" w:hAnchor="page" w:x="7089" w:y="14097"/>
    </w:pPr>
  </w:style>
  <w:style w:type="paragraph" w:customStyle="1" w:styleId="196">
    <w:name w:val="标准文件_文件编号"/>
    <w:basedOn w:val="57"/>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7">
    <w:name w:val="标准文件_替换文件编号"/>
    <w:basedOn w:val="196"/>
    <w:qFormat/>
    <w:uiPriority w:val="0"/>
    <w:pPr>
      <w:spacing w:before="57"/>
    </w:pPr>
    <w:rPr>
      <w:sz w:val="21"/>
    </w:rPr>
  </w:style>
  <w:style w:type="paragraph" w:customStyle="1" w:styleId="198">
    <w:name w:val="标准文件_文件名称"/>
    <w:basedOn w:val="57"/>
    <w:next w:val="57"/>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9">
    <w:name w:val="标准文件_附录图标号"/>
    <w:basedOn w:val="57"/>
    <w:next w:val="57"/>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0">
    <w:name w:val="标准文件_附录表标号"/>
    <w:basedOn w:val="57"/>
    <w:next w:val="57"/>
    <w:qFormat/>
    <w:uiPriority w:val="0"/>
    <w:pPr>
      <w:numPr>
        <w:ilvl w:val="0"/>
        <w:numId w:val="5"/>
      </w:numPr>
      <w:spacing w:line="14" w:lineRule="exact"/>
      <w:ind w:firstLine="0" w:firstLineChars="0"/>
      <w:jc w:val="center"/>
    </w:pPr>
    <w:rPr>
      <w:rFonts w:eastAsia="黑体"/>
      <w:vanish/>
      <w:sz w:val="2"/>
    </w:rPr>
  </w:style>
  <w:style w:type="paragraph" w:customStyle="1" w:styleId="201">
    <w:name w:val="标准文件_引言一级条标题"/>
    <w:basedOn w:val="57"/>
    <w:next w:val="57"/>
    <w:qFormat/>
    <w:uiPriority w:val="0"/>
    <w:pPr>
      <w:numPr>
        <w:ilvl w:val="1"/>
        <w:numId w:val="8"/>
      </w:numPr>
      <w:spacing w:before="50" w:beforeLines="50" w:after="50" w:afterLines="50"/>
      <w:ind w:firstLineChars="0"/>
    </w:pPr>
    <w:rPr>
      <w:rFonts w:ascii="黑体" w:eastAsia="黑体"/>
    </w:rPr>
  </w:style>
  <w:style w:type="paragraph" w:customStyle="1" w:styleId="202">
    <w:name w:val="标准文件_引言二级条标题"/>
    <w:basedOn w:val="57"/>
    <w:next w:val="57"/>
    <w:qFormat/>
    <w:uiPriority w:val="0"/>
    <w:pPr>
      <w:numPr>
        <w:ilvl w:val="2"/>
        <w:numId w:val="8"/>
      </w:numPr>
      <w:spacing w:before="50" w:beforeLines="50" w:after="50" w:afterLines="50"/>
      <w:ind w:firstLineChars="0"/>
    </w:pPr>
    <w:rPr>
      <w:rFonts w:ascii="黑体" w:eastAsia="黑体"/>
    </w:rPr>
  </w:style>
  <w:style w:type="paragraph" w:customStyle="1" w:styleId="203">
    <w:name w:val="标准文件_引言三级条标题"/>
    <w:basedOn w:val="57"/>
    <w:next w:val="57"/>
    <w:qFormat/>
    <w:uiPriority w:val="0"/>
    <w:pPr>
      <w:numPr>
        <w:ilvl w:val="3"/>
        <w:numId w:val="8"/>
      </w:numPr>
      <w:spacing w:before="50" w:beforeLines="50" w:after="50" w:afterLines="50"/>
      <w:ind w:firstLineChars="0"/>
    </w:pPr>
    <w:rPr>
      <w:rFonts w:ascii="黑体" w:eastAsia="黑体"/>
    </w:rPr>
  </w:style>
  <w:style w:type="paragraph" w:customStyle="1" w:styleId="204">
    <w:name w:val="标准文件_引言四级条标题"/>
    <w:basedOn w:val="57"/>
    <w:next w:val="57"/>
    <w:qFormat/>
    <w:uiPriority w:val="0"/>
    <w:pPr>
      <w:numPr>
        <w:ilvl w:val="4"/>
        <w:numId w:val="8"/>
      </w:numPr>
      <w:spacing w:before="50" w:beforeLines="50" w:after="50" w:afterLines="50"/>
      <w:ind w:firstLineChars="0"/>
    </w:pPr>
    <w:rPr>
      <w:rFonts w:ascii="黑体" w:eastAsia="黑体"/>
    </w:rPr>
  </w:style>
  <w:style w:type="paragraph" w:customStyle="1" w:styleId="205">
    <w:name w:val="标准文件_引言五级条标题"/>
    <w:basedOn w:val="57"/>
    <w:next w:val="57"/>
    <w:qFormat/>
    <w:uiPriority w:val="0"/>
    <w:pPr>
      <w:numPr>
        <w:ilvl w:val="5"/>
        <w:numId w:val="8"/>
      </w:numPr>
      <w:spacing w:before="50" w:beforeLines="50" w:after="50" w:afterLines="50"/>
      <w:ind w:firstLineChars="0"/>
    </w:pPr>
    <w:rPr>
      <w:rFonts w:ascii="黑体" w:eastAsia="黑体"/>
    </w:rPr>
  </w:style>
  <w:style w:type="paragraph" w:customStyle="1" w:styleId="206">
    <w:name w:val="标准文件_注后"/>
    <w:basedOn w:val="57"/>
    <w:qFormat/>
    <w:uiPriority w:val="0"/>
    <w:pPr>
      <w:ind w:left="811" w:firstLine="0" w:firstLineChars="0"/>
    </w:pPr>
    <w:rPr>
      <w:sz w:val="18"/>
    </w:rPr>
  </w:style>
  <w:style w:type="paragraph" w:customStyle="1" w:styleId="207">
    <w:name w:val="标准文件_注X后"/>
    <w:basedOn w:val="57"/>
    <w:qFormat/>
    <w:uiPriority w:val="0"/>
    <w:pPr>
      <w:ind w:left="811" w:firstLine="0" w:firstLineChars="0"/>
    </w:pPr>
    <w:rPr>
      <w:sz w:val="18"/>
    </w:rPr>
  </w:style>
  <w:style w:type="paragraph" w:customStyle="1" w:styleId="208">
    <w:name w:val="标准文件_示例后"/>
    <w:basedOn w:val="57"/>
    <w:qFormat/>
    <w:uiPriority w:val="0"/>
    <w:pPr>
      <w:ind w:left="964" w:firstLine="0" w:firstLineChars="0"/>
    </w:pPr>
    <w:rPr>
      <w:sz w:val="18"/>
    </w:rPr>
  </w:style>
  <w:style w:type="paragraph" w:customStyle="1" w:styleId="209">
    <w:name w:val="标准文件_示例X后"/>
    <w:basedOn w:val="57"/>
    <w:link w:val="210"/>
    <w:qFormat/>
    <w:uiPriority w:val="0"/>
    <w:pPr>
      <w:ind w:left="1049" w:firstLine="0" w:firstLineChars="0"/>
    </w:pPr>
    <w:rPr>
      <w:sz w:val="18"/>
    </w:rPr>
  </w:style>
  <w:style w:type="character" w:customStyle="1" w:styleId="210">
    <w:name w:val="标准文件_示例X后 字符"/>
    <w:basedOn w:val="185"/>
    <w:link w:val="209"/>
    <w:qFormat/>
    <w:uiPriority w:val="0"/>
    <w:rPr>
      <w:rFonts w:ascii="宋体" w:hAnsi="Times New Roman"/>
      <w:sz w:val="18"/>
    </w:rPr>
  </w:style>
  <w:style w:type="paragraph" w:customStyle="1" w:styleId="211">
    <w:name w:val="标准文件_索引项"/>
    <w:basedOn w:val="57"/>
    <w:next w:val="57"/>
    <w:qFormat/>
    <w:uiPriority w:val="0"/>
    <w:pPr>
      <w:tabs>
        <w:tab w:val="right" w:leader="dot" w:pos="9356"/>
      </w:tabs>
      <w:ind w:left="210" w:hanging="210" w:firstLineChars="0"/>
      <w:jc w:val="left"/>
    </w:pPr>
  </w:style>
  <w:style w:type="paragraph" w:customStyle="1" w:styleId="212">
    <w:name w:val="标准文件_附录一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二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三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四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五级无标题"/>
    <w:basedOn w:val="85"/>
    <w:qFormat/>
    <w:uiPriority w:val="0"/>
    <w:pPr>
      <w:spacing w:before="0" w:beforeLines="0" w:after="0" w:afterLines="0" w:line="276" w:lineRule="auto"/>
      <w:outlineLvl w:val="9"/>
    </w:pPr>
    <w:rPr>
      <w:rFonts w:ascii="宋体" w:eastAsia="宋体"/>
    </w:rPr>
  </w:style>
  <w:style w:type="paragraph" w:customStyle="1" w:styleId="217">
    <w:name w:val="标准文件_引言一级无标题"/>
    <w:basedOn w:val="201"/>
    <w:next w:val="57"/>
    <w:qFormat/>
    <w:uiPriority w:val="0"/>
    <w:pPr>
      <w:spacing w:before="0" w:beforeLines="0" w:after="0" w:afterLines="0" w:line="276" w:lineRule="auto"/>
    </w:pPr>
    <w:rPr>
      <w:rFonts w:ascii="宋体" w:eastAsia="宋体"/>
    </w:rPr>
  </w:style>
  <w:style w:type="paragraph" w:customStyle="1" w:styleId="218">
    <w:name w:val="标准文件_引言二级无标题"/>
    <w:basedOn w:val="202"/>
    <w:next w:val="57"/>
    <w:qFormat/>
    <w:uiPriority w:val="0"/>
    <w:pPr>
      <w:spacing w:before="0" w:beforeLines="0" w:after="0" w:afterLines="0" w:line="276" w:lineRule="auto"/>
    </w:pPr>
    <w:rPr>
      <w:rFonts w:ascii="宋体" w:eastAsia="宋体"/>
    </w:rPr>
  </w:style>
  <w:style w:type="paragraph" w:customStyle="1" w:styleId="219">
    <w:name w:val="标准文件_引言三级无标题"/>
    <w:basedOn w:val="203"/>
    <w:qFormat/>
    <w:uiPriority w:val="0"/>
    <w:pPr>
      <w:spacing w:before="0" w:beforeLines="0" w:after="0" w:afterLines="0" w:line="276" w:lineRule="auto"/>
    </w:pPr>
    <w:rPr>
      <w:rFonts w:ascii="宋体" w:eastAsia="宋体"/>
    </w:rPr>
  </w:style>
  <w:style w:type="paragraph" w:customStyle="1" w:styleId="220">
    <w:name w:val="标准文件_引言四级无标题"/>
    <w:basedOn w:val="204"/>
    <w:next w:val="57"/>
    <w:qFormat/>
    <w:uiPriority w:val="0"/>
    <w:pPr>
      <w:spacing w:before="0" w:beforeLines="0" w:after="0" w:afterLines="0" w:line="276" w:lineRule="auto"/>
    </w:pPr>
    <w:rPr>
      <w:rFonts w:ascii="宋体" w:eastAsia="宋体"/>
    </w:rPr>
  </w:style>
  <w:style w:type="paragraph" w:customStyle="1" w:styleId="221">
    <w:name w:val="标准文件_引言五级无标题"/>
    <w:basedOn w:val="205"/>
    <w:next w:val="57"/>
    <w:qFormat/>
    <w:uiPriority w:val="0"/>
    <w:pPr>
      <w:spacing w:before="0" w:beforeLines="0" w:after="0" w:afterLines="0" w:line="276" w:lineRule="auto"/>
    </w:pPr>
    <w:rPr>
      <w:rFonts w:ascii="宋体" w:eastAsia="宋体"/>
    </w:rPr>
  </w:style>
  <w:style w:type="paragraph" w:customStyle="1" w:styleId="222">
    <w:name w:val="标准文件_索引标题"/>
    <w:basedOn w:val="64"/>
    <w:next w:val="57"/>
    <w:qFormat/>
    <w:uiPriority w:val="0"/>
    <w:rPr>
      <w:rFonts w:hAnsi="黑体"/>
    </w:rPr>
  </w:style>
  <w:style w:type="paragraph" w:customStyle="1" w:styleId="223">
    <w:name w:val="标准文件_脚注内容"/>
    <w:basedOn w:val="57"/>
    <w:qFormat/>
    <w:uiPriority w:val="0"/>
    <w:pPr>
      <w:ind w:left="400" w:leftChars="200" w:hanging="200" w:hangingChars="200"/>
    </w:pPr>
    <w:rPr>
      <w:sz w:val="15"/>
    </w:rPr>
  </w:style>
  <w:style w:type="paragraph" w:customStyle="1" w:styleId="224">
    <w:name w:val="标准文件_术语条一"/>
    <w:basedOn w:val="163"/>
    <w:next w:val="57"/>
    <w:qFormat/>
    <w:uiPriority w:val="0"/>
  </w:style>
  <w:style w:type="paragraph" w:customStyle="1" w:styleId="225">
    <w:name w:val="标准文件_术语条二"/>
    <w:basedOn w:val="166"/>
    <w:next w:val="57"/>
    <w:qFormat/>
    <w:uiPriority w:val="0"/>
  </w:style>
  <w:style w:type="paragraph" w:customStyle="1" w:styleId="226">
    <w:name w:val="标准文件_术语条三"/>
    <w:basedOn w:val="165"/>
    <w:next w:val="57"/>
    <w:qFormat/>
    <w:uiPriority w:val="0"/>
  </w:style>
  <w:style w:type="paragraph" w:customStyle="1" w:styleId="227">
    <w:name w:val="标准文件_术语条四"/>
    <w:basedOn w:val="168"/>
    <w:next w:val="57"/>
    <w:qFormat/>
    <w:uiPriority w:val="0"/>
  </w:style>
  <w:style w:type="paragraph" w:customStyle="1" w:styleId="228">
    <w:name w:val="标准文件_术语条五"/>
    <w:basedOn w:val="164"/>
    <w:next w:val="57"/>
    <w:qFormat/>
    <w:uiPriority w:val="0"/>
  </w:style>
  <w:style w:type="paragraph" w:customStyle="1" w:styleId="2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0">
    <w:name w:val="发布"/>
    <w:basedOn w:val="29"/>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jpeg"/><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C6E4671127042B9ABA0572C04AA079A"/>
        <w:style w:val=""/>
        <w:category>
          <w:name w:val="常规"/>
          <w:gallery w:val="placeholder"/>
        </w:category>
        <w:types>
          <w:type w:val="bbPlcHdr"/>
        </w:types>
        <w:behaviors>
          <w:behavior w:val="content"/>
        </w:behaviors>
        <w:description w:val=""/>
        <w:guid w:val="{056B7788-ECBE-4AFB-9433-3358C7F5B108}"/>
      </w:docPartPr>
      <w:docPartBody>
        <w:p w14:paraId="585CA451">
          <w:pPr>
            <w:pStyle w:val="5"/>
            <w:rPr>
              <w:rFonts w:hint="eastAsia"/>
            </w:rPr>
          </w:pPr>
          <w:r>
            <w:rPr>
              <w:rStyle w:val="4"/>
              <w:rFonts w:hint="eastAsia"/>
            </w:rPr>
            <w:t>单击或点击此处输入文字。</w:t>
          </w:r>
        </w:p>
      </w:docPartBody>
    </w:docPart>
    <w:docPart>
      <w:docPartPr>
        <w:name w:val="D58D67062FDA4679A405CDF148A93CFA"/>
        <w:style w:val=""/>
        <w:category>
          <w:name w:val="常规"/>
          <w:gallery w:val="placeholder"/>
        </w:category>
        <w:types>
          <w:type w:val="bbPlcHdr"/>
        </w:types>
        <w:behaviors>
          <w:behavior w:val="content"/>
        </w:behaviors>
        <w:description w:val=""/>
        <w:guid w:val="{9E8A8382-F7EA-4F69-9543-F65FF73E877A}"/>
      </w:docPartPr>
      <w:docPartBody>
        <w:p w14:paraId="3188FA55">
          <w:pPr>
            <w:pStyle w:val="6"/>
            <w:rPr>
              <w:rFonts w:hint="eastAsia"/>
            </w:rPr>
          </w:pPr>
          <w:r>
            <w:rPr>
              <w:rStyle w:val="4"/>
              <w:rFonts w:hint="eastAsia"/>
            </w:rPr>
            <w:t>选择一项。</w:t>
          </w:r>
        </w:p>
      </w:docPartBody>
    </w:docPart>
    <w:docPart>
      <w:docPartPr>
        <w:name w:val="8AF1B583D6BF4C52A3124C63BF0B4C52"/>
        <w:style w:val=""/>
        <w:category>
          <w:name w:val="常规"/>
          <w:gallery w:val="placeholder"/>
        </w:category>
        <w:types>
          <w:type w:val="bbPlcHdr"/>
        </w:types>
        <w:behaviors>
          <w:behavior w:val="content"/>
        </w:behaviors>
        <w:description w:val=""/>
        <w:guid w:val="{02AE5A8B-0FEE-46A2-B637-91AB3EF6567F}"/>
      </w:docPartPr>
      <w:docPartBody>
        <w:p w14:paraId="678B6EB1">
          <w:pPr>
            <w:pStyle w:val="7"/>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AC8"/>
    <w:rsid w:val="00060055"/>
    <w:rsid w:val="000607A3"/>
    <w:rsid w:val="002121FB"/>
    <w:rsid w:val="00266B31"/>
    <w:rsid w:val="00271FDA"/>
    <w:rsid w:val="002F28B2"/>
    <w:rsid w:val="003752FE"/>
    <w:rsid w:val="0041352D"/>
    <w:rsid w:val="00741C4C"/>
    <w:rsid w:val="00766545"/>
    <w:rsid w:val="007B5CE5"/>
    <w:rsid w:val="008113E1"/>
    <w:rsid w:val="009F6E6F"/>
    <w:rsid w:val="00B21616"/>
    <w:rsid w:val="00BB0BBA"/>
    <w:rsid w:val="00BF7D58"/>
    <w:rsid w:val="00C8220C"/>
    <w:rsid w:val="00C9021C"/>
    <w:rsid w:val="00D14662"/>
    <w:rsid w:val="00D36452"/>
    <w:rsid w:val="00D47691"/>
    <w:rsid w:val="00E50259"/>
    <w:rsid w:val="00E73A62"/>
    <w:rsid w:val="00FC2A70"/>
    <w:rsid w:val="00FC2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EC6E4671127042B9ABA0572C04AA079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D58D67062FDA4679A405CDF148A93CF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8AF1B583D6BF4C52A3124C63BF0B4C5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51</Pages>
  <Words>10314</Words>
  <Characters>11467</Characters>
  <Lines>338</Lines>
  <Paragraphs>95</Paragraphs>
  <TotalTime>243</TotalTime>
  <ScaleCrop>false</ScaleCrop>
  <LinksUpToDate>false</LinksUpToDate>
  <CharactersWithSpaces>11781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2025-03-14T07:47:00Z</dcterms:created>
  <dc:creator>xtt</dc:creator>
  <dc:description>&lt;config cover="true" show_menu="true" version="1.0.0" doctype="SDKXY"&gt;_x000d_
&lt;/config&gt;</dc:description>
  <cp:lastModifiedBy>L.A.DYT</cp:lastModifiedBy>
  <cp:lastPrinted>2025-04-16T08:24:00Z</cp:lastPrinted>
  <dcterms:modified xsi:type="dcterms:W3CDTF">2025-04-17T05:20:56Z</dcterms:modified>
  <dc:title>地方标准</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eyJoZGlkIjoiMDYzNDk2YjdjNDVjOGJjYjQ4YzlmNWRlNTQwYzIyNTkiLCJ1c2VySWQiOiI0MzU0NjI0MjgifQ==</vt:lpwstr>
  </property>
  <property fmtid="{D5CDD505-2E9C-101B-9397-08002B2CF9AE}" pid="15" name="KSOProductBuildVer">
    <vt:lpwstr>2052-12.1.0.20784</vt:lpwstr>
  </property>
  <property fmtid="{D5CDD505-2E9C-101B-9397-08002B2CF9AE}" pid="16" name="ICV">
    <vt:lpwstr>EF72AF2561A547F78EE9B5EDBC4D71E7_13</vt:lpwstr>
  </property>
</Properties>
</file>