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52B91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FFAE79D">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3794637A">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43.020</w:t>
            </w:r>
            <w:r>
              <w:rPr>
                <w:rFonts w:ascii="黑体" w:hAnsi="黑体" w:eastAsia="黑体"/>
                <w:sz w:val="21"/>
                <w:szCs w:val="21"/>
              </w:rPr>
              <w:t xml:space="preserve"> </w:t>
            </w:r>
            <w:r>
              <w:rPr>
                <w:rFonts w:ascii="黑体" w:hAnsi="黑体" w:eastAsia="黑体"/>
                <w:sz w:val="21"/>
                <w:szCs w:val="21"/>
              </w:rPr>
              <w:fldChar w:fldCharType="end"/>
            </w:r>
            <w:bookmarkEnd w:id="0"/>
          </w:p>
        </w:tc>
      </w:tr>
      <w:tr w14:paraId="3ED6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20CCB4F">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5FE066D8">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T40</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74DCE1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417306E9">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3205</w:t>
            </w:r>
            <w:r>
              <w:fldChar w:fldCharType="end"/>
            </w:r>
            <w:bookmarkEnd w:id="3"/>
          </w:p>
        </w:tc>
      </w:tr>
    </w:tbl>
    <w:p w14:paraId="58CE4D8F">
      <w:pPr>
        <w:pStyle w:val="50"/>
        <w:framePr w:w="9639" w:h="624" w:hRule="exact" w:hSpace="181" w:vSpace="181" w:wrap="around"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苏州市</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7D823EB0">
      <w:pPr>
        <w:pStyle w:val="195"/>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08ABDAAE">
      <w:pPr>
        <w:pStyle w:val="196"/>
        <w:framePr/>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43F0F8B0">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E81499D">
      <w:pPr>
        <w:pStyle w:val="50"/>
        <w:framePr w:w="9639" w:h="6976" w:hRule="exact" w:hSpace="0" w:vSpace="0" w:wrap="around" w:hAnchor="page" w:y="6408"/>
        <w:jc w:val="center"/>
        <w:rPr>
          <w:rFonts w:hint="eastAsia" w:ascii="黑体" w:hAnsi="黑体" w:eastAsia="黑体"/>
          <w:b w:val="0"/>
          <w:bCs w:val="0"/>
          <w:w w:val="100"/>
        </w:rPr>
      </w:pPr>
    </w:p>
    <w:p w14:paraId="10F1BF11">
      <w:pPr>
        <w:pStyle w:val="197"/>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车路协同路侧设施建设规范</w:t>
      </w:r>
      <w:r>
        <w:fldChar w:fldCharType="end"/>
      </w:r>
      <w:bookmarkEnd w:id="9"/>
    </w:p>
    <w:p w14:paraId="253B970A">
      <w:pPr>
        <w:framePr w:w="9639" w:h="6974" w:hRule="exact" w:wrap="around" w:vAnchor="page" w:hAnchor="page" w:x="1419" w:y="6408" w:anchorLock="1"/>
        <w:ind w:left="-1418"/>
      </w:pPr>
    </w:p>
    <w:p w14:paraId="7A1E2662">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Construction specification for roadside facilities of vehicle road cooperation</w:t>
      </w:r>
      <w:r>
        <w:rPr>
          <w:rFonts w:ascii="黑体" w:hAnsi="黑体" w:eastAsia="黑体"/>
          <w:szCs w:val="28"/>
        </w:rPr>
        <w:fldChar w:fldCharType="end"/>
      </w:r>
      <w:bookmarkEnd w:id="10"/>
    </w:p>
    <w:p w14:paraId="71B36FF0">
      <w:pPr>
        <w:framePr w:w="9639" w:h="6974" w:hRule="exact" w:wrap="around" w:vAnchor="page" w:hAnchor="page" w:x="1419" w:y="6408" w:anchorLock="1"/>
        <w:spacing w:line="760" w:lineRule="exact"/>
        <w:ind w:left="-1418"/>
      </w:pPr>
    </w:p>
    <w:p w14:paraId="0BDA5196">
      <w:pPr>
        <w:pStyle w:val="125"/>
        <w:framePr w:w="9639" w:h="6974" w:hRule="exact" w:wrap="around" w:vAnchor="page" w:hAnchor="page" w:x="1419" w:y="6408" w:anchorLock="1"/>
        <w:textAlignment w:val="bottom"/>
        <w:rPr>
          <w:rFonts w:eastAsia="黑体"/>
          <w:szCs w:val="28"/>
        </w:rPr>
      </w:pPr>
    </w:p>
    <w:p w14:paraId="5178A3A9">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1C2B5EC4">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46DF4CE9">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7F9659F6">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460631F8">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76B7DDD1">
      <w:pPr>
        <w:pStyle w:val="151"/>
        <w:framePr w:h="584" w:hRule="exact" w:hSpace="181" w:vSpace="181" w:wrap="around"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苏州市市场监督管理局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06C59C41">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660830DE">
      <w:pPr>
        <w:pStyle w:val="91"/>
        <w:spacing w:after="468"/>
      </w:pPr>
      <w:bookmarkStart w:id="21" w:name="BookMark1"/>
      <w:r>
        <w:rPr>
          <w:rFonts w:hint="eastAsia"/>
          <w:spacing w:val="320"/>
        </w:rPr>
        <w:t>目</w:t>
      </w:r>
      <w:r>
        <w:rPr>
          <w:rFonts w:hint="eastAsia"/>
        </w:rPr>
        <w:t>次</w:t>
      </w:r>
    </w:p>
    <w:p w14:paraId="6347AAE2">
      <w:pPr>
        <w:pStyle w:val="19"/>
        <w:tabs>
          <w:tab w:val="right" w:leader="dot" w:pos="9354"/>
        </w:tabs>
      </w:pPr>
      <w:r>
        <w:fldChar w:fldCharType="begin"/>
      </w:r>
      <w:r>
        <w:instrText xml:space="preserve"> </w:instrText>
      </w:r>
      <w:r>
        <w:rPr>
          <w:rFonts w:hint="eastAsia"/>
        </w:rPr>
        <w:instrText xml:space="preserve">TOC \o "1-1" \h</w:instrText>
      </w:r>
      <w:r>
        <w:instrText xml:space="preserve"> </w:instrText>
      </w:r>
      <w:r>
        <w:fldChar w:fldCharType="separate"/>
      </w:r>
      <w:r>
        <w:fldChar w:fldCharType="begin"/>
      </w:r>
      <w:r>
        <w:instrText xml:space="preserve"> HYPERLINK \l "_Toc11007" </w:instrText>
      </w:r>
      <w:r>
        <w:fldChar w:fldCharType="separate"/>
      </w:r>
      <w:r>
        <w:rPr>
          <w:rFonts w:hint="eastAsia"/>
          <w:spacing w:val="320"/>
        </w:rPr>
        <w:t>前</w:t>
      </w:r>
      <w:r>
        <w:rPr>
          <w:rFonts w:hint="eastAsia"/>
        </w:rPr>
        <w:t>言</w:t>
      </w:r>
      <w:r>
        <w:tab/>
      </w:r>
      <w:r>
        <w:fldChar w:fldCharType="begin"/>
      </w:r>
      <w:r>
        <w:instrText xml:space="preserve"> PAGEREF _Toc11007 \h </w:instrText>
      </w:r>
      <w:r>
        <w:fldChar w:fldCharType="separate"/>
      </w:r>
      <w:r>
        <w:t>II</w:t>
      </w:r>
      <w:r>
        <w:fldChar w:fldCharType="end"/>
      </w:r>
      <w:r>
        <w:fldChar w:fldCharType="end"/>
      </w:r>
    </w:p>
    <w:p w14:paraId="4F739211">
      <w:pPr>
        <w:pStyle w:val="19"/>
        <w:tabs>
          <w:tab w:val="right" w:leader="dot" w:pos="9354"/>
        </w:tabs>
      </w:pPr>
      <w:r>
        <w:fldChar w:fldCharType="begin"/>
      </w:r>
      <w:r>
        <w:instrText xml:space="preserve"> HYPERLINK \l "_Toc24326" </w:instrText>
      </w:r>
      <w:r>
        <w:fldChar w:fldCharType="separate"/>
      </w:r>
      <w:r>
        <w:rPr>
          <w:rFonts w:hint="eastAsia" w:ascii="黑体" w:eastAsia="黑体"/>
        </w:rPr>
        <w:t xml:space="preserve">1 </w:t>
      </w:r>
      <w:r>
        <w:rPr>
          <w:rFonts w:hint="eastAsia"/>
        </w:rPr>
        <w:t>范围</w:t>
      </w:r>
      <w:r>
        <w:tab/>
      </w:r>
      <w:r>
        <w:fldChar w:fldCharType="begin"/>
      </w:r>
      <w:r>
        <w:instrText xml:space="preserve"> PAGEREF _Toc24326 \h </w:instrText>
      </w:r>
      <w:r>
        <w:fldChar w:fldCharType="separate"/>
      </w:r>
      <w:r>
        <w:t>1</w:t>
      </w:r>
      <w:r>
        <w:fldChar w:fldCharType="end"/>
      </w:r>
      <w:r>
        <w:fldChar w:fldCharType="end"/>
      </w:r>
    </w:p>
    <w:p w14:paraId="1FB77A95">
      <w:pPr>
        <w:pStyle w:val="19"/>
        <w:tabs>
          <w:tab w:val="right" w:leader="dot" w:pos="9354"/>
        </w:tabs>
      </w:pPr>
      <w:r>
        <w:fldChar w:fldCharType="begin"/>
      </w:r>
      <w:r>
        <w:instrText xml:space="preserve"> HYPERLINK \l "_Toc14320" </w:instrText>
      </w:r>
      <w:r>
        <w:fldChar w:fldCharType="separate"/>
      </w:r>
      <w:r>
        <w:rPr>
          <w:rFonts w:hint="eastAsia" w:ascii="黑体" w:eastAsia="黑体"/>
        </w:rPr>
        <w:t xml:space="preserve">2 </w:t>
      </w:r>
      <w:r>
        <w:rPr>
          <w:rFonts w:hint="eastAsia"/>
        </w:rPr>
        <w:t>规范性引用文件</w:t>
      </w:r>
      <w:r>
        <w:tab/>
      </w:r>
      <w:r>
        <w:fldChar w:fldCharType="begin"/>
      </w:r>
      <w:r>
        <w:instrText xml:space="preserve"> PAGEREF _Toc14320 \h </w:instrText>
      </w:r>
      <w:r>
        <w:fldChar w:fldCharType="separate"/>
      </w:r>
      <w:r>
        <w:t>1</w:t>
      </w:r>
      <w:r>
        <w:fldChar w:fldCharType="end"/>
      </w:r>
      <w:r>
        <w:fldChar w:fldCharType="end"/>
      </w:r>
    </w:p>
    <w:p w14:paraId="5CE668E3">
      <w:pPr>
        <w:pStyle w:val="19"/>
        <w:tabs>
          <w:tab w:val="right" w:leader="dot" w:pos="9354"/>
        </w:tabs>
      </w:pPr>
      <w:r>
        <w:fldChar w:fldCharType="begin"/>
      </w:r>
      <w:r>
        <w:instrText xml:space="preserve"> HYPERLINK \l "_Toc24676" </w:instrText>
      </w:r>
      <w:r>
        <w:fldChar w:fldCharType="separate"/>
      </w:r>
      <w:r>
        <w:rPr>
          <w:rFonts w:hint="eastAsia" w:ascii="黑体" w:eastAsia="黑体"/>
        </w:rPr>
        <w:t xml:space="preserve">3 </w:t>
      </w:r>
      <w:r>
        <w:rPr>
          <w:rFonts w:hint="eastAsia"/>
        </w:rPr>
        <w:t>术语和定义</w:t>
      </w:r>
      <w:r>
        <w:tab/>
      </w:r>
      <w:r>
        <w:fldChar w:fldCharType="begin"/>
      </w:r>
      <w:r>
        <w:instrText xml:space="preserve"> PAGEREF _Toc24676 \h </w:instrText>
      </w:r>
      <w:r>
        <w:fldChar w:fldCharType="separate"/>
      </w:r>
      <w:r>
        <w:t>1</w:t>
      </w:r>
      <w:r>
        <w:fldChar w:fldCharType="end"/>
      </w:r>
      <w:r>
        <w:fldChar w:fldCharType="end"/>
      </w:r>
    </w:p>
    <w:p w14:paraId="0E52C69A">
      <w:pPr>
        <w:pStyle w:val="19"/>
        <w:tabs>
          <w:tab w:val="right" w:leader="dot" w:pos="9354"/>
        </w:tabs>
      </w:pPr>
      <w:r>
        <w:fldChar w:fldCharType="begin"/>
      </w:r>
      <w:r>
        <w:instrText xml:space="preserve"> HYPERLINK \l "_Toc22238" </w:instrText>
      </w:r>
      <w:r>
        <w:fldChar w:fldCharType="separate"/>
      </w:r>
      <w:r>
        <w:rPr>
          <w:rFonts w:hint="eastAsia" w:ascii="黑体" w:eastAsia="黑体"/>
        </w:rPr>
        <w:t xml:space="preserve">4 </w:t>
      </w:r>
      <w:r>
        <w:rPr>
          <w:rFonts w:hint="eastAsia"/>
        </w:rPr>
        <w:t>建设总则</w:t>
      </w:r>
      <w:r>
        <w:tab/>
      </w:r>
      <w:r>
        <w:fldChar w:fldCharType="begin"/>
      </w:r>
      <w:r>
        <w:instrText xml:space="preserve"> PAGEREF _Toc22238 \h </w:instrText>
      </w:r>
      <w:r>
        <w:fldChar w:fldCharType="separate"/>
      </w:r>
      <w:r>
        <w:t>2</w:t>
      </w:r>
      <w:r>
        <w:fldChar w:fldCharType="end"/>
      </w:r>
      <w:r>
        <w:fldChar w:fldCharType="end"/>
      </w:r>
    </w:p>
    <w:p w14:paraId="1899B845">
      <w:pPr>
        <w:pStyle w:val="19"/>
        <w:tabs>
          <w:tab w:val="right" w:leader="dot" w:pos="9354"/>
        </w:tabs>
      </w:pPr>
      <w:r>
        <w:fldChar w:fldCharType="begin"/>
      </w:r>
      <w:r>
        <w:instrText xml:space="preserve"> HYPERLINK \l "_Toc18336" </w:instrText>
      </w:r>
      <w:r>
        <w:fldChar w:fldCharType="separate"/>
      </w:r>
      <w:r>
        <w:rPr>
          <w:rFonts w:hint="eastAsia" w:ascii="黑体" w:eastAsia="黑体"/>
        </w:rPr>
        <w:t xml:space="preserve">5 </w:t>
      </w:r>
      <w:r>
        <w:rPr>
          <w:rFonts w:hint="eastAsia"/>
        </w:rPr>
        <w:t>路侧设施建设内容</w:t>
      </w:r>
      <w:r>
        <w:tab/>
      </w:r>
      <w:r>
        <w:fldChar w:fldCharType="begin"/>
      </w:r>
      <w:r>
        <w:instrText xml:space="preserve"> PAGEREF _Toc18336 \h </w:instrText>
      </w:r>
      <w:r>
        <w:fldChar w:fldCharType="separate"/>
      </w:r>
      <w:r>
        <w:t>3</w:t>
      </w:r>
      <w:r>
        <w:fldChar w:fldCharType="end"/>
      </w:r>
      <w:r>
        <w:fldChar w:fldCharType="end"/>
      </w:r>
    </w:p>
    <w:p w14:paraId="5C3EFCFE">
      <w:pPr>
        <w:pStyle w:val="19"/>
        <w:tabs>
          <w:tab w:val="right" w:leader="dot" w:pos="9354"/>
        </w:tabs>
      </w:pPr>
      <w:r>
        <w:fldChar w:fldCharType="begin"/>
      </w:r>
      <w:r>
        <w:instrText xml:space="preserve"> HYPERLINK \l "_Toc19895" </w:instrText>
      </w:r>
      <w:r>
        <w:fldChar w:fldCharType="separate"/>
      </w:r>
      <w:r>
        <w:rPr>
          <w:rFonts w:hint="eastAsia" w:ascii="黑体" w:eastAsia="黑体"/>
        </w:rPr>
        <w:t xml:space="preserve">6 </w:t>
      </w:r>
      <w:r>
        <w:rPr>
          <w:rFonts w:hint="eastAsia"/>
        </w:rPr>
        <w:t>建设规范</w:t>
      </w:r>
      <w:r>
        <w:tab/>
      </w:r>
      <w:r>
        <w:fldChar w:fldCharType="begin"/>
      </w:r>
      <w:r>
        <w:instrText xml:space="preserve"> PAGEREF _Toc19895 \h </w:instrText>
      </w:r>
      <w:r>
        <w:fldChar w:fldCharType="separate"/>
      </w:r>
      <w:r>
        <w:t>4</w:t>
      </w:r>
      <w:r>
        <w:fldChar w:fldCharType="end"/>
      </w:r>
      <w:r>
        <w:fldChar w:fldCharType="end"/>
      </w:r>
    </w:p>
    <w:p w14:paraId="777C7283">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7C420E69">
      <w:pPr>
        <w:pStyle w:val="89"/>
        <w:spacing w:before="900" w:after="468"/>
      </w:pPr>
      <w:bookmarkStart w:id="22" w:name="_Toc11007"/>
      <w:bookmarkStart w:id="23" w:name="BookMark2"/>
      <w:r>
        <w:rPr>
          <w:rFonts w:hint="eastAsia"/>
          <w:spacing w:val="320"/>
        </w:rPr>
        <w:t>前</w:t>
      </w:r>
      <w:r>
        <w:rPr>
          <w:rFonts w:hint="eastAsia"/>
        </w:rPr>
        <w:t>言</w:t>
      </w:r>
      <w:bookmarkEnd w:id="22"/>
    </w:p>
    <w:p w14:paraId="0D2FD80B">
      <w:pPr>
        <w:pStyle w:val="56"/>
        <w:ind w:firstLine="420"/>
      </w:pPr>
      <w:r>
        <w:rPr>
          <w:rFonts w:hint="eastAsia"/>
        </w:rPr>
        <w:t>本文件按照GB/T 1.1—2020《标准化工作导则  第1部分：标准化文件的结构和起草规则》的规定起草。</w:t>
      </w:r>
    </w:p>
    <w:p w14:paraId="7F7FE83F">
      <w:pPr>
        <w:pStyle w:val="56"/>
        <w:ind w:firstLine="420"/>
      </w:pPr>
    </w:p>
    <w:p w14:paraId="68FDB950">
      <w:pPr>
        <w:pStyle w:val="56"/>
        <w:ind w:firstLine="420"/>
      </w:pPr>
    </w:p>
    <w:p w14:paraId="68BB18C9">
      <w:pPr>
        <w:pStyle w:val="56"/>
        <w:ind w:firstLine="420"/>
      </w:pPr>
    </w:p>
    <w:p w14:paraId="6CB2D858">
      <w:pPr>
        <w:pStyle w:val="56"/>
        <w:ind w:firstLine="420"/>
      </w:pPr>
      <w:r>
        <w:rPr>
          <w:rFonts w:hint="eastAsia"/>
        </w:rPr>
        <w:t>本文件由××××提出。</w:t>
      </w:r>
    </w:p>
    <w:p w14:paraId="24229571">
      <w:pPr>
        <w:pStyle w:val="56"/>
        <w:ind w:firstLine="420"/>
      </w:pPr>
      <w:r>
        <w:rPr>
          <w:rFonts w:hint="eastAsia"/>
        </w:rPr>
        <w:t>本文件由××××归口。</w:t>
      </w:r>
    </w:p>
    <w:p w14:paraId="5DCBD210">
      <w:pPr>
        <w:pStyle w:val="56"/>
        <w:ind w:firstLine="420"/>
      </w:pPr>
      <w:r>
        <w:rPr>
          <w:rFonts w:hint="eastAsia"/>
        </w:rPr>
        <w:t>本文件起草单位：</w:t>
      </w:r>
    </w:p>
    <w:p w14:paraId="6F468A9F">
      <w:pPr>
        <w:pStyle w:val="56"/>
        <w:ind w:firstLine="420"/>
      </w:pPr>
      <w:r>
        <w:rPr>
          <w:rFonts w:hint="eastAsia"/>
        </w:rPr>
        <w:t>本文件主要起草人：</w:t>
      </w:r>
    </w:p>
    <w:p w14:paraId="0040FBAA">
      <w:pPr>
        <w:pStyle w:val="56"/>
        <w:ind w:firstLine="420"/>
      </w:pPr>
    </w:p>
    <w:p w14:paraId="58034CA6">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3"/>
    <w:p w14:paraId="11A05660">
      <w:pPr>
        <w:spacing w:line="20" w:lineRule="exact"/>
        <w:jc w:val="center"/>
        <w:rPr>
          <w:rFonts w:hint="eastAsia" w:ascii="黑体" w:hAnsi="黑体" w:eastAsia="黑体"/>
          <w:sz w:val="32"/>
          <w:szCs w:val="32"/>
        </w:rPr>
      </w:pPr>
      <w:bookmarkStart w:id="24" w:name="BookMark4"/>
    </w:p>
    <w:p w14:paraId="4F1E491C">
      <w:pPr>
        <w:spacing w:line="20" w:lineRule="exact"/>
        <w:jc w:val="center"/>
        <w:rPr>
          <w:rFonts w:hint="eastAsia" w:ascii="黑体" w:hAnsi="黑体" w:eastAsia="黑体"/>
          <w:sz w:val="32"/>
          <w:szCs w:val="32"/>
        </w:rPr>
      </w:pPr>
    </w:p>
    <w:sdt>
      <w:sdtPr>
        <w:tag w:val="NEW_STAND_NAME"/>
        <w:id w:val="595910757"/>
        <w:lock w:val="sdtLocked"/>
        <w:placeholder>
          <w:docPart w:val="DC50646C4A864C6AA59D48BD6DD49012"/>
        </w:placeholder>
      </w:sdtPr>
      <w:sdtContent>
        <w:p w14:paraId="57E7A5C4">
          <w:pPr>
            <w:pStyle w:val="177"/>
            <w:spacing w:before="312" w:beforeLines="100" w:after="686" w:afterLines="220"/>
            <w:rPr>
              <w:rFonts w:hint="eastAsia"/>
            </w:rPr>
          </w:pPr>
          <w:bookmarkStart w:id="25" w:name="NEW_STAND_NAME"/>
          <w:r>
            <w:rPr>
              <w:rFonts w:hint="eastAsia"/>
            </w:rPr>
            <w:t>车路协同路侧设施建设规范</w:t>
          </w:r>
        </w:p>
      </w:sdtContent>
    </w:sdt>
    <w:bookmarkEnd w:id="25"/>
    <w:p w14:paraId="6CCF2DF0">
      <w:pPr>
        <w:pStyle w:val="104"/>
        <w:spacing w:before="312" w:after="312"/>
        <w:rPr>
          <w:b/>
          <w:bCs/>
        </w:rPr>
      </w:pPr>
      <w:bookmarkStart w:id="26" w:name="_Toc26986530"/>
      <w:bookmarkStart w:id="27" w:name="_Toc26986771"/>
      <w:bookmarkStart w:id="28" w:name="_Toc17233333"/>
      <w:bookmarkStart w:id="29" w:name="_Toc24884218"/>
      <w:bookmarkStart w:id="30" w:name="_Toc17233325"/>
      <w:bookmarkStart w:id="31" w:name="_Toc26718930"/>
      <w:bookmarkStart w:id="32" w:name="_Toc24326"/>
      <w:bookmarkStart w:id="33" w:name="_Toc97191423"/>
      <w:bookmarkStart w:id="34" w:name="_Toc26648465"/>
      <w:bookmarkStart w:id="35" w:name="_Toc24884211"/>
      <w:r>
        <w:rPr>
          <w:rFonts w:hint="eastAsia"/>
        </w:rPr>
        <w:t>范围</w:t>
      </w:r>
      <w:bookmarkEnd w:id="26"/>
      <w:bookmarkEnd w:id="27"/>
      <w:bookmarkEnd w:id="28"/>
      <w:bookmarkEnd w:id="29"/>
      <w:bookmarkEnd w:id="30"/>
      <w:bookmarkEnd w:id="31"/>
      <w:bookmarkEnd w:id="32"/>
      <w:bookmarkEnd w:id="33"/>
      <w:bookmarkEnd w:id="34"/>
      <w:bookmarkEnd w:id="35"/>
    </w:p>
    <w:p w14:paraId="632232F1">
      <w:pPr>
        <w:pStyle w:val="56"/>
        <w:ind w:firstLine="420"/>
        <w:rPr>
          <w:rFonts w:ascii="Times New Roman"/>
          <w:szCs w:val="21"/>
        </w:rPr>
      </w:pPr>
      <w:bookmarkStart w:id="36" w:name="_Toc24884212"/>
      <w:bookmarkStart w:id="37" w:name="_Toc17233326"/>
      <w:bookmarkStart w:id="38" w:name="_Toc24884219"/>
      <w:bookmarkStart w:id="39" w:name="_Toc26648466"/>
      <w:bookmarkStart w:id="40" w:name="_Toc17233334"/>
      <w:r>
        <w:rPr>
          <w:rFonts w:hint="eastAsia"/>
        </w:rPr>
        <w:t>本文件规定了车路协同路侧设施的建设总则、路侧设施建设内容、建设规范、准备阶段要求、实施阶段要求。</w:t>
      </w:r>
    </w:p>
    <w:p w14:paraId="320930FA">
      <w:pPr>
        <w:pStyle w:val="56"/>
        <w:ind w:firstLine="420"/>
      </w:pPr>
      <w:r>
        <w:rPr>
          <w:rFonts w:hint="eastAsia"/>
        </w:rPr>
        <w:t>本规范适用于新建、改建和扩建的车路协同路侧设施工程，包括但不限于智能信号灯、智能路牌、车联网通信基站、边缘计算设备、高精度定位设施、环境感知设备等。</w:t>
      </w:r>
    </w:p>
    <w:p w14:paraId="25A8B01A">
      <w:pPr>
        <w:pStyle w:val="104"/>
        <w:spacing w:before="312" w:after="312"/>
      </w:pPr>
      <w:bookmarkStart w:id="41" w:name="_Toc26986772"/>
      <w:bookmarkStart w:id="42" w:name="_Toc26718931"/>
      <w:bookmarkStart w:id="43" w:name="_Toc26986531"/>
      <w:bookmarkStart w:id="44" w:name="_Toc97191424"/>
      <w:bookmarkStart w:id="45" w:name="_Toc14320"/>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0D649E14E988402CB56D2EB92C51AFB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5378A1A6">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5D9F78F7">
      <w:pPr>
        <w:pStyle w:val="56"/>
        <w:ind w:firstLine="420"/>
      </w:pPr>
      <w:r>
        <w:rPr>
          <w:rFonts w:hint="eastAsia"/>
        </w:rPr>
        <w:t>GB 5768  道路交通标志和标线</w:t>
      </w:r>
    </w:p>
    <w:p w14:paraId="296F465B">
      <w:pPr>
        <w:pStyle w:val="56"/>
        <w:ind w:firstLine="420"/>
        <w:rPr>
          <w:rFonts w:hint="eastAsia"/>
        </w:rPr>
      </w:pPr>
      <w:r>
        <w:rPr>
          <w:rFonts w:hint="eastAsia"/>
        </w:rPr>
        <w:t>GB/T 40429  汽车驾驶自动化分级</w:t>
      </w:r>
    </w:p>
    <w:p w14:paraId="71D78B86">
      <w:pPr>
        <w:pStyle w:val="56"/>
        <w:ind w:firstLine="420"/>
      </w:pPr>
      <w:r>
        <w:rPr>
          <w:rFonts w:hint="eastAsia"/>
        </w:rPr>
        <w:t>YD/T 3592-2019  基于LTE的车联网无线通信技术基站设备技术要求</w:t>
      </w:r>
    </w:p>
    <w:p w14:paraId="75109680">
      <w:pPr>
        <w:pStyle w:val="56"/>
        <w:ind w:firstLine="420"/>
      </w:pPr>
      <w:r>
        <w:rPr>
          <w:rFonts w:hint="eastAsia"/>
        </w:rPr>
        <w:t>YD/T 3629-2020  基于LTE 的车联网无线通信技术基站设备测试方法</w:t>
      </w:r>
    </w:p>
    <w:p w14:paraId="0A299DD8">
      <w:pPr>
        <w:pStyle w:val="56"/>
        <w:ind w:firstLine="420"/>
      </w:pPr>
      <w:r>
        <w:rPr>
          <w:rFonts w:hint="eastAsia"/>
        </w:rPr>
        <w:t>YD/T 4770  车路协同 路侧感知系统技术要求及测试方法</w:t>
      </w:r>
    </w:p>
    <w:p w14:paraId="78E7302D">
      <w:pPr>
        <w:pStyle w:val="56"/>
        <w:ind w:firstLine="420"/>
      </w:pPr>
      <w:r>
        <w:rPr>
          <w:rFonts w:hint="eastAsia"/>
        </w:rPr>
        <w:t>DB32/T 4192-2022  车路协同路侧设施设置指南</w:t>
      </w:r>
    </w:p>
    <w:p w14:paraId="2271B308">
      <w:pPr>
        <w:pStyle w:val="56"/>
        <w:ind w:firstLine="420"/>
      </w:pPr>
      <w:r>
        <w:rPr>
          <w:rFonts w:hint="eastAsia"/>
        </w:rPr>
        <w:t>DB 4201/T 654-2022  智能网联道路建设规范（总则）</w:t>
      </w:r>
    </w:p>
    <w:p w14:paraId="2FF1CADC">
      <w:pPr>
        <w:pStyle w:val="56"/>
        <w:ind w:firstLine="420"/>
      </w:pPr>
      <w:r>
        <w:rPr>
          <w:rFonts w:hint="eastAsia"/>
        </w:rPr>
        <w:t>T/ITS 0117-2020  合作式智能运输系统 RSU与中心子系统间数据接口规范</w:t>
      </w:r>
    </w:p>
    <w:p w14:paraId="6A0016B0">
      <w:pPr>
        <w:pStyle w:val="56"/>
        <w:ind w:firstLine="420"/>
      </w:pPr>
      <w:r>
        <w:rPr>
          <w:rFonts w:hint="eastAsia"/>
        </w:rPr>
        <w:t>T/CSAE 159-2020  基于LTE 的车联网无线通信技术直连通信系统路侧单元技术要求</w:t>
      </w:r>
    </w:p>
    <w:p w14:paraId="2F9B0929">
      <w:pPr>
        <w:pStyle w:val="56"/>
        <w:ind w:firstLine="420"/>
      </w:pPr>
      <w:r>
        <w:rPr>
          <w:rFonts w:hint="eastAsia"/>
        </w:rPr>
        <w:t>T/CSAE xx-2023  智能网联汽车 路侧感知系统技术条件</w:t>
      </w:r>
    </w:p>
    <w:p w14:paraId="186AB266">
      <w:pPr>
        <w:pStyle w:val="104"/>
        <w:spacing w:before="312" w:after="312"/>
      </w:pPr>
      <w:bookmarkStart w:id="46" w:name="_Toc24676"/>
      <w:bookmarkStart w:id="47" w:name="_Toc97191425"/>
      <w:r>
        <w:rPr>
          <w:rFonts w:hint="eastAsia"/>
          <w:szCs w:val="21"/>
        </w:rPr>
        <w:t>术语和定义</w:t>
      </w:r>
      <w:bookmarkEnd w:id="46"/>
      <w:bookmarkEnd w:id="47"/>
    </w:p>
    <w:sdt>
      <w:sdtPr>
        <w:rPr>
          <w:rFonts w:hint="eastAsia"/>
        </w:rPr>
        <w:id w:val="-1909835108"/>
        <w:placeholder>
          <w:docPart w:val="FAA18ADEB2AF48CFB2468425422F4CAB"/>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14:paraId="504ABD4F">
          <w:pPr>
            <w:pStyle w:val="56"/>
            <w:ind w:firstLine="420"/>
          </w:pPr>
          <w:bookmarkStart w:id="48" w:name="_Toc26986532"/>
          <w:bookmarkEnd w:id="48"/>
          <w:r>
            <w:rPr>
              <w:rFonts w:hint="eastAsia"/>
            </w:rPr>
            <w:t>GB/T 40429界定的以及下列术语和定义适用于本文件。</w:t>
          </w:r>
        </w:p>
      </w:sdtContent>
    </w:sdt>
    <w:p w14:paraId="16E2E3F8">
      <w:pPr>
        <w:pStyle w:val="223"/>
        <w:spacing w:before="156" w:beforeLines="50" w:after="156" w:afterLines="50"/>
        <w:ind w:left="420" w:hanging="420" w:hangingChars="200"/>
        <w:rPr>
          <w:rFonts w:ascii="黑体" w:hAnsi="黑体" w:eastAsia="黑体"/>
        </w:rPr>
      </w:pPr>
    </w:p>
    <w:p w14:paraId="5E4D59C3">
      <w:pPr>
        <w:pStyle w:val="223"/>
        <w:numPr>
          <w:ilvl w:val="0"/>
          <w:numId w:val="0"/>
        </w:numPr>
        <w:ind w:left="420"/>
        <w:rPr>
          <w:rFonts w:hint="eastAsia" w:ascii="黑体" w:hAnsi="黑体" w:eastAsia="黑体"/>
        </w:rPr>
      </w:pPr>
      <w:r>
        <w:rPr>
          <w:rFonts w:hint="eastAsia" w:ascii="黑体" w:hAnsi="黑体" w:eastAsia="黑体"/>
        </w:rPr>
        <w:t>车路云一体化 v</w:t>
      </w:r>
      <w:r>
        <w:rPr>
          <w:rFonts w:ascii="黑体" w:hAnsi="黑体" w:eastAsia="黑体"/>
        </w:rPr>
        <w:t>ehicle road cloud integration</w:t>
      </w:r>
    </w:p>
    <w:p w14:paraId="5879746A">
      <w:pPr>
        <w:pStyle w:val="56"/>
        <w:ind w:firstLine="420"/>
        <w:rPr>
          <w:szCs w:val="21"/>
        </w:rPr>
      </w:pPr>
      <w:r>
        <w:rPr>
          <w:rFonts w:hint="eastAsia"/>
        </w:rPr>
        <w:t>车路云一体化系统是通过新一代信息与通信技术将人、车、路、云的物理空间、信息空间融合为一体，基于系统协同感知、决策与控制，实现智能网联汽车交通系统安全、节能、舒适及高效运行的信息物理系统。</w:t>
      </w:r>
    </w:p>
    <w:p w14:paraId="4693129E">
      <w:pPr>
        <w:pStyle w:val="223"/>
        <w:spacing w:before="156" w:beforeLines="50" w:after="156" w:afterLines="50"/>
        <w:ind w:left="420" w:hanging="420" w:hangingChars="200"/>
        <w:rPr>
          <w:rFonts w:ascii="黑体" w:hAnsi="黑体" w:eastAsia="黑体"/>
        </w:rPr>
      </w:pPr>
    </w:p>
    <w:p w14:paraId="36A37478">
      <w:pPr>
        <w:pStyle w:val="223"/>
        <w:numPr>
          <w:ilvl w:val="0"/>
          <w:numId w:val="0"/>
        </w:numPr>
        <w:ind w:left="420"/>
        <w:rPr>
          <w:rFonts w:hint="eastAsia" w:ascii="黑体" w:hAnsi="黑体" w:eastAsia="黑体"/>
        </w:rPr>
      </w:pPr>
      <w:r>
        <w:rPr>
          <w:rFonts w:hint="eastAsia" w:ascii="黑体" w:hAnsi="黑体" w:eastAsia="黑体"/>
        </w:rPr>
        <w:t>示范应用 d</w:t>
      </w:r>
      <w:r>
        <w:rPr>
          <w:rFonts w:ascii="黑体" w:hAnsi="黑体" w:eastAsia="黑体"/>
        </w:rPr>
        <w:t>emonstration application</w:t>
      </w:r>
    </w:p>
    <w:p w14:paraId="37B7FA7C">
      <w:pPr>
        <w:pStyle w:val="56"/>
        <w:ind w:firstLine="420"/>
      </w:pPr>
      <w:r>
        <w:rPr>
          <w:rFonts w:hint="eastAsia"/>
        </w:rPr>
        <w:t>在公路（包括高速公路）、城市道路、区域范围内等用于社会机动车通行的各类道路指定的路段进行的具有试点、试行效果的智能网联汽车载人载物运行活动。</w:t>
      </w:r>
    </w:p>
    <w:p w14:paraId="4D2F956B">
      <w:pPr>
        <w:pStyle w:val="223"/>
        <w:spacing w:before="156" w:beforeLines="50" w:after="156" w:afterLines="50"/>
        <w:ind w:left="420" w:hanging="420" w:hangingChars="200"/>
        <w:rPr>
          <w:rFonts w:ascii="黑体" w:hAnsi="黑体" w:eastAsia="黑体"/>
        </w:rPr>
      </w:pPr>
    </w:p>
    <w:p w14:paraId="3519227F">
      <w:pPr>
        <w:pStyle w:val="223"/>
        <w:numPr>
          <w:ilvl w:val="0"/>
          <w:numId w:val="0"/>
        </w:numPr>
        <w:ind w:left="420"/>
        <w:rPr>
          <w:rFonts w:hint="eastAsia" w:ascii="黑体" w:hAnsi="黑体" w:eastAsia="黑体"/>
        </w:rPr>
      </w:pPr>
      <w:r>
        <w:rPr>
          <w:rFonts w:hint="eastAsia" w:ascii="黑体" w:hAnsi="黑体" w:eastAsia="黑体"/>
        </w:rPr>
        <w:t>车路协同 v</w:t>
      </w:r>
      <w:r>
        <w:rPr>
          <w:rFonts w:ascii="黑体" w:hAnsi="黑体" w:eastAsia="黑体"/>
        </w:rPr>
        <w:t>ehicle road collaboration</w:t>
      </w:r>
    </w:p>
    <w:p w14:paraId="204D359C">
      <w:pPr>
        <w:pStyle w:val="56"/>
        <w:ind w:firstLine="420"/>
      </w:pPr>
      <w:r>
        <w:rPr>
          <w:rFonts w:hint="eastAsia"/>
        </w:rPr>
        <w:t>采用无线通信和新一代互联网等技术，全方位实施车车，车路实时动态信息交互，并在全时空动态交通信息采集与融合基础上，开展车辆主动安全控制和道路协同管理，从而建立保证交通安全，提高通行效率的道路交通技术。</w:t>
      </w:r>
    </w:p>
    <w:p w14:paraId="58A0058B">
      <w:pPr>
        <w:pStyle w:val="223"/>
        <w:spacing w:before="156" w:beforeLines="50" w:after="156" w:afterLines="50"/>
        <w:ind w:left="420" w:hanging="420" w:hangingChars="200"/>
        <w:rPr>
          <w:rFonts w:ascii="黑体" w:hAnsi="黑体" w:eastAsia="黑体"/>
        </w:rPr>
      </w:pPr>
    </w:p>
    <w:p w14:paraId="4D0E627C">
      <w:pPr>
        <w:pStyle w:val="223"/>
        <w:numPr>
          <w:ilvl w:val="0"/>
          <w:numId w:val="0"/>
        </w:numPr>
        <w:ind w:left="420"/>
        <w:rPr>
          <w:rFonts w:hint="eastAsia" w:ascii="黑体" w:hAnsi="黑体" w:eastAsia="黑体"/>
        </w:rPr>
      </w:pPr>
      <w:r>
        <w:rPr>
          <w:rFonts w:hint="eastAsia" w:ascii="黑体" w:hAnsi="黑体" w:eastAsia="黑体"/>
        </w:rPr>
        <w:t>交通事件检测  traffic event detective</w:t>
      </w:r>
    </w:p>
    <w:p w14:paraId="3BE50D75">
      <w:pPr>
        <w:pStyle w:val="56"/>
        <w:ind w:firstLine="420"/>
      </w:pPr>
      <w:r>
        <w:rPr>
          <w:rFonts w:hint="eastAsia"/>
        </w:rPr>
        <w:t>对道路上发生的影响车辆通行及交通安全的异常交通状况及行为进行检测，检测内容主要包括但不限于停止事件、逆行事件、行人事件、抛洒物事件、拥堵事件等典型事件种类，并及时发出预警信息。</w:t>
      </w:r>
    </w:p>
    <w:p w14:paraId="7093D472">
      <w:pPr>
        <w:pStyle w:val="104"/>
        <w:spacing w:before="312" w:after="312"/>
      </w:pPr>
      <w:r>
        <w:rPr>
          <w:rFonts w:hint="eastAsia"/>
        </w:rPr>
        <w:t>缩略语</w:t>
      </w:r>
    </w:p>
    <w:p w14:paraId="724A1FD5">
      <w:pPr>
        <w:pStyle w:val="56"/>
        <w:ind w:firstLine="420"/>
      </w:pPr>
      <w:r>
        <w:rPr>
          <w:rFonts w:hint="eastAsia"/>
        </w:rPr>
        <w:t>RSU——路侧单元。部署在路侧的通信网关，具有蜂窝网Uu，直连PC5和有线等多种通信模式，汇集车路协同路侧设施和交通参与者信息，并通过直接转发或上传至运控平台的设备。</w:t>
      </w:r>
    </w:p>
    <w:p w14:paraId="20B4297D">
      <w:pPr>
        <w:pStyle w:val="104"/>
        <w:spacing w:before="312" w:after="312"/>
      </w:pPr>
      <w:bookmarkStart w:id="49" w:name="_Toc22238"/>
      <w:r>
        <w:rPr>
          <w:rFonts w:hint="eastAsia"/>
        </w:rPr>
        <w:t>建设总则</w:t>
      </w:r>
      <w:bookmarkEnd w:id="49"/>
    </w:p>
    <w:p w14:paraId="2CE6A89D">
      <w:pPr>
        <w:pStyle w:val="105"/>
        <w:spacing w:before="156" w:after="156"/>
      </w:pPr>
      <w:r>
        <w:rPr>
          <w:rFonts w:hint="eastAsia"/>
        </w:rPr>
        <w:t>建设目的</w:t>
      </w:r>
    </w:p>
    <w:p w14:paraId="27DF6475">
      <w:pPr>
        <w:pStyle w:val="56"/>
        <w:ind w:firstLine="420"/>
      </w:pPr>
      <w:r>
        <w:rPr>
          <w:rFonts w:hint="eastAsia"/>
        </w:rPr>
        <w:t>车路协同路侧基础设施建应实现以下目标：</w:t>
      </w:r>
    </w:p>
    <w:p w14:paraId="401D92AD">
      <w:pPr>
        <w:pStyle w:val="132"/>
      </w:pPr>
      <w:r>
        <w:rPr>
          <w:rFonts w:hint="eastAsia"/>
        </w:rPr>
        <w:t>提升现有交通运行效率，提高智能网联汽车行驶安全性；</w:t>
      </w:r>
    </w:p>
    <w:p w14:paraId="4990DD33">
      <w:pPr>
        <w:pStyle w:val="132"/>
      </w:pPr>
      <w:r>
        <w:rPr>
          <w:rFonts w:hint="eastAsia"/>
        </w:rPr>
        <w:t>满足智能网联汽车实现各类应用场景的要求；</w:t>
      </w:r>
    </w:p>
    <w:p w14:paraId="5582CC03">
      <w:pPr>
        <w:pStyle w:val="132"/>
      </w:pPr>
      <w:r>
        <w:rPr>
          <w:rFonts w:hint="eastAsia"/>
        </w:rPr>
        <w:t>满足监管部门对智能网联汽车实时监管要求；</w:t>
      </w:r>
    </w:p>
    <w:p w14:paraId="15D96ACE">
      <w:pPr>
        <w:pStyle w:val="132"/>
      </w:pPr>
      <w:r>
        <w:rPr>
          <w:rFonts w:hint="eastAsia"/>
        </w:rPr>
        <w:t>提升道路交通运维管理的智能化服务水平；</w:t>
      </w:r>
    </w:p>
    <w:p w14:paraId="50E320E6">
      <w:pPr>
        <w:pStyle w:val="132"/>
      </w:pPr>
      <w:r>
        <w:rPr>
          <w:rFonts w:hint="eastAsia"/>
        </w:rPr>
        <w:t>提升弱势交通参与者的行驶安全性。</w:t>
      </w:r>
    </w:p>
    <w:p w14:paraId="3471FD02">
      <w:pPr>
        <w:pStyle w:val="105"/>
        <w:spacing w:before="156" w:after="156"/>
      </w:pPr>
      <w:r>
        <w:rPr>
          <w:rFonts w:hint="eastAsia"/>
        </w:rPr>
        <w:t>建设原则</w:t>
      </w:r>
    </w:p>
    <w:p w14:paraId="12716A01">
      <w:pPr>
        <w:pStyle w:val="65"/>
        <w:spacing w:before="156" w:after="156"/>
      </w:pPr>
      <w:r>
        <w:rPr>
          <w:rFonts w:hint="eastAsia"/>
        </w:rPr>
        <w:t>开放性</w:t>
      </w:r>
    </w:p>
    <w:p w14:paraId="23FC6B6D">
      <w:pPr>
        <w:pStyle w:val="56"/>
        <w:ind w:firstLine="420"/>
      </w:pPr>
      <w:r>
        <w:rPr>
          <w:rFonts w:hint="eastAsia"/>
        </w:rPr>
        <w:t>所选设备宜采用通用型设备，各类型设备应具备兼容性和可替代性，相关接口协议应采用国家及行业通用标准。</w:t>
      </w:r>
    </w:p>
    <w:p w14:paraId="25B1FDE1">
      <w:pPr>
        <w:pStyle w:val="65"/>
        <w:spacing w:before="156" w:after="156"/>
      </w:pPr>
      <w:r>
        <w:rPr>
          <w:rFonts w:hint="eastAsia"/>
        </w:rPr>
        <w:t>综合性</w:t>
      </w:r>
    </w:p>
    <w:p w14:paraId="38656CF1">
      <w:pPr>
        <w:pStyle w:val="56"/>
        <w:ind w:firstLine="420"/>
      </w:pPr>
      <w:r>
        <w:rPr>
          <w:rFonts w:hint="eastAsia"/>
        </w:rPr>
        <w:t>应充分考虑车路云协同系统的整体性和联动性，确保各部分基础设施之间信息互联互通，形成高效统一的系统。</w:t>
      </w:r>
    </w:p>
    <w:p w14:paraId="261128FA">
      <w:pPr>
        <w:pStyle w:val="65"/>
        <w:spacing w:before="156" w:after="156"/>
      </w:pPr>
      <w:r>
        <w:rPr>
          <w:rFonts w:hint="eastAsia"/>
        </w:rPr>
        <w:t>先进性</w:t>
      </w:r>
    </w:p>
    <w:p w14:paraId="7B5DC6F9">
      <w:pPr>
        <w:pStyle w:val="56"/>
        <w:ind w:firstLine="420"/>
      </w:pPr>
      <w:r>
        <w:rPr>
          <w:rFonts w:hint="eastAsia"/>
        </w:rPr>
        <w:t>采用信息技术、物联网技术、云计算技术、大数据分析技术等，实现道路智能化、信息化和网络化。</w:t>
      </w:r>
    </w:p>
    <w:p w14:paraId="57A73B96">
      <w:pPr>
        <w:pStyle w:val="65"/>
        <w:spacing w:before="156" w:after="156"/>
      </w:pPr>
      <w:r>
        <w:rPr>
          <w:rFonts w:hint="eastAsia"/>
        </w:rPr>
        <w:t>兼容性</w:t>
      </w:r>
    </w:p>
    <w:p w14:paraId="45A5D085">
      <w:pPr>
        <w:pStyle w:val="56"/>
        <w:ind w:firstLine="420"/>
      </w:pPr>
      <w:r>
        <w:rPr>
          <w:rFonts w:hint="eastAsia"/>
        </w:rPr>
        <w:t>涉及的应用应为不同种类的智能网联汽车提供服务，满足不同示范应用场景需求。</w:t>
      </w:r>
    </w:p>
    <w:p w14:paraId="053D4ECB">
      <w:pPr>
        <w:pStyle w:val="65"/>
        <w:spacing w:before="156" w:after="156"/>
      </w:pPr>
      <w:r>
        <w:rPr>
          <w:rFonts w:hint="eastAsia"/>
        </w:rPr>
        <w:t>安全性</w:t>
      </w:r>
    </w:p>
    <w:p w14:paraId="1C04785F">
      <w:pPr>
        <w:pStyle w:val="56"/>
        <w:ind w:firstLine="420"/>
      </w:pPr>
      <w:r>
        <w:rPr>
          <w:rFonts w:hint="eastAsia"/>
        </w:rPr>
        <w:t>在满足功能需求的同时，确保路侧设施的安全稳定运行，有效防止数据泄露和系统被攻击，保障行车安全。</w:t>
      </w:r>
    </w:p>
    <w:p w14:paraId="728A97F2">
      <w:pPr>
        <w:pStyle w:val="65"/>
        <w:spacing w:before="156" w:after="156"/>
      </w:pPr>
      <w:r>
        <w:rPr>
          <w:rFonts w:hint="eastAsia"/>
        </w:rPr>
        <w:t>利旧原则</w:t>
      </w:r>
    </w:p>
    <w:p w14:paraId="49F40B09">
      <w:pPr>
        <w:pStyle w:val="56"/>
        <w:ind w:firstLine="420"/>
      </w:pPr>
      <w:r>
        <w:rPr>
          <w:rFonts w:hint="eastAsia"/>
        </w:rPr>
        <w:t>应尽量考虑已有设施的复用，尽量采用“多杆合一”、“多感合一”、“多箱合一”的设计模式。实现既有基础设施等资产盘活复用，通过软硬件升级等方式，满足车路云一体化试点要求。</w:t>
      </w:r>
    </w:p>
    <w:p w14:paraId="3258364E">
      <w:pPr>
        <w:pStyle w:val="104"/>
        <w:spacing w:before="312" w:after="312"/>
      </w:pPr>
      <w:bookmarkStart w:id="50" w:name="_Toc18336"/>
      <w:r>
        <w:rPr>
          <w:rFonts w:hint="eastAsia"/>
        </w:rPr>
        <w:t>路侧设施建设内容</w:t>
      </w:r>
      <w:bookmarkEnd w:id="50"/>
    </w:p>
    <w:p w14:paraId="7D282699">
      <w:pPr>
        <w:pStyle w:val="56"/>
        <w:ind w:firstLine="420"/>
      </w:pPr>
      <w:r>
        <w:rPr>
          <w:rFonts w:hint="eastAsia"/>
        </w:rPr>
        <w:t>路侧设施由路侧感知系统，路侧通信系统，场站以及交通界面以及其他智慧交通设施组成。</w:t>
      </w:r>
    </w:p>
    <w:p w14:paraId="085DBABD">
      <w:pPr>
        <w:pStyle w:val="114"/>
        <w:numPr>
          <w:ilvl w:val="0"/>
          <w:numId w:val="0"/>
        </w:numPr>
        <w:spacing w:before="156" w:after="156"/>
      </w:pPr>
      <w:r>
        <w:drawing>
          <wp:inline distT="0" distB="0" distL="0" distR="0">
            <wp:extent cx="4125595" cy="1727200"/>
            <wp:effectExtent l="0" t="0" r="8255" b="6350"/>
            <wp:docPr id="9653559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55971"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158190" cy="1740742"/>
                    </a:xfrm>
                    <a:prstGeom prst="rect">
                      <a:avLst/>
                    </a:prstGeom>
                    <a:noFill/>
                    <a:ln>
                      <a:noFill/>
                    </a:ln>
                  </pic:spPr>
                </pic:pic>
              </a:graphicData>
            </a:graphic>
          </wp:inline>
        </w:drawing>
      </w:r>
    </w:p>
    <w:p w14:paraId="0ED1A195">
      <w:pPr>
        <w:pStyle w:val="114"/>
        <w:spacing w:before="156" w:after="156"/>
      </w:pPr>
      <w:r>
        <w:rPr>
          <w:rFonts w:hint="eastAsia"/>
        </w:rPr>
        <w:t>车路协同路侧设施建设内容</w:t>
      </w:r>
    </w:p>
    <w:p w14:paraId="2EB198C4">
      <w:pPr>
        <w:pStyle w:val="104"/>
        <w:spacing w:before="312" w:after="312"/>
      </w:pPr>
      <w:r>
        <w:rPr>
          <w:rFonts w:hint="eastAsia"/>
        </w:rPr>
        <w:t>设计阶段要求</w:t>
      </w:r>
    </w:p>
    <w:p w14:paraId="3368C534">
      <w:pPr>
        <w:pStyle w:val="105"/>
        <w:spacing w:before="156" w:after="156"/>
        <w:rPr>
          <w:rFonts w:hint="eastAsia"/>
        </w:rPr>
      </w:pPr>
      <w:r>
        <w:rPr>
          <w:rFonts w:hint="eastAsia"/>
        </w:rPr>
        <w:t>一般要求</w:t>
      </w:r>
    </w:p>
    <w:p w14:paraId="6E3E6F9E">
      <w:pPr>
        <w:pStyle w:val="165"/>
      </w:pPr>
      <w:r>
        <w:rPr>
          <w:rFonts w:hint="eastAsia"/>
        </w:rPr>
        <w:t>在设计阶段，建立设计专家小组，对苏州市车路云一体化系统进行顶层设计、概要设计及技术可行性评估，设计及评估成果应通过行业权威机构的专家评审，确保系统建设方案满足“车路云一体化”应用试点要求。</w:t>
      </w:r>
    </w:p>
    <w:p w14:paraId="6C4CE71F">
      <w:pPr>
        <w:pStyle w:val="165"/>
      </w:pPr>
      <w:r>
        <w:rPr>
          <w:rFonts w:hint="eastAsia"/>
        </w:rPr>
        <w:t>设计阶段应提出路侧感知系统、路侧通信系统、路侧其他智能交通系统的功能和性能指标。</w:t>
      </w:r>
    </w:p>
    <w:p w14:paraId="5D4B91A9">
      <w:pPr>
        <w:pStyle w:val="105"/>
        <w:spacing w:before="156" w:after="156"/>
      </w:pPr>
      <w:r>
        <w:rPr>
          <w:rFonts w:hint="eastAsia"/>
        </w:rPr>
        <w:t>路侧感知系统</w:t>
      </w:r>
    </w:p>
    <w:p w14:paraId="371FF4E9">
      <w:pPr>
        <w:pStyle w:val="165"/>
      </w:pPr>
      <w:r>
        <w:rPr>
          <w:rFonts w:hint="eastAsia"/>
        </w:rPr>
        <w:t>路侧感知系统方案设计应充分考虑道路情况以及预期布置的应用方案，结合示范应用对单独点位或整体的感知系统的感知范围，感知精度，感知时延，检测率，召回率等相关性能指标作出规定，相关性能指标应符合YD/T 4770的要求。</w:t>
      </w:r>
    </w:p>
    <w:p w14:paraId="6003536D">
      <w:pPr>
        <w:pStyle w:val="165"/>
      </w:pPr>
      <w:r>
        <w:rPr>
          <w:rFonts w:hint="eastAsia"/>
        </w:rPr>
        <w:t>对于城市干道，应按照YD/T 4770中要求的II等级建设，对于交叉路口按III等级建设。道路感知设备，应可记录和存储视频、音频数据，宜用于情景事件回溯等功能，其监控功能应符合GA/T 497-2016、GB 50052-2009、GB/T 3482-2008及相关法律法规的规定。</w:t>
      </w:r>
    </w:p>
    <w:p w14:paraId="7AA4730E">
      <w:pPr>
        <w:pStyle w:val="105"/>
        <w:spacing w:before="156" w:after="156"/>
      </w:pPr>
      <w:r>
        <w:rPr>
          <w:rFonts w:hint="eastAsia"/>
        </w:rPr>
        <w:t>路侧通信系统</w:t>
      </w:r>
    </w:p>
    <w:p w14:paraId="11DEE6F6">
      <w:pPr>
        <w:pStyle w:val="165"/>
        <w:rPr>
          <w:rFonts w:hint="eastAsia"/>
        </w:rPr>
      </w:pPr>
      <w:r>
        <w:rPr>
          <w:rFonts w:hint="eastAsia"/>
        </w:rPr>
        <w:t>路侧通信系统设计时应考虑道路现有条件，结合当前项目通信方案，对路侧通信系统通信有效范围、通信时延等指标做出规定，相关性能指标与布设位置参考DB32/T 4192。</w:t>
      </w:r>
    </w:p>
    <w:p w14:paraId="2F4F1D0C">
      <w:pPr>
        <w:pStyle w:val="165"/>
      </w:pPr>
      <w:r>
        <w:rPr>
          <w:rFonts w:hint="eastAsia"/>
        </w:rPr>
        <w:t>路侧通讯系统应接入苏州市PKI体系，保证证书系统的一致性，实现互联互通，RSU应满足T/ITS 0117、T/ITS 0110-2020、T/CSAE 159-2020、YD/T 3592、YD/T 3629等规范。</w:t>
      </w:r>
    </w:p>
    <w:p w14:paraId="091A1940">
      <w:pPr>
        <w:pStyle w:val="105"/>
        <w:spacing w:before="156" w:after="156"/>
      </w:pPr>
      <w:r>
        <w:rPr>
          <w:rFonts w:hint="eastAsia"/>
        </w:rPr>
        <w:t>路侧其他智能交通系统</w:t>
      </w:r>
    </w:p>
    <w:p w14:paraId="49474F17">
      <w:pPr>
        <w:pStyle w:val="65"/>
        <w:spacing w:before="156" w:after="156"/>
      </w:pPr>
      <w:r>
        <w:rPr>
          <w:rFonts w:hint="eastAsia"/>
        </w:rPr>
        <w:t>信号机</w:t>
      </w:r>
    </w:p>
    <w:p w14:paraId="7D41342F">
      <w:pPr>
        <w:pStyle w:val="230"/>
        <w:ind w:firstLine="420" w:firstLineChars="200"/>
      </w:pPr>
      <w:r>
        <w:rPr>
          <w:rFonts w:hint="eastAsia" w:hAnsi="宋体"/>
        </w:rPr>
        <w:t>信号机应用与城市道路交通信号控制，在车路云一体化试点工作中应支持向RSU开放接口协议，支持向RSU提供路口交通灯相位与时序消息（SPAT），数据协议应遵循T/CSAE 53及GA/T 1743。信号机及信控系统宜配备云端接口，实现信控系统协同控制。</w:t>
      </w:r>
    </w:p>
    <w:p w14:paraId="497BDD38">
      <w:pPr>
        <w:pStyle w:val="65"/>
        <w:spacing w:before="156" w:after="156"/>
      </w:pPr>
      <w:r>
        <w:rPr>
          <w:rFonts w:hint="eastAsia"/>
        </w:rPr>
        <w:t>交通护栏</w:t>
      </w:r>
    </w:p>
    <w:p w14:paraId="2FE287C9">
      <w:pPr>
        <w:pStyle w:val="56"/>
        <w:ind w:firstLine="420"/>
      </w:pPr>
      <w:r>
        <w:rPr>
          <w:rFonts w:hint="eastAsia"/>
        </w:rPr>
        <w:t xml:space="preserve">交通护栏应按照CJJ 1-2008和D81-2017相关规定执行。 </w:t>
      </w:r>
    </w:p>
    <w:p w14:paraId="207FE6B7">
      <w:pPr>
        <w:pStyle w:val="65"/>
        <w:spacing w:before="156" w:after="156"/>
      </w:pPr>
      <w:r>
        <w:rPr>
          <w:rFonts w:hint="eastAsia"/>
        </w:rPr>
        <w:t>照明设备</w:t>
      </w:r>
    </w:p>
    <w:p w14:paraId="65C2B2E6">
      <w:pPr>
        <w:pStyle w:val="230"/>
        <w:ind w:firstLine="420" w:firstLineChars="200"/>
      </w:pPr>
      <w:r>
        <w:rPr>
          <w:rFonts w:hint="eastAsia" w:hAnsi="宋体"/>
        </w:rPr>
        <w:t>照明设备可参考DB32/T 4192-2022标准执行。</w:t>
      </w:r>
    </w:p>
    <w:p w14:paraId="79561923">
      <w:pPr>
        <w:pStyle w:val="65"/>
        <w:spacing w:before="156" w:after="156"/>
      </w:pPr>
      <w:r>
        <w:rPr>
          <w:rFonts w:hint="eastAsia"/>
        </w:rPr>
        <w:t>环境监测设备</w:t>
      </w:r>
    </w:p>
    <w:p w14:paraId="770F5005">
      <w:pPr>
        <w:pStyle w:val="56"/>
        <w:ind w:firstLine="420"/>
      </w:pPr>
      <w:r>
        <w:rPr>
          <w:rFonts w:hint="eastAsia"/>
        </w:rPr>
        <w:t>环境监测设备应按照GB/T 33697中规定的环境监测设备相关规定执行。在车路云一体化试点工作中，环境监测设备应支持数据补传，时钟校验，实时上传云平台等功能。</w:t>
      </w:r>
    </w:p>
    <w:p w14:paraId="6EDC4D04">
      <w:pPr>
        <w:pStyle w:val="65"/>
        <w:spacing w:before="156" w:after="156"/>
      </w:pPr>
      <w:r>
        <w:rPr>
          <w:rFonts w:hint="eastAsia"/>
        </w:rPr>
        <w:t>定位设施</w:t>
      </w:r>
    </w:p>
    <w:p w14:paraId="14837669">
      <w:pPr>
        <w:pStyle w:val="56"/>
        <w:ind w:firstLine="420"/>
      </w:pPr>
      <w:r>
        <w:rPr>
          <w:rFonts w:hint="eastAsia"/>
        </w:rPr>
        <w:t>定位及定位增强设施性能和数据传输应符合GB /T 28588-2012 5.4.2.1中 b）条款制定。</w:t>
      </w:r>
    </w:p>
    <w:p w14:paraId="621489BD">
      <w:pPr>
        <w:pStyle w:val="104"/>
        <w:spacing w:before="312" w:after="312"/>
      </w:pPr>
      <w:r>
        <w:rPr>
          <w:rFonts w:hint="eastAsia"/>
        </w:rPr>
        <w:t>准备阶段要求</w:t>
      </w:r>
    </w:p>
    <w:p w14:paraId="48F51038">
      <w:pPr>
        <w:pStyle w:val="162"/>
      </w:pPr>
      <w:r>
        <w:rPr>
          <w:rFonts w:hint="eastAsia"/>
        </w:rPr>
        <w:t>针对路侧基础设施依托准入测试资质单位进行准入测试，满足准入测试要求的硬件、软件或软硬件系统版本才可以纳入采购清单。</w:t>
      </w:r>
    </w:p>
    <w:p w14:paraId="7C7C1825">
      <w:pPr>
        <w:pStyle w:val="162"/>
      </w:pPr>
      <w:r>
        <w:rPr>
          <w:rFonts w:hint="eastAsia"/>
        </w:rPr>
        <w:t>路侧基础设施应按实际应用分类，包括路侧感知系统（包含目标检测及交通事件检测）、路侧通信系统（包括</w:t>
      </w:r>
      <w:r>
        <w:t>4G/5G及LTE-V）以及其他智能交通系统（智慧信号灯、电子标志标牌等）。</w:t>
      </w:r>
    </w:p>
    <w:p w14:paraId="3FB7418C">
      <w:pPr>
        <w:pStyle w:val="162"/>
      </w:pPr>
      <w:r>
        <w:rPr>
          <w:rFonts w:hint="eastAsia"/>
        </w:rPr>
        <w:t>准入测试的形式应当包含基于场景库或专用数据集的仿真测试、开放/封闭测试场测试、实验室测试等。</w:t>
      </w:r>
    </w:p>
    <w:p w14:paraId="745A664E">
      <w:pPr>
        <w:pStyle w:val="104"/>
        <w:spacing w:before="312" w:after="312"/>
      </w:pPr>
      <w:r>
        <w:rPr>
          <w:rFonts w:hint="eastAsia"/>
        </w:rPr>
        <w:t>实施阶段要求</w:t>
      </w:r>
    </w:p>
    <w:p w14:paraId="6A046D04">
      <w:pPr>
        <w:pStyle w:val="162"/>
        <w:rPr>
          <w:rFonts w:hint="eastAsia"/>
        </w:rPr>
      </w:pPr>
      <w:r>
        <w:rPr>
          <w:rFonts w:hint="eastAsia"/>
        </w:rPr>
        <w:t>建立专家小组在建设实施阶段持续对建设内容进行监控，保障工程实施与设计内容保持不偏离。在实施阶段结束期内，应组织针对路侧感知系统、路侧通信系统、路侧其他智能交通系统的单元测试，确保各个子系统满足建设要求，组织针对苏州市车路云一体化系统建设的应用服务内容进行功能和性能的测试。</w:t>
      </w:r>
    </w:p>
    <w:p w14:paraId="46D71A87">
      <w:pPr>
        <w:pStyle w:val="162"/>
      </w:pPr>
      <w:r>
        <w:rPr>
          <w:rFonts w:hint="eastAsia"/>
        </w:rPr>
        <w:t>路侧感知系统测试应根据项目设计要求，依托具有测试资质单位，对项目中的路侧感知系统进行第三方测试，测试方法及测试指标应符合YD/T 4770的要求。</w:t>
      </w:r>
    </w:p>
    <w:p w14:paraId="33F829FD">
      <w:pPr>
        <w:pStyle w:val="162"/>
      </w:pPr>
      <w:r>
        <w:rPr>
          <w:rFonts w:hint="eastAsia"/>
        </w:rPr>
        <w:t>路侧通信系统测试应根据项目设计要求，依托具有测试资质单位，对项目中的路侧感知系统进行第三方测试，测试方法及测试指标应符合YD/T 3629-2020的要求。</w:t>
      </w:r>
      <w:bookmarkEnd w:id="24"/>
    </w:p>
    <w:p w14:paraId="104D7053">
      <w:pPr>
        <w:pStyle w:val="162"/>
        <w:numPr>
          <w:numId w:val="0"/>
        </w:numPr>
        <w:ind w:leftChars="0"/>
        <w:jc w:val="center"/>
      </w:pPr>
      <w:r>
        <w:drawing>
          <wp:inline distT="0" distB="0" distL="0" distR="0">
            <wp:extent cx="1485900" cy="317500"/>
            <wp:effectExtent l="0" t="0" r="0" b="0"/>
            <wp:docPr id="717774627" name="图片 1"/>
            <wp:cNvGraphicFramePr/>
            <a:graphic xmlns:a="http://schemas.openxmlformats.org/drawingml/2006/main">
              <a:graphicData uri="http://schemas.openxmlformats.org/drawingml/2006/picture">
                <pic:pic xmlns:pic="http://schemas.openxmlformats.org/drawingml/2006/picture">
                  <pic:nvPicPr>
                    <pic:cNvPr id="717774627" name="图片 1"/>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Start w:id="51" w:name="_GoBack"/>
      <w:bookmarkEnd w:id="51"/>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40437">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B21D7">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A68B7">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92D69">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D51B9">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53E62">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471E2">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1D7F0">
    <w:pPr>
      <w:pStyle w:val="61"/>
      <w:rPr>
        <w:rFonts w:hint="eastAsia"/>
      </w:rPr>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195DF">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黑体"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iua7SIK7QsMK3EODsSA5VjYKukhCfgTyTku05QBvmDNEaNuO2Fif26RMv3rB92Lb8bC4jO4uUJbuVv8X6Fel0A==" w:salt="HbwXt0IXfWS8jlpsjOZvlg=="/>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wOTJjZDk5NjI1OGVhZDQyMmIxN2JhNzhkZjFmNTEifQ=="/>
  </w:docVars>
  <w:rsids>
    <w:rsidRoot w:val="00F01DB4"/>
    <w:rsid w:val="0000040A"/>
    <w:rsid w:val="00000A2D"/>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37AE0"/>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4402"/>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0DDD"/>
    <w:rsid w:val="000D1795"/>
    <w:rsid w:val="000D329A"/>
    <w:rsid w:val="000D481A"/>
    <w:rsid w:val="000D4B9C"/>
    <w:rsid w:val="000D4EB6"/>
    <w:rsid w:val="000D753B"/>
    <w:rsid w:val="000E2CD2"/>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14A5"/>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00DA"/>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7F"/>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3AC6"/>
    <w:rsid w:val="00484936"/>
    <w:rsid w:val="00485C89"/>
    <w:rsid w:val="00486BE3"/>
    <w:rsid w:val="004905E4"/>
    <w:rsid w:val="00490A89"/>
    <w:rsid w:val="00490AB4"/>
    <w:rsid w:val="00492F02"/>
    <w:rsid w:val="004939AE"/>
    <w:rsid w:val="004A12DF"/>
    <w:rsid w:val="004A17E6"/>
    <w:rsid w:val="004A1BA8"/>
    <w:rsid w:val="004A4B57"/>
    <w:rsid w:val="004A621E"/>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2654"/>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5D2"/>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4C11"/>
    <w:rsid w:val="006F5586"/>
    <w:rsid w:val="006F6284"/>
    <w:rsid w:val="007002C5"/>
    <w:rsid w:val="00704387"/>
    <w:rsid w:val="00707669"/>
    <w:rsid w:val="00711CBA"/>
    <w:rsid w:val="00711FB5"/>
    <w:rsid w:val="00712A01"/>
    <w:rsid w:val="0071318D"/>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67C72"/>
    <w:rsid w:val="0077008A"/>
    <w:rsid w:val="00773C1F"/>
    <w:rsid w:val="00774DA4"/>
    <w:rsid w:val="00774DB1"/>
    <w:rsid w:val="00776599"/>
    <w:rsid w:val="0078114B"/>
    <w:rsid w:val="00781DD2"/>
    <w:rsid w:val="00783ECF"/>
    <w:rsid w:val="0078413A"/>
    <w:rsid w:val="00794CB0"/>
    <w:rsid w:val="007959E8"/>
    <w:rsid w:val="00795E9C"/>
    <w:rsid w:val="007A0521"/>
    <w:rsid w:val="007A2E12"/>
    <w:rsid w:val="007A3475"/>
    <w:rsid w:val="007A41C8"/>
    <w:rsid w:val="007A54CE"/>
    <w:rsid w:val="007A6FD9"/>
    <w:rsid w:val="007A7FFA"/>
    <w:rsid w:val="007B04EB"/>
    <w:rsid w:val="007B0D4F"/>
    <w:rsid w:val="007B2BA8"/>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47EC"/>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5AAB"/>
    <w:rsid w:val="008B7E05"/>
    <w:rsid w:val="008C1797"/>
    <w:rsid w:val="008C219C"/>
    <w:rsid w:val="008C475E"/>
    <w:rsid w:val="008C619A"/>
    <w:rsid w:val="008D0CE8"/>
    <w:rsid w:val="008D21B6"/>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0A13"/>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847"/>
    <w:rsid w:val="009D6BCA"/>
    <w:rsid w:val="009E0F62"/>
    <w:rsid w:val="009E4A58"/>
    <w:rsid w:val="009E5A2D"/>
    <w:rsid w:val="009E5AB2"/>
    <w:rsid w:val="009E6219"/>
    <w:rsid w:val="009F03B3"/>
    <w:rsid w:val="009F5C0D"/>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2C0A"/>
    <w:rsid w:val="00AA4286"/>
    <w:rsid w:val="00AA456B"/>
    <w:rsid w:val="00AA57F5"/>
    <w:rsid w:val="00AA672E"/>
    <w:rsid w:val="00AA6EC9"/>
    <w:rsid w:val="00AB41D5"/>
    <w:rsid w:val="00AB4FB2"/>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AF5960"/>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0EEE"/>
    <w:rsid w:val="00B72880"/>
    <w:rsid w:val="00B758BF"/>
    <w:rsid w:val="00B77EC8"/>
    <w:rsid w:val="00B827A6"/>
    <w:rsid w:val="00B82EF2"/>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236C"/>
    <w:rsid w:val="00BF2E86"/>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9EF"/>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87C5A"/>
    <w:rsid w:val="00C905FC"/>
    <w:rsid w:val="00C92D03"/>
    <w:rsid w:val="00C9319C"/>
    <w:rsid w:val="00C9435D"/>
    <w:rsid w:val="00C94DF2"/>
    <w:rsid w:val="00C96226"/>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C7D35"/>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1A6A"/>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1DB4"/>
    <w:rsid w:val="00F06D37"/>
    <w:rsid w:val="00F07B9D"/>
    <w:rsid w:val="00F11586"/>
    <w:rsid w:val="00F1183B"/>
    <w:rsid w:val="00F11C9F"/>
    <w:rsid w:val="00F12263"/>
    <w:rsid w:val="00F1409D"/>
    <w:rsid w:val="00F14214"/>
    <w:rsid w:val="00F157A9"/>
    <w:rsid w:val="00F24F66"/>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0C55"/>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5DD5"/>
    <w:rsid w:val="00FE7E79"/>
    <w:rsid w:val="00FF3E7D"/>
    <w:rsid w:val="00FF5B99"/>
    <w:rsid w:val="00FF730C"/>
    <w:rsid w:val="00FF73F4"/>
    <w:rsid w:val="00FF7CE4"/>
    <w:rsid w:val="00FF7E39"/>
    <w:rsid w:val="070C181F"/>
    <w:rsid w:val="1E4B512F"/>
    <w:rsid w:val="2D9C7D91"/>
    <w:rsid w:val="2DE923F8"/>
    <w:rsid w:val="3C1016D3"/>
    <w:rsid w:val="55C802DE"/>
    <w:rsid w:val="5F571ABE"/>
    <w:rsid w:val="69BA7C70"/>
    <w:rsid w:val="7D200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paragraph" w:customStyle="1" w:styleId="230">
    <w:name w:val="段"/>
    <w:basedOn w:val="1"/>
    <w:qFormat/>
    <w:uiPriority w:val="0"/>
    <w:pPr>
      <w:widowControl/>
      <w:autoSpaceDE w:val="0"/>
      <w:autoSpaceDN w:val="0"/>
      <w:adjustRightInd/>
      <w:spacing w:line="240" w:lineRule="auto"/>
    </w:pPr>
    <w:rPr>
      <w:rFonts w:ascii="宋体" w:hAnsi="Times New Roman"/>
      <w:kern w:val="0"/>
    </w:rPr>
  </w:style>
  <w:style w:type="paragraph" w:customStyle="1" w:styleId="231">
    <w:name w:val="一级条标题"/>
    <w:basedOn w:val="1"/>
    <w:next w:val="230"/>
    <w:qFormat/>
    <w:uiPriority w:val="0"/>
    <w:pPr>
      <w:widowControl/>
      <w:adjustRightInd/>
      <w:spacing w:beforeLines="50" w:afterLines="50" w:line="240" w:lineRule="auto"/>
      <w:jc w:val="left"/>
      <w:outlineLvl w:val="1"/>
    </w:pPr>
    <w:rPr>
      <w:rFonts w:ascii="黑体" w:hAnsi="Times New Roman" w:eastAsia="黑体"/>
      <w:kern w:val="0"/>
    </w:rPr>
  </w:style>
  <w:style w:type="paragraph" w:customStyle="1" w:styleId="232">
    <w:name w:val="章标题"/>
    <w:basedOn w:val="1"/>
    <w:next w:val="230"/>
    <w:qFormat/>
    <w:uiPriority w:val="0"/>
    <w:pPr>
      <w:widowControl/>
      <w:adjustRightInd/>
      <w:spacing w:beforeLines="100" w:afterLines="100" w:line="240" w:lineRule="auto"/>
      <w:outlineLvl w:val="0"/>
    </w:pPr>
    <w:rPr>
      <w:rFonts w:ascii="黑体" w:hAnsi="Times New Roman" w:eastAsia="黑体"/>
      <w:kern w:val="0"/>
    </w:rPr>
  </w:style>
  <w:style w:type="paragraph" w:customStyle="1" w:styleId="233">
    <w:name w:val="二级无"/>
    <w:basedOn w:val="1"/>
    <w:qFormat/>
    <w:uiPriority w:val="0"/>
    <w:pPr>
      <w:widowControl/>
      <w:adjustRightInd/>
      <w:spacing w:line="240" w:lineRule="auto"/>
      <w:jc w:val="left"/>
      <w:outlineLvl w:val="2"/>
    </w:pPr>
    <w:rPr>
      <w:rFonts w:ascii="宋体" w:hAnsi="Times New Roman"/>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jpeg"/><Relationship Id="rId16" Type="http://schemas.openxmlformats.org/officeDocument/2006/relationships/image" Target="media/image2.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C50646C4A864C6AA59D48BD6DD49012"/>
        <w:style w:val=""/>
        <w:category>
          <w:name w:val="常规"/>
          <w:gallery w:val="placeholder"/>
        </w:category>
        <w:types>
          <w:type w:val="bbPlcHdr"/>
        </w:types>
        <w:behaviors>
          <w:behavior w:val="content"/>
        </w:behaviors>
        <w:description w:val=""/>
        <w:guid w:val="{FDA52063-819F-4AEF-A6DC-6C0807B951AA}"/>
      </w:docPartPr>
      <w:docPartBody>
        <w:p w14:paraId="640EF191">
          <w:pPr>
            <w:pStyle w:val="5"/>
            <w:rPr>
              <w:rFonts w:hint="eastAsia"/>
            </w:rPr>
          </w:pPr>
          <w:r>
            <w:rPr>
              <w:rStyle w:val="4"/>
              <w:rFonts w:hint="eastAsia"/>
            </w:rPr>
            <w:t>单击或点击此处输入文字。</w:t>
          </w:r>
        </w:p>
      </w:docPartBody>
    </w:docPart>
    <w:docPart>
      <w:docPartPr>
        <w:name w:val="0D649E14E988402CB56D2EB92C51AFB8"/>
        <w:style w:val=""/>
        <w:category>
          <w:name w:val="常规"/>
          <w:gallery w:val="placeholder"/>
        </w:category>
        <w:types>
          <w:type w:val="bbPlcHdr"/>
        </w:types>
        <w:behaviors>
          <w:behavior w:val="content"/>
        </w:behaviors>
        <w:description w:val=""/>
        <w:guid w:val="{D36DC1B4-5FC0-4470-942E-A2972F847BBE}"/>
      </w:docPartPr>
      <w:docPartBody>
        <w:p w14:paraId="2292F944">
          <w:pPr>
            <w:pStyle w:val="6"/>
            <w:rPr>
              <w:rFonts w:hint="eastAsia"/>
            </w:rPr>
          </w:pPr>
          <w:r>
            <w:rPr>
              <w:rStyle w:val="4"/>
              <w:rFonts w:hint="eastAsia"/>
            </w:rPr>
            <w:t>选择一项。</w:t>
          </w:r>
        </w:p>
      </w:docPartBody>
    </w:docPart>
    <w:docPart>
      <w:docPartPr>
        <w:name w:val="FAA18ADEB2AF48CFB2468425422F4CAB"/>
        <w:style w:val=""/>
        <w:category>
          <w:name w:val="常规"/>
          <w:gallery w:val="placeholder"/>
        </w:category>
        <w:types>
          <w:type w:val="bbPlcHdr"/>
        </w:types>
        <w:behaviors>
          <w:behavior w:val="content"/>
        </w:behaviors>
        <w:description w:val=""/>
        <w:guid w:val="{8707A190-D8EF-40FF-817E-1BCED68F3F37}"/>
      </w:docPartPr>
      <w:docPartBody>
        <w:p w14:paraId="106F48BB">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D50"/>
    <w:rsid w:val="00150364"/>
    <w:rsid w:val="0070562C"/>
    <w:rsid w:val="00774DB1"/>
    <w:rsid w:val="008B5AAB"/>
    <w:rsid w:val="00B45070"/>
    <w:rsid w:val="00CE1D50"/>
    <w:rsid w:val="00FB36BC"/>
    <w:rsid w:val="00FE5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DC50646C4A864C6AA59D48BD6DD4901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0D649E14E988402CB56D2EB92C51AFB8"/>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FAA18ADEB2AF48CFB2468425422F4CAB"/>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7</Pages>
  <Words>2567</Words>
  <Characters>3063</Characters>
  <Lines>30</Lines>
  <Paragraphs>8</Paragraphs>
  <TotalTime>0</TotalTime>
  <ScaleCrop>false</ScaleCrop>
  <LinksUpToDate>false</LinksUpToDate>
  <CharactersWithSpaces>3174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2025-04-10T10:00:00Z</dcterms:created>
  <dc:creator>Administrator</dc:creator>
  <cp:lastModifiedBy>penny</cp:lastModifiedBy>
  <cp:lastPrinted>2020-08-30T10:00:00Z</cp:lastPrinted>
  <dcterms:modified xsi:type="dcterms:W3CDTF">2025-04-11T02:08:40Z</dcterms:modified>
  <dc:title>地方标准</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2052-12.1.0.20784</vt:lpwstr>
  </property>
  <property fmtid="{D5CDD505-2E9C-101B-9397-08002B2CF9AE}" pid="15" name="ICV">
    <vt:lpwstr>0624069E0C08419CB94D88419739E475_13</vt:lpwstr>
  </property>
  <property fmtid="{D5CDD505-2E9C-101B-9397-08002B2CF9AE}" pid="16" name="KSOTemplateDocerSaveRecord">
    <vt:lpwstr>eyJoZGlkIjoiZWQxMmVlYjM0ZmZiZTY5YWY5NDNhODJjOTZhMTkyNjciLCJ1c2VySWQiOiI2MzQxNDAwNzgifQ==</vt:lpwstr>
  </property>
</Properties>
</file>