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7412B">
      <w:pPr>
        <w:pStyle w:val="8"/>
        <w:spacing w:line="360" w:lineRule="auto"/>
        <w:rPr>
          <w:rFonts w:ascii="黑体" w:hAnsi="黑体" w:eastAsia="黑体"/>
        </w:rPr>
      </w:pPr>
      <w:r>
        <w:rPr>
          <w:rFonts w:hint="eastAsia" w:ascii="黑体" w:hAnsi="黑体" w:eastAsia="黑体"/>
        </w:rPr>
        <w:t>I</w:t>
      </w:r>
      <w:r>
        <w:rPr>
          <w:rFonts w:ascii="黑体" w:hAnsi="黑体" w:eastAsia="黑体"/>
        </w:rPr>
        <w:t xml:space="preserve">CS      </w:t>
      </w:r>
    </w:p>
    <w:p w14:paraId="371F7C76">
      <w:pPr>
        <w:pStyle w:val="8"/>
        <w:spacing w:line="360" w:lineRule="auto"/>
        <w:rPr>
          <w:rFonts w:ascii="黑体" w:hAnsi="黑体" w:eastAsia="黑体"/>
        </w:rPr>
      </w:pPr>
      <w:r>
        <w:rPr>
          <w:rFonts w:ascii="黑体" w:hAnsi="黑体" w:eastAsia="黑体"/>
        </w:rPr>
        <w:t>CCS</w:t>
      </w:r>
    </w:p>
    <w:p w14:paraId="3F73FA4C">
      <w:pPr>
        <w:pStyle w:val="8"/>
        <w:spacing w:line="360" w:lineRule="auto"/>
        <w:rPr>
          <w:rFonts w:ascii="Times New Roman"/>
          <w:sz w:val="20"/>
        </w:rPr>
      </w:pPr>
    </w:p>
    <w:p w14:paraId="470B053A">
      <w:pPr>
        <w:pStyle w:val="8"/>
        <w:spacing w:before="7" w:line="360" w:lineRule="auto"/>
        <w:rPr>
          <w:rFonts w:ascii="Times New Roman"/>
          <w:sz w:val="27"/>
        </w:rPr>
      </w:pPr>
      <w:r>
        <w:rPr>
          <w:rFonts w:ascii="Times New Roman"/>
          <w:sz w:val="27"/>
        </w:rPr>
        <w:pict>
          <v:shape id="文本框 4" o:spid="_x0000_s1068" o:spt="202" type="#_x0000_t202" style="position:absolute;left:0pt;margin-left:289.25pt;margin-top:0.75pt;height:51.75pt;width:330pt;mso-position-horizontal-relative:margin;mso-position-vertical-relative:margin;z-index:251662336;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iK6gEAALoDAAAOAAAAZHJzL2Uyb0RvYy54bWysU9tu2zAMfR+wfxD0vtgJ1m4z4hRdigwD&#10;ugvQ7QNkWbaFyaJGKbGzrx8l2+m2vhXzg0CJ5CHPIb29GXvDTgq9Blvy9SrnTFkJtbZtyb9/O7x6&#10;y5kPwtbCgFUlPyvPb3YvX2wHV6gNdGBqhYxArC8GV/IuBFdkmZed6oVfgVOWnA1gLwJdsc1qFAOh&#10;9ybb5Pl1NgDWDkEq7+n1bnLyXcJvGiXDl6bxKjBTcuotpBPTWcUz221F0aJwnZZzG+IZXfRCWyp6&#10;gboTQbAj6idQvZYIHpqwktBn0DRaqsSB2Kzzf9g8dMKpxIXE8e4ik/9/sPLz6cF9RRbG9zDSABMJ&#10;7+5B/vDMwr4TtlW3iDB0StRUeB0lywbnizk1Su0LH0Gq4RPUNGRxDJCAxgb7qArxZIROAzhfRFdj&#10;YJIeX6/frfOcXJJ811dvNpurVEIUS7ZDHz4o6Fk0So401IQuTvc+xG5EsYTEYh6Mrg/amHTBttob&#10;ZCdBC3BI34z+V5ixMdhCTJsQ40uiGZlNHMNYjeSMdCuoz0QYYVoo+gHI6AB/cTbQMpXc/zwKVJyZ&#10;j5ZEi5u3GLgY1WIIKym15IGzydyHaUOPDnXbEfI0Fgu3JGyjE+fHLuY+aUGSFPMyxw38856iHn+5&#10;3W8AAAD//wMAUEsDBBQABgAIAAAAIQDkt3Bh3QAAAAoBAAAPAAAAZHJzL2Rvd25yZXYueG1sTI/N&#10;TsMwEITvSLyDtUhcEHUISqlCnApauMGhperZjZckIl5HttOkb8/mBKf9mdHst8V6sp04ow+tIwUP&#10;iwQEUuVMS7WCw9f7/QpEiJqM7hyhggsGWJfXV4XOjRtph+d9rAWHUMi1gibGPpcyVA1aHRauR2Lt&#10;23mrI4++lsbrkcNtJ9MkWUqrW+ILje5x02D1sx+sguXWD+OONnfbw9uH/uzr9Ph6OSp1ezO9PIOI&#10;OMU/M8z4jA4lM53cQCaITkH2tMrYygKXWU8f58WJuyRLQJaF/P9C+QsAAP//AwBQSwECLQAUAAYA&#10;CAAAACEAtoM4kv4AAADhAQAAEwAAAAAAAAAAAAAAAAAAAAAAW0NvbnRlbnRfVHlwZXNdLnhtbFBL&#10;AQItABQABgAIAAAAIQA4/SH/1gAAAJQBAAALAAAAAAAAAAAAAAAAAC8BAABfcmVscy8ucmVsc1BL&#10;AQItABQABgAIAAAAIQDtkuiK6gEAALoDAAAOAAAAAAAAAAAAAAAAAC4CAABkcnMvZTJvRG9jLnht&#10;bFBLAQItABQABgAIAAAAIQDkt3Bh3QAAAAoBAAAPAAAAAAAAAAAAAAAAAEQEAABkcnMvZG93bnJl&#10;di54bWxQSwUGAAAAAAQABADzAAAATgUAAAAA&#10;">
            <v:path/>
            <v:fill focussize="0,0"/>
            <v:stroke on="f" joinstyle="miter"/>
            <v:imagedata o:title=""/>
            <o:lock v:ext="edit"/>
            <v:textbox inset="0mm,0mm,0mm,0mm">
              <w:txbxContent>
                <w:p w14:paraId="6376823F">
                  <w:pPr>
                    <w:pStyle w:val="35"/>
                    <w:ind w:right="2512"/>
                    <w:rPr>
                      <w:sz w:val="84"/>
                      <w:szCs w:val="84"/>
                    </w:rPr>
                  </w:pPr>
                  <w:r>
                    <w:t>DB</w:t>
                  </w:r>
                  <w:r>
                    <w:rPr>
                      <w:rFonts w:hint="eastAsia"/>
                      <w:sz w:val="84"/>
                      <w:szCs w:val="84"/>
                    </w:rPr>
                    <w:t>XXX</w:t>
                  </w:r>
                </w:p>
              </w:txbxContent>
            </v:textbox>
            <w10:anchorlock/>
          </v:shape>
        </w:pict>
      </w:r>
    </w:p>
    <w:p w14:paraId="2EE838C2">
      <w:pPr>
        <w:pStyle w:val="33"/>
        <w:spacing w:line="360" w:lineRule="auto"/>
      </w:pPr>
      <w:r>
        <w:rPr>
          <w:rFonts w:hint="eastAsia"/>
        </w:rPr>
        <w:t>苏州市地方标准</w:t>
      </w:r>
    </w:p>
    <w:p w14:paraId="03B6AD2F">
      <w:pPr>
        <w:pStyle w:val="8"/>
        <w:spacing w:line="360" w:lineRule="auto"/>
        <w:rPr>
          <w:rFonts w:ascii="黑体"/>
          <w:b/>
          <w:sz w:val="20"/>
        </w:rPr>
      </w:pPr>
      <w:r>
        <w:rPr>
          <w:rFonts w:ascii="黑体"/>
          <w:b/>
          <w:sz w:val="20"/>
        </w:rPr>
        <w:pict>
          <v:shape id="文本框 3" o:spid="_x0000_s1067" o:spt="202" type="#_x0000_t202" style="position:absolute;left:0pt;margin-left:338.3pt;margin-top:1.75pt;height:42.1pt;width:179.3pt;z-index:251661312;mso-width-relative:page;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CXQwIAAJwEAAAOAAAAZHJzL2Uyb0RvYy54bWysVEtv2zAMvg/YfxB0XxyneWxGnCJLkWFA&#10;0BZIh54VWYqNyaImKbG7Xz9Kdh7rih2GXWRSpPj4PtLz27ZW5Cisq0DnNB0MKRGaQ1HpfU6/Pa0/&#10;fKTEeaYLpkCLnL4IR28X79/NG5OJEZSgCmEJBtEua0xOS+9NliSOl6JmbgBGaDRKsDXzqNp9UljW&#10;YPRaJaPhcJo0YAtjgQvn8PauM9JFjC+l4P5BSic8UTnF2nw8bTx34UwWc5btLTNlxfsy2D9UUbNK&#10;Y9JzqDvmGTnY6o9QdcUtOJB+wKFOQMqKi9gDdpMOX3WzLZkRsRcEx5kzTO7/heX3x615tMS3n6FF&#10;AmMTzmyAf3eITdIYl/U+AVOXOfQOjbbS1uGLLRB8iNi+nPEUrSccL0ej2SxN0cTRNrkZT2cR8OTy&#10;2ljnvwioSRByapGvWAE7bpwP+Vl2cgnJHKiqWFdKRSXMiFgpS44M2VU+DWzii9+8lCZNTqc3k2HX&#10;2l8i7PZvRMB4SvdAdL0HFHy7a0lVBMAwZ7jZQfGCOFroRswZvq6wpw1z/pFZnCmEAffEP+AhFWBN&#10;0EuUlGB/vnUf/JFqtFLS4Izm1P04MCsoUV81DsGndDwOQx2V8WQ2QsVeW3bXFn2oV4BApbiRhkcx&#10;+Ht1EqWF+hnXaRmyoolpjrlz6k/iynebg+vIxXIZnXCMDfMbvTX8ND6Bsaf2mVnT0+pxIO7hNM0s&#10;e8Vu5xso1bA8eJBVpP6Cag8/rkDkt1/XsGPXevS6/FQWvwAAAP//AwBQSwMEFAAGAAgAAAAhAHdZ&#10;p1ndAAAACQEAAA8AAABkcnMvZG93bnJldi54bWxMj0FLw0AUhO+C/2F5gje7m4QmJealiKAexbaC&#10;x232mYRm34bsNo3/3u1Jj8MMM99U28UOYqbJ944RkpUCQdw403OLcNi/PGxA+KDZ6MExIfyQh219&#10;e1Pp0rgLf9C8C62IJexLjdCFMJZS+qYjq/3KjcTR+3aT1SHKqZVm0pdYbgeZKpVLq3uOC50e6bmj&#10;5rQ7WwSnDp8meZ/fJGX9lxrz9BSSV8T7u+XpEUSgJfyF4Yof0aGOTEd3ZuPFgJAXeR6jCNkaxNVX&#10;2ToFcUTYFAXIupL/H9S/AAAA//8DAFBLAQItABQABgAIAAAAIQC2gziS/gAAAOEBAAATAAAAAAAA&#10;AAAAAAAAAAAAAABbQ29udGVudF9UeXBlc10ueG1sUEsBAi0AFAAGAAgAAAAhADj9If/WAAAAlAEA&#10;AAsAAAAAAAAAAAAAAAAALwEAAF9yZWxzLy5yZWxzUEsBAi0AFAAGAAgAAAAhAKRbQJdDAgAAnAQA&#10;AA4AAAAAAAAAAAAAAAAALgIAAGRycy9lMm9Eb2MueG1sUEsBAi0AFAAGAAgAAAAhAHdZp1ndAAAA&#10;CQEAAA8AAAAAAAAAAAAAAAAAnQQAAGRycy9kb3ducmV2LnhtbFBLBQYAAAAABAAEAPMAAACnBQAA&#10;AAA=&#10;">
            <v:path arrowok="t"/>
            <v:fill on="t" focussize="0,0"/>
            <v:stroke weight="0.5pt" color="#FFFFFF" joinstyle="miter"/>
            <v:imagedata o:title=""/>
            <o:lock v:ext="edit"/>
            <v:textbox>
              <w:txbxContent>
                <w:p w14:paraId="726C8A55">
                  <w:pPr>
                    <w:ind w:right="440"/>
                    <w:jc w:val="both"/>
                    <w:rPr>
                      <w:sz w:val="28"/>
                      <w:szCs w:val="28"/>
                    </w:rPr>
                  </w:pPr>
                  <w:r>
                    <w:rPr>
                      <w:rFonts w:ascii="黑体" w:hAnsi="黑体" w:eastAsia="黑体"/>
                      <w:sz w:val="28"/>
                      <w:szCs w:val="28"/>
                    </w:rPr>
                    <w:t>DB</w:t>
                  </w:r>
                  <w:r>
                    <w:rPr>
                      <w:rFonts w:hint="eastAsia" w:ascii="黑体" w:hAnsi="黑体" w:eastAsia="黑体"/>
                      <w:sz w:val="28"/>
                      <w:szCs w:val="28"/>
                    </w:rPr>
                    <w:t>XXXX</w:t>
                  </w:r>
                  <w:r>
                    <w:rPr>
                      <w:rFonts w:ascii="黑体" w:hAnsi="黑体" w:eastAsia="黑体"/>
                      <w:sz w:val="28"/>
                      <w:szCs w:val="28"/>
                    </w:rPr>
                    <w:t>/TXXXX-2024</w:t>
                  </w:r>
                </w:p>
              </w:txbxContent>
            </v:textbox>
          </v:shape>
        </w:pict>
      </w:r>
    </w:p>
    <w:p w14:paraId="50AD80F2">
      <w:pPr>
        <w:pStyle w:val="8"/>
        <w:spacing w:before="12" w:line="360" w:lineRule="auto"/>
        <w:rPr>
          <w:rFonts w:ascii="黑体"/>
          <w:b/>
          <w:sz w:val="25"/>
        </w:rPr>
      </w:pPr>
    </w:p>
    <w:p w14:paraId="7B64AA1F">
      <w:pPr>
        <w:spacing w:line="360" w:lineRule="auto"/>
      </w:pPr>
      <w:r>
        <w:pict>
          <v:shape id="Graphic 4" o:spid="_x0000_s1066" style="position:absolute;left:0pt;margin-left:61.9pt;margin-top:22.9pt;height:1.5pt;width:486pt;mso-position-horizontal-relative:page;mso-wrap-distance-bottom:0pt;mso-wrap-distance-top:0pt;z-index:-251657216;mso-width-relative:page;mso-height-relative:page;" fillcolor="#000000" filled="t" stroked="f" coordsize="61722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4iyAIAAH0HAAAOAAAAZHJzL2Uyb0RvYy54bWysVe1u2yAU/T9p74D4OWm1nSbNYjWpplad&#10;Ju1LavYABOPYGgYGJE739LsXf5S2SxdN8w8bfA/34xy4XF4dGkn2wrpaqyXNzlJKhOK6qNV2Sb+v&#10;b9++o8R5pgomtRJLei8cvVq9fnXZmlxMdKVlISwBJ8rlrVnSynuTJ4njlWiYO9NGKDCW2jbMw9Ru&#10;k8KyFrw3Mpmk6UXSalsYq7lwDv7edEa6Cv7LUnD/tSyd8EQuKeTmw9uG9wbfyeqS5VvLTFXzPg32&#10;D1k0rFYQdHR1wzwjO1s/c9XU3GqnS3/GdZPosqy5CDVANVn6pJq7ihkRagFynBlpcv/PLf+yvzPf&#10;LKbuzCfNfzhgJGmNy0cLThxgyKb9rAvQkO28DsUeStvgSiiDHAKn9yOn4uAJh58X2XwCQlHCwZYt&#10;0lngPGH5sJjvnP8gdHDE9p+c7yQpYBQILYhiDURdg4+ykaDOm4T0Xkk7jHohR3AWgUNUUpExOsg0&#10;AicRMD3u7zyCvehvGgFf8Dd7BDuS20UE+mvF8wicHqsWTuPpHC4i8LOaQcHtoBGrBtn4QfW6wYgw&#10;bAJp2CpGO9wiKCLsg3WGeoELQKHIR8CgDYLPTwID8QienQQGZhE8PwkMpCF4EYO73PtaLbSZpw3G&#10;UgINZoNrWG6YR4qGIWmjc1ENxwKtjd6LtQ44j3yNpwcSGLcvxH7ASRXjO3pj5GAfvib47XDDURxs&#10;w7fDxLFPR/4pNpfaiU5wZCIoP1KCTEYtwGlZF7e1lEiCs9vNtbRkz7B9h6cX4RFMhk2kNC7rwuCf&#10;0MWwceFl4PKNLu6hiVnd3QFwZ8Gg0vYXJS30/yV1P3fMCkrkRwUNdpFNp8CSD5PpbD6BiY0tm9jC&#10;FAdXS+opbHocXvvuktkZW28riJSFY6D0e2ieZY1NLuTXZdVPoMcHbvr7CC+ReB5QD7fm6jcAAAD/&#10;/wMAUEsDBBQABgAIAAAAIQA1JneT3wAAAAoBAAAPAAAAZHJzL2Rvd25yZXYueG1sTI9BT8MwDIXv&#10;SPyHyEjcWELHRleaTghpQkgcxpjGjl5j2oomqZps6/497glO9rOfnj/ny8G24kR9aLzTcD9RIMiV&#10;3jSu0rD9XN2lIEJEZ7D1jjRcKMCyuL7KMTP+7D7otImV4BAXMtRQx9hlUoayJoth4jtyvPv2vcXI&#10;sq+k6fHM4baViVJzabFxfKHGjl5qKn82R6th8ehxv5up99VXm8wv62l8278arW9vhucnEJGG+GeG&#10;EZ/RoWCmgz86E0TLOpkyetTwMOM6GtRi7A48SVOQRS7/v1D8AgAA//8DAFBLAQItABQABgAIAAAA&#10;IQC2gziS/gAAAOEBAAATAAAAAAAAAAAAAAAAAAAAAABbQ29udGVudF9UeXBlc10ueG1sUEsBAi0A&#10;FAAGAAgAAAAhADj9If/WAAAAlAEAAAsAAAAAAAAAAAAAAAAALwEAAF9yZWxzLy5yZWxzUEsBAi0A&#10;FAAGAAgAAAAhAMjATiLIAgAAfQcAAA4AAAAAAAAAAAAAAAAALgIAAGRycy9lMm9Eb2MueG1sUEsB&#10;Ai0AFAAGAAgAAAAhADUmd5PfAAAACgEAAA8AAAAAAAAAAAAAAAAAIgUAAGRycy9kb3ducmV2Lnht&#10;bFBLBQYAAAAABAAEAPMAAAAuBgAAAAA=&#10;" path="m6172200,19050l0,19050,0,0,6172200,0,6172200,19050xe">
            <v:path arrowok="t" o:connecttype="custom" o:connectlocs="6172200,19050;0,19050;0,0;6172200,0;6172200,19050" o:connectangles="0,0,0,0,0"/>
            <v:fill on="t" focussize="0,0"/>
            <v:stroke on="f"/>
            <v:imagedata o:title=""/>
            <o:lock v:ext="edit"/>
            <w10:wrap type="topAndBottom"/>
          </v:shape>
        </w:pict>
      </w:r>
    </w:p>
    <w:p w14:paraId="0A2C7753">
      <w:pPr>
        <w:pStyle w:val="8"/>
        <w:spacing w:line="360" w:lineRule="auto"/>
        <w:rPr>
          <w:rFonts w:ascii="Arial"/>
          <w:b/>
          <w:sz w:val="20"/>
        </w:rPr>
      </w:pPr>
    </w:p>
    <w:p w14:paraId="7F5F3C2C">
      <w:pPr>
        <w:pStyle w:val="8"/>
        <w:spacing w:line="360" w:lineRule="auto"/>
        <w:rPr>
          <w:rFonts w:ascii="Arial"/>
          <w:b/>
          <w:sz w:val="20"/>
        </w:rPr>
      </w:pPr>
    </w:p>
    <w:p w14:paraId="3512A042">
      <w:pPr>
        <w:pStyle w:val="8"/>
        <w:spacing w:line="360" w:lineRule="auto"/>
        <w:rPr>
          <w:rFonts w:ascii="Arial"/>
          <w:b/>
          <w:sz w:val="20"/>
        </w:rPr>
      </w:pPr>
    </w:p>
    <w:p w14:paraId="6C378F66">
      <w:pPr>
        <w:pStyle w:val="8"/>
        <w:spacing w:line="360" w:lineRule="auto"/>
        <w:rPr>
          <w:rFonts w:ascii="Arial"/>
          <w:b/>
          <w:sz w:val="20"/>
        </w:rPr>
      </w:pPr>
    </w:p>
    <w:p w14:paraId="0BD85B85">
      <w:pPr>
        <w:pStyle w:val="8"/>
        <w:spacing w:line="360" w:lineRule="auto"/>
        <w:rPr>
          <w:rFonts w:ascii="Arial"/>
          <w:b/>
          <w:sz w:val="20"/>
        </w:rPr>
      </w:pPr>
    </w:p>
    <w:p w14:paraId="22128C44">
      <w:pPr>
        <w:pStyle w:val="8"/>
        <w:spacing w:line="360" w:lineRule="auto"/>
        <w:rPr>
          <w:rFonts w:ascii="Arial"/>
          <w:b/>
          <w:sz w:val="20"/>
        </w:rPr>
      </w:pPr>
    </w:p>
    <w:p w14:paraId="658B6FAE">
      <w:pPr>
        <w:pStyle w:val="8"/>
        <w:spacing w:line="360" w:lineRule="auto"/>
        <w:rPr>
          <w:rFonts w:ascii="Arial"/>
          <w:b/>
          <w:sz w:val="27"/>
        </w:rPr>
      </w:pPr>
    </w:p>
    <w:p w14:paraId="7E4FF1E7">
      <w:pPr>
        <w:pStyle w:val="8"/>
        <w:spacing w:line="360" w:lineRule="auto"/>
        <w:jc w:val="center"/>
        <w:rPr>
          <w:rFonts w:ascii="黑体"/>
          <w:b/>
          <w:sz w:val="48"/>
        </w:rPr>
      </w:pPr>
      <w:r>
        <w:rPr>
          <w:rFonts w:hint="eastAsia" w:ascii="黑体" w:hAnsi="Times New Roman" w:eastAsia="黑体" w:cs="Times New Roman"/>
          <w:sz w:val="52"/>
          <w:szCs w:val="20"/>
        </w:rPr>
        <w:t>低空飞行垂直起降点噪声控制规范</w:t>
      </w:r>
    </w:p>
    <w:p w14:paraId="24C6CB3C">
      <w:pPr>
        <w:pStyle w:val="8"/>
        <w:spacing w:line="360" w:lineRule="auto"/>
        <w:jc w:val="center"/>
        <w:rPr>
          <w:rFonts w:ascii="黑体"/>
          <w:b/>
          <w:sz w:val="11"/>
          <w:szCs w:val="2"/>
        </w:rPr>
      </w:pPr>
    </w:p>
    <w:p w14:paraId="38D632D7">
      <w:pPr>
        <w:pStyle w:val="8"/>
        <w:spacing w:line="360" w:lineRule="auto"/>
        <w:jc w:val="center"/>
        <w:rPr>
          <w:sz w:val="28"/>
        </w:rPr>
      </w:pPr>
      <w:r>
        <w:rPr>
          <w:rFonts w:ascii="Times New Roman" w:hAnsi="Times New Roman" w:cs="Times New Roman"/>
          <w:sz w:val="28"/>
          <w:szCs w:val="22"/>
        </w:rPr>
        <w:t xml:space="preserve">Specification of Noise Control  for Low-altitude Vertical Take-off and Landing (VTOL) </w:t>
      </w:r>
      <w:r>
        <w:rPr>
          <w:rFonts w:hint="eastAsia" w:ascii="Times New Roman" w:hAnsi="Times New Roman" w:cs="Times New Roman"/>
          <w:sz w:val="28"/>
          <w:szCs w:val="22"/>
        </w:rPr>
        <w:t>Port</w:t>
      </w:r>
    </w:p>
    <w:p w14:paraId="49D81D5C">
      <w:pPr>
        <w:pStyle w:val="8"/>
        <w:spacing w:line="360" w:lineRule="auto"/>
        <w:rPr>
          <w:sz w:val="28"/>
        </w:rPr>
      </w:pPr>
    </w:p>
    <w:p w14:paraId="685CD933">
      <w:pPr>
        <w:pStyle w:val="8"/>
        <w:spacing w:line="360" w:lineRule="auto"/>
        <w:rPr>
          <w:sz w:val="28"/>
        </w:rPr>
      </w:pPr>
    </w:p>
    <w:p w14:paraId="3A6862E4">
      <w:pPr>
        <w:pStyle w:val="8"/>
        <w:spacing w:before="6" w:line="360" w:lineRule="auto"/>
        <w:rPr>
          <w:sz w:val="34"/>
        </w:rPr>
      </w:pPr>
    </w:p>
    <w:p w14:paraId="263FFA16">
      <w:pPr>
        <w:pStyle w:val="8"/>
        <w:spacing w:before="6" w:line="360" w:lineRule="auto"/>
        <w:rPr>
          <w:sz w:val="34"/>
        </w:rPr>
      </w:pPr>
    </w:p>
    <w:p w14:paraId="4CB859EC">
      <w:pPr>
        <w:pStyle w:val="8"/>
        <w:spacing w:before="6" w:line="360" w:lineRule="auto"/>
        <w:rPr>
          <w:sz w:val="34"/>
        </w:rPr>
      </w:pPr>
    </w:p>
    <w:p w14:paraId="59805B3F">
      <w:pPr>
        <w:pStyle w:val="8"/>
        <w:spacing w:before="6" w:line="360" w:lineRule="auto"/>
        <w:rPr>
          <w:sz w:val="34"/>
        </w:rPr>
      </w:pPr>
    </w:p>
    <w:p w14:paraId="0F1253B1">
      <w:pPr>
        <w:spacing w:line="360" w:lineRule="auto"/>
        <w:jc w:val="right"/>
        <w:rPr>
          <w:rFonts w:ascii="黑体" w:hAnsi="黑体" w:eastAsia="黑体"/>
          <w:sz w:val="28"/>
          <w:szCs w:val="28"/>
        </w:rPr>
      </w:pPr>
      <w:r>
        <w:rPr>
          <w:rFonts w:ascii="黑体" w:hAnsi="黑体" w:eastAsia="黑体"/>
          <w:sz w:val="28"/>
          <w:szCs w:val="28"/>
        </w:rPr>
        <w:t>2025-XX-XX</w:t>
      </w:r>
      <w:r>
        <w:rPr>
          <w:rFonts w:hint="eastAsia" w:ascii="黑体" w:hAnsi="黑体" w:eastAsia="黑体"/>
          <w:sz w:val="28"/>
          <w:szCs w:val="28"/>
        </w:rPr>
        <w:t>发布</w:t>
      </w:r>
      <w:r>
        <w:rPr>
          <w:rFonts w:hint="eastAsia" w:ascii="黑体" w:hAnsi="黑体" w:eastAsia="黑体"/>
          <w:sz w:val="28"/>
          <w:szCs w:val="28"/>
        </w:rPr>
        <w:tab/>
      </w:r>
      <w:r>
        <w:rPr>
          <w:rFonts w:ascii="黑体" w:hAnsi="黑体" w:eastAsia="黑体"/>
          <w:sz w:val="28"/>
          <w:szCs w:val="28"/>
        </w:rPr>
        <w:t xml:space="preserve">  2025-XX-XX</w:t>
      </w:r>
      <w:r>
        <w:rPr>
          <w:rFonts w:hint="eastAsia" w:ascii="黑体" w:hAnsi="黑体" w:eastAsia="黑体"/>
          <w:sz w:val="28"/>
          <w:szCs w:val="28"/>
        </w:rPr>
        <w:t>实施</w:t>
      </w:r>
    </w:p>
    <w:p w14:paraId="74013D98">
      <w:pPr>
        <w:pStyle w:val="8"/>
        <w:spacing w:before="1" w:line="360" w:lineRule="auto"/>
        <w:rPr>
          <w:rFonts w:ascii="黑体"/>
          <w:b/>
          <w:sz w:val="19"/>
        </w:rPr>
      </w:pPr>
      <w:r>
        <w:pict>
          <v:shape id="Graphic 11" o:spid="_x0000_s1065" style="position:absolute;left:0pt;margin-left:61.9pt;margin-top:13.4pt;height:1.5pt;width:486pt;mso-position-horizontal-relative:page;mso-wrap-distance-bottom:0pt;mso-wrap-distance-top:0pt;z-index:-251656192;mso-width-relative:page;mso-height-relative:page;" fillcolor="#000000" filled="t" stroked="f" coordsize="61722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4iyAIAAH0HAAAOAAAAZHJzL2Uyb0RvYy54bWysVe1u2yAU/T9p74D4OWm1nSbNYjWpplad&#10;Ju1LavYABOPYGgYGJE739LsXf5S2SxdN8w8bfA/34xy4XF4dGkn2wrpaqyXNzlJKhOK6qNV2Sb+v&#10;b9++o8R5pgomtRJLei8cvVq9fnXZmlxMdKVlISwBJ8rlrVnSynuTJ4njlWiYO9NGKDCW2jbMw9Ru&#10;k8KyFrw3Mpmk6UXSalsYq7lwDv7edEa6Cv7LUnD/tSyd8EQuKeTmw9uG9wbfyeqS5VvLTFXzPg32&#10;D1k0rFYQdHR1wzwjO1s/c9XU3GqnS3/GdZPosqy5CDVANVn6pJq7ihkRagFynBlpcv/PLf+yvzPf&#10;LKbuzCfNfzhgJGmNy0cLThxgyKb9rAvQkO28DsUeStvgSiiDHAKn9yOn4uAJh58X2XwCQlHCwZYt&#10;0lngPGH5sJjvnP8gdHDE9p+c7yQpYBQILYhiDURdg4+ykaDOm4T0Xkk7jHohR3AWgUNUUpExOsg0&#10;AicRMD3u7zyCvehvGgFf8Dd7BDuS20UE+mvF8wicHqsWTuPpHC4i8LOaQcHtoBGrBtn4QfW6wYgw&#10;bAJp2CpGO9wiKCLsg3WGeoELQKHIR8CgDYLPTwID8QienQQGZhE8PwkMpCF4EYO73PtaLbSZpw3G&#10;UgINZoNrWG6YR4qGIWmjc1ENxwKtjd6LtQ44j3yNpwcSGLcvxH7ASRXjO3pj5GAfvib47XDDURxs&#10;w7fDxLFPR/4pNpfaiU5wZCIoP1KCTEYtwGlZF7e1lEiCs9vNtbRkz7B9h6cX4RFMhk2kNC7rwuCf&#10;0MWwceFl4PKNLu6hiVnd3QFwZ8Gg0vYXJS30/yV1P3fMCkrkRwUNdpFNp8CSD5PpbD6BiY0tm9jC&#10;FAdXS+opbHocXvvuktkZW28riJSFY6D0e2ieZY1NLuTXZdVPoMcHbvr7CC+ReB5QD7fm6jcAAAD/&#10;/wMAUEsDBBQABgAIAAAAIQBlJ4Ix3wAAAAoBAAAPAAAAZHJzL2Rvd25yZXYueG1sTI9PT8MwDMXv&#10;SHyHyEjcWEKnlbU0nRDShJA4wECwo9eYtiJ/qibbum+Pd4KT/eyn55+r1eSsONAY++A13M4UCPJN&#10;ML1vNXy8r2+WIGJCb9AGTxpOFGFVX15UWJpw9G902KRWcIiPJWroUhpKKWPTkcM4CwN53n2H0WFi&#10;ObbSjHjkcGdlplQuHfaeL3Q40GNHzc9m7zQUdwG3nwv1sv6yWX56nafn7ZPR+vpqergHkWhKf2Y4&#10;4zM61My0C3tvorCsszmjJw1ZzvVsUMWCux1PiiXIupL/X6h/AQAA//8DAFBLAQItABQABgAIAAAA&#10;IQC2gziS/gAAAOEBAAATAAAAAAAAAAAAAAAAAAAAAABbQ29udGVudF9UeXBlc10ueG1sUEsBAi0A&#10;FAAGAAgAAAAhADj9If/WAAAAlAEAAAsAAAAAAAAAAAAAAAAALwEAAF9yZWxzLy5yZWxzUEsBAi0A&#10;FAAGAAgAAAAhAMjATiLIAgAAfQcAAA4AAAAAAAAAAAAAAAAALgIAAGRycy9lMm9Eb2MueG1sUEsB&#10;Ai0AFAAGAAgAAAAhAGUngjHfAAAACgEAAA8AAAAAAAAAAAAAAAAAIgUAAGRycy9kb3ducmV2Lnht&#10;bFBLBQYAAAAABAAEAPMAAAAuBgAAAAA=&#10;" path="m6172200,19050l0,19050,0,0,6172200,0,6172200,19050xe">
            <v:path arrowok="t" o:connecttype="custom" o:connectlocs="6172200,19050;0,19050;0,0;6172200,0;6172200,19050" o:connectangles="0,0,0,0,0"/>
            <v:fill on="t" focussize="0,0"/>
            <v:stroke on="f"/>
            <v:imagedata o:title=""/>
            <o:lock v:ext="edit"/>
            <w10:wrap type="topAndBottom"/>
          </v:shape>
        </w:pict>
      </w:r>
    </w:p>
    <w:p w14:paraId="6699B0F0">
      <w:pPr>
        <w:pStyle w:val="8"/>
        <w:spacing w:before="6" w:line="360" w:lineRule="auto"/>
        <w:rPr>
          <w:rFonts w:ascii="黑体"/>
          <w:b/>
          <w:sz w:val="23"/>
        </w:rPr>
      </w:pPr>
    </w:p>
    <w:p w14:paraId="49EF21C3">
      <w:pPr>
        <w:tabs>
          <w:tab w:val="left" w:pos="3619"/>
        </w:tabs>
        <w:spacing w:line="360" w:lineRule="auto"/>
        <w:ind w:right="111"/>
        <w:jc w:val="center"/>
        <w:rPr>
          <w:rFonts w:cs="Times New Roman"/>
          <w:spacing w:val="20"/>
          <w:w w:val="135"/>
          <w:sz w:val="36"/>
          <w:szCs w:val="20"/>
        </w:rPr>
      </w:pPr>
      <w:r>
        <w:rPr>
          <w:rFonts w:hint="eastAsia" w:cs="Times New Roman"/>
          <w:spacing w:val="20"/>
          <w:w w:val="135"/>
          <w:sz w:val="36"/>
          <w:szCs w:val="20"/>
        </w:rPr>
        <w:t>地方标准发布部门</w:t>
      </w:r>
      <w:r>
        <w:rPr>
          <w:rFonts w:cs="Times New Roman"/>
          <w:spacing w:val="20"/>
          <w:w w:val="135"/>
          <w:sz w:val="36"/>
          <w:szCs w:val="20"/>
        </w:rPr>
        <w:tab/>
      </w:r>
      <w:r>
        <w:rPr>
          <w:rStyle w:val="36"/>
          <w:rFonts w:hAnsi="Times New Roman"/>
          <w:szCs w:val="20"/>
        </w:rPr>
        <w:t>发布</w:t>
      </w:r>
    </w:p>
    <w:p w14:paraId="5E6D1AFD">
      <w:pPr>
        <w:pStyle w:val="8"/>
        <w:spacing w:line="360" w:lineRule="auto"/>
        <w:rPr>
          <w:rFonts w:ascii="黑体"/>
          <w:sz w:val="20"/>
        </w:rPr>
      </w:pPr>
    </w:p>
    <w:p w14:paraId="1A8CE61C">
      <w:pPr>
        <w:spacing w:line="360" w:lineRule="auto"/>
        <w:jc w:val="right"/>
        <w:rPr>
          <w:rFonts w:ascii="Times New Roman"/>
          <w:sz w:val="18"/>
        </w:rPr>
        <w:sectPr>
          <w:headerReference r:id="rId3" w:type="default"/>
          <w:footerReference r:id="rId4" w:type="default"/>
          <w:type w:val="continuous"/>
          <w:pgSz w:w="11910" w:h="16840"/>
          <w:pgMar w:top="1080" w:right="740" w:bottom="280" w:left="1140" w:header="858" w:footer="0" w:gutter="0"/>
          <w:pgNumType w:start="1"/>
          <w:cols w:space="720" w:num="1"/>
        </w:sectPr>
      </w:pPr>
    </w:p>
    <w:p w14:paraId="6C34E76E">
      <w:pPr>
        <w:pStyle w:val="41"/>
        <w:spacing w:after="360" w:line="360" w:lineRule="auto"/>
      </w:pPr>
      <w:bookmarkStart w:id="0" w:name="_bookmark0"/>
      <w:bookmarkEnd w:id="0"/>
      <w:bookmarkStart w:id="1" w:name="BookMark1"/>
      <w:bookmarkStart w:id="2" w:name="_Hlk159329696"/>
      <w:r>
        <w:rPr>
          <w:rFonts w:hint="eastAsia"/>
          <w:spacing w:val="320"/>
        </w:rPr>
        <w:t>目</w:t>
      </w:r>
      <w:r>
        <w:rPr>
          <w:rFonts w:hint="eastAsia"/>
        </w:rPr>
        <w:t>次</w:t>
      </w:r>
    </w:p>
    <w:p w14:paraId="6879E76E">
      <w:pPr>
        <w:spacing w:line="360" w:lineRule="auto"/>
      </w:pPr>
    </w:p>
    <w:sdt>
      <w:sdtPr>
        <w:rPr>
          <w:rFonts w:ascii="宋体" w:hAnsi="宋体" w:eastAsia="宋体" w:cs="宋体"/>
          <w:color w:val="auto"/>
          <w:sz w:val="22"/>
          <w:szCs w:val="22"/>
          <w:lang w:val="zh-CN"/>
        </w:rPr>
        <w:id w:val="-1"/>
        <w:docPartObj>
          <w:docPartGallery w:val="Table of Contents"/>
          <w:docPartUnique/>
        </w:docPartObj>
      </w:sdtPr>
      <w:sdtEndPr>
        <w:rPr>
          <w:rFonts w:ascii="宋体" w:hAnsi="宋体" w:eastAsia="宋体" w:cs="宋体"/>
          <w:b/>
          <w:bCs/>
          <w:color w:val="auto"/>
          <w:sz w:val="21"/>
          <w:szCs w:val="21"/>
          <w:lang w:val="zh-CN"/>
        </w:rPr>
      </w:sdtEndPr>
      <w:sdtContent>
        <w:p w14:paraId="12EAFA5C">
          <w:pPr>
            <w:pStyle w:val="51"/>
            <w:spacing w:line="360" w:lineRule="auto"/>
          </w:pPr>
        </w:p>
        <w:p w14:paraId="5C42AEA5">
          <w:pPr>
            <w:pStyle w:val="14"/>
            <w:tabs>
              <w:tab w:val="right" w:leader="dot" w:pos="9344"/>
            </w:tabs>
            <w:rPr>
              <w:rFonts w:cstheme="minorBidi"/>
              <w:kern w:val="2"/>
              <w:szCs w:val="22"/>
            </w:rPr>
          </w:pPr>
          <w:r>
            <w:rPr>
              <w:rFonts w:cs="Times New Roman"/>
            </w:rPr>
            <w:fldChar w:fldCharType="begin"/>
          </w:r>
          <w:r>
            <w:rPr>
              <w:rFonts w:cs="Times New Roman"/>
            </w:rPr>
            <w:instrText xml:space="preserve"> TOC \o "1-3" \h \z \u </w:instrText>
          </w:r>
          <w:r>
            <w:rPr>
              <w:rFonts w:cs="Times New Roman"/>
            </w:rPr>
            <w:fldChar w:fldCharType="separate"/>
          </w:r>
          <w:r>
            <w:fldChar w:fldCharType="begin"/>
          </w:r>
          <w:r>
            <w:instrText xml:space="preserve"> HYPERLINK \l "_Toc190767958" </w:instrText>
          </w:r>
          <w:r>
            <w:fldChar w:fldCharType="separate"/>
          </w:r>
          <w:r>
            <w:rPr>
              <w:rStyle w:val="22"/>
              <w:rFonts w:hAnsi="宋体"/>
              <w:spacing w:val="320"/>
            </w:rPr>
            <w:t>前</w:t>
          </w:r>
          <w:r>
            <w:rPr>
              <w:rStyle w:val="22"/>
              <w:rFonts w:hAnsi="宋体"/>
            </w:rPr>
            <w:t>言</w:t>
          </w:r>
          <w:r>
            <w:tab/>
          </w:r>
          <w:r>
            <w:fldChar w:fldCharType="begin"/>
          </w:r>
          <w:r>
            <w:instrText xml:space="preserve"> PAGEREF _Toc190767958 \h </w:instrText>
          </w:r>
          <w:r>
            <w:fldChar w:fldCharType="separate"/>
          </w:r>
          <w:r>
            <w:t>II</w:t>
          </w:r>
          <w:r>
            <w:fldChar w:fldCharType="end"/>
          </w:r>
          <w:r>
            <w:fldChar w:fldCharType="end"/>
          </w:r>
        </w:p>
        <w:p w14:paraId="77C79F8E">
          <w:pPr>
            <w:pStyle w:val="14"/>
            <w:tabs>
              <w:tab w:val="right" w:leader="dot" w:pos="9344"/>
            </w:tabs>
            <w:rPr>
              <w:rFonts w:cstheme="minorBidi"/>
              <w:kern w:val="2"/>
              <w:szCs w:val="22"/>
            </w:rPr>
          </w:pPr>
          <w:r>
            <w:fldChar w:fldCharType="begin"/>
          </w:r>
          <w:r>
            <w:instrText xml:space="preserve"> HYPERLINK \l "_Toc190767959" </w:instrText>
          </w:r>
          <w:r>
            <w:fldChar w:fldCharType="separate"/>
          </w:r>
          <w:r>
            <w:rPr>
              <w:rStyle w:val="22"/>
              <w:rFonts w:hAnsi="宋体"/>
              <w:spacing w:val="320"/>
            </w:rPr>
            <w:t>引</w:t>
          </w:r>
          <w:r>
            <w:rPr>
              <w:rStyle w:val="22"/>
              <w:rFonts w:hAnsi="宋体"/>
            </w:rPr>
            <w:t>言</w:t>
          </w:r>
          <w:r>
            <w:tab/>
          </w:r>
          <w:r>
            <w:fldChar w:fldCharType="begin"/>
          </w:r>
          <w:r>
            <w:instrText xml:space="preserve"> PAGEREF _Toc190767959 \h </w:instrText>
          </w:r>
          <w:r>
            <w:fldChar w:fldCharType="separate"/>
          </w:r>
          <w:r>
            <w:t>3</w:t>
          </w:r>
          <w:r>
            <w:fldChar w:fldCharType="end"/>
          </w:r>
          <w:r>
            <w:fldChar w:fldCharType="end"/>
          </w:r>
        </w:p>
        <w:p w14:paraId="0B9A66B7">
          <w:pPr>
            <w:pStyle w:val="14"/>
            <w:tabs>
              <w:tab w:val="right" w:leader="dot" w:pos="9344"/>
            </w:tabs>
            <w:rPr>
              <w:rFonts w:cstheme="minorBidi"/>
              <w:kern w:val="2"/>
              <w:szCs w:val="22"/>
            </w:rPr>
          </w:pPr>
          <w:r>
            <w:fldChar w:fldCharType="begin"/>
          </w:r>
          <w:r>
            <w:instrText xml:space="preserve"> HYPERLINK \l "_Toc190767960" </w:instrText>
          </w:r>
          <w:r>
            <w:fldChar w:fldCharType="separate"/>
          </w:r>
          <w:r>
            <w:rPr>
              <w:rStyle w:val="22"/>
              <w:rFonts w:hAnsi="宋体"/>
            </w:rPr>
            <w:t>1 范围</w:t>
          </w:r>
          <w:r>
            <w:tab/>
          </w:r>
          <w:r>
            <w:fldChar w:fldCharType="begin"/>
          </w:r>
          <w:r>
            <w:instrText xml:space="preserve"> PAGEREF _Toc190767960 \h </w:instrText>
          </w:r>
          <w:r>
            <w:fldChar w:fldCharType="separate"/>
          </w:r>
          <w:r>
            <w:t>4</w:t>
          </w:r>
          <w:r>
            <w:fldChar w:fldCharType="end"/>
          </w:r>
          <w:r>
            <w:fldChar w:fldCharType="end"/>
          </w:r>
        </w:p>
        <w:p w14:paraId="79787F85">
          <w:pPr>
            <w:pStyle w:val="14"/>
            <w:tabs>
              <w:tab w:val="right" w:leader="dot" w:pos="9344"/>
            </w:tabs>
            <w:rPr>
              <w:rFonts w:cstheme="minorBidi"/>
              <w:kern w:val="2"/>
              <w:szCs w:val="22"/>
            </w:rPr>
          </w:pPr>
          <w:r>
            <w:fldChar w:fldCharType="begin"/>
          </w:r>
          <w:r>
            <w:instrText xml:space="preserve"> HYPERLINK \l "_Toc190767961" </w:instrText>
          </w:r>
          <w:r>
            <w:fldChar w:fldCharType="separate"/>
          </w:r>
          <w:r>
            <w:rPr>
              <w:rStyle w:val="22"/>
              <w:rFonts w:hAnsi="宋体"/>
            </w:rPr>
            <w:t>2 规范性引用文件</w:t>
          </w:r>
          <w:r>
            <w:tab/>
          </w:r>
          <w:r>
            <w:fldChar w:fldCharType="begin"/>
          </w:r>
          <w:r>
            <w:instrText xml:space="preserve"> PAGEREF _Toc190767961 \h </w:instrText>
          </w:r>
          <w:r>
            <w:fldChar w:fldCharType="separate"/>
          </w:r>
          <w:r>
            <w:t>4</w:t>
          </w:r>
          <w:r>
            <w:fldChar w:fldCharType="end"/>
          </w:r>
          <w:r>
            <w:fldChar w:fldCharType="end"/>
          </w:r>
        </w:p>
        <w:p w14:paraId="5B47EB75">
          <w:pPr>
            <w:pStyle w:val="14"/>
            <w:tabs>
              <w:tab w:val="right" w:leader="dot" w:pos="9344"/>
            </w:tabs>
            <w:rPr>
              <w:rFonts w:cstheme="minorBidi"/>
              <w:kern w:val="2"/>
              <w:szCs w:val="22"/>
            </w:rPr>
          </w:pPr>
          <w:r>
            <w:fldChar w:fldCharType="begin"/>
          </w:r>
          <w:r>
            <w:instrText xml:space="preserve"> HYPERLINK \l "_Toc190767962" </w:instrText>
          </w:r>
          <w:r>
            <w:fldChar w:fldCharType="separate"/>
          </w:r>
          <w:r>
            <w:rPr>
              <w:rStyle w:val="22"/>
              <w:rFonts w:hAnsi="宋体"/>
            </w:rPr>
            <w:t>3 术语和定义</w:t>
          </w:r>
          <w:r>
            <w:tab/>
          </w:r>
          <w:r>
            <w:fldChar w:fldCharType="begin"/>
          </w:r>
          <w:r>
            <w:instrText xml:space="preserve"> PAGEREF _Toc190767962 \h </w:instrText>
          </w:r>
          <w:r>
            <w:fldChar w:fldCharType="separate"/>
          </w:r>
          <w:r>
            <w:t>4</w:t>
          </w:r>
          <w:r>
            <w:fldChar w:fldCharType="end"/>
          </w:r>
          <w:r>
            <w:fldChar w:fldCharType="end"/>
          </w:r>
        </w:p>
        <w:p w14:paraId="0431C012">
          <w:pPr>
            <w:pStyle w:val="14"/>
            <w:tabs>
              <w:tab w:val="right" w:leader="dot" w:pos="9344"/>
            </w:tabs>
            <w:rPr>
              <w:rFonts w:cstheme="minorBidi"/>
              <w:kern w:val="2"/>
              <w:szCs w:val="22"/>
            </w:rPr>
          </w:pPr>
          <w:r>
            <w:fldChar w:fldCharType="begin"/>
          </w:r>
          <w:r>
            <w:instrText xml:space="preserve"> HYPERLINK \l "_Toc190767963" </w:instrText>
          </w:r>
          <w:r>
            <w:fldChar w:fldCharType="separate"/>
          </w:r>
          <w:r>
            <w:rPr>
              <w:rStyle w:val="22"/>
              <w:rFonts w:hAnsi="宋体"/>
            </w:rPr>
            <w:t>4 总体要求</w:t>
          </w:r>
          <w:r>
            <w:tab/>
          </w:r>
          <w:r>
            <w:fldChar w:fldCharType="begin"/>
          </w:r>
          <w:r>
            <w:instrText xml:space="preserve"> PAGEREF _Toc190767963 \h </w:instrText>
          </w:r>
          <w:r>
            <w:fldChar w:fldCharType="separate"/>
          </w:r>
          <w:r>
            <w:t>5</w:t>
          </w:r>
          <w:r>
            <w:fldChar w:fldCharType="end"/>
          </w:r>
          <w:r>
            <w:fldChar w:fldCharType="end"/>
          </w:r>
        </w:p>
        <w:p w14:paraId="0C954DE2">
          <w:pPr>
            <w:pStyle w:val="14"/>
            <w:tabs>
              <w:tab w:val="right" w:leader="dot" w:pos="9344"/>
            </w:tabs>
            <w:rPr>
              <w:rFonts w:cstheme="minorBidi"/>
              <w:kern w:val="2"/>
              <w:szCs w:val="22"/>
            </w:rPr>
          </w:pPr>
          <w:r>
            <w:fldChar w:fldCharType="begin"/>
          </w:r>
          <w:r>
            <w:instrText xml:space="preserve"> HYPERLINK \l "_Toc190767964" </w:instrText>
          </w:r>
          <w:r>
            <w:fldChar w:fldCharType="separate"/>
          </w:r>
          <w:r>
            <w:rPr>
              <w:rStyle w:val="22"/>
              <w:rFonts w:hAnsi="宋体"/>
            </w:rPr>
            <w:t>5 噪声控制规范</w:t>
          </w:r>
          <w:r>
            <w:tab/>
          </w:r>
          <w:r>
            <w:fldChar w:fldCharType="begin"/>
          </w:r>
          <w:r>
            <w:instrText xml:space="preserve"> PAGEREF _Toc190767964 \h </w:instrText>
          </w:r>
          <w:r>
            <w:fldChar w:fldCharType="separate"/>
          </w:r>
          <w:r>
            <w:t>6</w:t>
          </w:r>
          <w:r>
            <w:fldChar w:fldCharType="end"/>
          </w:r>
          <w:r>
            <w:fldChar w:fldCharType="end"/>
          </w:r>
        </w:p>
        <w:p w14:paraId="46F79DEC">
          <w:pPr>
            <w:pStyle w:val="14"/>
            <w:tabs>
              <w:tab w:val="right" w:leader="dot" w:pos="9344"/>
            </w:tabs>
            <w:rPr>
              <w:rFonts w:cstheme="minorBidi"/>
              <w:kern w:val="2"/>
              <w:szCs w:val="22"/>
            </w:rPr>
          </w:pPr>
          <w:r>
            <w:fldChar w:fldCharType="begin"/>
          </w:r>
          <w:r>
            <w:instrText xml:space="preserve"> HYPERLINK \l "_Toc190767965" </w:instrText>
          </w:r>
          <w:r>
            <w:fldChar w:fldCharType="separate"/>
          </w:r>
          <w:r>
            <w:rPr>
              <w:rStyle w:val="22"/>
              <w:rFonts w:hAnsi="宋体" w:cs="Times New Roman"/>
            </w:rPr>
            <w:t>附录A  （规范性）</w:t>
          </w:r>
          <w:r>
            <w:tab/>
          </w:r>
          <w:r>
            <w:fldChar w:fldCharType="begin"/>
          </w:r>
          <w:r>
            <w:instrText xml:space="preserve"> PAGEREF _Toc190767965 \h </w:instrText>
          </w:r>
          <w:r>
            <w:fldChar w:fldCharType="separate"/>
          </w:r>
          <w:r>
            <w:t>10</w:t>
          </w:r>
          <w:r>
            <w:fldChar w:fldCharType="end"/>
          </w:r>
          <w:r>
            <w:fldChar w:fldCharType="end"/>
          </w:r>
        </w:p>
        <w:p w14:paraId="1A9F895F">
          <w:pPr>
            <w:rPr>
              <w:sz w:val="21"/>
              <w:szCs w:val="21"/>
            </w:rPr>
          </w:pPr>
          <w:r>
            <w:rPr>
              <w:rFonts w:cs="Times New Roman"/>
              <w:b/>
              <w:bCs/>
              <w:sz w:val="21"/>
              <w:szCs w:val="21"/>
              <w:lang w:val="zh-CN"/>
            </w:rPr>
            <w:fldChar w:fldCharType="end"/>
          </w:r>
        </w:p>
      </w:sdtContent>
    </w:sdt>
    <w:p w14:paraId="1EDA2399">
      <w:pPr>
        <w:spacing w:line="360" w:lineRule="auto"/>
        <w:sectPr>
          <w:headerReference r:id="rId5" w:type="default"/>
          <w:footerReference r:id="rId7" w:type="default"/>
          <w:headerReference r:id="rId6" w:type="even"/>
          <w:footerReference r:id="rId8" w:type="even"/>
          <w:pgSz w:w="11906" w:h="16838"/>
          <w:pgMar w:top="1928" w:right="1134" w:bottom="1134" w:left="1134" w:header="1418" w:footer="1134" w:gutter="284"/>
          <w:pgNumType w:fmt="upperRoman" w:start="1"/>
          <w:cols w:space="425" w:num="1"/>
          <w:formProt w:val="0"/>
          <w:docGrid w:linePitch="312" w:charSpace="0"/>
        </w:sectPr>
      </w:pPr>
    </w:p>
    <w:bookmarkEnd w:id="1"/>
    <w:p w14:paraId="14C40940">
      <w:pPr>
        <w:pStyle w:val="2"/>
        <w:spacing w:line="360" w:lineRule="auto"/>
        <w:rPr>
          <w:b w:val="0"/>
          <w:bCs w:val="0"/>
        </w:rPr>
      </w:pPr>
      <w:bookmarkStart w:id="3" w:name="_Toc165204383"/>
      <w:bookmarkStart w:id="4" w:name="_Toc190767958"/>
      <w:bookmarkStart w:id="5" w:name="BookMark2"/>
      <w:r>
        <w:rPr>
          <w:b w:val="0"/>
          <w:bCs w:val="0"/>
          <w:spacing w:val="320"/>
        </w:rPr>
        <w:t>前</w:t>
      </w:r>
      <w:r>
        <w:rPr>
          <w:b w:val="0"/>
          <w:bCs w:val="0"/>
        </w:rPr>
        <w:t>言</w:t>
      </w:r>
      <w:bookmarkEnd w:id="3"/>
      <w:bookmarkEnd w:id="4"/>
    </w:p>
    <w:p w14:paraId="1EA036A5">
      <w:pPr>
        <w:pStyle w:val="2"/>
        <w:spacing w:line="360" w:lineRule="auto"/>
        <w:rPr>
          <w:b w:val="0"/>
          <w:bCs w:val="0"/>
        </w:rPr>
      </w:pPr>
    </w:p>
    <w:p w14:paraId="7ABA7C55">
      <w:pPr>
        <w:pStyle w:val="42"/>
        <w:ind w:firstLine="420"/>
      </w:pPr>
      <w:r>
        <w:rPr>
          <w:rFonts w:hint="eastAsia"/>
        </w:rPr>
        <w:t>本文件按照GB/T 1.1—2020《标准化工作导则  第1部分：标准化文件的结构和起草规则》的规定起草。</w:t>
      </w:r>
    </w:p>
    <w:p w14:paraId="270A1285">
      <w:pPr>
        <w:pStyle w:val="42"/>
        <w:ind w:firstLine="420"/>
      </w:pPr>
      <w:r>
        <w:rPr>
          <w:rFonts w:hint="eastAsia"/>
        </w:rPr>
        <w:t>本文件由苏州声学产业技术研究院有限公司提出。</w:t>
      </w:r>
    </w:p>
    <w:p w14:paraId="50E7BD0B">
      <w:pPr>
        <w:pStyle w:val="42"/>
        <w:ind w:firstLine="420"/>
      </w:pPr>
      <w:r>
        <w:rPr>
          <w:rFonts w:hint="eastAsia"/>
        </w:rPr>
        <w:t>本文件由苏州市市场监督管理局地方标准发布部门归口。</w:t>
      </w:r>
    </w:p>
    <w:p w14:paraId="3FF1414C">
      <w:pPr>
        <w:pStyle w:val="42"/>
        <w:ind w:firstLine="420"/>
        <w:rPr>
          <w:rFonts w:hint="eastAsia" w:eastAsia="宋体"/>
          <w:lang w:eastAsia="zh-CN"/>
        </w:rPr>
      </w:pPr>
      <w:r>
        <w:rPr>
          <w:rFonts w:hint="eastAsia"/>
        </w:rPr>
        <w:t>本文件起草单位：苏州声学产业技术研究院有限公司</w:t>
      </w:r>
      <w:r>
        <w:rPr>
          <w:rFonts w:hint="eastAsia"/>
          <w:lang w:eastAsia="zh-CN"/>
        </w:rPr>
        <w:t>、</w:t>
      </w:r>
      <w:r>
        <w:rPr>
          <w:rFonts w:hint="eastAsia"/>
        </w:rPr>
        <w:t>航产集团（苏州航空产业发展有限公司</w:t>
      </w:r>
      <w:r>
        <w:rPr>
          <w:rFonts w:hint="eastAsia"/>
          <w:lang w:eastAsia="zh-CN"/>
        </w:rPr>
        <w:t>）、</w:t>
      </w:r>
      <w:r>
        <w:rPr>
          <w:rFonts w:hint="eastAsia"/>
        </w:rPr>
        <w:t>江苏云圣智能科技有限责任公司</w:t>
      </w:r>
      <w:r>
        <w:rPr>
          <w:rFonts w:hint="eastAsia"/>
          <w:lang w:eastAsia="zh-CN"/>
        </w:rPr>
        <w:t>、</w:t>
      </w:r>
      <w:r>
        <w:rPr>
          <w:rFonts w:hint="eastAsia"/>
        </w:rPr>
        <w:t>长三角碳纤维及复合材料技术创新中心</w:t>
      </w:r>
      <w:r>
        <w:rPr>
          <w:rFonts w:hint="eastAsia"/>
          <w:lang w:eastAsia="zh-CN"/>
        </w:rPr>
        <w:t>、</w:t>
      </w:r>
      <w:r>
        <w:rPr>
          <w:rFonts w:hint="eastAsia"/>
        </w:rPr>
        <w:t>北京航空航天大学</w:t>
      </w:r>
      <w:r>
        <w:rPr>
          <w:rFonts w:hint="eastAsia"/>
          <w:lang w:eastAsia="zh-CN"/>
        </w:rPr>
        <w:t>、</w:t>
      </w:r>
      <w:r>
        <w:rPr>
          <w:rFonts w:hint="eastAsia"/>
        </w:rPr>
        <w:t>苏州格丽室新材料科技有限公司</w:t>
      </w:r>
      <w:r>
        <w:rPr>
          <w:rFonts w:hint="eastAsia"/>
          <w:lang w:eastAsia="zh-CN"/>
        </w:rPr>
        <w:t>、</w:t>
      </w:r>
      <w:r>
        <w:rPr>
          <w:rFonts w:hint="eastAsia"/>
        </w:rPr>
        <w:t>苏州工学院</w:t>
      </w:r>
      <w:r>
        <w:rPr>
          <w:rFonts w:hint="eastAsia"/>
          <w:lang w:eastAsia="zh-CN"/>
        </w:rPr>
        <w:t>、</w:t>
      </w:r>
      <w:r>
        <w:rPr>
          <w:rFonts w:hint="eastAsia"/>
        </w:rPr>
        <w:t>苏州高新低空经济产业发展有限公司</w:t>
      </w:r>
      <w:r>
        <w:rPr>
          <w:rFonts w:hint="eastAsia"/>
          <w:lang w:eastAsia="zh-CN"/>
        </w:rPr>
        <w:t>、</w:t>
      </w:r>
      <w:r>
        <w:rPr>
          <w:rFonts w:hint="eastAsia"/>
        </w:rPr>
        <w:t>苏州低空科技有限公司</w:t>
      </w:r>
      <w:r>
        <w:rPr>
          <w:rFonts w:hint="eastAsia"/>
          <w:lang w:eastAsia="zh-CN"/>
        </w:rPr>
        <w:t>、</w:t>
      </w:r>
      <w:r>
        <w:rPr>
          <w:rFonts w:hint="eastAsia"/>
        </w:rPr>
        <w:t>南京华秦光声科技有限责任公司</w:t>
      </w:r>
      <w:r>
        <w:rPr>
          <w:rFonts w:hint="eastAsia"/>
          <w:lang w:eastAsia="zh-CN"/>
        </w:rPr>
        <w:t>、</w:t>
      </w:r>
      <w:r>
        <w:rPr>
          <w:rFonts w:hint="eastAsia"/>
        </w:rPr>
        <w:t>常熟大鹏航空航天科技有限公司</w:t>
      </w:r>
      <w:r>
        <w:rPr>
          <w:rFonts w:hint="eastAsia"/>
          <w:lang w:eastAsia="zh-CN"/>
        </w:rPr>
        <w:t>、</w:t>
      </w:r>
      <w:r>
        <w:rPr>
          <w:rFonts w:hint="eastAsia"/>
        </w:rPr>
        <w:t>兴科迪科技（泰州）有限公司</w:t>
      </w:r>
      <w:r>
        <w:rPr>
          <w:rFonts w:hint="eastAsia"/>
          <w:lang w:eastAsia="zh-CN"/>
        </w:rPr>
        <w:t>、</w:t>
      </w:r>
      <w:r>
        <w:rPr>
          <w:rFonts w:hint="eastAsia"/>
        </w:rPr>
        <w:t>南京大学</w:t>
      </w:r>
      <w:r>
        <w:rPr>
          <w:rFonts w:hint="eastAsia"/>
          <w:lang w:eastAsia="zh-CN"/>
        </w:rPr>
        <w:t>、</w:t>
      </w:r>
      <w:r>
        <w:rPr>
          <w:rFonts w:hint="eastAsia"/>
        </w:rPr>
        <w:t>广东汇天航空航天科技有限公司</w:t>
      </w:r>
      <w:r>
        <w:rPr>
          <w:rFonts w:hint="eastAsia"/>
          <w:lang w:eastAsia="zh-CN"/>
        </w:rPr>
        <w:t>、</w:t>
      </w:r>
      <w:r>
        <w:rPr>
          <w:rFonts w:hint="eastAsia"/>
        </w:rPr>
        <w:t>中认英泰检测技术有限公司</w:t>
      </w:r>
      <w:r>
        <w:rPr>
          <w:rFonts w:hint="eastAsia"/>
          <w:lang w:eastAsia="zh-CN"/>
        </w:rPr>
        <w:t>、</w:t>
      </w:r>
      <w:r>
        <w:rPr>
          <w:rFonts w:hint="eastAsia"/>
        </w:rPr>
        <w:t>伊犁师范大学</w:t>
      </w:r>
      <w:r>
        <w:rPr>
          <w:rFonts w:hint="eastAsia"/>
          <w:lang w:eastAsia="zh-CN"/>
        </w:rPr>
        <w:t>、</w:t>
      </w:r>
      <w:r>
        <w:rPr>
          <w:rFonts w:hint="eastAsia"/>
        </w:rPr>
        <w:t>江苏省常熟中等专业学校</w:t>
      </w:r>
      <w:r>
        <w:rPr>
          <w:rFonts w:hint="eastAsia"/>
          <w:lang w:eastAsia="zh-CN"/>
        </w:rPr>
        <w:t>、</w:t>
      </w:r>
      <w:r>
        <w:rPr>
          <w:rFonts w:hint="eastAsia"/>
        </w:rPr>
        <w:t>苏州海鸥飞行汽车有限公司</w:t>
      </w:r>
      <w:r>
        <w:rPr>
          <w:rFonts w:hint="eastAsia"/>
          <w:lang w:eastAsia="zh-CN"/>
        </w:rPr>
        <w:t>、</w:t>
      </w:r>
      <w:r>
        <w:rPr>
          <w:rFonts w:hint="eastAsia"/>
        </w:rPr>
        <w:t>深圳市环境科学研究院</w:t>
      </w:r>
      <w:r>
        <w:rPr>
          <w:rFonts w:hint="eastAsia"/>
          <w:lang w:eastAsia="zh-CN"/>
        </w:rPr>
        <w:t>、</w:t>
      </w:r>
      <w:r>
        <w:rPr>
          <w:rFonts w:hint="eastAsia"/>
        </w:rPr>
        <w:t>宏韵声学（苏州）航空科技有限公司</w:t>
      </w:r>
      <w:r>
        <w:rPr>
          <w:rFonts w:hint="eastAsia"/>
          <w:lang w:eastAsia="zh-CN"/>
        </w:rPr>
        <w:t>、</w:t>
      </w:r>
      <w:r>
        <w:rPr>
          <w:rFonts w:hint="eastAsia"/>
        </w:rPr>
        <w:t>江苏省声学产业技术创新中心</w:t>
      </w:r>
      <w:r>
        <w:rPr>
          <w:rFonts w:hint="eastAsia"/>
          <w:lang w:eastAsia="zh-CN"/>
        </w:rPr>
        <w:t>、</w:t>
      </w:r>
      <w:r>
        <w:rPr>
          <w:rFonts w:hint="eastAsia"/>
        </w:rPr>
        <w:t>苏州声学学会</w:t>
      </w:r>
      <w:r>
        <w:rPr>
          <w:rFonts w:hint="eastAsia"/>
          <w:lang w:eastAsia="zh-CN"/>
        </w:rPr>
        <w:t>、</w:t>
      </w:r>
      <w:r>
        <w:rPr>
          <w:rFonts w:hint="eastAsia"/>
        </w:rPr>
        <w:t>苏州宇联精灵机器人有限公司</w:t>
      </w:r>
      <w:r>
        <w:rPr>
          <w:rFonts w:hint="eastAsia"/>
          <w:lang w:eastAsia="zh-CN"/>
        </w:rPr>
        <w:t>、江苏亨睿碳纤维科技有限公司、格物汽车科技（苏州）有限公司、</w:t>
      </w:r>
      <w:r>
        <w:rPr>
          <w:rFonts w:hint="eastAsia"/>
        </w:rPr>
        <w:t>常熟市市场监督管理局</w:t>
      </w:r>
      <w:r>
        <w:rPr>
          <w:rFonts w:hint="eastAsia"/>
          <w:lang w:eastAsia="zh-CN"/>
        </w:rPr>
        <w:t>、</w:t>
      </w:r>
      <w:r>
        <w:rPr>
          <w:rFonts w:hint="eastAsia"/>
        </w:rPr>
        <w:t>苏州声学检验检测有限公司</w:t>
      </w:r>
      <w:r>
        <w:rPr>
          <w:rFonts w:hint="eastAsia"/>
          <w:lang w:eastAsia="zh-CN"/>
        </w:rPr>
        <w:t>、</w:t>
      </w:r>
      <w:r>
        <w:rPr>
          <w:rFonts w:hint="eastAsia"/>
        </w:rPr>
        <w:t>苏州华声环保科技有限公司</w:t>
      </w:r>
      <w:r>
        <w:rPr>
          <w:rFonts w:hint="eastAsia"/>
          <w:lang w:eastAsia="zh-CN"/>
        </w:rPr>
        <w:t>、</w:t>
      </w:r>
      <w:r>
        <w:rPr>
          <w:rFonts w:hint="eastAsia"/>
        </w:rPr>
        <w:t>常熟市苏衡声环保科技有限公司</w:t>
      </w:r>
      <w:r>
        <w:rPr>
          <w:rFonts w:hint="eastAsia"/>
          <w:lang w:eastAsia="zh-CN"/>
        </w:rPr>
        <w:t>、</w:t>
      </w:r>
      <w:r>
        <w:rPr>
          <w:rFonts w:hint="eastAsia"/>
        </w:rPr>
        <w:t>苏州比翱科技集团有限公司</w:t>
      </w:r>
    </w:p>
    <w:p w14:paraId="6D22C281">
      <w:pPr>
        <w:pStyle w:val="42"/>
        <w:ind w:firstLine="420"/>
      </w:pPr>
      <w:r>
        <w:rPr>
          <w:rFonts w:hint="eastAsia"/>
        </w:rPr>
        <w:t>本文件主要起草人：卢明辉</w:t>
      </w:r>
      <w:r>
        <w:rPr>
          <w:rFonts w:hint="eastAsia"/>
          <w:lang w:eastAsia="zh-CN"/>
        </w:rPr>
        <w:t>、</w:t>
      </w:r>
      <w:r>
        <w:rPr>
          <w:rFonts w:hint="eastAsia"/>
        </w:rPr>
        <w:t>谢海圣</w:t>
      </w:r>
      <w:r>
        <w:rPr>
          <w:rFonts w:hint="eastAsia"/>
          <w:lang w:eastAsia="zh-CN"/>
        </w:rPr>
        <w:t>、</w:t>
      </w:r>
      <w:r>
        <w:rPr>
          <w:rFonts w:hint="eastAsia"/>
        </w:rPr>
        <w:t>韩峰</w:t>
      </w:r>
      <w:r>
        <w:rPr>
          <w:rFonts w:hint="eastAsia"/>
          <w:lang w:eastAsia="zh-CN"/>
        </w:rPr>
        <w:t>、</w:t>
      </w:r>
      <w:r>
        <w:rPr>
          <w:rFonts w:hint="eastAsia"/>
        </w:rPr>
        <w:t>施海霞</w:t>
      </w:r>
      <w:r>
        <w:rPr>
          <w:rFonts w:hint="eastAsia"/>
          <w:lang w:eastAsia="zh-CN"/>
        </w:rPr>
        <w:t>、</w:t>
      </w:r>
      <w:r>
        <w:rPr>
          <w:rFonts w:hint="eastAsia"/>
        </w:rPr>
        <w:t>鲁强兵</w:t>
      </w:r>
      <w:r>
        <w:rPr>
          <w:rFonts w:hint="eastAsia"/>
          <w:lang w:eastAsia="zh-CN"/>
        </w:rPr>
        <w:t>、</w:t>
      </w:r>
      <w:r>
        <w:rPr>
          <w:rFonts w:hint="eastAsia"/>
        </w:rPr>
        <w:t>解龙翔</w:t>
      </w:r>
      <w:r>
        <w:rPr>
          <w:rFonts w:hint="eastAsia"/>
          <w:lang w:eastAsia="zh-CN"/>
        </w:rPr>
        <w:t>、</w:t>
      </w:r>
      <w:r>
        <w:rPr>
          <w:rFonts w:hint="eastAsia"/>
        </w:rPr>
        <w:t>李晓东</w:t>
      </w:r>
      <w:r>
        <w:rPr>
          <w:rFonts w:hint="eastAsia"/>
          <w:lang w:eastAsia="zh-CN"/>
        </w:rPr>
        <w:t>、</w:t>
      </w:r>
      <w:r>
        <w:rPr>
          <w:rFonts w:hint="eastAsia"/>
        </w:rPr>
        <w:t>徐希海</w:t>
      </w:r>
      <w:r>
        <w:rPr>
          <w:rFonts w:hint="eastAsia"/>
          <w:lang w:eastAsia="zh-CN"/>
        </w:rPr>
        <w:t>、</w:t>
      </w:r>
      <w:r>
        <w:rPr>
          <w:rFonts w:hint="eastAsia"/>
        </w:rPr>
        <w:t>刘林</w:t>
      </w:r>
      <w:r>
        <w:rPr>
          <w:rFonts w:hint="eastAsia"/>
          <w:lang w:eastAsia="zh-CN"/>
        </w:rPr>
        <w:t>、</w:t>
      </w:r>
      <w:r>
        <w:rPr>
          <w:rFonts w:hint="eastAsia"/>
        </w:rPr>
        <w:t>邱昇</w:t>
      </w:r>
      <w:r>
        <w:rPr>
          <w:rFonts w:hint="eastAsia"/>
          <w:lang w:eastAsia="zh-CN"/>
        </w:rPr>
        <w:t>、</w:t>
      </w:r>
      <w:r>
        <w:rPr>
          <w:rFonts w:hint="eastAsia"/>
        </w:rPr>
        <w:t>葛龙</w:t>
      </w:r>
      <w:r>
        <w:rPr>
          <w:rFonts w:hint="eastAsia"/>
          <w:lang w:eastAsia="zh-CN"/>
        </w:rPr>
        <w:t>、</w:t>
      </w:r>
      <w:r>
        <w:rPr>
          <w:rFonts w:hint="eastAsia"/>
        </w:rPr>
        <w:t>周建光</w:t>
      </w:r>
      <w:r>
        <w:rPr>
          <w:rFonts w:hint="eastAsia"/>
          <w:lang w:eastAsia="zh-CN"/>
        </w:rPr>
        <w:t>、</w:t>
      </w:r>
      <w:r>
        <w:rPr>
          <w:rFonts w:hint="eastAsia"/>
        </w:rPr>
        <w:t>白利敏</w:t>
      </w:r>
      <w:r>
        <w:rPr>
          <w:rFonts w:hint="eastAsia"/>
          <w:lang w:eastAsia="zh-CN"/>
        </w:rPr>
        <w:t>、</w:t>
      </w:r>
      <w:r>
        <w:rPr>
          <w:rFonts w:hint="eastAsia"/>
        </w:rPr>
        <w:t>益小苏</w:t>
      </w:r>
      <w:r>
        <w:rPr>
          <w:rFonts w:hint="eastAsia"/>
          <w:lang w:eastAsia="zh-CN"/>
        </w:rPr>
        <w:t>、</w:t>
      </w:r>
      <w:r>
        <w:rPr>
          <w:rFonts w:hint="eastAsia"/>
        </w:rPr>
        <w:t>郭俊杰</w:t>
      </w:r>
      <w:r>
        <w:rPr>
          <w:rFonts w:hint="eastAsia"/>
          <w:lang w:eastAsia="zh-CN"/>
        </w:rPr>
        <w:t>、</w:t>
      </w:r>
      <w:r>
        <w:rPr>
          <w:rFonts w:hint="eastAsia"/>
        </w:rPr>
        <w:t>胡添尧</w:t>
      </w:r>
      <w:r>
        <w:rPr>
          <w:rFonts w:hint="eastAsia"/>
          <w:lang w:eastAsia="zh-CN"/>
        </w:rPr>
        <w:t>、</w:t>
      </w:r>
      <w:r>
        <w:rPr>
          <w:rFonts w:hint="eastAsia"/>
        </w:rPr>
        <w:t>李忠</w:t>
      </w:r>
      <w:r>
        <w:rPr>
          <w:rFonts w:hint="eastAsia"/>
          <w:lang w:eastAsia="zh-CN"/>
        </w:rPr>
        <w:t>、</w:t>
      </w:r>
      <w:r>
        <w:rPr>
          <w:rFonts w:hint="eastAsia"/>
        </w:rPr>
        <w:t>钱斯文</w:t>
      </w:r>
      <w:r>
        <w:rPr>
          <w:rFonts w:hint="eastAsia"/>
          <w:lang w:eastAsia="zh-CN"/>
        </w:rPr>
        <w:t>、</w:t>
      </w:r>
      <w:r>
        <w:rPr>
          <w:rFonts w:hint="eastAsia"/>
        </w:rPr>
        <w:t>唐李明</w:t>
      </w:r>
      <w:r>
        <w:rPr>
          <w:rFonts w:hint="eastAsia"/>
          <w:lang w:eastAsia="zh-CN"/>
        </w:rPr>
        <w:t>、</w:t>
      </w:r>
      <w:r>
        <w:rPr>
          <w:rFonts w:hint="eastAsia"/>
        </w:rPr>
        <w:t>关鹏飞</w:t>
      </w:r>
      <w:r>
        <w:rPr>
          <w:rFonts w:hint="eastAsia"/>
          <w:lang w:eastAsia="zh-CN"/>
        </w:rPr>
        <w:t>、</w:t>
      </w:r>
      <w:r>
        <w:rPr>
          <w:rFonts w:hint="eastAsia"/>
        </w:rPr>
        <w:t>冯梓鑫</w:t>
      </w:r>
      <w:r>
        <w:rPr>
          <w:rFonts w:hint="eastAsia"/>
          <w:lang w:eastAsia="zh-CN"/>
        </w:rPr>
        <w:t>、</w:t>
      </w:r>
      <w:r>
        <w:rPr>
          <w:rFonts w:hint="eastAsia"/>
        </w:rPr>
        <w:t>黄丛林</w:t>
      </w:r>
      <w:r>
        <w:rPr>
          <w:rFonts w:hint="eastAsia"/>
          <w:lang w:eastAsia="zh-CN"/>
        </w:rPr>
        <w:t>、</w:t>
      </w:r>
      <w:r>
        <w:rPr>
          <w:rFonts w:hint="eastAsia"/>
        </w:rPr>
        <w:t>鲍明</w:t>
      </w:r>
      <w:r>
        <w:rPr>
          <w:rFonts w:hint="eastAsia"/>
          <w:lang w:eastAsia="zh-CN"/>
        </w:rPr>
        <w:t>、</w:t>
      </w:r>
      <w:r>
        <w:rPr>
          <w:rFonts w:hint="eastAsia"/>
        </w:rPr>
        <w:t>陆崇义</w:t>
      </w:r>
      <w:r>
        <w:rPr>
          <w:rFonts w:hint="eastAsia"/>
          <w:lang w:eastAsia="zh-CN"/>
        </w:rPr>
        <w:t>、</w:t>
      </w:r>
      <w:r>
        <w:rPr>
          <w:rFonts w:hint="eastAsia"/>
        </w:rPr>
        <w:t>郁康</w:t>
      </w:r>
      <w:r>
        <w:rPr>
          <w:rFonts w:hint="eastAsia"/>
          <w:lang w:eastAsia="zh-CN"/>
        </w:rPr>
        <w:t>、</w:t>
      </w:r>
      <w:r>
        <w:rPr>
          <w:rFonts w:hint="eastAsia"/>
        </w:rPr>
        <w:t>杨娜</w:t>
      </w:r>
      <w:r>
        <w:rPr>
          <w:rFonts w:hint="eastAsia"/>
          <w:lang w:eastAsia="zh-CN"/>
        </w:rPr>
        <w:t>、</w:t>
      </w:r>
      <w:r>
        <w:rPr>
          <w:rFonts w:hint="eastAsia"/>
        </w:rPr>
        <w:t>梁勇奇</w:t>
      </w:r>
      <w:r>
        <w:rPr>
          <w:rFonts w:hint="eastAsia"/>
          <w:lang w:eastAsia="zh-CN"/>
        </w:rPr>
        <w:t>、</w:t>
      </w:r>
      <w:r>
        <w:rPr>
          <w:rFonts w:hint="eastAsia"/>
        </w:rPr>
        <w:t>邱宏波</w:t>
      </w:r>
      <w:r>
        <w:rPr>
          <w:rFonts w:hint="eastAsia"/>
          <w:lang w:eastAsia="zh-CN"/>
        </w:rPr>
        <w:t>、</w:t>
      </w:r>
      <w:r>
        <w:rPr>
          <w:rFonts w:hint="eastAsia"/>
        </w:rPr>
        <w:t>杜光辉</w:t>
      </w:r>
      <w:r>
        <w:rPr>
          <w:rFonts w:hint="eastAsia"/>
          <w:lang w:eastAsia="zh-CN"/>
        </w:rPr>
        <w:t>、</w:t>
      </w:r>
      <w:r>
        <w:rPr>
          <w:rFonts w:hint="eastAsia"/>
        </w:rPr>
        <w:t>姚维娅</w:t>
      </w:r>
      <w:r>
        <w:rPr>
          <w:rFonts w:hint="eastAsia"/>
          <w:lang w:eastAsia="zh-CN"/>
        </w:rPr>
        <w:t>、</w:t>
      </w:r>
      <w:r>
        <w:rPr>
          <w:rFonts w:hint="eastAsia"/>
        </w:rPr>
        <w:t>何芝华</w:t>
      </w:r>
      <w:r>
        <w:rPr>
          <w:rFonts w:hint="eastAsia"/>
          <w:lang w:eastAsia="zh-CN"/>
        </w:rPr>
        <w:t>、</w:t>
      </w:r>
      <w:r>
        <w:rPr>
          <w:rFonts w:hint="eastAsia"/>
        </w:rPr>
        <w:t>练正伟</w:t>
      </w:r>
      <w:r>
        <w:rPr>
          <w:rFonts w:hint="eastAsia"/>
          <w:lang w:eastAsia="zh-CN"/>
        </w:rPr>
        <w:t>、</w:t>
      </w:r>
      <w:r>
        <w:rPr>
          <w:rFonts w:hint="eastAsia"/>
        </w:rPr>
        <w:t>刘畅</w:t>
      </w:r>
      <w:r>
        <w:rPr>
          <w:rFonts w:hint="eastAsia"/>
          <w:lang w:eastAsia="zh-CN"/>
        </w:rPr>
        <w:t>、</w:t>
      </w:r>
      <w:r>
        <w:rPr>
          <w:rFonts w:hint="eastAsia"/>
        </w:rPr>
        <w:t>朱雨晨</w:t>
      </w:r>
      <w:r>
        <w:rPr>
          <w:rFonts w:hint="eastAsia"/>
          <w:lang w:eastAsia="zh-CN"/>
        </w:rPr>
        <w:t>、</w:t>
      </w:r>
      <w:r>
        <w:rPr>
          <w:rFonts w:hint="eastAsia"/>
        </w:rPr>
        <w:t>王珏</w:t>
      </w:r>
      <w:r>
        <w:rPr>
          <w:rFonts w:hint="eastAsia"/>
          <w:lang w:eastAsia="zh-CN"/>
        </w:rPr>
        <w:t>、</w:t>
      </w:r>
      <w:r>
        <w:rPr>
          <w:rFonts w:hint="eastAsia"/>
        </w:rPr>
        <w:t>朱腊梅</w:t>
      </w:r>
    </w:p>
    <w:p w14:paraId="13B0E215">
      <w:pPr>
        <w:pStyle w:val="42"/>
        <w:spacing w:line="360" w:lineRule="auto"/>
        <w:ind w:firstLine="199" w:firstLineChars="95"/>
      </w:pPr>
    </w:p>
    <w:p w14:paraId="6957A928">
      <w:pPr>
        <w:pStyle w:val="42"/>
        <w:spacing w:line="360" w:lineRule="auto"/>
        <w:ind w:firstLine="199" w:firstLineChars="95"/>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cols w:space="425" w:num="1"/>
          <w:formProt w:val="0"/>
          <w:docGrid w:linePitch="312" w:charSpace="0"/>
        </w:sectPr>
      </w:pPr>
      <w:bookmarkStart w:id="30" w:name="_GoBack"/>
      <w:bookmarkEnd w:id="30"/>
    </w:p>
    <w:bookmarkEnd w:id="5"/>
    <w:p w14:paraId="37D1F65E">
      <w:pPr>
        <w:pStyle w:val="42"/>
        <w:spacing w:line="360" w:lineRule="auto"/>
        <w:ind w:firstLine="199" w:firstLineChars="95"/>
      </w:pPr>
    </w:p>
    <w:p w14:paraId="541FBF1A">
      <w:pPr>
        <w:pStyle w:val="2"/>
        <w:spacing w:line="360" w:lineRule="auto"/>
      </w:pPr>
      <w:bookmarkStart w:id="6" w:name="_Toc141362942"/>
      <w:bookmarkStart w:id="7" w:name="_Toc190767959"/>
      <w:r>
        <w:rPr>
          <w:spacing w:val="320"/>
        </w:rPr>
        <w:t>引</w:t>
      </w:r>
      <w:r>
        <w:t>言</w:t>
      </w:r>
      <w:bookmarkEnd w:id="6"/>
      <w:bookmarkEnd w:id="7"/>
    </w:p>
    <w:p w14:paraId="68914AB1">
      <w:pPr>
        <w:pStyle w:val="2"/>
        <w:spacing w:line="360" w:lineRule="auto"/>
      </w:pPr>
    </w:p>
    <w:p w14:paraId="4D6C3516">
      <w:pPr>
        <w:pStyle w:val="42"/>
        <w:ind w:firstLine="420"/>
      </w:pPr>
      <w:r>
        <w:rPr>
          <w:rFonts w:hint="eastAsia"/>
        </w:rPr>
        <w:t>为促进苏州市低空经济的高质量发展，保障低空飞行垂直起降点在运营过程中的环境噪声控制达到国家及地方环保要求，提升周边居民生活质量，特制定本《低空飞行垂直起降点噪声控制规范》（以下简称“规范”）。本规范旨在为低空飞行垂直起降点的规划、设计、建设和运行维护提供噪声控制的技术指导和操作规范。</w:t>
      </w:r>
    </w:p>
    <w:p w14:paraId="4160ED1E">
      <w:pPr>
        <w:spacing w:line="360" w:lineRule="auto"/>
        <w:sectPr>
          <w:headerReference r:id="rId13" w:type="default"/>
          <w:pgSz w:w="11910" w:h="16840"/>
          <w:pgMar w:top="1080" w:right="740" w:bottom="280" w:left="1140" w:header="858" w:footer="1134" w:gutter="0"/>
          <w:cols w:space="720" w:num="1"/>
          <w:docGrid w:linePitch="299" w:charSpace="0"/>
        </w:sectPr>
      </w:pPr>
    </w:p>
    <w:p w14:paraId="4B631B18">
      <w:pPr>
        <w:spacing w:line="360" w:lineRule="auto"/>
      </w:pPr>
    </w:p>
    <w:sdt>
      <w:sdtPr>
        <w:tag w:val="NEW_STAND_NAME"/>
        <w:id w:val="331124951"/>
      </w:sdtPr>
      <w:sdtContent>
        <w:p w14:paraId="10030FF3">
          <w:pPr>
            <w:pStyle w:val="50"/>
            <w:spacing w:beforeLines="1" w:afterLines="220" w:line="360" w:lineRule="auto"/>
            <w:rPr>
              <w:rFonts w:ascii="Calibri" w:hAnsi="Calibri" w:eastAsia="宋体"/>
              <w:sz w:val="21"/>
              <w:szCs w:val="21"/>
            </w:rPr>
          </w:pPr>
          <w:r>
            <w:rPr>
              <w:rFonts w:hint="eastAsia"/>
            </w:rPr>
            <w:t>低空飞行垂直起降点噪声控制规范</w:t>
          </w:r>
        </w:p>
      </w:sdtContent>
    </w:sdt>
    <w:p w14:paraId="0C6EA4BA">
      <w:pPr>
        <w:pStyle w:val="55"/>
        <w:numPr>
          <w:ilvl w:val="0"/>
          <w:numId w:val="0"/>
        </w:numPr>
        <w:spacing w:before="240" w:after="240"/>
      </w:pPr>
      <w:bookmarkStart w:id="8" w:name="_Toc190767960"/>
      <w:r>
        <w:t>1范围</w:t>
      </w:r>
      <w:bookmarkEnd w:id="8"/>
    </w:p>
    <w:p w14:paraId="1E791568">
      <w:pPr>
        <w:ind w:firstLine="420" w:firstLineChars="200"/>
        <w:jc w:val="both"/>
        <w:rPr>
          <w:sz w:val="21"/>
          <w:szCs w:val="21"/>
        </w:rPr>
      </w:pPr>
      <w:r>
        <w:rPr>
          <w:rFonts w:hint="eastAsia"/>
          <w:sz w:val="21"/>
          <w:szCs w:val="21"/>
        </w:rPr>
        <w:t>本文件提供了苏州市范围内新建、改建、扩建的低空飞行垂直起降点及其配套设施的噪声控制总体要求、控制方案、实施与评估等的规范。内容涵盖噪声源识别、噪声传播路径控制、声环境影响评价、噪声监测与管理等方面。</w:t>
      </w:r>
    </w:p>
    <w:p w14:paraId="3B88E01F">
      <w:pPr>
        <w:pStyle w:val="55"/>
        <w:numPr>
          <w:ilvl w:val="0"/>
          <w:numId w:val="0"/>
        </w:numPr>
        <w:spacing w:before="240" w:after="240"/>
      </w:pPr>
      <w:bookmarkStart w:id="9" w:name="_Toc190767961"/>
      <w:r>
        <w:t>2规范性引用文件</w:t>
      </w:r>
      <w:bookmarkEnd w:id="9"/>
    </w:p>
    <w:p w14:paraId="3DD889E4">
      <w:pPr>
        <w:ind w:firstLine="420" w:firstLineChars="200"/>
        <w:rPr>
          <w:sz w:val="21"/>
          <w:szCs w:val="21"/>
        </w:rPr>
      </w:pPr>
      <w:r>
        <w:rPr>
          <w:rFonts w:hint="eastAsia"/>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688D4BB">
      <w:pPr>
        <w:tabs>
          <w:tab w:val="left" w:pos="8509"/>
        </w:tabs>
        <w:ind w:firstLine="420" w:firstLineChars="200"/>
        <w:rPr>
          <w:rStyle w:val="21"/>
          <w:rFonts w:ascii="Helvetica" w:hAnsi="Helvetica" w:cs="Helvetica"/>
          <w:b w:val="0"/>
          <w:color w:val="060607"/>
          <w:spacing w:val="4"/>
          <w:sz w:val="21"/>
          <w:szCs w:val="21"/>
          <w:shd w:val="clear" w:color="auto" w:fill="FFFFFF"/>
        </w:rPr>
      </w:pPr>
      <w:bookmarkStart w:id="10" w:name="OLE_LINK10"/>
      <w:bookmarkStart w:id="11" w:name="OLE_LINK9"/>
      <w:r>
        <w:rPr>
          <w:rFonts w:hint="eastAsia" w:ascii="宋体" w:hAnsi="宋体" w:eastAsia="宋体" w:cs="宋体"/>
          <w:sz w:val="21"/>
          <w:szCs w:val="21"/>
        </w:rPr>
        <w:t>GB 3096-2008</w:t>
      </w:r>
      <w:bookmarkEnd w:id="10"/>
      <w:r>
        <w:rPr>
          <w:rStyle w:val="21"/>
          <w:rFonts w:ascii="Helvetica" w:hAnsi="Helvetica" w:cs="Helvetica"/>
          <w:b w:val="0"/>
          <w:color w:val="060607"/>
          <w:spacing w:val="4"/>
          <w:sz w:val="21"/>
          <w:szCs w:val="21"/>
          <w:shd w:val="clear" w:color="auto" w:fill="FFFFFF"/>
        </w:rPr>
        <w:t>声环境质量标准</w:t>
      </w:r>
    </w:p>
    <w:bookmarkEnd w:id="11"/>
    <w:p w14:paraId="6124FD16">
      <w:pPr>
        <w:ind w:firstLine="420" w:firstLineChars="200"/>
        <w:rPr>
          <w:sz w:val="21"/>
          <w:szCs w:val="21"/>
        </w:rPr>
      </w:pPr>
      <w:r>
        <w:rPr>
          <w:sz w:val="21"/>
          <w:szCs w:val="21"/>
        </w:rPr>
        <w:t>GB 9660-1988机场周围飞机噪声环境标准</w:t>
      </w:r>
    </w:p>
    <w:p w14:paraId="4559F3C6">
      <w:pPr>
        <w:ind w:firstLine="420" w:firstLineChars="200"/>
        <w:rPr>
          <w:sz w:val="21"/>
          <w:szCs w:val="21"/>
        </w:rPr>
      </w:pPr>
      <w:r>
        <w:rPr>
          <w:sz w:val="21"/>
          <w:szCs w:val="21"/>
        </w:rPr>
        <w:t>GB 12348工业企业厂界环境噪声排放标准</w:t>
      </w:r>
    </w:p>
    <w:p w14:paraId="116617F2">
      <w:pPr>
        <w:ind w:firstLine="420" w:firstLineChars="200"/>
        <w:rPr>
          <w:sz w:val="21"/>
          <w:szCs w:val="21"/>
        </w:rPr>
      </w:pPr>
      <w:r>
        <w:rPr>
          <w:rFonts w:hint="eastAsia"/>
          <w:sz w:val="21"/>
          <w:szCs w:val="21"/>
        </w:rPr>
        <w:t>GB</w:t>
      </w:r>
      <w:r>
        <w:rPr>
          <w:rFonts w:hint="eastAsia"/>
          <w:sz w:val="21"/>
          <w:szCs w:val="21"/>
          <w:lang w:val="en-US" w:eastAsia="zh-CN"/>
        </w:rPr>
        <w:t xml:space="preserve"> </w:t>
      </w:r>
      <w:r>
        <w:rPr>
          <w:rFonts w:hint="eastAsia"/>
          <w:sz w:val="21"/>
          <w:szCs w:val="21"/>
        </w:rPr>
        <w:t>42590-2023</w:t>
      </w:r>
      <w:bookmarkStart w:id="12" w:name="OLE_LINK6"/>
      <w:r>
        <w:rPr>
          <w:rFonts w:hint="eastAsia"/>
          <w:sz w:val="21"/>
          <w:szCs w:val="21"/>
        </w:rPr>
        <w:t>民用无人驾驶航空器系统</w:t>
      </w:r>
      <w:bookmarkEnd w:id="12"/>
      <w:r>
        <w:rPr>
          <w:rFonts w:hint="eastAsia"/>
          <w:sz w:val="21"/>
          <w:szCs w:val="21"/>
        </w:rPr>
        <w:t>安全要求</w:t>
      </w:r>
    </w:p>
    <w:p w14:paraId="090D9438">
      <w:pPr>
        <w:ind w:firstLine="420" w:firstLineChars="200"/>
        <w:rPr>
          <w:sz w:val="21"/>
          <w:szCs w:val="21"/>
        </w:rPr>
      </w:pPr>
      <w:bookmarkStart w:id="13" w:name="OLE_LINK5"/>
      <w:r>
        <w:rPr>
          <w:sz w:val="21"/>
          <w:szCs w:val="21"/>
        </w:rPr>
        <w:t>GB/T 35018</w:t>
      </w:r>
      <w:r>
        <w:rPr>
          <w:rFonts w:hint="eastAsia"/>
          <w:sz w:val="21"/>
          <w:szCs w:val="21"/>
        </w:rPr>
        <w:t>民用无人驾驶航空器系统</w:t>
      </w:r>
      <w:r>
        <w:rPr>
          <w:sz w:val="21"/>
          <w:szCs w:val="21"/>
        </w:rPr>
        <w:t>分类与分级</w:t>
      </w:r>
    </w:p>
    <w:bookmarkEnd w:id="13"/>
    <w:p w14:paraId="55A48F24">
      <w:pPr>
        <w:ind w:firstLine="420" w:firstLineChars="200"/>
        <w:rPr>
          <w:rFonts w:ascii="Helvetica" w:hAnsi="Helvetica" w:cs="Helvetica"/>
          <w:color w:val="060607"/>
          <w:spacing w:val="4"/>
          <w:sz w:val="21"/>
          <w:szCs w:val="21"/>
          <w:shd w:val="clear" w:color="auto" w:fill="FFFFFF"/>
        </w:rPr>
      </w:pPr>
      <w:bookmarkStart w:id="14" w:name="OLE_LINK12"/>
      <w:bookmarkStart w:id="15" w:name="OLE_LINK11"/>
      <w:r>
        <w:rPr>
          <w:rFonts w:ascii="宋体" w:hAnsi="宋体" w:eastAsia="宋体" w:cs="宋体"/>
          <w:sz w:val="21"/>
          <w:szCs w:val="21"/>
        </w:rPr>
        <w:t>GB/T 51335-2018</w:t>
      </w:r>
      <w:bookmarkEnd w:id="14"/>
      <w:bookmarkEnd w:id="15"/>
      <w:r>
        <w:rPr>
          <w:rFonts w:ascii="Helvetica" w:hAnsi="Helvetica" w:cs="Helvetica"/>
          <w:color w:val="060607"/>
          <w:spacing w:val="4"/>
          <w:sz w:val="21"/>
          <w:szCs w:val="21"/>
          <w:shd w:val="clear" w:color="auto" w:fill="FFFFFF"/>
        </w:rPr>
        <w:t>声屏障结构技术标准</w:t>
      </w:r>
    </w:p>
    <w:p w14:paraId="5FF0354D">
      <w:pPr>
        <w:ind w:firstLine="420" w:firstLineChars="200"/>
        <w:rPr>
          <w:sz w:val="21"/>
          <w:szCs w:val="21"/>
        </w:rPr>
      </w:pPr>
      <w:r>
        <w:rPr>
          <w:sz w:val="21"/>
          <w:szCs w:val="21"/>
        </w:rPr>
        <w:t>ISO5305-2024 Noise measurements for UAS</w:t>
      </w:r>
      <w:r>
        <w:rPr>
          <w:rFonts w:hint="eastAsia"/>
          <w:sz w:val="21"/>
          <w:szCs w:val="21"/>
        </w:rPr>
        <w:t>（unmanned</w:t>
      </w:r>
      <w:r>
        <w:rPr>
          <w:sz w:val="21"/>
          <w:szCs w:val="21"/>
        </w:rPr>
        <w:t xml:space="preserve"> aircraft systems</w:t>
      </w:r>
    </w:p>
    <w:p w14:paraId="0956CD7E">
      <w:pPr>
        <w:ind w:firstLine="420" w:firstLineChars="200"/>
        <w:rPr>
          <w:sz w:val="21"/>
          <w:szCs w:val="21"/>
        </w:rPr>
      </w:pPr>
      <w:r>
        <w:rPr>
          <w:sz w:val="21"/>
          <w:szCs w:val="21"/>
        </w:rPr>
        <w:t>ISO 9613-2024 Acoustics Attenuation of soundduring propagation outdoors</w:t>
      </w:r>
    </w:p>
    <w:p w14:paraId="40DDB637">
      <w:pPr>
        <w:tabs>
          <w:tab w:val="left" w:pos="8509"/>
        </w:tabs>
        <w:ind w:firstLine="420" w:firstLineChars="200"/>
        <w:rPr>
          <w:sz w:val="21"/>
          <w:szCs w:val="21"/>
        </w:rPr>
      </w:pPr>
      <w:bookmarkStart w:id="16" w:name="OLE_LINK13"/>
      <w:r>
        <w:rPr>
          <w:bCs/>
          <w:sz w:val="21"/>
          <w:szCs w:val="21"/>
        </w:rPr>
        <w:t>T/CCAATB 0062-2024</w:t>
      </w:r>
      <w:bookmarkEnd w:id="16"/>
      <w:r>
        <w:rPr>
          <w:bCs/>
          <w:sz w:val="21"/>
          <w:szCs w:val="21"/>
        </w:rPr>
        <w:t>《电动垂直起降航空器（eVTOL）起降场技术要求》</w:t>
      </w:r>
      <w:r>
        <w:rPr>
          <w:sz w:val="21"/>
          <w:szCs w:val="21"/>
        </w:rPr>
        <w:t>：规定了eVTOL起降场的物理特性、障碍物限制、场址选择、结构设计、专用设施设备等技术参数</w:t>
      </w:r>
    </w:p>
    <w:p w14:paraId="73566415">
      <w:pPr>
        <w:tabs>
          <w:tab w:val="left" w:pos="8509"/>
        </w:tabs>
        <w:ind w:firstLine="420" w:firstLineChars="200"/>
        <w:rPr>
          <w:rFonts w:ascii="Helvetica" w:hAnsi="Helvetica" w:cs="Helvetica"/>
          <w:color w:val="060607"/>
          <w:spacing w:val="4"/>
          <w:sz w:val="21"/>
          <w:szCs w:val="21"/>
          <w:shd w:val="clear" w:color="auto" w:fill="FFFFFF"/>
        </w:rPr>
      </w:pPr>
      <w:r>
        <w:rPr>
          <w:rFonts w:ascii="宋体" w:hAnsi="宋体" w:eastAsia="宋体" w:cs="宋体"/>
          <w:bCs/>
          <w:sz w:val="21"/>
          <w:szCs w:val="21"/>
        </w:rPr>
        <w:t>T/GITIF 021-2024</w:t>
      </w:r>
      <w:r>
        <w:rPr>
          <w:rStyle w:val="21"/>
          <w:rFonts w:ascii="Helvetica" w:hAnsi="Helvetica" w:cs="Helvetica"/>
          <w:b w:val="0"/>
          <w:color w:val="060607"/>
          <w:spacing w:val="4"/>
          <w:sz w:val="21"/>
          <w:szCs w:val="21"/>
          <w:shd w:val="clear" w:color="auto" w:fill="FFFFFF"/>
        </w:rPr>
        <w:t>《中小型无人驾驶航空器垂直起降场技术要求》</w:t>
      </w:r>
      <w:r>
        <w:rPr>
          <w:rFonts w:ascii="Helvetica" w:hAnsi="Helvetica" w:cs="Helvetica"/>
          <w:color w:val="060607"/>
          <w:spacing w:val="4"/>
          <w:sz w:val="21"/>
          <w:szCs w:val="21"/>
          <w:shd w:val="clear" w:color="auto" w:fill="FFFFFF"/>
        </w:rPr>
        <w:t>：适用于小型和中型无人驾驶航空器的垂直起降场，规定了起降场数据、选址规划、物理特性、标志与标志物、助航设施等技术要求</w:t>
      </w:r>
    </w:p>
    <w:p w14:paraId="5239202E">
      <w:pPr>
        <w:tabs>
          <w:tab w:val="left" w:pos="8509"/>
        </w:tabs>
        <w:ind w:firstLine="420" w:firstLineChars="200"/>
        <w:rPr>
          <w:sz w:val="21"/>
          <w:szCs w:val="21"/>
        </w:rPr>
      </w:pPr>
      <w:bookmarkStart w:id="17" w:name="OLE_LINK3"/>
      <w:r>
        <w:rPr>
          <w:sz w:val="21"/>
          <w:szCs w:val="21"/>
        </w:rPr>
        <w:t>民用运输机场周围区域民用航空器噪声污染防控行动方案</w:t>
      </w:r>
      <w:bookmarkEnd w:id="17"/>
      <w:r>
        <w:rPr>
          <w:sz w:val="21"/>
          <w:szCs w:val="21"/>
        </w:rPr>
        <w:t>（2024—2027年）</w:t>
      </w:r>
    </w:p>
    <w:p w14:paraId="1EE7B6D4">
      <w:pPr>
        <w:tabs>
          <w:tab w:val="left" w:pos="8509"/>
        </w:tabs>
        <w:ind w:firstLine="420" w:firstLineChars="200"/>
        <w:rPr>
          <w:sz w:val="21"/>
          <w:szCs w:val="21"/>
        </w:rPr>
      </w:pPr>
    </w:p>
    <w:p w14:paraId="414DD600">
      <w:pPr>
        <w:pStyle w:val="55"/>
        <w:numPr>
          <w:ilvl w:val="0"/>
          <w:numId w:val="0"/>
        </w:numPr>
        <w:spacing w:before="240" w:after="240"/>
      </w:pPr>
      <w:bookmarkStart w:id="18" w:name="_Toc190767962"/>
      <w:r>
        <w:rPr>
          <w:rFonts w:hint="eastAsia"/>
        </w:rPr>
        <w:t>3术语和定义</w:t>
      </w:r>
      <w:bookmarkEnd w:id="18"/>
    </w:p>
    <w:p w14:paraId="52264BF6">
      <w:pPr>
        <w:ind w:firstLine="420" w:firstLineChars="200"/>
        <w:rPr>
          <w:sz w:val="21"/>
          <w:szCs w:val="21"/>
        </w:rPr>
      </w:pPr>
      <w:r>
        <w:rPr>
          <w:rFonts w:hint="eastAsia"/>
          <w:sz w:val="21"/>
          <w:szCs w:val="21"/>
        </w:rPr>
        <w:t>下列术语和定义适用于本文件。（引用的术语及定义需要标明引用的标准号）</w:t>
      </w:r>
    </w:p>
    <w:p w14:paraId="1AA0C929">
      <w:pPr>
        <w:rPr>
          <w:rFonts w:ascii="黑体" w:hAnsi="黑体" w:eastAsia="黑体"/>
          <w:sz w:val="21"/>
          <w:szCs w:val="21"/>
        </w:rPr>
      </w:pPr>
      <w:r>
        <w:rPr>
          <w:rFonts w:ascii="黑体" w:hAnsi="黑体" w:eastAsia="黑体"/>
          <w:sz w:val="21"/>
          <w:szCs w:val="21"/>
        </w:rPr>
        <w:t>3.1</w:t>
      </w:r>
    </w:p>
    <w:p w14:paraId="27C54930">
      <w:pPr>
        <w:ind w:firstLine="420" w:firstLineChars="200"/>
        <w:rPr>
          <w:rFonts w:ascii="Times New Roman" w:hAnsi="Times New Roman" w:eastAsia="黑体" w:cs="Times New Roman"/>
          <w:sz w:val="21"/>
          <w:szCs w:val="21"/>
        </w:rPr>
      </w:pPr>
      <w:bookmarkStart w:id="19" w:name="OLE_LINK7"/>
      <w:bookmarkStart w:id="20" w:name="OLE_LINK8"/>
      <w:r>
        <w:rPr>
          <w:rFonts w:ascii="Times New Roman" w:hAnsi="Times New Roman" w:eastAsia="黑体" w:cs="Times New Roman"/>
          <w:sz w:val="21"/>
          <w:szCs w:val="21"/>
        </w:rPr>
        <w:t>低空飞行垂直起降点</w:t>
      </w:r>
      <w:bookmarkEnd w:id="19"/>
      <w:bookmarkEnd w:id="20"/>
      <w:r>
        <w:rPr>
          <w:rFonts w:ascii="Times New Roman" w:hAnsi="Times New Roman" w:eastAsia="黑体" w:cs="Times New Roman"/>
          <w:sz w:val="21"/>
          <w:szCs w:val="21"/>
        </w:rPr>
        <w:t>Low-altitude Vertical Take-off and Landing Field</w:t>
      </w:r>
    </w:p>
    <w:p w14:paraId="622E0741">
      <w:pPr>
        <w:ind w:firstLine="420" w:firstLineChars="200"/>
        <w:rPr>
          <w:sz w:val="21"/>
          <w:szCs w:val="21"/>
        </w:rPr>
      </w:pPr>
      <w:r>
        <w:rPr>
          <w:sz w:val="21"/>
          <w:szCs w:val="21"/>
        </w:rPr>
        <w:t>提供低空飞行器起降、维护、指挥调度及信息管理等服务的设施。</w:t>
      </w:r>
    </w:p>
    <w:p w14:paraId="3832E1D2">
      <w:pPr>
        <w:pStyle w:val="42"/>
        <w:spacing w:before="120" w:after="120"/>
        <w:ind w:firstLine="420"/>
        <w:rPr>
          <w:szCs w:val="21"/>
        </w:rPr>
      </w:pPr>
      <w:r>
        <w:rPr>
          <w:rFonts w:hint="eastAsia"/>
          <w:szCs w:val="21"/>
        </w:rPr>
        <w:t>[</w:t>
      </w:r>
      <w:bookmarkStart w:id="21" w:name="OLE_LINK15"/>
      <w:r>
        <w:rPr>
          <w:rFonts w:hint="eastAsia"/>
          <w:szCs w:val="21"/>
        </w:rPr>
        <w:t>来源：</w:t>
      </w:r>
      <w:bookmarkStart w:id="22" w:name="OLE_LINK14"/>
      <w:r>
        <w:rPr>
          <w:rFonts w:hint="eastAsia"/>
          <w:bCs/>
          <w:szCs w:val="21"/>
        </w:rPr>
        <w:t>T/CCAATB 0062-2024</w:t>
      </w:r>
      <w:r>
        <w:rPr>
          <w:rFonts w:hint="eastAsia"/>
          <w:szCs w:val="21"/>
        </w:rPr>
        <w:t xml:space="preserve"> 定义3.</w:t>
      </w:r>
      <w:r>
        <w:rPr>
          <w:szCs w:val="21"/>
        </w:rPr>
        <w:t>1，有修改</w:t>
      </w:r>
      <w:bookmarkEnd w:id="21"/>
      <w:bookmarkEnd w:id="22"/>
      <w:r>
        <w:rPr>
          <w:rFonts w:hint="eastAsia"/>
          <w:szCs w:val="21"/>
        </w:rPr>
        <w:t>]</w:t>
      </w:r>
      <w:r>
        <w:rPr>
          <w:szCs w:val="21"/>
        </w:rPr>
        <w:t xml:space="preserve"> </w:t>
      </w:r>
    </w:p>
    <w:p w14:paraId="778A8C97">
      <w:pPr>
        <w:rPr>
          <w:rFonts w:ascii="黑体" w:hAnsi="黑体" w:eastAsia="黑体"/>
          <w:sz w:val="21"/>
          <w:szCs w:val="21"/>
        </w:rPr>
      </w:pPr>
      <w:r>
        <w:rPr>
          <w:rFonts w:hint="eastAsia" w:ascii="黑体" w:hAnsi="黑体" w:eastAsia="黑体"/>
          <w:sz w:val="21"/>
          <w:szCs w:val="21"/>
        </w:rPr>
        <w:t>3</w:t>
      </w:r>
      <w:r>
        <w:rPr>
          <w:rFonts w:ascii="黑体" w:hAnsi="黑体" w:eastAsia="黑体"/>
          <w:sz w:val="21"/>
          <w:szCs w:val="21"/>
        </w:rPr>
        <w:t>.2</w:t>
      </w:r>
    </w:p>
    <w:p w14:paraId="01E984AC">
      <w:pPr>
        <w:ind w:firstLine="420" w:firstLineChars="200"/>
        <w:rPr>
          <w:rFonts w:ascii="Times New Roman" w:hAnsi="Times New Roman" w:eastAsia="黑体" w:cs="Times New Roman"/>
          <w:sz w:val="21"/>
          <w:szCs w:val="21"/>
        </w:rPr>
      </w:pPr>
      <w:r>
        <w:rPr>
          <w:rFonts w:ascii="Times New Roman" w:hAnsi="Times New Roman" w:eastAsia="黑体" w:cs="Times New Roman"/>
          <w:sz w:val="21"/>
          <w:szCs w:val="21"/>
        </w:rPr>
        <w:t>噪声控制Noise Control</w:t>
      </w:r>
    </w:p>
    <w:p w14:paraId="126E8B30">
      <w:pPr>
        <w:ind w:firstLine="420" w:firstLineChars="200"/>
        <w:rPr>
          <w:sz w:val="21"/>
          <w:szCs w:val="21"/>
        </w:rPr>
      </w:pPr>
      <w:r>
        <w:rPr>
          <w:sz w:val="21"/>
          <w:szCs w:val="21"/>
        </w:rPr>
        <w:t>采取各种措施减少或消除噪声对环境和人体健康的不利影响的过程。</w:t>
      </w:r>
    </w:p>
    <w:p w14:paraId="5086BA82">
      <w:pPr>
        <w:rPr>
          <w:rFonts w:ascii="黑体" w:hAnsi="黑体" w:eastAsia="黑体"/>
          <w:sz w:val="21"/>
          <w:szCs w:val="21"/>
        </w:rPr>
      </w:pPr>
      <w:r>
        <w:rPr>
          <w:rFonts w:hint="eastAsia" w:ascii="黑体" w:hAnsi="黑体" w:eastAsia="黑体"/>
          <w:sz w:val="21"/>
          <w:szCs w:val="21"/>
        </w:rPr>
        <w:t>3.3</w:t>
      </w:r>
    </w:p>
    <w:p w14:paraId="69FE3467">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低空飞行器 Low Altitude Aircraft</w:t>
      </w:r>
    </w:p>
    <w:p w14:paraId="341FE021">
      <w:pPr>
        <w:ind w:firstLine="420" w:firstLineChars="200"/>
        <w:rPr>
          <w:sz w:val="21"/>
          <w:szCs w:val="21"/>
        </w:rPr>
      </w:pPr>
      <w:r>
        <w:rPr>
          <w:rFonts w:hint="eastAsia"/>
          <w:sz w:val="21"/>
          <w:szCs w:val="21"/>
        </w:rPr>
        <w:t>指在低空范围内进行飞行活动的各类飞行器，包括但不限于电动垂直起降飞行器(eVTOL)、无人机、轻型直升机等。</w:t>
      </w:r>
    </w:p>
    <w:p w14:paraId="453B4F51">
      <w:pPr>
        <w:ind w:firstLine="420" w:firstLineChars="200"/>
        <w:rPr>
          <w:sz w:val="21"/>
          <w:szCs w:val="21"/>
        </w:rPr>
      </w:pPr>
      <w:r>
        <w:rPr>
          <w:rFonts w:hint="eastAsia"/>
          <w:sz w:val="21"/>
          <w:szCs w:val="21"/>
        </w:rPr>
        <w:t>[</w:t>
      </w:r>
      <w:bookmarkStart w:id="23" w:name="OLE_LINK16"/>
      <w:r>
        <w:rPr>
          <w:rFonts w:hint="eastAsia"/>
          <w:szCs w:val="21"/>
        </w:rPr>
        <w:t>来源：</w:t>
      </w:r>
      <w:r>
        <w:rPr>
          <w:rFonts w:hint="eastAsia"/>
          <w:bCs/>
          <w:szCs w:val="21"/>
        </w:rPr>
        <w:t>T/CCAATB 0062-2024</w:t>
      </w:r>
      <w:r>
        <w:rPr>
          <w:rFonts w:hint="eastAsia"/>
          <w:szCs w:val="21"/>
        </w:rPr>
        <w:t xml:space="preserve"> 定义3.1，有修改</w:t>
      </w:r>
      <w:bookmarkEnd w:id="23"/>
      <w:r>
        <w:rPr>
          <w:rFonts w:hint="eastAsia"/>
          <w:sz w:val="21"/>
          <w:szCs w:val="21"/>
        </w:rPr>
        <w:t>]</w:t>
      </w:r>
    </w:p>
    <w:p w14:paraId="5F06DC15">
      <w:pPr>
        <w:rPr>
          <w:rFonts w:ascii="黑体" w:hAnsi="黑体" w:eastAsia="黑体"/>
          <w:sz w:val="21"/>
          <w:szCs w:val="21"/>
        </w:rPr>
      </w:pPr>
      <w:r>
        <w:rPr>
          <w:rFonts w:hint="eastAsia" w:ascii="黑体" w:hAnsi="黑体" w:eastAsia="黑体"/>
          <w:sz w:val="21"/>
          <w:szCs w:val="21"/>
        </w:rPr>
        <w:t>3.4</w:t>
      </w:r>
    </w:p>
    <w:p w14:paraId="6B77BAA7">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 xml:space="preserve">电动垂直起降飞行器 Electric Vertical Take-Off and Landing, eVTOL </w:t>
      </w:r>
    </w:p>
    <w:p w14:paraId="12C656E2">
      <w:pPr>
        <w:ind w:firstLine="420" w:firstLineChars="200"/>
        <w:rPr>
          <w:sz w:val="21"/>
          <w:szCs w:val="21"/>
        </w:rPr>
      </w:pPr>
      <w:r>
        <w:rPr>
          <w:rFonts w:hint="eastAsia"/>
          <w:sz w:val="21"/>
          <w:szCs w:val="21"/>
        </w:rPr>
        <w:t>一种采用电力推进系统的垂直起降飞行器，能够在城市等密集区域提供快速交通服务。</w:t>
      </w:r>
    </w:p>
    <w:p w14:paraId="48719207">
      <w:pPr>
        <w:ind w:firstLine="420" w:firstLineChars="200"/>
        <w:rPr>
          <w:sz w:val="21"/>
          <w:szCs w:val="21"/>
        </w:rPr>
      </w:pPr>
      <w:r>
        <w:rPr>
          <w:rFonts w:hint="eastAsia"/>
          <w:sz w:val="21"/>
          <w:szCs w:val="21"/>
        </w:rPr>
        <w:t>[</w:t>
      </w:r>
      <w:r>
        <w:rPr>
          <w:rFonts w:hint="eastAsia"/>
          <w:szCs w:val="21"/>
        </w:rPr>
        <w:t>来源：</w:t>
      </w:r>
      <w:r>
        <w:rPr>
          <w:rFonts w:hint="eastAsia"/>
          <w:bCs/>
          <w:szCs w:val="21"/>
        </w:rPr>
        <w:t>T/CCAATB 0062-2024</w:t>
      </w:r>
      <w:r>
        <w:rPr>
          <w:rFonts w:hint="eastAsia"/>
          <w:szCs w:val="21"/>
        </w:rPr>
        <w:t xml:space="preserve"> 定义3.1，有修改</w:t>
      </w:r>
      <w:r>
        <w:rPr>
          <w:rFonts w:hint="eastAsia"/>
          <w:sz w:val="21"/>
          <w:szCs w:val="21"/>
        </w:rPr>
        <w:t>]</w:t>
      </w:r>
    </w:p>
    <w:p w14:paraId="39813E27">
      <w:pPr>
        <w:rPr>
          <w:rFonts w:ascii="黑体" w:hAnsi="黑体" w:eastAsia="黑体"/>
          <w:sz w:val="21"/>
          <w:szCs w:val="21"/>
        </w:rPr>
      </w:pPr>
      <w:r>
        <w:rPr>
          <w:rFonts w:hint="eastAsia" w:ascii="黑体" w:hAnsi="黑体" w:eastAsia="黑体"/>
          <w:sz w:val="21"/>
          <w:szCs w:val="21"/>
        </w:rPr>
        <w:t>3.5</w:t>
      </w:r>
    </w:p>
    <w:p w14:paraId="08F8E62D">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噪声准入机制 Noise admission mechanism</w:t>
      </w:r>
    </w:p>
    <w:p w14:paraId="37D57194">
      <w:pPr>
        <w:ind w:firstLine="420" w:firstLineChars="200"/>
        <w:rPr>
          <w:sz w:val="21"/>
          <w:szCs w:val="21"/>
        </w:rPr>
      </w:pPr>
      <w:r>
        <w:rPr>
          <w:rFonts w:hint="eastAsia"/>
          <w:sz w:val="21"/>
          <w:szCs w:val="21"/>
        </w:rPr>
        <w:t>为控制低空飞行器在垂直起降点产生的噪声水平，而设立的一系列噪声限制标准和要求。</w:t>
      </w:r>
    </w:p>
    <w:p w14:paraId="5B0825A4">
      <w:pPr>
        <w:rPr>
          <w:rFonts w:ascii="黑体" w:hAnsi="黑体" w:eastAsia="黑体"/>
          <w:sz w:val="21"/>
          <w:szCs w:val="21"/>
        </w:rPr>
      </w:pPr>
      <w:r>
        <w:rPr>
          <w:rFonts w:hint="eastAsia" w:ascii="黑体" w:hAnsi="黑体" w:eastAsia="黑体"/>
          <w:sz w:val="21"/>
          <w:szCs w:val="21"/>
        </w:rPr>
        <w:t>3.6</w:t>
      </w:r>
    </w:p>
    <w:p w14:paraId="40C29D0D">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噪声航路控制 Noise Route Control</w:t>
      </w:r>
    </w:p>
    <w:p w14:paraId="0C61828E">
      <w:pPr>
        <w:ind w:firstLine="420" w:firstLineChars="200"/>
        <w:rPr>
          <w:sz w:val="21"/>
          <w:szCs w:val="21"/>
        </w:rPr>
      </w:pPr>
      <w:r>
        <w:rPr>
          <w:rFonts w:hint="eastAsia"/>
          <w:sz w:val="21"/>
          <w:szCs w:val="21"/>
        </w:rPr>
        <w:t>指对低空飞行器飞行路径进行规划和控制，以减少噪声对特定区域的影响。</w:t>
      </w:r>
    </w:p>
    <w:p w14:paraId="160EF34B">
      <w:pPr>
        <w:rPr>
          <w:rFonts w:ascii="黑体" w:hAnsi="黑体" w:eastAsia="黑体"/>
          <w:sz w:val="21"/>
          <w:szCs w:val="21"/>
        </w:rPr>
      </w:pPr>
      <w:r>
        <w:rPr>
          <w:rFonts w:hint="eastAsia" w:ascii="黑体" w:hAnsi="黑体" w:eastAsia="黑体"/>
          <w:sz w:val="21"/>
          <w:szCs w:val="21"/>
        </w:rPr>
        <w:t>3.7</w:t>
      </w:r>
    </w:p>
    <w:p w14:paraId="710D9096">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飞行垂直起降点噪声要求 Vertical Take-Off and Landing PortNoise Requirements</w:t>
      </w:r>
    </w:p>
    <w:p w14:paraId="0E6B9B69">
      <w:pPr>
        <w:ind w:firstLine="420" w:firstLineChars="200"/>
        <w:rPr>
          <w:sz w:val="21"/>
          <w:szCs w:val="21"/>
        </w:rPr>
      </w:pPr>
      <w:r>
        <w:rPr>
          <w:rFonts w:hint="eastAsia"/>
          <w:sz w:val="21"/>
          <w:szCs w:val="21"/>
        </w:rPr>
        <w:t>对低空飞行器在垂直起降点区域内进行起降、停放、维护、测试及培训等活动时产生的噪声水平的具体要求。</w:t>
      </w:r>
    </w:p>
    <w:p w14:paraId="25329FC9">
      <w:pPr>
        <w:rPr>
          <w:rFonts w:ascii="黑体" w:hAnsi="黑体" w:eastAsia="黑体"/>
          <w:sz w:val="21"/>
          <w:szCs w:val="21"/>
        </w:rPr>
      </w:pPr>
      <w:r>
        <w:rPr>
          <w:rFonts w:hint="eastAsia" w:ascii="黑体" w:hAnsi="黑体" w:eastAsia="黑体"/>
          <w:sz w:val="21"/>
          <w:szCs w:val="21"/>
        </w:rPr>
        <w:t>3.8</w:t>
      </w:r>
    </w:p>
    <w:p w14:paraId="36E908CC">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声屏障 Noise Barrier</w:t>
      </w:r>
    </w:p>
    <w:p w14:paraId="16CD0BF8">
      <w:pPr>
        <w:ind w:firstLine="420" w:firstLineChars="200"/>
        <w:rPr>
          <w:sz w:val="21"/>
          <w:szCs w:val="21"/>
        </w:rPr>
      </w:pPr>
      <w:r>
        <w:rPr>
          <w:rFonts w:hint="eastAsia"/>
          <w:sz w:val="21"/>
          <w:szCs w:val="21"/>
        </w:rPr>
        <w:t>用于减少噪声传播的物理结构，通过设计和实施声屏障来降低低空飞行器产生的噪声对周围环境的影响。</w:t>
      </w:r>
    </w:p>
    <w:p w14:paraId="6FA5B232">
      <w:pPr>
        <w:ind w:firstLine="420" w:firstLineChars="200"/>
        <w:rPr>
          <w:sz w:val="21"/>
          <w:szCs w:val="21"/>
        </w:rPr>
      </w:pPr>
      <w:r>
        <w:rPr>
          <w:rFonts w:hint="eastAsia"/>
          <w:sz w:val="21"/>
          <w:szCs w:val="21"/>
        </w:rPr>
        <w:t>[来源：</w:t>
      </w:r>
      <w:r>
        <w:rPr>
          <w:sz w:val="21"/>
          <w:szCs w:val="21"/>
        </w:rPr>
        <w:t>GB/T 51335-2018</w:t>
      </w:r>
      <w:r>
        <w:rPr>
          <w:rFonts w:hint="eastAsia"/>
          <w:sz w:val="21"/>
          <w:szCs w:val="21"/>
        </w:rPr>
        <w:t xml:space="preserve"> 定义3.</w:t>
      </w:r>
      <w:r>
        <w:rPr>
          <w:sz w:val="21"/>
          <w:szCs w:val="21"/>
        </w:rPr>
        <w:t>1，有修改</w:t>
      </w:r>
      <w:r>
        <w:rPr>
          <w:rFonts w:hint="eastAsia"/>
          <w:sz w:val="21"/>
          <w:szCs w:val="21"/>
        </w:rPr>
        <w:t>]</w:t>
      </w:r>
    </w:p>
    <w:p w14:paraId="4CF94E61">
      <w:pPr>
        <w:rPr>
          <w:rFonts w:ascii="黑体" w:hAnsi="黑体" w:eastAsia="黑体"/>
          <w:sz w:val="21"/>
          <w:szCs w:val="21"/>
        </w:rPr>
      </w:pPr>
      <w:r>
        <w:rPr>
          <w:rFonts w:hint="eastAsia" w:ascii="黑体" w:hAnsi="黑体" w:eastAsia="黑体"/>
          <w:sz w:val="21"/>
          <w:szCs w:val="21"/>
        </w:rPr>
        <w:t>3</w:t>
      </w:r>
      <w:r>
        <w:rPr>
          <w:rFonts w:ascii="黑体" w:hAnsi="黑体" w:eastAsia="黑体"/>
          <w:sz w:val="21"/>
          <w:szCs w:val="21"/>
        </w:rPr>
        <w:t>.</w:t>
      </w:r>
      <w:r>
        <w:rPr>
          <w:rFonts w:hint="eastAsia" w:ascii="黑体" w:hAnsi="黑体" w:eastAsia="黑体"/>
          <w:sz w:val="21"/>
          <w:szCs w:val="21"/>
        </w:rPr>
        <w:t>9</w:t>
      </w:r>
    </w:p>
    <w:p w14:paraId="126C60CA">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声功率级 Sound Power Level</w:t>
      </w:r>
    </w:p>
    <w:p w14:paraId="032DDC7F">
      <w:pPr>
        <w:ind w:firstLine="420" w:firstLineChars="200"/>
        <w:rPr>
          <w:sz w:val="21"/>
          <w:szCs w:val="21"/>
        </w:rPr>
      </w:pPr>
      <w:r>
        <w:rPr>
          <w:rFonts w:hint="eastAsia"/>
          <w:sz w:val="21"/>
          <w:szCs w:val="21"/>
        </w:rPr>
        <w:t>声源在单位时间内向外辐射的声能的量度，用分贝（dB）表示，是衡量声源声辐射能力的物理量。</w:t>
      </w:r>
    </w:p>
    <w:p w14:paraId="182A4C04">
      <w:pPr>
        <w:ind w:firstLine="420" w:firstLineChars="200"/>
        <w:rPr>
          <w:sz w:val="21"/>
          <w:szCs w:val="21"/>
        </w:rPr>
      </w:pPr>
      <w:r>
        <w:rPr>
          <w:rFonts w:hint="eastAsia"/>
          <w:sz w:val="21"/>
          <w:szCs w:val="21"/>
        </w:rPr>
        <w:t>[来源：GB/T 20247-2006 定义3.</w:t>
      </w:r>
      <w:r>
        <w:rPr>
          <w:sz w:val="21"/>
          <w:szCs w:val="21"/>
        </w:rPr>
        <w:t>1</w:t>
      </w:r>
      <w:r>
        <w:rPr>
          <w:rFonts w:hint="eastAsia"/>
          <w:sz w:val="21"/>
          <w:szCs w:val="21"/>
        </w:rPr>
        <w:t>]</w:t>
      </w:r>
    </w:p>
    <w:p w14:paraId="34EFDDF7">
      <w:pPr>
        <w:rPr>
          <w:rFonts w:ascii="黑体" w:hAnsi="黑体" w:eastAsia="黑体"/>
          <w:sz w:val="21"/>
          <w:szCs w:val="21"/>
        </w:rPr>
      </w:pPr>
      <w:r>
        <w:rPr>
          <w:rFonts w:hint="eastAsia" w:ascii="黑体" w:hAnsi="黑体" w:eastAsia="黑体"/>
          <w:sz w:val="21"/>
          <w:szCs w:val="21"/>
        </w:rPr>
        <w:t>3.10</w:t>
      </w:r>
    </w:p>
    <w:p w14:paraId="44F87577">
      <w:pPr>
        <w:ind w:firstLine="420" w:firstLineChars="200"/>
        <w:rPr>
          <w:rFonts w:ascii="Times New Roman" w:hAnsi="Times New Roman" w:eastAsia="黑体" w:cs="Times New Roman"/>
          <w:sz w:val="21"/>
          <w:szCs w:val="21"/>
        </w:rPr>
      </w:pPr>
      <w:r>
        <w:rPr>
          <w:rFonts w:hint="eastAsia" w:ascii="Times New Roman" w:hAnsi="Times New Roman" w:eastAsia="黑体" w:cs="Times New Roman"/>
          <w:sz w:val="21"/>
          <w:szCs w:val="21"/>
        </w:rPr>
        <w:t>声敏感区(Noise Sensitive Area)</w:t>
      </w:r>
    </w:p>
    <w:p w14:paraId="10B648B4">
      <w:pPr>
        <w:ind w:firstLine="420" w:firstLineChars="200"/>
        <w:rPr>
          <w:sz w:val="21"/>
          <w:szCs w:val="21"/>
        </w:rPr>
      </w:pPr>
      <w:r>
        <w:rPr>
          <w:rFonts w:hint="eastAsia"/>
          <w:sz w:val="21"/>
          <w:szCs w:val="21"/>
        </w:rPr>
        <w:t>声敏感区被定义为需要保持安静的建筑物集中的区域，具体包括医院、学校、机关、科研单位、住宅等。这些区域对噪声较为敏感，因此需要特别的噪声控制措施来保护居民的生活质量和健康。</w:t>
      </w:r>
    </w:p>
    <w:p w14:paraId="5CA370C0">
      <w:pPr>
        <w:ind w:firstLine="420" w:firstLineChars="200"/>
        <w:rPr>
          <w:sz w:val="21"/>
          <w:szCs w:val="21"/>
        </w:rPr>
      </w:pPr>
      <w:r>
        <w:rPr>
          <w:rFonts w:hint="eastAsia"/>
          <w:sz w:val="21"/>
          <w:szCs w:val="21"/>
        </w:rPr>
        <w:t>[来源：</w:t>
      </w:r>
      <w:r>
        <w:rPr>
          <w:sz w:val="21"/>
          <w:szCs w:val="21"/>
        </w:rPr>
        <w:t>GB 3096-2008</w:t>
      </w:r>
      <w:r>
        <w:rPr>
          <w:rFonts w:hint="eastAsia"/>
          <w:sz w:val="21"/>
          <w:szCs w:val="21"/>
        </w:rPr>
        <w:t xml:space="preserve"> 定义3.</w:t>
      </w:r>
      <w:r>
        <w:rPr>
          <w:sz w:val="21"/>
          <w:szCs w:val="21"/>
        </w:rPr>
        <w:t>1</w:t>
      </w:r>
      <w:r>
        <w:rPr>
          <w:rFonts w:hint="eastAsia"/>
          <w:sz w:val="21"/>
          <w:szCs w:val="21"/>
        </w:rPr>
        <w:t>0，有修改]</w:t>
      </w:r>
    </w:p>
    <w:p w14:paraId="7CD3B240">
      <w:pPr>
        <w:pStyle w:val="55"/>
        <w:numPr>
          <w:ilvl w:val="0"/>
          <w:numId w:val="0"/>
        </w:numPr>
        <w:spacing w:before="240" w:after="240"/>
      </w:pPr>
      <w:bookmarkStart w:id="24" w:name="_Toc190767963"/>
      <w:r>
        <w:t>4</w:t>
      </w:r>
      <w:r>
        <w:rPr>
          <w:rFonts w:hint="eastAsia"/>
        </w:rPr>
        <w:t xml:space="preserve"> 总体要求</w:t>
      </w:r>
      <w:bookmarkEnd w:id="24"/>
    </w:p>
    <w:p w14:paraId="0E5A6250">
      <w:pPr>
        <w:spacing w:beforeLines="50" w:afterLines="50"/>
        <w:rPr>
          <w:rFonts w:ascii="黑体" w:hAnsi="黑体" w:eastAsia="黑体"/>
          <w:sz w:val="21"/>
          <w:szCs w:val="21"/>
        </w:rPr>
      </w:pPr>
      <w:r>
        <w:rPr>
          <w:rFonts w:hint="eastAsia" w:ascii="黑体" w:hAnsi="黑体" w:eastAsia="黑体"/>
          <w:sz w:val="21"/>
          <w:szCs w:val="21"/>
        </w:rPr>
        <w:t>4</w:t>
      </w:r>
      <w:r>
        <w:rPr>
          <w:rFonts w:ascii="黑体" w:hAnsi="黑体" w:eastAsia="黑体"/>
          <w:sz w:val="21"/>
          <w:szCs w:val="21"/>
        </w:rPr>
        <w:t xml:space="preserve">.1 </w:t>
      </w:r>
      <w:r>
        <w:rPr>
          <w:rFonts w:hint="eastAsia" w:ascii="黑体" w:hAnsi="黑体" w:eastAsia="黑体"/>
          <w:sz w:val="21"/>
          <w:szCs w:val="21"/>
        </w:rPr>
        <w:t>一般原则</w:t>
      </w:r>
    </w:p>
    <w:p w14:paraId="4833EE8F">
      <w:pPr>
        <w:ind w:firstLine="420" w:firstLineChars="200"/>
        <w:jc w:val="both"/>
        <w:rPr>
          <w:sz w:val="21"/>
          <w:szCs w:val="21"/>
        </w:rPr>
      </w:pPr>
      <w:r>
        <w:rPr>
          <w:rFonts w:hint="eastAsia"/>
          <w:sz w:val="21"/>
          <w:szCs w:val="21"/>
        </w:rPr>
        <w:t>a</w:t>
      </w:r>
      <w:r>
        <w:rPr>
          <w:sz w:val="21"/>
          <w:szCs w:val="21"/>
        </w:rPr>
        <w:t>）源头减量: 优先考虑通过改进飞行器设计、优化运行程序等手段减少噪声源产生的噪声。</w:t>
      </w:r>
    </w:p>
    <w:p w14:paraId="0B5D0E65">
      <w:pPr>
        <w:ind w:firstLine="420" w:firstLineChars="200"/>
        <w:jc w:val="both"/>
        <w:rPr>
          <w:sz w:val="21"/>
          <w:szCs w:val="21"/>
        </w:rPr>
      </w:pPr>
      <w:r>
        <w:rPr>
          <w:sz w:val="21"/>
          <w:szCs w:val="21"/>
        </w:rPr>
        <w:t>b）传播途径控制: 利用隔音屏障、绿化带、吸声材料等措施，阻隔或吸收噪声传播。</w:t>
      </w:r>
    </w:p>
    <w:p w14:paraId="588DD856">
      <w:pPr>
        <w:ind w:firstLine="420" w:firstLineChars="200"/>
        <w:jc w:val="both"/>
        <w:rPr>
          <w:sz w:val="21"/>
          <w:szCs w:val="21"/>
        </w:rPr>
      </w:pPr>
      <w:r>
        <w:rPr>
          <w:sz w:val="21"/>
          <w:szCs w:val="21"/>
        </w:rPr>
        <w:t>c）受体保护: 对敏感区域（如住宅区、学校、医院）采取特别保护措施，确保噪声影响最小化。</w:t>
      </w:r>
    </w:p>
    <w:p w14:paraId="424B2845">
      <w:pPr>
        <w:ind w:firstLine="420" w:firstLineChars="200"/>
        <w:jc w:val="both"/>
        <w:rPr>
          <w:sz w:val="21"/>
          <w:szCs w:val="21"/>
        </w:rPr>
      </w:pPr>
      <w:r>
        <w:rPr>
          <w:sz w:val="21"/>
          <w:szCs w:val="21"/>
        </w:rPr>
        <w:t>d）综合管理: 结合噪声监测、公众参与、法规执行等手段，实施噪声污染的全面管理。</w:t>
      </w:r>
    </w:p>
    <w:p w14:paraId="3076CD2F">
      <w:pPr>
        <w:spacing w:beforeLines="50" w:afterLines="50"/>
        <w:rPr>
          <w:rFonts w:ascii="黑体" w:hAnsi="黑体" w:eastAsia="黑体"/>
          <w:sz w:val="21"/>
          <w:szCs w:val="21"/>
        </w:rPr>
      </w:pPr>
      <w:r>
        <w:rPr>
          <w:rFonts w:hint="eastAsia" w:ascii="黑体" w:hAnsi="黑体" w:eastAsia="黑体"/>
          <w:sz w:val="21"/>
          <w:szCs w:val="21"/>
        </w:rPr>
        <w:t>4.2限值要求</w:t>
      </w:r>
    </w:p>
    <w:p w14:paraId="2D0936CD">
      <w:pPr>
        <w:spacing w:beforeLines="50" w:afterLines="50"/>
        <w:rPr>
          <w:rFonts w:ascii="黑体" w:hAnsi="黑体" w:eastAsia="黑体" w:cs="Times New Roman"/>
          <w:sz w:val="21"/>
          <w:szCs w:val="21"/>
        </w:rPr>
      </w:pPr>
      <w:r>
        <w:rPr>
          <w:rFonts w:hint="eastAsia" w:ascii="黑体" w:hAnsi="黑体" w:eastAsia="黑体" w:cs="Times New Roman"/>
          <w:sz w:val="21"/>
          <w:szCs w:val="21"/>
        </w:rPr>
        <w:t>4.2.1 场界噪声限值</w:t>
      </w:r>
    </w:p>
    <w:p w14:paraId="13498B09">
      <w:pPr>
        <w:ind w:firstLine="330" w:firstLineChars="150"/>
        <w:jc w:val="both"/>
        <w:rPr>
          <w:rFonts w:cs="Times New Roman"/>
        </w:rPr>
      </w:pPr>
      <w:r>
        <w:rPr>
          <w:rFonts w:hint="eastAsia" w:cs="Times New Roman"/>
        </w:rPr>
        <w:t>参照《城市区域环境噪声标》（GB3096-</w:t>
      </w:r>
      <w:r>
        <w:rPr>
          <w:rFonts w:cs="Times New Roman"/>
        </w:rPr>
        <w:t>2018</w:t>
      </w:r>
      <w:r>
        <w:rPr>
          <w:rFonts w:hint="eastAsia" w:cs="Times New Roman"/>
        </w:rPr>
        <w:t>），垂直起降站的噪声场界噪声限值参考直起降站所在声环境功能区噪声限值，如表1：</w:t>
      </w:r>
    </w:p>
    <w:p w14:paraId="6FCE9A3C">
      <w:pPr>
        <w:spacing w:line="360" w:lineRule="auto"/>
        <w:ind w:firstLine="330" w:firstLineChars="150"/>
        <w:rPr>
          <w:rFonts w:ascii="Times New Roman" w:hAnsi="Times New Roman" w:cs="Times New Roman"/>
        </w:rPr>
      </w:pPr>
    </w:p>
    <w:p w14:paraId="7D481296">
      <w:pPr>
        <w:ind w:firstLine="315" w:firstLineChars="150"/>
        <w:jc w:val="center"/>
        <w:rPr>
          <w:rFonts w:cs="Times New Roman"/>
          <w:sz w:val="21"/>
          <w:szCs w:val="21"/>
        </w:rPr>
      </w:pPr>
      <w:r>
        <w:rPr>
          <w:rFonts w:hint="eastAsia" w:cs="Times New Roman"/>
          <w:sz w:val="21"/>
          <w:szCs w:val="21"/>
        </w:rPr>
        <w:t>表1城市区域环境噪声标准值</w:t>
      </w:r>
      <w:r>
        <w:rPr>
          <w:rFonts w:cs="Times New Roman"/>
          <w:sz w:val="21"/>
          <w:szCs w:val="21"/>
        </w:rPr>
        <w:t>等效声级Leq:dB</w:t>
      </w:r>
    </w:p>
    <w:tbl>
      <w:tblPr>
        <w:tblStyle w:val="18"/>
        <w:tblW w:w="6000" w:type="dxa"/>
        <w:jc w:val="center"/>
        <w:tblLayout w:type="autofit"/>
        <w:tblCellMar>
          <w:top w:w="0" w:type="dxa"/>
          <w:left w:w="108" w:type="dxa"/>
          <w:bottom w:w="0" w:type="dxa"/>
          <w:right w:w="108" w:type="dxa"/>
        </w:tblCellMar>
      </w:tblPr>
      <w:tblGrid>
        <w:gridCol w:w="2000"/>
        <w:gridCol w:w="2000"/>
        <w:gridCol w:w="2000"/>
      </w:tblGrid>
      <w:tr w14:paraId="5C1AF76D">
        <w:trPr>
          <w:trHeight w:val="288" w:hRule="atLeast"/>
          <w:jc w:val="center"/>
        </w:trPr>
        <w:tc>
          <w:tcPr>
            <w:tcW w:w="20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C3F4D">
            <w:pPr>
              <w:widowControl/>
              <w:autoSpaceDE/>
              <w:autoSpaceDN/>
              <w:spacing w:line="360" w:lineRule="auto"/>
              <w:jc w:val="center"/>
              <w:rPr>
                <w:color w:val="000000"/>
                <w:sz w:val="18"/>
                <w:szCs w:val="18"/>
              </w:rPr>
            </w:pPr>
            <w:r>
              <w:rPr>
                <w:rFonts w:hint="eastAsia"/>
                <w:color w:val="000000"/>
                <w:sz w:val="18"/>
                <w:szCs w:val="18"/>
              </w:rPr>
              <w:t>类别</w:t>
            </w:r>
          </w:p>
        </w:tc>
        <w:tc>
          <w:tcPr>
            <w:tcW w:w="2000" w:type="dxa"/>
            <w:tcBorders>
              <w:top w:val="single" w:color="auto" w:sz="4" w:space="0"/>
              <w:left w:val="nil"/>
              <w:bottom w:val="single" w:color="auto" w:sz="4" w:space="0"/>
              <w:right w:val="single" w:color="auto" w:sz="4" w:space="0"/>
            </w:tcBorders>
            <w:shd w:val="clear" w:color="auto" w:fill="auto"/>
            <w:noWrap/>
            <w:vAlign w:val="center"/>
          </w:tcPr>
          <w:p w14:paraId="7BC3A90C">
            <w:pPr>
              <w:widowControl/>
              <w:autoSpaceDE/>
              <w:autoSpaceDN/>
              <w:spacing w:line="360" w:lineRule="auto"/>
              <w:jc w:val="center"/>
              <w:rPr>
                <w:color w:val="000000"/>
                <w:sz w:val="18"/>
                <w:szCs w:val="18"/>
              </w:rPr>
            </w:pPr>
            <w:r>
              <w:rPr>
                <w:rFonts w:hint="eastAsia"/>
                <w:color w:val="000000"/>
                <w:sz w:val="18"/>
                <w:szCs w:val="18"/>
              </w:rPr>
              <w:t>昼间dB(A)</w:t>
            </w:r>
          </w:p>
        </w:tc>
        <w:tc>
          <w:tcPr>
            <w:tcW w:w="2000" w:type="dxa"/>
            <w:tcBorders>
              <w:top w:val="single" w:color="auto" w:sz="4" w:space="0"/>
              <w:left w:val="nil"/>
              <w:bottom w:val="single" w:color="auto" w:sz="4" w:space="0"/>
              <w:right w:val="single" w:color="auto" w:sz="4" w:space="0"/>
            </w:tcBorders>
            <w:shd w:val="clear" w:color="auto" w:fill="auto"/>
            <w:noWrap/>
            <w:vAlign w:val="center"/>
          </w:tcPr>
          <w:p w14:paraId="635E6AEA">
            <w:pPr>
              <w:widowControl/>
              <w:autoSpaceDE/>
              <w:autoSpaceDN/>
              <w:spacing w:line="360" w:lineRule="auto"/>
              <w:jc w:val="center"/>
              <w:rPr>
                <w:color w:val="000000"/>
                <w:sz w:val="18"/>
                <w:szCs w:val="18"/>
              </w:rPr>
            </w:pPr>
            <w:r>
              <w:rPr>
                <w:rFonts w:hint="eastAsia"/>
                <w:color w:val="000000"/>
                <w:sz w:val="18"/>
                <w:szCs w:val="18"/>
              </w:rPr>
              <w:t>夜间dB(A)</w:t>
            </w:r>
          </w:p>
        </w:tc>
      </w:tr>
      <w:tr w14:paraId="6E9D293C">
        <w:trPr>
          <w:trHeight w:val="288" w:hRule="atLeast"/>
          <w:jc w:val="center"/>
        </w:trPr>
        <w:tc>
          <w:tcPr>
            <w:tcW w:w="2000" w:type="dxa"/>
            <w:tcBorders>
              <w:top w:val="nil"/>
              <w:left w:val="single" w:color="auto" w:sz="4" w:space="0"/>
              <w:bottom w:val="single" w:color="auto" w:sz="4" w:space="0"/>
              <w:right w:val="single" w:color="auto" w:sz="4" w:space="0"/>
            </w:tcBorders>
            <w:shd w:val="clear" w:color="auto" w:fill="auto"/>
            <w:noWrap/>
            <w:vAlign w:val="center"/>
          </w:tcPr>
          <w:p w14:paraId="3592FE35">
            <w:pPr>
              <w:widowControl/>
              <w:autoSpaceDE/>
              <w:autoSpaceDN/>
              <w:spacing w:line="360" w:lineRule="auto"/>
              <w:jc w:val="center"/>
              <w:rPr>
                <w:color w:val="000000"/>
                <w:sz w:val="18"/>
                <w:szCs w:val="18"/>
              </w:rPr>
            </w:pPr>
            <w:r>
              <w:rPr>
                <w:rFonts w:hint="eastAsia"/>
                <w:color w:val="000000"/>
                <w:sz w:val="18"/>
                <w:szCs w:val="18"/>
              </w:rPr>
              <w:t>0</w:t>
            </w:r>
          </w:p>
        </w:tc>
        <w:tc>
          <w:tcPr>
            <w:tcW w:w="2000" w:type="dxa"/>
            <w:tcBorders>
              <w:top w:val="nil"/>
              <w:left w:val="nil"/>
              <w:bottom w:val="single" w:color="auto" w:sz="4" w:space="0"/>
              <w:right w:val="single" w:color="auto" w:sz="4" w:space="0"/>
            </w:tcBorders>
            <w:shd w:val="clear" w:color="auto" w:fill="auto"/>
            <w:noWrap/>
            <w:vAlign w:val="center"/>
          </w:tcPr>
          <w:p w14:paraId="581D0727">
            <w:pPr>
              <w:widowControl/>
              <w:autoSpaceDE/>
              <w:autoSpaceDN/>
              <w:spacing w:line="360" w:lineRule="auto"/>
              <w:jc w:val="center"/>
              <w:rPr>
                <w:color w:val="000000"/>
                <w:sz w:val="18"/>
                <w:szCs w:val="18"/>
              </w:rPr>
            </w:pPr>
            <w:r>
              <w:rPr>
                <w:rFonts w:hint="eastAsia"/>
                <w:color w:val="000000"/>
                <w:sz w:val="18"/>
                <w:szCs w:val="18"/>
              </w:rPr>
              <w:t>50</w:t>
            </w:r>
          </w:p>
        </w:tc>
        <w:tc>
          <w:tcPr>
            <w:tcW w:w="2000" w:type="dxa"/>
            <w:tcBorders>
              <w:top w:val="nil"/>
              <w:left w:val="nil"/>
              <w:bottom w:val="single" w:color="auto" w:sz="4" w:space="0"/>
              <w:right w:val="single" w:color="auto" w:sz="4" w:space="0"/>
            </w:tcBorders>
            <w:shd w:val="clear" w:color="auto" w:fill="auto"/>
            <w:noWrap/>
            <w:vAlign w:val="center"/>
          </w:tcPr>
          <w:p w14:paraId="5A0255F8">
            <w:pPr>
              <w:widowControl/>
              <w:autoSpaceDE/>
              <w:autoSpaceDN/>
              <w:spacing w:line="360" w:lineRule="auto"/>
              <w:jc w:val="center"/>
              <w:rPr>
                <w:color w:val="000000"/>
                <w:sz w:val="18"/>
                <w:szCs w:val="18"/>
              </w:rPr>
            </w:pPr>
            <w:r>
              <w:rPr>
                <w:rFonts w:hint="eastAsia"/>
                <w:color w:val="000000"/>
                <w:sz w:val="18"/>
                <w:szCs w:val="18"/>
              </w:rPr>
              <w:t>40</w:t>
            </w:r>
          </w:p>
        </w:tc>
      </w:tr>
      <w:tr w14:paraId="7578968F">
        <w:trPr>
          <w:trHeight w:val="288" w:hRule="atLeast"/>
          <w:jc w:val="center"/>
        </w:trPr>
        <w:tc>
          <w:tcPr>
            <w:tcW w:w="2000" w:type="dxa"/>
            <w:tcBorders>
              <w:top w:val="nil"/>
              <w:left w:val="single" w:color="auto" w:sz="4" w:space="0"/>
              <w:bottom w:val="single" w:color="auto" w:sz="4" w:space="0"/>
              <w:right w:val="single" w:color="auto" w:sz="4" w:space="0"/>
            </w:tcBorders>
            <w:shd w:val="clear" w:color="auto" w:fill="auto"/>
            <w:noWrap/>
            <w:vAlign w:val="center"/>
          </w:tcPr>
          <w:p w14:paraId="181C4453">
            <w:pPr>
              <w:widowControl/>
              <w:autoSpaceDE/>
              <w:autoSpaceDN/>
              <w:spacing w:line="360" w:lineRule="auto"/>
              <w:jc w:val="center"/>
              <w:rPr>
                <w:color w:val="000000"/>
                <w:sz w:val="18"/>
                <w:szCs w:val="18"/>
              </w:rPr>
            </w:pPr>
            <w:r>
              <w:rPr>
                <w:rFonts w:hint="eastAsia"/>
                <w:color w:val="000000"/>
                <w:sz w:val="18"/>
                <w:szCs w:val="18"/>
              </w:rPr>
              <w:t>1</w:t>
            </w:r>
          </w:p>
        </w:tc>
        <w:tc>
          <w:tcPr>
            <w:tcW w:w="2000" w:type="dxa"/>
            <w:tcBorders>
              <w:top w:val="nil"/>
              <w:left w:val="nil"/>
              <w:bottom w:val="single" w:color="auto" w:sz="4" w:space="0"/>
              <w:right w:val="single" w:color="auto" w:sz="4" w:space="0"/>
            </w:tcBorders>
            <w:shd w:val="clear" w:color="auto" w:fill="auto"/>
            <w:noWrap/>
            <w:vAlign w:val="center"/>
          </w:tcPr>
          <w:p w14:paraId="26876310">
            <w:pPr>
              <w:widowControl/>
              <w:autoSpaceDE/>
              <w:autoSpaceDN/>
              <w:spacing w:line="360" w:lineRule="auto"/>
              <w:jc w:val="center"/>
              <w:rPr>
                <w:color w:val="000000"/>
                <w:sz w:val="18"/>
                <w:szCs w:val="18"/>
              </w:rPr>
            </w:pPr>
            <w:r>
              <w:rPr>
                <w:rFonts w:hint="eastAsia"/>
                <w:color w:val="000000"/>
                <w:sz w:val="18"/>
                <w:szCs w:val="18"/>
              </w:rPr>
              <w:t>55</w:t>
            </w:r>
          </w:p>
        </w:tc>
        <w:tc>
          <w:tcPr>
            <w:tcW w:w="2000" w:type="dxa"/>
            <w:tcBorders>
              <w:top w:val="nil"/>
              <w:left w:val="nil"/>
              <w:bottom w:val="single" w:color="auto" w:sz="4" w:space="0"/>
              <w:right w:val="single" w:color="auto" w:sz="4" w:space="0"/>
            </w:tcBorders>
            <w:shd w:val="clear" w:color="auto" w:fill="auto"/>
            <w:noWrap/>
            <w:vAlign w:val="center"/>
          </w:tcPr>
          <w:p w14:paraId="29B28ACF">
            <w:pPr>
              <w:widowControl/>
              <w:autoSpaceDE/>
              <w:autoSpaceDN/>
              <w:spacing w:line="360" w:lineRule="auto"/>
              <w:jc w:val="center"/>
              <w:rPr>
                <w:color w:val="000000"/>
                <w:sz w:val="18"/>
                <w:szCs w:val="18"/>
              </w:rPr>
            </w:pPr>
            <w:r>
              <w:rPr>
                <w:rFonts w:hint="eastAsia"/>
                <w:color w:val="000000"/>
                <w:sz w:val="18"/>
                <w:szCs w:val="18"/>
              </w:rPr>
              <w:t>45</w:t>
            </w:r>
          </w:p>
        </w:tc>
      </w:tr>
      <w:tr w14:paraId="3F06AA99">
        <w:trPr>
          <w:trHeight w:val="288" w:hRule="atLeast"/>
          <w:jc w:val="center"/>
        </w:trPr>
        <w:tc>
          <w:tcPr>
            <w:tcW w:w="2000" w:type="dxa"/>
            <w:tcBorders>
              <w:top w:val="nil"/>
              <w:left w:val="single" w:color="auto" w:sz="4" w:space="0"/>
              <w:bottom w:val="single" w:color="auto" w:sz="4" w:space="0"/>
              <w:right w:val="single" w:color="auto" w:sz="4" w:space="0"/>
            </w:tcBorders>
            <w:shd w:val="clear" w:color="auto" w:fill="auto"/>
            <w:noWrap/>
            <w:vAlign w:val="center"/>
          </w:tcPr>
          <w:p w14:paraId="3B59B52E">
            <w:pPr>
              <w:widowControl/>
              <w:autoSpaceDE/>
              <w:autoSpaceDN/>
              <w:spacing w:line="360" w:lineRule="auto"/>
              <w:jc w:val="center"/>
              <w:rPr>
                <w:color w:val="000000"/>
                <w:sz w:val="18"/>
                <w:szCs w:val="18"/>
              </w:rPr>
            </w:pPr>
            <w:r>
              <w:rPr>
                <w:rFonts w:hint="eastAsia"/>
                <w:color w:val="000000"/>
                <w:sz w:val="18"/>
                <w:szCs w:val="18"/>
              </w:rPr>
              <w:t>2</w:t>
            </w:r>
          </w:p>
        </w:tc>
        <w:tc>
          <w:tcPr>
            <w:tcW w:w="2000" w:type="dxa"/>
            <w:tcBorders>
              <w:top w:val="nil"/>
              <w:left w:val="nil"/>
              <w:bottom w:val="single" w:color="auto" w:sz="4" w:space="0"/>
              <w:right w:val="single" w:color="auto" w:sz="4" w:space="0"/>
            </w:tcBorders>
            <w:shd w:val="clear" w:color="auto" w:fill="auto"/>
            <w:noWrap/>
            <w:vAlign w:val="center"/>
          </w:tcPr>
          <w:p w14:paraId="4751B2BB">
            <w:pPr>
              <w:widowControl/>
              <w:autoSpaceDE/>
              <w:autoSpaceDN/>
              <w:spacing w:line="360" w:lineRule="auto"/>
              <w:jc w:val="center"/>
              <w:rPr>
                <w:color w:val="000000"/>
                <w:sz w:val="18"/>
                <w:szCs w:val="18"/>
              </w:rPr>
            </w:pPr>
            <w:r>
              <w:rPr>
                <w:rFonts w:hint="eastAsia"/>
                <w:color w:val="000000"/>
                <w:sz w:val="18"/>
                <w:szCs w:val="18"/>
              </w:rPr>
              <w:t>60</w:t>
            </w:r>
          </w:p>
        </w:tc>
        <w:tc>
          <w:tcPr>
            <w:tcW w:w="2000" w:type="dxa"/>
            <w:tcBorders>
              <w:top w:val="nil"/>
              <w:left w:val="nil"/>
              <w:bottom w:val="single" w:color="auto" w:sz="4" w:space="0"/>
              <w:right w:val="single" w:color="auto" w:sz="4" w:space="0"/>
            </w:tcBorders>
            <w:shd w:val="clear" w:color="auto" w:fill="auto"/>
            <w:noWrap/>
            <w:vAlign w:val="center"/>
          </w:tcPr>
          <w:p w14:paraId="4B06C7AC">
            <w:pPr>
              <w:widowControl/>
              <w:autoSpaceDE/>
              <w:autoSpaceDN/>
              <w:spacing w:line="360" w:lineRule="auto"/>
              <w:jc w:val="center"/>
              <w:rPr>
                <w:color w:val="000000"/>
                <w:sz w:val="18"/>
                <w:szCs w:val="18"/>
              </w:rPr>
            </w:pPr>
            <w:r>
              <w:rPr>
                <w:rFonts w:hint="eastAsia"/>
                <w:color w:val="000000"/>
                <w:sz w:val="18"/>
                <w:szCs w:val="18"/>
              </w:rPr>
              <w:t>50</w:t>
            </w:r>
          </w:p>
        </w:tc>
      </w:tr>
      <w:tr w14:paraId="36CEC742">
        <w:trPr>
          <w:trHeight w:val="288" w:hRule="atLeast"/>
          <w:jc w:val="center"/>
        </w:trPr>
        <w:tc>
          <w:tcPr>
            <w:tcW w:w="2000" w:type="dxa"/>
            <w:tcBorders>
              <w:top w:val="nil"/>
              <w:left w:val="single" w:color="auto" w:sz="4" w:space="0"/>
              <w:bottom w:val="single" w:color="auto" w:sz="4" w:space="0"/>
              <w:right w:val="single" w:color="auto" w:sz="4" w:space="0"/>
            </w:tcBorders>
            <w:shd w:val="clear" w:color="auto" w:fill="auto"/>
            <w:noWrap/>
            <w:vAlign w:val="center"/>
          </w:tcPr>
          <w:p w14:paraId="05EA73FA">
            <w:pPr>
              <w:widowControl/>
              <w:autoSpaceDE/>
              <w:autoSpaceDN/>
              <w:spacing w:line="360" w:lineRule="auto"/>
              <w:jc w:val="center"/>
              <w:rPr>
                <w:color w:val="000000"/>
                <w:sz w:val="18"/>
                <w:szCs w:val="18"/>
              </w:rPr>
            </w:pPr>
            <w:r>
              <w:rPr>
                <w:rFonts w:hint="eastAsia"/>
                <w:color w:val="000000"/>
                <w:sz w:val="18"/>
                <w:szCs w:val="18"/>
              </w:rPr>
              <w:t>3</w:t>
            </w:r>
          </w:p>
        </w:tc>
        <w:tc>
          <w:tcPr>
            <w:tcW w:w="2000" w:type="dxa"/>
            <w:tcBorders>
              <w:top w:val="nil"/>
              <w:left w:val="nil"/>
              <w:bottom w:val="single" w:color="auto" w:sz="4" w:space="0"/>
              <w:right w:val="single" w:color="auto" w:sz="4" w:space="0"/>
            </w:tcBorders>
            <w:shd w:val="clear" w:color="auto" w:fill="auto"/>
            <w:noWrap/>
            <w:vAlign w:val="center"/>
          </w:tcPr>
          <w:p w14:paraId="330CA22D">
            <w:pPr>
              <w:widowControl/>
              <w:autoSpaceDE/>
              <w:autoSpaceDN/>
              <w:spacing w:line="360" w:lineRule="auto"/>
              <w:jc w:val="center"/>
              <w:rPr>
                <w:color w:val="000000"/>
                <w:sz w:val="18"/>
                <w:szCs w:val="18"/>
              </w:rPr>
            </w:pPr>
            <w:r>
              <w:rPr>
                <w:rFonts w:hint="eastAsia"/>
                <w:color w:val="000000"/>
                <w:sz w:val="18"/>
                <w:szCs w:val="18"/>
              </w:rPr>
              <w:t>65</w:t>
            </w:r>
          </w:p>
        </w:tc>
        <w:tc>
          <w:tcPr>
            <w:tcW w:w="2000" w:type="dxa"/>
            <w:tcBorders>
              <w:top w:val="nil"/>
              <w:left w:val="nil"/>
              <w:bottom w:val="single" w:color="auto" w:sz="4" w:space="0"/>
              <w:right w:val="single" w:color="auto" w:sz="4" w:space="0"/>
            </w:tcBorders>
            <w:shd w:val="clear" w:color="auto" w:fill="auto"/>
            <w:noWrap/>
            <w:vAlign w:val="center"/>
          </w:tcPr>
          <w:p w14:paraId="3FFA138D">
            <w:pPr>
              <w:widowControl/>
              <w:autoSpaceDE/>
              <w:autoSpaceDN/>
              <w:spacing w:line="360" w:lineRule="auto"/>
              <w:jc w:val="center"/>
              <w:rPr>
                <w:color w:val="000000"/>
                <w:sz w:val="18"/>
                <w:szCs w:val="18"/>
              </w:rPr>
            </w:pPr>
            <w:r>
              <w:rPr>
                <w:rFonts w:hint="eastAsia"/>
                <w:color w:val="000000"/>
                <w:sz w:val="18"/>
                <w:szCs w:val="18"/>
              </w:rPr>
              <w:t>55</w:t>
            </w:r>
          </w:p>
        </w:tc>
      </w:tr>
      <w:tr w14:paraId="154DA4BB">
        <w:trPr>
          <w:trHeight w:val="288" w:hRule="atLeast"/>
          <w:jc w:val="center"/>
        </w:trPr>
        <w:tc>
          <w:tcPr>
            <w:tcW w:w="2000" w:type="dxa"/>
            <w:tcBorders>
              <w:top w:val="nil"/>
              <w:left w:val="single" w:color="auto" w:sz="4" w:space="0"/>
              <w:bottom w:val="single" w:color="auto" w:sz="4" w:space="0"/>
              <w:right w:val="single" w:color="auto" w:sz="4" w:space="0"/>
            </w:tcBorders>
            <w:shd w:val="clear" w:color="auto" w:fill="auto"/>
            <w:noWrap/>
            <w:vAlign w:val="center"/>
          </w:tcPr>
          <w:p w14:paraId="2465FD13">
            <w:pPr>
              <w:widowControl/>
              <w:autoSpaceDE/>
              <w:autoSpaceDN/>
              <w:spacing w:line="360" w:lineRule="auto"/>
              <w:jc w:val="center"/>
              <w:rPr>
                <w:color w:val="000000"/>
                <w:sz w:val="18"/>
                <w:szCs w:val="18"/>
              </w:rPr>
            </w:pPr>
            <w:r>
              <w:rPr>
                <w:rFonts w:hint="eastAsia"/>
                <w:color w:val="000000"/>
                <w:sz w:val="18"/>
                <w:szCs w:val="18"/>
              </w:rPr>
              <w:t>4</w:t>
            </w:r>
          </w:p>
        </w:tc>
        <w:tc>
          <w:tcPr>
            <w:tcW w:w="2000" w:type="dxa"/>
            <w:tcBorders>
              <w:top w:val="nil"/>
              <w:left w:val="nil"/>
              <w:bottom w:val="single" w:color="auto" w:sz="4" w:space="0"/>
              <w:right w:val="single" w:color="auto" w:sz="4" w:space="0"/>
            </w:tcBorders>
            <w:shd w:val="clear" w:color="auto" w:fill="auto"/>
            <w:noWrap/>
            <w:vAlign w:val="center"/>
          </w:tcPr>
          <w:p w14:paraId="46D54225">
            <w:pPr>
              <w:widowControl/>
              <w:autoSpaceDE/>
              <w:autoSpaceDN/>
              <w:spacing w:line="360" w:lineRule="auto"/>
              <w:jc w:val="center"/>
              <w:rPr>
                <w:color w:val="000000"/>
                <w:sz w:val="18"/>
                <w:szCs w:val="18"/>
              </w:rPr>
            </w:pPr>
            <w:r>
              <w:rPr>
                <w:rFonts w:hint="eastAsia"/>
                <w:color w:val="000000"/>
                <w:sz w:val="18"/>
                <w:szCs w:val="18"/>
              </w:rPr>
              <w:t>70</w:t>
            </w:r>
          </w:p>
        </w:tc>
        <w:tc>
          <w:tcPr>
            <w:tcW w:w="2000" w:type="dxa"/>
            <w:tcBorders>
              <w:top w:val="nil"/>
              <w:left w:val="nil"/>
              <w:bottom w:val="single" w:color="auto" w:sz="4" w:space="0"/>
              <w:right w:val="single" w:color="auto" w:sz="4" w:space="0"/>
            </w:tcBorders>
            <w:shd w:val="clear" w:color="auto" w:fill="auto"/>
            <w:noWrap/>
            <w:vAlign w:val="center"/>
          </w:tcPr>
          <w:p w14:paraId="733D57EE">
            <w:pPr>
              <w:widowControl/>
              <w:autoSpaceDE/>
              <w:autoSpaceDN/>
              <w:spacing w:line="360" w:lineRule="auto"/>
              <w:jc w:val="center"/>
              <w:rPr>
                <w:color w:val="000000"/>
                <w:sz w:val="18"/>
                <w:szCs w:val="18"/>
              </w:rPr>
            </w:pPr>
            <w:r>
              <w:rPr>
                <w:rFonts w:hint="eastAsia"/>
                <w:color w:val="000000"/>
                <w:sz w:val="18"/>
                <w:szCs w:val="18"/>
              </w:rPr>
              <w:t>55</w:t>
            </w:r>
          </w:p>
        </w:tc>
      </w:tr>
    </w:tbl>
    <w:p w14:paraId="00A4B3A9">
      <w:pPr>
        <w:ind w:firstLine="315" w:firstLineChars="150"/>
        <w:jc w:val="both"/>
        <w:rPr>
          <w:rFonts w:cs="Times New Roman"/>
          <w:sz w:val="21"/>
          <w:szCs w:val="21"/>
        </w:rPr>
      </w:pPr>
    </w:p>
    <w:p w14:paraId="44E173E8">
      <w:pPr>
        <w:ind w:firstLine="315" w:firstLineChars="150"/>
        <w:jc w:val="both"/>
        <w:rPr>
          <w:rFonts w:cs="Times New Roman"/>
          <w:sz w:val="21"/>
          <w:szCs w:val="21"/>
        </w:rPr>
      </w:pPr>
      <w:r>
        <w:rPr>
          <w:rFonts w:cs="Times New Roman"/>
          <w:sz w:val="21"/>
          <w:szCs w:val="21"/>
        </w:rPr>
        <w:t>0类标准适用于疗养区、高级别墅区、高级宾馆区等特别需要安静的区域。位于城郊和乡村的这一类区域分别按严于0类标准5dB执行。</w:t>
      </w:r>
    </w:p>
    <w:p w14:paraId="0EBBC8AB">
      <w:pPr>
        <w:ind w:firstLine="315" w:firstLineChars="150"/>
        <w:jc w:val="both"/>
        <w:rPr>
          <w:rFonts w:cs="Times New Roman"/>
          <w:sz w:val="21"/>
          <w:szCs w:val="21"/>
        </w:rPr>
      </w:pPr>
      <w:r>
        <w:rPr>
          <w:rFonts w:cs="Times New Roman"/>
          <w:sz w:val="21"/>
          <w:szCs w:val="21"/>
        </w:rPr>
        <w:t>1类标准适用于以居住、文教机关为主的区域。乡村居住环境可参照执行该类标准。</w:t>
      </w:r>
    </w:p>
    <w:p w14:paraId="743C551B">
      <w:pPr>
        <w:ind w:firstLine="315" w:firstLineChars="150"/>
        <w:jc w:val="both"/>
        <w:rPr>
          <w:rFonts w:cs="Times New Roman"/>
          <w:sz w:val="21"/>
          <w:szCs w:val="21"/>
        </w:rPr>
      </w:pPr>
      <w:r>
        <w:rPr>
          <w:rFonts w:cs="Times New Roman"/>
          <w:sz w:val="21"/>
          <w:szCs w:val="21"/>
        </w:rPr>
        <w:t>2类标准适用于居住、商业、工业混杂区、3类标准适用于工业区</w:t>
      </w:r>
      <w:r>
        <w:rPr>
          <w:rFonts w:hint="eastAsia" w:cs="Times New Roman"/>
          <w:sz w:val="21"/>
          <w:szCs w:val="21"/>
        </w:rPr>
        <w:t>。</w:t>
      </w:r>
    </w:p>
    <w:p w14:paraId="4E7A6EBF">
      <w:pPr>
        <w:spacing w:beforeLines="50" w:afterLines="50"/>
        <w:rPr>
          <w:rFonts w:ascii="黑体" w:hAnsi="黑体" w:eastAsia="黑体" w:cs="Times New Roman"/>
          <w:sz w:val="21"/>
          <w:szCs w:val="21"/>
        </w:rPr>
      </w:pPr>
      <w:r>
        <w:rPr>
          <w:rFonts w:hint="eastAsia" w:ascii="黑体" w:hAnsi="黑体" w:eastAsia="黑体" w:cs="Times New Roman"/>
          <w:sz w:val="21"/>
          <w:szCs w:val="21"/>
        </w:rPr>
        <w:t>4.2.2 飞行器噪声限值</w:t>
      </w:r>
    </w:p>
    <w:p w14:paraId="6C6F7176">
      <w:pPr>
        <w:spacing w:line="360" w:lineRule="auto"/>
        <w:ind w:firstLine="440" w:firstLineChars="200"/>
        <w:jc w:val="both"/>
        <w:rPr>
          <w:rFonts w:ascii="Times New Roman" w:hAnsi="Times New Roman" w:cs="Times New Roman"/>
        </w:rPr>
      </w:pPr>
      <w:r>
        <w:rPr>
          <w:rFonts w:hint="eastAsia" w:ascii="Times New Roman" w:hAnsi="Times New Roman" w:cs="Times New Roman"/>
        </w:rPr>
        <w:t>根据GB42590-2023《民用无人驾驶航空器系统安全要求》、</w:t>
      </w:r>
      <w:r>
        <w:rPr>
          <w:rFonts w:ascii="Times New Roman" w:hAnsi="Times New Roman" w:cs="Times New Roman"/>
        </w:rPr>
        <w:t>GB 9660-1988《机场周围飞机噪声环境标准》和《航空器型号和适航合格审定噪声规定》（CCAR-36），以及参考从国际标准（包括但不限于：ISO 5305:2024、欧洲航空安全局（EASA）指南</w:t>
      </w:r>
      <w:r>
        <w:rPr>
          <w:rFonts w:hint="eastAsia" w:ascii="Times New Roman" w:hAnsi="Times New Roman" w:cs="Times New Roman"/>
        </w:rPr>
        <w:t>及</w:t>
      </w:r>
      <w:r>
        <w:rPr>
          <w:rFonts w:ascii="Times New Roman" w:hAnsi="Times New Roman" w:cs="Times New Roman"/>
        </w:rPr>
        <w:t>欧盟法规（EU）2019/945</w:t>
      </w:r>
      <w:r>
        <w:rPr>
          <w:rFonts w:hint="eastAsia" w:ascii="Times New Roman" w:hAnsi="Times New Roman" w:cs="Times New Roman"/>
        </w:rPr>
        <w:t>等），</w:t>
      </w:r>
      <w:r>
        <w:rPr>
          <w:rFonts w:ascii="Times New Roman" w:hAnsi="Times New Roman" w:cs="Times New Roman"/>
        </w:rPr>
        <w:t>给出按重量等级分类和对应飞行器噪声限值建议如</w:t>
      </w:r>
      <w:r>
        <w:rPr>
          <w:rFonts w:hint="eastAsia" w:ascii="Times New Roman" w:hAnsi="Times New Roman" w:cs="Times New Roman"/>
        </w:rPr>
        <w:t>表2：</w:t>
      </w:r>
    </w:p>
    <w:p w14:paraId="4518EE90">
      <w:pPr>
        <w:ind w:firstLine="420" w:firstLineChars="200"/>
        <w:jc w:val="center"/>
        <w:rPr>
          <w:rFonts w:cs="Times New Roman"/>
          <w:sz w:val="21"/>
          <w:szCs w:val="21"/>
        </w:rPr>
      </w:pPr>
      <w:r>
        <w:rPr>
          <w:rFonts w:hint="eastAsia" w:cs="Times New Roman"/>
          <w:sz w:val="21"/>
          <w:szCs w:val="21"/>
        </w:rPr>
        <w:t>表2飞行器重量等级分类及对应的噪声限制</w:t>
      </w:r>
    </w:p>
    <w:tbl>
      <w:tblPr>
        <w:tblStyle w:val="18"/>
        <w:tblW w:w="3996" w:type="pct"/>
        <w:jc w:val="center"/>
        <w:tblLayout w:type="autofit"/>
        <w:tblCellMar>
          <w:top w:w="0" w:type="dxa"/>
          <w:left w:w="108" w:type="dxa"/>
          <w:bottom w:w="0" w:type="dxa"/>
          <w:right w:w="108" w:type="dxa"/>
        </w:tblCellMar>
      </w:tblPr>
      <w:tblGrid>
        <w:gridCol w:w="868"/>
        <w:gridCol w:w="3277"/>
        <w:gridCol w:w="2119"/>
        <w:gridCol w:w="1925"/>
      </w:tblGrid>
      <w:tr w14:paraId="07B1F883">
        <w:trPr>
          <w:trHeight w:val="288"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D6288">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类别</w:t>
            </w:r>
          </w:p>
        </w:tc>
        <w:tc>
          <w:tcPr>
            <w:tcW w:w="2001" w:type="pct"/>
            <w:tcBorders>
              <w:top w:val="single" w:color="auto" w:sz="4" w:space="0"/>
              <w:left w:val="nil"/>
              <w:bottom w:val="single" w:color="auto" w:sz="4" w:space="0"/>
              <w:right w:val="single" w:color="auto" w:sz="4" w:space="0"/>
            </w:tcBorders>
            <w:shd w:val="clear" w:color="auto" w:fill="auto"/>
            <w:noWrap/>
            <w:vAlign w:val="center"/>
          </w:tcPr>
          <w:p w14:paraId="14D6763A">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重量</w:t>
            </w:r>
          </w:p>
        </w:tc>
        <w:tc>
          <w:tcPr>
            <w:tcW w:w="1294" w:type="pct"/>
            <w:tcBorders>
              <w:top w:val="single" w:color="auto" w:sz="4" w:space="0"/>
              <w:left w:val="nil"/>
              <w:bottom w:val="single" w:color="auto" w:sz="4" w:space="0"/>
              <w:right w:val="single" w:color="auto" w:sz="4" w:space="0"/>
            </w:tcBorders>
            <w:shd w:val="clear" w:color="auto" w:fill="auto"/>
            <w:noWrap/>
            <w:vAlign w:val="center"/>
          </w:tcPr>
          <w:p w14:paraId="60C7B2F2">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旋停dB(A)</w:t>
            </w:r>
          </w:p>
        </w:tc>
        <w:tc>
          <w:tcPr>
            <w:tcW w:w="1175" w:type="pct"/>
            <w:tcBorders>
              <w:top w:val="single" w:color="auto" w:sz="4" w:space="0"/>
              <w:left w:val="nil"/>
              <w:bottom w:val="single" w:color="auto" w:sz="4" w:space="0"/>
              <w:right w:val="single" w:color="auto" w:sz="4" w:space="0"/>
            </w:tcBorders>
            <w:shd w:val="clear" w:color="auto" w:fill="auto"/>
            <w:noWrap/>
            <w:vAlign w:val="center"/>
          </w:tcPr>
          <w:p w14:paraId="1F9FDE70">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飞越dB(A)</w:t>
            </w:r>
          </w:p>
        </w:tc>
      </w:tr>
      <w:tr w14:paraId="158DB8C9">
        <w:trPr>
          <w:trHeight w:val="288" w:hRule="atLeast"/>
          <w:jc w:val="center"/>
        </w:trPr>
        <w:tc>
          <w:tcPr>
            <w:tcW w:w="530" w:type="pct"/>
            <w:tcBorders>
              <w:top w:val="nil"/>
              <w:left w:val="single" w:color="auto" w:sz="4" w:space="0"/>
              <w:bottom w:val="single" w:color="auto" w:sz="4" w:space="0"/>
              <w:right w:val="single" w:color="auto" w:sz="4" w:space="0"/>
            </w:tcBorders>
            <w:shd w:val="clear" w:color="auto" w:fill="auto"/>
            <w:noWrap/>
            <w:vAlign w:val="center"/>
          </w:tcPr>
          <w:p w14:paraId="065143EE">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2001" w:type="pct"/>
            <w:tcBorders>
              <w:top w:val="nil"/>
              <w:left w:val="nil"/>
              <w:bottom w:val="single" w:color="auto" w:sz="4" w:space="0"/>
              <w:right w:val="single" w:color="auto" w:sz="4" w:space="0"/>
            </w:tcBorders>
            <w:shd w:val="clear" w:color="auto" w:fill="auto"/>
            <w:noWrap/>
            <w:vAlign w:val="center"/>
          </w:tcPr>
          <w:p w14:paraId="48D46B6A">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150kg以下</w:t>
            </w:r>
          </w:p>
        </w:tc>
        <w:tc>
          <w:tcPr>
            <w:tcW w:w="1294" w:type="pct"/>
            <w:tcBorders>
              <w:top w:val="nil"/>
              <w:left w:val="nil"/>
              <w:bottom w:val="single" w:color="auto" w:sz="4" w:space="0"/>
              <w:right w:val="single" w:color="auto" w:sz="4" w:space="0"/>
            </w:tcBorders>
            <w:shd w:val="clear" w:color="auto" w:fill="auto"/>
            <w:noWrap/>
            <w:vAlign w:val="center"/>
          </w:tcPr>
          <w:p w14:paraId="273344BA">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60</w:t>
            </w:r>
          </w:p>
        </w:tc>
        <w:tc>
          <w:tcPr>
            <w:tcW w:w="1175" w:type="pct"/>
            <w:tcBorders>
              <w:top w:val="nil"/>
              <w:left w:val="nil"/>
              <w:bottom w:val="single" w:color="auto" w:sz="4" w:space="0"/>
              <w:right w:val="single" w:color="auto" w:sz="4" w:space="0"/>
            </w:tcBorders>
            <w:shd w:val="clear" w:color="auto" w:fill="auto"/>
            <w:noWrap/>
            <w:vAlign w:val="center"/>
          </w:tcPr>
          <w:p w14:paraId="7B837C67">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65</w:t>
            </w:r>
          </w:p>
        </w:tc>
      </w:tr>
      <w:tr w14:paraId="4F7AF520">
        <w:trPr>
          <w:trHeight w:val="288" w:hRule="atLeast"/>
          <w:jc w:val="center"/>
        </w:trPr>
        <w:tc>
          <w:tcPr>
            <w:tcW w:w="530" w:type="pct"/>
            <w:tcBorders>
              <w:top w:val="nil"/>
              <w:left w:val="single" w:color="auto" w:sz="4" w:space="0"/>
              <w:bottom w:val="single" w:color="auto" w:sz="4" w:space="0"/>
              <w:right w:val="single" w:color="auto" w:sz="4" w:space="0"/>
            </w:tcBorders>
            <w:shd w:val="clear" w:color="auto" w:fill="auto"/>
            <w:noWrap/>
            <w:vAlign w:val="center"/>
          </w:tcPr>
          <w:p w14:paraId="739552A9">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I</w:t>
            </w:r>
          </w:p>
        </w:tc>
        <w:tc>
          <w:tcPr>
            <w:tcW w:w="2001" w:type="pct"/>
            <w:tcBorders>
              <w:top w:val="nil"/>
              <w:left w:val="nil"/>
              <w:bottom w:val="single" w:color="auto" w:sz="4" w:space="0"/>
              <w:right w:val="single" w:color="auto" w:sz="4" w:space="0"/>
            </w:tcBorders>
            <w:shd w:val="clear" w:color="auto" w:fill="auto"/>
            <w:noWrap/>
            <w:vAlign w:val="center"/>
          </w:tcPr>
          <w:p w14:paraId="7CCBB2C6">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150~600kg</w:t>
            </w:r>
          </w:p>
        </w:tc>
        <w:tc>
          <w:tcPr>
            <w:tcW w:w="1294" w:type="pct"/>
            <w:tcBorders>
              <w:top w:val="nil"/>
              <w:left w:val="nil"/>
              <w:bottom w:val="single" w:color="auto" w:sz="4" w:space="0"/>
              <w:right w:val="single" w:color="auto" w:sz="4" w:space="0"/>
            </w:tcBorders>
            <w:shd w:val="clear" w:color="auto" w:fill="auto"/>
            <w:noWrap/>
            <w:vAlign w:val="center"/>
          </w:tcPr>
          <w:p w14:paraId="3BB03606">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1175" w:type="pct"/>
            <w:tcBorders>
              <w:top w:val="nil"/>
              <w:left w:val="nil"/>
              <w:bottom w:val="single" w:color="auto" w:sz="4" w:space="0"/>
              <w:right w:val="single" w:color="auto" w:sz="4" w:space="0"/>
            </w:tcBorders>
            <w:shd w:val="clear" w:color="auto" w:fill="auto"/>
            <w:noWrap/>
            <w:vAlign w:val="center"/>
          </w:tcPr>
          <w:p w14:paraId="04704AEE">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75</w:t>
            </w:r>
          </w:p>
        </w:tc>
      </w:tr>
      <w:tr w14:paraId="34E38811">
        <w:trPr>
          <w:trHeight w:val="288" w:hRule="atLeast"/>
          <w:jc w:val="center"/>
        </w:trPr>
        <w:tc>
          <w:tcPr>
            <w:tcW w:w="530" w:type="pct"/>
            <w:tcBorders>
              <w:top w:val="nil"/>
              <w:left w:val="single" w:color="auto" w:sz="4" w:space="0"/>
              <w:bottom w:val="single" w:color="auto" w:sz="4" w:space="0"/>
              <w:right w:val="single" w:color="auto" w:sz="4" w:space="0"/>
            </w:tcBorders>
            <w:shd w:val="clear" w:color="auto" w:fill="auto"/>
            <w:noWrap/>
            <w:vAlign w:val="center"/>
          </w:tcPr>
          <w:p w14:paraId="48196408">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II</w:t>
            </w:r>
          </w:p>
        </w:tc>
        <w:tc>
          <w:tcPr>
            <w:tcW w:w="2001" w:type="pct"/>
            <w:tcBorders>
              <w:top w:val="nil"/>
              <w:left w:val="nil"/>
              <w:bottom w:val="single" w:color="auto" w:sz="4" w:space="0"/>
              <w:right w:val="single" w:color="auto" w:sz="4" w:space="0"/>
            </w:tcBorders>
            <w:shd w:val="clear" w:color="auto" w:fill="auto"/>
            <w:noWrap/>
            <w:vAlign w:val="center"/>
          </w:tcPr>
          <w:p w14:paraId="670DDC77">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600~1250kg</w:t>
            </w:r>
          </w:p>
        </w:tc>
        <w:tc>
          <w:tcPr>
            <w:tcW w:w="1294" w:type="pct"/>
            <w:tcBorders>
              <w:top w:val="nil"/>
              <w:left w:val="nil"/>
              <w:bottom w:val="single" w:color="auto" w:sz="4" w:space="0"/>
              <w:right w:val="single" w:color="auto" w:sz="4" w:space="0"/>
            </w:tcBorders>
            <w:shd w:val="clear" w:color="auto" w:fill="auto"/>
            <w:noWrap/>
            <w:vAlign w:val="center"/>
          </w:tcPr>
          <w:p w14:paraId="71FCE003">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75</w:t>
            </w:r>
          </w:p>
        </w:tc>
        <w:tc>
          <w:tcPr>
            <w:tcW w:w="1175" w:type="pct"/>
            <w:tcBorders>
              <w:top w:val="nil"/>
              <w:left w:val="nil"/>
              <w:bottom w:val="single" w:color="auto" w:sz="4" w:space="0"/>
              <w:right w:val="single" w:color="auto" w:sz="4" w:space="0"/>
            </w:tcBorders>
            <w:shd w:val="clear" w:color="auto" w:fill="auto"/>
            <w:noWrap/>
            <w:vAlign w:val="center"/>
          </w:tcPr>
          <w:p w14:paraId="0CB96D85">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80</w:t>
            </w:r>
          </w:p>
        </w:tc>
      </w:tr>
      <w:tr w14:paraId="0658D94C">
        <w:trPr>
          <w:trHeight w:val="288" w:hRule="atLeast"/>
          <w:jc w:val="center"/>
        </w:trPr>
        <w:tc>
          <w:tcPr>
            <w:tcW w:w="530" w:type="pct"/>
            <w:tcBorders>
              <w:top w:val="nil"/>
              <w:left w:val="single" w:color="auto" w:sz="4" w:space="0"/>
              <w:bottom w:val="single" w:color="auto" w:sz="4" w:space="0"/>
              <w:right w:val="single" w:color="auto" w:sz="4" w:space="0"/>
            </w:tcBorders>
            <w:shd w:val="clear" w:color="auto" w:fill="auto"/>
            <w:noWrap/>
            <w:vAlign w:val="center"/>
          </w:tcPr>
          <w:p w14:paraId="461918C2">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III</w:t>
            </w:r>
          </w:p>
        </w:tc>
        <w:tc>
          <w:tcPr>
            <w:tcW w:w="2001" w:type="pct"/>
            <w:tcBorders>
              <w:top w:val="nil"/>
              <w:left w:val="nil"/>
              <w:bottom w:val="single" w:color="auto" w:sz="4" w:space="0"/>
              <w:right w:val="single" w:color="auto" w:sz="4" w:space="0"/>
            </w:tcBorders>
            <w:shd w:val="clear" w:color="auto" w:fill="auto"/>
            <w:noWrap/>
            <w:vAlign w:val="center"/>
          </w:tcPr>
          <w:p w14:paraId="38B31869">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1250~2500kg</w:t>
            </w:r>
          </w:p>
        </w:tc>
        <w:tc>
          <w:tcPr>
            <w:tcW w:w="1294" w:type="pct"/>
            <w:tcBorders>
              <w:top w:val="nil"/>
              <w:left w:val="nil"/>
              <w:bottom w:val="single" w:color="auto" w:sz="4" w:space="0"/>
              <w:right w:val="single" w:color="auto" w:sz="4" w:space="0"/>
            </w:tcBorders>
            <w:shd w:val="clear" w:color="auto" w:fill="auto"/>
            <w:noWrap/>
            <w:vAlign w:val="center"/>
          </w:tcPr>
          <w:p w14:paraId="3782CDC9">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85</w:t>
            </w:r>
          </w:p>
        </w:tc>
        <w:tc>
          <w:tcPr>
            <w:tcW w:w="1175" w:type="pct"/>
            <w:tcBorders>
              <w:top w:val="nil"/>
              <w:left w:val="nil"/>
              <w:bottom w:val="single" w:color="auto" w:sz="4" w:space="0"/>
              <w:right w:val="single" w:color="auto" w:sz="4" w:space="0"/>
            </w:tcBorders>
            <w:shd w:val="clear" w:color="auto" w:fill="auto"/>
            <w:noWrap/>
            <w:vAlign w:val="center"/>
          </w:tcPr>
          <w:p w14:paraId="07BA1AA6">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88</w:t>
            </w:r>
          </w:p>
        </w:tc>
      </w:tr>
      <w:tr w14:paraId="5071A5CE">
        <w:trPr>
          <w:trHeight w:val="288" w:hRule="atLeast"/>
          <w:jc w:val="center"/>
        </w:trPr>
        <w:tc>
          <w:tcPr>
            <w:tcW w:w="530" w:type="pct"/>
            <w:tcBorders>
              <w:top w:val="nil"/>
              <w:left w:val="single" w:color="auto" w:sz="4" w:space="0"/>
              <w:bottom w:val="single" w:color="auto" w:sz="4" w:space="0"/>
              <w:right w:val="single" w:color="auto" w:sz="4" w:space="0"/>
            </w:tcBorders>
            <w:shd w:val="clear" w:color="auto" w:fill="auto"/>
            <w:noWrap/>
            <w:vAlign w:val="center"/>
          </w:tcPr>
          <w:p w14:paraId="59D3B64C">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IV</w:t>
            </w:r>
          </w:p>
        </w:tc>
        <w:tc>
          <w:tcPr>
            <w:tcW w:w="2001" w:type="pct"/>
            <w:tcBorders>
              <w:top w:val="nil"/>
              <w:left w:val="nil"/>
              <w:bottom w:val="single" w:color="auto" w:sz="4" w:space="0"/>
              <w:right w:val="single" w:color="auto" w:sz="4" w:space="0"/>
            </w:tcBorders>
            <w:shd w:val="clear" w:color="auto" w:fill="auto"/>
            <w:noWrap/>
            <w:vAlign w:val="center"/>
          </w:tcPr>
          <w:p w14:paraId="3E235F09">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2500kg以上</w:t>
            </w:r>
          </w:p>
        </w:tc>
        <w:tc>
          <w:tcPr>
            <w:tcW w:w="1294" w:type="pct"/>
            <w:tcBorders>
              <w:top w:val="nil"/>
              <w:left w:val="nil"/>
              <w:bottom w:val="single" w:color="auto" w:sz="4" w:space="0"/>
              <w:right w:val="single" w:color="auto" w:sz="4" w:space="0"/>
            </w:tcBorders>
            <w:shd w:val="clear" w:color="auto" w:fill="auto"/>
            <w:noWrap/>
            <w:vAlign w:val="center"/>
          </w:tcPr>
          <w:p w14:paraId="28D59864">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90</w:t>
            </w:r>
          </w:p>
        </w:tc>
        <w:tc>
          <w:tcPr>
            <w:tcW w:w="1175" w:type="pct"/>
            <w:tcBorders>
              <w:top w:val="nil"/>
              <w:left w:val="nil"/>
              <w:bottom w:val="single" w:color="auto" w:sz="4" w:space="0"/>
              <w:right w:val="single" w:color="auto" w:sz="4" w:space="0"/>
            </w:tcBorders>
            <w:shd w:val="clear" w:color="auto" w:fill="auto"/>
            <w:noWrap/>
            <w:vAlign w:val="center"/>
          </w:tcPr>
          <w:p w14:paraId="7278F404">
            <w:pPr>
              <w:widowControl/>
              <w:autoSpaceDE/>
              <w:autoSpaceDN/>
              <w:jc w:val="center"/>
              <w:rPr>
                <w:rFonts w:ascii="Times New Roman" w:hAnsi="Times New Roman" w:cs="Times New Roman"/>
                <w:color w:val="000000"/>
                <w:sz w:val="18"/>
                <w:szCs w:val="18"/>
              </w:rPr>
            </w:pPr>
            <w:r>
              <w:rPr>
                <w:rFonts w:ascii="Times New Roman" w:hAnsi="Times New Roman" w:cs="Times New Roman"/>
                <w:color w:val="000000"/>
                <w:sz w:val="18"/>
                <w:szCs w:val="18"/>
              </w:rPr>
              <w:t>94</w:t>
            </w:r>
          </w:p>
        </w:tc>
      </w:tr>
    </w:tbl>
    <w:p w14:paraId="69851C46">
      <w:pPr>
        <w:widowControl/>
        <w:shd w:val="clear" w:color="auto" w:fill="FFFFFF"/>
        <w:autoSpaceDE/>
        <w:autoSpaceDN/>
        <w:spacing w:line="360" w:lineRule="auto"/>
        <w:textAlignment w:val="baseline"/>
        <w:rPr>
          <w:rFonts w:ascii="Helvetica" w:hAnsi="Helvetica" w:cs="Helvetica"/>
          <w:color w:val="060607"/>
          <w:spacing w:val="3"/>
          <w:sz w:val="15"/>
          <w:szCs w:val="15"/>
        </w:rPr>
      </w:pPr>
    </w:p>
    <w:p w14:paraId="36D7AE3C">
      <w:pPr>
        <w:ind w:firstLine="315" w:firstLineChars="150"/>
        <w:rPr>
          <w:rFonts w:ascii="Times New Roman" w:hAnsi="Times New Roman" w:cs="Times New Roman"/>
          <w:sz w:val="21"/>
          <w:szCs w:val="21"/>
        </w:rPr>
      </w:pPr>
      <w:r>
        <w:rPr>
          <w:rFonts w:ascii="Times New Roman" w:hAnsi="Times New Roman" w:cs="Times New Roman"/>
          <w:sz w:val="21"/>
          <w:szCs w:val="21"/>
        </w:rPr>
        <w:t>0类标准适用于最大起飞重量小于或等于150kg的飞行器；</w:t>
      </w:r>
    </w:p>
    <w:p w14:paraId="7C9B04FB">
      <w:pPr>
        <w:ind w:firstLine="315" w:firstLineChars="150"/>
        <w:rPr>
          <w:rFonts w:ascii="Times New Roman" w:hAnsi="Times New Roman" w:cs="Times New Roman"/>
          <w:sz w:val="21"/>
          <w:szCs w:val="21"/>
        </w:rPr>
      </w:pPr>
      <w:r>
        <w:rPr>
          <w:rFonts w:ascii="Times New Roman" w:hAnsi="Times New Roman" w:cs="Times New Roman"/>
          <w:sz w:val="21"/>
          <w:szCs w:val="21"/>
        </w:rPr>
        <w:t>I类标准适用于最大起飞重量界于150~600kg的飞行器；</w:t>
      </w:r>
    </w:p>
    <w:p w14:paraId="6B399CD3">
      <w:pPr>
        <w:ind w:firstLine="315" w:firstLineChars="150"/>
        <w:rPr>
          <w:rFonts w:ascii="Times New Roman" w:hAnsi="Times New Roman" w:cs="Times New Roman"/>
          <w:sz w:val="21"/>
          <w:szCs w:val="21"/>
        </w:rPr>
      </w:pPr>
      <w:r>
        <w:rPr>
          <w:rFonts w:ascii="Times New Roman" w:hAnsi="Times New Roman" w:cs="Times New Roman"/>
          <w:sz w:val="21"/>
          <w:szCs w:val="21"/>
        </w:rPr>
        <w:t>II类标准适用于最大起飞重量界于600~1250kg的飞行器；</w:t>
      </w:r>
    </w:p>
    <w:p w14:paraId="2BC08AF3">
      <w:pPr>
        <w:ind w:firstLine="315" w:firstLineChars="150"/>
        <w:rPr>
          <w:rFonts w:ascii="Times New Roman" w:hAnsi="Times New Roman" w:cs="Times New Roman"/>
          <w:sz w:val="21"/>
          <w:szCs w:val="21"/>
        </w:rPr>
      </w:pPr>
      <w:r>
        <w:rPr>
          <w:rFonts w:ascii="Times New Roman" w:hAnsi="Times New Roman" w:cs="Times New Roman"/>
          <w:sz w:val="21"/>
          <w:szCs w:val="21"/>
        </w:rPr>
        <w:t>III类标准适用于最大起飞重量界于1250~2500kg的飞行器；</w:t>
      </w:r>
    </w:p>
    <w:p w14:paraId="57EE1465">
      <w:pPr>
        <w:widowControl/>
        <w:shd w:val="clear" w:color="auto" w:fill="FFFFFF"/>
        <w:autoSpaceDE/>
        <w:autoSpaceDN/>
        <w:ind w:firstLine="315" w:firstLineChars="150"/>
        <w:textAlignment w:val="baseline"/>
        <w:rPr>
          <w:rFonts w:ascii="Times New Roman" w:hAnsi="Times New Roman" w:cs="Times New Roman"/>
          <w:color w:val="060607"/>
          <w:spacing w:val="3"/>
          <w:sz w:val="21"/>
          <w:szCs w:val="21"/>
        </w:rPr>
      </w:pPr>
      <w:r>
        <w:rPr>
          <w:rFonts w:ascii="Times New Roman" w:hAnsi="Times New Roman" w:cs="Times New Roman"/>
          <w:sz w:val="21"/>
          <w:szCs w:val="21"/>
        </w:rPr>
        <w:t>VI类标准适用于最大起飞重量大于2500kg的飞行器；</w:t>
      </w:r>
    </w:p>
    <w:p w14:paraId="22516C99">
      <w:pPr>
        <w:spacing w:beforeLines="50" w:afterLines="50"/>
        <w:rPr>
          <w:rFonts w:ascii="黑体" w:hAnsi="黑体" w:eastAsia="黑体" w:cs="Times New Roman"/>
          <w:sz w:val="21"/>
          <w:szCs w:val="21"/>
        </w:rPr>
      </w:pPr>
      <w:r>
        <w:rPr>
          <w:rFonts w:hint="eastAsia" w:ascii="黑体" w:hAnsi="黑体" w:eastAsia="黑体" w:cs="Times New Roman"/>
          <w:sz w:val="21"/>
          <w:szCs w:val="21"/>
        </w:rPr>
        <w:t>4.2.2 起降限制的建议</w:t>
      </w:r>
    </w:p>
    <w:p w14:paraId="26E11A82">
      <w:pPr>
        <w:ind w:firstLine="315" w:firstLineChars="150"/>
        <w:rPr>
          <w:rFonts w:cs="Times New Roman"/>
          <w:sz w:val="21"/>
          <w:szCs w:val="21"/>
        </w:rPr>
      </w:pPr>
      <w:r>
        <w:rPr>
          <w:rFonts w:hint="eastAsia" w:cs="Times New Roman"/>
          <w:sz w:val="21"/>
          <w:szCs w:val="21"/>
        </w:rPr>
        <w:t>结合场界噪声限值和飞行器噪声限值，给出垂直起降站，因噪声控制需要的起降限制建议如表3：</w:t>
      </w:r>
    </w:p>
    <w:p w14:paraId="03B1ED4F">
      <w:pPr>
        <w:ind w:firstLine="315" w:firstLineChars="150"/>
        <w:jc w:val="center"/>
        <w:rPr>
          <w:rFonts w:ascii="Helvetica" w:hAnsi="Helvetica" w:cs="Helvetica"/>
          <w:color w:val="060607"/>
          <w:spacing w:val="3"/>
          <w:sz w:val="15"/>
          <w:szCs w:val="15"/>
        </w:rPr>
      </w:pPr>
      <w:r>
        <w:rPr>
          <w:rFonts w:hint="eastAsia" w:cs="Times New Roman"/>
          <w:sz w:val="21"/>
          <w:szCs w:val="21"/>
        </w:rPr>
        <w:t>表3飞行器起降噪声的限制建议</w:t>
      </w:r>
    </w:p>
    <w:tbl>
      <w:tblPr>
        <w:tblStyle w:val="18"/>
        <w:tblW w:w="9280" w:type="dxa"/>
        <w:jc w:val="center"/>
        <w:tblLayout w:type="autofit"/>
        <w:tblCellMar>
          <w:top w:w="0" w:type="dxa"/>
          <w:left w:w="108" w:type="dxa"/>
          <w:bottom w:w="0" w:type="dxa"/>
          <w:right w:w="108" w:type="dxa"/>
        </w:tblCellMar>
      </w:tblPr>
      <w:tblGrid>
        <w:gridCol w:w="1752"/>
        <w:gridCol w:w="1008"/>
        <w:gridCol w:w="1520"/>
        <w:gridCol w:w="1800"/>
        <w:gridCol w:w="1620"/>
        <w:gridCol w:w="1580"/>
      </w:tblGrid>
      <w:tr w14:paraId="09F4881B">
        <w:trPr>
          <w:trHeight w:val="864" w:hRule="atLeast"/>
          <w:tblHeader/>
          <w:jc w:val="center"/>
        </w:trPr>
        <w:tc>
          <w:tcPr>
            <w:tcW w:w="1752" w:type="dxa"/>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14:paraId="79648EF0">
            <w:pPr>
              <w:widowControl/>
              <w:autoSpaceDE/>
              <w:autoSpaceDN/>
              <w:jc w:val="center"/>
              <w:rPr>
                <w:color w:val="000000"/>
                <w:sz w:val="18"/>
                <w:szCs w:val="18"/>
              </w:rPr>
            </w:pPr>
            <w:r>
              <w:rPr>
                <w:rFonts w:hint="eastAsia"/>
                <w:color w:val="000000"/>
                <w:sz w:val="18"/>
                <w:szCs w:val="18"/>
              </w:rPr>
              <w:t>飞行器噪声类型</w:t>
            </w:r>
            <w:r>
              <w:rPr>
                <w:rFonts w:hint="eastAsia"/>
                <w:color w:val="000000"/>
                <w:sz w:val="18"/>
                <w:szCs w:val="18"/>
              </w:rPr>
              <w:br w:type="textWrapping"/>
            </w:r>
          </w:p>
          <w:p w14:paraId="004D18C1">
            <w:pPr>
              <w:widowControl/>
              <w:autoSpaceDE/>
              <w:autoSpaceDN/>
              <w:jc w:val="center"/>
              <w:rPr>
                <w:color w:val="000000"/>
                <w:sz w:val="18"/>
                <w:szCs w:val="18"/>
              </w:rPr>
            </w:pPr>
            <w:r>
              <w:rPr>
                <w:rFonts w:hint="eastAsia"/>
                <w:color w:val="000000"/>
                <w:sz w:val="18"/>
                <w:szCs w:val="18"/>
              </w:rPr>
              <w:t>环境声功能类型</w:t>
            </w:r>
          </w:p>
        </w:tc>
        <w:tc>
          <w:tcPr>
            <w:tcW w:w="1008" w:type="dxa"/>
            <w:tcBorders>
              <w:top w:val="single" w:color="auto" w:sz="4" w:space="0"/>
              <w:left w:val="nil"/>
              <w:bottom w:val="single" w:color="auto" w:sz="4" w:space="0"/>
              <w:right w:val="single" w:color="auto" w:sz="4" w:space="0"/>
            </w:tcBorders>
            <w:shd w:val="clear" w:color="auto" w:fill="auto"/>
            <w:noWrap/>
            <w:vAlign w:val="center"/>
          </w:tcPr>
          <w:p w14:paraId="6C3EFCA3">
            <w:pPr>
              <w:widowControl/>
              <w:autoSpaceDE/>
              <w:autoSpaceDN/>
              <w:jc w:val="center"/>
              <w:rPr>
                <w:color w:val="000000"/>
                <w:sz w:val="18"/>
                <w:szCs w:val="18"/>
              </w:rPr>
            </w:pPr>
            <w:r>
              <w:rPr>
                <w:rFonts w:hint="eastAsia"/>
                <w:color w:val="000000"/>
                <w:sz w:val="18"/>
                <w:szCs w:val="18"/>
              </w:rPr>
              <w:t>0类</w:t>
            </w:r>
          </w:p>
        </w:tc>
        <w:tc>
          <w:tcPr>
            <w:tcW w:w="1520" w:type="dxa"/>
            <w:tcBorders>
              <w:top w:val="single" w:color="auto" w:sz="4" w:space="0"/>
              <w:left w:val="nil"/>
              <w:bottom w:val="single" w:color="auto" w:sz="4" w:space="0"/>
              <w:right w:val="single" w:color="auto" w:sz="4" w:space="0"/>
            </w:tcBorders>
            <w:shd w:val="clear" w:color="auto" w:fill="auto"/>
            <w:noWrap/>
            <w:vAlign w:val="center"/>
          </w:tcPr>
          <w:p w14:paraId="75CEE77F">
            <w:pPr>
              <w:widowControl/>
              <w:autoSpaceDE/>
              <w:autoSpaceDN/>
              <w:jc w:val="center"/>
              <w:rPr>
                <w:color w:val="000000"/>
                <w:sz w:val="18"/>
                <w:szCs w:val="18"/>
              </w:rPr>
            </w:pPr>
            <w:r>
              <w:rPr>
                <w:rFonts w:hint="eastAsia"/>
                <w:color w:val="000000"/>
                <w:sz w:val="18"/>
                <w:szCs w:val="18"/>
              </w:rPr>
              <w:t>I类</w:t>
            </w:r>
          </w:p>
        </w:tc>
        <w:tc>
          <w:tcPr>
            <w:tcW w:w="1800" w:type="dxa"/>
            <w:tcBorders>
              <w:top w:val="single" w:color="auto" w:sz="4" w:space="0"/>
              <w:left w:val="nil"/>
              <w:bottom w:val="single" w:color="auto" w:sz="4" w:space="0"/>
              <w:right w:val="single" w:color="auto" w:sz="4" w:space="0"/>
            </w:tcBorders>
            <w:shd w:val="clear" w:color="auto" w:fill="auto"/>
            <w:noWrap/>
            <w:vAlign w:val="center"/>
          </w:tcPr>
          <w:p w14:paraId="69A0B097">
            <w:pPr>
              <w:widowControl/>
              <w:autoSpaceDE/>
              <w:autoSpaceDN/>
              <w:jc w:val="center"/>
              <w:rPr>
                <w:color w:val="000000"/>
                <w:sz w:val="18"/>
                <w:szCs w:val="18"/>
              </w:rPr>
            </w:pPr>
            <w:r>
              <w:rPr>
                <w:rFonts w:hint="eastAsia"/>
                <w:color w:val="000000"/>
                <w:sz w:val="18"/>
                <w:szCs w:val="18"/>
              </w:rPr>
              <w:t>II类</w:t>
            </w:r>
          </w:p>
        </w:tc>
        <w:tc>
          <w:tcPr>
            <w:tcW w:w="1620" w:type="dxa"/>
            <w:tcBorders>
              <w:top w:val="single" w:color="auto" w:sz="4" w:space="0"/>
              <w:left w:val="nil"/>
              <w:bottom w:val="single" w:color="auto" w:sz="4" w:space="0"/>
              <w:right w:val="single" w:color="auto" w:sz="4" w:space="0"/>
            </w:tcBorders>
            <w:shd w:val="clear" w:color="auto" w:fill="auto"/>
            <w:noWrap/>
            <w:vAlign w:val="center"/>
          </w:tcPr>
          <w:p w14:paraId="6186BFDF">
            <w:pPr>
              <w:widowControl/>
              <w:autoSpaceDE/>
              <w:autoSpaceDN/>
              <w:jc w:val="center"/>
              <w:rPr>
                <w:color w:val="000000"/>
                <w:sz w:val="18"/>
                <w:szCs w:val="18"/>
              </w:rPr>
            </w:pPr>
            <w:r>
              <w:rPr>
                <w:rFonts w:hint="eastAsia"/>
                <w:color w:val="000000"/>
                <w:sz w:val="18"/>
                <w:szCs w:val="18"/>
              </w:rPr>
              <w:t>III类</w:t>
            </w:r>
          </w:p>
        </w:tc>
        <w:tc>
          <w:tcPr>
            <w:tcW w:w="1580" w:type="dxa"/>
            <w:tcBorders>
              <w:top w:val="single" w:color="auto" w:sz="4" w:space="0"/>
              <w:left w:val="nil"/>
              <w:bottom w:val="single" w:color="auto" w:sz="4" w:space="0"/>
              <w:right w:val="single" w:color="auto" w:sz="4" w:space="0"/>
            </w:tcBorders>
            <w:shd w:val="clear" w:color="auto" w:fill="auto"/>
            <w:noWrap/>
            <w:vAlign w:val="center"/>
          </w:tcPr>
          <w:p w14:paraId="6515A011">
            <w:pPr>
              <w:widowControl/>
              <w:autoSpaceDE/>
              <w:autoSpaceDN/>
              <w:jc w:val="center"/>
              <w:rPr>
                <w:color w:val="000000"/>
                <w:sz w:val="18"/>
                <w:szCs w:val="18"/>
              </w:rPr>
            </w:pPr>
            <w:r>
              <w:rPr>
                <w:rFonts w:hint="eastAsia"/>
                <w:color w:val="000000"/>
                <w:sz w:val="18"/>
                <w:szCs w:val="18"/>
              </w:rPr>
              <w:t>VI类</w:t>
            </w:r>
          </w:p>
        </w:tc>
      </w:tr>
      <w:tr w14:paraId="444328BB">
        <w:trPr>
          <w:trHeight w:val="483" w:hRule="atLeast"/>
          <w:jc w:val="center"/>
        </w:trPr>
        <w:tc>
          <w:tcPr>
            <w:tcW w:w="1752" w:type="dxa"/>
            <w:tcBorders>
              <w:top w:val="nil"/>
              <w:left w:val="single" w:color="auto" w:sz="4" w:space="0"/>
              <w:bottom w:val="single" w:color="auto" w:sz="4" w:space="0"/>
              <w:right w:val="single" w:color="auto" w:sz="4" w:space="0"/>
            </w:tcBorders>
            <w:shd w:val="clear" w:color="auto" w:fill="auto"/>
            <w:noWrap/>
            <w:vAlign w:val="center"/>
          </w:tcPr>
          <w:p w14:paraId="280C885E">
            <w:pPr>
              <w:widowControl/>
              <w:autoSpaceDE/>
              <w:autoSpaceDN/>
              <w:jc w:val="center"/>
              <w:rPr>
                <w:color w:val="000000"/>
                <w:sz w:val="18"/>
                <w:szCs w:val="18"/>
              </w:rPr>
            </w:pPr>
            <w:r>
              <w:rPr>
                <w:rFonts w:hint="eastAsia"/>
                <w:color w:val="000000"/>
                <w:sz w:val="18"/>
                <w:szCs w:val="18"/>
              </w:rPr>
              <w:t>0</w:t>
            </w:r>
          </w:p>
        </w:tc>
        <w:tc>
          <w:tcPr>
            <w:tcW w:w="1008" w:type="dxa"/>
            <w:tcBorders>
              <w:top w:val="nil"/>
              <w:left w:val="nil"/>
              <w:bottom w:val="single" w:color="auto" w:sz="4" w:space="0"/>
              <w:right w:val="single" w:color="auto" w:sz="4" w:space="0"/>
            </w:tcBorders>
            <w:shd w:val="clear" w:color="auto" w:fill="auto"/>
            <w:noWrap/>
            <w:vAlign w:val="center"/>
          </w:tcPr>
          <w:p w14:paraId="06425A68">
            <w:pPr>
              <w:widowControl/>
              <w:autoSpaceDE/>
              <w:autoSpaceDN/>
              <w:jc w:val="center"/>
              <w:rPr>
                <w:color w:val="000000"/>
                <w:sz w:val="18"/>
                <w:szCs w:val="18"/>
              </w:rPr>
            </w:pPr>
            <w:r>
              <w:rPr>
                <w:rFonts w:hint="eastAsia"/>
                <w:color w:val="000000"/>
                <w:sz w:val="18"/>
                <w:szCs w:val="18"/>
              </w:rPr>
              <w:t>无限制</w:t>
            </w:r>
          </w:p>
        </w:tc>
        <w:tc>
          <w:tcPr>
            <w:tcW w:w="1520" w:type="dxa"/>
            <w:tcBorders>
              <w:top w:val="nil"/>
              <w:left w:val="nil"/>
              <w:bottom w:val="single" w:color="auto" w:sz="4" w:space="0"/>
              <w:right w:val="single" w:color="auto" w:sz="4" w:space="0"/>
            </w:tcBorders>
            <w:shd w:val="clear" w:color="auto" w:fill="auto"/>
            <w:vAlign w:val="center"/>
          </w:tcPr>
          <w:p w14:paraId="7FC4BD9B">
            <w:pPr>
              <w:widowControl/>
              <w:autoSpaceDE/>
              <w:autoSpaceDN/>
              <w:jc w:val="center"/>
              <w:rPr>
                <w:color w:val="000000"/>
                <w:sz w:val="18"/>
                <w:szCs w:val="18"/>
              </w:rPr>
            </w:pPr>
            <w:r>
              <w:rPr>
                <w:rFonts w:hint="eastAsia"/>
                <w:color w:val="000000"/>
                <w:sz w:val="18"/>
                <w:szCs w:val="18"/>
              </w:rPr>
              <w:t>白天：30架</w:t>
            </w:r>
            <w:r>
              <w:rPr>
                <w:rFonts w:hint="eastAsia"/>
                <w:color w:val="000000"/>
                <w:sz w:val="18"/>
                <w:szCs w:val="18"/>
              </w:rPr>
              <w:br w:type="textWrapping"/>
            </w:r>
            <w:r>
              <w:rPr>
                <w:rFonts w:hint="eastAsia"/>
                <w:color w:val="000000"/>
                <w:sz w:val="18"/>
                <w:szCs w:val="18"/>
              </w:rPr>
              <w:t>夜晚：20架</w:t>
            </w:r>
          </w:p>
        </w:tc>
        <w:tc>
          <w:tcPr>
            <w:tcW w:w="1800" w:type="dxa"/>
            <w:tcBorders>
              <w:top w:val="nil"/>
              <w:left w:val="nil"/>
              <w:bottom w:val="single" w:color="auto" w:sz="4" w:space="0"/>
              <w:right w:val="single" w:color="auto" w:sz="4" w:space="0"/>
            </w:tcBorders>
            <w:shd w:val="clear" w:color="auto" w:fill="auto"/>
            <w:vAlign w:val="center"/>
          </w:tcPr>
          <w:p w14:paraId="4E950D7B">
            <w:pPr>
              <w:widowControl/>
              <w:autoSpaceDE/>
              <w:autoSpaceDN/>
              <w:jc w:val="center"/>
              <w:rPr>
                <w:color w:val="000000"/>
                <w:sz w:val="18"/>
                <w:szCs w:val="18"/>
              </w:rPr>
            </w:pPr>
            <w:r>
              <w:rPr>
                <w:rFonts w:hint="eastAsia"/>
                <w:color w:val="000000"/>
                <w:sz w:val="18"/>
                <w:szCs w:val="18"/>
              </w:rPr>
              <w:t>白天：20架</w:t>
            </w:r>
            <w:r>
              <w:rPr>
                <w:rFonts w:hint="eastAsia"/>
                <w:color w:val="000000"/>
                <w:sz w:val="18"/>
                <w:szCs w:val="18"/>
              </w:rPr>
              <w:br w:type="textWrapping"/>
            </w:r>
            <w:r>
              <w:rPr>
                <w:rFonts w:hint="eastAsia"/>
                <w:color w:val="000000"/>
                <w:sz w:val="18"/>
                <w:szCs w:val="18"/>
              </w:rPr>
              <w:t>夜晚：10架</w:t>
            </w:r>
          </w:p>
        </w:tc>
        <w:tc>
          <w:tcPr>
            <w:tcW w:w="1620" w:type="dxa"/>
            <w:tcBorders>
              <w:top w:val="nil"/>
              <w:left w:val="nil"/>
              <w:bottom w:val="single" w:color="auto" w:sz="4" w:space="0"/>
              <w:right w:val="single" w:color="auto" w:sz="4" w:space="0"/>
            </w:tcBorders>
            <w:shd w:val="clear" w:color="auto" w:fill="auto"/>
            <w:vAlign w:val="center"/>
          </w:tcPr>
          <w:p w14:paraId="681E830E">
            <w:pPr>
              <w:widowControl/>
              <w:autoSpaceDE/>
              <w:autoSpaceDN/>
              <w:jc w:val="center"/>
              <w:rPr>
                <w:color w:val="000000"/>
                <w:sz w:val="18"/>
                <w:szCs w:val="18"/>
              </w:rPr>
            </w:pPr>
            <w:r>
              <w:rPr>
                <w:rFonts w:hint="eastAsia"/>
                <w:color w:val="000000"/>
                <w:sz w:val="18"/>
                <w:szCs w:val="18"/>
              </w:rPr>
              <w:t>白天：10架</w:t>
            </w:r>
            <w:r>
              <w:rPr>
                <w:rFonts w:hint="eastAsia"/>
                <w:color w:val="000000"/>
                <w:sz w:val="18"/>
                <w:szCs w:val="18"/>
              </w:rPr>
              <w:br w:type="textWrapping"/>
            </w:r>
            <w:r>
              <w:rPr>
                <w:rFonts w:hint="eastAsia"/>
                <w:color w:val="000000"/>
                <w:sz w:val="18"/>
                <w:szCs w:val="18"/>
              </w:rPr>
              <w:t>夜晚：5架</w:t>
            </w:r>
          </w:p>
        </w:tc>
        <w:tc>
          <w:tcPr>
            <w:tcW w:w="1580" w:type="dxa"/>
            <w:tcBorders>
              <w:top w:val="nil"/>
              <w:left w:val="nil"/>
              <w:bottom w:val="single" w:color="auto" w:sz="4" w:space="0"/>
              <w:right w:val="single" w:color="auto" w:sz="4" w:space="0"/>
            </w:tcBorders>
            <w:shd w:val="clear" w:color="auto" w:fill="auto"/>
            <w:vAlign w:val="center"/>
          </w:tcPr>
          <w:p w14:paraId="12BC65D9">
            <w:pPr>
              <w:widowControl/>
              <w:autoSpaceDE/>
              <w:autoSpaceDN/>
              <w:jc w:val="center"/>
              <w:rPr>
                <w:color w:val="000000"/>
                <w:sz w:val="18"/>
                <w:szCs w:val="18"/>
              </w:rPr>
            </w:pPr>
            <w:r>
              <w:rPr>
                <w:rFonts w:hint="eastAsia"/>
                <w:color w:val="000000"/>
                <w:sz w:val="18"/>
                <w:szCs w:val="18"/>
              </w:rPr>
              <w:t>白天：</w:t>
            </w:r>
            <w:bookmarkStart w:id="25" w:name="OLE_LINK2"/>
            <w:bookmarkStart w:id="26" w:name="OLE_LINK1"/>
            <w:r>
              <w:rPr>
                <w:rFonts w:hint="eastAsia"/>
                <w:color w:val="000000"/>
                <w:sz w:val="18"/>
                <w:szCs w:val="18"/>
              </w:rPr>
              <w:t>限制</w:t>
            </w:r>
            <w:bookmarkEnd w:id="25"/>
            <w:bookmarkEnd w:id="26"/>
          </w:p>
          <w:p w14:paraId="663F23C3">
            <w:pPr>
              <w:widowControl/>
              <w:autoSpaceDE/>
              <w:autoSpaceDN/>
              <w:jc w:val="center"/>
              <w:rPr>
                <w:color w:val="000000"/>
                <w:sz w:val="18"/>
                <w:szCs w:val="18"/>
              </w:rPr>
            </w:pPr>
            <w:r>
              <w:rPr>
                <w:rFonts w:hint="eastAsia"/>
                <w:color w:val="000000"/>
                <w:sz w:val="18"/>
                <w:szCs w:val="18"/>
              </w:rPr>
              <w:t>夜晚：限制</w:t>
            </w:r>
          </w:p>
        </w:tc>
      </w:tr>
      <w:tr w14:paraId="251CDEA2">
        <w:trPr>
          <w:trHeight w:val="563" w:hRule="atLeast"/>
          <w:jc w:val="center"/>
        </w:trPr>
        <w:tc>
          <w:tcPr>
            <w:tcW w:w="1752" w:type="dxa"/>
            <w:tcBorders>
              <w:top w:val="nil"/>
              <w:left w:val="single" w:color="auto" w:sz="4" w:space="0"/>
              <w:bottom w:val="single" w:color="auto" w:sz="4" w:space="0"/>
              <w:right w:val="single" w:color="auto" w:sz="4" w:space="0"/>
            </w:tcBorders>
            <w:shd w:val="clear" w:color="auto" w:fill="auto"/>
            <w:noWrap/>
            <w:vAlign w:val="center"/>
          </w:tcPr>
          <w:p w14:paraId="2025BA4A">
            <w:pPr>
              <w:widowControl/>
              <w:autoSpaceDE/>
              <w:autoSpaceDN/>
              <w:jc w:val="center"/>
              <w:rPr>
                <w:color w:val="000000"/>
                <w:sz w:val="18"/>
                <w:szCs w:val="18"/>
              </w:rPr>
            </w:pPr>
            <w:r>
              <w:rPr>
                <w:rFonts w:hint="eastAsia"/>
                <w:color w:val="000000"/>
                <w:sz w:val="18"/>
                <w:szCs w:val="18"/>
              </w:rPr>
              <w:t>1</w:t>
            </w:r>
          </w:p>
        </w:tc>
        <w:tc>
          <w:tcPr>
            <w:tcW w:w="1008" w:type="dxa"/>
            <w:tcBorders>
              <w:top w:val="nil"/>
              <w:left w:val="nil"/>
              <w:bottom w:val="single" w:color="auto" w:sz="4" w:space="0"/>
              <w:right w:val="single" w:color="auto" w:sz="4" w:space="0"/>
            </w:tcBorders>
            <w:shd w:val="clear" w:color="auto" w:fill="auto"/>
            <w:noWrap/>
            <w:vAlign w:val="center"/>
          </w:tcPr>
          <w:p w14:paraId="6A8FF65E">
            <w:pPr>
              <w:widowControl/>
              <w:autoSpaceDE/>
              <w:autoSpaceDN/>
              <w:jc w:val="center"/>
              <w:rPr>
                <w:color w:val="000000"/>
                <w:sz w:val="18"/>
                <w:szCs w:val="18"/>
              </w:rPr>
            </w:pPr>
            <w:r>
              <w:rPr>
                <w:rFonts w:hint="eastAsia"/>
                <w:color w:val="000000"/>
                <w:sz w:val="18"/>
                <w:szCs w:val="18"/>
              </w:rPr>
              <w:t>无限制</w:t>
            </w:r>
          </w:p>
        </w:tc>
        <w:tc>
          <w:tcPr>
            <w:tcW w:w="1520" w:type="dxa"/>
            <w:tcBorders>
              <w:top w:val="nil"/>
              <w:left w:val="nil"/>
              <w:bottom w:val="single" w:color="auto" w:sz="4" w:space="0"/>
              <w:right w:val="single" w:color="auto" w:sz="4" w:space="0"/>
            </w:tcBorders>
            <w:shd w:val="clear" w:color="auto" w:fill="auto"/>
            <w:noWrap/>
            <w:vAlign w:val="center"/>
          </w:tcPr>
          <w:p w14:paraId="24694EFC">
            <w:pPr>
              <w:widowControl/>
              <w:autoSpaceDE/>
              <w:autoSpaceDN/>
              <w:jc w:val="center"/>
              <w:rPr>
                <w:color w:val="000000"/>
                <w:sz w:val="18"/>
                <w:szCs w:val="18"/>
              </w:rPr>
            </w:pPr>
            <w:r>
              <w:rPr>
                <w:rFonts w:hint="eastAsia"/>
                <w:color w:val="000000"/>
                <w:sz w:val="18"/>
                <w:szCs w:val="18"/>
              </w:rPr>
              <w:t>无限制</w:t>
            </w:r>
          </w:p>
        </w:tc>
        <w:tc>
          <w:tcPr>
            <w:tcW w:w="1800" w:type="dxa"/>
            <w:tcBorders>
              <w:top w:val="nil"/>
              <w:left w:val="nil"/>
              <w:bottom w:val="single" w:color="auto" w:sz="4" w:space="0"/>
              <w:right w:val="single" w:color="auto" w:sz="4" w:space="0"/>
            </w:tcBorders>
            <w:shd w:val="clear" w:color="auto" w:fill="auto"/>
            <w:vAlign w:val="center"/>
          </w:tcPr>
          <w:p w14:paraId="6C742830">
            <w:pPr>
              <w:widowControl/>
              <w:autoSpaceDE/>
              <w:autoSpaceDN/>
              <w:jc w:val="center"/>
              <w:rPr>
                <w:color w:val="000000"/>
                <w:sz w:val="18"/>
                <w:szCs w:val="18"/>
              </w:rPr>
            </w:pPr>
            <w:r>
              <w:rPr>
                <w:rFonts w:hint="eastAsia"/>
                <w:color w:val="000000"/>
                <w:sz w:val="18"/>
                <w:szCs w:val="18"/>
              </w:rPr>
              <w:t>白天：30架</w:t>
            </w:r>
            <w:r>
              <w:rPr>
                <w:rFonts w:hint="eastAsia"/>
                <w:color w:val="000000"/>
                <w:sz w:val="18"/>
                <w:szCs w:val="18"/>
              </w:rPr>
              <w:br w:type="textWrapping"/>
            </w:r>
            <w:r>
              <w:rPr>
                <w:rFonts w:hint="eastAsia"/>
                <w:color w:val="000000"/>
                <w:sz w:val="18"/>
                <w:szCs w:val="18"/>
              </w:rPr>
              <w:t>夜晚：20架</w:t>
            </w:r>
          </w:p>
        </w:tc>
        <w:tc>
          <w:tcPr>
            <w:tcW w:w="1620" w:type="dxa"/>
            <w:tcBorders>
              <w:top w:val="nil"/>
              <w:left w:val="nil"/>
              <w:bottom w:val="single" w:color="auto" w:sz="4" w:space="0"/>
              <w:right w:val="single" w:color="auto" w:sz="4" w:space="0"/>
            </w:tcBorders>
            <w:shd w:val="clear" w:color="auto" w:fill="auto"/>
            <w:vAlign w:val="center"/>
          </w:tcPr>
          <w:p w14:paraId="64BC9AE2">
            <w:pPr>
              <w:widowControl/>
              <w:autoSpaceDE/>
              <w:autoSpaceDN/>
              <w:jc w:val="center"/>
              <w:rPr>
                <w:color w:val="000000"/>
                <w:sz w:val="18"/>
                <w:szCs w:val="18"/>
              </w:rPr>
            </w:pPr>
            <w:r>
              <w:rPr>
                <w:rFonts w:hint="eastAsia"/>
                <w:color w:val="000000"/>
                <w:sz w:val="18"/>
                <w:szCs w:val="18"/>
              </w:rPr>
              <w:t>白天：20架</w:t>
            </w:r>
            <w:r>
              <w:rPr>
                <w:rFonts w:hint="eastAsia"/>
                <w:color w:val="000000"/>
                <w:sz w:val="18"/>
                <w:szCs w:val="18"/>
              </w:rPr>
              <w:br w:type="textWrapping"/>
            </w:r>
            <w:r>
              <w:rPr>
                <w:rFonts w:hint="eastAsia"/>
                <w:color w:val="000000"/>
                <w:sz w:val="18"/>
                <w:szCs w:val="18"/>
              </w:rPr>
              <w:t>夜晚：10架</w:t>
            </w:r>
          </w:p>
        </w:tc>
        <w:tc>
          <w:tcPr>
            <w:tcW w:w="1580" w:type="dxa"/>
            <w:tcBorders>
              <w:top w:val="nil"/>
              <w:left w:val="nil"/>
              <w:bottom w:val="single" w:color="auto" w:sz="4" w:space="0"/>
              <w:right w:val="single" w:color="auto" w:sz="4" w:space="0"/>
            </w:tcBorders>
            <w:shd w:val="clear" w:color="auto" w:fill="auto"/>
            <w:vAlign w:val="center"/>
          </w:tcPr>
          <w:p w14:paraId="057F7A88">
            <w:pPr>
              <w:widowControl/>
              <w:autoSpaceDE/>
              <w:autoSpaceDN/>
              <w:jc w:val="center"/>
              <w:rPr>
                <w:color w:val="000000"/>
                <w:sz w:val="18"/>
                <w:szCs w:val="18"/>
              </w:rPr>
            </w:pPr>
            <w:r>
              <w:rPr>
                <w:rFonts w:hint="eastAsia"/>
                <w:color w:val="000000"/>
                <w:sz w:val="18"/>
                <w:szCs w:val="18"/>
              </w:rPr>
              <w:t>白天：10架</w:t>
            </w:r>
            <w:r>
              <w:rPr>
                <w:rFonts w:hint="eastAsia"/>
                <w:color w:val="000000"/>
                <w:sz w:val="18"/>
                <w:szCs w:val="18"/>
              </w:rPr>
              <w:br w:type="textWrapping"/>
            </w:r>
            <w:r>
              <w:rPr>
                <w:rFonts w:hint="eastAsia"/>
                <w:color w:val="000000"/>
                <w:sz w:val="18"/>
                <w:szCs w:val="18"/>
              </w:rPr>
              <w:t>夜晚：5架</w:t>
            </w:r>
          </w:p>
        </w:tc>
      </w:tr>
      <w:tr w14:paraId="6C44ED0B">
        <w:trPr>
          <w:trHeight w:val="557" w:hRule="atLeast"/>
          <w:jc w:val="center"/>
        </w:trPr>
        <w:tc>
          <w:tcPr>
            <w:tcW w:w="1752" w:type="dxa"/>
            <w:tcBorders>
              <w:top w:val="nil"/>
              <w:left w:val="single" w:color="auto" w:sz="4" w:space="0"/>
              <w:bottom w:val="single" w:color="auto" w:sz="4" w:space="0"/>
              <w:right w:val="single" w:color="auto" w:sz="4" w:space="0"/>
            </w:tcBorders>
            <w:shd w:val="clear" w:color="auto" w:fill="auto"/>
            <w:noWrap/>
            <w:vAlign w:val="center"/>
          </w:tcPr>
          <w:p w14:paraId="03A84692">
            <w:pPr>
              <w:widowControl/>
              <w:autoSpaceDE/>
              <w:autoSpaceDN/>
              <w:jc w:val="center"/>
              <w:rPr>
                <w:color w:val="000000"/>
                <w:sz w:val="18"/>
                <w:szCs w:val="18"/>
              </w:rPr>
            </w:pPr>
            <w:r>
              <w:rPr>
                <w:rFonts w:hint="eastAsia"/>
                <w:color w:val="000000"/>
                <w:sz w:val="18"/>
                <w:szCs w:val="18"/>
              </w:rPr>
              <w:t>2</w:t>
            </w:r>
          </w:p>
        </w:tc>
        <w:tc>
          <w:tcPr>
            <w:tcW w:w="1008" w:type="dxa"/>
            <w:tcBorders>
              <w:top w:val="nil"/>
              <w:left w:val="nil"/>
              <w:bottom w:val="single" w:color="auto" w:sz="4" w:space="0"/>
              <w:right w:val="single" w:color="auto" w:sz="4" w:space="0"/>
            </w:tcBorders>
            <w:shd w:val="clear" w:color="auto" w:fill="auto"/>
            <w:noWrap/>
            <w:vAlign w:val="center"/>
          </w:tcPr>
          <w:p w14:paraId="2FB1D125">
            <w:pPr>
              <w:widowControl/>
              <w:autoSpaceDE/>
              <w:autoSpaceDN/>
              <w:jc w:val="center"/>
              <w:rPr>
                <w:color w:val="000000"/>
                <w:sz w:val="18"/>
                <w:szCs w:val="18"/>
              </w:rPr>
            </w:pPr>
            <w:r>
              <w:rPr>
                <w:rFonts w:hint="eastAsia"/>
                <w:color w:val="000000"/>
                <w:sz w:val="18"/>
                <w:szCs w:val="18"/>
              </w:rPr>
              <w:t>无限制</w:t>
            </w:r>
          </w:p>
        </w:tc>
        <w:tc>
          <w:tcPr>
            <w:tcW w:w="1520" w:type="dxa"/>
            <w:tcBorders>
              <w:top w:val="nil"/>
              <w:left w:val="nil"/>
              <w:bottom w:val="single" w:color="auto" w:sz="4" w:space="0"/>
              <w:right w:val="single" w:color="auto" w:sz="4" w:space="0"/>
            </w:tcBorders>
            <w:shd w:val="clear" w:color="auto" w:fill="auto"/>
            <w:noWrap/>
            <w:vAlign w:val="center"/>
          </w:tcPr>
          <w:p w14:paraId="53A09062">
            <w:pPr>
              <w:widowControl/>
              <w:autoSpaceDE/>
              <w:autoSpaceDN/>
              <w:jc w:val="center"/>
              <w:rPr>
                <w:color w:val="000000"/>
                <w:sz w:val="18"/>
                <w:szCs w:val="18"/>
              </w:rPr>
            </w:pPr>
            <w:r>
              <w:rPr>
                <w:rFonts w:hint="eastAsia"/>
                <w:color w:val="000000"/>
                <w:sz w:val="18"/>
                <w:szCs w:val="18"/>
              </w:rPr>
              <w:t>无限制</w:t>
            </w:r>
          </w:p>
        </w:tc>
        <w:tc>
          <w:tcPr>
            <w:tcW w:w="1800" w:type="dxa"/>
            <w:tcBorders>
              <w:top w:val="nil"/>
              <w:left w:val="nil"/>
              <w:bottom w:val="single" w:color="auto" w:sz="4" w:space="0"/>
              <w:right w:val="single" w:color="auto" w:sz="4" w:space="0"/>
            </w:tcBorders>
            <w:shd w:val="clear" w:color="auto" w:fill="auto"/>
            <w:noWrap/>
            <w:vAlign w:val="center"/>
          </w:tcPr>
          <w:p w14:paraId="55B837B7">
            <w:pPr>
              <w:widowControl/>
              <w:autoSpaceDE/>
              <w:autoSpaceDN/>
              <w:jc w:val="center"/>
              <w:rPr>
                <w:color w:val="000000"/>
                <w:sz w:val="18"/>
                <w:szCs w:val="18"/>
              </w:rPr>
            </w:pPr>
            <w:r>
              <w:rPr>
                <w:rFonts w:hint="eastAsia"/>
                <w:color w:val="000000"/>
                <w:sz w:val="18"/>
                <w:szCs w:val="18"/>
              </w:rPr>
              <w:t>无限制</w:t>
            </w:r>
          </w:p>
        </w:tc>
        <w:tc>
          <w:tcPr>
            <w:tcW w:w="1620" w:type="dxa"/>
            <w:tcBorders>
              <w:top w:val="nil"/>
              <w:left w:val="nil"/>
              <w:bottom w:val="single" w:color="auto" w:sz="4" w:space="0"/>
              <w:right w:val="single" w:color="auto" w:sz="4" w:space="0"/>
            </w:tcBorders>
            <w:shd w:val="clear" w:color="auto" w:fill="auto"/>
            <w:vAlign w:val="center"/>
          </w:tcPr>
          <w:p w14:paraId="72775514">
            <w:pPr>
              <w:widowControl/>
              <w:autoSpaceDE/>
              <w:autoSpaceDN/>
              <w:jc w:val="center"/>
              <w:rPr>
                <w:color w:val="000000"/>
                <w:sz w:val="18"/>
                <w:szCs w:val="18"/>
              </w:rPr>
            </w:pPr>
            <w:r>
              <w:rPr>
                <w:rFonts w:hint="eastAsia"/>
                <w:color w:val="000000"/>
                <w:sz w:val="18"/>
                <w:szCs w:val="18"/>
              </w:rPr>
              <w:t>白天：30架</w:t>
            </w:r>
            <w:r>
              <w:rPr>
                <w:rFonts w:hint="eastAsia"/>
                <w:color w:val="000000"/>
                <w:sz w:val="18"/>
                <w:szCs w:val="18"/>
              </w:rPr>
              <w:br w:type="textWrapping"/>
            </w:r>
            <w:r>
              <w:rPr>
                <w:rFonts w:hint="eastAsia"/>
                <w:color w:val="000000"/>
                <w:sz w:val="18"/>
                <w:szCs w:val="18"/>
              </w:rPr>
              <w:t>夜晚：20架</w:t>
            </w:r>
          </w:p>
        </w:tc>
        <w:tc>
          <w:tcPr>
            <w:tcW w:w="1580" w:type="dxa"/>
            <w:tcBorders>
              <w:top w:val="nil"/>
              <w:left w:val="nil"/>
              <w:bottom w:val="single" w:color="auto" w:sz="4" w:space="0"/>
              <w:right w:val="single" w:color="auto" w:sz="4" w:space="0"/>
            </w:tcBorders>
            <w:shd w:val="clear" w:color="auto" w:fill="auto"/>
            <w:vAlign w:val="center"/>
          </w:tcPr>
          <w:p w14:paraId="104F8545">
            <w:pPr>
              <w:widowControl/>
              <w:autoSpaceDE/>
              <w:autoSpaceDN/>
              <w:jc w:val="center"/>
              <w:rPr>
                <w:color w:val="000000"/>
                <w:sz w:val="18"/>
                <w:szCs w:val="18"/>
              </w:rPr>
            </w:pPr>
            <w:r>
              <w:rPr>
                <w:rFonts w:hint="eastAsia"/>
                <w:color w:val="000000"/>
                <w:sz w:val="18"/>
                <w:szCs w:val="18"/>
              </w:rPr>
              <w:t>白天：20架</w:t>
            </w:r>
            <w:r>
              <w:rPr>
                <w:rFonts w:hint="eastAsia"/>
                <w:color w:val="000000"/>
                <w:sz w:val="18"/>
                <w:szCs w:val="18"/>
              </w:rPr>
              <w:br w:type="textWrapping"/>
            </w:r>
            <w:r>
              <w:rPr>
                <w:rFonts w:hint="eastAsia"/>
                <w:color w:val="000000"/>
                <w:sz w:val="18"/>
                <w:szCs w:val="18"/>
              </w:rPr>
              <w:t>夜晚：10架</w:t>
            </w:r>
          </w:p>
        </w:tc>
      </w:tr>
      <w:tr w14:paraId="70EB6997">
        <w:trPr>
          <w:trHeight w:val="576" w:hRule="atLeast"/>
          <w:jc w:val="center"/>
        </w:trPr>
        <w:tc>
          <w:tcPr>
            <w:tcW w:w="1752" w:type="dxa"/>
            <w:tcBorders>
              <w:top w:val="nil"/>
              <w:left w:val="single" w:color="auto" w:sz="4" w:space="0"/>
              <w:bottom w:val="single" w:color="auto" w:sz="4" w:space="0"/>
              <w:right w:val="single" w:color="auto" w:sz="4" w:space="0"/>
            </w:tcBorders>
            <w:shd w:val="clear" w:color="auto" w:fill="auto"/>
            <w:noWrap/>
            <w:vAlign w:val="center"/>
          </w:tcPr>
          <w:p w14:paraId="26909688">
            <w:pPr>
              <w:widowControl/>
              <w:autoSpaceDE/>
              <w:autoSpaceDN/>
              <w:jc w:val="center"/>
              <w:rPr>
                <w:color w:val="000000"/>
                <w:sz w:val="18"/>
                <w:szCs w:val="18"/>
              </w:rPr>
            </w:pPr>
            <w:r>
              <w:rPr>
                <w:rFonts w:hint="eastAsia"/>
                <w:color w:val="000000"/>
                <w:sz w:val="18"/>
                <w:szCs w:val="18"/>
              </w:rPr>
              <w:t>3</w:t>
            </w:r>
          </w:p>
        </w:tc>
        <w:tc>
          <w:tcPr>
            <w:tcW w:w="1008" w:type="dxa"/>
            <w:tcBorders>
              <w:top w:val="nil"/>
              <w:left w:val="nil"/>
              <w:bottom w:val="single" w:color="auto" w:sz="4" w:space="0"/>
              <w:right w:val="single" w:color="auto" w:sz="4" w:space="0"/>
            </w:tcBorders>
            <w:shd w:val="clear" w:color="auto" w:fill="auto"/>
            <w:noWrap/>
            <w:vAlign w:val="center"/>
          </w:tcPr>
          <w:p w14:paraId="32379BB6">
            <w:pPr>
              <w:widowControl/>
              <w:autoSpaceDE/>
              <w:autoSpaceDN/>
              <w:jc w:val="center"/>
              <w:rPr>
                <w:color w:val="000000"/>
                <w:sz w:val="18"/>
                <w:szCs w:val="18"/>
              </w:rPr>
            </w:pPr>
            <w:r>
              <w:rPr>
                <w:rFonts w:hint="eastAsia"/>
                <w:color w:val="000000"/>
                <w:sz w:val="18"/>
                <w:szCs w:val="18"/>
              </w:rPr>
              <w:t>无限制</w:t>
            </w:r>
          </w:p>
        </w:tc>
        <w:tc>
          <w:tcPr>
            <w:tcW w:w="1520" w:type="dxa"/>
            <w:tcBorders>
              <w:top w:val="nil"/>
              <w:left w:val="nil"/>
              <w:bottom w:val="single" w:color="auto" w:sz="4" w:space="0"/>
              <w:right w:val="single" w:color="auto" w:sz="4" w:space="0"/>
            </w:tcBorders>
            <w:shd w:val="clear" w:color="auto" w:fill="auto"/>
            <w:noWrap/>
            <w:vAlign w:val="center"/>
          </w:tcPr>
          <w:p w14:paraId="5397C106">
            <w:pPr>
              <w:widowControl/>
              <w:autoSpaceDE/>
              <w:autoSpaceDN/>
              <w:jc w:val="center"/>
              <w:rPr>
                <w:color w:val="000000"/>
                <w:sz w:val="18"/>
                <w:szCs w:val="18"/>
              </w:rPr>
            </w:pPr>
            <w:r>
              <w:rPr>
                <w:rFonts w:hint="eastAsia"/>
                <w:color w:val="000000"/>
                <w:sz w:val="18"/>
                <w:szCs w:val="18"/>
              </w:rPr>
              <w:t>无限制</w:t>
            </w:r>
          </w:p>
        </w:tc>
        <w:tc>
          <w:tcPr>
            <w:tcW w:w="1800" w:type="dxa"/>
            <w:tcBorders>
              <w:top w:val="nil"/>
              <w:left w:val="nil"/>
              <w:bottom w:val="single" w:color="auto" w:sz="4" w:space="0"/>
              <w:right w:val="single" w:color="auto" w:sz="4" w:space="0"/>
            </w:tcBorders>
            <w:shd w:val="clear" w:color="auto" w:fill="auto"/>
            <w:noWrap/>
            <w:vAlign w:val="center"/>
          </w:tcPr>
          <w:p w14:paraId="37457C81">
            <w:pPr>
              <w:widowControl/>
              <w:autoSpaceDE/>
              <w:autoSpaceDN/>
              <w:jc w:val="center"/>
              <w:rPr>
                <w:color w:val="000000"/>
                <w:sz w:val="18"/>
                <w:szCs w:val="18"/>
              </w:rPr>
            </w:pPr>
            <w:r>
              <w:rPr>
                <w:rFonts w:hint="eastAsia"/>
                <w:color w:val="000000"/>
                <w:sz w:val="18"/>
                <w:szCs w:val="18"/>
              </w:rPr>
              <w:t>无限制</w:t>
            </w:r>
          </w:p>
        </w:tc>
        <w:tc>
          <w:tcPr>
            <w:tcW w:w="1620" w:type="dxa"/>
            <w:tcBorders>
              <w:top w:val="nil"/>
              <w:left w:val="nil"/>
              <w:bottom w:val="single" w:color="auto" w:sz="4" w:space="0"/>
              <w:right w:val="single" w:color="auto" w:sz="4" w:space="0"/>
            </w:tcBorders>
            <w:shd w:val="clear" w:color="auto" w:fill="auto"/>
            <w:noWrap/>
            <w:vAlign w:val="center"/>
          </w:tcPr>
          <w:p w14:paraId="3BDB3A94">
            <w:pPr>
              <w:widowControl/>
              <w:autoSpaceDE/>
              <w:autoSpaceDN/>
              <w:jc w:val="center"/>
              <w:rPr>
                <w:color w:val="000000"/>
                <w:sz w:val="18"/>
                <w:szCs w:val="18"/>
              </w:rPr>
            </w:pPr>
            <w:r>
              <w:rPr>
                <w:rFonts w:hint="eastAsia"/>
                <w:color w:val="000000"/>
                <w:sz w:val="18"/>
                <w:szCs w:val="18"/>
              </w:rPr>
              <w:t>无限制</w:t>
            </w:r>
          </w:p>
        </w:tc>
        <w:tc>
          <w:tcPr>
            <w:tcW w:w="1580" w:type="dxa"/>
            <w:tcBorders>
              <w:top w:val="nil"/>
              <w:left w:val="nil"/>
              <w:bottom w:val="single" w:color="auto" w:sz="4" w:space="0"/>
              <w:right w:val="single" w:color="auto" w:sz="4" w:space="0"/>
            </w:tcBorders>
            <w:shd w:val="clear" w:color="auto" w:fill="auto"/>
            <w:vAlign w:val="center"/>
          </w:tcPr>
          <w:p w14:paraId="16E7E22E">
            <w:pPr>
              <w:widowControl/>
              <w:autoSpaceDE/>
              <w:autoSpaceDN/>
              <w:jc w:val="center"/>
              <w:rPr>
                <w:color w:val="000000"/>
                <w:sz w:val="18"/>
                <w:szCs w:val="18"/>
              </w:rPr>
            </w:pPr>
            <w:r>
              <w:rPr>
                <w:rFonts w:hint="eastAsia"/>
                <w:color w:val="000000"/>
                <w:sz w:val="18"/>
                <w:szCs w:val="18"/>
              </w:rPr>
              <w:t>白天：30架</w:t>
            </w:r>
            <w:r>
              <w:rPr>
                <w:rFonts w:hint="eastAsia"/>
                <w:color w:val="000000"/>
                <w:sz w:val="18"/>
                <w:szCs w:val="18"/>
              </w:rPr>
              <w:br w:type="textWrapping"/>
            </w:r>
            <w:r>
              <w:rPr>
                <w:rFonts w:hint="eastAsia"/>
                <w:color w:val="000000"/>
                <w:sz w:val="18"/>
                <w:szCs w:val="18"/>
              </w:rPr>
              <w:t>夜晚：20架</w:t>
            </w:r>
          </w:p>
        </w:tc>
      </w:tr>
      <w:tr w14:paraId="58396247">
        <w:trPr>
          <w:trHeight w:val="529" w:hRule="atLeast"/>
          <w:jc w:val="center"/>
        </w:trPr>
        <w:tc>
          <w:tcPr>
            <w:tcW w:w="1752" w:type="dxa"/>
            <w:tcBorders>
              <w:top w:val="nil"/>
              <w:left w:val="single" w:color="auto" w:sz="4" w:space="0"/>
              <w:bottom w:val="single" w:color="auto" w:sz="4" w:space="0"/>
              <w:right w:val="single" w:color="auto" w:sz="4" w:space="0"/>
            </w:tcBorders>
            <w:shd w:val="clear" w:color="auto" w:fill="auto"/>
            <w:noWrap/>
            <w:vAlign w:val="center"/>
          </w:tcPr>
          <w:p w14:paraId="34A647EE">
            <w:pPr>
              <w:widowControl/>
              <w:autoSpaceDE/>
              <w:autoSpaceDN/>
              <w:jc w:val="center"/>
              <w:rPr>
                <w:color w:val="000000"/>
                <w:sz w:val="18"/>
                <w:szCs w:val="18"/>
              </w:rPr>
            </w:pPr>
            <w:r>
              <w:rPr>
                <w:rFonts w:hint="eastAsia"/>
                <w:color w:val="000000"/>
                <w:sz w:val="18"/>
                <w:szCs w:val="18"/>
              </w:rPr>
              <w:t>4</w:t>
            </w:r>
          </w:p>
        </w:tc>
        <w:tc>
          <w:tcPr>
            <w:tcW w:w="1008" w:type="dxa"/>
            <w:tcBorders>
              <w:top w:val="nil"/>
              <w:left w:val="nil"/>
              <w:bottom w:val="single" w:color="auto" w:sz="4" w:space="0"/>
              <w:right w:val="single" w:color="auto" w:sz="4" w:space="0"/>
            </w:tcBorders>
            <w:shd w:val="clear" w:color="auto" w:fill="auto"/>
            <w:noWrap/>
            <w:vAlign w:val="center"/>
          </w:tcPr>
          <w:p w14:paraId="17062CBC">
            <w:pPr>
              <w:widowControl/>
              <w:autoSpaceDE/>
              <w:autoSpaceDN/>
              <w:jc w:val="center"/>
              <w:rPr>
                <w:color w:val="000000"/>
                <w:sz w:val="18"/>
                <w:szCs w:val="18"/>
              </w:rPr>
            </w:pPr>
            <w:r>
              <w:rPr>
                <w:rFonts w:hint="eastAsia"/>
                <w:color w:val="000000"/>
                <w:sz w:val="18"/>
                <w:szCs w:val="18"/>
              </w:rPr>
              <w:t>无限制</w:t>
            </w:r>
          </w:p>
        </w:tc>
        <w:tc>
          <w:tcPr>
            <w:tcW w:w="1520" w:type="dxa"/>
            <w:tcBorders>
              <w:top w:val="nil"/>
              <w:left w:val="nil"/>
              <w:bottom w:val="single" w:color="auto" w:sz="4" w:space="0"/>
              <w:right w:val="single" w:color="auto" w:sz="4" w:space="0"/>
            </w:tcBorders>
            <w:shd w:val="clear" w:color="auto" w:fill="auto"/>
            <w:noWrap/>
            <w:vAlign w:val="center"/>
          </w:tcPr>
          <w:p w14:paraId="0CE27F3D">
            <w:pPr>
              <w:widowControl/>
              <w:autoSpaceDE/>
              <w:autoSpaceDN/>
              <w:jc w:val="center"/>
              <w:rPr>
                <w:color w:val="000000"/>
                <w:sz w:val="18"/>
                <w:szCs w:val="18"/>
              </w:rPr>
            </w:pPr>
            <w:r>
              <w:rPr>
                <w:rFonts w:hint="eastAsia"/>
                <w:color w:val="000000"/>
                <w:sz w:val="18"/>
                <w:szCs w:val="18"/>
              </w:rPr>
              <w:t>无限制</w:t>
            </w:r>
          </w:p>
        </w:tc>
        <w:tc>
          <w:tcPr>
            <w:tcW w:w="1800" w:type="dxa"/>
            <w:tcBorders>
              <w:top w:val="nil"/>
              <w:left w:val="nil"/>
              <w:bottom w:val="single" w:color="auto" w:sz="4" w:space="0"/>
              <w:right w:val="single" w:color="auto" w:sz="4" w:space="0"/>
            </w:tcBorders>
            <w:shd w:val="clear" w:color="auto" w:fill="auto"/>
            <w:noWrap/>
            <w:vAlign w:val="center"/>
          </w:tcPr>
          <w:p w14:paraId="55F5337C">
            <w:pPr>
              <w:widowControl/>
              <w:autoSpaceDE/>
              <w:autoSpaceDN/>
              <w:jc w:val="center"/>
              <w:rPr>
                <w:color w:val="000000"/>
                <w:sz w:val="18"/>
                <w:szCs w:val="18"/>
              </w:rPr>
            </w:pPr>
            <w:r>
              <w:rPr>
                <w:rFonts w:hint="eastAsia"/>
                <w:color w:val="000000"/>
                <w:sz w:val="18"/>
                <w:szCs w:val="18"/>
              </w:rPr>
              <w:t>无限制</w:t>
            </w:r>
          </w:p>
        </w:tc>
        <w:tc>
          <w:tcPr>
            <w:tcW w:w="1620" w:type="dxa"/>
            <w:tcBorders>
              <w:top w:val="nil"/>
              <w:left w:val="nil"/>
              <w:bottom w:val="single" w:color="auto" w:sz="4" w:space="0"/>
              <w:right w:val="single" w:color="auto" w:sz="4" w:space="0"/>
            </w:tcBorders>
            <w:shd w:val="clear" w:color="auto" w:fill="auto"/>
            <w:noWrap/>
            <w:vAlign w:val="center"/>
          </w:tcPr>
          <w:p w14:paraId="73EF31FD">
            <w:pPr>
              <w:widowControl/>
              <w:autoSpaceDE/>
              <w:autoSpaceDN/>
              <w:jc w:val="center"/>
              <w:rPr>
                <w:color w:val="000000"/>
                <w:sz w:val="18"/>
                <w:szCs w:val="18"/>
              </w:rPr>
            </w:pPr>
            <w:r>
              <w:rPr>
                <w:rFonts w:hint="eastAsia"/>
                <w:color w:val="000000"/>
                <w:sz w:val="18"/>
                <w:szCs w:val="18"/>
              </w:rPr>
              <w:t>无限制</w:t>
            </w:r>
          </w:p>
        </w:tc>
        <w:tc>
          <w:tcPr>
            <w:tcW w:w="1580" w:type="dxa"/>
            <w:tcBorders>
              <w:top w:val="nil"/>
              <w:left w:val="nil"/>
              <w:bottom w:val="single" w:color="auto" w:sz="4" w:space="0"/>
              <w:right w:val="single" w:color="auto" w:sz="4" w:space="0"/>
            </w:tcBorders>
            <w:shd w:val="clear" w:color="auto" w:fill="auto"/>
            <w:noWrap/>
            <w:vAlign w:val="center"/>
          </w:tcPr>
          <w:p w14:paraId="18C7FBEB">
            <w:pPr>
              <w:widowControl/>
              <w:autoSpaceDE/>
              <w:autoSpaceDN/>
              <w:jc w:val="center"/>
              <w:rPr>
                <w:color w:val="000000"/>
                <w:sz w:val="18"/>
                <w:szCs w:val="18"/>
              </w:rPr>
            </w:pPr>
            <w:r>
              <w:rPr>
                <w:rFonts w:hint="eastAsia"/>
                <w:color w:val="000000"/>
                <w:sz w:val="18"/>
                <w:szCs w:val="18"/>
              </w:rPr>
              <w:t>无限制</w:t>
            </w:r>
          </w:p>
        </w:tc>
      </w:tr>
    </w:tbl>
    <w:p w14:paraId="596A1D9C">
      <w:pPr>
        <w:widowControl/>
        <w:shd w:val="clear" w:color="auto" w:fill="FFFFFF"/>
        <w:autoSpaceDE/>
        <w:autoSpaceDN/>
        <w:spacing w:line="360" w:lineRule="auto"/>
        <w:textAlignment w:val="baseline"/>
        <w:rPr>
          <w:rFonts w:ascii="Helvetica" w:hAnsi="Helvetica" w:cs="Helvetica"/>
          <w:color w:val="060607"/>
          <w:spacing w:val="3"/>
          <w:sz w:val="15"/>
          <w:szCs w:val="15"/>
        </w:rPr>
      </w:pPr>
    </w:p>
    <w:p w14:paraId="2268321F">
      <w:pPr>
        <w:pStyle w:val="55"/>
        <w:numPr>
          <w:ilvl w:val="0"/>
          <w:numId w:val="0"/>
        </w:numPr>
        <w:spacing w:before="240" w:after="240"/>
      </w:pPr>
      <w:bookmarkStart w:id="27" w:name="_Toc190767964"/>
      <w:r>
        <w:t>5</w:t>
      </w:r>
      <w:r>
        <w:rPr>
          <w:rFonts w:hint="eastAsia"/>
        </w:rPr>
        <w:t>噪声控制规范</w:t>
      </w:r>
      <w:bookmarkEnd w:id="27"/>
    </w:p>
    <w:p w14:paraId="0837BB32">
      <w:pPr>
        <w:spacing w:beforeLines="50" w:afterLines="50"/>
        <w:rPr>
          <w:rFonts w:ascii="黑体" w:hAnsi="黑体" w:eastAsia="黑体"/>
          <w:sz w:val="21"/>
          <w:szCs w:val="21"/>
        </w:rPr>
      </w:pPr>
      <w:r>
        <w:rPr>
          <w:rFonts w:ascii="黑体" w:hAnsi="黑体" w:eastAsia="黑体"/>
          <w:sz w:val="21"/>
          <w:szCs w:val="21"/>
        </w:rPr>
        <w:t>5.1</w:t>
      </w:r>
      <w:r>
        <w:rPr>
          <w:rFonts w:hint="eastAsia" w:ascii="黑体" w:hAnsi="黑体" w:eastAsia="黑体"/>
          <w:sz w:val="21"/>
          <w:szCs w:val="21"/>
        </w:rPr>
        <w:t>噪声源识别与评估</w:t>
      </w:r>
    </w:p>
    <w:p w14:paraId="00CD6B33">
      <w:pPr>
        <w:spacing w:beforeLines="50" w:afterLines="50"/>
        <w:rPr>
          <w:rFonts w:ascii="黑体" w:hAnsi="黑体" w:eastAsia="黑体" w:cs="Times New Roman"/>
          <w:sz w:val="21"/>
          <w:szCs w:val="21"/>
        </w:rPr>
      </w:pPr>
      <w:r>
        <w:rPr>
          <w:rFonts w:ascii="黑体" w:hAnsi="黑体" w:eastAsia="黑体" w:cs="Times New Roman"/>
          <w:sz w:val="21"/>
          <w:szCs w:val="21"/>
        </w:rPr>
        <w:t>5.1.1</w:t>
      </w:r>
      <w:r>
        <w:rPr>
          <w:rFonts w:hint="eastAsia" w:ascii="黑体" w:hAnsi="黑体" w:eastAsia="黑体" w:cs="Times New Roman"/>
          <w:sz w:val="21"/>
          <w:szCs w:val="21"/>
        </w:rPr>
        <w:t>噪声</w:t>
      </w:r>
      <w:r>
        <w:rPr>
          <w:rFonts w:ascii="黑体" w:hAnsi="黑体" w:eastAsia="黑体" w:cs="Times New Roman"/>
          <w:sz w:val="21"/>
          <w:szCs w:val="21"/>
        </w:rPr>
        <w:t>识别</w:t>
      </w:r>
    </w:p>
    <w:p w14:paraId="036B82DE">
      <w:pPr>
        <w:ind w:firstLine="420" w:firstLineChars="200"/>
        <w:rPr>
          <w:sz w:val="21"/>
          <w:szCs w:val="21"/>
        </w:rPr>
      </w:pPr>
      <w:r>
        <w:rPr>
          <w:rFonts w:hint="eastAsia"/>
          <w:sz w:val="21"/>
          <w:szCs w:val="21"/>
        </w:rPr>
        <w:t>设备噪声</w:t>
      </w:r>
      <w:r>
        <w:rPr>
          <w:sz w:val="21"/>
          <w:szCs w:val="21"/>
        </w:rPr>
        <w:t xml:space="preserve">: </w:t>
      </w:r>
      <w:r>
        <w:rPr>
          <w:rFonts w:hint="eastAsia"/>
          <w:sz w:val="21"/>
          <w:szCs w:val="21"/>
        </w:rPr>
        <w:t>宜</w:t>
      </w:r>
      <w:r>
        <w:rPr>
          <w:sz w:val="21"/>
          <w:szCs w:val="21"/>
        </w:rPr>
        <w:t>识别包括但不限于无人机发动机、地面供电设备、空调系统、发电机、维修工具、车辆进出等设备和作业活动产生的噪声。对每种设备或活动进行分类，记录其工作时间、频率、声功率级等基本信息。</w:t>
      </w:r>
    </w:p>
    <w:p w14:paraId="2590554B">
      <w:pPr>
        <w:ind w:firstLine="420" w:firstLineChars="200"/>
        <w:rPr>
          <w:sz w:val="21"/>
          <w:szCs w:val="21"/>
        </w:rPr>
      </w:pPr>
      <w:r>
        <w:rPr>
          <w:rFonts w:hint="eastAsia"/>
          <w:sz w:val="21"/>
          <w:szCs w:val="21"/>
        </w:rPr>
        <w:t>飞行作业噪声</w:t>
      </w:r>
      <w:r>
        <w:rPr>
          <w:sz w:val="21"/>
          <w:szCs w:val="21"/>
        </w:rPr>
        <w:t xml:space="preserve">: </w:t>
      </w:r>
      <w:r>
        <w:rPr>
          <w:rFonts w:hint="eastAsia"/>
          <w:sz w:val="21"/>
          <w:szCs w:val="21"/>
        </w:rPr>
        <w:t>宜</w:t>
      </w:r>
      <w:r>
        <w:rPr>
          <w:sz w:val="21"/>
          <w:szCs w:val="21"/>
        </w:rPr>
        <w:t>特别关注</w:t>
      </w:r>
      <w:r>
        <w:rPr>
          <w:rFonts w:hint="eastAsia"/>
          <w:sz w:val="21"/>
          <w:szCs w:val="21"/>
        </w:rPr>
        <w:t>无人机</w:t>
      </w:r>
      <w:r>
        <w:rPr>
          <w:sz w:val="21"/>
          <w:szCs w:val="21"/>
        </w:rPr>
        <w:t>起飞、降落、悬停、高速飞行等不同飞行状态下的噪声特性，考虑机型、飞行高度、速度等因素对噪声产生的影响。</w:t>
      </w:r>
    </w:p>
    <w:p w14:paraId="7DFD6D02">
      <w:pPr>
        <w:ind w:firstLine="420" w:firstLineChars="200"/>
        <w:rPr>
          <w:sz w:val="21"/>
          <w:szCs w:val="21"/>
        </w:rPr>
      </w:pPr>
      <w:r>
        <w:rPr>
          <w:rFonts w:hint="eastAsia"/>
          <w:sz w:val="21"/>
          <w:szCs w:val="21"/>
        </w:rPr>
        <w:t>人员活动噪声</w:t>
      </w:r>
      <w:r>
        <w:rPr>
          <w:sz w:val="21"/>
          <w:szCs w:val="21"/>
        </w:rPr>
        <w:t xml:space="preserve">: </w:t>
      </w:r>
      <w:r>
        <w:rPr>
          <w:rFonts w:hint="eastAsia"/>
          <w:sz w:val="21"/>
          <w:szCs w:val="21"/>
        </w:rPr>
        <w:t>宜</w:t>
      </w:r>
      <w:r>
        <w:rPr>
          <w:sz w:val="21"/>
          <w:szCs w:val="21"/>
        </w:rPr>
        <w:t>考虑到工作人员日常操作、交流等人为因素产生的噪声。</w:t>
      </w:r>
    </w:p>
    <w:p w14:paraId="2A433060">
      <w:pPr>
        <w:spacing w:beforeLines="50" w:afterLines="50"/>
        <w:rPr>
          <w:rFonts w:ascii="黑体" w:hAnsi="黑体" w:eastAsia="黑体"/>
          <w:sz w:val="21"/>
          <w:szCs w:val="21"/>
        </w:rPr>
      </w:pPr>
      <w:r>
        <w:rPr>
          <w:rFonts w:ascii="黑体" w:hAnsi="黑体" w:eastAsia="黑体"/>
          <w:sz w:val="21"/>
          <w:szCs w:val="21"/>
        </w:rPr>
        <w:t>5.1.2</w:t>
      </w:r>
      <w:r>
        <w:rPr>
          <w:rFonts w:hint="eastAsia" w:ascii="黑体" w:hAnsi="黑体" w:eastAsia="黑体"/>
          <w:sz w:val="21"/>
          <w:szCs w:val="21"/>
        </w:rPr>
        <w:t xml:space="preserve"> 噪声要求</w:t>
      </w:r>
    </w:p>
    <w:p w14:paraId="4BBC28E6">
      <w:pPr>
        <w:ind w:firstLine="420" w:firstLineChars="200"/>
        <w:rPr>
          <w:sz w:val="21"/>
          <w:szCs w:val="21"/>
        </w:rPr>
      </w:pPr>
      <w:r>
        <w:rPr>
          <w:rFonts w:hint="eastAsia"/>
          <w:sz w:val="21"/>
          <w:szCs w:val="21"/>
        </w:rPr>
        <w:t>准入飞行器噪声要求</w:t>
      </w:r>
      <w:r>
        <w:rPr>
          <w:sz w:val="21"/>
          <w:szCs w:val="21"/>
        </w:rPr>
        <w:t xml:space="preserve">: </w:t>
      </w:r>
      <w:r>
        <w:rPr>
          <w:rFonts w:hint="eastAsia"/>
          <w:sz w:val="21"/>
          <w:szCs w:val="21"/>
        </w:rPr>
        <w:t>依据</w:t>
      </w:r>
      <w:r>
        <w:rPr>
          <w:sz w:val="21"/>
          <w:szCs w:val="21"/>
        </w:rPr>
        <w:t>ISO 5305-2024</w:t>
      </w:r>
      <w:r>
        <w:rPr>
          <w:rFonts w:hint="eastAsia"/>
          <w:sz w:val="21"/>
          <w:szCs w:val="21"/>
        </w:rPr>
        <w:t>所测得的飞行器噪声，制定准入的飞行器噪声要求</w:t>
      </w:r>
      <w:r>
        <w:rPr>
          <w:sz w:val="21"/>
          <w:szCs w:val="21"/>
        </w:rPr>
        <w:t>。</w:t>
      </w:r>
    </w:p>
    <w:p w14:paraId="36B21CEB">
      <w:pPr>
        <w:ind w:firstLine="420" w:firstLineChars="200"/>
        <w:rPr>
          <w:sz w:val="21"/>
          <w:szCs w:val="21"/>
        </w:rPr>
      </w:pPr>
      <w:r>
        <w:rPr>
          <w:rFonts w:hint="eastAsia"/>
          <w:sz w:val="21"/>
          <w:szCs w:val="21"/>
        </w:rPr>
        <w:t>垂直起降点社区噪声要求</w:t>
      </w:r>
      <w:r>
        <w:rPr>
          <w:sz w:val="21"/>
          <w:szCs w:val="21"/>
        </w:rPr>
        <w:t xml:space="preserve">: </w:t>
      </w:r>
      <w:r>
        <w:rPr>
          <w:rFonts w:hint="eastAsia"/>
          <w:sz w:val="21"/>
          <w:szCs w:val="21"/>
        </w:rPr>
        <w:t>根据飞行器对垂直起降点周围社区居民的影响，制定社区噪声要求</w:t>
      </w:r>
      <w:r>
        <w:rPr>
          <w:sz w:val="21"/>
          <w:szCs w:val="21"/>
        </w:rPr>
        <w:t>。</w:t>
      </w:r>
    </w:p>
    <w:p w14:paraId="46CE23D3">
      <w:pPr>
        <w:ind w:firstLine="420" w:firstLineChars="200"/>
        <w:rPr>
          <w:sz w:val="21"/>
          <w:szCs w:val="21"/>
        </w:rPr>
      </w:pPr>
      <w:r>
        <w:rPr>
          <w:rFonts w:hint="eastAsia"/>
          <w:sz w:val="21"/>
          <w:szCs w:val="21"/>
        </w:rPr>
        <w:t>垂直起降点场内噪声要求</w:t>
      </w:r>
      <w:r>
        <w:rPr>
          <w:sz w:val="21"/>
          <w:szCs w:val="21"/>
        </w:rPr>
        <w:t xml:space="preserve">: </w:t>
      </w:r>
      <w:r>
        <w:rPr>
          <w:rFonts w:hint="eastAsia"/>
          <w:sz w:val="21"/>
          <w:szCs w:val="21"/>
        </w:rPr>
        <w:t>依据工作人员劳动保护，垂直起降点室内舒适度，制定垂直起降点场内噪声要求</w:t>
      </w:r>
      <w:r>
        <w:rPr>
          <w:sz w:val="21"/>
          <w:szCs w:val="21"/>
        </w:rPr>
        <w:t>。</w:t>
      </w:r>
    </w:p>
    <w:p w14:paraId="17E35758">
      <w:pPr>
        <w:spacing w:beforeLines="50" w:afterLines="50"/>
        <w:rPr>
          <w:rFonts w:ascii="黑体" w:hAnsi="黑体" w:eastAsia="黑体"/>
          <w:sz w:val="21"/>
          <w:szCs w:val="21"/>
        </w:rPr>
      </w:pPr>
      <w:r>
        <w:rPr>
          <w:rFonts w:ascii="黑体" w:hAnsi="黑体" w:eastAsia="黑体"/>
          <w:sz w:val="21"/>
          <w:szCs w:val="21"/>
        </w:rPr>
        <w:t>5.1.</w:t>
      </w:r>
      <w:r>
        <w:rPr>
          <w:rFonts w:hint="eastAsia" w:ascii="黑体" w:hAnsi="黑体" w:eastAsia="黑体"/>
          <w:sz w:val="21"/>
          <w:szCs w:val="21"/>
        </w:rPr>
        <w:t>3</w:t>
      </w:r>
      <w:r>
        <w:rPr>
          <w:rFonts w:ascii="黑体" w:hAnsi="黑体" w:eastAsia="黑体"/>
          <w:sz w:val="21"/>
          <w:szCs w:val="21"/>
        </w:rPr>
        <w:t>噪声特性分析</w:t>
      </w:r>
    </w:p>
    <w:p w14:paraId="173AFF2A">
      <w:pPr>
        <w:ind w:firstLine="420" w:firstLineChars="200"/>
        <w:rPr>
          <w:sz w:val="21"/>
          <w:szCs w:val="21"/>
        </w:rPr>
      </w:pPr>
      <w:r>
        <w:rPr>
          <w:rFonts w:hint="eastAsia"/>
          <w:sz w:val="21"/>
          <w:szCs w:val="21"/>
        </w:rPr>
        <w:t>声功率级测定</w:t>
      </w:r>
      <w:r>
        <w:rPr>
          <w:sz w:val="21"/>
          <w:szCs w:val="21"/>
        </w:rPr>
        <w:t>: 使用专业设备对各类噪声源进行现场测量，确定其声功率级(Lw)。</w:t>
      </w:r>
    </w:p>
    <w:p w14:paraId="34A8162A">
      <w:pPr>
        <w:ind w:firstLine="420" w:firstLineChars="200"/>
        <w:rPr>
          <w:sz w:val="21"/>
          <w:szCs w:val="21"/>
        </w:rPr>
      </w:pPr>
      <w:r>
        <w:rPr>
          <w:rFonts w:hint="eastAsia"/>
          <w:sz w:val="21"/>
          <w:szCs w:val="21"/>
        </w:rPr>
        <w:t>频谱分析</w:t>
      </w:r>
      <w:r>
        <w:rPr>
          <w:sz w:val="21"/>
          <w:szCs w:val="21"/>
        </w:rPr>
        <w:t>: 分析噪声的频谱分布，了解不同频率成分对整体噪声环境的影响，特别是对人类生活和健康有显著影响的低频和中频噪声。</w:t>
      </w:r>
    </w:p>
    <w:p w14:paraId="7E59EE05">
      <w:pPr>
        <w:ind w:firstLine="420" w:firstLineChars="200"/>
        <w:rPr>
          <w:sz w:val="21"/>
          <w:szCs w:val="21"/>
        </w:rPr>
      </w:pPr>
      <w:r>
        <w:rPr>
          <w:rFonts w:hint="eastAsia"/>
          <w:sz w:val="21"/>
          <w:szCs w:val="21"/>
        </w:rPr>
        <w:t>时间特性分析</w:t>
      </w:r>
      <w:r>
        <w:rPr>
          <w:sz w:val="21"/>
          <w:szCs w:val="21"/>
        </w:rPr>
        <w:t>: 考察噪声发生的周期性、持续时间及变化趋势，以适应性调整控制策略。</w:t>
      </w:r>
    </w:p>
    <w:p w14:paraId="454281DD">
      <w:pPr>
        <w:spacing w:beforeLines="50" w:afterLines="50"/>
        <w:rPr>
          <w:rFonts w:ascii="黑体" w:hAnsi="黑体" w:eastAsia="黑体"/>
          <w:sz w:val="21"/>
          <w:szCs w:val="21"/>
        </w:rPr>
      </w:pPr>
      <w:r>
        <w:rPr>
          <w:rFonts w:ascii="黑体" w:hAnsi="黑体" w:eastAsia="黑体"/>
          <w:sz w:val="21"/>
          <w:szCs w:val="21"/>
        </w:rPr>
        <w:t>5.1.</w:t>
      </w:r>
      <w:r>
        <w:rPr>
          <w:rFonts w:hint="eastAsia" w:ascii="黑体" w:hAnsi="黑体" w:eastAsia="黑体"/>
          <w:sz w:val="21"/>
          <w:szCs w:val="21"/>
        </w:rPr>
        <w:t>4</w:t>
      </w:r>
      <w:r>
        <w:rPr>
          <w:rFonts w:ascii="黑体" w:hAnsi="黑体" w:eastAsia="黑体"/>
          <w:sz w:val="21"/>
          <w:szCs w:val="21"/>
        </w:rPr>
        <w:t>声环境影响预测</w:t>
      </w:r>
    </w:p>
    <w:p w14:paraId="3E82A3B9">
      <w:pPr>
        <w:ind w:firstLine="440" w:firstLineChars="200"/>
      </w:pPr>
      <w:r>
        <w:rPr>
          <w:rFonts w:hint="eastAsia"/>
        </w:rPr>
        <w:t>传播模型应用</w:t>
      </w:r>
      <w:r>
        <w:t>: 利用声传播模型（ISO 9613-2）结合地形、建筑物布局等环境因素，预测噪声在垂直起降点周边区域的传播路径和衰减情况。</w:t>
      </w:r>
    </w:p>
    <w:p w14:paraId="0249A917">
      <w:pPr>
        <w:ind w:firstLine="440" w:firstLineChars="200"/>
      </w:pPr>
      <w:r>
        <w:rPr>
          <w:rFonts w:hint="eastAsia"/>
        </w:rPr>
        <w:t>敏感区域评估</w:t>
      </w:r>
      <w:r>
        <w:t>: 标识出学校、医院、居民区等声环境敏感区域，评估飞行垂直起降点噪声对其潜在影响，包括昼夜间噪声暴露水平（L</w:t>
      </w:r>
      <w:r>
        <w:rPr>
          <w:vertAlign w:val="subscript"/>
        </w:rPr>
        <w:t>night</w:t>
      </w:r>
      <w:r>
        <w:t>）和最大噪声级（L</w:t>
      </w:r>
      <w:r>
        <w:rPr>
          <w:vertAlign w:val="subscript"/>
        </w:rPr>
        <w:t>max</w:t>
      </w:r>
      <w:r>
        <w:t>）。</w:t>
      </w:r>
    </w:p>
    <w:p w14:paraId="4494BA03">
      <w:pPr>
        <w:ind w:firstLine="440" w:firstLineChars="200"/>
      </w:pPr>
      <w:r>
        <w:rPr>
          <w:rFonts w:hint="eastAsia"/>
        </w:rPr>
        <w:t>环境影响评价</w:t>
      </w:r>
      <w:r>
        <w:t>: 综合分析噪声对生态环境、野生动物、人类健康及社会心理的影响，必要时进行生态声学评估。</w:t>
      </w:r>
    </w:p>
    <w:p w14:paraId="4BD1268F">
      <w:pPr>
        <w:spacing w:beforeLines="50" w:afterLines="50"/>
        <w:rPr>
          <w:rFonts w:ascii="黑体" w:hAnsi="黑体" w:eastAsia="黑体"/>
          <w:sz w:val="21"/>
          <w:szCs w:val="21"/>
        </w:rPr>
      </w:pPr>
      <w:r>
        <w:rPr>
          <w:rFonts w:ascii="黑体" w:hAnsi="黑体" w:eastAsia="黑体"/>
          <w:sz w:val="21"/>
          <w:szCs w:val="21"/>
        </w:rPr>
        <w:t>5.1.</w:t>
      </w:r>
      <w:r>
        <w:rPr>
          <w:rFonts w:hint="eastAsia" w:ascii="黑体" w:hAnsi="黑体" w:eastAsia="黑体"/>
          <w:sz w:val="21"/>
          <w:szCs w:val="21"/>
        </w:rPr>
        <w:t>5</w:t>
      </w:r>
      <w:r>
        <w:rPr>
          <w:rFonts w:ascii="黑体" w:hAnsi="黑体" w:eastAsia="黑体"/>
          <w:sz w:val="21"/>
          <w:szCs w:val="21"/>
        </w:rPr>
        <w:t>数据记录与报告</w:t>
      </w:r>
    </w:p>
    <w:p w14:paraId="41C3526E">
      <w:pPr>
        <w:ind w:firstLine="420" w:firstLineChars="200"/>
        <w:rPr>
          <w:sz w:val="21"/>
          <w:szCs w:val="21"/>
        </w:rPr>
      </w:pPr>
      <w:r>
        <w:rPr>
          <w:rFonts w:hint="eastAsia"/>
          <w:sz w:val="21"/>
          <w:szCs w:val="21"/>
        </w:rPr>
        <w:t>所有识别、分析及预测的数据应详细记录，包括测量方法、仪器校准记录、环境条件、测试结果等，形成噪声源识别与评估报告。</w:t>
      </w:r>
    </w:p>
    <w:p w14:paraId="248EF13F">
      <w:pPr>
        <w:ind w:firstLine="420" w:firstLineChars="200"/>
        <w:rPr>
          <w:sz w:val="21"/>
          <w:szCs w:val="21"/>
        </w:rPr>
      </w:pPr>
      <w:r>
        <w:rPr>
          <w:rFonts w:hint="eastAsia"/>
          <w:sz w:val="21"/>
          <w:szCs w:val="21"/>
        </w:rPr>
        <w:t>报告应包括噪声源清单、特性总结、预测模型及敏感区域影响分析，为后续设计和管理决策提供清晰依据。</w:t>
      </w:r>
    </w:p>
    <w:p w14:paraId="7B6179B7">
      <w:pPr>
        <w:spacing w:beforeLines="50" w:afterLines="50"/>
        <w:rPr>
          <w:rFonts w:ascii="黑体" w:hAnsi="黑体" w:eastAsia="黑体"/>
          <w:sz w:val="21"/>
          <w:szCs w:val="21"/>
        </w:rPr>
      </w:pPr>
      <w:r>
        <w:rPr>
          <w:rFonts w:ascii="黑体" w:hAnsi="黑体" w:eastAsia="黑体"/>
          <w:sz w:val="21"/>
          <w:szCs w:val="21"/>
        </w:rPr>
        <w:t>5.1.</w:t>
      </w:r>
      <w:r>
        <w:rPr>
          <w:rFonts w:hint="eastAsia" w:ascii="黑体" w:hAnsi="黑体" w:eastAsia="黑体"/>
          <w:sz w:val="21"/>
          <w:szCs w:val="21"/>
        </w:rPr>
        <w:t>6</w:t>
      </w:r>
      <w:r>
        <w:rPr>
          <w:rFonts w:ascii="黑体" w:hAnsi="黑体" w:eastAsia="黑体"/>
          <w:sz w:val="21"/>
          <w:szCs w:val="21"/>
        </w:rPr>
        <w:t>持续监控与调整</w:t>
      </w:r>
    </w:p>
    <w:p w14:paraId="5B2B6B3B">
      <w:pPr>
        <w:ind w:firstLine="420" w:firstLineChars="200"/>
        <w:rPr>
          <w:sz w:val="21"/>
          <w:szCs w:val="21"/>
        </w:rPr>
      </w:pPr>
      <w:r>
        <w:rPr>
          <w:rFonts w:hint="eastAsia"/>
          <w:sz w:val="21"/>
          <w:szCs w:val="21"/>
        </w:rPr>
        <w:t>实施动态管理，定期复审噪声源状况和控制措施的有效性，根据垂直起降点运营变化及周边环境反馈，适时调整噪声控制策略。</w:t>
      </w:r>
    </w:p>
    <w:p w14:paraId="5B31C85E">
      <w:pPr>
        <w:spacing w:beforeLines="50" w:afterLines="50"/>
        <w:rPr>
          <w:rFonts w:ascii="黑体" w:hAnsi="黑体" w:eastAsia="黑体" w:cs="Times New Roman"/>
          <w:sz w:val="21"/>
          <w:szCs w:val="21"/>
        </w:rPr>
      </w:pPr>
      <w:r>
        <w:rPr>
          <w:rFonts w:ascii="黑体" w:hAnsi="黑体" w:eastAsia="黑体" w:cs="Times New Roman"/>
          <w:sz w:val="21"/>
          <w:szCs w:val="21"/>
        </w:rPr>
        <w:t>5.2</w:t>
      </w:r>
      <w:r>
        <w:rPr>
          <w:rFonts w:hint="eastAsia" w:ascii="黑体" w:hAnsi="黑体" w:eastAsia="黑体" w:cs="Times New Roman"/>
          <w:sz w:val="21"/>
          <w:szCs w:val="21"/>
        </w:rPr>
        <w:t>技术要求</w:t>
      </w:r>
    </w:p>
    <w:p w14:paraId="7C80C44A">
      <w:pPr>
        <w:spacing w:beforeLines="50" w:afterLines="50"/>
        <w:rPr>
          <w:rFonts w:ascii="黑体" w:hAnsi="黑体" w:eastAsia="黑体"/>
          <w:sz w:val="21"/>
          <w:szCs w:val="21"/>
        </w:rPr>
      </w:pPr>
      <w:r>
        <w:rPr>
          <w:rFonts w:ascii="黑体" w:hAnsi="黑体" w:eastAsia="黑体"/>
          <w:sz w:val="21"/>
          <w:szCs w:val="21"/>
        </w:rPr>
        <w:t>5.2.1飞行器噪声抑制技术</w:t>
      </w:r>
      <w:r>
        <w:rPr>
          <w:rFonts w:hint="eastAsia" w:ascii="黑体" w:hAnsi="黑体" w:eastAsia="黑体"/>
          <w:sz w:val="21"/>
          <w:szCs w:val="21"/>
        </w:rPr>
        <w:t>规范</w:t>
      </w:r>
    </w:p>
    <w:p w14:paraId="09EFD80A">
      <w:pPr>
        <w:ind w:firstLine="420" w:firstLineChars="200"/>
        <w:rPr>
          <w:sz w:val="21"/>
          <w:szCs w:val="21"/>
        </w:rPr>
      </w:pPr>
      <w:r>
        <w:rPr>
          <w:sz w:val="21"/>
          <w:szCs w:val="21"/>
        </w:rPr>
        <w:t>a）发动机与螺旋桨优化: 选用低噪声发动机，优化螺旋桨设计，如采用多叶片设计、叶片尖端形状修正、叶片表面材料处理等技术，以降低气动噪声。</w:t>
      </w:r>
    </w:p>
    <w:p w14:paraId="04C9C095">
      <w:pPr>
        <w:ind w:firstLine="420" w:firstLineChars="200"/>
        <w:rPr>
          <w:sz w:val="21"/>
          <w:szCs w:val="21"/>
        </w:rPr>
      </w:pPr>
      <w:r>
        <w:rPr>
          <w:sz w:val="21"/>
          <w:szCs w:val="21"/>
        </w:rPr>
        <w:t>b）主动降噪系统: 集成主动噪声控制(ANC)技术，通过传感器检测噪声信号，处理器计算反相声波，经由扬声器释放，实现噪声的相消减。</w:t>
      </w:r>
    </w:p>
    <w:p w14:paraId="5ECAB46A">
      <w:pPr>
        <w:ind w:firstLine="420" w:firstLineChars="200"/>
        <w:rPr>
          <w:sz w:val="21"/>
          <w:szCs w:val="21"/>
        </w:rPr>
      </w:pPr>
      <w:r>
        <w:rPr>
          <w:sz w:val="21"/>
          <w:szCs w:val="21"/>
        </w:rPr>
        <w:t>c）飞行操作规程: 制定低噪声飞行操作规范，如限制夜间飞行、控制起飞和降落速度、优化飞行路径以避开敏感区域等。</w:t>
      </w:r>
    </w:p>
    <w:p w14:paraId="5DF78E07">
      <w:pPr>
        <w:spacing w:beforeLines="50" w:afterLines="50"/>
        <w:rPr>
          <w:rFonts w:ascii="黑体" w:hAnsi="黑体" w:eastAsia="黑体"/>
          <w:sz w:val="21"/>
          <w:szCs w:val="21"/>
        </w:rPr>
      </w:pPr>
      <w:r>
        <w:rPr>
          <w:rFonts w:ascii="黑体" w:hAnsi="黑体" w:eastAsia="黑体"/>
          <w:sz w:val="21"/>
          <w:szCs w:val="21"/>
        </w:rPr>
        <w:t>5.2.2地面设施建设的声学设计</w:t>
      </w:r>
    </w:p>
    <w:p w14:paraId="3BDD9E39">
      <w:pPr>
        <w:ind w:firstLine="420" w:firstLineChars="200"/>
        <w:rPr>
          <w:sz w:val="21"/>
          <w:szCs w:val="21"/>
        </w:rPr>
      </w:pPr>
      <w:r>
        <w:rPr>
          <w:rFonts w:hint="eastAsia"/>
          <w:sz w:val="21"/>
          <w:szCs w:val="21"/>
        </w:rPr>
        <w:t>跑道与停机坪</w:t>
      </w:r>
      <w:r>
        <w:rPr>
          <w:sz w:val="21"/>
          <w:szCs w:val="21"/>
        </w:rPr>
        <w:t>: 采用吸声材料铺设跑道边缘和停机坪周边，减少飞机起降和地面滑行时的轮胎噪声和机身振动噪声。</w:t>
      </w:r>
    </w:p>
    <w:p w14:paraId="2E0D9BBC">
      <w:pPr>
        <w:ind w:firstLine="420" w:firstLineChars="200"/>
        <w:rPr>
          <w:sz w:val="21"/>
          <w:szCs w:val="21"/>
        </w:rPr>
      </w:pPr>
      <w:r>
        <w:rPr>
          <w:rFonts w:hint="eastAsia"/>
          <w:sz w:val="21"/>
          <w:szCs w:val="21"/>
        </w:rPr>
        <w:t>机库与维护设施</w:t>
      </w:r>
      <w:r>
        <w:rPr>
          <w:sz w:val="21"/>
          <w:szCs w:val="21"/>
        </w:rPr>
        <w:t>: 设计机库时采用双层墙结构，内部填充吸声材料，门窗采用隔音设计，确保维修作业期间噪声不外泄。</w:t>
      </w:r>
    </w:p>
    <w:p w14:paraId="72F8C803">
      <w:pPr>
        <w:ind w:firstLine="420" w:firstLineChars="200"/>
        <w:rPr>
          <w:sz w:val="21"/>
          <w:szCs w:val="21"/>
        </w:rPr>
      </w:pPr>
      <w:r>
        <w:rPr>
          <w:rFonts w:hint="eastAsia"/>
          <w:sz w:val="21"/>
          <w:szCs w:val="21"/>
        </w:rPr>
        <w:t>建筑声学优化</w:t>
      </w:r>
      <w:r>
        <w:rPr>
          <w:sz w:val="21"/>
          <w:szCs w:val="21"/>
        </w:rPr>
        <w:t>: 办公楼、休息室等人员密集区采用隔声窗、隔音门、吸音天花板和墙面，创造安静的工作与休息环境。</w:t>
      </w:r>
    </w:p>
    <w:p w14:paraId="2378503D">
      <w:pPr>
        <w:spacing w:beforeLines="50" w:afterLines="50"/>
        <w:rPr>
          <w:rFonts w:ascii="黑体" w:hAnsi="黑体" w:eastAsia="黑体"/>
          <w:sz w:val="21"/>
          <w:szCs w:val="21"/>
        </w:rPr>
      </w:pPr>
      <w:r>
        <w:rPr>
          <w:rFonts w:ascii="黑体" w:hAnsi="黑体" w:eastAsia="黑体"/>
          <w:sz w:val="21"/>
          <w:szCs w:val="21"/>
        </w:rPr>
        <w:t>5.2.3声屏障布局</w:t>
      </w:r>
    </w:p>
    <w:p w14:paraId="432E7073">
      <w:pPr>
        <w:ind w:firstLine="420" w:firstLineChars="200"/>
        <w:rPr>
          <w:sz w:val="21"/>
          <w:szCs w:val="21"/>
        </w:rPr>
      </w:pPr>
      <w:r>
        <w:rPr>
          <w:rFonts w:hint="eastAsia"/>
          <w:sz w:val="21"/>
          <w:szCs w:val="21"/>
        </w:rPr>
        <w:t>周边布局</w:t>
      </w:r>
      <w:r>
        <w:rPr>
          <w:sz w:val="21"/>
          <w:szCs w:val="21"/>
        </w:rPr>
        <w:t>: 根据噪声传播预测结果，沿垂直起降点边界合理设置声屏障，高度、材质和形状需根据声源特性及环境条件精心设计，常用材料包括吸声混凝土、隔音板等。</w:t>
      </w:r>
    </w:p>
    <w:p w14:paraId="49158055">
      <w:pPr>
        <w:ind w:firstLine="420" w:firstLineChars="200"/>
        <w:rPr>
          <w:sz w:val="21"/>
          <w:szCs w:val="21"/>
        </w:rPr>
      </w:pPr>
      <w:r>
        <w:rPr>
          <w:rFonts w:hint="eastAsia"/>
          <w:sz w:val="21"/>
          <w:szCs w:val="21"/>
        </w:rPr>
        <w:t>灵活配置</w:t>
      </w:r>
      <w:r>
        <w:rPr>
          <w:sz w:val="21"/>
          <w:szCs w:val="21"/>
        </w:rPr>
        <w:t>: 对于特殊地形或风向影响明显的区域，采用可调节角度的声屏障，提高噪声控制的灵活性和效率。</w:t>
      </w:r>
    </w:p>
    <w:p w14:paraId="66354E3A">
      <w:pPr>
        <w:spacing w:beforeLines="50" w:afterLines="50"/>
        <w:rPr>
          <w:rFonts w:ascii="黑体" w:hAnsi="黑体" w:eastAsia="黑体"/>
          <w:sz w:val="21"/>
          <w:szCs w:val="21"/>
        </w:rPr>
      </w:pPr>
      <w:r>
        <w:rPr>
          <w:rFonts w:ascii="黑体" w:hAnsi="黑体" w:eastAsia="黑体"/>
          <w:sz w:val="21"/>
          <w:szCs w:val="21"/>
        </w:rPr>
        <w:t>5.2.4综合设计考量</w:t>
      </w:r>
    </w:p>
    <w:p w14:paraId="00729EE8">
      <w:pPr>
        <w:ind w:firstLine="420" w:firstLineChars="200"/>
        <w:rPr>
          <w:sz w:val="21"/>
          <w:szCs w:val="21"/>
        </w:rPr>
      </w:pPr>
      <w:r>
        <w:rPr>
          <w:rFonts w:hint="eastAsia"/>
          <w:sz w:val="21"/>
          <w:szCs w:val="21"/>
        </w:rPr>
        <w:t>协同规划</w:t>
      </w:r>
      <w:r>
        <w:rPr>
          <w:sz w:val="21"/>
          <w:szCs w:val="21"/>
        </w:rPr>
        <w:t>: 在设计初期，将噪声控制融入整体规划之中，确保飞行区、办公区、生活区等各功能区布局合理，减少相互间的噪声干扰。</w:t>
      </w:r>
    </w:p>
    <w:p w14:paraId="5A06CF46">
      <w:pPr>
        <w:ind w:firstLine="420" w:firstLineChars="200"/>
        <w:rPr>
          <w:sz w:val="21"/>
          <w:szCs w:val="21"/>
        </w:rPr>
      </w:pPr>
      <w:r>
        <w:rPr>
          <w:rFonts w:hint="eastAsia"/>
          <w:sz w:val="21"/>
          <w:szCs w:val="21"/>
        </w:rPr>
        <w:t>模拟验证</w:t>
      </w:r>
      <w:r>
        <w:rPr>
          <w:sz w:val="21"/>
          <w:szCs w:val="21"/>
        </w:rPr>
        <w:t>: 运用计算机仿真软件，对设计方案进行声场模拟，预估实际效果，及时调整优化，确保设计方案的科学性和实用性。</w:t>
      </w:r>
    </w:p>
    <w:p w14:paraId="0CC3AF36">
      <w:pPr>
        <w:spacing w:beforeLines="50" w:afterLines="50"/>
        <w:rPr>
          <w:rFonts w:ascii="黑体" w:hAnsi="黑体" w:eastAsia="黑体" w:cs="Times New Roman"/>
          <w:sz w:val="21"/>
          <w:szCs w:val="21"/>
        </w:rPr>
      </w:pPr>
      <w:r>
        <w:rPr>
          <w:rFonts w:ascii="黑体" w:hAnsi="黑体" w:eastAsia="黑体" w:cs="Times New Roman"/>
          <w:sz w:val="21"/>
          <w:szCs w:val="21"/>
        </w:rPr>
        <w:t>5.3施工与验收</w:t>
      </w:r>
    </w:p>
    <w:p w14:paraId="4D8E6250">
      <w:pPr>
        <w:spacing w:beforeLines="50" w:afterLines="50"/>
        <w:rPr>
          <w:rFonts w:ascii="黑体" w:hAnsi="黑体" w:eastAsia="黑体" w:cs="Times New Roman"/>
          <w:sz w:val="21"/>
          <w:szCs w:val="21"/>
        </w:rPr>
      </w:pPr>
      <w:r>
        <w:rPr>
          <w:rFonts w:ascii="黑体" w:hAnsi="黑体" w:eastAsia="黑体" w:cs="Times New Roman"/>
          <w:sz w:val="21"/>
          <w:szCs w:val="21"/>
        </w:rPr>
        <w:t>5.3.1施工标准</w:t>
      </w:r>
    </w:p>
    <w:p w14:paraId="04A92AA8">
      <w:pPr>
        <w:ind w:firstLine="440" w:firstLineChars="200"/>
      </w:pPr>
      <w:r>
        <w:rPr>
          <w:rFonts w:hint="eastAsia"/>
        </w:rPr>
        <w:t>材料与设备标准</w:t>
      </w:r>
      <w:r>
        <w:t>: 明确所有噪声控制材料（如吸声材料、隔音板、声屏障组件等）和设备（如主动降噪系统）的技术规格、性能指标及合格供应商名单，确保使用符合国家标准及设计要求的高品质材料与设备。</w:t>
      </w:r>
    </w:p>
    <w:p w14:paraId="7D4D2552">
      <w:pPr>
        <w:ind w:firstLine="440" w:firstLineChars="200"/>
      </w:pPr>
      <w:r>
        <w:rPr>
          <w:rFonts w:hint="eastAsia"/>
        </w:rPr>
        <w:t>施工工艺规范</w:t>
      </w:r>
      <w:r>
        <w:t>: 制定详细的施工技术</w:t>
      </w:r>
      <w:r>
        <w:rPr>
          <w:rFonts w:hint="eastAsia"/>
        </w:rPr>
        <w:t>规范</w:t>
      </w:r>
      <w:r>
        <w:t>，涵盖声学材料的安装方法、声屏障的构造细节、绿化隔离带的种植与维护要求等，确保施工团队能够准确执行。</w:t>
      </w:r>
    </w:p>
    <w:p w14:paraId="20205F9E">
      <w:pPr>
        <w:ind w:firstLine="440" w:firstLineChars="200"/>
      </w:pPr>
      <w:r>
        <w:rPr>
          <w:rFonts w:hint="eastAsia"/>
        </w:rPr>
        <w:t>安全与环保要求</w:t>
      </w:r>
      <w:r>
        <w:t>: 施工过程中必须遵守国家及地方的安全施工规定，采取措施减少粉尘、废弃物等对环境的影响，确保施工安全与环保并重。</w:t>
      </w:r>
    </w:p>
    <w:p w14:paraId="4A35A503">
      <w:pPr>
        <w:spacing w:beforeLines="50" w:afterLines="50"/>
        <w:rPr>
          <w:rFonts w:ascii="黑体" w:hAnsi="黑体" w:eastAsia="黑体" w:cs="Times New Roman"/>
          <w:sz w:val="21"/>
          <w:szCs w:val="21"/>
        </w:rPr>
      </w:pPr>
      <w:r>
        <w:rPr>
          <w:rFonts w:ascii="黑体" w:hAnsi="黑体" w:eastAsia="黑体" w:cs="Times New Roman"/>
          <w:sz w:val="21"/>
          <w:szCs w:val="21"/>
        </w:rPr>
        <w:t>5.3.2质量控制</w:t>
      </w:r>
    </w:p>
    <w:p w14:paraId="6EBA3008">
      <w:pPr>
        <w:ind w:firstLine="420" w:firstLineChars="200"/>
        <w:rPr>
          <w:sz w:val="21"/>
          <w:szCs w:val="21"/>
        </w:rPr>
      </w:pPr>
      <w:r>
        <w:rPr>
          <w:rFonts w:hint="eastAsia"/>
          <w:sz w:val="21"/>
          <w:szCs w:val="21"/>
        </w:rPr>
        <w:t>过程监控</w:t>
      </w:r>
      <w:r>
        <w:rPr>
          <w:sz w:val="21"/>
          <w:szCs w:val="21"/>
        </w:rPr>
        <w:t>: 建立施工现场质量监控体系，配备专业监理人员，对关键施工节点进行现场检查，记录施工进度与质量情况，及时纠正偏差。</w:t>
      </w:r>
    </w:p>
    <w:p w14:paraId="7A684282">
      <w:pPr>
        <w:ind w:firstLine="420" w:firstLineChars="200"/>
        <w:rPr>
          <w:sz w:val="21"/>
          <w:szCs w:val="21"/>
        </w:rPr>
      </w:pPr>
      <w:r>
        <w:rPr>
          <w:rFonts w:hint="eastAsia"/>
          <w:sz w:val="21"/>
          <w:szCs w:val="21"/>
        </w:rPr>
        <w:t>材料检验</w:t>
      </w:r>
      <w:r>
        <w:rPr>
          <w:sz w:val="21"/>
          <w:szCs w:val="21"/>
        </w:rPr>
        <w:t>: 对进场的所有材料进行严格检验，包括抽样检测、核对出厂合格证和性能报告，确保材料质量达标。</w:t>
      </w:r>
    </w:p>
    <w:p w14:paraId="22796AE2">
      <w:pPr>
        <w:ind w:firstLine="420" w:firstLineChars="200"/>
        <w:rPr>
          <w:sz w:val="21"/>
          <w:szCs w:val="21"/>
        </w:rPr>
      </w:pPr>
      <w:r>
        <w:rPr>
          <w:rFonts w:hint="eastAsia"/>
          <w:sz w:val="21"/>
          <w:szCs w:val="21"/>
        </w:rPr>
        <w:t>隐蔽工程验收</w:t>
      </w:r>
      <w:r>
        <w:rPr>
          <w:sz w:val="21"/>
          <w:szCs w:val="21"/>
        </w:rPr>
        <w:t>: 对于声学墙体、地下管线等隐蔽工程，在覆盖前进行专项验收，确保隐蔽部分施工质量符合设计要求。</w:t>
      </w:r>
    </w:p>
    <w:p w14:paraId="4EAA92CE">
      <w:pPr>
        <w:ind w:firstLine="420" w:firstLineChars="200"/>
        <w:rPr>
          <w:sz w:val="21"/>
          <w:szCs w:val="21"/>
        </w:rPr>
      </w:pPr>
      <w:r>
        <w:rPr>
          <w:rFonts w:hint="eastAsia"/>
          <w:sz w:val="21"/>
          <w:szCs w:val="21"/>
        </w:rPr>
        <w:t>第三方检测</w:t>
      </w:r>
      <w:r>
        <w:rPr>
          <w:sz w:val="21"/>
          <w:szCs w:val="21"/>
        </w:rPr>
        <w:t>: 在施工关键阶段引入第三方检测机构，对噪声控制设施的性能进行独立测试，提供客观的评估报告。</w:t>
      </w:r>
    </w:p>
    <w:p w14:paraId="05A0059D">
      <w:pPr>
        <w:spacing w:beforeLines="50" w:afterLines="50"/>
        <w:rPr>
          <w:rFonts w:ascii="黑体" w:hAnsi="黑体" w:eastAsia="黑体" w:cs="Times New Roman"/>
          <w:sz w:val="21"/>
          <w:szCs w:val="21"/>
        </w:rPr>
      </w:pPr>
      <w:r>
        <w:rPr>
          <w:rFonts w:ascii="黑体" w:hAnsi="黑体" w:eastAsia="黑体" w:cs="Times New Roman"/>
          <w:sz w:val="21"/>
          <w:szCs w:val="21"/>
        </w:rPr>
        <w:t>5.3.3验收流程</w:t>
      </w:r>
    </w:p>
    <w:p w14:paraId="491B05D2">
      <w:pPr>
        <w:ind w:firstLine="420" w:firstLineChars="200"/>
        <w:rPr>
          <w:sz w:val="21"/>
          <w:szCs w:val="21"/>
        </w:rPr>
      </w:pPr>
      <w:r>
        <w:rPr>
          <w:rFonts w:hint="eastAsia"/>
          <w:sz w:val="21"/>
          <w:szCs w:val="21"/>
        </w:rPr>
        <w:t>初步自检</w:t>
      </w:r>
      <w:r>
        <w:rPr>
          <w:sz w:val="21"/>
          <w:szCs w:val="21"/>
        </w:rPr>
        <w:t>: 施工单位完成各项施工任务后，首先进行内部自检，确认所有设施安装到位、功能正常，准备详细的施工报告及质量证明材料。</w:t>
      </w:r>
    </w:p>
    <w:p w14:paraId="01F49853">
      <w:pPr>
        <w:ind w:firstLine="420" w:firstLineChars="200"/>
        <w:rPr>
          <w:sz w:val="21"/>
          <w:szCs w:val="21"/>
        </w:rPr>
      </w:pPr>
      <w:r>
        <w:rPr>
          <w:rFonts w:hint="eastAsia"/>
          <w:sz w:val="21"/>
          <w:szCs w:val="21"/>
        </w:rPr>
        <w:t>预验收</w:t>
      </w:r>
      <w:r>
        <w:rPr>
          <w:sz w:val="21"/>
          <w:szCs w:val="21"/>
        </w:rPr>
        <w:t>: 由建设单位组织设计、监理等各方进行预验收，重点检查施工质量、设施功能、安全性能及与设计图纸的一致性，对发现的问题提出整改意见。</w:t>
      </w:r>
    </w:p>
    <w:p w14:paraId="63973227">
      <w:pPr>
        <w:ind w:firstLine="420" w:firstLineChars="200"/>
        <w:rPr>
          <w:sz w:val="21"/>
          <w:szCs w:val="21"/>
        </w:rPr>
      </w:pPr>
      <w:r>
        <w:rPr>
          <w:rFonts w:hint="eastAsia"/>
          <w:sz w:val="21"/>
          <w:szCs w:val="21"/>
        </w:rPr>
        <w:t>整改与复验</w:t>
      </w:r>
      <w:r>
        <w:rPr>
          <w:sz w:val="21"/>
          <w:szCs w:val="21"/>
        </w:rPr>
        <w:t>: 施工单位根据预验收提出的整改意见进行整改，完成后再次申请复验，直至所有问题得到妥善解决。</w:t>
      </w:r>
    </w:p>
    <w:p w14:paraId="49265009">
      <w:pPr>
        <w:ind w:firstLine="420" w:firstLineChars="200"/>
        <w:rPr>
          <w:sz w:val="21"/>
          <w:szCs w:val="21"/>
        </w:rPr>
      </w:pPr>
      <w:r>
        <w:rPr>
          <w:rFonts w:hint="eastAsia"/>
          <w:sz w:val="21"/>
          <w:szCs w:val="21"/>
        </w:rPr>
        <w:t>正式验收</w:t>
      </w:r>
      <w:r>
        <w:rPr>
          <w:sz w:val="21"/>
          <w:szCs w:val="21"/>
        </w:rPr>
        <w:t>: 组织由环保、交通、市场监管等相关部门及专家组成的验收小组，进行全面的现场检查、性能测试及文件审核。验收合格后，颁发验收合格证书。</w:t>
      </w:r>
    </w:p>
    <w:p w14:paraId="07A39804">
      <w:pPr>
        <w:ind w:firstLine="420" w:firstLineChars="200"/>
        <w:rPr>
          <w:sz w:val="21"/>
          <w:szCs w:val="21"/>
        </w:rPr>
      </w:pPr>
      <w:r>
        <w:rPr>
          <w:rFonts w:hint="eastAsia"/>
          <w:sz w:val="21"/>
          <w:szCs w:val="21"/>
        </w:rPr>
        <w:t>后期跟踪</w:t>
      </w:r>
      <w:r>
        <w:rPr>
          <w:sz w:val="21"/>
          <w:szCs w:val="21"/>
        </w:rPr>
        <w:t>: 施工结束后，建立噪声控制设施的维护保养制度，定期检查设施状态，确保长期有效运行，必要时进行性能评估与优化调整。</w:t>
      </w:r>
    </w:p>
    <w:p w14:paraId="2DB983FB">
      <w:pPr>
        <w:spacing w:beforeLines="50" w:afterLines="50"/>
        <w:rPr>
          <w:rFonts w:ascii="黑体" w:hAnsi="黑体" w:eastAsia="黑体" w:cs="Times New Roman"/>
          <w:sz w:val="21"/>
          <w:szCs w:val="21"/>
        </w:rPr>
      </w:pPr>
      <w:r>
        <w:rPr>
          <w:rFonts w:ascii="黑体" w:hAnsi="黑体" w:eastAsia="黑体" w:cs="Times New Roman"/>
          <w:sz w:val="21"/>
          <w:szCs w:val="21"/>
        </w:rPr>
        <w:t>5.4运行与维护</w:t>
      </w:r>
    </w:p>
    <w:p w14:paraId="364BC9CF">
      <w:pPr>
        <w:spacing w:beforeLines="50" w:afterLines="50"/>
        <w:rPr>
          <w:rFonts w:ascii="黑体" w:hAnsi="黑体" w:eastAsia="黑体" w:cs="Times New Roman"/>
          <w:sz w:val="21"/>
          <w:szCs w:val="21"/>
        </w:rPr>
      </w:pPr>
      <w:r>
        <w:rPr>
          <w:rFonts w:ascii="黑体" w:hAnsi="黑体" w:eastAsia="黑体" w:cs="Times New Roman"/>
          <w:sz w:val="21"/>
          <w:szCs w:val="21"/>
        </w:rPr>
        <w:t>5.4.1噪声监测体系建立</w:t>
      </w:r>
    </w:p>
    <w:p w14:paraId="2489EE1E">
      <w:pPr>
        <w:ind w:firstLine="440" w:firstLineChars="200"/>
      </w:pPr>
      <w:r>
        <w:rPr>
          <w:rFonts w:hint="eastAsia"/>
        </w:rPr>
        <w:t>监测网络布设</w:t>
      </w:r>
      <w:r>
        <w:t>: 结合垂直起降点噪声源分布、周边敏感区域位置，科学规划噪声监测点位，包括固定监测站、流动监测点及远程在线监测系统，确保监测范围全面覆盖。</w:t>
      </w:r>
    </w:p>
    <w:p w14:paraId="61EB71F0">
      <w:pPr>
        <w:ind w:firstLine="440" w:firstLineChars="200"/>
      </w:pPr>
      <w:r>
        <w:rPr>
          <w:rFonts w:hint="eastAsia"/>
        </w:rPr>
        <w:t>监测设备选型</w:t>
      </w:r>
      <w:r>
        <w:t>: 选用高精度、稳定可靠的噪声监测仪器，如分贝计、噪声频谱分析仪等，满足不同环境和时段的监测需求。</w:t>
      </w:r>
    </w:p>
    <w:p w14:paraId="72CF6FA8">
      <w:pPr>
        <w:ind w:firstLine="440" w:firstLineChars="200"/>
      </w:pPr>
      <w:r>
        <w:rPr>
          <w:rFonts w:hint="eastAsia"/>
        </w:rPr>
        <w:t>数据采集与分析</w:t>
      </w:r>
      <w:r>
        <w:t>: 实施全天候自动监测，采集噪声数据并实时传输至中央管理系统，运用大数据分析技术，对噪声水平、频谱特征、时间分布等进行深入分析，及时发现异常噪声事件。</w:t>
      </w:r>
    </w:p>
    <w:p w14:paraId="16DF0507">
      <w:pPr>
        <w:ind w:firstLine="440" w:firstLineChars="200"/>
      </w:pPr>
      <w:r>
        <w:rPr>
          <w:rFonts w:hint="eastAsia"/>
        </w:rPr>
        <w:t>公众参与</w:t>
      </w:r>
      <w:r>
        <w:t>: 建立公众投诉与反馈机制，鼓励周边居民参与噪声监测，提供更贴近生活的噪声感知信息，增强噪声管理的社会参与度。</w:t>
      </w:r>
    </w:p>
    <w:p w14:paraId="21E5E795">
      <w:pPr>
        <w:spacing w:beforeLines="50" w:afterLines="50"/>
        <w:rPr>
          <w:rFonts w:ascii="黑体" w:hAnsi="黑体" w:eastAsia="黑体" w:cs="Times New Roman"/>
          <w:sz w:val="21"/>
          <w:szCs w:val="21"/>
        </w:rPr>
      </w:pPr>
      <w:r>
        <w:rPr>
          <w:rFonts w:ascii="黑体" w:hAnsi="黑体" w:eastAsia="黑体" w:cs="Times New Roman"/>
          <w:sz w:val="21"/>
          <w:szCs w:val="21"/>
        </w:rPr>
        <w:t>5.4.2定期检测垂直起降点及周边环境噪声水平</w:t>
      </w:r>
    </w:p>
    <w:p w14:paraId="103C292F">
      <w:pPr>
        <w:ind w:firstLine="420" w:firstLineChars="200"/>
        <w:rPr>
          <w:sz w:val="21"/>
          <w:szCs w:val="21"/>
        </w:rPr>
      </w:pPr>
      <w:r>
        <w:rPr>
          <w:rFonts w:hint="eastAsia"/>
          <w:sz w:val="21"/>
          <w:szCs w:val="21"/>
        </w:rPr>
        <w:t>定期检测计划</w:t>
      </w:r>
      <w:r>
        <w:rPr>
          <w:sz w:val="21"/>
          <w:szCs w:val="21"/>
        </w:rPr>
        <w:t>: 制定年度、季度乃至月度的噪声检测计划，覆盖垂直起降点内各主要噪声源、周边敏感区域及关键传播路径，确保检测的系统性和规律性。</w:t>
      </w:r>
    </w:p>
    <w:p w14:paraId="7CF82AF1">
      <w:pPr>
        <w:ind w:firstLine="420" w:firstLineChars="200"/>
        <w:rPr>
          <w:sz w:val="21"/>
          <w:szCs w:val="21"/>
        </w:rPr>
      </w:pPr>
      <w:r>
        <w:rPr>
          <w:rFonts w:hint="eastAsia"/>
          <w:sz w:val="21"/>
          <w:szCs w:val="21"/>
        </w:rPr>
        <w:t>检测标准与评估</w:t>
      </w:r>
      <w:r>
        <w:rPr>
          <w:sz w:val="21"/>
          <w:szCs w:val="21"/>
        </w:rPr>
        <w:t>: 按照国家及地方环境噪声排放标准，对检测结果进行评估，判断是否满足环保要求，对超标区域或时段进行重点标记，为后续调控提供依据。</w:t>
      </w:r>
    </w:p>
    <w:p w14:paraId="0FC26190">
      <w:pPr>
        <w:ind w:firstLine="420" w:firstLineChars="200"/>
        <w:rPr>
          <w:sz w:val="21"/>
          <w:szCs w:val="21"/>
        </w:rPr>
      </w:pPr>
      <w:r>
        <w:rPr>
          <w:rFonts w:hint="eastAsia"/>
          <w:sz w:val="21"/>
          <w:szCs w:val="21"/>
        </w:rPr>
        <w:t>噪声暴露评估</w:t>
      </w:r>
      <w:r>
        <w:rPr>
          <w:sz w:val="21"/>
          <w:szCs w:val="21"/>
        </w:rPr>
        <w:t>: 对垂直起降点工作人员及周边居民的噪声暴露情况进行定期评估，确保符合职业健康与公共安全标准。</w:t>
      </w:r>
    </w:p>
    <w:p w14:paraId="07983A50">
      <w:pPr>
        <w:spacing w:beforeLines="50" w:afterLines="50"/>
        <w:rPr>
          <w:rFonts w:ascii="黑体" w:hAnsi="黑体" w:eastAsia="黑体" w:cs="Times New Roman"/>
          <w:sz w:val="21"/>
          <w:szCs w:val="21"/>
        </w:rPr>
      </w:pPr>
      <w:r>
        <w:rPr>
          <w:rFonts w:ascii="黑体" w:hAnsi="黑体" w:eastAsia="黑体" w:cs="Times New Roman"/>
          <w:sz w:val="21"/>
          <w:szCs w:val="21"/>
        </w:rPr>
        <w:t>5.4.3制定维护保养计划</w:t>
      </w:r>
    </w:p>
    <w:p w14:paraId="374F3DCC">
      <w:pPr>
        <w:ind w:firstLine="420" w:firstLineChars="200"/>
        <w:rPr>
          <w:sz w:val="21"/>
          <w:szCs w:val="21"/>
        </w:rPr>
      </w:pPr>
      <w:r>
        <w:rPr>
          <w:rFonts w:hint="eastAsia"/>
          <w:sz w:val="21"/>
          <w:szCs w:val="21"/>
        </w:rPr>
        <w:t>设施维护</w:t>
      </w:r>
      <w:r>
        <w:rPr>
          <w:sz w:val="21"/>
          <w:szCs w:val="21"/>
        </w:rPr>
        <w:t>: 针对声屏障、吸声材料、隔音门窗等设施，制定定期检查、清洁、修复或更换的维护计划，防止因老化、损坏而影响降噪效果。</w:t>
      </w:r>
    </w:p>
    <w:p w14:paraId="5D9DB8C1">
      <w:pPr>
        <w:ind w:firstLine="420" w:firstLineChars="200"/>
        <w:rPr>
          <w:sz w:val="21"/>
          <w:szCs w:val="21"/>
        </w:rPr>
      </w:pPr>
      <w:r>
        <w:rPr>
          <w:rFonts w:hint="eastAsia"/>
          <w:sz w:val="21"/>
          <w:szCs w:val="21"/>
        </w:rPr>
        <w:t>设备保养</w:t>
      </w:r>
      <w:r>
        <w:rPr>
          <w:sz w:val="21"/>
          <w:szCs w:val="21"/>
        </w:rPr>
        <w:t>: 对噪声监测设备进行定期校准和维护，确保数据准确性，延长设备使用寿命。</w:t>
      </w:r>
    </w:p>
    <w:p w14:paraId="44FA59D7">
      <w:pPr>
        <w:ind w:firstLine="420" w:firstLineChars="200"/>
        <w:rPr>
          <w:sz w:val="21"/>
          <w:szCs w:val="21"/>
        </w:rPr>
      </w:pPr>
      <w:r>
        <w:rPr>
          <w:rFonts w:hint="eastAsia"/>
          <w:sz w:val="21"/>
          <w:szCs w:val="21"/>
        </w:rPr>
        <w:t>应急响应</w:t>
      </w:r>
      <w:r>
        <w:rPr>
          <w:sz w:val="21"/>
          <w:szCs w:val="21"/>
        </w:rPr>
        <w:t>: 建立噪声突发事件应急预案，如设备故障、特殊天气条件下的噪声突增等情况，确保能迅速响应并采取有效措施减轻影响。</w:t>
      </w:r>
    </w:p>
    <w:p w14:paraId="639BBB88">
      <w:pPr>
        <w:ind w:firstLine="420" w:firstLineChars="200"/>
        <w:rPr>
          <w:sz w:val="21"/>
          <w:szCs w:val="21"/>
        </w:rPr>
      </w:pPr>
      <w:r>
        <w:rPr>
          <w:rFonts w:hint="eastAsia"/>
          <w:sz w:val="21"/>
          <w:szCs w:val="21"/>
        </w:rPr>
        <w:t>技术升级与优化</w:t>
      </w:r>
      <w:r>
        <w:rPr>
          <w:sz w:val="21"/>
          <w:szCs w:val="21"/>
        </w:rPr>
        <w:t>: 定期评估噪声控制措施的实效性，结合新技术、新材料的发展，适时进行技术改造和优化升级，不断提升噪声控制水平。</w:t>
      </w:r>
    </w:p>
    <w:p w14:paraId="1E4C1D16">
      <w:pPr>
        <w:ind w:firstLine="420" w:firstLineChars="200"/>
        <w:rPr>
          <w:sz w:val="21"/>
          <w:szCs w:val="21"/>
        </w:rPr>
      </w:pPr>
      <w:r>
        <w:rPr>
          <w:sz w:val="21"/>
          <w:szCs w:val="21"/>
        </w:rPr>
        <w:t>公众参与与信息公示: 建立公众咨询机制，公开噪声控制措施及监测结果，增强透明度与公信力</w:t>
      </w:r>
      <w:r>
        <w:rPr>
          <w:rFonts w:hint="eastAsia"/>
          <w:sz w:val="21"/>
          <w:szCs w:val="21"/>
        </w:rPr>
        <w:t>。</w:t>
      </w:r>
    </w:p>
    <w:p w14:paraId="46C58DF9">
      <w:pPr>
        <w:spacing w:line="360" w:lineRule="auto"/>
      </w:pPr>
      <w:r>
        <w:rPr>
          <w:rFonts w:hint="eastAsia"/>
        </w:rPr>
        <w:br w:type="page"/>
      </w:r>
    </w:p>
    <w:p w14:paraId="2E9922F4">
      <w:pPr>
        <w:pStyle w:val="8"/>
        <w:spacing w:line="360" w:lineRule="auto"/>
      </w:pPr>
    </w:p>
    <w:p w14:paraId="7941EC95">
      <w:pPr>
        <w:pStyle w:val="2"/>
        <w:snapToGrid w:val="0"/>
        <w:spacing w:beforeLines="50" w:line="360" w:lineRule="auto"/>
        <w:rPr>
          <w:rFonts w:hAnsi="Times New Roman" w:cs="Times New Roman"/>
          <w:b w:val="0"/>
          <w:bCs w:val="0"/>
          <w:sz w:val="21"/>
          <w:szCs w:val="20"/>
        </w:rPr>
      </w:pPr>
      <w:bookmarkStart w:id="28" w:name="_Toc190767965"/>
      <w:r>
        <w:rPr>
          <w:rFonts w:hint="eastAsia" w:hAnsi="Times New Roman" w:cs="Times New Roman"/>
          <w:b w:val="0"/>
          <w:bCs w:val="0"/>
          <w:sz w:val="21"/>
          <w:szCs w:val="20"/>
        </w:rPr>
        <w:t>附录A</w:t>
      </w:r>
      <w:r>
        <w:rPr>
          <w:rFonts w:hAnsi="Times New Roman" w:cs="Times New Roman"/>
          <w:b w:val="0"/>
          <w:bCs w:val="0"/>
          <w:sz w:val="21"/>
          <w:szCs w:val="20"/>
        </w:rPr>
        <w:br w:type="textWrapping"/>
      </w:r>
      <w:r>
        <w:rPr>
          <w:rFonts w:hint="eastAsia" w:hAnsi="Times New Roman" w:cs="Times New Roman"/>
          <w:b w:val="0"/>
          <w:bCs w:val="0"/>
          <w:sz w:val="21"/>
          <w:szCs w:val="20"/>
        </w:rPr>
        <w:t>（规范性）</w:t>
      </w:r>
      <w:bookmarkEnd w:id="28"/>
    </w:p>
    <w:p w14:paraId="3C2BED48">
      <w:pPr>
        <w:spacing w:beforeLines="50" w:afterLines="50"/>
        <w:jc w:val="center"/>
        <w:rPr>
          <w:rFonts w:ascii="黑体" w:hAnsi="黑体" w:eastAsia="黑体"/>
          <w:sz w:val="21"/>
          <w:szCs w:val="21"/>
        </w:rPr>
      </w:pPr>
      <w:r>
        <w:rPr>
          <w:rFonts w:hint="eastAsia" w:ascii="黑体" w:hAnsi="黑体" w:eastAsia="黑体"/>
          <w:sz w:val="21"/>
          <w:szCs w:val="21"/>
        </w:rPr>
        <w:t>噪声试验</w:t>
      </w:r>
    </w:p>
    <w:p w14:paraId="49EF96DB">
      <w:pPr>
        <w:spacing w:beforeLines="50" w:afterLines="50"/>
        <w:rPr>
          <w:rFonts w:ascii="黑体" w:hAnsi="黑体" w:eastAsia="黑体"/>
          <w:sz w:val="21"/>
          <w:szCs w:val="21"/>
        </w:rPr>
      </w:pPr>
      <w:r>
        <w:rPr>
          <w:rFonts w:hint="eastAsia" w:ascii="黑体" w:hAnsi="黑体" w:eastAsia="黑体"/>
          <w:sz w:val="21"/>
          <w:szCs w:val="21"/>
        </w:rPr>
        <w:t>A.1试验条件</w:t>
      </w:r>
    </w:p>
    <w:p w14:paraId="51D7D86B">
      <w:pPr>
        <w:ind w:firstLine="420" w:firstLineChars="200"/>
        <w:rPr>
          <w:sz w:val="21"/>
          <w:szCs w:val="21"/>
        </w:rPr>
      </w:pPr>
      <w:r>
        <w:rPr>
          <w:rFonts w:hint="eastAsia"/>
          <w:sz w:val="21"/>
          <w:szCs w:val="21"/>
        </w:rPr>
        <w:t>无人驾驶航空器噪声试验条件应满足GB42590-2023《民用无人驾驶航空器系统安全要求》中5.14.1要求，具体噪声试验设置条件如下：</w:t>
      </w:r>
    </w:p>
    <w:p w14:paraId="3AE45C9F">
      <w:pPr>
        <w:ind w:firstLine="420" w:firstLineChars="200"/>
        <w:rPr>
          <w:sz w:val="21"/>
          <w:szCs w:val="21"/>
        </w:rPr>
      </w:pPr>
      <w:r>
        <w:rPr>
          <w:rFonts w:hint="eastAsia"/>
          <w:sz w:val="21"/>
          <w:szCs w:val="21"/>
        </w:rPr>
        <w:t>1）无人驾驶航空器噪声测试的示意图如图1所示。试验将使用两个传声器,分别位于地面观测点和侧面观测点。侧面观测点与无人驾驶航空器等高。</w:t>
      </w:r>
    </w:p>
    <w:p w14:paraId="511B82D3">
      <w:pPr>
        <w:ind w:firstLine="420" w:firstLineChars="200"/>
        <w:rPr>
          <w:sz w:val="21"/>
          <w:szCs w:val="21"/>
        </w:rPr>
      </w:pPr>
      <w:r>
        <w:rPr>
          <w:rFonts w:hint="eastAsia"/>
          <w:sz w:val="21"/>
          <w:szCs w:val="21"/>
        </w:rPr>
        <w:t>2）当进行悬停测试时,无人驾驶航空器位于地面观测点正上方。此时,无人驾驶航空器与两个观测点的距离L大于或等于5D(D为无人驾驶航空器最大直径)。</w:t>
      </w:r>
    </w:p>
    <w:p w14:paraId="32F1802A">
      <w:pPr>
        <w:ind w:firstLine="420" w:firstLineChars="200"/>
        <w:rPr>
          <w:sz w:val="21"/>
          <w:szCs w:val="21"/>
        </w:rPr>
      </w:pPr>
      <w:r>
        <w:rPr>
          <w:rFonts w:hint="eastAsia"/>
          <w:sz w:val="21"/>
          <w:szCs w:val="21"/>
        </w:rPr>
        <w:t>3）当进行飞行测试时,无人驾驶航空器飞行路径垂直于2个传声器与悬停点构成的平面,且飞行高度L大于或等于5D,侧面传声器到飞行路径的距离为L。飞行速度大小标记在铭牌或者说明书中。</w:t>
      </w:r>
    </w:p>
    <w:p w14:paraId="0CB27AC3">
      <w:pPr>
        <w:spacing w:line="360" w:lineRule="auto"/>
        <w:jc w:val="center"/>
      </w:pPr>
      <w:r>
        <w:drawing>
          <wp:inline distT="0" distB="0" distL="0" distR="0">
            <wp:extent cx="3584575" cy="2258060"/>
            <wp:effectExtent l="0" t="0" r="0" b="0"/>
            <wp:docPr id="4309146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14615" name="图片 1"/>
                    <pic:cNvPicPr>
                      <a:picLocks noChangeAspect="1"/>
                    </pic:cNvPicPr>
                  </pic:nvPicPr>
                  <pic:blipFill>
                    <a:blip r:embed="rId15"/>
                    <a:stretch>
                      <a:fillRect/>
                    </a:stretch>
                  </pic:blipFill>
                  <pic:spPr>
                    <a:xfrm>
                      <a:off x="0" y="0"/>
                      <a:ext cx="3613184" cy="2275967"/>
                    </a:xfrm>
                    <a:prstGeom prst="rect">
                      <a:avLst/>
                    </a:prstGeom>
                  </pic:spPr>
                </pic:pic>
              </a:graphicData>
            </a:graphic>
          </wp:inline>
        </w:drawing>
      </w:r>
    </w:p>
    <w:p w14:paraId="58388A66">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标引序号说明:</w:t>
      </w:r>
    </w:p>
    <w:p w14:paraId="1B907AEB">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Mic 1：地面观测点传声器；</w:t>
      </w:r>
    </w:p>
    <w:p w14:paraId="7305B96B">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Mic 2：侧面观测点传声器；</w:t>
      </w:r>
    </w:p>
    <w:p w14:paraId="098DB5E0">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Hm：传声器与地面距离；</w:t>
      </w:r>
    </w:p>
    <w:p w14:paraId="62886773">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L：航空器到观测点距离；</w:t>
      </w:r>
    </w:p>
    <w:p w14:paraId="686D5029">
      <w:pPr>
        <w:spacing w:line="360" w:lineRule="auto"/>
        <w:ind w:left="719" w:leftChars="327"/>
        <w:rPr>
          <w:rFonts w:ascii="Times New Roman" w:hAnsi="Times New Roman" w:cs="Times New Roman"/>
          <w:sz w:val="20"/>
          <w:szCs w:val="20"/>
        </w:rPr>
      </w:pPr>
      <w:r>
        <w:rPr>
          <w:rFonts w:ascii="Times New Roman" w:hAnsi="Times New Roman" w:cs="Times New Roman"/>
          <w:sz w:val="20"/>
          <w:szCs w:val="20"/>
        </w:rPr>
        <w:t>BAC 三点连线：飞行状态下的飞行路径。</w:t>
      </w:r>
    </w:p>
    <w:p w14:paraId="606E0D65">
      <w:pPr>
        <w:spacing w:line="360" w:lineRule="auto"/>
        <w:ind w:left="719" w:leftChars="327"/>
        <w:rPr>
          <w:rFonts w:ascii="Times New Roman" w:hAnsi="Times New Roman" w:cs="Times New Roman"/>
          <w:sz w:val="20"/>
          <w:szCs w:val="20"/>
        </w:rPr>
      </w:pPr>
      <w:r>
        <w:rPr>
          <w:rFonts w:ascii="Times New Roman" w:hAnsi="Times New Roman" w:cs="Times New Roman"/>
          <w:b/>
          <w:bCs/>
          <w:sz w:val="20"/>
          <w:szCs w:val="20"/>
        </w:rPr>
        <w:t>注:</w:t>
      </w:r>
      <w:r>
        <w:rPr>
          <w:rFonts w:ascii="Times New Roman" w:hAnsi="Times New Roman" w:cs="Times New Roman"/>
          <w:sz w:val="20"/>
          <w:szCs w:val="20"/>
        </w:rPr>
        <w:t>该设置用于悬停和飞行状态下的噪声测试。其中A点及两个传声器构成的平面垂直于地面。悬停时无人驾驶航空器位于A点。</w:t>
      </w:r>
    </w:p>
    <w:p w14:paraId="3D0D0C8D">
      <w:pPr>
        <w:ind w:firstLine="420" w:firstLineChars="200"/>
        <w:jc w:val="center"/>
        <w:rPr>
          <w:sz w:val="21"/>
          <w:szCs w:val="21"/>
        </w:rPr>
      </w:pPr>
      <w:r>
        <w:rPr>
          <w:rFonts w:hint="eastAsia"/>
          <w:sz w:val="21"/>
          <w:szCs w:val="21"/>
        </w:rPr>
        <w:t>图</w:t>
      </w:r>
      <w:r>
        <w:rPr>
          <w:sz w:val="21"/>
          <w:szCs w:val="21"/>
        </w:rPr>
        <w:t>A.</w:t>
      </w:r>
      <w:r>
        <w:rPr>
          <w:rFonts w:hint="eastAsia"/>
          <w:sz w:val="21"/>
          <w:szCs w:val="21"/>
        </w:rPr>
        <w:t>1 无人驾驶航空器噪声测试示意图</w:t>
      </w:r>
    </w:p>
    <w:p w14:paraId="6B9F178D">
      <w:pPr>
        <w:spacing w:beforeLines="50" w:afterLines="50"/>
        <w:rPr>
          <w:rFonts w:ascii="黑体" w:hAnsi="黑体" w:eastAsia="黑体"/>
          <w:sz w:val="21"/>
          <w:szCs w:val="21"/>
        </w:rPr>
      </w:pPr>
      <w:r>
        <w:rPr>
          <w:rFonts w:hint="eastAsia" w:ascii="黑体" w:hAnsi="黑体" w:eastAsia="黑体"/>
          <w:sz w:val="21"/>
          <w:szCs w:val="21"/>
        </w:rPr>
        <w:t>A.2试验步骤</w:t>
      </w:r>
    </w:p>
    <w:p w14:paraId="19F3EFDC">
      <w:pPr>
        <w:ind w:firstLine="420" w:firstLineChars="200"/>
        <w:rPr>
          <w:rFonts w:ascii="Times New Roman" w:hAnsi="Times New Roman" w:cs="Times New Roman"/>
          <w:sz w:val="21"/>
          <w:szCs w:val="21"/>
        </w:rPr>
      </w:pPr>
      <w:r>
        <w:rPr>
          <w:rFonts w:ascii="Times New Roman" w:hAnsi="Times New Roman" w:cs="Times New Roman"/>
          <w:sz w:val="21"/>
          <w:szCs w:val="21"/>
        </w:rPr>
        <w:t>噪声试验分为悬停状态和飞行状态，应按以下步骤进行。</w:t>
      </w:r>
    </w:p>
    <w:p w14:paraId="582E5E58">
      <w:pPr>
        <w:ind w:firstLine="420" w:firstLineChars="200"/>
        <w:rPr>
          <w:rFonts w:ascii="Times New Roman" w:hAnsi="Times New Roman" w:cs="Times New Roman"/>
          <w:sz w:val="21"/>
          <w:szCs w:val="21"/>
        </w:rPr>
      </w:pPr>
      <w:r>
        <w:rPr>
          <w:rFonts w:ascii="Times New Roman" w:hAnsi="Times New Roman" w:cs="Times New Roman"/>
          <w:sz w:val="21"/>
          <w:szCs w:val="21"/>
        </w:rPr>
        <w:t>a)在悬停状态下：</w:t>
      </w:r>
    </w:p>
    <w:p w14:paraId="779BBA51">
      <w:pPr>
        <w:ind w:firstLine="420" w:firstLineChars="200"/>
        <w:rPr>
          <w:rFonts w:ascii="Times New Roman" w:hAnsi="Times New Roman" w:cs="Times New Roman"/>
          <w:sz w:val="21"/>
          <w:szCs w:val="21"/>
        </w:rPr>
      </w:pPr>
      <w:r>
        <w:rPr>
          <w:rFonts w:ascii="Times New Roman" w:hAnsi="Times New Roman" w:cs="Times New Roman"/>
          <w:sz w:val="21"/>
          <w:szCs w:val="21"/>
        </w:rPr>
        <w:t>1）旋翼无人驾驶航空器悬停达到稳定状态后，开始测量，持续时间20s，重复至少10次。</w:t>
      </w:r>
    </w:p>
    <w:p w14:paraId="1E890317">
      <w:pPr>
        <w:ind w:firstLine="420" w:firstLineChars="200"/>
        <w:rPr>
          <w:rFonts w:ascii="Times New Roman" w:hAnsi="Times New Roman" w:cs="Times New Roman"/>
          <w:sz w:val="21"/>
          <w:szCs w:val="21"/>
        </w:rPr>
      </w:pPr>
      <w:r>
        <w:rPr>
          <w:rFonts w:ascii="Times New Roman" w:hAnsi="Times New Roman" w:cs="Times New Roman"/>
          <w:sz w:val="21"/>
          <w:szCs w:val="21"/>
        </w:rPr>
        <w:t>2）通过两个传声器测量得到的声压信号，按公式(A.1)计算各自A计权声压级大小SPL</w:t>
      </w:r>
      <w:r>
        <w:rPr>
          <w:rFonts w:ascii="Times New Roman" w:hAnsi="Times New Roman" w:cs="Times New Roman"/>
          <w:sz w:val="21"/>
          <w:szCs w:val="21"/>
          <w:vertAlign w:val="subscript"/>
        </w:rPr>
        <w:t>i</w:t>
      </w:r>
      <w:r>
        <w:rPr>
          <w:rFonts w:ascii="Times New Roman" w:hAnsi="Times New Roman" w:cs="Times New Roman"/>
          <w:sz w:val="21"/>
          <w:szCs w:val="21"/>
        </w:rPr>
        <w:t>。</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gridCol w:w="3340"/>
      </w:tblGrid>
      <w:tr w14:paraId="2305066D">
        <w:trPr>
          <w:jc w:val="center"/>
        </w:trPr>
        <w:tc>
          <w:tcPr>
            <w:tcW w:w="3340" w:type="dxa"/>
            <w:shd w:val="clear" w:color="auto" w:fill="auto"/>
            <w:vAlign w:val="center"/>
          </w:tcPr>
          <w:p w14:paraId="35559BEB">
            <w:pPr>
              <w:spacing w:line="360" w:lineRule="auto"/>
              <w:rPr>
                <w:rFonts w:ascii="Times New Roman" w:hAnsi="Times New Roman" w:cs="Times New Roman"/>
              </w:rPr>
            </w:pPr>
          </w:p>
        </w:tc>
        <w:tc>
          <w:tcPr>
            <w:tcW w:w="3340" w:type="dxa"/>
            <w:shd w:val="clear" w:color="auto" w:fill="auto"/>
            <w:vAlign w:val="center"/>
          </w:tcPr>
          <w:p w14:paraId="728749F4">
            <w:pPr>
              <w:spacing w:line="360" w:lineRule="auto"/>
              <w:jc w:val="center"/>
              <w:rPr>
                <w:rFonts w:ascii="Times New Roman" w:hAnsi="Times New Roman" w:cs="Times New Roman"/>
              </w:rPr>
            </w:pPr>
            <m:oMathPara>
              <m:oMath>
                <m:sSub>
                  <m:sSubPr>
                    <m:ctrlPr>
                      <w:rPr>
                        <w:rFonts w:ascii="Cambria Math" w:hAnsi="Cambria Math" w:cs="Times New Roman"/>
                        <w:i/>
                      </w:rPr>
                    </m:ctrlPr>
                  </m:sSubPr>
                  <m:e>
                    <m:r>
                      <m:rPr>
                        <m:nor/>
                        <m:sty m:val="p"/>
                      </m:rPr>
                      <w:rPr>
                        <w:rFonts w:ascii="Times New Roman" w:hAnsi="Times New Roman" w:cs="Times New Roman"/>
                        <w:b w:val="0"/>
                        <w:i w:val="0"/>
                      </w:rPr>
                      <m:t>SPL</m:t>
                    </m:r>
                    <m:ctrlPr>
                      <w:rPr>
                        <w:rFonts w:ascii="Cambria Math" w:hAnsi="Cambria Math" w:cs="Times New Roman"/>
                        <w:i/>
                      </w:rPr>
                    </m:ctrlPr>
                  </m:e>
                  <m:sub>
                    <m:r>
                      <m:rPr>
                        <m:nor/>
                        <m:sty m:val="p"/>
                      </m:rPr>
                      <w:rPr>
                        <w:rFonts w:ascii="Times New Roman" w:hAnsi="Times New Roman" w:cs="Times New Roman"/>
                        <w:b w:val="0"/>
                        <w:i w:val="0"/>
                      </w:rPr>
                      <m:t>i</m:t>
                    </m:r>
                    <m:ctrlPr>
                      <w:rPr>
                        <w:rFonts w:ascii="Cambria Math" w:hAnsi="Cambria Math" w:cs="Times New Roman"/>
                        <w:i/>
                      </w:rPr>
                    </m:ctrlPr>
                  </m:sub>
                </m:sSub>
                <m:r>
                  <m:rPr>
                    <m:nor/>
                    <m:sty m:val="p"/>
                  </m:rPr>
                  <w:rPr>
                    <w:rFonts w:ascii="Times New Roman" w:hAnsi="Times New Roman" w:cs="Times New Roman"/>
                    <w:b w:val="0"/>
                    <w:i w:val="0"/>
                  </w:rPr>
                  <m:t>=10lg</m:t>
                </m:r>
                <m:f>
                  <m:fPr>
                    <m:ctrlPr>
                      <w:rPr>
                        <w:rFonts w:ascii="Cambria Math" w:hAnsi="Cambria Math" w:cs="Times New Roman"/>
                        <w:i/>
                      </w:rPr>
                    </m:ctrlPr>
                  </m:fPr>
                  <m:num>
                    <m:r>
                      <m:rPr>
                        <m:nor/>
                        <m:sty m:val="p"/>
                      </m:rPr>
                      <w:rPr>
                        <w:rFonts w:ascii="Times New Roman" w:hAnsi="Times New Roman" w:cs="Times New Roman"/>
                        <w:b w:val="0"/>
                        <w:i w:val="0"/>
                      </w:rPr>
                      <m:t>1</m:t>
                    </m:r>
                    <m:ctrlPr>
                      <w:rPr>
                        <w:rFonts w:ascii="Cambria Math" w:hAnsi="Cambria Math" w:cs="Times New Roman"/>
                        <w:i/>
                      </w:rPr>
                    </m:ctrlPr>
                  </m:num>
                  <m:den>
                    <m:r>
                      <m:rPr>
                        <m:nor/>
                        <m:sty m:val="p"/>
                      </m:rPr>
                      <w:rPr>
                        <w:rFonts w:ascii="Times New Roman" w:hAnsi="Times New Roman" w:cs="Times New Roman"/>
                        <w:b w:val="0"/>
                        <w:i w:val="0"/>
                      </w:rPr>
                      <m:t>∆t</m:t>
                    </m:r>
                    <m:ctrlPr>
                      <w:rPr>
                        <w:rFonts w:ascii="Cambria Math" w:hAnsi="Cambria Math" w:cs="Times New Roman"/>
                        <w:i/>
                      </w:rPr>
                    </m:ctrlPr>
                  </m:den>
                </m:f>
                <m:nary>
                  <m:naryPr>
                    <m:limLoc m:val="subSup"/>
                    <m:ctrlPr>
                      <w:rPr>
                        <w:rFonts w:ascii="Cambria Math" w:hAnsi="Cambria Math" w:cs="Times New Roman"/>
                        <w:i/>
                      </w:rPr>
                    </m:ctrlPr>
                  </m:naryPr>
                  <m:sub>
                    <m:sSub>
                      <m:sSubPr>
                        <m:ctrlPr>
                          <w:rPr>
                            <w:rFonts w:ascii="Cambria Math" w:hAnsi="Cambria Math" w:cs="Times New Roman"/>
                            <w:i/>
                          </w:rPr>
                        </m:ctrlPr>
                      </m:sSubPr>
                      <m:e>
                        <m:r>
                          <m:rPr>
                            <m:nor/>
                            <m:sty m:val="p"/>
                          </m:rPr>
                          <w:rPr>
                            <w:rFonts w:ascii="Times New Roman" w:hAnsi="Times New Roman" w:cs="Times New Roman"/>
                            <w:b w:val="0"/>
                            <w:i w:val="0"/>
                          </w:rPr>
                          <m:t>t</m:t>
                        </m:r>
                        <m:ctrlPr>
                          <w:rPr>
                            <w:rFonts w:ascii="Cambria Math" w:hAnsi="Cambria Math" w:cs="Times New Roman"/>
                            <w:i/>
                          </w:rPr>
                        </m:ctrlPr>
                      </m:e>
                      <m:sub>
                        <m:r>
                          <m:rPr>
                            <m:nor/>
                            <m:sty m:val="p"/>
                          </m:rPr>
                          <w:rPr>
                            <w:rFonts w:ascii="Times New Roman" w:hAnsi="Times New Roman" w:cs="Times New Roman"/>
                            <w:b w:val="0"/>
                            <w:i w:val="0"/>
                          </w:rPr>
                          <m:t>1</m:t>
                        </m:r>
                        <m:ctrlPr>
                          <w:rPr>
                            <w:rFonts w:ascii="Cambria Math" w:hAnsi="Cambria Math" w:cs="Times New Roman"/>
                            <w:i/>
                          </w:rPr>
                        </m:ctrlPr>
                      </m:sub>
                    </m:sSub>
                    <m:ctrlPr>
                      <w:rPr>
                        <w:rFonts w:ascii="Cambria Math" w:hAnsi="Cambria Math" w:cs="Times New Roman"/>
                        <w:i/>
                      </w:rPr>
                    </m:ctrlPr>
                  </m:sub>
                  <m:sup>
                    <m:r>
                      <m:rPr>
                        <m:nor/>
                        <m:sty m:val="p"/>
                      </m:rPr>
                      <w:rPr>
                        <w:rFonts w:ascii="Times New Roman" w:hAnsi="Times New Roman" w:cs="Times New Roman"/>
                        <w:b w:val="0"/>
                        <w:i w:val="0"/>
                      </w:rPr>
                      <m:t>t2</m:t>
                    </m:r>
                    <m:ctrlPr>
                      <w:rPr>
                        <w:rFonts w:ascii="Cambria Math" w:hAnsi="Cambria Math" w:cs="Times New Roman"/>
                        <w:i/>
                      </w:rPr>
                    </m:ctrlPr>
                  </m:sup>
                  <m:e>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m:rPr>
                                        <m:nor/>
                                        <m:sty m:val="p"/>
                                      </m:rPr>
                                      <w:rPr>
                                        <w:rFonts w:ascii="Times New Roman" w:hAnsi="Times New Roman" w:cs="Times New Roman"/>
                                        <w:b w:val="0"/>
                                        <w:i w:val="0"/>
                                      </w:rPr>
                                      <m:t>p</m:t>
                                    </m:r>
                                    <m:ctrlPr>
                                      <w:rPr>
                                        <w:rFonts w:ascii="Cambria Math" w:hAnsi="Cambria Math" w:cs="Times New Roman"/>
                                        <w:i/>
                                      </w:rPr>
                                    </m:ctrlPr>
                                  </m:e>
                                  <m:sub>
                                    <m:r>
                                      <m:rPr>
                                        <m:nor/>
                                        <m:sty m:val="p"/>
                                      </m:rPr>
                                      <w:rPr>
                                        <w:rFonts w:ascii="Times New Roman" w:hAnsi="Times New Roman" w:cs="Times New Roman"/>
                                        <w:b w:val="0"/>
                                        <w:i w:val="0"/>
                                      </w:rPr>
                                      <m:t>A,i</m:t>
                                    </m:r>
                                    <m:ctrlPr>
                                      <w:rPr>
                                        <w:rFonts w:ascii="Cambria Math" w:hAnsi="Cambria Math" w:cs="Times New Roman"/>
                                        <w:i/>
                                      </w:rPr>
                                    </m:ctrlPr>
                                  </m:sub>
                                </m:sSub>
                                <m:r>
                                  <m:rPr>
                                    <m:nor/>
                                    <m:sty m:val="p"/>
                                  </m:rPr>
                                  <w:rPr>
                                    <w:rFonts w:ascii="Times New Roman" w:hAnsi="Times New Roman" w:cs="Times New Roman"/>
                                    <w:b w:val="0"/>
                                    <w:i w:val="0"/>
                                  </w:rPr>
                                  <m:t>(t)</m:t>
                                </m:r>
                                <m:ctrlPr>
                                  <w:rPr>
                                    <w:rFonts w:ascii="Cambria Math" w:hAnsi="Cambria Math" w:cs="Times New Roman"/>
                                    <w:i/>
                                  </w:rPr>
                                </m:ctrlPr>
                              </m:num>
                              <m:den>
                                <m:sSub>
                                  <m:sSubPr>
                                    <m:ctrlPr>
                                      <w:rPr>
                                        <w:rFonts w:ascii="Cambria Math" w:hAnsi="Cambria Math" w:cs="Times New Roman"/>
                                        <w:i/>
                                      </w:rPr>
                                    </m:ctrlPr>
                                  </m:sSubPr>
                                  <m:e>
                                    <m:r>
                                      <m:rPr>
                                        <m:nor/>
                                        <m:sty m:val="p"/>
                                      </m:rPr>
                                      <w:rPr>
                                        <w:rFonts w:ascii="Times New Roman" w:hAnsi="Times New Roman" w:cs="Times New Roman"/>
                                        <w:b w:val="0"/>
                                        <w:i w:val="0"/>
                                      </w:rPr>
                                      <m:t>p</m:t>
                                    </m:r>
                                    <m:ctrlPr>
                                      <w:rPr>
                                        <w:rFonts w:ascii="Cambria Math" w:hAnsi="Cambria Math" w:cs="Times New Roman"/>
                                        <w:i/>
                                      </w:rPr>
                                    </m:ctrlPr>
                                  </m:e>
                                  <m:sub>
                                    <m:r>
                                      <m:rPr>
                                        <m:nor/>
                                        <m:sty m:val="p"/>
                                      </m:rPr>
                                      <w:rPr>
                                        <w:rFonts w:ascii="Times New Roman" w:hAnsi="Times New Roman" w:cs="Times New Roman"/>
                                        <w:b w:val="0"/>
                                        <w:i w:val="0"/>
                                      </w:rPr>
                                      <m:t>ref</m:t>
                                    </m:r>
                                    <m:ctrlPr>
                                      <w:rPr>
                                        <w:rFonts w:ascii="Cambria Math" w:hAnsi="Cambria Math" w:cs="Times New Roman"/>
                                        <w:i/>
                                      </w:rPr>
                                    </m:ctrlPr>
                                  </m:sub>
                                </m:sSub>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m:nor/>
                            <m:sty m:val="p"/>
                          </m:rPr>
                          <w:rPr>
                            <w:rFonts w:ascii="Times New Roman" w:hAnsi="Times New Roman" w:cs="Times New Roman"/>
                            <w:b w:val="0"/>
                            <w:i w:val="0"/>
                          </w:rPr>
                          <m:t>2</m:t>
                        </m:r>
                        <m:ctrlPr>
                          <w:rPr>
                            <w:rFonts w:ascii="Cambria Math" w:hAnsi="Cambria Math" w:cs="Times New Roman"/>
                            <w:i/>
                          </w:rPr>
                        </m:ctrlPr>
                      </m:sup>
                    </m:sSup>
                    <m:r>
                      <m:rPr>
                        <m:nor/>
                        <m:sty m:val="p"/>
                      </m:rPr>
                      <w:rPr>
                        <w:rFonts w:ascii="Times New Roman" w:hAnsi="Times New Roman" w:cs="Times New Roman"/>
                        <w:b w:val="0"/>
                        <w:i w:val="0"/>
                      </w:rPr>
                      <m:t>dt</m:t>
                    </m:r>
                    <m:ctrlPr>
                      <w:rPr>
                        <w:rFonts w:ascii="Cambria Math" w:hAnsi="Cambria Math" w:cs="Times New Roman"/>
                        <w:i/>
                      </w:rPr>
                    </m:ctrlPr>
                  </m:e>
                </m:nary>
              </m:oMath>
            </m:oMathPara>
          </w:p>
        </w:tc>
        <w:tc>
          <w:tcPr>
            <w:tcW w:w="3340" w:type="dxa"/>
            <w:shd w:val="clear" w:color="auto" w:fill="auto"/>
            <w:vAlign w:val="center"/>
          </w:tcPr>
          <w:p w14:paraId="002A63AF">
            <w:pPr>
              <w:spacing w:line="360" w:lineRule="auto"/>
              <w:jc w:val="right"/>
              <w:rPr>
                <w:rFonts w:ascii="Times New Roman" w:hAnsi="Times New Roman" w:cs="Times New Roman"/>
              </w:rPr>
            </w:pPr>
            <w:r>
              <w:rPr>
                <w:rFonts w:ascii="Times New Roman" w:hAnsi="Times New Roman" w:cs="Times New Roman"/>
              </w:rPr>
              <w:t>(A.1)</w:t>
            </w:r>
          </w:p>
        </w:tc>
      </w:tr>
    </w:tbl>
    <w:p w14:paraId="00BC892D">
      <w:pPr>
        <w:ind w:left="719" w:leftChars="327"/>
        <w:rPr>
          <w:rFonts w:ascii="Times New Roman" w:hAnsi="Times New Roman" w:cs="Times New Roman"/>
          <w:sz w:val="21"/>
          <w:szCs w:val="21"/>
        </w:rPr>
      </w:pPr>
      <w:r>
        <w:rPr>
          <w:rFonts w:ascii="Times New Roman" w:hAnsi="Times New Roman" w:cs="Times New Roman"/>
          <w:sz w:val="21"/>
          <w:szCs w:val="21"/>
        </w:rPr>
        <w:t>式中:</w:t>
      </w:r>
    </w:p>
    <w:p w14:paraId="6252384F">
      <w:pPr>
        <w:ind w:left="719" w:leftChars="327"/>
        <w:rPr>
          <w:rFonts w:ascii="Times New Roman" w:hAnsi="Times New Roman" w:cs="Times New Roman"/>
          <w:sz w:val="21"/>
          <w:szCs w:val="21"/>
        </w:rPr>
      </w:pPr>
      <m:oMath>
        <m:sSub>
          <m:sSubPr>
            <m:ctrlPr>
              <w:rPr>
                <w:rFonts w:ascii="Cambria Math" w:hAnsi="Cambria Math" w:cs="Times New Roman"/>
                <w:i/>
                <w:sz w:val="21"/>
                <w:szCs w:val="21"/>
              </w:rPr>
            </m:ctrlPr>
          </m:sSubPr>
          <m:e>
            <m:r>
              <m:rPr>
                <m:nor/>
                <m:sty m:val="p"/>
              </m:rPr>
              <w:rPr>
                <w:rFonts w:ascii="Times New Roman" w:hAnsi="Times New Roman" w:cs="Times New Roman"/>
                <w:b w:val="0"/>
                <w:i w:val="0"/>
                <w:sz w:val="21"/>
                <w:szCs w:val="21"/>
              </w:rPr>
              <m:t>p</m:t>
            </m:r>
            <m:ctrlPr>
              <w:rPr>
                <w:rFonts w:ascii="Cambria Math" w:hAnsi="Cambria Math" w:cs="Times New Roman"/>
                <w:i/>
                <w:sz w:val="21"/>
                <w:szCs w:val="21"/>
              </w:rPr>
            </m:ctrlPr>
          </m:e>
          <m:sub>
            <m:r>
              <m:rPr>
                <m:nor/>
                <m:sty m:val="p"/>
              </m:rPr>
              <w:rPr>
                <w:rFonts w:ascii="Times New Roman" w:hAnsi="Times New Roman" w:cs="Times New Roman"/>
                <w:b w:val="0"/>
                <w:i w:val="0"/>
                <w:sz w:val="21"/>
                <w:szCs w:val="21"/>
              </w:rPr>
              <m:t>A,i</m:t>
            </m:r>
            <m:ctrlPr>
              <w:rPr>
                <w:rFonts w:ascii="Cambria Math" w:hAnsi="Cambria Math" w:cs="Times New Roman"/>
                <w:i/>
                <w:sz w:val="21"/>
                <w:szCs w:val="21"/>
              </w:rPr>
            </m:ctrlPr>
          </m:sub>
        </m:sSub>
      </m:oMath>
      <w:r>
        <w:rPr>
          <w:rFonts w:ascii="Times New Roman" w:hAnsi="Times New Roman" w:cs="Times New Roman"/>
          <w:sz w:val="21"/>
          <w:szCs w:val="21"/>
        </w:rPr>
        <w:t>：第i次测量所得到的A计权声压，单位为帕斯卡(Pa)；</w:t>
      </w:r>
    </w:p>
    <w:p w14:paraId="1BF29BA9">
      <w:pPr>
        <w:ind w:left="719" w:leftChars="327"/>
        <w:rPr>
          <w:rFonts w:ascii="Times New Roman" w:hAnsi="Times New Roman" w:cs="Times New Roman"/>
          <w:sz w:val="21"/>
          <w:szCs w:val="21"/>
        </w:rPr>
      </w:pPr>
      <m:oMath>
        <m:sSub>
          <m:sSubPr>
            <m:ctrlPr>
              <w:rPr>
                <w:rFonts w:ascii="Cambria Math" w:hAnsi="Cambria Math" w:cs="Times New Roman"/>
                <w:i/>
                <w:sz w:val="21"/>
                <w:szCs w:val="21"/>
              </w:rPr>
            </m:ctrlPr>
          </m:sSubPr>
          <m:e>
            <m:r>
              <m:rPr>
                <m:nor/>
                <m:sty m:val="p"/>
              </m:rPr>
              <w:rPr>
                <w:rFonts w:ascii="Times New Roman" w:hAnsi="Times New Roman" w:cs="Times New Roman"/>
                <w:b w:val="0"/>
                <w:i w:val="0"/>
                <w:sz w:val="21"/>
                <w:szCs w:val="21"/>
              </w:rPr>
              <m:t>p</m:t>
            </m:r>
            <m:ctrlPr>
              <w:rPr>
                <w:rFonts w:ascii="Cambria Math" w:hAnsi="Cambria Math" w:cs="Times New Roman"/>
                <w:i/>
                <w:sz w:val="21"/>
                <w:szCs w:val="21"/>
              </w:rPr>
            </m:ctrlPr>
          </m:e>
          <m:sub>
            <m:r>
              <m:rPr>
                <m:nor/>
                <m:sty m:val="p"/>
              </m:rPr>
              <w:rPr>
                <w:rFonts w:ascii="Times New Roman" w:hAnsi="Times New Roman" w:cs="Times New Roman"/>
                <w:b w:val="0"/>
                <w:i w:val="0"/>
                <w:sz w:val="21"/>
                <w:szCs w:val="21"/>
              </w:rPr>
              <m:t>ref</m:t>
            </m:r>
            <m:ctrlPr>
              <w:rPr>
                <w:rFonts w:ascii="Cambria Math" w:hAnsi="Cambria Math" w:cs="Times New Roman"/>
                <w:i/>
                <w:sz w:val="21"/>
                <w:szCs w:val="21"/>
              </w:rPr>
            </m:ctrlPr>
          </m:sub>
        </m:sSub>
        <m:r>
          <m:rPr>
            <m:nor/>
            <m:sty m:val="p"/>
          </m:rPr>
          <w:rPr>
            <w:rFonts w:ascii="Times New Roman" w:hAnsi="Times New Roman" w:cs="Times New Roman"/>
            <w:b w:val="0"/>
            <w:i w:val="0"/>
            <w:sz w:val="21"/>
            <w:szCs w:val="21"/>
          </w:rPr>
          <m:t>=20μPa</m:t>
        </m:r>
      </m:oMath>
      <w:r>
        <w:rPr>
          <w:rFonts w:ascii="Times New Roman" w:hAnsi="Times New Roman" w:cs="Times New Roman"/>
          <w:sz w:val="21"/>
          <w:szCs w:val="21"/>
        </w:rPr>
        <w:t>：参考声压大小；</w:t>
      </w:r>
    </w:p>
    <w:p w14:paraId="691B35C6">
      <w:pPr>
        <w:ind w:left="719" w:leftChars="327"/>
        <w:rPr>
          <w:rFonts w:ascii="Times New Roman" w:hAnsi="Times New Roman" w:cs="Times New Roman"/>
          <w:sz w:val="21"/>
          <w:szCs w:val="21"/>
        </w:rPr>
      </w:pPr>
      <m:oMath>
        <m:r>
          <m:rPr>
            <m:nor/>
            <m:sty m:val="p"/>
          </m:rPr>
          <w:rPr>
            <w:rFonts w:ascii="Times New Roman" w:hAnsi="Times New Roman" w:eastAsia="微软雅黑" w:cs="Times New Roman"/>
            <w:b w:val="0"/>
            <w:i w:val="0"/>
            <w:sz w:val="21"/>
            <w:szCs w:val="21"/>
          </w:rPr>
          <m:t>∆</m:t>
        </m:r>
        <m:r>
          <m:rPr>
            <m:nor/>
            <m:sty m:val="p"/>
          </m:rPr>
          <w:rPr>
            <w:rFonts w:ascii="Times New Roman" w:hAnsi="Times New Roman" w:cs="Times New Roman"/>
            <w:b w:val="0"/>
            <w:i w:val="0"/>
            <w:sz w:val="21"/>
            <w:szCs w:val="21"/>
          </w:rPr>
          <m:t>t=</m:t>
        </m:r>
        <m:sSub>
          <m:sSubPr>
            <m:ctrlPr>
              <w:rPr>
                <w:rFonts w:ascii="Cambria Math" w:hAnsi="Cambria Math" w:cs="Times New Roman"/>
                <w:sz w:val="21"/>
                <w:szCs w:val="21"/>
              </w:rPr>
            </m:ctrlPr>
          </m:sSubPr>
          <m:e>
            <m:r>
              <m:rPr/>
              <w:rPr>
                <w:rFonts w:ascii="Cambria Math" w:hAnsi="Cambria Math" w:cs="Times New Roman"/>
                <w:sz w:val="21"/>
                <w:szCs w:val="21"/>
              </w:rPr>
              <m:t>t</m:t>
            </m:r>
            <m:ctrlPr>
              <w:rPr>
                <w:rFonts w:ascii="Cambria Math" w:hAnsi="Cambria Math" w:cs="Times New Roman"/>
                <w:sz w:val="21"/>
                <w:szCs w:val="21"/>
              </w:rPr>
            </m:ctrlPr>
          </m:e>
          <m:sub>
            <m:r>
              <m:rPr/>
              <w:rPr>
                <w:rFonts w:ascii="Cambria Math" w:hAnsi="Cambria Math" w:cs="Times New Roman"/>
                <w:sz w:val="21"/>
                <w:szCs w:val="21"/>
              </w:rPr>
              <m:t>2</m:t>
            </m:r>
            <m:ctrlPr>
              <w:rPr>
                <w:rFonts w:ascii="Cambria Math" w:hAnsi="Cambria Math" w:cs="Times New Roman"/>
                <w:sz w:val="21"/>
                <w:szCs w:val="21"/>
              </w:rPr>
            </m:ctrlPr>
          </m:sub>
        </m:sSub>
        <m:r>
          <m:rPr>
            <m:nor/>
            <m:sty m:val="p"/>
          </m:rPr>
          <w:rPr>
            <w:rFonts w:ascii="Times New Roman" w:hAnsi="Times New Roman" w:cs="Times New Roman"/>
            <w:b w:val="0"/>
            <w:i w:val="0"/>
            <w:sz w:val="21"/>
            <w:szCs w:val="21"/>
          </w:rPr>
          <m:t>-</m:t>
        </m:r>
        <m:sSub>
          <m:sSubPr>
            <m:ctrlPr>
              <w:rPr>
                <w:rFonts w:ascii="Cambria Math" w:hAnsi="Cambria Math" w:cs="Times New Roman"/>
                <w:i/>
                <w:sz w:val="21"/>
                <w:szCs w:val="21"/>
              </w:rPr>
            </m:ctrlPr>
          </m:sSubPr>
          <m:e>
            <m:r>
              <m:rPr/>
              <w:rPr>
                <w:rFonts w:ascii="Cambria Math" w:hAnsi="Cambria Math" w:cs="Times New Roman"/>
                <w:sz w:val="21"/>
                <w:szCs w:val="21"/>
              </w:rPr>
              <m:t>t</m:t>
            </m:r>
            <m:ctrlPr>
              <w:rPr>
                <w:rFonts w:ascii="Cambria Math" w:hAnsi="Cambria Math" w:cs="Times New Roman"/>
                <w:i/>
                <w:sz w:val="21"/>
                <w:szCs w:val="21"/>
              </w:rPr>
            </m:ctrlPr>
          </m:e>
          <m:sub>
            <m:r>
              <m:rPr/>
              <w:rPr>
                <w:rFonts w:ascii="Cambria Math" w:hAnsi="Cambria Math" w:cs="Times New Roman"/>
                <w:sz w:val="21"/>
                <w:szCs w:val="21"/>
              </w:rPr>
              <m:t>1</m:t>
            </m:r>
            <m:ctrlPr>
              <w:rPr>
                <w:rFonts w:ascii="Cambria Math" w:hAnsi="Cambria Math" w:cs="Times New Roman"/>
                <w:i/>
                <w:sz w:val="21"/>
                <w:szCs w:val="21"/>
              </w:rPr>
            </m:ctrlPr>
          </m:sub>
        </m:sSub>
      </m:oMath>
      <w:r>
        <w:rPr>
          <w:rFonts w:ascii="Times New Roman" w:hAnsi="Times New Roman" w:cs="Times New Roman"/>
          <w:sz w:val="21"/>
          <w:szCs w:val="21"/>
        </w:rPr>
        <w:t>：测试时间长度，t</w:t>
      </w:r>
      <w:r>
        <w:rPr>
          <w:rFonts w:ascii="Times New Roman" w:hAnsi="Times New Roman" w:cs="Times New Roman"/>
          <w:sz w:val="21"/>
          <w:szCs w:val="21"/>
          <w:vertAlign w:val="subscript"/>
        </w:rPr>
        <w:t>1</w:t>
      </w:r>
      <w:r>
        <w:rPr>
          <w:rFonts w:ascii="Times New Roman" w:hAnsi="Times New Roman" w:cs="Times New Roman"/>
          <w:sz w:val="21"/>
          <w:szCs w:val="21"/>
        </w:rPr>
        <w:t>为测量起始时间，t</w:t>
      </w:r>
      <w:r>
        <w:rPr>
          <w:rFonts w:ascii="Times New Roman" w:hAnsi="Times New Roman" w:cs="Times New Roman"/>
          <w:sz w:val="21"/>
          <w:szCs w:val="21"/>
          <w:vertAlign w:val="subscript"/>
        </w:rPr>
        <w:t>2</w:t>
      </w:r>
      <w:r>
        <w:rPr>
          <w:rFonts w:ascii="Times New Roman" w:hAnsi="Times New Roman" w:cs="Times New Roman"/>
          <w:sz w:val="21"/>
          <w:szCs w:val="21"/>
        </w:rPr>
        <w:t>为测量终止时间；</w:t>
      </w:r>
    </w:p>
    <w:p w14:paraId="4A899E17">
      <w:pPr>
        <w:ind w:left="719" w:leftChars="327"/>
        <w:rPr>
          <w:rFonts w:ascii="Times New Roman" w:hAnsi="Times New Roman" w:cs="Times New Roman"/>
          <w:sz w:val="21"/>
          <w:szCs w:val="21"/>
        </w:rPr>
      </w:pPr>
      <w:r>
        <w:rPr>
          <w:rFonts w:ascii="Times New Roman" w:hAnsi="Times New Roman" w:cs="Times New Roman"/>
          <w:sz w:val="21"/>
          <w:szCs w:val="21"/>
        </w:rPr>
        <w:t>i：第i次重复测量。</w:t>
      </w:r>
    </w:p>
    <w:p w14:paraId="7E096C0B">
      <w:pPr>
        <w:ind w:firstLine="420" w:firstLineChars="200"/>
        <w:rPr>
          <w:rFonts w:ascii="Times New Roman" w:hAnsi="Times New Roman" w:cs="Times New Roman"/>
          <w:sz w:val="21"/>
          <w:szCs w:val="21"/>
        </w:rPr>
      </w:pPr>
      <w:r>
        <w:rPr>
          <w:rFonts w:ascii="Times New Roman" w:hAnsi="Times New Roman" w:cs="Times New Roman"/>
          <w:sz w:val="21"/>
          <w:szCs w:val="21"/>
        </w:rPr>
        <w:t>3）对于每一次测试，同时测量环境的温度T</w:t>
      </w:r>
      <w:r>
        <w:rPr>
          <w:rFonts w:ascii="Times New Roman" w:hAnsi="Times New Roman" w:cs="Times New Roman"/>
          <w:sz w:val="21"/>
          <w:szCs w:val="21"/>
          <w:vertAlign w:val="subscript"/>
        </w:rPr>
        <w:t>i</w:t>
      </w:r>
      <w:r>
        <w:rPr>
          <w:rFonts w:ascii="Times New Roman" w:hAnsi="Times New Roman" w:cs="Times New Roman"/>
          <w:sz w:val="21"/>
          <w:szCs w:val="21"/>
        </w:rPr>
        <w:t>(单位为℃)和相对湿度值(RH</w:t>
      </w:r>
      <w:r>
        <w:rPr>
          <w:rFonts w:ascii="Times New Roman" w:hAnsi="Times New Roman" w:cs="Times New Roman"/>
          <w:sz w:val="21"/>
          <w:szCs w:val="21"/>
          <w:vertAlign w:val="subscript"/>
        </w:rPr>
        <w:t>i</w:t>
      </w:r>
      <w:r>
        <w:rPr>
          <w:rFonts w:ascii="Times New Roman" w:hAnsi="Times New Roman" w:cs="Times New Roman"/>
          <w:sz w:val="21"/>
          <w:szCs w:val="21"/>
        </w:rPr>
        <w:t>)。在满足相关规定的条件下，根据表A.1对悬停状态的声压级测试SPL</w:t>
      </w:r>
      <w:r>
        <w:rPr>
          <w:rFonts w:ascii="Times New Roman" w:hAnsi="Times New Roman" w:cs="Times New Roman"/>
          <w:sz w:val="21"/>
          <w:szCs w:val="21"/>
          <w:vertAlign w:val="subscript"/>
        </w:rPr>
        <w:t>i</w:t>
      </w:r>
      <w:r>
        <w:rPr>
          <w:rFonts w:ascii="Times New Roman" w:hAnsi="Times New Roman" w:cs="Times New Roman"/>
          <w:sz w:val="21"/>
          <w:szCs w:val="21"/>
        </w:rPr>
        <w:t>进行修正。</w:t>
      </w:r>
    </w:p>
    <w:p w14:paraId="49D84282">
      <w:pPr>
        <w:spacing w:beforeLines="50" w:afterLines="50"/>
        <w:ind w:firstLine="420" w:firstLineChars="200"/>
        <w:jc w:val="center"/>
        <w:rPr>
          <w:rFonts w:ascii="Times New Roman" w:hAnsi="Times New Roman" w:cs="Times New Roman"/>
          <w:sz w:val="21"/>
          <w:szCs w:val="21"/>
        </w:rPr>
      </w:pPr>
      <w:r>
        <w:rPr>
          <w:rFonts w:ascii="Times New Roman" w:hAnsi="Times New Roman" w:cs="Times New Roman"/>
          <w:sz w:val="21"/>
          <w:szCs w:val="21"/>
        </w:rPr>
        <w:t>表</w:t>
      </w:r>
      <w:r>
        <w:rPr>
          <w:rFonts w:hint="eastAsia" w:ascii="Times New Roman" w:hAnsi="Times New Roman" w:cs="Times New Roman"/>
          <w:sz w:val="21"/>
          <w:szCs w:val="21"/>
        </w:rPr>
        <w:t>A</w:t>
      </w:r>
      <w:r>
        <w:rPr>
          <w:rFonts w:ascii="Times New Roman" w:hAnsi="Times New Roman" w:cs="Times New Roman"/>
          <w:sz w:val="21"/>
          <w:szCs w:val="21"/>
        </w:rPr>
        <w:t>.1悬停状态下无人机噪声测量结果相对湿度和温度修正关系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0"/>
        <w:gridCol w:w="5010"/>
      </w:tblGrid>
      <w:tr w14:paraId="6EDAF181">
        <w:trPr>
          <w:jc w:val="center"/>
        </w:trPr>
        <w:tc>
          <w:tcPr>
            <w:tcW w:w="5010" w:type="dxa"/>
            <w:vAlign w:val="center"/>
          </w:tcPr>
          <w:p w14:paraId="33F8C7A3">
            <w:pPr>
              <w:jc w:val="center"/>
              <w:rPr>
                <w:rFonts w:ascii="Times New Roman" w:hAnsi="Times New Roman" w:cs="Times New Roman"/>
                <w:sz w:val="18"/>
                <w:szCs w:val="18"/>
              </w:rPr>
            </w:pPr>
            <m:oMath>
              <m:r>
                <m:rPr/>
                <w:rPr>
                  <w:rFonts w:ascii="Cambria Math" w:hAnsi="Times New Roman" w:cs="Times New Roman"/>
                  <w:sz w:val="18"/>
                  <w:szCs w:val="18"/>
                </w:rPr>
                <m:t>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和</m:t>
              </m:r>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oMath>
            <w:r>
              <w:rPr>
                <w:rFonts w:ascii="Times New Roman" w:hAnsi="Times New Roman" w:cs="Times New Roman"/>
                <w:sz w:val="18"/>
                <w:szCs w:val="18"/>
              </w:rPr>
              <w:t>所满足的条件</w:t>
            </w:r>
          </w:p>
        </w:tc>
        <w:tc>
          <w:tcPr>
            <w:tcW w:w="5010" w:type="dxa"/>
            <w:vAlign w:val="center"/>
          </w:tcPr>
          <w:p w14:paraId="45D0FE08">
            <w:pPr>
              <w:jc w:val="center"/>
              <w:rPr>
                <w:rFonts w:ascii="Times New Roman" w:hAnsi="Times New Roman" w:cs="Times New Roman"/>
                <w:sz w:val="18"/>
                <w:szCs w:val="18"/>
              </w:rPr>
            </w:pPr>
            <w:r>
              <w:rPr>
                <w:rFonts w:ascii="Times New Roman" w:hAnsi="Times New Roman" w:cs="Times New Roman"/>
                <w:sz w:val="18"/>
                <w:szCs w:val="18"/>
              </w:rPr>
              <w:t>修正公式</w:t>
            </w:r>
          </w:p>
        </w:tc>
      </w:tr>
      <w:tr w14:paraId="3040F3ED">
        <w:trPr>
          <w:jc w:val="center"/>
        </w:trPr>
        <w:tc>
          <w:tcPr>
            <w:tcW w:w="5010" w:type="dxa"/>
            <w:vAlign w:val="center"/>
          </w:tcPr>
          <w:p w14:paraId="20451DED">
            <w:pPr>
              <w:jc w:val="center"/>
              <w:rPr>
                <w:rFonts w:ascii="Times New Roman" w:hAnsi="Times New Roman" w:cs="Times New Roman"/>
                <w:sz w:val="18"/>
                <w:szCs w:val="18"/>
              </w:rPr>
            </w:pPr>
            <m:oMathPara>
              <m:oMath>
                <m:r>
                  <m:rPr/>
                  <w:rPr>
                    <w:rFonts w:ascii="Cambria Math" w:hAnsi="Times New Roman" w:cs="Times New Roman"/>
                    <w:sz w:val="18"/>
                    <w:szCs w:val="18"/>
                  </w:rPr>
                  <m:t>23≤R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≤87且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≤−7.84×1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−5</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+1.795×1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−1.65R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+64.36</m:t>
                </m:r>
              </m:oMath>
            </m:oMathPara>
          </w:p>
        </w:tc>
        <w:tc>
          <w:tcPr>
            <w:tcW w:w="5010" w:type="dxa"/>
            <w:vMerge w:val="restart"/>
            <w:vAlign w:val="center"/>
          </w:tcPr>
          <w:p w14:paraId="01908E74">
            <w:pPr>
              <w:jc w:val="center"/>
              <w:rPr>
                <w:rFonts w:ascii="Times New Roman" w:hAnsi="Times New Roman" w:cs="Times New Roman"/>
                <w:sz w:val="18"/>
                <w:szCs w:val="18"/>
              </w:rPr>
            </w:pPr>
            <m:oMathPara>
              <m:oMath>
                <m:r>
                  <m:rPr/>
                  <w:rPr>
                    <w:rFonts w:ascii="Cambria Math" w:hAnsi="Times New Roman" w:cs="Times New Roman"/>
                    <w:sz w:val="18"/>
                    <w:szCs w:val="18"/>
                  </w:rPr>
                  <m:t>SP</m:t>
                </m:r>
                <m:sSubSup>
                  <m:sSubSupPr>
                    <m:ctrlPr>
                      <w:rPr>
                        <w:rFonts w:ascii="Cambria Math" w:hAnsi="Times New Roman" w:cs="Times New Roman"/>
                        <w:i/>
                        <w:sz w:val="18"/>
                        <w:szCs w:val="18"/>
                      </w:rPr>
                    </m:ctrlPr>
                  </m:sSubSup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m:t>
                    </m:r>
                    <m:ctrlPr>
                      <w:rPr>
                        <w:rFonts w:ascii="Cambria Math" w:hAnsi="Times New Roman" w:cs="Times New Roman"/>
                        <w:i/>
                        <w:sz w:val="18"/>
                        <w:szCs w:val="18"/>
                      </w:rPr>
                    </m:ctrlPr>
                  </m:sup>
                </m:sSubSup>
                <m:r>
                  <m:rPr/>
                  <w:rPr>
                    <w:rFonts w:ascii="Cambria Math" w:hAnsi="Times New Roman" w:cs="Times New Roman"/>
                    <w:sz w:val="18"/>
                    <w:szCs w:val="18"/>
                  </w:rPr>
                  <m:t>=SP</m:t>
                </m:r>
                <m:sSub>
                  <m:sSubPr>
                    <m:ctrlPr>
                      <w:rPr>
                        <w:rFonts w:ascii="Cambria Math" w:hAnsi="Times New Roman" w:cs="Times New Roman"/>
                        <w:i/>
                        <w:sz w:val="18"/>
                        <w:szCs w:val="18"/>
                      </w:rPr>
                    </m:ctrlPr>
                  </m:sSub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+0.05dB(A)</m:t>
                </m:r>
              </m:oMath>
            </m:oMathPara>
          </w:p>
        </w:tc>
      </w:tr>
      <w:tr w14:paraId="46959F7B">
        <w:trPr>
          <w:jc w:val="center"/>
        </w:trPr>
        <w:tc>
          <w:tcPr>
            <w:tcW w:w="5010" w:type="dxa"/>
            <w:vAlign w:val="center"/>
          </w:tcPr>
          <w:p w14:paraId="1EBB0672">
            <w:pPr>
              <w:jc w:val="center"/>
              <w:rPr>
                <w:rFonts w:ascii="Times New Roman" w:hAnsi="Times New Roman" w:cs="Times New Roman"/>
                <w:sz w:val="18"/>
                <w:szCs w:val="18"/>
              </w:rPr>
            </w:pPr>
            <m:oMathPara>
              <m:oMath>
                <m:r>
                  <m:rPr/>
                  <w:rPr>
                    <w:rFonts w:ascii="Cambria Math" w:hAnsi="Times New Roman" w:cs="Times New Roman"/>
                    <w:sz w:val="18"/>
                    <w:szCs w:val="18"/>
                  </w:rPr>
                  <m:t>21≤R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≤79且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≥−1.03×1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+2.14×1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−1.798R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+64.27</m:t>
                </m:r>
              </m:oMath>
            </m:oMathPara>
          </w:p>
        </w:tc>
        <w:tc>
          <w:tcPr>
            <w:tcW w:w="5010" w:type="dxa"/>
            <w:vMerge w:val="continue"/>
            <w:vAlign w:val="center"/>
          </w:tcPr>
          <w:p w14:paraId="48EB1F3F">
            <w:pPr>
              <w:jc w:val="center"/>
              <w:rPr>
                <w:rFonts w:ascii="Times New Roman" w:hAnsi="Times New Roman" w:cs="Times New Roman"/>
                <w:sz w:val="18"/>
                <w:szCs w:val="18"/>
              </w:rPr>
            </w:pPr>
          </w:p>
        </w:tc>
      </w:tr>
      <w:tr w14:paraId="5EEEB166">
        <w:trPr>
          <w:jc w:val="center"/>
        </w:trPr>
        <w:tc>
          <w:tcPr>
            <w:tcW w:w="5010" w:type="dxa"/>
            <w:vAlign w:val="center"/>
          </w:tcPr>
          <w:p w14:paraId="17CE41E8">
            <w:pPr>
              <w:jc w:val="center"/>
              <w:rPr>
                <w:rFonts w:ascii="Times New Roman" w:hAnsi="Times New Roman" w:cs="Times New Roman"/>
                <w:sz w:val="18"/>
                <w:szCs w:val="18"/>
              </w:rPr>
            </w:pPr>
            <m:oMathPara>
              <m:oMath>
                <m:r>
                  <m:rPr/>
                  <w:rPr>
                    <w:rFonts w:ascii="Cambria Math" w:hAnsi="Times New Roman" w:cs="Times New Roman"/>
                    <w:sz w:val="18"/>
                    <w:szCs w:val="18"/>
                  </w:rPr>
                  <m:t>21≤R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≤79且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＜−1.03×1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+2.14×1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−1.798R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+64.27</m:t>
                </m:r>
              </m:oMath>
            </m:oMathPara>
          </w:p>
        </w:tc>
        <w:tc>
          <w:tcPr>
            <w:tcW w:w="5010" w:type="dxa"/>
            <w:vMerge w:val="restart"/>
            <w:vAlign w:val="center"/>
          </w:tcPr>
          <w:p w14:paraId="04A13A0F">
            <w:pPr>
              <w:jc w:val="center"/>
              <w:rPr>
                <w:rFonts w:ascii="Times New Roman" w:hAnsi="Times New Roman" w:cs="Times New Roman"/>
                <w:sz w:val="18"/>
                <w:szCs w:val="18"/>
              </w:rPr>
            </w:pPr>
            <m:oMathPara>
              <m:oMath>
                <m:r>
                  <m:rPr/>
                  <w:rPr>
                    <w:rFonts w:ascii="Cambria Math" w:hAnsi="Times New Roman" w:cs="Times New Roman"/>
                    <w:sz w:val="18"/>
                    <w:szCs w:val="18"/>
                  </w:rPr>
                  <m:t>SP</m:t>
                </m:r>
                <m:sSubSup>
                  <m:sSubSupPr>
                    <m:ctrlPr>
                      <w:rPr>
                        <w:rFonts w:ascii="Cambria Math" w:hAnsi="Times New Roman" w:cs="Times New Roman"/>
                        <w:i/>
                        <w:sz w:val="18"/>
                        <w:szCs w:val="18"/>
                      </w:rPr>
                    </m:ctrlPr>
                  </m:sSubSup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m:t>
                    </m:r>
                    <m:ctrlPr>
                      <w:rPr>
                        <w:rFonts w:ascii="Cambria Math" w:hAnsi="Times New Roman" w:cs="Times New Roman"/>
                        <w:i/>
                        <w:sz w:val="18"/>
                        <w:szCs w:val="18"/>
                      </w:rPr>
                    </m:ctrlPr>
                  </m:sup>
                </m:sSubSup>
                <m:r>
                  <m:rPr/>
                  <w:rPr>
                    <w:rFonts w:ascii="Cambria Math" w:hAnsi="Times New Roman" w:cs="Times New Roman"/>
                    <w:sz w:val="18"/>
                    <w:szCs w:val="18"/>
                  </w:rPr>
                  <m:t>=SP</m:t>
                </m:r>
                <m:sSub>
                  <m:sSubPr>
                    <m:ctrlPr>
                      <w:rPr>
                        <w:rFonts w:ascii="Cambria Math" w:hAnsi="Times New Roman" w:cs="Times New Roman"/>
                        <w:i/>
                        <w:sz w:val="18"/>
                        <w:szCs w:val="18"/>
                      </w:rPr>
                    </m:ctrlPr>
                  </m:sSub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+0.1dB(A)</m:t>
                </m:r>
              </m:oMath>
            </m:oMathPara>
          </w:p>
        </w:tc>
      </w:tr>
      <w:tr w14:paraId="16C00501">
        <w:trPr>
          <w:jc w:val="center"/>
        </w:trPr>
        <w:tc>
          <w:tcPr>
            <w:tcW w:w="5010" w:type="dxa"/>
            <w:vAlign w:val="center"/>
          </w:tcPr>
          <w:p w14:paraId="036970B0">
            <w:pPr>
              <w:jc w:val="center"/>
              <w:rPr>
                <w:rFonts w:ascii="Times New Roman" w:hAnsi="Times New Roman" w:cs="Times New Roman"/>
                <w:sz w:val="18"/>
                <w:szCs w:val="18"/>
              </w:rPr>
            </w:pPr>
            <m:oMathPara>
              <m:oMath>
                <m:r>
                  <m:rPr/>
                  <w:rPr>
                    <w:rFonts w:ascii="Cambria Math" w:hAnsi="Times New Roman" w:cs="Times New Roman"/>
                    <w:sz w:val="18"/>
                    <w:szCs w:val="18"/>
                  </w:rPr>
                  <m:t>20≤R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≤71且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≥−1.318×1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+2.5×1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−1.94R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+63.85</m:t>
                </m:r>
              </m:oMath>
            </m:oMathPara>
          </w:p>
        </w:tc>
        <w:tc>
          <w:tcPr>
            <w:tcW w:w="5010" w:type="dxa"/>
            <w:vMerge w:val="continue"/>
            <w:vAlign w:val="center"/>
          </w:tcPr>
          <w:p w14:paraId="18DFF50D">
            <w:pPr>
              <w:jc w:val="center"/>
              <w:rPr>
                <w:rFonts w:ascii="Times New Roman" w:hAnsi="Times New Roman" w:cs="Times New Roman"/>
                <w:sz w:val="18"/>
                <w:szCs w:val="18"/>
              </w:rPr>
            </w:pPr>
          </w:p>
        </w:tc>
      </w:tr>
      <w:tr w14:paraId="4BAB2FAC">
        <w:trPr>
          <w:jc w:val="center"/>
        </w:trPr>
        <w:tc>
          <w:tcPr>
            <w:tcW w:w="5010" w:type="dxa"/>
            <w:vAlign w:val="center"/>
          </w:tcPr>
          <w:p w14:paraId="2C23C845">
            <w:pPr>
              <w:jc w:val="center"/>
              <w:rPr>
                <w:rFonts w:ascii="Times New Roman" w:hAnsi="Times New Roman" w:cs="Times New Roman"/>
                <w:sz w:val="18"/>
                <w:szCs w:val="18"/>
              </w:rPr>
            </w:pPr>
            <m:oMathPara>
              <m:oMath>
                <m:r>
                  <m:rPr/>
                  <w:rPr>
                    <w:rFonts w:ascii="Cambria Math" w:hAnsi="Times New Roman" w:cs="Times New Roman"/>
                    <w:sz w:val="18"/>
                    <w:szCs w:val="18"/>
                  </w:rPr>
                  <m:t>20≤R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≤71且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≤−1.318×1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+2.5×1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−1.94R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+63.85</m:t>
                </m:r>
              </m:oMath>
            </m:oMathPara>
          </w:p>
        </w:tc>
        <w:tc>
          <w:tcPr>
            <w:tcW w:w="5010" w:type="dxa"/>
            <w:vMerge w:val="restart"/>
            <w:vAlign w:val="center"/>
          </w:tcPr>
          <w:p w14:paraId="701E66C2">
            <w:pPr>
              <w:jc w:val="center"/>
              <w:rPr>
                <w:rFonts w:ascii="Times New Roman" w:hAnsi="Times New Roman" w:cs="Times New Roman"/>
                <w:sz w:val="18"/>
                <w:szCs w:val="18"/>
              </w:rPr>
            </w:pPr>
            <m:oMathPara>
              <m:oMath>
                <m:r>
                  <m:rPr/>
                  <w:rPr>
                    <w:rFonts w:ascii="Cambria Math" w:hAnsi="Times New Roman" w:cs="Times New Roman"/>
                    <w:sz w:val="18"/>
                    <w:szCs w:val="18"/>
                  </w:rPr>
                  <m:t>SP</m:t>
                </m:r>
                <m:sSubSup>
                  <m:sSubSupPr>
                    <m:ctrlPr>
                      <w:rPr>
                        <w:rFonts w:ascii="Cambria Math" w:hAnsi="Times New Roman" w:cs="Times New Roman"/>
                        <w:i/>
                        <w:sz w:val="18"/>
                        <w:szCs w:val="18"/>
                      </w:rPr>
                    </m:ctrlPr>
                  </m:sSubSup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m:t>
                    </m:r>
                    <m:ctrlPr>
                      <w:rPr>
                        <w:rFonts w:ascii="Cambria Math" w:hAnsi="Times New Roman" w:cs="Times New Roman"/>
                        <w:i/>
                        <w:sz w:val="18"/>
                        <w:szCs w:val="18"/>
                      </w:rPr>
                    </m:ctrlPr>
                  </m:sup>
                </m:sSubSup>
                <m:r>
                  <m:rPr/>
                  <w:rPr>
                    <w:rFonts w:ascii="Cambria Math" w:hAnsi="Times New Roman" w:cs="Times New Roman"/>
                    <w:sz w:val="18"/>
                    <w:szCs w:val="18"/>
                  </w:rPr>
                  <m:t>=SP</m:t>
                </m:r>
                <m:sSub>
                  <m:sSubPr>
                    <m:ctrlPr>
                      <w:rPr>
                        <w:rFonts w:ascii="Cambria Math" w:hAnsi="Times New Roman" w:cs="Times New Roman"/>
                        <w:i/>
                        <w:sz w:val="18"/>
                        <w:szCs w:val="18"/>
                      </w:rPr>
                    </m:ctrlPr>
                  </m:sSub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+0.15dB(A)</m:t>
                </m:r>
              </m:oMath>
            </m:oMathPara>
          </w:p>
        </w:tc>
      </w:tr>
      <w:tr w14:paraId="758BFE3A">
        <w:trPr>
          <w:jc w:val="center"/>
        </w:trPr>
        <w:tc>
          <w:tcPr>
            <w:tcW w:w="5010" w:type="dxa"/>
            <w:vAlign w:val="center"/>
          </w:tcPr>
          <w:p w14:paraId="37510E6E">
            <w:pPr>
              <w:jc w:val="center"/>
              <w:rPr>
                <w:rFonts w:ascii="Times New Roman" w:hAnsi="Times New Roman" w:cs="Times New Roman"/>
                <w:sz w:val="18"/>
                <w:szCs w:val="18"/>
              </w:rPr>
            </w:pPr>
            <m:oMathPara>
              <m:oMath>
                <m:r>
                  <m:rPr/>
                  <w:rPr>
                    <w:rFonts w:ascii="Cambria Math" w:hAnsi="Times New Roman" w:cs="Times New Roman"/>
                    <w:sz w:val="18"/>
                    <w:szCs w:val="18"/>
                  </w:rPr>
                  <m:t>20≤R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≤64且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≤−1.65×1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+2.87×1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−2.07R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+63.2</m:t>
                </m:r>
              </m:oMath>
            </m:oMathPara>
          </w:p>
        </w:tc>
        <w:tc>
          <w:tcPr>
            <w:tcW w:w="5010" w:type="dxa"/>
            <w:vMerge w:val="continue"/>
            <w:vAlign w:val="center"/>
          </w:tcPr>
          <w:p w14:paraId="123A1D3F">
            <w:pPr>
              <w:jc w:val="center"/>
              <w:rPr>
                <w:rFonts w:ascii="Times New Roman" w:hAnsi="Times New Roman" w:cs="Times New Roman"/>
                <w:sz w:val="18"/>
                <w:szCs w:val="18"/>
              </w:rPr>
            </w:pPr>
          </w:p>
        </w:tc>
      </w:tr>
      <w:tr w14:paraId="06443056">
        <w:trPr>
          <w:jc w:val="center"/>
        </w:trPr>
        <w:tc>
          <w:tcPr>
            <w:tcW w:w="5010" w:type="dxa"/>
            <w:vAlign w:val="center"/>
          </w:tcPr>
          <w:p w14:paraId="7AE6F5F5">
            <w:pPr>
              <w:jc w:val="center"/>
              <w:rPr>
                <w:rFonts w:ascii="Times New Roman" w:hAnsi="Times New Roman" w:cs="Times New Roman"/>
                <w:sz w:val="18"/>
                <w:szCs w:val="18"/>
              </w:rPr>
            </w:pPr>
            <m:oMathPara>
              <m:oMath>
                <m:r>
                  <m:rPr/>
                  <w:rPr>
                    <w:rFonts w:ascii="Cambria Math" w:hAnsi="Times New Roman" w:cs="Times New Roman"/>
                    <w:sz w:val="18"/>
                    <w:szCs w:val="18"/>
                  </w:rPr>
                  <m:t>20≤R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≤64且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≤−1.65×1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+2.87×1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−2.07R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+63.2</m:t>
                </m:r>
              </m:oMath>
            </m:oMathPara>
          </w:p>
        </w:tc>
        <w:tc>
          <w:tcPr>
            <w:tcW w:w="5010" w:type="dxa"/>
            <w:vMerge w:val="restart"/>
            <w:vAlign w:val="center"/>
          </w:tcPr>
          <w:p w14:paraId="0EFD229C">
            <w:pPr>
              <w:jc w:val="center"/>
              <w:rPr>
                <w:rFonts w:ascii="Times New Roman" w:hAnsi="Times New Roman" w:cs="Times New Roman"/>
                <w:sz w:val="18"/>
                <w:szCs w:val="18"/>
              </w:rPr>
            </w:pPr>
            <m:oMathPara>
              <m:oMath>
                <m:r>
                  <m:rPr/>
                  <w:rPr>
                    <w:rFonts w:ascii="Cambria Math" w:hAnsi="Times New Roman" w:cs="Times New Roman"/>
                    <w:sz w:val="18"/>
                    <w:szCs w:val="18"/>
                  </w:rPr>
                  <m:t>SP</m:t>
                </m:r>
                <m:sSubSup>
                  <m:sSubSupPr>
                    <m:ctrlPr>
                      <w:rPr>
                        <w:rFonts w:ascii="Cambria Math" w:hAnsi="Times New Roman" w:cs="Times New Roman"/>
                        <w:i/>
                        <w:sz w:val="18"/>
                        <w:szCs w:val="18"/>
                      </w:rPr>
                    </m:ctrlPr>
                  </m:sSubSup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m:t>
                    </m:r>
                    <m:ctrlPr>
                      <w:rPr>
                        <w:rFonts w:ascii="Cambria Math" w:hAnsi="Times New Roman" w:cs="Times New Roman"/>
                        <w:i/>
                        <w:sz w:val="18"/>
                        <w:szCs w:val="18"/>
                      </w:rPr>
                    </m:ctrlPr>
                  </m:sup>
                </m:sSubSup>
                <m:r>
                  <m:rPr/>
                  <w:rPr>
                    <w:rFonts w:ascii="Cambria Math" w:hAnsi="Times New Roman" w:cs="Times New Roman"/>
                    <w:sz w:val="18"/>
                    <w:szCs w:val="18"/>
                  </w:rPr>
                  <m:t>=SP</m:t>
                </m:r>
                <m:sSub>
                  <m:sSubPr>
                    <m:ctrlPr>
                      <w:rPr>
                        <w:rFonts w:ascii="Cambria Math" w:hAnsi="Times New Roman" w:cs="Times New Roman"/>
                        <w:i/>
                        <w:sz w:val="18"/>
                        <w:szCs w:val="18"/>
                      </w:rPr>
                    </m:ctrlPr>
                  </m:sSub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+0.2dB(A)</m:t>
                </m:r>
              </m:oMath>
            </m:oMathPara>
          </w:p>
        </w:tc>
      </w:tr>
      <w:tr w14:paraId="26734CC6">
        <w:trPr>
          <w:jc w:val="center"/>
        </w:trPr>
        <w:tc>
          <w:tcPr>
            <w:tcW w:w="5010" w:type="dxa"/>
            <w:vAlign w:val="center"/>
          </w:tcPr>
          <w:p w14:paraId="6F1CD7D2">
            <w:pPr>
              <w:jc w:val="center"/>
              <w:rPr>
                <w:rFonts w:ascii="Times New Roman" w:hAnsi="Times New Roman" w:cs="Times New Roman"/>
                <w:sz w:val="18"/>
                <w:szCs w:val="18"/>
              </w:rPr>
            </w:pPr>
            <m:oMathPara>
              <m:oMath>
                <m:r>
                  <m:rPr/>
                  <w:rPr>
                    <w:rFonts w:ascii="Cambria Math" w:hAnsi="Times New Roman" w:cs="Times New Roman"/>
                    <w:sz w:val="18"/>
                    <w:szCs w:val="18"/>
                  </w:rPr>
                  <m:t>20≤R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≤56且</m:t>
                </m:r>
                <m:r>
                  <m:rPr>
                    <m:sty m:val="p"/>
                  </m:rPr>
                  <w:rPr>
                    <w:rFonts w:ascii="Cambria Math" w:hAnsi="Times New Roman" w:cs="Times New Roman"/>
                    <w:sz w:val="18"/>
                    <w:szCs w:val="18"/>
                  </w:rPr>
                  <w:br w:type="textWrapping"/>
                </m:r>
              </m:oMath>
            </m:oMathPara>
            <m:oMathPara>
              <m:oMath>
                <m:sSub>
                  <m:sSubPr>
                    <m:ctrlPr>
                      <w:rPr>
                        <w:rFonts w:ascii="Cambria Math" w:hAnsi="Times New Roman" w:cs="Times New Roman"/>
                        <w:i/>
                        <w:sz w:val="18"/>
                        <w:szCs w:val="18"/>
                      </w:rPr>
                    </m:ctrlPr>
                  </m:sSubPr>
                  <m:e>
                    <m:r>
                      <m:rPr/>
                      <w:rPr>
                        <w:rFonts w:ascii="Cambria Math" w:hAnsi="Times New Roman" w:cs="Times New Roman"/>
                        <w:sz w:val="18"/>
                        <w:szCs w:val="18"/>
                      </w:rPr>
                      <m:t>T</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≤−2.43×1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−4</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3</m:t>
                    </m:r>
                    <m:ctrlPr>
                      <w:rPr>
                        <w:rFonts w:ascii="Cambria Math" w:hAnsi="Times New Roman" w:cs="Times New Roman"/>
                        <w:i/>
                        <w:sz w:val="18"/>
                        <w:szCs w:val="18"/>
                      </w:rPr>
                    </m:ctrlPr>
                  </m:sup>
                </m:sSubSup>
                <m:r>
                  <m:rPr>
                    <m:sty m:val="p"/>
                  </m:rPr>
                  <w:rPr>
                    <w:rFonts w:ascii="Cambria Math" w:hAnsi="Times New Roman" w:cs="Times New Roman"/>
                    <w:sz w:val="18"/>
                    <w:szCs w:val="18"/>
                  </w:rPr>
                  <w:br w:type="textWrapping"/>
                </m:r>
              </m:oMath>
            </m:oMathPara>
            <m:oMathPara>
              <m:oMath>
                <m:r>
                  <m:rPr/>
                  <w:rPr>
                    <w:rFonts w:ascii="Cambria Math" w:hAnsi="Times New Roman" w:cs="Times New Roman"/>
                    <w:sz w:val="18"/>
                    <w:szCs w:val="18"/>
                  </w:rPr>
                  <m:t>+3.6×1</m:t>
                </m:r>
                <m:sSup>
                  <m:sSupPr>
                    <m:ctrlPr>
                      <w:rPr>
                        <w:rFonts w:ascii="Cambria Math" w:hAnsi="Times New Roman" w:cs="Times New Roman"/>
                        <w:i/>
                        <w:sz w:val="18"/>
                        <w:szCs w:val="18"/>
                      </w:rPr>
                    </m:ctrlPr>
                  </m:sSupPr>
                  <m:e>
                    <m:r>
                      <m:rPr/>
                      <w:rPr>
                        <w:rFonts w:ascii="Cambria Math" w:hAnsi="Times New Roman" w:cs="Times New Roman"/>
                        <w:sz w:val="18"/>
                        <w:szCs w:val="18"/>
                      </w:rPr>
                      <m:t>0</m:t>
                    </m:r>
                    <m:ctrlPr>
                      <w:rPr>
                        <w:rFonts w:ascii="Cambria Math" w:hAnsi="Times New Roman" w:cs="Times New Roman"/>
                        <w:i/>
                        <w:sz w:val="18"/>
                        <w:szCs w:val="18"/>
                      </w:rPr>
                    </m:ctrlPr>
                  </m:e>
                  <m:sup>
                    <m:r>
                      <m:rPr/>
                      <w:rPr>
                        <w:rFonts w:ascii="Cambria Math" w:hAnsi="Times New Roman" w:cs="Times New Roman"/>
                        <w:sz w:val="18"/>
                        <w:szCs w:val="18"/>
                      </w:rPr>
                      <m:t>−2</m:t>
                    </m:r>
                    <m:ctrlPr>
                      <w:rPr>
                        <w:rFonts w:ascii="Cambria Math" w:hAnsi="Times New Roman" w:cs="Times New Roman"/>
                        <w:i/>
                        <w:sz w:val="18"/>
                        <w:szCs w:val="18"/>
                      </w:rPr>
                    </m:ctrlPr>
                  </m:sup>
                </m:sSup>
                <m:r>
                  <m:rPr/>
                  <w:rPr>
                    <w:rFonts w:ascii="Cambria Math" w:hAnsi="Times New Roman" w:cs="Times New Roman"/>
                    <w:sz w:val="18"/>
                    <w:szCs w:val="18"/>
                  </w:rPr>
                  <m:t>R</m:t>
                </m:r>
                <m:sSubSup>
                  <m:sSubSupPr>
                    <m:ctrlPr>
                      <w:rPr>
                        <w:rFonts w:ascii="Cambria Math" w:hAnsi="Times New Roman" w:cs="Times New Roman"/>
                        <w:i/>
                        <w:sz w:val="18"/>
                        <w:szCs w:val="18"/>
                      </w:rPr>
                    </m:ctrlPr>
                  </m:sSubSup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2</m:t>
                    </m:r>
                    <m:ctrlPr>
                      <w:rPr>
                        <w:rFonts w:ascii="Cambria Math" w:hAnsi="Times New Roman" w:cs="Times New Roman"/>
                        <w:i/>
                        <w:sz w:val="18"/>
                        <w:szCs w:val="18"/>
                      </w:rPr>
                    </m:ctrlPr>
                  </m:sup>
                </m:sSubSup>
                <m:r>
                  <m:rPr/>
                  <w:rPr>
                    <w:rFonts w:ascii="Cambria Math" w:hAnsi="Times New Roman" w:cs="Times New Roman"/>
                    <w:sz w:val="18"/>
                    <w:szCs w:val="18"/>
                  </w:rPr>
                  <m:t>−2.3R</m:t>
                </m:r>
                <m:sSub>
                  <m:sSubPr>
                    <m:ctrlPr>
                      <w:rPr>
                        <w:rFonts w:ascii="Cambria Math" w:hAnsi="Times New Roman" w:cs="Times New Roman"/>
                        <w:i/>
                        <w:sz w:val="18"/>
                        <w:szCs w:val="18"/>
                      </w:rPr>
                    </m:ctrlPr>
                  </m:sSubPr>
                  <m:e>
                    <m:r>
                      <m:rPr/>
                      <w:rPr>
                        <w:rFonts w:ascii="Cambria Math" w:hAnsi="Times New Roman" w:cs="Times New Roman"/>
                        <w:sz w:val="18"/>
                        <w:szCs w:val="18"/>
                      </w:rPr>
                      <m:t>H</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Sub>
                <m:r>
                  <m:rPr/>
                  <w:rPr>
                    <w:rFonts w:ascii="Cambria Math" w:hAnsi="Times New Roman" w:cs="Times New Roman"/>
                    <w:sz w:val="18"/>
                    <w:szCs w:val="18"/>
                  </w:rPr>
                  <m:t>+63.58</m:t>
                </m:r>
              </m:oMath>
            </m:oMathPara>
          </w:p>
        </w:tc>
        <w:tc>
          <w:tcPr>
            <w:tcW w:w="5010" w:type="dxa"/>
            <w:vMerge w:val="continue"/>
            <w:vAlign w:val="center"/>
          </w:tcPr>
          <w:p w14:paraId="297848E0">
            <w:pPr>
              <w:jc w:val="center"/>
              <w:rPr>
                <w:rFonts w:ascii="Times New Roman" w:hAnsi="Times New Roman" w:cs="Times New Roman"/>
                <w:sz w:val="18"/>
                <w:szCs w:val="18"/>
              </w:rPr>
            </w:pPr>
          </w:p>
        </w:tc>
      </w:tr>
      <w:tr w14:paraId="685CF4E3">
        <w:trPr>
          <w:jc w:val="center"/>
        </w:trPr>
        <w:tc>
          <w:tcPr>
            <w:tcW w:w="5010" w:type="dxa"/>
            <w:vAlign w:val="center"/>
          </w:tcPr>
          <w:p w14:paraId="142DB499">
            <w:pPr>
              <w:jc w:val="center"/>
              <w:rPr>
                <w:rFonts w:ascii="Times New Roman" w:hAnsi="Times New Roman" w:cs="Times New Roman"/>
                <w:sz w:val="18"/>
                <w:szCs w:val="18"/>
              </w:rPr>
            </w:pPr>
            <w:r>
              <w:rPr>
                <w:rFonts w:ascii="Times New Roman" w:hAnsi="Times New Roman" w:cs="Times New Roman"/>
                <w:sz w:val="18"/>
                <w:szCs w:val="18"/>
              </w:rPr>
              <w:t>满足GB42590-2023《民用无人驾驶航空器系统安全要求》中5.14.1 g）规定的条件</w:t>
            </w:r>
          </w:p>
        </w:tc>
        <w:tc>
          <w:tcPr>
            <w:tcW w:w="5010" w:type="dxa"/>
            <w:vAlign w:val="center"/>
          </w:tcPr>
          <w:p w14:paraId="37630027">
            <w:pPr>
              <w:jc w:val="center"/>
              <w:rPr>
                <w:rFonts w:ascii="Times New Roman" w:hAnsi="Times New Roman" w:cs="Times New Roman"/>
                <w:sz w:val="18"/>
                <w:szCs w:val="18"/>
              </w:rPr>
            </w:pPr>
            <w:r>
              <w:rPr>
                <w:rFonts w:ascii="Times New Roman" w:hAnsi="Times New Roman" w:cs="Times New Roman"/>
                <w:sz w:val="18"/>
                <w:szCs w:val="18"/>
              </w:rPr>
              <w:t>无需修正</w:t>
            </w:r>
          </w:p>
        </w:tc>
      </w:tr>
      <w:tr w14:paraId="5DA214D4">
        <w:trPr>
          <w:jc w:val="center"/>
        </w:trPr>
        <w:tc>
          <w:tcPr>
            <w:tcW w:w="10020" w:type="dxa"/>
            <w:gridSpan w:val="2"/>
            <w:vAlign w:val="center"/>
          </w:tcPr>
          <w:p w14:paraId="295F306B">
            <w:pPr>
              <w:rPr>
                <w:rFonts w:ascii="Times New Roman" w:hAnsi="Times New Roman" w:cs="Times New Roman"/>
                <w:sz w:val="18"/>
                <w:szCs w:val="18"/>
              </w:rPr>
            </w:pPr>
            <w:r>
              <w:rPr>
                <w:rFonts w:ascii="Times New Roman" w:hAnsi="Times New Roman" w:cs="Times New Roman"/>
                <w:sz w:val="18"/>
                <w:szCs w:val="18"/>
              </w:rPr>
              <w:t>注：</w:t>
            </w:r>
            <m:oMath>
              <m:r>
                <m:rPr/>
                <w:rPr>
                  <w:rFonts w:ascii="Cambria Math" w:hAnsi="Times New Roman" w:cs="Times New Roman"/>
                  <w:sz w:val="18"/>
                  <w:szCs w:val="18"/>
                </w:rPr>
                <m:t>SP</m:t>
              </m:r>
              <m:sSubSup>
                <m:sSubSupPr>
                  <m:ctrlPr>
                    <w:rPr>
                      <w:rFonts w:ascii="Cambria Math" w:hAnsi="Times New Roman" w:cs="Times New Roman"/>
                      <w:i/>
                      <w:sz w:val="18"/>
                      <w:szCs w:val="18"/>
                    </w:rPr>
                  </m:ctrlPr>
                </m:sSubSupPr>
                <m:e>
                  <m:r>
                    <m:rPr/>
                    <w:rPr>
                      <w:rFonts w:ascii="Cambria Math" w:hAnsi="Times New Roman" w:cs="Times New Roman"/>
                      <w:sz w:val="18"/>
                      <w:szCs w:val="18"/>
                    </w:rPr>
                    <m:t>L</m:t>
                  </m:r>
                  <m:ctrlPr>
                    <w:rPr>
                      <w:rFonts w:ascii="Cambria Math" w:hAnsi="Times New Roman" w:cs="Times New Roman"/>
                      <w:i/>
                      <w:sz w:val="18"/>
                      <w:szCs w:val="18"/>
                    </w:rPr>
                  </m:ctrlPr>
                </m:e>
                <m:sub>
                  <m:r>
                    <m:rPr/>
                    <w:rPr>
                      <w:rFonts w:ascii="Cambria Math" w:hAnsi="Times New Roman" w:cs="Times New Roman"/>
                      <w:sz w:val="18"/>
                      <w:szCs w:val="18"/>
                    </w:rPr>
                    <m:t>i</m:t>
                  </m:r>
                  <m:ctrlPr>
                    <w:rPr>
                      <w:rFonts w:ascii="Cambria Math" w:hAnsi="Times New Roman" w:cs="Times New Roman"/>
                      <w:i/>
                      <w:sz w:val="18"/>
                      <w:szCs w:val="18"/>
                    </w:rPr>
                  </m:ctrlPr>
                </m:sub>
                <m:sup>
                  <m:r>
                    <m:rPr/>
                    <w:rPr>
                      <w:rFonts w:ascii="Cambria Math" w:hAnsi="Times New Roman" w:cs="Times New Roman"/>
                      <w:sz w:val="18"/>
                      <w:szCs w:val="18"/>
                    </w:rPr>
                    <m:t>∗</m:t>
                  </m:r>
                  <m:ctrlPr>
                    <w:rPr>
                      <w:rFonts w:ascii="Cambria Math" w:hAnsi="Times New Roman" w:cs="Times New Roman"/>
                      <w:i/>
                      <w:sz w:val="18"/>
                      <w:szCs w:val="18"/>
                    </w:rPr>
                  </m:ctrlPr>
                </m:sup>
              </m:sSubSup>
            </m:oMath>
            <w:r>
              <w:rPr>
                <w:rFonts w:ascii="Times New Roman" w:hAnsi="Times New Roman" w:cs="Times New Roman"/>
                <w:sz w:val="18"/>
                <w:szCs w:val="18"/>
              </w:rPr>
              <w:t>表示修正后的声压级结果</w:t>
            </w:r>
          </w:p>
        </w:tc>
      </w:tr>
    </w:tbl>
    <w:p w14:paraId="65620A62">
      <w:pPr>
        <w:spacing w:line="360" w:lineRule="auto"/>
        <w:rPr>
          <w:rFonts w:ascii="Times New Roman" w:hAnsi="Times New Roman" w:cs="Times New Roman"/>
        </w:rPr>
      </w:pPr>
    </w:p>
    <w:p w14:paraId="35DDB801">
      <w:pPr>
        <w:ind w:firstLine="420" w:firstLineChars="200"/>
        <w:rPr>
          <w:rFonts w:ascii="Times New Roman" w:hAnsi="Times New Roman" w:cs="Times New Roman"/>
          <w:sz w:val="21"/>
          <w:szCs w:val="21"/>
        </w:rPr>
      </w:pPr>
      <w:r>
        <w:rPr>
          <w:rFonts w:ascii="Times New Roman" w:hAnsi="Times New Roman" w:cs="Times New Roman"/>
          <w:sz w:val="21"/>
          <w:szCs w:val="21"/>
        </w:rPr>
        <w:t>4）计算重复测试的结果的算术平均值，得到测量的A计权声压级大小SPL</w:t>
      </w:r>
      <w:r>
        <w:rPr>
          <w:rFonts w:ascii="Times New Roman" w:hAnsi="Times New Roman" w:cs="Times New Roman"/>
          <w:sz w:val="21"/>
          <w:szCs w:val="21"/>
          <w:vertAlign w:val="subscript"/>
        </w:rPr>
        <w:t>m</w:t>
      </w:r>
      <w:r>
        <w:rPr>
          <w:rFonts w:ascii="Times New Roman" w:hAnsi="Times New Roman" w:cs="Times New Roman"/>
          <w:sz w:val="21"/>
          <w:szCs w:val="21"/>
        </w:rPr>
        <w:t>，即公式(A.2)</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gridCol w:w="3340"/>
      </w:tblGrid>
      <w:tr w14:paraId="0EFA6CF9">
        <w:tc>
          <w:tcPr>
            <w:tcW w:w="3340" w:type="dxa"/>
            <w:vAlign w:val="center"/>
          </w:tcPr>
          <w:p w14:paraId="648BFBB8">
            <w:pPr>
              <w:rPr>
                <w:rFonts w:ascii="Times New Roman" w:hAnsi="Times New Roman" w:cs="Times New Roman"/>
                <w:sz w:val="21"/>
                <w:szCs w:val="21"/>
              </w:rPr>
            </w:pPr>
          </w:p>
        </w:tc>
        <w:tc>
          <w:tcPr>
            <w:tcW w:w="3340" w:type="dxa"/>
            <w:vAlign w:val="center"/>
          </w:tcPr>
          <w:p w14:paraId="2EDA6C70">
            <w:pPr>
              <w:jc w:val="center"/>
              <w:rPr>
                <w:rFonts w:ascii="Times New Roman" w:hAnsi="Times New Roman" w:cs="Times New Roman"/>
                <w:sz w:val="21"/>
                <w:szCs w:val="21"/>
              </w:rPr>
            </w:pPr>
            <m:oMathPara>
              <m:oMath>
                <m:r>
                  <m:rPr>
                    <m:nor/>
                    <m:sty m:val="p"/>
                  </m:rPr>
                  <w:rPr>
                    <w:rFonts w:ascii="Times New Roman" w:hAnsi="Times New Roman" w:cs="Times New Roman"/>
                    <w:b w:val="0"/>
                    <w:i w:val="0"/>
                    <w:sz w:val="21"/>
                    <w:szCs w:val="21"/>
                  </w:rPr>
                  <m:t>SP</m:t>
                </m:r>
                <m:sSub>
                  <m:sSubPr>
                    <m:ctrlPr>
                      <w:rPr>
                        <w:rFonts w:ascii="Cambria Math" w:hAnsi="Cambria Math" w:cs="Times New Roman"/>
                        <w:sz w:val="21"/>
                        <w:szCs w:val="21"/>
                      </w:rPr>
                    </m:ctrlPr>
                  </m:sSubPr>
                  <m:e>
                    <m:r>
                      <m:rPr>
                        <m:nor/>
                        <m:sty m:val="p"/>
                      </m:rPr>
                      <w:rPr>
                        <w:rFonts w:ascii="Times New Roman" w:hAnsi="Times New Roman" w:cs="Times New Roman"/>
                        <w:b w:val="0"/>
                        <w:i w:val="0"/>
                        <w:sz w:val="21"/>
                        <w:szCs w:val="21"/>
                      </w:rPr>
                      <m:t>L</m:t>
                    </m:r>
                    <m:ctrlPr>
                      <w:rPr>
                        <w:rFonts w:ascii="Cambria Math" w:hAnsi="Cambria Math" w:cs="Times New Roman"/>
                        <w:sz w:val="21"/>
                        <w:szCs w:val="21"/>
                      </w:rPr>
                    </m:ctrlPr>
                  </m:e>
                  <m:sub>
                    <m:r>
                      <m:rPr/>
                      <w:rPr>
                        <w:rFonts w:ascii="Cambria Math" w:hAnsi="Cambria Math" w:cs="Times New Roman"/>
                        <w:sz w:val="21"/>
                        <w:szCs w:val="21"/>
                      </w:rPr>
                      <m:t>m</m:t>
                    </m:r>
                    <m:ctrlPr>
                      <w:rPr>
                        <w:rFonts w:ascii="Cambria Math" w:hAnsi="Cambria Math" w:cs="Times New Roman"/>
                        <w:i/>
                        <w:sz w:val="21"/>
                        <w:szCs w:val="21"/>
                      </w:rPr>
                    </m:ctrlPr>
                  </m:sub>
                </m:sSub>
                <m:r>
                  <m:rPr/>
                  <w:rPr>
                    <w:rFonts w:ascii="Cambria Math" w:hAnsi="Cambria Math" w:cs="Times New Roman"/>
                    <w:sz w:val="21"/>
                    <w:szCs w:val="21"/>
                  </w:rPr>
                  <m:t>=</m:t>
                </m:r>
                <m:f>
                  <m:fPr>
                    <m:ctrlPr>
                      <w:rPr>
                        <w:rFonts w:ascii="Cambria Math" w:hAnsi="Cambria Math" w:cs="Times New Roman"/>
                        <w:i/>
                        <w:sz w:val="21"/>
                        <w:szCs w:val="21"/>
                      </w:rPr>
                    </m:ctrlPr>
                  </m:fPr>
                  <m:num>
                    <m:r>
                      <m:rPr/>
                      <w:rPr>
                        <w:rFonts w:ascii="Cambria Math" w:hAnsi="Cambria Math" w:cs="Times New Roman"/>
                        <w:sz w:val="21"/>
                        <w:szCs w:val="21"/>
                      </w:rPr>
                      <m:t>1</m:t>
                    </m:r>
                    <m:ctrlPr>
                      <w:rPr>
                        <w:rFonts w:ascii="Cambria Math" w:hAnsi="Cambria Math" w:cs="Times New Roman"/>
                        <w:i/>
                        <w:sz w:val="21"/>
                        <w:szCs w:val="21"/>
                      </w:rPr>
                    </m:ctrlPr>
                  </m:num>
                  <m:den>
                    <m:r>
                      <m:rPr/>
                      <w:rPr>
                        <w:rFonts w:ascii="Cambria Math" w:hAnsi="Cambria Math" w:cs="Times New Roman"/>
                        <w:sz w:val="21"/>
                        <w:szCs w:val="21"/>
                      </w:rPr>
                      <m:t>N</m:t>
                    </m:r>
                    <m:ctrlPr>
                      <w:rPr>
                        <w:rFonts w:ascii="Cambria Math" w:hAnsi="Cambria Math" w:cs="Times New Roman"/>
                        <w:i/>
                        <w:sz w:val="21"/>
                        <w:szCs w:val="21"/>
                      </w:rPr>
                    </m:ctrlPr>
                  </m:den>
                </m:f>
                <m:nary>
                  <m:naryPr>
                    <m:chr m:val="∑"/>
                    <m:ctrlPr>
                      <w:rPr>
                        <w:rFonts w:ascii="Cambria Math" w:hAnsi="Cambria Math" w:cs="Times New Roman"/>
                        <w:i/>
                        <w:sz w:val="21"/>
                        <w:szCs w:val="21"/>
                      </w:rPr>
                    </m:ctrlPr>
                  </m:naryPr>
                  <m:sub>
                    <m:r>
                      <m:rPr/>
                      <w:rPr>
                        <w:rFonts w:ascii="Cambria Math" w:hAnsi="Cambria Math" w:cs="Times New Roman"/>
                        <w:sz w:val="21"/>
                        <w:szCs w:val="21"/>
                      </w:rPr>
                      <m:t>i=1</m:t>
                    </m:r>
                    <m:ctrlPr>
                      <w:rPr>
                        <w:rFonts w:ascii="Cambria Math" w:hAnsi="Cambria Math" w:cs="Times New Roman"/>
                        <w:i/>
                        <w:sz w:val="21"/>
                        <w:szCs w:val="21"/>
                      </w:rPr>
                    </m:ctrlPr>
                  </m:sub>
                  <m:sup>
                    <m:r>
                      <m:rPr/>
                      <w:rPr>
                        <w:rFonts w:ascii="Cambria Math" w:hAnsi="Cambria Math" w:cs="Times New Roman"/>
                        <w:sz w:val="21"/>
                        <w:szCs w:val="21"/>
                      </w:rPr>
                      <m:t>N</m:t>
                    </m:r>
                    <m:ctrlPr>
                      <w:rPr>
                        <w:rFonts w:ascii="Cambria Math" w:hAnsi="Cambria Math" w:cs="Times New Roman"/>
                        <w:i/>
                        <w:sz w:val="21"/>
                        <w:szCs w:val="21"/>
                      </w:rPr>
                    </m:ctrlPr>
                  </m:sup>
                  <m:e>
                    <m:r>
                      <m:rPr/>
                      <w:rPr>
                        <w:rFonts w:ascii="Cambria Math" w:hAnsi="Cambria Math" w:cs="Times New Roman"/>
                        <w:sz w:val="21"/>
                        <w:szCs w:val="21"/>
                      </w:rPr>
                      <m:t>SP</m:t>
                    </m:r>
                    <m:sSup>
                      <m:sSupPr>
                        <m:ctrlPr>
                          <w:rPr>
                            <w:rFonts w:ascii="Cambria Math" w:hAnsi="Cambria Math" w:cs="Times New Roman"/>
                            <w:i/>
                            <w:sz w:val="21"/>
                            <w:szCs w:val="21"/>
                          </w:rPr>
                        </m:ctrlPr>
                      </m:sSupPr>
                      <m:e>
                        <m:sSub>
                          <m:sSubPr>
                            <m:ctrlPr>
                              <w:rPr>
                                <w:rFonts w:ascii="Cambria Math" w:hAnsi="Cambria Math" w:cs="Times New Roman"/>
                                <w:i/>
                                <w:sz w:val="21"/>
                                <w:szCs w:val="21"/>
                              </w:rPr>
                            </m:ctrlPr>
                          </m:sSubPr>
                          <m:e>
                            <m:r>
                              <m:rPr/>
                              <w:rPr>
                                <w:rFonts w:ascii="Cambria Math" w:hAnsi="Cambria Math" w:cs="Times New Roman"/>
                                <w:sz w:val="21"/>
                                <w:szCs w:val="21"/>
                              </w:rPr>
                              <m:t>L</m:t>
                            </m:r>
                            <m:ctrlPr>
                              <w:rPr>
                                <w:rFonts w:ascii="Cambria Math" w:hAnsi="Cambria Math" w:cs="Times New Roman"/>
                                <w:i/>
                                <w:sz w:val="21"/>
                                <w:szCs w:val="21"/>
                              </w:rPr>
                            </m:ctrlPr>
                          </m:e>
                          <m:sub>
                            <m:r>
                              <m:rPr/>
                              <w:rPr>
                                <w:rFonts w:ascii="Cambria Math" w:hAnsi="Cambria Math" w:cs="Times New Roman"/>
                                <w:sz w:val="21"/>
                                <w:szCs w:val="21"/>
                              </w:rPr>
                              <m:t>i</m:t>
                            </m:r>
                            <m:ctrlPr>
                              <w:rPr>
                                <w:rFonts w:ascii="Cambria Math" w:hAnsi="Cambria Math" w:cs="Times New Roman"/>
                                <w:i/>
                                <w:sz w:val="21"/>
                                <w:szCs w:val="21"/>
                              </w:rPr>
                            </m:ctrlPr>
                          </m:sub>
                        </m:sSub>
                        <m:ctrlPr>
                          <w:rPr>
                            <w:rFonts w:ascii="Cambria Math" w:hAnsi="Cambria Math" w:cs="Times New Roman"/>
                            <w:i/>
                            <w:sz w:val="21"/>
                            <w:szCs w:val="21"/>
                          </w:rPr>
                        </m:ctrlPr>
                      </m:e>
                      <m:sup>
                        <m:r>
                          <m:rPr/>
                          <w:rPr>
                            <w:rFonts w:ascii="Cambria Math" w:hAnsi="Cambria Math" w:cs="Times New Roman"/>
                            <w:sz w:val="21"/>
                            <w:szCs w:val="21"/>
                          </w:rPr>
                          <m:t>∗</m:t>
                        </m:r>
                        <m:ctrlPr>
                          <w:rPr>
                            <w:rFonts w:ascii="Cambria Math" w:hAnsi="Cambria Math" w:cs="Times New Roman"/>
                            <w:i/>
                            <w:sz w:val="21"/>
                            <w:szCs w:val="21"/>
                          </w:rPr>
                        </m:ctrlPr>
                      </m:sup>
                    </m:sSup>
                    <m:ctrlPr>
                      <w:rPr>
                        <w:rFonts w:ascii="Cambria Math" w:hAnsi="Cambria Math" w:cs="Times New Roman"/>
                        <w:i/>
                        <w:sz w:val="21"/>
                        <w:szCs w:val="21"/>
                      </w:rPr>
                    </m:ctrlPr>
                  </m:e>
                </m:nary>
              </m:oMath>
            </m:oMathPara>
          </w:p>
        </w:tc>
        <w:tc>
          <w:tcPr>
            <w:tcW w:w="3340" w:type="dxa"/>
            <w:vAlign w:val="center"/>
          </w:tcPr>
          <w:p w14:paraId="092D6D5E">
            <w:pPr>
              <w:jc w:val="right"/>
              <w:rPr>
                <w:rFonts w:ascii="Times New Roman" w:hAnsi="Times New Roman" w:cs="Times New Roman"/>
                <w:sz w:val="21"/>
                <w:szCs w:val="21"/>
              </w:rPr>
            </w:pPr>
            <w:r>
              <w:rPr>
                <w:rFonts w:ascii="Times New Roman" w:hAnsi="Times New Roman" w:cs="Times New Roman"/>
                <w:sz w:val="21"/>
                <w:szCs w:val="21"/>
              </w:rPr>
              <w:t>（</w:t>
            </w:r>
            <w:r>
              <w:rPr>
                <w:rFonts w:hint="eastAsia" w:ascii="Times New Roman" w:hAnsi="Times New Roman" w:cs="Times New Roman"/>
                <w:sz w:val="21"/>
                <w:szCs w:val="21"/>
              </w:rPr>
              <w:t>A</w:t>
            </w:r>
            <w:r>
              <w:rPr>
                <w:rFonts w:ascii="Times New Roman" w:hAnsi="Times New Roman" w:cs="Times New Roman"/>
                <w:sz w:val="21"/>
                <w:szCs w:val="21"/>
              </w:rPr>
              <w:t>.2）</w:t>
            </w:r>
          </w:p>
        </w:tc>
      </w:tr>
    </w:tbl>
    <w:p w14:paraId="4FE140FA">
      <w:pPr>
        <w:ind w:left="719" w:leftChars="327"/>
        <w:rPr>
          <w:rFonts w:ascii="Times New Roman" w:hAnsi="Times New Roman" w:cs="Times New Roman"/>
          <w:sz w:val="21"/>
          <w:szCs w:val="21"/>
        </w:rPr>
      </w:pPr>
      <w:r>
        <w:rPr>
          <w:rFonts w:ascii="Times New Roman" w:hAnsi="Times New Roman" w:cs="Times New Roman"/>
          <w:sz w:val="21"/>
          <w:szCs w:val="21"/>
        </w:rPr>
        <w:t>式中:</w:t>
      </w:r>
    </w:p>
    <w:p w14:paraId="33BB0A5A">
      <w:pPr>
        <w:ind w:left="719" w:leftChars="327"/>
        <w:rPr>
          <w:rFonts w:ascii="Times New Roman" w:hAnsi="Times New Roman" w:cs="Times New Roman"/>
          <w:sz w:val="21"/>
          <w:szCs w:val="21"/>
        </w:rPr>
      </w:pPr>
      <w:r>
        <w:rPr>
          <w:rFonts w:ascii="Times New Roman" w:hAnsi="Times New Roman" w:cs="Times New Roman"/>
          <w:sz w:val="21"/>
          <w:szCs w:val="21"/>
        </w:rPr>
        <w:t>N：重复测量次数；</w:t>
      </w:r>
    </w:p>
    <w:p w14:paraId="53A7F840">
      <w:pPr>
        <w:ind w:left="719" w:leftChars="327"/>
        <w:rPr>
          <w:rFonts w:ascii="Times New Roman" w:hAnsi="Times New Roman" w:cs="Times New Roman"/>
          <w:sz w:val="21"/>
          <w:szCs w:val="21"/>
        </w:rPr>
      </w:pPr>
      <w:r>
        <w:rPr>
          <w:rFonts w:ascii="Times New Roman" w:hAnsi="Times New Roman" w:cs="Times New Roman"/>
          <w:sz w:val="21"/>
          <w:szCs w:val="21"/>
        </w:rPr>
        <w:t>I：第i次测量结果；</w:t>
      </w:r>
    </w:p>
    <w:p w14:paraId="601CA969">
      <w:pPr>
        <w:ind w:left="719" w:leftChars="327"/>
        <w:rPr>
          <w:rFonts w:ascii="Times New Roman" w:hAnsi="Times New Roman" w:cs="Times New Roman"/>
          <w:sz w:val="21"/>
          <w:szCs w:val="21"/>
        </w:rPr>
      </w:pPr>
      <m:oMath>
        <m:r>
          <m:rPr/>
          <w:rPr>
            <w:rFonts w:ascii="Cambria Math" w:hAnsi="Cambria Math" w:cs="Times New Roman"/>
            <w:sz w:val="21"/>
            <w:szCs w:val="21"/>
          </w:rPr>
          <m:t>SP</m:t>
        </m:r>
        <m:sSup>
          <m:sSupPr>
            <m:ctrlPr>
              <w:rPr>
                <w:rFonts w:ascii="Cambria Math" w:hAnsi="Cambria Math" w:cs="Times New Roman"/>
                <w:i/>
                <w:sz w:val="21"/>
                <w:szCs w:val="21"/>
              </w:rPr>
            </m:ctrlPr>
          </m:sSupPr>
          <m:e>
            <m:sSub>
              <m:sSubPr>
                <m:ctrlPr>
                  <w:rPr>
                    <w:rFonts w:ascii="Cambria Math" w:hAnsi="Cambria Math" w:cs="Times New Roman"/>
                    <w:i/>
                    <w:sz w:val="21"/>
                    <w:szCs w:val="21"/>
                  </w:rPr>
                </m:ctrlPr>
              </m:sSubPr>
              <m:e>
                <m:r>
                  <m:rPr/>
                  <w:rPr>
                    <w:rFonts w:ascii="Cambria Math" w:hAnsi="Cambria Math" w:cs="Times New Roman"/>
                    <w:sz w:val="21"/>
                    <w:szCs w:val="21"/>
                  </w:rPr>
                  <m:t>L</m:t>
                </m:r>
                <m:ctrlPr>
                  <w:rPr>
                    <w:rFonts w:ascii="Cambria Math" w:hAnsi="Cambria Math" w:cs="Times New Roman"/>
                    <w:i/>
                    <w:sz w:val="21"/>
                    <w:szCs w:val="21"/>
                  </w:rPr>
                </m:ctrlPr>
              </m:e>
              <m:sub>
                <m:r>
                  <m:rPr/>
                  <w:rPr>
                    <w:rFonts w:ascii="Cambria Math" w:hAnsi="Cambria Math" w:cs="Times New Roman"/>
                    <w:sz w:val="21"/>
                    <w:szCs w:val="21"/>
                  </w:rPr>
                  <m:t>i</m:t>
                </m:r>
                <m:ctrlPr>
                  <w:rPr>
                    <w:rFonts w:ascii="Cambria Math" w:hAnsi="Cambria Math" w:cs="Times New Roman"/>
                    <w:i/>
                    <w:sz w:val="21"/>
                    <w:szCs w:val="21"/>
                  </w:rPr>
                </m:ctrlPr>
              </m:sub>
            </m:sSub>
            <m:ctrlPr>
              <w:rPr>
                <w:rFonts w:ascii="Cambria Math" w:hAnsi="Cambria Math" w:cs="Times New Roman"/>
                <w:i/>
                <w:sz w:val="21"/>
                <w:szCs w:val="21"/>
              </w:rPr>
            </m:ctrlPr>
          </m:e>
          <m:sup>
            <m:r>
              <m:rPr/>
              <w:rPr>
                <w:rFonts w:ascii="Cambria Math" w:hAnsi="Cambria Math" w:cs="Times New Roman"/>
                <w:sz w:val="21"/>
                <w:szCs w:val="21"/>
              </w:rPr>
              <m:t>∗</m:t>
            </m:r>
            <m:ctrlPr>
              <w:rPr>
                <w:rFonts w:ascii="Cambria Math" w:hAnsi="Cambria Math" w:cs="Times New Roman"/>
                <w:i/>
                <w:sz w:val="21"/>
                <w:szCs w:val="21"/>
              </w:rPr>
            </m:ctrlPr>
          </m:sup>
        </m:sSup>
      </m:oMath>
      <w:r>
        <w:rPr>
          <w:rFonts w:ascii="Times New Roman" w:hAnsi="Times New Roman" w:cs="Times New Roman"/>
          <w:sz w:val="21"/>
          <w:szCs w:val="21"/>
        </w:rPr>
        <w:t>：修正后的第i次测量声压级大小；</w:t>
      </w:r>
    </w:p>
    <w:p w14:paraId="62832ECA">
      <w:pPr>
        <w:ind w:left="719" w:leftChars="327"/>
        <w:rPr>
          <w:rFonts w:ascii="Times New Roman" w:hAnsi="Times New Roman" w:cs="Times New Roman"/>
          <w:sz w:val="21"/>
          <w:szCs w:val="21"/>
        </w:rPr>
      </w:pPr>
      <m:oMath>
        <m:r>
          <m:rPr>
            <m:nor/>
            <m:sty m:val="p"/>
          </m:rPr>
          <w:rPr>
            <w:rFonts w:ascii="Times New Roman" w:hAnsi="Times New Roman" w:cs="Times New Roman"/>
            <w:b w:val="0"/>
            <w:i w:val="0"/>
            <w:sz w:val="21"/>
            <w:szCs w:val="21"/>
          </w:rPr>
          <m:t>SP</m:t>
        </m:r>
        <m:sSub>
          <m:sSubPr>
            <m:ctrlPr>
              <w:rPr>
                <w:rFonts w:ascii="Cambria Math" w:hAnsi="Cambria Math" w:cs="Times New Roman"/>
                <w:sz w:val="21"/>
                <w:szCs w:val="21"/>
              </w:rPr>
            </m:ctrlPr>
          </m:sSubPr>
          <m:e>
            <m:r>
              <m:rPr>
                <m:nor/>
                <m:sty m:val="p"/>
              </m:rPr>
              <w:rPr>
                <w:rFonts w:ascii="Times New Roman" w:hAnsi="Times New Roman" w:cs="Times New Roman"/>
                <w:b w:val="0"/>
                <w:i w:val="0"/>
                <w:sz w:val="21"/>
                <w:szCs w:val="21"/>
              </w:rPr>
              <m:t>L</m:t>
            </m:r>
            <m:ctrlPr>
              <w:rPr>
                <w:rFonts w:ascii="Cambria Math" w:hAnsi="Cambria Math" w:cs="Times New Roman"/>
                <w:sz w:val="21"/>
                <w:szCs w:val="21"/>
              </w:rPr>
            </m:ctrlPr>
          </m:e>
          <m:sub>
            <m:r>
              <m:rPr/>
              <w:rPr>
                <w:rFonts w:ascii="Cambria Math" w:hAnsi="Cambria Math" w:cs="Times New Roman"/>
                <w:sz w:val="21"/>
                <w:szCs w:val="21"/>
              </w:rPr>
              <m:t>m</m:t>
            </m:r>
            <m:ctrlPr>
              <w:rPr>
                <w:rFonts w:ascii="Cambria Math" w:hAnsi="Cambria Math" w:cs="Times New Roman"/>
                <w:i/>
                <w:sz w:val="21"/>
                <w:szCs w:val="21"/>
              </w:rPr>
            </m:ctrlPr>
          </m:sub>
        </m:sSub>
      </m:oMath>
      <w:r>
        <w:rPr>
          <w:rFonts w:ascii="Times New Roman" w:hAnsi="Times New Roman" w:cs="Times New Roman"/>
          <w:sz w:val="21"/>
          <w:szCs w:val="21"/>
        </w:rPr>
        <w:t>：测量所得平均后的A计权声压级大小。</w:t>
      </w:r>
    </w:p>
    <w:p w14:paraId="34469D10">
      <w:pPr>
        <w:ind w:firstLine="420" w:firstLineChars="200"/>
        <w:rPr>
          <w:rFonts w:ascii="Times New Roman" w:hAnsi="Times New Roman" w:cs="Times New Roman"/>
          <w:sz w:val="21"/>
          <w:szCs w:val="21"/>
        </w:rPr>
      </w:pPr>
      <w:r>
        <w:rPr>
          <w:rFonts w:ascii="Times New Roman" w:hAnsi="Times New Roman" w:cs="Times New Roman"/>
          <w:sz w:val="21"/>
          <w:szCs w:val="21"/>
        </w:rPr>
        <w:t>5）将测量结果按照公式(A.3)归一化到距离航空器等效位置为1m的观测点上，其中L的单位为米(m)。</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gridCol w:w="3340"/>
      </w:tblGrid>
      <w:tr w14:paraId="0F71E80F">
        <w:tc>
          <w:tcPr>
            <w:tcW w:w="3340" w:type="dxa"/>
            <w:vAlign w:val="center"/>
          </w:tcPr>
          <w:p w14:paraId="6585B4F4">
            <w:pPr>
              <w:rPr>
                <w:rFonts w:ascii="Times New Roman" w:hAnsi="Times New Roman" w:cs="Times New Roman"/>
                <w:sz w:val="21"/>
                <w:szCs w:val="21"/>
              </w:rPr>
            </w:pPr>
          </w:p>
        </w:tc>
        <w:tc>
          <w:tcPr>
            <w:tcW w:w="3340" w:type="dxa"/>
            <w:vAlign w:val="center"/>
          </w:tcPr>
          <w:p w14:paraId="328D211B">
            <w:pPr>
              <w:jc w:val="center"/>
              <w:rPr>
                <w:rFonts w:ascii="Times New Roman" w:hAnsi="Times New Roman" w:cs="Times New Roman"/>
                <w:sz w:val="21"/>
                <w:szCs w:val="21"/>
              </w:rPr>
            </w:pPr>
            <m:oMathPara>
              <m:oMath>
                <m:r>
                  <m:rPr>
                    <m:nor/>
                    <m:sty m:val="p"/>
                  </m:rPr>
                  <w:rPr>
                    <w:rFonts w:ascii="Times New Roman" w:hAnsi="Times New Roman" w:cs="Times New Roman"/>
                    <w:b w:val="0"/>
                    <w:i w:val="0"/>
                    <w:sz w:val="21"/>
                    <w:szCs w:val="21"/>
                  </w:rPr>
                  <m:t>SPL=</m:t>
                </m:r>
                <m:r>
                  <m:rPr/>
                  <w:rPr>
                    <w:rFonts w:ascii="Cambria Math" w:hAnsi="Cambria Math" w:cs="Times New Roman"/>
                    <w:sz w:val="21"/>
                    <w:szCs w:val="21"/>
                  </w:rPr>
                  <m:t>SP</m:t>
                </m:r>
                <m:sSub>
                  <m:sSubPr>
                    <m:ctrlPr>
                      <w:rPr>
                        <w:rFonts w:ascii="Cambria Math" w:hAnsi="Cambria Math" w:cs="Times New Roman"/>
                        <w:sz w:val="21"/>
                        <w:szCs w:val="21"/>
                      </w:rPr>
                    </m:ctrlPr>
                  </m:sSubPr>
                  <m:e>
                    <m:r>
                      <m:rPr/>
                      <w:rPr>
                        <w:rFonts w:ascii="Cambria Math" w:hAnsi="Cambria Math" w:cs="Times New Roman"/>
                        <w:sz w:val="21"/>
                        <w:szCs w:val="21"/>
                      </w:rPr>
                      <m:t>L</m:t>
                    </m:r>
                    <m:ctrlPr>
                      <w:rPr>
                        <w:rFonts w:ascii="Cambria Math" w:hAnsi="Cambria Math" w:cs="Times New Roman"/>
                        <w:sz w:val="21"/>
                        <w:szCs w:val="21"/>
                      </w:rPr>
                    </m:ctrlPr>
                  </m:e>
                  <m:sub>
                    <m:r>
                      <m:rPr/>
                      <w:rPr>
                        <w:rFonts w:ascii="Cambria Math" w:hAnsi="Cambria Math" w:cs="Times New Roman"/>
                        <w:sz w:val="21"/>
                        <w:szCs w:val="21"/>
                      </w:rPr>
                      <m:t>m</m:t>
                    </m:r>
                    <m:ctrlPr>
                      <w:rPr>
                        <w:rFonts w:ascii="Cambria Math" w:hAnsi="Cambria Math" w:cs="Times New Roman"/>
                        <w:i/>
                        <w:sz w:val="21"/>
                        <w:szCs w:val="21"/>
                      </w:rPr>
                    </m:ctrlPr>
                  </m:sub>
                </m:sSub>
                <m:r>
                  <m:rPr/>
                  <w:rPr>
                    <w:rFonts w:ascii="Cambria Math" w:hAnsi="Cambria Math" w:cs="Times New Roman"/>
                    <w:sz w:val="21"/>
                    <w:szCs w:val="21"/>
                  </w:rPr>
                  <m:t>+20</m:t>
                </m:r>
                <m:func>
                  <m:funcPr>
                    <m:ctrlPr>
                      <w:rPr>
                        <w:rFonts w:ascii="Cambria Math" w:hAnsi="Cambria Math" w:cs="Times New Roman"/>
                        <w:i/>
                        <w:sz w:val="21"/>
                        <w:szCs w:val="21"/>
                      </w:rPr>
                    </m:ctrlPr>
                  </m:funcPr>
                  <m:fName>
                    <m:r>
                      <m:rPr/>
                      <w:rPr>
                        <w:rFonts w:ascii="Cambria Math" w:hAnsi="Cambria Math" w:cs="Times New Roman"/>
                        <w:sz w:val="21"/>
                        <w:szCs w:val="21"/>
                      </w:rPr>
                      <m:t>lg</m:t>
                    </m:r>
                    <m:ctrlPr>
                      <w:rPr>
                        <w:rFonts w:ascii="Cambria Math" w:hAnsi="Cambria Math" w:cs="Times New Roman"/>
                        <w:i/>
                        <w:sz w:val="21"/>
                        <w:szCs w:val="21"/>
                      </w:rPr>
                    </m:ctrlPr>
                  </m:fName>
                  <m:e>
                    <m:r>
                      <m:rPr/>
                      <w:rPr>
                        <w:rFonts w:ascii="Cambria Math" w:hAnsi="Cambria Math" w:cs="Times New Roman"/>
                        <w:sz w:val="21"/>
                        <w:szCs w:val="21"/>
                      </w:rPr>
                      <m:t>L</m:t>
                    </m:r>
                    <m:ctrlPr>
                      <w:rPr>
                        <w:rFonts w:ascii="Cambria Math" w:hAnsi="Cambria Math" w:cs="Times New Roman"/>
                        <w:i/>
                        <w:sz w:val="21"/>
                        <w:szCs w:val="21"/>
                      </w:rPr>
                    </m:ctrlPr>
                  </m:e>
                </m:func>
              </m:oMath>
            </m:oMathPara>
          </w:p>
        </w:tc>
        <w:tc>
          <w:tcPr>
            <w:tcW w:w="3340" w:type="dxa"/>
            <w:vAlign w:val="center"/>
          </w:tcPr>
          <w:p w14:paraId="61FCCF95">
            <w:pPr>
              <w:jc w:val="right"/>
              <w:rPr>
                <w:rFonts w:ascii="Times New Roman" w:hAnsi="Times New Roman" w:cs="Times New Roman"/>
                <w:sz w:val="21"/>
                <w:szCs w:val="21"/>
              </w:rPr>
            </w:pPr>
            <w:r>
              <w:rPr>
                <w:rFonts w:ascii="Times New Roman" w:hAnsi="Times New Roman" w:cs="Times New Roman"/>
                <w:sz w:val="21"/>
                <w:szCs w:val="21"/>
              </w:rPr>
              <w:t>（</w:t>
            </w:r>
            <w:r>
              <w:rPr>
                <w:rFonts w:hint="eastAsia" w:ascii="Times New Roman" w:hAnsi="Times New Roman" w:cs="Times New Roman"/>
                <w:sz w:val="21"/>
                <w:szCs w:val="21"/>
              </w:rPr>
              <w:t>A</w:t>
            </w:r>
            <w:r>
              <w:rPr>
                <w:rFonts w:ascii="Times New Roman" w:hAnsi="Times New Roman" w:cs="Times New Roman"/>
                <w:sz w:val="21"/>
                <w:szCs w:val="21"/>
              </w:rPr>
              <w:t>.3）</w:t>
            </w:r>
          </w:p>
        </w:tc>
      </w:tr>
    </w:tbl>
    <w:p w14:paraId="71A596A3">
      <w:pPr>
        <w:ind w:left="719" w:leftChars="327"/>
        <w:rPr>
          <w:rFonts w:ascii="Times New Roman" w:hAnsi="Times New Roman" w:cs="Times New Roman"/>
          <w:sz w:val="21"/>
          <w:szCs w:val="21"/>
        </w:rPr>
      </w:pPr>
      <w:r>
        <w:rPr>
          <w:rFonts w:ascii="Times New Roman" w:hAnsi="Times New Roman" w:cs="Times New Roman"/>
          <w:sz w:val="21"/>
          <w:szCs w:val="21"/>
        </w:rPr>
        <w:t>式中:</w:t>
      </w:r>
    </w:p>
    <w:p w14:paraId="7194ED20">
      <w:pPr>
        <w:ind w:left="719" w:leftChars="327"/>
        <w:rPr>
          <w:rFonts w:ascii="Times New Roman" w:hAnsi="Times New Roman" w:cs="Times New Roman"/>
          <w:sz w:val="21"/>
          <w:szCs w:val="21"/>
        </w:rPr>
      </w:pPr>
      <w:r>
        <w:rPr>
          <w:rFonts w:ascii="Times New Roman" w:hAnsi="Times New Roman" w:cs="Times New Roman"/>
          <w:sz w:val="21"/>
          <w:szCs w:val="21"/>
        </w:rPr>
        <w:t>L：无人驾驶航空器到传声器的距离，单位为米(m)</w:t>
      </w:r>
    </w:p>
    <w:p w14:paraId="7D75C4F7">
      <w:pPr>
        <w:ind w:firstLine="420" w:firstLineChars="200"/>
        <w:rPr>
          <w:rFonts w:ascii="Times New Roman" w:hAnsi="Times New Roman" w:cs="Times New Roman"/>
          <w:sz w:val="21"/>
          <w:szCs w:val="21"/>
        </w:rPr>
      </w:pPr>
      <w:r>
        <w:rPr>
          <w:rFonts w:ascii="Times New Roman" w:hAnsi="Times New Roman" w:cs="Times New Roman"/>
          <w:sz w:val="21"/>
          <w:szCs w:val="21"/>
        </w:rPr>
        <w:t>6）将归一化的A计权声压级标记到无人驾驶航空器铭牌或者说明书。</w:t>
      </w:r>
    </w:p>
    <w:p w14:paraId="65B4110D">
      <w:pPr>
        <w:ind w:firstLine="420" w:firstLineChars="200"/>
        <w:rPr>
          <w:rFonts w:ascii="Times New Roman" w:hAnsi="Times New Roman" w:cs="Times New Roman"/>
          <w:sz w:val="21"/>
          <w:szCs w:val="21"/>
        </w:rPr>
      </w:pPr>
      <w:r>
        <w:rPr>
          <w:rFonts w:ascii="Times New Roman" w:hAnsi="Times New Roman" w:cs="Times New Roman"/>
          <w:sz w:val="21"/>
          <w:szCs w:val="21"/>
        </w:rPr>
        <w:t>b)在飞行状态下：</w:t>
      </w:r>
    </w:p>
    <w:p w14:paraId="40457022">
      <w:pPr>
        <w:ind w:firstLine="420" w:firstLineChars="200"/>
        <w:rPr>
          <w:rFonts w:ascii="Times New Roman" w:hAnsi="Times New Roman" w:cs="Times New Roman"/>
          <w:sz w:val="21"/>
          <w:szCs w:val="21"/>
        </w:rPr>
      </w:pPr>
      <w:r>
        <w:rPr>
          <w:rFonts w:ascii="Times New Roman" w:hAnsi="Times New Roman" w:cs="Times New Roman"/>
          <w:sz w:val="21"/>
          <w:szCs w:val="21"/>
        </w:rPr>
        <w:t>1)飞行状态中保证无人驾驶航空器在达到图1中点A前后距离不小于2L；飞行过程中速度保持不变，且速度大小标记到无人驾驶航空器铭牌或者说明书。</w:t>
      </w:r>
    </w:p>
    <w:p w14:paraId="1AC1A0F0">
      <w:pPr>
        <w:ind w:firstLine="420" w:firstLineChars="200"/>
        <w:rPr>
          <w:rFonts w:ascii="Times New Roman" w:hAnsi="Times New Roman" w:cs="Times New Roman"/>
          <w:sz w:val="21"/>
          <w:szCs w:val="21"/>
        </w:rPr>
      </w:pPr>
      <w:r>
        <w:rPr>
          <w:rFonts w:ascii="Times New Roman" w:hAnsi="Times New Roman" w:cs="Times New Roman"/>
          <w:sz w:val="21"/>
          <w:szCs w:val="21"/>
        </w:rPr>
        <w:t>2)在无人驾驶航空器开始飞行状态时进行测量。</w:t>
      </w:r>
    </w:p>
    <w:p w14:paraId="235B8B0D">
      <w:pPr>
        <w:ind w:firstLine="420" w:firstLineChars="200"/>
        <w:rPr>
          <w:rFonts w:ascii="Times New Roman" w:hAnsi="Times New Roman" w:cs="Times New Roman"/>
          <w:sz w:val="21"/>
          <w:szCs w:val="21"/>
        </w:rPr>
      </w:pPr>
      <w:r>
        <w:rPr>
          <w:rFonts w:ascii="Times New Roman" w:hAnsi="Times New Roman" w:cs="Times New Roman"/>
          <w:sz w:val="21"/>
          <w:szCs w:val="21"/>
        </w:rPr>
        <w:t>3)重复至少 10次。</w:t>
      </w:r>
    </w:p>
    <w:p w14:paraId="07BD13C8">
      <w:pPr>
        <w:ind w:firstLine="420" w:firstLineChars="200"/>
        <w:rPr>
          <w:rFonts w:ascii="Times New Roman" w:hAnsi="Times New Roman" w:cs="Times New Roman"/>
          <w:sz w:val="21"/>
          <w:szCs w:val="21"/>
        </w:rPr>
      </w:pPr>
      <w:r>
        <w:rPr>
          <w:rFonts w:ascii="Times New Roman" w:hAnsi="Times New Roman" w:cs="Times New Roman"/>
          <w:sz w:val="21"/>
          <w:szCs w:val="21"/>
        </w:rPr>
        <w:t>4）对于每一次测量,选取两个时间点t</w:t>
      </w:r>
      <w:r>
        <w:rPr>
          <w:rFonts w:ascii="Times New Roman" w:hAnsi="Times New Roman" w:cs="Times New Roman"/>
          <w:sz w:val="21"/>
          <w:szCs w:val="21"/>
          <w:vertAlign w:val="subscript"/>
        </w:rPr>
        <w:t>1</w:t>
      </w:r>
      <w:r>
        <w:rPr>
          <w:rFonts w:ascii="Times New Roman" w:hAnsi="Times New Roman" w:cs="Times New Roman"/>
          <w:sz w:val="21"/>
          <w:szCs w:val="21"/>
        </w:rPr>
        <w:t>和t</w:t>
      </w:r>
      <w:r>
        <w:rPr>
          <w:rFonts w:ascii="Times New Roman" w:hAnsi="Times New Roman" w:cs="Times New Roman"/>
          <w:sz w:val="21"/>
          <w:szCs w:val="21"/>
          <w:vertAlign w:val="subscript"/>
        </w:rPr>
        <w:t>2</w:t>
      </w:r>
      <w:r>
        <w:rPr>
          <w:rFonts w:ascii="Times New Roman" w:hAnsi="Times New Roman" w:cs="Times New Roman"/>
          <w:sz w:val="21"/>
          <w:szCs w:val="21"/>
        </w:rPr>
        <w:t>。在t</w:t>
      </w:r>
      <w:r>
        <w:rPr>
          <w:rFonts w:ascii="Times New Roman" w:hAnsi="Times New Roman" w:cs="Times New Roman"/>
          <w:sz w:val="21"/>
          <w:szCs w:val="21"/>
          <w:vertAlign w:val="subscript"/>
        </w:rPr>
        <w:t>1</w:t>
      </w:r>
      <w:r>
        <w:rPr>
          <w:rFonts w:ascii="Times New Roman" w:hAnsi="Times New Roman" w:cs="Times New Roman"/>
          <w:sz w:val="21"/>
          <w:szCs w:val="21"/>
        </w:rPr>
        <w:t>时刻无人驾驶航空器位于图1中的B点，t</w:t>
      </w:r>
      <w:r>
        <w:rPr>
          <w:rFonts w:ascii="Times New Roman" w:hAnsi="Times New Roman" w:cs="Times New Roman"/>
          <w:sz w:val="21"/>
          <w:szCs w:val="21"/>
          <w:vertAlign w:val="subscript"/>
        </w:rPr>
        <w:t>2</w:t>
      </w:r>
      <w:r>
        <w:rPr>
          <w:rFonts w:ascii="Times New Roman" w:hAnsi="Times New Roman" w:cs="Times New Roman"/>
          <w:sz w:val="21"/>
          <w:szCs w:val="21"/>
        </w:rPr>
        <w:t>时刻无人驾驶航空器位于图1中C点。B和C两点与A点的距离都为L。</w:t>
      </w:r>
    </w:p>
    <w:p w14:paraId="64992079">
      <w:pPr>
        <w:ind w:firstLine="420" w:firstLineChars="200"/>
        <w:rPr>
          <w:rFonts w:ascii="Times New Roman" w:hAnsi="Times New Roman" w:cs="Times New Roman"/>
          <w:sz w:val="21"/>
          <w:szCs w:val="21"/>
        </w:rPr>
      </w:pPr>
      <w:r>
        <w:rPr>
          <w:rFonts w:ascii="Times New Roman" w:hAnsi="Times New Roman" w:cs="Times New Roman"/>
          <w:sz w:val="21"/>
          <w:szCs w:val="21"/>
        </w:rPr>
        <w:t>5)对于每一次测量，利用t</w:t>
      </w:r>
      <w:r>
        <w:rPr>
          <w:rFonts w:hint="eastAsia"/>
          <w:sz w:val="21"/>
          <w:szCs w:val="21"/>
        </w:rPr>
        <w:t>∈</w:t>
      </w:r>
      <w:r>
        <w:rPr>
          <w:rFonts w:ascii="Times New Roman" w:hAnsi="Times New Roman" w:cs="Times New Roman"/>
          <w:sz w:val="21"/>
          <w:szCs w:val="21"/>
        </w:rPr>
        <w:t>[t1,t2]时间段内的声压测量结果，计算两个传声器处的A计权声压级大小(见公式</w:t>
      </w:r>
      <w:r>
        <w:rPr>
          <w:rFonts w:hint="eastAsia" w:ascii="Times New Roman" w:hAnsi="Times New Roman" w:cs="Times New Roman"/>
          <w:sz w:val="21"/>
          <w:szCs w:val="21"/>
        </w:rPr>
        <w:t>A</w:t>
      </w:r>
      <w:r>
        <w:rPr>
          <w:rFonts w:ascii="Times New Roman" w:hAnsi="Times New Roman" w:cs="Times New Roman"/>
          <w:sz w:val="21"/>
          <w:szCs w:val="21"/>
        </w:rPr>
        <w:t>.4)。</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gridCol w:w="3340"/>
      </w:tblGrid>
      <w:tr w14:paraId="4FF114DE">
        <w:trPr>
          <w:jc w:val="center"/>
        </w:trPr>
        <w:tc>
          <w:tcPr>
            <w:tcW w:w="3340" w:type="dxa"/>
            <w:vAlign w:val="center"/>
          </w:tcPr>
          <w:p w14:paraId="5220DB78">
            <w:pPr>
              <w:spacing w:line="360" w:lineRule="auto"/>
              <w:jc w:val="center"/>
              <w:rPr>
                <w:rFonts w:ascii="Times New Roman" w:hAnsi="Times New Roman" w:cs="Times New Roman"/>
              </w:rPr>
            </w:pPr>
          </w:p>
        </w:tc>
        <w:tc>
          <w:tcPr>
            <w:tcW w:w="3340" w:type="dxa"/>
            <w:vAlign w:val="center"/>
          </w:tcPr>
          <w:p w14:paraId="7C349112">
            <w:pPr>
              <w:jc w:val="center"/>
              <w:rPr>
                <w:rFonts w:ascii="Times New Roman" w:hAnsi="Times New Roman" w:cs="Times New Roman"/>
                <w:sz w:val="21"/>
                <w:szCs w:val="21"/>
              </w:rPr>
            </w:pPr>
            <m:oMathPara>
              <m:oMath>
                <m:r>
                  <m:rPr>
                    <m:nor/>
                    <m:sty m:val="p"/>
                  </m:rPr>
                  <w:rPr>
                    <w:rFonts w:ascii="Times New Roman" w:hAnsi="Times New Roman" w:cs="Times New Roman"/>
                    <w:b w:val="0"/>
                    <w:i w:val="0"/>
                    <w:sz w:val="21"/>
                    <w:szCs w:val="21"/>
                  </w:rPr>
                  <m:t>SP</m:t>
                </m:r>
                <m:sSub>
                  <m:sSubPr>
                    <m:ctrlPr>
                      <w:rPr>
                        <w:rFonts w:ascii="Cambria Math" w:hAnsi="Cambria Math" w:cs="Times New Roman"/>
                        <w:sz w:val="21"/>
                        <w:szCs w:val="21"/>
                      </w:rPr>
                    </m:ctrlPr>
                  </m:sSubPr>
                  <m:e>
                    <m:r>
                      <m:rPr>
                        <m:nor/>
                        <m:sty m:val="p"/>
                      </m:rPr>
                      <w:rPr>
                        <w:rFonts w:ascii="Times New Roman" w:hAnsi="Times New Roman" w:cs="Times New Roman"/>
                        <w:b w:val="0"/>
                        <w:i w:val="0"/>
                        <w:sz w:val="21"/>
                        <w:szCs w:val="21"/>
                      </w:rPr>
                      <m:t>L</m:t>
                    </m:r>
                    <m:ctrlPr>
                      <w:rPr>
                        <w:rFonts w:ascii="Cambria Math" w:hAnsi="Cambria Math" w:cs="Times New Roman"/>
                        <w:sz w:val="21"/>
                        <w:szCs w:val="21"/>
                      </w:rPr>
                    </m:ctrlPr>
                  </m:e>
                  <m:sub>
                    <m:r>
                      <m:rPr/>
                      <w:rPr>
                        <w:rFonts w:ascii="Cambria Math" w:hAnsi="Cambria Math" w:cs="Times New Roman"/>
                        <w:sz w:val="21"/>
                        <w:szCs w:val="21"/>
                      </w:rPr>
                      <m:t>i</m:t>
                    </m:r>
                    <m:ctrlPr>
                      <w:rPr>
                        <w:rFonts w:ascii="Cambria Math" w:hAnsi="Cambria Math" w:cs="Times New Roman"/>
                        <w:i/>
                        <w:sz w:val="21"/>
                        <w:szCs w:val="21"/>
                      </w:rPr>
                    </m:ctrlPr>
                  </m:sub>
                </m:sSub>
                <m:r>
                  <m:rPr/>
                  <w:rPr>
                    <w:rFonts w:ascii="Cambria Math" w:hAnsi="Cambria Math" w:cs="Times New Roman"/>
                    <w:sz w:val="21"/>
                    <w:szCs w:val="21"/>
                  </w:rPr>
                  <m:t>=10</m:t>
                </m:r>
                <m:func>
                  <m:funcPr>
                    <m:ctrlPr>
                      <w:rPr>
                        <w:rFonts w:ascii="Cambria Math" w:hAnsi="Cambria Math" w:cs="Times New Roman"/>
                        <w:i/>
                        <w:sz w:val="21"/>
                        <w:szCs w:val="21"/>
                      </w:rPr>
                    </m:ctrlPr>
                  </m:funcPr>
                  <m:fName>
                    <m:r>
                      <m:rPr/>
                      <w:rPr>
                        <w:rFonts w:ascii="Cambria Math" w:hAnsi="Cambria Math" w:cs="Times New Roman"/>
                        <w:sz w:val="21"/>
                        <w:szCs w:val="21"/>
                      </w:rPr>
                      <m:t>lg</m:t>
                    </m:r>
                    <m:ctrlPr>
                      <w:rPr>
                        <w:rFonts w:ascii="Cambria Math" w:hAnsi="Cambria Math" w:cs="Times New Roman"/>
                        <w:i/>
                        <w:sz w:val="21"/>
                        <w:szCs w:val="21"/>
                      </w:rPr>
                    </m:ctrlPr>
                  </m:fName>
                  <m:e>
                    <m:f>
                      <m:fPr>
                        <m:ctrlPr>
                          <w:rPr>
                            <w:rFonts w:ascii="Cambria Math" w:hAnsi="Cambria Math" w:cs="Times New Roman"/>
                            <w:i/>
                            <w:sz w:val="21"/>
                            <w:szCs w:val="21"/>
                          </w:rPr>
                        </m:ctrlPr>
                      </m:fPr>
                      <m:num>
                        <m:r>
                          <m:rPr/>
                          <w:rPr>
                            <w:rFonts w:ascii="Cambria Math" w:hAnsi="Cambria Math" w:cs="Times New Roman"/>
                            <w:sz w:val="21"/>
                            <w:szCs w:val="21"/>
                          </w:rPr>
                          <m:t>1</m:t>
                        </m:r>
                        <m:ctrlPr>
                          <w:rPr>
                            <w:rFonts w:ascii="Cambria Math" w:hAnsi="Cambria Math" w:cs="Times New Roman"/>
                            <w:i/>
                            <w:sz w:val="21"/>
                            <w:szCs w:val="21"/>
                          </w:rPr>
                        </m:ctrlPr>
                      </m:num>
                      <m:den>
                        <m:r>
                          <m:rPr/>
                          <w:rPr>
                            <w:rFonts w:ascii="Cambria Math" w:hAnsi="Cambria Math" w:cs="Times New Roman"/>
                            <w:sz w:val="21"/>
                            <w:szCs w:val="21"/>
                          </w:rPr>
                          <m:t>△t</m:t>
                        </m:r>
                        <m:ctrlPr>
                          <w:rPr>
                            <w:rFonts w:ascii="Cambria Math" w:hAnsi="Cambria Math" w:cs="Times New Roman"/>
                            <w:i/>
                            <w:sz w:val="21"/>
                            <w:szCs w:val="21"/>
                          </w:rPr>
                        </m:ctrlPr>
                      </m:den>
                    </m:f>
                    <m:ctrlPr>
                      <w:rPr>
                        <w:rFonts w:ascii="Cambria Math" w:hAnsi="Cambria Math" w:cs="Times New Roman"/>
                        <w:i/>
                        <w:sz w:val="21"/>
                        <w:szCs w:val="21"/>
                      </w:rPr>
                    </m:ctrlPr>
                  </m:e>
                </m:func>
                <m:sSup>
                  <m:sSupPr>
                    <m:ctrlPr>
                      <w:rPr>
                        <w:rFonts w:ascii="Cambria Math" w:hAnsi="Cambria Math" w:cs="Times New Roman"/>
                        <w:i/>
                        <w:sz w:val="21"/>
                        <w:szCs w:val="21"/>
                      </w:rPr>
                    </m:ctrlPr>
                  </m:sSupPr>
                  <m:e>
                    <m:nary>
                      <m:naryPr>
                        <m:ctrlPr>
                          <w:rPr>
                            <w:rFonts w:ascii="Cambria Math" w:hAnsi="Cambria Math" w:cs="Times New Roman"/>
                            <w:i/>
                            <w:sz w:val="21"/>
                            <w:szCs w:val="21"/>
                          </w:rPr>
                        </m:ctrlPr>
                      </m:naryPr>
                      <m:sub>
                        <m:sSub>
                          <m:sSubPr>
                            <m:ctrlPr>
                              <w:rPr>
                                <w:rFonts w:ascii="Cambria Math" w:hAnsi="Cambria Math" w:cs="Times New Roman"/>
                                <w:i/>
                                <w:sz w:val="21"/>
                                <w:szCs w:val="21"/>
                              </w:rPr>
                            </m:ctrlPr>
                          </m:sSubPr>
                          <m:e>
                            <m:r>
                              <m:rPr/>
                              <w:rPr>
                                <w:rFonts w:ascii="Cambria Math" w:hAnsi="Cambria Math" w:cs="Times New Roman"/>
                                <w:sz w:val="21"/>
                                <w:szCs w:val="21"/>
                              </w:rPr>
                              <m:t>t</m:t>
                            </m:r>
                            <m:ctrlPr>
                              <w:rPr>
                                <w:rFonts w:ascii="Cambria Math" w:hAnsi="Cambria Math" w:cs="Times New Roman"/>
                                <w:i/>
                                <w:sz w:val="21"/>
                                <w:szCs w:val="21"/>
                              </w:rPr>
                            </m:ctrlPr>
                          </m:e>
                          <m:sub>
                            <m:r>
                              <m:rPr/>
                              <w:rPr>
                                <w:rFonts w:ascii="Cambria Math" w:hAnsi="Cambria Math" w:cs="Times New Roman"/>
                                <w:sz w:val="21"/>
                                <w:szCs w:val="21"/>
                              </w:rPr>
                              <m:t>1</m:t>
                            </m:r>
                            <m:ctrlPr>
                              <w:rPr>
                                <w:rFonts w:ascii="Cambria Math" w:hAnsi="Cambria Math" w:cs="Times New Roman"/>
                                <w:i/>
                                <w:sz w:val="21"/>
                                <w:szCs w:val="21"/>
                              </w:rPr>
                            </m:ctrlPr>
                          </m:sub>
                        </m:sSub>
                        <m:ctrlPr>
                          <w:rPr>
                            <w:rFonts w:ascii="Cambria Math" w:hAnsi="Cambria Math" w:cs="Times New Roman"/>
                            <w:i/>
                            <w:sz w:val="21"/>
                            <w:szCs w:val="21"/>
                          </w:rPr>
                        </m:ctrlPr>
                      </m:sub>
                      <m:sup>
                        <m:sSub>
                          <m:sSubPr>
                            <m:ctrlPr>
                              <w:rPr>
                                <w:rFonts w:ascii="Cambria Math" w:hAnsi="Cambria Math" w:cs="Times New Roman"/>
                                <w:i/>
                                <w:sz w:val="21"/>
                                <w:szCs w:val="21"/>
                              </w:rPr>
                            </m:ctrlPr>
                          </m:sSubPr>
                          <m:e>
                            <m:r>
                              <m:rPr/>
                              <w:rPr>
                                <w:rFonts w:ascii="Cambria Math" w:hAnsi="Cambria Math" w:cs="Times New Roman"/>
                                <w:sz w:val="21"/>
                                <w:szCs w:val="21"/>
                              </w:rPr>
                              <m:t>t</m:t>
                            </m:r>
                            <m:ctrlPr>
                              <w:rPr>
                                <w:rFonts w:ascii="Cambria Math" w:hAnsi="Cambria Math" w:cs="Times New Roman"/>
                                <w:i/>
                                <w:sz w:val="21"/>
                                <w:szCs w:val="21"/>
                              </w:rPr>
                            </m:ctrlPr>
                          </m:e>
                          <m:sub>
                            <m:r>
                              <m:rPr/>
                              <w:rPr>
                                <w:rFonts w:ascii="Cambria Math" w:hAnsi="Cambria Math" w:cs="Times New Roman"/>
                                <w:sz w:val="21"/>
                                <w:szCs w:val="21"/>
                              </w:rPr>
                              <m:t>2</m:t>
                            </m:r>
                            <m:ctrlPr>
                              <w:rPr>
                                <w:rFonts w:ascii="Cambria Math" w:hAnsi="Cambria Math" w:cs="Times New Roman"/>
                                <w:i/>
                                <w:sz w:val="21"/>
                                <w:szCs w:val="21"/>
                              </w:rPr>
                            </m:ctrlPr>
                          </m:sub>
                        </m:sSub>
                        <m:ctrlPr>
                          <w:rPr>
                            <w:rFonts w:ascii="Cambria Math" w:hAnsi="Cambria Math" w:cs="Times New Roman"/>
                            <w:i/>
                            <w:sz w:val="21"/>
                            <w:szCs w:val="21"/>
                          </w:rPr>
                        </m:ctrlPr>
                      </m:sup>
                      <m:e>
                        <m:d>
                          <m:dPr>
                            <m:begChr m:val="["/>
                            <m:endChr m:val="]"/>
                            <m:ctrlPr>
                              <w:rPr>
                                <w:rFonts w:ascii="Cambria Math" w:hAnsi="Cambria Math" w:cs="Times New Roman"/>
                                <w:i/>
                                <w:sz w:val="21"/>
                                <w:szCs w:val="21"/>
                              </w:rPr>
                            </m:ctrlPr>
                          </m:dPr>
                          <m:e>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m:rPr/>
                                      <w:rPr>
                                        <w:rFonts w:ascii="Cambria Math" w:hAnsi="Cambria Math" w:cs="Times New Roman"/>
                                        <w:sz w:val="21"/>
                                        <w:szCs w:val="21"/>
                                      </w:rPr>
                                      <m:t>p</m:t>
                                    </m:r>
                                    <m:ctrlPr>
                                      <w:rPr>
                                        <w:rFonts w:ascii="Cambria Math" w:hAnsi="Cambria Math" w:cs="Times New Roman"/>
                                        <w:i/>
                                        <w:sz w:val="21"/>
                                        <w:szCs w:val="21"/>
                                      </w:rPr>
                                    </m:ctrlPr>
                                  </m:e>
                                  <m:sub>
                                    <m:r>
                                      <m:rPr/>
                                      <w:rPr>
                                        <w:rFonts w:ascii="Cambria Math" w:hAnsi="Cambria Math" w:cs="Times New Roman"/>
                                        <w:sz w:val="21"/>
                                        <w:szCs w:val="21"/>
                                      </w:rPr>
                                      <m:t>A,i</m:t>
                                    </m:r>
                                    <m:ctrlPr>
                                      <w:rPr>
                                        <w:rFonts w:ascii="Cambria Math" w:hAnsi="Cambria Math" w:cs="Times New Roman"/>
                                        <w:i/>
                                        <w:sz w:val="21"/>
                                        <w:szCs w:val="21"/>
                                      </w:rPr>
                                    </m:ctrlPr>
                                  </m:sub>
                                </m:sSub>
                                <m:r>
                                  <m:rPr/>
                                  <w:rPr>
                                    <w:rFonts w:ascii="Cambria Math" w:hAnsi="Cambria Math" w:cs="Times New Roman"/>
                                    <w:sz w:val="21"/>
                                    <w:szCs w:val="21"/>
                                  </w:rPr>
                                  <m:t>(</m:t>
                                </m:r>
                                <m:func>
                                  <m:funcPr>
                                    <m:ctrlPr>
                                      <w:rPr>
                                        <w:rFonts w:ascii="Cambria Math" w:hAnsi="Cambria Math" w:cs="Times New Roman"/>
                                        <w:i/>
                                        <w:sz w:val="21"/>
                                        <w:szCs w:val="21"/>
                                      </w:rPr>
                                    </m:ctrlPr>
                                  </m:funcPr>
                                  <m:fName>
                                    <m:r>
                                      <m:rPr/>
                                      <w:rPr>
                                        <w:rFonts w:ascii="Cambria Math" w:hAnsi="Cambria Math" w:cs="Times New Roman"/>
                                        <w:sz w:val="21"/>
                                        <w:szCs w:val="21"/>
                                      </w:rPr>
                                      <m:t>t</m:t>
                                    </m:r>
                                    <m:ctrlPr>
                                      <w:rPr>
                                        <w:rFonts w:ascii="Cambria Math" w:hAnsi="Cambria Math" w:cs="Times New Roman"/>
                                        <w:i/>
                                        <w:sz w:val="21"/>
                                        <w:szCs w:val="21"/>
                                      </w:rPr>
                                    </m:ctrlPr>
                                  </m:fName>
                                  <m:e>
                                    <m:r>
                                      <m:rPr/>
                                      <w:rPr>
                                        <w:rFonts w:ascii="Cambria Math" w:hAnsi="Cambria Math" w:cs="Times New Roman"/>
                                        <w:sz w:val="21"/>
                                        <w:szCs w:val="21"/>
                                      </w:rPr>
                                      <m:t>)</m:t>
                                    </m:r>
                                    <m:ctrlPr>
                                      <w:rPr>
                                        <w:rFonts w:ascii="Cambria Math" w:hAnsi="Cambria Math" w:cs="Times New Roman"/>
                                        <w:i/>
                                        <w:sz w:val="21"/>
                                        <w:szCs w:val="21"/>
                                      </w:rPr>
                                    </m:ctrlPr>
                                  </m:e>
                                </m:func>
                                <m:ctrlPr>
                                  <w:rPr>
                                    <w:rFonts w:ascii="Cambria Math" w:hAnsi="Cambria Math" w:cs="Times New Roman"/>
                                    <w:i/>
                                    <w:sz w:val="21"/>
                                    <w:szCs w:val="21"/>
                                  </w:rPr>
                                </m:ctrlPr>
                              </m:num>
                              <m:den>
                                <m:sSub>
                                  <m:sSubPr>
                                    <m:ctrlPr>
                                      <w:rPr>
                                        <w:rFonts w:ascii="Cambria Math" w:hAnsi="Cambria Math" w:cs="Times New Roman"/>
                                        <w:i/>
                                        <w:sz w:val="21"/>
                                        <w:szCs w:val="21"/>
                                      </w:rPr>
                                    </m:ctrlPr>
                                  </m:sSubPr>
                                  <m:e>
                                    <m:r>
                                      <m:rPr/>
                                      <w:rPr>
                                        <w:rFonts w:ascii="Cambria Math" w:hAnsi="Cambria Math" w:cs="Times New Roman"/>
                                        <w:sz w:val="21"/>
                                        <w:szCs w:val="21"/>
                                      </w:rPr>
                                      <m:t>p</m:t>
                                    </m:r>
                                    <m:ctrlPr>
                                      <w:rPr>
                                        <w:rFonts w:ascii="Cambria Math" w:hAnsi="Cambria Math" w:cs="Times New Roman"/>
                                        <w:i/>
                                        <w:sz w:val="21"/>
                                        <w:szCs w:val="21"/>
                                      </w:rPr>
                                    </m:ctrlPr>
                                  </m:e>
                                  <m:sub>
                                    <m:r>
                                      <m:rPr/>
                                      <w:rPr>
                                        <w:rFonts w:ascii="Cambria Math" w:hAnsi="Cambria Math" w:cs="Times New Roman"/>
                                        <w:sz w:val="21"/>
                                        <w:szCs w:val="21"/>
                                      </w:rPr>
                                      <m:t>ref</m:t>
                                    </m:r>
                                    <m:ctrlPr>
                                      <w:rPr>
                                        <w:rFonts w:ascii="Cambria Math" w:hAnsi="Cambria Math" w:cs="Times New Roman"/>
                                        <w:i/>
                                        <w:sz w:val="21"/>
                                        <w:szCs w:val="21"/>
                                      </w:rPr>
                                    </m:ctrlPr>
                                  </m:sub>
                                </m:sSub>
                                <m:ctrlPr>
                                  <w:rPr>
                                    <w:rFonts w:ascii="Cambria Math" w:hAnsi="Cambria Math" w:cs="Times New Roman"/>
                                    <w:i/>
                                    <w:sz w:val="21"/>
                                    <w:szCs w:val="21"/>
                                  </w:rPr>
                                </m:ctrlPr>
                              </m:den>
                            </m:f>
                            <m:ctrlPr>
                              <w:rPr>
                                <w:rFonts w:ascii="Cambria Math" w:hAnsi="Cambria Math" w:cs="Times New Roman"/>
                                <w:i/>
                                <w:sz w:val="21"/>
                                <w:szCs w:val="21"/>
                              </w:rPr>
                            </m:ctrlPr>
                          </m:e>
                        </m:d>
                        <m:ctrlPr>
                          <w:rPr>
                            <w:rFonts w:ascii="Cambria Math" w:hAnsi="Cambria Math" w:cs="Times New Roman"/>
                            <w:i/>
                            <w:sz w:val="21"/>
                            <w:szCs w:val="21"/>
                          </w:rPr>
                        </m:ctrlPr>
                      </m:e>
                    </m:nary>
                    <m:ctrlPr>
                      <w:rPr>
                        <w:rFonts w:ascii="Cambria Math" w:hAnsi="Cambria Math" w:cs="Times New Roman"/>
                        <w:i/>
                        <w:sz w:val="21"/>
                        <w:szCs w:val="21"/>
                      </w:rPr>
                    </m:ctrlPr>
                  </m:e>
                  <m:sup>
                    <m:r>
                      <m:rPr/>
                      <w:rPr>
                        <w:rFonts w:ascii="Cambria Math" w:hAnsi="Cambria Math" w:cs="Times New Roman"/>
                        <w:sz w:val="21"/>
                        <w:szCs w:val="21"/>
                      </w:rPr>
                      <m:t>2</m:t>
                    </m:r>
                    <m:ctrlPr>
                      <w:rPr>
                        <w:rFonts w:ascii="Cambria Math" w:hAnsi="Cambria Math" w:cs="Times New Roman"/>
                        <w:i/>
                        <w:sz w:val="21"/>
                        <w:szCs w:val="21"/>
                      </w:rPr>
                    </m:ctrlPr>
                  </m:sup>
                </m:sSup>
                <m:r>
                  <m:rPr/>
                  <w:rPr>
                    <w:rFonts w:ascii="Cambria Math" w:hAnsi="Cambria Math" w:cs="Times New Roman"/>
                    <w:sz w:val="21"/>
                    <w:szCs w:val="21"/>
                  </w:rPr>
                  <m:t>dt</m:t>
                </m:r>
              </m:oMath>
            </m:oMathPara>
          </w:p>
        </w:tc>
        <w:tc>
          <w:tcPr>
            <w:tcW w:w="3340" w:type="dxa"/>
            <w:vAlign w:val="center"/>
          </w:tcPr>
          <w:p w14:paraId="19C60E28">
            <w:pPr>
              <w:spacing w:line="360" w:lineRule="auto"/>
              <w:jc w:val="righ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A</w:t>
            </w:r>
            <w:r>
              <w:rPr>
                <w:rFonts w:ascii="Times New Roman" w:hAnsi="Times New Roman" w:cs="Times New Roman"/>
              </w:rPr>
              <w:t>.4）</w:t>
            </w:r>
          </w:p>
        </w:tc>
      </w:tr>
    </w:tbl>
    <w:p w14:paraId="7A87CF51">
      <w:pPr>
        <w:ind w:left="719" w:leftChars="327"/>
        <w:rPr>
          <w:rFonts w:ascii="Times New Roman" w:hAnsi="Times New Roman" w:cs="Times New Roman"/>
          <w:sz w:val="21"/>
          <w:szCs w:val="21"/>
        </w:rPr>
      </w:pPr>
      <w:r>
        <w:rPr>
          <w:rFonts w:ascii="Times New Roman" w:hAnsi="Times New Roman" w:cs="Times New Roman"/>
          <w:sz w:val="21"/>
          <w:szCs w:val="21"/>
        </w:rPr>
        <w:t>式中：</w:t>
      </w:r>
    </w:p>
    <w:p w14:paraId="41938B46">
      <w:pPr>
        <w:ind w:left="719" w:leftChars="327"/>
        <w:rPr>
          <w:rFonts w:ascii="Times New Roman" w:hAnsi="Times New Roman" w:cs="Times New Roman"/>
          <w:sz w:val="21"/>
          <w:szCs w:val="21"/>
        </w:rPr>
      </w:pPr>
      <m:oMath>
        <m:sSub>
          <m:sSubPr>
            <m:ctrlPr>
              <w:rPr>
                <w:rFonts w:ascii="Cambria Math" w:hAnsi="Cambria Math" w:cs="Times New Roman"/>
                <w:i/>
                <w:sz w:val="21"/>
                <w:szCs w:val="21"/>
              </w:rPr>
            </m:ctrlPr>
          </m:sSubPr>
          <m:e>
            <m:r>
              <m:rPr/>
              <w:rPr>
                <w:rFonts w:ascii="Cambria Math" w:hAnsi="Cambria Math" w:cs="Times New Roman"/>
                <w:sz w:val="21"/>
                <w:szCs w:val="21"/>
              </w:rPr>
              <m:t>p</m:t>
            </m:r>
            <m:ctrlPr>
              <w:rPr>
                <w:rFonts w:ascii="Cambria Math" w:hAnsi="Cambria Math" w:cs="Times New Roman"/>
                <w:i/>
                <w:sz w:val="21"/>
                <w:szCs w:val="21"/>
              </w:rPr>
            </m:ctrlPr>
          </m:e>
          <m:sub>
            <m:r>
              <m:rPr/>
              <w:rPr>
                <w:rFonts w:ascii="Cambria Math" w:hAnsi="Cambria Math" w:cs="Times New Roman"/>
                <w:sz w:val="21"/>
                <w:szCs w:val="21"/>
              </w:rPr>
              <m:t>A,i</m:t>
            </m:r>
            <m:ctrlPr>
              <w:rPr>
                <w:rFonts w:ascii="Cambria Math" w:hAnsi="Cambria Math" w:cs="Times New Roman"/>
                <w:i/>
                <w:sz w:val="21"/>
                <w:szCs w:val="21"/>
              </w:rPr>
            </m:ctrlPr>
          </m:sub>
        </m:sSub>
      </m:oMath>
      <w:r>
        <w:rPr>
          <w:rFonts w:ascii="Times New Roman" w:hAnsi="Times New Roman" w:cs="Times New Roman"/>
          <w:sz w:val="21"/>
          <w:szCs w:val="21"/>
        </w:rPr>
        <w:t>：第i次测量所得到的A计权声压；</w:t>
      </w:r>
    </w:p>
    <w:p w14:paraId="1B20985E">
      <w:pPr>
        <w:ind w:left="719" w:leftChars="327"/>
        <w:rPr>
          <w:rFonts w:ascii="Times New Roman" w:hAnsi="Times New Roman" w:cs="Times New Roman"/>
          <w:sz w:val="21"/>
          <w:szCs w:val="21"/>
        </w:rPr>
      </w:pPr>
      <m:oMath>
        <m:sSub>
          <m:sSubPr>
            <m:ctrlPr>
              <w:rPr>
                <w:rFonts w:ascii="Cambria Math" w:hAnsi="Cambria Math" w:cs="Times New Roman"/>
                <w:i/>
                <w:sz w:val="21"/>
                <w:szCs w:val="21"/>
              </w:rPr>
            </m:ctrlPr>
          </m:sSubPr>
          <m:e>
            <m:r>
              <m:rPr/>
              <w:rPr>
                <w:rFonts w:ascii="Cambria Math" w:hAnsi="Cambria Math" w:cs="Times New Roman"/>
                <w:sz w:val="21"/>
                <w:szCs w:val="21"/>
              </w:rPr>
              <m:t>p</m:t>
            </m:r>
            <m:ctrlPr>
              <w:rPr>
                <w:rFonts w:ascii="Cambria Math" w:hAnsi="Cambria Math" w:cs="Times New Roman"/>
                <w:i/>
                <w:sz w:val="21"/>
                <w:szCs w:val="21"/>
              </w:rPr>
            </m:ctrlPr>
          </m:e>
          <m:sub>
            <m:r>
              <m:rPr/>
              <w:rPr>
                <w:rFonts w:ascii="Cambria Math" w:hAnsi="Cambria Math" w:cs="Times New Roman"/>
                <w:sz w:val="21"/>
                <w:szCs w:val="21"/>
              </w:rPr>
              <m:t>ref</m:t>
            </m:r>
            <m:ctrlPr>
              <w:rPr>
                <w:rFonts w:ascii="Cambria Math" w:hAnsi="Cambria Math" w:cs="Times New Roman"/>
                <w:i/>
                <w:sz w:val="21"/>
                <w:szCs w:val="21"/>
              </w:rPr>
            </m:ctrlPr>
          </m:sub>
        </m:sSub>
        <m:r>
          <m:rPr/>
          <w:rPr>
            <w:rFonts w:ascii="Cambria Math" w:hAnsi="Cambria Math" w:cs="Times New Roman"/>
            <w:sz w:val="21"/>
            <w:szCs w:val="21"/>
          </w:rPr>
          <m:t>=20μPa</m:t>
        </m:r>
      </m:oMath>
      <w:r>
        <w:rPr>
          <w:rFonts w:ascii="Times New Roman" w:hAnsi="Times New Roman" w:cs="Times New Roman"/>
          <w:sz w:val="21"/>
          <w:szCs w:val="21"/>
        </w:rPr>
        <w:t>：参考声压大小；</w:t>
      </w:r>
    </w:p>
    <w:p w14:paraId="36ECD5CC">
      <w:pPr>
        <w:ind w:left="719" w:leftChars="327"/>
        <w:rPr>
          <w:rFonts w:ascii="Times New Roman" w:hAnsi="Times New Roman" w:cs="Times New Roman"/>
          <w:sz w:val="21"/>
          <w:szCs w:val="21"/>
        </w:rPr>
      </w:pPr>
      <m:oMath>
        <m:r>
          <m:rPr/>
          <w:rPr>
            <w:rFonts w:ascii="Cambria Math" w:hAnsi="Cambria Math" w:cs="Times New Roman"/>
            <w:sz w:val="21"/>
            <w:szCs w:val="21"/>
          </w:rPr>
          <m:t>△t=</m:t>
        </m:r>
        <m:sSub>
          <m:sSubPr>
            <m:ctrlPr>
              <w:rPr>
                <w:rFonts w:ascii="Cambria Math" w:hAnsi="Cambria Math" w:cs="Times New Roman"/>
                <w:i/>
                <w:sz w:val="21"/>
                <w:szCs w:val="21"/>
              </w:rPr>
            </m:ctrlPr>
          </m:sSubPr>
          <m:e>
            <m:r>
              <m:rPr/>
              <w:rPr>
                <w:rFonts w:ascii="Cambria Math" w:hAnsi="Cambria Math" w:cs="Times New Roman"/>
                <w:sz w:val="21"/>
                <w:szCs w:val="21"/>
              </w:rPr>
              <m:t>t</m:t>
            </m:r>
            <m:ctrlPr>
              <w:rPr>
                <w:rFonts w:ascii="Cambria Math" w:hAnsi="Cambria Math" w:cs="Times New Roman"/>
                <w:i/>
                <w:sz w:val="21"/>
                <w:szCs w:val="21"/>
              </w:rPr>
            </m:ctrlPr>
          </m:e>
          <m:sub>
            <m:r>
              <m:rPr/>
              <w:rPr>
                <w:rFonts w:ascii="Cambria Math" w:hAnsi="Cambria Math" w:cs="Times New Roman"/>
                <w:sz w:val="21"/>
                <w:szCs w:val="21"/>
              </w:rPr>
              <m:t>2</m:t>
            </m:r>
            <m:ctrlPr>
              <w:rPr>
                <w:rFonts w:ascii="Cambria Math" w:hAnsi="Cambria Math" w:cs="Times New Roman"/>
                <w:i/>
                <w:sz w:val="21"/>
                <w:szCs w:val="21"/>
              </w:rPr>
            </m:ctrlPr>
          </m:sub>
        </m:sSub>
        <m:r>
          <m:rPr/>
          <w:rPr>
            <w:rFonts w:ascii="Cambria Math" w:hAnsi="Cambria Math" w:cs="Times New Roman"/>
            <w:sz w:val="21"/>
            <w:szCs w:val="21"/>
          </w:rPr>
          <m:t>−</m:t>
        </m:r>
        <m:sSub>
          <m:sSubPr>
            <m:ctrlPr>
              <w:rPr>
                <w:rFonts w:ascii="Cambria Math" w:hAnsi="Cambria Math" w:cs="Times New Roman"/>
                <w:i/>
                <w:sz w:val="21"/>
                <w:szCs w:val="21"/>
              </w:rPr>
            </m:ctrlPr>
          </m:sSubPr>
          <m:e>
            <m:r>
              <m:rPr/>
              <w:rPr>
                <w:rFonts w:ascii="Cambria Math" w:hAnsi="Cambria Math" w:cs="Times New Roman"/>
                <w:sz w:val="21"/>
                <w:szCs w:val="21"/>
              </w:rPr>
              <m:t>t</m:t>
            </m:r>
            <m:ctrlPr>
              <w:rPr>
                <w:rFonts w:ascii="Cambria Math" w:hAnsi="Cambria Math" w:cs="Times New Roman"/>
                <w:i/>
                <w:sz w:val="21"/>
                <w:szCs w:val="21"/>
              </w:rPr>
            </m:ctrlPr>
          </m:e>
          <m:sub>
            <m:r>
              <m:rPr/>
              <w:rPr>
                <w:rFonts w:ascii="Cambria Math" w:hAnsi="Cambria Math" w:cs="Times New Roman"/>
                <w:sz w:val="21"/>
                <w:szCs w:val="21"/>
              </w:rPr>
              <m:t>1</m:t>
            </m:r>
            <m:ctrlPr>
              <w:rPr>
                <w:rFonts w:ascii="Cambria Math" w:hAnsi="Cambria Math" w:cs="Times New Roman"/>
                <w:i/>
                <w:sz w:val="21"/>
                <w:szCs w:val="21"/>
              </w:rPr>
            </m:ctrlPr>
          </m:sub>
        </m:sSub>
      </m:oMath>
      <w:r>
        <w:rPr>
          <w:rFonts w:ascii="Times New Roman" w:hAnsi="Times New Roman" w:cs="Times New Roman"/>
          <w:sz w:val="21"/>
          <w:szCs w:val="21"/>
        </w:rPr>
        <w:t>：测试时间长度,为测量起始时间,tz为测量终止时间；</w:t>
      </w:r>
    </w:p>
    <w:p w14:paraId="30BB1290">
      <w:pPr>
        <w:ind w:left="719" w:leftChars="327"/>
        <w:rPr>
          <w:rFonts w:ascii="Times New Roman" w:hAnsi="Times New Roman" w:cs="Times New Roman"/>
          <w:sz w:val="21"/>
          <w:szCs w:val="21"/>
        </w:rPr>
      </w:pPr>
      <w:r>
        <w:rPr>
          <w:rFonts w:ascii="Times New Roman" w:hAnsi="Times New Roman" w:cs="Times New Roman"/>
          <w:sz w:val="21"/>
          <w:szCs w:val="21"/>
        </w:rPr>
        <w:t>i：第i次重复测量。</w:t>
      </w:r>
    </w:p>
    <w:p w14:paraId="14689D29">
      <w:pPr>
        <w:ind w:firstLine="420" w:firstLineChars="200"/>
        <w:rPr>
          <w:rFonts w:ascii="Times New Roman" w:hAnsi="Times New Roman" w:cs="Times New Roman"/>
          <w:sz w:val="21"/>
          <w:szCs w:val="21"/>
        </w:rPr>
      </w:pPr>
      <w:r>
        <w:rPr>
          <w:rFonts w:ascii="Times New Roman" w:hAnsi="Times New Roman" w:cs="Times New Roman"/>
          <w:sz w:val="21"/>
          <w:szCs w:val="21"/>
        </w:rPr>
        <w:t>6）还同时测量环境的温度T:(单位为℃)和相对湿度值(RH</w:t>
      </w:r>
      <w:r>
        <w:rPr>
          <w:rFonts w:ascii="Times New Roman" w:hAnsi="Times New Roman" w:cs="Times New Roman"/>
          <w:sz w:val="21"/>
          <w:szCs w:val="21"/>
          <w:vertAlign w:val="subscript"/>
        </w:rPr>
        <w:t>i</w:t>
      </w:r>
      <w:r>
        <w:rPr>
          <w:rFonts w:ascii="Times New Roman" w:hAnsi="Times New Roman" w:cs="Times New Roman"/>
          <w:sz w:val="21"/>
          <w:szCs w:val="21"/>
        </w:rPr>
        <w:t>)。在满足相关规定的条件下，根据GB42590-2023《民用无人驾驶航空器系统安全要求》中5.14.2要求，对悬停状态的声压级测试SPL</w:t>
      </w:r>
      <w:r>
        <w:rPr>
          <w:rFonts w:ascii="Times New Roman" w:hAnsi="Times New Roman" w:cs="Times New Roman"/>
          <w:sz w:val="21"/>
          <w:szCs w:val="21"/>
          <w:vertAlign w:val="subscript"/>
        </w:rPr>
        <w:t>i</w:t>
      </w:r>
      <w:r>
        <w:rPr>
          <w:rFonts w:ascii="Times New Roman" w:hAnsi="Times New Roman" w:cs="Times New Roman"/>
          <w:sz w:val="21"/>
          <w:szCs w:val="21"/>
        </w:rPr>
        <w:t>进行修正。</w:t>
      </w:r>
    </w:p>
    <w:p w14:paraId="69AB61D0">
      <w:pPr>
        <w:spacing w:beforeLines="50" w:afterLines="50"/>
        <w:ind w:firstLine="420" w:firstLineChars="200"/>
        <w:jc w:val="center"/>
        <w:rPr>
          <w:rFonts w:ascii="Times New Roman" w:hAnsi="Times New Roman" w:cs="Times New Roman"/>
          <w:sz w:val="21"/>
          <w:szCs w:val="21"/>
        </w:rPr>
      </w:pPr>
      <w:r>
        <w:rPr>
          <w:rFonts w:hint="eastAsia" w:ascii="Times New Roman" w:hAnsi="Times New Roman" w:cs="Times New Roman"/>
          <w:sz w:val="21"/>
          <w:szCs w:val="21"/>
        </w:rPr>
        <w:t>表</w:t>
      </w:r>
      <w:r>
        <w:rPr>
          <w:rFonts w:ascii="Times New Roman" w:hAnsi="Times New Roman" w:cs="Times New Roman"/>
          <w:sz w:val="21"/>
          <w:szCs w:val="21"/>
        </w:rPr>
        <w:t xml:space="preserve">2 </w:t>
      </w:r>
      <w:r>
        <w:rPr>
          <w:rFonts w:hint="eastAsia" w:ascii="Times New Roman" w:hAnsi="Times New Roman" w:cs="Times New Roman"/>
          <w:sz w:val="21"/>
          <w:szCs w:val="21"/>
        </w:rPr>
        <w:t>飞行状态下无人机噪声测量结果相对湿度和温度修正关系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0"/>
        <w:gridCol w:w="5010"/>
      </w:tblGrid>
      <w:tr w14:paraId="695C97B8">
        <w:trPr>
          <w:jc w:val="center"/>
        </w:trPr>
        <w:tc>
          <w:tcPr>
            <w:tcW w:w="5010" w:type="dxa"/>
            <w:vAlign w:val="center"/>
          </w:tcPr>
          <w:p w14:paraId="3088EEC6">
            <w:pPr>
              <w:jc w:val="center"/>
              <w:rPr>
                <w:rFonts w:ascii="Times New Roman" w:hAnsi="Times New Roman" w:cs="Times New Roman"/>
                <w:sz w:val="18"/>
                <w:szCs w:val="18"/>
              </w:rPr>
            </w:pPr>
            <m:oMath>
              <m:r>
                <m:rPr/>
                <w:rPr>
                  <w:rFonts w:ascii="Cambria Math" w:hAnsi="Cambria Math" w:cs="Times New Roman"/>
                  <w:sz w:val="18"/>
                  <w:szCs w:val="18"/>
                </w:rPr>
                <m:t>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和</m:t>
              </m:r>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oMath>
            <w:r>
              <w:rPr>
                <w:rFonts w:ascii="Times New Roman" w:hAnsi="Times New Roman" w:cs="Times New Roman"/>
                <w:sz w:val="18"/>
                <w:szCs w:val="18"/>
              </w:rPr>
              <w:t>所满足的条件</w:t>
            </w:r>
          </w:p>
        </w:tc>
        <w:tc>
          <w:tcPr>
            <w:tcW w:w="5010" w:type="dxa"/>
            <w:vAlign w:val="center"/>
          </w:tcPr>
          <w:p w14:paraId="6F5C8310">
            <w:pPr>
              <w:jc w:val="center"/>
              <w:rPr>
                <w:rFonts w:ascii="Times New Roman" w:hAnsi="Times New Roman" w:cs="Times New Roman"/>
                <w:sz w:val="18"/>
                <w:szCs w:val="18"/>
              </w:rPr>
            </w:pPr>
            <w:r>
              <w:rPr>
                <w:rFonts w:ascii="Times New Roman" w:hAnsi="Times New Roman" w:cs="Times New Roman"/>
                <w:sz w:val="18"/>
                <w:szCs w:val="18"/>
              </w:rPr>
              <w:t>修正公式</w:t>
            </w:r>
          </w:p>
        </w:tc>
      </w:tr>
      <w:tr w14:paraId="6F7D1307">
        <w:trPr>
          <w:jc w:val="center"/>
        </w:trPr>
        <w:tc>
          <w:tcPr>
            <w:tcW w:w="5010" w:type="dxa"/>
            <w:vAlign w:val="center"/>
          </w:tcPr>
          <w:p w14:paraId="2555B5AD">
            <w:pPr>
              <w:jc w:val="center"/>
              <w:rPr>
                <w:rFonts w:ascii="Times New Roman" w:hAnsi="Times New Roman" w:cs="Times New Roman"/>
                <w:sz w:val="18"/>
                <w:szCs w:val="18"/>
              </w:rPr>
            </w:pPr>
            <m:oMathPara>
              <m:oMath>
                <m:r>
                  <m:rPr/>
                  <w:rPr>
                    <w:rFonts w:ascii="Cambria Math" w:hAnsi="Cambria Math" w:cs="Times New Roman"/>
                    <w:sz w:val="18"/>
                    <w:szCs w:val="18"/>
                  </w:rPr>
                  <m:t>23≤R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≤87且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＜−7.84×1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−5</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+1.795×1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−1.65R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+64.36</m:t>
                </m:r>
              </m:oMath>
            </m:oMathPara>
          </w:p>
        </w:tc>
        <w:tc>
          <w:tcPr>
            <w:tcW w:w="5010" w:type="dxa"/>
            <w:vMerge w:val="restart"/>
            <w:vAlign w:val="center"/>
          </w:tcPr>
          <w:p w14:paraId="407BD19A">
            <w:pPr>
              <w:jc w:val="center"/>
              <w:rPr>
                <w:rFonts w:ascii="Times New Roman" w:hAnsi="Times New Roman" w:cs="Times New Roman"/>
                <w:sz w:val="18"/>
                <w:szCs w:val="18"/>
              </w:rPr>
            </w:pPr>
            <m:oMathPara>
              <m:oMath>
                <m:r>
                  <m:rPr/>
                  <w:rPr>
                    <w:rFonts w:ascii="Cambria Math" w:hAnsi="Cambria Math" w:cs="Times New Roman"/>
                    <w:sz w:val="18"/>
                    <w:szCs w:val="18"/>
                  </w:rPr>
                  <m:t>SP</m:t>
                </m:r>
                <m:sSubSup>
                  <m:sSubSupPr>
                    <m:ctrlPr>
                      <w:rPr>
                        <w:rFonts w:ascii="Cambria Math" w:hAnsi="Cambria Math" w:cs="Times New Roman"/>
                        <w:i/>
                        <w:sz w:val="18"/>
                        <w:szCs w:val="18"/>
                      </w:rPr>
                    </m:ctrlPr>
                  </m:sSubSup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m:t>
                    </m:r>
                    <m:ctrlPr>
                      <w:rPr>
                        <w:rFonts w:ascii="Cambria Math" w:hAnsi="Cambria Math" w:cs="Times New Roman"/>
                        <w:i/>
                        <w:sz w:val="18"/>
                        <w:szCs w:val="18"/>
                      </w:rPr>
                    </m:ctrlPr>
                  </m:sup>
                </m:sSubSup>
                <m:r>
                  <m:rPr/>
                  <w:rPr>
                    <w:rFonts w:ascii="Cambria Math" w:hAnsi="Cambria Math" w:cs="Times New Roman"/>
                    <w:sz w:val="18"/>
                    <w:szCs w:val="18"/>
                  </w:rPr>
                  <m:t>=SP</m:t>
                </m:r>
                <m:sSub>
                  <m:sSubPr>
                    <m:ctrlPr>
                      <w:rPr>
                        <w:rFonts w:ascii="Cambria Math" w:hAnsi="Cambria Math" w:cs="Times New Roman"/>
                        <w:i/>
                        <w:sz w:val="18"/>
                        <w:szCs w:val="18"/>
                      </w:rPr>
                    </m:ctrlPr>
                  </m:sSub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+0.1dB(A)</m:t>
                </m:r>
              </m:oMath>
            </m:oMathPara>
          </w:p>
        </w:tc>
      </w:tr>
      <w:tr w14:paraId="424FD640">
        <w:trPr>
          <w:jc w:val="center"/>
        </w:trPr>
        <w:tc>
          <w:tcPr>
            <w:tcW w:w="5010" w:type="dxa"/>
            <w:vAlign w:val="center"/>
          </w:tcPr>
          <w:p w14:paraId="15E9C345">
            <w:pPr>
              <w:jc w:val="center"/>
              <w:rPr>
                <w:rFonts w:ascii="Times New Roman" w:hAnsi="Times New Roman" w:cs="Times New Roman"/>
                <w:sz w:val="18"/>
                <w:szCs w:val="18"/>
              </w:rPr>
            </w:pPr>
            <m:oMathPara>
              <m:oMath>
                <m:r>
                  <m:rPr/>
                  <w:rPr>
                    <w:rFonts w:ascii="Cambria Math" w:hAnsi="Cambria Math" w:cs="Times New Roman"/>
                    <w:sz w:val="18"/>
                    <w:szCs w:val="18"/>
                  </w:rPr>
                  <m:t>21≤R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≤79且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≥−1.03×1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+2.14×1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−1.798R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+64.27</m:t>
                </m:r>
              </m:oMath>
            </m:oMathPara>
          </w:p>
        </w:tc>
        <w:tc>
          <w:tcPr>
            <w:tcW w:w="5010" w:type="dxa"/>
            <w:vMerge w:val="continue"/>
            <w:vAlign w:val="center"/>
          </w:tcPr>
          <w:p w14:paraId="25DBB08D">
            <w:pPr>
              <w:jc w:val="center"/>
              <w:rPr>
                <w:rFonts w:ascii="Times New Roman" w:hAnsi="Times New Roman" w:cs="Times New Roman"/>
                <w:sz w:val="18"/>
                <w:szCs w:val="18"/>
              </w:rPr>
            </w:pPr>
          </w:p>
        </w:tc>
      </w:tr>
      <w:tr w14:paraId="40A00DAA">
        <w:trPr>
          <w:jc w:val="center"/>
        </w:trPr>
        <w:tc>
          <w:tcPr>
            <w:tcW w:w="5010" w:type="dxa"/>
            <w:vAlign w:val="center"/>
          </w:tcPr>
          <w:p w14:paraId="1DE0FDC9">
            <w:pPr>
              <w:jc w:val="center"/>
              <w:rPr>
                <w:rFonts w:ascii="Times New Roman" w:hAnsi="Times New Roman" w:cs="Times New Roman"/>
                <w:sz w:val="18"/>
                <w:szCs w:val="18"/>
              </w:rPr>
            </w:pPr>
            <m:oMathPara>
              <m:oMath>
                <m:r>
                  <m:rPr/>
                  <w:rPr>
                    <w:rFonts w:ascii="Cambria Math" w:hAnsi="Cambria Math" w:cs="Times New Roman"/>
                    <w:sz w:val="18"/>
                    <w:szCs w:val="18"/>
                  </w:rPr>
                  <m:t>21≤R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≤79且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＜−1.03×1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+2.14×1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−1.798R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+64.27</m:t>
                </m:r>
              </m:oMath>
            </m:oMathPara>
          </w:p>
        </w:tc>
        <w:tc>
          <w:tcPr>
            <w:tcW w:w="5010" w:type="dxa"/>
            <w:vMerge w:val="restart"/>
            <w:vAlign w:val="center"/>
          </w:tcPr>
          <w:p w14:paraId="40E4F969">
            <w:pPr>
              <w:jc w:val="center"/>
              <w:rPr>
                <w:rFonts w:ascii="Times New Roman" w:hAnsi="Times New Roman" w:cs="Times New Roman"/>
                <w:sz w:val="18"/>
                <w:szCs w:val="18"/>
              </w:rPr>
            </w:pPr>
            <m:oMathPara>
              <m:oMath>
                <m:r>
                  <m:rPr/>
                  <w:rPr>
                    <w:rFonts w:ascii="Cambria Math" w:hAnsi="Cambria Math" w:cs="Times New Roman"/>
                    <w:sz w:val="18"/>
                    <w:szCs w:val="18"/>
                  </w:rPr>
                  <m:t>SP</m:t>
                </m:r>
                <m:sSubSup>
                  <m:sSubSupPr>
                    <m:ctrlPr>
                      <w:rPr>
                        <w:rFonts w:ascii="Cambria Math" w:hAnsi="Cambria Math" w:cs="Times New Roman"/>
                        <w:i/>
                        <w:sz w:val="18"/>
                        <w:szCs w:val="18"/>
                      </w:rPr>
                    </m:ctrlPr>
                  </m:sSubSup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m:t>
                    </m:r>
                    <m:ctrlPr>
                      <w:rPr>
                        <w:rFonts w:ascii="Cambria Math" w:hAnsi="Cambria Math" w:cs="Times New Roman"/>
                        <w:i/>
                        <w:sz w:val="18"/>
                        <w:szCs w:val="18"/>
                      </w:rPr>
                    </m:ctrlPr>
                  </m:sup>
                </m:sSubSup>
                <m:r>
                  <m:rPr/>
                  <w:rPr>
                    <w:rFonts w:ascii="Cambria Math" w:hAnsi="Cambria Math" w:cs="Times New Roman"/>
                    <w:sz w:val="18"/>
                    <w:szCs w:val="18"/>
                  </w:rPr>
                  <m:t>=SP</m:t>
                </m:r>
                <m:sSub>
                  <m:sSubPr>
                    <m:ctrlPr>
                      <w:rPr>
                        <w:rFonts w:ascii="Cambria Math" w:hAnsi="Cambria Math" w:cs="Times New Roman"/>
                        <w:i/>
                        <w:sz w:val="18"/>
                        <w:szCs w:val="18"/>
                      </w:rPr>
                    </m:ctrlPr>
                  </m:sSub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+0.2dB(A)</m:t>
                </m:r>
              </m:oMath>
            </m:oMathPara>
          </w:p>
        </w:tc>
      </w:tr>
      <w:tr w14:paraId="15AAD438">
        <w:trPr>
          <w:jc w:val="center"/>
        </w:trPr>
        <w:tc>
          <w:tcPr>
            <w:tcW w:w="5010" w:type="dxa"/>
            <w:vAlign w:val="center"/>
          </w:tcPr>
          <w:p w14:paraId="7AE3E9AC">
            <w:pPr>
              <w:jc w:val="center"/>
              <w:rPr>
                <w:rFonts w:ascii="Times New Roman" w:hAnsi="Times New Roman" w:cs="Times New Roman"/>
                <w:sz w:val="18"/>
                <w:szCs w:val="18"/>
              </w:rPr>
            </w:pPr>
            <m:oMathPara>
              <m:oMath>
                <m:r>
                  <m:rPr/>
                  <w:rPr>
                    <w:rFonts w:ascii="Cambria Math" w:hAnsi="Cambria Math" w:cs="Times New Roman"/>
                    <w:sz w:val="18"/>
                    <w:szCs w:val="18"/>
                  </w:rPr>
                  <m:t>20≤R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≤71且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≥−1.318×1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+2.5×1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−1.94R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+63.85</m:t>
                </m:r>
              </m:oMath>
            </m:oMathPara>
          </w:p>
        </w:tc>
        <w:tc>
          <w:tcPr>
            <w:tcW w:w="5010" w:type="dxa"/>
            <w:vMerge w:val="continue"/>
            <w:vAlign w:val="center"/>
          </w:tcPr>
          <w:p w14:paraId="0435885A">
            <w:pPr>
              <w:jc w:val="center"/>
              <w:rPr>
                <w:rFonts w:ascii="Times New Roman" w:hAnsi="Times New Roman" w:cs="Times New Roman"/>
                <w:sz w:val="18"/>
                <w:szCs w:val="18"/>
              </w:rPr>
            </w:pPr>
          </w:p>
        </w:tc>
      </w:tr>
      <w:tr w14:paraId="6F931E32">
        <w:trPr>
          <w:jc w:val="center"/>
        </w:trPr>
        <w:tc>
          <w:tcPr>
            <w:tcW w:w="5010" w:type="dxa"/>
            <w:vAlign w:val="center"/>
          </w:tcPr>
          <w:p w14:paraId="274C67AB">
            <w:pPr>
              <w:jc w:val="center"/>
              <w:rPr>
                <w:rFonts w:ascii="Times New Roman" w:hAnsi="Times New Roman" w:cs="Times New Roman"/>
                <w:sz w:val="18"/>
                <w:szCs w:val="18"/>
              </w:rPr>
            </w:pPr>
            <m:oMathPara>
              <m:oMath>
                <m:r>
                  <m:rPr/>
                  <w:rPr>
                    <w:rFonts w:ascii="Cambria Math" w:hAnsi="Cambria Math" w:cs="Times New Roman"/>
                    <w:sz w:val="18"/>
                    <w:szCs w:val="18"/>
                  </w:rPr>
                  <m:t>20≤R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≤71且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＜−1.318×1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+2.5×1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−1.94R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+63.85</m:t>
                </m:r>
              </m:oMath>
            </m:oMathPara>
          </w:p>
        </w:tc>
        <w:tc>
          <w:tcPr>
            <w:tcW w:w="5010" w:type="dxa"/>
            <w:vMerge w:val="restart"/>
            <w:vAlign w:val="center"/>
          </w:tcPr>
          <w:p w14:paraId="3ACE82A8">
            <w:pPr>
              <w:jc w:val="center"/>
              <w:rPr>
                <w:rFonts w:ascii="Times New Roman" w:hAnsi="Times New Roman" w:cs="Times New Roman"/>
                <w:sz w:val="18"/>
                <w:szCs w:val="18"/>
              </w:rPr>
            </w:pPr>
            <m:oMathPara>
              <m:oMath>
                <m:r>
                  <m:rPr/>
                  <w:rPr>
                    <w:rFonts w:ascii="Cambria Math" w:hAnsi="Cambria Math" w:cs="Times New Roman"/>
                    <w:sz w:val="18"/>
                    <w:szCs w:val="18"/>
                  </w:rPr>
                  <m:t>SP</m:t>
                </m:r>
                <m:sSubSup>
                  <m:sSubSupPr>
                    <m:ctrlPr>
                      <w:rPr>
                        <w:rFonts w:ascii="Cambria Math" w:hAnsi="Cambria Math" w:cs="Times New Roman"/>
                        <w:i/>
                        <w:sz w:val="18"/>
                        <w:szCs w:val="18"/>
                      </w:rPr>
                    </m:ctrlPr>
                  </m:sSubSup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m:t>
                    </m:r>
                    <m:ctrlPr>
                      <w:rPr>
                        <w:rFonts w:ascii="Cambria Math" w:hAnsi="Cambria Math" w:cs="Times New Roman"/>
                        <w:i/>
                        <w:sz w:val="18"/>
                        <w:szCs w:val="18"/>
                      </w:rPr>
                    </m:ctrlPr>
                  </m:sup>
                </m:sSubSup>
                <m:r>
                  <m:rPr/>
                  <w:rPr>
                    <w:rFonts w:ascii="Cambria Math" w:hAnsi="Cambria Math" w:cs="Times New Roman"/>
                    <w:sz w:val="18"/>
                    <w:szCs w:val="18"/>
                  </w:rPr>
                  <m:t>=SP</m:t>
                </m:r>
                <m:sSub>
                  <m:sSubPr>
                    <m:ctrlPr>
                      <w:rPr>
                        <w:rFonts w:ascii="Cambria Math" w:hAnsi="Cambria Math" w:cs="Times New Roman"/>
                        <w:i/>
                        <w:sz w:val="18"/>
                        <w:szCs w:val="18"/>
                      </w:rPr>
                    </m:ctrlPr>
                  </m:sSub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+0.3dB(A)</m:t>
                </m:r>
              </m:oMath>
            </m:oMathPara>
          </w:p>
        </w:tc>
      </w:tr>
      <w:tr w14:paraId="2A043086">
        <w:trPr>
          <w:jc w:val="center"/>
        </w:trPr>
        <w:tc>
          <w:tcPr>
            <w:tcW w:w="5010" w:type="dxa"/>
            <w:vAlign w:val="center"/>
          </w:tcPr>
          <w:p w14:paraId="14E755EE">
            <w:pPr>
              <w:jc w:val="center"/>
              <w:rPr>
                <w:rFonts w:ascii="Times New Roman" w:hAnsi="Times New Roman" w:cs="Times New Roman"/>
                <w:sz w:val="18"/>
                <w:szCs w:val="18"/>
              </w:rPr>
            </w:pPr>
            <m:oMathPara>
              <m:oMath>
                <m:r>
                  <m:rPr/>
                  <w:rPr>
                    <w:rFonts w:ascii="Cambria Math" w:hAnsi="Cambria Math" w:cs="Times New Roman"/>
                    <w:sz w:val="18"/>
                    <w:szCs w:val="18"/>
                  </w:rPr>
                  <m:t>20≤R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≤64且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≥−1.65×1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+2.87×1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−2.07R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+63.2</m:t>
                </m:r>
              </m:oMath>
            </m:oMathPara>
          </w:p>
        </w:tc>
        <w:tc>
          <w:tcPr>
            <w:tcW w:w="5010" w:type="dxa"/>
            <w:vMerge w:val="continue"/>
            <w:vAlign w:val="center"/>
          </w:tcPr>
          <w:p w14:paraId="21EEAE73">
            <w:pPr>
              <w:jc w:val="center"/>
              <w:rPr>
                <w:rFonts w:ascii="Times New Roman" w:hAnsi="Times New Roman" w:cs="Times New Roman"/>
                <w:sz w:val="18"/>
                <w:szCs w:val="18"/>
              </w:rPr>
            </w:pPr>
          </w:p>
        </w:tc>
      </w:tr>
      <w:tr w14:paraId="3949D463">
        <w:trPr>
          <w:jc w:val="center"/>
        </w:trPr>
        <w:tc>
          <w:tcPr>
            <w:tcW w:w="5010" w:type="dxa"/>
            <w:vAlign w:val="center"/>
          </w:tcPr>
          <w:p w14:paraId="3DB938C4">
            <w:pPr>
              <w:jc w:val="center"/>
              <w:rPr>
                <w:rFonts w:ascii="Times New Roman" w:hAnsi="Times New Roman" w:cs="Times New Roman"/>
                <w:sz w:val="18"/>
                <w:szCs w:val="18"/>
              </w:rPr>
            </w:pPr>
            <m:oMathPara>
              <m:oMath>
                <m:r>
                  <m:rPr/>
                  <w:rPr>
                    <w:rFonts w:ascii="Cambria Math" w:hAnsi="Cambria Math" w:cs="Times New Roman"/>
                    <w:sz w:val="18"/>
                    <w:szCs w:val="18"/>
                  </w:rPr>
                  <m:t>20≤R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≤64且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＜−1.65×1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+2.87×1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−2.07R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+63.2</m:t>
                </m:r>
              </m:oMath>
            </m:oMathPara>
          </w:p>
        </w:tc>
        <w:tc>
          <w:tcPr>
            <w:tcW w:w="5010" w:type="dxa"/>
            <w:vMerge w:val="restart"/>
            <w:vAlign w:val="center"/>
          </w:tcPr>
          <w:p w14:paraId="6678A5AA">
            <w:pPr>
              <w:jc w:val="center"/>
              <w:rPr>
                <w:rFonts w:ascii="Times New Roman" w:hAnsi="Times New Roman" w:cs="Times New Roman"/>
                <w:sz w:val="18"/>
                <w:szCs w:val="18"/>
              </w:rPr>
            </w:pPr>
            <m:oMathPara>
              <m:oMath>
                <m:r>
                  <m:rPr/>
                  <w:rPr>
                    <w:rFonts w:ascii="Cambria Math" w:hAnsi="Cambria Math" w:cs="Times New Roman"/>
                    <w:sz w:val="18"/>
                    <w:szCs w:val="18"/>
                  </w:rPr>
                  <m:t>SP</m:t>
                </m:r>
                <m:sSubSup>
                  <m:sSubSupPr>
                    <m:ctrlPr>
                      <w:rPr>
                        <w:rFonts w:ascii="Cambria Math" w:hAnsi="Cambria Math" w:cs="Times New Roman"/>
                        <w:i/>
                        <w:sz w:val="18"/>
                        <w:szCs w:val="18"/>
                      </w:rPr>
                    </m:ctrlPr>
                  </m:sSubSup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m:t>
                    </m:r>
                    <m:ctrlPr>
                      <w:rPr>
                        <w:rFonts w:ascii="Cambria Math" w:hAnsi="Cambria Math" w:cs="Times New Roman"/>
                        <w:i/>
                        <w:sz w:val="18"/>
                        <w:szCs w:val="18"/>
                      </w:rPr>
                    </m:ctrlPr>
                  </m:sup>
                </m:sSubSup>
                <m:r>
                  <m:rPr/>
                  <w:rPr>
                    <w:rFonts w:ascii="Cambria Math" w:hAnsi="Cambria Math" w:cs="Times New Roman"/>
                    <w:sz w:val="18"/>
                    <w:szCs w:val="18"/>
                  </w:rPr>
                  <m:t>=SP</m:t>
                </m:r>
                <m:sSub>
                  <m:sSubPr>
                    <m:ctrlPr>
                      <w:rPr>
                        <w:rFonts w:ascii="Cambria Math" w:hAnsi="Cambria Math" w:cs="Times New Roman"/>
                        <w:i/>
                        <w:sz w:val="18"/>
                        <w:szCs w:val="18"/>
                      </w:rPr>
                    </m:ctrlPr>
                  </m:sSub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+0.4dB(A)</m:t>
                </m:r>
              </m:oMath>
            </m:oMathPara>
          </w:p>
        </w:tc>
      </w:tr>
      <w:tr w14:paraId="28051AF7">
        <w:trPr>
          <w:jc w:val="center"/>
        </w:trPr>
        <w:tc>
          <w:tcPr>
            <w:tcW w:w="5010" w:type="dxa"/>
            <w:vAlign w:val="center"/>
          </w:tcPr>
          <w:p w14:paraId="71520681">
            <w:pPr>
              <w:jc w:val="center"/>
              <w:rPr>
                <w:rFonts w:ascii="Times New Roman" w:hAnsi="Times New Roman" w:cs="Times New Roman"/>
                <w:sz w:val="18"/>
                <w:szCs w:val="18"/>
              </w:rPr>
            </w:pPr>
            <m:oMathPara>
              <m:oMath>
                <m:r>
                  <m:rPr/>
                  <w:rPr>
                    <w:rFonts w:ascii="Cambria Math" w:hAnsi="Cambria Math" w:cs="Times New Roman"/>
                    <w:sz w:val="18"/>
                    <w:szCs w:val="18"/>
                  </w:rPr>
                  <m:t>20≤R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≤56且</m:t>
                </m:r>
                <m:r>
                  <m:rPr>
                    <m:sty m:val="p"/>
                  </m:rPr>
                  <w:rPr>
                    <w:rFonts w:ascii="Cambria Math" w:hAnsi="Cambria Math" w:cs="Times New Roman"/>
                    <w:sz w:val="18"/>
                    <w:szCs w:val="18"/>
                  </w:rPr>
                  <w:br w:type="textWrapping"/>
                </m:r>
              </m:oMath>
            </m:oMathPara>
            <m:oMathPara>
              <m:oMath>
                <m:sSub>
                  <m:sSubPr>
                    <m:ctrlPr>
                      <w:rPr>
                        <w:rFonts w:ascii="Cambria Math" w:hAnsi="Cambria Math" w:cs="Times New Roman"/>
                        <w:i/>
                        <w:sz w:val="18"/>
                        <w:szCs w:val="18"/>
                      </w:rPr>
                    </m:ctrlPr>
                  </m:sSubPr>
                  <m:e>
                    <m:r>
                      <m:rPr/>
                      <w:rPr>
                        <w:rFonts w:ascii="Cambria Math" w:hAnsi="Cambria Math" w:cs="Times New Roman"/>
                        <w:sz w:val="18"/>
                        <w:szCs w:val="18"/>
                      </w:rPr>
                      <m:t>T</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≥−2.43×1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−4</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3</m:t>
                    </m:r>
                    <m:ctrlPr>
                      <w:rPr>
                        <w:rFonts w:ascii="Cambria Math" w:hAnsi="Cambria Math" w:cs="Times New Roman"/>
                        <w:i/>
                        <w:sz w:val="18"/>
                        <w:szCs w:val="18"/>
                      </w:rPr>
                    </m:ctrlPr>
                  </m:sup>
                </m:sSubSup>
                <m:r>
                  <m:rPr>
                    <m:sty m:val="p"/>
                  </m:rPr>
                  <w:rPr>
                    <w:rFonts w:ascii="Cambria Math" w:hAnsi="Cambria Math" w:cs="Times New Roman"/>
                    <w:sz w:val="18"/>
                    <w:szCs w:val="18"/>
                  </w:rPr>
                  <w:br w:type="textWrapping"/>
                </m:r>
              </m:oMath>
            </m:oMathPara>
            <m:oMathPara>
              <m:oMath>
                <m:r>
                  <m:rPr/>
                  <w:rPr>
                    <w:rFonts w:ascii="Cambria Math" w:hAnsi="Cambria Math" w:cs="Times New Roman"/>
                    <w:sz w:val="18"/>
                    <w:szCs w:val="18"/>
                  </w:rPr>
                  <m:t>+3.6×1</m:t>
                </m:r>
                <m:sSup>
                  <m:sSupPr>
                    <m:ctrlPr>
                      <w:rPr>
                        <w:rFonts w:ascii="Cambria Math" w:hAnsi="Cambria Math" w:cs="Times New Roman"/>
                        <w:i/>
                        <w:sz w:val="18"/>
                        <w:szCs w:val="18"/>
                      </w:rPr>
                    </m:ctrlPr>
                  </m:sSupPr>
                  <m:e>
                    <m:r>
                      <m:rPr/>
                      <w:rPr>
                        <w:rFonts w:ascii="Cambria Math" w:hAnsi="Cambria Math" w:cs="Times New Roman"/>
                        <w:sz w:val="18"/>
                        <w:szCs w:val="18"/>
                      </w:rPr>
                      <m:t>0</m:t>
                    </m:r>
                    <m:ctrlPr>
                      <w:rPr>
                        <w:rFonts w:ascii="Cambria Math" w:hAnsi="Cambria Math" w:cs="Times New Roman"/>
                        <w:i/>
                        <w:sz w:val="18"/>
                        <w:szCs w:val="18"/>
                      </w:rPr>
                    </m:ctrlPr>
                  </m:e>
                  <m:sup>
                    <m:r>
                      <m:rPr/>
                      <w:rPr>
                        <w:rFonts w:ascii="Cambria Math" w:hAnsi="Cambria Math" w:cs="Times New Roman"/>
                        <w:sz w:val="18"/>
                        <w:szCs w:val="18"/>
                      </w:rPr>
                      <m:t>−2</m:t>
                    </m:r>
                    <m:ctrlPr>
                      <w:rPr>
                        <w:rFonts w:ascii="Cambria Math" w:hAnsi="Cambria Math" w:cs="Times New Roman"/>
                        <w:i/>
                        <w:sz w:val="18"/>
                        <w:szCs w:val="18"/>
                      </w:rPr>
                    </m:ctrlPr>
                  </m:sup>
                </m:sSup>
                <m:r>
                  <m:rPr/>
                  <w:rPr>
                    <w:rFonts w:ascii="Cambria Math" w:hAnsi="Cambria Math" w:cs="Times New Roman"/>
                    <w:sz w:val="18"/>
                    <w:szCs w:val="18"/>
                  </w:rPr>
                  <m:t>R</m:t>
                </m:r>
                <m:sSubSup>
                  <m:sSubSupPr>
                    <m:ctrlPr>
                      <w:rPr>
                        <w:rFonts w:ascii="Cambria Math" w:hAnsi="Cambria Math" w:cs="Times New Roman"/>
                        <w:i/>
                        <w:sz w:val="18"/>
                        <w:szCs w:val="18"/>
                      </w:rPr>
                    </m:ctrlPr>
                  </m:sSubSup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2</m:t>
                    </m:r>
                    <m:ctrlPr>
                      <w:rPr>
                        <w:rFonts w:ascii="Cambria Math" w:hAnsi="Cambria Math" w:cs="Times New Roman"/>
                        <w:i/>
                        <w:sz w:val="18"/>
                        <w:szCs w:val="18"/>
                      </w:rPr>
                    </m:ctrlPr>
                  </m:sup>
                </m:sSubSup>
                <m:r>
                  <m:rPr/>
                  <w:rPr>
                    <w:rFonts w:ascii="Cambria Math" w:hAnsi="Cambria Math" w:cs="Times New Roman"/>
                    <w:sz w:val="18"/>
                    <w:szCs w:val="18"/>
                  </w:rPr>
                  <m:t>−2.3R</m:t>
                </m:r>
                <m:sSub>
                  <m:sSubPr>
                    <m:ctrlPr>
                      <w:rPr>
                        <w:rFonts w:ascii="Cambria Math" w:hAnsi="Cambria Math" w:cs="Times New Roman"/>
                        <w:i/>
                        <w:sz w:val="18"/>
                        <w:szCs w:val="18"/>
                      </w:rPr>
                    </m:ctrlPr>
                  </m:sSubPr>
                  <m:e>
                    <m:r>
                      <m:rPr/>
                      <w:rPr>
                        <w:rFonts w:ascii="Cambria Math" w:hAnsi="Cambria Math" w:cs="Times New Roman"/>
                        <w:sz w:val="18"/>
                        <w:szCs w:val="18"/>
                      </w:rPr>
                      <m:t>H</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Sub>
                <m:r>
                  <m:rPr/>
                  <w:rPr>
                    <w:rFonts w:ascii="Cambria Math" w:hAnsi="Cambria Math" w:cs="Times New Roman"/>
                    <w:sz w:val="18"/>
                    <w:szCs w:val="18"/>
                  </w:rPr>
                  <m:t>+63.58</m:t>
                </m:r>
              </m:oMath>
            </m:oMathPara>
          </w:p>
        </w:tc>
        <w:tc>
          <w:tcPr>
            <w:tcW w:w="5010" w:type="dxa"/>
            <w:vMerge w:val="continue"/>
            <w:vAlign w:val="center"/>
          </w:tcPr>
          <w:p w14:paraId="25527D98">
            <w:pPr>
              <w:jc w:val="center"/>
              <w:rPr>
                <w:rFonts w:ascii="Times New Roman" w:hAnsi="Times New Roman" w:cs="Times New Roman"/>
                <w:sz w:val="18"/>
                <w:szCs w:val="18"/>
              </w:rPr>
            </w:pPr>
          </w:p>
        </w:tc>
      </w:tr>
      <w:tr w14:paraId="1245DAD1">
        <w:trPr>
          <w:jc w:val="center"/>
        </w:trPr>
        <w:tc>
          <w:tcPr>
            <w:tcW w:w="5010" w:type="dxa"/>
            <w:vAlign w:val="center"/>
          </w:tcPr>
          <w:p w14:paraId="40FABC54">
            <w:pPr>
              <w:jc w:val="center"/>
              <w:rPr>
                <w:rFonts w:ascii="Times New Roman" w:hAnsi="Times New Roman" w:cs="Times New Roman"/>
                <w:sz w:val="18"/>
                <w:szCs w:val="18"/>
              </w:rPr>
            </w:pPr>
            <w:r>
              <w:rPr>
                <w:rFonts w:ascii="Times New Roman" w:hAnsi="Times New Roman" w:cs="Times New Roman"/>
                <w:sz w:val="18"/>
                <w:szCs w:val="18"/>
              </w:rPr>
              <w:t>满足GB42590-2023《民用无人驾驶航空器系统安全要求》中5.14.1 g）规定的条件</w:t>
            </w:r>
          </w:p>
        </w:tc>
        <w:tc>
          <w:tcPr>
            <w:tcW w:w="5010" w:type="dxa"/>
            <w:vAlign w:val="center"/>
          </w:tcPr>
          <w:p w14:paraId="2D65F977">
            <w:pPr>
              <w:jc w:val="center"/>
              <w:rPr>
                <w:rFonts w:ascii="Times New Roman" w:hAnsi="Times New Roman" w:cs="Times New Roman"/>
                <w:sz w:val="18"/>
                <w:szCs w:val="18"/>
              </w:rPr>
            </w:pPr>
            <w:r>
              <w:rPr>
                <w:rFonts w:ascii="Times New Roman" w:hAnsi="Times New Roman" w:cs="Times New Roman"/>
                <w:sz w:val="18"/>
                <w:szCs w:val="18"/>
              </w:rPr>
              <w:t>无需修正</w:t>
            </w:r>
          </w:p>
        </w:tc>
      </w:tr>
      <w:tr w14:paraId="256F0B4A">
        <w:trPr>
          <w:jc w:val="center"/>
        </w:trPr>
        <w:tc>
          <w:tcPr>
            <w:tcW w:w="10020" w:type="dxa"/>
            <w:gridSpan w:val="2"/>
            <w:vAlign w:val="center"/>
          </w:tcPr>
          <w:p w14:paraId="2A6468C2">
            <w:pPr>
              <w:rPr>
                <w:rFonts w:ascii="Times New Roman" w:hAnsi="Times New Roman" w:cs="Times New Roman"/>
                <w:sz w:val="18"/>
                <w:szCs w:val="18"/>
              </w:rPr>
            </w:pPr>
            <w:r>
              <w:rPr>
                <w:rFonts w:ascii="Times New Roman" w:hAnsi="Times New Roman" w:cs="Times New Roman"/>
                <w:sz w:val="18"/>
                <w:szCs w:val="18"/>
              </w:rPr>
              <w:t>注：</w:t>
            </w:r>
            <m:oMath>
              <m:r>
                <m:rPr/>
                <w:rPr>
                  <w:rFonts w:ascii="Cambria Math" w:hAnsi="Cambria Math" w:cs="Times New Roman"/>
                  <w:sz w:val="18"/>
                  <w:szCs w:val="18"/>
                </w:rPr>
                <m:t>SP</m:t>
              </m:r>
              <m:sSubSup>
                <m:sSubSupPr>
                  <m:ctrlPr>
                    <w:rPr>
                      <w:rFonts w:ascii="Cambria Math" w:hAnsi="Cambria Math" w:cs="Times New Roman"/>
                      <w:i/>
                      <w:sz w:val="18"/>
                      <w:szCs w:val="18"/>
                    </w:rPr>
                  </m:ctrlPr>
                </m:sSubSupPr>
                <m:e>
                  <m:r>
                    <m:rPr/>
                    <w:rPr>
                      <w:rFonts w:ascii="Cambria Math" w:hAnsi="Cambria Math" w:cs="Times New Roman"/>
                      <w:sz w:val="18"/>
                      <w:szCs w:val="18"/>
                    </w:rPr>
                    <m:t>L</m:t>
                  </m:r>
                  <m:ctrlPr>
                    <w:rPr>
                      <w:rFonts w:ascii="Cambria Math" w:hAnsi="Cambria Math" w:cs="Times New Roman"/>
                      <w:i/>
                      <w:sz w:val="18"/>
                      <w:szCs w:val="18"/>
                    </w:rPr>
                  </m:ctrlPr>
                </m:e>
                <m:sub>
                  <m:r>
                    <m:rPr/>
                    <w:rPr>
                      <w:rFonts w:ascii="Cambria Math" w:hAnsi="Cambria Math" w:cs="Times New Roman"/>
                      <w:sz w:val="18"/>
                      <w:szCs w:val="18"/>
                    </w:rPr>
                    <m:t>i</m:t>
                  </m:r>
                  <m:ctrlPr>
                    <w:rPr>
                      <w:rFonts w:ascii="Cambria Math" w:hAnsi="Cambria Math" w:cs="Times New Roman"/>
                      <w:i/>
                      <w:sz w:val="18"/>
                      <w:szCs w:val="18"/>
                    </w:rPr>
                  </m:ctrlPr>
                </m:sub>
                <m:sup>
                  <m:r>
                    <m:rPr/>
                    <w:rPr>
                      <w:rFonts w:ascii="Cambria Math" w:hAnsi="Cambria Math" w:cs="Times New Roman"/>
                      <w:sz w:val="18"/>
                      <w:szCs w:val="18"/>
                    </w:rPr>
                    <m:t>∗</m:t>
                  </m:r>
                  <m:ctrlPr>
                    <w:rPr>
                      <w:rFonts w:ascii="Cambria Math" w:hAnsi="Cambria Math" w:cs="Times New Roman"/>
                      <w:i/>
                      <w:sz w:val="18"/>
                      <w:szCs w:val="18"/>
                    </w:rPr>
                  </m:ctrlPr>
                </m:sup>
              </m:sSubSup>
            </m:oMath>
            <w:r>
              <w:rPr>
                <w:rFonts w:ascii="Times New Roman" w:hAnsi="Times New Roman" w:cs="Times New Roman"/>
                <w:sz w:val="18"/>
                <w:szCs w:val="18"/>
              </w:rPr>
              <w:t>表示修正后的声压级结果</w:t>
            </w:r>
          </w:p>
        </w:tc>
      </w:tr>
    </w:tbl>
    <w:p w14:paraId="072CA93E">
      <w:pPr>
        <w:spacing w:line="360" w:lineRule="auto"/>
        <w:rPr>
          <w:rFonts w:ascii="Times New Roman" w:hAnsi="Times New Roman" w:cs="Times New Roman"/>
        </w:rPr>
      </w:pPr>
    </w:p>
    <w:p w14:paraId="26269F45">
      <w:pPr>
        <w:ind w:firstLine="420" w:firstLineChars="200"/>
        <w:rPr>
          <w:rFonts w:ascii="Times New Roman" w:hAnsi="Times New Roman" w:cs="Times New Roman"/>
          <w:sz w:val="21"/>
          <w:szCs w:val="21"/>
        </w:rPr>
      </w:pPr>
      <w:r>
        <w:rPr>
          <w:rFonts w:ascii="Times New Roman" w:hAnsi="Times New Roman" w:cs="Times New Roman"/>
          <w:sz w:val="21"/>
          <w:szCs w:val="21"/>
        </w:rPr>
        <w:t>7)对重复测试的结果进行算术平均，得到测量的A计权声压级大小SPL</w:t>
      </w:r>
      <w:r>
        <w:rPr>
          <w:rFonts w:ascii="Times New Roman" w:hAnsi="Times New Roman" w:cs="Times New Roman"/>
          <w:sz w:val="21"/>
          <w:szCs w:val="21"/>
          <w:vertAlign w:val="subscript"/>
        </w:rPr>
        <w:t>m</w:t>
      </w:r>
      <w:r>
        <w:rPr>
          <w:rFonts w:ascii="Times New Roman" w:hAnsi="Times New Roman" w:cs="Times New Roman"/>
          <w:sz w:val="21"/>
          <w:szCs w:val="21"/>
        </w:rPr>
        <w:t>，见公式（A.5）。</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gridCol w:w="3340"/>
      </w:tblGrid>
      <w:tr w14:paraId="25B2D4D2">
        <w:trPr>
          <w:jc w:val="center"/>
        </w:trPr>
        <w:tc>
          <w:tcPr>
            <w:tcW w:w="3340" w:type="dxa"/>
            <w:vAlign w:val="center"/>
          </w:tcPr>
          <w:p w14:paraId="026BE3E6">
            <w:pPr>
              <w:jc w:val="center"/>
              <w:rPr>
                <w:rFonts w:ascii="Times New Roman" w:hAnsi="Times New Roman" w:cs="Times New Roman"/>
                <w:sz w:val="21"/>
                <w:szCs w:val="21"/>
              </w:rPr>
            </w:pPr>
          </w:p>
        </w:tc>
        <w:tc>
          <w:tcPr>
            <w:tcW w:w="3340" w:type="dxa"/>
            <w:vAlign w:val="center"/>
          </w:tcPr>
          <w:p w14:paraId="6F054F98">
            <w:pPr>
              <w:jc w:val="center"/>
              <w:rPr>
                <w:rFonts w:ascii="Times New Roman" w:hAnsi="Times New Roman" w:cs="Times New Roman"/>
                <w:sz w:val="21"/>
                <w:szCs w:val="21"/>
              </w:rPr>
            </w:pPr>
            <m:oMathPara>
              <m:oMath>
                <m:r>
                  <m:rPr>
                    <m:nor/>
                    <m:sty m:val="p"/>
                  </m:rPr>
                  <w:rPr>
                    <w:rFonts w:ascii="Times New Roman" w:hAnsi="Times New Roman" w:cs="Times New Roman"/>
                    <w:b w:val="0"/>
                    <w:i w:val="0"/>
                    <w:sz w:val="21"/>
                    <w:szCs w:val="21"/>
                  </w:rPr>
                  <m:t>SP</m:t>
                </m:r>
                <m:sSub>
                  <m:sSubPr>
                    <m:ctrlPr>
                      <w:rPr>
                        <w:rFonts w:ascii="Cambria Math" w:hAnsi="Cambria Math" w:cs="Times New Roman"/>
                        <w:sz w:val="21"/>
                        <w:szCs w:val="21"/>
                      </w:rPr>
                    </m:ctrlPr>
                  </m:sSubPr>
                  <m:e>
                    <m:r>
                      <m:rPr>
                        <m:nor/>
                        <m:sty m:val="p"/>
                      </m:rPr>
                      <w:rPr>
                        <w:rFonts w:ascii="Times New Roman" w:hAnsi="Times New Roman" w:cs="Times New Roman"/>
                        <w:b w:val="0"/>
                        <w:i w:val="0"/>
                        <w:sz w:val="21"/>
                        <w:szCs w:val="21"/>
                      </w:rPr>
                      <m:t>L</m:t>
                    </m:r>
                    <m:ctrlPr>
                      <w:rPr>
                        <w:rFonts w:ascii="Cambria Math" w:hAnsi="Cambria Math" w:cs="Times New Roman"/>
                        <w:sz w:val="21"/>
                        <w:szCs w:val="21"/>
                      </w:rPr>
                    </m:ctrlPr>
                  </m:e>
                  <m:sub>
                    <m:r>
                      <m:rPr/>
                      <w:rPr>
                        <w:rFonts w:ascii="Cambria Math" w:hAnsi="Cambria Math" w:cs="Times New Roman"/>
                        <w:sz w:val="21"/>
                        <w:szCs w:val="21"/>
                      </w:rPr>
                      <m:t>m</m:t>
                    </m:r>
                    <m:ctrlPr>
                      <w:rPr>
                        <w:rFonts w:ascii="Cambria Math" w:hAnsi="Cambria Math" w:cs="Times New Roman"/>
                        <w:i/>
                        <w:sz w:val="21"/>
                        <w:szCs w:val="21"/>
                      </w:rPr>
                    </m:ctrlPr>
                  </m:sub>
                </m:sSub>
                <m:r>
                  <m:rPr/>
                  <w:rPr>
                    <w:rFonts w:ascii="Cambria Math" w:hAnsi="Cambria Math" w:cs="Times New Roman"/>
                    <w:sz w:val="21"/>
                    <w:szCs w:val="21"/>
                  </w:rPr>
                  <m:t>=</m:t>
                </m:r>
                <m:f>
                  <m:fPr>
                    <m:ctrlPr>
                      <w:rPr>
                        <w:rFonts w:ascii="Cambria Math" w:hAnsi="Cambria Math" w:cs="Times New Roman"/>
                        <w:i/>
                        <w:sz w:val="21"/>
                        <w:szCs w:val="21"/>
                      </w:rPr>
                    </m:ctrlPr>
                  </m:fPr>
                  <m:num>
                    <m:r>
                      <m:rPr/>
                      <w:rPr>
                        <w:rFonts w:ascii="Cambria Math" w:hAnsi="Cambria Math" w:cs="Times New Roman"/>
                        <w:sz w:val="21"/>
                        <w:szCs w:val="21"/>
                      </w:rPr>
                      <m:t>1</m:t>
                    </m:r>
                    <m:ctrlPr>
                      <w:rPr>
                        <w:rFonts w:ascii="Cambria Math" w:hAnsi="Cambria Math" w:cs="Times New Roman"/>
                        <w:i/>
                        <w:sz w:val="21"/>
                        <w:szCs w:val="21"/>
                      </w:rPr>
                    </m:ctrlPr>
                  </m:num>
                  <m:den>
                    <m:r>
                      <m:rPr/>
                      <w:rPr>
                        <w:rFonts w:ascii="Cambria Math" w:hAnsi="Cambria Math" w:cs="Times New Roman"/>
                        <w:sz w:val="21"/>
                        <w:szCs w:val="21"/>
                      </w:rPr>
                      <m:t>N</m:t>
                    </m:r>
                    <m:ctrlPr>
                      <w:rPr>
                        <w:rFonts w:ascii="Cambria Math" w:hAnsi="Cambria Math" w:cs="Times New Roman"/>
                        <w:i/>
                        <w:sz w:val="21"/>
                        <w:szCs w:val="21"/>
                      </w:rPr>
                    </m:ctrlPr>
                  </m:den>
                </m:f>
                <m:nary>
                  <m:naryPr>
                    <m:chr m:val="∑"/>
                    <m:ctrlPr>
                      <w:rPr>
                        <w:rFonts w:ascii="Cambria Math" w:hAnsi="Cambria Math" w:cs="Times New Roman"/>
                        <w:i/>
                        <w:sz w:val="21"/>
                        <w:szCs w:val="21"/>
                      </w:rPr>
                    </m:ctrlPr>
                  </m:naryPr>
                  <m:sub>
                    <m:r>
                      <m:rPr/>
                      <w:rPr>
                        <w:rFonts w:ascii="Cambria Math" w:hAnsi="Cambria Math" w:cs="Times New Roman"/>
                        <w:sz w:val="21"/>
                        <w:szCs w:val="21"/>
                      </w:rPr>
                      <m:t>i=1</m:t>
                    </m:r>
                    <m:ctrlPr>
                      <w:rPr>
                        <w:rFonts w:ascii="Cambria Math" w:hAnsi="Cambria Math" w:cs="Times New Roman"/>
                        <w:i/>
                        <w:sz w:val="21"/>
                        <w:szCs w:val="21"/>
                      </w:rPr>
                    </m:ctrlPr>
                  </m:sub>
                  <m:sup>
                    <m:r>
                      <m:rPr/>
                      <w:rPr>
                        <w:rFonts w:ascii="Cambria Math" w:hAnsi="Cambria Math" w:cs="Times New Roman"/>
                        <w:sz w:val="21"/>
                        <w:szCs w:val="21"/>
                      </w:rPr>
                      <m:t>N</m:t>
                    </m:r>
                    <m:ctrlPr>
                      <w:rPr>
                        <w:rFonts w:ascii="Cambria Math" w:hAnsi="Cambria Math" w:cs="Times New Roman"/>
                        <w:i/>
                        <w:sz w:val="21"/>
                        <w:szCs w:val="21"/>
                      </w:rPr>
                    </m:ctrlPr>
                  </m:sup>
                  <m:e>
                    <m:r>
                      <m:rPr/>
                      <w:rPr>
                        <w:rFonts w:ascii="Cambria Math" w:hAnsi="Cambria Math" w:cs="Times New Roman"/>
                        <w:sz w:val="21"/>
                        <w:szCs w:val="21"/>
                      </w:rPr>
                      <m:t>SP</m:t>
                    </m:r>
                    <m:sSup>
                      <m:sSupPr>
                        <m:ctrlPr>
                          <w:rPr>
                            <w:rFonts w:ascii="Cambria Math" w:hAnsi="Cambria Math" w:cs="Times New Roman"/>
                            <w:i/>
                            <w:sz w:val="21"/>
                            <w:szCs w:val="21"/>
                          </w:rPr>
                        </m:ctrlPr>
                      </m:sSupPr>
                      <m:e>
                        <m:sSub>
                          <m:sSubPr>
                            <m:ctrlPr>
                              <w:rPr>
                                <w:rFonts w:ascii="Cambria Math" w:hAnsi="Cambria Math" w:cs="Times New Roman"/>
                                <w:i/>
                                <w:sz w:val="21"/>
                                <w:szCs w:val="21"/>
                              </w:rPr>
                            </m:ctrlPr>
                          </m:sSubPr>
                          <m:e>
                            <m:r>
                              <m:rPr/>
                              <w:rPr>
                                <w:rFonts w:ascii="Cambria Math" w:hAnsi="Cambria Math" w:cs="Times New Roman"/>
                                <w:sz w:val="21"/>
                                <w:szCs w:val="21"/>
                              </w:rPr>
                              <m:t>L</m:t>
                            </m:r>
                            <m:ctrlPr>
                              <w:rPr>
                                <w:rFonts w:ascii="Cambria Math" w:hAnsi="Cambria Math" w:cs="Times New Roman"/>
                                <w:i/>
                                <w:sz w:val="21"/>
                                <w:szCs w:val="21"/>
                              </w:rPr>
                            </m:ctrlPr>
                          </m:e>
                          <m:sub>
                            <m:r>
                              <m:rPr/>
                              <w:rPr>
                                <w:rFonts w:ascii="Cambria Math" w:hAnsi="Cambria Math" w:cs="Times New Roman"/>
                                <w:sz w:val="21"/>
                                <w:szCs w:val="21"/>
                              </w:rPr>
                              <m:t>i</m:t>
                            </m:r>
                            <m:ctrlPr>
                              <w:rPr>
                                <w:rFonts w:ascii="Cambria Math" w:hAnsi="Cambria Math" w:cs="Times New Roman"/>
                                <w:i/>
                                <w:sz w:val="21"/>
                                <w:szCs w:val="21"/>
                              </w:rPr>
                            </m:ctrlPr>
                          </m:sub>
                        </m:sSub>
                        <m:ctrlPr>
                          <w:rPr>
                            <w:rFonts w:ascii="Cambria Math" w:hAnsi="Cambria Math" w:cs="Times New Roman"/>
                            <w:i/>
                            <w:sz w:val="21"/>
                            <w:szCs w:val="21"/>
                          </w:rPr>
                        </m:ctrlPr>
                      </m:e>
                      <m:sup>
                        <m:r>
                          <m:rPr/>
                          <w:rPr>
                            <w:rFonts w:ascii="Cambria Math" w:hAnsi="Cambria Math" w:cs="Times New Roman"/>
                            <w:sz w:val="21"/>
                            <w:szCs w:val="21"/>
                          </w:rPr>
                          <m:t>∗</m:t>
                        </m:r>
                        <m:ctrlPr>
                          <w:rPr>
                            <w:rFonts w:ascii="Cambria Math" w:hAnsi="Cambria Math" w:cs="Times New Roman"/>
                            <w:i/>
                            <w:sz w:val="21"/>
                            <w:szCs w:val="21"/>
                          </w:rPr>
                        </m:ctrlPr>
                      </m:sup>
                    </m:sSup>
                    <m:ctrlPr>
                      <w:rPr>
                        <w:rFonts w:ascii="Cambria Math" w:hAnsi="Cambria Math" w:cs="Times New Roman"/>
                        <w:i/>
                        <w:sz w:val="21"/>
                        <w:szCs w:val="21"/>
                      </w:rPr>
                    </m:ctrlPr>
                  </m:e>
                </m:nary>
              </m:oMath>
            </m:oMathPara>
          </w:p>
        </w:tc>
        <w:tc>
          <w:tcPr>
            <w:tcW w:w="3340" w:type="dxa"/>
            <w:vAlign w:val="center"/>
          </w:tcPr>
          <w:p w14:paraId="2B6E1934">
            <w:pPr>
              <w:jc w:val="right"/>
              <w:rPr>
                <w:rFonts w:ascii="Times New Roman" w:hAnsi="Times New Roman" w:cs="Times New Roman"/>
                <w:sz w:val="21"/>
                <w:szCs w:val="21"/>
              </w:rPr>
            </w:pPr>
            <w:r>
              <w:rPr>
                <w:rFonts w:ascii="Times New Roman" w:hAnsi="Times New Roman" w:cs="Times New Roman"/>
                <w:sz w:val="21"/>
                <w:szCs w:val="21"/>
              </w:rPr>
              <w:t>（A.5）</w:t>
            </w:r>
          </w:p>
        </w:tc>
      </w:tr>
    </w:tbl>
    <w:p w14:paraId="47A0564C">
      <w:pPr>
        <w:ind w:firstLine="420" w:firstLineChars="200"/>
        <w:rPr>
          <w:rFonts w:ascii="Times New Roman" w:hAnsi="Times New Roman" w:cs="Times New Roman"/>
          <w:sz w:val="21"/>
          <w:szCs w:val="21"/>
        </w:rPr>
      </w:pPr>
      <w:r>
        <w:rPr>
          <w:rFonts w:ascii="Times New Roman" w:hAnsi="Times New Roman" w:cs="Times New Roman"/>
          <w:sz w:val="21"/>
          <w:szCs w:val="21"/>
        </w:rPr>
        <w:t>式中：</w:t>
      </w:r>
    </w:p>
    <w:p w14:paraId="0E04C322">
      <w:pPr>
        <w:ind w:firstLine="420" w:firstLineChars="200"/>
        <w:rPr>
          <w:rFonts w:ascii="Times New Roman" w:hAnsi="Times New Roman" w:cs="Times New Roman"/>
          <w:sz w:val="21"/>
          <w:szCs w:val="21"/>
        </w:rPr>
      </w:pPr>
      <w:r>
        <w:rPr>
          <w:rFonts w:ascii="Times New Roman" w:hAnsi="Times New Roman" w:cs="Times New Roman"/>
          <w:sz w:val="21"/>
          <w:szCs w:val="21"/>
        </w:rPr>
        <w:t>N：重复测量次数；</w:t>
      </w:r>
    </w:p>
    <w:p w14:paraId="5CDBA7F7">
      <w:pPr>
        <w:ind w:firstLine="420" w:firstLineChars="200"/>
        <w:rPr>
          <w:rFonts w:ascii="Times New Roman" w:hAnsi="Times New Roman" w:cs="Times New Roman"/>
          <w:sz w:val="21"/>
          <w:szCs w:val="21"/>
        </w:rPr>
      </w:pPr>
      <w:r>
        <w:rPr>
          <w:rFonts w:ascii="Times New Roman" w:hAnsi="Times New Roman" w:cs="Times New Roman"/>
          <w:sz w:val="21"/>
          <w:szCs w:val="21"/>
        </w:rPr>
        <w:t>i：第i次测量结果；</w:t>
      </w:r>
    </w:p>
    <w:p w14:paraId="38D2450F">
      <w:pPr>
        <w:ind w:firstLine="420" w:firstLineChars="200"/>
        <w:rPr>
          <w:rFonts w:ascii="Times New Roman" w:hAnsi="Times New Roman" w:cs="Times New Roman"/>
          <w:sz w:val="21"/>
          <w:szCs w:val="21"/>
        </w:rPr>
      </w:pPr>
      <m:oMath>
        <m:r>
          <m:rPr/>
          <w:rPr>
            <w:rFonts w:ascii="Cambria Math" w:hAnsi="Cambria Math" w:cs="Times New Roman"/>
            <w:sz w:val="21"/>
            <w:szCs w:val="21"/>
          </w:rPr>
          <m:t>SP</m:t>
        </m:r>
        <m:sSup>
          <m:sSupPr>
            <m:ctrlPr>
              <w:rPr>
                <w:rFonts w:ascii="Cambria Math" w:hAnsi="Cambria Math" w:cs="Times New Roman"/>
                <w:i/>
                <w:sz w:val="21"/>
                <w:szCs w:val="21"/>
              </w:rPr>
            </m:ctrlPr>
          </m:sSupPr>
          <m:e>
            <m:sSub>
              <m:sSubPr>
                <m:ctrlPr>
                  <w:rPr>
                    <w:rFonts w:ascii="Cambria Math" w:hAnsi="Cambria Math" w:cs="Times New Roman"/>
                    <w:i/>
                    <w:sz w:val="21"/>
                    <w:szCs w:val="21"/>
                  </w:rPr>
                </m:ctrlPr>
              </m:sSubPr>
              <m:e>
                <m:r>
                  <m:rPr/>
                  <w:rPr>
                    <w:rFonts w:ascii="Cambria Math" w:hAnsi="Cambria Math" w:cs="Times New Roman"/>
                    <w:sz w:val="21"/>
                    <w:szCs w:val="21"/>
                  </w:rPr>
                  <m:t>L</m:t>
                </m:r>
                <m:ctrlPr>
                  <w:rPr>
                    <w:rFonts w:ascii="Cambria Math" w:hAnsi="Cambria Math" w:cs="Times New Roman"/>
                    <w:i/>
                    <w:sz w:val="21"/>
                    <w:szCs w:val="21"/>
                  </w:rPr>
                </m:ctrlPr>
              </m:e>
              <m:sub>
                <m:r>
                  <m:rPr/>
                  <w:rPr>
                    <w:rFonts w:ascii="Cambria Math" w:hAnsi="Cambria Math" w:cs="Times New Roman"/>
                    <w:sz w:val="21"/>
                    <w:szCs w:val="21"/>
                  </w:rPr>
                  <m:t>i</m:t>
                </m:r>
                <m:ctrlPr>
                  <w:rPr>
                    <w:rFonts w:ascii="Cambria Math" w:hAnsi="Cambria Math" w:cs="Times New Roman"/>
                    <w:i/>
                    <w:sz w:val="21"/>
                    <w:szCs w:val="21"/>
                  </w:rPr>
                </m:ctrlPr>
              </m:sub>
            </m:sSub>
            <m:ctrlPr>
              <w:rPr>
                <w:rFonts w:ascii="Cambria Math" w:hAnsi="Cambria Math" w:cs="Times New Roman"/>
                <w:i/>
                <w:sz w:val="21"/>
                <w:szCs w:val="21"/>
              </w:rPr>
            </m:ctrlPr>
          </m:e>
          <m:sup>
            <m:r>
              <m:rPr/>
              <w:rPr>
                <w:rFonts w:ascii="Cambria Math" w:hAnsi="Cambria Math" w:cs="Times New Roman"/>
                <w:sz w:val="21"/>
                <w:szCs w:val="21"/>
              </w:rPr>
              <m:t>∗</m:t>
            </m:r>
            <m:ctrlPr>
              <w:rPr>
                <w:rFonts w:ascii="Cambria Math" w:hAnsi="Cambria Math" w:cs="Times New Roman"/>
                <w:i/>
                <w:sz w:val="21"/>
                <w:szCs w:val="21"/>
              </w:rPr>
            </m:ctrlPr>
          </m:sup>
        </m:sSup>
      </m:oMath>
      <w:r>
        <w:rPr>
          <w:rFonts w:ascii="Times New Roman" w:hAnsi="Times New Roman" w:cs="Times New Roman"/>
          <w:sz w:val="21"/>
          <w:szCs w:val="21"/>
        </w:rPr>
        <w:t>：修正后的第i次测量声压级大小；</w:t>
      </w:r>
    </w:p>
    <w:p w14:paraId="1F4D6C31">
      <w:pPr>
        <w:ind w:firstLine="420" w:firstLineChars="200"/>
        <w:rPr>
          <w:rFonts w:ascii="Times New Roman" w:hAnsi="Times New Roman" w:cs="Times New Roman"/>
          <w:sz w:val="21"/>
          <w:szCs w:val="21"/>
        </w:rPr>
      </w:pPr>
      <m:oMath>
        <m:r>
          <m:rPr>
            <m:nor/>
            <m:sty m:val="p"/>
          </m:rPr>
          <w:rPr>
            <w:rFonts w:ascii="Times New Roman" w:hAnsi="Times New Roman" w:cs="Times New Roman"/>
            <w:b w:val="0"/>
            <w:i w:val="0"/>
            <w:sz w:val="21"/>
            <w:szCs w:val="21"/>
          </w:rPr>
          <m:t>SP</m:t>
        </m:r>
        <m:sSub>
          <m:sSubPr>
            <m:ctrlPr>
              <w:rPr>
                <w:rFonts w:ascii="Cambria Math" w:hAnsi="Cambria Math" w:cs="Times New Roman"/>
                <w:sz w:val="21"/>
                <w:szCs w:val="21"/>
              </w:rPr>
            </m:ctrlPr>
          </m:sSubPr>
          <m:e>
            <m:r>
              <m:rPr>
                <m:nor/>
                <m:sty m:val="p"/>
              </m:rPr>
              <w:rPr>
                <w:rFonts w:ascii="Times New Roman" w:hAnsi="Times New Roman" w:cs="Times New Roman"/>
                <w:b w:val="0"/>
                <w:i w:val="0"/>
                <w:sz w:val="21"/>
                <w:szCs w:val="21"/>
              </w:rPr>
              <m:t>L</m:t>
            </m:r>
            <m:ctrlPr>
              <w:rPr>
                <w:rFonts w:ascii="Cambria Math" w:hAnsi="Cambria Math" w:cs="Times New Roman"/>
                <w:sz w:val="21"/>
                <w:szCs w:val="21"/>
              </w:rPr>
            </m:ctrlPr>
          </m:e>
          <m:sub>
            <m:r>
              <m:rPr/>
              <w:rPr>
                <w:rFonts w:ascii="Cambria Math" w:hAnsi="Cambria Math" w:cs="Times New Roman"/>
                <w:sz w:val="21"/>
                <w:szCs w:val="21"/>
              </w:rPr>
              <m:t>m</m:t>
            </m:r>
            <m:ctrlPr>
              <w:rPr>
                <w:rFonts w:ascii="Cambria Math" w:hAnsi="Cambria Math" w:cs="Times New Roman"/>
                <w:i/>
                <w:sz w:val="21"/>
                <w:szCs w:val="21"/>
              </w:rPr>
            </m:ctrlPr>
          </m:sub>
        </m:sSub>
      </m:oMath>
      <w:r>
        <w:rPr>
          <w:rFonts w:ascii="Times New Roman" w:hAnsi="Times New Roman" w:cs="Times New Roman"/>
          <w:sz w:val="21"/>
          <w:szCs w:val="21"/>
        </w:rPr>
        <w:t>：测量所得平均后的 A计权声压级大小.</w:t>
      </w:r>
    </w:p>
    <w:p w14:paraId="35F0B36D">
      <w:pPr>
        <w:ind w:firstLine="420" w:firstLineChars="200"/>
        <w:rPr>
          <w:rFonts w:ascii="Times New Roman" w:hAnsi="Times New Roman" w:cs="Times New Roman"/>
          <w:sz w:val="21"/>
          <w:szCs w:val="21"/>
        </w:rPr>
      </w:pPr>
      <w:r>
        <w:rPr>
          <w:rFonts w:ascii="Times New Roman" w:hAnsi="Times New Roman" w:cs="Times New Roman"/>
          <w:sz w:val="21"/>
          <w:szCs w:val="21"/>
        </w:rPr>
        <w:t>8）将测量结果按照公式(A.3)归一化到距离航空器等效位置为1m的观测点上；将归一化的A计权声压级标记到无人驾驶航空器铭牌或者说明书。</w:t>
      </w:r>
    </w:p>
    <w:p w14:paraId="0A900588">
      <w:pPr>
        <w:rPr>
          <w:rFonts w:ascii="Times New Roman" w:hAnsi="Times New Roman" w:cs="Times New Roman"/>
          <w:sz w:val="21"/>
          <w:szCs w:val="21"/>
        </w:rPr>
      </w:pPr>
    </w:p>
    <w:p w14:paraId="06F6552E">
      <w:pPr>
        <w:spacing w:line="360" w:lineRule="auto"/>
        <w:jc w:val="center"/>
      </w:pPr>
    </w:p>
    <w:bookmarkEnd w:id="2"/>
    <w:p w14:paraId="45B68366">
      <w:pPr>
        <w:spacing w:line="360" w:lineRule="auto"/>
      </w:pPr>
      <w:bookmarkStart w:id="29" w:name="轻睡眠舱"/>
      <w:bookmarkEnd w:id="29"/>
      <w:r>
        <w:rPr>
          <w:rFonts w:hint="eastAsia"/>
        </w:rPr>
        <w:drawing>
          <wp:anchor distT="0" distB="0" distL="114300" distR="114300" simplePos="0" relativeHeight="251663360" behindDoc="0" locked="0" layoutInCell="1" allowOverlap="1">
            <wp:simplePos x="0" y="0"/>
            <wp:positionH relativeFrom="column">
              <wp:posOffset>1418590</wp:posOffset>
            </wp:positionH>
            <wp:positionV relativeFrom="page">
              <wp:posOffset>2051685</wp:posOffset>
            </wp:positionV>
            <wp:extent cx="2957830" cy="31686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957830" cy="316865"/>
                    </a:xfrm>
                    <a:prstGeom prst="rect">
                      <a:avLst/>
                    </a:prstGeom>
                    <a:noFill/>
                  </pic:spPr>
                </pic:pic>
              </a:graphicData>
            </a:graphic>
          </wp:anchor>
        </w:drawing>
      </w:r>
    </w:p>
    <w:sectPr>
      <w:pgSz w:w="11910" w:h="16840"/>
      <w:pgMar w:top="1080" w:right="740" w:bottom="280" w:left="1140" w:header="858" w:footer="1134"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Helvetica">
    <w:panose1 w:val="00000000000000000000"/>
    <w:charset w:val="00"/>
    <w:family w:val="swiss"/>
    <w:pitch w:val="default"/>
    <w:sig w:usb0="E00002FF" w:usb1="5000785B" w:usb2="00000000" w:usb3="00000000" w:csb0="2000019F" w:csb1="4F010000"/>
  </w:font>
  <w:font w:name="Cambria Math">
    <w:altName w:val="Kingsoft Math"/>
    <w:panose1 w:val="02040503050406030204"/>
    <w:charset w:val="00"/>
    <w:family w:val="roman"/>
    <w:pitch w:val="default"/>
    <w:sig w:usb0="00000000" w:usb1="00000000" w:usb2="02000000"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Kingsoft Math">
    <w:panose1 w:val="02040503050406030204"/>
    <w:charset w:val="00"/>
    <w:family w:val="auto"/>
    <w:pitch w:val="default"/>
    <w:sig w:usb0="80000087" w:usb1="00002068" w:usb2="00000000" w:usb3="00000000" w:csb0="2000019F" w:csb1="00000000"/>
  </w:font>
  <w:font w:name="汉仪旗黑">
    <w:panose1 w:val="00020600040101010101"/>
    <w:charset w:val="86"/>
    <w:family w:val="auto"/>
    <w:pitch w:val="default"/>
    <w:sig w:usb0="A00002BF" w:usb1="1ACF7CFA" w:usb2="00000016" w:usb3="00000000" w:csb0="0004009F" w:csb1="DFD70000"/>
  </w:font>
  <w:font w:name="DejaVu Math TeX Gyre">
    <w:panose1 w:val="02000503000000000000"/>
    <w:charset w:val="00"/>
    <w:family w:val="auto"/>
    <w:pitch w:val="default"/>
    <w:sig w:usb0="A10000EF" w:usb1="4201F9EE" w:usb2="02000000" w:usb3="00000000" w:csb0="60000193" w:csb1="0DD4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FA903">
    <w:pPr>
      <w:pStyle w:val="12"/>
    </w:pPr>
  </w:p>
  <w:p w14:paraId="42EDA311">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00FF8">
    <w:pPr>
      <w:pStyle w:val="38"/>
    </w:pPr>
    <w:r>
      <w:fldChar w:fldCharType="begin"/>
    </w:r>
    <w:r>
      <w:instrText xml:space="preserve">PAGE   \* MERGEFORMAT</w:instrText>
    </w:r>
    <w:r>
      <w:fldChar w:fldCharType="separate"/>
    </w:r>
    <w:r>
      <w:rPr>
        <w:lang w:val="zh-CN"/>
      </w:rPr>
      <w:t>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2DDAF">
    <w:pPr>
      <w:pStyle w:val="37"/>
    </w:pPr>
    <w:r>
      <w:fldChar w:fldCharType="begin"/>
    </w:r>
    <w:r>
      <w:instrText xml:space="preserve"> PAGE   \* MERGEFORMAT \* MERGEFORMAT </w:instrText>
    </w:r>
    <w:r>
      <w:fldChar w:fldCharType="separate"/>
    </w:r>
    <w:r>
      <w:t>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584A">
    <w:pPr>
      <w:pStyle w:val="38"/>
    </w:pPr>
    <w:r>
      <w:fldChar w:fldCharType="begin"/>
    </w:r>
    <w:r>
      <w:instrText xml:space="preserve">PAGE   \* MERGEFORMAT</w:instrText>
    </w:r>
    <w:r>
      <w:fldChar w:fldCharType="separate"/>
    </w:r>
    <w:r>
      <w:rPr>
        <w:lang w:val="zh-CN"/>
      </w:rPr>
      <w:t>12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B0D8F">
    <w:pPr>
      <w:pStyle w:val="37"/>
    </w:pPr>
    <w:r>
      <w:fldChar w:fldCharType="begin"/>
    </w:r>
    <w:r>
      <w:instrText xml:space="preserve"> PAGE   \* MERGEFORMAT \* MERGEFORMAT </w:instrText>
    </w:r>
    <w:r>
      <w:fldChar w:fldCharType="separate"/>
    </w:r>
    <w:r>
      <w:t>II</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A3350">
    <w:pPr>
      <w:pStyle w:val="13"/>
      <w:jc w:val="right"/>
      <w:rPr>
        <w:sz w:val="21"/>
        <w:szCs w:val="21"/>
      </w:rPr>
    </w:pPr>
  </w:p>
  <w:p w14:paraId="0933A09E">
    <w:pPr>
      <w:pStyle w:val="8"/>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5B6A7">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47F37">
    <w:pPr>
      <w:pStyle w:val="40"/>
    </w:pPr>
    <w:r>
      <w:fldChar w:fldCharType="begin"/>
    </w:r>
    <w:r>
      <w:instrText xml:space="preserve"> STYLEREF  标准文件_文件编号 \* MERGEFORMAT </w:instrText>
    </w:r>
    <w:r>
      <w:fldChar w:fldCharType="separate"/>
    </w:r>
    <w:r>
      <w:rPr>
        <w:b/>
      </w:rPr>
      <w:t>错误！未定义样式。</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CCBEA">
    <w:pPr>
      <w:pStyle w:val="39"/>
      <w:ind w:right="31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7E4DB">
    <w:pPr>
      <w:pStyle w:val="40"/>
    </w:pPr>
    <w:r>
      <w:fldChar w:fldCharType="begin"/>
    </w:r>
    <w:r>
      <w:instrText xml:space="preserve"> STYLEREF  标准文件_文件编号 \* MERGEFORMAT </w:instrText>
    </w:r>
    <w:r>
      <w:fldChar w:fldCharType="separate"/>
    </w:r>
    <w:r>
      <w:rPr>
        <w:b/>
      </w:rPr>
      <w:t>错误！未定义样式。</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F531">
    <w:pPr>
      <w:jc w:val="right"/>
    </w:pPr>
    <w:r>
      <w:rPr>
        <w:rFonts w:ascii="黑体" w:hAnsi="黑体" w:eastAsia="黑体"/>
      </w:rPr>
      <w:t>DB3205/TXXXX</w:t>
    </w:r>
    <w:r>
      <w:rPr>
        <w:rFonts w:hint="eastAsia" w:ascii="黑体" w:hAnsi="黑体" w:eastAsia="黑体"/>
      </w:rPr>
      <w:t>-202</w:t>
    </w:r>
    <w:r>
      <w:rPr>
        <w:rFonts w:ascii="黑体" w:hAnsi="黑体" w:eastAsia="黑体"/>
      </w:rPr>
      <w:t>4</w:t>
    </w:r>
  </w:p>
  <w:p w14:paraId="6A6FA810">
    <w:pPr>
      <w:pStyle w:val="8"/>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43"/>
      <w:lvlText w:val="%1"/>
      <w:lvlJc w:val="left"/>
      <w:pPr>
        <w:ind w:left="425" w:hanging="425"/>
      </w:pPr>
      <w:rPr>
        <w:rFonts w:hint="eastAsia"/>
      </w:rPr>
    </w:lvl>
    <w:lvl w:ilvl="1" w:tentative="0">
      <w:start w:val="1"/>
      <w:numFmt w:val="decimal"/>
      <w:pStyle w:val="45"/>
      <w:suff w:val="nothing"/>
      <w:lvlText w:val="%10.%2 "/>
      <w:lvlJc w:val="left"/>
      <w:pPr>
        <w:ind w:left="0" w:firstLine="0"/>
      </w:pPr>
      <w:rPr>
        <w:rFonts w:hint="eastAsia" w:ascii="黑体" w:eastAsia="黑体" w:hAnsiTheme="minorHAnsi"/>
        <w:b w:val="0"/>
        <w:i w:val="0"/>
        <w:sz w:val="21"/>
      </w:rPr>
    </w:lvl>
    <w:lvl w:ilvl="2" w:tentative="0">
      <w:start w:val="1"/>
      <w:numFmt w:val="decimal"/>
      <w:pStyle w:val="46"/>
      <w:suff w:val="nothing"/>
      <w:lvlText w:val="%10.%2.%3 "/>
      <w:lvlJc w:val="left"/>
      <w:pPr>
        <w:ind w:left="0" w:firstLine="0"/>
      </w:pPr>
      <w:rPr>
        <w:rFonts w:hint="eastAsia" w:ascii="黑体" w:eastAsia="黑体" w:hAnsiTheme="minorHAnsi"/>
        <w:b w:val="0"/>
        <w:i w:val="0"/>
        <w:sz w:val="21"/>
      </w:rPr>
    </w:lvl>
    <w:lvl w:ilvl="3" w:tentative="0">
      <w:start w:val="1"/>
      <w:numFmt w:val="decimal"/>
      <w:pStyle w:val="47"/>
      <w:suff w:val="nothing"/>
      <w:lvlText w:val="%10.%2.%3.%4 "/>
      <w:lvlJc w:val="left"/>
      <w:pPr>
        <w:ind w:left="0" w:firstLine="0"/>
      </w:pPr>
      <w:rPr>
        <w:rFonts w:hint="eastAsia" w:ascii="黑体" w:eastAsia="黑体" w:hAnsiTheme="minorHAnsi"/>
        <w:b w:val="0"/>
        <w:i w:val="0"/>
        <w:sz w:val="21"/>
      </w:rPr>
    </w:lvl>
    <w:lvl w:ilvl="4" w:tentative="0">
      <w:start w:val="1"/>
      <w:numFmt w:val="decimal"/>
      <w:pStyle w:val="48"/>
      <w:suff w:val="nothing"/>
      <w:lvlText w:val="%10.%2.%3.%4.%5 "/>
      <w:lvlJc w:val="left"/>
      <w:pPr>
        <w:ind w:left="0" w:firstLine="0"/>
      </w:pPr>
      <w:rPr>
        <w:rFonts w:hint="eastAsia" w:ascii="黑体" w:eastAsia="黑体" w:hAnsiTheme="minorHAnsi"/>
        <w:b w:val="0"/>
        <w:i w:val="0"/>
        <w:sz w:val="21"/>
      </w:rPr>
    </w:lvl>
    <w:lvl w:ilvl="5" w:tentative="0">
      <w:start w:val="1"/>
      <w:numFmt w:val="decimal"/>
      <w:pStyle w:val="49"/>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26776483"/>
    <w:multiLevelType w:val="multilevel"/>
    <w:tmpl w:val="26776483"/>
    <w:lvl w:ilvl="0" w:tentative="0">
      <w:start w:val="2"/>
      <w:numFmt w:val="upperLetter"/>
      <w:lvlText w:val="%1"/>
      <w:lvlJc w:val="left"/>
      <w:pPr>
        <w:ind w:left="1491" w:hanging="509"/>
      </w:pPr>
      <w:rPr>
        <w:rFonts w:hint="default"/>
        <w:lang w:val="en-US" w:eastAsia="zh-CN" w:bidi="ar-SA"/>
      </w:rPr>
    </w:lvl>
    <w:lvl w:ilvl="1" w:tentative="0">
      <w:start w:val="1"/>
      <w:numFmt w:val="decimal"/>
      <w:pStyle w:val="55"/>
      <w:lvlText w:val="%1.%2"/>
      <w:lvlJc w:val="left"/>
      <w:pPr>
        <w:ind w:left="1491" w:hanging="509"/>
      </w:pPr>
      <w:rPr>
        <w:rFonts w:hint="default" w:ascii="Times New Roman" w:hAnsi="Times New Roman" w:eastAsia="Times New Roman" w:cs="Times New Roman"/>
        <w:b w:val="0"/>
        <w:bCs w:val="0"/>
        <w:i w:val="0"/>
        <w:iCs w:val="0"/>
        <w:spacing w:val="-1"/>
        <w:w w:val="100"/>
        <w:sz w:val="21"/>
        <w:szCs w:val="21"/>
        <w:lang w:val="en-US" w:eastAsia="zh-CN" w:bidi="ar-SA"/>
      </w:rPr>
    </w:lvl>
    <w:lvl w:ilvl="2" w:tentative="0">
      <w:start w:val="0"/>
      <w:numFmt w:val="bullet"/>
      <w:lvlText w:val="•"/>
      <w:lvlJc w:val="left"/>
      <w:pPr>
        <w:ind w:left="3428" w:hanging="509"/>
      </w:pPr>
      <w:rPr>
        <w:rFonts w:hint="default"/>
        <w:lang w:val="en-US" w:eastAsia="zh-CN" w:bidi="ar-SA"/>
      </w:rPr>
    </w:lvl>
    <w:lvl w:ilvl="3" w:tentative="0">
      <w:start w:val="0"/>
      <w:numFmt w:val="bullet"/>
      <w:lvlText w:val="•"/>
      <w:lvlJc w:val="left"/>
      <w:pPr>
        <w:ind w:left="4393" w:hanging="509"/>
      </w:pPr>
      <w:rPr>
        <w:rFonts w:hint="default"/>
        <w:lang w:val="en-US" w:eastAsia="zh-CN" w:bidi="ar-SA"/>
      </w:rPr>
    </w:lvl>
    <w:lvl w:ilvl="4" w:tentative="0">
      <w:start w:val="0"/>
      <w:numFmt w:val="bullet"/>
      <w:lvlText w:val="•"/>
      <w:lvlJc w:val="left"/>
      <w:pPr>
        <w:ind w:left="5357" w:hanging="509"/>
      </w:pPr>
      <w:rPr>
        <w:rFonts w:hint="default"/>
        <w:lang w:val="en-US" w:eastAsia="zh-CN" w:bidi="ar-SA"/>
      </w:rPr>
    </w:lvl>
    <w:lvl w:ilvl="5" w:tentative="0">
      <w:start w:val="0"/>
      <w:numFmt w:val="bullet"/>
      <w:lvlText w:val="•"/>
      <w:lvlJc w:val="left"/>
      <w:pPr>
        <w:ind w:left="6322" w:hanging="509"/>
      </w:pPr>
      <w:rPr>
        <w:rFonts w:hint="default"/>
        <w:lang w:val="en-US" w:eastAsia="zh-CN" w:bidi="ar-SA"/>
      </w:rPr>
    </w:lvl>
    <w:lvl w:ilvl="6" w:tentative="0">
      <w:start w:val="0"/>
      <w:numFmt w:val="bullet"/>
      <w:lvlText w:val="•"/>
      <w:lvlJc w:val="left"/>
      <w:pPr>
        <w:ind w:left="7286" w:hanging="509"/>
      </w:pPr>
      <w:rPr>
        <w:rFonts w:hint="default"/>
        <w:lang w:val="en-US" w:eastAsia="zh-CN" w:bidi="ar-SA"/>
      </w:rPr>
    </w:lvl>
    <w:lvl w:ilvl="7" w:tentative="0">
      <w:start w:val="0"/>
      <w:numFmt w:val="bullet"/>
      <w:lvlText w:val="•"/>
      <w:lvlJc w:val="left"/>
      <w:pPr>
        <w:ind w:left="8251" w:hanging="509"/>
      </w:pPr>
      <w:rPr>
        <w:rFonts w:hint="default"/>
        <w:lang w:val="en-US" w:eastAsia="zh-CN" w:bidi="ar-SA"/>
      </w:rPr>
    </w:lvl>
    <w:lvl w:ilvl="8" w:tentative="0">
      <w:start w:val="0"/>
      <w:numFmt w:val="bullet"/>
      <w:lvlText w:val="•"/>
      <w:lvlJc w:val="left"/>
      <w:pPr>
        <w:ind w:left="9215" w:hanging="509"/>
      </w:pPr>
      <w:rPr>
        <w:rFonts w:hint="default"/>
        <w:lang w:val="en-US" w:eastAsia="zh-CN"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260B02"/>
    <w:rsid w:val="0000796D"/>
    <w:rsid w:val="00013BDA"/>
    <w:rsid w:val="0001501D"/>
    <w:rsid w:val="000331BA"/>
    <w:rsid w:val="00035337"/>
    <w:rsid w:val="00044335"/>
    <w:rsid w:val="00045C69"/>
    <w:rsid w:val="00050367"/>
    <w:rsid w:val="0005049E"/>
    <w:rsid w:val="00051BF5"/>
    <w:rsid w:val="00054470"/>
    <w:rsid w:val="00055A70"/>
    <w:rsid w:val="00061F6F"/>
    <w:rsid w:val="00072E6F"/>
    <w:rsid w:val="00082CCE"/>
    <w:rsid w:val="00085307"/>
    <w:rsid w:val="00095D48"/>
    <w:rsid w:val="000A26B3"/>
    <w:rsid w:val="000A3A8D"/>
    <w:rsid w:val="000A3D51"/>
    <w:rsid w:val="000A7178"/>
    <w:rsid w:val="000B0029"/>
    <w:rsid w:val="000B2991"/>
    <w:rsid w:val="000C0074"/>
    <w:rsid w:val="000C78F5"/>
    <w:rsid w:val="000E0F01"/>
    <w:rsid w:val="000E2A4D"/>
    <w:rsid w:val="000E4593"/>
    <w:rsid w:val="000E53BB"/>
    <w:rsid w:val="000F58CF"/>
    <w:rsid w:val="00101672"/>
    <w:rsid w:val="001074E7"/>
    <w:rsid w:val="00121A2B"/>
    <w:rsid w:val="00121C65"/>
    <w:rsid w:val="00122121"/>
    <w:rsid w:val="00130378"/>
    <w:rsid w:val="00130763"/>
    <w:rsid w:val="00134BD8"/>
    <w:rsid w:val="00134BEB"/>
    <w:rsid w:val="00135C68"/>
    <w:rsid w:val="001406D8"/>
    <w:rsid w:val="00154C48"/>
    <w:rsid w:val="00171570"/>
    <w:rsid w:val="001719C9"/>
    <w:rsid w:val="00186B53"/>
    <w:rsid w:val="001958B8"/>
    <w:rsid w:val="001A60AB"/>
    <w:rsid w:val="001B172B"/>
    <w:rsid w:val="001B3C1E"/>
    <w:rsid w:val="001C29B4"/>
    <w:rsid w:val="001D3D1D"/>
    <w:rsid w:val="001D58EB"/>
    <w:rsid w:val="001D76CE"/>
    <w:rsid w:val="001E0F04"/>
    <w:rsid w:val="001E6845"/>
    <w:rsid w:val="001F3600"/>
    <w:rsid w:val="001F4E5D"/>
    <w:rsid w:val="001F52C5"/>
    <w:rsid w:val="001F7864"/>
    <w:rsid w:val="00214875"/>
    <w:rsid w:val="00237CE6"/>
    <w:rsid w:val="00253299"/>
    <w:rsid w:val="00260B02"/>
    <w:rsid w:val="00267333"/>
    <w:rsid w:val="002723A7"/>
    <w:rsid w:val="002876F4"/>
    <w:rsid w:val="0029329A"/>
    <w:rsid w:val="002A5958"/>
    <w:rsid w:val="002B1B70"/>
    <w:rsid w:val="002B226B"/>
    <w:rsid w:val="002B3315"/>
    <w:rsid w:val="002C3428"/>
    <w:rsid w:val="002C39A3"/>
    <w:rsid w:val="002C43E3"/>
    <w:rsid w:val="002D4D43"/>
    <w:rsid w:val="002D5197"/>
    <w:rsid w:val="002E14EF"/>
    <w:rsid w:val="002E3BD3"/>
    <w:rsid w:val="002E7E3D"/>
    <w:rsid w:val="00305904"/>
    <w:rsid w:val="00305928"/>
    <w:rsid w:val="00305BF5"/>
    <w:rsid w:val="00312888"/>
    <w:rsid w:val="003252A1"/>
    <w:rsid w:val="003264BA"/>
    <w:rsid w:val="003278F3"/>
    <w:rsid w:val="00337720"/>
    <w:rsid w:val="00345728"/>
    <w:rsid w:val="00350A8A"/>
    <w:rsid w:val="003536FE"/>
    <w:rsid w:val="00357BCB"/>
    <w:rsid w:val="0036121A"/>
    <w:rsid w:val="003625BB"/>
    <w:rsid w:val="00363E17"/>
    <w:rsid w:val="003647F4"/>
    <w:rsid w:val="0036542F"/>
    <w:rsid w:val="00367A1F"/>
    <w:rsid w:val="003700FB"/>
    <w:rsid w:val="00371BE9"/>
    <w:rsid w:val="0037306E"/>
    <w:rsid w:val="003807E7"/>
    <w:rsid w:val="00380BAB"/>
    <w:rsid w:val="00393CF8"/>
    <w:rsid w:val="0039410F"/>
    <w:rsid w:val="003A2680"/>
    <w:rsid w:val="003A2C67"/>
    <w:rsid w:val="003A6A71"/>
    <w:rsid w:val="003A750C"/>
    <w:rsid w:val="003B168D"/>
    <w:rsid w:val="003B1D34"/>
    <w:rsid w:val="003C0550"/>
    <w:rsid w:val="003C06B5"/>
    <w:rsid w:val="003C315F"/>
    <w:rsid w:val="003C4D56"/>
    <w:rsid w:val="003C7CFE"/>
    <w:rsid w:val="003D2094"/>
    <w:rsid w:val="003D4C05"/>
    <w:rsid w:val="003D5B4C"/>
    <w:rsid w:val="003F3ED5"/>
    <w:rsid w:val="003F4B11"/>
    <w:rsid w:val="003F4CFA"/>
    <w:rsid w:val="00400AC4"/>
    <w:rsid w:val="00401227"/>
    <w:rsid w:val="004018A9"/>
    <w:rsid w:val="00405C19"/>
    <w:rsid w:val="004208E9"/>
    <w:rsid w:val="00420F75"/>
    <w:rsid w:val="004250FF"/>
    <w:rsid w:val="00432561"/>
    <w:rsid w:val="004364A0"/>
    <w:rsid w:val="0044240D"/>
    <w:rsid w:val="00444348"/>
    <w:rsid w:val="0044691C"/>
    <w:rsid w:val="00463FCA"/>
    <w:rsid w:val="00464C42"/>
    <w:rsid w:val="004746B7"/>
    <w:rsid w:val="00485E54"/>
    <w:rsid w:val="00490E92"/>
    <w:rsid w:val="004920A8"/>
    <w:rsid w:val="00495E59"/>
    <w:rsid w:val="004A1D0C"/>
    <w:rsid w:val="004A7471"/>
    <w:rsid w:val="004A78CB"/>
    <w:rsid w:val="004B0CE2"/>
    <w:rsid w:val="004B5474"/>
    <w:rsid w:val="004B57BB"/>
    <w:rsid w:val="004D0253"/>
    <w:rsid w:val="004D7666"/>
    <w:rsid w:val="004E1C63"/>
    <w:rsid w:val="004F01A7"/>
    <w:rsid w:val="004F4511"/>
    <w:rsid w:val="004F5F6D"/>
    <w:rsid w:val="004F642E"/>
    <w:rsid w:val="004F6CD1"/>
    <w:rsid w:val="00505687"/>
    <w:rsid w:val="00507285"/>
    <w:rsid w:val="00510923"/>
    <w:rsid w:val="00514719"/>
    <w:rsid w:val="00522725"/>
    <w:rsid w:val="00523096"/>
    <w:rsid w:val="00523870"/>
    <w:rsid w:val="00531B9C"/>
    <w:rsid w:val="00532AA1"/>
    <w:rsid w:val="005506C0"/>
    <w:rsid w:val="00552059"/>
    <w:rsid w:val="005538E5"/>
    <w:rsid w:val="005620F6"/>
    <w:rsid w:val="0056419E"/>
    <w:rsid w:val="005642B0"/>
    <w:rsid w:val="00581410"/>
    <w:rsid w:val="0058272A"/>
    <w:rsid w:val="00590276"/>
    <w:rsid w:val="0059039F"/>
    <w:rsid w:val="00593E40"/>
    <w:rsid w:val="00596B8D"/>
    <w:rsid w:val="005A1943"/>
    <w:rsid w:val="005A6693"/>
    <w:rsid w:val="005B3092"/>
    <w:rsid w:val="005C3A1F"/>
    <w:rsid w:val="005C3B3F"/>
    <w:rsid w:val="005D2554"/>
    <w:rsid w:val="005E3CB4"/>
    <w:rsid w:val="005F0786"/>
    <w:rsid w:val="005F1562"/>
    <w:rsid w:val="005F5A91"/>
    <w:rsid w:val="005F5D9F"/>
    <w:rsid w:val="00604884"/>
    <w:rsid w:val="006071AC"/>
    <w:rsid w:val="00613CD1"/>
    <w:rsid w:val="00620E97"/>
    <w:rsid w:val="00621C77"/>
    <w:rsid w:val="00634001"/>
    <w:rsid w:val="0063726F"/>
    <w:rsid w:val="006412A7"/>
    <w:rsid w:val="006472F8"/>
    <w:rsid w:val="00654112"/>
    <w:rsid w:val="006564A8"/>
    <w:rsid w:val="00661134"/>
    <w:rsid w:val="006615D1"/>
    <w:rsid w:val="00664740"/>
    <w:rsid w:val="00670B52"/>
    <w:rsid w:val="0067732F"/>
    <w:rsid w:val="00681212"/>
    <w:rsid w:val="00683692"/>
    <w:rsid w:val="00684110"/>
    <w:rsid w:val="00685A2E"/>
    <w:rsid w:val="00690830"/>
    <w:rsid w:val="00692E34"/>
    <w:rsid w:val="006972F3"/>
    <w:rsid w:val="006A3078"/>
    <w:rsid w:val="006A4221"/>
    <w:rsid w:val="006A6062"/>
    <w:rsid w:val="006B49D1"/>
    <w:rsid w:val="006C0F85"/>
    <w:rsid w:val="006C587F"/>
    <w:rsid w:val="006C6242"/>
    <w:rsid w:val="006E478B"/>
    <w:rsid w:val="006F25BC"/>
    <w:rsid w:val="00712F13"/>
    <w:rsid w:val="007158CC"/>
    <w:rsid w:val="00720D32"/>
    <w:rsid w:val="00733335"/>
    <w:rsid w:val="00734110"/>
    <w:rsid w:val="0073754E"/>
    <w:rsid w:val="0073776E"/>
    <w:rsid w:val="00742303"/>
    <w:rsid w:val="007448CB"/>
    <w:rsid w:val="007449A5"/>
    <w:rsid w:val="0076196A"/>
    <w:rsid w:val="00765ADE"/>
    <w:rsid w:val="0077644C"/>
    <w:rsid w:val="00776DBC"/>
    <w:rsid w:val="0079068E"/>
    <w:rsid w:val="00792873"/>
    <w:rsid w:val="007A36B9"/>
    <w:rsid w:val="007C4CC0"/>
    <w:rsid w:val="007D141D"/>
    <w:rsid w:val="007D6FA6"/>
    <w:rsid w:val="007E0A1B"/>
    <w:rsid w:val="007E30B4"/>
    <w:rsid w:val="007E5AE1"/>
    <w:rsid w:val="007F0807"/>
    <w:rsid w:val="007F3600"/>
    <w:rsid w:val="007F425A"/>
    <w:rsid w:val="007F4EC9"/>
    <w:rsid w:val="007F5B14"/>
    <w:rsid w:val="008008FB"/>
    <w:rsid w:val="00801A16"/>
    <w:rsid w:val="00802DA6"/>
    <w:rsid w:val="0080343E"/>
    <w:rsid w:val="00811190"/>
    <w:rsid w:val="00815D5B"/>
    <w:rsid w:val="00825F85"/>
    <w:rsid w:val="00827C9A"/>
    <w:rsid w:val="0083544A"/>
    <w:rsid w:val="00836FDE"/>
    <w:rsid w:val="00843494"/>
    <w:rsid w:val="008455F0"/>
    <w:rsid w:val="00850062"/>
    <w:rsid w:val="008511F1"/>
    <w:rsid w:val="0085310F"/>
    <w:rsid w:val="00854B70"/>
    <w:rsid w:val="00861902"/>
    <w:rsid w:val="00862C3B"/>
    <w:rsid w:val="00864AF7"/>
    <w:rsid w:val="00864B48"/>
    <w:rsid w:val="008852F3"/>
    <w:rsid w:val="008859F4"/>
    <w:rsid w:val="00886FE2"/>
    <w:rsid w:val="00887FA8"/>
    <w:rsid w:val="0089020E"/>
    <w:rsid w:val="0089036D"/>
    <w:rsid w:val="00893147"/>
    <w:rsid w:val="008A11A6"/>
    <w:rsid w:val="008A416E"/>
    <w:rsid w:val="008A5775"/>
    <w:rsid w:val="008B324A"/>
    <w:rsid w:val="008B421D"/>
    <w:rsid w:val="008B47E9"/>
    <w:rsid w:val="008B486F"/>
    <w:rsid w:val="008B569A"/>
    <w:rsid w:val="008B5927"/>
    <w:rsid w:val="008D0B75"/>
    <w:rsid w:val="008D262C"/>
    <w:rsid w:val="008D3150"/>
    <w:rsid w:val="008D42B8"/>
    <w:rsid w:val="008D6DA7"/>
    <w:rsid w:val="008E2AEC"/>
    <w:rsid w:val="008E3F9B"/>
    <w:rsid w:val="008F79D8"/>
    <w:rsid w:val="009005FC"/>
    <w:rsid w:val="00906213"/>
    <w:rsid w:val="00913877"/>
    <w:rsid w:val="00924EBC"/>
    <w:rsid w:val="00933A70"/>
    <w:rsid w:val="00943A17"/>
    <w:rsid w:val="00946897"/>
    <w:rsid w:val="009526F1"/>
    <w:rsid w:val="00971214"/>
    <w:rsid w:val="00974BE2"/>
    <w:rsid w:val="00984252"/>
    <w:rsid w:val="009843BA"/>
    <w:rsid w:val="009908B1"/>
    <w:rsid w:val="00994C31"/>
    <w:rsid w:val="009A03AA"/>
    <w:rsid w:val="009A6C89"/>
    <w:rsid w:val="009A7694"/>
    <w:rsid w:val="009B0B82"/>
    <w:rsid w:val="009C68B5"/>
    <w:rsid w:val="009D14FE"/>
    <w:rsid w:val="009D306D"/>
    <w:rsid w:val="009D409B"/>
    <w:rsid w:val="009D5A25"/>
    <w:rsid w:val="009F1CA3"/>
    <w:rsid w:val="009F51BD"/>
    <w:rsid w:val="009F6714"/>
    <w:rsid w:val="00A01689"/>
    <w:rsid w:val="00A03B32"/>
    <w:rsid w:val="00A23506"/>
    <w:rsid w:val="00A244C5"/>
    <w:rsid w:val="00A302DE"/>
    <w:rsid w:val="00A330CC"/>
    <w:rsid w:val="00A33B97"/>
    <w:rsid w:val="00A33F35"/>
    <w:rsid w:val="00A40A33"/>
    <w:rsid w:val="00A415DE"/>
    <w:rsid w:val="00A454DD"/>
    <w:rsid w:val="00A469C2"/>
    <w:rsid w:val="00A508A0"/>
    <w:rsid w:val="00A83320"/>
    <w:rsid w:val="00A92F4A"/>
    <w:rsid w:val="00A97A40"/>
    <w:rsid w:val="00AA46CF"/>
    <w:rsid w:val="00AA5A99"/>
    <w:rsid w:val="00AC3A5F"/>
    <w:rsid w:val="00AD5DB5"/>
    <w:rsid w:val="00AD6851"/>
    <w:rsid w:val="00AD7256"/>
    <w:rsid w:val="00AD73BF"/>
    <w:rsid w:val="00AD7C8C"/>
    <w:rsid w:val="00AE3697"/>
    <w:rsid w:val="00AE4504"/>
    <w:rsid w:val="00AF3671"/>
    <w:rsid w:val="00AF388C"/>
    <w:rsid w:val="00AF61BC"/>
    <w:rsid w:val="00AF6737"/>
    <w:rsid w:val="00B0065A"/>
    <w:rsid w:val="00B01120"/>
    <w:rsid w:val="00B0737A"/>
    <w:rsid w:val="00B10256"/>
    <w:rsid w:val="00B102A8"/>
    <w:rsid w:val="00B176A5"/>
    <w:rsid w:val="00B2627D"/>
    <w:rsid w:val="00B43C24"/>
    <w:rsid w:val="00B5088E"/>
    <w:rsid w:val="00B53391"/>
    <w:rsid w:val="00B53400"/>
    <w:rsid w:val="00B5527A"/>
    <w:rsid w:val="00B5697C"/>
    <w:rsid w:val="00B66C73"/>
    <w:rsid w:val="00B71C47"/>
    <w:rsid w:val="00B76CB5"/>
    <w:rsid w:val="00B83648"/>
    <w:rsid w:val="00B94E23"/>
    <w:rsid w:val="00B97BDD"/>
    <w:rsid w:val="00BA040F"/>
    <w:rsid w:val="00BA24E2"/>
    <w:rsid w:val="00BA2F3E"/>
    <w:rsid w:val="00BA46C8"/>
    <w:rsid w:val="00BA50C8"/>
    <w:rsid w:val="00BB2B84"/>
    <w:rsid w:val="00BB78CA"/>
    <w:rsid w:val="00BC1F60"/>
    <w:rsid w:val="00BD172F"/>
    <w:rsid w:val="00BE13CF"/>
    <w:rsid w:val="00BE173A"/>
    <w:rsid w:val="00BF18C4"/>
    <w:rsid w:val="00BF59DF"/>
    <w:rsid w:val="00C07967"/>
    <w:rsid w:val="00C11794"/>
    <w:rsid w:val="00C11F35"/>
    <w:rsid w:val="00C12F51"/>
    <w:rsid w:val="00C16D3A"/>
    <w:rsid w:val="00C25961"/>
    <w:rsid w:val="00C32A35"/>
    <w:rsid w:val="00C42D96"/>
    <w:rsid w:val="00C51FA3"/>
    <w:rsid w:val="00C64040"/>
    <w:rsid w:val="00C64ACD"/>
    <w:rsid w:val="00C6564B"/>
    <w:rsid w:val="00C67AFA"/>
    <w:rsid w:val="00C71269"/>
    <w:rsid w:val="00C738AC"/>
    <w:rsid w:val="00C76797"/>
    <w:rsid w:val="00C80A4D"/>
    <w:rsid w:val="00C865B8"/>
    <w:rsid w:val="00C87D25"/>
    <w:rsid w:val="00C94716"/>
    <w:rsid w:val="00C96DF9"/>
    <w:rsid w:val="00CB32D2"/>
    <w:rsid w:val="00CB53CC"/>
    <w:rsid w:val="00CB6FB4"/>
    <w:rsid w:val="00CB755A"/>
    <w:rsid w:val="00CC35B5"/>
    <w:rsid w:val="00CE27EA"/>
    <w:rsid w:val="00CF0DCB"/>
    <w:rsid w:val="00CF2FDD"/>
    <w:rsid w:val="00CF39ED"/>
    <w:rsid w:val="00CF5C98"/>
    <w:rsid w:val="00D00E60"/>
    <w:rsid w:val="00D01623"/>
    <w:rsid w:val="00D018B7"/>
    <w:rsid w:val="00D0333D"/>
    <w:rsid w:val="00D05C8E"/>
    <w:rsid w:val="00D1215D"/>
    <w:rsid w:val="00D1226E"/>
    <w:rsid w:val="00D12E3A"/>
    <w:rsid w:val="00D17FA3"/>
    <w:rsid w:val="00D2316E"/>
    <w:rsid w:val="00D24BAE"/>
    <w:rsid w:val="00D25E3B"/>
    <w:rsid w:val="00D2748F"/>
    <w:rsid w:val="00D31884"/>
    <w:rsid w:val="00D47D6D"/>
    <w:rsid w:val="00D567C6"/>
    <w:rsid w:val="00D5684E"/>
    <w:rsid w:val="00D57ACC"/>
    <w:rsid w:val="00D61D51"/>
    <w:rsid w:val="00D64EFB"/>
    <w:rsid w:val="00D70326"/>
    <w:rsid w:val="00D727B8"/>
    <w:rsid w:val="00D73FEB"/>
    <w:rsid w:val="00D7436F"/>
    <w:rsid w:val="00D746EB"/>
    <w:rsid w:val="00D77BF8"/>
    <w:rsid w:val="00D836A2"/>
    <w:rsid w:val="00D837A9"/>
    <w:rsid w:val="00D853E0"/>
    <w:rsid w:val="00D87291"/>
    <w:rsid w:val="00D97536"/>
    <w:rsid w:val="00D97711"/>
    <w:rsid w:val="00DA77D3"/>
    <w:rsid w:val="00DB0972"/>
    <w:rsid w:val="00DB4471"/>
    <w:rsid w:val="00DC2704"/>
    <w:rsid w:val="00DC4EB3"/>
    <w:rsid w:val="00DD1927"/>
    <w:rsid w:val="00DD6C93"/>
    <w:rsid w:val="00DE1836"/>
    <w:rsid w:val="00DE1AE0"/>
    <w:rsid w:val="00DE1EC2"/>
    <w:rsid w:val="00DF397A"/>
    <w:rsid w:val="00DF745E"/>
    <w:rsid w:val="00DF775E"/>
    <w:rsid w:val="00E00201"/>
    <w:rsid w:val="00E02D10"/>
    <w:rsid w:val="00E050E8"/>
    <w:rsid w:val="00E0699A"/>
    <w:rsid w:val="00E163AB"/>
    <w:rsid w:val="00E21753"/>
    <w:rsid w:val="00E21A1F"/>
    <w:rsid w:val="00E237D4"/>
    <w:rsid w:val="00E4371B"/>
    <w:rsid w:val="00E44CCF"/>
    <w:rsid w:val="00E459D5"/>
    <w:rsid w:val="00E53531"/>
    <w:rsid w:val="00E55AEB"/>
    <w:rsid w:val="00E74189"/>
    <w:rsid w:val="00E76087"/>
    <w:rsid w:val="00E8197A"/>
    <w:rsid w:val="00E84568"/>
    <w:rsid w:val="00E847AD"/>
    <w:rsid w:val="00E90702"/>
    <w:rsid w:val="00E936E0"/>
    <w:rsid w:val="00EA2495"/>
    <w:rsid w:val="00EA5630"/>
    <w:rsid w:val="00EA620C"/>
    <w:rsid w:val="00EC26DC"/>
    <w:rsid w:val="00EC7824"/>
    <w:rsid w:val="00ED402F"/>
    <w:rsid w:val="00ED62C3"/>
    <w:rsid w:val="00EE2686"/>
    <w:rsid w:val="00EE42EC"/>
    <w:rsid w:val="00EE4BCF"/>
    <w:rsid w:val="00EE54FC"/>
    <w:rsid w:val="00EE619D"/>
    <w:rsid w:val="00EE6FFB"/>
    <w:rsid w:val="00EF0029"/>
    <w:rsid w:val="00EF1AF5"/>
    <w:rsid w:val="00EF78B6"/>
    <w:rsid w:val="00F053C9"/>
    <w:rsid w:val="00F11D73"/>
    <w:rsid w:val="00F135A2"/>
    <w:rsid w:val="00F2000C"/>
    <w:rsid w:val="00F2013C"/>
    <w:rsid w:val="00F226E2"/>
    <w:rsid w:val="00F23497"/>
    <w:rsid w:val="00F351B8"/>
    <w:rsid w:val="00F402E9"/>
    <w:rsid w:val="00F419F2"/>
    <w:rsid w:val="00F457B2"/>
    <w:rsid w:val="00F5218B"/>
    <w:rsid w:val="00F54948"/>
    <w:rsid w:val="00F54DE5"/>
    <w:rsid w:val="00F5682C"/>
    <w:rsid w:val="00F56A58"/>
    <w:rsid w:val="00F57DFC"/>
    <w:rsid w:val="00F6189F"/>
    <w:rsid w:val="00F712A8"/>
    <w:rsid w:val="00F75B62"/>
    <w:rsid w:val="00F958C1"/>
    <w:rsid w:val="00F9627C"/>
    <w:rsid w:val="00FA0AEC"/>
    <w:rsid w:val="00FA0B1A"/>
    <w:rsid w:val="00FA1D1A"/>
    <w:rsid w:val="00FC27D8"/>
    <w:rsid w:val="00FC2A19"/>
    <w:rsid w:val="00FC698F"/>
    <w:rsid w:val="00FE2B34"/>
    <w:rsid w:val="00FE3C62"/>
    <w:rsid w:val="00FE3E72"/>
    <w:rsid w:val="00FE5C46"/>
    <w:rsid w:val="00FE7D8B"/>
    <w:rsid w:val="5D5D3BC1"/>
    <w:rsid w:val="6DFEC8CD"/>
    <w:rsid w:val="FBABAC83"/>
    <w:rsid w:val="FFFECB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before="54"/>
      <w:ind w:right="119"/>
      <w:jc w:val="center"/>
      <w:outlineLvl w:val="0"/>
    </w:pPr>
    <w:rPr>
      <w:rFonts w:ascii="黑体" w:hAnsi="黑体" w:eastAsia="黑体" w:cs="黑体"/>
      <w:b/>
      <w:bCs/>
      <w:sz w:val="32"/>
      <w:szCs w:val="32"/>
    </w:rPr>
  </w:style>
  <w:style w:type="paragraph" w:styleId="3">
    <w:name w:val="heading 2"/>
    <w:basedOn w:val="1"/>
    <w:unhideWhenUsed/>
    <w:qFormat/>
    <w:uiPriority w:val="9"/>
    <w:pPr>
      <w:spacing w:before="1"/>
      <w:outlineLvl w:val="1"/>
    </w:pPr>
    <w:rPr>
      <w:rFonts w:ascii="Arial" w:hAnsi="Arial" w:eastAsia="Arial" w:cs="Arial"/>
      <w:b/>
      <w:bCs/>
      <w:sz w:val="28"/>
      <w:szCs w:val="28"/>
    </w:rPr>
  </w:style>
  <w:style w:type="paragraph" w:styleId="4">
    <w:name w:val="heading 3"/>
    <w:basedOn w:val="1"/>
    <w:unhideWhenUsed/>
    <w:qFormat/>
    <w:uiPriority w:val="9"/>
    <w:pPr>
      <w:ind w:left="608" w:hanging="368"/>
      <w:outlineLvl w:val="2"/>
    </w:pPr>
    <w:rPr>
      <w:b/>
      <w:bCs/>
      <w:sz w:val="21"/>
      <w:szCs w:val="21"/>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rPr>
      <w:rFonts w:eastAsia="黑体" w:asciiTheme="majorHAnsi" w:hAnsiTheme="majorHAnsi" w:cstheme="majorBidi"/>
      <w:sz w:val="20"/>
      <w:szCs w:val="20"/>
    </w:rPr>
  </w:style>
  <w:style w:type="paragraph" w:styleId="6">
    <w:name w:val="Document Map"/>
    <w:basedOn w:val="1"/>
    <w:link w:val="54"/>
    <w:semiHidden/>
    <w:unhideWhenUsed/>
    <w:uiPriority w:val="99"/>
    <w:rPr>
      <w:sz w:val="18"/>
      <w:szCs w:val="18"/>
    </w:rPr>
  </w:style>
  <w:style w:type="paragraph" w:styleId="7">
    <w:name w:val="annotation text"/>
    <w:basedOn w:val="1"/>
    <w:link w:val="30"/>
    <w:semiHidden/>
    <w:unhideWhenUsed/>
    <w:uiPriority w:val="99"/>
  </w:style>
  <w:style w:type="paragraph" w:styleId="8">
    <w:name w:val="Body Text"/>
    <w:basedOn w:val="1"/>
    <w:qFormat/>
    <w:uiPriority w:val="1"/>
    <w:rPr>
      <w:sz w:val="21"/>
      <w:szCs w:val="21"/>
    </w:rPr>
  </w:style>
  <w:style w:type="paragraph" w:styleId="9">
    <w:name w:val="toc 3"/>
    <w:basedOn w:val="1"/>
    <w:next w:val="1"/>
    <w:autoRedefine/>
    <w:unhideWhenUsed/>
    <w:uiPriority w:val="39"/>
    <w:pPr>
      <w:widowControl/>
      <w:autoSpaceDE/>
      <w:autoSpaceDN/>
      <w:spacing w:after="100" w:line="259" w:lineRule="auto"/>
      <w:ind w:left="440"/>
    </w:pPr>
    <w:rPr>
      <w:rFonts w:cs="Times New Roman" w:asciiTheme="minorHAnsi" w:hAnsiTheme="minorHAnsi" w:eastAsiaTheme="minorEastAsia"/>
    </w:rPr>
  </w:style>
  <w:style w:type="paragraph" w:styleId="10">
    <w:name w:val="Date"/>
    <w:basedOn w:val="1"/>
    <w:next w:val="1"/>
    <w:link w:val="53"/>
    <w:semiHidden/>
    <w:unhideWhenUsed/>
    <w:uiPriority w:val="99"/>
    <w:pPr>
      <w:ind w:left="100" w:leftChars="2500"/>
    </w:pPr>
  </w:style>
  <w:style w:type="paragraph" w:styleId="11">
    <w:name w:val="Balloon Text"/>
    <w:basedOn w:val="1"/>
    <w:link w:val="32"/>
    <w:semiHidden/>
    <w:unhideWhenUsed/>
    <w:uiPriority w:val="99"/>
    <w:rPr>
      <w:sz w:val="18"/>
      <w:szCs w:val="18"/>
    </w:rPr>
  </w:style>
  <w:style w:type="paragraph" w:styleId="12">
    <w:name w:val="footer"/>
    <w:basedOn w:val="1"/>
    <w:link w:val="28"/>
    <w:unhideWhenUsed/>
    <w:uiPriority w:val="99"/>
    <w:pPr>
      <w:tabs>
        <w:tab w:val="center" w:pos="4153"/>
        <w:tab w:val="right" w:pos="8306"/>
      </w:tabs>
      <w:snapToGrid w:val="0"/>
    </w:pPr>
    <w:rPr>
      <w:sz w:val="18"/>
      <w:szCs w:val="18"/>
    </w:rPr>
  </w:style>
  <w:style w:type="paragraph" w:styleId="13">
    <w:name w:val="header"/>
    <w:basedOn w:val="1"/>
    <w:link w:val="27"/>
    <w:unhideWhenUsed/>
    <w:uiPriority w:val="99"/>
    <w:pPr>
      <w:tabs>
        <w:tab w:val="center" w:pos="4153"/>
        <w:tab w:val="right" w:pos="8306"/>
      </w:tabs>
      <w:snapToGrid w:val="0"/>
      <w:jc w:val="center"/>
    </w:pPr>
    <w:rPr>
      <w:sz w:val="18"/>
      <w:szCs w:val="18"/>
    </w:rPr>
  </w:style>
  <w:style w:type="paragraph" w:styleId="14">
    <w:name w:val="toc 1"/>
    <w:basedOn w:val="1"/>
    <w:qFormat/>
    <w:uiPriority w:val="39"/>
    <w:pPr>
      <w:spacing w:before="199"/>
      <w:ind w:left="688" w:hanging="201"/>
    </w:pPr>
    <w:rPr>
      <w:sz w:val="21"/>
      <w:szCs w:val="21"/>
    </w:rPr>
  </w:style>
  <w:style w:type="paragraph" w:styleId="15">
    <w:name w:val="toc 2"/>
    <w:basedOn w:val="1"/>
    <w:next w:val="1"/>
    <w:autoRedefine/>
    <w:unhideWhenUsed/>
    <w:uiPriority w:val="39"/>
    <w:pPr>
      <w:ind w:left="420" w:leftChars="200"/>
    </w:pPr>
  </w:style>
  <w:style w:type="paragraph" w:styleId="16">
    <w:name w:val="Title"/>
    <w:basedOn w:val="1"/>
    <w:qFormat/>
    <w:uiPriority w:val="10"/>
    <w:pPr>
      <w:spacing w:line="922" w:lineRule="exact"/>
      <w:ind w:left="5968"/>
    </w:pPr>
    <w:rPr>
      <w:rFonts w:ascii="黑体" w:hAnsi="黑体" w:eastAsia="黑体" w:cs="黑体"/>
      <w:b/>
      <w:bCs/>
      <w:sz w:val="72"/>
      <w:szCs w:val="72"/>
    </w:rPr>
  </w:style>
  <w:style w:type="paragraph" w:styleId="17">
    <w:name w:val="annotation subject"/>
    <w:basedOn w:val="7"/>
    <w:next w:val="7"/>
    <w:link w:val="31"/>
    <w:semiHidden/>
    <w:unhideWhenUsed/>
    <w:uiPriority w:val="99"/>
    <w:rPr>
      <w:b/>
      <w:bCs/>
    </w:rPr>
  </w:style>
  <w:style w:type="table" w:styleId="19">
    <w:name w:val="Table Grid"/>
    <w:basedOn w:val="1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Hyperlink"/>
    <w:uiPriority w:val="99"/>
    <w:rPr>
      <w:rFonts w:ascii="宋体" w:hAnsi="Times New Roman" w:eastAsia="宋体"/>
      <w:color w:val="auto"/>
      <w:spacing w:val="0"/>
      <w:w w:val="100"/>
      <w:position w:val="0"/>
      <w:sz w:val="21"/>
      <w:u w:val="none"/>
      <w:vertAlign w:val="baseline"/>
    </w:rPr>
  </w:style>
  <w:style w:type="character" w:styleId="23">
    <w:name w:val="annotation reference"/>
    <w:basedOn w:val="20"/>
    <w:semiHidden/>
    <w:unhideWhenUsed/>
    <w:uiPriority w:val="99"/>
    <w:rPr>
      <w:sz w:val="21"/>
      <w:szCs w:val="21"/>
    </w:rPr>
  </w:style>
  <w:style w:type="table" w:customStyle="1" w:styleId="24">
    <w:name w:val="Table Normal"/>
    <w:semiHidden/>
    <w:unhideWhenUsed/>
    <w:qFormat/>
    <w:uiPriority w:val="2"/>
    <w:tblPr>
      <w:tblCellMar>
        <w:top w:w="0" w:type="dxa"/>
        <w:left w:w="0" w:type="dxa"/>
        <w:bottom w:w="0" w:type="dxa"/>
        <w:right w:w="0" w:type="dxa"/>
      </w:tblCellMar>
    </w:tblPr>
  </w:style>
  <w:style w:type="paragraph" w:styleId="25">
    <w:name w:val="List Paragraph"/>
    <w:basedOn w:val="1"/>
    <w:qFormat/>
    <w:uiPriority w:val="1"/>
    <w:pPr>
      <w:ind w:left="814" w:hanging="574"/>
    </w:pPr>
  </w:style>
  <w:style w:type="paragraph" w:customStyle="1" w:styleId="26">
    <w:name w:val="Table Paragraph"/>
    <w:basedOn w:val="1"/>
    <w:qFormat/>
    <w:uiPriority w:val="1"/>
    <w:pPr>
      <w:spacing w:before="99"/>
      <w:ind w:left="521"/>
      <w:jc w:val="center"/>
    </w:pPr>
  </w:style>
  <w:style w:type="character" w:customStyle="1" w:styleId="27">
    <w:name w:val="页眉 Char"/>
    <w:basedOn w:val="20"/>
    <w:link w:val="13"/>
    <w:uiPriority w:val="99"/>
    <w:rPr>
      <w:rFonts w:ascii="宋体" w:hAnsi="宋体" w:eastAsia="宋体" w:cs="宋体"/>
      <w:sz w:val="18"/>
      <w:szCs w:val="18"/>
      <w:lang w:eastAsia="zh-CN"/>
    </w:rPr>
  </w:style>
  <w:style w:type="character" w:customStyle="1" w:styleId="28">
    <w:name w:val="页脚 Char"/>
    <w:basedOn w:val="20"/>
    <w:link w:val="12"/>
    <w:uiPriority w:val="99"/>
    <w:rPr>
      <w:rFonts w:ascii="宋体" w:hAnsi="宋体" w:eastAsia="宋体" w:cs="宋体"/>
      <w:sz w:val="18"/>
      <w:szCs w:val="18"/>
      <w:lang w:eastAsia="zh-CN"/>
    </w:rPr>
  </w:style>
  <w:style w:type="character" w:styleId="29">
    <w:name w:val="Placeholder Text"/>
    <w:basedOn w:val="20"/>
    <w:semiHidden/>
    <w:uiPriority w:val="99"/>
    <w:rPr>
      <w:color w:val="666666"/>
    </w:rPr>
  </w:style>
  <w:style w:type="character" w:customStyle="1" w:styleId="30">
    <w:name w:val="批注文字 Char"/>
    <w:basedOn w:val="20"/>
    <w:link w:val="7"/>
    <w:semiHidden/>
    <w:uiPriority w:val="99"/>
    <w:rPr>
      <w:rFonts w:ascii="宋体" w:hAnsi="宋体" w:eastAsia="宋体" w:cs="宋体"/>
      <w:lang w:eastAsia="zh-CN"/>
    </w:rPr>
  </w:style>
  <w:style w:type="character" w:customStyle="1" w:styleId="31">
    <w:name w:val="批注主题 Char"/>
    <w:basedOn w:val="30"/>
    <w:link w:val="17"/>
    <w:semiHidden/>
    <w:uiPriority w:val="99"/>
    <w:rPr>
      <w:rFonts w:ascii="宋体" w:hAnsi="宋体" w:eastAsia="宋体" w:cs="宋体"/>
      <w:b/>
      <w:bCs/>
      <w:lang w:eastAsia="zh-CN"/>
    </w:rPr>
  </w:style>
  <w:style w:type="character" w:customStyle="1" w:styleId="32">
    <w:name w:val="批注框文本 Char"/>
    <w:basedOn w:val="20"/>
    <w:link w:val="11"/>
    <w:semiHidden/>
    <w:uiPriority w:val="99"/>
    <w:rPr>
      <w:rFonts w:ascii="宋体" w:hAnsi="宋体" w:eastAsia="宋体" w:cs="宋体"/>
      <w:sz w:val="18"/>
      <w:szCs w:val="18"/>
      <w:lang w:eastAsia="zh-CN"/>
    </w:rPr>
  </w:style>
  <w:style w:type="paragraph" w:customStyle="1" w:styleId="33">
    <w:name w:val="其他标准称谓"/>
    <w:uiPriority w:val="0"/>
    <w:pPr>
      <w:widowControl/>
      <w:autoSpaceDE/>
      <w:autoSpaceDN/>
      <w:spacing w:line="0" w:lineRule="atLeast"/>
      <w:jc w:val="distribute"/>
    </w:pPr>
    <w:rPr>
      <w:rFonts w:ascii="黑体" w:hAnsi="宋体" w:eastAsia="黑体" w:cs="Times New Roman"/>
      <w:sz w:val="52"/>
      <w:szCs w:val="20"/>
      <w:lang w:val="en-US" w:eastAsia="zh-CN" w:bidi="ar-SA"/>
    </w:rPr>
  </w:style>
  <w:style w:type="paragraph" w:customStyle="1" w:styleId="34">
    <w:name w:val="封面标准号2"/>
    <w:basedOn w:val="1"/>
    <w:uiPriority w:val="0"/>
    <w:pPr>
      <w:kinsoku w:val="0"/>
      <w:overflowPunct w:val="0"/>
      <w:adjustRightInd w:val="0"/>
      <w:spacing w:before="357" w:line="280" w:lineRule="exact"/>
      <w:jc w:val="right"/>
      <w:textAlignment w:val="center"/>
    </w:pPr>
    <w:rPr>
      <w:rFonts w:ascii="Times New Roman" w:hAnsi="Times New Roman" w:cs="Times New Roman"/>
      <w:sz w:val="28"/>
      <w:szCs w:val="20"/>
    </w:rPr>
  </w:style>
  <w:style w:type="paragraph" w:customStyle="1" w:styleId="35">
    <w:name w:val="标准标志"/>
    <w:next w:val="1"/>
    <w:uiPriority w:val="0"/>
    <w:pPr>
      <w:widowControl/>
      <w:shd w:val="solid" w:color="FFFFFF" w:fill="FFFFFF"/>
      <w:autoSpaceDE/>
      <w:autoSpaceDN/>
      <w:spacing w:line="0" w:lineRule="atLeast"/>
      <w:jc w:val="right"/>
    </w:pPr>
    <w:rPr>
      <w:rFonts w:ascii="Times New Roman" w:hAnsi="Times New Roman" w:eastAsia="宋体" w:cs="Times New Roman"/>
      <w:b/>
      <w:w w:val="130"/>
      <w:sz w:val="96"/>
      <w:szCs w:val="20"/>
      <w:lang w:val="en-US" w:eastAsia="zh-CN" w:bidi="ar-SA"/>
    </w:rPr>
  </w:style>
  <w:style w:type="character" w:customStyle="1" w:styleId="36">
    <w:name w:val="发布"/>
    <w:uiPriority w:val="0"/>
    <w:rPr>
      <w:rFonts w:ascii="黑体" w:eastAsia="黑体"/>
      <w:spacing w:val="22"/>
      <w:w w:val="100"/>
      <w:position w:val="3"/>
      <w:sz w:val="28"/>
    </w:rPr>
  </w:style>
  <w:style w:type="paragraph" w:customStyle="1" w:styleId="37">
    <w:name w:val="标准文件_页脚偶数页"/>
    <w:uiPriority w:val="0"/>
    <w:pPr>
      <w:widowControl/>
      <w:autoSpaceDE/>
      <w:autoSpaceDN/>
      <w:ind w:left="198"/>
    </w:pPr>
    <w:rPr>
      <w:rFonts w:ascii="宋体" w:hAnsi="Times New Roman" w:eastAsia="宋体" w:cs="Times New Roman"/>
      <w:sz w:val="18"/>
      <w:szCs w:val="20"/>
      <w:lang w:val="en-US" w:eastAsia="zh-CN" w:bidi="ar-SA"/>
    </w:rPr>
  </w:style>
  <w:style w:type="paragraph" w:customStyle="1" w:styleId="38">
    <w:name w:val="标准文件_页脚奇数页"/>
    <w:uiPriority w:val="0"/>
    <w:pPr>
      <w:widowControl/>
      <w:autoSpaceDE/>
      <w:autoSpaceDN/>
      <w:ind w:right="227"/>
      <w:jc w:val="right"/>
    </w:pPr>
    <w:rPr>
      <w:rFonts w:ascii="宋体" w:hAnsi="Times New Roman" w:eastAsia="宋体" w:cs="Times New Roman"/>
      <w:sz w:val="18"/>
      <w:szCs w:val="20"/>
      <w:lang w:val="en-US" w:eastAsia="zh-CN" w:bidi="ar-SA"/>
    </w:rPr>
  </w:style>
  <w:style w:type="paragraph" w:customStyle="1" w:styleId="39">
    <w:name w:val="标准文件_页眉奇数页"/>
    <w:next w:val="1"/>
    <w:uiPriority w:val="0"/>
    <w:pPr>
      <w:widowControl/>
      <w:tabs>
        <w:tab w:val="center" w:pos="4154"/>
        <w:tab w:val="right" w:pos="8306"/>
      </w:tabs>
      <w:autoSpaceDE/>
      <w:autoSpaceDN/>
      <w:spacing w:after="120"/>
      <w:jc w:val="right"/>
    </w:pPr>
    <w:rPr>
      <w:rFonts w:ascii="黑体" w:hAnsi="宋体" w:eastAsia="黑体" w:cs="Times New Roman"/>
      <w:sz w:val="21"/>
      <w:szCs w:val="20"/>
      <w:lang w:val="en-US" w:eastAsia="zh-CN" w:bidi="ar-SA"/>
    </w:rPr>
  </w:style>
  <w:style w:type="paragraph" w:customStyle="1" w:styleId="40">
    <w:name w:val="标准文件_页眉偶数页"/>
    <w:basedOn w:val="39"/>
    <w:next w:val="1"/>
    <w:uiPriority w:val="0"/>
    <w:pPr>
      <w:jc w:val="left"/>
    </w:pPr>
  </w:style>
  <w:style w:type="paragraph" w:customStyle="1" w:styleId="41">
    <w:name w:val="标准文件_目录标题"/>
    <w:basedOn w:val="1"/>
    <w:uiPriority w:val="0"/>
    <w:pPr>
      <w:autoSpaceDE/>
      <w:autoSpaceDN/>
      <w:adjustRightInd w:val="0"/>
      <w:spacing w:before="480" w:afterLines="150"/>
      <w:jc w:val="center"/>
    </w:pPr>
    <w:rPr>
      <w:rFonts w:ascii="黑体" w:hAnsi="Calibri" w:eastAsia="黑体" w:cs="Times New Roman"/>
      <w:kern w:val="2"/>
      <w:sz w:val="32"/>
      <w:szCs w:val="21"/>
    </w:rPr>
  </w:style>
  <w:style w:type="paragraph" w:customStyle="1" w:styleId="42">
    <w:name w:val="标准文件_段"/>
    <w:link w:val="44"/>
    <w:uiPriority w:val="0"/>
    <w:pPr>
      <w:widowControl/>
      <w:autoSpaceDE w:val="0"/>
      <w:autoSpaceDN w:val="0"/>
      <w:ind w:firstLine="200" w:firstLineChars="200"/>
      <w:jc w:val="both"/>
    </w:pPr>
    <w:rPr>
      <w:rFonts w:ascii="宋体" w:hAnsi="Times New Roman" w:eastAsia="宋体" w:cs="Times New Roman"/>
      <w:sz w:val="21"/>
      <w:szCs w:val="20"/>
      <w:lang w:val="en-US" w:eastAsia="zh-CN" w:bidi="ar-SA"/>
    </w:rPr>
  </w:style>
  <w:style w:type="paragraph" w:customStyle="1" w:styleId="43">
    <w:name w:val="标准文件_前言、引言标题"/>
    <w:next w:val="1"/>
    <w:uiPriority w:val="0"/>
    <w:pPr>
      <w:widowControl/>
      <w:numPr>
        <w:ilvl w:val="0"/>
        <w:numId w:val="1"/>
      </w:numPr>
      <w:shd w:val="clear" w:color="FFFFFF" w:fill="FFFFFF"/>
      <w:autoSpaceDE/>
      <w:autoSpaceDN/>
      <w:spacing w:before="480" w:afterLines="150"/>
      <w:jc w:val="center"/>
      <w:outlineLvl w:val="0"/>
    </w:pPr>
    <w:rPr>
      <w:rFonts w:ascii="黑体" w:hAnsi="Times New Roman" w:eastAsia="黑体" w:cs="Times New Roman"/>
      <w:sz w:val="32"/>
      <w:szCs w:val="20"/>
      <w:lang w:val="en-US" w:eastAsia="zh-CN" w:bidi="ar-SA"/>
    </w:rPr>
  </w:style>
  <w:style w:type="character" w:customStyle="1" w:styleId="44">
    <w:name w:val="标准文件_段 Char"/>
    <w:link w:val="42"/>
    <w:uiPriority w:val="0"/>
    <w:rPr>
      <w:rFonts w:ascii="宋体" w:hAnsi="Times New Roman" w:eastAsia="宋体" w:cs="Times New Roman"/>
      <w:sz w:val="21"/>
      <w:szCs w:val="20"/>
      <w:lang w:eastAsia="zh-CN"/>
    </w:rPr>
  </w:style>
  <w:style w:type="paragraph" w:customStyle="1" w:styleId="45">
    <w:name w:val="标准文件_引言一级条标题"/>
    <w:basedOn w:val="42"/>
    <w:next w:val="42"/>
    <w:qFormat/>
    <w:uiPriority w:val="0"/>
    <w:pPr>
      <w:numPr>
        <w:ilvl w:val="1"/>
        <w:numId w:val="1"/>
      </w:numPr>
      <w:spacing w:beforeLines="50" w:afterLines="50"/>
      <w:ind w:left="2608" w:hanging="269" w:firstLineChars="0"/>
    </w:pPr>
    <w:rPr>
      <w:rFonts w:ascii="黑体" w:eastAsia="黑体"/>
    </w:rPr>
  </w:style>
  <w:style w:type="paragraph" w:customStyle="1" w:styleId="46">
    <w:name w:val="标准文件_引言二级条标题"/>
    <w:basedOn w:val="42"/>
    <w:next w:val="42"/>
    <w:qFormat/>
    <w:uiPriority w:val="0"/>
    <w:pPr>
      <w:numPr>
        <w:ilvl w:val="2"/>
        <w:numId w:val="1"/>
      </w:numPr>
      <w:spacing w:beforeLines="50" w:afterLines="50"/>
      <w:ind w:left="3556" w:hanging="269" w:firstLineChars="0"/>
    </w:pPr>
    <w:rPr>
      <w:rFonts w:ascii="黑体" w:eastAsia="黑体"/>
    </w:rPr>
  </w:style>
  <w:style w:type="paragraph" w:customStyle="1" w:styleId="47">
    <w:name w:val="标准文件_引言三级条标题"/>
    <w:basedOn w:val="42"/>
    <w:next w:val="42"/>
    <w:qFormat/>
    <w:uiPriority w:val="0"/>
    <w:pPr>
      <w:numPr>
        <w:ilvl w:val="3"/>
        <w:numId w:val="1"/>
      </w:numPr>
      <w:spacing w:beforeLines="50" w:afterLines="50"/>
      <w:ind w:left="4505" w:hanging="269" w:firstLineChars="0"/>
    </w:pPr>
    <w:rPr>
      <w:rFonts w:ascii="黑体" w:eastAsia="黑体"/>
    </w:rPr>
  </w:style>
  <w:style w:type="paragraph" w:customStyle="1" w:styleId="48">
    <w:name w:val="标准文件_引言四级条标题"/>
    <w:basedOn w:val="42"/>
    <w:next w:val="42"/>
    <w:qFormat/>
    <w:uiPriority w:val="0"/>
    <w:pPr>
      <w:numPr>
        <w:ilvl w:val="4"/>
        <w:numId w:val="1"/>
      </w:numPr>
      <w:spacing w:beforeLines="50" w:afterLines="50"/>
      <w:ind w:left="5453" w:hanging="269" w:firstLineChars="0"/>
    </w:pPr>
    <w:rPr>
      <w:rFonts w:ascii="黑体" w:eastAsia="黑体"/>
    </w:rPr>
  </w:style>
  <w:style w:type="paragraph" w:customStyle="1" w:styleId="49">
    <w:name w:val="标准文件_引言五级条标题"/>
    <w:basedOn w:val="42"/>
    <w:next w:val="42"/>
    <w:qFormat/>
    <w:uiPriority w:val="0"/>
    <w:pPr>
      <w:numPr>
        <w:ilvl w:val="5"/>
        <w:numId w:val="1"/>
      </w:numPr>
      <w:spacing w:beforeLines="50" w:afterLines="50"/>
      <w:ind w:left="6402" w:hanging="269" w:firstLineChars="0"/>
    </w:pPr>
    <w:rPr>
      <w:rFonts w:ascii="黑体" w:eastAsia="黑体"/>
    </w:rPr>
  </w:style>
  <w:style w:type="paragraph" w:customStyle="1" w:styleId="50">
    <w:name w:val="标准文件_正文标准名称"/>
    <w:qFormat/>
    <w:uiPriority w:val="0"/>
    <w:pPr>
      <w:widowControl/>
      <w:autoSpaceDE/>
      <w:autoSpaceDN/>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51">
    <w:name w:val="TOC Heading"/>
    <w:basedOn w:val="2"/>
    <w:next w:val="1"/>
    <w:unhideWhenUsed/>
    <w:qFormat/>
    <w:uiPriority w:val="39"/>
    <w:pPr>
      <w:keepNext/>
      <w:keepLines/>
      <w:widowControl/>
      <w:autoSpaceDE/>
      <w:autoSpaceDN/>
      <w:spacing w:before="240" w:line="259" w:lineRule="auto"/>
      <w:ind w:right="0"/>
      <w:jc w:val="left"/>
      <w:outlineLvl w:val="9"/>
    </w:pPr>
    <w:rPr>
      <w:rFonts w:asciiTheme="majorHAnsi" w:hAnsiTheme="majorHAnsi" w:eastAsiaTheme="majorEastAsia" w:cstheme="majorBidi"/>
      <w:b w:val="0"/>
      <w:bCs w:val="0"/>
      <w:color w:val="366091" w:themeColor="accent1" w:themeShade="BF"/>
    </w:rPr>
  </w:style>
  <w:style w:type="paragraph" w:customStyle="1" w:styleId="52">
    <w:name w:val="Revision"/>
    <w:hidden/>
    <w:semiHidden/>
    <w:uiPriority w:val="99"/>
    <w:pPr>
      <w:widowControl/>
      <w:autoSpaceDE/>
      <w:autoSpaceDN/>
    </w:pPr>
    <w:rPr>
      <w:rFonts w:ascii="宋体" w:hAnsi="宋体" w:eastAsia="宋体" w:cs="宋体"/>
      <w:sz w:val="22"/>
      <w:szCs w:val="22"/>
      <w:lang w:val="en-US" w:eastAsia="zh-CN" w:bidi="ar-SA"/>
    </w:rPr>
  </w:style>
  <w:style w:type="character" w:customStyle="1" w:styleId="53">
    <w:name w:val="日期 Char"/>
    <w:basedOn w:val="20"/>
    <w:link w:val="10"/>
    <w:semiHidden/>
    <w:uiPriority w:val="99"/>
    <w:rPr>
      <w:rFonts w:ascii="宋体" w:hAnsi="宋体" w:eastAsia="宋体" w:cs="宋体"/>
      <w:lang w:eastAsia="zh-CN"/>
    </w:rPr>
  </w:style>
  <w:style w:type="character" w:customStyle="1" w:styleId="54">
    <w:name w:val="文档结构图 Char"/>
    <w:basedOn w:val="20"/>
    <w:link w:val="6"/>
    <w:semiHidden/>
    <w:uiPriority w:val="99"/>
    <w:rPr>
      <w:rFonts w:ascii="宋体" w:hAnsi="宋体" w:eastAsia="宋体" w:cs="宋体"/>
      <w:sz w:val="18"/>
      <w:szCs w:val="18"/>
      <w:lang w:eastAsia="zh-CN"/>
    </w:rPr>
  </w:style>
  <w:style w:type="paragraph" w:customStyle="1" w:styleId="55">
    <w:name w:val="标准文件_章标题"/>
    <w:next w:val="42"/>
    <w:uiPriority w:val="0"/>
    <w:pPr>
      <w:widowControl/>
      <w:numPr>
        <w:ilvl w:val="1"/>
        <w:numId w:val="2"/>
      </w:numPr>
      <w:autoSpaceDE/>
      <w:autoSpaceDN/>
      <w:spacing w:beforeLines="100" w:afterLines="100"/>
      <w:jc w:val="both"/>
      <w:outlineLvl w:val="0"/>
    </w:pPr>
    <w:rPr>
      <w:rFonts w:ascii="黑体" w:hAnsi="Times New Roman" w:eastAsia="黑体" w:cs="Times New Roman"/>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68"/>
    <customShpInfo spid="_x0000_s1067"/>
    <customShpInfo spid="_x0000_s1066"/>
    <customShpInfo spid="_x0000_s1065"/>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0FBA5A-003E-4F84-9976-8979831E468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1768</Words>
  <Characters>10079</Characters>
  <Lines>83</Lines>
  <Paragraphs>23</Paragraphs>
  <TotalTime>0</TotalTime>
  <ScaleCrop>false</ScaleCrop>
  <LinksUpToDate>false</LinksUpToDate>
  <CharactersWithSpaces>11824</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2025-04-10T01:10:00Z</dcterms:created>
  <dc:creator>我</dc:creator>
  <cp:lastModifiedBy>Melinda</cp:lastModifiedBy>
  <dcterms:modified xsi:type="dcterms:W3CDTF">2025-04-11T10:28:02Z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2023-12-19T00:00:00Z</vt:filetime>
  </property>
  <property fmtid="{D5CDD505-2E9C-101B-9397-08002B2CF9AE}" pid="3" name="Creator">
    <vt:lpwstr>WPS 文字</vt:lpwstr>
  </property>
  <property fmtid="{D5CDD505-2E9C-101B-9397-08002B2CF9AE}" pid="4" name="LastSaved">
    <vt:filetime>2024-02-20T00:00:00Z</vt:filetime>
  </property>
  <property fmtid="{D5CDD505-2E9C-101B-9397-08002B2CF9AE}" pid="5" name="Producer">
    <vt:lpwstr>; modified using iText® 5.5.3 ©2000-2014 iText Group NV (AGPL-version)</vt:lpwstr>
  </property>
  <property fmtid="{D5CDD505-2E9C-101B-9397-08002B2CF9AE}" pid="6" name="SourceModified">
    <vt:lpwstr>D:20231219103820+02'38'</vt:lpwstr>
  </property>
  <property fmtid="{D5CDD505-2E9C-101B-9397-08002B2CF9AE}" pid="7" name="KSOProductBuildVer">
    <vt:lpwstr>2052-7.3.1.8967</vt:lpwstr>
  </property>
  <property fmtid="{D5CDD505-2E9C-101B-9397-08002B2CF9AE}" pid="8" name="ICV">
    <vt:lpwstr>DF1F03753D5D2D54DDA0F7671A4BF24E_42</vt:lpwstr>
  </property>
</Properties>
</file>