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30D27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AA264CD">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73020DA5">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43.020</w:t>
            </w:r>
            <w:r>
              <w:rPr>
                <w:rFonts w:ascii="黑体" w:hAnsi="黑体" w:eastAsia="黑体"/>
                <w:sz w:val="21"/>
                <w:szCs w:val="21"/>
              </w:rPr>
              <w:t xml:space="preserve"> </w:t>
            </w:r>
            <w:r>
              <w:rPr>
                <w:rFonts w:ascii="黑体" w:hAnsi="黑体" w:eastAsia="黑体"/>
                <w:sz w:val="21"/>
                <w:szCs w:val="21"/>
              </w:rPr>
              <w:fldChar w:fldCharType="end"/>
            </w:r>
            <w:bookmarkEnd w:id="0"/>
          </w:p>
        </w:tc>
      </w:tr>
      <w:tr w14:paraId="40AB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5729A5D">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6898957C">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T 04</w:t>
            </w:r>
            <w:r>
              <w:rPr>
                <w:rFonts w:ascii="黑体" w:hAnsi="黑体" w:eastAsia="黑体"/>
                <w:sz w:val="21"/>
                <w:szCs w:val="21"/>
              </w:rPr>
              <w:fldChar w:fldCharType="end"/>
            </w:r>
            <w:bookmarkEnd w:id="1"/>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49E26E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12A47328">
            <w:pPr>
              <w:pStyle w:val="53"/>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0EB6A582">
      <w:pPr>
        <w:pStyle w:val="54"/>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0FF820C1">
      <w:pPr>
        <w:pStyle w:val="199"/>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3D0D4C41">
      <w:pPr>
        <w:pStyle w:val="200"/>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42331FAC">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E52DCF4">
      <w:pPr>
        <w:pStyle w:val="54"/>
        <w:framePr w:w="9639" w:h="6976" w:hRule="exact" w:hSpace="0" w:vSpace="0" w:wrap="around" w:hAnchor="page" w:y="6408"/>
        <w:jc w:val="center"/>
        <w:rPr>
          <w:rFonts w:hint="eastAsia" w:ascii="黑体" w:hAnsi="黑体" w:eastAsia="黑体"/>
          <w:b w:val="0"/>
          <w:bCs w:val="0"/>
          <w:w w:val="100"/>
        </w:rPr>
      </w:pPr>
    </w:p>
    <w:p w14:paraId="0BF363D2">
      <w:pPr>
        <w:pStyle w:val="201"/>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智能网联汽车 交通事故仿真重建规范</w:t>
      </w:r>
      <w:r>
        <w:fldChar w:fldCharType="end"/>
      </w:r>
      <w:bookmarkEnd w:id="9"/>
    </w:p>
    <w:p w14:paraId="13492757">
      <w:pPr>
        <w:framePr w:w="9639" w:h="6974" w:hRule="exact" w:wrap="around" w:vAnchor="page" w:hAnchor="page" w:x="1419" w:y="6408" w:anchorLock="1"/>
        <w:ind w:left="-1418"/>
      </w:pPr>
    </w:p>
    <w:p w14:paraId="7876E2FC">
      <w:pPr>
        <w:pStyle w:val="129"/>
        <w:framePr w:w="9639" w:h="6974" w:hRule="exact" w:wrap="around" w:vAnchor="page" w:hAnchor="page" w:x="1419" w:y="6408" w:anchorLock="1"/>
        <w:textAlignment w:val="bottom"/>
        <w:rPr>
          <w:rFonts w:hint="eastAsia" w:ascii="黑体" w:hAnsi="黑体" w:eastAsia="黑体"/>
          <w:szCs w:val="28"/>
        </w:rPr>
      </w:pPr>
      <w:r>
        <w:rPr>
          <w:rFonts w:hint="eastAsia" w:ascii="黑体" w:hAnsi="黑体" w:eastAsia="黑体"/>
          <w:szCs w:val="28"/>
        </w:rPr>
        <w:t>Specification for simulation and reconstruction of intelligent connected vehicle traffic accidents</w:t>
      </w:r>
    </w:p>
    <w:p w14:paraId="03EEC819">
      <w:pPr>
        <w:framePr w:w="9639" w:h="6974" w:hRule="exact" w:wrap="around" w:vAnchor="page" w:hAnchor="page" w:x="1419" w:y="6408" w:anchorLock="1"/>
        <w:spacing w:line="760" w:lineRule="exact"/>
        <w:ind w:left="-1418"/>
      </w:pPr>
    </w:p>
    <w:p w14:paraId="7A7F25F2">
      <w:pPr>
        <w:pStyle w:val="129"/>
        <w:framePr w:w="9639" w:h="6974" w:hRule="exact" w:wrap="around" w:vAnchor="page" w:hAnchor="page" w:x="1419" w:y="6408" w:anchorLock="1"/>
        <w:textAlignment w:val="bottom"/>
        <w:rPr>
          <w:rFonts w:eastAsia="黑体"/>
          <w:szCs w:val="28"/>
        </w:rPr>
      </w:pPr>
    </w:p>
    <w:p w14:paraId="7ADF9DF6">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14:paraId="6FBBD9AE">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1"/>
    </w:p>
    <w:p w14:paraId="149AD708">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fldChar w:fldCharType="separate"/>
      </w:r>
      <w:r>
        <w:rPr>
          <w:b/>
          <w:sz w:val="21"/>
          <w:szCs w:val="28"/>
        </w:rPr>
        <w:fldChar w:fldCharType="end"/>
      </w:r>
      <w:bookmarkEnd w:id="12"/>
    </w:p>
    <w:p w14:paraId="13381A43">
      <w:pPr>
        <w:pStyle w:val="197"/>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14:paraId="6A543356">
      <w:pPr>
        <w:pStyle w:val="198"/>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14:paraId="3B425085">
      <w:pPr>
        <w:pStyle w:val="155"/>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19"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苏州市市场监督管理局</w:t>
      </w:r>
      <w:r>
        <w:rPr>
          <w:rFonts w:hAnsi="黑体"/>
          <w:w w:val="100"/>
          <w:sz w:val="28"/>
        </w:rPr>
        <w:fldChar w:fldCharType="end"/>
      </w:r>
      <w:bookmarkEnd w:id="19"/>
      <w:r>
        <w:rPr>
          <w:rFonts w:ascii="Times New Roman"/>
          <w:w w:val="100"/>
          <w:sz w:val="28"/>
        </w:rPr>
        <w:t>  </w:t>
      </w:r>
      <w:r>
        <w:rPr>
          <w:rStyle w:val="233"/>
          <w:rFonts w:hint="eastAsia" w:hAnsi="黑体"/>
          <w:position w:val="0"/>
        </w:rPr>
        <w:t>发</w:t>
      </w:r>
      <w:r>
        <w:rPr>
          <w:rStyle w:val="233"/>
          <w:rFonts w:hint="eastAsia" w:hAnsi="黑体"/>
          <w:spacing w:val="0"/>
          <w:position w:val="0"/>
        </w:rPr>
        <w:t>布</w:t>
      </w:r>
    </w:p>
    <w:p w14:paraId="7A17D5D4">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F732C35">
      <w:pPr>
        <w:pStyle w:val="95"/>
        <w:spacing w:after="468"/>
      </w:pPr>
      <w:bookmarkStart w:id="20" w:name="BookMark1"/>
      <w:r>
        <w:rPr>
          <w:rFonts w:hint="eastAsia"/>
          <w:spacing w:val="320"/>
        </w:rPr>
        <w:t>目</w:t>
      </w:r>
      <w:r>
        <w:rPr>
          <w:rFonts w:hint="eastAsia"/>
        </w:rPr>
        <w:t>次</w:t>
      </w:r>
    </w:p>
    <w:p w14:paraId="0073F9C0">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w:instrText>
      </w:r>
      <w:r>
        <w:rPr>
          <w:rFonts w:hint="eastAsia"/>
        </w:rPr>
        <w:instrText xml:space="preserve">TOC \o "1-1" \h</w:instrText>
      </w:r>
      <w:r>
        <w:instrText xml:space="preserve"> </w:instrText>
      </w:r>
      <w:r>
        <w:fldChar w:fldCharType="separate"/>
      </w:r>
      <w:r>
        <w:fldChar w:fldCharType="begin"/>
      </w:r>
      <w:r>
        <w:instrText xml:space="preserve"> HYPERLINK \l "_Toc191304938" </w:instrText>
      </w:r>
      <w:r>
        <w:fldChar w:fldCharType="separate"/>
      </w:r>
      <w:r>
        <w:rPr>
          <w:rStyle w:val="35"/>
          <w:rFonts w:hint="eastAsia"/>
        </w:rPr>
        <w:t>1</w:t>
      </w:r>
      <w:r>
        <w:rPr>
          <w:rStyle w:val="35"/>
        </w:rPr>
        <w:t xml:space="preserve"> </w:t>
      </w:r>
      <w:r>
        <w:rPr>
          <w:rStyle w:val="35"/>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_Toc191304938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C40DE0A">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"_Toc191304939" </w:instrText>
      </w:r>
      <w:r>
        <w:fldChar w:fldCharType="separate"/>
      </w:r>
      <w:r>
        <w:rPr>
          <w:rStyle w:val="35"/>
          <w:rFonts w:hint="eastAsia"/>
        </w:rPr>
        <w:t>2</w:t>
      </w:r>
      <w:r>
        <w:rPr>
          <w:rStyle w:val="35"/>
        </w:rPr>
        <w:t xml:space="preserve"> </w:t>
      </w:r>
      <w:r>
        <w:rPr>
          <w:rStyle w:val="35"/>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_Toc191304939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F9314AD">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"_Toc191304940" </w:instrText>
      </w:r>
      <w:r>
        <w:fldChar w:fldCharType="separate"/>
      </w:r>
      <w:r>
        <w:rPr>
          <w:rStyle w:val="35"/>
          <w:rFonts w:hint="eastAsia"/>
        </w:rPr>
        <w:t>3</w:t>
      </w:r>
      <w:r>
        <w:rPr>
          <w:rStyle w:val="35"/>
        </w:rPr>
        <w:t xml:space="preserve"> </w:t>
      </w:r>
      <w:r>
        <w:rPr>
          <w:rStyle w:val="35"/>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_Toc191304940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88D1D92">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"_Toc191304941" </w:instrText>
      </w:r>
      <w:r>
        <w:fldChar w:fldCharType="separate"/>
      </w:r>
      <w:r>
        <w:rPr>
          <w:rStyle w:val="35"/>
          <w:rFonts w:hint="eastAsia"/>
        </w:rPr>
        <w:t>4</w:t>
      </w:r>
      <w:r>
        <w:rPr>
          <w:rStyle w:val="35"/>
        </w:rPr>
        <w:t xml:space="preserve"> </w:t>
      </w:r>
      <w:r>
        <w:rPr>
          <w:rStyle w:val="35"/>
          <w:rFonts w:hint="eastAsia"/>
        </w:rPr>
        <w:t xml:space="preserve"> 基本原则</w:t>
      </w:r>
      <w:r>
        <w:rPr>
          <w:rFonts w:hint="eastAsia"/>
        </w:rPr>
        <w:tab/>
      </w:r>
      <w:r>
        <w:rPr>
          <w:rFonts w:hint="eastAsia"/>
        </w:rPr>
        <w:fldChar w:fldCharType="begin"/>
      </w:r>
      <w:r>
        <w:rPr>
          <w:rFonts w:hint="eastAsia"/>
        </w:rPr>
        <w:instrText xml:space="preserve"> </w:instrText>
      </w:r>
      <w:r>
        <w:instrText xml:space="preserve">PAGEREF _Toc191304941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8B43305">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"_Toc191304942" </w:instrText>
      </w:r>
      <w:r>
        <w:fldChar w:fldCharType="separate"/>
      </w:r>
      <w:r>
        <w:rPr>
          <w:rStyle w:val="35"/>
          <w:rFonts w:hint="eastAsia"/>
        </w:rPr>
        <w:t>5</w:t>
      </w:r>
      <w:r>
        <w:rPr>
          <w:rStyle w:val="35"/>
        </w:rPr>
        <w:t xml:space="preserve"> </w:t>
      </w:r>
      <w:r>
        <w:rPr>
          <w:rStyle w:val="35"/>
          <w:rFonts w:hint="eastAsia"/>
        </w:rPr>
        <w:t xml:space="preserve"> 仿真重建要求</w:t>
      </w:r>
      <w:r>
        <w:rPr>
          <w:rFonts w:hint="eastAsia"/>
        </w:rPr>
        <w:tab/>
      </w:r>
      <w:r>
        <w:rPr>
          <w:rFonts w:hint="eastAsia"/>
        </w:rPr>
        <w:fldChar w:fldCharType="begin"/>
      </w:r>
      <w:r>
        <w:rPr>
          <w:rFonts w:hint="eastAsia"/>
        </w:rPr>
        <w:instrText xml:space="preserve"> </w:instrText>
      </w:r>
      <w:r>
        <w:instrText xml:space="preserve">PAGEREF _Toc191304942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4161D82">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"_Toc191304943" </w:instrText>
      </w:r>
      <w:r>
        <w:fldChar w:fldCharType="separate"/>
      </w:r>
      <w:r>
        <w:rPr>
          <w:rStyle w:val="35"/>
          <w:rFonts w:hint="eastAsia"/>
        </w:rPr>
        <w:t>6</w:t>
      </w:r>
      <w:r>
        <w:rPr>
          <w:rStyle w:val="35"/>
        </w:rPr>
        <w:t xml:space="preserve"> </w:t>
      </w:r>
      <w:r>
        <w:rPr>
          <w:rStyle w:val="35"/>
          <w:rFonts w:hint="eastAsia"/>
        </w:rPr>
        <w:t xml:space="preserve"> 数据采集要求</w:t>
      </w:r>
      <w:r>
        <w:rPr>
          <w:rFonts w:hint="eastAsia"/>
        </w:rPr>
        <w:tab/>
      </w:r>
      <w:r>
        <w:rPr>
          <w:rFonts w:hint="eastAsia"/>
        </w:rPr>
        <w:fldChar w:fldCharType="begin"/>
      </w:r>
      <w:r>
        <w:rPr>
          <w:rFonts w:hint="eastAsia"/>
        </w:rPr>
        <w:instrText xml:space="preserve"> </w:instrText>
      </w:r>
      <w:r>
        <w:instrText xml:space="preserve">PAGEREF _Toc191304943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1F76E423">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"_Toc191304944" </w:instrText>
      </w:r>
      <w:r>
        <w:fldChar w:fldCharType="separate"/>
      </w:r>
      <w:r>
        <w:rPr>
          <w:rStyle w:val="35"/>
          <w:rFonts w:hint="eastAsia"/>
        </w:rPr>
        <w:t>7</w:t>
      </w:r>
      <w:r>
        <w:rPr>
          <w:rStyle w:val="35"/>
        </w:rPr>
        <w:t xml:space="preserve"> </w:t>
      </w:r>
      <w:r>
        <w:rPr>
          <w:rStyle w:val="35"/>
          <w:rFonts w:hint="eastAsia"/>
        </w:rPr>
        <w:t xml:space="preserve"> 事故仿真重建</w:t>
      </w:r>
      <w:r>
        <w:rPr>
          <w:rFonts w:hint="eastAsia"/>
        </w:rPr>
        <w:tab/>
      </w:r>
      <w:r>
        <w:rPr>
          <w:rFonts w:hint="eastAsia"/>
        </w:rPr>
        <w:fldChar w:fldCharType="begin"/>
      </w:r>
      <w:r>
        <w:rPr>
          <w:rFonts w:hint="eastAsia"/>
        </w:rPr>
        <w:instrText xml:space="preserve"> </w:instrText>
      </w:r>
      <w:r>
        <w:instrText xml:space="preserve">PAGEREF _Toc191304944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F1AD960">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"_Toc191304945" </w:instrText>
      </w:r>
      <w:r>
        <w:fldChar w:fldCharType="separate"/>
      </w:r>
      <w:r>
        <w:rPr>
          <w:rStyle w:val="35"/>
          <w:rFonts w:hint="eastAsia"/>
        </w:rPr>
        <w:t>8</w:t>
      </w:r>
      <w:r>
        <w:rPr>
          <w:rStyle w:val="35"/>
        </w:rPr>
        <w:t xml:space="preserve"> </w:t>
      </w:r>
      <w:r>
        <w:rPr>
          <w:rStyle w:val="35"/>
          <w:rFonts w:hint="eastAsia"/>
        </w:rPr>
        <w:t xml:space="preserve"> 验证</w:t>
      </w:r>
      <w:r>
        <w:rPr>
          <w:rFonts w:hint="eastAsia"/>
        </w:rPr>
        <w:tab/>
      </w:r>
      <w:r>
        <w:rPr>
          <w:rFonts w:hint="eastAsia"/>
        </w:rPr>
        <w:fldChar w:fldCharType="begin"/>
      </w:r>
      <w:r>
        <w:rPr>
          <w:rFonts w:hint="eastAsia"/>
        </w:rPr>
        <w:instrText xml:space="preserve"> </w:instrText>
      </w:r>
      <w:r>
        <w:instrText xml:space="preserve">PAGEREF _Toc191304945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411F65E">
      <w:pPr>
        <w:pStyle w:val="95"/>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0"/>
    <w:p w14:paraId="30253A5C">
      <w:pPr>
        <w:pStyle w:val="93"/>
        <w:spacing w:before="900" w:after="468"/>
      </w:pPr>
      <w:bookmarkStart w:id="21" w:name="BookMark2"/>
      <w:r>
        <w:rPr>
          <w:rFonts w:hint="eastAsia"/>
          <w:spacing w:val="320"/>
        </w:rPr>
        <w:t>前</w:t>
      </w:r>
      <w:r>
        <w:rPr>
          <w:rFonts w:hint="eastAsia"/>
        </w:rPr>
        <w:t>言</w:t>
      </w:r>
    </w:p>
    <w:p w14:paraId="1F3C9678">
      <w:pPr>
        <w:pStyle w:val="60"/>
        <w:ind w:firstLine="420"/>
      </w:pPr>
      <w:r>
        <w:rPr>
          <w:rFonts w:hint="eastAsia"/>
        </w:rPr>
        <w:t>本文件按照GB/T 1.1—2020《标准化工作导则  第1部分：标准化文件的结构和起草规则》的规定起草。</w:t>
      </w:r>
    </w:p>
    <w:p w14:paraId="72653229">
      <w:pPr>
        <w:pStyle w:val="60"/>
        <w:ind w:firstLine="420"/>
      </w:pPr>
    </w:p>
    <w:p w14:paraId="2F42546B">
      <w:pPr>
        <w:pStyle w:val="60"/>
        <w:ind w:firstLine="420"/>
      </w:pPr>
    </w:p>
    <w:p w14:paraId="1EAD5AB9">
      <w:pPr>
        <w:pStyle w:val="60"/>
        <w:ind w:firstLine="420"/>
      </w:pPr>
    </w:p>
    <w:p w14:paraId="7B7E3A7A">
      <w:pPr>
        <w:pStyle w:val="60"/>
        <w:ind w:firstLine="420"/>
      </w:pPr>
      <w:r>
        <w:rPr>
          <w:rFonts w:hint="eastAsia"/>
        </w:rPr>
        <w:t>本文件由××××提出。</w:t>
      </w:r>
    </w:p>
    <w:p w14:paraId="34966144">
      <w:pPr>
        <w:pStyle w:val="60"/>
        <w:ind w:firstLine="420"/>
      </w:pPr>
      <w:r>
        <w:rPr>
          <w:rFonts w:hint="eastAsia"/>
        </w:rPr>
        <w:t>本文件由××××归口。</w:t>
      </w:r>
    </w:p>
    <w:p w14:paraId="081E4CCA">
      <w:pPr>
        <w:pStyle w:val="60"/>
        <w:ind w:firstLine="420"/>
      </w:pPr>
      <w:r>
        <w:rPr>
          <w:rFonts w:hint="eastAsia"/>
        </w:rPr>
        <w:t>本文件起草单位：</w:t>
      </w:r>
    </w:p>
    <w:p w14:paraId="0D74A81E">
      <w:pPr>
        <w:pStyle w:val="60"/>
        <w:ind w:firstLine="420"/>
      </w:pPr>
      <w:r>
        <w:rPr>
          <w:rFonts w:hint="eastAsia"/>
        </w:rPr>
        <w:t>本文件主要起草人：</w:t>
      </w:r>
    </w:p>
    <w:p w14:paraId="4F624C5B">
      <w:pPr>
        <w:pStyle w:val="60"/>
        <w:ind w:firstLine="420"/>
      </w:pPr>
    </w:p>
    <w:p w14:paraId="09182783">
      <w:pPr>
        <w:pStyle w:val="60"/>
        <w:ind w:firstLine="420"/>
        <w:sectPr>
          <w:pgSz w:w="11906" w:h="16838"/>
          <w:pgMar w:top="1928" w:right="1134" w:bottom="1134" w:left="1134" w:header="1418" w:footer="1134" w:gutter="284"/>
          <w:pgNumType w:fmt="upperRoman"/>
          <w:cols w:space="425" w:num="1"/>
          <w:formProt w:val="0"/>
          <w:docGrid w:type="lines" w:linePitch="312" w:charSpace="0"/>
        </w:sectPr>
      </w:pPr>
    </w:p>
    <w:bookmarkEnd w:id="21"/>
    <w:p w14:paraId="7EB08801">
      <w:pPr>
        <w:spacing w:line="20" w:lineRule="exact"/>
        <w:jc w:val="center"/>
        <w:rPr>
          <w:rFonts w:hint="eastAsia" w:ascii="黑体" w:hAnsi="黑体" w:eastAsia="黑体"/>
          <w:sz w:val="32"/>
          <w:szCs w:val="32"/>
        </w:rPr>
      </w:pPr>
      <w:bookmarkStart w:id="22" w:name="BookMark4"/>
    </w:p>
    <w:p w14:paraId="555E9023">
      <w:pPr>
        <w:spacing w:line="20" w:lineRule="exact"/>
        <w:jc w:val="center"/>
        <w:rPr>
          <w:rFonts w:hint="eastAsia" w:ascii="黑体" w:hAnsi="黑体" w:eastAsia="黑体"/>
          <w:sz w:val="32"/>
          <w:szCs w:val="32"/>
        </w:rPr>
      </w:pPr>
    </w:p>
    <w:sdt>
      <w:sdtPr>
        <w:tag w:val="NEW_STAND_NAME"/>
        <w:id w:val="595910757"/>
        <w:lock w:val="sdtLocked"/>
        <w:placeholder>
          <w:docPart w:val="E2E82B73FA374EC5B6C35679C5A4BFF0"/>
        </w:placeholder>
      </w:sdtPr>
      <w:sdtContent>
        <w:p w14:paraId="27CC7FA2">
          <w:pPr>
            <w:pStyle w:val="181"/>
            <w:spacing w:before="3" w:beforeLines="1" w:after="686" w:afterLines="220"/>
            <w:rPr>
              <w:rFonts w:hint="eastAsia"/>
            </w:rPr>
          </w:pPr>
          <w:bookmarkStart w:id="23" w:name="NEW_STAND_NAME"/>
          <w:r>
            <w:rPr>
              <w:rFonts w:hint="eastAsia"/>
            </w:rPr>
            <w:t>智能网联汽车 交通事故仿真重建规范</w:t>
          </w:r>
        </w:p>
      </w:sdtContent>
    </w:sdt>
    <w:bookmarkEnd w:id="23"/>
    <w:p w14:paraId="6B49396C">
      <w:pPr>
        <w:pStyle w:val="108"/>
        <w:spacing w:before="312" w:after="312"/>
      </w:pPr>
      <w:bookmarkStart w:id="24" w:name="_Toc26986771"/>
      <w:bookmarkStart w:id="25" w:name="_Toc24884218"/>
      <w:bookmarkStart w:id="26" w:name="_Toc191304938"/>
      <w:bookmarkStart w:id="27" w:name="_Toc97191423"/>
      <w:bookmarkStart w:id="28" w:name="_Toc17233333"/>
      <w:bookmarkStart w:id="29" w:name="_Toc26648465"/>
      <w:bookmarkStart w:id="30" w:name="_Toc26986530"/>
      <w:bookmarkStart w:id="31" w:name="_Toc26718930"/>
      <w:bookmarkStart w:id="32" w:name="_Toc24884211"/>
      <w:bookmarkStart w:id="33" w:name="_Toc17233325"/>
      <w:r>
        <w:rPr>
          <w:rFonts w:hint="eastAsia"/>
        </w:rPr>
        <w:t>范围</w:t>
      </w:r>
      <w:bookmarkEnd w:id="24"/>
      <w:bookmarkEnd w:id="25"/>
      <w:bookmarkEnd w:id="26"/>
      <w:bookmarkEnd w:id="27"/>
      <w:bookmarkEnd w:id="28"/>
      <w:bookmarkEnd w:id="29"/>
      <w:bookmarkEnd w:id="30"/>
      <w:bookmarkEnd w:id="31"/>
      <w:bookmarkEnd w:id="32"/>
      <w:bookmarkEnd w:id="33"/>
    </w:p>
    <w:p w14:paraId="732CE0B0">
      <w:pPr>
        <w:pStyle w:val="60"/>
        <w:ind w:firstLine="420"/>
      </w:pPr>
      <w:bookmarkStart w:id="34" w:name="_Toc17233326"/>
      <w:bookmarkStart w:id="35" w:name="_Toc24884219"/>
      <w:bookmarkStart w:id="36" w:name="_Toc17233334"/>
      <w:bookmarkStart w:id="37" w:name="_Toc26648466"/>
      <w:bookmarkStart w:id="38" w:name="_Toc24884212"/>
      <w:r>
        <w:t>本</w:t>
      </w:r>
      <w:r>
        <w:rPr>
          <w:rFonts w:hint="eastAsia"/>
        </w:rPr>
        <w:t>文件</w:t>
      </w:r>
      <w:r>
        <w:t>规定了智能网联汽车</w:t>
      </w:r>
      <w:r>
        <w:rPr>
          <w:rFonts w:hint="eastAsia"/>
        </w:rPr>
        <w:t>交通事故</w:t>
      </w:r>
      <w:r>
        <w:t>过程</w:t>
      </w:r>
      <w:r>
        <w:rPr>
          <w:rFonts w:hint="eastAsia"/>
        </w:rPr>
        <w:t>仿真重建</w:t>
      </w:r>
      <w:r>
        <w:rPr>
          <w:spacing w:val="9"/>
        </w:rPr>
        <w:t>的术语</w:t>
      </w:r>
      <w:r>
        <w:t>和定义、</w:t>
      </w:r>
      <w:r>
        <w:rPr>
          <w:rFonts w:hint="eastAsia"/>
        </w:rPr>
        <w:t>基本</w:t>
      </w:r>
      <w:r>
        <w:t>原则、</w:t>
      </w:r>
      <w:r>
        <w:rPr>
          <w:rFonts w:hint="eastAsia"/>
        </w:rPr>
        <w:t>仿真重建</w:t>
      </w:r>
      <w:r>
        <w:t>要求、</w:t>
      </w:r>
      <w:r>
        <w:rPr>
          <w:rFonts w:hint="eastAsia"/>
        </w:rPr>
        <w:t>数据采集要求、交通事故仿真重建</w:t>
      </w:r>
      <w:r>
        <w:t>方法和</w:t>
      </w:r>
      <w:r>
        <w:rPr>
          <w:rFonts w:hint="eastAsia"/>
        </w:rPr>
        <w:t>仿真结果</w:t>
      </w:r>
      <w:r>
        <w:t>验证等。</w:t>
      </w:r>
    </w:p>
    <w:p w14:paraId="1BB4B4E7">
      <w:pPr>
        <w:pStyle w:val="60"/>
        <w:ind w:firstLine="420"/>
      </w:pPr>
      <w:r>
        <w:t>本</w:t>
      </w:r>
      <w:r>
        <w:rPr>
          <w:rFonts w:hint="eastAsia"/>
        </w:rPr>
        <w:t>文件</w:t>
      </w:r>
      <w:r>
        <w:t>适用于</w:t>
      </w:r>
      <w:r>
        <w:rPr>
          <w:rFonts w:hint="eastAsia"/>
        </w:rPr>
        <w:t>智能网联汽车</w:t>
      </w:r>
      <w:r>
        <w:t>交通事故过程</w:t>
      </w:r>
      <w:r>
        <w:rPr>
          <w:rFonts w:hint="eastAsia"/>
        </w:rPr>
        <w:t>的仿真重建。</w:t>
      </w:r>
    </w:p>
    <w:p w14:paraId="7E8CCA38">
      <w:pPr>
        <w:pStyle w:val="108"/>
        <w:spacing w:before="312" w:after="312"/>
      </w:pPr>
      <w:bookmarkStart w:id="39" w:name="_Toc97191424"/>
      <w:bookmarkStart w:id="40" w:name="_Toc26986772"/>
      <w:bookmarkStart w:id="41" w:name="_Toc26718931"/>
      <w:bookmarkStart w:id="42" w:name="_Toc26986531"/>
      <w:bookmarkStart w:id="43" w:name="_Toc191304939"/>
      <w:r>
        <w:rPr>
          <w:rFonts w:hint="eastAsia"/>
        </w:rPr>
        <w:t>规范性引用文件</w:t>
      </w:r>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3145D554105D4736A924F2731051BC3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7A36D168">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FC1C705">
      <w:pPr>
        <w:pStyle w:val="60"/>
        <w:ind w:firstLine="420"/>
      </w:pPr>
      <w:r>
        <w:rPr>
          <w:rFonts w:hint="eastAsia"/>
        </w:rPr>
        <w:t>GA/T 1082  道路交通事故信息调查</w:t>
      </w:r>
    </w:p>
    <w:p w14:paraId="17FCC99C">
      <w:pPr>
        <w:pStyle w:val="60"/>
        <w:ind w:firstLine="420"/>
      </w:pPr>
      <w:r>
        <w:t xml:space="preserve">GB/T 44721 </w:t>
      </w:r>
      <w:r>
        <w:rPr>
          <w:rFonts w:hint="eastAsia"/>
        </w:rPr>
        <w:t xml:space="preserve"> 智能网联汽车自动驾驶系统通用要求</w:t>
      </w:r>
    </w:p>
    <w:p w14:paraId="57CF2163">
      <w:pPr>
        <w:pStyle w:val="234"/>
        <w:rPr>
          <w:position w:val="0"/>
        </w:rPr>
      </w:pPr>
      <w:r>
        <w:rPr>
          <w:position w:val="0"/>
        </w:rPr>
        <w:t>GA/T 41  交通事故痕迹物证勘验</w:t>
      </w:r>
    </w:p>
    <w:p w14:paraId="4040CA40">
      <w:pPr>
        <w:pStyle w:val="60"/>
        <w:ind w:firstLine="420"/>
      </w:pPr>
      <w:r>
        <w:t>GA/T 49  道路交通事故现场图绘制</w:t>
      </w:r>
    </w:p>
    <w:p w14:paraId="45FADFA6">
      <w:pPr>
        <w:pStyle w:val="108"/>
        <w:spacing w:before="312" w:after="312"/>
      </w:pPr>
      <w:bookmarkStart w:id="44" w:name="_Toc97191425"/>
      <w:bookmarkStart w:id="45" w:name="_Toc191304940"/>
      <w:r>
        <w:rPr>
          <w:rFonts w:hint="eastAsia"/>
          <w:szCs w:val="21"/>
        </w:rPr>
        <w:t>术语和定义</w:t>
      </w:r>
      <w:bookmarkEnd w:id="44"/>
      <w:bookmarkEnd w:id="45"/>
    </w:p>
    <w:sdt>
      <w:sdtPr>
        <w:id w:val="-1909835108"/>
        <w:placeholder>
          <w:docPart w:val="1895033BC973406A8BB373E658E7D30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462AB50">
          <w:pPr>
            <w:pStyle w:val="60"/>
            <w:ind w:firstLine="420"/>
          </w:pPr>
          <w:bookmarkStart w:id="46" w:name="_Toc26986532"/>
          <w:bookmarkEnd w:id="46"/>
          <w:r>
            <w:t>下列术语和定义适用于本文件。</w:t>
          </w:r>
        </w:p>
      </w:sdtContent>
    </w:sdt>
    <w:p w14:paraId="1852E4E5">
      <w:pPr>
        <w:pStyle w:val="227"/>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智能网联汽车</w:t>
      </w:r>
      <w:r>
        <w:rPr>
          <w:rFonts w:ascii="黑体" w:hAnsi="黑体" w:eastAsia="黑体"/>
        </w:rPr>
        <w:t>交通事故过程</w:t>
      </w:r>
      <w:r>
        <w:rPr>
          <w:rFonts w:hint="eastAsia" w:ascii="黑体" w:hAnsi="黑体" w:eastAsia="黑体"/>
        </w:rPr>
        <w:t xml:space="preserve">仿真重建 </w:t>
      </w:r>
      <w:r>
        <w:rPr>
          <w:rFonts w:ascii="黑体" w:hAnsi="黑体" w:eastAsia="黑体"/>
        </w:rPr>
        <w:t>vehicle road traffic accident reconstruction</w:t>
      </w:r>
    </w:p>
    <w:p w14:paraId="3F23EDF2">
      <w:pPr>
        <w:pStyle w:val="234"/>
      </w:pPr>
      <w:r>
        <w:t>在碰撞及动力学理论</w:t>
      </w:r>
      <w:r>
        <w:rPr>
          <w:rFonts w:hint="eastAsia"/>
        </w:rPr>
        <w:t>和智能网联技术</w:t>
      </w:r>
      <w:r>
        <w:t>的基础上，实现</w:t>
      </w:r>
      <w:r>
        <w:rPr>
          <w:rFonts w:hint="eastAsia"/>
        </w:rPr>
        <w:t>智能网联汽车</w:t>
      </w:r>
      <w:r>
        <w:t>交通事故过程再现的二维或三维仿</w:t>
      </w:r>
      <w:r>
        <w:rPr>
          <w:spacing w:val="-11"/>
        </w:rPr>
        <w:t>真。</w:t>
      </w:r>
    </w:p>
    <w:p w14:paraId="606C4510">
      <w:pPr>
        <w:pStyle w:val="227"/>
        <w:ind w:left="420" w:hanging="420" w:hangingChars="200"/>
        <w:rPr>
          <w:rFonts w:hint="eastAsia" w:ascii="黑体" w:hAnsi="黑体" w:eastAsia="黑体"/>
        </w:rPr>
      </w:pPr>
      <w:r>
        <w:rPr>
          <w:rFonts w:ascii="黑体" w:hAnsi="黑体" w:eastAsia="黑体"/>
        </w:rPr>
        <w:br w:type="textWrapping"/>
      </w:r>
      <w:r>
        <w:rPr>
          <w:rFonts w:ascii="黑体" w:hAnsi="黑体" w:eastAsia="黑体"/>
        </w:rPr>
        <w:t>车辆基本参数 general parameters of vehicles</w:t>
      </w:r>
    </w:p>
    <w:p w14:paraId="34A26316">
      <w:pPr>
        <w:pStyle w:val="234"/>
      </w:pPr>
      <w:r>
        <w:t>主要包括车辆的基本尺寸(长、宽、高、轴距、轮距、质心</w:t>
      </w:r>
      <w:r>
        <w:rPr>
          <w:spacing w:val="1"/>
        </w:rPr>
        <w:t>位置)、质量、惯量等。</w:t>
      </w:r>
    </w:p>
    <w:p w14:paraId="54C00886">
      <w:pPr>
        <w:pStyle w:val="227"/>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车辆</w:t>
      </w:r>
      <w:r>
        <w:rPr>
          <w:rFonts w:hint="eastAsia" w:ascii="黑体" w:hAnsi="黑体" w:eastAsia="黑体"/>
          <w:highlight w:val="none"/>
        </w:rPr>
        <w:t>几何参数</w:t>
      </w:r>
      <w:r>
        <w:rPr>
          <w:rFonts w:hint="eastAsia" w:ascii="黑体" w:hAnsi="黑体" w:eastAsia="黑体"/>
        </w:rPr>
        <w:t xml:space="preserve"> vehicl</w:t>
      </w:r>
      <w:r>
        <w:rPr>
          <w:rFonts w:ascii="黑体" w:hAnsi="黑体" w:eastAsia="黑体"/>
        </w:rPr>
        <w:t>e geometrical parameters after crashed</w:t>
      </w:r>
    </w:p>
    <w:p w14:paraId="6613EC19">
      <w:pPr>
        <w:pStyle w:val="234"/>
        <w:ind w:firstLine="412"/>
      </w:pPr>
      <w:r>
        <w:rPr>
          <w:spacing w:val="-2"/>
        </w:rPr>
        <w:t>主要包括</w:t>
      </w:r>
      <w:r>
        <w:rPr>
          <w:rFonts w:hint="eastAsia"/>
          <w:spacing w:val="-2"/>
        </w:rPr>
        <w:t>交通</w:t>
      </w:r>
      <w:r>
        <w:rPr>
          <w:spacing w:val="-2"/>
        </w:rPr>
        <w:t>事故发生后车辆的位置、方位角、</w:t>
      </w:r>
      <w:r>
        <w:rPr>
          <w:rFonts w:hint="eastAsia"/>
          <w:spacing w:val="-2"/>
          <w:highlight w:val="none"/>
        </w:rPr>
        <w:t>碰撞点、路</w:t>
      </w:r>
      <w:r>
        <w:rPr>
          <w:rFonts w:hint="eastAsia"/>
          <w:highlight w:val="none"/>
        </w:rPr>
        <w:t>面接触区域</w:t>
      </w:r>
      <w:r>
        <w:rPr>
          <w:rFonts w:hint="eastAsia"/>
        </w:rPr>
        <w:t>、散落物分布的范围、</w:t>
      </w:r>
      <w:r>
        <w:rPr>
          <w:rFonts w:hint="eastAsia"/>
          <w:highlight w:val="none"/>
        </w:rPr>
        <w:t>人体腾越高度</w:t>
      </w:r>
      <w:r>
        <w:rPr>
          <w:rFonts w:hint="eastAsia"/>
        </w:rPr>
        <w:t>及翻</w:t>
      </w:r>
      <w:r>
        <w:rPr>
          <w:rFonts w:hint="eastAsia"/>
          <w:spacing w:val="-7"/>
        </w:rPr>
        <w:t>转距离等。</w:t>
      </w:r>
    </w:p>
    <w:p w14:paraId="59EC1AFC">
      <w:pPr>
        <w:pStyle w:val="227"/>
        <w:ind w:left="420" w:hanging="420" w:hangingChars="200"/>
        <w:rPr>
          <w:rFonts w:hint="eastAsia" w:ascii="黑体" w:hAnsi="黑体" w:eastAsia="黑体"/>
        </w:rPr>
      </w:pPr>
      <w:r>
        <w:rPr>
          <w:rFonts w:ascii="黑体" w:hAnsi="黑体" w:eastAsia="黑体"/>
        </w:rPr>
        <w:t>碰撞参数 crash parameters</w:t>
      </w:r>
    </w:p>
    <w:p w14:paraId="51D41F7F">
      <w:pPr>
        <w:pStyle w:val="60"/>
        <w:ind w:firstLine="420"/>
      </w:pPr>
      <w:r>
        <w:t>主要包括</w:t>
      </w:r>
      <w:r>
        <w:rPr>
          <w:rFonts w:hint="eastAsia"/>
        </w:rPr>
        <w:t>交通事故</w:t>
      </w:r>
      <w:r>
        <w:t>参与</w:t>
      </w:r>
      <w:r>
        <w:rPr>
          <w:rFonts w:hint="eastAsia"/>
        </w:rPr>
        <w:t>对象的</w:t>
      </w:r>
      <w:r>
        <w:t>碰撞点位置、接触面、方位角、车体碰撞点的长度、宽度和高度、</w:t>
      </w:r>
      <w:r>
        <w:rPr>
          <w:spacing w:val="-4"/>
        </w:rPr>
        <w:t>变形量以及碰撞冲量方向等参数。</w:t>
      </w:r>
    </w:p>
    <w:p w14:paraId="51C91ED5">
      <w:pPr>
        <w:pStyle w:val="108"/>
        <w:spacing w:before="312" w:after="312"/>
      </w:pPr>
      <w:bookmarkStart w:id="47" w:name="_Toc191304941"/>
      <w:r>
        <w:rPr>
          <w:rFonts w:hint="eastAsia"/>
        </w:rPr>
        <w:t>基本原则</w:t>
      </w:r>
      <w:bookmarkEnd w:id="47"/>
    </w:p>
    <w:p w14:paraId="2BB0A719">
      <w:pPr>
        <w:pStyle w:val="109"/>
        <w:spacing w:before="156" w:after="156"/>
      </w:pPr>
      <w:r>
        <w:t>总则</w:t>
      </w:r>
    </w:p>
    <w:p w14:paraId="33073C21">
      <w:pPr>
        <w:pStyle w:val="169"/>
      </w:pPr>
      <w:r>
        <w:rPr>
          <w:rFonts w:hint="eastAsia"/>
        </w:rPr>
        <w:t>交通</w:t>
      </w:r>
      <w:r>
        <w:t>事故过程</w:t>
      </w:r>
      <w:r>
        <w:rPr>
          <w:rFonts w:hint="eastAsia"/>
        </w:rPr>
        <w:t>仿真重建</w:t>
      </w:r>
      <w:r>
        <w:t>是对与</w:t>
      </w:r>
      <w:r>
        <w:rPr>
          <w:rFonts w:hint="eastAsia"/>
        </w:rPr>
        <w:t>交通</w:t>
      </w:r>
      <w:r>
        <w:t>事故相关的现场、车辆、伤亡人员</w:t>
      </w:r>
      <w:r>
        <w:rPr>
          <w:rFonts w:hint="eastAsia"/>
        </w:rPr>
        <w:t>及损坏物品</w:t>
      </w:r>
      <w:r>
        <w:t>进行勘验后，依据勘查结果通过运用</w:t>
      </w:r>
      <w:r>
        <w:rPr>
          <w:rFonts w:hint="eastAsia"/>
        </w:rPr>
        <w:t>仿真</w:t>
      </w:r>
      <w:r>
        <w:t>软件进行综合分析，从而做出</w:t>
      </w:r>
      <w:r>
        <w:rPr>
          <w:rFonts w:hint="eastAsia"/>
        </w:rPr>
        <w:t>符合8.2要求</w:t>
      </w:r>
      <w:r>
        <w:rPr>
          <w:rFonts w:hint="eastAsia"/>
          <w:spacing w:val="-2"/>
        </w:rPr>
        <w:t>报告的过程</w:t>
      </w:r>
      <w:r>
        <w:rPr>
          <w:spacing w:val="-2"/>
        </w:rPr>
        <w:t>。</w:t>
      </w:r>
    </w:p>
    <w:p w14:paraId="379A93DB">
      <w:pPr>
        <w:pStyle w:val="169"/>
      </w:pPr>
      <w:r>
        <w:rPr>
          <w:rFonts w:hint="eastAsia"/>
        </w:rPr>
        <w:t>交通</w:t>
      </w:r>
      <w:r>
        <w:t>事故过程</w:t>
      </w:r>
      <w:r>
        <w:rPr>
          <w:rFonts w:hint="eastAsia"/>
        </w:rPr>
        <w:t>仿真重建</w:t>
      </w:r>
      <w:r>
        <w:t>的全过程应符合相关法律法规</w:t>
      </w:r>
      <w:r>
        <w:rPr>
          <w:rFonts w:hint="eastAsia"/>
        </w:rPr>
        <w:t>的要求</w:t>
      </w:r>
      <w:r>
        <w:t>。</w:t>
      </w:r>
    </w:p>
    <w:p w14:paraId="4027188B">
      <w:pPr>
        <w:pStyle w:val="169"/>
      </w:pPr>
      <w:r>
        <w:rPr>
          <w:rFonts w:hint="eastAsia"/>
        </w:rPr>
        <w:t>交通事故过程仿真重建结果在</w:t>
      </w:r>
      <w:r>
        <w:rPr>
          <w:rFonts w:hint="eastAsia" w:hAnsi="宋体" w:cs="宋体"/>
        </w:rPr>
        <w:t>司法实践中可辅助公安机关、法院、检察院等部门对交通事故责任进行判定。</w:t>
      </w:r>
    </w:p>
    <w:p w14:paraId="36E55A1F">
      <w:pPr>
        <w:pStyle w:val="169"/>
        <w:rPr>
          <w:highlight w:val="none"/>
        </w:rPr>
      </w:pPr>
      <w:r>
        <w:rPr>
          <w:rFonts w:hint="eastAsia"/>
          <w:highlight w:val="none"/>
        </w:rPr>
        <w:t>交通事故过程仿真重建机构应具备以下条件：</w:t>
      </w:r>
    </w:p>
    <w:p w14:paraId="17BF37FF">
      <w:pPr>
        <w:pStyle w:val="241"/>
        <w:numPr>
          <w:ilvl w:val="0"/>
          <w:numId w:val="13"/>
        </w:numPr>
        <w:tabs>
          <w:tab w:val="clear" w:pos="851"/>
        </w:tabs>
        <w:ind w:left="839" w:hanging="419"/>
        <w:rPr>
          <w:highlight w:val="none"/>
        </w:rPr>
      </w:pPr>
      <w:r>
        <w:rPr>
          <w:rFonts w:hint="eastAsia"/>
          <w:highlight w:val="none"/>
        </w:rPr>
        <w:t>具有独立法人的单位；</w:t>
      </w:r>
    </w:p>
    <w:p w14:paraId="67E65A3A">
      <w:pPr>
        <w:pStyle w:val="241"/>
        <w:numPr>
          <w:ilvl w:val="0"/>
          <w:numId w:val="13"/>
        </w:numPr>
        <w:tabs>
          <w:tab w:val="clear" w:pos="851"/>
        </w:tabs>
        <w:ind w:left="839" w:hanging="419"/>
        <w:rPr>
          <w:highlight w:val="none"/>
        </w:rPr>
      </w:pPr>
      <w:r>
        <w:rPr>
          <w:rFonts w:hint="eastAsia"/>
          <w:highlight w:val="none"/>
        </w:rPr>
        <w:t>符合主管部门的管理要求；</w:t>
      </w:r>
    </w:p>
    <w:p w14:paraId="0B2053C4">
      <w:pPr>
        <w:pStyle w:val="241"/>
        <w:numPr>
          <w:ilvl w:val="0"/>
          <w:numId w:val="13"/>
        </w:numPr>
        <w:tabs>
          <w:tab w:val="clear" w:pos="851"/>
        </w:tabs>
        <w:ind w:left="839" w:hanging="419"/>
        <w:rPr>
          <w:highlight w:val="none"/>
        </w:rPr>
      </w:pPr>
      <w:r>
        <w:rPr>
          <w:rFonts w:hint="eastAsia"/>
          <w:spacing w:val="-2"/>
          <w:highlight w:val="none"/>
        </w:rPr>
        <w:t>交通事故过程仿真重建机构应当配备具备交通工程、车辆工程、法医学、痕迹物证鉴定以及计算机科学等相关专业背景的人员。</w:t>
      </w:r>
    </w:p>
    <w:p w14:paraId="3FD78D78">
      <w:pPr>
        <w:pStyle w:val="169"/>
      </w:pPr>
      <w:r>
        <w:rPr>
          <w:rFonts w:hint="eastAsia"/>
        </w:rPr>
        <w:t>交通</w:t>
      </w:r>
      <w:r>
        <w:t>事故过程</w:t>
      </w:r>
      <w:r>
        <w:rPr>
          <w:rFonts w:hint="eastAsia"/>
        </w:rPr>
        <w:t>仿真重建</w:t>
      </w:r>
      <w:r>
        <w:t>应由具备相关软件应用能力的鉴定人员或者有关专业技术</w:t>
      </w:r>
      <w:r>
        <w:rPr>
          <w:spacing w:val="-7"/>
        </w:rPr>
        <w:t>人员担任。</w:t>
      </w:r>
    </w:p>
    <w:p w14:paraId="7D6E1F34">
      <w:pPr>
        <w:pStyle w:val="109"/>
        <w:spacing w:before="156" w:after="156"/>
      </w:pPr>
      <w:r>
        <w:t>综合分析和判断原则</w:t>
      </w:r>
    </w:p>
    <w:p w14:paraId="04AFFEF6">
      <w:pPr>
        <w:pStyle w:val="69"/>
        <w:spacing w:before="156" w:after="156"/>
        <w:rPr>
          <w:rFonts w:hint="eastAsia"/>
        </w:rPr>
      </w:pPr>
      <w:r>
        <w:t>成立原则</w:t>
      </w:r>
    </w:p>
    <w:p w14:paraId="6ED4DA96">
      <w:pPr>
        <w:pStyle w:val="234"/>
      </w:pPr>
      <w:r>
        <w:t>有关证据可以互相印证，能存在逻辑链关系的原则。</w:t>
      </w:r>
    </w:p>
    <w:p w14:paraId="76D2A7AC">
      <w:pPr>
        <w:pStyle w:val="69"/>
        <w:spacing w:before="156" w:after="156"/>
        <w:rPr>
          <w:rFonts w:hint="eastAsia"/>
        </w:rPr>
      </w:pPr>
      <w:r>
        <w:t>排除原则</w:t>
      </w:r>
    </w:p>
    <w:p w14:paraId="0A776301">
      <w:pPr>
        <w:pStyle w:val="234"/>
      </w:pPr>
      <w:r>
        <w:t>有关证据不能互</w:t>
      </w:r>
      <w:r>
        <w:rPr>
          <w:rFonts w:hint="eastAsia"/>
        </w:rPr>
        <w:t>相</w:t>
      </w:r>
      <w:r>
        <w:t>印证，不能确立存在关系的原则。</w:t>
      </w:r>
    </w:p>
    <w:p w14:paraId="211DD809">
      <w:pPr>
        <w:pStyle w:val="69"/>
        <w:spacing w:before="156" w:after="156"/>
        <w:rPr>
          <w:rFonts w:hint="eastAsia"/>
        </w:rPr>
      </w:pPr>
      <w:r>
        <w:t>对比原则</w:t>
      </w:r>
    </w:p>
    <w:p w14:paraId="10F58D5D">
      <w:pPr>
        <w:pStyle w:val="234"/>
      </w:pPr>
      <w:r>
        <w:t>通过对</w:t>
      </w:r>
      <w:r>
        <w:rPr>
          <w:rFonts w:hint="eastAsia"/>
        </w:rPr>
        <w:t>交通</w:t>
      </w:r>
      <w:r>
        <w:t>事故过程</w:t>
      </w:r>
      <w:r>
        <w:rPr>
          <w:rFonts w:hint="eastAsia"/>
        </w:rPr>
        <w:t>仿真重建</w:t>
      </w:r>
      <w:r>
        <w:t>的诸多判断证据，进行能不能确定关系的比较，得出更具倾向性意见。</w:t>
      </w:r>
    </w:p>
    <w:p w14:paraId="373CF630">
      <w:pPr>
        <w:pStyle w:val="69"/>
        <w:spacing w:before="156" w:after="156"/>
      </w:pPr>
      <w:r>
        <w:t>典型证据优先原则</w:t>
      </w:r>
    </w:p>
    <w:p w14:paraId="38BD5B44">
      <w:pPr>
        <w:pStyle w:val="60"/>
        <w:ind w:firstLine="420"/>
      </w:pPr>
      <w:r>
        <w:rPr>
          <w:rFonts w:hint="eastAsia"/>
        </w:rPr>
        <w:t>交通事故</w:t>
      </w:r>
      <w:r>
        <w:t>过程</w:t>
      </w:r>
      <w:r>
        <w:rPr>
          <w:rFonts w:hint="eastAsia"/>
        </w:rPr>
        <w:t>仿真重建</w:t>
      </w:r>
      <w:r>
        <w:t>依据最有典型特征的证据参数为判断支撑点，可以从损伤典型特征推断，也可以从碰撞后运动轨迹典型特征推断，最后运用计算机</w:t>
      </w:r>
      <w:r>
        <w:rPr>
          <w:rFonts w:hint="eastAsia"/>
        </w:rPr>
        <w:t>仿真重建</w:t>
      </w:r>
      <w:r>
        <w:t>软件进行综合分析</w:t>
      </w:r>
      <w:r>
        <w:rPr>
          <w:rFonts w:hint="eastAsia"/>
        </w:rPr>
        <w:t>基本要求。</w:t>
      </w:r>
    </w:p>
    <w:p w14:paraId="536312A6">
      <w:pPr>
        <w:pStyle w:val="108"/>
        <w:spacing w:before="312" w:after="312"/>
      </w:pPr>
      <w:bookmarkStart w:id="48" w:name="_Toc191304942"/>
      <w:r>
        <w:rPr>
          <w:rFonts w:hint="eastAsia"/>
        </w:rPr>
        <w:t>仿真重建要求</w:t>
      </w:r>
      <w:bookmarkEnd w:id="48"/>
    </w:p>
    <w:p w14:paraId="1ACF4712">
      <w:pPr>
        <w:pStyle w:val="109"/>
        <w:spacing w:before="156" w:after="156"/>
      </w:pPr>
      <w:r>
        <w:t>一般要求</w:t>
      </w:r>
    </w:p>
    <w:p w14:paraId="1CE62C12">
      <w:pPr>
        <w:pStyle w:val="169"/>
      </w:pPr>
      <w:r>
        <w:rPr>
          <w:rFonts w:hint="eastAsia"/>
        </w:rPr>
        <w:t>交通</w:t>
      </w:r>
      <w:r>
        <w:t>事故过程</w:t>
      </w:r>
      <w:r>
        <w:rPr>
          <w:rFonts w:hint="eastAsia"/>
        </w:rPr>
        <w:t>仿真重建机构</w:t>
      </w:r>
      <w:r>
        <w:t>应配备必要的硬件</w:t>
      </w:r>
      <w:r>
        <w:rPr>
          <w:rFonts w:hint="eastAsia"/>
        </w:rPr>
        <w:t>设备</w:t>
      </w:r>
      <w:r>
        <w:t>和软件</w:t>
      </w:r>
      <w:r>
        <w:rPr>
          <w:rFonts w:hint="eastAsia"/>
        </w:rPr>
        <w:t>系统</w:t>
      </w:r>
      <w:r>
        <w:t>。</w:t>
      </w:r>
    </w:p>
    <w:p w14:paraId="453580A9">
      <w:pPr>
        <w:pStyle w:val="169"/>
      </w:pPr>
      <w:r>
        <w:t>进行</w:t>
      </w:r>
      <w:r>
        <w:rPr>
          <w:rFonts w:hint="eastAsia"/>
        </w:rPr>
        <w:t>交通</w:t>
      </w:r>
      <w:r>
        <w:t>事故过程</w:t>
      </w:r>
      <w:r>
        <w:rPr>
          <w:rFonts w:hint="eastAsia"/>
        </w:rPr>
        <w:t>仿真重建</w:t>
      </w:r>
      <w:r>
        <w:t>应</w:t>
      </w:r>
      <w:r>
        <w:rPr>
          <w:rFonts w:hint="eastAsia"/>
        </w:rPr>
        <w:t>由</w:t>
      </w:r>
      <w:r>
        <w:t>委托方出具合法、有效的委托书，并提供相关鉴定材料，提供的鉴定材料应能满足</w:t>
      </w:r>
      <w:r>
        <w:rPr>
          <w:rFonts w:hint="eastAsia"/>
        </w:rPr>
        <w:t>交通事故仿真重建</w:t>
      </w:r>
      <w:r>
        <w:t>的需要。</w:t>
      </w:r>
    </w:p>
    <w:p w14:paraId="3095B03B">
      <w:pPr>
        <w:pStyle w:val="169"/>
      </w:pPr>
      <w:r>
        <w:t>提供供</w:t>
      </w:r>
      <w:r>
        <w:rPr>
          <w:rFonts w:hint="eastAsia"/>
        </w:rPr>
        <w:t>交通</w:t>
      </w:r>
      <w:r>
        <w:t>事故过程</w:t>
      </w:r>
      <w:r>
        <w:rPr>
          <w:rFonts w:hint="eastAsia"/>
        </w:rPr>
        <w:t>仿真重建</w:t>
      </w:r>
      <w:r>
        <w:t>的现场图应符合GA</w:t>
      </w:r>
      <w:r>
        <w:rPr>
          <w:rFonts w:hint="eastAsia"/>
        </w:rPr>
        <w:t>/T</w:t>
      </w:r>
      <w:r>
        <w:t xml:space="preserve"> 49的具体要求。</w:t>
      </w:r>
    </w:p>
    <w:p w14:paraId="7996A34B">
      <w:pPr>
        <w:pStyle w:val="169"/>
      </w:pPr>
      <w:r>
        <w:t>提供供</w:t>
      </w:r>
      <w:r>
        <w:rPr>
          <w:rFonts w:hint="eastAsia"/>
        </w:rPr>
        <w:t>交通</w:t>
      </w:r>
      <w:r>
        <w:t>事故过程</w:t>
      </w:r>
      <w:r>
        <w:rPr>
          <w:rFonts w:hint="eastAsia"/>
        </w:rPr>
        <w:t>仿真重建</w:t>
      </w:r>
      <w:r>
        <w:t>的交通事故痕迹物证等的测量和勘验应符合GA</w:t>
      </w:r>
      <w:r>
        <w:rPr>
          <w:rFonts w:hint="eastAsia"/>
        </w:rPr>
        <w:t>/T</w:t>
      </w:r>
      <w:r>
        <w:t xml:space="preserve"> 41的具体要求。</w:t>
      </w:r>
    </w:p>
    <w:p w14:paraId="54D105F5">
      <w:pPr>
        <w:pStyle w:val="169"/>
        <w:numPr>
          <w:ilvl w:val="255"/>
          <w:numId w:val="0"/>
        </w:numPr>
      </w:pPr>
      <w:r>
        <w:rPr>
          <w:rFonts w:hint="eastAsia"/>
        </w:rPr>
        <w:t>交通事故</w:t>
      </w:r>
      <w:r>
        <w:t>过程</w:t>
      </w:r>
      <w:r>
        <w:rPr>
          <w:rFonts w:hint="eastAsia"/>
        </w:rPr>
        <w:t>仿真重建</w:t>
      </w:r>
      <w:r>
        <w:t>人员在必要时应对</w:t>
      </w:r>
      <w:r>
        <w:rPr>
          <w:rFonts w:hint="eastAsia"/>
        </w:rPr>
        <w:t>交通事故</w:t>
      </w:r>
      <w:r>
        <w:t>现场进行复勘。</w:t>
      </w:r>
    </w:p>
    <w:p w14:paraId="7C2E43B2">
      <w:pPr>
        <w:pStyle w:val="109"/>
        <w:spacing w:before="156" w:after="156"/>
      </w:pPr>
      <w:r>
        <w:t>硬件</w:t>
      </w:r>
      <w:r>
        <w:rPr>
          <w:rFonts w:hint="eastAsia"/>
        </w:rPr>
        <w:t>设备要求</w:t>
      </w:r>
    </w:p>
    <w:p w14:paraId="15E80990">
      <w:pPr>
        <w:spacing w:line="276" w:lineRule="auto"/>
        <w:ind w:firstLine="420" w:firstLineChars="200"/>
      </w:pPr>
      <w:r>
        <w:rPr>
          <w:rFonts w:hint="eastAsia"/>
        </w:rPr>
        <w:t>交通</w:t>
      </w:r>
      <w:r>
        <w:t>事故过程</w:t>
      </w:r>
      <w:r>
        <w:rPr>
          <w:rFonts w:hint="eastAsia"/>
        </w:rPr>
        <w:t>仿真重建机构</w:t>
      </w:r>
      <w:r>
        <w:t>应配备进行</w:t>
      </w:r>
      <w:r>
        <w:rPr>
          <w:rFonts w:hint="eastAsia"/>
        </w:rPr>
        <w:t>交通</w:t>
      </w:r>
      <w:r>
        <w:t>事故过程计算相关的计算机。计算机性能不低于运行相关计算过程软件所</w:t>
      </w:r>
      <w:r>
        <w:rPr>
          <w:spacing w:val="-5"/>
        </w:rPr>
        <w:t>提及的最低要求。</w:t>
      </w:r>
    </w:p>
    <w:p w14:paraId="01C3A392">
      <w:pPr>
        <w:pStyle w:val="109"/>
        <w:spacing w:before="156" w:after="156"/>
      </w:pPr>
      <w:r>
        <w:t>软件</w:t>
      </w:r>
      <w:r>
        <w:rPr>
          <w:rFonts w:hint="eastAsia"/>
        </w:rPr>
        <w:t>系统要求</w:t>
      </w:r>
    </w:p>
    <w:p w14:paraId="07A2F83E">
      <w:pPr>
        <w:pStyle w:val="169"/>
      </w:pPr>
      <w:r>
        <w:t>软件</w:t>
      </w:r>
      <w:r>
        <w:rPr>
          <w:rFonts w:hint="eastAsia"/>
        </w:rPr>
        <w:t>系统</w:t>
      </w:r>
      <w:r>
        <w:t>的理论基础应基于动量、冲量、能量守恒定律或者多刚(柔)体动力学、有限单元法、弹塑性力学等。</w:t>
      </w:r>
    </w:p>
    <w:p w14:paraId="121A2031">
      <w:pPr>
        <w:pStyle w:val="169"/>
      </w:pPr>
      <w:r>
        <w:t>软件</w:t>
      </w:r>
      <w:r>
        <w:rPr>
          <w:rFonts w:hint="eastAsia"/>
        </w:rPr>
        <w:t>系统</w:t>
      </w:r>
      <w:r>
        <w:t>应能按照初始设置的相关参数进行正向或逆向的</w:t>
      </w:r>
      <w:r>
        <w:rPr>
          <w:rFonts w:hint="eastAsia"/>
        </w:rPr>
        <w:t>交通事故</w:t>
      </w:r>
      <w:r>
        <w:t>过程计算。</w:t>
      </w:r>
    </w:p>
    <w:p w14:paraId="0F51BE16">
      <w:pPr>
        <w:pStyle w:val="169"/>
      </w:pPr>
      <w:r>
        <w:t>软件</w:t>
      </w:r>
      <w:r>
        <w:rPr>
          <w:rFonts w:hint="eastAsia"/>
        </w:rPr>
        <w:t>系统</w:t>
      </w:r>
      <w:r>
        <w:t>应具有输出车辆动态运动参数、二维</w:t>
      </w:r>
      <w:r>
        <w:rPr>
          <w:rFonts w:hint="eastAsia"/>
        </w:rPr>
        <w:t>或三维</w:t>
      </w:r>
      <w:r>
        <w:t>过程</w:t>
      </w:r>
      <w:r>
        <w:rPr>
          <w:rFonts w:hint="eastAsia"/>
        </w:rPr>
        <w:t>图、仿真重建视频</w:t>
      </w:r>
      <w:r>
        <w:t>演示等功能。</w:t>
      </w:r>
    </w:p>
    <w:p w14:paraId="4DF61401">
      <w:pPr>
        <w:pStyle w:val="169"/>
      </w:pPr>
      <w:r>
        <w:rPr>
          <w:rFonts w:hint="eastAsia"/>
        </w:rPr>
        <w:t>软件系统可具备交通事故辅助分析的功能。</w:t>
      </w:r>
    </w:p>
    <w:p w14:paraId="746A452C">
      <w:pPr>
        <w:pStyle w:val="108"/>
        <w:spacing w:before="312" w:after="312"/>
      </w:pPr>
      <w:bookmarkStart w:id="49" w:name="_Toc191304943"/>
      <w:bookmarkStart w:id="50" w:name="_Toc4493"/>
      <w:r>
        <w:rPr>
          <w:rFonts w:hint="eastAsia"/>
        </w:rPr>
        <w:t>数据采集要求</w:t>
      </w:r>
      <w:bookmarkEnd w:id="49"/>
      <w:bookmarkEnd w:id="50"/>
    </w:p>
    <w:p w14:paraId="2BECAEE2">
      <w:pPr>
        <w:pStyle w:val="169"/>
      </w:pPr>
      <w:r>
        <w:rPr>
          <w:rFonts w:hint="eastAsia"/>
        </w:rPr>
        <w:t>交通事故信息调查应符合GA/T</w:t>
      </w:r>
      <w:r>
        <w:t xml:space="preserve"> </w:t>
      </w:r>
      <w:r>
        <w:rPr>
          <w:rFonts w:hint="eastAsia"/>
        </w:rPr>
        <w:t>1082的要求。</w:t>
      </w:r>
    </w:p>
    <w:p w14:paraId="31FDDE5B">
      <w:pPr>
        <w:pStyle w:val="169"/>
      </w:pPr>
      <w:r>
        <w:rPr>
          <w:rFonts w:hint="eastAsia"/>
        </w:rPr>
        <w:t>现场图以及车辆相关信息应符合GA</w:t>
      </w:r>
      <w:r>
        <w:t xml:space="preserve">/T </w:t>
      </w:r>
      <w:r>
        <w:rPr>
          <w:rFonts w:hint="eastAsia"/>
        </w:rPr>
        <w:t>49要求。</w:t>
      </w:r>
      <w:r>
        <w:rPr>
          <w:rFonts w:hint="eastAsia"/>
          <w:highlight w:val="none"/>
        </w:rPr>
        <w:t>自采数据精度要求应符合仿真软件的要求。</w:t>
      </w:r>
    </w:p>
    <w:p w14:paraId="7348231F">
      <w:pPr>
        <w:pStyle w:val="169"/>
      </w:pPr>
      <w:r>
        <w:t>交通事故痕迹物证等有关的测量和勘验数据</w:t>
      </w:r>
      <w:r>
        <w:rPr>
          <w:rFonts w:hint="eastAsia"/>
        </w:rPr>
        <w:t>应</w:t>
      </w:r>
      <w:r>
        <w:t>符合GA</w:t>
      </w:r>
      <w:r>
        <w:rPr>
          <w:rFonts w:hint="eastAsia"/>
        </w:rPr>
        <w:t xml:space="preserve">/T </w:t>
      </w:r>
      <w:r>
        <w:t>41要求。</w:t>
      </w:r>
    </w:p>
    <w:p w14:paraId="317842D7">
      <w:pPr>
        <w:pStyle w:val="169"/>
      </w:pPr>
      <w:r>
        <w:rPr>
          <w:rFonts w:hint="eastAsia"/>
        </w:rPr>
        <w:t xml:space="preserve">智能网联车载单元、路侧单元、云控平台数据的采集宜符合GB/T </w:t>
      </w:r>
      <w:r>
        <w:t>44721</w:t>
      </w:r>
      <w:r>
        <w:rPr>
          <w:rFonts w:hint="eastAsia"/>
        </w:rPr>
        <w:t>的要求</w:t>
      </w:r>
      <w:r>
        <w:rPr>
          <w:rFonts w:hint="eastAsia"/>
          <w:highlight w:val="none"/>
        </w:rPr>
        <w:t>。</w:t>
      </w:r>
    </w:p>
    <w:p w14:paraId="6DA8FF34">
      <w:pPr>
        <w:pStyle w:val="169"/>
      </w:pPr>
      <w:r>
        <w:rPr>
          <w:rFonts w:hint="eastAsia"/>
        </w:rPr>
        <w:t>交通事故现场勘察采集数据的项目和要求如表1所示。</w:t>
      </w:r>
    </w:p>
    <w:p w14:paraId="07536A93">
      <w:pPr>
        <w:pStyle w:val="246"/>
        <w:numPr>
          <w:ilvl w:val="0"/>
          <w:numId w:val="16"/>
        </w:numPr>
        <w:spacing w:before="156" w:after="156"/>
      </w:pPr>
      <w:r>
        <w:rPr>
          <w:rFonts w:hint="eastAsia"/>
        </w:rPr>
        <w:t>交通事故基本信息</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3"/>
        <w:gridCol w:w="2334"/>
      </w:tblGrid>
      <w:tr w14:paraId="379429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334" w:type="dxa"/>
            <w:tcBorders>
              <w:top w:val="single" w:color="auto" w:sz="8" w:space="0"/>
              <w:bottom w:val="single" w:color="auto" w:sz="8" w:space="0"/>
            </w:tcBorders>
            <w:shd w:val="clear" w:color="auto" w:fill="auto"/>
            <w:vAlign w:val="center"/>
          </w:tcPr>
          <w:p w14:paraId="2933DDC4">
            <w:pPr>
              <w:pStyle w:val="182"/>
            </w:pPr>
            <w:r>
              <w:rPr>
                <w:rFonts w:hint="eastAsia"/>
                <w:b/>
                <w:bCs/>
                <w:szCs w:val="18"/>
              </w:rPr>
              <w:t>类别</w:t>
            </w:r>
          </w:p>
        </w:tc>
        <w:tc>
          <w:tcPr>
            <w:tcW w:w="2333" w:type="dxa"/>
            <w:tcBorders>
              <w:top w:val="single" w:color="auto" w:sz="8" w:space="0"/>
              <w:bottom w:val="single" w:color="auto" w:sz="8" w:space="0"/>
            </w:tcBorders>
            <w:shd w:val="clear" w:color="auto" w:fill="auto"/>
            <w:vAlign w:val="center"/>
          </w:tcPr>
          <w:p w14:paraId="45CF6EDC">
            <w:pPr>
              <w:pStyle w:val="182"/>
            </w:pPr>
            <w:r>
              <w:rPr>
                <w:rFonts w:hint="eastAsia"/>
                <w:b/>
                <w:bCs/>
                <w:szCs w:val="18"/>
              </w:rPr>
              <w:t>采集数据</w:t>
            </w:r>
          </w:p>
        </w:tc>
        <w:tc>
          <w:tcPr>
            <w:tcW w:w="2333" w:type="dxa"/>
            <w:tcBorders>
              <w:top w:val="single" w:color="auto" w:sz="8" w:space="0"/>
              <w:bottom w:val="single" w:color="auto" w:sz="8" w:space="0"/>
            </w:tcBorders>
            <w:shd w:val="clear" w:color="auto" w:fill="auto"/>
            <w:vAlign w:val="center"/>
          </w:tcPr>
          <w:p w14:paraId="41DCD2C7">
            <w:pPr>
              <w:pStyle w:val="182"/>
            </w:pPr>
            <w:r>
              <w:rPr>
                <w:rFonts w:hint="eastAsia"/>
                <w:b/>
                <w:bCs/>
                <w:szCs w:val="18"/>
              </w:rPr>
              <w:t>属性</w:t>
            </w:r>
          </w:p>
        </w:tc>
        <w:tc>
          <w:tcPr>
            <w:tcW w:w="2334" w:type="dxa"/>
            <w:tcBorders>
              <w:top w:val="single" w:color="auto" w:sz="8" w:space="0"/>
              <w:bottom w:val="single" w:color="auto" w:sz="8" w:space="0"/>
            </w:tcBorders>
            <w:shd w:val="clear" w:color="auto" w:fill="auto"/>
            <w:vAlign w:val="center"/>
          </w:tcPr>
          <w:p w14:paraId="4F8EE280">
            <w:pPr>
              <w:pStyle w:val="182"/>
            </w:pPr>
            <w:r>
              <w:rPr>
                <w:rFonts w:hint="eastAsia" w:ascii="黑体" w:eastAsia="黑体"/>
                <w:b/>
                <w:bCs/>
                <w:szCs w:val="18"/>
              </w:rPr>
              <w:t>获得方式</w:t>
            </w:r>
          </w:p>
        </w:tc>
      </w:tr>
      <w:tr w14:paraId="19320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restart"/>
            <w:tcBorders>
              <w:top w:val="single" w:color="auto" w:sz="8" w:space="0"/>
            </w:tcBorders>
            <w:shd w:val="clear" w:color="auto" w:fill="auto"/>
            <w:vAlign w:val="center"/>
          </w:tcPr>
          <w:p w14:paraId="1D550A32">
            <w:pPr>
              <w:pStyle w:val="60"/>
              <w:ind w:firstLine="0" w:firstLineChars="0"/>
              <w:jc w:val="center"/>
              <w:rPr>
                <w:sz w:val="18"/>
                <w:szCs w:val="18"/>
              </w:rPr>
            </w:pPr>
            <w:r>
              <w:rPr>
                <w:rFonts w:hint="eastAsia"/>
                <w:b w:val="0"/>
                <w:bCs w:val="0"/>
                <w:sz w:val="18"/>
                <w:szCs w:val="18"/>
              </w:rPr>
              <w:t>事故信息</w:t>
            </w:r>
          </w:p>
          <w:p w14:paraId="4A188837">
            <w:pPr>
              <w:pStyle w:val="182"/>
            </w:pPr>
          </w:p>
        </w:tc>
        <w:tc>
          <w:tcPr>
            <w:tcW w:w="2333" w:type="dxa"/>
            <w:tcBorders>
              <w:top w:val="single" w:color="auto" w:sz="8" w:space="0"/>
            </w:tcBorders>
            <w:shd w:val="clear" w:color="auto" w:fill="auto"/>
            <w:vAlign w:val="center"/>
          </w:tcPr>
          <w:p w14:paraId="2A2E8524">
            <w:pPr>
              <w:pStyle w:val="182"/>
            </w:pPr>
            <w:r>
              <w:rPr>
                <w:rFonts w:hint="eastAsia" w:ascii="宋体" w:eastAsia="宋体"/>
                <w:b w:val="0"/>
                <w:bCs w:val="0"/>
                <w:szCs w:val="18"/>
              </w:rPr>
              <w:t>事故</w:t>
            </w:r>
            <w:r>
              <w:rPr>
                <w:rFonts w:hint="eastAsia"/>
                <w:szCs w:val="18"/>
              </w:rPr>
              <w:t>基本</w:t>
            </w:r>
            <w:r>
              <w:rPr>
                <w:rFonts w:hint="eastAsia" w:ascii="宋体" w:eastAsia="宋体"/>
                <w:b w:val="0"/>
                <w:bCs w:val="0"/>
                <w:szCs w:val="18"/>
              </w:rPr>
              <w:t>信息</w:t>
            </w:r>
          </w:p>
        </w:tc>
        <w:tc>
          <w:tcPr>
            <w:tcW w:w="2333" w:type="dxa"/>
            <w:tcBorders>
              <w:top w:val="single" w:color="auto" w:sz="8" w:space="0"/>
            </w:tcBorders>
            <w:shd w:val="clear" w:color="auto" w:fill="auto"/>
            <w:vAlign w:val="center"/>
          </w:tcPr>
          <w:p w14:paraId="55B683C7">
            <w:pPr>
              <w:pStyle w:val="182"/>
            </w:pPr>
            <w:r>
              <w:rPr>
                <w:rFonts w:hint="eastAsia" w:ascii="宋体" w:eastAsia="宋体"/>
                <w:b w:val="0"/>
                <w:bCs w:val="0"/>
                <w:szCs w:val="18"/>
              </w:rPr>
              <w:t>事故故意的时间地点、形态、事故参与方、干扰方、车辆受损情况、伤情描述报告等</w:t>
            </w:r>
          </w:p>
        </w:tc>
        <w:tc>
          <w:tcPr>
            <w:tcW w:w="2334" w:type="dxa"/>
            <w:tcBorders>
              <w:top w:val="single" w:color="auto" w:sz="8" w:space="0"/>
            </w:tcBorders>
            <w:shd w:val="clear" w:color="auto" w:fill="auto"/>
            <w:vAlign w:val="center"/>
          </w:tcPr>
          <w:p w14:paraId="55EA50FE">
            <w:pPr>
              <w:pStyle w:val="182"/>
            </w:pPr>
            <w:r>
              <w:rPr>
                <w:rFonts w:hint="eastAsia" w:ascii="宋体" w:eastAsia="宋体"/>
                <w:b w:val="0"/>
                <w:bCs w:val="0"/>
                <w:szCs w:val="18"/>
                <w:highlight w:val="none"/>
              </w:rPr>
              <w:t>委托方提供</w:t>
            </w:r>
          </w:p>
        </w:tc>
      </w:tr>
      <w:tr w14:paraId="50E81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F93E258">
            <w:pPr>
              <w:pStyle w:val="182"/>
            </w:pPr>
          </w:p>
        </w:tc>
        <w:tc>
          <w:tcPr>
            <w:tcW w:w="2333" w:type="dxa"/>
            <w:vMerge w:val="restart"/>
            <w:shd w:val="clear" w:color="auto" w:fill="auto"/>
            <w:vAlign w:val="center"/>
          </w:tcPr>
          <w:p w14:paraId="575F10C6">
            <w:pPr>
              <w:pStyle w:val="182"/>
            </w:pPr>
            <w:r>
              <w:rPr>
                <w:rFonts w:hint="eastAsia"/>
                <w:szCs w:val="18"/>
              </w:rPr>
              <w:t>地面痕迹</w:t>
            </w:r>
          </w:p>
        </w:tc>
        <w:tc>
          <w:tcPr>
            <w:tcW w:w="2333" w:type="dxa"/>
            <w:shd w:val="clear" w:color="auto" w:fill="auto"/>
            <w:vAlign w:val="center"/>
          </w:tcPr>
          <w:p w14:paraId="75136EB8">
            <w:pPr>
              <w:pStyle w:val="182"/>
            </w:pPr>
            <w:r>
              <w:rPr>
                <w:rFonts w:hint="eastAsia"/>
                <w:szCs w:val="18"/>
              </w:rPr>
              <w:t>地面轮胎痕迹的种类形状方向、场都、宽度和痕迹中附着物等</w:t>
            </w:r>
          </w:p>
        </w:tc>
        <w:tc>
          <w:tcPr>
            <w:tcW w:w="2334" w:type="dxa"/>
            <w:shd w:val="clear" w:color="auto" w:fill="auto"/>
            <w:vAlign w:val="center"/>
          </w:tcPr>
          <w:p w14:paraId="058B6D2D">
            <w:pPr>
              <w:pStyle w:val="182"/>
            </w:pPr>
            <w:r>
              <w:rPr>
                <w:rFonts w:hint="eastAsia"/>
                <w:szCs w:val="18"/>
                <w:highlight w:val="none"/>
              </w:rPr>
              <w:t>委托方提供</w:t>
            </w:r>
          </w:p>
        </w:tc>
      </w:tr>
      <w:tr w14:paraId="358E9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23603D6">
            <w:pPr>
              <w:pStyle w:val="182"/>
            </w:pPr>
          </w:p>
        </w:tc>
        <w:tc>
          <w:tcPr>
            <w:tcW w:w="2333" w:type="dxa"/>
            <w:vMerge w:val="continue"/>
            <w:shd w:val="clear" w:color="auto" w:fill="auto"/>
            <w:vAlign w:val="center"/>
          </w:tcPr>
          <w:p w14:paraId="1D3E274C">
            <w:pPr>
              <w:pStyle w:val="182"/>
            </w:pPr>
          </w:p>
        </w:tc>
        <w:tc>
          <w:tcPr>
            <w:tcW w:w="2333" w:type="dxa"/>
            <w:shd w:val="clear" w:color="auto" w:fill="auto"/>
            <w:vAlign w:val="center"/>
          </w:tcPr>
          <w:p w14:paraId="74766081">
            <w:pPr>
              <w:pStyle w:val="182"/>
            </w:pPr>
            <w:r>
              <w:rPr>
                <w:rFonts w:hint="eastAsia"/>
                <w:szCs w:val="18"/>
              </w:rPr>
              <w:t>滚印、压印、拖印等分段点相对路面边缘的垂直距离，痕迹与道路中心线的家教。痕迹的话一辆、旋转方向及旋转角度等</w:t>
            </w:r>
          </w:p>
        </w:tc>
        <w:tc>
          <w:tcPr>
            <w:tcW w:w="2334" w:type="dxa"/>
            <w:shd w:val="clear" w:color="auto" w:fill="auto"/>
            <w:vAlign w:val="center"/>
          </w:tcPr>
          <w:p w14:paraId="7C612328">
            <w:pPr>
              <w:pStyle w:val="182"/>
            </w:pPr>
            <w:r>
              <w:rPr>
                <w:rFonts w:hint="eastAsia"/>
                <w:szCs w:val="18"/>
                <w:highlight w:val="none"/>
              </w:rPr>
              <w:t>委托方提供</w:t>
            </w:r>
          </w:p>
        </w:tc>
      </w:tr>
      <w:tr w14:paraId="088579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3B46E86E">
            <w:pPr>
              <w:pStyle w:val="182"/>
            </w:pPr>
          </w:p>
        </w:tc>
        <w:tc>
          <w:tcPr>
            <w:tcW w:w="2333" w:type="dxa"/>
            <w:vMerge w:val="restart"/>
            <w:shd w:val="clear" w:color="auto" w:fill="auto"/>
            <w:vAlign w:val="center"/>
          </w:tcPr>
          <w:p w14:paraId="2A4F8C58">
            <w:pPr>
              <w:pStyle w:val="182"/>
            </w:pPr>
            <w:r>
              <w:rPr>
                <w:rFonts w:hint="eastAsia"/>
                <w:szCs w:val="18"/>
              </w:rPr>
              <w:t>地面物证</w:t>
            </w:r>
          </w:p>
        </w:tc>
        <w:tc>
          <w:tcPr>
            <w:tcW w:w="2333" w:type="dxa"/>
            <w:shd w:val="clear" w:color="auto" w:fill="auto"/>
            <w:vAlign w:val="center"/>
          </w:tcPr>
          <w:p w14:paraId="48C7D147">
            <w:pPr>
              <w:pStyle w:val="182"/>
            </w:pPr>
            <w:r>
              <w:rPr>
                <w:rFonts w:hint="eastAsia"/>
                <w:szCs w:val="18"/>
              </w:rPr>
              <w:t>地面附着物、散落物、遗散物、抛洒物、血迹、生物组织等的钟雷形状颜色及位置关系和分布形态</w:t>
            </w:r>
          </w:p>
        </w:tc>
        <w:tc>
          <w:tcPr>
            <w:tcW w:w="2334" w:type="dxa"/>
            <w:shd w:val="clear" w:color="auto" w:fill="auto"/>
            <w:vAlign w:val="center"/>
          </w:tcPr>
          <w:p w14:paraId="34B46B4F">
            <w:pPr>
              <w:pStyle w:val="182"/>
            </w:pPr>
            <w:r>
              <w:rPr>
                <w:rFonts w:hint="eastAsia"/>
                <w:szCs w:val="18"/>
                <w:highlight w:val="none"/>
              </w:rPr>
              <w:t>委托方提供</w:t>
            </w:r>
          </w:p>
        </w:tc>
      </w:tr>
      <w:tr w14:paraId="39F9D3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038D9917">
            <w:pPr>
              <w:pStyle w:val="182"/>
            </w:pPr>
          </w:p>
        </w:tc>
        <w:tc>
          <w:tcPr>
            <w:tcW w:w="2333" w:type="dxa"/>
            <w:vMerge w:val="continue"/>
            <w:shd w:val="clear" w:color="auto" w:fill="auto"/>
            <w:vAlign w:val="center"/>
          </w:tcPr>
          <w:p w14:paraId="6A36B296">
            <w:pPr>
              <w:pStyle w:val="182"/>
            </w:pPr>
          </w:p>
        </w:tc>
        <w:tc>
          <w:tcPr>
            <w:tcW w:w="2333" w:type="dxa"/>
            <w:shd w:val="clear" w:color="auto" w:fill="auto"/>
            <w:vAlign w:val="center"/>
          </w:tcPr>
          <w:p w14:paraId="4F6E1D47">
            <w:pPr>
              <w:pStyle w:val="182"/>
            </w:pPr>
            <w:r>
              <w:rPr>
                <w:rFonts w:hint="eastAsia"/>
                <w:szCs w:val="18"/>
              </w:rPr>
              <w:t>脱落的零部件及碎片表面痕迹及断口形态</w:t>
            </w:r>
          </w:p>
        </w:tc>
        <w:tc>
          <w:tcPr>
            <w:tcW w:w="2334" w:type="dxa"/>
            <w:shd w:val="clear" w:color="auto" w:fill="auto"/>
            <w:vAlign w:val="center"/>
          </w:tcPr>
          <w:p w14:paraId="4E65FF23">
            <w:pPr>
              <w:pStyle w:val="182"/>
            </w:pPr>
            <w:r>
              <w:rPr>
                <w:rFonts w:hint="eastAsia"/>
                <w:szCs w:val="18"/>
                <w:highlight w:val="none"/>
              </w:rPr>
              <w:t>委托方提供</w:t>
            </w:r>
          </w:p>
        </w:tc>
      </w:tr>
      <w:tr w14:paraId="2F3C3E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4031FF01">
            <w:pPr>
              <w:pStyle w:val="182"/>
            </w:pPr>
          </w:p>
        </w:tc>
        <w:tc>
          <w:tcPr>
            <w:tcW w:w="2333" w:type="dxa"/>
            <w:vMerge w:val="continue"/>
            <w:shd w:val="clear" w:color="auto" w:fill="auto"/>
            <w:vAlign w:val="center"/>
          </w:tcPr>
          <w:p w14:paraId="5910987D">
            <w:pPr>
              <w:pStyle w:val="182"/>
            </w:pPr>
          </w:p>
        </w:tc>
        <w:tc>
          <w:tcPr>
            <w:tcW w:w="2333" w:type="dxa"/>
            <w:shd w:val="clear" w:color="auto" w:fill="auto"/>
            <w:vAlign w:val="center"/>
          </w:tcPr>
          <w:p w14:paraId="6CB6C60E">
            <w:pPr>
              <w:pStyle w:val="182"/>
            </w:pPr>
            <w:r>
              <w:rPr>
                <w:rFonts w:hint="eastAsia"/>
                <w:szCs w:val="18"/>
              </w:rPr>
              <w:t>附着物、散落物的其实位置、着地方向和终点位置</w:t>
            </w:r>
          </w:p>
        </w:tc>
        <w:tc>
          <w:tcPr>
            <w:tcW w:w="2334" w:type="dxa"/>
            <w:shd w:val="clear" w:color="auto" w:fill="auto"/>
            <w:vAlign w:val="center"/>
          </w:tcPr>
          <w:p w14:paraId="3AD8EE56">
            <w:pPr>
              <w:pStyle w:val="182"/>
            </w:pPr>
            <w:r>
              <w:rPr>
                <w:rFonts w:hint="eastAsia"/>
                <w:szCs w:val="18"/>
                <w:highlight w:val="none"/>
              </w:rPr>
              <w:t>委托方提供</w:t>
            </w:r>
          </w:p>
        </w:tc>
      </w:tr>
      <w:tr w14:paraId="79317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restart"/>
            <w:shd w:val="clear" w:color="auto" w:fill="auto"/>
            <w:vAlign w:val="center"/>
          </w:tcPr>
          <w:p w14:paraId="3540EA20">
            <w:pPr>
              <w:pStyle w:val="182"/>
            </w:pPr>
            <w:r>
              <w:rPr>
                <w:rFonts w:hint="eastAsia"/>
              </w:rPr>
              <w:t>道路与环境信息</w:t>
            </w:r>
          </w:p>
        </w:tc>
        <w:tc>
          <w:tcPr>
            <w:tcW w:w="2333" w:type="dxa"/>
            <w:shd w:val="clear" w:color="auto" w:fill="auto"/>
            <w:vAlign w:val="center"/>
          </w:tcPr>
          <w:p w14:paraId="1662B04F">
            <w:pPr>
              <w:pStyle w:val="182"/>
            </w:pPr>
            <w:r>
              <w:rPr>
                <w:rFonts w:hint="eastAsia"/>
                <w:szCs w:val="18"/>
              </w:rPr>
              <w:t>路网拓扑</w:t>
            </w:r>
          </w:p>
        </w:tc>
        <w:tc>
          <w:tcPr>
            <w:tcW w:w="2333" w:type="dxa"/>
            <w:shd w:val="clear" w:color="auto" w:fill="auto"/>
            <w:vAlign w:val="center"/>
          </w:tcPr>
          <w:p w14:paraId="631282A4">
            <w:pPr>
              <w:pStyle w:val="182"/>
            </w:pPr>
            <w:r>
              <w:rPr>
                <w:rFonts w:hint="eastAsia"/>
                <w:szCs w:val="18"/>
              </w:rPr>
              <w:t>道路数目、道路编号、交叉口</w:t>
            </w:r>
          </w:p>
        </w:tc>
        <w:tc>
          <w:tcPr>
            <w:tcW w:w="2334" w:type="dxa"/>
            <w:shd w:val="clear" w:color="auto" w:fill="auto"/>
            <w:vAlign w:val="center"/>
          </w:tcPr>
          <w:p w14:paraId="582AB368">
            <w:pPr>
              <w:pStyle w:val="182"/>
            </w:pPr>
            <w:r>
              <w:rPr>
                <w:rFonts w:hint="eastAsia"/>
                <w:szCs w:val="18"/>
                <w:highlight w:val="none"/>
              </w:rPr>
              <w:t>现场勘验获得</w:t>
            </w:r>
          </w:p>
        </w:tc>
      </w:tr>
      <w:tr w14:paraId="0D2904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8C32D63">
            <w:pPr>
              <w:pStyle w:val="182"/>
            </w:pPr>
          </w:p>
        </w:tc>
        <w:tc>
          <w:tcPr>
            <w:tcW w:w="2333" w:type="dxa"/>
            <w:shd w:val="clear" w:color="auto" w:fill="auto"/>
            <w:vAlign w:val="center"/>
          </w:tcPr>
          <w:p w14:paraId="72B13934">
            <w:pPr>
              <w:pStyle w:val="182"/>
            </w:pPr>
            <w:r>
              <w:rPr>
                <w:rFonts w:hint="eastAsia"/>
                <w:szCs w:val="18"/>
              </w:rPr>
              <w:t>道路特征</w:t>
            </w:r>
          </w:p>
        </w:tc>
        <w:tc>
          <w:tcPr>
            <w:tcW w:w="2333" w:type="dxa"/>
            <w:shd w:val="clear" w:color="auto" w:fill="auto"/>
            <w:vAlign w:val="center"/>
          </w:tcPr>
          <w:p w14:paraId="13EC850B">
            <w:pPr>
              <w:pStyle w:val="182"/>
            </w:pPr>
            <w:r>
              <w:rPr>
                <w:rFonts w:hint="eastAsia"/>
                <w:szCs w:val="18"/>
              </w:rPr>
              <w:t>起点/终点、车道数、车道宽、曲率半径、坡度</w:t>
            </w:r>
          </w:p>
        </w:tc>
        <w:tc>
          <w:tcPr>
            <w:tcW w:w="2334" w:type="dxa"/>
            <w:shd w:val="clear" w:color="auto" w:fill="auto"/>
            <w:vAlign w:val="center"/>
          </w:tcPr>
          <w:p w14:paraId="73B8A1ED">
            <w:pPr>
              <w:pStyle w:val="182"/>
            </w:pPr>
            <w:r>
              <w:rPr>
                <w:rFonts w:hint="eastAsia"/>
                <w:szCs w:val="18"/>
                <w:highlight w:val="none"/>
              </w:rPr>
              <w:t>现场勘验获得</w:t>
            </w:r>
          </w:p>
        </w:tc>
      </w:tr>
      <w:tr w14:paraId="0D8A4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9999357">
            <w:pPr>
              <w:pStyle w:val="182"/>
            </w:pPr>
          </w:p>
        </w:tc>
        <w:tc>
          <w:tcPr>
            <w:tcW w:w="2333" w:type="dxa"/>
            <w:shd w:val="clear" w:color="auto" w:fill="auto"/>
            <w:vAlign w:val="center"/>
          </w:tcPr>
          <w:p w14:paraId="13B660DA">
            <w:pPr>
              <w:pStyle w:val="182"/>
            </w:pPr>
            <w:r>
              <w:rPr>
                <w:rFonts w:hint="eastAsia"/>
                <w:szCs w:val="18"/>
              </w:rPr>
              <w:t>道路表面特质</w:t>
            </w:r>
          </w:p>
        </w:tc>
        <w:tc>
          <w:tcPr>
            <w:tcW w:w="2333" w:type="dxa"/>
            <w:shd w:val="clear" w:color="auto" w:fill="auto"/>
            <w:vAlign w:val="center"/>
          </w:tcPr>
          <w:p w14:paraId="56AE4291">
            <w:pPr>
              <w:pStyle w:val="182"/>
            </w:pPr>
            <w:r>
              <w:rPr>
                <w:rFonts w:hint="eastAsia"/>
                <w:szCs w:val="18"/>
              </w:rPr>
              <w:t>材料、粗糙度、纹理、反射特性</w:t>
            </w:r>
          </w:p>
        </w:tc>
        <w:tc>
          <w:tcPr>
            <w:tcW w:w="2334" w:type="dxa"/>
            <w:shd w:val="clear" w:color="auto" w:fill="auto"/>
            <w:vAlign w:val="center"/>
          </w:tcPr>
          <w:p w14:paraId="763C976E">
            <w:pPr>
              <w:pStyle w:val="182"/>
            </w:pPr>
            <w:r>
              <w:rPr>
                <w:rFonts w:hint="eastAsia"/>
                <w:szCs w:val="18"/>
                <w:highlight w:val="none"/>
              </w:rPr>
              <w:t>委托方提供</w:t>
            </w:r>
          </w:p>
        </w:tc>
      </w:tr>
      <w:tr w14:paraId="63625D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0BCF1F95">
            <w:pPr>
              <w:pStyle w:val="182"/>
            </w:pPr>
          </w:p>
        </w:tc>
        <w:tc>
          <w:tcPr>
            <w:tcW w:w="2333" w:type="dxa"/>
            <w:shd w:val="clear" w:color="auto" w:fill="auto"/>
            <w:vAlign w:val="center"/>
          </w:tcPr>
          <w:p w14:paraId="23FB4C2E">
            <w:pPr>
              <w:pStyle w:val="182"/>
            </w:pPr>
            <w:r>
              <w:rPr>
                <w:rFonts w:hint="eastAsia"/>
                <w:szCs w:val="18"/>
              </w:rPr>
              <w:t>车道线</w:t>
            </w:r>
          </w:p>
        </w:tc>
        <w:tc>
          <w:tcPr>
            <w:tcW w:w="2333" w:type="dxa"/>
            <w:shd w:val="clear" w:color="auto" w:fill="auto"/>
            <w:vAlign w:val="center"/>
          </w:tcPr>
          <w:p w14:paraId="7AA64B43">
            <w:pPr>
              <w:pStyle w:val="182"/>
            </w:pPr>
            <w:r>
              <w:rPr>
                <w:rFonts w:hint="eastAsia"/>
                <w:szCs w:val="18"/>
              </w:rPr>
              <w:t>线型、宽度、颜色</w:t>
            </w:r>
          </w:p>
        </w:tc>
        <w:tc>
          <w:tcPr>
            <w:tcW w:w="2334" w:type="dxa"/>
            <w:shd w:val="clear" w:color="auto" w:fill="auto"/>
            <w:vAlign w:val="center"/>
          </w:tcPr>
          <w:p w14:paraId="58A23F47">
            <w:pPr>
              <w:pStyle w:val="182"/>
            </w:pPr>
            <w:r>
              <w:rPr>
                <w:rFonts w:hint="eastAsia"/>
                <w:szCs w:val="18"/>
              </w:rPr>
              <w:t>现场勘查获得</w:t>
            </w:r>
          </w:p>
        </w:tc>
      </w:tr>
      <w:tr w14:paraId="5B55D7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4F97FEBB">
            <w:pPr>
              <w:pStyle w:val="182"/>
            </w:pPr>
          </w:p>
        </w:tc>
        <w:tc>
          <w:tcPr>
            <w:tcW w:w="2333" w:type="dxa"/>
            <w:shd w:val="clear" w:color="auto" w:fill="auto"/>
            <w:vAlign w:val="center"/>
          </w:tcPr>
          <w:p w14:paraId="15142B52">
            <w:pPr>
              <w:pStyle w:val="182"/>
            </w:pPr>
            <w:r>
              <w:rPr>
                <w:rFonts w:hint="eastAsia"/>
                <w:szCs w:val="18"/>
              </w:rPr>
              <w:t>交通标识</w:t>
            </w:r>
          </w:p>
        </w:tc>
        <w:tc>
          <w:tcPr>
            <w:tcW w:w="2333" w:type="dxa"/>
            <w:shd w:val="clear" w:color="auto" w:fill="auto"/>
            <w:vAlign w:val="center"/>
          </w:tcPr>
          <w:p w14:paraId="41CEA508">
            <w:pPr>
              <w:pStyle w:val="182"/>
            </w:pPr>
            <w:r>
              <w:rPr>
                <w:rFonts w:hint="eastAsia"/>
                <w:szCs w:val="18"/>
              </w:rPr>
              <w:t>交通标志、标线、标牌</w:t>
            </w:r>
          </w:p>
        </w:tc>
        <w:tc>
          <w:tcPr>
            <w:tcW w:w="2334" w:type="dxa"/>
            <w:shd w:val="clear" w:color="auto" w:fill="auto"/>
            <w:vAlign w:val="center"/>
          </w:tcPr>
          <w:p w14:paraId="2F9DFF3F">
            <w:pPr>
              <w:pStyle w:val="182"/>
            </w:pPr>
            <w:r>
              <w:rPr>
                <w:rFonts w:hint="eastAsia"/>
                <w:szCs w:val="18"/>
              </w:rPr>
              <w:t>现场勘查获得</w:t>
            </w:r>
          </w:p>
        </w:tc>
      </w:tr>
      <w:tr w14:paraId="564602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073810A8">
            <w:pPr>
              <w:pStyle w:val="182"/>
            </w:pPr>
          </w:p>
        </w:tc>
        <w:tc>
          <w:tcPr>
            <w:tcW w:w="2333" w:type="dxa"/>
            <w:shd w:val="clear" w:color="auto" w:fill="auto"/>
            <w:vAlign w:val="center"/>
          </w:tcPr>
          <w:p w14:paraId="0CE3AC64">
            <w:pPr>
              <w:pStyle w:val="182"/>
            </w:pPr>
            <w:r>
              <w:rPr>
                <w:rFonts w:hint="eastAsia"/>
                <w:szCs w:val="18"/>
              </w:rPr>
              <w:t>交通信号灯</w:t>
            </w:r>
          </w:p>
        </w:tc>
        <w:tc>
          <w:tcPr>
            <w:tcW w:w="2333" w:type="dxa"/>
            <w:shd w:val="clear" w:color="auto" w:fill="auto"/>
            <w:vAlign w:val="center"/>
          </w:tcPr>
          <w:p w14:paraId="15592404">
            <w:pPr>
              <w:pStyle w:val="182"/>
            </w:pPr>
            <w:r>
              <w:rPr>
                <w:rFonts w:hint="eastAsia"/>
                <w:szCs w:val="18"/>
              </w:rPr>
              <w:t>朝向、位置、灯态、周期时间</w:t>
            </w:r>
          </w:p>
        </w:tc>
        <w:tc>
          <w:tcPr>
            <w:tcW w:w="2334" w:type="dxa"/>
            <w:shd w:val="clear" w:color="auto" w:fill="auto"/>
            <w:vAlign w:val="center"/>
          </w:tcPr>
          <w:p w14:paraId="17C75CF6">
            <w:pPr>
              <w:pStyle w:val="182"/>
            </w:pPr>
            <w:r>
              <w:rPr>
                <w:rFonts w:hint="eastAsia"/>
                <w:szCs w:val="18"/>
              </w:rPr>
              <w:t>现场勘查获得</w:t>
            </w:r>
          </w:p>
        </w:tc>
      </w:tr>
      <w:tr w14:paraId="056CD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56ED7189">
            <w:pPr>
              <w:pStyle w:val="182"/>
            </w:pPr>
          </w:p>
        </w:tc>
        <w:tc>
          <w:tcPr>
            <w:tcW w:w="2333" w:type="dxa"/>
            <w:shd w:val="clear" w:color="auto" w:fill="auto"/>
            <w:vAlign w:val="center"/>
          </w:tcPr>
          <w:p w14:paraId="6E297580">
            <w:pPr>
              <w:pStyle w:val="182"/>
            </w:pPr>
            <w:r>
              <w:rPr>
                <w:rFonts w:hint="eastAsia"/>
                <w:szCs w:val="18"/>
              </w:rPr>
              <w:t>道路设施</w:t>
            </w:r>
          </w:p>
        </w:tc>
        <w:tc>
          <w:tcPr>
            <w:tcW w:w="2333" w:type="dxa"/>
            <w:shd w:val="clear" w:color="auto" w:fill="auto"/>
            <w:vAlign w:val="center"/>
          </w:tcPr>
          <w:p w14:paraId="478D9C72">
            <w:pPr>
              <w:pStyle w:val="182"/>
            </w:pPr>
            <w:r>
              <w:rPr>
                <w:rFonts w:hint="eastAsia"/>
                <w:szCs w:val="18"/>
              </w:rPr>
              <w:t>护栏（高度，形状等），硬路肩，隔离带等</w:t>
            </w:r>
          </w:p>
        </w:tc>
        <w:tc>
          <w:tcPr>
            <w:tcW w:w="2334" w:type="dxa"/>
            <w:shd w:val="clear" w:color="auto" w:fill="auto"/>
            <w:vAlign w:val="center"/>
          </w:tcPr>
          <w:p w14:paraId="1EB79F74">
            <w:pPr>
              <w:pStyle w:val="182"/>
            </w:pPr>
            <w:r>
              <w:rPr>
                <w:rFonts w:hint="eastAsia"/>
                <w:szCs w:val="18"/>
              </w:rPr>
              <w:t>现场勘查获得</w:t>
            </w:r>
          </w:p>
        </w:tc>
      </w:tr>
      <w:tr w14:paraId="3B350A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3B8299C9">
            <w:pPr>
              <w:pStyle w:val="182"/>
            </w:pPr>
          </w:p>
        </w:tc>
        <w:tc>
          <w:tcPr>
            <w:tcW w:w="2333" w:type="dxa"/>
            <w:shd w:val="clear" w:color="auto" w:fill="auto"/>
            <w:vAlign w:val="center"/>
          </w:tcPr>
          <w:p w14:paraId="1C52973A">
            <w:pPr>
              <w:pStyle w:val="182"/>
            </w:pPr>
            <w:r>
              <w:rPr>
                <w:rFonts w:hint="eastAsia"/>
                <w:szCs w:val="18"/>
              </w:rPr>
              <w:t>光照</w:t>
            </w:r>
          </w:p>
        </w:tc>
        <w:tc>
          <w:tcPr>
            <w:tcW w:w="2333" w:type="dxa"/>
            <w:shd w:val="clear" w:color="auto" w:fill="auto"/>
            <w:vAlign w:val="center"/>
          </w:tcPr>
          <w:p w14:paraId="2780526E">
            <w:pPr>
              <w:pStyle w:val="182"/>
            </w:pPr>
            <w:r>
              <w:rPr>
                <w:rFonts w:hint="eastAsia"/>
                <w:szCs w:val="18"/>
              </w:rPr>
              <w:t>强度、颜色、方位</w:t>
            </w:r>
          </w:p>
        </w:tc>
        <w:tc>
          <w:tcPr>
            <w:tcW w:w="2334" w:type="dxa"/>
            <w:shd w:val="clear" w:color="auto" w:fill="auto"/>
            <w:vAlign w:val="center"/>
          </w:tcPr>
          <w:p w14:paraId="00E70EF2">
            <w:pPr>
              <w:pStyle w:val="182"/>
            </w:pPr>
            <w:r>
              <w:rPr>
                <w:rFonts w:hint="eastAsia"/>
                <w:szCs w:val="18"/>
                <w:highlight w:val="none"/>
              </w:rPr>
              <w:t>委托方提供</w:t>
            </w:r>
          </w:p>
        </w:tc>
      </w:tr>
      <w:tr w14:paraId="391BBF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CD6CC6E">
            <w:pPr>
              <w:pStyle w:val="182"/>
            </w:pPr>
          </w:p>
        </w:tc>
        <w:tc>
          <w:tcPr>
            <w:tcW w:w="2333" w:type="dxa"/>
            <w:shd w:val="clear" w:color="auto" w:fill="auto"/>
            <w:vAlign w:val="center"/>
          </w:tcPr>
          <w:p w14:paraId="576D9072">
            <w:pPr>
              <w:pStyle w:val="182"/>
            </w:pPr>
            <w:r>
              <w:rPr>
                <w:rFonts w:hint="eastAsia"/>
                <w:szCs w:val="18"/>
              </w:rPr>
              <w:t>天气</w:t>
            </w:r>
          </w:p>
        </w:tc>
        <w:tc>
          <w:tcPr>
            <w:tcW w:w="2333" w:type="dxa"/>
            <w:shd w:val="clear" w:color="auto" w:fill="auto"/>
            <w:vAlign w:val="center"/>
          </w:tcPr>
          <w:p w14:paraId="214B4241">
            <w:pPr>
              <w:pStyle w:val="182"/>
            </w:pPr>
            <w:r>
              <w:rPr>
                <w:rFonts w:hint="eastAsia"/>
                <w:szCs w:val="18"/>
              </w:rPr>
              <w:t>包括能见度、范围、湿度、密度；雨雪的降水量、湿度；风的强度、方向</w:t>
            </w:r>
          </w:p>
        </w:tc>
        <w:tc>
          <w:tcPr>
            <w:tcW w:w="2334" w:type="dxa"/>
            <w:shd w:val="clear" w:color="auto" w:fill="auto"/>
            <w:vAlign w:val="center"/>
          </w:tcPr>
          <w:p w14:paraId="5F396D1C">
            <w:pPr>
              <w:pStyle w:val="182"/>
            </w:pPr>
            <w:r>
              <w:rPr>
                <w:rFonts w:hint="eastAsia"/>
                <w:szCs w:val="18"/>
                <w:highlight w:val="none"/>
              </w:rPr>
              <w:t>委托方提供</w:t>
            </w:r>
          </w:p>
        </w:tc>
      </w:tr>
      <w:tr w14:paraId="7FDAD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restart"/>
            <w:shd w:val="clear" w:color="auto" w:fill="auto"/>
            <w:vAlign w:val="center"/>
          </w:tcPr>
          <w:p w14:paraId="788FC7FA">
            <w:pPr>
              <w:pStyle w:val="182"/>
            </w:pPr>
            <w:r>
              <w:rPr>
                <w:rFonts w:hint="eastAsia"/>
                <w:szCs w:val="18"/>
              </w:rPr>
              <w:t>车辆信息</w:t>
            </w:r>
          </w:p>
        </w:tc>
        <w:tc>
          <w:tcPr>
            <w:tcW w:w="2333" w:type="dxa"/>
            <w:vMerge w:val="restart"/>
            <w:shd w:val="clear" w:color="auto" w:fill="auto"/>
            <w:vAlign w:val="center"/>
          </w:tcPr>
          <w:p w14:paraId="3EF7C086">
            <w:pPr>
              <w:pStyle w:val="182"/>
            </w:pPr>
            <w:r>
              <w:rPr>
                <w:rFonts w:hint="eastAsia"/>
                <w:szCs w:val="18"/>
              </w:rPr>
              <w:t>车体痕迹</w:t>
            </w:r>
          </w:p>
        </w:tc>
        <w:tc>
          <w:tcPr>
            <w:tcW w:w="2333" w:type="dxa"/>
            <w:shd w:val="clear" w:color="auto" w:fill="auto"/>
            <w:vAlign w:val="center"/>
          </w:tcPr>
          <w:p w14:paraId="41A1B483">
            <w:pPr>
              <w:pStyle w:val="182"/>
            </w:pPr>
            <w:r>
              <w:rPr>
                <w:rFonts w:hint="eastAsia"/>
                <w:szCs w:val="18"/>
              </w:rPr>
              <w:t>车体上的各种痕迹所在部位及长度、宽度、凹陷程度</w:t>
            </w:r>
          </w:p>
        </w:tc>
        <w:tc>
          <w:tcPr>
            <w:tcW w:w="2334" w:type="dxa"/>
            <w:shd w:val="clear" w:color="auto" w:fill="auto"/>
            <w:vAlign w:val="center"/>
          </w:tcPr>
          <w:p w14:paraId="7396EBA4">
            <w:pPr>
              <w:pStyle w:val="182"/>
            </w:pPr>
            <w:r>
              <w:rPr>
                <w:rFonts w:hint="eastAsia"/>
                <w:szCs w:val="18"/>
                <w:highlight w:val="none"/>
              </w:rPr>
              <w:t>委托方提供</w:t>
            </w:r>
          </w:p>
        </w:tc>
      </w:tr>
      <w:tr w14:paraId="2F61B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0A259C7F">
            <w:pPr>
              <w:pStyle w:val="182"/>
            </w:pPr>
          </w:p>
        </w:tc>
        <w:tc>
          <w:tcPr>
            <w:tcW w:w="2333" w:type="dxa"/>
            <w:vMerge w:val="continue"/>
            <w:shd w:val="clear" w:color="auto" w:fill="auto"/>
            <w:vAlign w:val="center"/>
          </w:tcPr>
          <w:p w14:paraId="5FF179BE">
            <w:pPr>
              <w:pStyle w:val="182"/>
            </w:pPr>
          </w:p>
        </w:tc>
        <w:tc>
          <w:tcPr>
            <w:tcW w:w="2333" w:type="dxa"/>
            <w:shd w:val="clear" w:color="auto" w:fill="auto"/>
            <w:vAlign w:val="center"/>
          </w:tcPr>
          <w:p w14:paraId="4DD86469">
            <w:pPr>
              <w:pStyle w:val="182"/>
            </w:pPr>
            <w:r>
              <w:rPr>
                <w:rFonts w:hint="eastAsia"/>
                <w:szCs w:val="18"/>
              </w:rPr>
              <w:t>车辆部件的损坏、断裂、变形</w:t>
            </w:r>
          </w:p>
        </w:tc>
        <w:tc>
          <w:tcPr>
            <w:tcW w:w="2334" w:type="dxa"/>
            <w:shd w:val="clear" w:color="auto" w:fill="auto"/>
            <w:vAlign w:val="center"/>
          </w:tcPr>
          <w:p w14:paraId="0190E9B0">
            <w:pPr>
              <w:pStyle w:val="182"/>
            </w:pPr>
            <w:r>
              <w:rPr>
                <w:rFonts w:hint="eastAsia"/>
                <w:szCs w:val="18"/>
                <w:highlight w:val="none"/>
              </w:rPr>
              <w:t>委托方提供</w:t>
            </w:r>
          </w:p>
        </w:tc>
      </w:tr>
      <w:tr w14:paraId="07CE83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5345A82C">
            <w:pPr>
              <w:pStyle w:val="182"/>
            </w:pPr>
          </w:p>
        </w:tc>
        <w:tc>
          <w:tcPr>
            <w:tcW w:w="2333" w:type="dxa"/>
            <w:shd w:val="clear" w:color="auto" w:fill="auto"/>
            <w:vAlign w:val="center"/>
          </w:tcPr>
          <w:p w14:paraId="32517837">
            <w:pPr>
              <w:pStyle w:val="182"/>
            </w:pPr>
            <w:r>
              <w:rPr>
                <w:rFonts w:hint="eastAsia"/>
                <w:szCs w:val="18"/>
              </w:rPr>
              <w:t>驾乘人员和车内物体</w:t>
            </w:r>
          </w:p>
        </w:tc>
        <w:tc>
          <w:tcPr>
            <w:tcW w:w="2333" w:type="dxa"/>
            <w:shd w:val="clear" w:color="auto" w:fill="auto"/>
            <w:vAlign w:val="center"/>
          </w:tcPr>
          <w:p w14:paraId="7A7D9810">
            <w:pPr>
              <w:pStyle w:val="182"/>
            </w:pPr>
            <w:r>
              <w:rPr>
                <w:rFonts w:hint="eastAsia"/>
                <w:szCs w:val="18"/>
              </w:rPr>
              <w:t>驾乘人员的数量、基本特征、约束状态、安全带使用情况等及车内物体的摆放位置、重量等</w:t>
            </w:r>
          </w:p>
        </w:tc>
        <w:tc>
          <w:tcPr>
            <w:tcW w:w="2334" w:type="dxa"/>
            <w:shd w:val="clear" w:color="auto" w:fill="auto"/>
            <w:vAlign w:val="center"/>
          </w:tcPr>
          <w:p w14:paraId="3F3FA5F5">
            <w:pPr>
              <w:pStyle w:val="182"/>
            </w:pPr>
            <w:r>
              <w:rPr>
                <w:rFonts w:hint="eastAsia"/>
                <w:szCs w:val="18"/>
                <w:highlight w:val="none"/>
              </w:rPr>
              <w:t>委托方提供</w:t>
            </w:r>
          </w:p>
        </w:tc>
      </w:tr>
      <w:tr w14:paraId="108449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18974A4C">
            <w:pPr>
              <w:pStyle w:val="182"/>
            </w:pPr>
          </w:p>
        </w:tc>
        <w:tc>
          <w:tcPr>
            <w:tcW w:w="2333" w:type="dxa"/>
            <w:shd w:val="clear" w:color="auto" w:fill="auto"/>
            <w:vAlign w:val="center"/>
          </w:tcPr>
          <w:p w14:paraId="7F0A110F">
            <w:pPr>
              <w:pStyle w:val="182"/>
            </w:pPr>
            <w:r>
              <w:rPr>
                <w:rFonts w:hint="eastAsia"/>
                <w:szCs w:val="18"/>
              </w:rPr>
              <w:t>车辆基本参数</w:t>
            </w:r>
          </w:p>
        </w:tc>
        <w:tc>
          <w:tcPr>
            <w:tcW w:w="2333" w:type="dxa"/>
            <w:shd w:val="clear" w:color="auto" w:fill="auto"/>
            <w:vAlign w:val="center"/>
          </w:tcPr>
          <w:p w14:paraId="403D6948">
            <w:pPr>
              <w:pStyle w:val="182"/>
            </w:pPr>
            <w:r>
              <w:rPr>
                <w:rFonts w:hint="eastAsia"/>
                <w:szCs w:val="18"/>
              </w:rPr>
              <w:t>车辆的基本尺寸(长、宽、高、轴距、轮距)、质量</w:t>
            </w:r>
          </w:p>
        </w:tc>
        <w:tc>
          <w:tcPr>
            <w:tcW w:w="2334" w:type="dxa"/>
            <w:shd w:val="clear" w:color="auto" w:fill="auto"/>
            <w:vAlign w:val="center"/>
          </w:tcPr>
          <w:p w14:paraId="0EFCBA50">
            <w:pPr>
              <w:pStyle w:val="182"/>
            </w:pPr>
            <w:r>
              <w:rPr>
                <w:rFonts w:hint="eastAsia"/>
                <w:szCs w:val="18"/>
              </w:rPr>
              <w:t>现场勘察获得</w:t>
            </w:r>
          </w:p>
        </w:tc>
      </w:tr>
      <w:tr w14:paraId="6A69B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3E0A8D85">
            <w:pPr>
              <w:pStyle w:val="182"/>
            </w:pPr>
          </w:p>
        </w:tc>
        <w:tc>
          <w:tcPr>
            <w:tcW w:w="2333" w:type="dxa"/>
            <w:shd w:val="clear" w:color="auto" w:fill="auto"/>
            <w:vAlign w:val="center"/>
          </w:tcPr>
          <w:p w14:paraId="35E3F8D7">
            <w:pPr>
              <w:pStyle w:val="182"/>
            </w:pPr>
            <w:r>
              <w:rPr>
                <w:rFonts w:hint="eastAsia"/>
                <w:szCs w:val="18"/>
              </w:rPr>
              <w:t>汽车几何参数</w:t>
            </w:r>
          </w:p>
        </w:tc>
        <w:tc>
          <w:tcPr>
            <w:tcW w:w="2333" w:type="dxa"/>
            <w:shd w:val="clear" w:color="auto" w:fill="auto"/>
            <w:vAlign w:val="center"/>
          </w:tcPr>
          <w:p w14:paraId="05CE1B90">
            <w:pPr>
              <w:pStyle w:val="182"/>
            </w:pPr>
            <w:r>
              <w:rPr>
                <w:rFonts w:hint="eastAsia"/>
                <w:szCs w:val="18"/>
              </w:rPr>
              <w:t>车辆的位置、方位角、碰撞点、路面接触区域、散落物分布的范围、及翻转距离、车辆运动轨迹路线</w:t>
            </w:r>
          </w:p>
        </w:tc>
        <w:tc>
          <w:tcPr>
            <w:tcW w:w="2334" w:type="dxa"/>
            <w:shd w:val="clear" w:color="auto" w:fill="auto"/>
            <w:vAlign w:val="center"/>
          </w:tcPr>
          <w:p w14:paraId="4F04136A">
            <w:pPr>
              <w:pStyle w:val="182"/>
            </w:pPr>
            <w:r>
              <w:rPr>
                <w:rFonts w:hint="eastAsia"/>
                <w:szCs w:val="18"/>
              </w:rPr>
              <w:t>现场勘察获得</w:t>
            </w:r>
          </w:p>
        </w:tc>
      </w:tr>
      <w:tr w14:paraId="505004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532F665">
            <w:pPr>
              <w:pStyle w:val="182"/>
            </w:pPr>
          </w:p>
        </w:tc>
        <w:tc>
          <w:tcPr>
            <w:tcW w:w="2333" w:type="dxa"/>
            <w:shd w:val="clear" w:color="auto" w:fill="auto"/>
            <w:vAlign w:val="center"/>
          </w:tcPr>
          <w:p w14:paraId="3F23646C">
            <w:pPr>
              <w:pStyle w:val="182"/>
            </w:pPr>
          </w:p>
        </w:tc>
        <w:tc>
          <w:tcPr>
            <w:tcW w:w="2333" w:type="dxa"/>
            <w:shd w:val="clear" w:color="auto" w:fill="auto"/>
            <w:vAlign w:val="center"/>
          </w:tcPr>
          <w:p w14:paraId="4BD05415">
            <w:pPr>
              <w:pStyle w:val="182"/>
            </w:pPr>
          </w:p>
        </w:tc>
        <w:tc>
          <w:tcPr>
            <w:tcW w:w="2334" w:type="dxa"/>
            <w:shd w:val="clear" w:color="auto" w:fill="auto"/>
            <w:vAlign w:val="center"/>
          </w:tcPr>
          <w:p w14:paraId="12368319">
            <w:pPr>
              <w:pStyle w:val="182"/>
            </w:pPr>
          </w:p>
        </w:tc>
      </w:tr>
      <w:tr w14:paraId="43E79E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8D94CA4">
            <w:pPr>
              <w:pStyle w:val="182"/>
            </w:pPr>
          </w:p>
        </w:tc>
        <w:tc>
          <w:tcPr>
            <w:tcW w:w="2333" w:type="dxa"/>
            <w:shd w:val="clear" w:color="auto" w:fill="auto"/>
            <w:vAlign w:val="center"/>
          </w:tcPr>
          <w:p w14:paraId="335DFBEE">
            <w:pPr>
              <w:pStyle w:val="182"/>
            </w:pPr>
            <w:r>
              <w:rPr>
                <w:rFonts w:hint="eastAsia"/>
                <w:szCs w:val="18"/>
              </w:rPr>
              <w:t>碰撞参数</w:t>
            </w:r>
          </w:p>
        </w:tc>
        <w:tc>
          <w:tcPr>
            <w:tcW w:w="2333" w:type="dxa"/>
            <w:shd w:val="clear" w:color="auto" w:fill="auto"/>
            <w:vAlign w:val="center"/>
          </w:tcPr>
          <w:p w14:paraId="3796B6D3">
            <w:pPr>
              <w:pStyle w:val="182"/>
            </w:pPr>
            <w:r>
              <w:rPr>
                <w:rFonts w:hint="eastAsia"/>
                <w:szCs w:val="18"/>
              </w:rPr>
              <w:t>车辆碰撞点位置、接触面、方位角、车体碰撞点的长度、宽度和高度、变形量以及碰撞冲量方向等</w:t>
            </w:r>
          </w:p>
        </w:tc>
        <w:tc>
          <w:tcPr>
            <w:tcW w:w="2334" w:type="dxa"/>
            <w:shd w:val="clear" w:color="auto" w:fill="auto"/>
            <w:vAlign w:val="center"/>
          </w:tcPr>
          <w:p w14:paraId="2BF07C91">
            <w:pPr>
              <w:pStyle w:val="182"/>
            </w:pPr>
            <w:r>
              <w:rPr>
                <w:rFonts w:hint="eastAsia"/>
                <w:szCs w:val="18"/>
              </w:rPr>
              <w:t>现场勘察获得</w:t>
            </w:r>
          </w:p>
        </w:tc>
      </w:tr>
      <w:tr w14:paraId="2E0265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7AC9DA3">
            <w:pPr>
              <w:pStyle w:val="182"/>
            </w:pPr>
          </w:p>
        </w:tc>
        <w:tc>
          <w:tcPr>
            <w:tcW w:w="2333" w:type="dxa"/>
            <w:shd w:val="clear" w:color="auto" w:fill="auto"/>
            <w:vAlign w:val="center"/>
          </w:tcPr>
          <w:p w14:paraId="242835E8">
            <w:pPr>
              <w:pStyle w:val="182"/>
            </w:pPr>
            <w:r>
              <w:rPr>
                <w:rFonts w:hint="eastAsia"/>
                <w:szCs w:val="18"/>
              </w:rPr>
              <w:t>轮胎参数</w:t>
            </w:r>
          </w:p>
        </w:tc>
        <w:tc>
          <w:tcPr>
            <w:tcW w:w="2333" w:type="dxa"/>
            <w:shd w:val="clear" w:color="auto" w:fill="auto"/>
            <w:vAlign w:val="center"/>
          </w:tcPr>
          <w:p w14:paraId="35A8C7E5">
            <w:pPr>
              <w:pStyle w:val="182"/>
            </w:pPr>
            <w:r>
              <w:rPr>
                <w:rFonts w:hint="eastAsia"/>
                <w:szCs w:val="18"/>
              </w:rPr>
              <w:t>轮鼓直径、外径、宽度、高宽比等</w:t>
            </w:r>
          </w:p>
        </w:tc>
        <w:tc>
          <w:tcPr>
            <w:tcW w:w="2334" w:type="dxa"/>
            <w:shd w:val="clear" w:color="auto" w:fill="auto"/>
            <w:vAlign w:val="center"/>
          </w:tcPr>
          <w:p w14:paraId="27096207">
            <w:pPr>
              <w:pStyle w:val="182"/>
            </w:pPr>
            <w:r>
              <w:rPr>
                <w:rFonts w:hint="eastAsia"/>
                <w:szCs w:val="18"/>
              </w:rPr>
              <w:t>现场勘察获得</w:t>
            </w:r>
          </w:p>
        </w:tc>
      </w:tr>
      <w:tr w14:paraId="7F29A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2CEDB059">
            <w:pPr>
              <w:pStyle w:val="182"/>
            </w:pPr>
          </w:p>
        </w:tc>
        <w:tc>
          <w:tcPr>
            <w:tcW w:w="2333" w:type="dxa"/>
            <w:shd w:val="clear" w:color="auto" w:fill="auto"/>
            <w:vAlign w:val="center"/>
          </w:tcPr>
          <w:p w14:paraId="3593239E">
            <w:pPr>
              <w:pStyle w:val="182"/>
            </w:pPr>
            <w:r>
              <w:rPr>
                <w:rFonts w:hint="eastAsia"/>
                <w:szCs w:val="18"/>
              </w:rPr>
              <w:t>动力参数</w:t>
            </w:r>
          </w:p>
        </w:tc>
        <w:tc>
          <w:tcPr>
            <w:tcW w:w="2333" w:type="dxa"/>
            <w:shd w:val="clear" w:color="auto" w:fill="auto"/>
            <w:vAlign w:val="center"/>
          </w:tcPr>
          <w:p w14:paraId="68CA43B4">
            <w:pPr>
              <w:pStyle w:val="182"/>
            </w:pPr>
            <w:r>
              <w:rPr>
                <w:rFonts w:hint="eastAsia"/>
                <w:szCs w:val="18"/>
              </w:rPr>
              <w:t>最大功率、扭矩等</w:t>
            </w:r>
          </w:p>
        </w:tc>
        <w:tc>
          <w:tcPr>
            <w:tcW w:w="2334" w:type="dxa"/>
            <w:shd w:val="clear" w:color="auto" w:fill="auto"/>
            <w:vAlign w:val="center"/>
          </w:tcPr>
          <w:p w14:paraId="32945264">
            <w:pPr>
              <w:pStyle w:val="182"/>
            </w:pPr>
            <w:r>
              <w:rPr>
                <w:rFonts w:hint="eastAsia"/>
                <w:szCs w:val="18"/>
              </w:rPr>
              <w:t>现场勘察获得</w:t>
            </w:r>
          </w:p>
        </w:tc>
      </w:tr>
      <w:tr w14:paraId="18472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BC9F997">
            <w:pPr>
              <w:pStyle w:val="182"/>
            </w:pPr>
          </w:p>
        </w:tc>
        <w:tc>
          <w:tcPr>
            <w:tcW w:w="2333" w:type="dxa"/>
            <w:shd w:val="clear" w:color="auto" w:fill="auto"/>
            <w:vAlign w:val="center"/>
          </w:tcPr>
          <w:p w14:paraId="0E791383">
            <w:pPr>
              <w:pStyle w:val="182"/>
            </w:pPr>
            <w:r>
              <w:rPr>
                <w:rFonts w:hint="eastAsia"/>
                <w:szCs w:val="16"/>
              </w:rPr>
              <w:t>数据采集设备相对位姿</w:t>
            </w:r>
          </w:p>
        </w:tc>
        <w:tc>
          <w:tcPr>
            <w:tcW w:w="2333" w:type="dxa"/>
            <w:shd w:val="clear" w:color="auto" w:fill="auto"/>
            <w:vAlign w:val="center"/>
          </w:tcPr>
          <w:p w14:paraId="55EE5398">
            <w:pPr>
              <w:pStyle w:val="182"/>
            </w:pPr>
            <w:r>
              <w:rPr>
                <w:rFonts w:hint="eastAsia"/>
                <w:szCs w:val="18"/>
              </w:rPr>
              <w:t>采集设备（如摄像头、雷达、RSU等）的相对高度、方向，碰撞前的速度、角速度、加速度和位移</w:t>
            </w:r>
          </w:p>
        </w:tc>
        <w:tc>
          <w:tcPr>
            <w:tcW w:w="2334" w:type="dxa"/>
            <w:shd w:val="clear" w:color="auto" w:fill="auto"/>
            <w:vAlign w:val="center"/>
          </w:tcPr>
          <w:p w14:paraId="3309C13E">
            <w:pPr>
              <w:pStyle w:val="182"/>
            </w:pPr>
            <w:r>
              <w:rPr>
                <w:rFonts w:hint="eastAsia"/>
                <w:szCs w:val="18"/>
              </w:rPr>
              <w:t>车载单元或路侧单元获得</w:t>
            </w:r>
          </w:p>
        </w:tc>
      </w:tr>
      <w:tr w14:paraId="2C04D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vMerge w:val="continue"/>
            <w:shd w:val="clear" w:color="auto" w:fill="auto"/>
            <w:vAlign w:val="center"/>
          </w:tcPr>
          <w:p w14:paraId="7C5F0F99">
            <w:pPr>
              <w:pStyle w:val="182"/>
            </w:pPr>
          </w:p>
        </w:tc>
        <w:tc>
          <w:tcPr>
            <w:tcW w:w="2333" w:type="dxa"/>
            <w:shd w:val="clear" w:color="auto" w:fill="auto"/>
            <w:vAlign w:val="center"/>
          </w:tcPr>
          <w:p w14:paraId="65E65970">
            <w:pPr>
              <w:pStyle w:val="182"/>
            </w:pPr>
            <w:r>
              <w:rPr>
                <w:rFonts w:hint="eastAsia"/>
                <w:szCs w:val="18"/>
              </w:rPr>
              <w:t>智驾系统信息</w:t>
            </w:r>
          </w:p>
        </w:tc>
        <w:tc>
          <w:tcPr>
            <w:tcW w:w="2333" w:type="dxa"/>
            <w:shd w:val="clear" w:color="auto" w:fill="auto"/>
            <w:vAlign w:val="center"/>
          </w:tcPr>
          <w:p w14:paraId="51021D71">
            <w:pPr>
              <w:pStyle w:val="182"/>
            </w:pPr>
            <w:r>
              <w:rPr>
                <w:rFonts w:hint="eastAsia"/>
                <w:szCs w:val="18"/>
              </w:rPr>
              <w:t>智驾系统，包括工作模式，智驾功能</w:t>
            </w:r>
          </w:p>
        </w:tc>
        <w:tc>
          <w:tcPr>
            <w:tcW w:w="2334" w:type="dxa"/>
            <w:shd w:val="clear" w:color="auto" w:fill="auto"/>
            <w:vAlign w:val="center"/>
          </w:tcPr>
          <w:p w14:paraId="59304646">
            <w:pPr>
              <w:pStyle w:val="182"/>
            </w:pPr>
            <w:r>
              <w:rPr>
                <w:rFonts w:hint="eastAsia"/>
                <w:szCs w:val="18"/>
              </w:rPr>
              <w:t>车载单元获得</w:t>
            </w:r>
          </w:p>
        </w:tc>
      </w:tr>
      <w:tr w14:paraId="59F7EF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shd w:val="clear" w:color="auto" w:fill="auto"/>
            <w:vAlign w:val="center"/>
          </w:tcPr>
          <w:p w14:paraId="51B40FD6">
            <w:pPr>
              <w:pStyle w:val="182"/>
            </w:pPr>
            <w:r>
              <w:rPr>
                <w:rFonts w:hint="eastAsia"/>
              </w:rPr>
              <w:t>其他信息</w:t>
            </w:r>
          </w:p>
        </w:tc>
        <w:tc>
          <w:tcPr>
            <w:tcW w:w="2333" w:type="dxa"/>
            <w:shd w:val="clear" w:color="auto" w:fill="auto"/>
            <w:vAlign w:val="center"/>
          </w:tcPr>
          <w:p w14:paraId="03D065A1">
            <w:pPr>
              <w:pStyle w:val="182"/>
            </w:pPr>
            <w:r>
              <w:rPr>
                <w:rFonts w:hint="eastAsia"/>
                <w:szCs w:val="18"/>
              </w:rPr>
              <w:t>交通特征</w:t>
            </w:r>
          </w:p>
        </w:tc>
        <w:tc>
          <w:tcPr>
            <w:tcW w:w="2333" w:type="dxa"/>
            <w:shd w:val="clear" w:color="auto" w:fill="auto"/>
            <w:vAlign w:val="center"/>
          </w:tcPr>
          <w:p w14:paraId="6CD77FA4">
            <w:pPr>
              <w:pStyle w:val="182"/>
            </w:pPr>
            <w:r>
              <w:rPr>
                <w:rFonts w:hint="eastAsia"/>
                <w:szCs w:val="18"/>
              </w:rPr>
              <w:t>密度、速度、人车分布、高精地图</w:t>
            </w:r>
          </w:p>
        </w:tc>
        <w:tc>
          <w:tcPr>
            <w:tcW w:w="2334" w:type="dxa"/>
            <w:shd w:val="clear" w:color="auto" w:fill="auto"/>
            <w:vAlign w:val="center"/>
          </w:tcPr>
          <w:p w14:paraId="2248B296">
            <w:pPr>
              <w:pStyle w:val="182"/>
            </w:pPr>
            <w:r>
              <w:rPr>
                <w:rFonts w:hint="eastAsia"/>
                <w:szCs w:val="18"/>
              </w:rPr>
              <w:t>路侧单元获得</w:t>
            </w:r>
          </w:p>
        </w:tc>
      </w:tr>
    </w:tbl>
    <w:p w14:paraId="192DEA25">
      <w:pPr>
        <w:pStyle w:val="108"/>
        <w:spacing w:before="312" w:after="312"/>
      </w:pPr>
      <w:bookmarkStart w:id="51" w:name="_Toc191304944"/>
      <w:bookmarkStart w:id="52" w:name="_Toc21771"/>
      <w:r>
        <w:rPr>
          <w:rFonts w:hint="eastAsia"/>
        </w:rPr>
        <w:t>交通事故仿真</w:t>
      </w:r>
      <w:r>
        <w:t>重建</w:t>
      </w:r>
      <w:bookmarkEnd w:id="51"/>
      <w:bookmarkEnd w:id="52"/>
      <w:r>
        <w:rPr>
          <w:rFonts w:hint="eastAsia"/>
        </w:rPr>
        <w:t>方法</w:t>
      </w:r>
    </w:p>
    <w:p w14:paraId="117C4D5C">
      <w:pPr>
        <w:pStyle w:val="109"/>
        <w:spacing w:before="156" w:after="156"/>
      </w:pPr>
      <w:r>
        <w:rPr>
          <w:rFonts w:hint="eastAsia"/>
        </w:rPr>
        <w:t>交通事故过程仿真重建管理流程</w:t>
      </w:r>
    </w:p>
    <w:p w14:paraId="68B07393">
      <w:pPr>
        <w:pStyle w:val="169"/>
      </w:pPr>
      <w:r>
        <w:rPr>
          <w:rFonts w:hint="eastAsia"/>
        </w:rPr>
        <w:t>交通事故过程仿真重建流程需要透明公开可溯源。</w:t>
      </w:r>
    </w:p>
    <w:p w14:paraId="544EAE3C">
      <w:pPr>
        <w:pStyle w:val="169"/>
      </w:pPr>
      <w:r>
        <w:rPr>
          <w:rFonts w:hint="eastAsia"/>
        </w:rPr>
        <w:t>交管部门等委托方向仿真重建机构提出仿真重建需求，并向仿真重建机构提供交管部门记录、行车记录仪等相关文件。</w:t>
      </w:r>
    </w:p>
    <w:p w14:paraId="697F19D9">
      <w:pPr>
        <w:pStyle w:val="169"/>
      </w:pPr>
      <w:r>
        <w:rPr>
          <w:rFonts w:hint="eastAsia"/>
        </w:rPr>
        <w:t>仿真重建机构进行现场勘察，并经同意获得路侧单元和车载系统数据。</w:t>
      </w:r>
    </w:p>
    <w:p w14:paraId="4C0F82CE">
      <w:pPr>
        <w:pStyle w:val="169"/>
      </w:pPr>
      <w:r>
        <w:rPr>
          <w:rFonts w:hint="eastAsia"/>
        </w:rPr>
        <w:t>将勘察数据（如点云模型、照片）与委托方提供的参数融合，构建数字化事故场景，剔除矛盾或无效数据，调用车辆动力学数据库补充缺失参数。</w:t>
      </w:r>
    </w:p>
    <w:p w14:paraId="0A1A0509">
      <w:pPr>
        <w:pStyle w:val="169"/>
      </w:pPr>
      <w:r>
        <w:rPr>
          <w:rFonts w:hint="eastAsia"/>
        </w:rPr>
        <w:t>使用专业软件（PC-Crash、Virtual CRASH、MADYMO）建立多体动力学模型，输入参数运行仿真，复现碰撞过程（碰撞角度、速度变化、轨迹偏移），并对结果进行比对验证。</w:t>
      </w:r>
    </w:p>
    <w:p w14:paraId="233FE8D6">
      <w:pPr>
        <w:pStyle w:val="169"/>
      </w:pPr>
      <w:r>
        <w:rPr>
          <w:rFonts w:hint="eastAsia"/>
        </w:rPr>
        <w:t>由交通工程专家、法律顾问联合审核，确保科学性与法律合规性，并向委托方提交加密电子报告及纸质版，原始数据存档备查（至少5年）。</w:t>
      </w:r>
    </w:p>
    <w:p w14:paraId="6E0CB33E">
      <w:pPr>
        <w:pStyle w:val="109"/>
        <w:spacing w:before="156" w:after="156"/>
      </w:pPr>
      <w:r>
        <w:t>相关参数不确定性处理</w:t>
      </w:r>
      <w:r>
        <w:rPr>
          <w:rFonts w:hint="eastAsia"/>
        </w:rPr>
        <w:t xml:space="preserve">  </w:t>
      </w:r>
    </w:p>
    <w:p w14:paraId="784530FB">
      <w:pPr>
        <w:pStyle w:val="169"/>
      </w:pPr>
      <w:r>
        <w:rPr>
          <w:rFonts w:hAnsi="宋体" w:cs="宋体"/>
        </w:rPr>
        <w:t>车辆的</w:t>
      </w:r>
      <w:r>
        <w:t>载质量、质心位置、路面附着系数、车体变形量、回弹系数、碰撞方位角以及车辆的运动参数等在一定程度上存在不确定性。</w:t>
      </w:r>
    </w:p>
    <w:p w14:paraId="1174F6E9">
      <w:pPr>
        <w:pStyle w:val="169"/>
      </w:pPr>
      <w:r>
        <w:t>根据交通事故类型以及分析的经验，对诸多参数进行分析，筛去那些通常情况下明显对</w:t>
      </w:r>
      <w:r>
        <w:rPr>
          <w:rFonts w:hint="eastAsia"/>
        </w:rPr>
        <w:t>交通事故</w:t>
      </w:r>
      <w:r>
        <w:t>影响不大的参数。</w:t>
      </w:r>
      <w:bookmarkStart w:id="56" w:name="_GoBack"/>
      <w:bookmarkEnd w:id="56"/>
    </w:p>
    <w:p w14:paraId="4F310782">
      <w:pPr>
        <w:pStyle w:val="169"/>
      </w:pPr>
      <w:r>
        <w:t>根据参数的实际情况，在其可能取值的范围选取不同大小的值，从位移、变形量以及方位角等指标出发，观察这些参数变化对</w:t>
      </w:r>
      <w:r>
        <w:rPr>
          <w:rFonts w:hint="eastAsia"/>
        </w:rPr>
        <w:t>交通事故</w:t>
      </w:r>
      <w:r>
        <w:t>再现结果的影响，进一步选择影响较大的一些参数。</w:t>
      </w:r>
    </w:p>
    <w:p w14:paraId="26F9EF47">
      <w:pPr>
        <w:pStyle w:val="169"/>
      </w:pPr>
      <w:r>
        <w:t>针对这些参数进行多组</w:t>
      </w:r>
      <w:r>
        <w:rPr>
          <w:rFonts w:hint="eastAsia"/>
        </w:rPr>
        <w:t>交通事故</w:t>
      </w:r>
      <w:r>
        <w:t>过程重新计算模拟，寻求与结果相近的一组参数。</w:t>
      </w:r>
    </w:p>
    <w:p w14:paraId="5D5D4398">
      <w:pPr>
        <w:pStyle w:val="108"/>
        <w:spacing w:before="312" w:after="312"/>
      </w:pPr>
      <w:bookmarkStart w:id="53" w:name="_Toc7708"/>
      <w:bookmarkStart w:id="54" w:name="_Toc191304945"/>
      <w:r>
        <w:t>验证</w:t>
      </w:r>
      <w:bookmarkEnd w:id="53"/>
      <w:bookmarkEnd w:id="54"/>
    </w:p>
    <w:p w14:paraId="5DF6FF06">
      <w:pPr>
        <w:pStyle w:val="109"/>
        <w:spacing w:before="156" w:after="156"/>
      </w:pPr>
      <w:r>
        <w:t>验证方法</w:t>
      </w:r>
    </w:p>
    <w:p w14:paraId="67A27D17">
      <w:pPr>
        <w:pStyle w:val="60"/>
        <w:ind w:firstLine="420"/>
      </w:pPr>
      <w:r>
        <w:rPr>
          <w:rFonts w:hint="eastAsia"/>
        </w:rPr>
        <w:t>根据现场核验信息，得到交通事故涉及的交通参与物的轨迹，应符合以下要求：</w:t>
      </w:r>
    </w:p>
    <w:p w14:paraId="5FA5DB7B">
      <w:pPr>
        <w:numPr>
          <w:ilvl w:val="0"/>
          <w:numId w:val="34"/>
        </w:numPr>
        <w:spacing w:line="276" w:lineRule="auto"/>
      </w:pPr>
      <w:r>
        <w:rPr>
          <w:rFonts w:hint="eastAsia"/>
        </w:rPr>
        <w:t>碰撞前的过程的轨迹重应与现场勘察的轨迹一致；</w:t>
      </w:r>
    </w:p>
    <w:p w14:paraId="78E1EEBF">
      <w:pPr>
        <w:numPr>
          <w:ilvl w:val="0"/>
          <w:numId w:val="34"/>
        </w:numPr>
        <w:spacing w:line="276" w:lineRule="auto"/>
      </w:pPr>
      <w:r>
        <w:rPr>
          <w:rFonts w:hint="eastAsia"/>
        </w:rPr>
        <w:t>碰撞前车辆没有异常碰撞、车速运动状态突变、速度异常等不合常理、不满足车辆动力学要求，无法实现的现象；</w:t>
      </w:r>
    </w:p>
    <w:p w14:paraId="0E911944">
      <w:pPr>
        <w:numPr>
          <w:ilvl w:val="0"/>
          <w:numId w:val="34"/>
        </w:numPr>
        <w:spacing w:line="276" w:lineRule="auto"/>
      </w:pPr>
      <w:r>
        <w:rPr>
          <w:rFonts w:hint="eastAsia"/>
        </w:rPr>
        <w:t>目标物前进方向与场景初始时目标物车头方向不一致；</w:t>
      </w:r>
    </w:p>
    <w:p w14:paraId="6F82ED30">
      <w:pPr>
        <w:numPr>
          <w:ilvl w:val="0"/>
          <w:numId w:val="34"/>
        </w:numPr>
        <w:spacing w:line="276" w:lineRule="auto"/>
      </w:pPr>
      <w:r>
        <w:rPr>
          <w:rFonts w:hint="eastAsia"/>
        </w:rPr>
        <w:t>碰撞点的目标物的相对位姿和绝对位置与实际情况一致。</w:t>
      </w:r>
    </w:p>
    <w:p w14:paraId="0CD24014">
      <w:pPr>
        <w:pStyle w:val="109"/>
        <w:spacing w:before="156" w:after="156"/>
      </w:pPr>
      <w:r>
        <w:t>验证结果输出</w:t>
      </w:r>
    </w:p>
    <w:p w14:paraId="78F0F9A2">
      <w:pPr>
        <w:pStyle w:val="169"/>
      </w:pPr>
      <w:r>
        <w:rPr>
          <w:rFonts w:hint="eastAsia"/>
        </w:rPr>
        <w:t>交通</w:t>
      </w:r>
      <w:r>
        <w:t>事故过程</w:t>
      </w:r>
      <w:r>
        <w:rPr>
          <w:rFonts w:hint="eastAsia"/>
        </w:rPr>
        <w:t>仿真重建</w:t>
      </w:r>
      <w:r>
        <w:t>应输出</w:t>
      </w:r>
      <w:r>
        <w:rPr>
          <w:rFonts w:hint="eastAsia"/>
        </w:rPr>
        <w:t>交通事故</w:t>
      </w:r>
      <w:r>
        <w:t>中车辆的运动参数。</w:t>
      </w:r>
    </w:p>
    <w:p w14:paraId="4FA5A8CC">
      <w:pPr>
        <w:pStyle w:val="169"/>
      </w:pPr>
      <w:r>
        <w:rPr>
          <w:rFonts w:hint="eastAsia"/>
        </w:rPr>
        <w:t>交通</w:t>
      </w:r>
      <w:r>
        <w:t>事故过程</w:t>
      </w:r>
      <w:r>
        <w:rPr>
          <w:rFonts w:hint="eastAsia"/>
        </w:rPr>
        <w:t>仿真重建</w:t>
      </w:r>
      <w:r>
        <w:t>应输出</w:t>
      </w:r>
      <w:r>
        <w:rPr>
          <w:rFonts w:hint="eastAsia"/>
        </w:rPr>
        <w:t>交通事故</w:t>
      </w:r>
      <w:r>
        <w:t>中车辆的二维或三维过程图。</w:t>
      </w:r>
    </w:p>
    <w:p w14:paraId="21497826">
      <w:pPr>
        <w:pStyle w:val="169"/>
      </w:pPr>
      <w:r>
        <w:rPr>
          <w:rFonts w:hint="eastAsia"/>
        </w:rPr>
        <w:t>交通</w:t>
      </w:r>
      <w:r>
        <w:t>事故过程</w:t>
      </w:r>
      <w:r>
        <w:rPr>
          <w:rFonts w:hint="eastAsia"/>
        </w:rPr>
        <w:t>仿真重建</w:t>
      </w:r>
      <w:r>
        <w:t>应提供</w:t>
      </w:r>
      <w:r>
        <w:rPr>
          <w:rFonts w:hint="eastAsia"/>
        </w:rPr>
        <w:t>交通事故</w:t>
      </w:r>
      <w:r>
        <w:t>过程</w:t>
      </w:r>
      <w:r>
        <w:rPr>
          <w:rFonts w:hint="eastAsia"/>
        </w:rPr>
        <w:t>仿真重建</w:t>
      </w:r>
      <w:r>
        <w:t>的视频文件。</w:t>
      </w:r>
    </w:p>
    <w:p w14:paraId="1A92FBB6">
      <w:pPr>
        <w:pStyle w:val="169"/>
      </w:pPr>
      <w:r>
        <w:rPr>
          <w:rFonts w:hint="eastAsia"/>
        </w:rPr>
        <w:t>交通事故原因分析。</w:t>
      </w:r>
    </w:p>
    <w:bookmarkEnd w:id="22"/>
    <w:p w14:paraId="67FDD3A0">
      <w:pPr>
        <w:jc w:val="center"/>
      </w:pPr>
      <w:bookmarkStart w:id="55" w:name="BookMark8"/>
      <w:r>
        <w:drawing>
          <wp:inline distT="0" distB="0" distL="0" distR="0">
            <wp:extent cx="1485900" cy="317500"/>
            <wp:effectExtent l="0" t="0" r="0" b="6350"/>
            <wp:docPr id="494972267" name="图片 3"/>
            <wp:cNvGraphicFramePr/>
            <a:graphic xmlns:a="http://schemas.openxmlformats.org/drawingml/2006/main">
              <a:graphicData uri="http://schemas.openxmlformats.org/drawingml/2006/picture">
                <pic:pic xmlns:pic="http://schemas.openxmlformats.org/drawingml/2006/picture">
                  <pic:nvPicPr>
                    <pic:cNvPr id="494972267" name="图片 3"/>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55"/>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67CDD">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6FB69">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6581B">
    <w:pPr>
      <w:pStyle w:val="56"/>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F0232">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1D031">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8252F">
    <w:pPr>
      <w:pStyle w:val="65"/>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EAA2F">
    <w:pPr>
      <w:pStyle w:val="19"/>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5E927"/>
    <w:multiLevelType w:val="multilevel"/>
    <w:tmpl w:val="B745E927"/>
    <w:lvl w:ilvl="0" w:tentative="0">
      <w:start w:val="1"/>
      <w:numFmt w:val="decimal"/>
      <w:pStyle w:val="238"/>
      <w:suff w:val="nothing"/>
      <w:lvlText w:val="%1　"/>
      <w:lvlJc w:val="left"/>
      <w:pPr>
        <w:tabs>
          <w:tab w:val="left" w:pos="0"/>
        </w:tabs>
        <w:ind w:left="0" w:firstLine="0"/>
      </w:pPr>
      <w:rPr>
        <w:rFonts w:hint="default" w:ascii="黑体" w:hAnsi="Times New Roman" w:eastAsia="黑体"/>
        <w:b w:val="0"/>
        <w:i w:val="0"/>
        <w:sz w:val="21"/>
        <w:szCs w:val="21"/>
      </w:rPr>
    </w:lvl>
    <w:lvl w:ilvl="1" w:tentative="0">
      <w:start w:val="1"/>
      <w:numFmt w:val="decimal"/>
      <w:suff w:val="nothing"/>
      <w:lvlText w:val="%1.%2　"/>
      <w:lvlJc w:val="left"/>
      <w:pPr>
        <w:ind w:left="0" w:firstLine="0"/>
      </w:pPr>
      <w:rPr>
        <w:rFonts w:hint="default" w:ascii="黑体" w:hAnsi="黑体"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tabs>
          <w:tab w:val="left" w:pos="0"/>
        </w:tabs>
        <w:ind w:left="0" w:firstLine="0"/>
      </w:pPr>
      <w:rPr>
        <w:rFonts w:hint="default" w:ascii="黑体" w:hAnsi="黑体" w:eastAsia="黑体"/>
      </w:rPr>
    </w:lvl>
    <w:lvl w:ilvl="3" w:tentative="0">
      <w:start w:val="1"/>
      <w:numFmt w:val="decimal"/>
      <w:suff w:val="nothing"/>
      <w:lvlText w:val="%1.%2.%3.%4　"/>
      <w:lvlJc w:val="left"/>
      <w:pPr>
        <w:tabs>
          <w:tab w:val="left" w:pos="0"/>
        </w:tabs>
        <w:ind w:left="0" w:firstLine="0"/>
      </w:pPr>
      <w:rPr>
        <w:rFonts w:hint="default" w:ascii="黑体" w:hAnsi="黑体" w:eastAsia="黑体" w:cs="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1">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08DDB9"/>
    <w:multiLevelType w:val="multilevel"/>
    <w:tmpl w:val="4408DDB9"/>
    <w:lvl w:ilvl="0" w:tentative="0">
      <w:start w:val="1"/>
      <w:numFmt w:val="decimal"/>
      <w:suff w:val="nothing"/>
      <w:lvlText w:val="%1　"/>
      <w:lvlJc w:val="left"/>
      <w:pPr>
        <w:ind w:left="2553"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default" w:ascii="黑体" w:hAnsi="黑体"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243"/>
      <w:suff w:val="nothing"/>
      <w:lvlText w:val="%1.%2.%3　"/>
      <w:lvlJc w:val="left"/>
      <w:pPr>
        <w:tabs>
          <w:tab w:val="left" w:pos="567"/>
        </w:tabs>
        <w:ind w:left="567" w:firstLine="0"/>
      </w:pPr>
      <w:rPr>
        <w:rFonts w:ascii="黑体" w:hAnsi="黑体" w:eastAsia="黑体"/>
      </w:rPr>
    </w:lvl>
    <w:lvl w:ilvl="3" w:tentative="0">
      <w:start w:val="1"/>
      <w:numFmt w:val="decimal"/>
      <w:suff w:val="nothing"/>
      <w:lvlText w:val="%1.%2.%3.%4　"/>
      <w:lvlJc w:val="left"/>
      <w:pPr>
        <w:ind w:left="851" w:firstLine="0"/>
      </w:pPr>
      <w:rPr>
        <w:rFonts w:hint="default" w:ascii="宋体" w:hAnsi="宋体" w:eastAsia="宋体" w:cs="宋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BF53766"/>
    <w:multiLevelType w:val="multilevel"/>
    <w:tmpl w:val="4BF53766"/>
    <w:lvl w:ilvl="0" w:tentative="0">
      <w:start w:val="1"/>
      <w:numFmt w:val="lowerLetter"/>
      <w:lvlText w:val="%1)"/>
      <w:lvlJc w:val="left"/>
      <w:pPr>
        <w:tabs>
          <w:tab w:val="left" w:pos="851"/>
        </w:tabs>
        <w:ind w:left="851" w:hanging="426"/>
      </w:pPr>
      <w:rPr>
        <w:rFonts w:hint="eastAsia" w:ascii="宋体" w:hAnsi="Times New Roman" w:eastAsia="宋体"/>
        <w:b w:val="0"/>
        <w:bCs w:val="0"/>
        <w:i w:val="0"/>
        <w:iCs/>
        <w:sz w:val="21"/>
        <w:szCs w:val="21"/>
      </w:rPr>
    </w:lvl>
    <w:lvl w:ilvl="1" w:tentative="0">
      <w:start w:val="1"/>
      <w:numFmt w:val="decimal"/>
      <w:lvlText w:val="%2)"/>
      <w:lvlJc w:val="left"/>
      <w:pPr>
        <w:tabs>
          <w:tab w:val="left" w:pos="1276"/>
        </w:tabs>
        <w:ind w:left="1276" w:hanging="425"/>
      </w:pPr>
      <w:rPr>
        <w:rFonts w:hint="eastAsia" w:ascii="宋体" w:hAnsi="Times New Roman" w:eastAsia="宋体"/>
        <w:sz w:val="21"/>
        <w:szCs w:val="21"/>
      </w:rPr>
    </w:lvl>
    <w:lvl w:ilvl="2" w:tentative="0">
      <w:start w:val="1"/>
      <w:numFmt w:val="decimal"/>
      <w:lvlText w:val="(%3)"/>
      <w:lvlJc w:val="left"/>
      <w:pPr>
        <w:ind w:left="1701" w:hanging="425"/>
      </w:pPr>
      <w:rPr>
        <w:rFonts w:hint="eastAsia" w:ascii="宋体" w:hAnsi="Times New Roman" w:eastAsia="宋体"/>
        <w:sz w:val="21"/>
        <w:szCs w:val="21"/>
      </w:rPr>
    </w:lvl>
    <w:lvl w:ilvl="3" w:tentative="0">
      <w:start w:val="1"/>
      <w:numFmt w:val="decimal"/>
      <w:lvlText w:val="%4."/>
      <w:lvlJc w:val="left"/>
      <w:pPr>
        <w:tabs>
          <w:tab w:val="left" w:pos="2100"/>
        </w:tabs>
        <w:ind w:left="2099" w:hanging="419"/>
      </w:pPr>
      <w:rPr>
        <w:rFonts w:hint="eastAsia" w:ascii="宋体" w:hAnsi="宋体" w:eastAsia="宋体"/>
      </w:rPr>
    </w:lvl>
    <w:lvl w:ilvl="4" w:tentative="0">
      <w:start w:val="1"/>
      <w:numFmt w:val="lowerLetter"/>
      <w:lvlText w:val="%5)"/>
      <w:lvlJc w:val="left"/>
      <w:pPr>
        <w:tabs>
          <w:tab w:val="left" w:pos="2520"/>
        </w:tabs>
        <w:ind w:left="2519" w:hanging="419"/>
      </w:pPr>
      <w:rPr>
        <w:rFonts w:hint="eastAsia" w:ascii="宋体" w:hAnsi="宋体" w:eastAsia="宋体"/>
      </w:rPr>
    </w:lvl>
    <w:lvl w:ilvl="5" w:tentative="0">
      <w:start w:val="1"/>
      <w:numFmt w:val="lowerRoman"/>
      <w:lvlText w:val="%6."/>
      <w:lvlJc w:val="right"/>
      <w:pPr>
        <w:tabs>
          <w:tab w:val="left" w:pos="2940"/>
        </w:tabs>
        <w:ind w:left="2939" w:hanging="419"/>
      </w:pPr>
      <w:rPr>
        <w:rFonts w:hint="eastAsia" w:ascii="宋体" w:hAnsi="宋体" w:eastAsia="宋体"/>
      </w:rPr>
    </w:lvl>
    <w:lvl w:ilvl="6" w:tentative="0">
      <w:start w:val="1"/>
      <w:numFmt w:val="decimal"/>
      <w:lvlText w:val="%7."/>
      <w:lvlJc w:val="left"/>
      <w:pPr>
        <w:tabs>
          <w:tab w:val="left" w:pos="3360"/>
        </w:tabs>
        <w:ind w:left="3359" w:hanging="419"/>
      </w:pPr>
      <w:rPr>
        <w:rFonts w:hint="eastAsia" w:ascii="宋体" w:hAnsi="宋体" w:eastAsia="宋体"/>
      </w:rPr>
    </w:lvl>
    <w:lvl w:ilvl="7" w:tentative="0">
      <w:start w:val="1"/>
      <w:numFmt w:val="lowerLetter"/>
      <w:lvlText w:val="%8)"/>
      <w:lvlJc w:val="left"/>
      <w:pPr>
        <w:tabs>
          <w:tab w:val="left" w:pos="3780"/>
        </w:tabs>
        <w:ind w:left="3779" w:hanging="419"/>
      </w:pPr>
      <w:rPr>
        <w:rFonts w:hint="eastAsia" w:ascii="宋体" w:hAnsi="宋体" w:eastAsia="宋体"/>
      </w:rPr>
    </w:lvl>
    <w:lvl w:ilvl="8" w:tentative="0">
      <w:start w:val="1"/>
      <w:numFmt w:val="lowerRoman"/>
      <w:lvlText w:val="%9."/>
      <w:lvlJc w:val="right"/>
      <w:pPr>
        <w:tabs>
          <w:tab w:val="left" w:pos="4200"/>
        </w:tabs>
        <w:ind w:left="4199" w:hanging="419"/>
      </w:pPr>
      <w:rPr>
        <w:rFonts w:hint="eastAsia" w:ascii="宋体" w:hAnsi="宋体" w:eastAsia="宋体"/>
      </w:rPr>
    </w:lvl>
  </w:abstractNum>
  <w:abstractNum w:abstractNumId="18">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0">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1">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4">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5">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6">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8">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1">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2">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0"/>
  </w:num>
  <w:num w:numId="3">
    <w:abstractNumId w:val="6"/>
  </w:num>
  <w:num w:numId="4">
    <w:abstractNumId w:val="26"/>
  </w:num>
  <w:num w:numId="5">
    <w:abstractNumId w:val="21"/>
  </w:num>
  <w:num w:numId="6">
    <w:abstractNumId w:val="15"/>
  </w:num>
  <w:num w:numId="7">
    <w:abstractNumId w:val="9"/>
  </w:num>
  <w:num w:numId="8">
    <w:abstractNumId w:val="4"/>
  </w:num>
  <w:num w:numId="9">
    <w:abstractNumId w:val="10"/>
  </w:num>
  <w:num w:numId="10">
    <w:abstractNumId w:val="19"/>
  </w:num>
  <w:num w:numId="11">
    <w:abstractNumId w:val="28"/>
  </w:num>
  <w:num w:numId="12">
    <w:abstractNumId w:val="12"/>
  </w:num>
  <w:num w:numId="13">
    <w:abstractNumId w:val="14"/>
  </w:num>
  <w:num w:numId="14">
    <w:abstractNumId w:val="8"/>
  </w:num>
  <w:num w:numId="15">
    <w:abstractNumId w:val="22"/>
  </w:num>
  <w:num w:numId="16">
    <w:abstractNumId w:val="24"/>
  </w:num>
  <w:num w:numId="17">
    <w:abstractNumId w:val="20"/>
  </w:num>
  <w:num w:numId="18">
    <w:abstractNumId w:val="32"/>
  </w:num>
  <w:num w:numId="19">
    <w:abstractNumId w:val="18"/>
  </w:num>
  <w:num w:numId="20">
    <w:abstractNumId w:val="2"/>
  </w:num>
  <w:num w:numId="21">
    <w:abstractNumId w:val="11"/>
  </w:num>
  <w:num w:numId="22">
    <w:abstractNumId w:val="33"/>
  </w:num>
  <w:num w:numId="23">
    <w:abstractNumId w:val="23"/>
  </w:num>
  <w:num w:numId="24">
    <w:abstractNumId w:val="7"/>
  </w:num>
  <w:num w:numId="25">
    <w:abstractNumId w:val="29"/>
  </w:num>
  <w:num w:numId="26">
    <w:abstractNumId w:val="31"/>
  </w:num>
  <w:num w:numId="27">
    <w:abstractNumId w:val="3"/>
  </w:num>
  <w:num w:numId="28">
    <w:abstractNumId w:val="5"/>
  </w:num>
  <w:num w:numId="29">
    <w:abstractNumId w:val="16"/>
  </w:num>
  <w:num w:numId="30">
    <w:abstractNumId w:val="27"/>
  </w:num>
  <w:num w:numId="31">
    <w:abstractNumId w:val="25"/>
  </w:num>
  <w:num w:numId="32">
    <w:abstractNumId w:val="0"/>
  </w:num>
  <w:num w:numId="33">
    <w:abstractNumId w:val="13"/>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F2A"/>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46558"/>
    <w:rsid w:val="001468C0"/>
    <w:rsid w:val="00151611"/>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22F5"/>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E75B2"/>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3F96"/>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05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B7E"/>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5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418"/>
    <w:rsid w:val="00707669"/>
    <w:rsid w:val="00711CBA"/>
    <w:rsid w:val="00711FB5"/>
    <w:rsid w:val="00712A01"/>
    <w:rsid w:val="00714F58"/>
    <w:rsid w:val="00722FBF"/>
    <w:rsid w:val="00722FC2"/>
    <w:rsid w:val="00724879"/>
    <w:rsid w:val="00724E1B"/>
    <w:rsid w:val="00725949"/>
    <w:rsid w:val="00726D80"/>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7400E"/>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5BC1"/>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535"/>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03C9"/>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1B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3E39"/>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3E4C"/>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8D8"/>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6F93"/>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679FE"/>
    <w:rsid w:val="00E70388"/>
    <w:rsid w:val="00E70F92"/>
    <w:rsid w:val="00E74C54"/>
    <w:rsid w:val="00E77A03"/>
    <w:rsid w:val="00E822E8"/>
    <w:rsid w:val="00E82554"/>
    <w:rsid w:val="00E82606"/>
    <w:rsid w:val="00E846C8"/>
    <w:rsid w:val="00E84957"/>
    <w:rsid w:val="00E84A55"/>
    <w:rsid w:val="00E85BFF"/>
    <w:rsid w:val="00E90391"/>
    <w:rsid w:val="00E906C2"/>
    <w:rsid w:val="00E91FD4"/>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0F2A"/>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853999"/>
    <w:rsid w:val="020D2DA2"/>
    <w:rsid w:val="02B24515"/>
    <w:rsid w:val="02E357EA"/>
    <w:rsid w:val="0BD63893"/>
    <w:rsid w:val="0E5E0C22"/>
    <w:rsid w:val="106F049A"/>
    <w:rsid w:val="10E662A5"/>
    <w:rsid w:val="137A008D"/>
    <w:rsid w:val="13884FA8"/>
    <w:rsid w:val="16040D12"/>
    <w:rsid w:val="1AAD02F1"/>
    <w:rsid w:val="1CC94057"/>
    <w:rsid w:val="1F4C0EF6"/>
    <w:rsid w:val="20655202"/>
    <w:rsid w:val="219D3147"/>
    <w:rsid w:val="22947141"/>
    <w:rsid w:val="253B1C1A"/>
    <w:rsid w:val="2AC0688A"/>
    <w:rsid w:val="2BDC6D23"/>
    <w:rsid w:val="2EE56FA9"/>
    <w:rsid w:val="301C716C"/>
    <w:rsid w:val="3062124C"/>
    <w:rsid w:val="31BE46F5"/>
    <w:rsid w:val="342162EE"/>
    <w:rsid w:val="34FA13E7"/>
    <w:rsid w:val="376A5ACE"/>
    <w:rsid w:val="378508D2"/>
    <w:rsid w:val="38022F08"/>
    <w:rsid w:val="39AE3C02"/>
    <w:rsid w:val="3A054999"/>
    <w:rsid w:val="3FD62AA3"/>
    <w:rsid w:val="401E5085"/>
    <w:rsid w:val="45941C4C"/>
    <w:rsid w:val="482539A8"/>
    <w:rsid w:val="49DE342A"/>
    <w:rsid w:val="4CF66E15"/>
    <w:rsid w:val="4DA11985"/>
    <w:rsid w:val="4EBB3C74"/>
    <w:rsid w:val="4F821485"/>
    <w:rsid w:val="544B4D41"/>
    <w:rsid w:val="556E57D1"/>
    <w:rsid w:val="56095D21"/>
    <w:rsid w:val="570E47FF"/>
    <w:rsid w:val="575136EE"/>
    <w:rsid w:val="57522F77"/>
    <w:rsid w:val="5A7912E1"/>
    <w:rsid w:val="5AD429E7"/>
    <w:rsid w:val="5BA270D9"/>
    <w:rsid w:val="5C3B2BBF"/>
    <w:rsid w:val="668E6D17"/>
    <w:rsid w:val="66AE5AAC"/>
    <w:rsid w:val="6736542B"/>
    <w:rsid w:val="690508E3"/>
    <w:rsid w:val="6C5543FB"/>
    <w:rsid w:val="6E7023CC"/>
    <w:rsid w:val="718538F7"/>
    <w:rsid w:val="73E352E7"/>
    <w:rsid w:val="741B3B57"/>
    <w:rsid w:val="778E20DB"/>
    <w:rsid w:val="792A227D"/>
    <w:rsid w:val="7D1E5546"/>
    <w:rsid w:val="7F741936"/>
    <w:rsid w:val="7F951AA9"/>
    <w:rsid w:val="7FF30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7"/>
    <w:autoRedefine/>
    <w:unhideWhenUsed/>
    <w:qFormat/>
    <w:uiPriority w:val="99"/>
    <w:pPr>
      <w:adjustRightInd/>
      <w:spacing w:line="276" w:lineRule="auto"/>
      <w:jc w:val="left"/>
    </w:pPr>
    <w:rPr>
      <w:rFonts w:ascii="Times New Roman" w:hAnsi="Times New Roman"/>
      <w:szCs w:val="24"/>
    </w:rPr>
  </w:style>
  <w:style w:type="paragraph" w:styleId="14">
    <w:name w:val="Body Text"/>
    <w:basedOn w:val="1"/>
    <w:link w:val="90"/>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Autospacing="1" w:afterAutospacing="1"/>
      <w:jc w:val="left"/>
    </w:pPr>
    <w:rPr>
      <w:kern w:val="0"/>
      <w:sz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FollowedHyperlink"/>
    <w:autoRedefine/>
    <w:qFormat/>
    <w:uiPriority w:val="0"/>
    <w:rPr>
      <w:color w:val="800080"/>
      <w:u w:val="single"/>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0"/>
    <w:autoRedefine/>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b/>
      <w:bCs/>
      <w:kern w:val="44"/>
      <w:sz w:val="44"/>
      <w:szCs w:val="44"/>
    </w:rPr>
  </w:style>
  <w:style w:type="character" w:customStyle="1" w:styleId="39">
    <w:name w:val="标题 2 字符"/>
    <w:link w:val="3"/>
    <w:qFormat/>
    <w:uiPriority w:val="0"/>
    <w:rPr>
      <w:rFonts w:ascii="Arial" w:hAnsi="Arial" w:eastAsia="黑体"/>
      <w:b/>
      <w:bCs/>
      <w:kern w:val="2"/>
      <w:sz w:val="32"/>
      <w:szCs w:val="32"/>
    </w:rPr>
  </w:style>
  <w:style w:type="character" w:customStyle="1" w:styleId="40">
    <w:name w:val="标题 3 字符"/>
    <w:link w:val="4"/>
    <w:qFormat/>
    <w:uiPriority w:val="0"/>
    <w:rPr>
      <w:b/>
      <w:bCs/>
      <w:kern w:val="2"/>
      <w:sz w:val="32"/>
      <w:szCs w:val="32"/>
    </w:rPr>
  </w:style>
  <w:style w:type="character" w:customStyle="1" w:styleId="41">
    <w:name w:val="标题 4 字符"/>
    <w:link w:val="5"/>
    <w:qFormat/>
    <w:uiPriority w:val="0"/>
    <w:rPr>
      <w:rFonts w:ascii="Arial" w:hAnsi="Arial" w:eastAsia="黑体"/>
      <w:b/>
      <w:bCs/>
      <w:kern w:val="2"/>
      <w:sz w:val="28"/>
      <w:szCs w:val="28"/>
    </w:rPr>
  </w:style>
  <w:style w:type="character" w:customStyle="1" w:styleId="42">
    <w:name w:val="标题 5 字符"/>
    <w:link w:val="6"/>
    <w:qFormat/>
    <w:uiPriority w:val="0"/>
    <w:rPr>
      <w:b/>
      <w:bCs/>
      <w:kern w:val="2"/>
      <w:sz w:val="28"/>
      <w:szCs w:val="28"/>
    </w:rPr>
  </w:style>
  <w:style w:type="character" w:customStyle="1" w:styleId="43">
    <w:name w:val="标题 6 字符"/>
    <w:link w:val="7"/>
    <w:qFormat/>
    <w:uiPriority w:val="0"/>
    <w:rPr>
      <w:rFonts w:ascii="Arial" w:hAnsi="Arial" w:eastAsia="黑体"/>
      <w:b/>
      <w:bCs/>
      <w:kern w:val="2"/>
      <w:sz w:val="24"/>
      <w:szCs w:val="24"/>
    </w:rPr>
  </w:style>
  <w:style w:type="character" w:customStyle="1" w:styleId="44">
    <w:name w:val="标题 7 字符"/>
    <w:link w:val="8"/>
    <w:qFormat/>
    <w:uiPriority w:val="0"/>
    <w:rPr>
      <w:b/>
      <w:bCs/>
      <w:kern w:val="2"/>
      <w:sz w:val="24"/>
      <w:szCs w:val="24"/>
    </w:rPr>
  </w:style>
  <w:style w:type="character" w:customStyle="1" w:styleId="45">
    <w:name w:val="标题 8 字符"/>
    <w:link w:val="9"/>
    <w:qFormat/>
    <w:uiPriority w:val="0"/>
    <w:rPr>
      <w:rFonts w:ascii="Arial" w:hAnsi="Arial" w:eastAsia="黑体"/>
      <w:kern w:val="2"/>
      <w:sz w:val="24"/>
      <w:szCs w:val="24"/>
    </w:rPr>
  </w:style>
  <w:style w:type="character" w:customStyle="1" w:styleId="46">
    <w:name w:val="标题 9 字符"/>
    <w:link w:val="10"/>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kern w:val="2"/>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autoRedefine/>
    <w:semiHidden/>
    <w:qFormat/>
    <w:uiPriority w:val="0"/>
    <w:pPr>
      <w:adjustRightInd/>
      <w:spacing w:line="240" w:lineRule="auto"/>
      <w:jc w:val="left"/>
    </w:pPr>
    <w:rPr>
      <w:bCs/>
      <w:iCs/>
    </w:rPr>
  </w:style>
  <w:style w:type="paragraph" w:customStyle="1" w:styleId="147">
    <w:name w:val="目录 31"/>
    <w:basedOn w:val="1"/>
    <w:next w:val="1"/>
    <w:autoRedefine/>
    <w:semiHidden/>
    <w:qFormat/>
    <w:uiPriority w:val="0"/>
    <w:pPr>
      <w:spacing w:line="240" w:lineRule="auto"/>
    </w:pPr>
    <w:rPr>
      <w:rFonts w:ascii="宋体" w:hAnsi="宋体"/>
      <w:iCs/>
    </w:rPr>
  </w:style>
  <w:style w:type="paragraph" w:customStyle="1" w:styleId="148">
    <w:name w:val="目录 41"/>
    <w:basedOn w:val="1"/>
    <w:next w:val="1"/>
    <w:autoRedefine/>
    <w:semiHidden/>
    <w:qFormat/>
    <w:uiPriority w:val="0"/>
    <w:pPr>
      <w:adjustRightInd/>
      <w:spacing w:line="240" w:lineRule="auto"/>
      <w:jc w:val="left"/>
    </w:pPr>
  </w:style>
  <w:style w:type="paragraph" w:customStyle="1" w:styleId="149">
    <w:name w:val="目录 51"/>
    <w:basedOn w:val="1"/>
    <w:next w:val="1"/>
    <w:autoRedefine/>
    <w:semiHidden/>
    <w:qFormat/>
    <w:uiPriority w:val="0"/>
    <w:pPr>
      <w:spacing w:line="240" w:lineRule="auto"/>
    </w:pPr>
    <w:rPr>
      <w:rFonts w:ascii="宋体" w:hAnsi="宋体"/>
    </w:rPr>
  </w:style>
  <w:style w:type="paragraph" w:customStyle="1" w:styleId="150">
    <w:name w:val="目录 61"/>
    <w:basedOn w:val="1"/>
    <w:next w:val="1"/>
    <w:autoRedefine/>
    <w:semiHidden/>
    <w:qFormat/>
    <w:uiPriority w:val="0"/>
    <w:pPr>
      <w:adjustRightInd/>
      <w:spacing w:line="240" w:lineRule="auto"/>
      <w:jc w:val="left"/>
    </w:pPr>
  </w:style>
  <w:style w:type="paragraph" w:customStyle="1" w:styleId="151">
    <w:name w:val="目录 71"/>
    <w:basedOn w:val="150"/>
    <w:autoRedefine/>
    <w:semiHidden/>
    <w:qFormat/>
    <w:uiPriority w:val="0"/>
    <w:pPr>
      <w:ind w:left="1260"/>
    </w:pPr>
  </w:style>
  <w:style w:type="paragraph" w:customStyle="1" w:styleId="152">
    <w:name w:val="目录 81"/>
    <w:basedOn w:val="151"/>
    <w:autoRedefine/>
    <w:semiHidden/>
    <w:qFormat/>
    <w:uiPriority w:val="0"/>
    <w:pPr>
      <w:ind w:left="1470"/>
    </w:pPr>
  </w:style>
  <w:style w:type="paragraph" w:customStyle="1" w:styleId="153">
    <w:name w:val="目录 91"/>
    <w:basedOn w:val="152"/>
    <w:autoRedefine/>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0"/>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0"/>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0"/>
    <w:qFormat/>
    <w:uiPriority w:val="0"/>
    <w:rPr>
      <w:rFonts w:ascii="黑体" w:eastAsia="黑体"/>
      <w:spacing w:val="85"/>
      <w:w w:val="100"/>
      <w:position w:val="3"/>
      <w:sz w:val="28"/>
      <w:szCs w:val="28"/>
    </w:rPr>
  </w:style>
  <w:style w:type="paragraph" w:customStyle="1" w:styleId="234">
    <w:name w:val="段"/>
    <w:link w:val="23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position w:val="6"/>
      <w:sz w:val="21"/>
      <w:lang w:val="en-US" w:eastAsia="zh-CN" w:bidi="ar-SA"/>
    </w:rPr>
  </w:style>
  <w:style w:type="character" w:customStyle="1" w:styleId="235">
    <w:name w:val="段 Char"/>
    <w:link w:val="234"/>
    <w:autoRedefine/>
    <w:qFormat/>
    <w:uiPriority w:val="0"/>
    <w:rPr>
      <w:rFonts w:ascii="宋体" w:hAnsi="Times New Roman"/>
      <w:position w:val="6"/>
      <w:sz w:val="21"/>
    </w:rPr>
  </w:style>
  <w:style w:type="paragraph" w:customStyle="1" w:styleId="236">
    <w:name w:val="一级条标题"/>
    <w:next w:val="234"/>
    <w:autoRedefine/>
    <w:qFormat/>
    <w:uiPriority w:val="0"/>
    <w:pPr>
      <w:spacing w:before="50" w:beforeLines="50" w:after="50" w:afterLines="50"/>
      <w:outlineLvl w:val="1"/>
    </w:pPr>
    <w:rPr>
      <w:rFonts w:ascii="黑体" w:hAnsi="黑体" w:eastAsia="黑体" w:cs="Times New Roman"/>
      <w:sz w:val="21"/>
      <w:szCs w:val="21"/>
      <w:lang w:val="en-US" w:eastAsia="zh-CN" w:bidi="ar-SA"/>
    </w:rPr>
  </w:style>
  <w:style w:type="character" w:customStyle="1" w:styleId="237">
    <w:name w:val="批注文字 字符"/>
    <w:basedOn w:val="30"/>
    <w:link w:val="13"/>
    <w:qFormat/>
    <w:uiPriority w:val="99"/>
    <w:rPr>
      <w:rFonts w:ascii="Times New Roman" w:hAnsi="Times New Roman"/>
      <w:kern w:val="2"/>
      <w:sz w:val="21"/>
      <w:szCs w:val="24"/>
    </w:rPr>
  </w:style>
  <w:style w:type="paragraph" w:customStyle="1" w:styleId="238">
    <w:name w:val="章标题"/>
    <w:next w:val="234"/>
    <w:autoRedefine/>
    <w:qFormat/>
    <w:uiPriority w:val="0"/>
    <w:pPr>
      <w:numPr>
        <w:ilvl w:val="0"/>
        <w:numId w:val="32"/>
      </w:numPr>
      <w:spacing w:before="312" w:beforeLines="100" w:after="312" w:afterLines="100"/>
      <w:jc w:val="both"/>
      <w:outlineLvl w:val="0"/>
    </w:pPr>
    <w:rPr>
      <w:rFonts w:ascii="黑体" w:hAnsi="Times New Roman" w:eastAsia="黑体" w:cs="Times New Roman"/>
      <w:sz w:val="21"/>
      <w:lang w:val="en-US" w:eastAsia="zh-CN" w:bidi="ar-SA"/>
    </w:rPr>
  </w:style>
  <w:style w:type="paragraph" w:customStyle="1" w:styleId="239">
    <w:name w:val="二级条标题"/>
    <w:basedOn w:val="236"/>
    <w:next w:val="234"/>
    <w:autoRedefine/>
    <w:qFormat/>
    <w:uiPriority w:val="0"/>
    <w:pPr>
      <w:outlineLvl w:val="2"/>
    </w:pPr>
  </w:style>
  <w:style w:type="paragraph" w:customStyle="1" w:styleId="240">
    <w:name w:val="数字编号列项（二级）"/>
    <w:autoRedefine/>
    <w:qFormat/>
    <w:uiPriority w:val="0"/>
    <w:pPr>
      <w:tabs>
        <w:tab w:val="left" w:pos="840"/>
        <w:tab w:val="left" w:pos="1260"/>
      </w:tabs>
      <w:ind w:left="1259" w:hanging="419"/>
      <w:jc w:val="both"/>
    </w:pPr>
    <w:rPr>
      <w:rFonts w:ascii="宋体" w:hAnsi="Times New Roman" w:eastAsia="宋体" w:cs="Times New Roman"/>
      <w:sz w:val="21"/>
      <w:lang w:val="en-US" w:eastAsia="zh-CN" w:bidi="ar-SA"/>
    </w:rPr>
  </w:style>
  <w:style w:type="paragraph" w:customStyle="1" w:styleId="241">
    <w:name w:val="字母编号列项（一级）"/>
    <w:autoRedefine/>
    <w:qFormat/>
    <w:uiPriority w:val="0"/>
    <w:pPr>
      <w:tabs>
        <w:tab w:val="left" w:pos="840"/>
      </w:tabs>
      <w:ind w:left="839" w:hanging="419"/>
      <w:jc w:val="both"/>
    </w:pPr>
    <w:rPr>
      <w:rFonts w:ascii="宋体" w:hAnsi="Times New Roman" w:eastAsia="宋体" w:cs="Times New Roman"/>
      <w:sz w:val="21"/>
      <w:lang w:val="en-US" w:eastAsia="zh-CN" w:bidi="ar-SA"/>
    </w:rPr>
  </w:style>
  <w:style w:type="paragraph" w:customStyle="1" w:styleId="242">
    <w:name w:val="编号列项（三级）"/>
    <w:autoRedefine/>
    <w:qFormat/>
    <w:uiPriority w:val="0"/>
    <w:pPr>
      <w:tabs>
        <w:tab w:val="left" w:pos="0"/>
        <w:tab w:val="left" w:pos="840"/>
      </w:tabs>
      <w:ind w:left="1679" w:hanging="420"/>
    </w:pPr>
    <w:rPr>
      <w:rFonts w:ascii="宋体" w:hAnsi="Times New Roman" w:eastAsia="宋体" w:cs="Times New Roman"/>
      <w:sz w:val="21"/>
      <w:lang w:val="en-US" w:eastAsia="zh-CN" w:bidi="ar-SA"/>
    </w:rPr>
  </w:style>
  <w:style w:type="paragraph" w:customStyle="1" w:styleId="243">
    <w:name w:val="二级无"/>
    <w:basedOn w:val="239"/>
    <w:autoRedefine/>
    <w:qFormat/>
    <w:uiPriority w:val="0"/>
    <w:pPr>
      <w:numPr>
        <w:ilvl w:val="2"/>
        <w:numId w:val="33"/>
      </w:numPr>
      <w:tabs>
        <w:tab w:val="left" w:pos="0"/>
      </w:tabs>
      <w:spacing w:before="0" w:beforeLines="0" w:after="0" w:afterLines="0"/>
    </w:pPr>
    <w:rPr>
      <w:rFonts w:ascii="宋体" w:eastAsia="宋体"/>
    </w:rPr>
  </w:style>
  <w:style w:type="paragraph" w:customStyle="1" w:styleId="244">
    <w:name w:val="三级无"/>
    <w:basedOn w:val="1"/>
    <w:autoRedefine/>
    <w:qFormat/>
    <w:uiPriority w:val="0"/>
    <w:pPr>
      <w:widowControl/>
      <w:adjustRightInd/>
      <w:spacing w:before="50" w:after="50" w:line="240" w:lineRule="auto"/>
      <w:jc w:val="left"/>
      <w:outlineLvl w:val="4"/>
    </w:pPr>
    <w:rPr>
      <w:rFonts w:ascii="宋体" w:hAnsi="黑体"/>
      <w:kern w:val="0"/>
    </w:rPr>
  </w:style>
  <w:style w:type="paragraph" w:customStyle="1" w:styleId="245">
    <w:name w:val="一级无"/>
    <w:basedOn w:val="236"/>
    <w:autoRedefine/>
    <w:qFormat/>
    <w:uiPriority w:val="0"/>
    <w:pPr>
      <w:spacing w:beforeLines="0" w:afterLines="0"/>
    </w:pPr>
    <w:rPr>
      <w:rFonts w:ascii="宋体" w:eastAsia="宋体"/>
    </w:rPr>
  </w:style>
  <w:style w:type="paragraph" w:customStyle="1" w:styleId="246">
    <w:name w:val="正文表标题"/>
    <w:next w:val="234"/>
    <w:autoRedefine/>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247">
    <w:name w:val="Revision"/>
    <w:hidden/>
    <w:unhideWhenUsed/>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2E82B73FA374EC5B6C35679C5A4BFF0"/>
        <w:style w:val=""/>
        <w:category>
          <w:name w:val="常规"/>
          <w:gallery w:val="placeholder"/>
        </w:category>
        <w:types>
          <w:type w:val="bbPlcHdr"/>
        </w:types>
        <w:behaviors>
          <w:behavior w:val="content"/>
        </w:behaviors>
        <w:description w:val=""/>
        <w:guid w:val="{BAB3AF00-8FE4-4441-B504-DF17104AD9B5}"/>
      </w:docPartPr>
      <w:docPartBody>
        <w:p w14:paraId="3726CB35">
          <w:pPr>
            <w:pStyle w:val="5"/>
            <w:rPr>
              <w:rFonts w:hint="eastAsia"/>
            </w:rPr>
          </w:pPr>
          <w:r>
            <w:rPr>
              <w:rStyle w:val="4"/>
              <w:rFonts w:hint="eastAsia"/>
            </w:rPr>
            <w:t>单击或点击此处输入文字。</w:t>
          </w:r>
        </w:p>
      </w:docPartBody>
    </w:docPart>
    <w:docPart>
      <w:docPartPr>
        <w:name w:val="3145D554105D4736A924F2731051BC3F"/>
        <w:style w:val=""/>
        <w:category>
          <w:name w:val="常规"/>
          <w:gallery w:val="placeholder"/>
        </w:category>
        <w:types>
          <w:type w:val="bbPlcHdr"/>
        </w:types>
        <w:behaviors>
          <w:behavior w:val="content"/>
        </w:behaviors>
        <w:description w:val=""/>
        <w:guid w:val="{259C5F5C-384A-47D1-B718-EBC981D0E730}"/>
      </w:docPartPr>
      <w:docPartBody>
        <w:p w14:paraId="70EBD399">
          <w:pPr>
            <w:pStyle w:val="6"/>
            <w:rPr>
              <w:rFonts w:hint="eastAsia"/>
            </w:rPr>
          </w:pPr>
          <w:r>
            <w:rPr>
              <w:rStyle w:val="4"/>
              <w:rFonts w:hint="eastAsia"/>
            </w:rPr>
            <w:t>选择一项。</w:t>
          </w:r>
        </w:p>
      </w:docPartBody>
    </w:docPart>
    <w:docPart>
      <w:docPartPr>
        <w:name w:val="1895033BC973406A8BB373E658E7D308"/>
        <w:style w:val=""/>
        <w:category>
          <w:name w:val="常规"/>
          <w:gallery w:val="placeholder"/>
        </w:category>
        <w:types>
          <w:type w:val="bbPlcHdr"/>
        </w:types>
        <w:behaviors>
          <w:behavior w:val="content"/>
        </w:behaviors>
        <w:description w:val=""/>
        <w:guid w:val="{5A81E764-B748-4846-9CAA-EE8293A78DC5}"/>
      </w:docPartPr>
      <w:docPartBody>
        <w:p w14:paraId="6E669532">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B17"/>
    <w:rsid w:val="001E0145"/>
    <w:rsid w:val="005833D2"/>
    <w:rsid w:val="00707418"/>
    <w:rsid w:val="0087400E"/>
    <w:rsid w:val="00925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2E82B73FA374EC5B6C35679C5A4BFF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3145D554105D4736A924F2731051BC3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1895033BC973406A8BB373E658E7D30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8</Pages>
  <Words>743</Words>
  <Characters>997</Characters>
  <Lines>41</Lines>
  <Paragraphs>11</Paragraphs>
  <TotalTime>18</TotalTime>
  <ScaleCrop>false</ScaleCrop>
  <LinksUpToDate>false</LinksUpToDate>
  <CharactersWithSpaces>1081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2025-02-24T06:28:00Z</dcterms:created>
  <dc:creator>Administrator</dc:creator>
  <dc:description>&lt;config cover="true" show_menu="true" version="1.0.0" doctype="SDKXY"&gt;_x000d_
&lt;/config&gt;</dc:description>
  <cp:lastModifiedBy>penny</cp:lastModifiedBy>
  <cp:lastPrinted>2020-08-30T10:00:00Z</cp:lastPrinted>
  <dcterms:modified xsi:type="dcterms:W3CDTF">2025-04-10T08:33:13Z</dcterms:modified>
  <dc:title>地方标准</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eyJoZGlkIjoiYjk5ODM0YmMxOWJiYWQyNDU4MGIzYWRmYTA0ZmI5NDciLCJ1c2VySWQiOiI2MzQxNDAwNzgifQ==</vt:lpwstr>
  </property>
  <property fmtid="{D5CDD505-2E9C-101B-9397-08002B2CF9AE}" pid="15" name="KSOProductBuildVer">
    <vt:lpwstr>2052-12.1.0.20305</vt:lpwstr>
  </property>
  <property fmtid="{D5CDD505-2E9C-101B-9397-08002B2CF9AE}" pid="16" name="ICV">
    <vt:lpwstr>BE81161E54D247F0A377E4B0D004341C_12</vt:lpwstr>
  </property>
</Properties>
</file>