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A24B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3C0F168">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BF9D31C">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43.020</w:t>
            </w:r>
            <w:r>
              <w:rPr>
                <w:rFonts w:ascii="黑体" w:hAnsi="黑体" w:eastAsia="黑体"/>
                <w:sz w:val="21"/>
                <w:szCs w:val="21"/>
              </w:rPr>
              <w:fldChar w:fldCharType="end"/>
            </w:r>
            <w:bookmarkEnd w:id="0"/>
          </w:p>
        </w:tc>
      </w:tr>
      <w:tr w14:paraId="4F5D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DDD214A">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4752D25F">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T40</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C310E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4F14CE09">
            <w:pPr>
              <w:pStyle w:val="50"/>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30FAC00D">
      <w:pPr>
        <w:pStyle w:val="51"/>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1EA68093">
      <w:pPr>
        <w:pStyle w:val="196"/>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XXXX</w:t>
      </w:r>
      <w:r>
        <w:fldChar w:fldCharType="end"/>
      </w:r>
      <w:bookmarkEnd w:id="7"/>
    </w:p>
    <w:p w14:paraId="749F56AC">
      <w:pPr>
        <w:pStyle w:val="197"/>
        <w:framePr/>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1FCD0B6F">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83C5A0C">
      <w:pPr>
        <w:pStyle w:val="51"/>
        <w:framePr w:w="9639" w:h="6976" w:hRule="exact" w:hSpace="0" w:vSpace="0" w:wrap="around" w:hAnchor="page" w:y="6408"/>
        <w:jc w:val="center"/>
        <w:rPr>
          <w:rFonts w:hint="eastAsia" w:ascii="黑体" w:hAnsi="黑体" w:eastAsia="黑体"/>
          <w:b w:val="0"/>
          <w:bCs w:val="0"/>
          <w:w w:val="100"/>
        </w:rPr>
      </w:pPr>
    </w:p>
    <w:p w14:paraId="5E574517">
      <w:pPr>
        <w:pStyle w:val="198"/>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智能网联汽车数据安全要求</w:t>
      </w:r>
      <w:r>
        <w:fldChar w:fldCharType="end"/>
      </w:r>
      <w:bookmarkEnd w:id="9"/>
    </w:p>
    <w:p w14:paraId="55026F2D">
      <w:pPr>
        <w:framePr w:w="9639" w:h="6974" w:hRule="exact" w:wrap="around" w:vAnchor="page" w:hAnchor="page" w:x="1419" w:y="6408" w:anchorLock="1"/>
        <w:ind w:left="-1418"/>
      </w:pPr>
    </w:p>
    <w:p w14:paraId="596FF9CC">
      <w:pPr>
        <w:pStyle w:val="126"/>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Requirements of data security for intelligent and connected vehicles</w:t>
      </w:r>
      <w:r>
        <w:rPr>
          <w:rFonts w:ascii="黑体" w:hAnsi="黑体" w:eastAsia="黑体"/>
          <w:szCs w:val="28"/>
        </w:rPr>
        <w:fldChar w:fldCharType="end"/>
      </w:r>
      <w:bookmarkEnd w:id="10"/>
    </w:p>
    <w:p w14:paraId="37CEE8E4">
      <w:pPr>
        <w:framePr w:w="9639" w:h="6974" w:hRule="exact" w:wrap="around" w:vAnchor="page" w:hAnchor="page" w:x="1419" w:y="6408" w:anchorLock="1"/>
        <w:spacing w:line="760" w:lineRule="exact"/>
        <w:ind w:left="-1418"/>
      </w:pPr>
    </w:p>
    <w:p w14:paraId="17C94E3E">
      <w:pPr>
        <w:pStyle w:val="126"/>
        <w:framePr w:w="9639" w:h="6974" w:hRule="exact" w:wrap="around" w:vAnchor="page" w:hAnchor="page" w:x="1419" w:y="6408" w:anchorLock="1"/>
        <w:textAlignment w:val="bottom"/>
        <w:rPr>
          <w:rFonts w:eastAsia="黑体"/>
          <w:szCs w:val="28"/>
        </w:rPr>
      </w:pPr>
    </w:p>
    <w:p w14:paraId="20CB6B14">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36D7ADD7">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B34E734">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07965E0E">
      <w:pPr>
        <w:pStyle w:val="194"/>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EA3005A">
      <w:pPr>
        <w:pStyle w:val="195"/>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3E513830">
      <w:pPr>
        <w:pStyle w:val="152"/>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20"/>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4CE56BD1">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8661DB9">
      <w:pPr>
        <w:spacing w:line="20" w:lineRule="exact"/>
        <w:jc w:val="center"/>
        <w:rPr>
          <w:rFonts w:hint="eastAsia" w:ascii="黑体" w:hAnsi="黑体" w:eastAsia="黑体"/>
          <w:sz w:val="32"/>
          <w:szCs w:val="32"/>
        </w:rPr>
      </w:pPr>
      <w:bookmarkStart w:id="21" w:name="BookMark4"/>
    </w:p>
    <w:p w14:paraId="208F1228">
      <w:pPr>
        <w:spacing w:line="20" w:lineRule="exact"/>
        <w:jc w:val="center"/>
        <w:rPr>
          <w:rFonts w:hint="eastAsia" w:ascii="黑体" w:hAnsi="黑体" w:eastAsia="黑体"/>
          <w:sz w:val="32"/>
          <w:szCs w:val="32"/>
        </w:rPr>
      </w:pPr>
    </w:p>
    <w:sdt>
      <w:sdtPr>
        <w:tag w:val="NEW_STAND_NAME"/>
        <w:id w:val="595910757"/>
        <w:lock w:val="sdtLocked"/>
        <w:placeholder>
          <w:docPart w:val="8B1FE080219246A487BCC2A9B748B71D"/>
        </w:placeholder>
      </w:sdtPr>
      <w:sdtContent>
        <w:p w14:paraId="2BB85B1B">
          <w:pPr>
            <w:pStyle w:val="178"/>
            <w:spacing w:before="3" w:beforeLines="1" w:after="686" w:afterLines="220"/>
            <w:rPr>
              <w:rFonts w:hint="eastAsia"/>
            </w:rPr>
          </w:pPr>
          <w:bookmarkStart w:id="22" w:name="NEW_STAND_NAME"/>
          <w:r>
            <w:rPr>
              <w:rFonts w:hint="eastAsia"/>
            </w:rPr>
            <w:t>智能网联汽车数据安全要求</w:t>
          </w:r>
        </w:p>
      </w:sdtContent>
    </w:sdt>
    <w:bookmarkEnd w:id="22"/>
    <w:p w14:paraId="5A8BD4BA">
      <w:pPr>
        <w:pStyle w:val="105"/>
        <w:spacing w:before="312" w:after="312"/>
      </w:pPr>
      <w:bookmarkStart w:id="23" w:name="_Toc24884218"/>
      <w:bookmarkStart w:id="24" w:name="_Toc17233333"/>
      <w:bookmarkStart w:id="25" w:name="_Toc26986530"/>
      <w:bookmarkStart w:id="26" w:name="_Toc26648465"/>
      <w:bookmarkStart w:id="27" w:name="_Toc26718930"/>
      <w:bookmarkStart w:id="28" w:name="_Toc26986771"/>
      <w:bookmarkStart w:id="29" w:name="_Toc24884211"/>
      <w:bookmarkStart w:id="30" w:name="_Toc97191423"/>
      <w:bookmarkStart w:id="31" w:name="_Toc17233325"/>
      <w:r>
        <w:rPr>
          <w:rFonts w:hint="eastAsia"/>
        </w:rPr>
        <w:t>范围</w:t>
      </w:r>
      <w:bookmarkEnd w:id="23"/>
      <w:bookmarkEnd w:id="24"/>
      <w:bookmarkEnd w:id="25"/>
      <w:bookmarkEnd w:id="26"/>
      <w:bookmarkEnd w:id="27"/>
      <w:bookmarkEnd w:id="28"/>
      <w:bookmarkEnd w:id="29"/>
      <w:bookmarkEnd w:id="30"/>
      <w:bookmarkEnd w:id="31"/>
    </w:p>
    <w:p w14:paraId="416CCD12">
      <w:pPr>
        <w:pStyle w:val="57"/>
        <w:ind w:firstLine="420"/>
      </w:pPr>
      <w:bookmarkStart w:id="32" w:name="_Toc24884219"/>
      <w:bookmarkStart w:id="33" w:name="_Toc24884212"/>
      <w:bookmarkStart w:id="34" w:name="_Toc17233326"/>
      <w:bookmarkStart w:id="35" w:name="_Toc17233334"/>
      <w:bookmarkStart w:id="36" w:name="_Toc26648466"/>
      <w:r>
        <w:t>本文件规定了智能网联汽车数据</w:t>
      </w:r>
      <w:r>
        <w:rPr>
          <w:rFonts w:hint="eastAsia"/>
        </w:rPr>
        <w:t>安全</w:t>
      </w:r>
      <w:r>
        <w:t>的一般要求、个人信息保护要求、重要数据保护要求、审核评估要求等。</w:t>
      </w:r>
    </w:p>
    <w:p w14:paraId="0603FBCB">
      <w:pPr>
        <w:pStyle w:val="57"/>
        <w:ind w:firstLine="420"/>
      </w:pPr>
      <w:r>
        <w:t>本文件适用于</w:t>
      </w:r>
      <w:r>
        <w:rPr>
          <w:rFonts w:hint="eastAsia"/>
        </w:rPr>
        <w:t>智能网联汽车的数据安全管理。</w:t>
      </w:r>
    </w:p>
    <w:p w14:paraId="61DF3C76">
      <w:pPr>
        <w:pStyle w:val="105"/>
        <w:spacing w:before="312" w:after="312"/>
      </w:pPr>
      <w:bookmarkStart w:id="37" w:name="_Toc26718931"/>
      <w:bookmarkStart w:id="38" w:name="_Toc26986531"/>
      <w:bookmarkStart w:id="39" w:name="_Toc97191424"/>
      <w:bookmarkStart w:id="40" w:name="_Toc26986772"/>
      <w:r>
        <w:rPr>
          <w:rFonts w:hint="eastAsia"/>
        </w:rPr>
        <w:t>规范性引用文件</w:t>
      </w:r>
      <w:bookmarkEnd w:id="32"/>
      <w:bookmarkEnd w:id="33"/>
      <w:bookmarkEnd w:id="34"/>
      <w:bookmarkEnd w:id="35"/>
      <w:bookmarkEnd w:id="36"/>
      <w:bookmarkEnd w:id="37"/>
      <w:bookmarkEnd w:id="38"/>
      <w:bookmarkEnd w:id="39"/>
      <w:bookmarkEnd w:id="40"/>
    </w:p>
    <w:sdt>
      <w:sdtPr>
        <w:rPr>
          <w:rFonts w:hint="eastAsia"/>
        </w:rPr>
        <w:id w:val="715848253"/>
        <w:placeholder>
          <w:docPart w:val="FD9A96587FA148728FADD90D149A7C0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C1F7107">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D40048A">
      <w:pPr>
        <w:pStyle w:val="231"/>
      </w:pPr>
      <w:r>
        <w:t>GB 14886  道路交通信号灯设置与安装规范</w:t>
      </w:r>
    </w:p>
    <w:p w14:paraId="4BFB0AA8">
      <w:pPr>
        <w:pStyle w:val="231"/>
      </w:pPr>
      <w:r>
        <w:t>GB 14887  道路交通信号灯</w:t>
      </w:r>
    </w:p>
    <w:p w14:paraId="78D4B7DA">
      <w:pPr>
        <w:pStyle w:val="231"/>
      </w:pPr>
      <w:r>
        <w:t>GB/T 38636—2020  信息安全技术 传输层密码协议（TLCP）</w:t>
      </w:r>
    </w:p>
    <w:p w14:paraId="139E2AD2">
      <w:pPr>
        <w:pStyle w:val="231"/>
      </w:pPr>
      <w:r>
        <w:rPr>
          <w:rFonts w:hint="eastAsia"/>
        </w:rPr>
        <w:t>GB/T 44464 车辆数据通用要求</w:t>
      </w:r>
    </w:p>
    <w:p w14:paraId="35DD813F">
      <w:pPr>
        <w:pStyle w:val="231"/>
        <w:ind w:firstLineChars="0"/>
      </w:pPr>
      <w:r>
        <w:rPr>
          <w:rFonts w:hint="eastAsia"/>
        </w:rPr>
        <w:t xml:space="preserve">GA/T 497-2016 </w:t>
      </w:r>
      <w:r>
        <w:t>道路车辆智能监测记录系统通用技术条件</w:t>
      </w:r>
    </w:p>
    <w:p w14:paraId="0DB42841">
      <w:pPr>
        <w:pStyle w:val="231"/>
      </w:pPr>
      <w:r>
        <w:t>DB4403/T 355—2023  智能网联汽车整车信息安全技术要求</w:t>
      </w:r>
    </w:p>
    <w:p w14:paraId="5378FB56">
      <w:pPr>
        <w:pStyle w:val="105"/>
        <w:spacing w:before="312" w:after="312"/>
      </w:pPr>
      <w:bookmarkStart w:id="41" w:name="_Toc97191425"/>
      <w:r>
        <w:rPr>
          <w:rFonts w:hint="eastAsia"/>
          <w:szCs w:val="21"/>
        </w:rPr>
        <w:t>术语和定义</w:t>
      </w:r>
      <w:bookmarkEnd w:id="41"/>
    </w:p>
    <w:sdt>
      <w:sdtPr>
        <w:id w:val="-1909835108"/>
        <w:placeholder>
          <w:docPart w:val="2FB4BEA1654D48399428B645F78B39D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34EF525">
          <w:pPr>
            <w:pStyle w:val="57"/>
            <w:ind w:firstLine="420"/>
          </w:pPr>
          <w:bookmarkStart w:id="42" w:name="_Toc26986532"/>
          <w:bookmarkEnd w:id="42"/>
          <w:r>
            <w:t>下列术语和定义适用于本文件。</w:t>
          </w:r>
        </w:p>
      </w:sdtContent>
    </w:sdt>
    <w:p w14:paraId="671F83A6">
      <w:pPr>
        <w:pStyle w:val="224"/>
        <w:ind w:left="480" w:hanging="480" w:hangingChars="200"/>
        <w:rPr>
          <w:rFonts w:hint="eastAsia" w:ascii="黑体" w:hAnsi="黑体" w:eastAsia="黑体"/>
        </w:rPr>
      </w:pPr>
      <w:r>
        <w:rPr>
          <w:rFonts w:ascii="黑体" w:hAnsi="黑体" w:eastAsia="黑体"/>
          <w:spacing w:val="15"/>
        </w:rPr>
        <w:t xml:space="preserve">汽车数据  </w:t>
      </w:r>
      <w:r>
        <w:rPr>
          <w:rFonts w:ascii="黑体" w:hAnsi="黑体" w:eastAsia="黑体"/>
        </w:rPr>
        <w:t>vehicle</w:t>
      </w:r>
      <w:r>
        <w:rPr>
          <w:rFonts w:ascii="黑体" w:hAnsi="黑体" w:eastAsia="黑体"/>
          <w:spacing w:val="14"/>
        </w:rPr>
        <w:t xml:space="preserve"> </w:t>
      </w:r>
      <w:r>
        <w:rPr>
          <w:rFonts w:ascii="黑体" w:hAnsi="黑体" w:eastAsia="黑体"/>
        </w:rPr>
        <w:t>data</w:t>
      </w:r>
    </w:p>
    <w:p w14:paraId="3F0A7722">
      <w:pPr>
        <w:pStyle w:val="231"/>
      </w:pPr>
      <w:r>
        <w:t>汽车设计、生产、销售、使用、运维、报废等过程中涉及的个人信息和重要数据。</w:t>
      </w:r>
    </w:p>
    <w:p w14:paraId="0F89288C">
      <w:pPr>
        <w:pStyle w:val="231"/>
        <w:ind w:firstLine="432"/>
        <w:rPr>
          <w:rFonts w:hint="eastAsia" w:hAnsi="宋体" w:cs="宋体"/>
          <w:sz w:val="20"/>
        </w:rPr>
      </w:pPr>
      <w:r>
        <w:rPr>
          <w:rFonts w:hAnsi="宋体" w:cs="宋体"/>
          <w:spacing w:val="8"/>
          <w:sz w:val="20"/>
        </w:rPr>
        <w:t>[来源：汽车数据安全管理若干规定（试行）</w:t>
      </w:r>
      <w:r>
        <w:rPr>
          <w:rFonts w:hint="eastAsia" w:hAnsi="宋体" w:cs="宋体"/>
          <w:spacing w:val="8"/>
          <w:sz w:val="20"/>
        </w:rPr>
        <w:t>，</w:t>
      </w:r>
      <w:r>
        <w:rPr>
          <w:rFonts w:hAnsi="宋体" w:cs="宋体"/>
          <w:spacing w:val="8"/>
          <w:sz w:val="20"/>
        </w:rPr>
        <w:t>第三条</w:t>
      </w:r>
      <w:r>
        <w:rPr>
          <w:rFonts w:hint="eastAsia" w:hAnsi="宋体" w:cs="宋体"/>
          <w:spacing w:val="8"/>
          <w:sz w:val="20"/>
        </w:rPr>
        <w:t>，</w:t>
      </w:r>
      <w:r>
        <w:rPr>
          <w:rFonts w:hAnsi="宋体" w:cs="宋体"/>
          <w:spacing w:val="7"/>
          <w:sz w:val="20"/>
        </w:rPr>
        <w:t>有改写]</w:t>
      </w:r>
    </w:p>
    <w:p w14:paraId="1BE54A7E">
      <w:pPr>
        <w:pStyle w:val="224"/>
        <w:ind w:left="488" w:hanging="488" w:hangingChars="200"/>
        <w:rPr>
          <w:rFonts w:hint="eastAsia" w:ascii="黑体" w:hAnsi="黑体" w:eastAsia="黑体"/>
        </w:rPr>
      </w:pPr>
      <w:r>
        <w:rPr>
          <w:rFonts w:ascii="黑体" w:hAnsi="黑体" w:eastAsia="黑体"/>
          <w:spacing w:val="17"/>
        </w:rPr>
        <w:br w:type="textWrapping"/>
      </w:r>
      <w:r>
        <w:rPr>
          <w:rFonts w:ascii="黑体" w:hAnsi="黑体" w:eastAsia="黑体"/>
          <w:spacing w:val="17"/>
        </w:rPr>
        <w:t xml:space="preserve">汽车数据处理  </w:t>
      </w:r>
      <w:r>
        <w:rPr>
          <w:rFonts w:ascii="黑体" w:hAnsi="黑体" w:eastAsia="黑体"/>
        </w:rPr>
        <w:t>vehicle</w:t>
      </w:r>
      <w:r>
        <w:rPr>
          <w:rFonts w:ascii="黑体" w:hAnsi="黑体" w:eastAsia="黑体"/>
          <w:spacing w:val="17"/>
        </w:rPr>
        <w:t xml:space="preserve"> </w:t>
      </w:r>
      <w:r>
        <w:rPr>
          <w:rFonts w:ascii="黑体" w:hAnsi="黑体" w:eastAsia="黑体"/>
        </w:rPr>
        <w:t>data</w:t>
      </w:r>
      <w:r>
        <w:rPr>
          <w:rFonts w:ascii="黑体" w:hAnsi="黑体" w:eastAsia="黑体"/>
          <w:spacing w:val="17"/>
        </w:rPr>
        <w:t xml:space="preserve"> </w:t>
      </w:r>
      <w:r>
        <w:rPr>
          <w:rFonts w:ascii="黑体" w:hAnsi="黑体" w:eastAsia="黑体"/>
        </w:rPr>
        <w:t>processin</w:t>
      </w:r>
      <w:r>
        <w:rPr>
          <w:rFonts w:hint="eastAsia" w:ascii="黑体" w:hAnsi="黑体" w:eastAsia="黑体"/>
        </w:rPr>
        <w:t>g</w:t>
      </w:r>
    </w:p>
    <w:p w14:paraId="46679020">
      <w:pPr>
        <w:pStyle w:val="231"/>
      </w:pPr>
      <w:r>
        <w:t>汽车数据收集、存储、使用、加工、传输、提供、公开、删除等过程</w:t>
      </w:r>
      <w:r>
        <w:rPr>
          <w:rFonts w:hint="eastAsia"/>
        </w:rPr>
        <w:t>。</w:t>
      </w:r>
    </w:p>
    <w:p w14:paraId="0E10F8FD">
      <w:pPr>
        <w:pStyle w:val="231"/>
      </w:pPr>
      <w:r>
        <w:t>[来源：汽车数据安全管理若干规定（试行）</w:t>
      </w:r>
      <w:r>
        <w:rPr>
          <w:rFonts w:hint="eastAsia"/>
        </w:rPr>
        <w:t>，</w:t>
      </w:r>
      <w:r>
        <w:t>第三条</w:t>
      </w:r>
      <w:r>
        <w:rPr>
          <w:rFonts w:hint="eastAsia"/>
        </w:rPr>
        <w:t>，</w:t>
      </w:r>
      <w:r>
        <w:t>有改写]</w:t>
      </w:r>
    </w:p>
    <w:p w14:paraId="3C2CC1D3">
      <w:pPr>
        <w:pStyle w:val="224"/>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重要数据 important data</w:t>
      </w:r>
    </w:p>
    <w:p w14:paraId="1C14932C">
      <w:pPr>
        <w:pStyle w:val="231"/>
      </w:pPr>
      <w:r>
        <w:t>重要数据则是指特定领域、特定群体、特定区域或达到一定精度和规模的数据，一旦被泄露或篡改、损毁，可能直接危害国家安全、经济运行、社会稳定、公共健康和安全</w:t>
      </w:r>
      <w:r>
        <w:rPr>
          <w:rFonts w:hint="eastAsia"/>
        </w:rPr>
        <w:t>。</w:t>
      </w:r>
    </w:p>
    <w:p w14:paraId="5C5EB874">
      <w:pPr>
        <w:pStyle w:val="105"/>
        <w:spacing w:before="312" w:after="312"/>
      </w:pPr>
      <w:bookmarkStart w:id="43" w:name="_Toc9734"/>
      <w:r>
        <w:rPr>
          <w:rFonts w:hint="eastAsia"/>
        </w:rPr>
        <w:t>一般要求</w:t>
      </w:r>
      <w:bookmarkEnd w:id="43"/>
    </w:p>
    <w:p w14:paraId="38D72032">
      <w:pPr>
        <w:pStyle w:val="106"/>
        <w:spacing w:before="156" w:after="156"/>
      </w:pPr>
      <w:r>
        <w:t>汽车数据安全管理体系要求</w:t>
      </w:r>
    </w:p>
    <w:p w14:paraId="2FFAE0C7">
      <w:pPr>
        <w:pStyle w:val="166"/>
      </w:pPr>
      <w:r>
        <w:rPr>
          <w:rFonts w:hint="eastAsia"/>
        </w:rPr>
        <w:t>汽车数据处理者应建立汽车数据安全管理体系，落实汽车数据安全管理制度。</w:t>
      </w:r>
    </w:p>
    <w:p w14:paraId="468DF820">
      <w:pPr>
        <w:pStyle w:val="166"/>
      </w:pPr>
      <w:r>
        <w:rPr>
          <w:rFonts w:hint="eastAsia"/>
        </w:rPr>
        <w:t>汽车数据处理者应采取汽车数据安全保护技术措施，保证数据持续处于有效保护和合法利用的状态。</w:t>
      </w:r>
    </w:p>
    <w:p w14:paraId="4F74C88E">
      <w:pPr>
        <w:pStyle w:val="166"/>
      </w:pPr>
      <w:r>
        <w:rPr>
          <w:rFonts w:hint="eastAsia"/>
        </w:rPr>
        <w:t>汽车数据处理者应制定汽车数据安全方针、分析汽车数据安全管理体系内外部环境并确定汽车 数据安全管理体系的边界及其适用范围。</w:t>
      </w:r>
    </w:p>
    <w:p w14:paraId="4E3EBCC3">
      <w:pPr>
        <w:pStyle w:val="166"/>
      </w:pPr>
      <w:r>
        <w:rPr>
          <w:rFonts w:hint="eastAsia"/>
        </w:rPr>
        <w:t>汽车数据处理者应建立汽车数据安全管理机构、确定相关人员职责并形成汽车数据安全文化。</w:t>
      </w:r>
    </w:p>
    <w:p w14:paraId="57DC6220">
      <w:pPr>
        <w:pStyle w:val="166"/>
      </w:pPr>
      <w:r>
        <w:rPr>
          <w:rFonts w:hint="eastAsia"/>
        </w:rPr>
        <w:t>汽车数据处理者应建立汽车数据分类分级制度，形成数据资产管理台账。</w:t>
      </w:r>
    </w:p>
    <w:p w14:paraId="3CAD44EF">
      <w:pPr>
        <w:pStyle w:val="166"/>
      </w:pPr>
      <w:r>
        <w:rPr>
          <w:rFonts w:hint="eastAsia"/>
        </w:rPr>
        <w:t>汽车数据安全管理体系应覆盖数据全生命周期，应制定数据收集、存储、使用、加工、传输、提供、公开、删除等过程的具体分级防护要求和操作规程。</w:t>
      </w:r>
    </w:p>
    <w:p w14:paraId="5E3A6076">
      <w:pPr>
        <w:pStyle w:val="166"/>
      </w:pPr>
      <w:r>
        <w:rPr>
          <w:rFonts w:hint="eastAsia"/>
        </w:rPr>
        <w:t>汽车数据处理者在境内收集和产生的个人信息和重要数据应按照有关法律法规规定在境内存储， 如需向境外提供，应通过数据出境安全评估。</w:t>
      </w:r>
    </w:p>
    <w:p w14:paraId="00936E54">
      <w:pPr>
        <w:pStyle w:val="166"/>
      </w:pPr>
      <w:r>
        <w:rPr>
          <w:rFonts w:hint="eastAsia"/>
        </w:rPr>
        <w:t>汽车数据处理者应针对车辆全生命周期制定数据安全流程管理制度。</w:t>
      </w:r>
    </w:p>
    <w:p w14:paraId="32FC4FBA">
      <w:pPr>
        <w:pStyle w:val="166"/>
      </w:pPr>
      <w:r>
        <w:rPr>
          <w:rFonts w:hint="eastAsia"/>
        </w:rPr>
        <w:t>注：车辆全生命周期包括车辆的概念设计、产品开发、验证确认、运维及报废等阶段。</w:t>
      </w:r>
    </w:p>
    <w:p w14:paraId="148B69CA">
      <w:pPr>
        <w:pStyle w:val="166"/>
      </w:pPr>
      <w:r>
        <w:rPr>
          <w:rFonts w:hint="eastAsia"/>
        </w:rPr>
        <w:t>汽车数据处理者应建立汽车数据安全监测和事件管理制度，发现汽车数据安全缺陷、漏洞等风 险时，应立即采取补救措施；发生汽车数据安全事件时应立即采取处置措施，按照规定及时告知用户并向有关主管部门报告。</w:t>
      </w:r>
    </w:p>
    <w:p w14:paraId="436639D8">
      <w:pPr>
        <w:pStyle w:val="166"/>
      </w:pPr>
      <w:r>
        <w:rPr>
          <w:rFonts w:hint="eastAsia"/>
        </w:rPr>
        <w:t>汽车数据处理者应建立投诉举报处理机制，建立数据安全投诉举报渠道并及时受理、处置数据安全投诉举报。</w:t>
      </w:r>
    </w:p>
    <w:p w14:paraId="43C5F24A">
      <w:pPr>
        <w:pStyle w:val="166"/>
      </w:pPr>
      <w:r>
        <w:rPr>
          <w:rFonts w:hint="eastAsia"/>
        </w:rPr>
        <w:t>汽车数据处理者开展汽车数据处理活动应进行风险管理。</w:t>
      </w:r>
    </w:p>
    <w:p w14:paraId="1BECE8BC">
      <w:pPr>
        <w:pStyle w:val="106"/>
        <w:spacing w:before="156" w:after="156"/>
      </w:pPr>
      <w:r>
        <w:rPr>
          <w:rFonts w:hint="eastAsia"/>
        </w:rPr>
        <w:t>汽车数据处理的一般要求</w:t>
      </w:r>
    </w:p>
    <w:p w14:paraId="6AA944B1">
      <w:pPr>
        <w:pStyle w:val="166"/>
      </w:pPr>
      <w:r>
        <w:rPr>
          <w:rFonts w:hint="eastAsia"/>
        </w:rPr>
        <w:t>汽车数据处理者处理个人信息应符合第 5 章的要求。</w:t>
      </w:r>
    </w:p>
    <w:p w14:paraId="7ABD36AE">
      <w:pPr>
        <w:pStyle w:val="166"/>
      </w:pPr>
      <w:r>
        <w:rPr>
          <w:rFonts w:hint="eastAsia"/>
        </w:rPr>
        <w:t>汽车数据处理者处理敏感个人信息应符合第 5 章的要求。</w:t>
      </w:r>
    </w:p>
    <w:p w14:paraId="47E79F21">
      <w:pPr>
        <w:pStyle w:val="166"/>
      </w:pPr>
      <w:r>
        <w:rPr>
          <w:rFonts w:hint="eastAsia"/>
        </w:rPr>
        <w:t>汽车数据处理者处理个人信息时，车内处理和默认不收集行为应符合5.1.1的要求，精度范围 适用应符合5.3的要求，脱敏处理行为应符合5.6.1.4的要求，显著告知行为应符合5.2.1的要求。</w:t>
      </w:r>
    </w:p>
    <w:p w14:paraId="1BD0A0D0">
      <w:pPr>
        <w:pStyle w:val="166"/>
      </w:pPr>
      <w:r>
        <w:rPr>
          <w:rFonts w:hint="eastAsia"/>
        </w:rPr>
        <w:t>汽车数据处理者处理重要数据应符合第6章的要求。</w:t>
      </w:r>
    </w:p>
    <w:p w14:paraId="2DB60DA7">
      <w:pPr>
        <w:pStyle w:val="166"/>
      </w:pPr>
      <w:r>
        <w:rPr>
          <w:rFonts w:hint="eastAsia"/>
        </w:rPr>
        <w:t>汽车数据处理者处理重要数据时，车内处理和默认不收集行为应符合6.1的要求，精度范围应符合6.2的要求。</w:t>
      </w:r>
    </w:p>
    <w:p w14:paraId="3C367B16">
      <w:pPr>
        <w:pStyle w:val="166"/>
      </w:pPr>
      <w:r>
        <w:rPr>
          <w:rFonts w:hint="eastAsia"/>
        </w:rPr>
        <w:t>汽车数据处理者处理的数据既属于个人信息也属于重要数据时，应同时符合第5章和第6章的要求。</w:t>
      </w:r>
    </w:p>
    <w:p w14:paraId="111CD668">
      <w:pPr>
        <w:pStyle w:val="105"/>
        <w:spacing w:before="312" w:after="312"/>
      </w:pPr>
      <w:bookmarkStart w:id="44" w:name="_Toc21732"/>
      <w:r>
        <w:t>个人信息保护要求</w:t>
      </w:r>
      <w:bookmarkEnd w:id="44"/>
    </w:p>
    <w:p w14:paraId="1A5A1E56">
      <w:pPr>
        <w:pStyle w:val="106"/>
        <w:spacing w:before="156" w:after="156"/>
      </w:pPr>
      <w:r>
        <w:rPr>
          <w:spacing w:val="7"/>
        </w:rPr>
        <w:t>个人信</w:t>
      </w:r>
      <w:r>
        <w:rPr>
          <w:rStyle w:val="246"/>
        </w:rPr>
        <w:t>息处理通用</w:t>
      </w:r>
      <w:r>
        <w:rPr>
          <w:spacing w:val="7"/>
        </w:rPr>
        <w:t>要求</w:t>
      </w:r>
    </w:p>
    <w:p w14:paraId="0E4A98D2">
      <w:pPr>
        <w:pStyle w:val="166"/>
      </w:pPr>
      <w:r>
        <w:rPr>
          <w:rFonts w:hint="eastAsia"/>
          <w:spacing w:val="9"/>
        </w:rPr>
        <w:t>汽车数</w:t>
      </w:r>
      <w:r>
        <w:rPr>
          <w:rFonts w:hint="eastAsia"/>
        </w:rPr>
        <w:t>据处理者处理个人信息应具有明确、合理的目的，并应与处理目的直接相关，采取对个 人权益影响最小的方式。除非驾驶人自主设定，车辆应默认设定为不收集个人信息的状态；除非取得</w:t>
      </w:r>
      <w:bookmarkStart w:id="48" w:name="_GoBack"/>
      <w:bookmarkEnd w:id="48"/>
      <w:r>
        <w:rPr>
          <w:rFonts w:hint="eastAsia"/>
        </w:rPr>
        <w:t>个人信息主体同意，不应向车外提供个人信息。</w:t>
      </w:r>
    </w:p>
    <w:p w14:paraId="5ED56004">
      <w:pPr>
        <w:pStyle w:val="166"/>
      </w:pPr>
      <w:r>
        <w:rPr>
          <w:rFonts w:hint="eastAsia"/>
        </w:rPr>
        <w:t>满足以下例外情形时，汽车数据处理者处理个人信息可不取得个人同意：</w:t>
      </w:r>
    </w:p>
    <w:p w14:paraId="3AD16E58">
      <w:pPr>
        <w:pStyle w:val="175"/>
      </w:pPr>
      <w:r>
        <w:t>用于紧急情况下为保护自然人的生命健康和财产安全所必需的功能；</w:t>
      </w:r>
    </w:p>
    <w:p w14:paraId="0F82E73C">
      <w:pPr>
        <w:pStyle w:val="175"/>
      </w:pPr>
      <w:r>
        <w:t>处理个人自行公开或者其他已经合法公开的个人信息；</w:t>
      </w:r>
      <w:r>
        <w:rPr>
          <w:rFonts w:hint="eastAsia"/>
        </w:rPr>
        <w:t xml:space="preserve"> </w:t>
      </w:r>
    </w:p>
    <w:p w14:paraId="2BEDA44B">
      <w:pPr>
        <w:pStyle w:val="175"/>
      </w:pPr>
      <w:r>
        <w:t>因保证行车安全需要，无法征得个人同意收集到车外个人信息。</w:t>
      </w:r>
    </w:p>
    <w:p w14:paraId="56C48D43">
      <w:pPr>
        <w:pStyle w:val="166"/>
      </w:pPr>
      <w:r>
        <w:rPr>
          <w:rFonts w:hint="eastAsia"/>
        </w:rPr>
        <w:t>其他符合法律、行政法规和强制性国家标准等规定的情形。汽车数据处理者应通过产品说明书、 合同书、个人信息保护政策等至少一种形式提供取得个人同意的例外情形及理由。</w:t>
      </w:r>
    </w:p>
    <w:p w14:paraId="4D6C3023">
      <w:pPr>
        <w:pStyle w:val="166"/>
      </w:pPr>
      <w:r>
        <w:rPr>
          <w:rFonts w:hint="eastAsia"/>
        </w:rPr>
        <w:t>撤回个人同意，不影响撤回前基于个人同意已进行的个人信息处理活动的效力。</w:t>
      </w:r>
    </w:p>
    <w:p w14:paraId="4A7F7EAA">
      <w:pPr>
        <w:pStyle w:val="166"/>
      </w:pPr>
      <w:r>
        <w:rPr>
          <w:rFonts w:hint="eastAsia"/>
        </w:rPr>
        <w:t>基于个人同意而处理的个人信息，存储期限应与取得同意的个人信息存储期限或其规则一致。</w:t>
      </w:r>
    </w:p>
    <w:p w14:paraId="182B1255">
      <w:pPr>
        <w:pStyle w:val="166"/>
      </w:pPr>
      <w:r>
        <w:rPr>
          <w:rFonts w:hint="eastAsia"/>
        </w:rPr>
        <w:t>除取得个人同意外，汽车不应向车外提供座舱数据。</w:t>
      </w:r>
    </w:p>
    <w:p w14:paraId="476B00CC">
      <w:pPr>
        <w:pStyle w:val="166"/>
      </w:pPr>
      <w:r>
        <w:rPr>
          <w:rFonts w:hint="eastAsia"/>
        </w:rPr>
        <w:t>有下列情形之一的，汽车数据处理者应主动删除个人信息或匿名化处理，汽车数据处理者未删除的，个人有权请求删除：</w:t>
      </w:r>
    </w:p>
    <w:p w14:paraId="6F0A7B9B">
      <w:pPr>
        <w:pStyle w:val="175"/>
        <w:numPr>
          <w:ilvl w:val="0"/>
          <w:numId w:val="33"/>
        </w:numPr>
      </w:pPr>
      <w:r>
        <w:t>处理目的已实现、无法实现或者</w:t>
      </w:r>
      <w:r>
        <w:rPr>
          <w:rFonts w:hint="eastAsia"/>
        </w:rPr>
        <w:t>未</w:t>
      </w:r>
      <w:r>
        <w:t>实现处理目的不再必要；</w:t>
      </w:r>
    </w:p>
    <w:p w14:paraId="0034DFED">
      <w:pPr>
        <w:pStyle w:val="175"/>
      </w:pPr>
      <w:r>
        <w:t>汽车数据处理者停止提供产品或者服务，或者保存期限已届满；</w:t>
      </w:r>
    </w:p>
    <w:p w14:paraId="077F28E5">
      <w:pPr>
        <w:pStyle w:val="175"/>
      </w:pPr>
      <w:r>
        <w:t>个人撤回同意；</w:t>
      </w:r>
    </w:p>
    <w:p w14:paraId="34508999">
      <w:pPr>
        <w:pStyle w:val="175"/>
      </w:pPr>
      <w:r>
        <w:t>汽车数据处理者违反法律、行政法规或者违反约定处理个人信息。</w:t>
      </w:r>
    </w:p>
    <w:p w14:paraId="10BB817A">
      <w:pPr>
        <w:pStyle w:val="166"/>
      </w:pPr>
      <w:r>
        <w:rPr>
          <w:rFonts w:hint="eastAsia" w:ascii="宋体" w:hAnsi="Times New Roman" w:eastAsia="宋体" w:cs="Times New Roman"/>
          <w:sz w:val="21"/>
          <w:lang w:val="en-US" w:eastAsia="zh-CN" w:bidi="ar-SA"/>
        </w:rPr>
        <w:t>法律、行政法规规定的其他情形。法律、行政法规规定的保存期限未届满，或者删除个人信息从技术上难以实</w:t>
      </w:r>
      <w:r>
        <w:rPr>
          <w:rFonts w:hint="eastAsia"/>
        </w:rPr>
        <w:t>现的，个人信息处理者应停止除存储和采集必要的安全保护措施之外的处理</w:t>
      </w:r>
      <w:r>
        <w:t>。</w:t>
      </w:r>
    </w:p>
    <w:p w14:paraId="0462D3D1">
      <w:pPr>
        <w:pStyle w:val="106"/>
        <w:spacing w:before="156" w:after="156"/>
      </w:pPr>
      <w:r>
        <w:t>个人同意的取得</w:t>
      </w:r>
    </w:p>
    <w:p w14:paraId="5E64B461">
      <w:pPr>
        <w:pStyle w:val="66"/>
        <w:spacing w:before="156" w:after="156"/>
      </w:pPr>
      <w:r>
        <w:rPr>
          <w:spacing w:val="5"/>
          <w:sz w:val="20"/>
        </w:rPr>
        <w:t>显</w:t>
      </w:r>
      <w:r>
        <w:rPr>
          <w:rStyle w:val="247"/>
        </w:rPr>
        <w:t>著告</w:t>
      </w:r>
      <w:r>
        <w:rPr>
          <w:spacing w:val="5"/>
          <w:sz w:val="20"/>
        </w:rPr>
        <w:t>知</w:t>
      </w:r>
    </w:p>
    <w:p w14:paraId="5868DF51">
      <w:pPr>
        <w:pStyle w:val="231"/>
      </w:pPr>
      <w:r>
        <w:t>汽车数据处理者处理个人信息应取得个人同意，处理敏感个人信息，应取得单独同意，通过至少一种显著方式向个人告知，清晰地说明个人信息的具体情境和必要性，并提供便捷的查阅、复制和删除等个人信息管理功能。具体要求如下：</w:t>
      </w:r>
    </w:p>
    <w:p w14:paraId="4A4C0223">
      <w:pPr>
        <w:pStyle w:val="66"/>
        <w:spacing w:before="156" w:after="156"/>
      </w:pPr>
      <w:r>
        <w:rPr>
          <w:rFonts w:hint="eastAsia"/>
        </w:rPr>
        <w:t>取得个人同意的选项设置</w:t>
      </w:r>
    </w:p>
    <w:p w14:paraId="60FADF24">
      <w:pPr>
        <w:pStyle w:val="231"/>
      </w:pPr>
      <w:r>
        <w:t>向个人进行符合5.2.1要求的显著告知后，汽车数据处理者应取得个人同意并按照如下要求设置取 得个人同意的选项：</w:t>
      </w:r>
    </w:p>
    <w:p w14:paraId="134F4D89">
      <w:pPr>
        <w:pStyle w:val="231"/>
      </w:pPr>
      <w:r>
        <w:t>——提供同意和拒绝同意的方式；</w:t>
      </w:r>
    </w:p>
    <w:p w14:paraId="645E31FF">
      <w:pPr>
        <w:pStyle w:val="231"/>
        <w:rPr>
          <w:rFonts w:hint="eastAsia" w:hAnsi="宋体" w:cs="宋体"/>
        </w:rPr>
      </w:pPr>
      <w:r>
        <w:t>——处理敏感个人信息提供自主设定同意期限的途径，且期限不应设置为始终允许或永久。</w:t>
      </w:r>
    </w:p>
    <w:p w14:paraId="0CB0EA71">
      <w:pPr>
        <w:pStyle w:val="66"/>
        <w:spacing w:before="156" w:after="156"/>
      </w:pPr>
      <w:r>
        <w:t>重新取得个人同意的要求</w:t>
      </w:r>
    </w:p>
    <w:p w14:paraId="7A1EAC9E">
      <w:pPr>
        <w:pStyle w:val="237"/>
        <w:ind w:firstLine="420" w:firstLineChars="200"/>
        <w:rPr>
          <w:rFonts w:hint="eastAsia" w:ascii="宋体" w:hAnsi="宋体" w:eastAsia="宋体" w:cs="宋体"/>
        </w:rPr>
      </w:pPr>
      <w:r>
        <w:rPr>
          <w:rFonts w:hint="eastAsia" w:ascii="宋体" w:hAnsi="宋体" w:eastAsia="宋体" w:cs="宋体"/>
        </w:rPr>
        <w:t>汽车数据处理者应在取得的同意期限内处理个人信息，当个人同意期限届满后，若汽车数据处理者仍有必要继续进行除删除外的个人信息处理活动，应重新取得个人同意。</w:t>
      </w:r>
    </w:p>
    <w:p w14:paraId="05D112C0">
      <w:pPr>
        <w:pStyle w:val="237"/>
        <w:ind w:firstLine="420" w:firstLineChars="200"/>
        <w:rPr>
          <w:rFonts w:hint="eastAsia" w:ascii="宋体" w:hAnsi="宋体" w:eastAsia="宋体" w:cs="宋体"/>
        </w:rPr>
      </w:pPr>
      <w:r>
        <w:rPr>
          <w:rFonts w:hint="eastAsia" w:ascii="宋体" w:hAnsi="宋体" w:eastAsia="宋体" w:cs="宋体"/>
        </w:rPr>
        <w:t>个人信息的处理目的、处理方式和处理的个人信息种类发生变更的，汽车数据处理者应重新取得个人同意。</w:t>
      </w:r>
    </w:p>
    <w:p w14:paraId="40C91236">
      <w:pPr>
        <w:pStyle w:val="66"/>
        <w:spacing w:before="156" w:after="156"/>
      </w:pPr>
      <w:r>
        <w:t>个人同意的撤回</w:t>
      </w:r>
    </w:p>
    <w:p w14:paraId="7CCC7FE0">
      <w:pPr>
        <w:pStyle w:val="231"/>
      </w:pPr>
      <w:r>
        <w:t>汽车数据处理者应提供个人撤回同意的途径。</w:t>
      </w:r>
    </w:p>
    <w:p w14:paraId="4C52A18C">
      <w:pPr>
        <w:pStyle w:val="106"/>
        <w:spacing w:before="156" w:after="156"/>
      </w:pPr>
      <w:r>
        <w:t>个人信息收集</w:t>
      </w:r>
    </w:p>
    <w:p w14:paraId="190C445D">
      <w:pPr>
        <w:pStyle w:val="166"/>
      </w:pPr>
      <w:r>
        <w:rPr>
          <w:rFonts w:hint="eastAsia"/>
        </w:rPr>
        <w:t>收集个人信息时，汽车数据处理者应根据所提供功能服务对数据精度的要求确定摄像头、雷达 等的覆盖范围、分辨率。</w:t>
      </w:r>
    </w:p>
    <w:p w14:paraId="06A768B9">
      <w:pPr>
        <w:pStyle w:val="166"/>
      </w:pPr>
      <w:r>
        <w:rPr>
          <w:rFonts w:hint="eastAsia"/>
        </w:rPr>
        <w:t>因同一数据收集设备支持多个功能服务且所需数据精度要求不同，至少应有一个功能服务符合</w:t>
      </w:r>
      <w:r>
        <w:rPr>
          <w:rFonts w:hint="eastAsia"/>
          <w:spacing w:val="8"/>
        </w:rPr>
        <w:t>5.3.1要求，针对其他不符合5.3.</w:t>
      </w:r>
      <w:r>
        <w:rPr>
          <w:rFonts w:hint="eastAsia"/>
          <w:spacing w:val="7"/>
        </w:rPr>
        <w:t>1的功能服务，汽车数据处理者应做出合理说明。</w:t>
      </w:r>
    </w:p>
    <w:p w14:paraId="5F6938E1">
      <w:pPr>
        <w:pStyle w:val="106"/>
        <w:spacing w:before="156" w:after="156"/>
      </w:pPr>
      <w:r>
        <w:t>个人信息存储</w:t>
      </w:r>
    </w:p>
    <w:p w14:paraId="62B7E801">
      <w:pPr>
        <w:pStyle w:val="166"/>
      </w:pPr>
      <w:r>
        <w:rPr>
          <w:rFonts w:hint="eastAsia"/>
        </w:rPr>
        <w:t xml:space="preserve">应按照GB/T 44464的要求，涉及座舱数据、位置轨迹数据、车外视频和车外图像数据及个人信息，应依法在中华人民共和国境内存储。 </w:t>
      </w:r>
    </w:p>
    <w:p w14:paraId="444C4727">
      <w:pPr>
        <w:pStyle w:val="166"/>
      </w:pPr>
      <w:r>
        <w:rPr>
          <w:rFonts w:hint="eastAsia"/>
        </w:rPr>
        <w:t>车辆应采取访问控制技术、加密技术等安全技术保护存储在车内的敏感个人信息，防止其被非授权访问和获取。</w:t>
      </w:r>
    </w:p>
    <w:p w14:paraId="3D528660">
      <w:pPr>
        <w:pStyle w:val="166"/>
        <w:rPr>
          <w:spacing w:val="8"/>
        </w:rPr>
      </w:pPr>
      <w:r>
        <w:rPr>
          <w:rFonts w:hint="eastAsia"/>
        </w:rPr>
        <w:t>车辆应具备个人信息清除功能及防恢复机制，便于在转售</w:t>
      </w:r>
      <w:r>
        <w:rPr>
          <w:rFonts w:hint="eastAsia"/>
          <w:spacing w:val="8"/>
        </w:rPr>
        <w:t>、租借或报废时清除个人信息。</w:t>
      </w:r>
    </w:p>
    <w:p w14:paraId="21F9D73C">
      <w:pPr>
        <w:pStyle w:val="106"/>
        <w:spacing w:before="156" w:after="156"/>
      </w:pPr>
      <w:r>
        <w:rPr>
          <w:rFonts w:hint="eastAsia"/>
        </w:rPr>
        <w:t>个人信息使用</w:t>
      </w:r>
    </w:p>
    <w:p w14:paraId="08C2E1C8">
      <w:pPr>
        <w:pStyle w:val="166"/>
      </w:pPr>
      <w:r>
        <w:rPr>
          <w:rFonts w:hint="eastAsia"/>
          <w:spacing w:val="9"/>
        </w:rPr>
        <w:t>使用</w:t>
      </w:r>
      <w:r>
        <w:rPr>
          <w:rFonts w:hint="eastAsia"/>
        </w:rPr>
        <w:t>个人信息时，汽车数据处理者应采取访问控制措施，防止非授权访问存储的个人信息。</w:t>
      </w:r>
    </w:p>
    <w:p w14:paraId="375C65FC">
      <w:pPr>
        <w:pStyle w:val="166"/>
      </w:pPr>
      <w:r>
        <w:rPr>
          <w:rFonts w:hint="eastAsia"/>
        </w:rPr>
        <w:t>车辆个人身份认证功能不应仅使用个人生物特征识别信息</w:t>
      </w:r>
      <w:r>
        <w:rPr>
          <w:rFonts w:hint="eastAsia"/>
          <w:spacing w:val="8"/>
        </w:rPr>
        <w:t>。</w:t>
      </w:r>
    </w:p>
    <w:p w14:paraId="6EC15474">
      <w:pPr>
        <w:pStyle w:val="106"/>
        <w:spacing w:before="156" w:after="156"/>
      </w:pPr>
      <w:r>
        <w:t>个人信息传输</w:t>
      </w:r>
    </w:p>
    <w:p w14:paraId="09D1D32A">
      <w:pPr>
        <w:pStyle w:val="66"/>
        <w:spacing w:before="156" w:after="156"/>
      </w:pPr>
      <w:r>
        <w:t>车外传输要求</w:t>
      </w:r>
    </w:p>
    <w:p w14:paraId="519EB0D2">
      <w:pPr>
        <w:pStyle w:val="165"/>
      </w:pPr>
      <w:r>
        <w:rPr>
          <w:rFonts w:hint="eastAsia"/>
        </w:rPr>
        <w:t>汽车数据处理者在向车外传输敏感个人信息时，应对这些信息进行真实性、完整性、保密性和抗抵赖保护，确保信息在传输过程中的安全性和完整性。</w:t>
      </w:r>
    </w:p>
    <w:p w14:paraId="4FF25BD4">
      <w:pPr>
        <w:pStyle w:val="165"/>
      </w:pPr>
      <w:r>
        <w:rPr>
          <w:rFonts w:hint="eastAsia"/>
        </w:rPr>
        <w:t>因保证行车安全需要，无法征得个人同意收集到车外个人信息且向车外提供的，应进行匿名化处理，包括删除含有能够识别自然人的画面，或者对画面中的人脸信息等进行局部轮廓化处理等。匿名化处理应符合5.6.2的要求，匿名化处理完成后，过程数据应及时删除，不应向车外提供。</w:t>
      </w:r>
    </w:p>
    <w:p w14:paraId="1FB9B14E">
      <w:pPr>
        <w:pStyle w:val="66"/>
        <w:spacing w:before="156" w:after="156"/>
      </w:pPr>
      <w:r>
        <w:t>匿名化要求</w:t>
      </w:r>
    </w:p>
    <w:p w14:paraId="31D3B648">
      <w:pPr>
        <w:pStyle w:val="95"/>
        <w:spacing w:before="156" w:after="156"/>
      </w:pPr>
      <w:r>
        <w:rPr>
          <w:rFonts w:hint="eastAsia"/>
        </w:rPr>
        <w:t>匿名化对象</w:t>
      </w:r>
    </w:p>
    <w:p w14:paraId="2204C3CC">
      <w:pPr>
        <w:pStyle w:val="99"/>
        <w:spacing w:before="156" w:after="156"/>
      </w:pPr>
      <w:r>
        <w:t>人脸匿名化对象</w:t>
      </w:r>
    </w:p>
    <w:p w14:paraId="2BD82235">
      <w:pPr>
        <w:pStyle w:val="57"/>
        <w:ind w:firstLine="420"/>
      </w:pPr>
      <w:r>
        <w:rPr>
          <w:rFonts w:hint="eastAsia"/>
        </w:rPr>
        <w:t>当视频或图像中的人脸满足以下要求时，应进行脱敏处理：</w:t>
      </w:r>
    </w:p>
    <w:p w14:paraId="1DA50E78">
      <w:pPr>
        <w:pStyle w:val="104"/>
        <w:spacing w:before="156" w:after="156"/>
      </w:pPr>
      <w:r>
        <w:rPr>
          <w:rFonts w:hint="eastAsia"/>
        </w:rPr>
        <w:t>分辨率：</w:t>
      </w:r>
    </w:p>
    <w:p w14:paraId="6028C272">
      <w:pPr>
        <w:pStyle w:val="57"/>
        <w:ind w:firstLine="420"/>
      </w:pPr>
      <w:r>
        <w:rPr>
          <w:rFonts w:hint="eastAsia"/>
        </w:rPr>
        <w:t>不经放缩情况下的图像，按照如下优先级确定最小检出的人脸：</w:t>
      </w:r>
    </w:p>
    <w:p w14:paraId="16B879BD">
      <w:pPr>
        <w:pStyle w:val="175"/>
        <w:numPr>
          <w:ilvl w:val="0"/>
          <w:numId w:val="34"/>
        </w:numPr>
      </w:pPr>
      <w:r>
        <w:rPr>
          <w:rFonts w:hint="eastAsia"/>
        </w:rPr>
        <w:t>当图像长边大于960像素时，最小检出人脸边长像素大于或等于：图像长边/60;</w:t>
      </w:r>
    </w:p>
    <w:p w14:paraId="3E2317D5">
      <w:pPr>
        <w:pStyle w:val="175"/>
      </w:pPr>
      <w:r>
        <w:rPr>
          <w:rFonts w:hint="eastAsia"/>
        </w:rPr>
        <w:t>当图像短边大于544像素时，最小检出人脸边长像素大于16;</w:t>
      </w:r>
    </w:p>
    <w:p w14:paraId="63562DDA">
      <w:pPr>
        <w:pStyle w:val="175"/>
      </w:pPr>
      <w:r>
        <w:rPr>
          <w:rFonts w:hint="eastAsia"/>
        </w:rPr>
        <w:t>当图像短边小于544像素时，最小检出人脸边长像素大于10。</w:t>
      </w:r>
    </w:p>
    <w:p w14:paraId="7C29FE7A">
      <w:pPr>
        <w:pStyle w:val="182"/>
      </w:pPr>
      <w:r>
        <w:rPr>
          <w:rFonts w:hint="eastAsia"/>
        </w:rPr>
        <w:t>1080P视频（1920*1080）按照上述优先级，长边大于960，则可以检出的最小人脸为1920/60-32x32。</w:t>
      </w:r>
    </w:p>
    <w:p w14:paraId="721478F1">
      <w:pPr>
        <w:pStyle w:val="104"/>
        <w:spacing w:before="156" w:after="156"/>
      </w:pPr>
      <w:r>
        <w:rPr>
          <w:rFonts w:hint="eastAsia"/>
        </w:rPr>
        <w:t>姿态：</w:t>
      </w:r>
    </w:p>
    <w:p w14:paraId="1670A1AD">
      <w:pPr>
        <w:pStyle w:val="57"/>
        <w:ind w:firstLine="420"/>
      </w:pPr>
      <w:r>
        <w:rPr>
          <w:rFonts w:hint="eastAsia"/>
        </w:rPr>
        <w:t>水平转动角：-45°~45°：俯仰角：-30~30°：倾斜角：-45°~45°:</w:t>
      </w:r>
    </w:p>
    <w:p w14:paraId="79F72184">
      <w:pPr>
        <w:pStyle w:val="181"/>
      </w:pPr>
      <w:r>
        <w:rPr>
          <w:rFonts w:hint="eastAsia"/>
        </w:rPr>
        <w:t>人脸姿态的定义参考GB/T 35678-2017.3.3。</w:t>
      </w:r>
    </w:p>
    <w:p w14:paraId="18CDC396">
      <w:pPr>
        <w:pStyle w:val="104"/>
        <w:spacing w:before="156" w:after="156"/>
      </w:pPr>
      <w:r>
        <w:rPr>
          <w:rFonts w:hint="eastAsia"/>
        </w:rPr>
        <w:t xml:space="preserve"> 完整度、清晰度</w:t>
      </w:r>
    </w:p>
    <w:p w14:paraId="28D50412">
      <w:pPr>
        <w:pStyle w:val="57"/>
        <w:ind w:firstLine="420"/>
      </w:pPr>
      <w:r>
        <w:rPr>
          <w:rFonts w:hint="eastAsia"/>
        </w:rPr>
        <w:t>完整度和清晰度应满足表1的要求。</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4"/>
      </w:tblGrid>
      <w:tr w14:paraId="51CD16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gridSpan w:val="2"/>
            <w:tcBorders>
              <w:top w:val="single" w:color="auto" w:sz="8" w:space="0"/>
              <w:bottom w:val="single" w:color="auto" w:sz="8" w:space="0"/>
            </w:tcBorders>
            <w:shd w:val="clear" w:color="auto" w:fill="auto"/>
            <w:vAlign w:val="center"/>
          </w:tcPr>
          <w:p w14:paraId="73742264">
            <w:pPr>
              <w:pStyle w:val="179"/>
              <w:rPr>
                <w:rFonts w:hint="eastAsia"/>
              </w:rPr>
            </w:pPr>
            <w:r>
              <w:rPr>
                <w:rFonts w:hint="eastAsia"/>
              </w:rPr>
              <w:t>样本类型</w:t>
            </w:r>
          </w:p>
        </w:tc>
        <w:tc>
          <w:tcPr>
            <w:tcW w:w="2334" w:type="dxa"/>
            <w:tcBorders>
              <w:top w:val="single" w:color="auto" w:sz="8" w:space="0"/>
              <w:bottom w:val="single" w:color="auto" w:sz="8" w:space="0"/>
            </w:tcBorders>
            <w:shd w:val="clear" w:color="auto" w:fill="auto"/>
            <w:vAlign w:val="center"/>
          </w:tcPr>
          <w:p w14:paraId="5C6CB79E">
            <w:pPr>
              <w:pStyle w:val="179"/>
              <w:rPr>
                <w:rFonts w:hint="eastAsia"/>
              </w:rPr>
            </w:pPr>
            <w:r>
              <w:rPr>
                <w:rFonts w:hint="eastAsia"/>
              </w:rPr>
              <w:t>待识别指标</w:t>
            </w:r>
          </w:p>
        </w:tc>
      </w:tr>
      <w:tr w14:paraId="7EE83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tcBorders>
              <w:top w:val="single" w:color="auto" w:sz="8" w:space="0"/>
            </w:tcBorders>
            <w:shd w:val="clear" w:color="auto" w:fill="auto"/>
            <w:vAlign w:val="center"/>
          </w:tcPr>
          <w:p w14:paraId="43F7EC02">
            <w:pPr>
              <w:pStyle w:val="179"/>
              <w:rPr>
                <w:rFonts w:hint="eastAsia"/>
              </w:rPr>
            </w:pPr>
            <w:r>
              <w:rPr>
                <w:rFonts w:hint="eastAsia"/>
              </w:rPr>
              <w:t>完整度</w:t>
            </w:r>
          </w:p>
        </w:tc>
        <w:tc>
          <w:tcPr>
            <w:tcW w:w="2333" w:type="dxa"/>
            <w:tcBorders>
              <w:top w:val="single" w:color="auto" w:sz="8" w:space="0"/>
            </w:tcBorders>
            <w:shd w:val="clear" w:color="auto" w:fill="auto"/>
            <w:vAlign w:val="center"/>
          </w:tcPr>
          <w:p w14:paraId="1925EB7C">
            <w:pPr>
              <w:pStyle w:val="179"/>
              <w:rPr>
                <w:rFonts w:hint="eastAsia"/>
              </w:rPr>
            </w:pPr>
            <w:r>
              <w:rPr>
                <w:rFonts w:hint="eastAsia"/>
              </w:rPr>
              <w:t>几何失真</w:t>
            </w:r>
          </w:p>
        </w:tc>
        <w:tc>
          <w:tcPr>
            <w:tcW w:w="2334" w:type="dxa"/>
            <w:tcBorders>
              <w:top w:val="single" w:color="auto" w:sz="8" w:space="0"/>
            </w:tcBorders>
            <w:shd w:val="clear" w:color="auto" w:fill="auto"/>
            <w:vAlign w:val="center"/>
          </w:tcPr>
          <w:p w14:paraId="2EC2B6B6">
            <w:pPr>
              <w:pStyle w:val="179"/>
              <w:rPr>
                <w:rFonts w:hint="eastAsia"/>
              </w:rPr>
            </w:pPr>
            <w:r>
              <w:rPr>
                <w:rFonts w:hint="eastAsia"/>
              </w:rPr>
              <w:t>≤15</w:t>
            </w:r>
          </w:p>
        </w:tc>
      </w:tr>
      <w:tr w14:paraId="633EC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DCEBAFD">
            <w:pPr>
              <w:pStyle w:val="179"/>
              <w:rPr>
                <w:rFonts w:hint="eastAsia"/>
              </w:rPr>
            </w:pPr>
          </w:p>
        </w:tc>
        <w:tc>
          <w:tcPr>
            <w:tcW w:w="2333" w:type="dxa"/>
            <w:shd w:val="clear" w:color="auto" w:fill="auto"/>
            <w:vAlign w:val="center"/>
          </w:tcPr>
          <w:p w14:paraId="6EE84B42">
            <w:pPr>
              <w:pStyle w:val="179"/>
              <w:rPr>
                <w:rFonts w:hint="eastAsia"/>
              </w:rPr>
            </w:pPr>
            <w:r>
              <w:rPr>
                <w:rFonts w:hint="eastAsia"/>
              </w:rPr>
              <w:t>眉毛可见度</w:t>
            </w:r>
          </w:p>
        </w:tc>
        <w:tc>
          <w:tcPr>
            <w:tcW w:w="2334" w:type="dxa"/>
            <w:shd w:val="clear" w:color="auto" w:fill="auto"/>
            <w:vAlign w:val="center"/>
          </w:tcPr>
          <w:p w14:paraId="5D4CB814">
            <w:pPr>
              <w:pStyle w:val="179"/>
              <w:rPr>
                <w:rFonts w:hint="eastAsia"/>
              </w:rPr>
            </w:pPr>
            <w:r>
              <w:rPr>
                <w:rFonts w:hint="eastAsia"/>
              </w:rPr>
              <w:t>≥75</w:t>
            </w:r>
          </w:p>
        </w:tc>
      </w:tr>
      <w:tr w14:paraId="699E8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B199C91">
            <w:pPr>
              <w:pStyle w:val="179"/>
              <w:rPr>
                <w:rFonts w:hint="eastAsia"/>
              </w:rPr>
            </w:pPr>
          </w:p>
        </w:tc>
        <w:tc>
          <w:tcPr>
            <w:tcW w:w="2333" w:type="dxa"/>
            <w:shd w:val="clear" w:color="auto" w:fill="auto"/>
            <w:vAlign w:val="center"/>
          </w:tcPr>
          <w:p w14:paraId="20986143">
            <w:pPr>
              <w:pStyle w:val="179"/>
              <w:rPr>
                <w:rFonts w:hint="eastAsia"/>
              </w:rPr>
            </w:pPr>
            <w:r>
              <w:rPr>
                <w:rFonts w:hint="eastAsia"/>
              </w:rPr>
              <w:t>眼睛可见度</w:t>
            </w:r>
          </w:p>
        </w:tc>
        <w:tc>
          <w:tcPr>
            <w:tcW w:w="2334" w:type="dxa"/>
            <w:shd w:val="clear" w:color="auto" w:fill="auto"/>
            <w:vAlign w:val="center"/>
          </w:tcPr>
          <w:p w14:paraId="49AF6ABC">
            <w:pPr>
              <w:pStyle w:val="179"/>
              <w:rPr>
                <w:rFonts w:hint="eastAsia"/>
              </w:rPr>
            </w:pPr>
            <w:r>
              <w:rPr>
                <w:rFonts w:hint="eastAsia"/>
              </w:rPr>
              <w:t>≥100</w:t>
            </w:r>
          </w:p>
        </w:tc>
      </w:tr>
      <w:tr w14:paraId="666AC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1A5BAB8">
            <w:pPr>
              <w:pStyle w:val="179"/>
              <w:rPr>
                <w:rFonts w:hint="eastAsia"/>
              </w:rPr>
            </w:pPr>
          </w:p>
        </w:tc>
        <w:tc>
          <w:tcPr>
            <w:tcW w:w="2333" w:type="dxa"/>
            <w:shd w:val="clear" w:color="auto" w:fill="auto"/>
            <w:vAlign w:val="center"/>
          </w:tcPr>
          <w:p w14:paraId="4DF8D552">
            <w:pPr>
              <w:pStyle w:val="179"/>
              <w:rPr>
                <w:rFonts w:hint="eastAsia"/>
              </w:rPr>
            </w:pPr>
            <w:r>
              <w:rPr>
                <w:rFonts w:hint="eastAsia"/>
              </w:rPr>
              <w:t>鼻子可见度</w:t>
            </w:r>
          </w:p>
        </w:tc>
        <w:tc>
          <w:tcPr>
            <w:tcW w:w="2334" w:type="dxa"/>
            <w:shd w:val="clear" w:color="auto" w:fill="auto"/>
            <w:vAlign w:val="center"/>
          </w:tcPr>
          <w:p w14:paraId="0A186F19">
            <w:pPr>
              <w:pStyle w:val="179"/>
              <w:rPr>
                <w:rFonts w:hint="eastAsia"/>
              </w:rPr>
            </w:pPr>
            <w:r>
              <w:rPr>
                <w:rFonts w:hint="eastAsia"/>
              </w:rPr>
              <w:t>≥85</w:t>
            </w:r>
          </w:p>
        </w:tc>
      </w:tr>
      <w:tr w14:paraId="5174E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9B98A28">
            <w:pPr>
              <w:pStyle w:val="179"/>
              <w:rPr>
                <w:rFonts w:hint="eastAsia"/>
              </w:rPr>
            </w:pPr>
          </w:p>
        </w:tc>
        <w:tc>
          <w:tcPr>
            <w:tcW w:w="2333" w:type="dxa"/>
            <w:shd w:val="clear" w:color="auto" w:fill="auto"/>
            <w:vAlign w:val="center"/>
          </w:tcPr>
          <w:p w14:paraId="4DF5EBAF">
            <w:pPr>
              <w:pStyle w:val="179"/>
              <w:rPr>
                <w:rFonts w:hint="eastAsia"/>
              </w:rPr>
            </w:pPr>
            <w:r>
              <w:rPr>
                <w:rFonts w:hint="eastAsia"/>
              </w:rPr>
              <w:t>嘴巴可见度</w:t>
            </w:r>
          </w:p>
        </w:tc>
        <w:tc>
          <w:tcPr>
            <w:tcW w:w="2334" w:type="dxa"/>
            <w:shd w:val="clear" w:color="auto" w:fill="auto"/>
            <w:vAlign w:val="center"/>
          </w:tcPr>
          <w:p w14:paraId="5FC631E4">
            <w:pPr>
              <w:pStyle w:val="179"/>
              <w:rPr>
                <w:rFonts w:hint="eastAsia"/>
              </w:rPr>
            </w:pPr>
            <w:r>
              <w:rPr>
                <w:rFonts w:hint="eastAsia"/>
              </w:rPr>
              <w:t>≥100</w:t>
            </w:r>
          </w:p>
        </w:tc>
      </w:tr>
      <w:tr w14:paraId="2E507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E1FEACF">
            <w:pPr>
              <w:pStyle w:val="179"/>
              <w:rPr>
                <w:rFonts w:hint="eastAsia"/>
              </w:rPr>
            </w:pPr>
          </w:p>
        </w:tc>
        <w:tc>
          <w:tcPr>
            <w:tcW w:w="2333" w:type="dxa"/>
            <w:shd w:val="clear" w:color="auto" w:fill="auto"/>
            <w:vAlign w:val="center"/>
          </w:tcPr>
          <w:p w14:paraId="797FB32E">
            <w:pPr>
              <w:pStyle w:val="179"/>
              <w:rPr>
                <w:rFonts w:hint="eastAsia"/>
              </w:rPr>
            </w:pPr>
            <w:r>
              <w:rPr>
                <w:rFonts w:hint="eastAsia"/>
              </w:rPr>
              <w:t>面颊皮肤可见度</w:t>
            </w:r>
          </w:p>
        </w:tc>
        <w:tc>
          <w:tcPr>
            <w:tcW w:w="2334" w:type="dxa"/>
            <w:shd w:val="clear" w:color="auto" w:fill="auto"/>
            <w:vAlign w:val="center"/>
          </w:tcPr>
          <w:p w14:paraId="1C817ACB">
            <w:pPr>
              <w:pStyle w:val="179"/>
              <w:rPr>
                <w:rFonts w:hint="eastAsia"/>
              </w:rPr>
            </w:pPr>
            <w:r>
              <w:rPr>
                <w:rFonts w:hint="eastAsia"/>
              </w:rPr>
              <w:t>≥75</w:t>
            </w:r>
          </w:p>
        </w:tc>
      </w:tr>
      <w:tr w14:paraId="67E5D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shd w:val="clear" w:color="auto" w:fill="auto"/>
            <w:vAlign w:val="center"/>
          </w:tcPr>
          <w:p w14:paraId="5F9003D1">
            <w:pPr>
              <w:pStyle w:val="179"/>
              <w:rPr>
                <w:rFonts w:hint="eastAsia"/>
              </w:rPr>
            </w:pPr>
            <w:r>
              <w:rPr>
                <w:rFonts w:hint="eastAsia"/>
              </w:rPr>
              <w:t>清晰度</w:t>
            </w:r>
          </w:p>
        </w:tc>
        <w:tc>
          <w:tcPr>
            <w:tcW w:w="2333" w:type="dxa"/>
            <w:shd w:val="clear" w:color="auto" w:fill="auto"/>
            <w:vAlign w:val="center"/>
          </w:tcPr>
          <w:p w14:paraId="32EF50ED">
            <w:pPr>
              <w:pStyle w:val="179"/>
              <w:rPr>
                <w:rFonts w:hint="eastAsia"/>
              </w:rPr>
            </w:pPr>
            <w:r>
              <w:rPr>
                <w:rFonts w:hint="eastAsia"/>
              </w:rPr>
              <w:t>高斯模糊</w:t>
            </w:r>
          </w:p>
        </w:tc>
        <w:tc>
          <w:tcPr>
            <w:tcW w:w="2334" w:type="dxa"/>
            <w:shd w:val="clear" w:color="auto" w:fill="auto"/>
            <w:vAlign w:val="center"/>
          </w:tcPr>
          <w:p w14:paraId="0632DA1B">
            <w:pPr>
              <w:pStyle w:val="179"/>
              <w:rPr>
                <w:rFonts w:hint="eastAsia"/>
              </w:rPr>
            </w:pPr>
            <w:r>
              <w:rPr>
                <w:rFonts w:hint="eastAsia"/>
              </w:rPr>
              <w:t>≤0.3</w:t>
            </w:r>
          </w:p>
        </w:tc>
      </w:tr>
      <w:tr w14:paraId="33D93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8C5AD73">
            <w:pPr>
              <w:pStyle w:val="179"/>
              <w:rPr>
                <w:rFonts w:hint="eastAsia"/>
              </w:rPr>
            </w:pPr>
          </w:p>
        </w:tc>
        <w:tc>
          <w:tcPr>
            <w:tcW w:w="2333" w:type="dxa"/>
            <w:shd w:val="clear" w:color="auto" w:fill="auto"/>
            <w:vAlign w:val="center"/>
          </w:tcPr>
          <w:p w14:paraId="529C19C6">
            <w:pPr>
              <w:pStyle w:val="179"/>
              <w:rPr>
                <w:rFonts w:hint="eastAsia"/>
              </w:rPr>
            </w:pPr>
            <w:r>
              <w:rPr>
                <w:rFonts w:hint="eastAsia"/>
              </w:rPr>
              <w:t>运动模糊</w:t>
            </w:r>
          </w:p>
        </w:tc>
        <w:tc>
          <w:tcPr>
            <w:tcW w:w="2334" w:type="dxa"/>
            <w:shd w:val="clear" w:color="auto" w:fill="auto"/>
            <w:vAlign w:val="center"/>
          </w:tcPr>
          <w:p w14:paraId="0DC0ADD3">
            <w:pPr>
              <w:pStyle w:val="179"/>
              <w:rPr>
                <w:rFonts w:hint="eastAsia"/>
              </w:rPr>
            </w:pPr>
            <w:r>
              <w:rPr>
                <w:rFonts w:hint="eastAsia"/>
              </w:rPr>
              <w:t>≤0.26</w:t>
            </w:r>
          </w:p>
        </w:tc>
      </w:tr>
      <w:tr w14:paraId="2673DE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E949470">
            <w:pPr>
              <w:pStyle w:val="179"/>
              <w:rPr>
                <w:rFonts w:hint="eastAsia"/>
              </w:rPr>
            </w:pPr>
          </w:p>
        </w:tc>
        <w:tc>
          <w:tcPr>
            <w:tcW w:w="2333" w:type="dxa"/>
            <w:shd w:val="clear" w:color="auto" w:fill="auto"/>
            <w:vAlign w:val="center"/>
          </w:tcPr>
          <w:p w14:paraId="150F46C3">
            <w:pPr>
              <w:pStyle w:val="179"/>
              <w:rPr>
                <w:rFonts w:hint="eastAsia"/>
              </w:rPr>
            </w:pPr>
            <w:r>
              <w:rPr>
                <w:rFonts w:hint="eastAsia"/>
              </w:rPr>
              <w:t>拉普拉斯方差</w:t>
            </w:r>
          </w:p>
        </w:tc>
        <w:tc>
          <w:tcPr>
            <w:tcW w:w="2334" w:type="dxa"/>
            <w:shd w:val="clear" w:color="auto" w:fill="auto"/>
            <w:vAlign w:val="center"/>
          </w:tcPr>
          <w:p w14:paraId="3AB7563B">
            <w:pPr>
              <w:pStyle w:val="179"/>
              <w:rPr>
                <w:rFonts w:hint="eastAsia"/>
              </w:rPr>
            </w:pPr>
            <w:r>
              <w:rPr>
                <w:rFonts w:hint="eastAsia"/>
              </w:rPr>
              <w:t>≥200</w:t>
            </w:r>
          </w:p>
        </w:tc>
      </w:tr>
      <w:tr w14:paraId="4F4E8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01" w:type="dxa"/>
            <w:gridSpan w:val="3"/>
            <w:tcBorders>
              <w:bottom w:val="single" w:color="auto" w:sz="8" w:space="0"/>
            </w:tcBorders>
            <w:shd w:val="clear" w:color="auto" w:fill="auto"/>
            <w:vAlign w:val="center"/>
          </w:tcPr>
          <w:p w14:paraId="1FD74F32">
            <w:pPr>
              <w:pStyle w:val="181"/>
              <w:numPr>
                <w:ilvl w:val="0"/>
                <w:numId w:val="35"/>
              </w:numPr>
            </w:pPr>
            <w:r>
              <w:rPr>
                <w:rFonts w:hint="eastAsia"/>
              </w:rPr>
              <w:t>人脸样本整体模糊程度的计算可参考GB/T 33767-2018 7.4.7</w:t>
            </w:r>
          </w:p>
          <w:p w14:paraId="6560D815">
            <w:pPr>
              <w:pStyle w:val="181"/>
              <w:rPr>
                <w:rFonts w:hint="eastAsia"/>
              </w:rPr>
            </w:pPr>
            <w:r>
              <w:rPr>
                <w:rFonts w:hint="eastAsia"/>
              </w:rPr>
              <w:t>高斯模糊和运动模糊用模糊核大小/人脸大小进思衡量</w:t>
            </w:r>
          </w:p>
        </w:tc>
      </w:tr>
    </w:tbl>
    <w:p w14:paraId="0B7B94E8">
      <w:pPr>
        <w:pStyle w:val="99"/>
        <w:spacing w:before="156" w:after="156"/>
      </w:pPr>
      <w:r>
        <w:t>汽车号牌匿名化对象</w:t>
      </w:r>
    </w:p>
    <w:p w14:paraId="1F0C5203">
      <w:pPr>
        <w:pStyle w:val="168"/>
        <w:rPr>
          <w:rFonts w:hint="eastAsia"/>
        </w:rPr>
      </w:pPr>
      <w:r>
        <w:rPr>
          <w:rFonts w:hint="eastAsia"/>
        </w:rPr>
        <w:t>当视频或图像中的车牌满足以下要求且全部车牌信息应无遮挡时，应进行脱敏处理</w:t>
      </w:r>
      <w:r>
        <w:rPr>
          <w:rFonts w:hint="eastAsia"/>
          <w:lang w:eastAsia="zh-CN"/>
        </w:rPr>
        <w:t>。</w:t>
      </w:r>
    </w:p>
    <w:p w14:paraId="36B30CBD">
      <w:pPr>
        <w:pStyle w:val="168"/>
        <w:rPr>
          <w:rFonts w:hint="eastAsia"/>
        </w:rPr>
      </w:pPr>
      <w:r>
        <w:rPr>
          <w:rFonts w:hint="eastAsia"/>
        </w:rPr>
        <w:t>不经放缩情况下的图像，按照如下规则确定最小检出的车牌：</w:t>
      </w:r>
    </w:p>
    <w:p w14:paraId="0DFC8BB9">
      <w:pPr>
        <w:pStyle w:val="175"/>
        <w:numPr>
          <w:ilvl w:val="0"/>
          <w:numId w:val="36"/>
        </w:numPr>
      </w:pPr>
      <w:r>
        <w:rPr>
          <w:rFonts w:hint="eastAsia"/>
        </w:rPr>
        <w:t>当图像高度大于等于1080像素时，最小检出车牌高度像素应大于或等于：图像高度/54</w:t>
      </w:r>
      <w:r>
        <w:rPr>
          <w:rFonts w:hint="eastAsia"/>
          <w:lang w:eastAsia="zh-CN"/>
        </w:rPr>
        <w:t>；</w:t>
      </w:r>
    </w:p>
    <w:p w14:paraId="2C89029D">
      <w:pPr>
        <w:pStyle w:val="175"/>
      </w:pPr>
      <w:r>
        <w:rPr>
          <w:rFonts w:hint="eastAsia"/>
        </w:rPr>
        <w:t>当图像高度小于1080像素时，最小检出车牌高度像素大于或等于20</w:t>
      </w:r>
      <w:r>
        <w:rPr>
          <w:rFonts w:hint="eastAsia"/>
          <w:lang w:eastAsia="zh-CN"/>
        </w:rPr>
        <w:t>。</w:t>
      </w:r>
    </w:p>
    <w:p w14:paraId="1F3602AD">
      <w:pPr>
        <w:pStyle w:val="182"/>
      </w:pPr>
      <w:r>
        <w:rPr>
          <w:rFonts w:hint="eastAsia"/>
        </w:rPr>
        <w:t>1080P视频（1920*1080）按照上述条件，高度大于等于1080，则可以检出的最小车牌高度为1080154=20x20。</w:t>
      </w:r>
    </w:p>
    <w:p w14:paraId="76115ED1">
      <w:pPr>
        <w:pStyle w:val="95"/>
        <w:spacing w:before="156" w:after="156"/>
      </w:pPr>
      <w:r>
        <w:t>匿名化处理性能要求</w:t>
      </w:r>
    </w:p>
    <w:p w14:paraId="136F6C11">
      <w:pPr>
        <w:pStyle w:val="231"/>
      </w:pPr>
      <w:r>
        <w:rPr>
          <w:rFonts w:hint="eastAsia"/>
        </w:rPr>
        <w:t>车端数据处理设备的人脸检出率应不低于90%</w:t>
      </w:r>
      <w:r>
        <w:rPr>
          <w:rFonts w:hint="eastAsia"/>
          <w:lang w:eastAsia="zh-CN"/>
        </w:rPr>
        <w:t>；</w:t>
      </w:r>
      <w:r>
        <w:rPr>
          <w:rFonts w:hint="eastAsia"/>
        </w:rPr>
        <w:t>人脸误检率应不大于5%。车牌检</w:t>
      </w:r>
      <w:r>
        <w:rPr>
          <w:rFonts w:hint="eastAsia"/>
          <w:lang w:val="en-US" w:eastAsia="zh-CN"/>
        </w:rPr>
        <w:t>出</w:t>
      </w:r>
      <w:r>
        <w:rPr>
          <w:rFonts w:hint="eastAsia"/>
        </w:rPr>
        <w:t>率应不低于90%；车牌误检率应不高于10%。</w:t>
      </w:r>
    </w:p>
    <w:p w14:paraId="349190A2">
      <w:pPr>
        <w:pStyle w:val="95"/>
        <w:spacing w:before="156" w:after="156"/>
      </w:pPr>
      <w:r>
        <w:t>匿名化效果要求</w:t>
      </w:r>
    </w:p>
    <w:p w14:paraId="4F666321">
      <w:pPr>
        <w:pStyle w:val="231"/>
      </w:pPr>
      <w:r>
        <w:t>已进行匿名化处理的人脸目标和汽车号牌目标应无法被识别。</w:t>
      </w:r>
    </w:p>
    <w:p w14:paraId="25F5BF62">
      <w:pPr>
        <w:pStyle w:val="106"/>
        <w:spacing w:before="156" w:after="156"/>
      </w:pPr>
      <w:r>
        <w:t>个人信息删除</w:t>
      </w:r>
    </w:p>
    <w:p w14:paraId="5FBBD6A3">
      <w:pPr>
        <w:pStyle w:val="166"/>
      </w:pPr>
      <w:r>
        <w:rPr>
          <w:rFonts w:hint="eastAsia"/>
          <w:spacing w:val="11"/>
        </w:rPr>
        <w:t>个人请求删除</w:t>
      </w:r>
      <w:r>
        <w:rPr>
          <w:rFonts w:hint="eastAsia"/>
        </w:rPr>
        <w:t>敏感个人信息的，汽车数据处理者应在10个工作日内完成删除，法律、行政法规另有规定的按照其规定执行。</w:t>
      </w:r>
    </w:p>
    <w:p w14:paraId="4426025B">
      <w:pPr>
        <w:pStyle w:val="166"/>
      </w:pPr>
      <w:r>
        <w:rPr>
          <w:rFonts w:hint="eastAsia"/>
        </w:rPr>
        <w:t>被删除的个人信息应不可检索、不可</w:t>
      </w:r>
      <w:r>
        <w:rPr>
          <w:rFonts w:hint="eastAsia"/>
          <w:spacing w:val="8"/>
        </w:rPr>
        <w:t>访问。</w:t>
      </w:r>
    </w:p>
    <w:p w14:paraId="0135406B">
      <w:pPr>
        <w:pStyle w:val="106"/>
        <w:spacing w:before="156" w:after="156"/>
      </w:pPr>
      <w:r>
        <w:t>个人信息出境</w:t>
      </w:r>
    </w:p>
    <w:p w14:paraId="72F4F6CD">
      <w:pPr>
        <w:pStyle w:val="166"/>
      </w:pPr>
      <w:r>
        <w:rPr>
          <w:rFonts w:hint="eastAsia"/>
        </w:rPr>
        <w:t>车辆不应直接向境外传输个人信息数据。</w:t>
      </w:r>
    </w:p>
    <w:p w14:paraId="3AACFD93">
      <w:pPr>
        <w:pStyle w:val="180"/>
      </w:pPr>
      <w:r>
        <w:rPr>
          <w:rFonts w:hint="eastAsia"/>
        </w:rPr>
        <w:t>用户使用浏览器访问境外网站、使用通信软件向境外传递消息、自主安装可能导致数据出境的第三方应用等不受本条款限制。</w:t>
      </w:r>
    </w:p>
    <w:p w14:paraId="1988D363">
      <w:pPr>
        <w:pStyle w:val="166"/>
      </w:pPr>
      <w:r>
        <w:rPr>
          <w:rFonts w:hint="eastAsia"/>
        </w:rPr>
        <w:t>个人信息通过其他方式确需向境外提供</w:t>
      </w:r>
      <w:r>
        <w:rPr>
          <w:rFonts w:hint="eastAsia"/>
          <w:spacing w:val="9"/>
        </w:rPr>
        <w:t>的，应符合</w:t>
      </w:r>
      <w:r>
        <w:rPr>
          <w:rFonts w:hint="eastAsia"/>
          <w:spacing w:val="8"/>
        </w:rPr>
        <w:t>法律法规的有关规定。</w:t>
      </w:r>
    </w:p>
    <w:p w14:paraId="31222E6B">
      <w:pPr>
        <w:pStyle w:val="105"/>
        <w:spacing w:before="312" w:after="312"/>
      </w:pPr>
      <w:bookmarkStart w:id="45" w:name="_Toc29694"/>
      <w:r>
        <w:t>重要数据保护要求</w:t>
      </w:r>
      <w:bookmarkEnd w:id="45"/>
    </w:p>
    <w:p w14:paraId="075B9438">
      <w:pPr>
        <w:pStyle w:val="106"/>
        <w:spacing w:before="156" w:after="156"/>
      </w:pPr>
      <w:r>
        <w:t>重要数</w:t>
      </w:r>
      <w:r>
        <w:rPr>
          <w:rStyle w:val="246"/>
        </w:rPr>
        <w:t>据</w:t>
      </w:r>
      <w:r>
        <w:t>处理通用要求</w:t>
      </w:r>
    </w:p>
    <w:p w14:paraId="5F51D78C">
      <w:pPr>
        <w:pStyle w:val="231"/>
        <w:ind w:firstLine="452"/>
        <w:rPr>
          <w:rFonts w:hint="eastAsia" w:hAnsi="宋体" w:cs="宋体"/>
          <w:sz w:val="20"/>
        </w:rPr>
      </w:pPr>
      <w:r>
        <w:rPr>
          <w:rFonts w:hAnsi="宋体" w:cs="宋体"/>
          <w:spacing w:val="13"/>
          <w:sz w:val="20"/>
        </w:rPr>
        <w:t>汽车数据处理者处理重要数据应具有明确、</w:t>
      </w:r>
      <w:r>
        <w:rPr>
          <w:rFonts w:hAnsi="宋体" w:cs="宋体"/>
          <w:spacing w:val="12"/>
          <w:sz w:val="20"/>
        </w:rPr>
        <w:t>合理的目的，并应与处理目的直接相关。除非驾驶</w:t>
      </w:r>
      <w:r>
        <w:rPr>
          <w:rFonts w:hint="eastAsia" w:hAnsi="宋体" w:cs="宋体"/>
          <w:spacing w:val="12"/>
          <w:sz w:val="20"/>
        </w:rPr>
        <w:t>员</w:t>
      </w:r>
      <w:r>
        <w:rPr>
          <w:rFonts w:hAnsi="宋体" w:cs="宋体"/>
          <w:spacing w:val="8"/>
          <w:sz w:val="20"/>
        </w:rPr>
        <w:t>自主设定，车辆应默认设定为不收集重要信息的状态，不应向车外提供重要数据。</w:t>
      </w:r>
    </w:p>
    <w:p w14:paraId="61C70055">
      <w:pPr>
        <w:pStyle w:val="106"/>
        <w:spacing w:before="156" w:after="156"/>
      </w:pPr>
      <w:r>
        <w:t>重要数据收集</w:t>
      </w:r>
    </w:p>
    <w:p w14:paraId="2A649AFE">
      <w:pPr>
        <w:pStyle w:val="166"/>
      </w:pPr>
      <w:r>
        <w:rPr>
          <w:rFonts w:hint="eastAsia"/>
          <w:spacing w:val="9"/>
        </w:rPr>
        <w:t>收集重要数据时</w:t>
      </w:r>
      <w:r>
        <w:rPr>
          <w:rFonts w:hint="eastAsia"/>
        </w:rPr>
        <w:t>，汽车数据处理者应根据所提供功能服务对数据精度的要求确定摄像头、雷达等的覆盖范围、分辨率。</w:t>
      </w:r>
    </w:p>
    <w:p w14:paraId="709ABB24">
      <w:pPr>
        <w:pStyle w:val="166"/>
      </w:pPr>
      <w:r>
        <w:rPr>
          <w:rFonts w:hint="eastAsia"/>
        </w:rPr>
        <w:t>因同一数据收集设备支持多个功能服务且所需数据精度要求不同，至少应有一个功能服务符合6.2.1的要求，针对其他不符合6.2.1要求的功能服务，汽车数据处理者应做出合理说明。</w:t>
      </w:r>
    </w:p>
    <w:p w14:paraId="7B0A4F1B">
      <w:pPr>
        <w:pStyle w:val="106"/>
        <w:spacing w:before="156" w:after="156"/>
      </w:pPr>
      <w:r>
        <w:t>重要数据存储</w:t>
      </w:r>
    </w:p>
    <w:p w14:paraId="5589C8E7">
      <w:pPr>
        <w:pStyle w:val="166"/>
      </w:pPr>
      <w:r>
        <w:rPr>
          <w:rFonts w:hint="eastAsia"/>
        </w:rPr>
        <w:t>重要信息的存储必须符合国家法律法规和相关政策的规定，确保合法性和合规性。</w:t>
      </w:r>
    </w:p>
    <w:p w14:paraId="21ED16C5">
      <w:pPr>
        <w:pStyle w:val="166"/>
      </w:pPr>
      <w:r>
        <w:rPr>
          <w:rFonts w:hint="eastAsia"/>
        </w:rPr>
        <w:t>应采取合理、安全的技术和组织措施，确保重要信息在存储过程中的安全、完整和保密。这可能包括加密存储、访问控制、审计日志等措施。</w:t>
      </w:r>
    </w:p>
    <w:p w14:paraId="1F8F36AB">
      <w:pPr>
        <w:pStyle w:val="166"/>
      </w:pPr>
      <w:r>
        <w:rPr>
          <w:rFonts w:hint="eastAsia"/>
        </w:rPr>
        <w:t>重要信息的存储期限应当与处理目的相符合，在达到目的后及时删除或匿名化处理</w:t>
      </w:r>
      <w:r>
        <w:rPr>
          <w:rFonts w:hint="eastAsia"/>
          <w:lang w:eastAsia="zh-CN"/>
        </w:rPr>
        <w:t>。</w:t>
      </w:r>
    </w:p>
    <w:p w14:paraId="54311350">
      <w:pPr>
        <w:pStyle w:val="106"/>
        <w:spacing w:before="156" w:after="156"/>
      </w:pPr>
      <w:r>
        <w:t>重要数据使用</w:t>
      </w:r>
    </w:p>
    <w:p w14:paraId="79BED20E">
      <w:pPr>
        <w:pStyle w:val="231"/>
      </w:pPr>
      <w:r>
        <w:t>使用重要数据时，汽车数据处理者应采取访问控制措施，防止非授权访问存储的重要数据。</w:t>
      </w:r>
    </w:p>
    <w:p w14:paraId="288D55CE">
      <w:pPr>
        <w:pStyle w:val="106"/>
        <w:spacing w:before="156" w:after="156"/>
      </w:pPr>
      <w:r>
        <w:t>重要数据传输</w:t>
      </w:r>
    </w:p>
    <w:p w14:paraId="512176E8">
      <w:pPr>
        <w:pStyle w:val="166"/>
      </w:pPr>
      <w:r>
        <w:rPr>
          <w:rFonts w:hint="eastAsia"/>
          <w:spacing w:val="9"/>
        </w:rPr>
        <w:t>重要</w:t>
      </w:r>
      <w:r>
        <w:rPr>
          <w:rFonts w:hint="eastAsia"/>
        </w:rPr>
        <w:t>信息在传输过程中应采用加密或其他保护措施，确保数据的保密性和完整性。加密可以采用软件加密或者网络通道加密等方式进行。</w:t>
      </w:r>
    </w:p>
    <w:p w14:paraId="0BDB8F88">
      <w:pPr>
        <w:pStyle w:val="166"/>
      </w:pPr>
      <w:r>
        <w:rPr>
          <w:rFonts w:hint="eastAsia"/>
        </w:rPr>
        <w:t>安全通道：应通过安全、可靠的传输通道进行数据传输，防止数据在传输过程中被截获、篡改或泄露。</w:t>
      </w:r>
    </w:p>
    <w:p w14:paraId="011E0171">
      <w:pPr>
        <w:pStyle w:val="106"/>
        <w:spacing w:before="156" w:after="156"/>
      </w:pPr>
      <w:r>
        <w:t>重要数据删除</w:t>
      </w:r>
    </w:p>
    <w:p w14:paraId="772A05E4">
      <w:pPr>
        <w:pStyle w:val="231"/>
      </w:pPr>
      <w:r>
        <w:t>被删除的重要数据应不可检索、不可访问。</w:t>
      </w:r>
    </w:p>
    <w:p w14:paraId="223104BA">
      <w:pPr>
        <w:pStyle w:val="106"/>
        <w:spacing w:before="156" w:after="156"/>
      </w:pPr>
      <w:r>
        <w:t>重要数据出境</w:t>
      </w:r>
    </w:p>
    <w:p w14:paraId="4D8F0D31">
      <w:pPr>
        <w:pStyle w:val="166"/>
      </w:pPr>
      <w:r>
        <w:rPr>
          <w:rFonts w:hint="eastAsia"/>
          <w:spacing w:val="9"/>
        </w:rPr>
        <w:t>重要数据</w:t>
      </w:r>
      <w:r>
        <w:rPr>
          <w:rFonts w:hint="eastAsia"/>
        </w:rPr>
        <w:t>和依法应当进行安全评估的个人信息在出境前需要进行安全评估。安全评估的目的是确保数据出境不会危害国家安全、公共利益和个人权益。</w:t>
      </w:r>
    </w:p>
    <w:p w14:paraId="03F9DE6E">
      <w:pPr>
        <w:pStyle w:val="166"/>
      </w:pPr>
      <w:r>
        <w:rPr>
          <w:rFonts w:hint="eastAsia"/>
        </w:rPr>
        <w:t>限制出境：未经安全评估或未通过安全评估的重要数据和个人信息，不得擅自出境。</w:t>
      </w:r>
    </w:p>
    <w:p w14:paraId="23D6DC55">
      <w:pPr>
        <w:pStyle w:val="105"/>
        <w:spacing w:before="312" w:after="312"/>
        <w:rPr>
          <w:rFonts w:ascii="Arial"/>
        </w:rPr>
      </w:pPr>
      <w:bookmarkStart w:id="46" w:name="_Toc23490"/>
      <w:r>
        <w:t>审核评估要求</w:t>
      </w:r>
      <w:bookmarkEnd w:id="46"/>
    </w:p>
    <w:p w14:paraId="04CF6F77">
      <w:pPr>
        <w:pStyle w:val="106"/>
        <w:spacing w:before="156" w:after="156"/>
      </w:pPr>
      <w:r>
        <w:t>个人信息及重要数据处理</w:t>
      </w:r>
    </w:p>
    <w:p w14:paraId="24F3DFC1">
      <w:pPr>
        <w:pStyle w:val="66"/>
        <w:spacing w:before="156" w:after="156"/>
      </w:pPr>
      <w:r>
        <w:t>试验输入信息</w:t>
      </w:r>
    </w:p>
    <w:p w14:paraId="3ADBB971">
      <w:pPr>
        <w:pStyle w:val="231"/>
      </w:pPr>
      <w:r>
        <w:t>试验开始前，送检厂商应提供如下信息：</w:t>
      </w:r>
    </w:p>
    <w:p w14:paraId="1A660516">
      <w:pPr>
        <w:pStyle w:val="175"/>
        <w:numPr>
          <w:ilvl w:val="0"/>
          <w:numId w:val="37"/>
        </w:numPr>
      </w:pPr>
      <w:r>
        <w:rPr>
          <w:rFonts w:hint="eastAsia"/>
        </w:rPr>
        <w:t>试验车辆处理个人信息和重要数据的功能清单；</w:t>
      </w:r>
    </w:p>
    <w:p w14:paraId="56DDD915">
      <w:pPr>
        <w:pStyle w:val="175"/>
      </w:pPr>
      <w:r>
        <w:rPr>
          <w:rFonts w:hint="eastAsia"/>
        </w:rPr>
        <w:t>撤回个人同意方式清单；</w:t>
      </w:r>
    </w:p>
    <w:p w14:paraId="17DDEE65">
      <w:pPr>
        <w:pStyle w:val="175"/>
      </w:pPr>
      <w:r>
        <w:rPr>
          <w:rFonts w:hint="eastAsia"/>
        </w:rPr>
        <w:t>试验车辆雷达和摄像头参数信息；</w:t>
      </w:r>
    </w:p>
    <w:p w14:paraId="380F6485">
      <w:pPr>
        <w:pStyle w:val="240"/>
        <w:numPr>
          <w:ilvl w:val="0"/>
          <w:numId w:val="13"/>
        </w:numPr>
        <w:tabs>
          <w:tab w:val="clear" w:pos="851"/>
        </w:tabs>
        <w:ind w:left="839" w:hanging="419"/>
      </w:pPr>
      <w:r>
        <w:rPr>
          <w:rFonts w:hint="eastAsia"/>
        </w:rPr>
        <w:t>试验车辆存储个人信息和重要数据的存储地址。</w:t>
      </w:r>
    </w:p>
    <w:p w14:paraId="41901543">
      <w:pPr>
        <w:pStyle w:val="66"/>
        <w:spacing w:before="156" w:after="156"/>
      </w:pPr>
      <w:r>
        <w:t>个人同意的取得试验方法</w:t>
      </w:r>
    </w:p>
    <w:p w14:paraId="4F8C881A">
      <w:pPr>
        <w:pStyle w:val="165"/>
      </w:pPr>
      <w:r>
        <w:rPr>
          <w:rFonts w:hint="eastAsia"/>
        </w:rPr>
        <w:t>按照处理个人信息的功能清单，启动除5.1.2所列例外情形的试验车辆各项个人信息处理功能，检查是否具备告知方式，并记录告知方式、告知内容和个人同意的方式，试验结果应符合5.2.1和5.2.2的要求。</w:t>
      </w:r>
    </w:p>
    <w:p w14:paraId="5D4E2256">
      <w:pPr>
        <w:pStyle w:val="165"/>
      </w:pPr>
      <w:r>
        <w:rPr>
          <w:rFonts w:hint="eastAsia"/>
        </w:rPr>
        <w:t>按照处理个人信息的功能清单，除5.1.2所列例外情形外，当各项个人信息处理功能超出同意期限后，启动各项功能，检查是否重新取得个人同意并记录个人同意的方式，试验结果应符合5.2.3.1 的要求。</w:t>
      </w:r>
    </w:p>
    <w:p w14:paraId="198835BB">
      <w:pPr>
        <w:pStyle w:val="165"/>
      </w:pPr>
      <w:r>
        <w:rPr>
          <w:rFonts w:hint="eastAsia"/>
        </w:rPr>
        <w:t>按照处理个人信息的功能清单，变更部分功能的处理目的、处理方式或处理种类，启动该功能，检查是否重新取得个人同意并记录个人同意的方式，试验结果应符合5.2.3.2的要求。</w:t>
      </w:r>
    </w:p>
    <w:p w14:paraId="1981FD69">
      <w:pPr>
        <w:pStyle w:val="165"/>
      </w:pPr>
      <w:r>
        <w:rPr>
          <w:rFonts w:hint="eastAsia"/>
        </w:rPr>
        <w:t>按照处理个人信息的功能清单，除5.1.2所列例外情形外，撤回各项功能的个人同意，记录各项功能撤回个人同意的途径，试验结果应满足5.2.4的要求。</w:t>
      </w:r>
    </w:p>
    <w:p w14:paraId="2AE35AA5">
      <w:pPr>
        <w:pStyle w:val="66"/>
        <w:spacing w:before="156" w:after="156"/>
      </w:pPr>
      <w:r>
        <w:t>个人信息和重要数据收集试验方法</w:t>
      </w:r>
    </w:p>
    <w:p w14:paraId="6F1939F0">
      <w:pPr>
        <w:pStyle w:val="231"/>
      </w:pPr>
      <w:r>
        <w:t>基于收集个人信息和重要数据的雷达和摄像头等数据收集设备参数，对比功能列表中各项功能所需的收集设备精度需求，记录对比结果，对比结果应符合5.3和6.2的要求。</w:t>
      </w:r>
    </w:p>
    <w:p w14:paraId="35D0AFC3">
      <w:pPr>
        <w:pStyle w:val="66"/>
        <w:spacing w:before="156" w:after="156"/>
      </w:pPr>
      <w:r>
        <w:t>个人信息使用试验方法</w:t>
      </w:r>
    </w:p>
    <w:p w14:paraId="21F3A42F">
      <w:pPr>
        <w:pStyle w:val="231"/>
      </w:pPr>
      <w:r>
        <w:t>基于个人信息处理的功能清单，选择需要使用个人生物特征识别信息进行身份认证的功能，撤销个人生物特征信息同意，检查相关功能是否仍可通过其他方式正常运行，记录试验结果，试验结果应符合5.5.2的要求。</w:t>
      </w:r>
    </w:p>
    <w:p w14:paraId="1AEE5879">
      <w:pPr>
        <w:pStyle w:val="66"/>
        <w:spacing w:before="156" w:after="156"/>
      </w:pPr>
      <w:r>
        <w:t>个人信息和重要数据传输试验方法</w:t>
      </w:r>
    </w:p>
    <w:p w14:paraId="44C4D2AE">
      <w:pPr>
        <w:pStyle w:val="165"/>
      </w:pPr>
      <w:r>
        <w:rPr>
          <w:rFonts w:hint="eastAsia"/>
        </w:rPr>
        <w:t>按照处理个人信息的功能清单，选取需要向车外提供座舱数据的功能，启动该功能，检查车辆是否发出向车外提供座舱数据的个人同意请求，记录试验结果，试验结果应符合5.6的要求。</w:t>
      </w:r>
    </w:p>
    <w:p w14:paraId="4DD323F1">
      <w:pPr>
        <w:pStyle w:val="165"/>
      </w:pPr>
      <w:r>
        <w:rPr>
          <w:rFonts w:hint="eastAsia"/>
        </w:rPr>
        <w:t>按照处理个人信息的功能清单，对于符合5.6.2.2规定的情形，逐项启动相关功能，检查车辆对外传输的个人信息是否进行匿名化处理，记录试验结果，试验结果应符合5.6.2.2的要求。</w:t>
      </w:r>
    </w:p>
    <w:p w14:paraId="3816C060">
      <w:pPr>
        <w:pStyle w:val="165"/>
      </w:pPr>
      <w:r>
        <w:rPr>
          <w:rFonts w:hint="eastAsia"/>
        </w:rPr>
        <w:t>个人信息和重要数据删除试验方法</w:t>
      </w:r>
    </w:p>
    <w:p w14:paraId="5BDEE4F6">
      <w:pPr>
        <w:pStyle w:val="165"/>
      </w:pPr>
      <w:r>
        <w:rPr>
          <w:rFonts w:hint="eastAsia"/>
        </w:rPr>
        <w:t>基于个人信息处理功能清单，选取涉及处理敏感个人信息的功能，若该功能对应的敏感个人信息存储在车端，请求删除敏感个人信息，检查删除情况，记录试验结果，试验结果应符合5.7.1的要求。</w:t>
      </w:r>
    </w:p>
    <w:p w14:paraId="11029327">
      <w:pPr>
        <w:pStyle w:val="165"/>
      </w:pPr>
      <w:r>
        <w:rPr>
          <w:rFonts w:hint="eastAsia"/>
        </w:rPr>
        <w:t>基于个人信息和重要数据处理功能清单，选取涉及处理个人信息和重要数据的功能，若该功能对应的个人信息和重要数据存储在车端，请求删除个人信息和重要数据，对删除的数据内容在车端进行检索，记录检索结果，试验结果应符合5.7和6.6的要求。</w:t>
      </w:r>
    </w:p>
    <w:p w14:paraId="2AD3F438">
      <w:pPr>
        <w:pStyle w:val="106"/>
        <w:spacing w:before="156" w:after="156"/>
      </w:pPr>
      <w:r>
        <w:t>个人信息匿名化处理</w:t>
      </w:r>
    </w:p>
    <w:p w14:paraId="204CD2E6">
      <w:pPr>
        <w:pStyle w:val="57"/>
        <w:ind w:firstLine="420"/>
      </w:pPr>
      <w:r>
        <w:rPr>
          <w:rFonts w:hint="eastAsia"/>
        </w:rPr>
        <w:t>应按GB/T 44464的要求对车辆进行匿名化误检率试验。</w:t>
      </w:r>
    </w:p>
    <w:bookmarkEnd w:id="21"/>
    <w:p w14:paraId="3E439121">
      <w:pPr>
        <w:pStyle w:val="57"/>
        <w:ind w:firstLine="0" w:firstLineChars="0"/>
        <w:jc w:val="center"/>
      </w:pPr>
      <w:bookmarkStart w:id="47" w:name="BookMark8"/>
      <w:r>
        <w:rPr>
          <w:rFonts w:hint="eastAsia"/>
        </w:rPr>
        <w:drawing>
          <wp:inline distT="0" distB="0" distL="0" distR="0">
            <wp:extent cx="1485900" cy="317500"/>
            <wp:effectExtent l="0" t="0" r="0" b="6350"/>
            <wp:docPr id="391844105" name="图片 1"/>
            <wp:cNvGraphicFramePr/>
            <a:graphic xmlns:a="http://schemas.openxmlformats.org/drawingml/2006/main">
              <a:graphicData uri="http://schemas.openxmlformats.org/drawingml/2006/picture">
                <pic:pic xmlns:pic="http://schemas.openxmlformats.org/drawingml/2006/picture">
                  <pic:nvPicPr>
                    <pic:cNvPr id="391844105"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7"/>
    </w:p>
    <w:sectPr>
      <w:headerReference r:id="rId9" w:type="default"/>
      <w:footerReference r:id="rId11" w:type="default"/>
      <w:headerReference r:id="rId10" w:type="even"/>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BF8FC">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F50D6">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C0CD">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CA2A">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524C">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57244">
    <w:pPr>
      <w:pStyle w:val="62"/>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9A070">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495BAD3"/>
    <w:multiLevelType w:val="multilevel"/>
    <w:tmpl w:val="6495BAD3"/>
    <w:lvl w:ilvl="0" w:tentative="0">
      <w:start w:val="1"/>
      <w:numFmt w:val="decimal"/>
      <w:suff w:val="nothing"/>
      <w:lvlText w:val="%1　"/>
      <w:lvlJc w:val="left"/>
      <w:pPr>
        <w:tabs>
          <w:tab w:val="left" w:pos="0"/>
        </w:tabs>
        <w:ind w:left="0" w:firstLine="0"/>
      </w:pPr>
      <w:rPr>
        <w:rFonts w:hint="default" w:ascii="黑体" w:hAnsi="Times New Roman" w:eastAsia="黑体"/>
        <w:b w:val="0"/>
        <w:i w:val="0"/>
        <w:sz w:val="21"/>
        <w:szCs w:val="21"/>
      </w:rPr>
    </w:lvl>
    <w:lvl w:ilvl="1" w:tentative="0">
      <w:start w:val="1"/>
      <w:numFmt w:val="decimal"/>
      <w:suff w:val="nothing"/>
      <w:lvlText w:val="%1.%2　"/>
      <w:lvlJc w:val="left"/>
      <w:pPr>
        <w:ind w:left="0" w:firstLine="0"/>
      </w:pPr>
      <w:rPr>
        <w:rFonts w:hint="default" w:ascii="黑体" w:hAnsi="黑体"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tabs>
          <w:tab w:val="left" w:pos="0"/>
        </w:tabs>
        <w:ind w:left="0" w:firstLine="0"/>
      </w:pPr>
      <w:rPr>
        <w:rFonts w:hint="default" w:ascii="黑体" w:hAnsi="黑体" w:eastAsia="黑体"/>
      </w:rPr>
    </w:lvl>
    <w:lvl w:ilvl="3" w:tentative="0">
      <w:start w:val="1"/>
      <w:numFmt w:val="decimal"/>
      <w:pStyle w:val="242"/>
      <w:suff w:val="nothing"/>
      <w:lvlText w:val="%1.%2.%3.%4　"/>
      <w:lvlJc w:val="left"/>
      <w:pPr>
        <w:tabs>
          <w:tab w:val="left" w:pos="0"/>
        </w:tabs>
        <w:ind w:left="0" w:firstLine="0"/>
      </w:pPr>
      <w:rPr>
        <w:rFonts w:hint="default" w:ascii="黑体" w:hAnsi="黑体" w:eastAsia="黑体" w:cs="黑体"/>
        <w:b w:val="0"/>
        <w:i w:val="0"/>
        <w:sz w:val="21"/>
      </w:rPr>
    </w:lvl>
    <w:lvl w:ilvl="4" w:tentative="0">
      <w:start w:val="1"/>
      <w:numFmt w:val="decimal"/>
      <w:pStyle w:val="23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pStyle w:val="236"/>
      <w:lvlText w:val="%1.%2.%3.%4.%5.%6.%7.%8.%9"/>
      <w:lvlJc w:val="left"/>
      <w:pPr>
        <w:tabs>
          <w:tab w:val="left" w:pos="4777"/>
        </w:tabs>
        <w:ind w:left="4677" w:hanging="1700"/>
      </w:pPr>
      <w:rPr>
        <w:rFonts w:hint="eastAsia"/>
      </w:rPr>
    </w:lvl>
  </w:abstractNum>
  <w:abstractNum w:abstractNumId="23">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0"/>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2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RdWoYYiGDrywrkpyCEFOR9Zh3oQyB1h96KjMtqINWnOQuuEiHaZ97UndLvMHb1LwTM4e/A3pETY8ByZsNYcmGw==" w:salt="+1RE4Kp/eTG2YN0HcnZSLQ=="/>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003"/>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07C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42D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1B1"/>
    <w:rsid w:val="003705F4"/>
    <w:rsid w:val="00370D58"/>
    <w:rsid w:val="00371316"/>
    <w:rsid w:val="00376713"/>
    <w:rsid w:val="00381815"/>
    <w:rsid w:val="003819AF"/>
    <w:rsid w:val="003820E9"/>
    <w:rsid w:val="00382DE7"/>
    <w:rsid w:val="003848D1"/>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1003"/>
    <w:rsid w:val="004D2253"/>
    <w:rsid w:val="004D4406"/>
    <w:rsid w:val="004D7C42"/>
    <w:rsid w:val="004E0465"/>
    <w:rsid w:val="004E127B"/>
    <w:rsid w:val="004E1C0A"/>
    <w:rsid w:val="004E2722"/>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1FEE"/>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77E62"/>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6794E"/>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7ED"/>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344"/>
    <w:rsid w:val="00ED779B"/>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A9D"/>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8896CC6"/>
    <w:rsid w:val="0F7B00CC"/>
    <w:rsid w:val="451206E8"/>
    <w:rsid w:val="5FCA4994"/>
    <w:rsid w:val="629152E7"/>
    <w:rsid w:val="70A17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7"/>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6"/>
    <w:semiHidden/>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9"/>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FollowedHyperlink"/>
    <w:autoRedefine/>
    <w:qFormat/>
    <w:uiPriority w:val="0"/>
    <w:rPr>
      <w:color w:val="800080"/>
      <w:u w:val="single"/>
    </w:rPr>
  </w:style>
  <w:style w:type="character" w:styleId="32">
    <w:name w:val="Emphasis"/>
    <w:qFormat/>
    <w:uiPriority w:val="20"/>
    <w:rPr>
      <w:i/>
      <w:iCs/>
    </w:rPr>
  </w:style>
  <w:style w:type="character" w:styleId="33">
    <w:name w:val="Hyperlink"/>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8"/>
    <w:qFormat/>
    <w:uiPriority w:val="99"/>
    <w:rPr>
      <w:kern w:val="2"/>
      <w:sz w:val="18"/>
      <w:szCs w:val="18"/>
    </w:rPr>
  </w:style>
  <w:style w:type="character" w:customStyle="1" w:styleId="45">
    <w:name w:val="页脚 字符"/>
    <w:link w:val="17"/>
    <w:uiPriority w:val="99"/>
    <w:rPr>
      <w:rFonts w:ascii="宋体"/>
      <w:kern w:val="2"/>
      <w:sz w:val="18"/>
      <w:szCs w:val="18"/>
    </w:rPr>
  </w:style>
  <w:style w:type="character" w:customStyle="1" w:styleId="46">
    <w:name w:val="批注框文本 字符"/>
    <w:link w:val="16"/>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5"/>
    <w:uiPriority w:val="0"/>
    <w:rPr>
      <w:rFonts w:ascii="Arial" w:hAnsi="Arial" w:cs="Arial"/>
      <w:b/>
      <w:bCs/>
      <w:kern w:val="2"/>
      <w:sz w:val="32"/>
      <w:szCs w:val="32"/>
    </w:rPr>
  </w:style>
  <w:style w:type="paragraph" w:customStyle="1" w:styleId="50">
    <w:name w:val="标准标志"/>
    <w:next w:val="1"/>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uiPriority w:val="0"/>
    <w:pPr>
      <w:ind w:left="198"/>
    </w:pPr>
    <w:rPr>
      <w:rFonts w:ascii="宋体" w:hAnsi="Times New Roman" w:eastAsia="宋体" w:cs="Times New Roman"/>
      <w:sz w:val="18"/>
      <w:lang w:val="en-US" w:eastAsia="zh-CN" w:bidi="ar-SA"/>
    </w:rPr>
  </w:style>
  <w:style w:type="paragraph" w:customStyle="1" w:styleId="53">
    <w:name w:val="标准文件_页脚奇数页"/>
    <w:uiPriority w:val="0"/>
    <w:pPr>
      <w:ind w:right="227"/>
      <w:jc w:val="right"/>
    </w:pPr>
    <w:rPr>
      <w:rFonts w:ascii="宋体" w:hAnsi="Times New Roman" w:eastAsia="宋体" w:cs="Times New Roman"/>
      <w:sz w:val="18"/>
      <w:lang w:val="en-US" w:eastAsia="zh-CN" w:bidi="ar-SA"/>
    </w:rPr>
  </w:style>
  <w:style w:type="paragraph" w:customStyle="1" w:styleId="54">
    <w:name w:val="标准书眉一"/>
    <w:uiPriority w:val="0"/>
    <w:pPr>
      <w:jc w:val="both"/>
    </w:pPr>
    <w:rPr>
      <w:rFonts w:ascii="Times New Roman" w:hAnsi="Times New Roman" w:eastAsia="宋体" w:cs="Times New Roman"/>
      <w:lang w:val="en-US" w:eastAsia="zh-CN" w:bidi="ar-SA"/>
    </w:rPr>
  </w:style>
  <w:style w:type="paragraph" w:customStyle="1" w:styleId="55">
    <w:name w:val="标准文件_ICS"/>
    <w:basedOn w:val="1"/>
    <w:uiPriority w:val="0"/>
    <w:pPr>
      <w:spacing w:line="0" w:lineRule="atLeast"/>
    </w:pPr>
    <w:rPr>
      <w:rFonts w:ascii="黑体" w:hAnsi="宋体" w:eastAsia="黑体"/>
    </w:rPr>
  </w:style>
  <w:style w:type="paragraph" w:customStyle="1" w:styleId="56">
    <w:name w:val="标准文件_标准正文"/>
    <w:basedOn w:val="1"/>
    <w:next w:val="57"/>
    <w:uiPriority w:val="0"/>
    <w:pPr>
      <w:snapToGrid w:val="0"/>
      <w:ind w:firstLine="200" w:firstLineChars="200"/>
    </w:pPr>
    <w:rPr>
      <w:kern w:val="0"/>
    </w:rPr>
  </w:style>
  <w:style w:type="paragraph" w:customStyle="1" w:styleId="57">
    <w:name w:val="标准文件_段"/>
    <w:link w:val="185"/>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uiPriority w:val="0"/>
    <w:pPr>
      <w:adjustRightInd/>
      <w:snapToGrid/>
      <w:ind w:firstLine="0" w:firstLineChars="0"/>
    </w:pPr>
    <w:rPr>
      <w:rFonts w:ascii="宋体" w:hAnsi="宋体"/>
      <w:kern w:val="2"/>
    </w:rPr>
  </w:style>
  <w:style w:type="paragraph" w:customStyle="1" w:styleId="59">
    <w:name w:val="标准文件_标准部门"/>
    <w:basedOn w:val="1"/>
    <w:uiPriority w:val="0"/>
    <w:pPr>
      <w:jc w:val="center"/>
    </w:pPr>
    <w:rPr>
      <w:rFonts w:ascii="黑体" w:eastAsia="黑体"/>
      <w:kern w:val="0"/>
      <w:sz w:val="44"/>
    </w:rPr>
  </w:style>
  <w:style w:type="paragraph" w:customStyle="1" w:styleId="60">
    <w:name w:val="标准文件_标准代替"/>
    <w:basedOn w:val="1"/>
    <w:next w:val="1"/>
    <w:uiPriority w:val="0"/>
    <w:pPr>
      <w:spacing w:line="310" w:lineRule="exact"/>
      <w:jc w:val="right"/>
    </w:pPr>
    <w:rPr>
      <w:rFonts w:ascii="宋体" w:hAnsi="宋体"/>
      <w:kern w:val="0"/>
    </w:rPr>
  </w:style>
  <w:style w:type="paragraph" w:customStyle="1" w:styleId="61">
    <w:name w:val="标准文件_标准名称标题"/>
    <w:basedOn w:val="1"/>
    <w:next w:val="1"/>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uiPriority w:val="0"/>
    <w:rPr>
      <w:rFonts w:ascii="黑体" w:eastAsia="黑体"/>
      <w:b/>
      <w:kern w:val="0"/>
      <w:sz w:val="28"/>
    </w:rPr>
  </w:style>
  <w:style w:type="paragraph" w:customStyle="1" w:styleId="71">
    <w:name w:val="标准文件_封面标准名称"/>
    <w:basedOn w:val="1"/>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uiPriority w:val="0"/>
    <w:pPr>
      <w:spacing w:line="310" w:lineRule="exact"/>
    </w:pPr>
    <w:rPr>
      <w:rFonts w:ascii="黑体" w:eastAsia="黑体"/>
      <w:kern w:val="0"/>
      <w:sz w:val="28"/>
    </w:rPr>
  </w:style>
  <w:style w:type="paragraph" w:customStyle="1" w:styleId="74">
    <w:name w:val="标准文件_封面密级"/>
    <w:basedOn w:val="1"/>
    <w:uiPriority w:val="0"/>
    <w:rPr>
      <w:rFonts w:eastAsia="黑体"/>
      <w:sz w:val="32"/>
    </w:rPr>
  </w:style>
  <w:style w:type="paragraph" w:customStyle="1" w:styleId="75">
    <w:name w:val="标准文件_封面实施日期"/>
    <w:basedOn w:val="1"/>
    <w:uiPriority w:val="0"/>
    <w:pPr>
      <w:spacing w:line="310" w:lineRule="exact"/>
      <w:jc w:val="right"/>
    </w:pPr>
    <w:rPr>
      <w:rFonts w:ascii="黑体" w:eastAsia="黑体"/>
      <w:sz w:val="28"/>
    </w:rPr>
  </w:style>
  <w:style w:type="paragraph" w:customStyle="1" w:styleId="76">
    <w:name w:val="标准文件_封面抬头"/>
    <w:basedOn w:val="57"/>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3"/>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3"/>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uiPriority w:val="0"/>
    <w:pPr>
      <w:adjustRightInd/>
      <w:spacing w:line="240" w:lineRule="auto"/>
      <w:ind w:firstLine="200" w:firstLineChars="200"/>
    </w:pPr>
    <w:rPr>
      <w:sz w:val="18"/>
      <w:szCs w:val="24"/>
    </w:rPr>
  </w:style>
  <w:style w:type="paragraph" w:customStyle="1" w:styleId="98">
    <w:name w:val="标准文件_数字编号列项"/>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1"/>
    <w:semiHidden/>
    <w:qFormat/>
    <w:uiPriority w:val="0"/>
    <w:rPr>
      <w:rFonts w:ascii="宋体"/>
      <w:kern w:val="2"/>
      <w:sz w:val="18"/>
      <w:szCs w:val="18"/>
    </w:rPr>
  </w:style>
  <w:style w:type="paragraph" w:customStyle="1" w:styleId="101">
    <w:name w:val="标准文件_条文脚注"/>
    <w:basedOn w:val="21"/>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uiPriority w:val="0"/>
    <w:pPr>
      <w:numPr>
        <w:ilvl w:val="3"/>
        <w:numId w:val="20"/>
      </w:numPr>
      <w:adjustRightInd/>
      <w:spacing w:line="240" w:lineRule="auto"/>
    </w:pPr>
    <w:rPr>
      <w:rFonts w:ascii="宋体" w:hAnsi="宋体"/>
      <w:szCs w:val="24"/>
    </w:rPr>
  </w:style>
  <w:style w:type="paragraph" w:customStyle="1" w:styleId="120">
    <w:name w:val="发布部门"/>
    <w:next w:val="57"/>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uiPriority w:val="0"/>
    <w:rPr>
      <w:rFonts w:ascii="Arial" w:hAnsi="Arial" w:eastAsia="宋体" w:cs="Arial"/>
      <w:color w:val="auto"/>
      <w:spacing w:val="0"/>
      <w:sz w:val="20"/>
    </w:rPr>
  </w:style>
  <w:style w:type="character" w:customStyle="1" w:styleId="138">
    <w:name w:val="个人撰写风格"/>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autoRedefine/>
    <w:semiHidden/>
    <w:uiPriority w:val="0"/>
    <w:pPr>
      <w:adjustRightInd/>
      <w:spacing w:line="240" w:lineRule="auto"/>
      <w:jc w:val="left"/>
    </w:pPr>
    <w:rPr>
      <w:bCs/>
      <w:iCs/>
    </w:rPr>
  </w:style>
  <w:style w:type="paragraph" w:customStyle="1" w:styleId="144">
    <w:name w:val="目录 31"/>
    <w:basedOn w:val="1"/>
    <w:next w:val="1"/>
    <w:autoRedefine/>
    <w:semiHidden/>
    <w:qFormat/>
    <w:uiPriority w:val="0"/>
    <w:pPr>
      <w:spacing w:line="240" w:lineRule="auto"/>
    </w:pPr>
    <w:rPr>
      <w:rFonts w:ascii="宋体" w:hAnsi="宋体"/>
      <w:iCs/>
    </w:rPr>
  </w:style>
  <w:style w:type="paragraph" w:customStyle="1" w:styleId="145">
    <w:name w:val="目录 41"/>
    <w:basedOn w:val="1"/>
    <w:next w:val="1"/>
    <w:autoRedefine/>
    <w:semiHidden/>
    <w:qFormat/>
    <w:uiPriority w:val="0"/>
    <w:pPr>
      <w:adjustRightInd/>
      <w:spacing w:line="240" w:lineRule="auto"/>
      <w:jc w:val="left"/>
    </w:pPr>
  </w:style>
  <w:style w:type="paragraph" w:customStyle="1" w:styleId="146">
    <w:name w:val="目录 51"/>
    <w:basedOn w:val="1"/>
    <w:next w:val="1"/>
    <w:autoRedefine/>
    <w:semiHidden/>
    <w:uiPriority w:val="0"/>
    <w:pPr>
      <w:spacing w:line="240" w:lineRule="auto"/>
    </w:pPr>
    <w:rPr>
      <w:rFonts w:ascii="宋体" w:hAnsi="宋体"/>
    </w:rPr>
  </w:style>
  <w:style w:type="paragraph" w:customStyle="1" w:styleId="147">
    <w:name w:val="目录 61"/>
    <w:basedOn w:val="1"/>
    <w:next w:val="1"/>
    <w:autoRedefine/>
    <w:semiHidden/>
    <w:uiPriority w:val="0"/>
    <w:pPr>
      <w:adjustRightInd/>
      <w:spacing w:line="240" w:lineRule="auto"/>
      <w:jc w:val="left"/>
    </w:pPr>
  </w:style>
  <w:style w:type="paragraph" w:customStyle="1" w:styleId="148">
    <w:name w:val="目录 71"/>
    <w:basedOn w:val="147"/>
    <w:autoRedefine/>
    <w:semiHidden/>
    <w:uiPriority w:val="0"/>
    <w:pPr>
      <w:ind w:left="1260"/>
    </w:pPr>
  </w:style>
  <w:style w:type="paragraph" w:customStyle="1" w:styleId="149">
    <w:name w:val="目录 81"/>
    <w:basedOn w:val="148"/>
    <w:autoRedefine/>
    <w:semiHidden/>
    <w:uiPriority w:val="0"/>
    <w:pPr>
      <w:ind w:left="1470"/>
    </w:pPr>
  </w:style>
  <w:style w:type="paragraph" w:customStyle="1" w:styleId="150">
    <w:name w:val="目录 91"/>
    <w:basedOn w:val="149"/>
    <w:autoRedefine/>
    <w:semiHidden/>
    <w:qFormat/>
    <w:uiPriority w:val="0"/>
    <w:pPr>
      <w:ind w:left="1680"/>
    </w:pPr>
  </w:style>
  <w:style w:type="paragraph" w:customStyle="1" w:styleId="151">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8"/>
    <w:semiHidden/>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8"/>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frame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8"/>
    <w:uiPriority w:val="0"/>
    <w:rPr>
      <w:rFonts w:ascii="黑体" w:eastAsia="黑体"/>
      <w:spacing w:val="85"/>
      <w:w w:val="100"/>
      <w:position w:val="3"/>
      <w:sz w:val="28"/>
      <w:szCs w:val="28"/>
    </w:rPr>
  </w:style>
  <w:style w:type="paragraph" w:customStyle="1" w:styleId="231">
    <w:name w:val="段"/>
    <w:link w:val="232"/>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2">
    <w:name w:val="段 Char"/>
    <w:link w:val="231"/>
    <w:autoRedefine/>
    <w:qFormat/>
    <w:uiPriority w:val="0"/>
    <w:rPr>
      <w:rFonts w:ascii="宋体" w:hAnsi="Times New Roman"/>
      <w:sz w:val="21"/>
    </w:rPr>
  </w:style>
  <w:style w:type="paragraph" w:customStyle="1" w:styleId="233">
    <w:name w:val="一级条标题"/>
    <w:next w:val="231"/>
    <w:link w:val="246"/>
    <w:autoRedefine/>
    <w:qFormat/>
    <w:uiPriority w:val="0"/>
    <w:pPr>
      <w:spacing w:before="50" w:beforeLines="50" w:after="50" w:afterLines="50"/>
      <w:outlineLvl w:val="1"/>
    </w:pPr>
    <w:rPr>
      <w:rFonts w:ascii="黑体" w:hAnsi="Times New Roman" w:eastAsia="黑体" w:cs="Times New Roman"/>
      <w:sz w:val="21"/>
      <w:szCs w:val="21"/>
      <w:lang w:val="en-US" w:eastAsia="zh-CN" w:bidi="ar-SA"/>
    </w:rPr>
  </w:style>
  <w:style w:type="paragraph" w:customStyle="1" w:styleId="234">
    <w:name w:val="章标题"/>
    <w:next w:val="231"/>
    <w:autoRedefine/>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235">
    <w:name w:val="二级条标题"/>
    <w:basedOn w:val="233"/>
    <w:next w:val="231"/>
    <w:link w:val="247"/>
    <w:autoRedefine/>
    <w:qFormat/>
    <w:uiPriority w:val="0"/>
    <w:pPr>
      <w:outlineLvl w:val="2"/>
    </w:pPr>
  </w:style>
  <w:style w:type="paragraph" w:customStyle="1" w:styleId="236">
    <w:name w:val="列项——（一级）"/>
    <w:autoRedefine/>
    <w:qFormat/>
    <w:uiPriority w:val="0"/>
    <w:pPr>
      <w:widowControl w:val="0"/>
      <w:numPr>
        <w:ilvl w:val="8"/>
        <w:numId w:val="32"/>
      </w:numPr>
      <w:jc w:val="both"/>
    </w:pPr>
    <w:rPr>
      <w:rFonts w:ascii="宋体" w:hAnsi="Times New Roman" w:eastAsia="宋体" w:cs="Times New Roman"/>
      <w:sz w:val="21"/>
      <w:lang w:val="en-US" w:eastAsia="zh-CN" w:bidi="ar-SA"/>
    </w:rPr>
  </w:style>
  <w:style w:type="paragraph" w:customStyle="1" w:styleId="237">
    <w:name w:val="三级条标题"/>
    <w:basedOn w:val="235"/>
    <w:next w:val="231"/>
    <w:autoRedefine/>
    <w:qFormat/>
    <w:uiPriority w:val="0"/>
    <w:pPr>
      <w:tabs>
        <w:tab w:val="left" w:pos="0"/>
      </w:tabs>
      <w:spacing w:before="156" w:after="156"/>
      <w:outlineLvl w:val="4"/>
    </w:pPr>
  </w:style>
  <w:style w:type="paragraph" w:customStyle="1" w:styleId="238">
    <w:name w:val="数字编号列项（二级）"/>
    <w:autoRedefine/>
    <w:qFormat/>
    <w:uiPriority w:val="0"/>
    <w:pPr>
      <w:tabs>
        <w:tab w:val="left" w:pos="840"/>
        <w:tab w:val="left" w:pos="1260"/>
      </w:tabs>
      <w:ind w:left="1259" w:hanging="419"/>
      <w:jc w:val="both"/>
    </w:pPr>
    <w:rPr>
      <w:rFonts w:ascii="宋体" w:hAnsi="Times New Roman" w:eastAsia="宋体" w:cs="Times New Roman"/>
      <w:sz w:val="21"/>
      <w:lang w:val="en-US" w:eastAsia="zh-CN" w:bidi="ar-SA"/>
    </w:rPr>
  </w:style>
  <w:style w:type="paragraph" w:customStyle="1" w:styleId="239">
    <w:name w:val="四级条标题"/>
    <w:basedOn w:val="237"/>
    <w:next w:val="231"/>
    <w:autoRedefine/>
    <w:qFormat/>
    <w:uiPriority w:val="0"/>
    <w:pPr>
      <w:numPr>
        <w:ilvl w:val="4"/>
        <w:numId w:val="32"/>
      </w:numPr>
      <w:outlineLvl w:val="5"/>
    </w:pPr>
  </w:style>
  <w:style w:type="paragraph" w:customStyle="1" w:styleId="240">
    <w:name w:val="字母编号列项（一级）"/>
    <w:autoRedefine/>
    <w:qFormat/>
    <w:uiPriority w:val="0"/>
    <w:pPr>
      <w:tabs>
        <w:tab w:val="left" w:pos="840"/>
      </w:tabs>
      <w:ind w:left="839" w:hanging="419"/>
      <w:jc w:val="both"/>
    </w:pPr>
    <w:rPr>
      <w:rFonts w:ascii="宋体" w:hAnsi="Times New Roman" w:eastAsia="宋体" w:cs="Times New Roman"/>
      <w:sz w:val="21"/>
      <w:lang w:val="en-US" w:eastAsia="zh-CN" w:bidi="ar-SA"/>
    </w:rPr>
  </w:style>
  <w:style w:type="paragraph" w:customStyle="1" w:styleId="241">
    <w:name w:val="编号列项（三级）"/>
    <w:autoRedefine/>
    <w:qFormat/>
    <w:uiPriority w:val="0"/>
    <w:pPr>
      <w:tabs>
        <w:tab w:val="left" w:pos="0"/>
        <w:tab w:val="left" w:pos="840"/>
      </w:tabs>
      <w:ind w:left="1679" w:hanging="420"/>
    </w:pPr>
    <w:rPr>
      <w:rFonts w:ascii="宋体" w:hAnsi="Times New Roman" w:eastAsia="宋体" w:cs="Times New Roman"/>
      <w:sz w:val="21"/>
      <w:lang w:val="en-US" w:eastAsia="zh-CN" w:bidi="ar-SA"/>
    </w:rPr>
  </w:style>
  <w:style w:type="paragraph" w:customStyle="1" w:styleId="242">
    <w:name w:val="二级无"/>
    <w:basedOn w:val="235"/>
    <w:link w:val="245"/>
    <w:autoRedefine/>
    <w:qFormat/>
    <w:uiPriority w:val="0"/>
    <w:pPr>
      <w:numPr>
        <w:ilvl w:val="3"/>
        <w:numId w:val="32"/>
      </w:numPr>
      <w:tabs>
        <w:tab w:val="left" w:pos="1680"/>
        <w:tab w:val="clear" w:pos="0"/>
      </w:tabs>
      <w:spacing w:before="0" w:beforeLines="0" w:after="0" w:afterLines="0"/>
      <w:ind w:left="1680" w:hanging="420"/>
    </w:pPr>
    <w:rPr>
      <w:rFonts w:hAnsi="黑体"/>
    </w:rPr>
  </w:style>
  <w:style w:type="paragraph" w:customStyle="1" w:styleId="243">
    <w:name w:val="一级无"/>
    <w:basedOn w:val="233"/>
    <w:autoRedefine/>
    <w:qFormat/>
    <w:uiPriority w:val="0"/>
    <w:pPr>
      <w:spacing w:beforeLines="0" w:afterLines="0"/>
    </w:pPr>
    <w:rPr>
      <w:rFonts w:ascii="宋体" w:eastAsia="宋体"/>
    </w:rPr>
  </w:style>
  <w:style w:type="paragraph" w:customStyle="1" w:styleId="244">
    <w:name w:val="正文图标题"/>
    <w:next w:val="231"/>
    <w:autoRedefine/>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character" w:customStyle="1" w:styleId="245">
    <w:name w:val="二级无 Char"/>
    <w:link w:val="242"/>
    <w:autoRedefine/>
    <w:qFormat/>
    <w:uiPriority w:val="0"/>
    <w:rPr>
      <w:rFonts w:ascii="黑体" w:hAnsi="黑体" w:eastAsia="黑体"/>
      <w:sz w:val="21"/>
      <w:szCs w:val="21"/>
    </w:rPr>
  </w:style>
  <w:style w:type="character" w:customStyle="1" w:styleId="246">
    <w:name w:val="一级条标题 Char"/>
    <w:link w:val="233"/>
    <w:autoRedefine/>
    <w:qFormat/>
    <w:uiPriority w:val="0"/>
    <w:rPr>
      <w:rFonts w:ascii="黑体" w:hAnsi="Times New Roman" w:eastAsia="黑体"/>
      <w:sz w:val="21"/>
      <w:szCs w:val="21"/>
    </w:rPr>
  </w:style>
  <w:style w:type="character" w:customStyle="1" w:styleId="247">
    <w:name w:val="二级条标题 Char"/>
    <w:link w:val="235"/>
    <w:autoRedefine/>
    <w:qFormat/>
    <w:uiPriority w:val="0"/>
    <w:rPr>
      <w:rFonts w:ascii="黑体" w:hAnsi="Times New Roman" w:eastAsia="黑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B1FE080219246A487BCC2A9B748B71D"/>
        <w:style w:val=""/>
        <w:category>
          <w:name w:val="常规"/>
          <w:gallery w:val="placeholder"/>
        </w:category>
        <w:types>
          <w:type w:val="bbPlcHdr"/>
        </w:types>
        <w:behaviors>
          <w:behavior w:val="content"/>
        </w:behaviors>
        <w:description w:val=""/>
        <w:guid w:val="{DCBB2D41-6184-4903-8EF3-43683BB92C54}"/>
      </w:docPartPr>
      <w:docPartBody>
        <w:p w14:paraId="22702CCF">
          <w:pPr>
            <w:pStyle w:val="5"/>
            <w:rPr>
              <w:rFonts w:hint="eastAsia"/>
            </w:rPr>
          </w:pPr>
          <w:r>
            <w:rPr>
              <w:rStyle w:val="4"/>
              <w:rFonts w:hint="eastAsia"/>
            </w:rPr>
            <w:t>单击或点击此处输入文字。</w:t>
          </w:r>
        </w:p>
      </w:docPartBody>
    </w:docPart>
    <w:docPart>
      <w:docPartPr>
        <w:name w:val="FD9A96587FA148728FADD90D149A7C0C"/>
        <w:style w:val=""/>
        <w:category>
          <w:name w:val="常规"/>
          <w:gallery w:val="placeholder"/>
        </w:category>
        <w:types>
          <w:type w:val="bbPlcHdr"/>
        </w:types>
        <w:behaviors>
          <w:behavior w:val="content"/>
        </w:behaviors>
        <w:description w:val=""/>
        <w:guid w:val="{B1D8337E-458B-42E8-BBAF-040AFDA815A4}"/>
      </w:docPartPr>
      <w:docPartBody>
        <w:p w14:paraId="7A13F722">
          <w:pPr>
            <w:pStyle w:val="6"/>
            <w:rPr>
              <w:rFonts w:hint="eastAsia"/>
            </w:rPr>
          </w:pPr>
          <w:r>
            <w:rPr>
              <w:rStyle w:val="4"/>
              <w:rFonts w:hint="eastAsia"/>
            </w:rPr>
            <w:t>选择一项。</w:t>
          </w:r>
        </w:p>
      </w:docPartBody>
    </w:docPart>
    <w:docPart>
      <w:docPartPr>
        <w:name w:val="2FB4BEA1654D48399428B645F78B39D6"/>
        <w:style w:val=""/>
        <w:category>
          <w:name w:val="常规"/>
          <w:gallery w:val="placeholder"/>
        </w:category>
        <w:types>
          <w:type w:val="bbPlcHdr"/>
        </w:types>
        <w:behaviors>
          <w:behavior w:val="content"/>
        </w:behaviors>
        <w:description w:val=""/>
        <w:guid w:val="{C8671A42-4599-4C4B-8CE3-E0ADAD7F8CC4}"/>
      </w:docPartPr>
      <w:docPartBody>
        <w:p w14:paraId="27F02637">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849"/>
    <w:rsid w:val="00193524"/>
    <w:rsid w:val="004E2722"/>
    <w:rsid w:val="00BD5849"/>
    <w:rsid w:val="00E72A99"/>
    <w:rsid w:val="00ED7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B1FE080219246A487BCC2A9B748B71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FD9A96587FA148728FADD90D149A7C0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2FB4BEA1654D48399428B645F78B39D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8</Pages>
  <Words>3229</Words>
  <Characters>3513</Characters>
  <Lines>46</Lines>
  <Paragraphs>13</Paragraphs>
  <TotalTime>126</TotalTime>
  <ScaleCrop>false</ScaleCrop>
  <LinksUpToDate>false</LinksUpToDate>
  <CharactersWithSpaces>3585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2025-04-10T05:26:00Z</dcterms:created>
  <dc:creator>Administrator</dc:creator>
  <dc:description>&lt;config cover="true" show_menu="true" version="1.0.0" doctype="SDKXY"&gt;_x000d_
&lt;/config&gt;</dc:description>
  <cp:lastModifiedBy>penny</cp:lastModifiedBy>
  <cp:lastPrinted>2020-08-30T10:00:00Z</cp:lastPrinted>
  <dcterms:modified xsi:type="dcterms:W3CDTF">2025-04-10T08:24:13Z</dcterms:modified>
  <dc:title>地方标准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eyJoZGlkIjoiYjk5ODM0YmMxOWJiYWQyNDU4MGIzYWRmYTA0ZmI5NDciLCJ1c2VySWQiOiI2MzQxNDAwNzgifQ==</vt:lpwstr>
  </property>
  <property fmtid="{D5CDD505-2E9C-101B-9397-08002B2CF9AE}" pid="15" name="KSOProductBuildVer">
    <vt:lpwstr>2052-12.1.0.20305</vt:lpwstr>
  </property>
  <property fmtid="{D5CDD505-2E9C-101B-9397-08002B2CF9AE}" pid="16" name="ICV">
    <vt:lpwstr>796BE83F858446F5B70B13E0903AF921_12</vt:lpwstr>
  </property>
</Properties>
</file>