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E62DA5">
      <w:pPr>
        <w:rPr>
          <w:rFonts w:ascii="黑体" w:hAnsi="黑体" w:eastAsia="黑体" w:cs="Times New Roman"/>
          <w:color w:val="auto"/>
          <w:highlight w:val="none"/>
        </w:rPr>
      </w:pPr>
      <w:r>
        <w:rPr>
          <w:rFonts w:ascii="黑体" w:hAnsi="黑体" w:eastAsia="黑体" w:cs="Times New Roman"/>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noFill/>
                        <a:ln>
                          <a:noFill/>
                        </a:ln>
                      </wps:spPr>
                      <wps:txbx>
                        <w:txbxContent>
                          <w:p w14:paraId="3970E281">
                            <w:pPr>
                              <w:pStyle w:val="35"/>
                              <w:shd w:val="clear" w:color="auto" w:fill="auto"/>
                              <w:wordWrap w:val="0"/>
                              <w:ind w:right="471" w:firstLine="624"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ed="f" stroked="f" coordsize="21600,21600" o:gfxdata="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B6dfju2AAAAAsBAAAPAAAAAAAAAAEAIAAAACIAAABk&#10;cnMvZG93bnJldi54bWxQSwECFAAUAAAACACHTuJA6QXcpAYCAAAUBAAADgAAAAAAAAABACAAAAAn&#10;AQAAZHJzL2Uyb0RvYy54bWxQSwUGAAAAAAYABgBZAQAAnwUAAAAA&#10;">
                <v:fill on="f" focussize="0,0"/>
                <v:stroke on="f"/>
                <v:imagedata o:title=""/>
                <o:lock v:ext="edit" aspectratio="f"/>
                <v:textbox style="mso-fit-shape-to-text:t;">
                  <w:txbxContent>
                    <w:p w14:paraId="3970E281">
                      <w:pPr>
                        <w:pStyle w:val="35"/>
                        <w:shd w:val="clear" w:color="auto" w:fill="auto"/>
                        <w:wordWrap w:val="0"/>
                        <w:ind w:right="471" w:firstLine="624"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color w:val="auto"/>
          <w:highlight w:val="none"/>
        </w:rPr>
        <w:t xml:space="preserve">ICS </w:t>
      </w:r>
      <w:r>
        <w:rPr>
          <w:rFonts w:hint="eastAsia" w:ascii="黑体" w:hAnsi="黑体" w:eastAsia="黑体" w:cs="Times New Roman"/>
          <w:color w:val="auto"/>
          <w:highlight w:val="none"/>
        </w:rPr>
        <w:t>XX</w:t>
      </w:r>
      <w:r>
        <w:rPr>
          <w:rFonts w:ascii="黑体" w:hAnsi="黑体" w:eastAsia="黑体" w:cs="Times New Roman"/>
          <w:color w:val="auto"/>
          <w:highlight w:val="none"/>
        </w:rPr>
        <w:t>.</w:t>
      </w:r>
      <w:r>
        <w:rPr>
          <w:rFonts w:hint="eastAsia" w:ascii="黑体" w:hAnsi="黑体" w:eastAsia="黑体" w:cs="Times New Roman"/>
          <w:color w:val="auto"/>
          <w:highlight w:val="none"/>
        </w:rPr>
        <w:t>XXX</w:t>
      </w:r>
      <w:r>
        <w:rPr>
          <w:rFonts w:ascii="黑体" w:hAnsi="黑体" w:eastAsia="黑体" w:cs="Times New Roman"/>
          <w:color w:val="auto"/>
          <w:highlight w:val="none"/>
        </w:rPr>
        <w:t>.</w:t>
      </w:r>
      <w:r>
        <w:rPr>
          <w:rFonts w:hint="eastAsia" w:ascii="黑体" w:hAnsi="黑体" w:eastAsia="黑体" w:cs="Times New Roman"/>
          <w:color w:val="auto"/>
          <w:highlight w:val="none"/>
        </w:rPr>
        <w:t>XX</w:t>
      </w:r>
    </w:p>
    <w:p w14:paraId="2408136F">
      <w:pPr>
        <w:rPr>
          <w:rFonts w:ascii="黑体" w:hAnsi="黑体" w:eastAsia="黑体" w:cs="Times New Roman"/>
          <w:color w:val="auto"/>
          <w:highlight w:val="none"/>
        </w:rPr>
      </w:pPr>
      <w:r>
        <w:rPr>
          <w:rFonts w:ascii="黑体" w:hAnsi="黑体" w:eastAsia="黑体" w:cs="Times New Roman"/>
          <w:color w:val="auto"/>
          <w:highlight w:val="none"/>
        </w:rPr>
        <w:t xml:space="preserve">CCS </w:t>
      </w:r>
      <w:r>
        <w:rPr>
          <w:rFonts w:hint="eastAsia" w:ascii="黑体" w:hAnsi="黑体" w:eastAsia="黑体" w:cs="Times New Roman"/>
          <w:color w:val="auto"/>
          <w:highlight w:val="none"/>
        </w:rPr>
        <w:t>X</w:t>
      </w:r>
      <w:r>
        <w:rPr>
          <w:rFonts w:ascii="黑体" w:hAnsi="黑体" w:eastAsia="黑体" w:cs="Times New Roman"/>
          <w:color w:val="auto"/>
          <w:highlight w:val="none"/>
        </w:rPr>
        <w:t xml:space="preserve"> </w:t>
      </w:r>
      <w:r>
        <w:rPr>
          <w:rFonts w:hint="eastAsia" w:ascii="黑体" w:hAnsi="黑体" w:eastAsia="黑体" w:cs="Times New Roman"/>
          <w:color w:val="auto"/>
          <w:highlight w:val="none"/>
        </w:rPr>
        <w:t>XX</w:t>
      </w:r>
      <w:r>
        <w:rPr>
          <w:rFonts w:ascii="黑体" w:hAnsi="黑体" w:eastAsia="黑体" w:cs="Times New Roman"/>
          <w:color w:val="auto"/>
          <w:highlight w:val="none"/>
        </w:rPr>
        <w:t xml:space="preserve"> </w:t>
      </w:r>
    </w:p>
    <w:p w14:paraId="1CB359C0">
      <w:pPr>
        <w:rPr>
          <w:rFonts w:ascii="黑体" w:hAnsi="黑体" w:eastAsia="黑体"/>
          <w:color w:val="auto"/>
          <w:highlight w:val="none"/>
        </w:rPr>
      </w:pPr>
    </w:p>
    <w:p w14:paraId="168EC886">
      <w:pPr>
        <w:autoSpaceDE w:val="0"/>
        <w:autoSpaceDN w:val="0"/>
        <w:adjustRightInd w:val="0"/>
        <w:jc w:val="distribute"/>
        <w:rPr>
          <w:rFonts w:ascii="方正小标宋_GBK" w:eastAsia="方正小标宋_GBK" w:cs="Dotum,Bold"/>
          <w:bCs/>
          <w:snapToGrid w:val="0"/>
          <w:color w:val="auto"/>
          <w:kern w:val="0"/>
          <w:sz w:val="52"/>
          <w:szCs w:val="52"/>
          <w:highlight w:val="none"/>
        </w:rPr>
      </w:pPr>
      <w:r>
        <w:rPr>
          <w:rFonts w:ascii="黑体" w:hAnsi="黑体" w:eastAsia="黑体"/>
          <w:color w:val="auto"/>
          <w:highlight w:val="none"/>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noFill/>
                        <a:ln w="0">
                          <a:solidFill>
                            <a:schemeClr val="bg1">
                              <a:lumMod val="100000"/>
                              <a:lumOff val="0"/>
                            </a:schemeClr>
                          </a:solidFill>
                          <a:miter lim="800000"/>
                        </a:ln>
                      </wps:spPr>
                      <wps:txbx>
                        <w:txbxContent>
                          <w:p w14:paraId="0CE0BCDF">
                            <w:pPr>
                              <w:jc w:val="distribute"/>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ed="f" stroked="t" coordsize="21600,21600" o:gfxdata="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J+9XPDXAAAACgEAAA8AAAAAAAAAAQAgAAAAIgAA&#10;AGRycy9kb3ducmV2LnhtbFBLAQIUABQAAAAIAIdO4kATdY3IQgIAAJEEAAAOAAAAAAAAAAEAIAAA&#10;ACYBAABkcnMvZTJvRG9jLnhtbFBLBQYAAAAABgAGAFkBAADaBQAAAAA=&#10;">
                <v:fill on="f" focussize="0,0"/>
                <v:stroke weight="0pt" color="#FFFFFF [3228]" miterlimit="8" joinstyle="miter"/>
                <v:imagedata o:title=""/>
                <o:lock v:ext="edit" aspectratio="f"/>
                <v:textbox>
                  <w:txbxContent>
                    <w:p w14:paraId="0CE0BCDF">
                      <w:pPr>
                        <w:jc w:val="distribute"/>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14:paraId="6E2889A3">
      <w:pPr>
        <w:spacing w:line="510" w:lineRule="exact"/>
        <w:rPr>
          <w:rFonts w:ascii="黑体" w:hAnsi="黑体" w:eastAsia="黑体"/>
          <w:color w:val="auto"/>
          <w:kern w:val="0"/>
          <w:sz w:val="28"/>
          <w:szCs w:val="28"/>
          <w:highlight w:val="none"/>
        </w:rPr>
      </w:pPr>
      <w:r>
        <w:rPr>
          <w:rFonts w:hint="eastAsia" w:ascii="黑体" w:hAnsi="黑体" w:eastAsia="黑体"/>
          <w:color w:val="auto"/>
          <w:highlight w:val="none"/>
        </w:rPr>
        <w:t xml:space="preserve">                                                                   </w:t>
      </w:r>
      <w:r>
        <w:rPr>
          <w:rFonts w:hint="eastAsia" w:ascii="黑体" w:hAnsi="黑体" w:eastAsia="黑体"/>
          <w:color w:val="auto"/>
          <w:kern w:val="0"/>
          <w:sz w:val="28"/>
          <w:szCs w:val="28"/>
          <w:highlight w:val="none"/>
        </w:rPr>
        <w:t xml:space="preserve">  </w:t>
      </w:r>
    </w:p>
    <w:p w14:paraId="2BC2CF38">
      <w:pPr>
        <w:autoSpaceDE w:val="0"/>
        <w:autoSpaceDN w:val="0"/>
        <w:adjustRightInd w:val="0"/>
        <w:spacing w:line="3686" w:lineRule="exact"/>
        <w:jc w:val="center"/>
        <w:rPr>
          <w:rFonts w:ascii="黑体" w:hAnsi="黑体" w:eastAsia="黑体"/>
          <w:color w:val="auto"/>
          <w:highlight w:val="none"/>
        </w:rPr>
      </w:pPr>
      <w:r>
        <w:rPr>
          <w:rFonts w:ascii="黑体" w:hAnsi="黑体" w:eastAsia="黑体"/>
          <w:color w:val="auto"/>
          <w:highlight w:val="none"/>
        </w:rPr>
        <mc:AlternateContent>
          <mc:Choice Requires="wps">
            <w:drawing>
              <wp:anchor distT="0" distB="0" distL="114300" distR="114300" simplePos="0" relativeHeight="251663360" behindDoc="0" locked="0" layoutInCell="1" allowOverlap="1">
                <wp:simplePos x="0" y="0"/>
                <wp:positionH relativeFrom="rightMargin">
                  <wp:posOffset>-1712595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344" cy="304800"/>
                        </a:xfrm>
                        <a:prstGeom prst="rect">
                          <a:avLst/>
                        </a:prstGeom>
                        <a:noFill/>
                        <a:ln w="0">
                          <a:solidFill>
                            <a:schemeClr val="bg1">
                              <a:lumMod val="100000"/>
                              <a:lumOff val="0"/>
                            </a:schemeClr>
                          </a:solidFill>
                          <a:miter lim="800000"/>
                        </a:ln>
                      </wps:spPr>
                      <wps:txbx>
                        <w:txbxContent>
                          <w:p w14:paraId="009DFD10">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7.9pt;margin-top:176.25pt;height:24pt;width:151.75pt;mso-position-horizontal-relative:page;mso-position-vertical-relative:page;z-index:251663360;mso-width-relative:page;mso-height-relative:page;" filled="f" stroked="t" coordsize="21600,21600" o:gfxdata="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hgWZW2gAAAAsBAAAPAAAAAAAAAAEAIAAA&#10;ACIAAABkcnMvZG93bnJldi54bWxQSwECFAAUAAAACACHTuJAF7/DX0MCAACRBAAADgAAAAAAAAAB&#10;ACAAAAApAQAAZHJzL2Uyb0RvYy54bWxQSwUGAAAAAAYABgBZAQAA3gUAAAAA&#10;">
                <v:fill on="f" focussize="0,0"/>
                <v:stroke weight="0pt" color="#FFFFFF [3228]" miterlimit="8" joinstyle="miter"/>
                <v:imagedata o:title=""/>
                <o:lock v:ext="edit" aspectratio="f"/>
                <v:textbox>
                  <w:txbxContent>
                    <w:p w14:paraId="009DFD10">
                      <w:pPr>
                        <w:spacing w:line="400" w:lineRule="exact"/>
                        <w:jc w:val="left"/>
                        <w:rPr>
                          <w:rFonts w:ascii="黑体" w:hAnsi="黑体" w:eastAsia="黑体"/>
                          <w:kern w:val="0"/>
                          <w:sz w:val="28"/>
                          <w:szCs w:val="28"/>
                        </w:rPr>
                      </w:pPr>
                      <w:r>
                        <w:rPr>
                          <w:rFonts w:ascii="黑体" w:hAnsi="黑体" w:eastAsia="黑体"/>
                          <w:kern w:val="0"/>
                          <w:sz w:val="28"/>
                          <w:szCs w:val="28"/>
                        </w:rPr>
                        <w:t>DB3205/T XXX</w:t>
                      </w:r>
                      <w:r>
                        <w:rPr>
                          <w:rFonts w:hint="eastAsia" w:ascii="黑体" w:hAnsi="黑体" w:eastAsia="黑体"/>
                          <w:kern w:val="0"/>
                          <w:sz w:val="28"/>
                          <w:szCs w:val="28"/>
                        </w:rPr>
                        <w:t>—</w:t>
                      </w:r>
                      <w:r>
                        <w:rPr>
                          <w:rFonts w:ascii="黑体" w:hAnsi="黑体" w:eastAsia="黑体"/>
                          <w:kern w:val="0"/>
                          <w:sz w:val="28"/>
                          <w:szCs w:val="28"/>
                        </w:rPr>
                        <w:t>XXXX</w:t>
                      </w:r>
                    </w:p>
                  </w:txbxContent>
                </v:textbox>
              </v:shape>
            </w:pict>
          </mc:Fallback>
        </mc:AlternateContent>
      </w:r>
      <w:r>
        <w:rPr>
          <w:rFonts w:ascii="黑体" w:hAnsi="黑体" w:eastAsia="黑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color w:val="auto"/>
          <w:highlight w:val="none"/>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noFill/>
                        <a:ln w="0">
                          <a:solidFill>
                            <a:schemeClr val="bg1">
                              <a:lumMod val="100000"/>
                              <a:lumOff val="0"/>
                            </a:schemeClr>
                          </a:solidFill>
                          <a:miter lim="800000"/>
                        </a:ln>
                      </wps:spPr>
                      <wps:txbx>
                        <w:txbxContent>
                          <w:p w14:paraId="1AE153F9">
                            <w:pPr>
                              <w:jc w:val="center"/>
                              <w:rPr>
                                <w:rFonts w:ascii="黑体" w:hAnsi="宋体" w:eastAsia="黑体"/>
                                <w:sz w:val="52"/>
                                <w:szCs w:val="52"/>
                              </w:rPr>
                            </w:pPr>
                            <w:r>
                              <w:rPr>
                                <w:rFonts w:hint="eastAsia" w:ascii="黑体" w:hAnsi="宋体" w:eastAsia="黑体"/>
                                <w:sz w:val="52"/>
                                <w:szCs w:val="52"/>
                              </w:rPr>
                              <w:t>城乡户外广告与招牌设施技术标准</w:t>
                            </w:r>
                          </w:p>
                          <w:p w14:paraId="0B83A60E">
                            <w:pPr>
                              <w:jc w:val="center"/>
                              <w:rPr>
                                <w:rStyle w:val="50"/>
                                <w:rFonts w:ascii="黑体" w:hAnsi="黑体" w:eastAsia="黑体"/>
                                <w:color w:val="auto"/>
                                <w:kern w:val="0"/>
                                <w:sz w:val="28"/>
                                <w:szCs w:val="21"/>
                              </w:rPr>
                            </w:pPr>
                            <w:r>
                              <w:rPr>
                                <w:rFonts w:ascii="黑体" w:hAnsi="黑体" w:eastAsia="黑体"/>
                                <w:kern w:val="0"/>
                                <w:sz w:val="28"/>
                                <w:szCs w:val="21"/>
                              </w:rPr>
                              <w:t>Technical standard for urban and rural areas outdoor advertising and s</w:t>
                            </w:r>
                            <w:r>
                              <w:rPr>
                                <w:rFonts w:ascii="黑体" w:hAnsi="黑体" w:eastAsia="黑体"/>
                                <w:color w:val="auto"/>
                                <w:kern w:val="0"/>
                                <w:sz w:val="28"/>
                                <w:szCs w:val="21"/>
                              </w:rPr>
                              <w:t>ignboard facilities</w:t>
                            </w:r>
                          </w:p>
                          <w:p w14:paraId="33416573">
                            <w:pPr>
                              <w:jc w:val="center"/>
                              <w:rPr>
                                <w:rFonts w:asciiTheme="minorEastAsia" w:hAnsiTheme="minorEastAsia"/>
                                <w:color w:val="auto"/>
                                <w:sz w:val="24"/>
                              </w:rPr>
                            </w:pPr>
                            <w:r>
                              <w:rPr>
                                <w:rFonts w:hint="eastAsia" w:asciiTheme="minorEastAsia" w:hAnsiTheme="minorEastAsia"/>
                                <w:color w:val="auto"/>
                                <w:sz w:val="24"/>
                              </w:rPr>
                              <w:t>（</w:t>
                            </w:r>
                            <w:r>
                              <w:rPr>
                                <w:rFonts w:hint="eastAsia" w:asciiTheme="minorEastAsia" w:hAnsiTheme="minorEastAsia"/>
                                <w:color w:val="auto"/>
                                <w:sz w:val="24"/>
                                <w:lang w:val="en-US" w:eastAsia="zh-CN"/>
                              </w:rPr>
                              <w:t>评审</w:t>
                            </w:r>
                            <w:r>
                              <w:rPr>
                                <w:rFonts w:hint="eastAsia" w:asciiTheme="minorEastAsia" w:hAnsiTheme="minorEastAsia"/>
                                <w:color w:val="auto"/>
                                <w:sz w:val="24"/>
                              </w:rPr>
                              <w:t>稿）</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ed="f" stroked="t" coordsize="21600,21600" o:gfxdata="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MSN8S2QAAAAsBAAAPAAAAAAAAAAEAIAAA&#10;ACIAAABkcnMvZG93bnJldi54bWxQSwECFAAUAAAACACHTuJADG5RW0QCAACSBAAADgAAAAAAAAAB&#10;ACAAAAAoAQAAZHJzL2Uyb0RvYy54bWxQSwUGAAAAAAYABgBZAQAA3gUAAAAA&#10;">
                <v:fill on="f" focussize="0,0"/>
                <v:stroke weight="0pt" color="#FFFFFF [3228]" miterlimit="8" joinstyle="miter"/>
                <v:imagedata o:title=""/>
                <o:lock v:ext="edit" aspectratio="f"/>
                <v:textbox>
                  <w:txbxContent>
                    <w:p w14:paraId="1AE153F9">
                      <w:pPr>
                        <w:jc w:val="center"/>
                        <w:rPr>
                          <w:rFonts w:ascii="黑体" w:hAnsi="宋体" w:eastAsia="黑体"/>
                          <w:sz w:val="52"/>
                          <w:szCs w:val="52"/>
                        </w:rPr>
                      </w:pPr>
                      <w:r>
                        <w:rPr>
                          <w:rFonts w:hint="eastAsia" w:ascii="黑体" w:hAnsi="宋体" w:eastAsia="黑体"/>
                          <w:sz w:val="52"/>
                          <w:szCs w:val="52"/>
                        </w:rPr>
                        <w:t>城乡户外广告与招牌设施技术标准</w:t>
                      </w:r>
                    </w:p>
                    <w:p w14:paraId="0B83A60E">
                      <w:pPr>
                        <w:jc w:val="center"/>
                        <w:rPr>
                          <w:rStyle w:val="50"/>
                          <w:rFonts w:ascii="黑体" w:hAnsi="黑体" w:eastAsia="黑体"/>
                          <w:color w:val="auto"/>
                          <w:kern w:val="0"/>
                          <w:sz w:val="28"/>
                          <w:szCs w:val="21"/>
                        </w:rPr>
                      </w:pPr>
                      <w:r>
                        <w:rPr>
                          <w:rFonts w:ascii="黑体" w:hAnsi="黑体" w:eastAsia="黑体"/>
                          <w:kern w:val="0"/>
                          <w:sz w:val="28"/>
                          <w:szCs w:val="21"/>
                        </w:rPr>
                        <w:t>Technical standard for urban and rural areas outdoor advertising and s</w:t>
                      </w:r>
                      <w:r>
                        <w:rPr>
                          <w:rFonts w:ascii="黑体" w:hAnsi="黑体" w:eastAsia="黑体"/>
                          <w:color w:val="auto"/>
                          <w:kern w:val="0"/>
                          <w:sz w:val="28"/>
                          <w:szCs w:val="21"/>
                        </w:rPr>
                        <w:t>ignboard facilities</w:t>
                      </w:r>
                    </w:p>
                    <w:p w14:paraId="33416573">
                      <w:pPr>
                        <w:jc w:val="center"/>
                        <w:rPr>
                          <w:rFonts w:asciiTheme="minorEastAsia" w:hAnsiTheme="minorEastAsia"/>
                          <w:color w:val="auto"/>
                          <w:sz w:val="24"/>
                        </w:rPr>
                      </w:pPr>
                      <w:r>
                        <w:rPr>
                          <w:rFonts w:hint="eastAsia" w:asciiTheme="minorEastAsia" w:hAnsiTheme="minorEastAsia"/>
                          <w:color w:val="auto"/>
                          <w:sz w:val="24"/>
                        </w:rPr>
                        <w:t>（</w:t>
                      </w:r>
                      <w:r>
                        <w:rPr>
                          <w:rFonts w:hint="eastAsia" w:asciiTheme="minorEastAsia" w:hAnsiTheme="minorEastAsia"/>
                          <w:color w:val="auto"/>
                          <w:sz w:val="24"/>
                          <w:lang w:val="en-US" w:eastAsia="zh-CN"/>
                        </w:rPr>
                        <w:t>评审</w:t>
                      </w:r>
                      <w:r>
                        <w:rPr>
                          <w:rFonts w:hint="eastAsia" w:asciiTheme="minorEastAsia" w:hAnsiTheme="minorEastAsia"/>
                          <w:color w:val="auto"/>
                          <w:sz w:val="24"/>
                        </w:rPr>
                        <w:t>稿）</w:t>
                      </w:r>
                    </w:p>
                  </w:txbxContent>
                </v:textbox>
              </v:shape>
            </w:pict>
          </mc:Fallback>
        </mc:AlternateContent>
      </w:r>
    </w:p>
    <w:p w14:paraId="42FFE14E">
      <w:pPr>
        <w:rPr>
          <w:rFonts w:ascii="黑体" w:hAnsi="黑体" w:eastAsia="黑体"/>
          <w:color w:val="auto"/>
          <w:highlight w:val="none"/>
        </w:rPr>
      </w:pPr>
    </w:p>
    <w:p w14:paraId="12DC2330">
      <w:pPr>
        <w:rPr>
          <w:rFonts w:ascii="黑体" w:hAnsi="黑体" w:eastAsia="黑体"/>
          <w:color w:val="auto"/>
          <w:highlight w:val="none"/>
        </w:rPr>
      </w:pPr>
    </w:p>
    <w:p w14:paraId="383C1797">
      <w:pPr>
        <w:rPr>
          <w:rFonts w:ascii="黑体" w:hAnsi="黑体" w:eastAsia="黑体"/>
          <w:color w:val="auto"/>
          <w:highlight w:val="none"/>
        </w:rPr>
      </w:pPr>
    </w:p>
    <w:p w14:paraId="36381626">
      <w:pPr>
        <w:rPr>
          <w:rFonts w:ascii="黑体" w:hAnsi="黑体" w:eastAsia="黑体"/>
          <w:color w:val="auto"/>
          <w:highlight w:val="none"/>
        </w:rPr>
      </w:pPr>
    </w:p>
    <w:p w14:paraId="19B0BD3E">
      <w:pPr>
        <w:rPr>
          <w:rFonts w:ascii="黑体" w:hAnsi="黑体" w:eastAsia="黑体"/>
          <w:color w:val="auto"/>
          <w:highlight w:val="none"/>
        </w:rPr>
      </w:pPr>
    </w:p>
    <w:p w14:paraId="12E727C2">
      <w:pPr>
        <w:rPr>
          <w:rFonts w:ascii="黑体" w:hAnsi="黑体" w:eastAsia="黑体"/>
          <w:color w:val="auto"/>
          <w:highlight w:val="none"/>
        </w:rPr>
      </w:pPr>
      <w:r>
        <w:rPr>
          <w:rFonts w:hint="eastAsia" w:ascii="黑体" w:hAnsi="黑体" w:eastAsia="黑体"/>
          <w:color w:val="auto"/>
          <w:highlight w:val="none"/>
        </w:rPr>
        <w:t xml:space="preserve">                                                                                          </w:t>
      </w:r>
    </w:p>
    <w:p w14:paraId="20CAB8B2">
      <w:pPr>
        <w:pStyle w:val="9"/>
        <w:rPr>
          <w:color w:val="auto"/>
          <w:highlight w:val="none"/>
        </w:rPr>
      </w:pPr>
    </w:p>
    <w:p w14:paraId="684415C2">
      <w:pPr>
        <w:pStyle w:val="9"/>
        <w:rPr>
          <w:color w:val="auto"/>
          <w:highlight w:val="none"/>
        </w:rPr>
      </w:pPr>
    </w:p>
    <w:p w14:paraId="10C83465">
      <w:pPr>
        <w:pStyle w:val="9"/>
        <w:rPr>
          <w:color w:val="auto"/>
          <w:highlight w:val="none"/>
        </w:rPr>
      </w:pPr>
    </w:p>
    <w:p w14:paraId="3E114102">
      <w:pPr>
        <w:rPr>
          <w:rFonts w:ascii="黑体" w:hAnsi="黑体" w:eastAsia="黑体"/>
          <w:color w:val="auto"/>
          <w:highlight w:val="none"/>
        </w:rPr>
      </w:pPr>
    </w:p>
    <w:p w14:paraId="423041FD">
      <w:pPr>
        <w:rPr>
          <w:rFonts w:ascii="黑体" w:hAnsi="黑体" w:eastAsia="黑体"/>
          <w:color w:val="auto"/>
          <w:highlight w:val="none"/>
        </w:rPr>
      </w:pPr>
    </w:p>
    <w:p w14:paraId="4AB01DB5">
      <w:pPr>
        <w:rPr>
          <w:rFonts w:ascii="黑体" w:hAnsi="黑体" w:eastAsia="黑体"/>
          <w:color w:val="auto"/>
          <w:highlight w:val="none"/>
        </w:rPr>
      </w:pPr>
    </w:p>
    <w:p w14:paraId="7899179A">
      <w:pPr>
        <w:rPr>
          <w:rFonts w:ascii="黑体" w:hAnsi="黑体" w:eastAsia="黑体"/>
          <w:color w:val="auto"/>
          <w:highlight w:val="none"/>
        </w:rPr>
      </w:pPr>
    </w:p>
    <w:p w14:paraId="10BDCFDB">
      <w:pPr>
        <w:rPr>
          <w:rFonts w:ascii="黑体" w:hAnsi="黑体" w:eastAsia="黑体"/>
          <w:color w:val="auto"/>
          <w:highlight w:val="none"/>
        </w:rPr>
      </w:pPr>
    </w:p>
    <w:p w14:paraId="6AB5A740">
      <w:pPr>
        <w:rPr>
          <w:rFonts w:ascii="黑体" w:hAnsi="黑体" w:eastAsia="黑体"/>
          <w:color w:val="auto"/>
          <w:highlight w:val="none"/>
        </w:rPr>
      </w:pPr>
    </w:p>
    <w:p w14:paraId="1C7F5D2E">
      <w:pPr>
        <w:rPr>
          <w:rFonts w:ascii="黑体" w:hAnsi="黑体" w:eastAsia="黑体"/>
          <w:color w:val="auto"/>
          <w:highlight w:val="none"/>
        </w:rPr>
      </w:pPr>
    </w:p>
    <w:p w14:paraId="4FCF50E9">
      <w:pPr>
        <w:rPr>
          <w:rFonts w:ascii="黑体" w:hAnsi="黑体" w:eastAsia="黑体"/>
          <w:color w:val="auto"/>
          <w:highlight w:val="none"/>
        </w:rPr>
      </w:pPr>
    </w:p>
    <w:p w14:paraId="28AEB3BD">
      <w:pPr>
        <w:rPr>
          <w:rFonts w:ascii="黑体" w:hAnsi="黑体" w:eastAsia="黑体"/>
          <w:color w:val="auto"/>
          <w:highlight w:val="none"/>
        </w:rPr>
      </w:pPr>
    </w:p>
    <w:p w14:paraId="17B508DB">
      <w:pPr>
        <w:rPr>
          <w:rFonts w:ascii="黑体" w:hAnsi="黑体" w:eastAsia="黑体"/>
          <w:color w:val="auto"/>
          <w:highlight w:val="none"/>
        </w:rPr>
      </w:pPr>
    </w:p>
    <w:p w14:paraId="7AA98CCB">
      <w:pPr>
        <w:rPr>
          <w:rFonts w:ascii="黑体" w:hAnsi="黑体" w:eastAsia="黑体"/>
          <w:color w:val="auto"/>
          <w:highlight w:val="none"/>
        </w:rPr>
      </w:pPr>
    </w:p>
    <w:p w14:paraId="717B8CE1">
      <w:pPr>
        <w:rPr>
          <w:rFonts w:ascii="黑体" w:hAnsi="黑体" w:eastAsia="黑体"/>
          <w:color w:val="auto"/>
          <w:highlight w:val="none"/>
        </w:rPr>
      </w:pPr>
    </w:p>
    <w:p w14:paraId="2D89B4CB">
      <w:pPr>
        <w:rPr>
          <w:rFonts w:ascii="黑体" w:hAnsi="黑体" w:eastAsia="黑体"/>
          <w:color w:val="auto"/>
          <w:highlight w:val="none"/>
        </w:rPr>
      </w:pPr>
    </w:p>
    <w:p w14:paraId="444B5511">
      <w:pPr>
        <w:rPr>
          <w:rFonts w:ascii="黑体" w:hAnsi="黑体" w:eastAsia="黑体"/>
          <w:color w:val="auto"/>
          <w:highlight w:val="none"/>
        </w:rPr>
      </w:pPr>
    </w:p>
    <w:p w14:paraId="66A717A2">
      <w:pPr>
        <w:rPr>
          <w:rFonts w:ascii="黑体" w:hAnsi="黑体" w:eastAsia="黑体"/>
          <w:color w:val="auto"/>
          <w:sz w:val="28"/>
          <w:szCs w:val="28"/>
          <w:highlight w:val="none"/>
        </w:rPr>
      </w:pPr>
      <w:r>
        <w:rPr>
          <w:rFonts w:ascii="黑体" w:hAnsi="黑体" w:eastAsia="黑体"/>
          <w:color w:val="auto"/>
          <w:sz w:val="28"/>
          <w:szCs w:val="28"/>
          <w:highlight w:val="none"/>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color w:val="auto"/>
          <w:sz w:val="28"/>
          <w:szCs w:val="28"/>
          <w:highlight w:val="none"/>
        </w:rPr>
        <w:t>202</w:t>
      </w:r>
      <w:r>
        <w:rPr>
          <w:rFonts w:hint="eastAsia" w:ascii="黑体" w:hAnsi="黑体" w:eastAsia="黑体"/>
          <w:color w:val="auto"/>
          <w:sz w:val="28"/>
          <w:szCs w:val="28"/>
          <w:highlight w:val="none"/>
          <w:lang w:val="en-US" w:eastAsia="zh-CN"/>
        </w:rPr>
        <w:t>5</w:t>
      </w:r>
      <w:r>
        <w:rPr>
          <w:rFonts w:hint="eastAsia" w:ascii="黑体" w:hAnsi="黑体" w:eastAsia="黑体"/>
          <w:color w:val="auto"/>
          <w:sz w:val="28"/>
          <w:szCs w:val="28"/>
          <w:highlight w:val="none"/>
        </w:rPr>
        <w:t>-XX-XX发布                                       202</w:t>
      </w:r>
      <w:r>
        <w:rPr>
          <w:rFonts w:hint="eastAsia" w:ascii="黑体" w:hAnsi="黑体" w:eastAsia="黑体"/>
          <w:color w:val="auto"/>
          <w:sz w:val="28"/>
          <w:szCs w:val="28"/>
          <w:highlight w:val="none"/>
          <w:lang w:val="en-US" w:eastAsia="zh-CN"/>
        </w:rPr>
        <w:t>5</w:t>
      </w:r>
      <w:r>
        <w:rPr>
          <w:rFonts w:hint="eastAsia" w:ascii="黑体" w:hAnsi="黑体" w:eastAsia="黑体"/>
          <w:color w:val="auto"/>
          <w:sz w:val="28"/>
          <w:szCs w:val="28"/>
          <w:highlight w:val="none"/>
        </w:rPr>
        <w:t>-XX-XX实施</w:t>
      </w:r>
    </w:p>
    <w:p w14:paraId="701B2FAB">
      <w:pPr>
        <w:spacing w:line="1247" w:lineRule="exact"/>
        <w:jc w:val="center"/>
        <w:outlineLvl w:val="0"/>
        <w:rPr>
          <w:rFonts w:ascii="黑体" w:hAnsi="黑体" w:eastAsia="黑体"/>
          <w:color w:val="auto"/>
          <w:sz w:val="28"/>
          <w:szCs w:val="28"/>
          <w:highlight w:val="none"/>
        </w:rPr>
      </w:pPr>
      <w:bookmarkStart w:id="0" w:name="_Toc13965"/>
      <w:bookmarkStart w:id="1" w:name="_Toc32256"/>
      <w:bookmarkStart w:id="2" w:name="_Toc18385"/>
      <w:bookmarkStart w:id="3" w:name="_Toc15867"/>
      <w:bookmarkStart w:id="4" w:name="_Toc3547"/>
      <w:bookmarkStart w:id="5" w:name="_Toc11134"/>
      <w:bookmarkStart w:id="6" w:name="_Toc160183762"/>
      <w:r>
        <w:rPr>
          <w:rFonts w:hint="eastAsia" w:ascii="方正小标宋_GBK" w:eastAsia="方正小标宋_GBK"/>
          <w:color w:val="auto"/>
          <w:sz w:val="44"/>
          <w:szCs w:val="44"/>
          <w:highlight w:val="none"/>
        </w:rPr>
        <w:t>苏州市市场监督管理局</w:t>
      </w:r>
      <w:r>
        <w:rPr>
          <w:rFonts w:hint="eastAsia" w:ascii="方正小标宋_GBK" w:hAnsi="宋体" w:eastAsia="方正小标宋_GBK" w:cs="SimSun,Bold"/>
          <w:bCs/>
          <w:snapToGrid w:val="0"/>
          <w:color w:val="auto"/>
          <w:kern w:val="0"/>
          <w:sz w:val="44"/>
          <w:szCs w:val="52"/>
          <w:highlight w:val="none"/>
        </w:rPr>
        <w:t xml:space="preserve">  </w:t>
      </w:r>
      <w:r>
        <w:rPr>
          <w:rFonts w:hint="eastAsia" w:ascii="黑体" w:hAnsi="黑体" w:eastAsia="黑体"/>
          <w:color w:val="auto"/>
          <w:sz w:val="28"/>
          <w:szCs w:val="28"/>
          <w:highlight w:val="none"/>
        </w:rPr>
        <w:t>发 布</w:t>
      </w:r>
      <w:bookmarkEnd w:id="0"/>
      <w:bookmarkEnd w:id="1"/>
      <w:bookmarkEnd w:id="2"/>
      <w:bookmarkEnd w:id="3"/>
      <w:bookmarkEnd w:id="4"/>
      <w:bookmarkEnd w:id="5"/>
      <w:bookmarkEnd w:id="6"/>
    </w:p>
    <w:p w14:paraId="0F446E96">
      <w:pPr>
        <w:pStyle w:val="9"/>
        <w:rPr>
          <w:color w:val="auto"/>
          <w:highlight w:val="none"/>
        </w:rPr>
        <w:sectPr>
          <w:pgSz w:w="11906" w:h="16838"/>
          <w:pgMar w:top="567" w:right="851" w:bottom="1134" w:left="1418" w:header="0" w:footer="0" w:gutter="0"/>
          <w:pgBorders>
            <w:top w:val="none" w:sz="0" w:space="0"/>
            <w:left w:val="none" w:sz="0" w:space="0"/>
            <w:bottom w:val="none" w:sz="0" w:space="0"/>
            <w:right w:val="none" w:sz="0" w:space="0"/>
          </w:pgBorders>
          <w:pgNumType w:fmt="decimal"/>
          <w:cols w:space="425" w:num="1"/>
          <w:docGrid w:type="lines" w:linePitch="312" w:charSpace="0"/>
        </w:sectPr>
      </w:pPr>
    </w:p>
    <w:p w14:paraId="3A3A08BD">
      <w:pPr>
        <w:pStyle w:val="9"/>
        <w:rPr>
          <w:color w:val="auto"/>
          <w:highlight w:val="none"/>
        </w:rPr>
      </w:pPr>
    </w:p>
    <w:p w14:paraId="1F141392">
      <w:pPr>
        <w:rPr>
          <w:rFonts w:ascii="黑体" w:hAnsi="黑体" w:eastAsia="黑体"/>
          <w:color w:val="auto"/>
          <w:sz w:val="28"/>
          <w:szCs w:val="28"/>
          <w:highlight w:val="none"/>
        </w:rPr>
        <w:sectPr>
          <w:footerReference r:id="rId3" w:type="default"/>
          <w:footerReference r:id="rId4" w:type="even"/>
          <w:pgSz w:w="11906" w:h="16838"/>
          <w:pgMar w:top="567" w:right="851" w:bottom="1134" w:left="1418" w:header="0" w:footer="0" w:gutter="0"/>
          <w:pgBorders>
            <w:top w:val="none" w:sz="0" w:space="0"/>
            <w:left w:val="none" w:sz="0" w:space="0"/>
            <w:bottom w:val="none" w:sz="0" w:space="0"/>
            <w:right w:val="none" w:sz="0" w:space="0"/>
          </w:pgBorders>
          <w:pgNumType w:fmt="decimal" w:start="1"/>
          <w:cols w:space="425" w:num="1"/>
          <w:docGrid w:type="lines" w:linePitch="312" w:charSpace="0"/>
        </w:sectPr>
      </w:pPr>
    </w:p>
    <w:p w14:paraId="64D083FF">
      <w:pPr>
        <w:snapToGrid w:val="0"/>
        <w:spacing w:before="567" w:after="680"/>
        <w:jc w:val="center"/>
        <w:rPr>
          <w:rFonts w:ascii="黑体" w:hAnsi="黑体" w:eastAsia="黑体"/>
          <w:color w:val="auto"/>
          <w:sz w:val="32"/>
          <w:szCs w:val="32"/>
          <w:highlight w:val="none"/>
        </w:rPr>
      </w:pPr>
      <w:r>
        <w:rPr>
          <w:rFonts w:hint="eastAsia" w:ascii="黑体" w:hAnsi="黑体" w:eastAsia="黑体"/>
          <w:color w:val="auto"/>
          <w:sz w:val="32"/>
          <w:szCs w:val="32"/>
          <w:highlight w:val="none"/>
        </w:rPr>
        <w:t>目</w:t>
      </w:r>
      <w:r>
        <w:rPr>
          <w:rFonts w:hint="eastAsia" w:ascii="黑体" w:hAnsi="黑体" w:eastAsia="黑体"/>
          <w:bCs/>
          <w:color w:val="auto"/>
          <w:sz w:val="32"/>
          <w:szCs w:val="32"/>
          <w:highlight w:val="none"/>
        </w:rPr>
        <w:t xml:space="preserve">    </w:t>
      </w:r>
      <w:r>
        <w:rPr>
          <w:rFonts w:hint="eastAsia" w:ascii="黑体" w:hAnsi="黑体" w:eastAsia="黑体"/>
          <w:color w:val="auto"/>
          <w:sz w:val="32"/>
          <w:szCs w:val="32"/>
          <w:highlight w:val="none"/>
        </w:rPr>
        <w:t>次</w:t>
      </w:r>
    </w:p>
    <w:p w14:paraId="58B6595F">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48"/>
          <w:szCs w:val="48"/>
          <w:highlight w:val="none"/>
        </w:rPr>
        <w:fldChar w:fldCharType="begin"/>
      </w:r>
      <w:r>
        <w:rPr>
          <w:rFonts w:ascii="宋体" w:hAnsi="宋体" w:eastAsia="宋体" w:cs="宋体"/>
          <w:color w:val="auto"/>
          <w:sz w:val="48"/>
          <w:szCs w:val="48"/>
          <w:highlight w:val="none"/>
        </w:rPr>
        <w:instrText xml:space="preserve">TOC \o "1-1" \h \u </w:instrText>
      </w:r>
      <w:r>
        <w:rPr>
          <w:rFonts w:ascii="宋体" w:hAnsi="宋体" w:eastAsia="宋体" w:cs="宋体"/>
          <w:color w:val="auto"/>
          <w:sz w:val="48"/>
          <w:szCs w:val="48"/>
          <w:highlight w:val="none"/>
        </w:rPr>
        <w:fldChar w:fldCharType="separate"/>
      </w: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_Toc22263 </w:instrText>
      </w:r>
      <w:r>
        <w:rPr>
          <w:rFonts w:ascii="宋体" w:hAnsi="宋体" w:eastAsia="宋体" w:cs="宋体"/>
          <w:color w:val="auto"/>
          <w:sz w:val="22"/>
          <w:szCs w:val="48"/>
          <w:highlight w:val="none"/>
        </w:rPr>
        <w:fldChar w:fldCharType="separate"/>
      </w:r>
      <w:r>
        <w:rPr>
          <w:rFonts w:hint="eastAsia" w:ascii="黑体" w:hAnsi="黑体" w:eastAsia="黑体" w:cs="黑体"/>
          <w:color w:val="auto"/>
          <w:kern w:val="0"/>
          <w:sz w:val="22"/>
          <w:szCs w:val="36"/>
          <w:highlight w:val="none"/>
        </w:rPr>
        <w:t>前    言</w:t>
      </w:r>
      <w:r>
        <w:rPr>
          <w:color w:val="auto"/>
          <w:sz w:val="22"/>
          <w:szCs w:val="24"/>
        </w:rPr>
        <w:tab/>
      </w:r>
      <w:r>
        <w:rPr>
          <w:color w:val="auto"/>
          <w:sz w:val="22"/>
          <w:szCs w:val="24"/>
        </w:rPr>
        <w:fldChar w:fldCharType="begin"/>
      </w:r>
      <w:r>
        <w:rPr>
          <w:color w:val="auto"/>
          <w:sz w:val="22"/>
          <w:szCs w:val="24"/>
        </w:rPr>
        <w:instrText xml:space="preserve"> PAGEREF _Toc22263 \h </w:instrText>
      </w:r>
      <w:r>
        <w:rPr>
          <w:color w:val="auto"/>
          <w:sz w:val="22"/>
          <w:szCs w:val="24"/>
        </w:rPr>
        <w:fldChar w:fldCharType="separate"/>
      </w:r>
      <w:r>
        <w:rPr>
          <w:color w:val="auto"/>
          <w:sz w:val="22"/>
          <w:szCs w:val="24"/>
        </w:rPr>
        <w:t>II</w:t>
      </w:r>
      <w:r>
        <w:rPr>
          <w:color w:val="auto"/>
          <w:sz w:val="22"/>
          <w:szCs w:val="24"/>
        </w:rPr>
        <w:fldChar w:fldCharType="end"/>
      </w:r>
      <w:r>
        <w:rPr>
          <w:rFonts w:ascii="宋体" w:hAnsi="宋体" w:eastAsia="宋体" w:cs="宋体"/>
          <w:color w:val="auto"/>
          <w:sz w:val="22"/>
          <w:szCs w:val="48"/>
          <w:highlight w:val="none"/>
        </w:rPr>
        <w:fldChar w:fldCharType="end"/>
      </w:r>
    </w:p>
    <w:p w14:paraId="39F92F87">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_Toc16779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1 </w:t>
      </w:r>
      <w:r>
        <w:rPr>
          <w:rFonts w:hint="eastAsia"/>
          <w:color w:val="auto"/>
          <w:sz w:val="22"/>
          <w:szCs w:val="24"/>
          <w:highlight w:val="none"/>
        </w:rPr>
        <w:t>范围</w:t>
      </w:r>
      <w:r>
        <w:rPr>
          <w:color w:val="auto"/>
          <w:sz w:val="22"/>
          <w:szCs w:val="24"/>
        </w:rPr>
        <w:tab/>
      </w:r>
      <w:r>
        <w:rPr>
          <w:color w:val="auto"/>
          <w:sz w:val="22"/>
          <w:szCs w:val="24"/>
        </w:rPr>
        <w:fldChar w:fldCharType="begin"/>
      </w:r>
      <w:r>
        <w:rPr>
          <w:color w:val="auto"/>
          <w:sz w:val="22"/>
          <w:szCs w:val="24"/>
        </w:rPr>
        <w:instrText xml:space="preserve"> PAGEREF _Toc16779 \h </w:instrText>
      </w:r>
      <w:r>
        <w:rPr>
          <w:color w:val="auto"/>
          <w:sz w:val="22"/>
          <w:szCs w:val="24"/>
        </w:rPr>
        <w:fldChar w:fldCharType="separate"/>
      </w:r>
      <w:r>
        <w:rPr>
          <w:color w:val="auto"/>
          <w:sz w:val="22"/>
          <w:szCs w:val="24"/>
        </w:rPr>
        <w:t>1</w:t>
      </w:r>
      <w:r>
        <w:rPr>
          <w:color w:val="auto"/>
          <w:sz w:val="22"/>
          <w:szCs w:val="24"/>
        </w:rPr>
        <w:fldChar w:fldCharType="end"/>
      </w:r>
      <w:r>
        <w:rPr>
          <w:rFonts w:ascii="宋体" w:hAnsi="宋体" w:eastAsia="宋体" w:cs="宋体"/>
          <w:color w:val="auto"/>
          <w:sz w:val="22"/>
          <w:szCs w:val="48"/>
          <w:highlight w:val="none"/>
        </w:rPr>
        <w:fldChar w:fldCharType="end"/>
      </w:r>
    </w:p>
    <w:p w14:paraId="52812252">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_Toc11413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2 </w:t>
      </w:r>
      <w:r>
        <w:rPr>
          <w:rFonts w:hint="eastAsia"/>
          <w:color w:val="auto"/>
          <w:sz w:val="22"/>
          <w:szCs w:val="24"/>
          <w:highlight w:val="none"/>
        </w:rPr>
        <w:t>规范性引用文件</w:t>
      </w:r>
      <w:r>
        <w:rPr>
          <w:color w:val="auto"/>
          <w:sz w:val="22"/>
          <w:szCs w:val="24"/>
        </w:rPr>
        <w:tab/>
      </w:r>
      <w:r>
        <w:rPr>
          <w:color w:val="auto"/>
          <w:sz w:val="22"/>
          <w:szCs w:val="24"/>
        </w:rPr>
        <w:fldChar w:fldCharType="begin"/>
      </w:r>
      <w:r>
        <w:rPr>
          <w:color w:val="auto"/>
          <w:sz w:val="22"/>
          <w:szCs w:val="24"/>
        </w:rPr>
        <w:instrText xml:space="preserve"> PAGEREF _Toc11413 \h </w:instrText>
      </w:r>
      <w:r>
        <w:rPr>
          <w:color w:val="auto"/>
          <w:sz w:val="22"/>
          <w:szCs w:val="24"/>
        </w:rPr>
        <w:fldChar w:fldCharType="separate"/>
      </w:r>
      <w:r>
        <w:rPr>
          <w:color w:val="auto"/>
          <w:sz w:val="22"/>
          <w:szCs w:val="24"/>
        </w:rPr>
        <w:t>1</w:t>
      </w:r>
      <w:r>
        <w:rPr>
          <w:color w:val="auto"/>
          <w:sz w:val="22"/>
          <w:szCs w:val="24"/>
        </w:rPr>
        <w:fldChar w:fldCharType="end"/>
      </w:r>
      <w:r>
        <w:rPr>
          <w:rFonts w:ascii="宋体" w:hAnsi="宋体" w:eastAsia="宋体" w:cs="宋体"/>
          <w:color w:val="auto"/>
          <w:sz w:val="22"/>
          <w:szCs w:val="48"/>
          <w:highlight w:val="none"/>
        </w:rPr>
        <w:fldChar w:fldCharType="end"/>
      </w:r>
    </w:p>
    <w:p w14:paraId="7AA0F9C8">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_Toc16210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2"/>
        </w:rPr>
        <w:t xml:space="preserve">3 </w:t>
      </w:r>
      <w:r>
        <w:rPr>
          <w:rFonts w:hint="eastAsia"/>
          <w:color w:val="auto"/>
          <w:sz w:val="22"/>
          <w:szCs w:val="22"/>
          <w:highlight w:val="none"/>
        </w:rPr>
        <w:t>术语和定义</w:t>
      </w:r>
      <w:r>
        <w:rPr>
          <w:color w:val="auto"/>
          <w:sz w:val="22"/>
          <w:szCs w:val="24"/>
        </w:rPr>
        <w:tab/>
      </w:r>
      <w:r>
        <w:rPr>
          <w:color w:val="auto"/>
          <w:sz w:val="22"/>
          <w:szCs w:val="24"/>
        </w:rPr>
        <w:fldChar w:fldCharType="begin"/>
      </w:r>
      <w:r>
        <w:rPr>
          <w:color w:val="auto"/>
          <w:sz w:val="22"/>
          <w:szCs w:val="24"/>
        </w:rPr>
        <w:instrText xml:space="preserve"> PAGEREF _Toc16210 \h </w:instrText>
      </w:r>
      <w:r>
        <w:rPr>
          <w:color w:val="auto"/>
          <w:sz w:val="22"/>
          <w:szCs w:val="24"/>
        </w:rPr>
        <w:fldChar w:fldCharType="separate"/>
      </w:r>
      <w:r>
        <w:rPr>
          <w:color w:val="auto"/>
          <w:sz w:val="22"/>
          <w:szCs w:val="24"/>
        </w:rPr>
        <w:t>1</w:t>
      </w:r>
      <w:r>
        <w:rPr>
          <w:color w:val="auto"/>
          <w:sz w:val="22"/>
          <w:szCs w:val="24"/>
        </w:rPr>
        <w:fldChar w:fldCharType="end"/>
      </w:r>
      <w:r>
        <w:rPr>
          <w:rFonts w:ascii="宋体" w:hAnsi="宋体" w:eastAsia="宋体" w:cs="宋体"/>
          <w:color w:val="auto"/>
          <w:sz w:val="22"/>
          <w:szCs w:val="48"/>
          <w:highlight w:val="none"/>
        </w:rPr>
        <w:fldChar w:fldCharType="end"/>
      </w:r>
    </w:p>
    <w:p w14:paraId="1AC81932">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_Toc20220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4 </w:t>
      </w:r>
      <w:r>
        <w:rPr>
          <w:rFonts w:hint="eastAsia"/>
          <w:color w:val="auto"/>
          <w:sz w:val="22"/>
          <w:szCs w:val="24"/>
          <w:highlight w:val="none"/>
        </w:rPr>
        <w:t>总体要求</w:t>
      </w:r>
      <w:r>
        <w:rPr>
          <w:color w:val="auto"/>
          <w:sz w:val="22"/>
          <w:szCs w:val="24"/>
        </w:rPr>
        <w:tab/>
      </w:r>
      <w:r>
        <w:rPr>
          <w:color w:val="auto"/>
          <w:sz w:val="22"/>
          <w:szCs w:val="24"/>
        </w:rPr>
        <w:fldChar w:fldCharType="begin"/>
      </w:r>
      <w:r>
        <w:rPr>
          <w:color w:val="auto"/>
          <w:sz w:val="22"/>
          <w:szCs w:val="24"/>
        </w:rPr>
        <w:instrText xml:space="preserve"> PAGEREF _Toc20220 \h </w:instrText>
      </w:r>
      <w:r>
        <w:rPr>
          <w:color w:val="auto"/>
          <w:sz w:val="22"/>
          <w:szCs w:val="24"/>
        </w:rPr>
        <w:fldChar w:fldCharType="separate"/>
      </w:r>
      <w:r>
        <w:rPr>
          <w:color w:val="auto"/>
          <w:sz w:val="22"/>
          <w:szCs w:val="24"/>
        </w:rPr>
        <w:t>3</w:t>
      </w:r>
      <w:r>
        <w:rPr>
          <w:color w:val="auto"/>
          <w:sz w:val="22"/>
          <w:szCs w:val="24"/>
        </w:rPr>
        <w:fldChar w:fldCharType="end"/>
      </w:r>
      <w:r>
        <w:rPr>
          <w:rFonts w:ascii="宋体" w:hAnsi="宋体" w:eastAsia="宋体" w:cs="宋体"/>
          <w:color w:val="auto"/>
          <w:sz w:val="22"/>
          <w:szCs w:val="48"/>
          <w:highlight w:val="none"/>
        </w:rPr>
        <w:fldChar w:fldCharType="end"/>
      </w:r>
    </w:p>
    <w:p w14:paraId="364CABF7">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_Toc15882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5 </w:t>
      </w:r>
      <w:r>
        <w:rPr>
          <w:rFonts w:hint="eastAsia"/>
          <w:color w:val="auto"/>
          <w:sz w:val="22"/>
          <w:szCs w:val="24"/>
          <w:highlight w:val="none"/>
        </w:rPr>
        <w:t>户外广告设施设置要求</w:t>
      </w:r>
      <w:r>
        <w:rPr>
          <w:color w:val="auto"/>
          <w:sz w:val="22"/>
          <w:szCs w:val="24"/>
        </w:rPr>
        <w:tab/>
      </w:r>
      <w:r>
        <w:rPr>
          <w:color w:val="auto"/>
          <w:sz w:val="22"/>
          <w:szCs w:val="24"/>
        </w:rPr>
        <w:fldChar w:fldCharType="begin"/>
      </w:r>
      <w:r>
        <w:rPr>
          <w:color w:val="auto"/>
          <w:sz w:val="22"/>
          <w:szCs w:val="24"/>
        </w:rPr>
        <w:instrText xml:space="preserve"> PAGEREF _Toc15882 \h </w:instrText>
      </w:r>
      <w:r>
        <w:rPr>
          <w:color w:val="auto"/>
          <w:sz w:val="22"/>
          <w:szCs w:val="24"/>
        </w:rPr>
        <w:fldChar w:fldCharType="separate"/>
      </w:r>
      <w:r>
        <w:rPr>
          <w:color w:val="auto"/>
          <w:sz w:val="22"/>
          <w:szCs w:val="24"/>
        </w:rPr>
        <w:t>6</w:t>
      </w:r>
      <w:r>
        <w:rPr>
          <w:color w:val="auto"/>
          <w:sz w:val="22"/>
          <w:szCs w:val="24"/>
        </w:rPr>
        <w:fldChar w:fldCharType="end"/>
      </w:r>
      <w:r>
        <w:rPr>
          <w:rFonts w:ascii="宋体" w:hAnsi="宋体" w:eastAsia="宋体" w:cs="宋体"/>
          <w:color w:val="auto"/>
          <w:sz w:val="22"/>
          <w:szCs w:val="48"/>
          <w:highlight w:val="none"/>
        </w:rPr>
        <w:fldChar w:fldCharType="end"/>
      </w:r>
    </w:p>
    <w:p w14:paraId="0CB703CA">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_Toc30127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6 </w:t>
      </w:r>
      <w:r>
        <w:rPr>
          <w:rFonts w:hint="eastAsia"/>
          <w:color w:val="auto"/>
          <w:sz w:val="22"/>
          <w:szCs w:val="24"/>
          <w:highlight w:val="none"/>
        </w:rPr>
        <w:t>户外招牌设施设置要求</w:t>
      </w:r>
      <w:r>
        <w:rPr>
          <w:color w:val="auto"/>
          <w:sz w:val="22"/>
          <w:szCs w:val="24"/>
        </w:rPr>
        <w:tab/>
      </w:r>
      <w:r>
        <w:rPr>
          <w:color w:val="auto"/>
          <w:sz w:val="22"/>
          <w:szCs w:val="24"/>
        </w:rPr>
        <w:fldChar w:fldCharType="begin"/>
      </w:r>
      <w:r>
        <w:rPr>
          <w:color w:val="auto"/>
          <w:sz w:val="22"/>
          <w:szCs w:val="24"/>
        </w:rPr>
        <w:instrText xml:space="preserve"> PAGEREF _Toc30127 \h </w:instrText>
      </w:r>
      <w:r>
        <w:rPr>
          <w:color w:val="auto"/>
          <w:sz w:val="22"/>
          <w:szCs w:val="24"/>
        </w:rPr>
        <w:fldChar w:fldCharType="separate"/>
      </w:r>
      <w:r>
        <w:rPr>
          <w:color w:val="auto"/>
          <w:sz w:val="22"/>
          <w:szCs w:val="24"/>
        </w:rPr>
        <w:t>8</w:t>
      </w:r>
      <w:r>
        <w:rPr>
          <w:color w:val="auto"/>
          <w:sz w:val="22"/>
          <w:szCs w:val="24"/>
        </w:rPr>
        <w:fldChar w:fldCharType="end"/>
      </w:r>
      <w:r>
        <w:rPr>
          <w:rFonts w:ascii="宋体" w:hAnsi="宋体" w:eastAsia="宋体" w:cs="宋体"/>
          <w:color w:val="auto"/>
          <w:sz w:val="22"/>
          <w:szCs w:val="48"/>
          <w:highlight w:val="none"/>
        </w:rPr>
        <w:fldChar w:fldCharType="end"/>
      </w:r>
    </w:p>
    <w:p w14:paraId="5E616E9B">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_Toc25474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7 </w:t>
      </w:r>
      <w:r>
        <w:rPr>
          <w:rFonts w:hint="eastAsia"/>
          <w:color w:val="auto"/>
          <w:sz w:val="22"/>
          <w:szCs w:val="24"/>
          <w:highlight w:val="none"/>
        </w:rPr>
        <w:t>照明</w:t>
      </w:r>
      <w:r>
        <w:rPr>
          <w:color w:val="auto"/>
          <w:sz w:val="22"/>
          <w:szCs w:val="24"/>
        </w:rPr>
        <w:tab/>
      </w:r>
      <w:r>
        <w:rPr>
          <w:color w:val="auto"/>
          <w:sz w:val="22"/>
          <w:szCs w:val="24"/>
        </w:rPr>
        <w:fldChar w:fldCharType="begin"/>
      </w:r>
      <w:r>
        <w:rPr>
          <w:color w:val="auto"/>
          <w:sz w:val="22"/>
          <w:szCs w:val="24"/>
        </w:rPr>
        <w:instrText xml:space="preserve"> PAGEREF _Toc25474 \h </w:instrText>
      </w:r>
      <w:r>
        <w:rPr>
          <w:color w:val="auto"/>
          <w:sz w:val="22"/>
          <w:szCs w:val="24"/>
        </w:rPr>
        <w:fldChar w:fldCharType="separate"/>
      </w:r>
      <w:r>
        <w:rPr>
          <w:color w:val="auto"/>
          <w:sz w:val="22"/>
          <w:szCs w:val="24"/>
        </w:rPr>
        <w:t>10</w:t>
      </w:r>
      <w:r>
        <w:rPr>
          <w:color w:val="auto"/>
          <w:sz w:val="22"/>
          <w:szCs w:val="24"/>
        </w:rPr>
        <w:fldChar w:fldCharType="end"/>
      </w:r>
      <w:r>
        <w:rPr>
          <w:rFonts w:ascii="宋体" w:hAnsi="宋体" w:eastAsia="宋体" w:cs="宋体"/>
          <w:color w:val="auto"/>
          <w:sz w:val="22"/>
          <w:szCs w:val="48"/>
          <w:highlight w:val="none"/>
        </w:rPr>
        <w:fldChar w:fldCharType="end"/>
      </w:r>
    </w:p>
    <w:p w14:paraId="6405A75D">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_Toc12848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8 </w:t>
      </w:r>
      <w:r>
        <w:rPr>
          <w:rFonts w:hint="eastAsia"/>
          <w:color w:val="auto"/>
          <w:sz w:val="22"/>
          <w:szCs w:val="24"/>
          <w:highlight w:val="none"/>
        </w:rPr>
        <w:t>设计</w:t>
      </w:r>
      <w:r>
        <w:rPr>
          <w:color w:val="auto"/>
          <w:sz w:val="22"/>
          <w:szCs w:val="24"/>
        </w:rPr>
        <w:tab/>
      </w:r>
      <w:r>
        <w:rPr>
          <w:color w:val="auto"/>
          <w:sz w:val="22"/>
          <w:szCs w:val="24"/>
        </w:rPr>
        <w:fldChar w:fldCharType="begin"/>
      </w:r>
      <w:r>
        <w:rPr>
          <w:color w:val="auto"/>
          <w:sz w:val="22"/>
          <w:szCs w:val="24"/>
        </w:rPr>
        <w:instrText xml:space="preserve"> PAGEREF _Toc12848 \h </w:instrText>
      </w:r>
      <w:r>
        <w:rPr>
          <w:color w:val="auto"/>
          <w:sz w:val="22"/>
          <w:szCs w:val="24"/>
        </w:rPr>
        <w:fldChar w:fldCharType="separate"/>
      </w:r>
      <w:r>
        <w:rPr>
          <w:color w:val="auto"/>
          <w:sz w:val="22"/>
          <w:szCs w:val="24"/>
        </w:rPr>
        <w:t>11</w:t>
      </w:r>
      <w:r>
        <w:rPr>
          <w:color w:val="auto"/>
          <w:sz w:val="22"/>
          <w:szCs w:val="24"/>
        </w:rPr>
        <w:fldChar w:fldCharType="end"/>
      </w:r>
      <w:r>
        <w:rPr>
          <w:rFonts w:ascii="宋体" w:hAnsi="宋体" w:eastAsia="宋体" w:cs="宋体"/>
          <w:color w:val="auto"/>
          <w:sz w:val="22"/>
          <w:szCs w:val="48"/>
          <w:highlight w:val="none"/>
        </w:rPr>
        <w:fldChar w:fldCharType="end"/>
      </w:r>
    </w:p>
    <w:p w14:paraId="43EE7D9B">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_Toc14944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9 </w:t>
      </w:r>
      <w:r>
        <w:rPr>
          <w:rFonts w:hint="eastAsia"/>
          <w:color w:val="auto"/>
          <w:sz w:val="22"/>
          <w:szCs w:val="24"/>
          <w:highlight w:val="none"/>
        </w:rPr>
        <w:t>施工</w:t>
      </w:r>
      <w:r>
        <w:rPr>
          <w:rFonts w:hint="eastAsia"/>
          <w:color w:val="auto"/>
          <w:sz w:val="22"/>
          <w:szCs w:val="24"/>
          <w:highlight w:val="none"/>
          <w:lang w:val="en-US" w:eastAsia="zh-CN"/>
        </w:rPr>
        <w:t>及</w:t>
      </w:r>
      <w:r>
        <w:rPr>
          <w:rFonts w:hint="eastAsia"/>
          <w:color w:val="auto"/>
          <w:sz w:val="22"/>
          <w:szCs w:val="24"/>
          <w:highlight w:val="none"/>
        </w:rPr>
        <w:t>验收</w:t>
      </w:r>
      <w:r>
        <w:rPr>
          <w:color w:val="auto"/>
          <w:sz w:val="22"/>
          <w:szCs w:val="24"/>
        </w:rPr>
        <w:tab/>
      </w:r>
      <w:r>
        <w:rPr>
          <w:color w:val="auto"/>
          <w:sz w:val="22"/>
          <w:szCs w:val="24"/>
        </w:rPr>
        <w:fldChar w:fldCharType="begin"/>
      </w:r>
      <w:r>
        <w:rPr>
          <w:color w:val="auto"/>
          <w:sz w:val="22"/>
          <w:szCs w:val="24"/>
        </w:rPr>
        <w:instrText xml:space="preserve"> PAGEREF _Toc14944 \h </w:instrText>
      </w:r>
      <w:r>
        <w:rPr>
          <w:color w:val="auto"/>
          <w:sz w:val="22"/>
          <w:szCs w:val="24"/>
        </w:rPr>
        <w:fldChar w:fldCharType="separate"/>
      </w:r>
      <w:r>
        <w:rPr>
          <w:color w:val="auto"/>
          <w:sz w:val="22"/>
          <w:szCs w:val="24"/>
        </w:rPr>
        <w:t>12</w:t>
      </w:r>
      <w:r>
        <w:rPr>
          <w:color w:val="auto"/>
          <w:sz w:val="22"/>
          <w:szCs w:val="24"/>
        </w:rPr>
        <w:fldChar w:fldCharType="end"/>
      </w:r>
      <w:r>
        <w:rPr>
          <w:rFonts w:ascii="宋体" w:hAnsi="宋体" w:eastAsia="宋体" w:cs="宋体"/>
          <w:color w:val="auto"/>
          <w:sz w:val="22"/>
          <w:szCs w:val="48"/>
          <w:highlight w:val="none"/>
        </w:rPr>
        <w:fldChar w:fldCharType="end"/>
      </w:r>
    </w:p>
    <w:p w14:paraId="19C1AAFF">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_Toc20243 </w:instrText>
      </w:r>
      <w:r>
        <w:rPr>
          <w:rFonts w:ascii="宋体" w:hAnsi="宋体" w:eastAsia="宋体" w:cs="宋体"/>
          <w:color w:val="auto"/>
          <w:sz w:val="22"/>
          <w:szCs w:val="48"/>
          <w:highlight w:val="none"/>
        </w:rPr>
        <w:fldChar w:fldCharType="separate"/>
      </w:r>
      <w:r>
        <w:rPr>
          <w:rFonts w:hint="eastAsia" w:ascii="黑体" w:eastAsia="黑体"/>
          <w:i w:val="0"/>
          <w:color w:val="auto"/>
          <w:sz w:val="22"/>
          <w:szCs w:val="24"/>
        </w:rPr>
        <w:t xml:space="preserve">10 </w:t>
      </w:r>
      <w:r>
        <w:rPr>
          <w:rFonts w:hint="eastAsia"/>
          <w:color w:val="auto"/>
          <w:sz w:val="22"/>
          <w:szCs w:val="24"/>
          <w:highlight w:val="none"/>
        </w:rPr>
        <w:t>运行管理</w:t>
      </w:r>
      <w:r>
        <w:rPr>
          <w:color w:val="auto"/>
          <w:sz w:val="22"/>
          <w:szCs w:val="24"/>
        </w:rPr>
        <w:tab/>
      </w:r>
      <w:r>
        <w:rPr>
          <w:color w:val="auto"/>
          <w:sz w:val="22"/>
          <w:szCs w:val="24"/>
        </w:rPr>
        <w:fldChar w:fldCharType="begin"/>
      </w:r>
      <w:r>
        <w:rPr>
          <w:color w:val="auto"/>
          <w:sz w:val="22"/>
          <w:szCs w:val="24"/>
        </w:rPr>
        <w:instrText xml:space="preserve"> PAGEREF _Toc20243 \h </w:instrText>
      </w:r>
      <w:r>
        <w:rPr>
          <w:color w:val="auto"/>
          <w:sz w:val="22"/>
          <w:szCs w:val="24"/>
        </w:rPr>
        <w:fldChar w:fldCharType="separate"/>
      </w:r>
      <w:r>
        <w:rPr>
          <w:color w:val="auto"/>
          <w:sz w:val="22"/>
          <w:szCs w:val="24"/>
        </w:rPr>
        <w:t>13</w:t>
      </w:r>
      <w:r>
        <w:rPr>
          <w:color w:val="auto"/>
          <w:sz w:val="22"/>
          <w:szCs w:val="24"/>
        </w:rPr>
        <w:fldChar w:fldCharType="end"/>
      </w:r>
      <w:r>
        <w:rPr>
          <w:rFonts w:ascii="宋体" w:hAnsi="宋体" w:eastAsia="宋体" w:cs="宋体"/>
          <w:color w:val="auto"/>
          <w:sz w:val="22"/>
          <w:szCs w:val="48"/>
          <w:highlight w:val="none"/>
        </w:rPr>
        <w:fldChar w:fldCharType="end"/>
      </w:r>
    </w:p>
    <w:p w14:paraId="33F33ABE">
      <w:pPr>
        <w:pStyle w:val="18"/>
        <w:keepNext w:val="0"/>
        <w:keepLines w:val="0"/>
        <w:pageBreakBefore w:val="0"/>
        <w:widowControl w:val="0"/>
        <w:tabs>
          <w:tab w:val="right" w:leader="dot" w:pos="9354"/>
        </w:tabs>
        <w:kinsoku/>
        <w:wordWrap/>
        <w:overflowPunct/>
        <w:topLinePunct w:val="0"/>
        <w:autoSpaceDE/>
        <w:autoSpaceDN/>
        <w:bidi w:val="0"/>
        <w:adjustRightInd/>
        <w:spacing w:line="360" w:lineRule="auto"/>
        <w:textAlignment w:val="auto"/>
        <w:rPr>
          <w:color w:val="auto"/>
          <w:sz w:val="22"/>
          <w:szCs w:val="24"/>
        </w:rPr>
      </w:pPr>
      <w:r>
        <w:rPr>
          <w:rFonts w:ascii="宋体" w:hAnsi="宋体" w:eastAsia="宋体" w:cs="宋体"/>
          <w:color w:val="auto"/>
          <w:sz w:val="22"/>
          <w:szCs w:val="48"/>
          <w:highlight w:val="none"/>
        </w:rPr>
        <w:fldChar w:fldCharType="begin"/>
      </w:r>
      <w:r>
        <w:rPr>
          <w:rFonts w:ascii="宋体" w:hAnsi="宋体" w:eastAsia="宋体" w:cs="宋体"/>
          <w:color w:val="auto"/>
          <w:sz w:val="22"/>
          <w:szCs w:val="48"/>
          <w:highlight w:val="none"/>
        </w:rPr>
        <w:instrText xml:space="preserve"> HYPERLINK \l _Toc11106 </w:instrText>
      </w:r>
      <w:r>
        <w:rPr>
          <w:rFonts w:ascii="宋体" w:hAnsi="宋体" w:eastAsia="宋体" w:cs="宋体"/>
          <w:color w:val="auto"/>
          <w:sz w:val="22"/>
          <w:szCs w:val="48"/>
          <w:highlight w:val="none"/>
        </w:rPr>
        <w:fldChar w:fldCharType="separate"/>
      </w:r>
      <w:r>
        <w:rPr>
          <w:rFonts w:hint="eastAsia"/>
          <w:color w:val="auto"/>
          <w:spacing w:val="105"/>
          <w:sz w:val="22"/>
          <w:szCs w:val="24"/>
          <w:highlight w:val="none"/>
        </w:rPr>
        <w:t>参考文</w:t>
      </w:r>
      <w:r>
        <w:rPr>
          <w:rFonts w:hint="eastAsia"/>
          <w:color w:val="auto"/>
          <w:sz w:val="22"/>
          <w:szCs w:val="24"/>
          <w:highlight w:val="none"/>
        </w:rPr>
        <w:t>献</w:t>
      </w:r>
      <w:r>
        <w:rPr>
          <w:color w:val="auto"/>
          <w:sz w:val="22"/>
          <w:szCs w:val="24"/>
        </w:rPr>
        <w:tab/>
      </w:r>
      <w:r>
        <w:rPr>
          <w:color w:val="auto"/>
          <w:sz w:val="22"/>
          <w:szCs w:val="24"/>
        </w:rPr>
        <w:fldChar w:fldCharType="begin"/>
      </w:r>
      <w:r>
        <w:rPr>
          <w:color w:val="auto"/>
          <w:sz w:val="22"/>
          <w:szCs w:val="24"/>
        </w:rPr>
        <w:instrText xml:space="preserve"> PAGEREF _Toc11106 \h </w:instrText>
      </w:r>
      <w:r>
        <w:rPr>
          <w:color w:val="auto"/>
          <w:sz w:val="22"/>
          <w:szCs w:val="24"/>
        </w:rPr>
        <w:fldChar w:fldCharType="separate"/>
      </w:r>
      <w:r>
        <w:rPr>
          <w:color w:val="auto"/>
          <w:sz w:val="22"/>
          <w:szCs w:val="24"/>
        </w:rPr>
        <w:t>14</w:t>
      </w:r>
      <w:r>
        <w:rPr>
          <w:color w:val="auto"/>
          <w:sz w:val="22"/>
          <w:szCs w:val="24"/>
        </w:rPr>
        <w:fldChar w:fldCharType="end"/>
      </w:r>
      <w:r>
        <w:rPr>
          <w:rFonts w:ascii="宋体" w:hAnsi="宋体" w:eastAsia="宋体" w:cs="宋体"/>
          <w:color w:val="auto"/>
          <w:sz w:val="22"/>
          <w:szCs w:val="48"/>
          <w:highlight w:val="none"/>
        </w:rPr>
        <w:fldChar w:fldCharType="end"/>
      </w:r>
    </w:p>
    <w:p w14:paraId="123FEC55">
      <w:pPr>
        <w:keepNext w:val="0"/>
        <w:keepLines w:val="0"/>
        <w:pageBreakBefore w:val="0"/>
        <w:widowControl w:val="0"/>
        <w:kinsoku/>
        <w:wordWrap/>
        <w:overflowPunct/>
        <w:topLinePunct w:val="0"/>
        <w:autoSpaceDE/>
        <w:autoSpaceDN/>
        <w:bidi w:val="0"/>
        <w:adjustRightInd/>
        <w:snapToGrid w:val="0"/>
        <w:spacing w:line="360" w:lineRule="auto"/>
        <w:ind w:firstLine="0" w:firstLineChars="0"/>
        <w:jc w:val="left"/>
        <w:textAlignment w:val="auto"/>
        <w:rPr>
          <w:rFonts w:ascii="宋体" w:hAnsi="宋体" w:eastAsia="宋体" w:cs="宋体"/>
          <w:color w:val="auto"/>
          <w:sz w:val="36"/>
          <w:szCs w:val="36"/>
          <w:highlight w:val="none"/>
        </w:rPr>
      </w:pPr>
      <w:r>
        <w:rPr>
          <w:rFonts w:ascii="宋体" w:hAnsi="宋体" w:eastAsia="宋体" w:cs="宋体"/>
          <w:color w:val="auto"/>
          <w:sz w:val="22"/>
          <w:szCs w:val="48"/>
          <w:highlight w:val="none"/>
        </w:rPr>
        <w:fldChar w:fldCharType="end"/>
      </w:r>
    </w:p>
    <w:p w14:paraId="5EAADACB">
      <w:pPr>
        <w:pStyle w:val="9"/>
        <w:rPr>
          <w:rFonts w:ascii="宋体" w:hAnsi="宋体" w:eastAsia="宋体" w:cs="宋体"/>
          <w:color w:val="auto"/>
          <w:szCs w:val="21"/>
          <w:highlight w:val="none"/>
        </w:rPr>
      </w:pPr>
    </w:p>
    <w:p w14:paraId="2D74FE01">
      <w:pPr>
        <w:pStyle w:val="9"/>
        <w:rPr>
          <w:rFonts w:ascii="宋体" w:hAnsi="宋体" w:eastAsia="宋体" w:cs="宋体"/>
          <w:color w:val="auto"/>
          <w:szCs w:val="21"/>
          <w:highlight w:val="none"/>
        </w:rPr>
      </w:pPr>
    </w:p>
    <w:p w14:paraId="25F92308">
      <w:pPr>
        <w:pStyle w:val="9"/>
        <w:rPr>
          <w:rFonts w:ascii="宋体" w:hAnsi="宋体" w:eastAsia="宋体" w:cs="宋体"/>
          <w:color w:val="auto"/>
          <w:szCs w:val="21"/>
          <w:highlight w:val="none"/>
        </w:rPr>
      </w:pPr>
    </w:p>
    <w:p w14:paraId="0923F313">
      <w:pPr>
        <w:pStyle w:val="55"/>
        <w:shd w:val="clear" w:color="auto" w:fill="auto"/>
        <w:spacing w:before="567" w:after="680" w:afterLines="0"/>
        <w:rPr>
          <w:color w:val="auto"/>
          <w:spacing w:val="320"/>
          <w:highlight w:val="none"/>
        </w:rPr>
        <w:sectPr>
          <w:headerReference r:id="rId5" w:type="default"/>
          <w:footerReference r:id="rId7" w:type="default"/>
          <w:headerReference r:id="rId6" w:type="even"/>
          <w:footerReference r:id="rId8"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1"/>
          <w:cols w:space="425" w:num="1"/>
          <w:docGrid w:type="lines" w:linePitch="312" w:charSpace="0"/>
        </w:sectPr>
      </w:pPr>
    </w:p>
    <w:p w14:paraId="5D74EEFA">
      <w:pPr>
        <w:pStyle w:val="9"/>
        <w:rPr>
          <w:color w:val="auto"/>
          <w:highlight w:val="none"/>
        </w:rPr>
        <w:sectPr>
          <w:footerReference r:id="rId9" w:type="default"/>
          <w:footerReference r:id="rId10" w:type="even"/>
          <w:pgSz w:w="11906" w:h="16838"/>
          <w:pgMar w:top="1417" w:right="1134" w:bottom="1134" w:left="1418" w:header="1417" w:footer="1134" w:gutter="0"/>
          <w:pgBorders>
            <w:top w:val="none" w:sz="0" w:space="0"/>
            <w:left w:val="none" w:sz="0" w:space="0"/>
            <w:bottom w:val="none" w:sz="0" w:space="0"/>
            <w:right w:val="none" w:sz="0" w:space="0"/>
          </w:pgBorders>
          <w:pgNumType w:fmt="decimal" w:start="2"/>
          <w:cols w:space="425" w:num="1"/>
          <w:docGrid w:type="lines" w:linePitch="312" w:charSpace="0"/>
        </w:sectPr>
      </w:pPr>
    </w:p>
    <w:p w14:paraId="34FC2DBE">
      <w:pPr>
        <w:snapToGrid w:val="0"/>
        <w:spacing w:before="567" w:after="680"/>
        <w:ind w:firstLine="640" w:firstLineChars="200"/>
        <w:jc w:val="center"/>
        <w:outlineLvl w:val="0"/>
        <w:rPr>
          <w:rFonts w:ascii="黑体" w:hAnsi="黑体" w:eastAsia="黑体" w:cs="黑体"/>
          <w:color w:val="auto"/>
          <w:kern w:val="0"/>
          <w:sz w:val="32"/>
          <w:szCs w:val="32"/>
          <w:highlight w:val="none"/>
        </w:rPr>
      </w:pPr>
      <w:bookmarkStart w:id="7" w:name="_Toc22263"/>
      <w:r>
        <w:rPr>
          <w:rFonts w:hint="eastAsia" w:ascii="黑体" w:hAnsi="黑体" w:eastAsia="黑体" w:cs="黑体"/>
          <w:color w:val="auto"/>
          <w:kern w:val="0"/>
          <w:sz w:val="32"/>
          <w:szCs w:val="32"/>
          <w:highlight w:val="none"/>
        </w:rPr>
        <w:t>前    言</w:t>
      </w:r>
      <w:bookmarkEnd w:id="7"/>
    </w:p>
    <w:p w14:paraId="2D2F1583">
      <w:pPr>
        <w:snapToGrid w:val="0"/>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本文件按照 GB/T 1.1—2020《标准化工作导则第1部分：标准化文件的结构和起草规则》的规定起草。</w:t>
      </w:r>
    </w:p>
    <w:p w14:paraId="4EE62617">
      <w:pPr>
        <w:snapToGrid w:val="0"/>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请注意本文件的某些内容可能涉及专利。本文件的发布机构不承担识别专利的责任。</w:t>
      </w:r>
    </w:p>
    <w:p w14:paraId="59A89EE9">
      <w:pPr>
        <w:snapToGrid w:val="0"/>
        <w:ind w:firstLine="420" w:firstLineChars="200"/>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本文件由苏州市城市管理局提出并归口。</w:t>
      </w:r>
    </w:p>
    <w:p w14:paraId="7AFE5BC0">
      <w:pPr>
        <w:snapToGrid w:val="0"/>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本文件起草单位：上海环境卫生工程设计院有限公司。</w:t>
      </w:r>
    </w:p>
    <w:p w14:paraId="0DDAEB42">
      <w:pPr>
        <w:snapToGrid w:val="0"/>
        <w:ind w:firstLine="420" w:firstLineChars="200"/>
        <w:rPr>
          <w:rFonts w:ascii="宋体" w:hAnsi="宋体" w:eastAsia="宋体" w:cs="宋体"/>
          <w:color w:val="auto"/>
          <w:kern w:val="0"/>
          <w:szCs w:val="21"/>
          <w:highlight w:val="none"/>
        </w:rPr>
      </w:pPr>
      <w:r>
        <w:rPr>
          <w:rFonts w:hint="eastAsia" w:ascii="宋体" w:hAnsi="宋体" w:eastAsia="宋体" w:cs="宋体"/>
          <w:color w:val="auto"/>
          <w:kern w:val="0"/>
          <w:szCs w:val="21"/>
          <w:highlight w:val="none"/>
        </w:rPr>
        <w:t>本文件主要起草人：……。</w:t>
      </w:r>
    </w:p>
    <w:p w14:paraId="57860B0C">
      <w:pPr>
        <w:snapToGrid w:val="0"/>
        <w:ind w:firstLine="420" w:firstLineChars="200"/>
        <w:rPr>
          <w:rFonts w:ascii="宋体" w:hAnsi="宋体" w:eastAsia="宋体" w:cs="宋体"/>
          <w:color w:val="auto"/>
          <w:kern w:val="0"/>
          <w:szCs w:val="21"/>
          <w:highlight w:val="none"/>
        </w:rPr>
        <w:sectPr>
          <w:footerReference r:id="rId12" w:type="default"/>
          <w:headerReference r:id="rId11" w:type="even"/>
          <w:footerReference r:id="rId13" w:type="even"/>
          <w:pgSz w:w="11906" w:h="16838"/>
          <w:pgMar w:top="1417" w:right="1134" w:bottom="1134" w:left="1418" w:header="1417" w:footer="1134" w:gutter="0"/>
          <w:pgBorders>
            <w:top w:val="none" w:sz="0" w:space="0"/>
            <w:left w:val="none" w:sz="0" w:space="0"/>
            <w:bottom w:val="none" w:sz="0" w:space="0"/>
            <w:right w:val="none" w:sz="0" w:space="0"/>
          </w:pgBorders>
          <w:pgNumType w:fmt="upperRoman" w:start="2"/>
          <w:cols w:space="425" w:num="1"/>
          <w:docGrid w:type="lines" w:linePitch="312" w:charSpace="0"/>
        </w:sectPr>
      </w:pPr>
      <w:r>
        <w:rPr>
          <w:rFonts w:hint="eastAsia"/>
          <w:color w:val="auto"/>
          <w:highlight w:val="none"/>
        </w:rPr>
        <w:t>本文件为首次发布</w:t>
      </w:r>
      <w:r>
        <w:rPr>
          <w:rFonts w:hint="eastAsia" w:ascii="宋体" w:hAnsi="宋体" w:eastAsia="宋体" w:cs="宋体"/>
          <w:color w:val="auto"/>
          <w:kern w:val="0"/>
          <w:szCs w:val="21"/>
          <w:highlight w:val="none"/>
        </w:rPr>
        <w:t>。</w:t>
      </w:r>
    </w:p>
    <w:p w14:paraId="0DC1C31A">
      <w:pPr>
        <w:pStyle w:val="9"/>
        <w:rPr>
          <w:color w:val="auto"/>
          <w:highlight w:val="none"/>
        </w:rPr>
      </w:pPr>
    </w:p>
    <w:p w14:paraId="0E344DFA">
      <w:pPr>
        <w:widowControl/>
        <w:rPr>
          <w:rFonts w:ascii="黑体" w:hAnsi="黑体" w:eastAsia="黑体"/>
          <w:bCs/>
          <w:color w:val="auto"/>
          <w:sz w:val="32"/>
          <w:szCs w:val="32"/>
          <w:highlight w:val="none"/>
        </w:rPr>
        <w:sectPr>
          <w:footerReference r:id="rId15" w:type="default"/>
          <w:headerReference r:id="rId14" w:type="even"/>
          <w:footerReference r:id="rId16" w:type="even"/>
          <w:pgSz w:w="11906" w:h="16838"/>
          <w:pgMar w:top="1417" w:right="1134" w:bottom="1134" w:left="1418" w:header="1417" w:footer="1134" w:gutter="0"/>
          <w:pgBorders>
            <w:top w:val="none" w:sz="0" w:space="0"/>
            <w:left w:val="none" w:sz="0" w:space="0"/>
            <w:bottom w:val="none" w:sz="0" w:space="0"/>
            <w:right w:val="none" w:sz="0" w:space="0"/>
          </w:pgBorders>
          <w:pgNumType w:fmt="decimal" w:start="2"/>
          <w:cols w:space="425" w:num="1"/>
          <w:docGrid w:type="lines" w:linePitch="312" w:charSpace="0"/>
        </w:sectPr>
      </w:pPr>
      <w:bookmarkStart w:id="8" w:name="SectionMark4"/>
    </w:p>
    <w:p w14:paraId="29FA55DD">
      <w:pPr>
        <w:widowControl/>
        <w:spacing w:before="567" w:after="680"/>
        <w:jc w:val="center"/>
        <w:rPr>
          <w:rFonts w:ascii="黑体" w:hAnsi="黑体" w:eastAsia="黑体"/>
          <w:bCs/>
          <w:color w:val="auto"/>
          <w:sz w:val="32"/>
          <w:szCs w:val="32"/>
          <w:highlight w:val="none"/>
        </w:rPr>
      </w:pPr>
      <w:r>
        <w:rPr>
          <w:rFonts w:hint="eastAsia" w:ascii="黑体" w:hAnsi="宋体" w:eastAsia="黑体"/>
          <w:color w:val="auto"/>
          <w:sz w:val="32"/>
          <w:szCs w:val="32"/>
          <w:highlight w:val="none"/>
        </w:rPr>
        <w:t>城乡户外广告与招牌设施技术标准</w:t>
      </w:r>
    </w:p>
    <w:bookmarkEnd w:id="8"/>
    <w:p w14:paraId="3245EE20">
      <w:pPr>
        <w:pStyle w:val="72"/>
        <w:spacing w:before="240" w:after="240"/>
        <w:rPr>
          <w:color w:val="auto"/>
          <w:highlight w:val="none"/>
        </w:rPr>
      </w:pPr>
      <w:bookmarkStart w:id="9" w:name="_Toc21213"/>
      <w:bookmarkStart w:id="10" w:name="_Toc115339701"/>
      <w:bookmarkStart w:id="11" w:name="_Toc67401897"/>
      <w:bookmarkStart w:id="12" w:name="_Toc47973431"/>
      <w:bookmarkStart w:id="13" w:name="_Toc47973642"/>
      <w:bookmarkStart w:id="14" w:name="_Toc46494722"/>
      <w:bookmarkStart w:id="15" w:name="_Toc10375"/>
      <w:bookmarkStart w:id="16" w:name="_Toc51663569"/>
      <w:bookmarkStart w:id="17" w:name="_Toc48569571"/>
      <w:bookmarkStart w:id="18" w:name="_Toc47964470"/>
      <w:bookmarkStart w:id="19" w:name="_Toc30515"/>
      <w:bookmarkStart w:id="20" w:name="_Toc40454690"/>
      <w:bookmarkStart w:id="21" w:name="_Toc87811368"/>
      <w:bookmarkStart w:id="22" w:name="_Toc67393169"/>
      <w:bookmarkStart w:id="23" w:name="_Toc48572088"/>
      <w:bookmarkStart w:id="24" w:name="_Toc48028397"/>
      <w:bookmarkStart w:id="25" w:name="_Toc7964"/>
      <w:bookmarkStart w:id="26" w:name="_Toc48050151"/>
      <w:bookmarkStart w:id="27" w:name="_Toc51147912"/>
      <w:bookmarkStart w:id="28" w:name="_Toc48028304"/>
      <w:bookmarkStart w:id="29" w:name="_Toc87811223"/>
      <w:bookmarkStart w:id="30" w:name="_Toc122448156"/>
      <w:bookmarkStart w:id="31" w:name="_Toc66965087"/>
      <w:bookmarkStart w:id="32" w:name="_Toc16779"/>
      <w:bookmarkStart w:id="33" w:name="_Toc47964512"/>
      <w:bookmarkStart w:id="34" w:name="_Toc15741"/>
      <w:bookmarkStart w:id="35" w:name="_Toc48049835"/>
      <w:r>
        <w:rPr>
          <w:rFonts w:hint="eastAsia"/>
          <w:color w:val="auto"/>
          <w:highlight w:val="none"/>
        </w:rPr>
        <w:t>范围</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p w14:paraId="14373889">
      <w:pPr>
        <w:pStyle w:val="57"/>
        <w:rPr>
          <w:color w:val="auto"/>
          <w:highlight w:val="none"/>
        </w:rPr>
      </w:pPr>
      <w:r>
        <w:rPr>
          <w:rFonts w:hint="eastAsia"/>
          <w:color w:val="auto"/>
          <w:highlight w:val="none"/>
        </w:rPr>
        <w:t>本标准规定了户外广告与招牌设施设置、照明、设计、施工安装和</w:t>
      </w:r>
      <w:r>
        <w:rPr>
          <w:rFonts w:hint="eastAsia"/>
          <w:color w:val="auto"/>
          <w:highlight w:val="none"/>
          <w:lang w:val="en-US" w:eastAsia="zh-CN"/>
        </w:rPr>
        <w:t>验收</w:t>
      </w:r>
      <w:r>
        <w:rPr>
          <w:rFonts w:hint="eastAsia"/>
          <w:color w:val="auto"/>
          <w:highlight w:val="none"/>
        </w:rPr>
        <w:t>、维护和检测要求。</w:t>
      </w:r>
    </w:p>
    <w:p w14:paraId="1C45EF4C">
      <w:pPr>
        <w:pStyle w:val="57"/>
        <w:rPr>
          <w:color w:val="auto"/>
          <w:highlight w:val="none"/>
        </w:rPr>
      </w:pPr>
      <w:r>
        <w:rPr>
          <w:rFonts w:hint="eastAsia"/>
          <w:color w:val="auto"/>
          <w:highlight w:val="none"/>
        </w:rPr>
        <w:t>本标准适用于本市行政区域内户外广告与招牌设施的建设和管理。</w:t>
      </w:r>
    </w:p>
    <w:p w14:paraId="161A9141">
      <w:pPr>
        <w:pStyle w:val="72"/>
        <w:spacing w:before="240" w:after="240"/>
        <w:rPr>
          <w:color w:val="auto"/>
          <w:highlight w:val="none"/>
        </w:rPr>
      </w:pPr>
      <w:bookmarkStart w:id="36" w:name="_Toc47973643"/>
      <w:bookmarkStart w:id="37" w:name="_Toc47964513"/>
      <w:bookmarkStart w:id="38" w:name="_Toc27351"/>
      <w:bookmarkStart w:id="39" w:name="_Toc51147913"/>
      <w:bookmarkStart w:id="40" w:name="_Toc48050152"/>
      <w:bookmarkStart w:id="41" w:name="_Toc48028305"/>
      <w:bookmarkStart w:id="42" w:name="_Toc40454691"/>
      <w:bookmarkStart w:id="43" w:name="_Toc10392"/>
      <w:bookmarkStart w:id="44" w:name="_Toc87811369"/>
      <w:bookmarkStart w:id="45" w:name="_Toc66965088"/>
      <w:bookmarkStart w:id="46" w:name="_Toc87811224"/>
      <w:bookmarkStart w:id="47" w:name="_Toc115339702"/>
      <w:bookmarkStart w:id="48" w:name="_Toc29099"/>
      <w:bookmarkStart w:id="49" w:name="_Toc67401898"/>
      <w:bookmarkStart w:id="50" w:name="_Toc67393170"/>
      <w:bookmarkStart w:id="51" w:name="_Toc5397"/>
      <w:bookmarkStart w:id="52" w:name="_Toc122448157"/>
      <w:bookmarkStart w:id="53" w:name="_Toc51663570"/>
      <w:bookmarkStart w:id="54" w:name="_Toc27904"/>
      <w:bookmarkStart w:id="55" w:name="_Toc48049836"/>
      <w:bookmarkStart w:id="56" w:name="_Toc48572089"/>
      <w:bookmarkStart w:id="57" w:name="_Toc48569572"/>
      <w:bookmarkStart w:id="58" w:name="_Toc47973432"/>
      <w:bookmarkStart w:id="59" w:name="_Toc48028398"/>
      <w:bookmarkStart w:id="60" w:name="_Toc47964471"/>
      <w:bookmarkStart w:id="61" w:name="_Toc46494723"/>
      <w:bookmarkStart w:id="62" w:name="_Toc11413"/>
      <w:r>
        <w:rPr>
          <w:rFonts w:hint="eastAsia"/>
          <w:color w:val="auto"/>
          <w:highlight w:val="none"/>
        </w:rPr>
        <w:t>规范性引用文件</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p>
    <w:p w14:paraId="24A9BBD2">
      <w:pPr>
        <w:pStyle w:val="57"/>
        <w:rPr>
          <w:color w:val="auto"/>
          <w:highlight w:val="none"/>
        </w:rPr>
      </w:pPr>
      <w:r>
        <w:rPr>
          <w:rFonts w:hint="eastAsia"/>
          <w:color w:val="auto"/>
          <w:highlight w:val="none"/>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6FB89F43">
      <w:pPr>
        <w:pStyle w:val="57"/>
        <w:rPr>
          <w:color w:val="auto"/>
          <w:highlight w:val="none"/>
        </w:rPr>
      </w:pPr>
      <w:r>
        <w:rPr>
          <w:rFonts w:hint="eastAsia"/>
          <w:color w:val="auto"/>
          <w:highlight w:val="none"/>
        </w:rPr>
        <w:t>GB/T 21431  建筑物防雷装置检测技术规范</w:t>
      </w:r>
    </w:p>
    <w:p w14:paraId="6E561F9A">
      <w:pPr>
        <w:pStyle w:val="57"/>
        <w:rPr>
          <w:color w:val="auto"/>
          <w:highlight w:val="none"/>
        </w:rPr>
      </w:pPr>
      <w:r>
        <w:rPr>
          <w:rFonts w:hint="eastAsia"/>
          <w:color w:val="auto"/>
          <w:highlight w:val="none"/>
        </w:rPr>
        <w:t>GB 22337  社会生活环境噪声排放标准</w:t>
      </w:r>
    </w:p>
    <w:p w14:paraId="109D8F60">
      <w:pPr>
        <w:pStyle w:val="57"/>
        <w:rPr>
          <w:color w:val="auto"/>
          <w:highlight w:val="none"/>
        </w:rPr>
      </w:pPr>
      <w:r>
        <w:rPr>
          <w:rFonts w:hint="eastAsia"/>
          <w:color w:val="auto"/>
          <w:highlight w:val="none"/>
        </w:rPr>
        <w:t>GB/T 35626  室外照明干扰光限制规范</w:t>
      </w:r>
    </w:p>
    <w:p w14:paraId="3D211457">
      <w:pPr>
        <w:pStyle w:val="57"/>
        <w:rPr>
          <w:color w:val="auto"/>
          <w:highlight w:val="none"/>
        </w:rPr>
      </w:pPr>
      <w:r>
        <w:rPr>
          <w:rFonts w:hint="eastAsia"/>
          <w:color w:val="auto"/>
          <w:highlight w:val="none"/>
        </w:rPr>
        <w:t>GB/T 36101  LED显示屏干扰光评价要求</w:t>
      </w:r>
    </w:p>
    <w:p w14:paraId="47B9FBBC">
      <w:pPr>
        <w:pStyle w:val="57"/>
        <w:rPr>
          <w:color w:val="auto"/>
          <w:highlight w:val="none"/>
        </w:rPr>
      </w:pPr>
      <w:r>
        <w:rPr>
          <w:rFonts w:hint="eastAsia"/>
          <w:color w:val="auto"/>
          <w:highlight w:val="none"/>
        </w:rPr>
        <w:t>GB/T 38439  室外照明干扰光测量规范</w:t>
      </w:r>
    </w:p>
    <w:p w14:paraId="5F899997">
      <w:pPr>
        <w:pStyle w:val="57"/>
        <w:rPr>
          <w:color w:val="auto"/>
          <w:highlight w:val="none"/>
        </w:rPr>
      </w:pPr>
      <w:r>
        <w:rPr>
          <w:rFonts w:hint="eastAsia"/>
          <w:color w:val="auto"/>
          <w:highlight w:val="none"/>
        </w:rPr>
        <w:t>GB 50016  建筑设计防火规范</w:t>
      </w:r>
    </w:p>
    <w:p w14:paraId="5107C94F">
      <w:pPr>
        <w:pStyle w:val="57"/>
        <w:rPr>
          <w:color w:val="auto"/>
          <w:highlight w:val="none"/>
        </w:rPr>
      </w:pPr>
      <w:r>
        <w:rPr>
          <w:rFonts w:hint="eastAsia"/>
          <w:color w:val="auto"/>
          <w:highlight w:val="none"/>
        </w:rPr>
        <w:t>GB 50449  城市容貌标准</w:t>
      </w:r>
    </w:p>
    <w:p w14:paraId="65B5473F">
      <w:pPr>
        <w:pStyle w:val="57"/>
        <w:rPr>
          <w:color w:val="auto"/>
          <w:highlight w:val="none"/>
        </w:rPr>
      </w:pPr>
      <w:r>
        <w:rPr>
          <w:rFonts w:hint="eastAsia"/>
          <w:color w:val="auto"/>
          <w:highlight w:val="none"/>
        </w:rPr>
        <w:t>GB 55013  市容环卫工程项目规范</w:t>
      </w:r>
    </w:p>
    <w:p w14:paraId="3DA11E94">
      <w:pPr>
        <w:pStyle w:val="57"/>
        <w:rPr>
          <w:color w:val="auto"/>
          <w:highlight w:val="none"/>
        </w:rPr>
      </w:pPr>
      <w:r>
        <w:rPr>
          <w:rFonts w:hint="eastAsia"/>
          <w:color w:val="auto"/>
          <w:highlight w:val="none"/>
        </w:rPr>
        <w:t>GB 55016  建筑环境通用规范</w:t>
      </w:r>
    </w:p>
    <w:p w14:paraId="1097DE21">
      <w:pPr>
        <w:pStyle w:val="57"/>
        <w:rPr>
          <w:color w:val="auto"/>
          <w:highlight w:val="none"/>
        </w:rPr>
      </w:pPr>
      <w:r>
        <w:rPr>
          <w:rFonts w:hint="eastAsia"/>
          <w:color w:val="auto"/>
          <w:highlight w:val="none"/>
        </w:rPr>
        <w:t>CJJ/T 149  城市户外广告和招牌设施技术标准</w:t>
      </w:r>
    </w:p>
    <w:p w14:paraId="3AB6D957">
      <w:pPr>
        <w:pStyle w:val="57"/>
        <w:rPr>
          <w:rFonts w:hint="eastAsia"/>
          <w:color w:val="auto"/>
          <w:highlight w:val="none"/>
        </w:rPr>
      </w:pPr>
      <w:r>
        <w:rPr>
          <w:rFonts w:hint="eastAsia"/>
          <w:color w:val="auto"/>
          <w:highlight w:val="none"/>
        </w:rPr>
        <w:t>JGJ/T 163  城市夜景照明设计规范</w:t>
      </w:r>
    </w:p>
    <w:p w14:paraId="41CC8E66">
      <w:pPr>
        <w:pStyle w:val="57"/>
        <w:rPr>
          <w:rFonts w:hint="eastAsia"/>
          <w:color w:val="auto"/>
          <w:highlight w:val="none"/>
        </w:rPr>
      </w:pPr>
      <w:r>
        <w:rPr>
          <w:rFonts w:hint="eastAsia"/>
          <w:color w:val="auto"/>
          <w:highlight w:val="none"/>
        </w:rPr>
        <w:t>DB3205/T 1109 城乡容貌标准</w:t>
      </w:r>
    </w:p>
    <w:p w14:paraId="639B1795">
      <w:pPr>
        <w:pStyle w:val="57"/>
        <w:rPr>
          <w:rFonts w:hint="eastAsia"/>
          <w:color w:val="auto"/>
          <w:highlight w:val="none"/>
        </w:rPr>
      </w:pPr>
      <w:r>
        <w:rPr>
          <w:rFonts w:hint="eastAsia"/>
          <w:color w:val="auto"/>
          <w:highlight w:val="none"/>
        </w:rPr>
        <w:t>DB32/T</w:t>
      </w:r>
      <w:r>
        <w:rPr>
          <w:rFonts w:hint="eastAsia"/>
          <w:color w:val="auto"/>
          <w:highlight w:val="none"/>
          <w:lang w:val="en-US" w:eastAsia="zh-CN"/>
        </w:rPr>
        <w:t xml:space="preserve"> </w:t>
      </w:r>
      <w:r>
        <w:rPr>
          <w:rFonts w:hint="eastAsia"/>
          <w:color w:val="auto"/>
          <w:highlight w:val="none"/>
        </w:rPr>
        <w:t>4787 城镇户外广告和招牌设施设置技术标准</w:t>
      </w:r>
    </w:p>
    <w:p w14:paraId="66D20B29">
      <w:pPr>
        <w:pStyle w:val="57"/>
        <w:rPr>
          <w:rFonts w:hint="eastAsia"/>
          <w:color w:val="auto"/>
          <w:highlight w:val="none"/>
        </w:rPr>
      </w:pPr>
      <w:r>
        <w:rPr>
          <w:rFonts w:hint="eastAsia"/>
          <w:color w:val="auto"/>
          <w:highlight w:val="none"/>
        </w:rPr>
        <w:t>DGJ32/C07 江苏省城市容貌标准</w:t>
      </w:r>
    </w:p>
    <w:p w14:paraId="45951842">
      <w:pPr>
        <w:pStyle w:val="72"/>
        <w:spacing w:before="240" w:after="240"/>
        <w:rPr>
          <w:color w:val="auto"/>
          <w:szCs w:val="21"/>
          <w:highlight w:val="none"/>
        </w:rPr>
      </w:pPr>
      <w:bookmarkStart w:id="63" w:name="_Toc115339703"/>
      <w:bookmarkStart w:id="64" w:name="_Toc87811370"/>
      <w:bookmarkStart w:id="65" w:name="_Toc67393171"/>
      <w:bookmarkStart w:id="66" w:name="_Toc67401899"/>
      <w:bookmarkStart w:id="67" w:name="_Toc87811225"/>
      <w:bookmarkStart w:id="68" w:name="_Toc122448158"/>
      <w:bookmarkStart w:id="69" w:name="_Toc3117"/>
      <w:bookmarkStart w:id="70" w:name="_Toc16210"/>
      <w:r>
        <w:rPr>
          <w:rFonts w:hint="eastAsia"/>
          <w:color w:val="auto"/>
          <w:szCs w:val="21"/>
          <w:highlight w:val="none"/>
        </w:rPr>
        <w:t>术语和定义</w:t>
      </w:r>
      <w:bookmarkEnd w:id="63"/>
      <w:bookmarkEnd w:id="64"/>
      <w:bookmarkEnd w:id="65"/>
      <w:bookmarkEnd w:id="66"/>
      <w:bookmarkEnd w:id="67"/>
      <w:bookmarkEnd w:id="68"/>
      <w:bookmarkEnd w:id="69"/>
      <w:bookmarkEnd w:id="70"/>
    </w:p>
    <w:p w14:paraId="560928B2">
      <w:pPr>
        <w:pStyle w:val="57"/>
        <w:rPr>
          <w:color w:val="auto"/>
          <w:highlight w:val="none"/>
        </w:rPr>
      </w:pPr>
      <w:r>
        <w:rPr>
          <w:rFonts w:hint="eastAsia"/>
          <w:color w:val="auto"/>
          <w:highlight w:val="none"/>
        </w:rPr>
        <w:t>下列术语和定义适用于本文件。</w:t>
      </w:r>
    </w:p>
    <w:p w14:paraId="609A23EB">
      <w:pPr>
        <w:pStyle w:val="69"/>
        <w:ind w:left="420" w:hanging="420" w:hangingChars="200"/>
        <w:rPr>
          <w:rFonts w:hint="eastAsia" w:ascii="宋体" w:hAnsi="宋体" w:eastAsia="宋体" w:cs="宋体"/>
          <w:color w:val="auto"/>
          <w:highlight w:val="none"/>
        </w:rPr>
      </w:pPr>
    </w:p>
    <w:p w14:paraId="5A77A22A">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户外广告设施  outdoor advertising facilities</w:t>
      </w:r>
    </w:p>
    <w:p w14:paraId="3DB21CDE">
      <w:pPr>
        <w:pStyle w:val="57"/>
        <w:rPr>
          <w:rFonts w:hint="eastAsia" w:ascii="宋体" w:hAnsi="宋体" w:eastAsia="宋体" w:cs="宋体"/>
          <w:color w:val="auto"/>
          <w:highlight w:val="none"/>
        </w:rPr>
      </w:pPr>
      <w:r>
        <w:rPr>
          <w:rFonts w:hint="eastAsia" w:ascii="宋体" w:hAnsi="宋体" w:eastAsia="宋体" w:cs="宋体"/>
          <w:color w:val="auto"/>
          <w:highlight w:val="none"/>
        </w:rPr>
        <w:t>利用建（构）筑物、场地、设施、交通工具等设置的灯箱、霓虹灯、电子显示装置、展示牌、实物造型或以其他形式向户外发布广告信息的设施。</w:t>
      </w:r>
    </w:p>
    <w:p w14:paraId="54634BA7">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术语2.0.1]</w:t>
      </w:r>
    </w:p>
    <w:p w14:paraId="1ED8278F">
      <w:pPr>
        <w:pStyle w:val="69"/>
        <w:ind w:left="420" w:hanging="420" w:hangingChars="200"/>
        <w:rPr>
          <w:rFonts w:hint="eastAsia" w:ascii="宋体" w:hAnsi="宋体" w:eastAsia="宋体" w:cs="宋体"/>
          <w:color w:val="auto"/>
          <w:highlight w:val="none"/>
        </w:rPr>
      </w:pPr>
      <w:bookmarkStart w:id="71" w:name="_Toc87811371"/>
      <w:bookmarkEnd w:id="71"/>
      <w:bookmarkStart w:id="72" w:name="_Toc500955126"/>
      <w:bookmarkEnd w:id="72"/>
      <w:bookmarkStart w:id="73" w:name="_Toc67401900"/>
      <w:bookmarkEnd w:id="73"/>
      <w:bookmarkStart w:id="74" w:name="_Toc67393172"/>
      <w:bookmarkEnd w:id="74"/>
      <w:bookmarkStart w:id="75" w:name="_Toc500938708"/>
      <w:bookmarkEnd w:id="75"/>
      <w:bookmarkStart w:id="76" w:name="_Toc502157201"/>
      <w:bookmarkEnd w:id="76"/>
      <w:bookmarkStart w:id="77" w:name="_Toc87811226"/>
      <w:bookmarkEnd w:id="77"/>
    </w:p>
    <w:p w14:paraId="2595E657">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附属式户外广告设施  affiliated outdoor advertising facility</w:t>
      </w:r>
    </w:p>
    <w:p w14:paraId="5A90B994">
      <w:pPr>
        <w:pStyle w:val="57"/>
        <w:rPr>
          <w:rFonts w:hint="eastAsia" w:ascii="宋体" w:hAnsi="宋体" w:eastAsia="宋体" w:cs="宋体"/>
          <w:color w:val="auto"/>
          <w:highlight w:val="none"/>
        </w:rPr>
      </w:pPr>
      <w:r>
        <w:rPr>
          <w:rFonts w:hint="eastAsia" w:ascii="宋体" w:hAnsi="宋体" w:eastAsia="宋体" w:cs="宋体"/>
          <w:color w:val="auto"/>
          <w:highlight w:val="none"/>
        </w:rPr>
        <w:t>依附于建（构）筑物或灯杆、公交候车亭、报刊亭、电话亭、信息栏、自动售货机、自行车棚等设施设置的户外广告设施。</w:t>
      </w:r>
    </w:p>
    <w:p w14:paraId="1233E09C">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术语2.0.2]</w:t>
      </w:r>
    </w:p>
    <w:p w14:paraId="2702931E">
      <w:pPr>
        <w:pStyle w:val="69"/>
        <w:ind w:left="420" w:hanging="420" w:hangingChars="200"/>
        <w:rPr>
          <w:rFonts w:hint="eastAsia" w:ascii="宋体" w:hAnsi="宋体" w:eastAsia="宋体" w:cs="宋体"/>
          <w:color w:val="auto"/>
          <w:highlight w:val="none"/>
        </w:rPr>
      </w:pPr>
    </w:p>
    <w:p w14:paraId="3857DF4B">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独立式户外广告设施  free-standing outdoor advertising facility</w:t>
      </w:r>
    </w:p>
    <w:p w14:paraId="28AA88F8">
      <w:pPr>
        <w:pStyle w:val="57"/>
        <w:rPr>
          <w:rFonts w:hint="eastAsia" w:ascii="宋体" w:hAnsi="宋体" w:eastAsia="宋体" w:cs="宋体"/>
          <w:color w:val="auto"/>
          <w:highlight w:val="none"/>
        </w:rPr>
      </w:pPr>
      <w:r>
        <w:rPr>
          <w:rFonts w:hint="eastAsia" w:ascii="宋体" w:hAnsi="宋体" w:eastAsia="宋体" w:cs="宋体"/>
          <w:color w:val="auto"/>
          <w:highlight w:val="none"/>
        </w:rPr>
        <w:t>直接设置在地面上，具有独立支承结构的户外广告设施。</w:t>
      </w:r>
    </w:p>
    <w:p w14:paraId="5D014243">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术语2.0.3]</w:t>
      </w:r>
    </w:p>
    <w:p w14:paraId="5D7CA278">
      <w:pPr>
        <w:pStyle w:val="57"/>
        <w:rPr>
          <w:rFonts w:hint="eastAsia" w:ascii="宋体" w:hAnsi="宋体" w:eastAsia="宋体" w:cs="宋体"/>
          <w:color w:val="auto"/>
          <w:highlight w:val="none"/>
        </w:rPr>
      </w:pPr>
    </w:p>
    <w:p w14:paraId="3B1ED35B">
      <w:pPr>
        <w:pStyle w:val="69"/>
        <w:ind w:left="420" w:hanging="420" w:hangingChars="200"/>
        <w:rPr>
          <w:rFonts w:hint="eastAsia" w:ascii="宋体" w:hAnsi="宋体" w:eastAsia="宋体" w:cs="宋体"/>
          <w:color w:val="auto"/>
          <w:highlight w:val="none"/>
        </w:rPr>
      </w:pPr>
    </w:p>
    <w:p w14:paraId="44026C60">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移动式户外广告设施  mobile outdoor advertising facility</w:t>
      </w:r>
    </w:p>
    <w:p w14:paraId="6FC25022">
      <w:pPr>
        <w:pStyle w:val="57"/>
        <w:rPr>
          <w:rFonts w:hint="eastAsia" w:ascii="宋体" w:hAnsi="宋体" w:eastAsia="宋体" w:cs="宋体"/>
          <w:color w:val="auto"/>
          <w:highlight w:val="none"/>
        </w:rPr>
      </w:pPr>
      <w:r>
        <w:rPr>
          <w:rFonts w:hint="eastAsia" w:ascii="宋体" w:hAnsi="宋体" w:eastAsia="宋体" w:cs="宋体"/>
          <w:color w:val="auto"/>
          <w:highlight w:val="none"/>
        </w:rPr>
        <w:t>利用车辆、无人机、船舶、飞艇、无人驾驶自由气球等可移动特殊载体表面设置的户外广告设施。</w:t>
      </w:r>
    </w:p>
    <w:p w14:paraId="3FA80025">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术语2.0.4，有修改]</w:t>
      </w:r>
    </w:p>
    <w:p w14:paraId="54F2ABDD">
      <w:pPr>
        <w:pStyle w:val="69"/>
        <w:ind w:left="420" w:hanging="420" w:hangingChars="200"/>
        <w:rPr>
          <w:rFonts w:hint="eastAsia" w:ascii="宋体" w:hAnsi="宋体" w:eastAsia="宋体" w:cs="宋体"/>
          <w:color w:val="auto"/>
          <w:highlight w:val="none"/>
        </w:rPr>
      </w:pPr>
    </w:p>
    <w:p w14:paraId="77E79B15">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临时性户外广告设施  </w:t>
      </w:r>
      <w:r>
        <w:rPr>
          <w:rFonts w:hint="eastAsia" w:ascii="宋体" w:hAnsi="宋体" w:eastAsia="宋体" w:cs="宋体"/>
          <w:color w:val="auto"/>
          <w:kern w:val="2"/>
          <w:sz w:val="22"/>
          <w:szCs w:val="24"/>
          <w:highlight w:val="none"/>
        </w:rPr>
        <w:t>temporary outdoor advertising facility</w:t>
      </w:r>
    </w:p>
    <w:p w14:paraId="29F1752D">
      <w:pPr>
        <w:pStyle w:val="57"/>
        <w:rPr>
          <w:rFonts w:hint="eastAsia" w:ascii="宋体" w:hAnsi="宋体" w:eastAsia="宋体" w:cs="宋体"/>
          <w:color w:val="auto"/>
          <w:highlight w:val="none"/>
        </w:rPr>
      </w:pPr>
      <w:r>
        <w:rPr>
          <w:rFonts w:hint="eastAsia" w:ascii="宋体" w:hAnsi="宋体" w:eastAsia="宋体" w:cs="宋体"/>
          <w:color w:val="auto"/>
          <w:highlight w:val="none"/>
        </w:rPr>
        <w:t>在允许的活动举办场地或自有用地范围内临时设置的户外广告设施。</w:t>
      </w:r>
    </w:p>
    <w:p w14:paraId="44C9BB58">
      <w:pPr>
        <w:pStyle w:val="69"/>
        <w:ind w:left="420" w:hanging="420" w:hangingChars="200"/>
        <w:rPr>
          <w:rFonts w:hint="eastAsia" w:ascii="宋体" w:hAnsi="宋体" w:eastAsia="宋体" w:cs="宋体"/>
          <w:color w:val="auto"/>
          <w:highlight w:val="none"/>
        </w:rPr>
      </w:pPr>
    </w:p>
    <w:p w14:paraId="0AFDB974">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户外招牌设施  </w:t>
      </w:r>
      <w:r>
        <w:rPr>
          <w:rFonts w:hint="eastAsia" w:ascii="宋体" w:hAnsi="宋体" w:eastAsia="宋体" w:cs="宋体"/>
          <w:color w:val="auto"/>
          <w:kern w:val="2"/>
          <w:sz w:val="22"/>
          <w:szCs w:val="24"/>
          <w:highlight w:val="none"/>
        </w:rPr>
        <w:t>outdoor signboard facility</w:t>
      </w:r>
    </w:p>
    <w:p w14:paraId="1AC28AF4">
      <w:pPr>
        <w:pStyle w:val="57"/>
        <w:rPr>
          <w:rFonts w:hint="eastAsia" w:ascii="宋体" w:hAnsi="宋体" w:eastAsia="宋体" w:cs="宋体"/>
          <w:color w:val="auto"/>
          <w:highlight w:val="none"/>
        </w:rPr>
      </w:pPr>
      <w:r>
        <w:rPr>
          <w:rFonts w:hint="eastAsia" w:ascii="宋体" w:hAnsi="宋体" w:eastAsia="宋体" w:cs="宋体"/>
          <w:color w:val="auto"/>
          <w:highlight w:val="none"/>
        </w:rPr>
        <w:t>企事业单位、社会团体和个体工商户在其办公、生产经营场所建（构）筑物外立面或用地范围内设置的，表明其名称、字号、标识等内容的牌匾等设施。</w:t>
      </w:r>
    </w:p>
    <w:p w14:paraId="7E6BAFDE">
      <w:pPr>
        <w:pStyle w:val="57"/>
        <w:rPr>
          <w:rFonts w:hint="eastAsia" w:ascii="宋体" w:hAnsi="宋体" w:eastAsia="宋体" w:cs="宋体"/>
          <w:color w:val="auto"/>
          <w:highlight w:val="none"/>
        </w:rPr>
      </w:pPr>
      <w:r>
        <w:rPr>
          <w:rFonts w:hint="eastAsia" w:ascii="宋体" w:hAnsi="宋体" w:eastAsia="宋体" w:cs="宋体"/>
          <w:color w:val="auto"/>
          <w:highlight w:val="none"/>
        </w:rPr>
        <w:t xml:space="preserve">本标准定义的户外招牌设施不包括国家机关、人民团体的标识标牌；不包括开发区，居住区，自然村，公共绿地，城市道路、桥梁、隧道、地下铁道和其他城市轨道交通及铁路的站、线，公路，机场，港口，码头 </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含轮渡站</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，长途客运汽车站，货运枢纽站，建 </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构</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筑物等名称标识。</w:t>
      </w:r>
    </w:p>
    <w:p w14:paraId="7741D6C6">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术语2.0.5]</w:t>
      </w:r>
    </w:p>
    <w:p w14:paraId="6EAF841B">
      <w:pPr>
        <w:pStyle w:val="69"/>
        <w:ind w:left="420" w:hanging="420" w:hangingChars="200"/>
        <w:rPr>
          <w:rFonts w:hint="eastAsia" w:ascii="宋体" w:hAnsi="宋体" w:eastAsia="宋体" w:cs="宋体"/>
          <w:color w:val="auto"/>
          <w:highlight w:val="none"/>
        </w:rPr>
      </w:pPr>
    </w:p>
    <w:p w14:paraId="2E8B5061">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附属式户外招牌设施  </w:t>
      </w:r>
      <w:r>
        <w:rPr>
          <w:rFonts w:hint="eastAsia" w:ascii="宋体" w:hAnsi="宋体" w:eastAsia="宋体" w:cs="宋体"/>
          <w:color w:val="auto"/>
          <w:kern w:val="2"/>
          <w:sz w:val="22"/>
          <w:szCs w:val="24"/>
          <w:highlight w:val="none"/>
        </w:rPr>
        <w:t>affiliated outdoor signboard facility</w:t>
      </w:r>
    </w:p>
    <w:p w14:paraId="241D01F1">
      <w:pPr>
        <w:pStyle w:val="57"/>
        <w:rPr>
          <w:rFonts w:hint="eastAsia" w:ascii="宋体" w:hAnsi="宋体" w:eastAsia="宋体" w:cs="宋体"/>
          <w:color w:val="auto"/>
          <w:highlight w:val="none"/>
        </w:rPr>
      </w:pPr>
      <w:r>
        <w:rPr>
          <w:rFonts w:hint="eastAsia" w:ascii="宋体" w:hAnsi="宋体" w:eastAsia="宋体" w:cs="宋体"/>
          <w:color w:val="auto"/>
          <w:highlight w:val="none"/>
        </w:rPr>
        <w:t>依附于建（构）筑物外立面设置的户外招牌设施。</w:t>
      </w:r>
    </w:p>
    <w:p w14:paraId="689F745E">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术语2.0.6]</w:t>
      </w:r>
    </w:p>
    <w:p w14:paraId="6EE1CA30">
      <w:pPr>
        <w:pStyle w:val="69"/>
        <w:ind w:left="420" w:hanging="420" w:hangingChars="200"/>
        <w:rPr>
          <w:rFonts w:hint="eastAsia" w:ascii="宋体" w:hAnsi="宋体" w:eastAsia="宋体" w:cs="宋体"/>
          <w:color w:val="auto"/>
          <w:highlight w:val="none"/>
        </w:rPr>
      </w:pPr>
    </w:p>
    <w:p w14:paraId="3871C08E">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独立式户外招牌设施  </w:t>
      </w:r>
      <w:r>
        <w:rPr>
          <w:rFonts w:hint="eastAsia" w:ascii="宋体" w:hAnsi="宋体" w:eastAsia="宋体" w:cs="宋体"/>
          <w:color w:val="auto"/>
          <w:kern w:val="2"/>
          <w:sz w:val="22"/>
          <w:szCs w:val="24"/>
          <w:highlight w:val="none"/>
        </w:rPr>
        <w:t>free-standing outdoor signboard facility</w:t>
      </w:r>
    </w:p>
    <w:p w14:paraId="45488E01">
      <w:pPr>
        <w:pStyle w:val="57"/>
        <w:rPr>
          <w:rFonts w:hint="eastAsia" w:ascii="宋体" w:hAnsi="宋体" w:eastAsia="宋体" w:cs="宋体"/>
          <w:color w:val="auto"/>
          <w:highlight w:val="none"/>
        </w:rPr>
      </w:pPr>
      <w:r>
        <w:rPr>
          <w:rFonts w:hint="eastAsia" w:ascii="宋体" w:hAnsi="宋体" w:eastAsia="宋体" w:cs="宋体"/>
          <w:color w:val="auto"/>
          <w:highlight w:val="none"/>
        </w:rPr>
        <w:t>直接设置在地面上，具有独立支承结构的户外招牌设施。</w:t>
      </w:r>
    </w:p>
    <w:p w14:paraId="4B73B200">
      <w:pPr>
        <w:pStyle w:val="57"/>
        <w:rPr>
          <w:rFonts w:hint="eastAsia" w:ascii="宋体" w:hAnsi="宋体" w:eastAsia="宋体" w:cs="宋体"/>
          <w:color w:val="auto"/>
          <w:highlight w:val="none"/>
        </w:rPr>
      </w:pPr>
      <w:r>
        <w:rPr>
          <w:rFonts w:hint="eastAsia" w:ascii="宋体" w:hAnsi="宋体" w:eastAsia="宋体" w:cs="宋体"/>
          <w:color w:val="auto"/>
          <w:highlight w:val="none"/>
        </w:rPr>
        <w:t>[来源：GJJ/T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149-2021</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术语2.0.7]</w:t>
      </w:r>
    </w:p>
    <w:p w14:paraId="258A595C">
      <w:pPr>
        <w:pStyle w:val="69"/>
        <w:ind w:left="420" w:hanging="420" w:hangingChars="200"/>
        <w:rPr>
          <w:rFonts w:hint="eastAsia" w:ascii="宋体" w:hAnsi="宋体" w:eastAsia="宋体" w:cs="宋体"/>
          <w:color w:val="auto"/>
          <w:highlight w:val="none"/>
        </w:rPr>
      </w:pPr>
    </w:p>
    <w:p w14:paraId="0320370D">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大型户外广告设施  </w:t>
      </w:r>
      <w:r>
        <w:rPr>
          <w:rFonts w:hint="eastAsia" w:ascii="宋体" w:hAnsi="宋体" w:eastAsia="宋体" w:cs="宋体"/>
          <w:color w:val="auto"/>
          <w:kern w:val="2"/>
          <w:sz w:val="22"/>
          <w:szCs w:val="24"/>
          <w:highlight w:val="none"/>
        </w:rPr>
        <w:t>large outdoor advertising facilities</w:t>
      </w:r>
    </w:p>
    <w:p w14:paraId="05AEF484">
      <w:pPr>
        <w:pStyle w:val="57"/>
        <w:rPr>
          <w:rFonts w:hint="eastAsia" w:ascii="宋体" w:hAnsi="宋体" w:eastAsia="宋体" w:cs="宋体"/>
          <w:color w:val="auto"/>
          <w:highlight w:val="none"/>
        </w:rPr>
      </w:pPr>
      <w:r>
        <w:rPr>
          <w:rFonts w:hint="eastAsia" w:ascii="宋体" w:hAnsi="宋体" w:eastAsia="宋体" w:cs="宋体"/>
          <w:color w:val="auto"/>
          <w:highlight w:val="none"/>
        </w:rPr>
        <w:t>单面面积不小于10m</w:t>
      </w:r>
      <w:r>
        <w:rPr>
          <w:rFonts w:hint="eastAsia" w:ascii="宋体" w:hAnsi="宋体" w:eastAsia="宋体" w:cs="宋体"/>
          <w:color w:val="auto"/>
          <w:highlight w:val="none"/>
          <w:vertAlign w:val="superscript"/>
        </w:rPr>
        <w:t>2</w:t>
      </w:r>
      <w:r>
        <w:rPr>
          <w:rFonts w:hint="eastAsia" w:ascii="宋体" w:hAnsi="宋体" w:eastAsia="宋体" w:cs="宋体"/>
          <w:color w:val="auto"/>
          <w:highlight w:val="none"/>
        </w:rPr>
        <w:t>或任一边边长不小于4m的户外广告设施。</w:t>
      </w:r>
    </w:p>
    <w:p w14:paraId="6FADCFBB">
      <w:pPr>
        <w:pStyle w:val="57"/>
        <w:rPr>
          <w:rFonts w:hint="eastAsia" w:ascii="宋体" w:hAnsi="宋体" w:eastAsia="宋体" w:cs="宋体"/>
          <w:color w:val="auto"/>
          <w:highlight w:val="none"/>
        </w:rPr>
      </w:pPr>
      <w:r>
        <w:rPr>
          <w:rFonts w:hint="eastAsia" w:ascii="宋体" w:hAnsi="宋体" w:eastAsia="宋体" w:cs="宋体"/>
          <w:color w:val="auto"/>
          <w:highlight w:val="none"/>
        </w:rPr>
        <w:t>[来源：GB 50449-2008</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广告设施与标识7.0.1]</w:t>
      </w:r>
    </w:p>
    <w:p w14:paraId="104E4BF0">
      <w:pPr>
        <w:pStyle w:val="69"/>
        <w:ind w:left="420" w:hanging="420" w:hangingChars="200"/>
        <w:rPr>
          <w:rFonts w:hint="eastAsia" w:ascii="宋体" w:hAnsi="宋体" w:eastAsia="宋体" w:cs="宋体"/>
          <w:color w:val="auto"/>
          <w:highlight w:val="none"/>
        </w:rPr>
      </w:pPr>
    </w:p>
    <w:p w14:paraId="3C5462F2">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大型户外招牌设施  </w:t>
      </w:r>
      <w:r>
        <w:rPr>
          <w:rFonts w:hint="eastAsia" w:ascii="宋体" w:hAnsi="宋体" w:eastAsia="宋体" w:cs="宋体"/>
          <w:color w:val="auto"/>
          <w:kern w:val="2"/>
          <w:sz w:val="22"/>
          <w:szCs w:val="24"/>
          <w:highlight w:val="none"/>
        </w:rPr>
        <w:t>large outdoor signage facilities</w:t>
      </w:r>
    </w:p>
    <w:p w14:paraId="0AB19D7A">
      <w:pPr>
        <w:pStyle w:val="57"/>
        <w:rPr>
          <w:rFonts w:hint="eastAsia" w:ascii="宋体" w:hAnsi="宋体" w:eastAsia="宋体" w:cs="宋体"/>
          <w:color w:val="auto"/>
          <w:highlight w:val="none"/>
        </w:rPr>
      </w:pPr>
      <w:r>
        <w:rPr>
          <w:rFonts w:hint="eastAsia" w:ascii="宋体" w:hAnsi="宋体" w:eastAsia="宋体" w:cs="宋体"/>
          <w:color w:val="auto"/>
          <w:highlight w:val="none"/>
        </w:rPr>
        <w:t>单面面积不小于10m</w:t>
      </w:r>
      <w:r>
        <w:rPr>
          <w:rFonts w:hint="eastAsia" w:ascii="宋体" w:hAnsi="宋体" w:eastAsia="宋体" w:cs="宋体"/>
          <w:color w:val="auto"/>
          <w:highlight w:val="none"/>
          <w:vertAlign w:val="superscript"/>
        </w:rPr>
        <w:t>2</w:t>
      </w:r>
      <w:r>
        <w:rPr>
          <w:rFonts w:hint="eastAsia" w:ascii="宋体" w:hAnsi="宋体" w:eastAsia="宋体" w:cs="宋体"/>
          <w:color w:val="auto"/>
          <w:highlight w:val="none"/>
        </w:rPr>
        <w:t>或任一边边长不小于4m的户外招牌设施。</w:t>
      </w:r>
    </w:p>
    <w:p w14:paraId="117D907E">
      <w:pPr>
        <w:pStyle w:val="69"/>
        <w:ind w:left="420" w:hanging="420" w:hangingChars="200"/>
        <w:rPr>
          <w:rFonts w:hint="eastAsia" w:ascii="宋体" w:hAnsi="宋体" w:eastAsia="宋体" w:cs="宋体"/>
          <w:color w:val="auto"/>
          <w:highlight w:val="none"/>
        </w:rPr>
      </w:pPr>
    </w:p>
    <w:p w14:paraId="1BF95FEF">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户外广告照明  </w:t>
      </w:r>
      <w:r>
        <w:rPr>
          <w:rFonts w:hint="eastAsia" w:ascii="宋体" w:hAnsi="宋体" w:eastAsia="宋体" w:cs="宋体"/>
          <w:color w:val="auto"/>
          <w:kern w:val="2"/>
          <w:sz w:val="22"/>
          <w:szCs w:val="24"/>
          <w:highlight w:val="none"/>
        </w:rPr>
        <w:t>outdoor advertising lighting</w:t>
      </w:r>
    </w:p>
    <w:p w14:paraId="7792874D">
      <w:pPr>
        <w:pStyle w:val="57"/>
        <w:rPr>
          <w:rFonts w:hint="eastAsia" w:ascii="宋体" w:hAnsi="宋体" w:eastAsia="宋体" w:cs="宋体"/>
          <w:color w:val="auto"/>
          <w:highlight w:val="none"/>
        </w:rPr>
      </w:pPr>
      <w:r>
        <w:rPr>
          <w:rFonts w:hint="eastAsia" w:ascii="宋体" w:hAnsi="宋体" w:eastAsia="宋体" w:cs="宋体"/>
          <w:color w:val="auto"/>
          <w:highlight w:val="none"/>
        </w:rPr>
        <w:t>采用自发光、内透光或泛光照明等方式照亮（显示）户外广告内容（画面）的照明。</w:t>
      </w:r>
    </w:p>
    <w:p w14:paraId="5FC05884">
      <w:pPr>
        <w:pStyle w:val="69"/>
        <w:ind w:left="420" w:hanging="420" w:hangingChars="200"/>
        <w:rPr>
          <w:rFonts w:hint="eastAsia" w:ascii="宋体" w:hAnsi="宋体" w:eastAsia="宋体" w:cs="宋体"/>
          <w:color w:val="auto"/>
          <w:highlight w:val="none"/>
        </w:rPr>
      </w:pPr>
    </w:p>
    <w:p w14:paraId="238599F3">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 xml:space="preserve">电子显示装置  </w:t>
      </w:r>
      <w:r>
        <w:rPr>
          <w:rFonts w:hint="eastAsia" w:ascii="宋体" w:hAnsi="宋体" w:eastAsia="宋体" w:cs="宋体"/>
          <w:color w:val="auto"/>
          <w:kern w:val="2"/>
          <w:sz w:val="22"/>
          <w:szCs w:val="24"/>
          <w:highlight w:val="none"/>
        </w:rPr>
        <w:t>electronic display device</w:t>
      </w:r>
    </w:p>
    <w:p w14:paraId="0A9E85B1">
      <w:pPr>
        <w:pStyle w:val="57"/>
        <w:rPr>
          <w:rFonts w:hint="eastAsia" w:ascii="宋体" w:hAnsi="宋体" w:eastAsia="宋体" w:cs="宋体"/>
          <w:color w:val="auto"/>
          <w:highlight w:val="none"/>
        </w:rPr>
      </w:pPr>
      <w:r>
        <w:rPr>
          <w:rFonts w:hint="eastAsia" w:ascii="宋体" w:hAnsi="宋体" w:eastAsia="宋体" w:cs="宋体"/>
          <w:color w:val="auto"/>
          <w:highlight w:val="none"/>
        </w:rPr>
        <w:t>以主动或被动方式发光以显示文字、图像或视频等信息的装置，包括电子显示屏、媒体立面、透明屏（膜）、立面投影等装置。</w:t>
      </w:r>
    </w:p>
    <w:p w14:paraId="24916539">
      <w:pPr>
        <w:pStyle w:val="69"/>
        <w:ind w:left="420" w:hanging="420" w:hangingChars="200"/>
        <w:rPr>
          <w:rFonts w:hint="eastAsia" w:ascii="宋体" w:hAnsi="宋体" w:eastAsia="宋体" w:cs="宋体"/>
          <w:color w:val="auto"/>
          <w:highlight w:val="none"/>
        </w:rPr>
      </w:pPr>
    </w:p>
    <w:p w14:paraId="426804CF">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玻璃贴膜广告  glass film advertising</w:t>
      </w:r>
    </w:p>
    <w:p w14:paraId="06376107">
      <w:pPr>
        <w:pStyle w:val="57"/>
        <w:rPr>
          <w:rFonts w:hint="eastAsia" w:ascii="宋体" w:hAnsi="宋体" w:eastAsia="宋体" w:cs="宋体"/>
          <w:color w:val="auto"/>
          <w:highlight w:val="none"/>
        </w:rPr>
      </w:pPr>
      <w:r>
        <w:rPr>
          <w:rFonts w:hint="eastAsia" w:ascii="宋体" w:hAnsi="宋体" w:eastAsia="宋体" w:cs="宋体"/>
          <w:color w:val="auto"/>
          <w:highlight w:val="none"/>
        </w:rPr>
        <w:t>以透光贴膜材料为载体显示广告内容的广告。</w:t>
      </w:r>
    </w:p>
    <w:p w14:paraId="6BD7693F">
      <w:pPr>
        <w:pStyle w:val="69"/>
        <w:ind w:left="420" w:hanging="420" w:hangingChars="200"/>
        <w:rPr>
          <w:rFonts w:hint="eastAsia" w:ascii="宋体" w:hAnsi="宋体" w:eastAsia="宋体" w:cs="宋体"/>
          <w:color w:val="auto"/>
          <w:highlight w:val="none"/>
        </w:rPr>
      </w:pPr>
    </w:p>
    <w:p w14:paraId="4595D9FD">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展示区</w:t>
      </w:r>
      <w:r>
        <w:rPr>
          <w:rFonts w:hint="eastAsia" w:ascii="宋体" w:hAnsi="宋体" w:eastAsia="宋体" w:cs="宋体"/>
          <w:color w:val="auto"/>
          <w:highlight w:val="none"/>
        </w:rPr>
        <w:t xml:space="preserve">  </w:t>
      </w:r>
      <w:r>
        <w:rPr>
          <w:rFonts w:hint="eastAsia" w:ascii="宋体" w:hAnsi="宋体" w:eastAsia="宋体" w:cs="宋体"/>
          <w:color w:val="auto"/>
          <w:kern w:val="2"/>
          <w:sz w:val="22"/>
          <w:szCs w:val="24"/>
          <w:highlight w:val="none"/>
        </w:rPr>
        <w:t>Concentrated display road section</w:t>
      </w:r>
    </w:p>
    <w:p w14:paraId="209F0B35">
      <w:pPr>
        <w:pStyle w:val="57"/>
        <w:rPr>
          <w:rFonts w:hint="eastAsia" w:ascii="宋体" w:hAnsi="宋体" w:eastAsia="宋体" w:cs="宋体"/>
          <w:color w:val="auto"/>
          <w:highlight w:val="none"/>
        </w:rPr>
      </w:pPr>
      <w:r>
        <w:rPr>
          <w:rFonts w:hint="eastAsia" w:ascii="宋体" w:hAnsi="宋体" w:eastAsia="宋体" w:cs="宋体"/>
          <w:color w:val="auto"/>
          <w:highlight w:val="none"/>
        </w:rPr>
        <w:t>《苏州市户外广告设施设置专项规划》中鼓励集中设置各类户外广告设施的</w:t>
      </w:r>
      <w:r>
        <w:rPr>
          <w:rFonts w:hint="eastAsia" w:ascii="宋体" w:hAnsi="宋体" w:eastAsia="宋体" w:cs="宋体"/>
          <w:color w:val="auto"/>
          <w:highlight w:val="none"/>
          <w:lang w:val="en-US" w:eastAsia="zh-CN"/>
        </w:rPr>
        <w:t>区域</w:t>
      </w:r>
      <w:r>
        <w:rPr>
          <w:rFonts w:hint="eastAsia" w:ascii="宋体" w:hAnsi="宋体" w:eastAsia="宋体" w:cs="宋体"/>
          <w:color w:val="auto"/>
          <w:highlight w:val="none"/>
        </w:rPr>
        <w:t>。</w:t>
      </w:r>
    </w:p>
    <w:p w14:paraId="2EB29C2F">
      <w:pPr>
        <w:pStyle w:val="69"/>
        <w:ind w:left="420" w:hanging="420" w:hangingChars="200"/>
        <w:rPr>
          <w:rFonts w:hint="eastAsia" w:ascii="宋体" w:hAnsi="宋体" w:eastAsia="宋体" w:cs="宋体"/>
          <w:color w:val="auto"/>
          <w:highlight w:val="none"/>
        </w:rPr>
      </w:pPr>
    </w:p>
    <w:p w14:paraId="14152C5D">
      <w:pPr>
        <w:pStyle w:val="69"/>
        <w:numPr>
          <w:ilvl w:val="0"/>
          <w:numId w:val="0"/>
        </w:numPr>
        <w:ind w:left="420"/>
        <w:rPr>
          <w:rFonts w:hint="eastAsia" w:ascii="宋体" w:hAnsi="宋体" w:eastAsia="宋体" w:cs="宋体"/>
          <w:color w:val="auto"/>
          <w:highlight w:val="none"/>
        </w:rPr>
      </w:pPr>
      <w:r>
        <w:rPr>
          <w:rFonts w:hint="eastAsia" w:hAnsi="宋体" w:cs="宋体"/>
          <w:color w:val="auto"/>
          <w:highlight w:val="none"/>
          <w:lang w:eastAsia="zh-CN"/>
        </w:rPr>
        <w:t>限设区</w:t>
      </w:r>
      <w:r>
        <w:rPr>
          <w:rFonts w:hint="eastAsia" w:ascii="宋体" w:hAnsi="宋体" w:eastAsia="宋体" w:cs="宋体"/>
          <w:color w:val="auto"/>
          <w:highlight w:val="none"/>
        </w:rPr>
        <w:t xml:space="preserve">  </w:t>
      </w:r>
      <w:r>
        <w:rPr>
          <w:rFonts w:hint="eastAsia" w:ascii="宋体" w:hAnsi="宋体" w:eastAsia="宋体" w:cs="宋体"/>
          <w:color w:val="auto"/>
          <w:kern w:val="2"/>
          <w:sz w:val="22"/>
          <w:szCs w:val="24"/>
          <w:highlight w:val="none"/>
        </w:rPr>
        <w:t>Appropriate road section</w:t>
      </w:r>
    </w:p>
    <w:p w14:paraId="66A9A6F1">
      <w:pPr>
        <w:pStyle w:val="57"/>
        <w:rPr>
          <w:rFonts w:hint="eastAsia" w:ascii="宋体" w:hAnsi="宋体" w:eastAsia="宋体" w:cs="宋体"/>
          <w:color w:val="auto"/>
          <w:highlight w:val="none"/>
        </w:rPr>
      </w:pPr>
      <w:r>
        <w:rPr>
          <w:rFonts w:hint="eastAsia" w:ascii="宋体" w:hAnsi="宋体" w:eastAsia="宋体" w:cs="宋体"/>
          <w:color w:val="auto"/>
          <w:highlight w:val="none"/>
        </w:rPr>
        <w:t>《苏州市户外广告设施设置专项规划》中除特殊规定外，户外广告设施设置无严格限制的</w:t>
      </w:r>
      <w:r>
        <w:rPr>
          <w:rFonts w:hint="eastAsia" w:ascii="宋体" w:hAnsi="宋体" w:eastAsia="宋体" w:cs="宋体"/>
          <w:color w:val="auto"/>
          <w:highlight w:val="none"/>
          <w:lang w:val="en-US" w:eastAsia="zh-CN"/>
        </w:rPr>
        <w:t>区域</w:t>
      </w:r>
      <w:r>
        <w:rPr>
          <w:rFonts w:hint="eastAsia" w:ascii="宋体" w:hAnsi="宋体" w:eastAsia="宋体" w:cs="宋体"/>
          <w:color w:val="auto"/>
          <w:highlight w:val="none"/>
        </w:rPr>
        <w:t>，但其强度</w:t>
      </w:r>
      <w:r>
        <w:rPr>
          <w:rFonts w:hint="eastAsia" w:ascii="宋体" w:hAnsi="宋体" w:eastAsia="宋体" w:cs="宋体"/>
          <w:color w:val="auto"/>
          <w:highlight w:val="none"/>
          <w:lang w:eastAsia="zh-CN"/>
        </w:rPr>
        <w:t>不应</w:t>
      </w:r>
      <w:r>
        <w:rPr>
          <w:rFonts w:hint="eastAsia" w:ascii="宋体" w:hAnsi="宋体" w:eastAsia="宋体" w:cs="宋体"/>
          <w:color w:val="auto"/>
          <w:highlight w:val="none"/>
        </w:rPr>
        <w:t>大于</w:t>
      </w:r>
      <w:r>
        <w:rPr>
          <w:rFonts w:hint="eastAsia" w:ascii="宋体" w:hAnsi="宋体" w:eastAsia="宋体" w:cs="宋体"/>
          <w:color w:val="auto"/>
          <w:highlight w:val="none"/>
        </w:rPr>
        <w:t>展示区</w:t>
      </w:r>
      <w:r>
        <w:rPr>
          <w:rFonts w:hint="eastAsia" w:ascii="宋体" w:hAnsi="宋体" w:eastAsia="宋体" w:cs="宋体"/>
          <w:color w:val="auto"/>
          <w:highlight w:val="none"/>
          <w:lang w:eastAsia="zh-CN"/>
        </w:rPr>
        <w:t>的强度要求。</w:t>
      </w:r>
    </w:p>
    <w:p w14:paraId="02BDF6F7">
      <w:pPr>
        <w:pStyle w:val="69"/>
        <w:ind w:left="420" w:hanging="420" w:hangingChars="200"/>
        <w:rPr>
          <w:rFonts w:hint="eastAsia" w:ascii="宋体" w:hAnsi="宋体" w:eastAsia="宋体" w:cs="宋体"/>
          <w:color w:val="auto"/>
          <w:highlight w:val="none"/>
        </w:rPr>
      </w:pPr>
    </w:p>
    <w:p w14:paraId="26EBA7A4">
      <w:pPr>
        <w:pStyle w:val="69"/>
        <w:numPr>
          <w:ilvl w:val="0"/>
          <w:numId w:val="0"/>
        </w:numPr>
        <w:ind w:left="420"/>
        <w:rPr>
          <w:rFonts w:hint="eastAsia" w:ascii="宋体" w:hAnsi="宋体" w:eastAsia="宋体" w:cs="宋体"/>
          <w:color w:val="auto"/>
          <w:highlight w:val="none"/>
        </w:rPr>
      </w:pPr>
      <w:r>
        <w:rPr>
          <w:rFonts w:hint="eastAsia" w:ascii="宋体" w:hAnsi="宋体" w:eastAsia="宋体" w:cs="宋体"/>
          <w:color w:val="auto"/>
          <w:highlight w:val="none"/>
        </w:rPr>
        <w:t>小型侧招  Small side recruitment</w:t>
      </w:r>
    </w:p>
    <w:p w14:paraId="45711E03">
      <w:pPr>
        <w:pStyle w:val="57"/>
        <w:rPr>
          <w:rFonts w:hint="eastAsia" w:ascii="宋体" w:hAnsi="宋体" w:eastAsia="宋体" w:cs="宋体"/>
          <w:color w:val="auto"/>
          <w:highlight w:val="none"/>
        </w:rPr>
      </w:pPr>
      <w:r>
        <w:rPr>
          <w:rFonts w:hint="eastAsia" w:ascii="宋体" w:hAnsi="宋体" w:eastAsia="宋体" w:cs="宋体"/>
          <w:color w:val="auto"/>
          <w:highlight w:val="none"/>
        </w:rPr>
        <w:t>小型侧招宜以实物造型或图案表现，最大边长、突出墙面距离均不应大于0.7m，厚度不应大于0.2m。</w:t>
      </w:r>
    </w:p>
    <w:p w14:paraId="26C21907">
      <w:pPr>
        <w:pStyle w:val="72"/>
        <w:spacing w:before="240" w:after="240"/>
        <w:rPr>
          <w:color w:val="auto"/>
          <w:highlight w:val="none"/>
        </w:rPr>
      </w:pPr>
      <w:bookmarkStart w:id="78" w:name="_Toc10431"/>
      <w:bookmarkStart w:id="79" w:name="_Toc122448159"/>
      <w:bookmarkStart w:id="80" w:name="_Toc20220"/>
      <w:r>
        <w:rPr>
          <w:rFonts w:hint="eastAsia"/>
          <w:color w:val="auto"/>
          <w:highlight w:val="none"/>
        </w:rPr>
        <w:t>总体要求</w:t>
      </w:r>
      <w:bookmarkEnd w:id="78"/>
      <w:bookmarkEnd w:id="79"/>
      <w:bookmarkEnd w:id="80"/>
    </w:p>
    <w:p w14:paraId="382016E9">
      <w:pPr>
        <w:pStyle w:val="71"/>
        <w:spacing w:before="120" w:after="120"/>
        <w:rPr>
          <w:rFonts w:hint="eastAsia" w:ascii="宋体" w:hAnsi="宋体" w:eastAsia="宋体" w:cs="宋体"/>
          <w:b w:val="0"/>
          <w:bCs w:val="0"/>
          <w:color w:val="auto"/>
          <w:highlight w:val="none"/>
        </w:rPr>
      </w:pPr>
      <w:bookmarkStart w:id="81" w:name="_Toc26317"/>
      <w:bookmarkStart w:id="82" w:name="_Toc5804"/>
      <w:bookmarkStart w:id="83" w:name="_Toc160183767"/>
      <w:bookmarkStart w:id="84" w:name="_Toc500955133"/>
      <w:bookmarkStart w:id="85" w:name="_Toc500938711"/>
      <w:bookmarkStart w:id="86" w:name="_Toc502157208"/>
      <w:bookmarkStart w:id="87" w:name="_Toc67393179"/>
      <w:r>
        <w:rPr>
          <w:rFonts w:hint="eastAsia" w:ascii="宋体" w:hAnsi="宋体" w:eastAsia="宋体" w:cs="宋体"/>
          <w:b w:val="0"/>
          <w:bCs w:val="0"/>
          <w:color w:val="auto"/>
          <w:highlight w:val="none"/>
        </w:rPr>
        <w:t>户外广告和招牌设施分类应符合表</w:t>
      </w:r>
      <w:r>
        <w:rPr>
          <w:rFonts w:hint="eastAsia" w:ascii="宋体" w:hAnsi="宋体" w:eastAsia="宋体" w:cs="宋体"/>
          <w:b w:val="0"/>
          <w:bCs w:val="0"/>
          <w:color w:val="auto"/>
          <w:highlight w:val="none"/>
          <w:lang w:val="en-US" w:eastAsia="zh-CN"/>
        </w:rPr>
        <w:t>1</w:t>
      </w:r>
      <w:r>
        <w:rPr>
          <w:rFonts w:hint="eastAsia" w:ascii="宋体" w:hAnsi="宋体" w:eastAsia="宋体" w:cs="宋体"/>
          <w:b w:val="0"/>
          <w:bCs w:val="0"/>
          <w:color w:val="auto"/>
          <w:highlight w:val="none"/>
        </w:rPr>
        <w:t>和表</w:t>
      </w:r>
      <w:r>
        <w:rPr>
          <w:rFonts w:hint="eastAsia" w:ascii="宋体" w:hAnsi="宋体" w:eastAsia="宋体" w:cs="宋体"/>
          <w:b w:val="0"/>
          <w:bCs w:val="0"/>
          <w:color w:val="auto"/>
          <w:highlight w:val="none"/>
          <w:lang w:val="en-US" w:eastAsia="zh-CN"/>
        </w:rPr>
        <w:t>2</w:t>
      </w:r>
      <w:r>
        <w:rPr>
          <w:rFonts w:hint="eastAsia" w:ascii="宋体" w:hAnsi="宋体" w:eastAsia="宋体" w:cs="宋体"/>
          <w:b w:val="0"/>
          <w:bCs w:val="0"/>
          <w:color w:val="auto"/>
          <w:highlight w:val="none"/>
        </w:rPr>
        <w:t>的规定。</w:t>
      </w:r>
      <w:bookmarkEnd w:id="81"/>
      <w:bookmarkEnd w:id="82"/>
      <w:bookmarkEnd w:id="83"/>
    </w:p>
    <w:p w14:paraId="47C30767">
      <w:pPr>
        <w:numPr>
          <w:ilvl w:val="0"/>
          <w:numId w:val="10"/>
        </w:numPr>
        <w:spacing w:line="360" w:lineRule="auto"/>
        <w:jc w:val="center"/>
        <w:rPr>
          <w:rFonts w:ascii="宋体" w:hAnsi="Times New Roman"/>
          <w:color w:val="auto"/>
          <w:kern w:val="0"/>
          <w:szCs w:val="20"/>
          <w:highlight w:val="none"/>
        </w:rPr>
      </w:pPr>
      <w:r>
        <w:rPr>
          <w:rFonts w:ascii="宋体" w:hAnsi="Times New Roman"/>
          <w:color w:val="auto"/>
          <w:kern w:val="0"/>
          <w:szCs w:val="20"/>
          <w:highlight w:val="none"/>
        </w:rPr>
        <w:t>表</w:t>
      </w:r>
      <w:r>
        <w:rPr>
          <w:rFonts w:hint="eastAsia" w:ascii="宋体" w:hAnsi="Times New Roman"/>
          <w:color w:val="auto"/>
          <w:kern w:val="0"/>
          <w:szCs w:val="20"/>
          <w:highlight w:val="none"/>
          <w:lang w:val="en-US" w:eastAsia="zh-CN"/>
        </w:rPr>
        <w:t>1</w:t>
      </w:r>
      <w:r>
        <w:rPr>
          <w:rFonts w:ascii="宋体" w:hAnsi="Times New Roman"/>
          <w:color w:val="auto"/>
          <w:kern w:val="0"/>
          <w:szCs w:val="20"/>
          <w:highlight w:val="none"/>
        </w:rPr>
        <w:t xml:space="preserve">  户外广告设施分类</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2"/>
        <w:gridCol w:w="2456"/>
        <w:gridCol w:w="5962"/>
      </w:tblGrid>
      <w:tr w14:paraId="2E258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 w:hRule="atLeast"/>
        </w:trPr>
        <w:tc>
          <w:tcPr>
            <w:tcW w:w="1885" w:type="pct"/>
            <w:gridSpan w:val="2"/>
            <w:tcBorders>
              <w:top w:val="single" w:color="auto" w:sz="12" w:space="0"/>
              <w:left w:val="single" w:color="auto" w:sz="12" w:space="0"/>
              <w:bottom w:val="single" w:color="auto" w:sz="12" w:space="0"/>
            </w:tcBorders>
            <w:vAlign w:val="center"/>
          </w:tcPr>
          <w:p w14:paraId="7700D43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设施类别</w:t>
            </w:r>
          </w:p>
        </w:tc>
        <w:tc>
          <w:tcPr>
            <w:tcW w:w="3114" w:type="pct"/>
            <w:tcBorders>
              <w:top w:val="single" w:color="auto" w:sz="12" w:space="0"/>
              <w:bottom w:val="single" w:color="auto" w:sz="12" w:space="0"/>
              <w:right w:val="single" w:color="auto" w:sz="12" w:space="0"/>
            </w:tcBorders>
            <w:vAlign w:val="center"/>
          </w:tcPr>
          <w:p w14:paraId="12E1D96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内容与范围</w:t>
            </w:r>
          </w:p>
        </w:tc>
      </w:tr>
      <w:tr w14:paraId="686031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pct"/>
            <w:vMerge w:val="restart"/>
            <w:tcBorders>
              <w:top w:val="single" w:color="auto" w:sz="12" w:space="0"/>
              <w:left w:val="single" w:color="auto" w:sz="12" w:space="0"/>
            </w:tcBorders>
            <w:vAlign w:val="center"/>
          </w:tcPr>
          <w:p w14:paraId="0EACEEA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附属式</w:t>
            </w:r>
          </w:p>
        </w:tc>
        <w:tc>
          <w:tcPr>
            <w:tcW w:w="1282" w:type="pct"/>
            <w:tcBorders>
              <w:top w:val="single" w:color="auto" w:sz="12" w:space="0"/>
            </w:tcBorders>
            <w:vAlign w:val="center"/>
          </w:tcPr>
          <w:p w14:paraId="2AFBA7D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建（构）筑物上的</w:t>
            </w:r>
          </w:p>
        </w:tc>
        <w:tc>
          <w:tcPr>
            <w:tcW w:w="3114" w:type="pct"/>
            <w:tcBorders>
              <w:top w:val="single" w:color="auto" w:sz="12" w:space="0"/>
              <w:right w:val="single" w:color="auto" w:sz="12" w:space="0"/>
            </w:tcBorders>
            <w:vAlign w:val="center"/>
          </w:tcPr>
          <w:p w14:paraId="6EF4C0F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设置在建（构）筑物上的户外广告设施，包括屋顶户外广告设施、平行于墙面设置的户外广告设施、垂直于墙面设置的户外广告设施及围墙上设置的户外广告设施。</w:t>
            </w:r>
          </w:p>
        </w:tc>
      </w:tr>
      <w:tr w14:paraId="1805E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02" w:type="pct"/>
            <w:vMerge w:val="continue"/>
            <w:tcBorders>
              <w:left w:val="single" w:color="auto" w:sz="12" w:space="0"/>
            </w:tcBorders>
            <w:vAlign w:val="center"/>
          </w:tcPr>
          <w:p w14:paraId="04ABE378">
            <w:pPr>
              <w:widowControl/>
              <w:jc w:val="center"/>
              <w:rPr>
                <w:rFonts w:ascii="Courier New" w:hAnsi="Courier New" w:cs="Courier New"/>
                <w:color w:val="auto"/>
                <w:sz w:val="18"/>
                <w:szCs w:val="18"/>
                <w:highlight w:val="none"/>
              </w:rPr>
            </w:pPr>
          </w:p>
        </w:tc>
        <w:tc>
          <w:tcPr>
            <w:tcW w:w="1282" w:type="pct"/>
            <w:vAlign w:val="center"/>
          </w:tcPr>
          <w:p w14:paraId="41D5493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公共设施上的</w:t>
            </w:r>
          </w:p>
        </w:tc>
        <w:tc>
          <w:tcPr>
            <w:tcW w:w="3114" w:type="pct"/>
            <w:tcBorders>
              <w:right w:val="single" w:color="auto" w:sz="12" w:space="0"/>
            </w:tcBorders>
            <w:vAlign w:val="center"/>
          </w:tcPr>
          <w:p w14:paraId="6650289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设置在道路两侧和公共场所的灯杆、公交车站牌、候车亭、报刊亭、电话亭、信息栏、自动售货机、自行车棚等公共设施上的户外广告设施。</w:t>
            </w:r>
          </w:p>
        </w:tc>
      </w:tr>
      <w:tr w14:paraId="43EFC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85" w:type="pct"/>
            <w:gridSpan w:val="2"/>
            <w:tcBorders>
              <w:left w:val="single" w:color="auto" w:sz="12" w:space="0"/>
            </w:tcBorders>
            <w:vAlign w:val="center"/>
          </w:tcPr>
          <w:p w14:paraId="4976E19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独立式</w:t>
            </w:r>
          </w:p>
        </w:tc>
        <w:tc>
          <w:tcPr>
            <w:tcW w:w="3114" w:type="pct"/>
            <w:tcBorders>
              <w:right w:val="single" w:color="auto" w:sz="12" w:space="0"/>
            </w:tcBorders>
            <w:vAlign w:val="center"/>
          </w:tcPr>
          <w:p w14:paraId="6C99817B">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直接</w:t>
            </w:r>
            <w:r>
              <w:rPr>
                <w:rFonts w:ascii="Courier New" w:hAnsi="Courier New" w:cs="Courier New"/>
                <w:color w:val="auto"/>
                <w:sz w:val="18"/>
                <w:szCs w:val="18"/>
                <w:highlight w:val="none"/>
              </w:rPr>
              <w:t>设置在地面上的户外广告设施，包括立杆式户外广告设施、底座式户外广告设施、大型落地户外广告设施、大型高立柱户外广告设施及实物造型户外广告设施。</w:t>
            </w:r>
          </w:p>
        </w:tc>
      </w:tr>
      <w:tr w14:paraId="36B501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885" w:type="pct"/>
            <w:gridSpan w:val="2"/>
            <w:tcBorders>
              <w:left w:val="single" w:color="auto" w:sz="12" w:space="0"/>
              <w:bottom w:val="single" w:color="auto" w:sz="12" w:space="0"/>
            </w:tcBorders>
            <w:vAlign w:val="center"/>
          </w:tcPr>
          <w:p w14:paraId="7528CF3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移动式</w:t>
            </w:r>
          </w:p>
        </w:tc>
        <w:tc>
          <w:tcPr>
            <w:tcW w:w="3114" w:type="pct"/>
            <w:tcBorders>
              <w:bottom w:val="single" w:color="auto" w:sz="12" w:space="0"/>
              <w:right w:val="single" w:color="auto" w:sz="12" w:space="0"/>
            </w:tcBorders>
            <w:vAlign w:val="center"/>
          </w:tcPr>
          <w:p w14:paraId="6552379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设置在交通工具或飞艇、气球等移动载体上的户外广告设施，包括车辆广告、船舶广告及空中移动广告设施。</w:t>
            </w:r>
          </w:p>
        </w:tc>
      </w:tr>
    </w:tbl>
    <w:p w14:paraId="3477D77B">
      <w:pPr>
        <w:numPr>
          <w:ilvl w:val="0"/>
          <w:numId w:val="10"/>
        </w:numPr>
        <w:spacing w:line="360" w:lineRule="auto"/>
        <w:jc w:val="center"/>
        <w:rPr>
          <w:rFonts w:ascii="宋体" w:hAnsi="Times New Roman"/>
          <w:color w:val="auto"/>
          <w:kern w:val="0"/>
          <w:szCs w:val="20"/>
          <w:highlight w:val="none"/>
        </w:rPr>
      </w:pPr>
    </w:p>
    <w:p w14:paraId="4D5A3618">
      <w:pPr>
        <w:numPr>
          <w:ilvl w:val="0"/>
          <w:numId w:val="10"/>
        </w:numPr>
        <w:spacing w:line="360" w:lineRule="auto"/>
        <w:jc w:val="center"/>
        <w:rPr>
          <w:rFonts w:ascii="宋体" w:hAnsi="Times New Roman"/>
          <w:color w:val="auto"/>
          <w:kern w:val="0"/>
          <w:szCs w:val="20"/>
          <w:highlight w:val="none"/>
        </w:rPr>
      </w:pPr>
      <w:r>
        <w:rPr>
          <w:rFonts w:ascii="宋体" w:hAnsi="Times New Roman"/>
          <w:color w:val="auto"/>
          <w:kern w:val="0"/>
          <w:szCs w:val="20"/>
          <w:highlight w:val="none"/>
        </w:rPr>
        <w:t>表</w:t>
      </w:r>
      <w:r>
        <w:rPr>
          <w:rFonts w:hint="eastAsia" w:ascii="宋体" w:hAnsi="Times New Roman"/>
          <w:color w:val="auto"/>
          <w:kern w:val="0"/>
          <w:szCs w:val="20"/>
          <w:highlight w:val="none"/>
          <w:lang w:val="en-US" w:eastAsia="zh-CN"/>
        </w:rPr>
        <w:t>2</w:t>
      </w:r>
      <w:r>
        <w:rPr>
          <w:rFonts w:ascii="宋体" w:hAnsi="Times New Roman"/>
          <w:color w:val="auto"/>
          <w:kern w:val="0"/>
          <w:szCs w:val="20"/>
          <w:highlight w:val="none"/>
        </w:rPr>
        <w:t xml:space="preserve">  户外招牌设施分类</w:t>
      </w:r>
    </w:p>
    <w:tbl>
      <w:tblPr>
        <w:tblStyle w:val="2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83"/>
        <w:gridCol w:w="6787"/>
      </w:tblGrid>
      <w:tr w14:paraId="6182C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54" w:type="pct"/>
            <w:tcBorders>
              <w:top w:val="single" w:color="auto" w:sz="12" w:space="0"/>
              <w:left w:val="single" w:color="auto" w:sz="12" w:space="0"/>
              <w:bottom w:val="single" w:color="auto" w:sz="12" w:space="0"/>
            </w:tcBorders>
            <w:vAlign w:val="center"/>
          </w:tcPr>
          <w:p w14:paraId="194DE39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设施类别</w:t>
            </w:r>
          </w:p>
        </w:tc>
        <w:tc>
          <w:tcPr>
            <w:tcW w:w="3546" w:type="pct"/>
            <w:tcBorders>
              <w:top w:val="single" w:color="auto" w:sz="12" w:space="0"/>
              <w:bottom w:val="single" w:color="auto" w:sz="12" w:space="0"/>
              <w:right w:val="single" w:color="auto" w:sz="12" w:space="0"/>
            </w:tcBorders>
            <w:vAlign w:val="center"/>
          </w:tcPr>
          <w:p w14:paraId="1668D38A">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内容与范围</w:t>
            </w:r>
          </w:p>
        </w:tc>
      </w:tr>
      <w:tr w14:paraId="07248D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54" w:type="pct"/>
            <w:tcBorders>
              <w:top w:val="single" w:color="auto" w:sz="12" w:space="0"/>
              <w:left w:val="single" w:color="auto" w:sz="12" w:space="0"/>
            </w:tcBorders>
            <w:vAlign w:val="center"/>
          </w:tcPr>
          <w:p w14:paraId="1F9C16D8">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附属式</w:t>
            </w:r>
          </w:p>
        </w:tc>
        <w:tc>
          <w:tcPr>
            <w:tcW w:w="3546" w:type="pct"/>
            <w:tcBorders>
              <w:top w:val="single" w:color="auto" w:sz="12" w:space="0"/>
              <w:right w:val="single" w:color="auto" w:sz="12" w:space="0"/>
            </w:tcBorders>
            <w:vAlign w:val="center"/>
          </w:tcPr>
          <w:p w14:paraId="432F32F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设置在建（构）筑物</w:t>
            </w:r>
            <w:r>
              <w:rPr>
                <w:rFonts w:hint="eastAsia" w:ascii="Courier New" w:hAnsi="Courier New" w:cs="Courier New"/>
                <w:color w:val="auto"/>
                <w:sz w:val="18"/>
                <w:szCs w:val="18"/>
                <w:highlight w:val="none"/>
              </w:rPr>
              <w:t>上</w:t>
            </w:r>
            <w:r>
              <w:rPr>
                <w:rFonts w:ascii="Courier New" w:hAnsi="Courier New" w:cs="Courier New"/>
                <w:color w:val="auto"/>
                <w:sz w:val="18"/>
                <w:szCs w:val="18"/>
                <w:highlight w:val="none"/>
              </w:rPr>
              <w:t>的户外招牌设施，包括</w:t>
            </w:r>
            <w:r>
              <w:rPr>
                <w:rFonts w:hint="eastAsia" w:ascii="Courier New" w:hAnsi="Courier New" w:cs="Courier New"/>
                <w:color w:val="auto"/>
                <w:sz w:val="18"/>
                <w:szCs w:val="18"/>
                <w:highlight w:val="none"/>
              </w:rPr>
              <w:t>附属式商铺户外招牌设施</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附属式建筑物名称户外招牌设施</w:t>
            </w:r>
            <w:r>
              <w:rPr>
                <w:rFonts w:ascii="Courier New" w:hAnsi="Courier New" w:cs="Courier New"/>
                <w:color w:val="auto"/>
                <w:sz w:val="18"/>
                <w:szCs w:val="18"/>
                <w:highlight w:val="none"/>
              </w:rPr>
              <w:t>。</w:t>
            </w:r>
          </w:p>
        </w:tc>
      </w:tr>
      <w:tr w14:paraId="2547E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454" w:type="pct"/>
            <w:tcBorders>
              <w:left w:val="single" w:color="auto" w:sz="12" w:space="0"/>
              <w:bottom w:val="single" w:color="auto" w:sz="12" w:space="0"/>
            </w:tcBorders>
            <w:vAlign w:val="center"/>
          </w:tcPr>
          <w:p w14:paraId="3C75432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独立式</w:t>
            </w:r>
          </w:p>
        </w:tc>
        <w:tc>
          <w:tcPr>
            <w:tcW w:w="3546" w:type="pct"/>
            <w:tcBorders>
              <w:bottom w:val="single" w:color="auto" w:sz="12" w:space="0"/>
              <w:right w:val="single" w:color="auto" w:sz="12" w:space="0"/>
            </w:tcBorders>
            <w:vAlign w:val="center"/>
          </w:tcPr>
          <w:p w14:paraId="082530C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设置在地面上的户外招牌设施，包括竖向独立式户外招牌设施和横向独立式户外招牌设施。</w:t>
            </w:r>
          </w:p>
        </w:tc>
      </w:tr>
    </w:tbl>
    <w:p w14:paraId="0020461F">
      <w:pPr>
        <w:pStyle w:val="73"/>
        <w:ind w:firstLine="420"/>
        <w:rPr>
          <w:rFonts w:hAnsi="宋体"/>
          <w:color w:val="auto"/>
          <w:szCs w:val="21"/>
          <w:highlight w:val="none"/>
        </w:rPr>
      </w:pPr>
    </w:p>
    <w:p w14:paraId="3F8316B5">
      <w:pPr>
        <w:pStyle w:val="71"/>
        <w:spacing w:before="120" w:after="120"/>
        <w:rPr>
          <w:rFonts w:hint="eastAsia" w:ascii="宋体" w:hAnsi="宋体" w:eastAsia="宋体" w:cs="宋体"/>
          <w:color w:val="auto"/>
          <w:highlight w:val="none"/>
        </w:rPr>
      </w:pPr>
      <w:bookmarkStart w:id="88" w:name="_Toc31210"/>
      <w:bookmarkStart w:id="89" w:name="_Toc32307"/>
      <w:bookmarkStart w:id="90" w:name="_Toc12119"/>
      <w:bookmarkStart w:id="91" w:name="_Toc160183770"/>
      <w:bookmarkStart w:id="92" w:name="_Toc23188"/>
      <w:bookmarkStart w:id="93" w:name="_Toc10349"/>
      <w:bookmarkStart w:id="94" w:name="_Toc6160"/>
      <w:bookmarkStart w:id="95" w:name="_Toc67401904"/>
      <w:r>
        <w:rPr>
          <w:rFonts w:hint="eastAsia" w:ascii="宋体" w:hAnsi="宋体" w:eastAsia="宋体" w:cs="宋体"/>
          <w:color w:val="auto"/>
          <w:highlight w:val="none"/>
        </w:rPr>
        <w:t>户外广告设施设置应满足城市设计和相关规划的要求，应布局合理，设置规范。应编制符合当地城市特色与风貌的城市户外广告设施设置规划，明确城市不同区域户外广告设施设置要求。重要商业街区、道路、节点应编制户外广告设施详细设计方案，对户外广告设施设置位置、尺寸、形式等进行控制。</w:t>
      </w:r>
    </w:p>
    <w:p w14:paraId="736CED1C">
      <w:pPr>
        <w:pStyle w:val="71"/>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户外广告和招牌设施设置应符合城市公共安全、城市风貌管理、历史文化保护传承等方面的要求，不应影响车辆、行人通行安全，不应妨碍安全疏散、灭火救援、建筑防排烟，不应影响被依附载体的使用功能，不应影响建（构）筑物安全，</w:t>
      </w:r>
      <w:r>
        <w:rPr>
          <w:rFonts w:hint="eastAsia" w:ascii="宋体" w:hAnsi="宋体" w:eastAsia="宋体" w:cs="宋体"/>
          <w:color w:val="auto"/>
          <w:highlight w:val="none"/>
          <w:lang w:eastAsia="zh-CN"/>
        </w:rPr>
        <w:t>不应</w:t>
      </w:r>
      <w:r>
        <w:rPr>
          <w:rFonts w:hint="eastAsia" w:ascii="宋体" w:hAnsi="宋体" w:eastAsia="宋体" w:cs="宋体"/>
          <w:color w:val="auto"/>
          <w:highlight w:val="none"/>
        </w:rPr>
        <w:t>遮挡窗户</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不应影响消防安全及采光通风需求；不应影响建筑物通道及毗邻道路的通行和安全。</w:t>
      </w:r>
      <w:bookmarkEnd w:id="88"/>
      <w:bookmarkEnd w:id="89"/>
      <w:bookmarkEnd w:id="90"/>
      <w:bookmarkEnd w:id="91"/>
      <w:bookmarkEnd w:id="92"/>
      <w:bookmarkEnd w:id="93"/>
      <w:bookmarkEnd w:id="94"/>
    </w:p>
    <w:p w14:paraId="39B76D99">
      <w:pPr>
        <w:pStyle w:val="71"/>
        <w:spacing w:before="120" w:after="120"/>
        <w:rPr>
          <w:rFonts w:hint="eastAsia" w:ascii="宋体" w:hAnsi="宋体" w:eastAsia="宋体" w:cs="宋体"/>
          <w:color w:val="auto"/>
          <w:highlight w:val="none"/>
        </w:rPr>
      </w:pPr>
      <w:bookmarkStart w:id="96" w:name="_Toc30751"/>
      <w:bookmarkStart w:id="97" w:name="_Toc4836"/>
      <w:bookmarkStart w:id="98" w:name="_Toc160183771"/>
      <w:bookmarkStart w:id="99" w:name="_Toc3007"/>
      <w:bookmarkStart w:id="100" w:name="_Toc15200"/>
      <w:bookmarkStart w:id="101" w:name="_Toc14873"/>
      <w:bookmarkStart w:id="102" w:name="_Toc13246"/>
      <w:bookmarkStart w:id="103" w:name="_Toc19699"/>
      <w:bookmarkStart w:id="104" w:name="_Toc20375"/>
      <w:r>
        <w:rPr>
          <w:rFonts w:hint="eastAsia" w:ascii="宋体" w:hAnsi="宋体" w:eastAsia="宋体" w:cs="宋体"/>
          <w:color w:val="auto"/>
          <w:highlight w:val="none"/>
        </w:rPr>
        <w:t>户外广告和招牌设施应符合城市容貌方面的要求，设施尺度、形式和风格应与周边环境相协调，并应注重昼夜景观效果，不应损害建（构）筑物、街景和城市轮廓线重要特征，不应破坏建（构）筑物等所依附载体的整体效果。</w:t>
      </w:r>
      <w:bookmarkEnd w:id="96"/>
      <w:bookmarkEnd w:id="97"/>
      <w:bookmarkEnd w:id="98"/>
      <w:bookmarkEnd w:id="99"/>
      <w:bookmarkEnd w:id="100"/>
      <w:bookmarkEnd w:id="101"/>
      <w:bookmarkEnd w:id="102"/>
      <w:bookmarkEnd w:id="103"/>
      <w:bookmarkEnd w:id="104"/>
    </w:p>
    <w:p w14:paraId="1E535E6B">
      <w:pPr>
        <w:pStyle w:val="71"/>
        <w:spacing w:before="120" w:after="120"/>
        <w:rPr>
          <w:rFonts w:hint="eastAsia" w:ascii="宋体" w:hAnsi="宋体" w:eastAsia="宋体" w:cs="宋体"/>
          <w:color w:val="auto"/>
          <w:highlight w:val="none"/>
        </w:rPr>
      </w:pPr>
      <w:bookmarkStart w:id="105" w:name="_Toc25778"/>
      <w:bookmarkStart w:id="106" w:name="_Toc26096"/>
      <w:bookmarkStart w:id="107" w:name="_Toc11603"/>
      <w:bookmarkStart w:id="108" w:name="_Toc9722"/>
      <w:bookmarkStart w:id="109" w:name="_Toc15370"/>
      <w:bookmarkStart w:id="110" w:name="_Toc160183773"/>
      <w:bookmarkStart w:id="111" w:name="_Toc25194"/>
      <w:bookmarkStart w:id="112" w:name="_Toc1065"/>
      <w:bookmarkStart w:id="113" w:name="_Toc25005"/>
      <w:r>
        <w:rPr>
          <w:rFonts w:hint="eastAsia" w:ascii="宋体" w:hAnsi="宋体" w:eastAsia="宋体" w:cs="宋体"/>
          <w:color w:val="auto"/>
          <w:highlight w:val="none"/>
        </w:rPr>
        <w:t>户外广告和招牌设施的设置必须采取有效措施，保证其结构和用电设施安全、可靠。应定期进行安全检查，并应进行维护保养和更新。</w:t>
      </w:r>
    </w:p>
    <w:p w14:paraId="7DFEDD7D">
      <w:pPr>
        <w:pStyle w:val="71"/>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新建、改建、扩建建筑需设置</w:t>
      </w:r>
      <w:r>
        <w:rPr>
          <w:rFonts w:hint="eastAsia" w:ascii="宋体" w:hAnsi="宋体" w:eastAsia="宋体" w:cs="宋体"/>
          <w:color w:val="auto"/>
          <w:highlight w:val="none"/>
          <w:lang w:eastAsia="zh-CN"/>
        </w:rPr>
        <w:t>户外</w:t>
      </w:r>
      <w:r>
        <w:rPr>
          <w:rFonts w:hint="eastAsia" w:ascii="宋体" w:hAnsi="宋体" w:eastAsia="宋体" w:cs="宋体"/>
          <w:color w:val="auto"/>
          <w:highlight w:val="none"/>
        </w:rPr>
        <w:t>广告和</w:t>
      </w:r>
      <w:r>
        <w:rPr>
          <w:rFonts w:hint="eastAsia" w:ascii="宋体" w:hAnsi="宋体" w:eastAsia="宋体" w:cs="宋体"/>
          <w:color w:val="auto"/>
          <w:highlight w:val="none"/>
          <w:lang w:eastAsia="zh-CN"/>
        </w:rPr>
        <w:t>招牌</w:t>
      </w:r>
      <w:r>
        <w:rPr>
          <w:rFonts w:hint="eastAsia" w:ascii="宋体" w:hAnsi="宋体" w:eastAsia="宋体" w:cs="宋体"/>
          <w:color w:val="auto"/>
          <w:highlight w:val="none"/>
        </w:rPr>
        <w:t>设施的，应在规划设计方案中预留</w:t>
      </w:r>
      <w:r>
        <w:rPr>
          <w:rFonts w:hint="eastAsia" w:ascii="宋体" w:hAnsi="宋体" w:eastAsia="宋体" w:cs="宋体"/>
          <w:color w:val="auto"/>
          <w:highlight w:val="none"/>
          <w:lang w:val="en-US" w:eastAsia="zh-CN"/>
        </w:rPr>
        <w:t>设施</w:t>
      </w:r>
      <w:r>
        <w:rPr>
          <w:rFonts w:hint="eastAsia" w:ascii="宋体" w:hAnsi="宋体" w:eastAsia="宋体" w:cs="宋体"/>
          <w:color w:val="auto"/>
          <w:highlight w:val="none"/>
        </w:rPr>
        <w:t>的设置位置，设置时应按预留的位置设置。</w:t>
      </w:r>
    </w:p>
    <w:p w14:paraId="098A027F">
      <w:pPr>
        <w:pStyle w:val="71"/>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户外广告和招牌设施设置应符合节能与生态环保要求，宜采用新技术、新工艺、新材料、新设备、新产品。</w:t>
      </w:r>
      <w:bookmarkEnd w:id="105"/>
      <w:bookmarkEnd w:id="106"/>
      <w:bookmarkEnd w:id="107"/>
      <w:bookmarkEnd w:id="108"/>
      <w:bookmarkEnd w:id="109"/>
      <w:bookmarkEnd w:id="110"/>
      <w:bookmarkEnd w:id="111"/>
      <w:bookmarkEnd w:id="112"/>
      <w:bookmarkEnd w:id="113"/>
    </w:p>
    <w:p w14:paraId="2BBAEE89">
      <w:pPr>
        <w:pStyle w:val="71"/>
        <w:spacing w:before="120" w:after="120"/>
        <w:rPr>
          <w:rFonts w:hint="eastAsia" w:ascii="宋体" w:hAnsi="宋体" w:eastAsia="宋体" w:cs="宋体"/>
          <w:color w:val="auto"/>
          <w:highlight w:val="none"/>
        </w:rPr>
      </w:pPr>
      <w:bookmarkStart w:id="114" w:name="_Toc30093"/>
      <w:bookmarkStart w:id="115" w:name="_Toc160183774"/>
      <w:bookmarkStart w:id="116" w:name="_Toc30765"/>
      <w:r>
        <w:rPr>
          <w:rFonts w:hint="eastAsia" w:ascii="宋体" w:hAnsi="宋体" w:eastAsia="宋体" w:cs="宋体"/>
          <w:color w:val="auto"/>
          <w:highlight w:val="none"/>
        </w:rPr>
        <w:t>户外广告设施</w:t>
      </w:r>
      <w:r>
        <w:rPr>
          <w:rFonts w:hint="eastAsia" w:ascii="宋体" w:hAnsi="宋体" w:eastAsia="宋体" w:cs="宋体"/>
          <w:color w:val="auto"/>
          <w:highlight w:val="none"/>
          <w:lang w:val="en-US" w:eastAsia="zh-CN"/>
        </w:rPr>
        <w:t>禁止设置情形</w:t>
      </w:r>
      <w:r>
        <w:rPr>
          <w:rFonts w:hint="eastAsia" w:ascii="宋体" w:hAnsi="宋体" w:eastAsia="宋体" w:cs="宋体"/>
          <w:color w:val="auto"/>
          <w:highlight w:val="none"/>
        </w:rPr>
        <w:t>：</w:t>
      </w:r>
      <w:bookmarkEnd w:id="114"/>
      <w:bookmarkEnd w:id="115"/>
      <w:bookmarkEnd w:id="116"/>
    </w:p>
    <w:p w14:paraId="503421DF">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a）</w:t>
      </w:r>
      <w:r>
        <w:rPr>
          <w:rFonts w:hint="eastAsia" w:ascii="宋体" w:hAnsi="宋体" w:eastAsia="宋体" w:cs="宋体"/>
          <w:color w:val="auto"/>
          <w:highlight w:val="none"/>
        </w:rPr>
        <w:tab/>
      </w:r>
      <w:r>
        <w:rPr>
          <w:rFonts w:hint="eastAsia" w:ascii="宋体" w:hAnsi="宋体" w:eastAsia="宋体" w:cs="宋体"/>
          <w:color w:val="auto"/>
          <w:highlight w:val="none"/>
        </w:rPr>
        <w:t>利用交通安全设施、交通标志设置：</w:t>
      </w:r>
    </w:p>
    <w:p w14:paraId="3C4DDB11">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交通信号设施、交通标志、交通执勤岗设施；</w:t>
      </w:r>
    </w:p>
    <w:p w14:paraId="59727E4E">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rPr>
        <w:tab/>
      </w:r>
      <w:r>
        <w:rPr>
          <w:rFonts w:hint="eastAsia" w:ascii="宋体" w:hAnsi="宋体" w:eastAsia="宋体" w:cs="宋体"/>
          <w:color w:val="auto"/>
          <w:highlight w:val="none"/>
        </w:rPr>
        <w:t>道路隔离栏、中央绿化隔离带、绿化侧分隔带、高架道路、交通护栏、道路隔音墙、道路（隧道）管理口。</w:t>
      </w:r>
    </w:p>
    <w:p w14:paraId="717E761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b）</w:t>
      </w:r>
      <w:r>
        <w:rPr>
          <w:rFonts w:hint="eastAsia" w:ascii="宋体" w:hAnsi="宋体" w:eastAsia="宋体" w:cs="宋体"/>
          <w:color w:val="auto"/>
          <w:highlight w:val="none"/>
        </w:rPr>
        <w:tab/>
      </w:r>
      <w:r>
        <w:rPr>
          <w:rFonts w:hint="eastAsia" w:ascii="宋体" w:hAnsi="宋体" w:eastAsia="宋体" w:cs="宋体"/>
          <w:color w:val="auto"/>
          <w:highlight w:val="none"/>
        </w:rPr>
        <w:t>影响市政公共设施、交通安全设施、交通标志使用：</w:t>
      </w:r>
    </w:p>
    <w:p w14:paraId="55BFA7F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交通安全设施和交通标志10m范围内</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rPr>
        <w:t xml:space="preserve">； </w:t>
      </w:r>
    </w:p>
    <w:p w14:paraId="07AB8E24">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rPr>
        <w:tab/>
      </w:r>
      <w:r>
        <w:rPr>
          <w:rFonts w:hint="eastAsia" w:hAnsi="宋体" w:cs="宋体"/>
          <w:color w:val="auto"/>
          <w:highlight w:val="none"/>
          <w:lang w:val="en-US" w:eastAsia="zh-CN"/>
        </w:rPr>
        <w:t>亭、棚、栏等公共设施顶部设置</w:t>
      </w:r>
      <w:r>
        <w:rPr>
          <w:rFonts w:hint="eastAsia" w:hAnsi="宋体" w:cs="宋体"/>
          <w:color w:val="auto"/>
          <w:highlight w:val="none"/>
          <w:lang w:eastAsia="zh-CN"/>
        </w:rPr>
        <w:t>；</w:t>
      </w:r>
    </w:p>
    <w:p w14:paraId="27D154AA">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公交站亭（自身附属式广告除外）、电话亭（自身附属式广告除外）、公交站牌、轨道交通标志、路名牌、消防栓、邮筒等设施5m范围内</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rPr>
        <w:t>；</w:t>
      </w:r>
    </w:p>
    <w:p w14:paraId="30D4D356">
      <w:pPr>
        <w:pStyle w:val="73"/>
        <w:ind w:firstLine="420"/>
        <w:rPr>
          <w:rFonts w:hint="eastAsia" w:hAnsi="宋体" w:cs="宋体"/>
          <w:color w:val="auto"/>
          <w:highlight w:val="none"/>
          <w:lang w:eastAsia="zh-CN"/>
        </w:rPr>
      </w:pPr>
      <w:bookmarkStart w:id="117" w:name="_Toc11461"/>
      <w:bookmarkStart w:id="118" w:name="_Toc9558"/>
      <w:bookmarkStart w:id="119" w:name="_Toc160183797"/>
      <w:r>
        <w:rPr>
          <w:rFonts w:hint="eastAsia" w:hAnsi="宋体" w:cs="宋体"/>
          <w:color w:val="auto"/>
          <w:highlight w:val="none"/>
          <w:lang w:val="en-US" w:eastAsia="zh-CN"/>
        </w:rPr>
        <w:t>4</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公交站牌、路名牌</w:t>
      </w:r>
      <w:r>
        <w:rPr>
          <w:rFonts w:hint="eastAsia" w:hAnsi="宋体" w:cs="宋体"/>
          <w:color w:val="auto"/>
          <w:highlight w:val="none"/>
          <w:lang w:eastAsia="zh-CN"/>
        </w:rPr>
        <w:t>、</w:t>
      </w:r>
      <w:r>
        <w:rPr>
          <w:rFonts w:hint="eastAsia" w:ascii="宋体" w:hAnsi="宋体" w:eastAsia="宋体" w:cs="宋体"/>
          <w:color w:val="auto"/>
          <w:highlight w:val="none"/>
        </w:rPr>
        <w:t>出租车停靠点、消防栓、邮筒、废物箱、配电箱等公用设施上设置</w:t>
      </w:r>
      <w:bookmarkEnd w:id="117"/>
      <w:bookmarkEnd w:id="118"/>
      <w:bookmarkEnd w:id="119"/>
      <w:r>
        <w:rPr>
          <w:rFonts w:hint="eastAsia" w:hAnsi="宋体" w:cs="宋体"/>
          <w:color w:val="auto"/>
          <w:highlight w:val="none"/>
          <w:lang w:eastAsia="zh-CN"/>
        </w:rPr>
        <w:t>；</w:t>
      </w:r>
    </w:p>
    <w:p w14:paraId="75264F50">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各类地下管线、架空线及其它生命线工程安全保护范围内，消防通道和消防场地内</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rPr>
        <w:t>；</w:t>
      </w:r>
    </w:p>
    <w:p w14:paraId="45A18426">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6</w:t>
      </w:r>
      <w:r>
        <w:rPr>
          <w:rFonts w:hint="eastAsia" w:ascii="宋体" w:hAnsi="宋体" w:eastAsia="宋体" w:cs="宋体"/>
          <w:color w:val="auto"/>
          <w:highlight w:val="none"/>
        </w:rPr>
        <w:t>）人行天桥落地扶梯、过街地道、过江隧道、公路收费口、高架道路落地匝道及轨道交通等人和车流出入口周边10m内</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rPr>
        <w:t>，以及大量车流集散的公共建筑出入口周边5m内设置独立式户外广告设施。</w:t>
      </w:r>
    </w:p>
    <w:p w14:paraId="20422BF5">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c）</w:t>
      </w:r>
      <w:r>
        <w:rPr>
          <w:rFonts w:hint="eastAsia" w:ascii="宋体" w:hAnsi="宋体" w:eastAsia="宋体" w:cs="宋体"/>
          <w:color w:val="auto"/>
          <w:highlight w:val="none"/>
        </w:rPr>
        <w:tab/>
      </w:r>
      <w:r>
        <w:rPr>
          <w:rFonts w:hint="eastAsia" w:ascii="宋体" w:hAnsi="宋体" w:eastAsia="宋体" w:cs="宋体"/>
          <w:color w:val="auto"/>
          <w:highlight w:val="none"/>
        </w:rPr>
        <w:t>影响道路交通安全：</w:t>
      </w:r>
    </w:p>
    <w:p w14:paraId="48B2CA83">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跨越城市道路、公路，跨越道路</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rPr>
        <w:t>；</w:t>
      </w:r>
    </w:p>
    <w:p w14:paraId="493403C4">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rPr>
        <w:tab/>
      </w:r>
      <w:r>
        <w:rPr>
          <w:rFonts w:hint="eastAsia" w:ascii="宋体" w:hAnsi="宋体" w:eastAsia="宋体" w:cs="宋体"/>
          <w:color w:val="auto"/>
          <w:highlight w:val="none"/>
        </w:rPr>
        <w:t>大量人流集散的公共建筑出入口周边5m范围内设置独立式户外广告设施；</w:t>
      </w:r>
    </w:p>
    <w:p w14:paraId="1069719F">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rPr>
        <w:tab/>
      </w:r>
      <w:r>
        <w:rPr>
          <w:rFonts w:hint="eastAsia" w:ascii="宋体" w:hAnsi="宋体" w:eastAsia="宋体" w:cs="宋体"/>
          <w:color w:val="auto"/>
          <w:highlight w:val="none"/>
        </w:rPr>
        <w:t>道路交叉口视距三角形范围内设置独立式户外广告设施；</w:t>
      </w:r>
    </w:p>
    <w:p w14:paraId="53019F29">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rPr>
        <w:tab/>
      </w:r>
      <w:r>
        <w:rPr>
          <w:rFonts w:hint="eastAsia" w:ascii="宋体" w:hAnsi="宋体" w:eastAsia="宋体" w:cs="宋体"/>
          <w:color w:val="auto"/>
          <w:highlight w:val="none"/>
        </w:rPr>
        <w:t>影响交通信号灯、交通标志有效视认。</w:t>
      </w:r>
    </w:p>
    <w:p w14:paraId="79E8DFE3">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d）</w:t>
      </w:r>
      <w:r>
        <w:rPr>
          <w:rFonts w:hint="eastAsia" w:ascii="宋体" w:hAnsi="宋体" w:eastAsia="宋体" w:cs="宋体"/>
          <w:color w:val="auto"/>
          <w:highlight w:val="none"/>
        </w:rPr>
        <w:tab/>
      </w:r>
      <w:r>
        <w:rPr>
          <w:rFonts w:hint="eastAsia" w:ascii="宋体" w:hAnsi="宋体" w:eastAsia="宋体" w:cs="宋体"/>
          <w:color w:val="auto"/>
          <w:highlight w:val="none"/>
        </w:rPr>
        <w:t>影响建（构）筑物安全：</w:t>
      </w:r>
    </w:p>
    <w:p w14:paraId="66B3CEF2">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妨碍他人生产经营或者居民正常生活，影响他人对建（构）筑物合法使用；</w:t>
      </w:r>
    </w:p>
    <w:p w14:paraId="29B093A4">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2）</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利用违法建（构）筑物、违法外立面或附加设施</w:t>
      </w:r>
      <w:r>
        <w:rPr>
          <w:rFonts w:hint="eastAsia" w:ascii="宋体" w:hAnsi="宋体" w:eastAsia="宋体" w:cs="宋体"/>
          <w:color w:val="auto"/>
          <w:highlight w:val="none"/>
          <w:lang w:eastAsia="zh-CN"/>
        </w:rPr>
        <w:t>以及</w:t>
      </w:r>
      <w:r>
        <w:rPr>
          <w:rFonts w:hint="eastAsia" w:ascii="宋体" w:hAnsi="宋体" w:eastAsia="宋体" w:cs="宋体"/>
          <w:color w:val="auto"/>
          <w:highlight w:val="none"/>
        </w:rPr>
        <w:t>危房等，或者设置后危及建（构） 筑物及其外立面或附加设施安全</w:t>
      </w:r>
      <w:r>
        <w:rPr>
          <w:rFonts w:hint="eastAsia" w:ascii="宋体" w:hAnsi="宋体" w:eastAsia="宋体" w:cs="宋体"/>
          <w:color w:val="auto"/>
          <w:highlight w:val="none"/>
          <w:lang w:eastAsia="zh-CN"/>
        </w:rPr>
        <w:t>；</w:t>
      </w:r>
    </w:p>
    <w:p w14:paraId="6983FD5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3）利用玻璃幕墙及其支撑结构设置刚性固定结构的户外广告设施，以及在全隐框玻璃幕墙上设置贴膜广告</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 xml:space="preserve"> </w:t>
      </w:r>
    </w:p>
    <w:p w14:paraId="0C7BB5D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e）</w:t>
      </w:r>
      <w:r>
        <w:rPr>
          <w:rFonts w:hint="eastAsia" w:ascii="宋体" w:hAnsi="宋体" w:eastAsia="宋体" w:cs="宋体"/>
          <w:color w:val="auto"/>
          <w:highlight w:val="none"/>
        </w:rPr>
        <w:tab/>
      </w:r>
      <w:r>
        <w:rPr>
          <w:rFonts w:hint="eastAsia" w:ascii="宋体" w:hAnsi="宋体" w:eastAsia="宋体" w:cs="宋体"/>
          <w:color w:val="auto"/>
          <w:highlight w:val="none"/>
        </w:rPr>
        <w:t>影响消防安全：</w:t>
      </w:r>
    </w:p>
    <w:p w14:paraId="70E15EF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影响消防设施、消防安全标志辨识和使用；</w:t>
      </w:r>
    </w:p>
    <w:p w14:paraId="562B51DA">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rPr>
        <w:tab/>
      </w:r>
      <w:r>
        <w:rPr>
          <w:rFonts w:hint="eastAsia" w:ascii="宋体" w:hAnsi="宋体" w:eastAsia="宋体" w:cs="宋体"/>
          <w:color w:val="auto"/>
          <w:highlight w:val="none"/>
        </w:rPr>
        <w:t>影响消防车通行；</w:t>
      </w:r>
    </w:p>
    <w:p w14:paraId="33DBF101">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rPr>
        <w:tab/>
      </w:r>
      <w:r>
        <w:rPr>
          <w:rFonts w:hint="eastAsia" w:ascii="宋体" w:hAnsi="宋体" w:eastAsia="宋体" w:cs="宋体"/>
          <w:color w:val="auto"/>
          <w:highlight w:val="none"/>
        </w:rPr>
        <w:t>影响建筑物安全出口正常使用；</w:t>
      </w:r>
    </w:p>
    <w:p w14:paraId="22530E9F">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4）</w:t>
      </w:r>
      <w:r>
        <w:rPr>
          <w:rFonts w:hint="eastAsia" w:ascii="宋体" w:hAnsi="宋体" w:eastAsia="宋体" w:cs="宋体"/>
          <w:color w:val="auto"/>
          <w:highlight w:val="none"/>
        </w:rPr>
        <w:tab/>
      </w:r>
      <w:r>
        <w:rPr>
          <w:rFonts w:hint="eastAsia" w:ascii="宋体" w:hAnsi="宋体" w:eastAsia="宋体" w:cs="宋体"/>
          <w:color w:val="auto"/>
          <w:highlight w:val="none"/>
        </w:rPr>
        <w:t>遮挡建筑外窗，或者未直接遮挡但影响建筑外窗向外开启，以及其他影响外部灭火救援行动的情形</w:t>
      </w:r>
      <w:r>
        <w:rPr>
          <w:rFonts w:hint="eastAsia" w:ascii="宋体" w:hAnsi="宋体" w:eastAsia="宋体" w:cs="宋体"/>
          <w:color w:val="auto"/>
          <w:highlight w:val="none"/>
          <w:lang w:eastAsia="zh-CN"/>
        </w:rPr>
        <w:t>。</w:t>
      </w:r>
    </w:p>
    <w:p w14:paraId="16A972E5">
      <w:pPr>
        <w:pStyle w:val="73"/>
        <w:ind w:firstLine="420"/>
        <w:rPr>
          <w:rFonts w:hint="eastAsia" w:ascii="宋体" w:hAnsi="宋体" w:eastAsia="宋体" w:cs="宋体"/>
          <w:color w:val="auto"/>
          <w:highlight w:val="none"/>
        </w:rPr>
      </w:pPr>
      <w:bookmarkStart w:id="120" w:name="_Toc160183775"/>
      <w:bookmarkStart w:id="121" w:name="_Toc4308"/>
      <w:bookmarkStart w:id="122" w:name="_Toc27450"/>
      <w:r>
        <w:rPr>
          <w:rFonts w:hint="eastAsia" w:hAnsi="宋体" w:cs="宋体"/>
          <w:color w:val="auto"/>
          <w:highlight w:val="none"/>
          <w:lang w:val="en-US" w:eastAsia="zh-CN"/>
        </w:rPr>
        <w:t>f</w:t>
      </w:r>
      <w:r>
        <w:rPr>
          <w:rFonts w:hint="eastAsia" w:ascii="宋体" w:hAnsi="宋体" w:eastAsia="宋体" w:cs="宋体"/>
          <w:color w:val="auto"/>
          <w:highlight w:val="none"/>
        </w:rPr>
        <w:t>）</w:t>
      </w:r>
      <w:r>
        <w:rPr>
          <w:rFonts w:hint="eastAsia" w:hAnsi="宋体" w:cs="宋体"/>
          <w:color w:val="auto"/>
          <w:highlight w:val="none"/>
          <w:lang w:val="en-US" w:eastAsia="zh-CN"/>
        </w:rPr>
        <w:t xml:space="preserve"> </w:t>
      </w:r>
      <w:r>
        <w:rPr>
          <w:rFonts w:hint="eastAsia" w:ascii="宋体" w:hAnsi="宋体" w:eastAsia="宋体" w:cs="宋体"/>
          <w:color w:val="auto"/>
          <w:highlight w:val="none"/>
        </w:rPr>
        <w:t>影响生产或居民正常生活：</w:t>
      </w:r>
      <w:bookmarkEnd w:id="120"/>
      <w:bookmarkEnd w:id="121"/>
      <w:bookmarkEnd w:id="122"/>
    </w:p>
    <w:p w14:paraId="3298D40A">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影响相邻居住类建筑现有日照；</w:t>
      </w:r>
    </w:p>
    <w:p w14:paraId="3EB50BB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影响相邻建筑采光通风；</w:t>
      </w:r>
    </w:p>
    <w:p w14:paraId="58F3633C">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播放声音。</w:t>
      </w:r>
    </w:p>
    <w:p w14:paraId="4B44ED12">
      <w:pPr>
        <w:pStyle w:val="73"/>
        <w:ind w:firstLine="420"/>
        <w:rPr>
          <w:rFonts w:hint="eastAsia" w:hAnsi="宋体" w:cs="宋体"/>
          <w:color w:val="auto"/>
          <w:highlight w:val="none"/>
          <w:lang w:val="en-US" w:eastAsia="zh-CN"/>
        </w:rPr>
      </w:pPr>
      <w:bookmarkStart w:id="123" w:name="_Toc23074"/>
      <w:bookmarkStart w:id="124" w:name="_Toc160183776"/>
      <w:bookmarkStart w:id="125" w:name="_Toc8631"/>
      <w:r>
        <w:rPr>
          <w:rFonts w:hint="eastAsia" w:hAnsi="宋体" w:cs="宋体"/>
          <w:color w:val="auto"/>
          <w:highlight w:val="none"/>
          <w:lang w:val="en-US" w:eastAsia="zh-CN"/>
        </w:rPr>
        <w:t>g</w:t>
      </w:r>
      <w:r>
        <w:rPr>
          <w:rFonts w:hint="eastAsia" w:ascii="宋体" w:hAnsi="宋体" w:eastAsia="宋体" w:cs="宋体"/>
          <w:color w:val="auto"/>
          <w:highlight w:val="none"/>
        </w:rPr>
        <w:t>）</w:t>
      </w:r>
      <w:r>
        <w:rPr>
          <w:rFonts w:hint="eastAsia" w:hAnsi="宋体" w:cs="宋体"/>
          <w:color w:val="auto"/>
          <w:highlight w:val="none"/>
          <w:lang w:val="en-US" w:eastAsia="zh-CN"/>
        </w:rPr>
        <w:t xml:space="preserve"> 影响市容市貌：</w:t>
      </w:r>
      <w:bookmarkEnd w:id="123"/>
      <w:bookmarkEnd w:id="124"/>
      <w:bookmarkEnd w:id="125"/>
    </w:p>
    <w:p w14:paraId="3821FF56">
      <w:pPr>
        <w:pStyle w:val="73"/>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设置大型高立柱户外广告设施；</w:t>
      </w:r>
    </w:p>
    <w:p w14:paraId="657FC60E">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lang w:val="en-US" w:eastAsia="zh-CN"/>
        </w:rPr>
        <w:t>建（构）筑物立面设置字幕式电子显示屏；</w:t>
      </w:r>
    </w:p>
    <w:p w14:paraId="06088558">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依附于行道树设置；</w:t>
      </w:r>
    </w:p>
    <w:p w14:paraId="04C1CEF6">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4</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影响行道树和其他绿化生长；</w:t>
      </w:r>
    </w:p>
    <w:p w14:paraId="3515A1D9">
      <w:pPr>
        <w:pStyle w:val="73"/>
        <w:ind w:firstLine="420"/>
        <w:rPr>
          <w:rFonts w:hint="eastAsia" w:ascii="宋体" w:hAnsi="宋体" w:eastAsia="宋体" w:cs="宋体"/>
          <w:color w:val="auto"/>
          <w:highlight w:val="none"/>
          <w:lang w:eastAsia="zh-CN"/>
        </w:rPr>
      </w:pPr>
      <w:r>
        <w:rPr>
          <w:rFonts w:hint="eastAsia" w:hAnsi="宋体" w:cs="宋体"/>
          <w:color w:val="auto"/>
          <w:highlight w:val="none"/>
          <w:lang w:val="en-US" w:eastAsia="zh-CN"/>
        </w:rPr>
        <w:t>5</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遮挡绿化景观</w:t>
      </w:r>
      <w:r>
        <w:rPr>
          <w:rFonts w:hint="eastAsia" w:ascii="宋体" w:hAnsi="宋体" w:eastAsia="宋体" w:cs="宋体"/>
          <w:color w:val="auto"/>
          <w:highlight w:val="none"/>
          <w:lang w:eastAsia="zh-CN"/>
        </w:rPr>
        <w:t>；</w:t>
      </w:r>
    </w:p>
    <w:p w14:paraId="3DF2C8FA">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6</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建筑屋顶设置</w:t>
      </w:r>
      <w:r>
        <w:rPr>
          <w:rFonts w:hint="eastAsia" w:hAnsi="宋体" w:cs="宋体"/>
          <w:color w:val="auto"/>
          <w:highlight w:val="none"/>
          <w:lang w:val="en-US" w:eastAsia="zh-CN"/>
        </w:rPr>
        <w:t>或者超出建筑物顶部</w:t>
      </w:r>
      <w:r>
        <w:rPr>
          <w:rFonts w:hint="eastAsia" w:ascii="宋体" w:hAnsi="宋体" w:eastAsia="宋体" w:cs="宋体"/>
          <w:color w:val="auto"/>
          <w:highlight w:val="none"/>
        </w:rPr>
        <w:t>；</w:t>
      </w:r>
    </w:p>
    <w:p w14:paraId="12E23C84">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7</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在围墙的镂空部分和围墙顶部设置；</w:t>
      </w:r>
    </w:p>
    <w:p w14:paraId="38770A3E">
      <w:pPr>
        <w:pStyle w:val="73"/>
        <w:ind w:firstLine="420"/>
        <w:rPr>
          <w:rFonts w:hint="eastAsia" w:ascii="宋体" w:hAnsi="宋体" w:eastAsia="宋体" w:cs="宋体"/>
          <w:color w:val="auto"/>
          <w:highlight w:val="none"/>
          <w:lang w:eastAsia="zh-CN"/>
        </w:rPr>
      </w:pPr>
      <w:r>
        <w:rPr>
          <w:rFonts w:hint="eastAsia" w:hAnsi="宋体" w:cs="宋体"/>
          <w:color w:val="auto"/>
          <w:highlight w:val="none"/>
          <w:lang w:val="en-US" w:eastAsia="zh-CN"/>
        </w:rPr>
        <w:t>8</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在各级文物保护单位和历史建筑上设置</w:t>
      </w:r>
      <w:r>
        <w:rPr>
          <w:rFonts w:hint="eastAsia" w:ascii="宋体" w:hAnsi="宋体" w:eastAsia="宋体" w:cs="宋体"/>
          <w:color w:val="auto"/>
          <w:highlight w:val="none"/>
          <w:lang w:eastAsia="zh-CN"/>
        </w:rPr>
        <w:t>；</w:t>
      </w:r>
    </w:p>
    <w:p w14:paraId="109F5C7D">
      <w:pPr>
        <w:pStyle w:val="73"/>
        <w:ind w:firstLine="420"/>
        <w:rPr>
          <w:rFonts w:hint="eastAsia" w:ascii="宋体" w:hAnsi="宋体" w:eastAsia="宋体" w:cs="宋体"/>
          <w:color w:val="auto"/>
          <w:highlight w:val="none"/>
        </w:rPr>
      </w:pPr>
      <w:r>
        <w:rPr>
          <w:rFonts w:hint="eastAsia" w:hAnsi="宋体" w:cs="宋体"/>
          <w:color w:val="auto"/>
          <w:highlight w:val="none"/>
          <w:lang w:val="en-US" w:eastAsia="zh-CN"/>
        </w:rPr>
        <w:t>9</w:t>
      </w:r>
      <w:r>
        <w:rPr>
          <w:rFonts w:hint="eastAsia" w:ascii="宋体" w:hAnsi="宋体" w:eastAsia="宋体" w:cs="宋体"/>
          <w:color w:val="auto"/>
          <w:highlight w:val="none"/>
        </w:rPr>
        <w:t>）在国家机关、风景名胜区用地范围内设置；</w:t>
      </w:r>
    </w:p>
    <w:p w14:paraId="36B64CF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hAnsi="宋体" w:cs="宋体"/>
          <w:color w:val="auto"/>
          <w:highlight w:val="none"/>
          <w:lang w:val="en-US" w:eastAsia="zh-CN"/>
        </w:rPr>
        <w:t>0</w:t>
      </w:r>
      <w:r>
        <w:rPr>
          <w:rFonts w:hint="eastAsia" w:ascii="宋体" w:hAnsi="宋体" w:eastAsia="宋体" w:cs="宋体"/>
          <w:color w:val="auto"/>
          <w:highlight w:val="none"/>
        </w:rPr>
        <w:t>）在路灯杆上</w:t>
      </w:r>
      <w:r>
        <w:rPr>
          <w:rFonts w:hint="eastAsia" w:ascii="宋体" w:hAnsi="宋体" w:eastAsia="宋体" w:cs="宋体"/>
          <w:color w:val="auto"/>
          <w:highlight w:val="none"/>
          <w:lang w:val="en-US" w:eastAsia="zh-CN"/>
        </w:rPr>
        <w:t>加</w:t>
      </w:r>
      <w:r>
        <w:rPr>
          <w:rFonts w:hint="eastAsia" w:ascii="宋体" w:hAnsi="宋体" w:eastAsia="宋体" w:cs="宋体"/>
          <w:color w:val="auto"/>
          <w:highlight w:val="none"/>
        </w:rPr>
        <w:t>设硬质展示牌、灯箱等户外广告设施；</w:t>
      </w:r>
    </w:p>
    <w:p w14:paraId="7801A97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hAnsi="宋体" w:cs="宋体"/>
          <w:color w:val="auto"/>
          <w:highlight w:val="none"/>
          <w:lang w:val="en-US" w:eastAsia="zh-CN"/>
        </w:rPr>
        <w:t>1</w:t>
      </w:r>
      <w:r>
        <w:rPr>
          <w:rFonts w:hint="eastAsia" w:ascii="宋体" w:hAnsi="宋体" w:eastAsia="宋体" w:cs="宋体"/>
          <w:color w:val="auto"/>
          <w:highlight w:val="none"/>
        </w:rPr>
        <w:t>）在公交候车亭和电话亭顶部设置；</w:t>
      </w:r>
    </w:p>
    <w:p w14:paraId="37C8DF72">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w:t>
      </w:r>
      <w:r>
        <w:rPr>
          <w:rFonts w:hint="eastAsia" w:hAnsi="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rPr>
        <w:t>损害市容市貌的其他情形</w:t>
      </w:r>
      <w:r>
        <w:rPr>
          <w:rFonts w:hint="eastAsia" w:ascii="宋体" w:hAnsi="宋体" w:eastAsia="宋体" w:cs="宋体"/>
          <w:color w:val="auto"/>
          <w:highlight w:val="none"/>
          <w:lang w:eastAsia="zh-CN"/>
        </w:rPr>
        <w:t>。</w:t>
      </w:r>
    </w:p>
    <w:p w14:paraId="656E55A9">
      <w:pPr>
        <w:pStyle w:val="71"/>
        <w:spacing w:before="120" w:after="120"/>
        <w:rPr>
          <w:rFonts w:hint="eastAsia" w:ascii="宋体" w:hAnsi="宋体" w:eastAsia="宋体" w:cs="宋体"/>
          <w:color w:val="auto"/>
          <w:highlight w:val="none"/>
        </w:rPr>
      </w:pPr>
      <w:bookmarkStart w:id="126" w:name="_Toc28714"/>
      <w:bookmarkStart w:id="127" w:name="_Toc7961"/>
      <w:bookmarkStart w:id="128" w:name="_Toc160183778"/>
      <w:r>
        <w:rPr>
          <w:rFonts w:hint="eastAsia" w:ascii="宋体" w:hAnsi="宋体" w:eastAsia="宋体" w:cs="宋体"/>
          <w:color w:val="auto"/>
          <w:highlight w:val="none"/>
        </w:rPr>
        <w:t>户外招牌</w:t>
      </w:r>
      <w:r>
        <w:rPr>
          <w:rFonts w:hint="eastAsia" w:ascii="宋体" w:hAnsi="宋体" w:eastAsia="宋体" w:cs="宋体"/>
          <w:color w:val="auto"/>
          <w:highlight w:val="none"/>
        </w:rPr>
        <w:t>设施</w:t>
      </w:r>
      <w:r>
        <w:rPr>
          <w:rFonts w:hint="eastAsia" w:ascii="宋体" w:hAnsi="宋体" w:eastAsia="宋体" w:cs="宋体"/>
          <w:color w:val="auto"/>
          <w:highlight w:val="none"/>
          <w:lang w:val="en-US" w:eastAsia="zh-CN"/>
        </w:rPr>
        <w:t>禁止设置情形</w:t>
      </w:r>
      <w:r>
        <w:rPr>
          <w:rFonts w:hint="eastAsia" w:ascii="宋体" w:hAnsi="宋体" w:eastAsia="宋体" w:cs="宋体"/>
          <w:color w:val="auto"/>
          <w:highlight w:val="none"/>
        </w:rPr>
        <w:t>：</w:t>
      </w:r>
    </w:p>
    <w:p w14:paraId="4D9B8FC6">
      <w:pPr>
        <w:pStyle w:val="73"/>
        <w:numPr>
          <w:ilvl w:val="0"/>
          <w:numId w:val="11"/>
        </w:numPr>
        <w:ind w:firstLine="420"/>
        <w:rPr>
          <w:rFonts w:hint="eastAsia" w:hAnsi="宋体" w:cs="宋体"/>
          <w:color w:val="auto"/>
          <w:highlight w:val="none"/>
          <w:lang w:val="en-US" w:eastAsia="zh-CN"/>
        </w:rPr>
      </w:pPr>
      <w:r>
        <w:rPr>
          <w:rFonts w:hint="eastAsia" w:hAnsi="宋体" w:cs="宋体"/>
          <w:color w:val="auto"/>
          <w:highlight w:val="none"/>
          <w:lang w:val="en-US" w:eastAsia="zh-CN"/>
        </w:rPr>
        <w:t>影响建（构）筑物的安全和使用：</w:t>
      </w:r>
      <w:bookmarkEnd w:id="126"/>
      <w:bookmarkEnd w:id="127"/>
      <w:bookmarkEnd w:id="128"/>
    </w:p>
    <w:p w14:paraId="5627B9DA">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利用违法建（构）筑物、违法外立面或附加设施以及危房等设置；</w:t>
      </w:r>
    </w:p>
    <w:p w14:paraId="7F950C5E">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w:t>
      </w:r>
      <w:r>
        <w:rPr>
          <w:rFonts w:hint="eastAsia" w:ascii="宋体" w:hAnsi="宋体" w:eastAsia="宋体" w:cs="宋体"/>
          <w:color w:val="auto"/>
          <w:highlight w:val="none"/>
        </w:rPr>
        <w:tab/>
      </w:r>
      <w:r>
        <w:rPr>
          <w:rFonts w:hint="eastAsia" w:ascii="宋体" w:hAnsi="宋体" w:eastAsia="宋体" w:cs="宋体"/>
          <w:color w:val="auto"/>
          <w:highlight w:val="none"/>
        </w:rPr>
        <w:t>设置后危及建（构）筑物及其外立面或附加设施安全；</w:t>
      </w:r>
    </w:p>
    <w:p w14:paraId="53C208F2">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w:t>
      </w:r>
      <w:r>
        <w:rPr>
          <w:rFonts w:hint="eastAsia" w:ascii="宋体" w:hAnsi="宋体" w:eastAsia="宋体" w:cs="宋体"/>
          <w:color w:val="auto"/>
          <w:highlight w:val="none"/>
        </w:rPr>
        <w:tab/>
      </w:r>
      <w:r>
        <w:rPr>
          <w:rFonts w:hint="eastAsia" w:ascii="宋体" w:hAnsi="宋体" w:eastAsia="宋体" w:cs="宋体"/>
          <w:color w:val="auto"/>
          <w:highlight w:val="none"/>
        </w:rPr>
        <w:t>在建（构）筑物屋顶或围墙顶部设置；</w:t>
      </w:r>
    </w:p>
    <w:p w14:paraId="424D5A52">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超出建筑女儿墙部位设置；</w:t>
      </w:r>
    </w:p>
    <w:p w14:paraId="2ABBE76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5）</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利用建筑幕墙玻璃、采光窗玻璃、橱窗玻璃设置；</w:t>
      </w:r>
    </w:p>
    <w:p w14:paraId="381B6686">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6）</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在砖木结构的建筑物外立面上设置箱体式整体结构招牌；</w:t>
      </w:r>
    </w:p>
    <w:p w14:paraId="3BB51E3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7）</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使用室内装饰材料，或者离地2.5m以上高度（部位）使用玻璃、大理石、石膏板等自重大、易破碎材料。</w:t>
      </w:r>
    </w:p>
    <w:p w14:paraId="219D6D72">
      <w:pPr>
        <w:pStyle w:val="73"/>
        <w:ind w:firstLine="420"/>
        <w:rPr>
          <w:rFonts w:hint="eastAsia" w:ascii="宋体" w:hAnsi="宋体" w:eastAsia="宋体" w:cs="宋体"/>
          <w:color w:val="auto"/>
          <w:highlight w:val="none"/>
        </w:rPr>
      </w:pPr>
      <w:bookmarkStart w:id="129" w:name="_Toc160183779"/>
      <w:bookmarkStart w:id="130" w:name="_Toc10628"/>
      <w:bookmarkStart w:id="131" w:name="_Toc16934"/>
      <w:r>
        <w:rPr>
          <w:rFonts w:hint="eastAsia" w:hAnsi="宋体" w:cs="宋体"/>
          <w:color w:val="auto"/>
          <w:highlight w:val="none"/>
          <w:lang w:val="en-US" w:eastAsia="zh-CN"/>
        </w:rPr>
        <w:t>b）</w:t>
      </w:r>
      <w:r>
        <w:rPr>
          <w:rFonts w:hint="eastAsia" w:ascii="宋体" w:hAnsi="宋体" w:eastAsia="宋体" w:cs="宋体"/>
          <w:color w:val="auto"/>
          <w:highlight w:val="none"/>
        </w:rPr>
        <w:t>损害市容市貌或者建筑物形象：</w:t>
      </w:r>
      <w:bookmarkEnd w:id="129"/>
      <w:bookmarkEnd w:id="130"/>
      <w:bookmarkEnd w:id="131"/>
      <w:r>
        <w:rPr>
          <w:rFonts w:hint="eastAsia" w:ascii="宋体" w:hAnsi="宋体" w:eastAsia="宋体" w:cs="宋体"/>
          <w:color w:val="auto"/>
          <w:highlight w:val="none"/>
        </w:rPr>
        <w:t xml:space="preserve"> </w:t>
      </w:r>
    </w:p>
    <w:p w14:paraId="223B411B">
      <w:pPr>
        <w:pStyle w:val="73"/>
        <w:numPr>
          <w:ilvl w:val="0"/>
          <w:numId w:val="12"/>
        </w:numPr>
        <w:ind w:firstLine="420"/>
        <w:rPr>
          <w:rFonts w:hint="eastAsia" w:ascii="宋体" w:hAnsi="宋体" w:eastAsia="宋体" w:cs="宋体"/>
          <w:color w:val="auto"/>
          <w:highlight w:val="none"/>
        </w:rPr>
      </w:pPr>
      <w:r>
        <w:rPr>
          <w:rFonts w:hint="eastAsia" w:ascii="宋体" w:hAnsi="宋体" w:eastAsia="宋体" w:cs="宋体"/>
          <w:color w:val="auto"/>
          <w:highlight w:val="none"/>
        </w:rPr>
        <w:t>文物保护单位和历史建筑上设置电子显示装置类；</w:t>
      </w:r>
    </w:p>
    <w:p w14:paraId="258EBDA3">
      <w:pPr>
        <w:pStyle w:val="73"/>
        <w:numPr>
          <w:ilvl w:val="0"/>
          <w:numId w:val="12"/>
        </w:numPr>
        <w:ind w:firstLine="420"/>
        <w:rPr>
          <w:rFonts w:hint="eastAsia" w:ascii="宋体" w:hAnsi="宋体" w:eastAsia="宋体" w:cs="宋体"/>
          <w:color w:val="auto"/>
          <w:highlight w:val="none"/>
        </w:rPr>
      </w:pPr>
      <w:r>
        <w:rPr>
          <w:rFonts w:hint="eastAsia" w:ascii="宋体" w:hAnsi="宋体" w:eastAsia="宋体" w:cs="宋体"/>
          <w:color w:val="auto"/>
          <w:highlight w:val="none"/>
        </w:rPr>
        <w:t>在历史建筑、文物保护单位以及有保护价值的历史建筑上设置，遮挡立面上的主要线脚，立柱、拱圈、门头山花等重要构件，以及雕花等特色装饰物；</w:t>
      </w:r>
    </w:p>
    <w:p w14:paraId="3C40130C">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2）在有凹凸或曲折变化的建筑上设置，改变建筑形态特征；</w:t>
      </w:r>
    </w:p>
    <w:p w14:paraId="6E680EB5">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3）在有柱廊、骑楼或底层以上有出挑结构的建筑上设置，户外招牌出挑部分离地高度大于3m时，在廊道</w:t>
      </w:r>
      <w:r>
        <w:rPr>
          <w:rFonts w:hint="eastAsia" w:ascii="宋体" w:hAnsi="宋体" w:eastAsia="宋体" w:cs="宋体"/>
          <w:color w:val="auto"/>
          <w:highlight w:val="none"/>
          <w:lang w:val="en-US" w:eastAsia="zh-CN"/>
        </w:rPr>
        <w:t>外</w:t>
      </w:r>
      <w:r>
        <w:rPr>
          <w:rFonts w:hint="eastAsia" w:ascii="宋体" w:hAnsi="宋体" w:eastAsia="宋体" w:cs="宋体"/>
          <w:color w:val="auto"/>
          <w:highlight w:val="none"/>
        </w:rPr>
        <w:t>侧设置；</w:t>
      </w:r>
    </w:p>
    <w:p w14:paraId="2036AE6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4）在坡屋顶建筑的山墙面上设置，破坏屋面及山墙轮廓线；</w:t>
      </w:r>
    </w:p>
    <w:p w14:paraId="2DA2CEB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5）超出建筑6层或者18m以上部位，或者在建筑出入口</w:t>
      </w:r>
      <w:r>
        <w:rPr>
          <w:rFonts w:hint="eastAsia" w:ascii="宋体" w:hAnsi="宋体" w:eastAsia="宋体" w:cs="宋体"/>
          <w:color w:val="auto"/>
          <w:highlight w:val="none"/>
          <w:lang w:eastAsia="zh-CN"/>
        </w:rPr>
        <w:t>雨篷</w:t>
      </w:r>
      <w:r>
        <w:rPr>
          <w:rFonts w:hint="eastAsia" w:ascii="宋体" w:hAnsi="宋体" w:eastAsia="宋体" w:cs="宋体"/>
          <w:color w:val="auto"/>
          <w:highlight w:val="none"/>
        </w:rPr>
        <w:t>上设置，采用</w:t>
      </w:r>
      <w:r>
        <w:rPr>
          <w:rFonts w:hint="eastAsia" w:ascii="宋体" w:hAnsi="宋体" w:eastAsia="宋体" w:cs="宋体"/>
          <w:color w:val="auto"/>
          <w:highlight w:val="none"/>
          <w:lang w:val="en-US" w:eastAsia="zh-CN"/>
        </w:rPr>
        <w:t>除</w:t>
      </w:r>
      <w:r>
        <w:rPr>
          <w:rFonts w:hint="eastAsia" w:ascii="宋体" w:hAnsi="宋体" w:eastAsia="宋体" w:cs="宋体"/>
          <w:color w:val="auto"/>
          <w:highlight w:val="none"/>
        </w:rPr>
        <w:t>字符</w:t>
      </w:r>
      <w:r>
        <w:rPr>
          <w:rFonts w:hint="eastAsia" w:ascii="宋体" w:hAnsi="宋体" w:eastAsia="宋体" w:cs="宋体"/>
          <w:color w:val="auto"/>
          <w:highlight w:val="none"/>
          <w:lang w:val="en-US" w:eastAsia="zh-CN"/>
        </w:rPr>
        <w:t>的其他形</w:t>
      </w:r>
      <w:r>
        <w:rPr>
          <w:rFonts w:hint="eastAsia" w:ascii="宋体" w:hAnsi="宋体" w:eastAsia="宋体" w:cs="宋体"/>
          <w:color w:val="auto"/>
          <w:highlight w:val="none"/>
        </w:rPr>
        <w:t>式；</w:t>
      </w:r>
    </w:p>
    <w:p w14:paraId="58CB1716">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6）使用动态视频或者音频方式。</w:t>
      </w:r>
    </w:p>
    <w:p w14:paraId="62C04D6A">
      <w:pPr>
        <w:pStyle w:val="71"/>
        <w:spacing w:before="120" w:after="120"/>
        <w:rPr>
          <w:rFonts w:hint="eastAsia" w:ascii="宋体" w:hAnsi="宋体" w:eastAsia="宋体" w:cs="宋体"/>
          <w:color w:val="auto"/>
          <w:highlight w:val="none"/>
        </w:rPr>
      </w:pPr>
      <w:bookmarkStart w:id="132" w:name="_Toc160183780"/>
      <w:bookmarkStart w:id="133" w:name="_Toc23079"/>
      <w:bookmarkStart w:id="134" w:name="_Toc17855"/>
      <w:r>
        <w:rPr>
          <w:rFonts w:hint="eastAsia" w:ascii="宋体" w:hAnsi="宋体" w:eastAsia="宋体" w:cs="宋体"/>
          <w:color w:val="auto"/>
          <w:highlight w:val="none"/>
        </w:rPr>
        <w:t>户外招牌内容应符合下列要求：</w:t>
      </w:r>
      <w:bookmarkEnd w:id="132"/>
      <w:bookmarkEnd w:id="133"/>
      <w:bookmarkEnd w:id="134"/>
    </w:p>
    <w:p w14:paraId="144544F5">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1）户外招牌内容合法、真实、健康。以规范汉字为基本用字，同时使用外国文字的符合译写规范，与中文意思相符，版面构图以汉字为主、外国文字为辅，不单独使用外国文字（企业注册标识除外）；</w:t>
      </w:r>
    </w:p>
    <w:p w14:paraId="6936AEC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2）户外招牌使用的名称、标识等内容，与营业执照、商标注册证或者其他证明主体资格、知识产权合法有效的文件核定的名称和图案、文字相符合；</w:t>
      </w:r>
    </w:p>
    <w:p w14:paraId="41F8BB4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3）属于依法特许连锁经营性质的加盟店，或者依法取得商标使用许可的单位，可以在户外招牌上显示连锁经营名称或者商标标识；</w:t>
      </w:r>
    </w:p>
    <w:p w14:paraId="0A65409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4）户外招牌内容中可以含有与名称、标识相关的概括表述，不含具体特定的商品名称、服务项目；</w:t>
      </w:r>
    </w:p>
    <w:p w14:paraId="632DA8E9">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5）设置建筑物名称招牌的，以地名管理部门批准的地名内容为准；</w:t>
      </w:r>
    </w:p>
    <w:p w14:paraId="61A80D96">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6）超出上述界限，对商品或者服务项目做具体宣传的，按照户外广告实施管理。</w:t>
      </w:r>
    </w:p>
    <w:bookmarkEnd w:id="84"/>
    <w:bookmarkEnd w:id="85"/>
    <w:bookmarkEnd w:id="86"/>
    <w:bookmarkEnd w:id="87"/>
    <w:bookmarkEnd w:id="95"/>
    <w:p w14:paraId="064A1745">
      <w:pPr>
        <w:pStyle w:val="72"/>
        <w:spacing w:before="240" w:after="240"/>
        <w:rPr>
          <w:color w:val="auto"/>
          <w:highlight w:val="none"/>
        </w:rPr>
      </w:pPr>
      <w:bookmarkStart w:id="135" w:name="_Toc15882"/>
      <w:bookmarkStart w:id="136" w:name="_Toc32201"/>
      <w:bookmarkStart w:id="137" w:name="_Toc500938716"/>
      <w:bookmarkStart w:id="138" w:name="_Toc500955134"/>
      <w:bookmarkStart w:id="139" w:name="_Toc502157209"/>
      <w:r>
        <w:rPr>
          <w:rFonts w:hint="eastAsia"/>
          <w:color w:val="auto"/>
          <w:highlight w:val="none"/>
        </w:rPr>
        <w:t>户外广告设施设置要求</w:t>
      </w:r>
      <w:bookmarkEnd w:id="135"/>
      <w:bookmarkEnd w:id="136"/>
    </w:p>
    <w:p w14:paraId="4CB8DD40">
      <w:pPr>
        <w:pStyle w:val="71"/>
        <w:spacing w:before="120" w:after="120"/>
        <w:rPr>
          <w:color w:val="auto"/>
          <w:highlight w:val="none"/>
        </w:rPr>
      </w:pPr>
      <w:bookmarkStart w:id="140" w:name="_Toc145513591"/>
      <w:bookmarkStart w:id="141" w:name="_Toc4588"/>
      <w:r>
        <w:rPr>
          <w:rFonts w:hint="eastAsia"/>
          <w:color w:val="auto"/>
          <w:highlight w:val="none"/>
        </w:rPr>
        <w:t>附属式户外广告</w:t>
      </w:r>
      <w:r>
        <w:rPr>
          <w:rFonts w:hint="eastAsia"/>
          <w:color w:val="auto"/>
          <w:highlight w:val="none"/>
        </w:rPr>
        <w:t>设施</w:t>
      </w:r>
      <w:bookmarkEnd w:id="140"/>
      <w:bookmarkEnd w:id="141"/>
    </w:p>
    <w:p w14:paraId="747DD645">
      <w:pPr>
        <w:pStyle w:val="75"/>
        <w:spacing w:before="120" w:after="120"/>
        <w:rPr>
          <w:rFonts w:hint="eastAsia" w:ascii="宋体" w:hAnsi="宋体" w:eastAsia="宋体" w:cs="宋体"/>
          <w:color w:val="auto"/>
          <w:highlight w:val="none"/>
        </w:rPr>
      </w:pPr>
      <w:bookmarkStart w:id="142" w:name="_Toc9538"/>
      <w:bookmarkStart w:id="143" w:name="_Toc19183"/>
      <w:bookmarkStart w:id="144" w:name="_Toc160183789"/>
      <w:r>
        <w:rPr>
          <w:rFonts w:hint="eastAsia" w:ascii="宋体" w:hAnsi="宋体" w:eastAsia="宋体" w:cs="宋体"/>
          <w:color w:val="auto"/>
          <w:highlight w:val="none"/>
        </w:rPr>
        <w:t>平行</w:t>
      </w:r>
      <w:r>
        <w:rPr>
          <w:rFonts w:hint="eastAsia" w:ascii="宋体" w:hAnsi="宋体" w:eastAsia="宋体" w:cs="宋体"/>
          <w:color w:val="auto"/>
          <w:highlight w:val="none"/>
        </w:rPr>
        <w:t>于墙面设置的户外广告设施应符合下列规定：</w:t>
      </w:r>
      <w:bookmarkEnd w:id="142"/>
      <w:bookmarkEnd w:id="143"/>
      <w:bookmarkEnd w:id="144"/>
    </w:p>
    <w:p w14:paraId="04991719">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eastAsia="宋体" w:cs="宋体"/>
          <w:color w:val="auto"/>
          <w:highlight w:val="none"/>
        </w:rPr>
        <w:tab/>
      </w:r>
      <w:r>
        <w:rPr>
          <w:rFonts w:hint="eastAsia" w:ascii="宋体" w:hAnsi="宋体" w:eastAsia="宋体" w:cs="宋体"/>
          <w:color w:val="auto"/>
          <w:highlight w:val="none"/>
        </w:rPr>
        <w:t>展示区</w:t>
      </w:r>
      <w:r>
        <w:rPr>
          <w:rFonts w:hint="eastAsia" w:ascii="宋体" w:hAnsi="宋体" w:eastAsia="宋体" w:cs="宋体"/>
          <w:color w:val="auto"/>
          <w:highlight w:val="none"/>
        </w:rPr>
        <w:t>内的高度60 m以上的外墙不设置</w:t>
      </w:r>
      <w:r>
        <w:rPr>
          <w:rFonts w:hint="eastAsia" w:hAnsi="宋体" w:cs="宋体"/>
          <w:color w:val="auto"/>
          <w:highlight w:val="none"/>
          <w:lang w:eastAsia="zh-CN"/>
        </w:rPr>
        <w:t>，</w:t>
      </w:r>
      <w:r>
        <w:rPr>
          <w:rFonts w:hint="eastAsia" w:ascii="宋体" w:hAnsi="宋体" w:eastAsia="宋体" w:cs="宋体"/>
          <w:color w:val="auto"/>
          <w:highlight w:val="none"/>
          <w:lang w:eastAsia="zh-CN"/>
        </w:rPr>
        <w:t>限设区</w:t>
      </w:r>
      <w:r>
        <w:rPr>
          <w:rFonts w:hint="eastAsia" w:ascii="宋体" w:hAnsi="宋体" w:eastAsia="宋体" w:cs="宋体"/>
          <w:color w:val="auto"/>
          <w:highlight w:val="none"/>
        </w:rPr>
        <w:t>内的高度24 m以上的外墙不设置；</w:t>
      </w:r>
    </w:p>
    <w:p w14:paraId="23EB671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w:t>
      </w:r>
      <w:r>
        <w:rPr>
          <w:rFonts w:hint="eastAsia" w:ascii="宋体" w:hAnsi="宋体" w:eastAsia="宋体" w:cs="宋体"/>
          <w:color w:val="auto"/>
          <w:highlight w:val="none"/>
        </w:rPr>
        <w:tab/>
      </w:r>
      <w:r>
        <w:rPr>
          <w:rFonts w:hint="eastAsia" w:ascii="宋体" w:hAnsi="宋体" w:eastAsia="宋体" w:cs="宋体"/>
          <w:color w:val="auto"/>
          <w:highlight w:val="none"/>
        </w:rPr>
        <w:t>宽度应与墙面相协调，四周不超出墙面外轮廓线。</w:t>
      </w:r>
    </w:p>
    <w:p w14:paraId="6F31C08A">
      <w:pPr>
        <w:pStyle w:val="75"/>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平行于墙面设置的户外广告设施</w:t>
      </w:r>
      <w:r>
        <w:rPr>
          <w:rFonts w:hint="eastAsia" w:ascii="宋体" w:hAnsi="宋体" w:eastAsia="宋体" w:cs="宋体"/>
          <w:color w:val="auto"/>
          <w:highlight w:val="none"/>
          <w:lang w:val="en-US" w:eastAsia="zh-CN"/>
        </w:rPr>
        <w:t>宜</w:t>
      </w:r>
      <w:r>
        <w:rPr>
          <w:rFonts w:hint="eastAsia" w:ascii="宋体" w:hAnsi="宋体" w:eastAsia="宋体" w:cs="宋体"/>
          <w:color w:val="auto"/>
          <w:highlight w:val="none"/>
        </w:rPr>
        <w:t>符合下列规定：</w:t>
      </w:r>
    </w:p>
    <w:p w14:paraId="1C8CB9B9">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 设置在多层建筑墙面和高层建筑的裙楼墙面；</w:t>
      </w:r>
    </w:p>
    <w:p w14:paraId="2C9E0016">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 同一墙面上的广告总面积</w:t>
      </w:r>
      <w:r>
        <w:rPr>
          <w:rFonts w:hint="eastAsia" w:ascii="宋体" w:hAnsi="宋体" w:eastAsia="宋体" w:cs="宋体"/>
          <w:color w:val="auto"/>
          <w:highlight w:val="none"/>
          <w:lang w:val="en-US" w:eastAsia="zh-CN"/>
        </w:rPr>
        <w:t>小</w:t>
      </w:r>
      <w:r>
        <w:rPr>
          <w:rFonts w:hint="eastAsia" w:ascii="宋体" w:hAnsi="宋体" w:eastAsia="宋体" w:cs="宋体"/>
          <w:color w:val="auto"/>
          <w:highlight w:val="none"/>
        </w:rPr>
        <w:t>于该墙外立面面积的30％（</w:t>
      </w:r>
      <w:r>
        <w:rPr>
          <w:rFonts w:hint="eastAsia" w:ascii="宋体" w:hAnsi="宋体" w:eastAsia="宋体" w:cs="宋体"/>
          <w:color w:val="auto"/>
          <w:highlight w:val="none"/>
        </w:rPr>
        <w:t>展示区</w:t>
      </w:r>
      <w:r>
        <w:rPr>
          <w:rFonts w:hint="eastAsia" w:ascii="宋体" w:hAnsi="宋体" w:eastAsia="宋体" w:cs="宋体"/>
          <w:color w:val="auto"/>
          <w:highlight w:val="none"/>
        </w:rPr>
        <w:t>经专家论证后除外）；</w:t>
      </w:r>
    </w:p>
    <w:p w14:paraId="09CAC962">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垂直方向突出墙面距离</w:t>
      </w:r>
      <w:r>
        <w:rPr>
          <w:rFonts w:hint="eastAsia" w:ascii="宋体" w:hAnsi="宋体" w:eastAsia="宋体" w:cs="宋体"/>
          <w:color w:val="auto"/>
          <w:highlight w:val="none"/>
          <w:lang w:val="en-US" w:eastAsia="zh-CN"/>
        </w:rPr>
        <w:t>小</w:t>
      </w:r>
      <w:r>
        <w:rPr>
          <w:rFonts w:hint="eastAsia" w:ascii="宋体" w:hAnsi="宋体" w:eastAsia="宋体" w:cs="宋体"/>
          <w:color w:val="auto"/>
          <w:highlight w:val="none"/>
        </w:rPr>
        <w:t>于0.5m，突出于道路上方设置的户外广告设施不妨碍行人、车辆通行安全。</w:t>
      </w:r>
    </w:p>
    <w:p w14:paraId="383565DD">
      <w:pPr>
        <w:pStyle w:val="75"/>
        <w:spacing w:before="120" w:after="120"/>
        <w:rPr>
          <w:rFonts w:hint="eastAsia" w:ascii="宋体" w:hAnsi="宋体" w:eastAsia="宋体" w:cs="宋体"/>
          <w:color w:val="auto"/>
          <w:highlight w:val="none"/>
        </w:rPr>
      </w:pPr>
      <w:bookmarkStart w:id="145" w:name="_Toc10264"/>
      <w:bookmarkStart w:id="146" w:name="_Toc30466"/>
      <w:r>
        <w:rPr>
          <w:rFonts w:hint="eastAsia" w:ascii="宋体" w:hAnsi="宋体" w:eastAsia="宋体" w:cs="宋体"/>
          <w:color w:val="auto"/>
          <w:highlight w:val="none"/>
        </w:rPr>
        <w:t>除</w:t>
      </w:r>
      <w:r>
        <w:rPr>
          <w:rFonts w:hint="eastAsia" w:ascii="宋体" w:hAnsi="宋体" w:eastAsia="宋体" w:cs="宋体"/>
          <w:color w:val="auto"/>
          <w:highlight w:val="none"/>
        </w:rPr>
        <w:t>展示区</w:t>
      </w:r>
      <w:r>
        <w:rPr>
          <w:rFonts w:hint="eastAsia" w:ascii="宋体" w:hAnsi="宋体" w:eastAsia="宋体" w:cs="宋体"/>
          <w:color w:val="auto"/>
          <w:highlight w:val="none"/>
        </w:rPr>
        <w:t>综合商业体内街、步行街外</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其他</w:t>
      </w:r>
      <w:r>
        <w:rPr>
          <w:rFonts w:hint="eastAsia" w:ascii="宋体" w:hAnsi="宋体" w:eastAsia="宋体" w:cs="宋体"/>
          <w:color w:val="auto"/>
          <w:highlight w:val="none"/>
          <w:lang w:eastAsia="zh-CN"/>
        </w:rPr>
        <w:t>不应</w:t>
      </w:r>
      <w:r>
        <w:rPr>
          <w:rFonts w:hint="eastAsia" w:ascii="宋体" w:hAnsi="宋体" w:eastAsia="宋体" w:cs="宋体"/>
          <w:color w:val="auto"/>
          <w:highlight w:val="none"/>
        </w:rPr>
        <w:t>设置垂直于墙面设置的户外广告设施。</w:t>
      </w:r>
      <w:bookmarkEnd w:id="145"/>
      <w:bookmarkEnd w:id="146"/>
    </w:p>
    <w:p w14:paraId="4E4D2CA6">
      <w:pPr>
        <w:pStyle w:val="75"/>
        <w:spacing w:before="120" w:after="120"/>
        <w:rPr>
          <w:rFonts w:hint="eastAsia" w:ascii="宋体" w:hAnsi="宋体" w:eastAsia="宋体" w:cs="宋体"/>
          <w:color w:val="auto"/>
          <w:highlight w:val="none"/>
        </w:rPr>
      </w:pPr>
      <w:bookmarkStart w:id="147" w:name="_Toc3796"/>
      <w:bookmarkStart w:id="148" w:name="_Toc17526"/>
      <w:bookmarkStart w:id="149" w:name="_Toc160183791"/>
      <w:r>
        <w:rPr>
          <w:rFonts w:hint="eastAsia" w:ascii="宋体" w:hAnsi="宋体" w:eastAsia="宋体" w:cs="宋体"/>
          <w:color w:val="auto"/>
          <w:highlight w:val="none"/>
        </w:rPr>
        <w:t>墙面设置的户外广告设施不宜突出道路红线或用地红线，不应妨碍行人、车辆通行安全。当必须突出道路红线设置时，应经当地主管部门批准，并应符合下列规定：</w:t>
      </w:r>
      <w:bookmarkEnd w:id="147"/>
      <w:bookmarkEnd w:id="148"/>
      <w:bookmarkEnd w:id="149"/>
    </w:p>
    <w:p w14:paraId="022F59BB">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1）当位于人行道上空时，3m以下，不突出；3m及以上，突出的深度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0.6m</w:t>
      </w:r>
      <w:r>
        <w:rPr>
          <w:rFonts w:hint="eastAsia" w:ascii="宋体" w:hAnsi="宋体" w:eastAsia="宋体" w:cs="宋体"/>
          <w:color w:val="auto"/>
          <w:highlight w:val="none"/>
          <w:lang w:eastAsia="zh-CN"/>
        </w:rPr>
        <w:t>；</w:t>
      </w:r>
    </w:p>
    <w:p w14:paraId="3CA779F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2）当位于无人行道的路面上空时，4m以下，不突出；4m及以上，突出的深度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0.6m。</w:t>
      </w:r>
    </w:p>
    <w:p w14:paraId="61571149">
      <w:pPr>
        <w:pStyle w:val="75"/>
        <w:spacing w:before="120" w:after="120"/>
        <w:rPr>
          <w:rFonts w:hint="eastAsia" w:ascii="宋体" w:hAnsi="宋体" w:eastAsia="宋体" w:cs="宋体"/>
          <w:color w:val="auto"/>
          <w:highlight w:val="none"/>
        </w:rPr>
      </w:pPr>
      <w:bookmarkStart w:id="150" w:name="_Toc27753"/>
      <w:bookmarkStart w:id="151" w:name="_Toc5548"/>
      <w:bookmarkStart w:id="152" w:name="_Toc160183792"/>
      <w:r>
        <w:rPr>
          <w:rFonts w:hint="eastAsia" w:ascii="宋体" w:hAnsi="宋体" w:eastAsia="宋体" w:cs="宋体"/>
          <w:color w:val="auto"/>
          <w:highlight w:val="none"/>
        </w:rPr>
        <w:t>围墙上设置的户外广告设施应符合下列规定：</w:t>
      </w:r>
      <w:bookmarkEnd w:id="150"/>
      <w:bookmarkEnd w:id="151"/>
      <w:bookmarkEnd w:id="152"/>
    </w:p>
    <w:p w14:paraId="59858951">
      <w:pPr>
        <w:pStyle w:val="73"/>
        <w:numPr>
          <w:ilvl w:val="0"/>
          <w:numId w:val="13"/>
        </w:numPr>
        <w:ind w:firstLineChars="0"/>
        <w:rPr>
          <w:rFonts w:hint="eastAsia" w:ascii="宋体" w:hAnsi="宋体" w:eastAsia="宋体" w:cs="宋体"/>
          <w:color w:val="auto"/>
          <w:highlight w:val="none"/>
        </w:rPr>
      </w:pPr>
      <w:r>
        <w:rPr>
          <w:rFonts w:hint="eastAsia" w:ascii="宋体" w:hAnsi="宋体" w:eastAsia="宋体" w:cs="宋体"/>
          <w:color w:val="auto"/>
          <w:highlight w:val="none"/>
        </w:rPr>
        <w:t>突出墙面的距离小于0.1m；</w:t>
      </w:r>
    </w:p>
    <w:p w14:paraId="31921425">
      <w:pPr>
        <w:pStyle w:val="73"/>
        <w:numPr>
          <w:ilvl w:val="0"/>
          <w:numId w:val="13"/>
        </w:numPr>
        <w:ind w:firstLineChars="0"/>
        <w:rPr>
          <w:rFonts w:hint="eastAsia" w:ascii="宋体" w:hAnsi="宋体" w:eastAsia="宋体" w:cs="宋体"/>
          <w:color w:val="auto"/>
          <w:highlight w:val="none"/>
        </w:rPr>
      </w:pPr>
      <w:r>
        <w:rPr>
          <w:rFonts w:hint="eastAsia" w:ascii="宋体" w:hAnsi="宋体" w:eastAsia="宋体" w:cs="宋体"/>
          <w:color w:val="auto"/>
          <w:highlight w:val="none"/>
        </w:rPr>
        <w:t>上缘不超出围墙顶部，宽度小于围墙柱墩之间的实墙面。</w:t>
      </w:r>
    </w:p>
    <w:p w14:paraId="3A345724">
      <w:pPr>
        <w:pStyle w:val="75"/>
        <w:spacing w:before="120" w:after="120"/>
        <w:rPr>
          <w:rFonts w:hint="eastAsia" w:ascii="宋体" w:hAnsi="宋体" w:eastAsia="宋体" w:cs="宋体"/>
          <w:color w:val="auto"/>
          <w:highlight w:val="none"/>
        </w:rPr>
      </w:pPr>
      <w:bookmarkStart w:id="153" w:name="_Toc12365"/>
      <w:bookmarkStart w:id="154" w:name="_Toc14586"/>
      <w:bookmarkStart w:id="155" w:name="_Toc160183793"/>
      <w:r>
        <w:rPr>
          <w:rFonts w:hint="eastAsia" w:ascii="宋体" w:hAnsi="宋体" w:eastAsia="宋体" w:cs="宋体"/>
          <w:color w:val="auto"/>
          <w:highlight w:val="none"/>
        </w:rPr>
        <w:t>玻璃幕墙上设置的贴膜广告应符合下列规定：</w:t>
      </w:r>
      <w:bookmarkEnd w:id="153"/>
      <w:bookmarkEnd w:id="154"/>
      <w:bookmarkEnd w:id="155"/>
    </w:p>
    <w:p w14:paraId="765EB98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1）可移胶性能满足无痕拆除的需要；</w:t>
      </w:r>
    </w:p>
    <w:p w14:paraId="4BBA9E6E">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2）上刊、下刊不造成玻璃松动、破损、划痕，拆除后不留有残胶</w:t>
      </w:r>
      <w:r>
        <w:rPr>
          <w:rFonts w:hint="eastAsia" w:ascii="宋体" w:hAnsi="宋体" w:eastAsia="宋体" w:cs="宋体"/>
          <w:color w:val="auto"/>
          <w:highlight w:val="none"/>
          <w:lang w:eastAsia="zh-CN"/>
        </w:rPr>
        <w:t>。</w:t>
      </w:r>
    </w:p>
    <w:p w14:paraId="2C6B064E">
      <w:pPr>
        <w:pStyle w:val="75"/>
        <w:spacing w:before="120" w:after="120"/>
        <w:rPr>
          <w:rFonts w:hint="eastAsia" w:ascii="宋体" w:hAnsi="宋体" w:eastAsia="宋体" w:cs="宋体"/>
          <w:color w:val="auto"/>
          <w:highlight w:val="none"/>
        </w:rPr>
      </w:pPr>
      <w:bookmarkStart w:id="156" w:name="_Toc7836"/>
      <w:bookmarkStart w:id="157" w:name="_Toc29198"/>
      <w:r>
        <w:rPr>
          <w:rFonts w:hint="eastAsia" w:ascii="宋体" w:hAnsi="宋体" w:eastAsia="宋体" w:cs="宋体"/>
          <w:color w:val="auto"/>
          <w:highlight w:val="none"/>
        </w:rPr>
        <w:t>橱窗广告应符合下列规定：</w:t>
      </w:r>
      <w:bookmarkEnd w:id="156"/>
      <w:bookmarkEnd w:id="157"/>
    </w:p>
    <w:p w14:paraId="14DBB263">
      <w:pPr>
        <w:pStyle w:val="73"/>
        <w:numPr>
          <w:ilvl w:val="0"/>
          <w:numId w:val="14"/>
        </w:numPr>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仅限于实物或创意造型展示</w:t>
      </w:r>
      <w:r>
        <w:rPr>
          <w:rFonts w:hint="eastAsia" w:ascii="宋体" w:hAnsi="宋体" w:eastAsia="宋体" w:cs="宋体"/>
          <w:color w:val="auto"/>
          <w:highlight w:val="none"/>
          <w:lang w:eastAsia="zh-CN"/>
        </w:rPr>
        <w:t>；</w:t>
      </w:r>
    </w:p>
    <w:p w14:paraId="28F143C6">
      <w:pPr>
        <w:pStyle w:val="73"/>
        <w:numPr>
          <w:ilvl w:val="0"/>
          <w:numId w:val="14"/>
        </w:numPr>
        <w:ind w:firstLine="420"/>
        <w:rPr>
          <w:rFonts w:hint="eastAsia" w:ascii="宋体" w:hAnsi="宋体" w:eastAsia="宋体" w:cs="宋体"/>
          <w:color w:val="auto"/>
          <w:highlight w:val="none"/>
        </w:rPr>
      </w:pPr>
      <w:r>
        <w:rPr>
          <w:rFonts w:hint="eastAsia" w:ascii="宋体" w:hAnsi="宋体" w:eastAsia="宋体" w:cs="宋体"/>
          <w:color w:val="auto"/>
          <w:highlight w:val="none"/>
        </w:rPr>
        <w:t>不利用橱窗</w:t>
      </w:r>
      <w:r>
        <w:rPr>
          <w:rFonts w:hint="eastAsia" w:hAnsi="宋体" w:cs="宋体"/>
          <w:color w:val="auto"/>
          <w:highlight w:val="none"/>
          <w:lang w:val="en-US" w:eastAsia="zh-CN"/>
        </w:rPr>
        <w:t>内部</w:t>
      </w:r>
      <w:r>
        <w:rPr>
          <w:rFonts w:hint="eastAsia" w:ascii="宋体" w:hAnsi="宋体" w:eastAsia="宋体" w:cs="宋体"/>
          <w:color w:val="auto"/>
          <w:highlight w:val="none"/>
        </w:rPr>
        <w:t>变相设置户外电子显示屏广告。</w:t>
      </w:r>
    </w:p>
    <w:p w14:paraId="56C5FAE1">
      <w:pPr>
        <w:pStyle w:val="75"/>
        <w:spacing w:before="120" w:after="120"/>
        <w:rPr>
          <w:rFonts w:hint="eastAsia" w:ascii="宋体" w:hAnsi="宋体" w:eastAsia="宋体" w:cs="宋体"/>
          <w:color w:val="auto"/>
          <w:highlight w:val="none"/>
        </w:rPr>
      </w:pPr>
      <w:bookmarkStart w:id="158" w:name="_Toc160183795"/>
      <w:bookmarkStart w:id="159" w:name="_Toc656"/>
      <w:bookmarkStart w:id="160" w:name="_Toc3550"/>
      <w:r>
        <w:rPr>
          <w:rFonts w:hint="eastAsia" w:ascii="宋体" w:hAnsi="宋体" w:eastAsia="宋体" w:cs="宋体"/>
          <w:color w:val="auto"/>
          <w:highlight w:val="none"/>
        </w:rPr>
        <w:t>灯杆上设置的户外广告设施应符合下列规定：</w:t>
      </w:r>
      <w:bookmarkEnd w:id="158"/>
      <w:bookmarkEnd w:id="159"/>
      <w:bookmarkEnd w:id="160"/>
    </w:p>
    <w:p w14:paraId="497BBC75">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）同一道路，只在同一种灯杆上设置广告，单根灯杆上广告设施数量不超过2个，不重叠设置；同一路段的灯杆上设置的广告做到形式、尺寸、位置一致，并与周围景观相协调</w:t>
      </w:r>
      <w:r>
        <w:rPr>
          <w:rFonts w:hint="eastAsia" w:ascii="宋体" w:hAnsi="宋体" w:eastAsia="宋体" w:cs="宋体"/>
          <w:color w:val="auto"/>
          <w:highlight w:val="none"/>
          <w:lang w:eastAsia="zh-CN"/>
        </w:rPr>
        <w:t>；</w:t>
      </w:r>
    </w:p>
    <w:p w14:paraId="7AF6BC24">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）广告设施高度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2.4m，宽度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1m</w:t>
      </w:r>
      <w:r>
        <w:rPr>
          <w:rFonts w:hint="eastAsia" w:ascii="宋体" w:hAnsi="宋体" w:eastAsia="宋体" w:cs="宋体"/>
          <w:color w:val="auto"/>
          <w:highlight w:val="none"/>
          <w:lang w:eastAsia="zh-CN"/>
        </w:rPr>
        <w:t>；</w:t>
      </w:r>
    </w:p>
    <w:p w14:paraId="14766CE5">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）灯杆广告固定抱箍应与灯杆表面形状吻合，抱箍、紧固螺栓宜采用不锈钢材质，抱箍与灯杆的贴合面积</w:t>
      </w:r>
      <w:r>
        <w:rPr>
          <w:rFonts w:hint="eastAsia" w:ascii="宋体" w:hAnsi="宋体" w:eastAsia="宋体" w:cs="宋体"/>
          <w:color w:val="auto"/>
          <w:highlight w:val="none"/>
          <w:lang w:val="en-US" w:eastAsia="zh-CN"/>
        </w:rPr>
        <w:t>大于</w:t>
      </w:r>
      <w:r>
        <w:rPr>
          <w:rFonts w:hint="eastAsia" w:ascii="宋体" w:hAnsi="宋体" w:eastAsia="宋体" w:cs="宋体"/>
          <w:color w:val="auto"/>
          <w:highlight w:val="none"/>
        </w:rPr>
        <w:t>70%。</w:t>
      </w:r>
    </w:p>
    <w:p w14:paraId="47B73152">
      <w:pPr>
        <w:pStyle w:val="75"/>
        <w:spacing w:before="120" w:after="120"/>
        <w:rPr>
          <w:rFonts w:hint="eastAsia" w:ascii="宋体" w:hAnsi="宋体" w:eastAsia="宋体" w:cs="宋体"/>
          <w:color w:val="auto"/>
          <w:highlight w:val="none"/>
        </w:rPr>
      </w:pPr>
      <w:bookmarkStart w:id="161" w:name="_Toc160183798"/>
      <w:bookmarkStart w:id="162" w:name="_Toc12221"/>
      <w:bookmarkStart w:id="163" w:name="_Toc1973"/>
      <w:r>
        <w:rPr>
          <w:rFonts w:hint="eastAsia" w:ascii="宋体" w:hAnsi="宋体" w:eastAsia="宋体" w:cs="宋体"/>
          <w:color w:val="auto"/>
          <w:highlight w:val="none"/>
        </w:rPr>
        <w:t>公交候车亭广告牌面总面积不应超过候车亭立面总面积的60%，并应确保公共交通信息清晰、醒目。</w:t>
      </w:r>
      <w:bookmarkEnd w:id="161"/>
      <w:bookmarkEnd w:id="162"/>
      <w:bookmarkEnd w:id="163"/>
    </w:p>
    <w:p w14:paraId="3A25C1DA">
      <w:pPr>
        <w:pStyle w:val="71"/>
        <w:spacing w:before="120" w:after="120"/>
        <w:rPr>
          <w:color w:val="auto"/>
          <w:highlight w:val="none"/>
        </w:rPr>
      </w:pPr>
      <w:bookmarkStart w:id="164" w:name="_Toc28242"/>
      <w:bookmarkStart w:id="165" w:name="_Toc145513592"/>
      <w:r>
        <w:rPr>
          <w:rFonts w:hint="eastAsia"/>
          <w:color w:val="auto"/>
          <w:highlight w:val="none"/>
        </w:rPr>
        <w:t>独立式户外广告设施</w:t>
      </w:r>
      <w:bookmarkEnd w:id="164"/>
      <w:bookmarkEnd w:id="165"/>
    </w:p>
    <w:p w14:paraId="1BD92E16">
      <w:pPr>
        <w:pStyle w:val="75"/>
        <w:spacing w:before="120" w:after="120"/>
        <w:rPr>
          <w:rFonts w:hint="eastAsia" w:ascii="宋体" w:hAnsi="宋体" w:eastAsia="宋体" w:cs="宋体"/>
          <w:color w:val="auto"/>
          <w:highlight w:val="none"/>
        </w:rPr>
      </w:pPr>
      <w:bookmarkStart w:id="166" w:name="_Toc160183802"/>
      <w:bookmarkStart w:id="167" w:name="_Toc29129"/>
      <w:bookmarkStart w:id="168" w:name="_Toc10212"/>
      <w:bookmarkStart w:id="169" w:name="_Toc20820"/>
      <w:r>
        <w:rPr>
          <w:rFonts w:hint="eastAsia" w:ascii="宋体" w:hAnsi="宋体" w:eastAsia="宋体" w:cs="宋体"/>
          <w:color w:val="auto"/>
          <w:highlight w:val="none"/>
        </w:rPr>
        <w:t>独立式户外广告设施设置后的人行通道净宽不应小于2.5m，车行通道净宽不应小于4.5m。</w:t>
      </w:r>
      <w:bookmarkEnd w:id="166"/>
      <w:bookmarkEnd w:id="167"/>
      <w:bookmarkEnd w:id="168"/>
    </w:p>
    <w:p w14:paraId="1943CEDD">
      <w:pPr>
        <w:pStyle w:val="75"/>
        <w:spacing w:before="120" w:after="120"/>
        <w:rPr>
          <w:rFonts w:hint="eastAsia" w:ascii="宋体" w:hAnsi="宋体" w:eastAsia="宋体" w:cs="宋体"/>
          <w:color w:val="auto"/>
          <w:highlight w:val="none"/>
        </w:rPr>
      </w:pPr>
      <w:bookmarkStart w:id="170" w:name="_Toc160183804"/>
      <w:bookmarkStart w:id="171" w:name="_Toc22017"/>
      <w:bookmarkStart w:id="172" w:name="_Toc3887"/>
      <w:r>
        <w:rPr>
          <w:rFonts w:hint="eastAsia" w:ascii="宋体" w:hAnsi="宋体" w:eastAsia="宋体" w:cs="宋体"/>
          <w:color w:val="auto"/>
          <w:highlight w:val="none"/>
        </w:rPr>
        <w:t>大型落地户外广告设施设置宜符合下列规定：</w:t>
      </w:r>
      <w:bookmarkEnd w:id="170"/>
      <w:bookmarkEnd w:id="171"/>
      <w:bookmarkEnd w:id="172"/>
    </w:p>
    <w:p w14:paraId="42C5C9B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1）除城市大中型广场和会展场所外，不设置在城市中心区，可设置高速公路入口及郊区公路两侧等区域；</w:t>
      </w:r>
    </w:p>
    <w:p w14:paraId="2CEC94A2">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2）广告设施整体高度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10m，宽度</w:t>
      </w:r>
      <w:r>
        <w:rPr>
          <w:rFonts w:hint="eastAsia" w:ascii="宋体" w:hAnsi="宋体" w:eastAsia="宋体" w:cs="宋体"/>
          <w:color w:val="auto"/>
          <w:highlight w:val="none"/>
          <w:lang w:val="en-US" w:eastAsia="zh-CN"/>
        </w:rPr>
        <w:t>小于</w:t>
      </w:r>
      <w:r>
        <w:rPr>
          <w:rFonts w:hint="eastAsia" w:ascii="宋体" w:hAnsi="宋体" w:eastAsia="宋体" w:cs="宋体"/>
          <w:color w:val="auto"/>
          <w:highlight w:val="none"/>
        </w:rPr>
        <w:t>30m，高度与宽度相适应。</w:t>
      </w:r>
    </w:p>
    <w:p w14:paraId="300F40A0">
      <w:pPr>
        <w:pStyle w:val="75"/>
        <w:spacing w:before="120" w:after="120"/>
        <w:rPr>
          <w:rFonts w:hint="eastAsia" w:ascii="宋体" w:hAnsi="宋体" w:eastAsia="宋体" w:cs="宋体"/>
          <w:color w:val="auto"/>
          <w:highlight w:val="none"/>
        </w:rPr>
      </w:pPr>
      <w:bookmarkStart w:id="173" w:name="_Toc28516"/>
      <w:bookmarkStart w:id="174" w:name="_Toc1526"/>
      <w:bookmarkStart w:id="175" w:name="_Toc160183805"/>
      <w:r>
        <w:rPr>
          <w:rFonts w:hint="eastAsia" w:ascii="宋体" w:hAnsi="宋体" w:eastAsia="宋体" w:cs="宋体"/>
          <w:color w:val="auto"/>
          <w:highlight w:val="none"/>
        </w:rPr>
        <w:t>小型落地式广告设施整体高度不应大于2.5m，宽度不应大于1.5m，厚度不应大于0.3m。</w:t>
      </w:r>
      <w:bookmarkEnd w:id="173"/>
      <w:bookmarkEnd w:id="174"/>
      <w:bookmarkEnd w:id="175"/>
    </w:p>
    <w:p w14:paraId="6BA443D5">
      <w:pPr>
        <w:pStyle w:val="75"/>
        <w:spacing w:before="120" w:after="120"/>
        <w:rPr>
          <w:rFonts w:hint="eastAsia" w:ascii="宋体" w:hAnsi="宋体" w:eastAsia="宋体" w:cs="宋体"/>
          <w:color w:val="auto"/>
          <w:highlight w:val="none"/>
        </w:rPr>
      </w:pPr>
      <w:bookmarkStart w:id="176" w:name="_Toc8599"/>
      <w:bookmarkStart w:id="177" w:name="_Toc14581"/>
      <w:bookmarkStart w:id="178" w:name="_Toc160183806"/>
      <w:r>
        <w:rPr>
          <w:rFonts w:hint="eastAsia" w:ascii="宋体" w:hAnsi="宋体" w:eastAsia="宋体" w:cs="宋体"/>
          <w:color w:val="auto"/>
          <w:highlight w:val="none"/>
        </w:rPr>
        <w:t>立体造型广告设施体量应与所处环境整体协调，经专家论证后方可实施。</w:t>
      </w:r>
      <w:bookmarkEnd w:id="176"/>
      <w:bookmarkEnd w:id="177"/>
      <w:bookmarkEnd w:id="178"/>
    </w:p>
    <w:bookmarkEnd w:id="169"/>
    <w:p w14:paraId="7B4B8F80">
      <w:pPr>
        <w:pStyle w:val="71"/>
        <w:spacing w:before="120" w:after="120"/>
        <w:rPr>
          <w:color w:val="auto"/>
          <w:highlight w:val="none"/>
        </w:rPr>
      </w:pPr>
      <w:bookmarkStart w:id="179" w:name="_Toc145513593"/>
      <w:bookmarkStart w:id="180" w:name="_Toc27818"/>
      <w:r>
        <w:rPr>
          <w:rFonts w:hint="eastAsia"/>
          <w:color w:val="auto"/>
          <w:highlight w:val="none"/>
        </w:rPr>
        <w:t>移动式户外广告设施</w:t>
      </w:r>
      <w:bookmarkEnd w:id="179"/>
      <w:bookmarkEnd w:id="180"/>
    </w:p>
    <w:p w14:paraId="602542F5">
      <w:pPr>
        <w:pStyle w:val="75"/>
        <w:spacing w:before="120" w:after="120"/>
        <w:rPr>
          <w:rFonts w:hint="eastAsia" w:ascii="宋体" w:hAnsi="宋体" w:eastAsia="宋体" w:cs="宋体"/>
          <w:color w:val="auto"/>
          <w:highlight w:val="none"/>
        </w:rPr>
      </w:pPr>
      <w:bookmarkStart w:id="181" w:name="_Toc18920"/>
      <w:bookmarkStart w:id="182" w:name="_Toc26359"/>
      <w:bookmarkStart w:id="183" w:name="_Toc160183811"/>
      <w:r>
        <w:rPr>
          <w:rFonts w:hint="eastAsia" w:ascii="宋体" w:hAnsi="宋体" w:eastAsia="宋体" w:cs="宋体"/>
          <w:color w:val="auto"/>
          <w:highlight w:val="none"/>
        </w:rPr>
        <w:t>车辆上设置的户外广告不应影响行车安全，</w:t>
      </w:r>
      <w:r>
        <w:rPr>
          <w:rFonts w:hint="eastAsia" w:ascii="宋体" w:hAnsi="宋体" w:eastAsia="宋体" w:cs="宋体"/>
          <w:color w:val="auto"/>
          <w:highlight w:val="none"/>
          <w:lang w:val="en-US" w:eastAsia="zh-CN"/>
        </w:rPr>
        <w:t>且</w:t>
      </w:r>
      <w:r>
        <w:rPr>
          <w:rFonts w:hint="eastAsia" w:ascii="宋体" w:hAnsi="宋体" w:eastAsia="宋体" w:cs="宋体"/>
          <w:color w:val="auto"/>
          <w:highlight w:val="none"/>
        </w:rPr>
        <w:t>不应出现以下情况：</w:t>
      </w:r>
      <w:bookmarkEnd w:id="181"/>
      <w:bookmarkEnd w:id="182"/>
      <w:bookmarkEnd w:id="183"/>
    </w:p>
    <w:p w14:paraId="27BAA5E6">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1）除轨道交通车辆、公共汽电车、出租汽车外，其他车辆设置经营性户外广告</w:t>
      </w:r>
      <w:r>
        <w:rPr>
          <w:rFonts w:hint="eastAsia" w:ascii="宋体" w:hAnsi="宋体" w:eastAsia="宋体" w:cs="宋体"/>
          <w:color w:val="auto"/>
          <w:highlight w:val="none"/>
          <w:lang w:eastAsia="zh-CN"/>
        </w:rPr>
        <w:t>；</w:t>
      </w:r>
    </w:p>
    <w:p w14:paraId="32F6DD75">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2）车顶、车头及车身两侧车窗设置户外广告，车后窗设置的户外广告影响安全驾驶；</w:t>
      </w:r>
    </w:p>
    <w:p w14:paraId="7933E5F6">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3）车身广告遮挡车辆号牌及车辆服务标识、车灯、经营者名称和监督电话等运营信息；</w:t>
      </w:r>
    </w:p>
    <w:p w14:paraId="29FBF77A">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4）使用反光材料，对原车颜色全部遮盖。</w:t>
      </w:r>
    </w:p>
    <w:p w14:paraId="2F2B3154">
      <w:pPr>
        <w:pStyle w:val="75"/>
        <w:spacing w:before="120" w:after="120"/>
        <w:rPr>
          <w:rFonts w:hint="eastAsia" w:ascii="宋体" w:hAnsi="宋体" w:eastAsia="宋体" w:cs="宋体"/>
          <w:color w:val="auto"/>
          <w:highlight w:val="none"/>
        </w:rPr>
      </w:pPr>
      <w:bookmarkStart w:id="184" w:name="_Toc160183812"/>
      <w:bookmarkStart w:id="185" w:name="_Toc5041"/>
      <w:bookmarkStart w:id="186" w:name="_Toc5344"/>
      <w:r>
        <w:rPr>
          <w:rFonts w:hint="eastAsia" w:ascii="宋体" w:hAnsi="宋体" w:eastAsia="宋体" w:cs="宋体"/>
          <w:color w:val="auto"/>
          <w:highlight w:val="none"/>
        </w:rPr>
        <w:t>船舶户外广告设施设置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不应出现以下情况：</w:t>
      </w:r>
      <w:bookmarkEnd w:id="184"/>
      <w:bookmarkEnd w:id="185"/>
      <w:bookmarkEnd w:id="186"/>
    </w:p>
    <w:p w14:paraId="4FA957EE">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1）除客渡船、旅游客船外，其他船舶设置经营性户外广告</w:t>
      </w:r>
      <w:r>
        <w:rPr>
          <w:rFonts w:hint="eastAsia" w:ascii="宋体" w:hAnsi="宋体" w:eastAsia="宋体" w:cs="宋体"/>
          <w:color w:val="auto"/>
          <w:highlight w:val="none"/>
          <w:lang w:eastAsia="zh-CN"/>
        </w:rPr>
        <w:t>；</w:t>
      </w:r>
    </w:p>
    <w:p w14:paraId="1C1FBF0F">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2）利用船舶等水上各类交通工具设置的户外广告设施，影响</w:t>
      </w:r>
      <w:r>
        <w:rPr>
          <w:rFonts w:hint="eastAsia" w:ascii="宋体" w:hAnsi="宋体" w:eastAsia="宋体" w:cs="宋体"/>
          <w:color w:val="auto"/>
          <w:highlight w:val="none"/>
          <w:lang w:eastAsia="zh-CN"/>
        </w:rPr>
        <w:t>航行</w:t>
      </w:r>
      <w:r>
        <w:rPr>
          <w:rFonts w:hint="eastAsia" w:ascii="宋体" w:hAnsi="宋体" w:eastAsia="宋体" w:cs="宋体"/>
          <w:color w:val="auto"/>
          <w:highlight w:val="none"/>
        </w:rPr>
        <w:t>安全。</w:t>
      </w:r>
    </w:p>
    <w:p w14:paraId="7623516D">
      <w:pPr>
        <w:pStyle w:val="75"/>
        <w:spacing w:before="120" w:after="120"/>
        <w:rPr>
          <w:rFonts w:hint="eastAsia" w:ascii="宋体" w:hAnsi="宋体" w:eastAsia="宋体" w:cs="宋体"/>
          <w:color w:val="auto"/>
          <w:highlight w:val="none"/>
        </w:rPr>
      </w:pPr>
      <w:bookmarkStart w:id="187" w:name="_Toc160183813"/>
      <w:bookmarkStart w:id="188" w:name="_Toc8980"/>
      <w:bookmarkStart w:id="189" w:name="_Toc2635"/>
      <w:r>
        <w:rPr>
          <w:rFonts w:hint="eastAsia" w:ascii="宋体" w:hAnsi="宋体" w:eastAsia="宋体" w:cs="宋体"/>
          <w:color w:val="auto"/>
          <w:highlight w:val="none"/>
        </w:rPr>
        <w:t>设置空中移动广告设施涉及航空安全管理的，应符合国家的有关规定。</w:t>
      </w:r>
      <w:bookmarkEnd w:id="187"/>
      <w:bookmarkEnd w:id="188"/>
      <w:bookmarkEnd w:id="189"/>
    </w:p>
    <w:p w14:paraId="7EEE71E4">
      <w:pPr>
        <w:pStyle w:val="75"/>
        <w:spacing w:before="120" w:after="120"/>
        <w:rPr>
          <w:rFonts w:hint="eastAsia" w:ascii="宋体" w:hAnsi="宋体" w:eastAsia="宋体" w:cs="宋体"/>
          <w:color w:val="auto"/>
          <w:highlight w:val="none"/>
        </w:rPr>
      </w:pPr>
      <w:bookmarkStart w:id="190" w:name="_Toc15079"/>
      <w:bookmarkStart w:id="191" w:name="_Toc19077"/>
      <w:bookmarkStart w:id="192" w:name="_Toc160183814"/>
      <w:r>
        <w:rPr>
          <w:rFonts w:hint="eastAsia" w:ascii="宋体" w:hAnsi="宋体" w:eastAsia="宋体" w:cs="宋体"/>
          <w:color w:val="auto"/>
          <w:highlight w:val="none"/>
        </w:rPr>
        <w:t>移动式户外广告设施不应采用LED显示屏和播放声音。</w:t>
      </w:r>
      <w:bookmarkEnd w:id="190"/>
      <w:bookmarkEnd w:id="191"/>
      <w:bookmarkEnd w:id="192"/>
    </w:p>
    <w:p w14:paraId="11697F86">
      <w:pPr>
        <w:pStyle w:val="71"/>
        <w:spacing w:before="120" w:after="120"/>
        <w:rPr>
          <w:color w:val="auto"/>
          <w:highlight w:val="none"/>
        </w:rPr>
      </w:pPr>
      <w:bookmarkStart w:id="193" w:name="_Toc19823"/>
      <w:bookmarkStart w:id="194" w:name="_Toc145513594"/>
      <w:r>
        <w:rPr>
          <w:rFonts w:hint="eastAsia"/>
          <w:color w:val="auto"/>
          <w:highlight w:val="none"/>
        </w:rPr>
        <w:t>临时性户外广告设施</w:t>
      </w:r>
      <w:bookmarkEnd w:id="193"/>
      <w:bookmarkEnd w:id="194"/>
    </w:p>
    <w:p w14:paraId="0FF5D4AB">
      <w:pPr>
        <w:pStyle w:val="75"/>
        <w:spacing w:before="120" w:after="120"/>
        <w:rPr>
          <w:rFonts w:hint="eastAsia" w:ascii="宋体" w:hAnsi="宋体" w:eastAsia="宋体" w:cs="宋体"/>
          <w:color w:val="auto"/>
          <w:highlight w:val="none"/>
        </w:rPr>
      </w:pPr>
      <w:bookmarkStart w:id="195" w:name="_Toc17411"/>
      <w:bookmarkStart w:id="196" w:name="_Toc17793"/>
      <w:bookmarkStart w:id="197" w:name="_Toc160183816"/>
      <w:r>
        <w:rPr>
          <w:rFonts w:hint="eastAsia" w:ascii="宋体" w:hAnsi="宋体" w:eastAsia="宋体" w:cs="宋体"/>
          <w:color w:val="auto"/>
          <w:highlight w:val="none"/>
        </w:rPr>
        <w:t>临时性户外广告设施设置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应符合下列规定：</w:t>
      </w:r>
    </w:p>
    <w:p w14:paraId="61DCC431">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）临时性户外广告设施在允许的活动举办场地或自有用地范围内设置</w:t>
      </w:r>
      <w:r>
        <w:rPr>
          <w:rFonts w:hint="eastAsia" w:ascii="宋体" w:hAnsi="宋体" w:eastAsia="宋体" w:cs="宋体"/>
          <w:color w:val="auto"/>
          <w:highlight w:val="none"/>
          <w:lang w:eastAsia="zh-CN"/>
        </w:rPr>
        <w:t>；</w:t>
      </w:r>
    </w:p>
    <w:p w14:paraId="40D2A2BE">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）临时性户外广告设施设置人于设置期限</w:t>
      </w:r>
      <w:r>
        <w:rPr>
          <w:rFonts w:hint="eastAsia" w:ascii="宋体" w:hAnsi="宋体" w:eastAsia="宋体" w:cs="宋体"/>
          <w:color w:val="auto"/>
          <w:highlight w:val="none"/>
        </w:rPr>
        <w:t>届满之日自行拆除</w:t>
      </w:r>
      <w:r>
        <w:rPr>
          <w:rFonts w:hint="eastAsia" w:ascii="宋体" w:hAnsi="宋体" w:eastAsia="宋体" w:cs="宋体"/>
          <w:color w:val="auto"/>
          <w:highlight w:val="none"/>
        </w:rPr>
        <w:t>，并及时恢复场地原状</w:t>
      </w:r>
      <w:r>
        <w:rPr>
          <w:rFonts w:hint="eastAsia" w:ascii="宋体" w:hAnsi="宋体" w:eastAsia="宋体" w:cs="宋体"/>
          <w:color w:val="auto"/>
          <w:highlight w:val="none"/>
          <w:lang w:eastAsia="zh-CN"/>
        </w:rPr>
        <w:t>；</w:t>
      </w:r>
    </w:p>
    <w:p w14:paraId="40D362E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）临时性户外广告设施的固定装置安全可靠。</w:t>
      </w:r>
    </w:p>
    <w:p w14:paraId="5C02B3FA">
      <w:pPr>
        <w:pStyle w:val="75"/>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临时性户外广告设施设置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不应出现以下情况：</w:t>
      </w:r>
      <w:bookmarkEnd w:id="195"/>
      <w:bookmarkEnd w:id="196"/>
      <w:bookmarkEnd w:id="197"/>
    </w:p>
    <w:p w14:paraId="38BE91AA">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1）公路及公路用地范围内设置临时性户外广告设施</w:t>
      </w:r>
      <w:r>
        <w:rPr>
          <w:rFonts w:hint="eastAsia" w:ascii="宋体" w:hAnsi="宋体" w:eastAsia="宋体" w:cs="宋体"/>
          <w:color w:val="auto"/>
          <w:highlight w:val="none"/>
          <w:lang w:eastAsia="zh-CN"/>
        </w:rPr>
        <w:t>；</w:t>
      </w:r>
    </w:p>
    <w:p w14:paraId="1BDE73F4">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2</w:t>
      </w:r>
      <w:r>
        <w:rPr>
          <w:rFonts w:hint="eastAsia" w:ascii="宋体" w:hAnsi="宋体" w:eastAsia="宋体" w:cs="宋体"/>
          <w:color w:val="auto"/>
          <w:highlight w:val="none"/>
        </w:rPr>
        <w:t>）临时性户外广告设施的设置时间，超过活动批准的期限</w:t>
      </w:r>
      <w:r>
        <w:rPr>
          <w:rFonts w:hint="eastAsia" w:hAnsi="宋体" w:cs="宋体"/>
          <w:color w:val="auto"/>
          <w:highlight w:val="none"/>
          <w:lang w:eastAsia="zh-CN"/>
        </w:rPr>
        <w:t>；</w:t>
      </w:r>
    </w:p>
    <w:p w14:paraId="32C12C8A">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lang w:val="en-US" w:eastAsia="zh-CN"/>
        </w:rPr>
        <w:t>3</w:t>
      </w:r>
      <w:r>
        <w:rPr>
          <w:rFonts w:hint="eastAsia" w:ascii="宋体" w:hAnsi="宋体" w:eastAsia="宋体" w:cs="宋体"/>
          <w:color w:val="auto"/>
          <w:highlight w:val="none"/>
        </w:rPr>
        <w:t>）设置可移动升空气球、布幅等</w:t>
      </w:r>
      <w:r>
        <w:rPr>
          <w:rFonts w:hint="eastAsia" w:hAnsi="宋体" w:cs="宋体"/>
          <w:color w:val="auto"/>
          <w:highlight w:val="none"/>
          <w:lang w:eastAsia="zh-CN"/>
        </w:rPr>
        <w:t>；</w:t>
      </w:r>
    </w:p>
    <w:p w14:paraId="19EB45A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4</w:t>
      </w:r>
      <w:r>
        <w:rPr>
          <w:rFonts w:hint="eastAsia" w:ascii="宋体" w:hAnsi="宋体" w:eastAsia="宋体" w:cs="宋体"/>
          <w:color w:val="auto"/>
          <w:highlight w:val="none"/>
        </w:rPr>
        <w:t>）破坏人行道和绿地等公共设施。</w:t>
      </w:r>
    </w:p>
    <w:p w14:paraId="410606CD">
      <w:pPr>
        <w:pStyle w:val="75"/>
        <w:spacing w:before="120" w:after="120"/>
        <w:rPr>
          <w:rFonts w:hint="eastAsia" w:ascii="宋体" w:hAnsi="宋体" w:eastAsia="宋体" w:cs="宋体"/>
          <w:color w:val="auto"/>
          <w:highlight w:val="none"/>
        </w:rPr>
      </w:pPr>
      <w:bookmarkStart w:id="198" w:name="_Toc19463"/>
      <w:bookmarkStart w:id="199" w:name="_Toc24882"/>
      <w:bookmarkStart w:id="200" w:name="_Toc160183817"/>
      <w:r>
        <w:rPr>
          <w:rFonts w:hint="eastAsia" w:ascii="宋体" w:hAnsi="宋体" w:eastAsia="宋体" w:cs="宋体"/>
          <w:color w:val="auto"/>
          <w:highlight w:val="none"/>
        </w:rPr>
        <w:t>充气物户外广告设施设置</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应符合下列规定：</w:t>
      </w:r>
    </w:p>
    <w:bookmarkEnd w:id="198"/>
    <w:bookmarkEnd w:id="199"/>
    <w:bookmarkEnd w:id="200"/>
    <w:p w14:paraId="0CDF0B16">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1）设置地点与建筑物、树木、架空线及其他设施保持安全距离</w:t>
      </w:r>
      <w:r>
        <w:rPr>
          <w:rFonts w:hint="eastAsia" w:ascii="宋体" w:hAnsi="宋体" w:eastAsia="宋体" w:cs="宋体"/>
          <w:color w:val="auto"/>
          <w:highlight w:val="none"/>
          <w:lang w:eastAsia="zh-CN"/>
        </w:rPr>
        <w:t>；</w:t>
      </w:r>
    </w:p>
    <w:p w14:paraId="526422DD">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2）在非独立门面或两相邻单位距离较近的位置紧贴门前设置</w:t>
      </w:r>
      <w:r>
        <w:rPr>
          <w:rFonts w:hint="eastAsia" w:ascii="宋体" w:hAnsi="宋体" w:eastAsia="宋体" w:cs="宋体"/>
          <w:color w:val="auto"/>
          <w:highlight w:val="none"/>
        </w:rPr>
        <w:t>充气物。</w:t>
      </w:r>
    </w:p>
    <w:p w14:paraId="68999635">
      <w:pPr>
        <w:pStyle w:val="72"/>
        <w:spacing w:before="240" w:after="240"/>
        <w:rPr>
          <w:color w:val="auto"/>
          <w:highlight w:val="none"/>
        </w:rPr>
      </w:pPr>
      <w:bookmarkStart w:id="201" w:name="_Toc28830"/>
      <w:bookmarkStart w:id="202" w:name="_Toc30127"/>
      <w:r>
        <w:rPr>
          <w:rFonts w:hint="eastAsia"/>
          <w:color w:val="auto"/>
          <w:highlight w:val="none"/>
        </w:rPr>
        <w:t>户外招牌设施设置要求</w:t>
      </w:r>
      <w:bookmarkEnd w:id="201"/>
      <w:bookmarkEnd w:id="202"/>
    </w:p>
    <w:p w14:paraId="3375E251">
      <w:pPr>
        <w:pStyle w:val="71"/>
        <w:spacing w:before="120" w:after="120"/>
        <w:rPr>
          <w:strike w:val="0"/>
          <w:dstrike w:val="0"/>
          <w:color w:val="auto"/>
          <w:highlight w:val="none"/>
        </w:rPr>
      </w:pPr>
      <w:r>
        <w:rPr>
          <w:rFonts w:hint="eastAsia"/>
          <w:strike w:val="0"/>
          <w:dstrike w:val="0"/>
          <w:color w:val="auto"/>
          <w:highlight w:val="none"/>
        </w:rPr>
        <w:t>附属式商铺户外招牌设施</w:t>
      </w:r>
    </w:p>
    <w:p w14:paraId="2F7D4B05">
      <w:pPr>
        <w:pStyle w:val="75"/>
        <w:spacing w:before="120" w:after="120"/>
        <w:rPr>
          <w:rFonts w:hint="eastAsia" w:ascii="宋体" w:hAnsi="宋体" w:eastAsia="宋体" w:cs="宋体"/>
          <w:strike w:val="0"/>
          <w:dstrike w:val="0"/>
          <w:color w:val="auto"/>
          <w:highlight w:val="none"/>
        </w:rPr>
      </w:pPr>
      <w:bookmarkStart w:id="203" w:name="_Toc160183821"/>
      <w:bookmarkStart w:id="204" w:name="_Toc27607"/>
      <w:bookmarkStart w:id="205" w:name="_Toc26068"/>
      <w:bookmarkStart w:id="206" w:name="_Toc160183827"/>
      <w:bookmarkStart w:id="207" w:name="_Toc24249"/>
      <w:r>
        <w:rPr>
          <w:rFonts w:hint="eastAsia" w:ascii="宋体" w:hAnsi="宋体" w:eastAsia="宋体" w:cs="宋体"/>
          <w:strike w:val="0"/>
          <w:dstrike w:val="0"/>
          <w:color w:val="auto"/>
          <w:highlight w:val="none"/>
        </w:rPr>
        <w:t>建筑底层的办公、生产经营场所，户外招牌宜设置在出入口上方门楣处。同一建筑立面上相邻招牌的设置位置、高度、突出墙面的厚度应协调有序。户外招牌数量不宜超出出入口数量。</w:t>
      </w:r>
      <w:bookmarkEnd w:id="203"/>
      <w:bookmarkEnd w:id="204"/>
      <w:bookmarkEnd w:id="205"/>
    </w:p>
    <w:p w14:paraId="657F791F">
      <w:pPr>
        <w:pStyle w:val="75"/>
        <w:spacing w:before="120" w:after="120"/>
        <w:rPr>
          <w:rFonts w:hint="eastAsia" w:ascii="宋体" w:hAnsi="宋体" w:eastAsia="宋体" w:cs="宋体"/>
          <w:strike w:val="0"/>
          <w:dstrike w:val="0"/>
          <w:color w:val="auto"/>
          <w:highlight w:val="none"/>
        </w:rPr>
      </w:pPr>
      <w:bookmarkStart w:id="208" w:name="_Toc30475"/>
      <w:bookmarkStart w:id="209" w:name="_Toc16268"/>
      <w:bookmarkStart w:id="210" w:name="_Toc160183822"/>
      <w:r>
        <w:rPr>
          <w:rFonts w:hint="eastAsia" w:ascii="宋体" w:hAnsi="宋体" w:eastAsia="宋体" w:cs="宋体"/>
          <w:strike w:val="0"/>
          <w:dstrike w:val="0"/>
          <w:color w:val="auto"/>
          <w:highlight w:val="none"/>
        </w:rPr>
        <w:t>底层同一经营主体的沿街门面外立面有连续隔断的，或坐落在道路拐角处的，可以分别设置，设置部位、类型、规格、高度等宜整体协调。</w:t>
      </w:r>
      <w:bookmarkEnd w:id="208"/>
      <w:bookmarkEnd w:id="209"/>
      <w:bookmarkEnd w:id="210"/>
    </w:p>
    <w:p w14:paraId="292C1919">
      <w:pPr>
        <w:pStyle w:val="75"/>
        <w:spacing w:before="120" w:after="120"/>
        <w:rPr>
          <w:rFonts w:hint="eastAsia" w:ascii="宋体" w:hAnsi="宋体" w:eastAsia="宋体" w:cs="宋体"/>
          <w:strike w:val="0"/>
          <w:dstrike w:val="0"/>
          <w:color w:val="auto"/>
          <w:highlight w:val="none"/>
        </w:rPr>
      </w:pPr>
      <w:bookmarkStart w:id="211" w:name="_Toc3882"/>
      <w:bookmarkStart w:id="212" w:name="_Toc2466"/>
      <w:bookmarkStart w:id="213" w:name="_Toc160183823"/>
      <w:r>
        <w:rPr>
          <w:rFonts w:hint="eastAsia" w:ascii="宋体" w:hAnsi="宋体" w:eastAsia="宋体" w:cs="宋体"/>
          <w:strike w:val="0"/>
          <w:dstrike w:val="0"/>
          <w:color w:val="auto"/>
          <w:highlight w:val="none"/>
          <w:lang w:val="en-US" w:eastAsia="zh-CN"/>
        </w:rPr>
        <w:t>一般</w:t>
      </w:r>
      <w:r>
        <w:rPr>
          <w:rFonts w:hint="eastAsia" w:ascii="宋体" w:hAnsi="宋体" w:eastAsia="宋体" w:cs="宋体"/>
          <w:strike w:val="0"/>
          <w:dstrike w:val="0"/>
          <w:color w:val="auto"/>
          <w:highlight w:val="none"/>
        </w:rPr>
        <w:t>办公、生产经营场所在建筑</w:t>
      </w:r>
      <w:r>
        <w:rPr>
          <w:rFonts w:hint="eastAsia" w:ascii="宋体" w:hAnsi="宋体" w:eastAsia="宋体" w:cs="宋体"/>
          <w:strike w:val="0"/>
          <w:dstrike w:val="0"/>
          <w:color w:val="auto"/>
          <w:highlight w:val="none"/>
          <w:lang w:val="en-US" w:eastAsia="zh-CN"/>
        </w:rPr>
        <w:t>2</w:t>
      </w:r>
      <w:r>
        <w:rPr>
          <w:rFonts w:hint="eastAsia" w:ascii="宋体" w:hAnsi="宋体" w:eastAsia="宋体" w:cs="宋体"/>
          <w:strike w:val="0"/>
          <w:dstrike w:val="0"/>
          <w:color w:val="auto"/>
          <w:highlight w:val="none"/>
        </w:rPr>
        <w:t>层或</w:t>
      </w:r>
      <w:r>
        <w:rPr>
          <w:rFonts w:hint="eastAsia" w:ascii="宋体" w:hAnsi="宋体" w:eastAsia="宋体" w:cs="宋体"/>
          <w:strike w:val="0"/>
          <w:dstrike w:val="0"/>
          <w:color w:val="auto"/>
          <w:highlight w:val="none"/>
          <w:lang w:val="en-US" w:eastAsia="zh-CN"/>
        </w:rPr>
        <w:t>8</w:t>
      </w:r>
      <w:r>
        <w:rPr>
          <w:rFonts w:hint="eastAsia" w:ascii="宋体" w:hAnsi="宋体" w:eastAsia="宋体" w:cs="宋体"/>
          <w:strike w:val="0"/>
          <w:dstrike w:val="0"/>
          <w:color w:val="auto"/>
          <w:highlight w:val="none"/>
        </w:rPr>
        <w:t>m以下，只能在自身沿街外立面范围内设置1块招牌。</w:t>
      </w:r>
      <w:bookmarkEnd w:id="211"/>
      <w:bookmarkEnd w:id="212"/>
    </w:p>
    <w:p w14:paraId="085E62C4">
      <w:pPr>
        <w:pStyle w:val="75"/>
        <w:spacing w:before="120" w:after="120"/>
        <w:rPr>
          <w:rFonts w:hint="eastAsia" w:ascii="宋体" w:hAnsi="宋体" w:eastAsia="宋体" w:cs="宋体"/>
          <w:strike w:val="0"/>
          <w:dstrike w:val="0"/>
          <w:color w:val="auto"/>
          <w:highlight w:val="none"/>
        </w:rPr>
      </w:pPr>
      <w:bookmarkStart w:id="214" w:name="_Toc1047"/>
      <w:bookmarkStart w:id="215" w:name="_Toc19019"/>
      <w:r>
        <w:rPr>
          <w:rFonts w:hint="eastAsia" w:ascii="宋体" w:hAnsi="宋体" w:eastAsia="宋体" w:cs="宋体"/>
          <w:strike w:val="0"/>
          <w:dstrike w:val="0"/>
          <w:color w:val="auto"/>
          <w:highlight w:val="none"/>
          <w:lang w:val="en-US" w:eastAsia="zh-CN"/>
        </w:rPr>
        <w:t>市、区级商业中心</w:t>
      </w:r>
      <w:r>
        <w:rPr>
          <w:rFonts w:hint="eastAsia" w:ascii="宋体" w:hAnsi="宋体" w:eastAsia="宋体" w:cs="宋体"/>
          <w:strike w:val="0"/>
          <w:dstrike w:val="0"/>
          <w:color w:val="auto"/>
          <w:highlight w:val="none"/>
        </w:rPr>
        <w:t>办公、生产经营场所在建筑</w:t>
      </w:r>
      <w:r>
        <w:rPr>
          <w:rFonts w:hint="eastAsia" w:ascii="宋体" w:hAnsi="宋体" w:eastAsia="宋体" w:cs="宋体"/>
          <w:strike w:val="0"/>
          <w:dstrike w:val="0"/>
          <w:color w:val="auto"/>
          <w:highlight w:val="none"/>
          <w:lang w:val="en-US" w:eastAsia="zh-CN"/>
        </w:rPr>
        <w:t>3</w:t>
      </w:r>
      <w:r>
        <w:rPr>
          <w:rFonts w:hint="eastAsia" w:ascii="宋体" w:hAnsi="宋体" w:eastAsia="宋体" w:cs="宋体"/>
          <w:strike w:val="0"/>
          <w:dstrike w:val="0"/>
          <w:color w:val="auto"/>
          <w:highlight w:val="none"/>
        </w:rPr>
        <w:t>层或</w:t>
      </w:r>
      <w:r>
        <w:rPr>
          <w:rFonts w:hint="eastAsia" w:ascii="宋体" w:hAnsi="宋体" w:eastAsia="宋体" w:cs="宋体"/>
          <w:strike w:val="0"/>
          <w:dstrike w:val="0"/>
          <w:color w:val="auto"/>
          <w:highlight w:val="none"/>
          <w:lang w:val="en-US" w:eastAsia="zh-CN"/>
        </w:rPr>
        <w:t>10</w:t>
      </w:r>
      <w:r>
        <w:rPr>
          <w:rFonts w:hint="eastAsia" w:ascii="宋体" w:hAnsi="宋体" w:eastAsia="宋体" w:cs="宋体"/>
          <w:strike w:val="0"/>
          <w:dstrike w:val="0"/>
          <w:color w:val="auto"/>
          <w:highlight w:val="none"/>
        </w:rPr>
        <w:t>m以下，只能在自身沿街外立面范围内设置1块招牌。</w:t>
      </w:r>
      <w:r>
        <w:rPr>
          <w:rFonts w:hint="eastAsia" w:ascii="宋体" w:hAnsi="宋体" w:eastAsia="宋体" w:cs="宋体"/>
          <w:strike w:val="0"/>
          <w:dstrike w:val="0"/>
          <w:color w:val="auto"/>
          <w:highlight w:val="none"/>
          <w:lang w:val="en-US" w:eastAsia="zh-CN"/>
        </w:rPr>
        <w:t>超出建筑3层或10m以上但不超出6层或18m，应统筹集中在建筑外立面或场地上设置。集中设置的招牌数量不宜超过所属建筑物主要出入口数量。</w:t>
      </w:r>
      <w:bookmarkEnd w:id="213"/>
      <w:bookmarkEnd w:id="214"/>
      <w:bookmarkEnd w:id="215"/>
    </w:p>
    <w:p w14:paraId="3AC835D5">
      <w:pPr>
        <w:pStyle w:val="75"/>
        <w:spacing w:before="120" w:after="120"/>
        <w:rPr>
          <w:rFonts w:hint="eastAsia" w:ascii="宋体" w:hAnsi="宋体" w:eastAsia="宋体" w:cs="宋体"/>
          <w:strike w:val="0"/>
          <w:dstrike w:val="0"/>
          <w:color w:val="auto"/>
          <w:highlight w:val="none"/>
          <w:lang w:val="en-US" w:eastAsia="zh-CN"/>
        </w:rPr>
      </w:pPr>
      <w:bookmarkStart w:id="216" w:name="_Toc160183829"/>
      <w:bookmarkStart w:id="217" w:name="_Toc7183"/>
      <w:bookmarkStart w:id="218" w:name="_Toc15468"/>
      <w:r>
        <w:rPr>
          <w:rFonts w:hint="eastAsia" w:ascii="宋体" w:hAnsi="宋体" w:eastAsia="宋体" w:cs="宋体"/>
          <w:strike w:val="0"/>
          <w:dstrike w:val="0"/>
          <w:color w:val="auto"/>
          <w:highlight w:val="none"/>
          <w:lang w:val="en-US" w:eastAsia="zh-CN"/>
        </w:rPr>
        <w:t>24小时营业服务、临街人行道宽度小于2.5m、步行商业街、特色商业街或商业街坊内圈等的办公、生产经营单位可增设1块小型侧招。</w:t>
      </w:r>
      <w:bookmarkEnd w:id="216"/>
      <w:bookmarkEnd w:id="217"/>
      <w:bookmarkEnd w:id="218"/>
    </w:p>
    <w:p w14:paraId="6B68EF2D">
      <w:pPr>
        <w:pStyle w:val="75"/>
        <w:spacing w:before="120" w:after="120"/>
        <w:rPr>
          <w:rFonts w:hint="eastAsia" w:ascii="宋体" w:hAnsi="宋体" w:eastAsia="宋体" w:cs="宋体"/>
          <w:strike w:val="0"/>
          <w:dstrike w:val="0"/>
          <w:color w:val="auto"/>
          <w:highlight w:val="none"/>
        </w:rPr>
      </w:pPr>
      <w:bookmarkStart w:id="219" w:name="_Toc22320"/>
      <w:r>
        <w:rPr>
          <w:rFonts w:hint="eastAsia" w:ascii="宋体" w:hAnsi="宋体" w:eastAsia="宋体" w:cs="宋体"/>
          <w:strike w:val="0"/>
          <w:dstrike w:val="0"/>
          <w:color w:val="auto"/>
          <w:highlight w:val="none"/>
        </w:rPr>
        <w:t>招牌设施宽度不应超过自身沿街门面宽度；设置在沿街底层门楣处的招牌设施上缘不应超出上层窗台或阳台下沿线；二层以上招牌不应设置底板；招牌设施高度与所在楼层层高比例不宜超过1:3。</w:t>
      </w:r>
      <w:bookmarkEnd w:id="206"/>
      <w:bookmarkEnd w:id="207"/>
      <w:bookmarkEnd w:id="219"/>
    </w:p>
    <w:p w14:paraId="19469FF8">
      <w:pPr>
        <w:pStyle w:val="75"/>
        <w:spacing w:before="120" w:after="120"/>
        <w:rPr>
          <w:rFonts w:hint="eastAsia" w:ascii="宋体" w:hAnsi="宋体" w:eastAsia="宋体" w:cs="宋体"/>
          <w:strike w:val="0"/>
          <w:dstrike w:val="0"/>
          <w:color w:val="auto"/>
          <w:highlight w:val="none"/>
        </w:rPr>
      </w:pPr>
      <w:bookmarkStart w:id="220" w:name="_Toc3361"/>
      <w:bookmarkStart w:id="221" w:name="_Toc24672"/>
      <w:bookmarkStart w:id="222" w:name="_Toc160183828"/>
      <w:r>
        <w:rPr>
          <w:rFonts w:hint="eastAsia" w:ascii="宋体" w:hAnsi="宋体" w:eastAsia="宋体" w:cs="宋体"/>
          <w:strike w:val="0"/>
          <w:dstrike w:val="0"/>
          <w:color w:val="auto"/>
          <w:highlight w:val="none"/>
        </w:rPr>
        <w:t>大型商场、楼宇在建筑外立面上集中设置的户外招牌，设置总面积不宜大于该外立面（6层及以下墙面）面积的30%。</w:t>
      </w:r>
      <w:bookmarkEnd w:id="220"/>
      <w:bookmarkEnd w:id="221"/>
      <w:bookmarkEnd w:id="222"/>
    </w:p>
    <w:p w14:paraId="42D5DD2A">
      <w:pPr>
        <w:pStyle w:val="75"/>
        <w:spacing w:before="120" w:after="120"/>
        <w:rPr>
          <w:rFonts w:hint="eastAsia" w:ascii="宋体" w:hAnsi="宋体" w:eastAsia="宋体" w:cs="宋体"/>
          <w:strike w:val="0"/>
          <w:dstrike w:val="0"/>
          <w:color w:val="auto"/>
          <w:highlight w:val="none"/>
        </w:rPr>
      </w:pPr>
      <w:bookmarkStart w:id="223" w:name="_Toc29067"/>
      <w:bookmarkStart w:id="224" w:name="_Toc9103"/>
      <w:bookmarkStart w:id="225" w:name="_Toc160183830"/>
      <w:r>
        <w:rPr>
          <w:rFonts w:hint="eastAsia" w:ascii="宋体" w:hAnsi="宋体" w:eastAsia="宋体" w:cs="宋体"/>
          <w:strike w:val="0"/>
          <w:dstrike w:val="0"/>
          <w:color w:val="auto"/>
          <w:highlight w:val="none"/>
        </w:rPr>
        <w:t>多层（6层及以下）建筑外立面附属户外招牌的字符最大尺寸见表</w:t>
      </w:r>
      <w:r>
        <w:rPr>
          <w:rFonts w:hint="eastAsia" w:ascii="宋体" w:hAnsi="宋体" w:eastAsia="宋体" w:cs="宋体"/>
          <w:strike w:val="0"/>
          <w:dstrike w:val="0"/>
          <w:color w:val="auto"/>
          <w:highlight w:val="none"/>
          <w:lang w:val="en-US" w:eastAsia="zh-CN"/>
        </w:rPr>
        <w:t>3</w:t>
      </w:r>
      <w:r>
        <w:rPr>
          <w:rFonts w:hint="eastAsia" w:ascii="宋体" w:hAnsi="宋体" w:eastAsia="宋体" w:cs="宋体"/>
          <w:strike w:val="0"/>
          <w:dstrike w:val="0"/>
          <w:color w:val="auto"/>
          <w:highlight w:val="none"/>
        </w:rPr>
        <w:t>。</w:t>
      </w:r>
      <w:bookmarkEnd w:id="223"/>
      <w:bookmarkEnd w:id="224"/>
      <w:bookmarkEnd w:id="225"/>
    </w:p>
    <w:p w14:paraId="6BA973C2">
      <w:pPr>
        <w:pStyle w:val="74"/>
        <w:numPr>
          <w:ilvl w:val="0"/>
          <w:numId w:val="0"/>
        </w:numPr>
        <w:spacing w:before="156" w:after="156"/>
        <w:jc w:val="center"/>
        <w:rPr>
          <w:strike w:val="0"/>
          <w:dstrike w:val="0"/>
          <w:color w:val="auto"/>
          <w:highlight w:val="none"/>
        </w:rPr>
      </w:pPr>
      <w:r>
        <w:rPr>
          <w:strike w:val="0"/>
          <w:dstrike w:val="0"/>
          <w:color w:val="auto"/>
          <w:highlight w:val="none"/>
        </w:rPr>
        <w:t>表</w:t>
      </w:r>
      <w:r>
        <w:rPr>
          <w:rFonts w:hint="eastAsia"/>
          <w:strike w:val="0"/>
          <w:dstrike w:val="0"/>
          <w:color w:val="auto"/>
          <w:highlight w:val="none"/>
          <w:lang w:val="en-US" w:eastAsia="zh-CN"/>
        </w:rPr>
        <w:t>3</w:t>
      </w:r>
      <w:r>
        <w:rPr>
          <w:rFonts w:hint="eastAsia"/>
          <w:strike w:val="0"/>
          <w:dstrike w:val="0"/>
          <w:color w:val="auto"/>
          <w:highlight w:val="none"/>
        </w:rPr>
        <w:t>多层（6层及以下）建筑外立面附属户外招牌的字符最大尺寸</w:t>
      </w:r>
    </w:p>
    <w:tbl>
      <w:tblPr>
        <w:tblStyle w:val="26"/>
        <w:tblW w:w="5000" w:type="pct"/>
        <w:tblInd w:w="3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92"/>
        <w:gridCol w:w="4692"/>
      </w:tblGrid>
      <w:tr w14:paraId="23E9E49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12" w:space="0"/>
              <w:left w:val="single" w:color="auto" w:sz="12" w:space="0"/>
              <w:bottom w:val="single" w:color="auto" w:sz="12" w:space="0"/>
            </w:tcBorders>
            <w:vAlign w:val="center"/>
          </w:tcPr>
          <w:p w14:paraId="5688B280">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视距</w:t>
            </w:r>
            <w:r>
              <w:rPr>
                <w:rFonts w:ascii="Courier New" w:hAnsi="Courier New" w:cs="Courier New"/>
                <w:color w:val="auto"/>
                <w:sz w:val="18"/>
                <w:szCs w:val="18"/>
                <w:highlight w:val="none"/>
              </w:rPr>
              <w:t>a</w:t>
            </w:r>
            <w:r>
              <w:rPr>
                <w:rFonts w:hint="eastAsia" w:ascii="Courier New" w:hAnsi="Courier New" w:cs="Courier New"/>
                <w:color w:val="auto"/>
                <w:sz w:val="18"/>
                <w:szCs w:val="18"/>
                <w:highlight w:val="none"/>
                <w:lang w:eastAsia="zh-CN"/>
              </w:rPr>
              <w:t>（</w:t>
            </w:r>
            <w:r>
              <w:rPr>
                <w:rFonts w:ascii="Courier New" w:hAnsi="Courier New" w:cs="Courier New"/>
                <w:color w:val="auto"/>
                <w:sz w:val="18"/>
                <w:szCs w:val="18"/>
                <w:highlight w:val="none"/>
              </w:rPr>
              <w:t>米</w:t>
            </w:r>
            <w:r>
              <w:rPr>
                <w:rFonts w:hint="eastAsia" w:ascii="Courier New" w:hAnsi="Courier New" w:cs="Courier New"/>
                <w:color w:val="auto"/>
                <w:sz w:val="18"/>
                <w:szCs w:val="18"/>
                <w:highlight w:val="none"/>
                <w:lang w:eastAsia="zh-CN"/>
              </w:rPr>
              <w:t>）</w:t>
            </w:r>
          </w:p>
        </w:tc>
        <w:tc>
          <w:tcPr>
            <w:tcW w:w="2500" w:type="pct"/>
            <w:tcBorders>
              <w:top w:val="single" w:color="auto" w:sz="12" w:space="0"/>
              <w:bottom w:val="single" w:color="auto" w:sz="12" w:space="0"/>
              <w:right w:val="single" w:color="auto" w:sz="12" w:space="0"/>
            </w:tcBorders>
            <w:vAlign w:val="center"/>
          </w:tcPr>
          <w:p w14:paraId="50560BEB">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招牌字符边长</w:t>
            </w:r>
            <w:r>
              <w:rPr>
                <w:rFonts w:hint="eastAsia" w:ascii="Courier New" w:hAnsi="Courier New" w:cs="Courier New"/>
                <w:color w:val="auto"/>
                <w:sz w:val="18"/>
                <w:szCs w:val="18"/>
                <w:highlight w:val="none"/>
                <w:lang w:eastAsia="zh-CN"/>
              </w:rPr>
              <w:t>（</w:t>
            </w:r>
            <w:r>
              <w:rPr>
                <w:rFonts w:ascii="Courier New" w:hAnsi="Courier New" w:cs="Courier New"/>
                <w:color w:val="auto"/>
                <w:sz w:val="18"/>
                <w:szCs w:val="18"/>
                <w:highlight w:val="none"/>
              </w:rPr>
              <w:t>米</w:t>
            </w:r>
            <w:r>
              <w:rPr>
                <w:rFonts w:hint="eastAsia" w:ascii="Courier New" w:hAnsi="Courier New" w:cs="Courier New"/>
                <w:color w:val="auto"/>
                <w:sz w:val="18"/>
                <w:szCs w:val="18"/>
                <w:highlight w:val="none"/>
                <w:lang w:eastAsia="zh-CN"/>
              </w:rPr>
              <w:t>）</w:t>
            </w:r>
          </w:p>
        </w:tc>
      </w:tr>
      <w:tr w14:paraId="3E1C32B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12" w:space="0"/>
              <w:left w:val="single" w:color="auto" w:sz="12" w:space="0"/>
              <w:bottom w:val="single" w:color="auto" w:sz="4" w:space="0"/>
            </w:tcBorders>
            <w:vAlign w:val="center"/>
          </w:tcPr>
          <w:p w14:paraId="0E98C785">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≤16</w:t>
            </w:r>
          </w:p>
        </w:tc>
        <w:tc>
          <w:tcPr>
            <w:tcW w:w="2500" w:type="pct"/>
            <w:tcBorders>
              <w:top w:val="single" w:color="auto" w:sz="12" w:space="0"/>
              <w:bottom w:val="single" w:color="auto" w:sz="4" w:space="0"/>
              <w:right w:val="single" w:color="auto" w:sz="12" w:space="0"/>
            </w:tcBorders>
            <w:vAlign w:val="center"/>
          </w:tcPr>
          <w:p w14:paraId="097962A1">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≤0.4</w:t>
            </w:r>
          </w:p>
        </w:tc>
      </w:tr>
      <w:tr w14:paraId="7E7403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4" w:space="0"/>
              <w:left w:val="single" w:color="auto" w:sz="12" w:space="0"/>
              <w:bottom w:val="single" w:color="auto" w:sz="4" w:space="0"/>
            </w:tcBorders>
            <w:vAlign w:val="center"/>
          </w:tcPr>
          <w:p w14:paraId="423C7BDA">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lang w:eastAsia="zh-CN"/>
              </w:rPr>
              <w:t>&gt;</w:t>
            </w:r>
            <w:r>
              <w:rPr>
                <w:rFonts w:hint="eastAsia" w:ascii="Courier New" w:hAnsi="Courier New" w:cs="Courier New"/>
                <w:color w:val="auto"/>
                <w:sz w:val="18"/>
                <w:szCs w:val="18"/>
                <w:highlight w:val="none"/>
              </w:rPr>
              <w:t>16</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≤24</w:t>
            </w:r>
          </w:p>
        </w:tc>
        <w:tc>
          <w:tcPr>
            <w:tcW w:w="2500" w:type="pct"/>
            <w:tcBorders>
              <w:top w:val="single" w:color="auto" w:sz="4" w:space="0"/>
              <w:bottom w:val="single" w:color="auto" w:sz="4" w:space="0"/>
              <w:right w:val="single" w:color="auto" w:sz="12" w:space="0"/>
            </w:tcBorders>
            <w:vAlign w:val="center"/>
          </w:tcPr>
          <w:p w14:paraId="0C55AB95">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≤0.5</w:t>
            </w:r>
          </w:p>
        </w:tc>
      </w:tr>
      <w:tr w14:paraId="15CD26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4" w:space="0"/>
              <w:left w:val="single" w:color="auto" w:sz="12" w:space="0"/>
              <w:bottom w:val="single" w:color="auto" w:sz="4" w:space="0"/>
            </w:tcBorders>
            <w:vAlign w:val="center"/>
          </w:tcPr>
          <w:p w14:paraId="287A07B7">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lang w:eastAsia="zh-CN"/>
              </w:rPr>
              <w:t>&gt;</w:t>
            </w:r>
            <w:r>
              <w:rPr>
                <w:rFonts w:hint="eastAsia" w:ascii="Courier New" w:hAnsi="Courier New" w:cs="Courier New"/>
                <w:color w:val="auto"/>
                <w:sz w:val="18"/>
                <w:szCs w:val="18"/>
                <w:highlight w:val="none"/>
              </w:rPr>
              <w:t>24</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≤40</w:t>
            </w:r>
          </w:p>
        </w:tc>
        <w:tc>
          <w:tcPr>
            <w:tcW w:w="2500" w:type="pct"/>
            <w:tcBorders>
              <w:top w:val="single" w:color="auto" w:sz="4" w:space="0"/>
              <w:bottom w:val="single" w:color="auto" w:sz="4" w:space="0"/>
              <w:right w:val="single" w:color="auto" w:sz="12" w:space="0"/>
            </w:tcBorders>
            <w:vAlign w:val="center"/>
          </w:tcPr>
          <w:p w14:paraId="0F657BB0">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≤0.6</w:t>
            </w:r>
          </w:p>
        </w:tc>
      </w:tr>
      <w:tr w14:paraId="21A6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trPr>
        <w:tc>
          <w:tcPr>
            <w:tcW w:w="2500" w:type="pct"/>
            <w:tcBorders>
              <w:top w:val="single" w:color="auto" w:sz="4" w:space="0"/>
              <w:left w:val="single" w:color="auto" w:sz="12" w:space="0"/>
              <w:bottom w:val="single" w:color="auto" w:sz="4" w:space="0"/>
            </w:tcBorders>
            <w:vAlign w:val="center"/>
          </w:tcPr>
          <w:p w14:paraId="1A62E754">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lang w:eastAsia="zh-CN"/>
              </w:rPr>
              <w:t>&gt;</w:t>
            </w:r>
            <w:r>
              <w:rPr>
                <w:rFonts w:hint="eastAsia" w:ascii="Courier New" w:hAnsi="Courier New" w:cs="Courier New"/>
                <w:color w:val="auto"/>
                <w:sz w:val="18"/>
                <w:szCs w:val="18"/>
                <w:highlight w:val="none"/>
              </w:rPr>
              <w:t>40</w:t>
            </w:r>
          </w:p>
        </w:tc>
        <w:tc>
          <w:tcPr>
            <w:tcW w:w="2500" w:type="pct"/>
            <w:tcBorders>
              <w:top w:val="single" w:color="auto" w:sz="4" w:space="0"/>
              <w:bottom w:val="single" w:color="auto" w:sz="4" w:space="0"/>
              <w:right w:val="single" w:color="auto" w:sz="12" w:space="0"/>
            </w:tcBorders>
            <w:vAlign w:val="center"/>
          </w:tcPr>
          <w:p w14:paraId="0EB87A4E">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≤0.8</w:t>
            </w:r>
          </w:p>
        </w:tc>
      </w:tr>
      <w:tr w14:paraId="6A09265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5000" w:type="pct"/>
            <w:gridSpan w:val="2"/>
            <w:tcBorders>
              <w:top w:val="single" w:color="auto" w:sz="4" w:space="0"/>
              <w:left w:val="single" w:color="auto" w:sz="12" w:space="0"/>
              <w:bottom w:val="single" w:color="auto" w:sz="12" w:space="0"/>
              <w:right w:val="single" w:color="auto" w:sz="12" w:space="0"/>
            </w:tcBorders>
            <w:vAlign w:val="center"/>
          </w:tcPr>
          <w:p w14:paraId="798992F8">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视距是指设置户外招牌的建筑外立面到道路对面的人行道中心线之间的距离。</w:t>
            </w:r>
          </w:p>
        </w:tc>
      </w:tr>
    </w:tbl>
    <w:p w14:paraId="37AA96F4">
      <w:pPr>
        <w:widowControl/>
        <w:jc w:val="center"/>
        <w:rPr>
          <w:rFonts w:hint="eastAsia" w:ascii="Courier New" w:hAnsi="Courier New" w:cs="Courier New"/>
          <w:color w:val="auto"/>
          <w:sz w:val="18"/>
          <w:szCs w:val="18"/>
          <w:highlight w:val="none"/>
          <w:lang w:eastAsia="zh-CN"/>
        </w:rPr>
      </w:pPr>
    </w:p>
    <w:p w14:paraId="3894342E">
      <w:pPr>
        <w:pStyle w:val="71"/>
        <w:spacing w:before="120" w:after="120"/>
        <w:rPr>
          <w:rFonts w:hint="eastAsia"/>
          <w:strike w:val="0"/>
          <w:dstrike w:val="0"/>
          <w:color w:val="auto"/>
          <w:highlight w:val="none"/>
        </w:rPr>
      </w:pPr>
      <w:r>
        <w:rPr>
          <w:rFonts w:hint="eastAsia"/>
          <w:strike w:val="0"/>
          <w:dstrike w:val="0"/>
          <w:color w:val="auto"/>
          <w:highlight w:val="none"/>
          <w:lang w:val="en-US" w:eastAsia="zh-CN"/>
        </w:rPr>
        <w:t>附属式建筑物名称户外招牌设施</w:t>
      </w:r>
    </w:p>
    <w:p w14:paraId="7AE16B95">
      <w:pPr>
        <w:pStyle w:val="75"/>
        <w:spacing w:before="120" w:after="120"/>
        <w:rPr>
          <w:rFonts w:hint="eastAsia" w:ascii="宋体" w:hAnsi="宋体" w:eastAsia="宋体" w:cs="宋体"/>
          <w:color w:val="auto"/>
          <w:highlight w:val="none"/>
        </w:rPr>
      </w:pPr>
      <w:bookmarkStart w:id="226" w:name="_Toc19087"/>
      <w:bookmarkStart w:id="227" w:name="_Toc15363"/>
      <w:r>
        <w:rPr>
          <w:rFonts w:hint="eastAsia" w:ascii="宋体" w:hAnsi="宋体" w:eastAsia="宋体" w:cs="宋体"/>
          <w:color w:val="auto"/>
          <w:highlight w:val="none"/>
        </w:rPr>
        <w:t>建筑物</w:t>
      </w:r>
      <w:r>
        <w:rPr>
          <w:rFonts w:hint="eastAsia" w:ascii="宋体" w:hAnsi="宋体" w:eastAsia="宋体" w:cs="宋体"/>
          <w:color w:val="auto"/>
          <w:highlight w:val="none"/>
          <w:lang w:val="en-US" w:eastAsia="zh-CN"/>
        </w:rPr>
        <w:t>裙楼</w:t>
      </w:r>
      <w:r>
        <w:rPr>
          <w:rFonts w:hint="eastAsia" w:ascii="宋体" w:hAnsi="宋体" w:eastAsia="宋体" w:cs="宋体"/>
          <w:color w:val="auto"/>
          <w:highlight w:val="none"/>
        </w:rPr>
        <w:t>设置名称标牌的，其数量</w:t>
      </w:r>
      <w:r>
        <w:rPr>
          <w:rFonts w:hint="eastAsia" w:ascii="宋体" w:hAnsi="宋体" w:eastAsia="宋体" w:cs="宋体"/>
          <w:color w:val="auto"/>
          <w:highlight w:val="none"/>
          <w:lang w:eastAsia="zh-CN"/>
        </w:rPr>
        <w:t>不应</w:t>
      </w:r>
      <w:r>
        <w:rPr>
          <w:rFonts w:hint="eastAsia" w:ascii="宋体" w:hAnsi="宋体" w:eastAsia="宋体" w:cs="宋体"/>
          <w:color w:val="auto"/>
          <w:highlight w:val="none"/>
        </w:rPr>
        <w:t>超过建筑物的出入口数量</w:t>
      </w:r>
      <w:bookmarkEnd w:id="226"/>
      <w:bookmarkEnd w:id="227"/>
      <w:r>
        <w:rPr>
          <w:rFonts w:hint="eastAsia" w:ascii="宋体" w:hAnsi="宋体" w:eastAsia="宋体" w:cs="宋体"/>
          <w:color w:val="auto"/>
          <w:highlight w:val="none"/>
          <w:lang w:eastAsia="zh-CN"/>
        </w:rPr>
        <w:t>。</w:t>
      </w:r>
    </w:p>
    <w:p w14:paraId="48A5F6E2">
      <w:pPr>
        <w:pStyle w:val="75"/>
        <w:spacing w:before="120" w:after="120"/>
        <w:rPr>
          <w:rFonts w:hint="eastAsia" w:ascii="宋体" w:hAnsi="宋体" w:eastAsia="宋体" w:cs="宋体"/>
          <w:color w:val="auto"/>
          <w:highlight w:val="none"/>
        </w:rPr>
      </w:pPr>
      <w:bookmarkStart w:id="228" w:name="_Toc3568"/>
      <w:bookmarkStart w:id="229" w:name="_Toc24350"/>
      <w:r>
        <w:rPr>
          <w:rFonts w:hint="eastAsia" w:ascii="宋体" w:hAnsi="宋体" w:eastAsia="宋体" w:cs="宋体"/>
          <w:color w:val="auto"/>
          <w:highlight w:val="none"/>
        </w:rPr>
        <w:t>建筑物</w:t>
      </w:r>
      <w:r>
        <w:rPr>
          <w:rFonts w:hint="eastAsia" w:ascii="宋体" w:hAnsi="宋体" w:eastAsia="宋体" w:cs="宋体"/>
          <w:color w:val="auto"/>
          <w:highlight w:val="none"/>
          <w:lang w:val="en-US" w:eastAsia="zh-CN"/>
        </w:rPr>
        <w:t>塔楼</w:t>
      </w:r>
      <w:r>
        <w:rPr>
          <w:rFonts w:hint="eastAsia" w:ascii="宋体" w:hAnsi="宋体" w:eastAsia="宋体" w:cs="宋体"/>
          <w:color w:val="auto"/>
          <w:highlight w:val="none"/>
        </w:rPr>
        <w:t>墙体设置名称标牌的，</w:t>
      </w:r>
      <w:r>
        <w:rPr>
          <w:rFonts w:hint="eastAsia" w:ascii="宋体" w:hAnsi="宋体" w:eastAsia="宋体" w:cs="宋体"/>
          <w:color w:val="auto"/>
          <w:highlight w:val="none"/>
          <w:lang w:val="en-US" w:eastAsia="zh-CN"/>
        </w:rPr>
        <w:t>应</w:t>
      </w:r>
      <w:r>
        <w:rPr>
          <w:rFonts w:hint="eastAsia" w:ascii="宋体" w:hAnsi="宋体" w:eastAsia="宋体" w:cs="宋体"/>
          <w:color w:val="auto"/>
          <w:highlight w:val="none"/>
        </w:rPr>
        <w:t>设置于建筑物顶部实体墙面</w:t>
      </w:r>
      <w:bookmarkEnd w:id="228"/>
      <w:bookmarkEnd w:id="229"/>
      <w:r>
        <w:rPr>
          <w:rFonts w:hint="eastAsia" w:ascii="宋体" w:hAnsi="宋体" w:eastAsia="宋体" w:cs="宋体"/>
          <w:color w:val="auto"/>
          <w:highlight w:val="none"/>
          <w:lang w:eastAsia="zh-CN"/>
        </w:rPr>
        <w:t>。</w:t>
      </w:r>
    </w:p>
    <w:p w14:paraId="78F9EEC2">
      <w:pPr>
        <w:pStyle w:val="75"/>
        <w:spacing w:before="120" w:after="120"/>
        <w:rPr>
          <w:rFonts w:hint="eastAsia" w:ascii="宋体" w:hAnsi="宋体" w:eastAsia="宋体" w:cs="宋体"/>
          <w:color w:val="auto"/>
          <w:highlight w:val="none"/>
        </w:rPr>
      </w:pPr>
      <w:bookmarkStart w:id="230" w:name="_Toc4435"/>
      <w:bookmarkStart w:id="231" w:name="_Toc2494"/>
      <w:r>
        <w:rPr>
          <w:rFonts w:hint="eastAsia" w:ascii="宋体" w:hAnsi="宋体" w:eastAsia="宋体" w:cs="宋体"/>
          <w:color w:val="auto"/>
          <w:highlight w:val="none"/>
        </w:rPr>
        <w:t>建筑物</w:t>
      </w:r>
      <w:r>
        <w:rPr>
          <w:rFonts w:hint="eastAsia" w:ascii="宋体" w:hAnsi="宋体" w:eastAsia="宋体" w:cs="宋体"/>
          <w:color w:val="auto"/>
          <w:highlight w:val="none"/>
          <w:lang w:val="en-US" w:eastAsia="zh-CN"/>
        </w:rPr>
        <w:t>塔楼</w:t>
      </w:r>
      <w:r>
        <w:rPr>
          <w:rFonts w:hint="eastAsia" w:ascii="宋体" w:hAnsi="宋体" w:eastAsia="宋体" w:cs="宋体"/>
          <w:color w:val="auto"/>
          <w:highlight w:val="none"/>
        </w:rPr>
        <w:t>墙体设置名称标牌的数量</w:t>
      </w:r>
      <w:r>
        <w:rPr>
          <w:rFonts w:hint="eastAsia" w:ascii="宋体" w:hAnsi="宋体" w:eastAsia="宋体" w:cs="宋体"/>
          <w:color w:val="auto"/>
          <w:highlight w:val="none"/>
          <w:lang w:eastAsia="zh-CN"/>
        </w:rPr>
        <w:t>不应</w:t>
      </w:r>
      <w:r>
        <w:rPr>
          <w:rFonts w:hint="eastAsia" w:ascii="宋体" w:hAnsi="宋体" w:eastAsia="宋体" w:cs="宋体"/>
          <w:color w:val="auto"/>
          <w:highlight w:val="none"/>
        </w:rPr>
        <w:t>超过2块，应在不同方向的墙面上采用</w:t>
      </w:r>
      <w:r>
        <w:rPr>
          <w:rFonts w:hint="eastAsia" w:ascii="宋体" w:hAnsi="宋体" w:eastAsia="宋体" w:cs="宋体"/>
          <w:color w:val="auto"/>
          <w:highlight w:val="none"/>
          <w:lang w:val="en-US" w:eastAsia="zh-CN"/>
        </w:rPr>
        <w:t>字符式</w:t>
      </w:r>
      <w:r>
        <w:rPr>
          <w:rFonts w:hint="eastAsia" w:ascii="宋体" w:hAnsi="宋体" w:eastAsia="宋体" w:cs="宋体"/>
          <w:color w:val="auto"/>
          <w:highlight w:val="none"/>
        </w:rPr>
        <w:t>设置，且式样、文字内容相同</w:t>
      </w:r>
      <w:r>
        <w:rPr>
          <w:rFonts w:hint="eastAsia" w:ascii="宋体" w:hAnsi="宋体" w:eastAsia="宋体" w:cs="宋体"/>
          <w:color w:val="auto"/>
          <w:highlight w:val="none"/>
          <w:lang w:eastAsia="zh-CN"/>
        </w:rPr>
        <w:t>。</w:t>
      </w:r>
      <w:bookmarkEnd w:id="230"/>
      <w:bookmarkEnd w:id="231"/>
    </w:p>
    <w:p w14:paraId="493CEB67">
      <w:pPr>
        <w:pStyle w:val="75"/>
        <w:spacing w:before="120" w:after="120"/>
        <w:rPr>
          <w:rFonts w:hint="eastAsia" w:ascii="宋体" w:hAnsi="宋体" w:eastAsia="宋体" w:cs="宋体"/>
          <w:strike w:val="0"/>
          <w:dstrike w:val="0"/>
          <w:color w:val="auto"/>
          <w:highlight w:val="none"/>
        </w:rPr>
      </w:pPr>
      <w:bookmarkStart w:id="232" w:name="_Toc160183831"/>
      <w:bookmarkStart w:id="233" w:name="_Toc1602"/>
      <w:bookmarkStart w:id="234" w:name="_Toc19531"/>
      <w:r>
        <w:rPr>
          <w:rFonts w:hint="eastAsia" w:ascii="宋体" w:hAnsi="宋体" w:eastAsia="宋体" w:cs="宋体"/>
          <w:strike w:val="0"/>
          <w:dstrike w:val="0"/>
          <w:color w:val="auto"/>
          <w:highlight w:val="none"/>
        </w:rPr>
        <w:t>中、高层（超出6层）建筑外立面附属户外招牌的字符最大尺寸见表</w:t>
      </w:r>
      <w:r>
        <w:rPr>
          <w:rFonts w:hint="eastAsia" w:ascii="宋体" w:hAnsi="宋体" w:eastAsia="宋体" w:cs="宋体"/>
          <w:strike w:val="0"/>
          <w:dstrike w:val="0"/>
          <w:color w:val="auto"/>
          <w:highlight w:val="none"/>
          <w:lang w:val="en-US" w:eastAsia="zh-CN"/>
        </w:rPr>
        <w:t>4</w:t>
      </w:r>
      <w:r>
        <w:rPr>
          <w:rFonts w:hint="eastAsia" w:ascii="宋体" w:hAnsi="宋体" w:eastAsia="宋体" w:cs="宋体"/>
          <w:strike w:val="0"/>
          <w:dstrike w:val="0"/>
          <w:color w:val="auto"/>
          <w:highlight w:val="none"/>
        </w:rPr>
        <w:t>。</w:t>
      </w:r>
      <w:bookmarkEnd w:id="232"/>
      <w:bookmarkEnd w:id="233"/>
      <w:bookmarkEnd w:id="234"/>
    </w:p>
    <w:p w14:paraId="073731F3">
      <w:pPr>
        <w:pStyle w:val="74"/>
        <w:numPr>
          <w:ilvl w:val="0"/>
          <w:numId w:val="0"/>
        </w:numPr>
        <w:spacing w:before="156" w:after="156"/>
        <w:jc w:val="center"/>
        <w:rPr>
          <w:strike w:val="0"/>
          <w:dstrike w:val="0"/>
          <w:color w:val="auto"/>
          <w:highlight w:val="none"/>
        </w:rPr>
      </w:pPr>
      <w:r>
        <w:rPr>
          <w:strike w:val="0"/>
          <w:dstrike w:val="0"/>
          <w:color w:val="auto"/>
          <w:highlight w:val="none"/>
        </w:rPr>
        <w:t>表</w:t>
      </w:r>
      <w:r>
        <w:rPr>
          <w:rFonts w:hint="eastAsia"/>
          <w:strike w:val="0"/>
          <w:dstrike w:val="0"/>
          <w:color w:val="auto"/>
          <w:highlight w:val="none"/>
          <w:lang w:val="en-US" w:eastAsia="zh-CN"/>
        </w:rPr>
        <w:t>4</w:t>
      </w:r>
      <w:r>
        <w:rPr>
          <w:rFonts w:hint="eastAsia"/>
          <w:strike w:val="0"/>
          <w:dstrike w:val="0"/>
          <w:color w:val="auto"/>
          <w:highlight w:val="none"/>
        </w:rPr>
        <w:t>中、高层（超出6层）建筑外立面附属户外招牌的字符最大尺寸</w:t>
      </w:r>
    </w:p>
    <w:tbl>
      <w:tblPr>
        <w:tblStyle w:val="26"/>
        <w:tblW w:w="5000" w:type="pct"/>
        <w:tblInd w:w="3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4692"/>
        <w:gridCol w:w="4692"/>
      </w:tblGrid>
      <w:tr w14:paraId="17A525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12" w:space="0"/>
              <w:left w:val="single" w:color="auto" w:sz="12" w:space="0"/>
              <w:bottom w:val="single" w:color="auto" w:sz="12" w:space="0"/>
            </w:tcBorders>
            <w:vAlign w:val="center"/>
          </w:tcPr>
          <w:p w14:paraId="456FF00A">
            <w:pPr>
              <w:widowControl/>
              <w:jc w:val="center"/>
              <w:rPr>
                <w:rFonts w:ascii="Courier New" w:hAnsi="Courier New" w:cs="Courier New"/>
                <w:strike w:val="0"/>
                <w:dstrike w:val="0"/>
                <w:color w:val="auto"/>
                <w:sz w:val="18"/>
                <w:szCs w:val="18"/>
                <w:highlight w:val="none"/>
              </w:rPr>
            </w:pPr>
            <w:r>
              <w:rPr>
                <w:rFonts w:ascii="Courier New" w:hAnsi="Courier New" w:cs="Courier New"/>
                <w:strike w:val="0"/>
                <w:dstrike w:val="0"/>
                <w:color w:val="auto"/>
                <w:sz w:val="18"/>
                <w:szCs w:val="18"/>
                <w:highlight w:val="none"/>
              </w:rPr>
              <w:t>建筑高度</w:t>
            </w:r>
            <w:r>
              <w:rPr>
                <w:rFonts w:hint="eastAsia" w:ascii="Courier New" w:hAnsi="Courier New" w:cs="Courier New"/>
                <w:strike w:val="0"/>
                <w:dstrike w:val="0"/>
                <w:color w:val="auto"/>
                <w:sz w:val="18"/>
                <w:szCs w:val="18"/>
                <w:highlight w:val="none"/>
                <w:lang w:eastAsia="zh-CN"/>
              </w:rPr>
              <w:t>（</w:t>
            </w:r>
            <w:r>
              <w:rPr>
                <w:rFonts w:ascii="Courier New" w:hAnsi="Courier New" w:cs="Courier New"/>
                <w:strike w:val="0"/>
                <w:dstrike w:val="0"/>
                <w:color w:val="auto"/>
                <w:sz w:val="18"/>
                <w:szCs w:val="18"/>
                <w:highlight w:val="none"/>
              </w:rPr>
              <w:t>米</w:t>
            </w:r>
            <w:r>
              <w:rPr>
                <w:rFonts w:hint="eastAsia" w:ascii="Courier New" w:hAnsi="Courier New" w:cs="Courier New"/>
                <w:strike w:val="0"/>
                <w:dstrike w:val="0"/>
                <w:color w:val="auto"/>
                <w:sz w:val="18"/>
                <w:szCs w:val="18"/>
                <w:highlight w:val="none"/>
                <w:lang w:eastAsia="zh-CN"/>
              </w:rPr>
              <w:t>）</w:t>
            </w:r>
          </w:p>
        </w:tc>
        <w:tc>
          <w:tcPr>
            <w:tcW w:w="2500" w:type="pct"/>
            <w:tcBorders>
              <w:top w:val="single" w:color="auto" w:sz="12" w:space="0"/>
              <w:bottom w:val="single" w:color="auto" w:sz="12" w:space="0"/>
              <w:right w:val="single" w:color="auto" w:sz="12" w:space="0"/>
            </w:tcBorders>
            <w:vAlign w:val="center"/>
          </w:tcPr>
          <w:p w14:paraId="1B1FFEEA">
            <w:pPr>
              <w:widowControl/>
              <w:jc w:val="center"/>
              <w:rPr>
                <w:rFonts w:ascii="Courier New" w:hAnsi="Courier New" w:cs="Courier New"/>
                <w:strike w:val="0"/>
                <w:dstrike w:val="0"/>
                <w:color w:val="auto"/>
                <w:sz w:val="18"/>
                <w:szCs w:val="18"/>
                <w:highlight w:val="none"/>
              </w:rPr>
            </w:pPr>
            <w:r>
              <w:rPr>
                <w:rFonts w:ascii="Courier New" w:hAnsi="Courier New" w:cs="Courier New"/>
                <w:strike w:val="0"/>
                <w:dstrike w:val="0"/>
                <w:color w:val="auto"/>
                <w:sz w:val="18"/>
                <w:szCs w:val="18"/>
                <w:highlight w:val="none"/>
              </w:rPr>
              <w:t>招牌字</w:t>
            </w:r>
            <w:r>
              <w:rPr>
                <w:rFonts w:hint="eastAsia" w:ascii="Courier New" w:hAnsi="Courier New" w:cs="Courier New"/>
                <w:strike w:val="0"/>
                <w:dstrike w:val="0"/>
                <w:color w:val="auto"/>
                <w:sz w:val="18"/>
                <w:szCs w:val="18"/>
                <w:highlight w:val="none"/>
              </w:rPr>
              <w:t>符</w:t>
            </w:r>
            <w:r>
              <w:rPr>
                <w:rFonts w:ascii="Courier New" w:hAnsi="Courier New" w:cs="Courier New"/>
                <w:strike w:val="0"/>
                <w:dstrike w:val="0"/>
                <w:color w:val="auto"/>
                <w:sz w:val="18"/>
                <w:szCs w:val="18"/>
                <w:highlight w:val="none"/>
              </w:rPr>
              <w:t>边长</w:t>
            </w:r>
            <w:r>
              <w:rPr>
                <w:rFonts w:hint="eastAsia" w:ascii="Courier New" w:hAnsi="Courier New" w:cs="Courier New"/>
                <w:strike w:val="0"/>
                <w:dstrike w:val="0"/>
                <w:color w:val="auto"/>
                <w:sz w:val="18"/>
                <w:szCs w:val="18"/>
                <w:highlight w:val="none"/>
                <w:lang w:eastAsia="zh-CN"/>
              </w:rPr>
              <w:t>（</w:t>
            </w:r>
            <w:r>
              <w:rPr>
                <w:rFonts w:ascii="Courier New" w:hAnsi="Courier New" w:cs="Courier New"/>
                <w:strike w:val="0"/>
                <w:dstrike w:val="0"/>
                <w:color w:val="auto"/>
                <w:sz w:val="18"/>
                <w:szCs w:val="18"/>
                <w:highlight w:val="none"/>
              </w:rPr>
              <w:t>米</w:t>
            </w:r>
            <w:r>
              <w:rPr>
                <w:rFonts w:hint="eastAsia" w:ascii="Courier New" w:hAnsi="Courier New" w:cs="Courier New"/>
                <w:strike w:val="0"/>
                <w:dstrike w:val="0"/>
                <w:color w:val="auto"/>
                <w:sz w:val="18"/>
                <w:szCs w:val="18"/>
                <w:highlight w:val="none"/>
                <w:lang w:eastAsia="zh-CN"/>
              </w:rPr>
              <w:t>）</w:t>
            </w:r>
          </w:p>
        </w:tc>
      </w:tr>
      <w:tr w14:paraId="559AE93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top w:val="single" w:color="auto" w:sz="12" w:space="0"/>
              <w:left w:val="single" w:color="auto" w:sz="12" w:space="0"/>
            </w:tcBorders>
            <w:vAlign w:val="center"/>
          </w:tcPr>
          <w:p w14:paraId="0D321263">
            <w:pPr>
              <w:widowControl/>
              <w:jc w:val="center"/>
              <w:rPr>
                <w:rFonts w:ascii="Courier New" w:hAnsi="Courier New" w:cs="Courier New"/>
                <w:strike w:val="0"/>
                <w:dstrike w:val="0"/>
                <w:color w:val="auto"/>
                <w:sz w:val="18"/>
                <w:szCs w:val="18"/>
                <w:highlight w:val="none"/>
              </w:rPr>
            </w:pPr>
            <w:r>
              <w:rPr>
                <w:rFonts w:ascii="Courier New" w:hAnsi="Courier New" w:cs="Courier New"/>
                <w:strike w:val="0"/>
                <w:dstrike w:val="0"/>
                <w:color w:val="auto"/>
                <w:sz w:val="18"/>
                <w:szCs w:val="18"/>
                <w:highlight w:val="none"/>
              </w:rPr>
              <w:t>≥18</w:t>
            </w:r>
            <w:r>
              <w:rPr>
                <w:rFonts w:hint="eastAsia" w:ascii="Courier New" w:hAnsi="Courier New" w:cs="Courier New"/>
                <w:strike w:val="0"/>
                <w:dstrike w:val="0"/>
                <w:color w:val="auto"/>
                <w:sz w:val="18"/>
                <w:szCs w:val="18"/>
                <w:highlight w:val="none"/>
                <w:lang w:eastAsia="zh-CN"/>
              </w:rPr>
              <w:t>,&lt;</w:t>
            </w:r>
            <w:r>
              <w:rPr>
                <w:rFonts w:ascii="Courier New" w:hAnsi="Courier New" w:cs="Courier New"/>
                <w:strike w:val="0"/>
                <w:dstrike w:val="0"/>
                <w:color w:val="auto"/>
                <w:sz w:val="18"/>
                <w:szCs w:val="18"/>
                <w:highlight w:val="none"/>
              </w:rPr>
              <w:t>54</w:t>
            </w:r>
          </w:p>
        </w:tc>
        <w:tc>
          <w:tcPr>
            <w:tcW w:w="2500" w:type="pct"/>
            <w:tcBorders>
              <w:top w:val="single" w:color="auto" w:sz="12" w:space="0"/>
              <w:right w:val="single" w:color="auto" w:sz="12" w:space="0"/>
            </w:tcBorders>
            <w:vAlign w:val="center"/>
          </w:tcPr>
          <w:p w14:paraId="0262112C">
            <w:pPr>
              <w:widowControl/>
              <w:jc w:val="center"/>
              <w:rPr>
                <w:rFonts w:ascii="Courier New" w:hAnsi="Courier New" w:cs="Courier New"/>
                <w:strike w:val="0"/>
                <w:dstrike w:val="0"/>
                <w:color w:val="auto"/>
                <w:sz w:val="18"/>
                <w:szCs w:val="18"/>
                <w:highlight w:val="none"/>
              </w:rPr>
            </w:pPr>
            <w:r>
              <w:rPr>
                <w:rFonts w:hint="eastAsia" w:ascii="Courier New" w:hAnsi="Courier New" w:cs="Courier New"/>
                <w:strike w:val="0"/>
                <w:dstrike w:val="0"/>
                <w:color w:val="auto"/>
                <w:sz w:val="18"/>
                <w:szCs w:val="18"/>
                <w:highlight w:val="none"/>
              </w:rPr>
              <w:t>≤</w:t>
            </w:r>
            <w:r>
              <w:rPr>
                <w:rFonts w:ascii="Courier New" w:hAnsi="Courier New" w:cs="Courier New"/>
                <w:strike w:val="0"/>
                <w:dstrike w:val="0"/>
                <w:color w:val="auto"/>
                <w:sz w:val="18"/>
                <w:szCs w:val="18"/>
                <w:highlight w:val="none"/>
              </w:rPr>
              <w:t>2.5</w:t>
            </w:r>
          </w:p>
        </w:tc>
      </w:tr>
      <w:tr w14:paraId="71CEE28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left w:val="single" w:color="auto" w:sz="12" w:space="0"/>
            </w:tcBorders>
            <w:vAlign w:val="center"/>
          </w:tcPr>
          <w:p w14:paraId="5EF3BC16">
            <w:pPr>
              <w:widowControl/>
              <w:jc w:val="center"/>
              <w:rPr>
                <w:rFonts w:ascii="Courier New" w:hAnsi="Courier New" w:cs="Courier New"/>
                <w:strike w:val="0"/>
                <w:dstrike w:val="0"/>
                <w:color w:val="auto"/>
                <w:sz w:val="18"/>
                <w:szCs w:val="18"/>
                <w:highlight w:val="none"/>
              </w:rPr>
            </w:pPr>
            <w:r>
              <w:rPr>
                <w:rFonts w:ascii="Courier New" w:hAnsi="Courier New" w:cs="Courier New"/>
                <w:strike w:val="0"/>
                <w:dstrike w:val="0"/>
                <w:color w:val="auto"/>
                <w:sz w:val="18"/>
                <w:szCs w:val="18"/>
                <w:highlight w:val="none"/>
              </w:rPr>
              <w:t>≥54</w:t>
            </w:r>
            <w:r>
              <w:rPr>
                <w:rFonts w:hint="eastAsia" w:ascii="Courier New" w:hAnsi="Courier New" w:cs="Courier New"/>
                <w:strike w:val="0"/>
                <w:dstrike w:val="0"/>
                <w:color w:val="auto"/>
                <w:sz w:val="18"/>
                <w:szCs w:val="18"/>
                <w:highlight w:val="none"/>
                <w:lang w:eastAsia="zh-CN"/>
              </w:rPr>
              <w:t>,&lt;</w:t>
            </w:r>
            <w:r>
              <w:rPr>
                <w:rFonts w:ascii="Courier New" w:hAnsi="Courier New" w:cs="Courier New"/>
                <w:strike w:val="0"/>
                <w:dstrike w:val="0"/>
                <w:color w:val="auto"/>
                <w:sz w:val="18"/>
                <w:szCs w:val="18"/>
                <w:highlight w:val="none"/>
              </w:rPr>
              <w:t>100</w:t>
            </w:r>
          </w:p>
        </w:tc>
        <w:tc>
          <w:tcPr>
            <w:tcW w:w="2500" w:type="pct"/>
            <w:tcBorders>
              <w:right w:val="single" w:color="auto" w:sz="12" w:space="0"/>
            </w:tcBorders>
            <w:vAlign w:val="center"/>
          </w:tcPr>
          <w:p w14:paraId="314D33B4">
            <w:pPr>
              <w:widowControl/>
              <w:jc w:val="center"/>
              <w:rPr>
                <w:rFonts w:ascii="Courier New" w:hAnsi="Courier New" w:cs="Courier New"/>
                <w:strike w:val="0"/>
                <w:dstrike w:val="0"/>
                <w:color w:val="auto"/>
                <w:sz w:val="18"/>
                <w:szCs w:val="18"/>
                <w:highlight w:val="none"/>
              </w:rPr>
            </w:pPr>
            <w:r>
              <w:rPr>
                <w:rFonts w:hint="eastAsia" w:ascii="Courier New" w:hAnsi="Courier New" w:cs="Courier New"/>
                <w:strike w:val="0"/>
                <w:dstrike w:val="0"/>
                <w:color w:val="auto"/>
                <w:sz w:val="18"/>
                <w:szCs w:val="18"/>
                <w:highlight w:val="none"/>
              </w:rPr>
              <w:t>≤</w:t>
            </w:r>
            <w:r>
              <w:rPr>
                <w:rFonts w:ascii="Courier New" w:hAnsi="Courier New" w:cs="Courier New"/>
                <w:strike w:val="0"/>
                <w:dstrike w:val="0"/>
                <w:color w:val="auto"/>
                <w:sz w:val="18"/>
                <w:szCs w:val="18"/>
                <w:highlight w:val="none"/>
              </w:rPr>
              <w:t>5</w:t>
            </w:r>
          </w:p>
        </w:tc>
      </w:tr>
      <w:tr w14:paraId="43B3F32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2500" w:type="pct"/>
            <w:tcBorders>
              <w:left w:val="single" w:color="auto" w:sz="12" w:space="0"/>
              <w:bottom w:val="single" w:color="auto" w:sz="12" w:space="0"/>
            </w:tcBorders>
            <w:vAlign w:val="center"/>
          </w:tcPr>
          <w:p w14:paraId="7D57F981">
            <w:pPr>
              <w:widowControl/>
              <w:jc w:val="center"/>
              <w:rPr>
                <w:rFonts w:ascii="Courier New" w:hAnsi="Courier New" w:cs="Courier New"/>
                <w:strike w:val="0"/>
                <w:dstrike w:val="0"/>
                <w:color w:val="auto"/>
                <w:sz w:val="18"/>
                <w:szCs w:val="18"/>
                <w:highlight w:val="none"/>
              </w:rPr>
            </w:pPr>
            <w:r>
              <w:rPr>
                <w:rFonts w:ascii="Courier New" w:hAnsi="Courier New" w:cs="Courier New"/>
                <w:strike w:val="0"/>
                <w:dstrike w:val="0"/>
                <w:color w:val="auto"/>
                <w:sz w:val="18"/>
                <w:szCs w:val="18"/>
                <w:highlight w:val="none"/>
              </w:rPr>
              <w:t>≥100</w:t>
            </w:r>
          </w:p>
        </w:tc>
        <w:tc>
          <w:tcPr>
            <w:tcW w:w="2500" w:type="pct"/>
            <w:tcBorders>
              <w:bottom w:val="single" w:color="auto" w:sz="12" w:space="0"/>
              <w:right w:val="single" w:color="auto" w:sz="12" w:space="0"/>
            </w:tcBorders>
            <w:vAlign w:val="center"/>
          </w:tcPr>
          <w:p w14:paraId="0CB0E356">
            <w:pPr>
              <w:widowControl/>
              <w:jc w:val="center"/>
              <w:rPr>
                <w:rFonts w:ascii="Courier New" w:hAnsi="Courier New" w:cs="Courier New"/>
                <w:strike w:val="0"/>
                <w:dstrike w:val="0"/>
                <w:color w:val="auto"/>
                <w:sz w:val="18"/>
                <w:szCs w:val="18"/>
                <w:highlight w:val="none"/>
              </w:rPr>
            </w:pPr>
            <w:r>
              <w:rPr>
                <w:rFonts w:hint="eastAsia" w:ascii="Courier New" w:hAnsi="Courier New" w:cs="Courier New"/>
                <w:strike w:val="0"/>
                <w:dstrike w:val="0"/>
                <w:color w:val="auto"/>
                <w:sz w:val="18"/>
                <w:szCs w:val="18"/>
                <w:highlight w:val="none"/>
              </w:rPr>
              <w:t>≤</w:t>
            </w:r>
            <w:r>
              <w:rPr>
                <w:rFonts w:ascii="Courier New" w:hAnsi="Courier New" w:cs="Courier New"/>
                <w:strike w:val="0"/>
                <w:dstrike w:val="0"/>
                <w:color w:val="auto"/>
                <w:sz w:val="18"/>
                <w:szCs w:val="18"/>
                <w:highlight w:val="none"/>
              </w:rPr>
              <w:t>8</w:t>
            </w:r>
          </w:p>
        </w:tc>
      </w:tr>
    </w:tbl>
    <w:p w14:paraId="5E8D7183">
      <w:pPr>
        <w:pStyle w:val="73"/>
        <w:rPr>
          <w:rFonts w:hint="eastAsia"/>
          <w:color w:val="auto"/>
          <w:highlight w:val="none"/>
        </w:rPr>
      </w:pPr>
    </w:p>
    <w:p w14:paraId="43CC98D1">
      <w:pPr>
        <w:pStyle w:val="71"/>
        <w:spacing w:before="120" w:after="120"/>
        <w:rPr>
          <w:color w:val="auto"/>
          <w:highlight w:val="none"/>
        </w:rPr>
      </w:pPr>
      <w:bookmarkStart w:id="235" w:name="_Toc145513599"/>
      <w:bookmarkStart w:id="236" w:name="_Toc20594"/>
      <w:bookmarkStart w:id="237" w:name="_Toc160183839"/>
      <w:r>
        <w:rPr>
          <w:rFonts w:hint="eastAsia"/>
          <w:color w:val="auto"/>
          <w:highlight w:val="none"/>
        </w:rPr>
        <w:t>独立式户外招牌设施</w:t>
      </w:r>
      <w:bookmarkEnd w:id="235"/>
      <w:bookmarkEnd w:id="236"/>
      <w:bookmarkEnd w:id="237"/>
    </w:p>
    <w:p w14:paraId="37349A15">
      <w:pPr>
        <w:pStyle w:val="75"/>
        <w:spacing w:before="120" w:after="120"/>
        <w:rPr>
          <w:rFonts w:hint="eastAsia" w:ascii="宋体" w:hAnsi="宋体" w:eastAsia="宋体" w:cs="宋体"/>
          <w:strike w:val="0"/>
          <w:color w:val="auto"/>
          <w:highlight w:val="none"/>
        </w:rPr>
      </w:pPr>
      <w:bookmarkStart w:id="238" w:name="_Toc160183825"/>
      <w:bookmarkStart w:id="239" w:name="_Toc2752"/>
      <w:bookmarkStart w:id="240" w:name="_Toc3227"/>
      <w:bookmarkStart w:id="241" w:name="_Toc19533"/>
      <w:bookmarkStart w:id="242" w:name="_Toc160183840"/>
      <w:r>
        <w:rPr>
          <w:rFonts w:hint="eastAsia" w:ascii="宋体" w:hAnsi="宋体" w:eastAsia="宋体" w:cs="宋体"/>
          <w:strike w:val="0"/>
          <w:dstrike w:val="0"/>
          <w:color w:val="auto"/>
          <w:highlight w:val="none"/>
        </w:rPr>
        <w:t>底层有独立出入口的办公、生产经营场所，独立式招牌设施数量不应超过出入口个数。</w:t>
      </w:r>
      <w:bookmarkEnd w:id="238"/>
      <w:bookmarkEnd w:id="239"/>
      <w:bookmarkEnd w:id="240"/>
    </w:p>
    <w:p w14:paraId="214C7BE2">
      <w:pPr>
        <w:pStyle w:val="75"/>
        <w:spacing w:before="120" w:after="120"/>
        <w:rPr>
          <w:rFonts w:hint="eastAsia" w:ascii="宋体" w:hAnsi="宋体" w:eastAsia="宋体" w:cs="宋体"/>
          <w:color w:val="auto"/>
          <w:highlight w:val="none"/>
        </w:rPr>
      </w:pPr>
      <w:bookmarkStart w:id="243" w:name="_Toc100"/>
      <w:r>
        <w:rPr>
          <w:rFonts w:hint="eastAsia" w:ascii="宋体" w:hAnsi="宋体" w:eastAsia="宋体" w:cs="宋体"/>
          <w:color w:val="auto"/>
          <w:highlight w:val="none"/>
        </w:rPr>
        <w:t>独立式户外招牌设施设置后单侧行人通行宽度不应小于4m，场地宽度小于5m的区域不应设置。</w:t>
      </w:r>
      <w:bookmarkEnd w:id="241"/>
      <w:bookmarkEnd w:id="242"/>
      <w:bookmarkEnd w:id="243"/>
    </w:p>
    <w:p w14:paraId="49049365">
      <w:pPr>
        <w:pStyle w:val="75"/>
        <w:spacing w:before="120" w:after="120"/>
        <w:rPr>
          <w:rFonts w:hint="eastAsia" w:ascii="宋体" w:hAnsi="宋体" w:eastAsia="宋体" w:cs="宋体"/>
          <w:color w:val="auto"/>
          <w:highlight w:val="none"/>
        </w:rPr>
      </w:pPr>
      <w:bookmarkStart w:id="244" w:name="_Toc4716"/>
      <w:bookmarkStart w:id="245" w:name="_Toc19451"/>
      <w:bookmarkStart w:id="246" w:name="_Toc160183841"/>
      <w:r>
        <w:rPr>
          <w:rFonts w:hint="eastAsia" w:ascii="宋体" w:hAnsi="宋体" w:eastAsia="宋体" w:cs="宋体"/>
          <w:color w:val="auto"/>
          <w:highlight w:val="none"/>
        </w:rPr>
        <w:t>独立式招牌的尺寸应与所在街道的空间尺度相适应，尺度详见表</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、表</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w:t>
      </w:r>
      <w:bookmarkEnd w:id="244"/>
      <w:bookmarkEnd w:id="245"/>
      <w:bookmarkEnd w:id="246"/>
    </w:p>
    <w:p w14:paraId="2AC8283A">
      <w:pPr>
        <w:pStyle w:val="74"/>
        <w:numPr>
          <w:ilvl w:val="0"/>
          <w:numId w:val="0"/>
        </w:numPr>
        <w:spacing w:before="156" w:after="156"/>
        <w:jc w:val="center"/>
        <w:rPr>
          <w:rFonts w:hint="eastAsia" w:ascii="宋体" w:hAnsi="宋体" w:eastAsia="宋体" w:cs="宋体"/>
          <w:color w:val="auto"/>
          <w:highlight w:val="none"/>
        </w:rPr>
      </w:pPr>
      <w:r>
        <w:rPr>
          <w:rFonts w:hint="eastAsia" w:ascii="宋体" w:hAnsi="宋体" w:eastAsia="宋体" w:cs="宋体"/>
          <w:color w:val="auto"/>
          <w:highlight w:val="none"/>
        </w:rPr>
        <w:t>表</w:t>
      </w:r>
      <w:r>
        <w:rPr>
          <w:rFonts w:hint="eastAsia" w:ascii="宋体" w:hAnsi="宋体" w:eastAsia="宋体" w:cs="宋体"/>
          <w:color w:val="auto"/>
          <w:highlight w:val="none"/>
          <w:lang w:val="en-US" w:eastAsia="zh-CN"/>
        </w:rPr>
        <w:t>5</w:t>
      </w:r>
      <w:r>
        <w:rPr>
          <w:rFonts w:hint="eastAsia" w:ascii="宋体" w:hAnsi="宋体" w:eastAsia="宋体" w:cs="宋体"/>
          <w:color w:val="auto"/>
          <w:highlight w:val="none"/>
        </w:rPr>
        <w:t xml:space="preserve"> 竖向独立式户外招牌设施最大高度（米）</w:t>
      </w:r>
    </w:p>
    <w:tbl>
      <w:tblPr>
        <w:tblStyle w:val="26"/>
        <w:tblW w:w="5000" w:type="pct"/>
        <w:tblInd w:w="3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971"/>
        <w:gridCol w:w="4163"/>
        <w:gridCol w:w="2250"/>
      </w:tblGrid>
      <w:tr w14:paraId="1B3290C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5" w:hRule="atLeast"/>
        </w:trPr>
        <w:tc>
          <w:tcPr>
            <w:tcW w:w="1583" w:type="pct"/>
            <w:tcBorders>
              <w:top w:val="single" w:color="auto" w:sz="12" w:space="0"/>
              <w:left w:val="single" w:color="auto" w:sz="12" w:space="0"/>
              <w:bottom w:val="single" w:color="auto" w:sz="12" w:space="0"/>
              <w:right w:val="single" w:color="auto" w:sz="4" w:space="0"/>
            </w:tcBorders>
            <w:vAlign w:val="center"/>
          </w:tcPr>
          <w:p w14:paraId="55FB78B9">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设置场地宽度</w:t>
            </w:r>
          </w:p>
        </w:tc>
        <w:tc>
          <w:tcPr>
            <w:tcW w:w="2218" w:type="pct"/>
            <w:tcBorders>
              <w:top w:val="single" w:color="auto" w:sz="12" w:space="0"/>
              <w:left w:val="single" w:color="auto" w:sz="4" w:space="0"/>
              <w:bottom w:val="single" w:color="auto" w:sz="12" w:space="0"/>
            </w:tcBorders>
            <w:vAlign w:val="center"/>
          </w:tcPr>
          <w:p w14:paraId="690B3362">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招牌高度</w:t>
            </w:r>
          </w:p>
        </w:tc>
        <w:tc>
          <w:tcPr>
            <w:tcW w:w="1199" w:type="pct"/>
            <w:tcBorders>
              <w:top w:val="single" w:color="auto" w:sz="12" w:space="0"/>
              <w:bottom w:val="single" w:color="auto" w:sz="12" w:space="0"/>
              <w:right w:val="single" w:color="auto" w:sz="12" w:space="0"/>
            </w:tcBorders>
            <w:vAlign w:val="center"/>
          </w:tcPr>
          <w:p w14:paraId="25B6C0F3">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招牌宽度</w:t>
            </w:r>
          </w:p>
        </w:tc>
      </w:tr>
      <w:tr w14:paraId="3142B1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583" w:type="pct"/>
            <w:tcBorders>
              <w:top w:val="single" w:color="auto" w:sz="12" w:space="0"/>
              <w:left w:val="single" w:color="auto" w:sz="12" w:space="0"/>
              <w:right w:val="single" w:color="auto" w:sz="4" w:space="0"/>
            </w:tcBorders>
            <w:vAlign w:val="center"/>
          </w:tcPr>
          <w:p w14:paraId="51BF5C4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10</w:t>
            </w:r>
          </w:p>
        </w:tc>
        <w:tc>
          <w:tcPr>
            <w:tcW w:w="2218" w:type="pct"/>
            <w:tcBorders>
              <w:top w:val="single" w:color="auto" w:sz="12" w:space="0"/>
              <w:left w:val="single" w:color="auto" w:sz="4" w:space="0"/>
            </w:tcBorders>
            <w:vAlign w:val="center"/>
          </w:tcPr>
          <w:p w14:paraId="0D236207">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≤3</w:t>
            </w:r>
          </w:p>
        </w:tc>
        <w:tc>
          <w:tcPr>
            <w:tcW w:w="1199" w:type="pct"/>
            <w:tcBorders>
              <w:top w:val="single" w:color="auto" w:sz="12" w:space="0"/>
              <w:right w:val="single" w:color="auto" w:sz="12" w:space="0"/>
            </w:tcBorders>
            <w:vAlign w:val="center"/>
          </w:tcPr>
          <w:p w14:paraId="68A64C5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w:t>
            </w:r>
          </w:p>
        </w:tc>
      </w:tr>
      <w:tr w14:paraId="36FB7B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583" w:type="pct"/>
            <w:tcBorders>
              <w:left w:val="single" w:color="auto" w:sz="12" w:space="0"/>
              <w:right w:val="single" w:color="auto" w:sz="4" w:space="0"/>
            </w:tcBorders>
            <w:vAlign w:val="center"/>
          </w:tcPr>
          <w:p w14:paraId="3E4EC75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20</w:t>
            </w:r>
          </w:p>
        </w:tc>
        <w:tc>
          <w:tcPr>
            <w:tcW w:w="2218" w:type="pct"/>
            <w:tcBorders>
              <w:left w:val="single" w:color="auto" w:sz="4" w:space="0"/>
            </w:tcBorders>
            <w:vAlign w:val="center"/>
          </w:tcPr>
          <w:p w14:paraId="1D29479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w:t>
            </w:r>
          </w:p>
        </w:tc>
        <w:tc>
          <w:tcPr>
            <w:tcW w:w="1199" w:type="pct"/>
            <w:tcBorders>
              <w:right w:val="single" w:color="auto" w:sz="12" w:space="0"/>
            </w:tcBorders>
            <w:vAlign w:val="center"/>
          </w:tcPr>
          <w:p w14:paraId="2A9FF147">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≤1.2</w:t>
            </w:r>
          </w:p>
        </w:tc>
      </w:tr>
      <w:tr w14:paraId="72243A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583" w:type="pct"/>
            <w:tcBorders>
              <w:left w:val="single" w:color="auto" w:sz="12" w:space="0"/>
              <w:bottom w:val="single" w:color="auto" w:sz="12" w:space="0"/>
              <w:right w:val="single" w:color="auto" w:sz="4" w:space="0"/>
            </w:tcBorders>
            <w:vAlign w:val="center"/>
          </w:tcPr>
          <w:p w14:paraId="428CEF1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≥20</w:t>
            </w:r>
          </w:p>
        </w:tc>
        <w:tc>
          <w:tcPr>
            <w:tcW w:w="2218" w:type="pct"/>
            <w:tcBorders>
              <w:left w:val="single" w:color="auto" w:sz="4" w:space="0"/>
              <w:bottom w:val="single" w:color="auto" w:sz="12" w:space="0"/>
            </w:tcBorders>
            <w:vAlign w:val="center"/>
          </w:tcPr>
          <w:p w14:paraId="0DB11852">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绕城高速公路</w:t>
            </w:r>
            <w:r>
              <w:rPr>
                <w:rFonts w:ascii="Courier New" w:hAnsi="Courier New" w:cs="Courier New"/>
                <w:color w:val="auto"/>
                <w:sz w:val="18"/>
                <w:szCs w:val="18"/>
                <w:highlight w:val="none"/>
              </w:rPr>
              <w:t>内≤8，</w:t>
            </w:r>
            <w:r>
              <w:rPr>
                <w:rFonts w:hint="eastAsia" w:ascii="Courier New" w:hAnsi="Courier New" w:cs="Courier New"/>
                <w:color w:val="auto"/>
                <w:sz w:val="18"/>
                <w:szCs w:val="18"/>
                <w:highlight w:val="none"/>
              </w:rPr>
              <w:t>绕城高速公路</w:t>
            </w:r>
            <w:r>
              <w:rPr>
                <w:rFonts w:ascii="Courier New" w:hAnsi="Courier New" w:cs="Courier New"/>
                <w:color w:val="auto"/>
                <w:sz w:val="18"/>
                <w:szCs w:val="18"/>
                <w:highlight w:val="none"/>
              </w:rPr>
              <w:t>外≤10</w:t>
            </w:r>
          </w:p>
        </w:tc>
        <w:tc>
          <w:tcPr>
            <w:tcW w:w="1199" w:type="pct"/>
            <w:tcBorders>
              <w:bottom w:val="single" w:color="auto" w:sz="12" w:space="0"/>
              <w:right w:val="single" w:color="auto" w:sz="12" w:space="0"/>
            </w:tcBorders>
            <w:vAlign w:val="center"/>
          </w:tcPr>
          <w:p w14:paraId="14B54FF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≤1.5</w:t>
            </w:r>
          </w:p>
        </w:tc>
      </w:tr>
    </w:tbl>
    <w:p w14:paraId="0F0FE273">
      <w:pPr>
        <w:widowControl/>
        <w:jc w:val="center"/>
        <w:rPr>
          <w:rFonts w:ascii="Courier New" w:hAnsi="Courier New" w:cs="Courier New"/>
          <w:color w:val="auto"/>
          <w:sz w:val="18"/>
          <w:szCs w:val="18"/>
          <w:highlight w:val="none"/>
        </w:rPr>
      </w:pPr>
    </w:p>
    <w:p w14:paraId="31B8FA6B">
      <w:pPr>
        <w:pStyle w:val="74"/>
        <w:numPr>
          <w:ilvl w:val="0"/>
          <w:numId w:val="0"/>
        </w:numPr>
        <w:spacing w:before="156" w:after="156"/>
        <w:jc w:val="center"/>
        <w:rPr>
          <w:rFonts w:hint="eastAsia"/>
          <w:color w:val="auto"/>
          <w:highlight w:val="none"/>
        </w:rPr>
      </w:pPr>
    </w:p>
    <w:p w14:paraId="411596E8">
      <w:pPr>
        <w:pStyle w:val="74"/>
        <w:numPr>
          <w:ilvl w:val="0"/>
          <w:numId w:val="0"/>
        </w:numPr>
        <w:spacing w:before="156" w:after="156"/>
        <w:jc w:val="center"/>
        <w:rPr>
          <w:color w:val="auto"/>
          <w:highlight w:val="none"/>
        </w:rPr>
      </w:pPr>
      <w:r>
        <w:rPr>
          <w:rFonts w:hint="eastAsia"/>
          <w:color w:val="auto"/>
          <w:highlight w:val="none"/>
        </w:rPr>
        <w:t>表</w:t>
      </w:r>
      <w:r>
        <w:rPr>
          <w:rFonts w:hint="eastAsia"/>
          <w:color w:val="auto"/>
          <w:highlight w:val="none"/>
          <w:lang w:val="en-US" w:eastAsia="zh-CN"/>
        </w:rPr>
        <w:t>6</w:t>
      </w:r>
      <w:r>
        <w:rPr>
          <w:rFonts w:hint="eastAsia"/>
          <w:color w:val="auto"/>
          <w:highlight w:val="none"/>
        </w:rPr>
        <w:t>横向独立式户外招牌设施最大高度和宽度</w:t>
      </w:r>
    </w:p>
    <w:tbl>
      <w:tblPr>
        <w:tblStyle w:val="26"/>
        <w:tblW w:w="5000" w:type="pct"/>
        <w:tblInd w:w="3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2971"/>
        <w:gridCol w:w="4163"/>
        <w:gridCol w:w="2250"/>
      </w:tblGrid>
      <w:tr w14:paraId="4606DC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76" w:hRule="atLeast"/>
        </w:trPr>
        <w:tc>
          <w:tcPr>
            <w:tcW w:w="1583" w:type="pct"/>
            <w:tcBorders>
              <w:top w:val="single" w:color="auto" w:sz="12" w:space="0"/>
              <w:left w:val="single" w:color="auto" w:sz="12" w:space="0"/>
              <w:bottom w:val="single" w:color="auto" w:sz="12" w:space="0"/>
              <w:right w:val="single" w:color="auto" w:sz="4" w:space="0"/>
            </w:tcBorders>
            <w:vAlign w:val="center"/>
          </w:tcPr>
          <w:p w14:paraId="454644D6">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设置场地宽度</w:t>
            </w:r>
          </w:p>
        </w:tc>
        <w:tc>
          <w:tcPr>
            <w:tcW w:w="2218" w:type="pct"/>
            <w:tcBorders>
              <w:top w:val="single" w:color="auto" w:sz="12" w:space="0"/>
              <w:left w:val="single" w:color="auto" w:sz="4" w:space="0"/>
              <w:bottom w:val="single" w:color="auto" w:sz="12" w:space="0"/>
            </w:tcBorders>
            <w:vAlign w:val="center"/>
          </w:tcPr>
          <w:p w14:paraId="7BA7E47D">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招牌高度</w:t>
            </w:r>
          </w:p>
        </w:tc>
        <w:tc>
          <w:tcPr>
            <w:tcW w:w="1199" w:type="pct"/>
            <w:tcBorders>
              <w:top w:val="single" w:color="auto" w:sz="12" w:space="0"/>
              <w:bottom w:val="single" w:color="auto" w:sz="12" w:space="0"/>
              <w:right w:val="single" w:color="auto" w:sz="12" w:space="0"/>
            </w:tcBorders>
            <w:vAlign w:val="center"/>
          </w:tcPr>
          <w:p w14:paraId="2E148921">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招牌宽度</w:t>
            </w:r>
          </w:p>
        </w:tc>
      </w:tr>
      <w:tr w14:paraId="7834C7D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c>
          <w:tcPr>
            <w:tcW w:w="1583" w:type="pct"/>
            <w:tcBorders>
              <w:top w:val="single" w:color="auto" w:sz="12" w:space="0"/>
              <w:left w:val="single" w:color="auto" w:sz="12" w:space="0"/>
              <w:bottom w:val="single" w:color="auto" w:sz="4" w:space="0"/>
              <w:right w:val="single" w:color="auto" w:sz="4" w:space="0"/>
            </w:tcBorders>
            <w:vAlign w:val="center"/>
          </w:tcPr>
          <w:p w14:paraId="1EEA38C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≥15</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20</w:t>
            </w:r>
          </w:p>
        </w:tc>
        <w:tc>
          <w:tcPr>
            <w:tcW w:w="2218" w:type="pct"/>
            <w:tcBorders>
              <w:top w:val="single" w:color="auto" w:sz="12" w:space="0"/>
              <w:left w:val="single" w:color="auto" w:sz="4" w:space="0"/>
              <w:bottom w:val="single" w:color="auto" w:sz="4" w:space="0"/>
            </w:tcBorders>
            <w:vAlign w:val="center"/>
          </w:tcPr>
          <w:p w14:paraId="68988B64">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≤1.5</w:t>
            </w:r>
          </w:p>
        </w:tc>
        <w:tc>
          <w:tcPr>
            <w:tcW w:w="1199" w:type="pct"/>
            <w:tcBorders>
              <w:top w:val="single" w:color="auto" w:sz="12" w:space="0"/>
              <w:bottom w:val="single" w:color="auto" w:sz="4" w:space="0"/>
              <w:right w:val="single" w:color="auto" w:sz="12" w:space="0"/>
            </w:tcBorders>
            <w:vAlign w:val="center"/>
          </w:tcPr>
          <w:p w14:paraId="5E60CEAE">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≤5</w:t>
            </w:r>
          </w:p>
        </w:tc>
      </w:tr>
      <w:tr w14:paraId="601140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c>
          <w:tcPr>
            <w:tcW w:w="1583" w:type="pct"/>
            <w:tcBorders>
              <w:top w:val="single" w:color="auto" w:sz="4" w:space="0"/>
              <w:left w:val="single" w:color="auto" w:sz="12" w:space="0"/>
              <w:bottom w:val="single" w:color="auto" w:sz="12" w:space="0"/>
              <w:right w:val="single" w:color="auto" w:sz="4" w:space="0"/>
            </w:tcBorders>
            <w:vAlign w:val="center"/>
          </w:tcPr>
          <w:p w14:paraId="215CC56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w:t>
            </w:r>
            <w:r>
              <w:rPr>
                <w:rFonts w:hint="eastAsia" w:ascii="Courier New" w:hAnsi="Courier New" w:cs="Courier New"/>
                <w:color w:val="auto"/>
                <w:sz w:val="18"/>
                <w:szCs w:val="18"/>
                <w:highlight w:val="none"/>
              </w:rPr>
              <w:t>20</w:t>
            </w:r>
          </w:p>
        </w:tc>
        <w:tc>
          <w:tcPr>
            <w:tcW w:w="2218" w:type="pct"/>
            <w:tcBorders>
              <w:top w:val="single" w:color="auto" w:sz="4" w:space="0"/>
              <w:left w:val="single" w:color="auto" w:sz="4" w:space="0"/>
              <w:bottom w:val="single" w:color="auto" w:sz="12" w:space="0"/>
            </w:tcBorders>
            <w:vAlign w:val="center"/>
          </w:tcPr>
          <w:p w14:paraId="1DD5485D">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≤2.5</w:t>
            </w:r>
          </w:p>
        </w:tc>
        <w:tc>
          <w:tcPr>
            <w:tcW w:w="1199" w:type="pct"/>
            <w:tcBorders>
              <w:top w:val="single" w:color="auto" w:sz="4" w:space="0"/>
              <w:bottom w:val="single" w:color="auto" w:sz="12" w:space="0"/>
              <w:right w:val="single" w:color="auto" w:sz="12" w:space="0"/>
            </w:tcBorders>
            <w:vAlign w:val="center"/>
          </w:tcPr>
          <w:p w14:paraId="16E2F777">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≤8</w:t>
            </w:r>
          </w:p>
        </w:tc>
      </w:tr>
    </w:tbl>
    <w:p w14:paraId="0BF0EF19">
      <w:pPr>
        <w:widowControl/>
        <w:jc w:val="center"/>
        <w:rPr>
          <w:rFonts w:ascii="Courier New" w:hAnsi="Courier New" w:cs="Courier New"/>
          <w:color w:val="auto"/>
          <w:sz w:val="18"/>
          <w:szCs w:val="18"/>
          <w:highlight w:val="none"/>
        </w:rPr>
      </w:pPr>
    </w:p>
    <w:p w14:paraId="27EAE7A6">
      <w:pPr>
        <w:pStyle w:val="71"/>
        <w:spacing w:before="120" w:after="120"/>
        <w:rPr>
          <w:color w:val="auto"/>
          <w:highlight w:val="none"/>
        </w:rPr>
      </w:pPr>
      <w:bookmarkStart w:id="247" w:name="_Toc5111"/>
      <w:bookmarkStart w:id="248" w:name="_Toc145513598"/>
      <w:r>
        <w:rPr>
          <w:rFonts w:hint="eastAsia"/>
          <w:color w:val="auto"/>
          <w:highlight w:val="none"/>
        </w:rPr>
        <w:t>传统风貌区域户外招牌设施</w:t>
      </w:r>
      <w:bookmarkEnd w:id="247"/>
      <w:bookmarkEnd w:id="248"/>
    </w:p>
    <w:p w14:paraId="25B9DADB">
      <w:pPr>
        <w:pStyle w:val="75"/>
        <w:spacing w:before="120" w:after="120"/>
        <w:rPr>
          <w:rFonts w:hint="eastAsia" w:ascii="宋体" w:hAnsi="宋体" w:eastAsia="宋体" w:cs="宋体"/>
          <w:color w:val="auto"/>
          <w:highlight w:val="none"/>
        </w:rPr>
      </w:pPr>
      <w:bookmarkStart w:id="249" w:name="_Toc27930"/>
      <w:bookmarkStart w:id="250" w:name="_Toc160183833"/>
      <w:bookmarkStart w:id="251" w:name="_Toc22229"/>
      <w:r>
        <w:rPr>
          <w:rFonts w:hint="eastAsia" w:ascii="宋体" w:hAnsi="宋体" w:eastAsia="宋体" w:cs="宋体"/>
          <w:color w:val="auto"/>
          <w:highlight w:val="none"/>
        </w:rPr>
        <w:t>在历史文化风貌区或者风貌保护街坊内、风貌保护道路或者风貌保护河道沿线、文物保护单位或者历史建筑上设置户外招牌的，除了符合本标准的规定外，还应当同时符合历史风貌、文物、历史建筑的保护和管理要求。</w:t>
      </w:r>
    </w:p>
    <w:p w14:paraId="32038968">
      <w:pPr>
        <w:pStyle w:val="75"/>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户外招牌设施设置应与建筑物风格相协调并彰显区域传统文化特色。</w:t>
      </w:r>
      <w:bookmarkEnd w:id="249"/>
      <w:bookmarkEnd w:id="250"/>
      <w:bookmarkEnd w:id="251"/>
    </w:p>
    <w:p w14:paraId="3DDAD2A1">
      <w:pPr>
        <w:pStyle w:val="75"/>
        <w:spacing w:before="120" w:after="120"/>
        <w:rPr>
          <w:rFonts w:hint="eastAsia" w:ascii="宋体" w:hAnsi="宋体" w:eastAsia="宋体" w:cs="宋体"/>
          <w:color w:val="auto"/>
          <w:highlight w:val="none"/>
        </w:rPr>
      </w:pPr>
      <w:bookmarkStart w:id="252" w:name="_Toc31930"/>
      <w:bookmarkStart w:id="253" w:name="_Toc160183834"/>
      <w:bookmarkStart w:id="254" w:name="_Toc26985"/>
      <w:r>
        <w:rPr>
          <w:rFonts w:hint="eastAsia" w:ascii="宋体" w:hAnsi="宋体" w:eastAsia="宋体" w:cs="宋体"/>
          <w:color w:val="auto"/>
          <w:highlight w:val="none"/>
        </w:rPr>
        <w:t>商业老字号匾额应当符合历史传统样式，连锁经营的应当统一风格。</w:t>
      </w:r>
      <w:bookmarkEnd w:id="252"/>
      <w:bookmarkEnd w:id="253"/>
      <w:bookmarkEnd w:id="254"/>
    </w:p>
    <w:p w14:paraId="6DC44B4B">
      <w:pPr>
        <w:pStyle w:val="75"/>
        <w:spacing w:before="120" w:after="120"/>
        <w:rPr>
          <w:rFonts w:hint="eastAsia" w:ascii="宋体" w:hAnsi="宋体" w:eastAsia="宋体" w:cs="宋体"/>
          <w:color w:val="auto"/>
          <w:highlight w:val="none"/>
        </w:rPr>
      </w:pPr>
      <w:bookmarkStart w:id="255" w:name="_Toc21704"/>
      <w:bookmarkStart w:id="256" w:name="_Toc160183835"/>
      <w:bookmarkStart w:id="257" w:name="_Toc26670"/>
      <w:r>
        <w:rPr>
          <w:rFonts w:hint="eastAsia" w:ascii="宋体" w:hAnsi="宋体" w:eastAsia="宋体" w:cs="宋体"/>
          <w:color w:val="auto"/>
          <w:highlight w:val="none"/>
        </w:rPr>
        <w:t>有走廊的传统形式建筑，应在廊内门头上设置；不宜在走廊外沿立面设置。</w:t>
      </w:r>
      <w:bookmarkEnd w:id="255"/>
      <w:bookmarkEnd w:id="256"/>
      <w:bookmarkEnd w:id="257"/>
    </w:p>
    <w:p w14:paraId="68C4B293">
      <w:pPr>
        <w:pStyle w:val="75"/>
        <w:spacing w:before="120" w:after="120"/>
        <w:rPr>
          <w:rFonts w:hint="eastAsia" w:ascii="宋体" w:hAnsi="宋体" w:eastAsia="宋体" w:cs="宋体"/>
          <w:color w:val="auto"/>
          <w:highlight w:val="none"/>
        </w:rPr>
      </w:pPr>
      <w:bookmarkStart w:id="258" w:name="_Toc160183836"/>
      <w:bookmarkStart w:id="259" w:name="_Toc27803"/>
      <w:bookmarkStart w:id="260" w:name="_Toc19321"/>
      <w:r>
        <w:rPr>
          <w:rFonts w:hint="eastAsia" w:ascii="宋体" w:hAnsi="宋体" w:eastAsia="宋体" w:cs="宋体"/>
          <w:color w:val="auto"/>
          <w:highlight w:val="none"/>
        </w:rPr>
        <w:t>中国传统形式的建筑，可采用匾额、幌子等形式；内容可采用传统书法体。</w:t>
      </w:r>
      <w:bookmarkEnd w:id="258"/>
      <w:bookmarkEnd w:id="259"/>
      <w:bookmarkEnd w:id="260"/>
    </w:p>
    <w:p w14:paraId="5F24DD76">
      <w:pPr>
        <w:pStyle w:val="75"/>
        <w:spacing w:before="120" w:after="120"/>
        <w:rPr>
          <w:rFonts w:hint="eastAsia" w:ascii="宋体" w:hAnsi="宋体" w:eastAsia="宋体" w:cs="宋体"/>
          <w:color w:val="auto"/>
          <w:highlight w:val="none"/>
        </w:rPr>
      </w:pPr>
      <w:bookmarkStart w:id="261" w:name="_Toc12389"/>
      <w:bookmarkStart w:id="262" w:name="_Toc28646"/>
      <w:bookmarkStart w:id="263" w:name="_Toc160183837"/>
      <w:r>
        <w:rPr>
          <w:rFonts w:hint="eastAsia" w:ascii="宋体" w:hAnsi="宋体" w:eastAsia="宋体" w:cs="宋体"/>
          <w:color w:val="auto"/>
          <w:highlight w:val="none"/>
        </w:rPr>
        <w:t>户外招牌设施不宜采用高纯度（高饱和度）、高对比度的色彩；版面材料不宜大面积使用不锈钢、钛金板、玻璃等镜面反光材料。</w:t>
      </w:r>
      <w:bookmarkEnd w:id="261"/>
      <w:bookmarkEnd w:id="262"/>
      <w:bookmarkEnd w:id="263"/>
    </w:p>
    <w:p w14:paraId="30D8AC28">
      <w:pPr>
        <w:pStyle w:val="72"/>
        <w:spacing w:before="240" w:after="240"/>
        <w:rPr>
          <w:color w:val="auto"/>
          <w:highlight w:val="none"/>
        </w:rPr>
      </w:pPr>
      <w:bookmarkStart w:id="264" w:name="_Toc517"/>
      <w:bookmarkStart w:id="265" w:name="_Toc145513600"/>
      <w:bookmarkStart w:id="266" w:name="_Toc25474"/>
      <w:r>
        <w:rPr>
          <w:rFonts w:hint="eastAsia"/>
          <w:color w:val="auto"/>
          <w:highlight w:val="none"/>
        </w:rPr>
        <w:t>照明</w:t>
      </w:r>
      <w:bookmarkEnd w:id="264"/>
      <w:bookmarkEnd w:id="265"/>
      <w:bookmarkEnd w:id="266"/>
    </w:p>
    <w:p w14:paraId="4B36DB8A">
      <w:pPr>
        <w:pStyle w:val="71"/>
        <w:spacing w:before="120" w:after="120"/>
        <w:rPr>
          <w:rFonts w:hint="eastAsia" w:asciiTheme="minorEastAsia" w:hAnsiTheme="minorEastAsia" w:eastAsiaTheme="minorEastAsia" w:cstheme="minorEastAsia"/>
          <w:color w:val="auto"/>
          <w:highlight w:val="none"/>
        </w:rPr>
      </w:pPr>
      <w:bookmarkStart w:id="267" w:name="_Toc15724"/>
      <w:bookmarkStart w:id="268" w:name="_Toc160183844"/>
      <w:bookmarkStart w:id="269" w:name="_Toc28033"/>
      <w:r>
        <w:rPr>
          <w:rFonts w:hint="eastAsia" w:ascii="宋体" w:hAnsi="宋体" w:eastAsia="宋体" w:cs="宋体"/>
          <w:color w:val="auto"/>
          <w:highlight w:val="none"/>
        </w:rPr>
        <w:t>户</w:t>
      </w:r>
      <w:r>
        <w:rPr>
          <w:rFonts w:hint="eastAsia" w:asciiTheme="minorEastAsia" w:hAnsiTheme="minorEastAsia" w:eastAsiaTheme="minorEastAsia" w:cstheme="minorEastAsia"/>
          <w:color w:val="auto"/>
          <w:highlight w:val="none"/>
        </w:rPr>
        <w:t>外广告和招牌设施照明应符合GB/T 35626、JGJ/T 163</w:t>
      </w:r>
      <w:r>
        <w:rPr>
          <w:rFonts w:hint="eastAsia" w:asciiTheme="minorEastAsia" w:hAnsiTheme="minorEastAsia" w:eastAsiaTheme="minorEastAsia" w:cstheme="minorEastAsia"/>
          <w:color w:val="auto"/>
          <w:highlight w:val="none"/>
          <w:lang w:eastAsia="zh-CN"/>
        </w:rPr>
        <w:t>、</w:t>
      </w:r>
      <w:r>
        <w:rPr>
          <w:rFonts w:hint="eastAsia" w:asciiTheme="minorEastAsia" w:hAnsiTheme="minorEastAsia" w:eastAsiaTheme="minorEastAsia" w:cstheme="minorEastAsia"/>
          <w:color w:val="auto"/>
          <w:highlight w:val="none"/>
        </w:rPr>
        <w:t>CJJ/T</w:t>
      </w:r>
      <w:r>
        <w:rPr>
          <w:rFonts w:hint="eastAsia" w:asciiTheme="minorEastAsia" w:hAnsiTheme="minorEastAsia" w:eastAsiaTheme="minorEastAsia" w:cstheme="minorEastAsia"/>
          <w:color w:val="auto"/>
          <w:highlight w:val="none"/>
          <w:lang w:val="en-US" w:eastAsia="zh-CN"/>
        </w:rPr>
        <w:t xml:space="preserve"> </w:t>
      </w:r>
      <w:r>
        <w:rPr>
          <w:rFonts w:hint="eastAsia" w:asciiTheme="minorEastAsia" w:hAnsiTheme="minorEastAsia" w:eastAsiaTheme="minorEastAsia" w:cstheme="minorEastAsia"/>
          <w:color w:val="auto"/>
          <w:highlight w:val="none"/>
        </w:rPr>
        <w:t>149的规定，应严格控制照明器具投射角度和照明亮度，不应影响居民正常生活、交通安全及周边生态环境。</w:t>
      </w:r>
      <w:bookmarkEnd w:id="267"/>
      <w:bookmarkEnd w:id="268"/>
      <w:bookmarkEnd w:id="269"/>
    </w:p>
    <w:p w14:paraId="164D08BB">
      <w:pPr>
        <w:pStyle w:val="71"/>
        <w:spacing w:before="120" w:after="120"/>
        <w:rPr>
          <w:rFonts w:hint="eastAsia"/>
          <w:color w:val="auto"/>
          <w:highlight w:val="none"/>
        </w:rPr>
      </w:pPr>
      <w:bookmarkStart w:id="270" w:name="_Toc25707"/>
      <w:bookmarkStart w:id="271" w:name="_Toc160183845"/>
      <w:bookmarkStart w:id="272" w:name="_Toc18627"/>
      <w:r>
        <w:rPr>
          <w:rFonts w:hint="eastAsia" w:asciiTheme="minorEastAsia" w:hAnsiTheme="minorEastAsia" w:eastAsiaTheme="minorEastAsia" w:cstheme="minorEastAsia"/>
          <w:color w:val="auto"/>
          <w:highlight w:val="none"/>
        </w:rPr>
        <w:t>应根据户外广告和招牌设施的种类、结构、形式、表面材质、色彩、安装位置以及周边环境特点选择相应的照明方式，宜优先选用节能、环保的新光源、新灯具。</w:t>
      </w:r>
      <w:bookmarkEnd w:id="270"/>
      <w:bookmarkEnd w:id="271"/>
      <w:bookmarkEnd w:id="272"/>
    </w:p>
    <w:p w14:paraId="183AFBAD">
      <w:pPr>
        <w:pStyle w:val="71"/>
        <w:spacing w:before="120" w:after="12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highlight w:val="none"/>
        </w:rPr>
        <w:t>户外广告</w:t>
      </w:r>
      <w:r>
        <w:rPr>
          <w:rFonts w:hint="eastAsia" w:asciiTheme="minorEastAsia" w:hAnsiTheme="minorEastAsia" w:eastAsiaTheme="minorEastAsia" w:cstheme="minorEastAsia"/>
          <w:color w:val="auto"/>
          <w:highlight w:val="none"/>
          <w:lang w:val="en-US" w:eastAsia="zh-CN"/>
        </w:rPr>
        <w:t>和招牌</w:t>
      </w:r>
      <w:r>
        <w:rPr>
          <w:rFonts w:hint="eastAsia" w:asciiTheme="minorEastAsia" w:hAnsiTheme="minorEastAsia" w:eastAsiaTheme="minorEastAsia" w:cstheme="minorEastAsia"/>
          <w:color w:val="auto"/>
          <w:highlight w:val="none"/>
        </w:rPr>
        <w:t>牌面（屏面）的平均亮度限值（最大允许值）不应超过表</w:t>
      </w:r>
      <w:r>
        <w:rPr>
          <w:rFonts w:hint="eastAsia" w:asciiTheme="minorEastAsia" w:hAnsiTheme="minorEastAsia" w:eastAsiaTheme="minorEastAsia" w:cstheme="minorEastAsia"/>
          <w:color w:val="auto"/>
          <w:highlight w:val="none"/>
          <w:lang w:val="en-US" w:eastAsia="zh-CN"/>
        </w:rPr>
        <w:t>7</w:t>
      </w:r>
      <w:r>
        <w:rPr>
          <w:rFonts w:hint="eastAsia" w:asciiTheme="minorEastAsia" w:hAnsiTheme="minorEastAsia" w:eastAsiaTheme="minorEastAsia" w:cstheme="minorEastAsia"/>
          <w:color w:val="auto"/>
          <w:highlight w:val="none"/>
        </w:rPr>
        <w:t>的规定</w:t>
      </w:r>
      <w:r>
        <w:rPr>
          <w:rFonts w:hint="eastAsia" w:asciiTheme="minorEastAsia" w:hAnsiTheme="minorEastAsia" w:eastAsiaTheme="minorEastAsia" w:cstheme="minorEastAsia"/>
          <w:color w:val="auto"/>
          <w:highlight w:val="none"/>
          <w:lang w:eastAsia="zh-CN"/>
        </w:rPr>
        <w:t>：</w:t>
      </w:r>
    </w:p>
    <w:p w14:paraId="60017A79">
      <w:pPr>
        <w:pStyle w:val="74"/>
        <w:numPr>
          <w:ilvl w:val="0"/>
          <w:numId w:val="0"/>
        </w:numPr>
        <w:spacing w:before="156" w:after="156"/>
        <w:jc w:val="center"/>
        <w:rPr>
          <w:color w:val="auto"/>
          <w:highlight w:val="none"/>
        </w:rPr>
      </w:pPr>
      <w:r>
        <w:rPr>
          <w:rFonts w:hint="eastAsia"/>
          <w:color w:val="auto"/>
          <w:highlight w:val="none"/>
        </w:rPr>
        <w:t>表</w:t>
      </w:r>
      <w:r>
        <w:rPr>
          <w:rFonts w:hint="eastAsia"/>
          <w:color w:val="auto"/>
          <w:highlight w:val="none"/>
          <w:lang w:val="en-US" w:eastAsia="zh-CN"/>
        </w:rPr>
        <w:t>7</w:t>
      </w:r>
      <w:r>
        <w:rPr>
          <w:rFonts w:hint="eastAsia"/>
          <w:color w:val="auto"/>
          <w:highlight w:val="none"/>
        </w:rPr>
        <w:t>户外广告</w:t>
      </w:r>
      <w:r>
        <w:rPr>
          <w:rFonts w:hint="eastAsia"/>
          <w:color w:val="auto"/>
          <w:highlight w:val="none"/>
          <w:lang w:val="en-US" w:eastAsia="zh-CN"/>
        </w:rPr>
        <w:t>和招牌</w:t>
      </w:r>
      <w:r>
        <w:rPr>
          <w:rFonts w:hint="eastAsia"/>
          <w:color w:val="auto"/>
          <w:highlight w:val="none"/>
        </w:rPr>
        <w:t>牌面（屏面）平均亮度的限值（坎德拉每平方米）</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82"/>
        <w:gridCol w:w="2894"/>
        <w:gridCol w:w="2894"/>
      </w:tblGrid>
      <w:tr w14:paraId="724A6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6" w:type="pct"/>
            <w:tcBorders>
              <w:top w:val="single" w:color="auto" w:sz="12" w:space="0"/>
              <w:left w:val="single" w:color="auto" w:sz="12" w:space="0"/>
              <w:bottom w:val="single" w:color="auto" w:sz="12" w:space="0"/>
              <w:right w:val="single" w:color="auto" w:sz="4" w:space="0"/>
            </w:tcBorders>
            <w:vAlign w:val="center"/>
          </w:tcPr>
          <w:p w14:paraId="19049017">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区域</w:t>
            </w:r>
          </w:p>
        </w:tc>
        <w:tc>
          <w:tcPr>
            <w:tcW w:w="1512" w:type="pct"/>
            <w:tcBorders>
              <w:top w:val="single" w:color="auto" w:sz="12" w:space="0"/>
              <w:left w:val="single" w:color="auto" w:sz="4" w:space="0"/>
              <w:bottom w:val="single" w:color="auto" w:sz="12" w:space="0"/>
              <w:right w:val="single" w:color="auto" w:sz="4" w:space="0"/>
            </w:tcBorders>
            <w:vAlign w:val="center"/>
          </w:tcPr>
          <w:p w14:paraId="2747B9DA">
            <w:pPr>
              <w:widowControl/>
              <w:jc w:val="center"/>
              <w:rPr>
                <w:rFonts w:hint="eastAsia" w:ascii="Courier New" w:hAnsi="Courier New" w:cs="Courier New" w:eastAsiaTheme="minorEastAsia"/>
                <w:color w:val="auto"/>
                <w:sz w:val="18"/>
                <w:szCs w:val="18"/>
                <w:highlight w:val="none"/>
                <w:lang w:eastAsia="zh-CN"/>
              </w:rPr>
            </w:pPr>
            <w:r>
              <w:rPr>
                <w:rFonts w:hint="eastAsia" w:ascii="Courier New" w:hAnsi="Courier New" w:cs="Courier New"/>
                <w:color w:val="auto"/>
                <w:sz w:val="18"/>
                <w:szCs w:val="18"/>
                <w:highlight w:val="none"/>
                <w:lang w:eastAsia="zh-CN"/>
              </w:rPr>
              <w:t>限设区</w:t>
            </w:r>
          </w:p>
        </w:tc>
        <w:tc>
          <w:tcPr>
            <w:tcW w:w="1512" w:type="pct"/>
            <w:tcBorders>
              <w:top w:val="single" w:color="auto" w:sz="12" w:space="0"/>
              <w:left w:val="single" w:color="auto" w:sz="4" w:space="0"/>
              <w:bottom w:val="single" w:color="auto" w:sz="12" w:space="0"/>
              <w:right w:val="single" w:color="auto" w:sz="12" w:space="0"/>
            </w:tcBorders>
            <w:vAlign w:val="center"/>
          </w:tcPr>
          <w:p w14:paraId="1EB2AC98">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展示区</w:t>
            </w:r>
          </w:p>
        </w:tc>
      </w:tr>
      <w:tr w14:paraId="40B59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976" w:type="pct"/>
            <w:tcBorders>
              <w:top w:val="single" w:color="auto" w:sz="12" w:space="0"/>
              <w:left w:val="single" w:color="auto" w:sz="12" w:space="0"/>
              <w:bottom w:val="single" w:color="auto" w:sz="4" w:space="0"/>
              <w:right w:val="single" w:color="auto" w:sz="4" w:space="0"/>
            </w:tcBorders>
            <w:vAlign w:val="center"/>
          </w:tcPr>
          <w:p w14:paraId="02582313">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表面平均亮度</w:t>
            </w:r>
          </w:p>
        </w:tc>
        <w:tc>
          <w:tcPr>
            <w:tcW w:w="1512" w:type="pct"/>
            <w:tcBorders>
              <w:top w:val="single" w:color="auto" w:sz="12" w:space="0"/>
              <w:left w:val="single" w:color="auto" w:sz="4" w:space="0"/>
              <w:bottom w:val="single" w:color="auto" w:sz="4" w:space="0"/>
              <w:right w:val="single" w:color="auto" w:sz="4" w:space="0"/>
            </w:tcBorders>
            <w:vAlign w:val="center"/>
          </w:tcPr>
          <w:p w14:paraId="5A3754D6">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800</w:t>
            </w:r>
          </w:p>
        </w:tc>
        <w:tc>
          <w:tcPr>
            <w:tcW w:w="1512" w:type="pct"/>
            <w:tcBorders>
              <w:top w:val="single" w:color="auto" w:sz="12" w:space="0"/>
              <w:left w:val="single" w:color="auto" w:sz="4" w:space="0"/>
              <w:bottom w:val="single" w:color="auto" w:sz="4" w:space="0"/>
              <w:right w:val="single" w:color="auto" w:sz="12" w:space="0"/>
            </w:tcBorders>
            <w:vAlign w:val="center"/>
          </w:tcPr>
          <w:p w14:paraId="6C56C5CA">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1000</w:t>
            </w:r>
          </w:p>
        </w:tc>
      </w:tr>
      <w:tr w14:paraId="60166B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3"/>
            <w:tcBorders>
              <w:top w:val="single" w:color="auto" w:sz="4" w:space="0"/>
              <w:left w:val="single" w:color="auto" w:sz="12" w:space="0"/>
              <w:bottom w:val="single" w:color="auto" w:sz="12" w:space="0"/>
              <w:right w:val="single" w:color="auto" w:sz="12" w:space="0"/>
            </w:tcBorders>
            <w:vAlign w:val="center"/>
          </w:tcPr>
          <w:p w14:paraId="0B1D2FB7">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注1：有苏州广告总规对接</w:t>
            </w:r>
            <w:r>
              <w:rPr>
                <w:rFonts w:hint="eastAsia" w:ascii="Courier New" w:hAnsi="Courier New" w:cs="Courier New"/>
                <w:color w:val="auto"/>
                <w:sz w:val="18"/>
                <w:szCs w:val="18"/>
                <w:highlight w:val="none"/>
                <w:lang w:eastAsia="zh-CN"/>
              </w:rPr>
              <w:t>限设区</w:t>
            </w:r>
            <w:r>
              <w:rPr>
                <w:rFonts w:hint="eastAsia" w:ascii="Courier New" w:hAnsi="Courier New" w:cs="Courier New"/>
                <w:color w:val="auto"/>
                <w:sz w:val="18"/>
                <w:szCs w:val="18"/>
                <w:highlight w:val="none"/>
              </w:rPr>
              <w:t>对应于JGJ/T163附录A的E3，展示区对应于E4；</w:t>
            </w:r>
          </w:p>
          <w:p w14:paraId="10FB885A">
            <w:pPr>
              <w:widowControl/>
              <w:jc w:val="center"/>
              <w:rPr>
                <w:rFonts w:hint="eastAsia" w:ascii="Courier New" w:hAnsi="Courier New" w:cs="Courier New"/>
                <w:color w:val="auto"/>
                <w:sz w:val="18"/>
                <w:szCs w:val="18"/>
                <w:highlight w:val="none"/>
              </w:rPr>
            </w:pPr>
            <w:r>
              <w:rPr>
                <w:rFonts w:hint="eastAsia" w:ascii="Courier New" w:hAnsi="Courier New" w:cs="Courier New"/>
                <w:color w:val="auto"/>
                <w:sz w:val="18"/>
                <w:szCs w:val="18"/>
                <w:highlight w:val="none"/>
              </w:rPr>
              <w:t>注2：表内是晚上的数值（18</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00</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次日6</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00，夏季为19</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00</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次日5</w:t>
            </w:r>
            <w:r>
              <w:rPr>
                <w:rFonts w:hint="eastAsia" w:ascii="Courier New" w:hAnsi="Courier New" w:cs="Courier New"/>
                <w:color w:val="auto"/>
                <w:sz w:val="18"/>
                <w:szCs w:val="18"/>
                <w:highlight w:val="none"/>
                <w:lang w:eastAsia="zh-CN"/>
              </w:rPr>
              <w:t>:</w:t>
            </w:r>
            <w:r>
              <w:rPr>
                <w:rFonts w:hint="eastAsia" w:ascii="Courier New" w:hAnsi="Courier New" w:cs="Courier New"/>
                <w:color w:val="auto"/>
                <w:sz w:val="18"/>
                <w:szCs w:val="18"/>
                <w:highlight w:val="none"/>
              </w:rPr>
              <w:t>00），LED显示屏指全白屏的值；</w:t>
            </w:r>
          </w:p>
        </w:tc>
      </w:tr>
    </w:tbl>
    <w:p w14:paraId="3A84D9D5">
      <w:pPr>
        <w:widowControl/>
        <w:jc w:val="center"/>
        <w:rPr>
          <w:rFonts w:hint="eastAsia" w:ascii="Courier New" w:hAnsi="Courier New" w:cs="Courier New"/>
          <w:color w:val="auto"/>
          <w:sz w:val="18"/>
          <w:szCs w:val="18"/>
          <w:highlight w:val="none"/>
        </w:rPr>
      </w:pPr>
    </w:p>
    <w:p w14:paraId="0821A4E4">
      <w:pPr>
        <w:pStyle w:val="71"/>
        <w:spacing w:before="120" w:after="120"/>
        <w:rPr>
          <w:rFonts w:hint="eastAsia" w:ascii="宋体" w:hAnsi="宋体" w:eastAsia="宋体" w:cs="宋体"/>
          <w:b w:val="0"/>
          <w:bCs w:val="0"/>
          <w:color w:val="auto"/>
          <w:highlight w:val="none"/>
        </w:rPr>
      </w:pPr>
      <w:r>
        <w:rPr>
          <w:rFonts w:hint="eastAsia" w:ascii="宋体" w:hAnsi="宋体" w:eastAsia="宋体" w:cs="宋体"/>
          <w:b w:val="0"/>
          <w:bCs w:val="0"/>
          <w:color w:val="auto"/>
          <w:highlight w:val="none"/>
        </w:rPr>
        <w:t>采用电子显示装置时，应符合下列规定：</w:t>
      </w:r>
    </w:p>
    <w:p w14:paraId="410A809A">
      <w:pPr>
        <w:pStyle w:val="73"/>
        <w:ind w:firstLine="420"/>
        <w:rPr>
          <w:rFonts w:hint="eastAsia" w:ascii="宋体" w:hAnsi="宋体" w:eastAsia="宋体" w:cs="宋体"/>
          <w:color w:val="auto"/>
          <w:highlight w:val="none"/>
        </w:rPr>
      </w:pPr>
      <w:bookmarkStart w:id="273" w:name="_Toc8215"/>
      <w:bookmarkStart w:id="274" w:name="_Toc3497"/>
      <w:bookmarkStart w:id="275" w:name="_Toc160183846"/>
      <w:r>
        <w:rPr>
          <w:rFonts w:hint="eastAsia" w:ascii="宋体" w:hAnsi="宋体" w:eastAsia="宋体" w:cs="宋体"/>
          <w:color w:val="auto"/>
          <w:highlight w:val="none"/>
          <w:lang w:val="en-US" w:eastAsia="zh-CN"/>
        </w:rPr>
        <w:t>1</w:t>
      </w:r>
      <w:r>
        <w:rPr>
          <w:rFonts w:hint="eastAsia" w:ascii="宋体" w:hAnsi="宋体" w:eastAsia="宋体" w:cs="宋体"/>
          <w:color w:val="auto"/>
          <w:highlight w:val="none"/>
        </w:rPr>
        <w:t>）应发光均匀，无抖动闪烁现象，具备根据自然环境自动调节亮度的功能</w:t>
      </w:r>
      <w:bookmarkEnd w:id="273"/>
      <w:bookmarkEnd w:id="274"/>
      <w:bookmarkEnd w:id="275"/>
      <w:r>
        <w:rPr>
          <w:rFonts w:hint="eastAsia" w:ascii="宋体" w:hAnsi="宋体" w:eastAsia="宋体" w:cs="宋体"/>
          <w:color w:val="auto"/>
          <w:highlight w:val="none"/>
          <w:lang w:eastAsia="zh-CN"/>
        </w:rPr>
        <w:t>；</w:t>
      </w:r>
    </w:p>
    <w:p w14:paraId="5D0FD2C0">
      <w:pPr>
        <w:pStyle w:val="73"/>
        <w:ind w:firstLine="420"/>
        <w:rPr>
          <w:rFonts w:hint="eastAsia" w:ascii="宋体" w:hAnsi="宋体" w:eastAsia="宋体" w:cs="宋体"/>
          <w:color w:val="auto"/>
          <w:highlight w:val="none"/>
        </w:rPr>
      </w:pPr>
      <w:bookmarkStart w:id="276" w:name="_Toc160183807"/>
      <w:bookmarkStart w:id="277" w:name="_Toc21509"/>
      <w:bookmarkStart w:id="278" w:name="_Toc32004"/>
      <w:r>
        <w:rPr>
          <w:rFonts w:hint="eastAsia" w:hAnsi="宋体" w:cs="宋体"/>
          <w:color w:val="auto"/>
          <w:highlight w:val="none"/>
          <w:lang w:val="en-US" w:eastAsia="zh-CN"/>
        </w:rPr>
        <w:t>2</w:t>
      </w:r>
      <w:r>
        <w:rPr>
          <w:rFonts w:hint="eastAsia" w:ascii="宋体" w:hAnsi="宋体" w:eastAsia="宋体" w:cs="宋体"/>
          <w:color w:val="auto"/>
          <w:highlight w:val="none"/>
        </w:rPr>
        <w:t>）展示面与道路红线之间距离小于8米的，采用画面缓慢切换的刷屏形式，每帧画面停顿时间</w:t>
      </w:r>
      <w:r>
        <w:rPr>
          <w:rFonts w:hint="eastAsia" w:ascii="宋体" w:hAnsi="宋体" w:eastAsia="宋体" w:cs="宋体"/>
          <w:color w:val="auto"/>
          <w:highlight w:val="none"/>
          <w:lang w:val="en-US" w:eastAsia="zh-CN"/>
        </w:rPr>
        <w:t>大于</w:t>
      </w:r>
      <w:r>
        <w:rPr>
          <w:rFonts w:hint="eastAsia" w:ascii="宋体" w:hAnsi="宋体" w:eastAsia="宋体" w:cs="宋体"/>
          <w:color w:val="auto"/>
          <w:highlight w:val="none"/>
        </w:rPr>
        <w:t>10s；采用连续播放形式或画面停顿时间小于10s的，退让道路红线8m及以上距离</w:t>
      </w:r>
      <w:bookmarkEnd w:id="276"/>
      <w:bookmarkEnd w:id="277"/>
      <w:bookmarkEnd w:id="278"/>
      <w:r>
        <w:rPr>
          <w:rFonts w:hint="eastAsia" w:ascii="宋体" w:hAnsi="宋体" w:eastAsia="宋体" w:cs="宋体"/>
          <w:color w:val="auto"/>
          <w:highlight w:val="none"/>
          <w:lang w:eastAsia="zh-CN"/>
        </w:rPr>
        <w:t>；</w:t>
      </w:r>
    </w:p>
    <w:p w14:paraId="560AD927">
      <w:pPr>
        <w:pStyle w:val="73"/>
        <w:ind w:firstLine="420"/>
        <w:rPr>
          <w:rFonts w:hint="eastAsia" w:ascii="宋体" w:hAnsi="宋体" w:eastAsia="宋体" w:cs="宋体"/>
          <w:color w:val="auto"/>
          <w:highlight w:val="none"/>
        </w:rPr>
      </w:pPr>
      <w:bookmarkStart w:id="279" w:name="_Toc12474"/>
      <w:bookmarkStart w:id="280" w:name="_Toc5442"/>
      <w:bookmarkStart w:id="281" w:name="_Toc160183808"/>
      <w:r>
        <w:rPr>
          <w:rFonts w:hint="eastAsia" w:hAnsi="宋体" w:cs="宋体"/>
          <w:color w:val="auto"/>
          <w:highlight w:val="none"/>
          <w:lang w:val="en-US" w:eastAsia="zh-CN"/>
        </w:rPr>
        <w:t>3</w:t>
      </w:r>
      <w:r>
        <w:rPr>
          <w:rFonts w:hint="eastAsia" w:ascii="宋体" w:hAnsi="宋体" w:eastAsia="宋体" w:cs="宋体"/>
          <w:color w:val="auto"/>
          <w:highlight w:val="none"/>
        </w:rPr>
        <w:t>）45kW及以上的LED显示屏配电柜（箱）具有电压、电流工作状态等指示功能，并具有屏体分级启动、远程控制和自动关屏等功能。45kW及以上的LED显示屏具有感烟火灾探测自动报警功能。</w:t>
      </w:r>
      <w:bookmarkEnd w:id="279"/>
      <w:bookmarkEnd w:id="280"/>
      <w:bookmarkEnd w:id="281"/>
    </w:p>
    <w:p w14:paraId="57317B53">
      <w:pPr>
        <w:pStyle w:val="71"/>
        <w:spacing w:before="120" w:after="120"/>
        <w:rPr>
          <w:rFonts w:hint="eastAsia" w:asciiTheme="minorEastAsia" w:hAnsiTheme="minorEastAsia" w:eastAsiaTheme="minorEastAsia" w:cstheme="minorEastAsia"/>
          <w:color w:val="auto"/>
          <w:highlight w:val="none"/>
        </w:rPr>
      </w:pPr>
      <w:r>
        <w:rPr>
          <w:rFonts w:hint="eastAsia" w:asciiTheme="minorEastAsia" w:hAnsiTheme="minorEastAsia" w:eastAsiaTheme="minorEastAsia" w:cstheme="minorEastAsia"/>
          <w:color w:val="auto"/>
          <w:sz w:val="21"/>
          <w:highlight w:val="none"/>
          <w:lang w:val="en-US" w:eastAsia="zh-CN"/>
        </w:rPr>
        <w:t>户外</w:t>
      </w:r>
      <w:r>
        <w:rPr>
          <w:rFonts w:hint="eastAsia" w:asciiTheme="minorEastAsia" w:hAnsiTheme="minorEastAsia" w:eastAsiaTheme="minorEastAsia" w:cstheme="minorEastAsia"/>
          <w:color w:val="auto"/>
          <w:highlight w:val="none"/>
        </w:rPr>
        <w:t>广告采用外投光照明时，不应出现以下情况：</w:t>
      </w:r>
    </w:p>
    <w:p w14:paraId="5B749B59">
      <w:pPr>
        <w:pStyle w:val="73"/>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1）控制投射范围，散射到广告表面外的溢散光超过20%；</w:t>
      </w:r>
    </w:p>
    <w:p w14:paraId="0F416130">
      <w:pPr>
        <w:pStyle w:val="73"/>
        <w:ind w:firstLine="4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2）亮度均匀度U1（Lmin/Lmax）小于0.6。</w:t>
      </w:r>
    </w:p>
    <w:p w14:paraId="601D12F3">
      <w:pPr>
        <w:pStyle w:val="71"/>
        <w:spacing w:before="120" w:after="120"/>
        <w:rPr>
          <w:rFonts w:hint="eastAsia" w:asciiTheme="minorEastAsia" w:hAnsiTheme="minorEastAsia" w:eastAsiaTheme="minorEastAsia" w:cstheme="minorEastAsia"/>
          <w:color w:val="auto"/>
          <w:highlight w:val="none"/>
        </w:rPr>
      </w:pPr>
      <w:bookmarkStart w:id="282" w:name="_Toc160183849"/>
      <w:bookmarkStart w:id="283" w:name="_Toc1370"/>
      <w:bookmarkStart w:id="284" w:name="_Toc4960"/>
      <w:r>
        <w:rPr>
          <w:rFonts w:hint="eastAsia" w:asciiTheme="minorEastAsia" w:hAnsiTheme="minorEastAsia" w:eastAsiaTheme="minorEastAsia" w:cstheme="minorEastAsia"/>
          <w:color w:val="auto"/>
          <w:highlight w:val="none"/>
        </w:rPr>
        <w:t>直接面对居住建筑居室窗户设置的电子显示装置广告，</w:t>
      </w:r>
      <w:r>
        <w:rPr>
          <w:rFonts w:hint="eastAsia" w:asciiTheme="minorEastAsia" w:hAnsiTheme="minorEastAsia" w:eastAsiaTheme="minorEastAsia" w:cstheme="minorEastAsia"/>
          <w:color w:val="auto"/>
          <w:highlight w:val="none"/>
          <w:lang w:eastAsia="zh-CN"/>
        </w:rPr>
        <w:t>不应</w:t>
      </w:r>
      <w:r>
        <w:rPr>
          <w:rFonts w:hint="eastAsia" w:asciiTheme="minorEastAsia" w:hAnsiTheme="minorEastAsia" w:eastAsiaTheme="minorEastAsia" w:cstheme="minorEastAsia"/>
          <w:color w:val="auto"/>
          <w:highlight w:val="none"/>
        </w:rPr>
        <w:t>采用闪、跳等动态显示方式，应采用画面缓慢切换的刷屏形式，每帧画面停顿时间不应小于10s，且应于每日22:00前关闭。居住建筑窗户外表面的垂直照度限值不应大于表</w:t>
      </w:r>
      <w:r>
        <w:rPr>
          <w:rFonts w:hint="eastAsia" w:asciiTheme="minorEastAsia" w:hAnsiTheme="minorEastAsia" w:eastAsiaTheme="minorEastAsia" w:cstheme="minorEastAsia"/>
          <w:color w:val="auto"/>
          <w:highlight w:val="none"/>
          <w:lang w:val="en-US" w:eastAsia="zh-CN"/>
        </w:rPr>
        <w:t>8</w:t>
      </w:r>
      <w:r>
        <w:rPr>
          <w:rFonts w:hint="eastAsia" w:asciiTheme="minorEastAsia" w:hAnsiTheme="minorEastAsia" w:eastAsiaTheme="minorEastAsia" w:cstheme="minorEastAsia"/>
          <w:color w:val="auto"/>
          <w:highlight w:val="none"/>
        </w:rPr>
        <w:t>的规定：</w:t>
      </w:r>
      <w:bookmarkEnd w:id="282"/>
      <w:bookmarkEnd w:id="283"/>
      <w:bookmarkEnd w:id="284"/>
    </w:p>
    <w:p w14:paraId="38C9B5FD">
      <w:pPr>
        <w:pStyle w:val="74"/>
        <w:numPr>
          <w:ilvl w:val="0"/>
          <w:numId w:val="0"/>
        </w:numPr>
        <w:spacing w:before="156" w:after="156"/>
        <w:jc w:val="center"/>
        <w:rPr>
          <w:color w:val="auto"/>
          <w:highlight w:val="none"/>
        </w:rPr>
      </w:pPr>
      <w:r>
        <w:rPr>
          <w:rFonts w:hint="eastAsia"/>
          <w:color w:val="auto"/>
          <w:highlight w:val="none"/>
        </w:rPr>
        <w:t>表</w:t>
      </w:r>
      <w:r>
        <w:rPr>
          <w:rFonts w:hint="eastAsia"/>
          <w:color w:val="auto"/>
          <w:highlight w:val="none"/>
          <w:lang w:val="en-US" w:eastAsia="zh-CN"/>
        </w:rPr>
        <w:t>8</w:t>
      </w:r>
      <w:r>
        <w:rPr>
          <w:rFonts w:hint="eastAsia"/>
          <w:color w:val="auto"/>
          <w:highlight w:val="none"/>
        </w:rPr>
        <w:t xml:space="preserve">  住宅建筑居室窗户外表面的垂直照度的限值（勒克斯）</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63"/>
        <w:gridCol w:w="3254"/>
        <w:gridCol w:w="3253"/>
      </w:tblGrid>
      <w:tr w14:paraId="1514B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0" w:type="pct"/>
            <w:tcBorders>
              <w:top w:val="single" w:color="auto" w:sz="12" w:space="0"/>
              <w:left w:val="single" w:color="auto" w:sz="12" w:space="0"/>
              <w:bottom w:val="single" w:color="auto" w:sz="12" w:space="0"/>
              <w:right w:val="single" w:color="auto" w:sz="12" w:space="0"/>
            </w:tcBorders>
            <w:vAlign w:val="center"/>
          </w:tcPr>
          <w:p w14:paraId="11B8464A">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区域</w:t>
            </w:r>
          </w:p>
        </w:tc>
        <w:tc>
          <w:tcPr>
            <w:tcW w:w="1700" w:type="pct"/>
            <w:tcBorders>
              <w:top w:val="single" w:color="auto" w:sz="12" w:space="0"/>
              <w:left w:val="single" w:color="auto" w:sz="12" w:space="0"/>
              <w:bottom w:val="single" w:color="auto" w:sz="12" w:space="0"/>
              <w:right w:val="single" w:color="auto" w:sz="12" w:space="0"/>
            </w:tcBorders>
            <w:vAlign w:val="center"/>
          </w:tcPr>
          <w:p w14:paraId="7604CC67">
            <w:pPr>
              <w:widowControl/>
              <w:jc w:val="center"/>
              <w:rPr>
                <w:rFonts w:hint="eastAsia" w:ascii="Courier New" w:hAnsi="Courier New" w:cs="Courier New" w:eastAsiaTheme="minorEastAsia"/>
                <w:color w:val="auto"/>
                <w:sz w:val="18"/>
                <w:szCs w:val="18"/>
                <w:highlight w:val="none"/>
                <w:lang w:eastAsia="zh-CN"/>
              </w:rPr>
            </w:pPr>
            <w:r>
              <w:rPr>
                <w:rFonts w:hint="eastAsia" w:ascii="Courier New" w:hAnsi="Courier New" w:cs="Courier New"/>
                <w:color w:val="auto"/>
                <w:sz w:val="18"/>
                <w:szCs w:val="18"/>
                <w:highlight w:val="none"/>
                <w:lang w:eastAsia="zh-CN"/>
              </w:rPr>
              <w:t>限设区</w:t>
            </w:r>
          </w:p>
        </w:tc>
        <w:tc>
          <w:tcPr>
            <w:tcW w:w="1699" w:type="pct"/>
            <w:tcBorders>
              <w:top w:val="single" w:color="auto" w:sz="12" w:space="0"/>
              <w:left w:val="single" w:color="auto" w:sz="12" w:space="0"/>
              <w:bottom w:val="single" w:color="auto" w:sz="12" w:space="0"/>
              <w:right w:val="single" w:color="auto" w:sz="12" w:space="0"/>
            </w:tcBorders>
            <w:vAlign w:val="center"/>
          </w:tcPr>
          <w:p w14:paraId="2CFF01CB">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展示区</w:t>
            </w:r>
          </w:p>
        </w:tc>
      </w:tr>
      <w:tr w14:paraId="718B4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00" w:type="pct"/>
            <w:tcBorders>
              <w:top w:val="single" w:color="auto" w:sz="12" w:space="0"/>
              <w:left w:val="single" w:color="auto" w:sz="12" w:space="0"/>
              <w:bottom w:val="single" w:color="auto" w:sz="12" w:space="0"/>
              <w:right w:val="single" w:color="auto" w:sz="12" w:space="0"/>
            </w:tcBorders>
            <w:vAlign w:val="center"/>
          </w:tcPr>
          <w:p w14:paraId="0F8E06C7">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垂直照度</w:t>
            </w:r>
          </w:p>
        </w:tc>
        <w:tc>
          <w:tcPr>
            <w:tcW w:w="1700" w:type="pct"/>
            <w:tcBorders>
              <w:top w:val="single" w:color="auto" w:sz="12" w:space="0"/>
              <w:left w:val="single" w:color="auto" w:sz="12" w:space="0"/>
              <w:bottom w:val="single" w:color="auto" w:sz="12" w:space="0"/>
              <w:right w:val="single" w:color="auto" w:sz="12" w:space="0"/>
            </w:tcBorders>
            <w:vAlign w:val="center"/>
          </w:tcPr>
          <w:p w14:paraId="1BDAA660">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10</w:t>
            </w:r>
          </w:p>
        </w:tc>
        <w:tc>
          <w:tcPr>
            <w:tcW w:w="1699" w:type="pct"/>
            <w:tcBorders>
              <w:top w:val="single" w:color="auto" w:sz="12" w:space="0"/>
              <w:left w:val="single" w:color="auto" w:sz="12" w:space="0"/>
              <w:bottom w:val="single" w:color="auto" w:sz="12" w:space="0"/>
              <w:right w:val="single" w:color="auto" w:sz="12" w:space="0"/>
            </w:tcBorders>
            <w:vAlign w:val="center"/>
          </w:tcPr>
          <w:p w14:paraId="77F3FA7F">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25</w:t>
            </w:r>
          </w:p>
        </w:tc>
      </w:tr>
    </w:tbl>
    <w:p w14:paraId="283DECC7">
      <w:pPr>
        <w:widowControl/>
        <w:jc w:val="center"/>
        <w:rPr>
          <w:rFonts w:ascii="Courier New" w:hAnsi="Courier New" w:cs="Courier New"/>
          <w:color w:val="auto"/>
          <w:sz w:val="18"/>
          <w:szCs w:val="18"/>
          <w:highlight w:val="none"/>
        </w:rPr>
      </w:pPr>
    </w:p>
    <w:p w14:paraId="3C8AFF98">
      <w:pPr>
        <w:pStyle w:val="71"/>
        <w:spacing w:before="120" w:after="120"/>
        <w:rPr>
          <w:rFonts w:hint="eastAsia" w:asciiTheme="minorEastAsia" w:hAnsiTheme="minorEastAsia" w:eastAsiaTheme="minorEastAsia" w:cstheme="minorEastAsia"/>
          <w:color w:val="auto"/>
          <w:highlight w:val="none"/>
        </w:rPr>
      </w:pPr>
      <w:bookmarkStart w:id="285" w:name="_Toc3312"/>
      <w:bookmarkStart w:id="286" w:name="_Toc16447"/>
      <w:bookmarkStart w:id="287" w:name="_Toc160183850"/>
      <w:r>
        <w:rPr>
          <w:rFonts w:hint="eastAsia" w:asciiTheme="minorEastAsia" w:hAnsiTheme="minorEastAsia" w:eastAsiaTheme="minorEastAsia" w:cstheme="minorEastAsia"/>
          <w:color w:val="auto"/>
          <w:highlight w:val="none"/>
        </w:rPr>
        <w:t>电子显示装置广告与居住建筑居室窗户的距离不应小于表</w:t>
      </w:r>
      <w:r>
        <w:rPr>
          <w:rFonts w:hint="eastAsia" w:asciiTheme="minorEastAsia" w:hAnsiTheme="minorEastAsia" w:eastAsiaTheme="minorEastAsia" w:cstheme="minorEastAsia"/>
          <w:color w:val="auto"/>
          <w:highlight w:val="none"/>
          <w:lang w:val="en-US" w:eastAsia="zh-CN"/>
        </w:rPr>
        <w:t>9</w:t>
      </w:r>
      <w:r>
        <w:rPr>
          <w:rFonts w:hint="eastAsia" w:asciiTheme="minorEastAsia" w:hAnsiTheme="minorEastAsia" w:eastAsiaTheme="minorEastAsia" w:cstheme="minorEastAsia"/>
          <w:color w:val="auto"/>
          <w:highlight w:val="none"/>
        </w:rPr>
        <w:t>的规定：</w:t>
      </w:r>
      <w:bookmarkEnd w:id="285"/>
      <w:bookmarkEnd w:id="286"/>
      <w:bookmarkEnd w:id="287"/>
    </w:p>
    <w:p w14:paraId="7DF9B151">
      <w:pPr>
        <w:pStyle w:val="74"/>
        <w:numPr>
          <w:ilvl w:val="0"/>
          <w:numId w:val="0"/>
        </w:numPr>
        <w:spacing w:before="156" w:after="156"/>
        <w:jc w:val="center"/>
        <w:rPr>
          <w:color w:val="auto"/>
          <w:highlight w:val="none"/>
        </w:rPr>
      </w:pPr>
      <w:r>
        <w:rPr>
          <w:rFonts w:hint="eastAsia"/>
          <w:color w:val="auto"/>
          <w:highlight w:val="none"/>
        </w:rPr>
        <w:t>表</w:t>
      </w:r>
      <w:r>
        <w:rPr>
          <w:rFonts w:hint="eastAsia"/>
          <w:color w:val="auto"/>
          <w:highlight w:val="none"/>
          <w:lang w:val="en-US" w:eastAsia="zh-CN"/>
        </w:rPr>
        <w:t>9</w:t>
      </w:r>
      <w:r>
        <w:rPr>
          <w:rFonts w:hint="eastAsia"/>
          <w:color w:val="auto"/>
          <w:highlight w:val="none"/>
        </w:rPr>
        <w:t xml:space="preserve">  电子显示装置广告与居住建筑居室窗户的距离限值</w:t>
      </w:r>
    </w:p>
    <w:tbl>
      <w:tblPr>
        <w:tblStyle w:val="2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50"/>
        <w:gridCol w:w="2412"/>
        <w:gridCol w:w="2308"/>
      </w:tblGrid>
      <w:tr w14:paraId="7C74D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534" w:type="pct"/>
            <w:vMerge w:val="restart"/>
            <w:tcBorders>
              <w:top w:val="single" w:color="auto" w:sz="12" w:space="0"/>
              <w:left w:val="single" w:color="auto" w:sz="12" w:space="0"/>
              <w:bottom w:val="single" w:color="auto" w:sz="12" w:space="0"/>
              <w:right w:val="single" w:color="auto" w:sz="12" w:space="0"/>
            </w:tcBorders>
            <w:vAlign w:val="center"/>
          </w:tcPr>
          <w:p w14:paraId="6162C52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屏面面积S</w:t>
            </w:r>
          </w:p>
          <w:p w14:paraId="4717CFC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m</w:t>
            </w:r>
            <w:r>
              <w:rPr>
                <w:rFonts w:ascii="Courier New" w:hAnsi="Courier New" w:cs="Courier New"/>
                <w:color w:val="auto"/>
                <w:sz w:val="18"/>
                <w:szCs w:val="18"/>
                <w:highlight w:val="none"/>
                <w:vertAlign w:val="superscript"/>
              </w:rPr>
              <w:t>2</w:t>
            </w:r>
          </w:p>
        </w:tc>
        <w:tc>
          <w:tcPr>
            <w:tcW w:w="2466" w:type="pct"/>
            <w:gridSpan w:val="2"/>
            <w:tcBorders>
              <w:top w:val="single" w:color="auto" w:sz="12" w:space="0"/>
              <w:left w:val="single" w:color="auto" w:sz="12" w:space="0"/>
              <w:bottom w:val="single" w:color="auto" w:sz="12" w:space="0"/>
              <w:right w:val="single" w:color="auto" w:sz="12" w:space="0"/>
            </w:tcBorders>
            <w:vAlign w:val="center"/>
          </w:tcPr>
          <w:p w14:paraId="6FB5F88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不同区域的距离限值m</w:t>
            </w:r>
          </w:p>
        </w:tc>
      </w:tr>
      <w:tr w14:paraId="6D006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6" w:hRule="atLeast"/>
          <w:tblHeader/>
          <w:jc w:val="center"/>
        </w:trPr>
        <w:tc>
          <w:tcPr>
            <w:tcW w:w="2534" w:type="pct"/>
            <w:vMerge w:val="continue"/>
            <w:tcBorders>
              <w:top w:val="single" w:color="auto" w:sz="12" w:space="0"/>
              <w:left w:val="single" w:color="auto" w:sz="12" w:space="0"/>
              <w:bottom w:val="single" w:color="auto" w:sz="12" w:space="0"/>
              <w:right w:val="single" w:color="auto" w:sz="12" w:space="0"/>
            </w:tcBorders>
            <w:vAlign w:val="center"/>
          </w:tcPr>
          <w:p w14:paraId="15AB042F">
            <w:pPr>
              <w:widowControl/>
              <w:jc w:val="center"/>
              <w:rPr>
                <w:rFonts w:ascii="Courier New" w:hAnsi="Courier New" w:cs="Courier New"/>
                <w:color w:val="auto"/>
                <w:sz w:val="18"/>
                <w:szCs w:val="18"/>
                <w:highlight w:val="none"/>
              </w:rPr>
            </w:pPr>
          </w:p>
        </w:tc>
        <w:tc>
          <w:tcPr>
            <w:tcW w:w="1260" w:type="pct"/>
            <w:tcBorders>
              <w:top w:val="single" w:color="auto" w:sz="12" w:space="0"/>
              <w:left w:val="single" w:color="auto" w:sz="12" w:space="0"/>
              <w:bottom w:val="single" w:color="auto" w:sz="12" w:space="0"/>
              <w:right w:val="single" w:color="auto" w:sz="12" w:space="0"/>
            </w:tcBorders>
            <w:vAlign w:val="center"/>
          </w:tcPr>
          <w:p w14:paraId="033F46A7">
            <w:pPr>
              <w:widowControl/>
              <w:jc w:val="center"/>
              <w:rPr>
                <w:rFonts w:hint="eastAsia" w:ascii="Courier New" w:hAnsi="Courier New" w:cs="Courier New" w:eastAsiaTheme="minorEastAsia"/>
                <w:color w:val="auto"/>
                <w:sz w:val="18"/>
                <w:szCs w:val="18"/>
                <w:highlight w:val="none"/>
                <w:lang w:eastAsia="zh-CN"/>
              </w:rPr>
            </w:pPr>
            <w:r>
              <w:rPr>
                <w:rFonts w:hint="eastAsia" w:ascii="Courier New" w:hAnsi="Courier New" w:cs="Courier New"/>
                <w:color w:val="auto"/>
                <w:sz w:val="18"/>
                <w:szCs w:val="18"/>
                <w:highlight w:val="none"/>
                <w:lang w:eastAsia="zh-CN"/>
              </w:rPr>
              <w:t>限设区</w:t>
            </w:r>
          </w:p>
        </w:tc>
        <w:tc>
          <w:tcPr>
            <w:tcW w:w="1206" w:type="pct"/>
            <w:tcBorders>
              <w:top w:val="single" w:color="auto" w:sz="12" w:space="0"/>
              <w:left w:val="single" w:color="auto" w:sz="12" w:space="0"/>
              <w:bottom w:val="single" w:color="auto" w:sz="12" w:space="0"/>
              <w:right w:val="single" w:color="auto" w:sz="12" w:space="0"/>
            </w:tcBorders>
            <w:vAlign w:val="center"/>
          </w:tcPr>
          <w:p w14:paraId="782B5431">
            <w:pPr>
              <w:widowControl/>
              <w:jc w:val="center"/>
              <w:rPr>
                <w:rFonts w:ascii="Courier New" w:hAnsi="Courier New" w:cs="Courier New"/>
                <w:color w:val="auto"/>
                <w:sz w:val="18"/>
                <w:szCs w:val="18"/>
                <w:highlight w:val="none"/>
              </w:rPr>
            </w:pPr>
            <w:r>
              <w:rPr>
                <w:rFonts w:hint="eastAsia" w:ascii="Courier New" w:hAnsi="Courier New" w:cs="Courier New"/>
                <w:color w:val="auto"/>
                <w:sz w:val="18"/>
                <w:szCs w:val="18"/>
                <w:highlight w:val="none"/>
              </w:rPr>
              <w:t>展示区</w:t>
            </w:r>
          </w:p>
        </w:tc>
      </w:tr>
      <w:tr w14:paraId="49015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top w:val="single" w:color="auto" w:sz="12" w:space="0"/>
              <w:left w:val="single" w:color="auto" w:sz="12" w:space="0"/>
            </w:tcBorders>
          </w:tcPr>
          <w:p w14:paraId="4B63CF3A">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S≤20</w:t>
            </w:r>
          </w:p>
        </w:tc>
        <w:tc>
          <w:tcPr>
            <w:tcW w:w="1260" w:type="pct"/>
            <w:tcBorders>
              <w:top w:val="single" w:color="auto" w:sz="12" w:space="0"/>
            </w:tcBorders>
            <w:vAlign w:val="center"/>
          </w:tcPr>
          <w:p w14:paraId="719EA57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40</w:t>
            </w:r>
          </w:p>
        </w:tc>
        <w:tc>
          <w:tcPr>
            <w:tcW w:w="1206" w:type="pct"/>
            <w:tcBorders>
              <w:top w:val="single" w:color="auto" w:sz="12" w:space="0"/>
              <w:right w:val="single" w:color="auto" w:sz="12" w:space="0"/>
            </w:tcBorders>
            <w:vAlign w:val="center"/>
          </w:tcPr>
          <w:p w14:paraId="78E7B418">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30</w:t>
            </w:r>
          </w:p>
        </w:tc>
      </w:tr>
      <w:tr w14:paraId="2ED9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2DA1CA1F">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30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S≤40</w:t>
            </w:r>
          </w:p>
        </w:tc>
        <w:tc>
          <w:tcPr>
            <w:tcW w:w="1260" w:type="pct"/>
            <w:vAlign w:val="center"/>
          </w:tcPr>
          <w:p w14:paraId="7F22D7B0">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60</w:t>
            </w:r>
          </w:p>
        </w:tc>
        <w:tc>
          <w:tcPr>
            <w:tcW w:w="1206" w:type="pct"/>
            <w:tcBorders>
              <w:right w:val="single" w:color="auto" w:sz="12" w:space="0"/>
            </w:tcBorders>
            <w:vAlign w:val="center"/>
          </w:tcPr>
          <w:p w14:paraId="19EDBC2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40</w:t>
            </w:r>
          </w:p>
        </w:tc>
      </w:tr>
      <w:tr w14:paraId="1EDD4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0386859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S≤50</w:t>
            </w:r>
          </w:p>
        </w:tc>
        <w:tc>
          <w:tcPr>
            <w:tcW w:w="1260" w:type="pct"/>
            <w:vAlign w:val="center"/>
          </w:tcPr>
          <w:p w14:paraId="05E11E1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65</w:t>
            </w:r>
          </w:p>
        </w:tc>
        <w:tc>
          <w:tcPr>
            <w:tcW w:w="1206" w:type="pct"/>
            <w:tcBorders>
              <w:right w:val="single" w:color="auto" w:sz="12" w:space="0"/>
            </w:tcBorders>
            <w:vAlign w:val="center"/>
          </w:tcPr>
          <w:p w14:paraId="67A593E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45</w:t>
            </w:r>
          </w:p>
        </w:tc>
      </w:tr>
      <w:tr w14:paraId="6CE05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462B9B7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S≤60</w:t>
            </w:r>
          </w:p>
        </w:tc>
        <w:tc>
          <w:tcPr>
            <w:tcW w:w="1260" w:type="pct"/>
            <w:vAlign w:val="center"/>
          </w:tcPr>
          <w:p w14:paraId="46171AB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70</w:t>
            </w:r>
          </w:p>
        </w:tc>
        <w:tc>
          <w:tcPr>
            <w:tcW w:w="1206" w:type="pct"/>
            <w:tcBorders>
              <w:right w:val="single" w:color="auto" w:sz="12" w:space="0"/>
            </w:tcBorders>
            <w:vAlign w:val="center"/>
          </w:tcPr>
          <w:p w14:paraId="441C937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50</w:t>
            </w:r>
          </w:p>
        </w:tc>
      </w:tr>
      <w:tr w14:paraId="50C6BC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066DFAEE">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S≤70</w:t>
            </w:r>
          </w:p>
        </w:tc>
        <w:tc>
          <w:tcPr>
            <w:tcW w:w="1260" w:type="pct"/>
            <w:vAlign w:val="center"/>
          </w:tcPr>
          <w:p w14:paraId="7737D69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75</w:t>
            </w:r>
          </w:p>
        </w:tc>
        <w:tc>
          <w:tcPr>
            <w:tcW w:w="1206" w:type="pct"/>
            <w:tcBorders>
              <w:right w:val="single" w:color="auto" w:sz="12" w:space="0"/>
            </w:tcBorders>
            <w:vAlign w:val="center"/>
          </w:tcPr>
          <w:p w14:paraId="649BDD9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55</w:t>
            </w:r>
          </w:p>
        </w:tc>
      </w:tr>
      <w:tr w14:paraId="5A4B2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525980CE">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70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S≤80</w:t>
            </w:r>
          </w:p>
        </w:tc>
        <w:tc>
          <w:tcPr>
            <w:tcW w:w="1260" w:type="pct"/>
            <w:vAlign w:val="center"/>
          </w:tcPr>
          <w:p w14:paraId="5C289C8E">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80</w:t>
            </w:r>
          </w:p>
        </w:tc>
        <w:tc>
          <w:tcPr>
            <w:tcW w:w="1206" w:type="pct"/>
            <w:tcBorders>
              <w:right w:val="single" w:color="auto" w:sz="12" w:space="0"/>
            </w:tcBorders>
            <w:vAlign w:val="center"/>
          </w:tcPr>
          <w:p w14:paraId="3A2C8F8A">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60</w:t>
            </w:r>
          </w:p>
        </w:tc>
      </w:tr>
      <w:tr w14:paraId="3DCFF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08FAEEF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80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S≤90</w:t>
            </w:r>
          </w:p>
        </w:tc>
        <w:tc>
          <w:tcPr>
            <w:tcW w:w="1260" w:type="pct"/>
            <w:vAlign w:val="center"/>
          </w:tcPr>
          <w:p w14:paraId="2114B3F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85</w:t>
            </w:r>
          </w:p>
        </w:tc>
        <w:tc>
          <w:tcPr>
            <w:tcW w:w="1206" w:type="pct"/>
            <w:tcBorders>
              <w:right w:val="single" w:color="auto" w:sz="12" w:space="0"/>
            </w:tcBorders>
            <w:vAlign w:val="center"/>
          </w:tcPr>
          <w:p w14:paraId="61A9E82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60</w:t>
            </w:r>
          </w:p>
        </w:tc>
      </w:tr>
      <w:tr w14:paraId="4B35E8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605BB0E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90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S≤100</w:t>
            </w:r>
          </w:p>
        </w:tc>
        <w:tc>
          <w:tcPr>
            <w:tcW w:w="1260" w:type="pct"/>
            <w:vAlign w:val="center"/>
          </w:tcPr>
          <w:p w14:paraId="1E49496A">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90</w:t>
            </w:r>
          </w:p>
        </w:tc>
        <w:tc>
          <w:tcPr>
            <w:tcW w:w="1206" w:type="pct"/>
            <w:tcBorders>
              <w:right w:val="single" w:color="auto" w:sz="12" w:space="0"/>
            </w:tcBorders>
            <w:vAlign w:val="center"/>
          </w:tcPr>
          <w:p w14:paraId="3D59AA68">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65</w:t>
            </w:r>
          </w:p>
        </w:tc>
      </w:tr>
      <w:tr w14:paraId="2AA98D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630071C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S≤150</w:t>
            </w:r>
          </w:p>
        </w:tc>
        <w:tc>
          <w:tcPr>
            <w:tcW w:w="1260" w:type="pct"/>
            <w:vAlign w:val="center"/>
          </w:tcPr>
          <w:p w14:paraId="3CD04530">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110</w:t>
            </w:r>
          </w:p>
        </w:tc>
        <w:tc>
          <w:tcPr>
            <w:tcW w:w="1206" w:type="pct"/>
            <w:tcBorders>
              <w:right w:val="single" w:color="auto" w:sz="12" w:space="0"/>
            </w:tcBorders>
            <w:vAlign w:val="center"/>
          </w:tcPr>
          <w:p w14:paraId="2513FC3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80</w:t>
            </w:r>
          </w:p>
        </w:tc>
      </w:tr>
      <w:tr w14:paraId="3238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22784F5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150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S≤200</w:t>
            </w:r>
          </w:p>
        </w:tc>
        <w:tc>
          <w:tcPr>
            <w:tcW w:w="1260" w:type="pct"/>
            <w:vAlign w:val="center"/>
          </w:tcPr>
          <w:p w14:paraId="329186B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130</w:t>
            </w:r>
          </w:p>
        </w:tc>
        <w:tc>
          <w:tcPr>
            <w:tcW w:w="1206" w:type="pct"/>
            <w:tcBorders>
              <w:right w:val="single" w:color="auto" w:sz="12" w:space="0"/>
            </w:tcBorders>
            <w:vAlign w:val="center"/>
          </w:tcPr>
          <w:p w14:paraId="6A7D090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90</w:t>
            </w:r>
          </w:p>
        </w:tc>
      </w:tr>
      <w:tr w14:paraId="2882B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675528A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S≤250</w:t>
            </w:r>
          </w:p>
        </w:tc>
        <w:tc>
          <w:tcPr>
            <w:tcW w:w="1260" w:type="pct"/>
            <w:vAlign w:val="center"/>
          </w:tcPr>
          <w:p w14:paraId="7EF8360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145</w:t>
            </w:r>
          </w:p>
        </w:tc>
        <w:tc>
          <w:tcPr>
            <w:tcW w:w="1206" w:type="pct"/>
            <w:tcBorders>
              <w:right w:val="single" w:color="auto" w:sz="12" w:space="0"/>
            </w:tcBorders>
            <w:vAlign w:val="center"/>
          </w:tcPr>
          <w:p w14:paraId="7EBA6E5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100</w:t>
            </w:r>
          </w:p>
        </w:tc>
      </w:tr>
      <w:tr w14:paraId="289DF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60156170">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250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S≤300</w:t>
            </w:r>
          </w:p>
        </w:tc>
        <w:tc>
          <w:tcPr>
            <w:tcW w:w="1260" w:type="pct"/>
            <w:vAlign w:val="center"/>
          </w:tcPr>
          <w:p w14:paraId="4D87C0D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155</w:t>
            </w:r>
          </w:p>
        </w:tc>
        <w:tc>
          <w:tcPr>
            <w:tcW w:w="1206" w:type="pct"/>
            <w:tcBorders>
              <w:right w:val="single" w:color="auto" w:sz="12" w:space="0"/>
            </w:tcBorders>
            <w:vAlign w:val="center"/>
          </w:tcPr>
          <w:p w14:paraId="1F9B062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110</w:t>
            </w:r>
          </w:p>
        </w:tc>
      </w:tr>
      <w:tr w14:paraId="0D0D4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21BED9AC">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300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S≤350</w:t>
            </w:r>
          </w:p>
        </w:tc>
        <w:tc>
          <w:tcPr>
            <w:tcW w:w="1260" w:type="pct"/>
            <w:vAlign w:val="center"/>
          </w:tcPr>
          <w:p w14:paraId="630F912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170</w:t>
            </w:r>
          </w:p>
        </w:tc>
        <w:tc>
          <w:tcPr>
            <w:tcW w:w="1206" w:type="pct"/>
            <w:tcBorders>
              <w:right w:val="single" w:color="auto" w:sz="12" w:space="0"/>
            </w:tcBorders>
            <w:vAlign w:val="center"/>
          </w:tcPr>
          <w:p w14:paraId="440AE30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120</w:t>
            </w:r>
          </w:p>
        </w:tc>
      </w:tr>
      <w:tr w14:paraId="4CEB4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1DC997D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350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S≤400</w:t>
            </w:r>
          </w:p>
        </w:tc>
        <w:tc>
          <w:tcPr>
            <w:tcW w:w="1260" w:type="pct"/>
            <w:vAlign w:val="center"/>
          </w:tcPr>
          <w:p w14:paraId="1B3C840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180</w:t>
            </w:r>
          </w:p>
        </w:tc>
        <w:tc>
          <w:tcPr>
            <w:tcW w:w="1206" w:type="pct"/>
            <w:tcBorders>
              <w:right w:val="single" w:color="auto" w:sz="12" w:space="0"/>
            </w:tcBorders>
            <w:vAlign w:val="center"/>
          </w:tcPr>
          <w:p w14:paraId="11C3F08D">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130</w:t>
            </w:r>
          </w:p>
        </w:tc>
      </w:tr>
      <w:tr w14:paraId="4CCF2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549BDF35">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S≤450</w:t>
            </w:r>
          </w:p>
        </w:tc>
        <w:tc>
          <w:tcPr>
            <w:tcW w:w="1260" w:type="pct"/>
            <w:vAlign w:val="center"/>
          </w:tcPr>
          <w:p w14:paraId="7296AA9F">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190</w:t>
            </w:r>
          </w:p>
        </w:tc>
        <w:tc>
          <w:tcPr>
            <w:tcW w:w="1206" w:type="pct"/>
            <w:tcBorders>
              <w:right w:val="single" w:color="auto" w:sz="12" w:space="0"/>
            </w:tcBorders>
            <w:vAlign w:val="center"/>
          </w:tcPr>
          <w:p w14:paraId="7ABCDAC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135</w:t>
            </w:r>
          </w:p>
        </w:tc>
      </w:tr>
      <w:tr w14:paraId="49ABC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1546753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450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S≤500</w:t>
            </w:r>
          </w:p>
        </w:tc>
        <w:tc>
          <w:tcPr>
            <w:tcW w:w="1260" w:type="pct"/>
            <w:vAlign w:val="center"/>
          </w:tcPr>
          <w:p w14:paraId="1DD47C7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200</w:t>
            </w:r>
          </w:p>
        </w:tc>
        <w:tc>
          <w:tcPr>
            <w:tcW w:w="1206" w:type="pct"/>
            <w:tcBorders>
              <w:right w:val="single" w:color="auto" w:sz="12" w:space="0"/>
            </w:tcBorders>
            <w:vAlign w:val="center"/>
          </w:tcPr>
          <w:p w14:paraId="53BEDFF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145</w:t>
            </w:r>
          </w:p>
        </w:tc>
      </w:tr>
      <w:tr w14:paraId="4396C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7D5E4F18">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500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S≤600</w:t>
            </w:r>
          </w:p>
        </w:tc>
        <w:tc>
          <w:tcPr>
            <w:tcW w:w="1260" w:type="pct"/>
            <w:vAlign w:val="center"/>
          </w:tcPr>
          <w:p w14:paraId="264697AE">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220</w:t>
            </w:r>
          </w:p>
        </w:tc>
        <w:tc>
          <w:tcPr>
            <w:tcW w:w="1206" w:type="pct"/>
            <w:tcBorders>
              <w:right w:val="single" w:color="auto" w:sz="12" w:space="0"/>
            </w:tcBorders>
            <w:vAlign w:val="center"/>
          </w:tcPr>
          <w:p w14:paraId="1FD5D72E">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155</w:t>
            </w:r>
          </w:p>
        </w:tc>
      </w:tr>
      <w:tr w14:paraId="236D2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79EB23E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600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S≤700</w:t>
            </w:r>
          </w:p>
        </w:tc>
        <w:tc>
          <w:tcPr>
            <w:tcW w:w="1260" w:type="pct"/>
            <w:vAlign w:val="center"/>
          </w:tcPr>
          <w:p w14:paraId="27F19F5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240</w:t>
            </w:r>
          </w:p>
        </w:tc>
        <w:tc>
          <w:tcPr>
            <w:tcW w:w="1206" w:type="pct"/>
            <w:tcBorders>
              <w:right w:val="single" w:color="auto" w:sz="12" w:space="0"/>
            </w:tcBorders>
            <w:vAlign w:val="center"/>
          </w:tcPr>
          <w:p w14:paraId="6A20C7C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170</w:t>
            </w:r>
          </w:p>
        </w:tc>
      </w:tr>
      <w:tr w14:paraId="038E3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6EA17BB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700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S≤800</w:t>
            </w:r>
          </w:p>
        </w:tc>
        <w:tc>
          <w:tcPr>
            <w:tcW w:w="1260" w:type="pct"/>
            <w:vAlign w:val="center"/>
          </w:tcPr>
          <w:p w14:paraId="3DD34799">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255</w:t>
            </w:r>
          </w:p>
        </w:tc>
        <w:tc>
          <w:tcPr>
            <w:tcW w:w="1206" w:type="pct"/>
            <w:tcBorders>
              <w:right w:val="single" w:color="auto" w:sz="12" w:space="0"/>
            </w:tcBorders>
            <w:vAlign w:val="center"/>
          </w:tcPr>
          <w:p w14:paraId="2BF7BA12">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180</w:t>
            </w:r>
          </w:p>
        </w:tc>
      </w:tr>
      <w:tr w14:paraId="2C252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tcBorders>
          </w:tcPr>
          <w:p w14:paraId="440BBB5B">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800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S≤900</w:t>
            </w:r>
          </w:p>
        </w:tc>
        <w:tc>
          <w:tcPr>
            <w:tcW w:w="1260" w:type="pct"/>
            <w:vAlign w:val="center"/>
          </w:tcPr>
          <w:p w14:paraId="6C19C646">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270</w:t>
            </w:r>
          </w:p>
        </w:tc>
        <w:tc>
          <w:tcPr>
            <w:tcW w:w="1206" w:type="pct"/>
            <w:tcBorders>
              <w:right w:val="single" w:color="auto" w:sz="12" w:space="0"/>
            </w:tcBorders>
            <w:vAlign w:val="center"/>
          </w:tcPr>
          <w:p w14:paraId="04FDD3D4">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190</w:t>
            </w:r>
          </w:p>
        </w:tc>
      </w:tr>
      <w:tr w14:paraId="01ECBF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34" w:type="pct"/>
            <w:tcBorders>
              <w:left w:val="single" w:color="auto" w:sz="12" w:space="0"/>
              <w:bottom w:val="single" w:color="auto" w:sz="12" w:space="0"/>
            </w:tcBorders>
          </w:tcPr>
          <w:p w14:paraId="5D2D8DB1">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900</w:t>
            </w:r>
            <w:r>
              <w:rPr>
                <w:rFonts w:hint="eastAsia" w:ascii="Courier New" w:hAnsi="Courier New" w:cs="Courier New"/>
                <w:color w:val="auto"/>
                <w:sz w:val="18"/>
                <w:szCs w:val="18"/>
                <w:highlight w:val="none"/>
                <w:lang w:eastAsia="zh-CN"/>
              </w:rPr>
              <w:t>&lt;</w:t>
            </w:r>
            <w:r>
              <w:rPr>
                <w:rFonts w:ascii="Courier New" w:hAnsi="Courier New" w:cs="Courier New"/>
                <w:color w:val="auto"/>
                <w:sz w:val="18"/>
                <w:szCs w:val="18"/>
                <w:highlight w:val="none"/>
              </w:rPr>
              <w:t>S≤1000</w:t>
            </w:r>
          </w:p>
        </w:tc>
        <w:tc>
          <w:tcPr>
            <w:tcW w:w="1260" w:type="pct"/>
            <w:tcBorders>
              <w:bottom w:val="single" w:color="auto" w:sz="12" w:space="0"/>
            </w:tcBorders>
            <w:vAlign w:val="center"/>
          </w:tcPr>
          <w:p w14:paraId="78EAB78F">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285</w:t>
            </w:r>
          </w:p>
        </w:tc>
        <w:tc>
          <w:tcPr>
            <w:tcW w:w="1206" w:type="pct"/>
            <w:tcBorders>
              <w:bottom w:val="single" w:color="auto" w:sz="12" w:space="0"/>
              <w:right w:val="single" w:color="auto" w:sz="12" w:space="0"/>
            </w:tcBorders>
            <w:vAlign w:val="center"/>
          </w:tcPr>
          <w:p w14:paraId="1D9D5DE3">
            <w:pPr>
              <w:widowControl/>
              <w:jc w:val="center"/>
              <w:rPr>
                <w:rFonts w:ascii="Courier New" w:hAnsi="Courier New" w:cs="Courier New"/>
                <w:color w:val="auto"/>
                <w:sz w:val="18"/>
                <w:szCs w:val="18"/>
                <w:highlight w:val="none"/>
              </w:rPr>
            </w:pPr>
            <w:r>
              <w:rPr>
                <w:rFonts w:ascii="Courier New" w:hAnsi="Courier New" w:cs="Courier New"/>
                <w:color w:val="auto"/>
                <w:sz w:val="18"/>
                <w:szCs w:val="18"/>
                <w:highlight w:val="none"/>
              </w:rPr>
              <w:t>200</w:t>
            </w:r>
          </w:p>
        </w:tc>
      </w:tr>
    </w:tbl>
    <w:p w14:paraId="4D307E22">
      <w:pPr>
        <w:pStyle w:val="73"/>
        <w:ind w:firstLine="420"/>
        <w:rPr>
          <w:color w:val="auto"/>
          <w:highlight w:val="none"/>
        </w:rPr>
      </w:pPr>
    </w:p>
    <w:p w14:paraId="17A1B340">
      <w:pPr>
        <w:pStyle w:val="72"/>
        <w:spacing w:before="240" w:after="240"/>
        <w:rPr>
          <w:color w:val="auto"/>
          <w:highlight w:val="none"/>
        </w:rPr>
      </w:pPr>
      <w:bookmarkStart w:id="288" w:name="_Toc145513603"/>
      <w:bookmarkStart w:id="289" w:name="_Toc12848"/>
      <w:bookmarkStart w:id="290" w:name="_Toc334"/>
      <w:r>
        <w:rPr>
          <w:rFonts w:hint="eastAsia"/>
          <w:color w:val="auto"/>
          <w:highlight w:val="none"/>
        </w:rPr>
        <w:t>设计</w:t>
      </w:r>
      <w:bookmarkEnd w:id="288"/>
      <w:bookmarkEnd w:id="289"/>
      <w:bookmarkEnd w:id="290"/>
    </w:p>
    <w:p w14:paraId="1738B1C4">
      <w:pPr>
        <w:pStyle w:val="71"/>
        <w:spacing w:before="120" w:after="12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户外广告和招牌设施应结合所依附的建筑结构和整体布局、建筑立面及周边环境要求进行设计。 </w:t>
      </w:r>
    </w:p>
    <w:p w14:paraId="712DA694">
      <w:pPr>
        <w:pStyle w:val="71"/>
        <w:spacing w:before="120" w:after="12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依附建（构）筑物设置户外广告和招牌设施，不应影响建（构）筑物安全。</w:t>
      </w:r>
      <w:r>
        <w:rPr>
          <w:rFonts w:hint="eastAsia" w:asciiTheme="minorEastAsia" w:hAnsiTheme="minorEastAsia" w:eastAsiaTheme="minorEastAsia" w:cstheme="minorEastAsia"/>
          <w:color w:val="auto"/>
          <w:highlight w:val="none"/>
          <w:lang w:val="en-US" w:eastAsia="zh-CN"/>
        </w:rPr>
        <w:t>大型户外广告和招牌设施设置应由具备相应资质的设计单位出具施工图纸</w:t>
      </w:r>
      <w:r>
        <w:rPr>
          <w:rFonts w:hint="eastAsia" w:asciiTheme="minorEastAsia" w:hAnsiTheme="minorEastAsia" w:eastAsiaTheme="minorEastAsia" w:cstheme="minorEastAsia"/>
          <w:color w:val="auto"/>
          <w:highlight w:val="none"/>
          <w:lang w:val="en-US" w:eastAsia="zh-CN"/>
        </w:rPr>
        <w:t xml:space="preserve">，设置前宜由原建筑设计单位验算，或委托专业检测机构对建（构）筑物进行检测评估，存在安全隐患的不应设置。 </w:t>
      </w:r>
      <w:bookmarkStart w:id="336" w:name="_GoBack"/>
      <w:bookmarkEnd w:id="336"/>
    </w:p>
    <w:p w14:paraId="6B149A75">
      <w:pPr>
        <w:pStyle w:val="71"/>
        <w:spacing w:before="120" w:after="12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 xml:space="preserve">户外广告和招牌设施宜采用金属结构形式，其结构的选型、布置和构造应便于制作、安装和维护。 </w:t>
      </w:r>
    </w:p>
    <w:p w14:paraId="2237A96A">
      <w:pPr>
        <w:pStyle w:val="71"/>
        <w:spacing w:before="120" w:after="120"/>
        <w:rPr>
          <w:rFonts w:hint="eastAsia" w:asciiTheme="minorEastAsia" w:hAnsiTheme="minorEastAsia" w:eastAsiaTheme="minorEastAsia" w:cstheme="minorEastAsia"/>
          <w:color w:val="auto"/>
          <w:highlight w:val="none"/>
          <w:lang w:val="en-US" w:eastAsia="zh-CN"/>
        </w:rPr>
      </w:pPr>
      <w:r>
        <w:rPr>
          <w:rFonts w:hint="eastAsia" w:asciiTheme="minorEastAsia" w:hAnsiTheme="minorEastAsia" w:eastAsiaTheme="minorEastAsia" w:cstheme="minorEastAsia"/>
          <w:color w:val="auto"/>
          <w:highlight w:val="none"/>
          <w:lang w:val="en-US" w:eastAsia="zh-CN"/>
        </w:rPr>
        <w:t>户外广告和招牌设施的结构或电气等发生变更时，应重新设计。</w:t>
      </w:r>
    </w:p>
    <w:p w14:paraId="7BDB3C30">
      <w:pPr>
        <w:pStyle w:val="71"/>
        <w:spacing w:before="120" w:after="120"/>
        <w:rPr>
          <w:rFonts w:hint="eastAsia" w:asciiTheme="minorEastAsia" w:hAnsiTheme="minorEastAsia" w:eastAsiaTheme="minorEastAsia" w:cstheme="minorEastAsia"/>
          <w:color w:val="auto"/>
          <w:highlight w:val="none"/>
          <w:lang w:val="en-US" w:eastAsia="zh-CN"/>
        </w:rPr>
      </w:pPr>
      <w:bookmarkStart w:id="291" w:name="_Toc24578"/>
      <w:bookmarkStart w:id="292" w:name="_Toc27116"/>
      <w:bookmarkStart w:id="293" w:name="_Toc160183854"/>
      <w:r>
        <w:rPr>
          <w:rFonts w:hint="eastAsia" w:asciiTheme="minorEastAsia" w:hAnsiTheme="minorEastAsia" w:eastAsiaTheme="minorEastAsia" w:cstheme="minorEastAsia"/>
          <w:color w:val="auto"/>
          <w:highlight w:val="none"/>
          <w:lang w:val="en-US" w:eastAsia="zh-CN"/>
        </w:rPr>
        <w:t>户外广告和招牌设施的结构设计、结构构造、电气及防雷应符合GB 55013、CJJ/T 149以及其他国家和本市相关标准、规范等规定。</w:t>
      </w:r>
      <w:bookmarkEnd w:id="291"/>
      <w:bookmarkEnd w:id="292"/>
      <w:bookmarkEnd w:id="293"/>
    </w:p>
    <w:p w14:paraId="2B7C9742">
      <w:pPr>
        <w:pStyle w:val="71"/>
        <w:spacing w:before="120" w:after="120"/>
        <w:rPr>
          <w:rFonts w:hint="eastAsia" w:asciiTheme="minorEastAsia" w:hAnsiTheme="minorEastAsia" w:eastAsiaTheme="minorEastAsia" w:cstheme="minorEastAsia"/>
          <w:color w:val="auto"/>
          <w:highlight w:val="none"/>
          <w:lang w:val="en-US" w:eastAsia="zh-CN"/>
        </w:rPr>
      </w:pPr>
      <w:bookmarkStart w:id="294" w:name="_Toc24495"/>
      <w:bookmarkStart w:id="295" w:name="_Toc3424"/>
      <w:bookmarkStart w:id="296" w:name="_Toc160183855"/>
      <w:r>
        <w:rPr>
          <w:rFonts w:hint="eastAsia" w:asciiTheme="minorEastAsia" w:hAnsiTheme="minorEastAsia" w:eastAsiaTheme="minorEastAsia" w:cstheme="minorEastAsia"/>
          <w:color w:val="auto"/>
          <w:highlight w:val="none"/>
          <w:lang w:val="en-US" w:eastAsia="zh-CN"/>
        </w:rPr>
        <w:t>户外广告和招牌设施所选用的材料、电器件及灯具（光源）应符合CJJ/T 149以及其他国家和本市相关标准、规范等规定。</w:t>
      </w:r>
      <w:bookmarkEnd w:id="294"/>
      <w:bookmarkEnd w:id="295"/>
      <w:bookmarkEnd w:id="296"/>
    </w:p>
    <w:p w14:paraId="66C80BAD">
      <w:pPr>
        <w:pStyle w:val="71"/>
        <w:spacing w:before="120" w:after="120"/>
        <w:rPr>
          <w:rFonts w:hint="eastAsia" w:asciiTheme="minorEastAsia" w:hAnsiTheme="minorEastAsia" w:eastAsiaTheme="minorEastAsia" w:cstheme="minorEastAsia"/>
          <w:color w:val="auto"/>
          <w:highlight w:val="none"/>
        </w:rPr>
      </w:pPr>
      <w:bookmarkStart w:id="297" w:name="_Toc160183783"/>
      <w:bookmarkStart w:id="298" w:name="_Toc18936"/>
      <w:bookmarkStart w:id="299" w:name="_Toc27916"/>
      <w:r>
        <w:rPr>
          <w:rFonts w:hint="eastAsia" w:asciiTheme="minorEastAsia" w:hAnsiTheme="minorEastAsia" w:eastAsiaTheme="minorEastAsia" w:cstheme="minorEastAsia"/>
          <w:color w:val="auto"/>
          <w:highlight w:val="none"/>
        </w:rPr>
        <w:t>依附于建（构）筑物外墙面的户外广告和招牌设计应符合</w:t>
      </w:r>
      <w:r>
        <w:rPr>
          <w:rFonts w:hint="eastAsia" w:asciiTheme="minorEastAsia" w:hAnsiTheme="minorEastAsia" w:eastAsiaTheme="minorEastAsia" w:cstheme="minorEastAsia"/>
          <w:color w:val="auto"/>
          <w:highlight w:val="none"/>
          <w:lang w:val="en-US" w:eastAsia="zh-CN"/>
        </w:rPr>
        <w:t>下列规定</w:t>
      </w:r>
      <w:r>
        <w:rPr>
          <w:rFonts w:hint="eastAsia" w:asciiTheme="minorEastAsia" w:hAnsiTheme="minorEastAsia" w:eastAsiaTheme="minorEastAsia" w:cstheme="minorEastAsia"/>
          <w:color w:val="auto"/>
          <w:highlight w:val="none"/>
        </w:rPr>
        <w:t>：</w:t>
      </w:r>
      <w:bookmarkEnd w:id="297"/>
      <w:bookmarkEnd w:id="298"/>
      <w:bookmarkEnd w:id="299"/>
    </w:p>
    <w:p w14:paraId="1A7D4553">
      <w:pPr>
        <w:pStyle w:val="73"/>
        <w:ind w:firstLine="420"/>
        <w:rPr>
          <w:rFonts w:hint="eastAsia" w:eastAsia="宋体"/>
          <w:color w:val="auto"/>
          <w:highlight w:val="none"/>
          <w:lang w:eastAsia="zh-CN"/>
        </w:rPr>
      </w:pPr>
      <w:r>
        <w:rPr>
          <w:rFonts w:hint="eastAsia"/>
          <w:color w:val="auto"/>
          <w:highlight w:val="none"/>
        </w:rPr>
        <w:t>1）设施锚固支座应与建（构）筑物的结构件连接，并应直接承担户外广告和招牌设施传递的荷载。设施结构与墙面支座的连接应按不低于设计内力的2.0倍验算支座连接安全性</w:t>
      </w:r>
      <w:r>
        <w:rPr>
          <w:rFonts w:hint="eastAsia"/>
          <w:color w:val="auto"/>
          <w:highlight w:val="none"/>
          <w:lang w:eastAsia="zh-CN"/>
        </w:rPr>
        <w:t>；</w:t>
      </w:r>
    </w:p>
    <w:p w14:paraId="72FACFAF">
      <w:pPr>
        <w:pStyle w:val="73"/>
        <w:ind w:firstLine="420"/>
        <w:rPr>
          <w:rFonts w:hint="eastAsia" w:eastAsia="宋体"/>
          <w:strike w:val="0"/>
          <w:dstrike w:val="0"/>
          <w:color w:val="auto"/>
          <w:highlight w:val="none"/>
          <w:lang w:eastAsia="zh-CN"/>
        </w:rPr>
      </w:pPr>
      <w:r>
        <w:rPr>
          <w:rFonts w:hint="eastAsia"/>
          <w:color w:val="auto"/>
          <w:highlight w:val="none"/>
        </w:rPr>
        <w:t>2）设施结构应采用预埋件、化学锚栓（植筋）等方式与建（构）筑物梁柱或承重墙体等受力构件连接，不应锚固于该建（构）筑物的外墙装饰构件，不应降低原建（构）筑物保</w:t>
      </w:r>
      <w:r>
        <w:rPr>
          <w:rFonts w:hint="eastAsia"/>
          <w:strike w:val="0"/>
          <w:dstrike w:val="0"/>
          <w:color w:val="auto"/>
          <w:highlight w:val="none"/>
        </w:rPr>
        <w:t>温、防水等性能。采用化学锚栓（植筋）作为户外结构锚固时，构造要求应符合《混凝土结构后锚固技术规程》JGJ</w:t>
      </w:r>
      <w:r>
        <w:rPr>
          <w:rFonts w:hint="eastAsia"/>
          <w:strike w:val="0"/>
          <w:dstrike w:val="0"/>
          <w:color w:val="auto"/>
          <w:highlight w:val="none"/>
          <w:lang w:val="en-US" w:eastAsia="zh-CN"/>
        </w:rPr>
        <w:t xml:space="preserve"> </w:t>
      </w:r>
      <w:r>
        <w:rPr>
          <w:rFonts w:hint="eastAsia"/>
          <w:strike w:val="0"/>
          <w:dstrike w:val="0"/>
          <w:color w:val="auto"/>
          <w:highlight w:val="none"/>
        </w:rPr>
        <w:t>145的规定</w:t>
      </w:r>
      <w:r>
        <w:rPr>
          <w:rFonts w:hint="eastAsia"/>
          <w:strike w:val="0"/>
          <w:dstrike w:val="0"/>
          <w:color w:val="auto"/>
          <w:highlight w:val="none"/>
          <w:lang w:eastAsia="zh-CN"/>
        </w:rPr>
        <w:t>；</w:t>
      </w:r>
    </w:p>
    <w:p w14:paraId="16A0FF41">
      <w:pPr>
        <w:pStyle w:val="73"/>
        <w:ind w:firstLine="420"/>
        <w:rPr>
          <w:rFonts w:hint="eastAsia"/>
          <w:strike w:val="0"/>
          <w:dstrike w:val="0"/>
          <w:color w:val="auto"/>
          <w:highlight w:val="none"/>
        </w:rPr>
      </w:pPr>
      <w:r>
        <w:rPr>
          <w:rFonts w:hint="eastAsia"/>
          <w:strike w:val="0"/>
          <w:dstrike w:val="0"/>
          <w:color w:val="auto"/>
          <w:highlight w:val="none"/>
        </w:rPr>
        <w:t>3）设施化学锚栓锚固基材应采用普通混凝土，混凝土强度等级不应低于C20。</w:t>
      </w:r>
    </w:p>
    <w:p w14:paraId="7EB18A35">
      <w:pPr>
        <w:pStyle w:val="71"/>
        <w:spacing w:before="120" w:after="120"/>
        <w:rPr>
          <w:rFonts w:hint="eastAsia" w:ascii="宋体" w:hAnsi="宋体" w:eastAsia="宋体" w:cs="宋体"/>
          <w:strike w:val="0"/>
          <w:dstrike w:val="0"/>
          <w:color w:val="auto"/>
          <w:highlight w:val="none"/>
        </w:rPr>
      </w:pPr>
      <w:bookmarkStart w:id="300" w:name="_Toc2570"/>
      <w:bookmarkStart w:id="301" w:name="_Toc160183781"/>
      <w:bookmarkStart w:id="302" w:name="_Toc27770"/>
      <w:r>
        <w:rPr>
          <w:rFonts w:hint="eastAsia" w:ascii="宋体" w:hAnsi="宋体" w:eastAsia="宋体" w:cs="宋体"/>
          <w:strike w:val="0"/>
          <w:dstrike w:val="0"/>
          <w:color w:val="auto"/>
          <w:highlight w:val="none"/>
        </w:rPr>
        <w:t>独立式户外广告和招牌设施设计应符合下列</w:t>
      </w:r>
      <w:r>
        <w:rPr>
          <w:rFonts w:hint="eastAsia" w:asciiTheme="minorEastAsia" w:hAnsiTheme="minorEastAsia" w:eastAsiaTheme="minorEastAsia" w:cstheme="minorEastAsia"/>
          <w:color w:val="auto"/>
          <w:highlight w:val="none"/>
          <w:lang w:val="en-US" w:eastAsia="zh-CN"/>
        </w:rPr>
        <w:t>规定</w:t>
      </w:r>
      <w:r>
        <w:rPr>
          <w:rFonts w:hint="eastAsia" w:ascii="宋体" w:hAnsi="宋体" w:eastAsia="宋体" w:cs="宋体"/>
          <w:strike w:val="0"/>
          <w:dstrike w:val="0"/>
          <w:color w:val="auto"/>
          <w:highlight w:val="none"/>
        </w:rPr>
        <w:t>：</w:t>
      </w:r>
      <w:bookmarkEnd w:id="300"/>
      <w:bookmarkEnd w:id="301"/>
      <w:bookmarkEnd w:id="302"/>
    </w:p>
    <w:p w14:paraId="1931A60F">
      <w:pPr>
        <w:pStyle w:val="73"/>
        <w:ind w:firstLine="420"/>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1）设施结构的混凝土基础顶面应高于室外地面150mm。锚固件不应采用膨胀螺栓。地脚螺栓外露部分不应封闭；</w:t>
      </w:r>
    </w:p>
    <w:p w14:paraId="710BDA83">
      <w:pPr>
        <w:pStyle w:val="73"/>
        <w:ind w:firstLine="420"/>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2）设施的电气控制箱宜单独设置；</w:t>
      </w:r>
    </w:p>
    <w:p w14:paraId="593E43EB">
      <w:pPr>
        <w:pStyle w:val="73"/>
        <w:ind w:firstLine="420"/>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3）设施不带电的金属体须可靠接地，接地电阻值不应大于4Ω。与防雷接地共用接地装置时，接地电阻不应大于1Ω；</w:t>
      </w:r>
    </w:p>
    <w:p w14:paraId="03FFAC2B">
      <w:pPr>
        <w:pStyle w:val="73"/>
        <w:ind w:firstLine="420"/>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4）具有电气照明的，应设置独立接地装置；</w:t>
      </w:r>
    </w:p>
    <w:p w14:paraId="15702303">
      <w:pPr>
        <w:pStyle w:val="73"/>
        <w:ind w:firstLine="420"/>
        <w:rPr>
          <w:rFonts w:hint="eastAsia" w:ascii="宋体" w:hAnsi="宋体" w:eastAsia="宋体" w:cs="宋体"/>
          <w:strike w:val="0"/>
          <w:dstrike w:val="0"/>
          <w:color w:val="auto"/>
          <w:highlight w:val="none"/>
        </w:rPr>
      </w:pPr>
      <w:r>
        <w:rPr>
          <w:rFonts w:hint="eastAsia" w:ascii="宋体" w:hAnsi="宋体" w:eastAsia="宋体" w:cs="宋体"/>
          <w:strike w:val="0"/>
          <w:dstrike w:val="0"/>
          <w:color w:val="auto"/>
          <w:highlight w:val="none"/>
        </w:rPr>
        <w:t>5）设施主要受力构件的拼接及立柱与底板连接应采用熔透焊，焊缝质量等级不应低于二级。其他构件可采用角焊缝，焊缝质量等级为三级。</w:t>
      </w:r>
    </w:p>
    <w:p w14:paraId="4B6B92AB">
      <w:pPr>
        <w:pStyle w:val="71"/>
        <w:spacing w:before="120" w:after="120"/>
        <w:rPr>
          <w:rFonts w:hint="eastAsia" w:ascii="宋体" w:hAnsi="宋体" w:eastAsia="宋体" w:cs="宋体"/>
          <w:strike w:val="0"/>
          <w:dstrike w:val="0"/>
          <w:color w:val="auto"/>
          <w:highlight w:val="none"/>
        </w:rPr>
      </w:pPr>
      <w:bookmarkStart w:id="303" w:name="_Toc16775"/>
      <w:bookmarkStart w:id="304" w:name="_Toc160183838"/>
      <w:bookmarkStart w:id="305" w:name="_Toc4176"/>
      <w:r>
        <w:rPr>
          <w:rFonts w:hint="eastAsia" w:ascii="宋体" w:hAnsi="宋体" w:eastAsia="宋体" w:cs="宋体"/>
          <w:strike w:val="0"/>
          <w:dstrike w:val="0"/>
          <w:color w:val="auto"/>
          <w:highlight w:val="none"/>
        </w:rPr>
        <w:t>户外招牌设施构造设计应符合下列规定：</w:t>
      </w:r>
      <w:bookmarkEnd w:id="303"/>
      <w:bookmarkEnd w:id="304"/>
      <w:bookmarkEnd w:id="305"/>
    </w:p>
    <w:p w14:paraId="5D8D016E">
      <w:pPr>
        <w:pStyle w:val="73"/>
        <w:ind w:firstLine="420"/>
        <w:rPr>
          <w:strike w:val="0"/>
          <w:dstrike w:val="0"/>
          <w:color w:val="auto"/>
          <w:highlight w:val="none"/>
        </w:rPr>
      </w:pPr>
      <w:r>
        <w:rPr>
          <w:rFonts w:hint="eastAsia"/>
          <w:strike w:val="0"/>
          <w:dstrike w:val="0"/>
          <w:color w:val="auto"/>
          <w:highlight w:val="none"/>
        </w:rPr>
        <w:t>1） 采用外墙铝塑板、铝板或网孔板、不锈钢板或网孔板等材料作为招牌表层围护时，与构架的连接不应采用粘贴及射钉固定；</w:t>
      </w:r>
    </w:p>
    <w:p w14:paraId="24BB9E6D">
      <w:pPr>
        <w:pStyle w:val="73"/>
        <w:ind w:firstLine="420"/>
        <w:rPr>
          <w:strike w:val="0"/>
          <w:dstrike w:val="0"/>
          <w:color w:val="auto"/>
          <w:highlight w:val="none"/>
        </w:rPr>
      </w:pPr>
      <w:r>
        <w:rPr>
          <w:rFonts w:hint="eastAsia"/>
          <w:strike w:val="0"/>
          <w:dstrike w:val="0"/>
          <w:color w:val="auto"/>
          <w:highlight w:val="none"/>
        </w:rPr>
        <w:t>2） 采用高分子板材作为招牌表层围护时，与面框的固定应采用嵌入安装法，不应直接采用螺栓、螺钉或铆钉固定；</w:t>
      </w:r>
    </w:p>
    <w:p w14:paraId="50D80569">
      <w:pPr>
        <w:pStyle w:val="73"/>
        <w:ind w:firstLine="420"/>
        <w:rPr>
          <w:rFonts w:hint="eastAsia"/>
          <w:strike w:val="0"/>
          <w:dstrike w:val="0"/>
          <w:color w:val="auto"/>
          <w:highlight w:val="none"/>
        </w:rPr>
      </w:pPr>
      <w:r>
        <w:rPr>
          <w:rFonts w:hint="eastAsia"/>
          <w:strike w:val="0"/>
          <w:dstrike w:val="0"/>
          <w:color w:val="auto"/>
          <w:highlight w:val="none"/>
        </w:rPr>
        <w:t>3） 牌匾式招牌应采用螺杆、金属型材等刚性杆拉结的方法与依附结构做至少2处的可靠连接。</w:t>
      </w:r>
    </w:p>
    <w:p w14:paraId="66540CB2">
      <w:pPr>
        <w:pStyle w:val="72"/>
        <w:spacing w:before="240" w:after="240"/>
        <w:rPr>
          <w:color w:val="auto"/>
          <w:highlight w:val="none"/>
        </w:rPr>
      </w:pPr>
      <w:bookmarkStart w:id="306" w:name="_Toc23744"/>
      <w:bookmarkStart w:id="307" w:name="_Toc14944"/>
      <w:r>
        <w:rPr>
          <w:rFonts w:hint="eastAsia"/>
          <w:color w:val="auto"/>
          <w:highlight w:val="none"/>
        </w:rPr>
        <w:t>施工</w:t>
      </w:r>
      <w:r>
        <w:rPr>
          <w:rFonts w:hint="eastAsia"/>
          <w:color w:val="auto"/>
          <w:highlight w:val="none"/>
          <w:lang w:val="en-US" w:eastAsia="zh-CN"/>
        </w:rPr>
        <w:t>及</w:t>
      </w:r>
      <w:r>
        <w:rPr>
          <w:rFonts w:hint="eastAsia"/>
          <w:color w:val="auto"/>
          <w:highlight w:val="none"/>
        </w:rPr>
        <w:t>验收</w:t>
      </w:r>
      <w:bookmarkEnd w:id="306"/>
      <w:bookmarkEnd w:id="307"/>
    </w:p>
    <w:p w14:paraId="12425037">
      <w:pPr>
        <w:pStyle w:val="71"/>
        <w:spacing w:before="120" w:after="120"/>
        <w:rPr>
          <w:rFonts w:hint="eastAsia" w:ascii="宋体" w:hAnsi="宋体" w:eastAsia="宋体" w:cs="宋体"/>
          <w:color w:val="auto"/>
          <w:highlight w:val="none"/>
          <w:lang w:val="en-US" w:eastAsia="zh-CN"/>
        </w:rPr>
      </w:pPr>
      <w:bookmarkStart w:id="308" w:name="_Toc7839"/>
      <w:bookmarkStart w:id="309" w:name="_Toc24577"/>
      <w:bookmarkStart w:id="310" w:name="_Toc160183862"/>
      <w:r>
        <w:rPr>
          <w:rFonts w:hint="eastAsia" w:ascii="宋体" w:hAnsi="宋体" w:eastAsia="宋体" w:cs="宋体"/>
          <w:color w:val="auto"/>
          <w:highlight w:val="none"/>
          <w:lang w:val="en-US" w:eastAsia="zh-CN"/>
        </w:rPr>
        <w:t>户外广告和招牌设施的制作、施工与安装、验收等应符合GB 55013、CJJ/T 149</w:t>
      </w:r>
      <w:r>
        <w:rPr>
          <w:rFonts w:hint="eastAsia" w:ascii="宋体" w:hAnsi="宋体" w:eastAsia="宋体" w:cs="宋体"/>
          <w:color w:val="auto"/>
          <w:highlight w:val="none"/>
          <w:lang w:val="en-US" w:eastAsia="zh-CN"/>
        </w:rPr>
        <w:t>、DB32/T 4787-2024</w:t>
      </w:r>
      <w:r>
        <w:rPr>
          <w:rFonts w:hint="eastAsia" w:ascii="宋体" w:hAnsi="宋体" w:eastAsia="宋体" w:cs="宋体"/>
          <w:color w:val="auto"/>
          <w:highlight w:val="none"/>
          <w:lang w:val="en-US" w:eastAsia="zh-CN"/>
        </w:rPr>
        <w:t>以及其他</w:t>
      </w:r>
      <w:r>
        <w:rPr>
          <w:rFonts w:hint="eastAsia" w:ascii="宋体" w:hAnsi="宋体" w:eastAsia="宋体" w:cs="宋体"/>
          <w:color w:val="auto"/>
          <w:highlight w:val="none"/>
          <w:lang w:val="en-US" w:eastAsia="zh-CN"/>
        </w:rPr>
        <w:t>国家、省</w:t>
      </w:r>
      <w:r>
        <w:rPr>
          <w:rFonts w:hint="eastAsia" w:ascii="宋体" w:hAnsi="宋体" w:eastAsia="宋体" w:cs="宋体"/>
          <w:color w:val="auto"/>
          <w:highlight w:val="none"/>
          <w:lang w:val="en-US" w:eastAsia="zh-CN"/>
        </w:rPr>
        <w:t>和本市相关标准、规范、规定。</w:t>
      </w:r>
      <w:bookmarkEnd w:id="308"/>
      <w:bookmarkEnd w:id="309"/>
      <w:bookmarkEnd w:id="310"/>
    </w:p>
    <w:p w14:paraId="5D1CD8A5">
      <w:pPr>
        <w:pStyle w:val="71"/>
        <w:spacing w:before="120" w:after="120"/>
        <w:rPr>
          <w:rFonts w:hint="eastAsia" w:ascii="宋体" w:hAnsi="宋体" w:eastAsia="宋体" w:cs="宋体"/>
          <w:color w:val="auto"/>
          <w:highlight w:val="none"/>
          <w:lang w:val="en-US" w:eastAsia="zh-CN"/>
        </w:rPr>
      </w:pPr>
      <w:bookmarkStart w:id="311" w:name="_Toc23022"/>
      <w:bookmarkStart w:id="312" w:name="_Toc20453"/>
      <w:bookmarkStart w:id="313" w:name="_Toc160183782"/>
      <w:r>
        <w:rPr>
          <w:rFonts w:hint="eastAsia" w:ascii="宋体" w:hAnsi="宋体" w:eastAsia="宋体" w:cs="宋体"/>
          <w:color w:val="auto"/>
          <w:highlight w:val="none"/>
          <w:lang w:val="en-US" w:eastAsia="zh-CN"/>
        </w:rPr>
        <w:t>户外广告设施所采用的紧固件及锚栓的外露部分应进行防腐处理。户外广告设施所采用的紧固件及锚栓的外露部分应进行防腐处理。</w:t>
      </w:r>
    </w:p>
    <w:p w14:paraId="4F7B4AFC">
      <w:pPr>
        <w:pStyle w:val="71"/>
        <w:spacing w:before="120" w:after="12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不应在已设置的户外广告和招牌设施上重复叠加结构、面板和画布。</w:t>
      </w:r>
    </w:p>
    <w:bookmarkEnd w:id="311"/>
    <w:bookmarkEnd w:id="312"/>
    <w:bookmarkEnd w:id="313"/>
    <w:p w14:paraId="6897FD5F">
      <w:pPr>
        <w:pStyle w:val="71"/>
        <w:spacing w:before="120" w:after="120"/>
        <w:rPr>
          <w:rFonts w:hint="eastAsia" w:ascii="宋体" w:hAnsi="宋体" w:eastAsia="宋体" w:cs="宋体"/>
          <w:color w:val="auto"/>
          <w:highlight w:val="none"/>
        </w:rPr>
      </w:pPr>
      <w:bookmarkStart w:id="314" w:name="_Toc8087"/>
      <w:bookmarkStart w:id="315" w:name="_Toc160183784"/>
      <w:bookmarkStart w:id="316" w:name="_Toc5277"/>
      <w:r>
        <w:rPr>
          <w:rFonts w:hint="eastAsia" w:ascii="宋体" w:hAnsi="宋体" w:eastAsia="宋体" w:cs="宋体"/>
          <w:color w:val="auto"/>
          <w:highlight w:val="none"/>
        </w:rPr>
        <w:t>户外广告和招牌设施施工验收应符合</w:t>
      </w:r>
      <w:r>
        <w:rPr>
          <w:rFonts w:hint="eastAsia" w:asciiTheme="minorEastAsia" w:hAnsiTheme="minorEastAsia" w:eastAsiaTheme="minorEastAsia" w:cstheme="minorEastAsia"/>
          <w:color w:val="auto"/>
          <w:highlight w:val="none"/>
          <w:lang w:val="en-US" w:eastAsia="zh-CN"/>
        </w:rPr>
        <w:t>下列规定</w:t>
      </w:r>
      <w:r>
        <w:rPr>
          <w:rFonts w:hint="eastAsia" w:ascii="宋体" w:hAnsi="宋体" w:eastAsia="宋体" w:cs="宋体"/>
          <w:color w:val="auto"/>
          <w:highlight w:val="none"/>
        </w:rPr>
        <w:t>：</w:t>
      </w:r>
      <w:bookmarkEnd w:id="314"/>
      <w:bookmarkEnd w:id="315"/>
      <w:bookmarkEnd w:id="316"/>
    </w:p>
    <w:p w14:paraId="1D034CDB">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1）供电线缆采用热镀锌钢管敷设时，内径不应小于电缆外径的1.5倍，端口应设置橡胶或尼龙绝缘保护套圈，且线缆在管内不应有接头。热镀锌钢管的壁厚不应小于2.5 mm，埋地敷设时埋深不宜小于0.7m；</w:t>
      </w:r>
    </w:p>
    <w:p w14:paraId="7A5ABDD3">
      <w:pPr>
        <w:pStyle w:val="73"/>
        <w:ind w:firstLine="420"/>
        <w:rPr>
          <w:rFonts w:hint="eastAsia" w:ascii="宋体" w:hAnsi="宋体" w:eastAsia="宋体" w:cs="宋体"/>
          <w:color w:val="auto"/>
          <w:highlight w:val="none"/>
          <w:lang w:eastAsia="zh-CN"/>
        </w:rPr>
      </w:pPr>
      <w:r>
        <w:rPr>
          <w:rFonts w:hint="eastAsia" w:ascii="宋体" w:hAnsi="宋体" w:eastAsia="宋体" w:cs="宋体"/>
          <w:color w:val="auto"/>
          <w:highlight w:val="none"/>
        </w:rPr>
        <w:t>2）设施施工完成进行竣工验收时，应按本标准要求做好测试数据和验收意见记录和签字确认</w:t>
      </w:r>
      <w:r>
        <w:rPr>
          <w:rFonts w:hint="eastAsia" w:ascii="宋体" w:hAnsi="宋体" w:eastAsia="宋体" w:cs="宋体"/>
          <w:color w:val="auto"/>
          <w:highlight w:val="none"/>
          <w:lang w:eastAsia="zh-CN"/>
        </w:rPr>
        <w:t>。</w:t>
      </w:r>
    </w:p>
    <w:p w14:paraId="41998AC8">
      <w:pPr>
        <w:pStyle w:val="72"/>
        <w:spacing w:before="240" w:after="240"/>
        <w:rPr>
          <w:color w:val="auto"/>
          <w:highlight w:val="none"/>
        </w:rPr>
      </w:pPr>
      <w:bookmarkStart w:id="317" w:name="_Toc20243"/>
      <w:bookmarkStart w:id="318" w:name="_Toc5251"/>
      <w:r>
        <w:rPr>
          <w:rFonts w:hint="eastAsia"/>
          <w:color w:val="auto"/>
          <w:highlight w:val="none"/>
        </w:rPr>
        <w:t>运行管理</w:t>
      </w:r>
      <w:bookmarkEnd w:id="317"/>
      <w:bookmarkEnd w:id="318"/>
    </w:p>
    <w:p w14:paraId="118153C8">
      <w:pPr>
        <w:pStyle w:val="71"/>
        <w:spacing w:before="120" w:after="120"/>
        <w:rPr>
          <w:rFonts w:hint="eastAsia" w:ascii="宋体" w:hAnsi="宋体" w:eastAsia="宋体" w:cs="宋体"/>
          <w:color w:val="auto"/>
          <w:highlight w:val="none"/>
        </w:rPr>
      </w:pPr>
      <w:bookmarkStart w:id="319" w:name="_Toc18452"/>
      <w:bookmarkStart w:id="320" w:name="_Toc8450"/>
      <w:bookmarkStart w:id="321" w:name="_Toc160183867"/>
      <w:r>
        <w:rPr>
          <w:rFonts w:hint="eastAsia" w:ascii="宋体" w:hAnsi="宋体" w:eastAsia="宋体" w:cs="宋体"/>
          <w:color w:val="auto"/>
          <w:highlight w:val="none"/>
        </w:rPr>
        <w:t>设置者应加强对户外广告</w:t>
      </w:r>
      <w:r>
        <w:rPr>
          <w:rFonts w:hint="eastAsia" w:ascii="宋体" w:hAnsi="宋体" w:eastAsia="宋体" w:cs="宋体"/>
          <w:color w:val="auto"/>
          <w:highlight w:val="none"/>
          <w:lang w:val="en-US" w:eastAsia="zh-CN"/>
        </w:rPr>
        <w:t>和招牌</w:t>
      </w:r>
      <w:r>
        <w:rPr>
          <w:rFonts w:hint="eastAsia" w:ascii="宋体" w:hAnsi="宋体" w:eastAsia="宋体" w:cs="宋体"/>
          <w:color w:val="auto"/>
          <w:highlight w:val="none"/>
        </w:rPr>
        <w:t>设施的日常检查和维护保养工作，并制定灾害性天气应急预案。当发生灾害性天气时，设置者应采取相应的安全防范措施，开展全面检查、做好设施加固、拆除临时户外广告设施（贴膜除外）；对设置在高层建筑顶部、受风口及一些设置年限比较长、受风面较大等易发生险情的户外广告设施采取抽板、拉布等措施；切断可能存在安全隐患的户外广告照明电源。事后应对户外广告设施进行检查和修复。</w:t>
      </w:r>
      <w:bookmarkEnd w:id="319"/>
      <w:bookmarkEnd w:id="320"/>
      <w:bookmarkEnd w:id="321"/>
    </w:p>
    <w:p w14:paraId="59B7FDE0">
      <w:pPr>
        <w:pStyle w:val="71"/>
        <w:spacing w:before="120" w:after="120"/>
        <w:rPr>
          <w:rFonts w:hint="eastAsia" w:ascii="宋体" w:hAnsi="宋体" w:eastAsia="宋体" w:cs="宋体"/>
          <w:color w:val="auto"/>
          <w:highlight w:val="none"/>
        </w:rPr>
      </w:pPr>
      <w:r>
        <w:rPr>
          <w:rFonts w:hint="eastAsia" w:ascii="宋体" w:hAnsi="宋体" w:eastAsia="宋体" w:cs="宋体"/>
          <w:color w:val="auto"/>
          <w:highlight w:val="none"/>
        </w:rPr>
        <w:t>户外广告与招牌运行管理应符合</w:t>
      </w:r>
      <w:r>
        <w:rPr>
          <w:rFonts w:hint="eastAsia" w:asciiTheme="minorEastAsia" w:hAnsiTheme="minorEastAsia" w:eastAsiaTheme="minorEastAsia" w:cstheme="minorEastAsia"/>
          <w:color w:val="auto"/>
          <w:highlight w:val="none"/>
          <w:lang w:val="en-US" w:eastAsia="zh-CN"/>
        </w:rPr>
        <w:t>下列规定</w:t>
      </w:r>
      <w:r>
        <w:rPr>
          <w:rFonts w:hint="eastAsia" w:ascii="宋体" w:hAnsi="宋体" w:eastAsia="宋体" w:cs="宋体"/>
          <w:color w:val="auto"/>
          <w:highlight w:val="none"/>
        </w:rPr>
        <w:t>：</w:t>
      </w:r>
    </w:p>
    <w:p w14:paraId="4BBFF24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1）户外广告</w:t>
      </w:r>
      <w:r>
        <w:rPr>
          <w:rFonts w:hint="eastAsia" w:ascii="宋体" w:hAnsi="宋体" w:eastAsia="宋体" w:cs="宋体"/>
          <w:color w:val="auto"/>
          <w:highlight w:val="none"/>
          <w:lang w:val="en-US" w:eastAsia="zh-CN"/>
        </w:rPr>
        <w:t>和</w:t>
      </w:r>
      <w:r>
        <w:rPr>
          <w:rFonts w:hint="eastAsia" w:ascii="宋体" w:hAnsi="宋体" w:eastAsia="宋体" w:cs="宋体"/>
          <w:color w:val="auto"/>
          <w:highlight w:val="none"/>
        </w:rPr>
        <w:t>大型</w:t>
      </w:r>
      <w:r>
        <w:rPr>
          <w:rFonts w:hint="eastAsia" w:ascii="宋体" w:hAnsi="宋体" w:eastAsia="宋体" w:cs="宋体"/>
          <w:color w:val="auto"/>
          <w:highlight w:val="none"/>
          <w:lang w:val="en-US" w:eastAsia="zh-CN"/>
        </w:rPr>
        <w:t>招牌</w:t>
      </w:r>
      <w:r>
        <w:rPr>
          <w:rFonts w:hint="eastAsia" w:ascii="宋体" w:hAnsi="宋体" w:eastAsia="宋体" w:cs="宋体"/>
          <w:color w:val="auto"/>
          <w:highlight w:val="none"/>
        </w:rPr>
        <w:t>设施在建设完成</w:t>
      </w:r>
      <w:r>
        <w:rPr>
          <w:rFonts w:hint="eastAsia" w:ascii="宋体" w:hAnsi="宋体" w:eastAsia="宋体" w:cs="宋体"/>
          <w:color w:val="auto"/>
          <w:highlight w:val="none"/>
          <w:lang w:val="en-US" w:eastAsia="zh-CN"/>
        </w:rPr>
        <w:t>进行</w:t>
      </w:r>
      <w:r>
        <w:rPr>
          <w:rFonts w:hint="eastAsia" w:ascii="宋体" w:hAnsi="宋体" w:eastAsia="宋体" w:cs="宋体"/>
          <w:color w:val="auto"/>
          <w:highlight w:val="none"/>
        </w:rPr>
        <w:t>验收时，</w:t>
      </w:r>
      <w:r>
        <w:rPr>
          <w:rFonts w:hint="eastAsia" w:ascii="宋体" w:hAnsi="宋体" w:eastAsia="宋体" w:cs="宋体"/>
          <w:color w:val="auto"/>
          <w:highlight w:val="none"/>
          <w:lang w:val="en-US" w:eastAsia="zh-CN"/>
        </w:rPr>
        <w:t>应</w:t>
      </w:r>
      <w:r>
        <w:rPr>
          <w:rFonts w:hint="eastAsia" w:ascii="宋体" w:hAnsi="宋体" w:eastAsia="宋体" w:cs="宋体"/>
          <w:color w:val="auto"/>
          <w:highlight w:val="none"/>
        </w:rPr>
        <w:t>提供具有安全结论的检测报告，</w:t>
      </w:r>
      <w:r>
        <w:rPr>
          <w:rFonts w:hint="eastAsia" w:hAnsi="宋体" w:cs="宋体"/>
          <w:color w:val="auto"/>
          <w:highlight w:val="none"/>
          <w:lang w:val="en-US" w:eastAsia="zh-CN"/>
        </w:rPr>
        <w:t>或施工现场安全技术监督人员验收报告，</w:t>
      </w:r>
      <w:r>
        <w:rPr>
          <w:rFonts w:hint="eastAsia" w:ascii="宋体" w:hAnsi="宋体" w:eastAsia="宋体" w:cs="宋体"/>
          <w:color w:val="auto"/>
          <w:highlight w:val="none"/>
        </w:rPr>
        <w:t>并在设置期满2年及之后</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每年委托有</w:t>
      </w:r>
      <w:r>
        <w:rPr>
          <w:rFonts w:hint="eastAsia" w:ascii="宋体" w:hAnsi="宋体" w:eastAsia="宋体" w:cs="宋体"/>
          <w:color w:val="auto"/>
          <w:highlight w:val="none"/>
        </w:rPr>
        <w:t>相应检测</w:t>
      </w:r>
      <w:r>
        <w:rPr>
          <w:rFonts w:hint="eastAsia" w:hAnsi="宋体" w:cs="宋体"/>
          <w:color w:val="auto"/>
          <w:highlight w:val="none"/>
          <w:lang w:val="en-US" w:eastAsia="zh-CN"/>
        </w:rPr>
        <w:t>资质</w:t>
      </w:r>
      <w:r>
        <w:rPr>
          <w:rFonts w:hint="eastAsia" w:ascii="宋体" w:hAnsi="宋体" w:eastAsia="宋体" w:cs="宋体"/>
          <w:color w:val="auto"/>
          <w:highlight w:val="none"/>
        </w:rPr>
        <w:t>的检测机构进行安全检测。经安全检测确认不符合规定的，设置人应当立即整修或者拆除</w:t>
      </w:r>
      <w:r>
        <w:rPr>
          <w:rFonts w:hint="eastAsia" w:hAnsi="宋体" w:cs="宋体"/>
          <w:color w:val="auto"/>
          <w:highlight w:val="none"/>
          <w:lang w:eastAsia="zh-CN"/>
        </w:rPr>
        <w:t>，</w:t>
      </w:r>
      <w:r>
        <w:rPr>
          <w:rFonts w:hint="eastAsia" w:hAnsi="宋体" w:cs="宋体"/>
          <w:color w:val="auto"/>
          <w:highlight w:val="none"/>
          <w:lang w:val="en-US" w:eastAsia="zh-CN"/>
        </w:rPr>
        <w:t>整改后应重新进行安全检测</w:t>
      </w:r>
      <w:r>
        <w:rPr>
          <w:rFonts w:hint="eastAsia" w:ascii="宋体" w:hAnsi="宋体" w:eastAsia="宋体" w:cs="宋体"/>
          <w:color w:val="auto"/>
          <w:highlight w:val="none"/>
        </w:rPr>
        <w:t>；</w:t>
      </w:r>
    </w:p>
    <w:p w14:paraId="493FCA14">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2）其他户外招牌</w:t>
      </w:r>
      <w:r>
        <w:rPr>
          <w:rFonts w:hint="eastAsia" w:ascii="宋体" w:hAnsi="宋体" w:eastAsia="宋体" w:cs="宋体"/>
          <w:color w:val="auto"/>
          <w:highlight w:val="none"/>
          <w:lang w:val="en-US" w:eastAsia="zh-CN"/>
        </w:rPr>
        <w:t>设置</w:t>
      </w:r>
      <w:r>
        <w:rPr>
          <w:rFonts w:hint="eastAsia" w:ascii="宋体" w:hAnsi="宋体" w:eastAsia="宋体" w:cs="宋体"/>
          <w:color w:val="auto"/>
          <w:highlight w:val="none"/>
          <w:lang w:val="en-US" w:eastAsia="zh-CN"/>
        </w:rPr>
        <w:t>宜</w:t>
      </w:r>
      <w:r>
        <w:rPr>
          <w:rFonts w:hint="eastAsia" w:ascii="宋体" w:hAnsi="宋体" w:eastAsia="宋体" w:cs="宋体"/>
          <w:color w:val="auto"/>
          <w:highlight w:val="none"/>
        </w:rPr>
        <w:t>定期进行安全检查；</w:t>
      </w:r>
    </w:p>
    <w:p w14:paraId="6D22675C">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3）设置人应按照CJJ/T</w:t>
      </w:r>
      <w:r>
        <w:rPr>
          <w:rFonts w:hint="eastAsia" w:ascii="宋体" w:hAnsi="宋体" w:eastAsia="宋体" w:cs="宋体"/>
          <w:color w:val="auto"/>
          <w:highlight w:val="none"/>
          <w:lang w:val="en-US" w:eastAsia="zh-CN"/>
        </w:rPr>
        <w:t xml:space="preserve"> </w:t>
      </w:r>
      <w:r>
        <w:rPr>
          <w:rFonts w:hint="eastAsia" w:ascii="宋体" w:hAnsi="宋体" w:eastAsia="宋体" w:cs="宋体"/>
          <w:color w:val="auto"/>
          <w:highlight w:val="none"/>
        </w:rPr>
        <w:t>149对户外广告和招牌设施进行定期检查，发现隐患应及时予以修复或更换，并做好维护台账记录；</w:t>
      </w:r>
    </w:p>
    <w:p w14:paraId="76797D98">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4）电子显示装置及其他广告照明装置运行期间，设置人应加强巡查，发现损坏及时维修；</w:t>
      </w:r>
    </w:p>
    <w:p w14:paraId="6ADF0207">
      <w:pPr>
        <w:pStyle w:val="73"/>
        <w:ind w:firstLine="420"/>
        <w:rPr>
          <w:rFonts w:hint="eastAsia" w:ascii="宋体" w:hAnsi="宋体" w:eastAsia="宋体" w:cs="宋体"/>
          <w:color w:val="auto"/>
          <w:highlight w:val="none"/>
        </w:rPr>
      </w:pPr>
      <w:r>
        <w:rPr>
          <w:rFonts w:hint="eastAsia" w:ascii="宋体" w:hAnsi="宋体" w:eastAsia="宋体" w:cs="宋体"/>
          <w:color w:val="auto"/>
          <w:highlight w:val="none"/>
        </w:rPr>
        <w:t>5）高温及梅雨季节期间，大风、大雪及雷雨天气</w:t>
      </w:r>
      <w:r>
        <w:rPr>
          <w:rFonts w:hint="eastAsia" w:hAnsi="宋体" w:cs="宋体"/>
          <w:color w:val="auto"/>
          <w:highlight w:val="none"/>
          <w:lang w:val="en-US" w:eastAsia="zh-CN"/>
        </w:rPr>
        <w:t>前、</w:t>
      </w:r>
      <w:r>
        <w:rPr>
          <w:rFonts w:hint="eastAsia" w:ascii="宋体" w:hAnsi="宋体" w:eastAsia="宋体" w:cs="宋体"/>
          <w:color w:val="auto"/>
          <w:highlight w:val="none"/>
        </w:rPr>
        <w:t>后</w:t>
      </w:r>
      <w:r>
        <w:rPr>
          <w:rFonts w:hint="eastAsia" w:ascii="宋体" w:hAnsi="宋体" w:eastAsia="宋体" w:cs="宋体"/>
          <w:color w:val="auto"/>
          <w:highlight w:val="none"/>
        </w:rPr>
        <w:t>，应对户外广告设施的基础及锚固、构架及连接、牌面及灯布、构架防腐、照明灯具、电缆电线、电气设备和防雷设施的可靠性进行检查，确保安全可靠。</w:t>
      </w:r>
    </w:p>
    <w:p w14:paraId="7EABA44B">
      <w:pPr>
        <w:pStyle w:val="71"/>
        <w:spacing w:before="120" w:after="120"/>
        <w:rPr>
          <w:rFonts w:hint="eastAsia" w:ascii="宋体" w:hAnsi="宋体" w:eastAsia="宋体" w:cs="宋体"/>
          <w:color w:val="auto"/>
          <w:highlight w:val="none"/>
        </w:rPr>
      </w:pPr>
      <w:bookmarkStart w:id="322" w:name="_Toc20947"/>
      <w:bookmarkStart w:id="323" w:name="_Toc32589"/>
      <w:bookmarkStart w:id="324" w:name="_Toc160183785"/>
      <w:bookmarkStart w:id="325" w:name="_Toc160183869"/>
      <w:bookmarkStart w:id="326" w:name="_Toc184"/>
      <w:bookmarkStart w:id="327" w:name="_Toc23260"/>
      <w:r>
        <w:rPr>
          <w:rFonts w:hint="eastAsia" w:ascii="宋体" w:hAnsi="宋体" w:eastAsia="宋体" w:cs="宋体"/>
          <w:color w:val="auto"/>
          <w:highlight w:val="none"/>
        </w:rPr>
        <w:t>当发现户外广告和招牌设施有可能存在重大安全隐患时应进行安全检测。安全检测结果不符合规定的，应立即拆除或整改，整改后应重新进行安全检测。达到设计工作年限的，应予以拆除。</w:t>
      </w:r>
      <w:bookmarkEnd w:id="322"/>
      <w:bookmarkEnd w:id="323"/>
      <w:bookmarkEnd w:id="324"/>
      <w:bookmarkEnd w:id="325"/>
      <w:bookmarkEnd w:id="326"/>
      <w:bookmarkEnd w:id="327"/>
    </w:p>
    <w:p w14:paraId="500BA4C2">
      <w:pPr>
        <w:pStyle w:val="71"/>
        <w:spacing w:before="120" w:after="120"/>
        <w:rPr>
          <w:rFonts w:hint="eastAsia" w:ascii="宋体" w:hAnsi="宋体" w:eastAsia="宋体" w:cs="宋体"/>
          <w:color w:val="auto"/>
          <w:highlight w:val="none"/>
        </w:rPr>
      </w:pPr>
      <w:bookmarkStart w:id="328" w:name="_Toc160183870"/>
      <w:bookmarkStart w:id="329" w:name="_Toc14897"/>
      <w:bookmarkStart w:id="330" w:name="_Toc27225"/>
      <w:r>
        <w:rPr>
          <w:rFonts w:hint="eastAsia" w:ascii="宋体" w:hAnsi="宋体" w:eastAsia="宋体" w:cs="宋体"/>
          <w:color w:val="auto"/>
          <w:highlight w:val="none"/>
        </w:rPr>
        <w:t>鼓励采用高科技、智能化手段开展户外广告</w:t>
      </w:r>
      <w:r>
        <w:rPr>
          <w:rFonts w:hint="eastAsia" w:ascii="宋体" w:hAnsi="宋体" w:eastAsia="宋体" w:cs="宋体"/>
          <w:color w:val="auto"/>
          <w:highlight w:val="none"/>
          <w:lang w:val="en-US" w:eastAsia="zh-CN"/>
        </w:rPr>
        <w:t>和招牌</w:t>
      </w:r>
      <w:r>
        <w:rPr>
          <w:rFonts w:hint="eastAsia" w:ascii="宋体" w:hAnsi="宋体" w:eastAsia="宋体" w:cs="宋体"/>
          <w:color w:val="auto"/>
          <w:highlight w:val="none"/>
        </w:rPr>
        <w:t>设施维护、检测工作。</w:t>
      </w:r>
      <w:bookmarkEnd w:id="328"/>
      <w:bookmarkEnd w:id="329"/>
      <w:bookmarkEnd w:id="330"/>
    </w:p>
    <w:bookmarkEnd w:id="137"/>
    <w:bookmarkEnd w:id="138"/>
    <w:bookmarkEnd w:id="139"/>
    <w:p w14:paraId="50B45A64">
      <w:pPr>
        <w:pStyle w:val="57"/>
        <w:ind w:firstLine="0" w:firstLineChars="0"/>
        <w:rPr>
          <w:rFonts w:hint="eastAsia" w:ascii="宋体" w:hAnsi="宋体" w:eastAsia="宋体" w:cs="宋体"/>
          <w:color w:val="auto"/>
          <w:highlight w:val="none"/>
        </w:rPr>
        <w:sectPr>
          <w:headerReference r:id="rId17" w:type="default"/>
          <w:footerReference r:id="rId19" w:type="default"/>
          <w:headerReference r:id="rId18" w:type="even"/>
          <w:footerReference r:id="rId20" w:type="even"/>
          <w:pgSz w:w="11906" w:h="16838"/>
          <w:pgMar w:top="1417" w:right="1134" w:bottom="1134" w:left="1418" w:header="1417" w:footer="1134" w:gutter="0"/>
          <w:pgBorders>
            <w:top w:val="none" w:sz="0" w:space="0"/>
            <w:left w:val="none" w:sz="0" w:space="0"/>
            <w:bottom w:val="none" w:sz="0" w:space="0"/>
            <w:right w:val="none" w:sz="0" w:space="0"/>
          </w:pgBorders>
          <w:pgNumType w:fmt="decimal" w:start="1"/>
          <w:cols w:space="425" w:num="1"/>
          <w:docGrid w:type="lines" w:linePitch="312" w:charSpace="0"/>
        </w:sectPr>
      </w:pPr>
    </w:p>
    <w:p w14:paraId="787C0CE4">
      <w:pPr>
        <w:pStyle w:val="81"/>
        <w:shd w:val="clear" w:color="auto" w:fill="auto"/>
        <w:spacing w:before="567" w:after="283" w:afterLines="0"/>
        <w:rPr>
          <w:color w:val="auto"/>
          <w:highlight w:val="none"/>
        </w:rPr>
      </w:pPr>
      <w:bookmarkStart w:id="331" w:name="_Toc120179958"/>
      <w:bookmarkStart w:id="332" w:name="_Toc11106"/>
      <w:bookmarkStart w:id="333" w:name="_Toc15495"/>
      <w:bookmarkStart w:id="334" w:name="_Toc8436"/>
      <w:bookmarkStart w:id="335" w:name="_Toc17486"/>
      <w:r>
        <w:rPr>
          <w:rFonts w:hint="eastAsia"/>
          <w:color w:val="auto"/>
          <w:spacing w:val="105"/>
          <w:highlight w:val="none"/>
        </w:rPr>
        <w:t>参考文</w:t>
      </w:r>
      <w:r>
        <w:rPr>
          <w:rFonts w:hint="eastAsia"/>
          <w:color w:val="auto"/>
          <w:highlight w:val="none"/>
        </w:rPr>
        <w:t>献</w:t>
      </w:r>
      <w:bookmarkEnd w:id="331"/>
      <w:bookmarkEnd w:id="332"/>
      <w:bookmarkEnd w:id="333"/>
      <w:bookmarkEnd w:id="334"/>
      <w:bookmarkEnd w:id="335"/>
    </w:p>
    <w:p w14:paraId="73460457">
      <w:pPr>
        <w:pStyle w:val="73"/>
        <w:ind w:firstLine="420"/>
        <w:rPr>
          <w:rFonts w:hint="eastAsia"/>
          <w:color w:val="auto"/>
          <w:highlight w:val="none"/>
        </w:rPr>
      </w:pPr>
      <w:r>
        <w:rPr>
          <w:rFonts w:hint="eastAsia"/>
          <w:color w:val="auto"/>
          <w:highlight w:val="none"/>
        </w:rPr>
        <w:t>[1] 中华人民共和国广告法</w:t>
      </w:r>
    </w:p>
    <w:p w14:paraId="3CA093A0">
      <w:pPr>
        <w:pStyle w:val="73"/>
        <w:ind w:firstLine="420"/>
        <w:rPr>
          <w:color w:val="auto"/>
          <w:highlight w:val="none"/>
        </w:rPr>
      </w:pPr>
      <w:r>
        <w:rPr>
          <w:rFonts w:hint="eastAsia"/>
          <w:color w:val="auto"/>
          <w:highlight w:val="none"/>
        </w:rPr>
        <w:t>[</w:t>
      </w:r>
      <w:r>
        <w:rPr>
          <w:rFonts w:hint="eastAsia"/>
          <w:color w:val="auto"/>
          <w:highlight w:val="none"/>
          <w:lang w:val="en-US" w:eastAsia="zh-CN"/>
        </w:rPr>
        <w:t>2</w:t>
      </w:r>
      <w:r>
        <w:rPr>
          <w:rFonts w:hint="eastAsia"/>
          <w:color w:val="auto"/>
          <w:highlight w:val="none"/>
        </w:rPr>
        <w:t>] 《苏州市城市市容和环境卫生管理条例》（苏州市第十七届人民代表大会常务委员会公告第16号）</w:t>
      </w:r>
    </w:p>
    <w:p w14:paraId="47892421">
      <w:pPr>
        <w:pStyle w:val="73"/>
        <w:ind w:firstLine="420"/>
        <w:rPr>
          <w:color w:val="auto"/>
          <w:highlight w:val="none"/>
        </w:rPr>
      </w:pPr>
      <w:r>
        <w:rPr>
          <w:rFonts w:hint="eastAsia"/>
          <w:color w:val="auto"/>
          <w:highlight w:val="none"/>
        </w:rPr>
        <w:t>[</w:t>
      </w:r>
      <w:r>
        <w:rPr>
          <w:rFonts w:hint="eastAsia"/>
          <w:color w:val="auto"/>
          <w:highlight w:val="none"/>
          <w:lang w:val="en-US" w:eastAsia="zh-CN"/>
        </w:rPr>
        <w:t>3</w:t>
      </w:r>
      <w:r>
        <w:rPr>
          <w:rFonts w:hint="eastAsia"/>
          <w:color w:val="auto"/>
          <w:highlight w:val="none"/>
        </w:rPr>
        <w:t>] 《苏州国家历史文化名城保护条例》（苏人发〔2017〕66号）</w:t>
      </w:r>
    </w:p>
    <w:p w14:paraId="689D4FF2">
      <w:pPr>
        <w:pStyle w:val="57"/>
        <w:rPr>
          <w:color w:val="auto"/>
          <w:highlight w:val="none"/>
        </w:rPr>
      </w:pPr>
      <w:r>
        <w:rPr>
          <w:rFonts w:hint="eastAsia"/>
          <w:color w:val="auto"/>
          <w:highlight w:val="none"/>
        </w:rPr>
        <w:t>[</w:t>
      </w:r>
      <w:r>
        <w:rPr>
          <w:rFonts w:hint="eastAsia"/>
          <w:color w:val="auto"/>
          <w:highlight w:val="none"/>
          <w:lang w:val="en-US" w:eastAsia="zh-CN"/>
        </w:rPr>
        <w:t>4</w:t>
      </w:r>
      <w:r>
        <w:rPr>
          <w:rFonts w:hint="eastAsia"/>
          <w:color w:val="auto"/>
          <w:highlight w:val="none"/>
        </w:rPr>
        <w:t>]《苏州市户外广告设施管理办法》（苏州市人民政府令〔2021〕155号）</w:t>
      </w:r>
    </w:p>
    <w:p w14:paraId="0A99A39F">
      <w:pPr>
        <w:pStyle w:val="57"/>
        <w:rPr>
          <w:color w:val="auto"/>
          <w:highlight w:val="none"/>
        </w:rPr>
      </w:pPr>
      <w:r>
        <w:rPr>
          <w:rFonts w:hint="eastAsia"/>
          <w:color w:val="auto"/>
          <w:highlight w:val="none"/>
        </w:rPr>
        <w:t>[</w:t>
      </w:r>
      <w:r>
        <w:rPr>
          <w:rFonts w:hint="eastAsia"/>
          <w:color w:val="auto"/>
          <w:highlight w:val="none"/>
          <w:lang w:val="en-US" w:eastAsia="zh-CN"/>
        </w:rPr>
        <w:t>5</w:t>
      </w:r>
      <w:r>
        <w:rPr>
          <w:rFonts w:hint="eastAsia"/>
          <w:color w:val="auto"/>
          <w:highlight w:val="none"/>
        </w:rPr>
        <w:t>]《苏州市城市容貌标准》</w:t>
      </w:r>
      <w:r>
        <w:rPr>
          <w:rFonts w:hint="eastAsia"/>
          <w:color w:val="auto"/>
          <w:highlight w:val="none"/>
          <w:lang w:eastAsia="zh-CN"/>
        </w:rPr>
        <w:t>（</w:t>
      </w:r>
      <w:r>
        <w:rPr>
          <w:rFonts w:hint="eastAsia"/>
          <w:color w:val="auto"/>
          <w:highlight w:val="none"/>
        </w:rPr>
        <w:t>苏府办〔2007〕234号</w:t>
      </w:r>
      <w:r>
        <w:rPr>
          <w:rFonts w:hint="eastAsia"/>
          <w:color w:val="auto"/>
          <w:highlight w:val="none"/>
          <w:lang w:eastAsia="zh-CN"/>
        </w:rPr>
        <w:t>）</w:t>
      </w:r>
    </w:p>
    <w:p w14:paraId="22FD6507">
      <w:pPr>
        <w:pStyle w:val="57"/>
        <w:rPr>
          <w:color w:val="auto"/>
          <w:highlight w:val="none"/>
        </w:rPr>
      </w:pPr>
      <w:r>
        <w:rPr>
          <w:rFonts w:hint="eastAsia"/>
          <w:color w:val="auto"/>
          <w:highlight w:val="none"/>
        </w:rPr>
        <w:t>[</w:t>
      </w:r>
      <w:r>
        <w:rPr>
          <w:rFonts w:hint="eastAsia"/>
          <w:color w:val="auto"/>
          <w:highlight w:val="none"/>
          <w:lang w:val="en-US" w:eastAsia="zh-CN"/>
        </w:rPr>
        <w:t>6</w:t>
      </w:r>
      <w:r>
        <w:rPr>
          <w:rFonts w:hint="eastAsia"/>
          <w:color w:val="auto"/>
          <w:highlight w:val="none"/>
        </w:rPr>
        <w:t>]《苏州市户外广告和店招标牌设施设置技术规定</w:t>
      </w:r>
      <w:r>
        <w:rPr>
          <w:rFonts w:hint="eastAsia"/>
          <w:color w:val="auto"/>
          <w:highlight w:val="none"/>
          <w:lang w:eastAsia="zh-CN"/>
        </w:rPr>
        <w:t>（</w:t>
      </w:r>
      <w:r>
        <w:rPr>
          <w:rFonts w:hint="eastAsia"/>
          <w:color w:val="auto"/>
          <w:highlight w:val="none"/>
        </w:rPr>
        <w:t>试行</w:t>
      </w:r>
      <w:r>
        <w:rPr>
          <w:rFonts w:hint="eastAsia"/>
          <w:color w:val="auto"/>
          <w:highlight w:val="none"/>
          <w:lang w:eastAsia="zh-CN"/>
        </w:rPr>
        <w:t>）</w:t>
      </w:r>
      <w:r>
        <w:rPr>
          <w:rFonts w:hint="eastAsia"/>
          <w:color w:val="auto"/>
          <w:highlight w:val="none"/>
        </w:rPr>
        <w:t>》（苏城发〔2019〕94号）</w:t>
      </w:r>
    </w:p>
    <w:p w14:paraId="05633740">
      <w:pPr>
        <w:pStyle w:val="73"/>
        <w:ind w:firstLine="420"/>
        <w:rPr>
          <w:color w:val="auto"/>
          <w:highlight w:val="none"/>
        </w:rPr>
      </w:pPr>
      <w:r>
        <w:rPr>
          <w:rFonts w:hint="eastAsia"/>
          <w:color w:val="auto"/>
          <w:highlight w:val="none"/>
        </w:rPr>
        <w:t>[</w:t>
      </w:r>
      <w:r>
        <w:rPr>
          <w:rFonts w:hint="eastAsia"/>
          <w:color w:val="auto"/>
          <w:highlight w:val="none"/>
          <w:lang w:val="en-US" w:eastAsia="zh-CN"/>
        </w:rPr>
        <w:t>7</w:t>
      </w:r>
      <w:r>
        <w:rPr>
          <w:rFonts w:hint="eastAsia"/>
          <w:color w:val="auto"/>
          <w:highlight w:val="none"/>
        </w:rPr>
        <w:t>] 《苏州市城市更新试点工作实施方案》（苏名城保护办发〔2022〕113号）</w:t>
      </w:r>
    </w:p>
    <w:p w14:paraId="5DCD9ACE">
      <w:pPr>
        <w:pStyle w:val="73"/>
        <w:ind w:firstLine="420"/>
        <w:rPr>
          <w:color w:val="auto"/>
          <w:highlight w:val="none"/>
        </w:rPr>
      </w:pPr>
      <w:r>
        <w:rPr>
          <w:rFonts w:hint="eastAsia"/>
          <w:color w:val="auto"/>
          <w:highlight w:val="none"/>
        </w:rPr>
        <w:t>[</w:t>
      </w:r>
      <w:r>
        <w:rPr>
          <w:rFonts w:hint="eastAsia"/>
          <w:color w:val="auto"/>
          <w:highlight w:val="none"/>
          <w:lang w:val="en-US" w:eastAsia="zh-CN"/>
        </w:rPr>
        <w:t>8</w:t>
      </w:r>
      <w:r>
        <w:rPr>
          <w:rFonts w:hint="eastAsia"/>
          <w:color w:val="auto"/>
          <w:highlight w:val="none"/>
        </w:rPr>
        <w:t>] 《苏州市店招标牌设施个性化设置导则》（苏容政发〔2017〕2号）</w:t>
      </w:r>
    </w:p>
    <w:p w14:paraId="624B56F8">
      <w:pPr>
        <w:pStyle w:val="73"/>
        <w:ind w:firstLine="420"/>
        <w:rPr>
          <w:color w:val="auto"/>
          <w:highlight w:val="none"/>
        </w:rPr>
      </w:pPr>
    </w:p>
    <w:p w14:paraId="5D488513">
      <w:pPr>
        <w:tabs>
          <w:tab w:val="left" w:pos="6335"/>
        </w:tabs>
        <w:jc w:val="left"/>
        <w:rPr>
          <w:rFonts w:ascii="黑体" w:hAnsi="黑体" w:eastAsia="黑体" w:cs="黑体"/>
          <w:color w:val="auto"/>
          <w:sz w:val="18"/>
          <w:szCs w:val="18"/>
          <w:highlight w:val="none"/>
        </w:rPr>
      </w:pPr>
      <w:r>
        <w:rPr>
          <w:rFonts w:ascii="黑体" w:hAnsi="黑体" w:eastAsia="黑体"/>
          <w:color w:val="auto"/>
          <w:highlight w:val="none"/>
        </w:rPr>
        <mc:AlternateContent>
          <mc:Choice Requires="wps">
            <w:drawing>
              <wp:anchor distT="0" distB="0" distL="114300" distR="114300" simplePos="0" relativeHeight="251665408" behindDoc="0" locked="0" layoutInCell="1" allowOverlap="1">
                <wp:simplePos x="0" y="0"/>
                <wp:positionH relativeFrom="column">
                  <wp:posOffset>2111375</wp:posOffset>
                </wp:positionH>
                <wp:positionV relativeFrom="paragraph">
                  <wp:posOffset>174625</wp:posOffset>
                </wp:positionV>
                <wp:extent cx="1800225" cy="0"/>
                <wp:effectExtent l="0" t="0" r="0" b="0"/>
                <wp:wrapNone/>
                <wp:docPr id="25" name="直接箭头连接符 5"/>
                <wp:cNvGraphicFramePr/>
                <a:graphic xmlns:a="http://schemas.openxmlformats.org/drawingml/2006/main">
                  <a:graphicData uri="http://schemas.microsoft.com/office/word/2010/wordprocessingShape">
                    <wps:wsp>
                      <wps:cNvCnPr>
                        <a:cxnSpLocks noChangeShapeType="1"/>
                      </wps:cNvCnPr>
                      <wps:spPr bwMode="auto">
                        <a:xfrm>
                          <a:off x="2970530" y="3605530"/>
                          <a:ext cx="1800225" cy="0"/>
                        </a:xfrm>
                        <a:prstGeom prst="straightConnector1">
                          <a:avLst/>
                        </a:prstGeom>
                        <a:noFill/>
                        <a:ln w="9525">
                          <a:solidFill>
                            <a:srgbClr val="000000"/>
                          </a:solidFill>
                          <a:round/>
                        </a:ln>
                        <a:effectLst/>
                      </wps:spPr>
                      <wps:bodyPr/>
                    </wps:wsp>
                  </a:graphicData>
                </a:graphic>
              </wp:anchor>
            </w:drawing>
          </mc:Choice>
          <mc:Fallback>
            <w:pict>
              <v:shape id="直接箭头连接符 5" o:spid="_x0000_s1026" o:spt="32" type="#_x0000_t32" style="position:absolute;left:0pt;margin-left:166.25pt;margin-top:13.75pt;height:0pt;width:141.75pt;z-index:251665408;mso-width-relative:page;mso-height-relative:page;" filled="f" stroked="t" coordsize="21600,21600" o:gfxdata="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Lt4S4nYAAAACQEAAA8AAAAAAAAAAQAgAAAAIgAAAGRy&#10;cy9kb3ducmV2LnhtbFBLAQIUABQAAAAIAIdO4kB7ntT+BQIAANkDAAAOAAAAAAAAAAEAIAAAACcB&#10;AABkcnMvZTJvRG9jLnhtbFBLBQYAAAAABgAGAFkBAACeBQAAAAA=&#10;">
                <v:fill on="f" focussize="0,0"/>
                <v:stroke color="#000000" joinstyle="round"/>
                <v:imagedata o:title=""/>
                <o:lock v:ext="edit" aspectratio="f"/>
              </v:shape>
            </w:pict>
          </mc:Fallback>
        </mc:AlternateContent>
      </w:r>
      <w:r>
        <w:rPr>
          <w:rFonts w:hint="eastAsia"/>
          <w:color w:val="auto"/>
          <w:highlight w:val="none"/>
        </w:rPr>
        <w:tab/>
      </w:r>
    </w:p>
    <w:sectPr>
      <w:footerReference r:id="rId21" w:type="default"/>
      <w:footerReference r:id="rId22" w:type="even"/>
      <w:pgSz w:w="11906" w:h="16838"/>
      <w:pgMar w:top="1417" w:right="1134" w:bottom="1134" w:left="1418" w:header="1417" w:footer="1134" w:gutter="0"/>
      <w:pgBorders>
        <w:top w:val="none" w:sz="0" w:space="0"/>
        <w:left w:val="none" w:sz="0" w:space="0"/>
        <w:bottom w:val="none" w:sz="0" w:space="0"/>
        <w:right w:val="none" w:sz="0" w:space="0"/>
      </w:pgBorders>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方正小标宋_GBK">
    <w:altName w:val="Microsoft YaHei UI"/>
    <w:panose1 w:val="00000000000000000000"/>
    <w:charset w:val="86"/>
    <w:family w:val="script"/>
    <w:pitch w:val="default"/>
    <w:sig w:usb0="00000000" w:usb1="00000000" w:usb2="00000010" w:usb3="00000000" w:csb0="00040000" w:csb1="00000000"/>
  </w:font>
  <w:font w:name="Microsoft YaHei UI">
    <w:panose1 w:val="020B0503020204020204"/>
    <w:charset w:val="86"/>
    <w:family w:val="auto"/>
    <w:pitch w:val="default"/>
    <w:sig w:usb0="80000287" w:usb1="2ACF3C50" w:usb2="00000016" w:usb3="00000000" w:csb0="0004001F" w:csb1="00000000"/>
  </w:font>
  <w:font w:name="Dotum,Bold">
    <w:altName w:val="黑体"/>
    <w:panose1 w:val="00000000000000000000"/>
    <w:charset w:val="86"/>
    <w:family w:val="auto"/>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BB78DF">
    <w:pPr>
      <w:pStyle w:val="1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02593">
    <w:pPr>
      <w:pStyle w:val="1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38AC2E">
    <w:pPr>
      <w:pStyle w:val="16"/>
      <w:jc w:val="center"/>
      <w:rPr>
        <w:rFonts w:asciiTheme="minorEastAsia" w:hAnsiTheme="minorEastAsia"/>
      </w:rPr>
    </w:pPr>
    <w: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3DB8958">
                          <w:pPr>
                            <w:pStyle w:val="16"/>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63DB8958">
                    <w:pPr>
                      <w:pStyle w:val="16"/>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w:t>
                    </w:r>
                    <w:r>
                      <w:rPr>
                        <w:rFonts w:hint="eastAsia" w:asciiTheme="minorEastAsia" w:hAnsiTheme="minorEastAsia" w:cstheme="minor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108DB7">
    <w:pPr>
      <w:pStyle w:val="16"/>
      <w:rPr>
        <w:rFonts w:asciiTheme="minorEastAsia" w:hAnsiTheme="minorEastAsia"/>
      </w:rPr>
    </w:pPr>
    <w: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858C6">
                          <w:pPr>
                            <w:pStyle w:val="16"/>
                          </w:pPr>
                          <w:r>
                            <w:fldChar w:fldCharType="begin"/>
                          </w:r>
                          <w:r>
                            <w:instrText xml:space="preserve"> PAGE  \* MERGEFORMAT </w:instrText>
                          </w:r>
                          <w:r>
                            <w:fldChar w:fldCharType="separate"/>
                          </w:r>
                          <w:r>
                            <w:t>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77D858C6">
                    <w:pPr>
                      <w:pStyle w:val="16"/>
                    </w:pPr>
                    <w:r>
                      <w:fldChar w:fldCharType="begin"/>
                    </w:r>
                    <w:r>
                      <w:instrText xml:space="preserve"> PAGE  \* MERGEFORMAT </w:instrText>
                    </w:r>
                    <w:r>
                      <w:fldChar w:fldCharType="separate"/>
                    </w:r>
                    <w:r>
                      <w:t>II</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255AE">
    <w:pPr>
      <w:pStyle w:val="16"/>
      <w:jc w:val="center"/>
      <w:rPr>
        <w:rFonts w:asciiTheme="minorEastAsia" w:hAnsiTheme="minorEastAsia"/>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C8352">
    <w:pPr>
      <w:pStyle w:val="16"/>
      <w:rPr>
        <w:rFonts w:asciiTheme="minorEastAsia" w:hAnsiTheme="minorEastAsia"/>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D0E197">
    <w:pPr>
      <w:pStyle w:val="16"/>
      <w:jc w:val="center"/>
      <w:rPr>
        <w:rFonts w:asciiTheme="minorEastAsia" w:hAnsiTheme="minorEastAsia"/>
      </w:rPr>
    </w:pPr>
    <w: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76050E">
                          <w:pPr>
                            <w:pStyle w:val="16"/>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1776050E">
                    <w:pPr>
                      <w:pStyle w:val="16"/>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AAA41">
    <w:pPr>
      <w:pStyle w:val="16"/>
      <w:rPr>
        <w:rFonts w:asciiTheme="minorEastAsia" w:hAnsiTheme="minorEastAsia"/>
      </w:rPr>
    </w:pP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31D58FE">
                          <w:pPr>
                            <w:pStyle w:val="16"/>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431D58FE">
                    <w:pPr>
                      <w:pStyle w:val="16"/>
                      <w:rPr>
                        <w:rFonts w:asciiTheme="minorEastAsia" w:hAnsiTheme="minorEastAsia" w:cstheme="minorEastAsia"/>
                      </w:rPr>
                    </w:pPr>
                    <w:r>
                      <w:rPr>
                        <w:rFonts w:hint="eastAsia" w:asciiTheme="minorEastAsia" w:hAnsiTheme="minorEastAsia" w:cstheme="minorEastAsia"/>
                      </w:rPr>
                      <w:fldChar w:fldCharType="begin"/>
                    </w:r>
                    <w:r>
                      <w:rPr>
                        <w:rFonts w:hint="eastAsia" w:asciiTheme="minorEastAsia" w:hAnsiTheme="minorEastAsia" w:cstheme="minorEastAsia"/>
                      </w:rPr>
                      <w:instrText xml:space="preserve"> PAGE  \* MERGEFORMAT </w:instrText>
                    </w:r>
                    <w:r>
                      <w:rPr>
                        <w:rFonts w:hint="eastAsia" w:asciiTheme="minorEastAsia" w:hAnsiTheme="minorEastAsia" w:cstheme="minorEastAsia"/>
                      </w:rPr>
                      <w:fldChar w:fldCharType="separate"/>
                    </w:r>
                    <w:r>
                      <w:rPr>
                        <w:rFonts w:asciiTheme="minorEastAsia" w:hAnsiTheme="minorEastAsia" w:cstheme="minorEastAsia"/>
                      </w:rPr>
                      <w:t>II</w:t>
                    </w:r>
                    <w:r>
                      <w:rPr>
                        <w:rFonts w:hint="eastAsia" w:asciiTheme="minorEastAsia" w:hAnsiTheme="minorEastAsia" w:cstheme="minor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70310A">
    <w:pPr>
      <w:pStyle w:val="16"/>
      <w:jc w:val="center"/>
      <w:rPr>
        <w:rFonts w:asciiTheme="minorEastAsia" w:hAnsiTheme="minorEastAsia"/>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63DC3C">
    <w:pPr>
      <w:pStyle w:val="16"/>
      <w:rPr>
        <w:rFonts w:asciiTheme="minorEastAsia" w:hAnsiTheme="minorEastAsia"/>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B288AE">
    <w:pPr>
      <w:pStyle w:val="16"/>
      <w:jc w:val="center"/>
      <w:rPr>
        <w:rFonts w:asciiTheme="minorEastAsia" w:hAnsiTheme="minorEastAsia"/>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C57F24">
                          <w:pPr>
                            <w:pStyle w:val="16"/>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EC57F24">
                    <w:pPr>
                      <w:pStyle w:val="16"/>
                      <w:jc w:val="cente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1</w:t>
                    </w:r>
                    <w:r>
                      <w:rPr>
                        <w:rFonts w:asciiTheme="minorEastAsia" w:hAnsiTheme="minor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28833">
    <w:pPr>
      <w:pStyle w:val="16"/>
      <w:rPr>
        <w:rFonts w:asciiTheme="minorEastAsia" w:hAnsiTheme="minorEastAsia"/>
      </w:rPr>
    </w:pPr>
    <w: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844512">
                          <w:pPr>
                            <w:pStyle w:val="16"/>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w:t>
                          </w:r>
                          <w:r>
                            <w:rPr>
                              <w:rFonts w:asciiTheme="minorEastAsia" w:hAnsiTheme="minor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p w14:paraId="42844512">
                    <w:pPr>
                      <w:pStyle w:val="16"/>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2</w:t>
                    </w:r>
                    <w:r>
                      <w:rPr>
                        <w:rFonts w:asciiTheme="minorEastAsia" w:hAnsiTheme="minor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941954">
    <w:pPr>
      <w:pStyle w:val="16"/>
      <w:jc w:val="center"/>
      <w:rPr>
        <w:rFonts w:asciiTheme="minorEastAsia" w:hAnsiTheme="minorEastAsia"/>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1FE552">
    <w:pPr>
      <w:pStyle w:val="16"/>
      <w:jc w:val="center"/>
      <w:rPr>
        <w:rFonts w:asciiTheme="minorEastAsia" w:hAnsiTheme="minorEastAsia"/>
      </w:rPr>
    </w:pPr>
    <w:r>
      <w:rPr>
        <w:rFonts w:asciiTheme="minorEastAsia" w:hAnsiTheme="minorEastAsia"/>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2"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ACCE6DD">
                          <w:pPr>
                            <w:pStyle w:val="16"/>
                          </w:pPr>
                          <w:r>
                            <w:rPr>
                              <w:rFonts w:asciiTheme="minorEastAsia" w:hAnsiTheme="minorEastAsia" w:cstheme="minorEastAsia"/>
                            </w:rPr>
                            <w:t>1</w:t>
                          </w:r>
                        </w:p>
                      </w:txbxContent>
                    </wps:txbx>
                    <wps:bodyPr wrap="none" lIns="0" tIns="0" rIns="0" bIns="0">
                      <a:spAutoFit/>
                    </wps:bodyPr>
                  </wps:wsp>
                </a:graphicData>
              </a:graphic>
            </wp:anchor>
          </w:drawing>
        </mc:Choice>
        <mc:Fallback>
          <w:pict>
            <v:shape id="文本框 18"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CpMlAfCAQAAjwMAAA4AAAAAAAAAAQAgAAAAHgEAAGRycy9lMm9Eb2MueG1sUEsF&#10;BgAAAAAGAAYAWQEAAFIFAAAAAA==&#10;">
              <v:fill on="f" focussize="0,0"/>
              <v:stroke on="f"/>
              <v:imagedata o:title=""/>
              <o:lock v:ext="edit" aspectratio="f"/>
              <v:textbox inset="0mm,0mm,0mm,0mm" style="mso-fit-shape-to-text:t;">
                <w:txbxContent>
                  <w:p w14:paraId="0ACCE6DD">
                    <w:pPr>
                      <w:pStyle w:val="16"/>
                    </w:pPr>
                    <w:r>
                      <w:rPr>
                        <w:rFonts w:asciiTheme="minorEastAsia" w:hAnsiTheme="minorEastAsia" w:cstheme="minorEastAsia"/>
                      </w:rPr>
                      <w:t>1</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BC6A95">
    <w:pPr>
      <w:spacing w:after="284"/>
      <w:jc w:val="right"/>
      <w:rPr>
        <w:rStyle w:val="40"/>
        <w:rFonts w:ascii="黑体" w:hAnsi="黑体" w:eastAsia="黑体"/>
        <w:i w:val="0"/>
      </w:rPr>
    </w:pP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96686">
    <w:pPr>
      <w:spacing w:after="284"/>
      <w:jc w:val="right"/>
      <w:rPr>
        <w:rFonts w:ascii="黑体" w:hAnsi="黑体" w:eastAsia="黑体"/>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1E7061">
    <w:pPr>
      <w:spacing w:after="284"/>
      <w:jc w:val="right"/>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66515F">
    <w:pPr>
      <w:spacing w:after="284"/>
      <w:jc w:val="right"/>
      <w:rPr>
        <w:rFonts w:ascii="黑体" w:hAnsi="黑体" w:eastAsia="黑体"/>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F33E0E">
    <w:pPr>
      <w:pStyle w:val="38"/>
      <w:adjustRightInd w:val="0"/>
      <w:snapToGrid w:val="0"/>
      <w:spacing w:after="283"/>
      <w:rPr>
        <w:rStyle w:val="40"/>
        <w:rFonts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E1AB58">
    <w:pPr>
      <w:adjustRightInd w:val="0"/>
      <w:snapToGrid w:val="0"/>
      <w:spacing w:after="283"/>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FE47CB"/>
    <w:multiLevelType w:val="singleLevel"/>
    <w:tmpl w:val="CEFE47CB"/>
    <w:lvl w:ilvl="0" w:tentative="0">
      <w:start w:val="1"/>
      <w:numFmt w:val="decimal"/>
      <w:suff w:val="nothing"/>
      <w:lvlText w:val="%1）"/>
      <w:lvlJc w:val="left"/>
    </w:lvl>
  </w:abstractNum>
  <w:abstractNum w:abstractNumId="1">
    <w:nsid w:val="00127259"/>
    <w:multiLevelType w:val="multilevel"/>
    <w:tmpl w:val="00127259"/>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
    <w:nsid w:val="07ED3FEA"/>
    <w:multiLevelType w:val="multilevel"/>
    <w:tmpl w:val="07ED3FEA"/>
    <w:lvl w:ilvl="0" w:tentative="0">
      <w:start w:val="1"/>
      <w:numFmt w:val="none"/>
      <w:pStyle w:val="55"/>
      <w:lvlText w:val="%1"/>
      <w:lvlJc w:val="left"/>
      <w:pPr>
        <w:ind w:left="425" w:hanging="425"/>
      </w:pPr>
      <w:rPr>
        <w:rFonts w:hint="eastAsia"/>
      </w:rPr>
    </w:lvl>
    <w:lvl w:ilvl="1" w:tentative="0">
      <w:start w:val="1"/>
      <w:numFmt w:val="decimal"/>
      <w:suff w:val="nothing"/>
      <w:lvlText w:val="%10.%2 "/>
      <w:lvlJc w:val="left"/>
      <w:pPr>
        <w:ind w:left="0" w:firstLine="0"/>
      </w:pPr>
      <w:rPr>
        <w:rFonts w:hint="eastAsia" w:ascii="黑体" w:eastAsia="黑体" w:hAnsiTheme="minorHAnsi"/>
        <w:b w:val="0"/>
        <w:i w:val="0"/>
        <w:sz w:val="21"/>
      </w:rPr>
    </w:lvl>
    <w:lvl w:ilvl="2" w:tentative="0">
      <w:start w:val="1"/>
      <w:numFmt w:val="decimal"/>
      <w:suff w:val="nothing"/>
      <w:lvlText w:val="%10.%2.%3 "/>
      <w:lvlJc w:val="left"/>
      <w:pPr>
        <w:ind w:left="0" w:firstLine="0"/>
      </w:pPr>
      <w:rPr>
        <w:rFonts w:hint="eastAsia" w:ascii="黑体" w:eastAsia="黑体" w:hAnsiTheme="minorHAnsi"/>
        <w:b w:val="0"/>
        <w:i w:val="0"/>
        <w:sz w:val="21"/>
      </w:rPr>
    </w:lvl>
    <w:lvl w:ilvl="3" w:tentative="0">
      <w:start w:val="1"/>
      <w:numFmt w:val="decimal"/>
      <w:suff w:val="nothing"/>
      <w:lvlText w:val="%10.%2.%3.%4 "/>
      <w:lvlJc w:val="left"/>
      <w:pPr>
        <w:ind w:left="0" w:firstLine="0"/>
      </w:pPr>
      <w:rPr>
        <w:rFonts w:hint="eastAsia" w:ascii="黑体" w:eastAsia="黑体" w:hAnsiTheme="minorHAnsi"/>
        <w:b w:val="0"/>
        <w:i w:val="0"/>
        <w:sz w:val="21"/>
      </w:rPr>
    </w:lvl>
    <w:lvl w:ilvl="4" w:tentative="0">
      <w:start w:val="1"/>
      <w:numFmt w:val="decimal"/>
      <w:suff w:val="nothing"/>
      <w:lvlText w:val="%10.%2.%3.%4.%5 "/>
      <w:lvlJc w:val="left"/>
      <w:pPr>
        <w:ind w:left="0" w:firstLine="0"/>
      </w:pPr>
      <w:rPr>
        <w:rFonts w:hint="eastAsia" w:ascii="黑体" w:eastAsia="黑体" w:hAnsiTheme="minorHAnsi"/>
        <w:b w:val="0"/>
        <w:i w:val="0"/>
        <w:sz w:val="21"/>
      </w:rPr>
    </w:lvl>
    <w:lvl w:ilvl="5" w:tentative="0">
      <w:start w:val="1"/>
      <w:numFmt w:val="decimal"/>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3">
    <w:nsid w:val="15EF0C26"/>
    <w:multiLevelType w:val="multilevel"/>
    <w:tmpl w:val="15EF0C26"/>
    <w:lvl w:ilvl="0" w:tentative="0">
      <w:start w:val="1"/>
      <w:numFmt w:val="lowerLetter"/>
      <w:pStyle w:val="61"/>
      <w:lvlText w:val="%1)"/>
      <w:lvlJc w:val="left"/>
      <w:pPr>
        <w:tabs>
          <w:tab w:val="left" w:pos="840"/>
        </w:tabs>
        <w:ind w:left="839" w:hanging="419"/>
      </w:pPr>
      <w:rPr>
        <w:rFonts w:hint="eastAsia" w:ascii="宋体" w:eastAsia="宋体"/>
        <w:b w:val="0"/>
        <w:i w:val="0"/>
        <w:sz w:val="21"/>
        <w:szCs w:val="21"/>
      </w:rPr>
    </w:lvl>
    <w:lvl w:ilvl="1" w:tentative="0">
      <w:start w:val="1"/>
      <w:numFmt w:val="decimal"/>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4">
    <w:nsid w:val="18079F58"/>
    <w:multiLevelType w:val="singleLevel"/>
    <w:tmpl w:val="18079F58"/>
    <w:lvl w:ilvl="0" w:tentative="0">
      <w:start w:val="1"/>
      <w:numFmt w:val="decimal"/>
      <w:suff w:val="nothing"/>
      <w:lvlText w:val="%1）"/>
      <w:lvlJc w:val="left"/>
    </w:lvl>
  </w:abstractNum>
  <w:abstractNum w:abstractNumId="5">
    <w:nsid w:val="1FC91163"/>
    <w:multiLevelType w:val="multilevel"/>
    <w:tmpl w:val="1FC91163"/>
    <w:lvl w:ilvl="0" w:tentative="0">
      <w:start w:val="1"/>
      <w:numFmt w:val="decimal"/>
      <w:pStyle w:val="56"/>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58"/>
      <w:suff w:val="nothing"/>
      <w:lvlText w:val="%1.%2　"/>
      <w:lvlJc w:val="left"/>
      <w:pPr>
        <w:ind w:left="0" w:firstLine="0"/>
      </w:pPr>
      <w:rPr>
        <w:rFonts w:hint="eastAsia" w:ascii="黑体" w:hAnsi="Times New Roman" w:eastAsia="黑体" w:cs="Times New Roman"/>
        <w:b w:val="0"/>
        <w:bCs w:val="0"/>
        <w:i w:val="0"/>
        <w:iCs w:val="0"/>
        <w:caps w:val="0"/>
        <w:strike w:val="0"/>
        <w:dstrike w:val="0"/>
        <w:vanish w:val="0"/>
        <w:spacing w:val="0"/>
        <w:kern w:val="0"/>
        <w:position w:val="0"/>
        <w:sz w:val="21"/>
        <w:szCs w:val="21"/>
        <w:u w:val="none"/>
        <w:vertAlign w:val="baseline"/>
      </w:rPr>
    </w:lvl>
    <w:lvl w:ilvl="2" w:tentative="0">
      <w:start w:val="1"/>
      <w:numFmt w:val="decimal"/>
      <w:pStyle w:val="60"/>
      <w:suff w:val="nothing"/>
      <w:lvlText w:val="%1.%2.%3　"/>
      <w:lvlJc w:val="left"/>
      <w:pPr>
        <w:ind w:left="0" w:firstLine="0"/>
      </w:pPr>
      <w:rPr>
        <w:rFonts w:hint="eastAsia" w:ascii="黑体" w:hAnsi="Times New Roman" w:eastAsia="黑体"/>
        <w:b w:val="0"/>
        <w:i w:val="0"/>
        <w:sz w:val="21"/>
      </w:rPr>
    </w:lvl>
    <w:lvl w:ilvl="3" w:tentative="0">
      <w:start w:val="1"/>
      <w:numFmt w:val="decimal"/>
      <w:suff w:val="nothing"/>
      <w:lvlText w:val="%1.%2.%3.%4　"/>
      <w:lvlJc w:val="left"/>
      <w:pPr>
        <w:ind w:left="0" w:firstLine="0"/>
      </w:pPr>
      <w:rPr>
        <w:rFonts w:hint="eastAsia" w:ascii="黑体" w:hAnsi="Times New Roman" w:eastAsia="黑体"/>
        <w:b w:val="0"/>
        <w:i w:val="0"/>
        <w:sz w:val="21"/>
      </w:rPr>
    </w:lvl>
    <w:lvl w:ilvl="4" w:tentative="0">
      <w:start w:val="1"/>
      <w:numFmt w:val="decimal"/>
      <w:suff w:val="nothing"/>
      <w:lvlText w:val="%1.%2.%3.%4.%5　"/>
      <w:lvlJc w:val="left"/>
      <w:pPr>
        <w:ind w:left="0" w:firstLine="0"/>
      </w:pPr>
      <w:rPr>
        <w:rFonts w:hint="eastAsia" w:ascii="黑体" w:hAnsi="Times New Roman" w:eastAsia="黑体"/>
        <w:b w:val="0"/>
        <w:i w:val="0"/>
        <w:sz w:val="21"/>
      </w:rPr>
    </w:lvl>
    <w:lvl w:ilvl="5" w:tentative="0">
      <w:start w:val="1"/>
      <w:numFmt w:val="decimal"/>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6">
    <w:nsid w:val="227882E3"/>
    <w:multiLevelType w:val="singleLevel"/>
    <w:tmpl w:val="227882E3"/>
    <w:lvl w:ilvl="0" w:tentative="0">
      <w:start w:val="1"/>
      <w:numFmt w:val="lowerLetter"/>
      <w:suff w:val="space"/>
      <w:lvlText w:val="%1）"/>
      <w:lvlJc w:val="left"/>
    </w:lvl>
  </w:abstractNum>
  <w:abstractNum w:abstractNumId="7">
    <w:nsid w:val="2C5917C3"/>
    <w:multiLevelType w:val="multilevel"/>
    <w:tmpl w:val="2C5917C3"/>
    <w:lvl w:ilvl="0" w:tentative="0">
      <w:start w:val="1"/>
      <w:numFmt w:val="none"/>
      <w:suff w:val="nothing"/>
      <w:lvlText w:val="%1——"/>
      <w:lvlJc w:val="left"/>
      <w:pPr>
        <w:ind w:left="833" w:hanging="408"/>
      </w:pPr>
      <w:rPr>
        <w:rFonts w:hint="eastAsia"/>
        <w:lang w:val="en-US"/>
      </w:rPr>
    </w:lvl>
    <w:lvl w:ilvl="1" w:tentative="0">
      <w:start w:val="1"/>
      <w:numFmt w:val="bullet"/>
      <w:pStyle w:val="62"/>
      <w:lvlText w:val=""/>
      <w:lvlJc w:val="left"/>
      <w:pPr>
        <w:tabs>
          <w:tab w:val="left" w:pos="760"/>
        </w:tabs>
        <w:ind w:left="1264" w:hanging="413"/>
      </w:pPr>
      <w:rPr>
        <w:rFonts w:hint="default" w:ascii="Symbol" w:hAnsi="Symbol"/>
        <w:color w:val="auto"/>
      </w:rPr>
    </w:lvl>
    <w:lvl w:ilvl="2" w:tentative="0">
      <w:start w:val="1"/>
      <w:numFmt w:val="bullet"/>
      <w:lvlText w:val=""/>
      <w:lvlJc w:val="left"/>
      <w:pPr>
        <w:tabs>
          <w:tab w:val="left" w:pos="1678"/>
        </w:tabs>
        <w:ind w:left="1678" w:hanging="414"/>
      </w:pPr>
      <w:rPr>
        <w:rFonts w:hint="default" w:ascii="Symbol" w:hAnsi="Symbol"/>
        <w:color w:val="auto"/>
      </w:rPr>
    </w:lvl>
    <w:lvl w:ilvl="3" w:tentative="0">
      <w:start w:val="1"/>
      <w:numFmt w:val="decimal"/>
      <w:lvlText w:val="%4."/>
      <w:lvlJc w:val="left"/>
      <w:pPr>
        <w:tabs>
          <w:tab w:val="left" w:pos="2071"/>
        </w:tabs>
        <w:ind w:left="1884" w:hanging="528"/>
      </w:pPr>
      <w:rPr>
        <w:rFonts w:hint="eastAsia"/>
      </w:rPr>
    </w:lvl>
    <w:lvl w:ilvl="4" w:tentative="0">
      <w:start w:val="1"/>
      <w:numFmt w:val="lowerLetter"/>
      <w:lvlText w:val="%5)"/>
      <w:lvlJc w:val="left"/>
      <w:pPr>
        <w:tabs>
          <w:tab w:val="left" w:pos="2383"/>
        </w:tabs>
        <w:ind w:left="2196" w:hanging="528"/>
      </w:pPr>
      <w:rPr>
        <w:rFonts w:hint="eastAsia"/>
      </w:rPr>
    </w:lvl>
    <w:lvl w:ilvl="5" w:tentative="0">
      <w:start w:val="1"/>
      <w:numFmt w:val="lowerRoman"/>
      <w:lvlText w:val="%6."/>
      <w:lvlJc w:val="right"/>
      <w:pPr>
        <w:tabs>
          <w:tab w:val="left" w:pos="2695"/>
        </w:tabs>
        <w:ind w:left="2508" w:hanging="528"/>
      </w:pPr>
      <w:rPr>
        <w:rFonts w:hint="eastAsia"/>
      </w:rPr>
    </w:lvl>
    <w:lvl w:ilvl="6" w:tentative="0">
      <w:start w:val="1"/>
      <w:numFmt w:val="decimal"/>
      <w:lvlText w:val="%7."/>
      <w:lvlJc w:val="left"/>
      <w:pPr>
        <w:tabs>
          <w:tab w:val="left" w:pos="3007"/>
        </w:tabs>
        <w:ind w:left="2820" w:hanging="528"/>
      </w:pPr>
      <w:rPr>
        <w:rFonts w:hint="eastAsia"/>
      </w:rPr>
    </w:lvl>
    <w:lvl w:ilvl="7" w:tentative="0">
      <w:start w:val="1"/>
      <w:numFmt w:val="lowerLetter"/>
      <w:lvlText w:val="%8)"/>
      <w:lvlJc w:val="left"/>
      <w:pPr>
        <w:tabs>
          <w:tab w:val="left" w:pos="3319"/>
        </w:tabs>
        <w:ind w:left="3132" w:hanging="528"/>
      </w:pPr>
      <w:rPr>
        <w:rFonts w:hint="eastAsia"/>
      </w:rPr>
    </w:lvl>
    <w:lvl w:ilvl="8" w:tentative="0">
      <w:start w:val="1"/>
      <w:numFmt w:val="lowerRoman"/>
      <w:lvlText w:val="%9."/>
      <w:lvlJc w:val="right"/>
      <w:pPr>
        <w:tabs>
          <w:tab w:val="left" w:pos="3631"/>
        </w:tabs>
        <w:ind w:left="3444" w:hanging="528"/>
      </w:pPr>
      <w:rPr>
        <w:rFonts w:hint="eastAsia"/>
      </w:rPr>
    </w:lvl>
  </w:abstractNum>
  <w:abstractNum w:abstractNumId="8">
    <w:nsid w:val="48802D1C"/>
    <w:multiLevelType w:val="multilevel"/>
    <w:tmpl w:val="48802D1C"/>
    <w:lvl w:ilvl="0" w:tentative="0">
      <w:start w:val="1"/>
      <w:numFmt w:val="upperLetter"/>
      <w:lvlText w:val="%1"/>
      <w:lvlJc w:val="left"/>
      <w:pPr>
        <w:ind w:left="420" w:hanging="420"/>
      </w:pPr>
      <w:rPr>
        <w:rFonts w:hint="eastAsia"/>
      </w:rPr>
    </w:lvl>
    <w:lvl w:ilvl="1" w:tentative="0">
      <w:start w:val="1"/>
      <w:numFmt w:val="decimal"/>
      <w:pStyle w:val="80"/>
      <w:suff w:val="space"/>
      <w:lvlText w:val="图%1.%2"/>
      <w:lvlJc w:val="center"/>
      <w:pPr>
        <w:ind w:left="0" w:firstLine="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9">
    <w:nsid w:val="646260FA"/>
    <w:multiLevelType w:val="multilevel"/>
    <w:tmpl w:val="646260FA"/>
    <w:lvl w:ilvl="0" w:tentative="0">
      <w:start w:val="1"/>
      <w:numFmt w:val="decimal"/>
      <w:pStyle w:val="66"/>
      <w:suff w:val="nothing"/>
      <w:lvlText w:val="表%1　"/>
      <w:lvlJc w:val="left"/>
      <w:pPr>
        <w:ind w:left="0" w:firstLine="0"/>
      </w:pPr>
      <w:rPr>
        <w:rFonts w:hint="eastAsia" w:ascii="黑体" w:hAnsi="Times New Roman" w:eastAsia="黑体"/>
        <w:b w:val="0"/>
        <w:i w:val="0"/>
        <w:sz w:val="21"/>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0">
    <w:nsid w:val="657D3FBC"/>
    <w:multiLevelType w:val="multilevel"/>
    <w:tmpl w:val="657D3FBC"/>
    <w:lvl w:ilvl="0" w:tentative="0">
      <w:start w:val="1"/>
      <w:numFmt w:val="upperLetter"/>
      <w:pStyle w:val="65"/>
      <w:suff w:val="nothing"/>
      <w:lvlText w:val="附　录　%1"/>
      <w:lvlJc w:val="left"/>
      <w:pPr>
        <w:ind w:left="4410" w:firstLine="0"/>
      </w:pPr>
      <w:rPr>
        <w:rFonts w:hint="eastAsia" w:ascii="黑体" w:hAnsi="Times New Roman" w:eastAsia="黑体"/>
        <w:b w:val="0"/>
        <w:i w:val="0"/>
        <w:spacing w:val="0"/>
        <w:w w:val="100"/>
        <w:sz w:val="21"/>
      </w:rPr>
    </w:lvl>
    <w:lvl w:ilvl="1" w:tentative="0">
      <w:start w:val="1"/>
      <w:numFmt w:val="decimal"/>
      <w:pStyle w:val="79"/>
      <w:suff w:val="nothing"/>
      <w:lvlText w:val="%1.%2　"/>
      <w:lvlJc w:val="left"/>
      <w:pPr>
        <w:ind w:left="4410" w:firstLine="0"/>
      </w:pPr>
      <w:rPr>
        <w:rFonts w:hint="eastAsia" w:ascii="黑体" w:hAnsi="Times New Roman" w:eastAsia="黑体"/>
        <w:b w:val="0"/>
        <w:i w:val="0"/>
        <w:snapToGrid/>
        <w:spacing w:val="0"/>
        <w:w w:val="100"/>
        <w:kern w:val="21"/>
        <w:sz w:val="21"/>
      </w:rPr>
    </w:lvl>
    <w:lvl w:ilvl="2" w:tentative="0">
      <w:start w:val="1"/>
      <w:numFmt w:val="decimal"/>
      <w:suff w:val="nothing"/>
      <w:lvlText w:val="%1.%2.%3　"/>
      <w:lvlJc w:val="left"/>
      <w:pPr>
        <w:ind w:left="4410" w:firstLine="0"/>
      </w:pPr>
      <w:rPr>
        <w:rFonts w:hint="eastAsia" w:ascii="黑体" w:hAnsi="Times New Roman" w:eastAsia="黑体"/>
        <w:b w:val="0"/>
        <w:i w:val="0"/>
        <w:sz w:val="21"/>
      </w:rPr>
    </w:lvl>
    <w:lvl w:ilvl="3" w:tentative="0">
      <w:start w:val="1"/>
      <w:numFmt w:val="decimal"/>
      <w:suff w:val="nothing"/>
      <w:lvlText w:val="%1.%2.%3.%4　"/>
      <w:lvlJc w:val="left"/>
      <w:pPr>
        <w:ind w:left="4410" w:firstLine="0"/>
      </w:pPr>
      <w:rPr>
        <w:rFonts w:hint="eastAsia" w:ascii="黑体" w:hAnsi="Times New Roman" w:eastAsia="黑体"/>
        <w:b w:val="0"/>
        <w:i w:val="0"/>
        <w:sz w:val="21"/>
      </w:rPr>
    </w:lvl>
    <w:lvl w:ilvl="4" w:tentative="0">
      <w:start w:val="1"/>
      <w:numFmt w:val="decimal"/>
      <w:suff w:val="nothing"/>
      <w:lvlText w:val="%1.%2.%3.%4.%5　"/>
      <w:lvlJc w:val="left"/>
      <w:pPr>
        <w:ind w:left="4410" w:firstLine="0"/>
      </w:pPr>
      <w:rPr>
        <w:rFonts w:hint="eastAsia" w:ascii="黑体" w:hAnsi="Times New Roman" w:eastAsia="黑体"/>
        <w:b w:val="0"/>
        <w:i w:val="0"/>
        <w:sz w:val="21"/>
      </w:rPr>
    </w:lvl>
    <w:lvl w:ilvl="5" w:tentative="0">
      <w:start w:val="1"/>
      <w:numFmt w:val="decimal"/>
      <w:suff w:val="nothing"/>
      <w:lvlText w:val="%1.%2.%3.%4.%5.%6　"/>
      <w:lvlJc w:val="left"/>
      <w:pPr>
        <w:ind w:left="4410" w:firstLine="0"/>
      </w:pPr>
      <w:rPr>
        <w:rFonts w:hint="eastAsia" w:ascii="黑体" w:hAnsi="Times New Roman" w:eastAsia="黑体"/>
        <w:b w:val="0"/>
        <w:i w:val="0"/>
        <w:sz w:val="21"/>
      </w:rPr>
    </w:lvl>
    <w:lvl w:ilvl="6" w:tentative="0">
      <w:start w:val="1"/>
      <w:numFmt w:val="decimal"/>
      <w:suff w:val="nothing"/>
      <w:lvlText w:val="%1.%2.%3.%4.%5.%6.%7　"/>
      <w:lvlJc w:val="left"/>
      <w:pPr>
        <w:ind w:left="441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8804" w:hanging="1418"/>
      </w:pPr>
      <w:rPr>
        <w:rFonts w:hint="eastAsia"/>
      </w:rPr>
    </w:lvl>
    <w:lvl w:ilvl="8" w:tentative="0">
      <w:start w:val="1"/>
      <w:numFmt w:val="decimal"/>
      <w:lvlText w:val="%1.%2.%3.%4.%5.%6.%7.%8.%9"/>
      <w:lvlJc w:val="left"/>
      <w:pPr>
        <w:tabs>
          <w:tab w:val="left" w:pos="5102"/>
        </w:tabs>
        <w:ind w:left="9512" w:hanging="1700"/>
      </w:pPr>
      <w:rPr>
        <w:rFonts w:hint="eastAsia"/>
      </w:rPr>
    </w:lvl>
  </w:abstractNum>
  <w:abstractNum w:abstractNumId="11">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2">
    <w:nsid w:val="6DBF04F4"/>
    <w:multiLevelType w:val="multilevel"/>
    <w:tmpl w:val="6DBF04F4"/>
    <w:lvl w:ilvl="0" w:tentative="0">
      <w:start w:val="1"/>
      <w:numFmt w:val="none"/>
      <w:pStyle w:val="64"/>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13">
    <w:nsid w:val="7024745D"/>
    <w:multiLevelType w:val="multilevel"/>
    <w:tmpl w:val="7024745D"/>
    <w:lvl w:ilvl="0" w:tentative="0">
      <w:start w:val="1"/>
      <w:numFmt w:val="none"/>
      <w:suff w:val="nothing"/>
      <w:lvlText w:val="%1"/>
      <w:lvlJc w:val="left"/>
      <w:pPr>
        <w:ind w:left="0" w:firstLine="0"/>
      </w:pPr>
      <w:rPr>
        <w:rFonts w:hint="eastAsia"/>
      </w:rPr>
    </w:lvl>
    <w:lvl w:ilvl="1" w:tentative="0">
      <w:start w:val="1"/>
      <w:numFmt w:val="decimal"/>
      <w:pStyle w:val="72"/>
      <w:suff w:val="nothing"/>
      <w:lvlText w:val="%1%2　"/>
      <w:lvlJc w:val="left"/>
      <w:pPr>
        <w:ind w:left="0" w:firstLine="0"/>
      </w:pPr>
      <w:rPr>
        <w:rFonts w:hint="eastAsia" w:ascii="黑体" w:eastAsia="黑体"/>
        <w:b w:val="0"/>
        <w:i w:val="0"/>
        <w:sz w:val="21"/>
      </w:rPr>
    </w:lvl>
    <w:lvl w:ilvl="2" w:tentative="0">
      <w:start w:val="1"/>
      <w:numFmt w:val="decimal"/>
      <w:pStyle w:val="71"/>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ligatures w14:val="none"/>
        <w14:numForm w14:val="default"/>
        <w14:numSpacing w14:val="default"/>
      </w:rPr>
    </w:lvl>
    <w:lvl w:ilvl="3" w:tentative="0">
      <w:start w:val="1"/>
      <w:numFmt w:val="decimal"/>
      <w:pStyle w:val="75"/>
      <w:suff w:val="nothing"/>
      <w:lvlText w:val="%1%2.%3.%4　"/>
      <w:lvlJc w:val="left"/>
      <w:pPr>
        <w:ind w:left="709"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5"/>
  </w:num>
  <w:num w:numId="3">
    <w:abstractNumId w:val="3"/>
  </w:num>
  <w:num w:numId="4">
    <w:abstractNumId w:val="7"/>
  </w:num>
  <w:num w:numId="5">
    <w:abstractNumId w:val="12"/>
  </w:num>
  <w:num w:numId="6">
    <w:abstractNumId w:val="10"/>
  </w:num>
  <w:num w:numId="7">
    <w:abstractNumId w:val="9"/>
  </w:num>
  <w:num w:numId="8">
    <w:abstractNumId w:val="13"/>
  </w:num>
  <w:num w:numId="9">
    <w:abstractNumId w:val="8"/>
  </w:num>
  <w:num w:numId="10">
    <w:abstractNumId w:val="11"/>
  </w:num>
  <w:num w:numId="11">
    <w:abstractNumId w:val="6"/>
  </w:num>
  <w:num w:numId="12">
    <w:abstractNumId w:val="0"/>
  </w:num>
  <w:num w:numId="13">
    <w:abstractNumId w:val="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mirrorMargins w:val="1"/>
  <w:bordersDoNotSurroundHeader w:val="0"/>
  <w:bordersDoNotSurroundFooter w:val="0"/>
  <w:documentProtection w:edit="trackedChanges" w:enforcement="0"/>
  <w:defaultTabStop w:val="420"/>
  <w:evenAndOddHeaders w:val="1"/>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NkYmFmZDBmMTAxMmFkNTVhMzIxYzJlZWUzN2QwYTMifQ=="/>
    <w:docVar w:name="KSO_WPS_MARK_KEY" w:val="52548aae-2002-4139-9182-7b8689647ee4"/>
  </w:docVars>
  <w:rsids>
    <w:rsidRoot w:val="002C4A7A"/>
    <w:rsid w:val="00000C6F"/>
    <w:rsid w:val="00002D7A"/>
    <w:rsid w:val="00005817"/>
    <w:rsid w:val="00013861"/>
    <w:rsid w:val="000173A8"/>
    <w:rsid w:val="0001746B"/>
    <w:rsid w:val="00031630"/>
    <w:rsid w:val="0003782B"/>
    <w:rsid w:val="000505F8"/>
    <w:rsid w:val="000511AD"/>
    <w:rsid w:val="0005686E"/>
    <w:rsid w:val="00056E11"/>
    <w:rsid w:val="0006343E"/>
    <w:rsid w:val="00065304"/>
    <w:rsid w:val="00071463"/>
    <w:rsid w:val="00074CE1"/>
    <w:rsid w:val="00075ADA"/>
    <w:rsid w:val="00081105"/>
    <w:rsid w:val="000814DC"/>
    <w:rsid w:val="0009093B"/>
    <w:rsid w:val="0009104A"/>
    <w:rsid w:val="00092A3E"/>
    <w:rsid w:val="000944B1"/>
    <w:rsid w:val="000946C9"/>
    <w:rsid w:val="0009741B"/>
    <w:rsid w:val="000A05E2"/>
    <w:rsid w:val="000B1AD2"/>
    <w:rsid w:val="000B5222"/>
    <w:rsid w:val="000C1F9F"/>
    <w:rsid w:val="000D3EF6"/>
    <w:rsid w:val="000D5C84"/>
    <w:rsid w:val="000D72DF"/>
    <w:rsid w:val="000E084D"/>
    <w:rsid w:val="000E4AD1"/>
    <w:rsid w:val="000F2CB4"/>
    <w:rsid w:val="001103A2"/>
    <w:rsid w:val="00110D5E"/>
    <w:rsid w:val="00110EC6"/>
    <w:rsid w:val="00112AF7"/>
    <w:rsid w:val="00113409"/>
    <w:rsid w:val="001202C0"/>
    <w:rsid w:val="00120961"/>
    <w:rsid w:val="0012099B"/>
    <w:rsid w:val="00133094"/>
    <w:rsid w:val="0014534C"/>
    <w:rsid w:val="001462B7"/>
    <w:rsid w:val="00147278"/>
    <w:rsid w:val="00147564"/>
    <w:rsid w:val="00147A7E"/>
    <w:rsid w:val="00147F7E"/>
    <w:rsid w:val="001516E1"/>
    <w:rsid w:val="00154756"/>
    <w:rsid w:val="0015700F"/>
    <w:rsid w:val="0016095C"/>
    <w:rsid w:val="0016154E"/>
    <w:rsid w:val="001720FB"/>
    <w:rsid w:val="00173651"/>
    <w:rsid w:val="0017564C"/>
    <w:rsid w:val="00175A7C"/>
    <w:rsid w:val="001760F7"/>
    <w:rsid w:val="00176E61"/>
    <w:rsid w:val="00195C90"/>
    <w:rsid w:val="0019613E"/>
    <w:rsid w:val="001A1683"/>
    <w:rsid w:val="001A2848"/>
    <w:rsid w:val="001A2A72"/>
    <w:rsid w:val="001A2CD6"/>
    <w:rsid w:val="001B007D"/>
    <w:rsid w:val="001B0CF3"/>
    <w:rsid w:val="001B3AC1"/>
    <w:rsid w:val="001C0F5C"/>
    <w:rsid w:val="001C10DE"/>
    <w:rsid w:val="001C3415"/>
    <w:rsid w:val="001C4DED"/>
    <w:rsid w:val="001C7FB4"/>
    <w:rsid w:val="001D0910"/>
    <w:rsid w:val="001D2F2F"/>
    <w:rsid w:val="001D2F99"/>
    <w:rsid w:val="001D48D0"/>
    <w:rsid w:val="001D70CD"/>
    <w:rsid w:val="001E0871"/>
    <w:rsid w:val="001E3D11"/>
    <w:rsid w:val="001E4804"/>
    <w:rsid w:val="001E7BD6"/>
    <w:rsid w:val="001F47C8"/>
    <w:rsid w:val="00205EB4"/>
    <w:rsid w:val="00211953"/>
    <w:rsid w:val="002209AC"/>
    <w:rsid w:val="00220A99"/>
    <w:rsid w:val="00222A27"/>
    <w:rsid w:val="00222BA0"/>
    <w:rsid w:val="00223A5B"/>
    <w:rsid w:val="00223BD4"/>
    <w:rsid w:val="00230CF6"/>
    <w:rsid w:val="00230F2F"/>
    <w:rsid w:val="00242218"/>
    <w:rsid w:val="00247720"/>
    <w:rsid w:val="00251127"/>
    <w:rsid w:val="00251550"/>
    <w:rsid w:val="002517ED"/>
    <w:rsid w:val="00262444"/>
    <w:rsid w:val="002679FB"/>
    <w:rsid w:val="00276A28"/>
    <w:rsid w:val="002829F1"/>
    <w:rsid w:val="0028337F"/>
    <w:rsid w:val="00285357"/>
    <w:rsid w:val="00286986"/>
    <w:rsid w:val="00290F18"/>
    <w:rsid w:val="00293BD3"/>
    <w:rsid w:val="002950A9"/>
    <w:rsid w:val="00296094"/>
    <w:rsid w:val="002A2A23"/>
    <w:rsid w:val="002A4D51"/>
    <w:rsid w:val="002A5A01"/>
    <w:rsid w:val="002A5BCE"/>
    <w:rsid w:val="002B3E52"/>
    <w:rsid w:val="002B5800"/>
    <w:rsid w:val="002C253D"/>
    <w:rsid w:val="002C3A09"/>
    <w:rsid w:val="002C4A7A"/>
    <w:rsid w:val="002C57A0"/>
    <w:rsid w:val="002C639A"/>
    <w:rsid w:val="002D2351"/>
    <w:rsid w:val="002D38F3"/>
    <w:rsid w:val="002D49DC"/>
    <w:rsid w:val="002D54BC"/>
    <w:rsid w:val="002E5B5C"/>
    <w:rsid w:val="002F2052"/>
    <w:rsid w:val="002F2C23"/>
    <w:rsid w:val="002F3CCA"/>
    <w:rsid w:val="00301D6E"/>
    <w:rsid w:val="0030224A"/>
    <w:rsid w:val="00302D0D"/>
    <w:rsid w:val="00304C82"/>
    <w:rsid w:val="00311B67"/>
    <w:rsid w:val="0031322E"/>
    <w:rsid w:val="00317DB9"/>
    <w:rsid w:val="00327834"/>
    <w:rsid w:val="00330DE3"/>
    <w:rsid w:val="00334B35"/>
    <w:rsid w:val="00334DA4"/>
    <w:rsid w:val="00335ABA"/>
    <w:rsid w:val="00340030"/>
    <w:rsid w:val="00340CAC"/>
    <w:rsid w:val="003422C6"/>
    <w:rsid w:val="003438AA"/>
    <w:rsid w:val="00344E14"/>
    <w:rsid w:val="0034543B"/>
    <w:rsid w:val="00346C04"/>
    <w:rsid w:val="00354DAE"/>
    <w:rsid w:val="00355096"/>
    <w:rsid w:val="003568F1"/>
    <w:rsid w:val="00362FF0"/>
    <w:rsid w:val="003662BC"/>
    <w:rsid w:val="00366DB7"/>
    <w:rsid w:val="00367200"/>
    <w:rsid w:val="0037136A"/>
    <w:rsid w:val="003720DC"/>
    <w:rsid w:val="00375FCF"/>
    <w:rsid w:val="00387FF8"/>
    <w:rsid w:val="00393266"/>
    <w:rsid w:val="003A0DBB"/>
    <w:rsid w:val="003A238B"/>
    <w:rsid w:val="003B6878"/>
    <w:rsid w:val="003C0E5B"/>
    <w:rsid w:val="003C2C65"/>
    <w:rsid w:val="003C31B0"/>
    <w:rsid w:val="003D0151"/>
    <w:rsid w:val="003D13FA"/>
    <w:rsid w:val="003D1497"/>
    <w:rsid w:val="003E0580"/>
    <w:rsid w:val="003E28CE"/>
    <w:rsid w:val="003F714F"/>
    <w:rsid w:val="00407B9E"/>
    <w:rsid w:val="00417738"/>
    <w:rsid w:val="0042003E"/>
    <w:rsid w:val="004212D3"/>
    <w:rsid w:val="00422051"/>
    <w:rsid w:val="0042333A"/>
    <w:rsid w:val="00426BC8"/>
    <w:rsid w:val="00430DD2"/>
    <w:rsid w:val="004426FC"/>
    <w:rsid w:val="0044581A"/>
    <w:rsid w:val="00451407"/>
    <w:rsid w:val="00451847"/>
    <w:rsid w:val="00454031"/>
    <w:rsid w:val="0045451F"/>
    <w:rsid w:val="004574AE"/>
    <w:rsid w:val="004610BF"/>
    <w:rsid w:val="00471508"/>
    <w:rsid w:val="004926A0"/>
    <w:rsid w:val="00495E4E"/>
    <w:rsid w:val="004A0644"/>
    <w:rsid w:val="004A132F"/>
    <w:rsid w:val="004A6AB6"/>
    <w:rsid w:val="004B01AE"/>
    <w:rsid w:val="004B12F5"/>
    <w:rsid w:val="004B2D06"/>
    <w:rsid w:val="004B540D"/>
    <w:rsid w:val="004C2F70"/>
    <w:rsid w:val="004C5E71"/>
    <w:rsid w:val="004D09E4"/>
    <w:rsid w:val="004D424C"/>
    <w:rsid w:val="004D5B9A"/>
    <w:rsid w:val="004E01DA"/>
    <w:rsid w:val="004E3E2D"/>
    <w:rsid w:val="004E4186"/>
    <w:rsid w:val="004E4DE6"/>
    <w:rsid w:val="004F0C75"/>
    <w:rsid w:val="004F3DCC"/>
    <w:rsid w:val="00506EF4"/>
    <w:rsid w:val="005102EF"/>
    <w:rsid w:val="00510EBE"/>
    <w:rsid w:val="005122CD"/>
    <w:rsid w:val="00520237"/>
    <w:rsid w:val="00523728"/>
    <w:rsid w:val="00524CE2"/>
    <w:rsid w:val="0053086A"/>
    <w:rsid w:val="00534D92"/>
    <w:rsid w:val="00536AD1"/>
    <w:rsid w:val="00540818"/>
    <w:rsid w:val="00542910"/>
    <w:rsid w:val="00546657"/>
    <w:rsid w:val="00554600"/>
    <w:rsid w:val="0055478B"/>
    <w:rsid w:val="005606B4"/>
    <w:rsid w:val="00563D0F"/>
    <w:rsid w:val="005701EA"/>
    <w:rsid w:val="00575480"/>
    <w:rsid w:val="00577413"/>
    <w:rsid w:val="00591331"/>
    <w:rsid w:val="005928C2"/>
    <w:rsid w:val="00593F75"/>
    <w:rsid w:val="00596070"/>
    <w:rsid w:val="005A2C7F"/>
    <w:rsid w:val="005A4975"/>
    <w:rsid w:val="005A60AC"/>
    <w:rsid w:val="005B6D29"/>
    <w:rsid w:val="005C370B"/>
    <w:rsid w:val="005E015F"/>
    <w:rsid w:val="005E1CA7"/>
    <w:rsid w:val="005F2DCC"/>
    <w:rsid w:val="005F5CFF"/>
    <w:rsid w:val="00600F7C"/>
    <w:rsid w:val="006045C0"/>
    <w:rsid w:val="00610AF4"/>
    <w:rsid w:val="00613357"/>
    <w:rsid w:val="00616AFA"/>
    <w:rsid w:val="00621AD2"/>
    <w:rsid w:val="00626507"/>
    <w:rsid w:val="0062656D"/>
    <w:rsid w:val="00633884"/>
    <w:rsid w:val="00635FE2"/>
    <w:rsid w:val="00637850"/>
    <w:rsid w:val="00640CD9"/>
    <w:rsid w:val="00646C9D"/>
    <w:rsid w:val="006476F3"/>
    <w:rsid w:val="0065660B"/>
    <w:rsid w:val="00657B08"/>
    <w:rsid w:val="00662568"/>
    <w:rsid w:val="006738FB"/>
    <w:rsid w:val="00673C24"/>
    <w:rsid w:val="006763FD"/>
    <w:rsid w:val="006839CD"/>
    <w:rsid w:val="006867E4"/>
    <w:rsid w:val="00686AB4"/>
    <w:rsid w:val="00687FF9"/>
    <w:rsid w:val="00694817"/>
    <w:rsid w:val="00695FD6"/>
    <w:rsid w:val="006965B2"/>
    <w:rsid w:val="00697323"/>
    <w:rsid w:val="006A3A00"/>
    <w:rsid w:val="006A587D"/>
    <w:rsid w:val="006B00F8"/>
    <w:rsid w:val="006B0EDD"/>
    <w:rsid w:val="006B4E4A"/>
    <w:rsid w:val="006D1713"/>
    <w:rsid w:val="006D3593"/>
    <w:rsid w:val="006D35B9"/>
    <w:rsid w:val="006D384B"/>
    <w:rsid w:val="006D7F23"/>
    <w:rsid w:val="006E42DF"/>
    <w:rsid w:val="006E6B90"/>
    <w:rsid w:val="00705B6D"/>
    <w:rsid w:val="0070744F"/>
    <w:rsid w:val="007078CB"/>
    <w:rsid w:val="00711444"/>
    <w:rsid w:val="00716D47"/>
    <w:rsid w:val="00717C25"/>
    <w:rsid w:val="007200AE"/>
    <w:rsid w:val="00720335"/>
    <w:rsid w:val="00721D42"/>
    <w:rsid w:val="00723CE8"/>
    <w:rsid w:val="00724CC3"/>
    <w:rsid w:val="00732CFF"/>
    <w:rsid w:val="00732DD3"/>
    <w:rsid w:val="00733FAB"/>
    <w:rsid w:val="00734A6B"/>
    <w:rsid w:val="00736BCB"/>
    <w:rsid w:val="007373F7"/>
    <w:rsid w:val="007404DC"/>
    <w:rsid w:val="0074159C"/>
    <w:rsid w:val="0074173E"/>
    <w:rsid w:val="00741CBE"/>
    <w:rsid w:val="00743636"/>
    <w:rsid w:val="00751B91"/>
    <w:rsid w:val="00754A67"/>
    <w:rsid w:val="007569D0"/>
    <w:rsid w:val="007574B9"/>
    <w:rsid w:val="00762676"/>
    <w:rsid w:val="007667E9"/>
    <w:rsid w:val="007747B0"/>
    <w:rsid w:val="00775703"/>
    <w:rsid w:val="0077630C"/>
    <w:rsid w:val="00777F91"/>
    <w:rsid w:val="00784961"/>
    <w:rsid w:val="00785DA5"/>
    <w:rsid w:val="007906E7"/>
    <w:rsid w:val="00790CFC"/>
    <w:rsid w:val="00793C9B"/>
    <w:rsid w:val="00793D51"/>
    <w:rsid w:val="007A262B"/>
    <w:rsid w:val="007A325E"/>
    <w:rsid w:val="007A6C35"/>
    <w:rsid w:val="007B71FE"/>
    <w:rsid w:val="007B7740"/>
    <w:rsid w:val="007C5205"/>
    <w:rsid w:val="007C6FAF"/>
    <w:rsid w:val="007C72D7"/>
    <w:rsid w:val="007D209B"/>
    <w:rsid w:val="007D6D20"/>
    <w:rsid w:val="007D77B7"/>
    <w:rsid w:val="007E1F24"/>
    <w:rsid w:val="007E451F"/>
    <w:rsid w:val="007E4E0D"/>
    <w:rsid w:val="007F0AD4"/>
    <w:rsid w:val="007F0CE2"/>
    <w:rsid w:val="007F3D33"/>
    <w:rsid w:val="007F7E53"/>
    <w:rsid w:val="008029D3"/>
    <w:rsid w:val="008034D8"/>
    <w:rsid w:val="00803B33"/>
    <w:rsid w:val="0080474D"/>
    <w:rsid w:val="00804961"/>
    <w:rsid w:val="008062A9"/>
    <w:rsid w:val="0081659D"/>
    <w:rsid w:val="008204BD"/>
    <w:rsid w:val="00820C60"/>
    <w:rsid w:val="00822BEB"/>
    <w:rsid w:val="008237E6"/>
    <w:rsid w:val="00823FD0"/>
    <w:rsid w:val="008338C4"/>
    <w:rsid w:val="00842185"/>
    <w:rsid w:val="008423AD"/>
    <w:rsid w:val="00844C83"/>
    <w:rsid w:val="0084707B"/>
    <w:rsid w:val="0085002F"/>
    <w:rsid w:val="0085316A"/>
    <w:rsid w:val="008570AF"/>
    <w:rsid w:val="008601C4"/>
    <w:rsid w:val="0086279F"/>
    <w:rsid w:val="00864F8B"/>
    <w:rsid w:val="00866D54"/>
    <w:rsid w:val="00867DB6"/>
    <w:rsid w:val="0087171A"/>
    <w:rsid w:val="00871E5F"/>
    <w:rsid w:val="00874360"/>
    <w:rsid w:val="00874E16"/>
    <w:rsid w:val="008778D8"/>
    <w:rsid w:val="008823C4"/>
    <w:rsid w:val="00885586"/>
    <w:rsid w:val="00886D2A"/>
    <w:rsid w:val="00892FE8"/>
    <w:rsid w:val="008A525F"/>
    <w:rsid w:val="008A778B"/>
    <w:rsid w:val="008A7A04"/>
    <w:rsid w:val="008B2AA1"/>
    <w:rsid w:val="008B4744"/>
    <w:rsid w:val="008B4CD3"/>
    <w:rsid w:val="008C1198"/>
    <w:rsid w:val="008C23EA"/>
    <w:rsid w:val="008C6DE2"/>
    <w:rsid w:val="008C754A"/>
    <w:rsid w:val="008D32D9"/>
    <w:rsid w:val="008D50F3"/>
    <w:rsid w:val="008D6AC9"/>
    <w:rsid w:val="008E1D3D"/>
    <w:rsid w:val="008E73CE"/>
    <w:rsid w:val="008F7846"/>
    <w:rsid w:val="00900625"/>
    <w:rsid w:val="00900D6C"/>
    <w:rsid w:val="00902C03"/>
    <w:rsid w:val="009056B3"/>
    <w:rsid w:val="00905EC8"/>
    <w:rsid w:val="00906EE2"/>
    <w:rsid w:val="00912AA0"/>
    <w:rsid w:val="00914E1E"/>
    <w:rsid w:val="0092183B"/>
    <w:rsid w:val="00922FAC"/>
    <w:rsid w:val="009304BF"/>
    <w:rsid w:val="00932FD3"/>
    <w:rsid w:val="00941A12"/>
    <w:rsid w:val="00941B18"/>
    <w:rsid w:val="009449CC"/>
    <w:rsid w:val="00945592"/>
    <w:rsid w:val="00946FB5"/>
    <w:rsid w:val="00953360"/>
    <w:rsid w:val="009534B7"/>
    <w:rsid w:val="0095703E"/>
    <w:rsid w:val="0096181B"/>
    <w:rsid w:val="00961EC7"/>
    <w:rsid w:val="00967D14"/>
    <w:rsid w:val="00970C6E"/>
    <w:rsid w:val="00975728"/>
    <w:rsid w:val="00992159"/>
    <w:rsid w:val="0099488E"/>
    <w:rsid w:val="009956AD"/>
    <w:rsid w:val="00996CA4"/>
    <w:rsid w:val="009A18CB"/>
    <w:rsid w:val="009A67D7"/>
    <w:rsid w:val="009A7D1D"/>
    <w:rsid w:val="009B2735"/>
    <w:rsid w:val="009B5AFA"/>
    <w:rsid w:val="009B6DC7"/>
    <w:rsid w:val="009B7156"/>
    <w:rsid w:val="009C15D7"/>
    <w:rsid w:val="009C71D1"/>
    <w:rsid w:val="009D11D8"/>
    <w:rsid w:val="009D27A6"/>
    <w:rsid w:val="009D5852"/>
    <w:rsid w:val="009E229D"/>
    <w:rsid w:val="009E4501"/>
    <w:rsid w:val="009F022A"/>
    <w:rsid w:val="009F25EB"/>
    <w:rsid w:val="009F4144"/>
    <w:rsid w:val="009F655E"/>
    <w:rsid w:val="00A0144F"/>
    <w:rsid w:val="00A0565D"/>
    <w:rsid w:val="00A0685D"/>
    <w:rsid w:val="00A06B8F"/>
    <w:rsid w:val="00A129D5"/>
    <w:rsid w:val="00A25BFF"/>
    <w:rsid w:val="00A25D2D"/>
    <w:rsid w:val="00A26884"/>
    <w:rsid w:val="00A27283"/>
    <w:rsid w:val="00A2795C"/>
    <w:rsid w:val="00A31209"/>
    <w:rsid w:val="00A32E92"/>
    <w:rsid w:val="00A35842"/>
    <w:rsid w:val="00A35EAE"/>
    <w:rsid w:val="00A364B9"/>
    <w:rsid w:val="00A415A9"/>
    <w:rsid w:val="00A421AD"/>
    <w:rsid w:val="00A45C63"/>
    <w:rsid w:val="00A516F3"/>
    <w:rsid w:val="00A52074"/>
    <w:rsid w:val="00A53F28"/>
    <w:rsid w:val="00A561C6"/>
    <w:rsid w:val="00A62CE9"/>
    <w:rsid w:val="00A634E6"/>
    <w:rsid w:val="00A66329"/>
    <w:rsid w:val="00A7056C"/>
    <w:rsid w:val="00A713B5"/>
    <w:rsid w:val="00A72B72"/>
    <w:rsid w:val="00A73768"/>
    <w:rsid w:val="00A87B13"/>
    <w:rsid w:val="00A92BF9"/>
    <w:rsid w:val="00A96125"/>
    <w:rsid w:val="00AA0DC4"/>
    <w:rsid w:val="00AA377C"/>
    <w:rsid w:val="00AA425D"/>
    <w:rsid w:val="00AB2CAF"/>
    <w:rsid w:val="00AB64F6"/>
    <w:rsid w:val="00AD00A8"/>
    <w:rsid w:val="00AD428E"/>
    <w:rsid w:val="00AD74A7"/>
    <w:rsid w:val="00AE300F"/>
    <w:rsid w:val="00AE49BE"/>
    <w:rsid w:val="00AE55AC"/>
    <w:rsid w:val="00AE5F8A"/>
    <w:rsid w:val="00AF53DB"/>
    <w:rsid w:val="00AF7AFE"/>
    <w:rsid w:val="00B01237"/>
    <w:rsid w:val="00B02086"/>
    <w:rsid w:val="00B06017"/>
    <w:rsid w:val="00B10919"/>
    <w:rsid w:val="00B1286A"/>
    <w:rsid w:val="00B1318E"/>
    <w:rsid w:val="00B17747"/>
    <w:rsid w:val="00B21CF9"/>
    <w:rsid w:val="00B309C2"/>
    <w:rsid w:val="00B319F3"/>
    <w:rsid w:val="00B33754"/>
    <w:rsid w:val="00B36BE0"/>
    <w:rsid w:val="00B37391"/>
    <w:rsid w:val="00B42D11"/>
    <w:rsid w:val="00B42FF5"/>
    <w:rsid w:val="00B450A3"/>
    <w:rsid w:val="00B61230"/>
    <w:rsid w:val="00B61250"/>
    <w:rsid w:val="00B618E8"/>
    <w:rsid w:val="00B634DB"/>
    <w:rsid w:val="00B64FF7"/>
    <w:rsid w:val="00B66014"/>
    <w:rsid w:val="00B759FB"/>
    <w:rsid w:val="00B857D0"/>
    <w:rsid w:val="00B97265"/>
    <w:rsid w:val="00BA4CDD"/>
    <w:rsid w:val="00BA70BA"/>
    <w:rsid w:val="00BA7E3E"/>
    <w:rsid w:val="00BB0517"/>
    <w:rsid w:val="00BC34A7"/>
    <w:rsid w:val="00BC6585"/>
    <w:rsid w:val="00BC76F2"/>
    <w:rsid w:val="00BD3F71"/>
    <w:rsid w:val="00BD44B5"/>
    <w:rsid w:val="00BE3C8C"/>
    <w:rsid w:val="00BE537A"/>
    <w:rsid w:val="00BE6581"/>
    <w:rsid w:val="00BF4AEF"/>
    <w:rsid w:val="00C042FA"/>
    <w:rsid w:val="00C1161C"/>
    <w:rsid w:val="00C16AD7"/>
    <w:rsid w:val="00C20320"/>
    <w:rsid w:val="00C2384C"/>
    <w:rsid w:val="00C245B1"/>
    <w:rsid w:val="00C27A7C"/>
    <w:rsid w:val="00C30043"/>
    <w:rsid w:val="00C33755"/>
    <w:rsid w:val="00C34933"/>
    <w:rsid w:val="00C40C1D"/>
    <w:rsid w:val="00C40E79"/>
    <w:rsid w:val="00C42E3C"/>
    <w:rsid w:val="00C45C14"/>
    <w:rsid w:val="00C462F3"/>
    <w:rsid w:val="00C46ADD"/>
    <w:rsid w:val="00C477F2"/>
    <w:rsid w:val="00C47CFD"/>
    <w:rsid w:val="00C50974"/>
    <w:rsid w:val="00C51190"/>
    <w:rsid w:val="00C624AE"/>
    <w:rsid w:val="00C657CE"/>
    <w:rsid w:val="00C65B45"/>
    <w:rsid w:val="00C672AB"/>
    <w:rsid w:val="00C67BC0"/>
    <w:rsid w:val="00C7008A"/>
    <w:rsid w:val="00C72B93"/>
    <w:rsid w:val="00C7460A"/>
    <w:rsid w:val="00C774B2"/>
    <w:rsid w:val="00C83947"/>
    <w:rsid w:val="00C84D5C"/>
    <w:rsid w:val="00C91487"/>
    <w:rsid w:val="00C91A53"/>
    <w:rsid w:val="00C93A0F"/>
    <w:rsid w:val="00C93CF3"/>
    <w:rsid w:val="00CA2979"/>
    <w:rsid w:val="00CA3ECD"/>
    <w:rsid w:val="00CA5E90"/>
    <w:rsid w:val="00CB084A"/>
    <w:rsid w:val="00CB251A"/>
    <w:rsid w:val="00CB69C0"/>
    <w:rsid w:val="00CB6A26"/>
    <w:rsid w:val="00CC212B"/>
    <w:rsid w:val="00CD4EF5"/>
    <w:rsid w:val="00CE0575"/>
    <w:rsid w:val="00CE1209"/>
    <w:rsid w:val="00CE274E"/>
    <w:rsid w:val="00CE5A6D"/>
    <w:rsid w:val="00CF2291"/>
    <w:rsid w:val="00CF3594"/>
    <w:rsid w:val="00D069E0"/>
    <w:rsid w:val="00D137EA"/>
    <w:rsid w:val="00D169F2"/>
    <w:rsid w:val="00D20D83"/>
    <w:rsid w:val="00D2420F"/>
    <w:rsid w:val="00D256C0"/>
    <w:rsid w:val="00D30215"/>
    <w:rsid w:val="00D32A80"/>
    <w:rsid w:val="00D403C5"/>
    <w:rsid w:val="00D4585F"/>
    <w:rsid w:val="00D47CAE"/>
    <w:rsid w:val="00D50BA3"/>
    <w:rsid w:val="00D53255"/>
    <w:rsid w:val="00D6138F"/>
    <w:rsid w:val="00D624B9"/>
    <w:rsid w:val="00D6371B"/>
    <w:rsid w:val="00D642F5"/>
    <w:rsid w:val="00D7138D"/>
    <w:rsid w:val="00D7526C"/>
    <w:rsid w:val="00D77234"/>
    <w:rsid w:val="00D80501"/>
    <w:rsid w:val="00D81394"/>
    <w:rsid w:val="00D85470"/>
    <w:rsid w:val="00D86D72"/>
    <w:rsid w:val="00D914B1"/>
    <w:rsid w:val="00D91668"/>
    <w:rsid w:val="00D965AB"/>
    <w:rsid w:val="00D965BD"/>
    <w:rsid w:val="00DA7326"/>
    <w:rsid w:val="00DB08FB"/>
    <w:rsid w:val="00DB3696"/>
    <w:rsid w:val="00DC418F"/>
    <w:rsid w:val="00DD4EC4"/>
    <w:rsid w:val="00DD5468"/>
    <w:rsid w:val="00DD6F40"/>
    <w:rsid w:val="00DE0105"/>
    <w:rsid w:val="00DE201D"/>
    <w:rsid w:val="00DF1EBF"/>
    <w:rsid w:val="00DF29FB"/>
    <w:rsid w:val="00DF3B2F"/>
    <w:rsid w:val="00DF48F2"/>
    <w:rsid w:val="00DF4BB1"/>
    <w:rsid w:val="00E0028F"/>
    <w:rsid w:val="00E0383F"/>
    <w:rsid w:val="00E03A13"/>
    <w:rsid w:val="00E03C54"/>
    <w:rsid w:val="00E0525C"/>
    <w:rsid w:val="00E1059E"/>
    <w:rsid w:val="00E120F0"/>
    <w:rsid w:val="00E14F1D"/>
    <w:rsid w:val="00E20A7B"/>
    <w:rsid w:val="00E22829"/>
    <w:rsid w:val="00E3004D"/>
    <w:rsid w:val="00E31B6C"/>
    <w:rsid w:val="00E3509B"/>
    <w:rsid w:val="00E3537D"/>
    <w:rsid w:val="00E36C78"/>
    <w:rsid w:val="00E401C4"/>
    <w:rsid w:val="00E42F0F"/>
    <w:rsid w:val="00E45044"/>
    <w:rsid w:val="00E504BD"/>
    <w:rsid w:val="00E537D1"/>
    <w:rsid w:val="00E55655"/>
    <w:rsid w:val="00E621A8"/>
    <w:rsid w:val="00E72AA8"/>
    <w:rsid w:val="00E72BBB"/>
    <w:rsid w:val="00E81B66"/>
    <w:rsid w:val="00E8389F"/>
    <w:rsid w:val="00E84983"/>
    <w:rsid w:val="00E90FDD"/>
    <w:rsid w:val="00E91C59"/>
    <w:rsid w:val="00E96805"/>
    <w:rsid w:val="00EA115D"/>
    <w:rsid w:val="00EB1109"/>
    <w:rsid w:val="00EB2C29"/>
    <w:rsid w:val="00EB2DBC"/>
    <w:rsid w:val="00EB3505"/>
    <w:rsid w:val="00EB3E6D"/>
    <w:rsid w:val="00EB474D"/>
    <w:rsid w:val="00EB5D5A"/>
    <w:rsid w:val="00EB6A2C"/>
    <w:rsid w:val="00EC1078"/>
    <w:rsid w:val="00EC6E3E"/>
    <w:rsid w:val="00ED3E70"/>
    <w:rsid w:val="00ED4091"/>
    <w:rsid w:val="00ED5E11"/>
    <w:rsid w:val="00EE07BC"/>
    <w:rsid w:val="00EE2AFA"/>
    <w:rsid w:val="00EE4615"/>
    <w:rsid w:val="00EE4642"/>
    <w:rsid w:val="00EF0721"/>
    <w:rsid w:val="00EF20A1"/>
    <w:rsid w:val="00F12CCA"/>
    <w:rsid w:val="00F16A12"/>
    <w:rsid w:val="00F16BA1"/>
    <w:rsid w:val="00F200FB"/>
    <w:rsid w:val="00F233DA"/>
    <w:rsid w:val="00F26471"/>
    <w:rsid w:val="00F31218"/>
    <w:rsid w:val="00F435EB"/>
    <w:rsid w:val="00F535DE"/>
    <w:rsid w:val="00F55043"/>
    <w:rsid w:val="00F57198"/>
    <w:rsid w:val="00F63CB5"/>
    <w:rsid w:val="00F65D80"/>
    <w:rsid w:val="00F7039A"/>
    <w:rsid w:val="00F71261"/>
    <w:rsid w:val="00F74A9C"/>
    <w:rsid w:val="00F770EC"/>
    <w:rsid w:val="00F7776A"/>
    <w:rsid w:val="00F86029"/>
    <w:rsid w:val="00F87873"/>
    <w:rsid w:val="00F936A8"/>
    <w:rsid w:val="00F9473B"/>
    <w:rsid w:val="00F95647"/>
    <w:rsid w:val="00FA7729"/>
    <w:rsid w:val="00FB2A20"/>
    <w:rsid w:val="00FB2C86"/>
    <w:rsid w:val="00FB5098"/>
    <w:rsid w:val="00FB5530"/>
    <w:rsid w:val="00FB7EBF"/>
    <w:rsid w:val="00FC0562"/>
    <w:rsid w:val="00FC4373"/>
    <w:rsid w:val="00FC741B"/>
    <w:rsid w:val="00FC7C26"/>
    <w:rsid w:val="00FD0995"/>
    <w:rsid w:val="00FD4916"/>
    <w:rsid w:val="00FD6E30"/>
    <w:rsid w:val="00FE06BE"/>
    <w:rsid w:val="00FE26D3"/>
    <w:rsid w:val="00FE6BAA"/>
    <w:rsid w:val="00FE7CB2"/>
    <w:rsid w:val="00FF0516"/>
    <w:rsid w:val="00FF2E8A"/>
    <w:rsid w:val="00FF47E6"/>
    <w:rsid w:val="01B97F5E"/>
    <w:rsid w:val="021332F5"/>
    <w:rsid w:val="02670DCF"/>
    <w:rsid w:val="03F90AE6"/>
    <w:rsid w:val="043164D2"/>
    <w:rsid w:val="04DB69C7"/>
    <w:rsid w:val="056C2AC8"/>
    <w:rsid w:val="05EF21A1"/>
    <w:rsid w:val="061E4834"/>
    <w:rsid w:val="078D3A1F"/>
    <w:rsid w:val="08A07782"/>
    <w:rsid w:val="08B97B9F"/>
    <w:rsid w:val="08CE1480"/>
    <w:rsid w:val="08D94A4A"/>
    <w:rsid w:val="092E4D8E"/>
    <w:rsid w:val="09332050"/>
    <w:rsid w:val="0963712E"/>
    <w:rsid w:val="09652865"/>
    <w:rsid w:val="097D3D26"/>
    <w:rsid w:val="099F1469"/>
    <w:rsid w:val="0A9E5F43"/>
    <w:rsid w:val="0AA07F0D"/>
    <w:rsid w:val="0ADA2F69"/>
    <w:rsid w:val="0AE10BBF"/>
    <w:rsid w:val="0B4B7E79"/>
    <w:rsid w:val="0BBA5614"/>
    <w:rsid w:val="0BBD0185"/>
    <w:rsid w:val="0BF24710"/>
    <w:rsid w:val="0D011260"/>
    <w:rsid w:val="0DFE5677"/>
    <w:rsid w:val="0E2350DD"/>
    <w:rsid w:val="0E3C1CFB"/>
    <w:rsid w:val="103E7FAD"/>
    <w:rsid w:val="10A818CA"/>
    <w:rsid w:val="10F22B45"/>
    <w:rsid w:val="11E15093"/>
    <w:rsid w:val="11EA4A5D"/>
    <w:rsid w:val="123426ED"/>
    <w:rsid w:val="123E4294"/>
    <w:rsid w:val="131C20FB"/>
    <w:rsid w:val="1330335A"/>
    <w:rsid w:val="13A66595"/>
    <w:rsid w:val="14AB42D7"/>
    <w:rsid w:val="154C4F1A"/>
    <w:rsid w:val="159863B1"/>
    <w:rsid w:val="15EF58A5"/>
    <w:rsid w:val="1614131D"/>
    <w:rsid w:val="169A5B73"/>
    <w:rsid w:val="16B6476F"/>
    <w:rsid w:val="17710C68"/>
    <w:rsid w:val="17E72CD8"/>
    <w:rsid w:val="17ED577D"/>
    <w:rsid w:val="19045B0B"/>
    <w:rsid w:val="1986454E"/>
    <w:rsid w:val="19A60804"/>
    <w:rsid w:val="19D653D3"/>
    <w:rsid w:val="1A9A6E5A"/>
    <w:rsid w:val="1AB23A71"/>
    <w:rsid w:val="1AF62448"/>
    <w:rsid w:val="1C3861F8"/>
    <w:rsid w:val="1CC81B8E"/>
    <w:rsid w:val="1CE617B0"/>
    <w:rsid w:val="1D475092"/>
    <w:rsid w:val="1D6F5C49"/>
    <w:rsid w:val="1E901E0D"/>
    <w:rsid w:val="1EEE7042"/>
    <w:rsid w:val="1F3709E9"/>
    <w:rsid w:val="1F5511FE"/>
    <w:rsid w:val="1F791B4A"/>
    <w:rsid w:val="1FF922F7"/>
    <w:rsid w:val="203A6C9D"/>
    <w:rsid w:val="20D81D57"/>
    <w:rsid w:val="216E446A"/>
    <w:rsid w:val="217557F8"/>
    <w:rsid w:val="2288155B"/>
    <w:rsid w:val="22D86BB8"/>
    <w:rsid w:val="235D1A58"/>
    <w:rsid w:val="23893375"/>
    <w:rsid w:val="23D049E7"/>
    <w:rsid w:val="244871F4"/>
    <w:rsid w:val="249C4E4A"/>
    <w:rsid w:val="24F31A54"/>
    <w:rsid w:val="251B6DA1"/>
    <w:rsid w:val="252C759A"/>
    <w:rsid w:val="262E49A9"/>
    <w:rsid w:val="26AF5308"/>
    <w:rsid w:val="26E1123A"/>
    <w:rsid w:val="27E40FE2"/>
    <w:rsid w:val="291C47AB"/>
    <w:rsid w:val="294C32E2"/>
    <w:rsid w:val="299E589B"/>
    <w:rsid w:val="2A9E6EDA"/>
    <w:rsid w:val="2AC259E9"/>
    <w:rsid w:val="2ACA0963"/>
    <w:rsid w:val="2B5446D0"/>
    <w:rsid w:val="2B8C5C18"/>
    <w:rsid w:val="2BB62C95"/>
    <w:rsid w:val="2BDA2E28"/>
    <w:rsid w:val="2BF012E8"/>
    <w:rsid w:val="2C213B90"/>
    <w:rsid w:val="2C324A12"/>
    <w:rsid w:val="2CCD0296"/>
    <w:rsid w:val="2CD31625"/>
    <w:rsid w:val="2DAA05D8"/>
    <w:rsid w:val="2E1343CF"/>
    <w:rsid w:val="2E314855"/>
    <w:rsid w:val="2EAB0AAB"/>
    <w:rsid w:val="2EBF48BA"/>
    <w:rsid w:val="2F033AB7"/>
    <w:rsid w:val="2FC604F2"/>
    <w:rsid w:val="30512DC8"/>
    <w:rsid w:val="305807BF"/>
    <w:rsid w:val="307E4F74"/>
    <w:rsid w:val="30BA0FA5"/>
    <w:rsid w:val="313254A8"/>
    <w:rsid w:val="31C559E0"/>
    <w:rsid w:val="32697E49"/>
    <w:rsid w:val="33A651CD"/>
    <w:rsid w:val="33B26438"/>
    <w:rsid w:val="33B65F28"/>
    <w:rsid w:val="33C63C91"/>
    <w:rsid w:val="354C1C38"/>
    <w:rsid w:val="355276CD"/>
    <w:rsid w:val="36FD3E6E"/>
    <w:rsid w:val="37790091"/>
    <w:rsid w:val="37875802"/>
    <w:rsid w:val="37BF479C"/>
    <w:rsid w:val="37F4701F"/>
    <w:rsid w:val="38985B0C"/>
    <w:rsid w:val="397A5D84"/>
    <w:rsid w:val="3A38257A"/>
    <w:rsid w:val="3A773D1D"/>
    <w:rsid w:val="3ACB7B94"/>
    <w:rsid w:val="3B337E5E"/>
    <w:rsid w:val="3C6B62CA"/>
    <w:rsid w:val="3C922E32"/>
    <w:rsid w:val="3D600CB3"/>
    <w:rsid w:val="3D6F398A"/>
    <w:rsid w:val="3D9E1027"/>
    <w:rsid w:val="3FC11176"/>
    <w:rsid w:val="3FCB4391"/>
    <w:rsid w:val="407103DB"/>
    <w:rsid w:val="40FE0F0E"/>
    <w:rsid w:val="414C1F59"/>
    <w:rsid w:val="41DD26A1"/>
    <w:rsid w:val="425A2175"/>
    <w:rsid w:val="432D5ADB"/>
    <w:rsid w:val="4436451B"/>
    <w:rsid w:val="44DE708D"/>
    <w:rsid w:val="45390767"/>
    <w:rsid w:val="455B5C08"/>
    <w:rsid w:val="45E5444B"/>
    <w:rsid w:val="46024881"/>
    <w:rsid w:val="46432AD9"/>
    <w:rsid w:val="465B295F"/>
    <w:rsid w:val="468024FD"/>
    <w:rsid w:val="46E93AC7"/>
    <w:rsid w:val="480D7C89"/>
    <w:rsid w:val="48515DC8"/>
    <w:rsid w:val="48580F04"/>
    <w:rsid w:val="48624C3F"/>
    <w:rsid w:val="491679AE"/>
    <w:rsid w:val="499A72FA"/>
    <w:rsid w:val="4A7B4418"/>
    <w:rsid w:val="4AD93E52"/>
    <w:rsid w:val="4B0F7CA5"/>
    <w:rsid w:val="4BFB1A82"/>
    <w:rsid w:val="4CB22BAD"/>
    <w:rsid w:val="4D7C7F66"/>
    <w:rsid w:val="4DF92F05"/>
    <w:rsid w:val="4E497F1B"/>
    <w:rsid w:val="4E6C10DE"/>
    <w:rsid w:val="4E72372F"/>
    <w:rsid w:val="4E826BA1"/>
    <w:rsid w:val="4F2E04D0"/>
    <w:rsid w:val="4F4C1097"/>
    <w:rsid w:val="4FB262DF"/>
    <w:rsid w:val="4FDD1C15"/>
    <w:rsid w:val="502913D8"/>
    <w:rsid w:val="506A1CDA"/>
    <w:rsid w:val="513145D7"/>
    <w:rsid w:val="52013E99"/>
    <w:rsid w:val="524F6D63"/>
    <w:rsid w:val="52884ADC"/>
    <w:rsid w:val="52B256B5"/>
    <w:rsid w:val="52DB51E3"/>
    <w:rsid w:val="53C339D0"/>
    <w:rsid w:val="54815E32"/>
    <w:rsid w:val="548B440F"/>
    <w:rsid w:val="54EF45B2"/>
    <w:rsid w:val="54FF095A"/>
    <w:rsid w:val="561771E7"/>
    <w:rsid w:val="561C68FE"/>
    <w:rsid w:val="56933A4F"/>
    <w:rsid w:val="56EA4326"/>
    <w:rsid w:val="56FA05E0"/>
    <w:rsid w:val="57205312"/>
    <w:rsid w:val="575B4970"/>
    <w:rsid w:val="57B10631"/>
    <w:rsid w:val="57F624E8"/>
    <w:rsid w:val="58EB7B73"/>
    <w:rsid w:val="5AA42EE1"/>
    <w:rsid w:val="5AB807E4"/>
    <w:rsid w:val="5AD26CE3"/>
    <w:rsid w:val="5ADD04B0"/>
    <w:rsid w:val="5D140FE5"/>
    <w:rsid w:val="5D347D3A"/>
    <w:rsid w:val="5DBC59FD"/>
    <w:rsid w:val="5DE60909"/>
    <w:rsid w:val="5DF94BAA"/>
    <w:rsid w:val="5E127A94"/>
    <w:rsid w:val="5EC2103E"/>
    <w:rsid w:val="5ECE1AC8"/>
    <w:rsid w:val="5EDD2E56"/>
    <w:rsid w:val="5EF157B7"/>
    <w:rsid w:val="5F3651D2"/>
    <w:rsid w:val="5FB92779"/>
    <w:rsid w:val="61E0223F"/>
    <w:rsid w:val="62275A9D"/>
    <w:rsid w:val="62A274F4"/>
    <w:rsid w:val="63473BF7"/>
    <w:rsid w:val="64490C49"/>
    <w:rsid w:val="64AA6B34"/>
    <w:rsid w:val="66415276"/>
    <w:rsid w:val="66521231"/>
    <w:rsid w:val="665B795F"/>
    <w:rsid w:val="66772A46"/>
    <w:rsid w:val="66832C22"/>
    <w:rsid w:val="68014CBD"/>
    <w:rsid w:val="68706054"/>
    <w:rsid w:val="688A0DE6"/>
    <w:rsid w:val="68917B90"/>
    <w:rsid w:val="68C06926"/>
    <w:rsid w:val="68F02F9E"/>
    <w:rsid w:val="691D1DC4"/>
    <w:rsid w:val="69A2602B"/>
    <w:rsid w:val="6A4626EF"/>
    <w:rsid w:val="6A51129B"/>
    <w:rsid w:val="6A7C706D"/>
    <w:rsid w:val="6A883473"/>
    <w:rsid w:val="6ADF74D7"/>
    <w:rsid w:val="6BCA186A"/>
    <w:rsid w:val="6C0563E5"/>
    <w:rsid w:val="6C164AAF"/>
    <w:rsid w:val="6C6C0C3F"/>
    <w:rsid w:val="6C89702F"/>
    <w:rsid w:val="6C917B8F"/>
    <w:rsid w:val="6D154D66"/>
    <w:rsid w:val="6DAD049D"/>
    <w:rsid w:val="6EA31CA8"/>
    <w:rsid w:val="6ECD387A"/>
    <w:rsid w:val="6F2F03DB"/>
    <w:rsid w:val="6F3C2A7E"/>
    <w:rsid w:val="6FF139B8"/>
    <w:rsid w:val="70064409"/>
    <w:rsid w:val="72127AC6"/>
    <w:rsid w:val="72FA3D18"/>
    <w:rsid w:val="734D7008"/>
    <w:rsid w:val="748E5C99"/>
    <w:rsid w:val="74BF2C7A"/>
    <w:rsid w:val="75682D8E"/>
    <w:rsid w:val="75A31161"/>
    <w:rsid w:val="75D25B10"/>
    <w:rsid w:val="76442929"/>
    <w:rsid w:val="76C27A63"/>
    <w:rsid w:val="774F3B96"/>
    <w:rsid w:val="77EA17B7"/>
    <w:rsid w:val="78880AE2"/>
    <w:rsid w:val="795409C4"/>
    <w:rsid w:val="7AF60F49"/>
    <w:rsid w:val="7BB73BB8"/>
    <w:rsid w:val="7BB771FA"/>
    <w:rsid w:val="7BBE3424"/>
    <w:rsid w:val="7BC13CD3"/>
    <w:rsid w:val="7DA92E97"/>
    <w:rsid w:val="7E0328BC"/>
    <w:rsid w:val="7E17093E"/>
    <w:rsid w:val="7E611BB9"/>
    <w:rsid w:val="7EC16AFC"/>
    <w:rsid w:val="7EF23159"/>
    <w:rsid w:val="7FAC1FBF"/>
    <w:rsid w:val="7FF57E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37"/>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4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44"/>
    <w:semiHidden/>
    <w:unhideWhenUsed/>
    <w:qFormat/>
    <w:uiPriority w:val="9"/>
    <w:pPr>
      <w:keepNext/>
      <w:keepLines/>
      <w:spacing w:before="260" w:after="260" w:line="416" w:lineRule="auto"/>
      <w:outlineLvl w:val="2"/>
    </w:pPr>
    <w:rPr>
      <w:b/>
      <w:bCs/>
      <w:sz w:val="32"/>
      <w:szCs w:val="32"/>
    </w:rPr>
  </w:style>
  <w:style w:type="character" w:default="1" w:styleId="28">
    <w:name w:val="Default Paragraph Font"/>
    <w:semiHidden/>
    <w:unhideWhenUsed/>
    <w:qFormat/>
    <w:uiPriority w:val="1"/>
  </w:style>
  <w:style w:type="table" w:default="1" w:styleId="26">
    <w:name w:val="Normal Table"/>
    <w:semiHidden/>
    <w:unhideWhenUsed/>
    <w:qFormat/>
    <w:uiPriority w:val="99"/>
    <w:tblPr>
      <w:tblCellMar>
        <w:top w:w="0" w:type="dxa"/>
        <w:left w:w="108" w:type="dxa"/>
        <w:bottom w:w="0" w:type="dxa"/>
        <w:right w:w="108" w:type="dxa"/>
      </w:tblCellMar>
    </w:tblPr>
  </w:style>
  <w:style w:type="paragraph" w:styleId="5">
    <w:name w:val="toc 7"/>
    <w:basedOn w:val="1"/>
    <w:next w:val="1"/>
    <w:autoRedefine/>
    <w:unhideWhenUsed/>
    <w:qFormat/>
    <w:uiPriority w:val="39"/>
    <w:pPr>
      <w:ind w:left="2520" w:leftChars="1200"/>
    </w:pPr>
  </w:style>
  <w:style w:type="paragraph" w:styleId="6">
    <w:name w:val="Normal Indent"/>
    <w:basedOn w:val="1"/>
    <w:next w:val="7"/>
    <w:qFormat/>
    <w:uiPriority w:val="0"/>
    <w:pPr>
      <w:ind w:firstLine="420"/>
    </w:pPr>
  </w:style>
  <w:style w:type="paragraph" w:styleId="7">
    <w:name w:val="envelope return"/>
    <w:basedOn w:val="1"/>
    <w:qFormat/>
    <w:uiPriority w:val="0"/>
    <w:pPr>
      <w:snapToGrid w:val="0"/>
    </w:pPr>
    <w:rPr>
      <w:rFonts w:ascii="Arial" w:hAnsi="Arial" w:eastAsia="仿宋_GB2312"/>
      <w:sz w:val="32"/>
    </w:rPr>
  </w:style>
  <w:style w:type="paragraph" w:styleId="8">
    <w:name w:val="annotation text"/>
    <w:basedOn w:val="1"/>
    <w:link w:val="82"/>
    <w:semiHidden/>
    <w:unhideWhenUsed/>
    <w:qFormat/>
    <w:uiPriority w:val="99"/>
    <w:pPr>
      <w:jc w:val="left"/>
    </w:pPr>
  </w:style>
  <w:style w:type="paragraph" w:styleId="9">
    <w:name w:val="Body Text"/>
    <w:basedOn w:val="1"/>
    <w:qFormat/>
    <w:uiPriority w:val="0"/>
  </w:style>
  <w:style w:type="paragraph" w:styleId="10">
    <w:name w:val="toc 5"/>
    <w:basedOn w:val="1"/>
    <w:next w:val="1"/>
    <w:autoRedefine/>
    <w:unhideWhenUsed/>
    <w:qFormat/>
    <w:uiPriority w:val="39"/>
    <w:pPr>
      <w:ind w:left="1680" w:leftChars="800"/>
    </w:pPr>
  </w:style>
  <w:style w:type="paragraph" w:styleId="11">
    <w:name w:val="toc 3"/>
    <w:basedOn w:val="1"/>
    <w:next w:val="1"/>
    <w:unhideWhenUsed/>
    <w:qFormat/>
    <w:uiPriority w:val="39"/>
    <w:pPr>
      <w:ind w:left="840" w:leftChars="400"/>
    </w:pPr>
  </w:style>
  <w:style w:type="paragraph" w:styleId="12">
    <w:name w:val="toc 8"/>
    <w:basedOn w:val="1"/>
    <w:next w:val="1"/>
    <w:autoRedefine/>
    <w:unhideWhenUsed/>
    <w:qFormat/>
    <w:uiPriority w:val="39"/>
    <w:pPr>
      <w:ind w:left="2940" w:leftChars="1400"/>
    </w:pPr>
  </w:style>
  <w:style w:type="paragraph" w:styleId="13">
    <w:name w:val="Date"/>
    <w:basedOn w:val="1"/>
    <w:next w:val="1"/>
    <w:link w:val="52"/>
    <w:semiHidden/>
    <w:unhideWhenUsed/>
    <w:qFormat/>
    <w:uiPriority w:val="99"/>
    <w:pPr>
      <w:ind w:left="100" w:leftChars="2500"/>
    </w:pPr>
  </w:style>
  <w:style w:type="paragraph" w:styleId="14">
    <w:name w:val="Body Text Indent 2"/>
    <w:basedOn w:val="1"/>
    <w:link w:val="45"/>
    <w:qFormat/>
    <w:uiPriority w:val="0"/>
    <w:pPr>
      <w:spacing w:line="276" w:lineRule="auto"/>
      <w:ind w:firstLine="420" w:firstLineChars="200"/>
    </w:pPr>
    <w:rPr>
      <w:rFonts w:ascii="宋体" w:hAnsi="宋体" w:eastAsia="宋体" w:cs="Times New Roman"/>
      <w:snapToGrid w:val="0"/>
      <w:kern w:val="0"/>
      <w:szCs w:val="24"/>
    </w:rPr>
  </w:style>
  <w:style w:type="paragraph" w:styleId="15">
    <w:name w:val="Balloon Text"/>
    <w:basedOn w:val="1"/>
    <w:link w:val="33"/>
    <w:semiHidden/>
    <w:unhideWhenUsed/>
    <w:qFormat/>
    <w:uiPriority w:val="99"/>
    <w:rPr>
      <w:sz w:val="18"/>
      <w:szCs w:val="18"/>
    </w:rPr>
  </w:style>
  <w:style w:type="paragraph" w:styleId="16">
    <w:name w:val="footer"/>
    <w:basedOn w:val="1"/>
    <w:link w:val="32"/>
    <w:unhideWhenUsed/>
    <w:qFormat/>
    <w:uiPriority w:val="99"/>
    <w:pPr>
      <w:tabs>
        <w:tab w:val="center" w:pos="4153"/>
        <w:tab w:val="right" w:pos="8306"/>
      </w:tabs>
      <w:snapToGrid w:val="0"/>
      <w:jc w:val="left"/>
    </w:pPr>
    <w:rPr>
      <w:sz w:val="18"/>
      <w:szCs w:val="18"/>
    </w:rPr>
  </w:style>
  <w:style w:type="paragraph" w:styleId="17">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8">
    <w:name w:val="toc 1"/>
    <w:basedOn w:val="1"/>
    <w:next w:val="1"/>
    <w:unhideWhenUsed/>
    <w:qFormat/>
    <w:uiPriority w:val="39"/>
  </w:style>
  <w:style w:type="paragraph" w:styleId="19">
    <w:name w:val="toc 4"/>
    <w:basedOn w:val="1"/>
    <w:next w:val="1"/>
    <w:autoRedefine/>
    <w:unhideWhenUsed/>
    <w:qFormat/>
    <w:uiPriority w:val="39"/>
    <w:pPr>
      <w:ind w:left="1260" w:leftChars="600"/>
    </w:pPr>
  </w:style>
  <w:style w:type="paragraph" w:styleId="20">
    <w:name w:val="Subtitle"/>
    <w:basedOn w:val="1"/>
    <w:next w:val="1"/>
    <w:link w:val="41"/>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21">
    <w:name w:val="toc 6"/>
    <w:basedOn w:val="1"/>
    <w:next w:val="1"/>
    <w:autoRedefine/>
    <w:unhideWhenUsed/>
    <w:qFormat/>
    <w:uiPriority w:val="39"/>
    <w:pPr>
      <w:ind w:left="2100" w:leftChars="1000"/>
    </w:pPr>
  </w:style>
  <w:style w:type="paragraph" w:styleId="22">
    <w:name w:val="toc 2"/>
    <w:basedOn w:val="1"/>
    <w:next w:val="1"/>
    <w:unhideWhenUsed/>
    <w:qFormat/>
    <w:uiPriority w:val="39"/>
    <w:pPr>
      <w:tabs>
        <w:tab w:val="right" w:leader="dot" w:pos="9344"/>
      </w:tabs>
      <w:ind w:left="420" w:leftChars="200"/>
    </w:pPr>
  </w:style>
  <w:style w:type="paragraph" w:styleId="23">
    <w:name w:val="toc 9"/>
    <w:basedOn w:val="1"/>
    <w:next w:val="1"/>
    <w:autoRedefine/>
    <w:unhideWhenUsed/>
    <w:qFormat/>
    <w:uiPriority w:val="39"/>
    <w:pPr>
      <w:ind w:left="3360" w:leftChars="1600"/>
    </w:pPr>
  </w:style>
  <w:style w:type="paragraph" w:styleId="2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25">
    <w:name w:val="Title"/>
    <w:basedOn w:val="1"/>
    <w:next w:val="1"/>
    <w:link w:val="42"/>
    <w:qFormat/>
    <w:uiPriority w:val="10"/>
    <w:pPr>
      <w:spacing w:before="240" w:after="60"/>
      <w:jc w:val="center"/>
      <w:outlineLvl w:val="0"/>
    </w:pPr>
    <w:rPr>
      <w:rFonts w:eastAsia="宋体" w:asciiTheme="majorHAnsi" w:hAnsiTheme="majorHAnsi" w:cstheme="majorBidi"/>
      <w:b/>
      <w:bCs/>
      <w:sz w:val="32"/>
      <w:szCs w:val="32"/>
    </w:rPr>
  </w:style>
  <w:style w:type="table" w:styleId="27">
    <w:name w:val="Table Grid"/>
    <w:basedOn w:val="26"/>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9">
    <w:name w:val="Hyperlink"/>
    <w:basedOn w:val="28"/>
    <w:unhideWhenUsed/>
    <w:qFormat/>
    <w:uiPriority w:val="99"/>
    <w:rPr>
      <w:color w:val="0000FF" w:themeColor="hyperlink"/>
      <w:u w:val="single"/>
      <w14:textFill>
        <w14:solidFill>
          <w14:schemeClr w14:val="hlink"/>
        </w14:solidFill>
      </w14:textFill>
    </w:rPr>
  </w:style>
  <w:style w:type="character" w:styleId="30">
    <w:name w:val="annotation reference"/>
    <w:basedOn w:val="28"/>
    <w:semiHidden/>
    <w:unhideWhenUsed/>
    <w:qFormat/>
    <w:uiPriority w:val="99"/>
    <w:rPr>
      <w:sz w:val="21"/>
      <w:szCs w:val="21"/>
    </w:rPr>
  </w:style>
  <w:style w:type="character" w:customStyle="1" w:styleId="31">
    <w:name w:val="页眉 Char"/>
    <w:basedOn w:val="28"/>
    <w:link w:val="17"/>
    <w:qFormat/>
    <w:uiPriority w:val="99"/>
    <w:rPr>
      <w:sz w:val="18"/>
      <w:szCs w:val="18"/>
    </w:rPr>
  </w:style>
  <w:style w:type="character" w:customStyle="1" w:styleId="32">
    <w:name w:val="页脚 Char"/>
    <w:basedOn w:val="28"/>
    <w:link w:val="16"/>
    <w:qFormat/>
    <w:uiPriority w:val="99"/>
    <w:rPr>
      <w:sz w:val="18"/>
      <w:szCs w:val="18"/>
    </w:rPr>
  </w:style>
  <w:style w:type="character" w:customStyle="1" w:styleId="33">
    <w:name w:val="批注框文本 Char"/>
    <w:basedOn w:val="28"/>
    <w:link w:val="15"/>
    <w:semiHidden/>
    <w:qFormat/>
    <w:uiPriority w:val="99"/>
    <w:rPr>
      <w:sz w:val="18"/>
      <w:szCs w:val="18"/>
    </w:rPr>
  </w:style>
  <w:style w:type="paragraph" w:styleId="34">
    <w:name w:val="List Paragraph"/>
    <w:basedOn w:val="1"/>
    <w:qFormat/>
    <w:uiPriority w:val="34"/>
    <w:pPr>
      <w:ind w:firstLine="420" w:firstLineChars="200"/>
    </w:pPr>
  </w:style>
  <w:style w:type="paragraph" w:customStyle="1" w:styleId="3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36">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37">
    <w:name w:val="标题 1 Char"/>
    <w:basedOn w:val="28"/>
    <w:link w:val="2"/>
    <w:qFormat/>
    <w:uiPriority w:val="99"/>
    <w:rPr>
      <w:rFonts w:ascii="Calibri" w:hAnsi="Calibri" w:eastAsia="宋体" w:cs="Times New Roman"/>
      <w:b/>
      <w:bCs/>
      <w:kern w:val="44"/>
      <w:sz w:val="44"/>
      <w:szCs w:val="44"/>
    </w:rPr>
  </w:style>
  <w:style w:type="paragraph" w:styleId="3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39">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40">
    <w:name w:val="不明显强调1"/>
    <w:basedOn w:val="28"/>
    <w:qFormat/>
    <w:uiPriority w:val="19"/>
    <w:rPr>
      <w:i/>
      <w:iCs/>
      <w:color w:val="808080" w:themeColor="text1" w:themeTint="80"/>
      <w14:textFill>
        <w14:solidFill>
          <w14:schemeClr w14:val="tx1">
            <w14:lumMod w14:val="50000"/>
            <w14:lumOff w14:val="50000"/>
          </w14:schemeClr>
        </w14:solidFill>
      </w14:textFill>
    </w:rPr>
  </w:style>
  <w:style w:type="character" w:customStyle="1" w:styleId="41">
    <w:name w:val="副标题 Char"/>
    <w:basedOn w:val="28"/>
    <w:link w:val="20"/>
    <w:qFormat/>
    <w:uiPriority w:val="11"/>
    <w:rPr>
      <w:rFonts w:eastAsia="宋体" w:asciiTheme="majorHAnsi" w:hAnsiTheme="majorHAnsi" w:cstheme="majorBidi"/>
      <w:b/>
      <w:bCs/>
      <w:kern w:val="28"/>
      <w:sz w:val="32"/>
      <w:szCs w:val="32"/>
    </w:rPr>
  </w:style>
  <w:style w:type="character" w:customStyle="1" w:styleId="42">
    <w:name w:val="标题 Char"/>
    <w:basedOn w:val="28"/>
    <w:link w:val="25"/>
    <w:qFormat/>
    <w:uiPriority w:val="10"/>
    <w:rPr>
      <w:rFonts w:eastAsia="宋体" w:asciiTheme="majorHAnsi" w:hAnsiTheme="majorHAnsi" w:cstheme="majorBidi"/>
      <w:b/>
      <w:bCs/>
      <w:sz w:val="32"/>
      <w:szCs w:val="32"/>
    </w:rPr>
  </w:style>
  <w:style w:type="character" w:customStyle="1" w:styleId="43">
    <w:name w:val="标题 2 Char"/>
    <w:basedOn w:val="28"/>
    <w:link w:val="3"/>
    <w:qFormat/>
    <w:uiPriority w:val="9"/>
    <w:rPr>
      <w:rFonts w:asciiTheme="majorHAnsi" w:hAnsiTheme="majorHAnsi" w:eastAsiaTheme="majorEastAsia" w:cstheme="majorBidi"/>
      <w:b/>
      <w:bCs/>
      <w:sz w:val="32"/>
      <w:szCs w:val="32"/>
    </w:rPr>
  </w:style>
  <w:style w:type="character" w:customStyle="1" w:styleId="44">
    <w:name w:val="标题 3 Char"/>
    <w:basedOn w:val="28"/>
    <w:link w:val="4"/>
    <w:semiHidden/>
    <w:qFormat/>
    <w:uiPriority w:val="9"/>
    <w:rPr>
      <w:b/>
      <w:bCs/>
      <w:sz w:val="32"/>
      <w:szCs w:val="32"/>
    </w:rPr>
  </w:style>
  <w:style w:type="character" w:customStyle="1" w:styleId="45">
    <w:name w:val="正文文本缩进 2 Char"/>
    <w:basedOn w:val="28"/>
    <w:link w:val="14"/>
    <w:qFormat/>
    <w:uiPriority w:val="0"/>
    <w:rPr>
      <w:rFonts w:ascii="宋体" w:hAnsi="宋体" w:eastAsia="宋体" w:cs="Times New Roman"/>
      <w:snapToGrid w:val="0"/>
      <w:kern w:val="0"/>
      <w:szCs w:val="24"/>
    </w:rPr>
  </w:style>
  <w:style w:type="paragraph" w:customStyle="1" w:styleId="46">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47">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48">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4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50">
    <w:name w:val="high-light-bg4"/>
    <w:basedOn w:val="28"/>
    <w:qFormat/>
    <w:uiPriority w:val="0"/>
  </w:style>
  <w:style w:type="character" w:customStyle="1" w:styleId="51">
    <w:name w:val="ordinary-span-edit2"/>
    <w:basedOn w:val="28"/>
    <w:qFormat/>
    <w:uiPriority w:val="0"/>
  </w:style>
  <w:style w:type="character" w:customStyle="1" w:styleId="52">
    <w:name w:val="日期 Char"/>
    <w:basedOn w:val="28"/>
    <w:link w:val="13"/>
    <w:semiHidden/>
    <w:qFormat/>
    <w:uiPriority w:val="99"/>
  </w:style>
  <w:style w:type="paragraph" w:customStyle="1" w:styleId="53">
    <w:name w:val="正文1"/>
    <w:qFormat/>
    <w:uiPriority w:val="0"/>
    <w:pPr>
      <w:jc w:val="both"/>
    </w:pPr>
    <w:rPr>
      <w:rFonts w:ascii="Calibri" w:hAnsi="Calibri" w:eastAsia="宋体" w:cs="宋体"/>
      <w:kern w:val="2"/>
      <w:sz w:val="21"/>
      <w:szCs w:val="21"/>
      <w:lang w:val="en-US" w:eastAsia="zh-CN" w:bidi="ar-SA"/>
    </w:rPr>
  </w:style>
  <w:style w:type="character" w:customStyle="1" w:styleId="54">
    <w:name w:val="dash6b63_6587__char1"/>
    <w:qFormat/>
    <w:uiPriority w:val="0"/>
    <w:rPr>
      <w:rFonts w:hint="default" w:ascii="Times New Roman" w:hAnsi="Times New Roman" w:cs="Times New Roman"/>
      <w:sz w:val="20"/>
      <w:szCs w:val="20"/>
      <w:u w:val="none"/>
    </w:rPr>
  </w:style>
  <w:style w:type="paragraph" w:customStyle="1" w:styleId="55">
    <w:name w:val="标准文件_前言、引言标题"/>
    <w:next w:val="1"/>
    <w:qFormat/>
    <w:uiPriority w:val="0"/>
    <w:pPr>
      <w:numPr>
        <w:ilvl w:val="0"/>
        <w:numId w:val="1"/>
      </w:numPr>
      <w:shd w:val="clear" w:color="FFFFFF" w:fill="FFFFFF"/>
      <w:spacing w:before="480" w:after="150" w:afterLines="150"/>
      <w:jc w:val="center"/>
      <w:outlineLvl w:val="0"/>
    </w:pPr>
    <w:rPr>
      <w:rFonts w:ascii="黑体" w:hAnsi="Times New Roman" w:eastAsia="黑体" w:cs="Times New Roman"/>
      <w:sz w:val="32"/>
      <w:lang w:val="en-US" w:eastAsia="zh-CN" w:bidi="ar-SA"/>
    </w:rPr>
  </w:style>
  <w:style w:type="paragraph" w:customStyle="1" w:styleId="56">
    <w:name w:val="章标题"/>
    <w:next w:val="57"/>
    <w:qFormat/>
    <w:uiPriority w:val="0"/>
    <w:pPr>
      <w:numPr>
        <w:ilvl w:val="0"/>
        <w:numId w:val="2"/>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57">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58">
    <w:name w:val="一级条标题"/>
    <w:next w:val="57"/>
    <w:qFormat/>
    <w:uiPriority w:val="0"/>
    <w:pPr>
      <w:numPr>
        <w:ilvl w:val="1"/>
        <w:numId w:val="2"/>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59">
    <w:name w:val="二级无"/>
    <w:basedOn w:val="60"/>
    <w:qFormat/>
    <w:uiPriority w:val="0"/>
    <w:pPr>
      <w:spacing w:before="0" w:beforeLines="0" w:after="0" w:afterLines="0"/>
    </w:pPr>
    <w:rPr>
      <w:rFonts w:ascii="宋体" w:eastAsia="宋体"/>
    </w:rPr>
  </w:style>
  <w:style w:type="paragraph" w:customStyle="1" w:styleId="60">
    <w:name w:val="二级条标题"/>
    <w:basedOn w:val="58"/>
    <w:next w:val="57"/>
    <w:qFormat/>
    <w:uiPriority w:val="0"/>
    <w:pPr>
      <w:numPr>
        <w:ilvl w:val="2"/>
      </w:numPr>
      <w:spacing w:before="50" w:after="50"/>
      <w:outlineLvl w:val="3"/>
    </w:pPr>
  </w:style>
  <w:style w:type="paragraph" w:customStyle="1" w:styleId="61">
    <w:name w:val="字母编号列项（一级）"/>
    <w:qFormat/>
    <w:uiPriority w:val="0"/>
    <w:pPr>
      <w:numPr>
        <w:ilvl w:val="0"/>
        <w:numId w:val="3"/>
      </w:numPr>
      <w:jc w:val="both"/>
    </w:pPr>
    <w:rPr>
      <w:rFonts w:ascii="宋体" w:hAnsi="Times New Roman" w:eastAsia="宋体" w:cs="Times New Roman"/>
      <w:sz w:val="21"/>
      <w:lang w:val="en-US" w:eastAsia="zh-CN" w:bidi="ar-SA"/>
    </w:rPr>
  </w:style>
  <w:style w:type="paragraph" w:customStyle="1" w:styleId="62">
    <w:name w:val="列项●（二级）"/>
    <w:qFormat/>
    <w:uiPriority w:val="0"/>
    <w:pPr>
      <w:numPr>
        <w:ilvl w:val="1"/>
        <w:numId w:val="4"/>
      </w:numPr>
      <w:tabs>
        <w:tab w:val="left" w:pos="840"/>
      </w:tabs>
      <w:jc w:val="both"/>
    </w:pPr>
    <w:rPr>
      <w:rFonts w:ascii="宋体" w:hAnsi="Times New Roman" w:eastAsia="宋体" w:cs="Times New Roman"/>
      <w:sz w:val="21"/>
      <w:lang w:val="en-US" w:eastAsia="zh-CN" w:bidi="ar-SA"/>
    </w:rPr>
  </w:style>
  <w:style w:type="paragraph" w:customStyle="1" w:styleId="63">
    <w:name w:val="注：（正文）"/>
    <w:basedOn w:val="64"/>
    <w:next w:val="57"/>
    <w:qFormat/>
    <w:uiPriority w:val="0"/>
  </w:style>
  <w:style w:type="paragraph" w:customStyle="1" w:styleId="64">
    <w:name w:val="注："/>
    <w:next w:val="57"/>
    <w:qFormat/>
    <w:uiPriority w:val="0"/>
    <w:pPr>
      <w:widowControl w:val="0"/>
      <w:numPr>
        <w:ilvl w:val="0"/>
        <w:numId w:val="5"/>
      </w:numPr>
      <w:autoSpaceDE w:val="0"/>
      <w:autoSpaceDN w:val="0"/>
      <w:jc w:val="both"/>
    </w:pPr>
    <w:rPr>
      <w:rFonts w:ascii="宋体" w:hAnsi="Times New Roman" w:eastAsia="宋体" w:cs="Times New Roman"/>
      <w:sz w:val="18"/>
      <w:szCs w:val="18"/>
      <w:lang w:val="en-US" w:eastAsia="zh-CN" w:bidi="ar-SA"/>
    </w:rPr>
  </w:style>
  <w:style w:type="paragraph" w:customStyle="1" w:styleId="65">
    <w:name w:val="附录标识"/>
    <w:basedOn w:val="1"/>
    <w:next w:val="57"/>
    <w:qFormat/>
    <w:uiPriority w:val="0"/>
    <w:pPr>
      <w:keepNext/>
      <w:widowControl/>
      <w:numPr>
        <w:ilvl w:val="0"/>
        <w:numId w:val="6"/>
      </w:numPr>
      <w:shd w:val="clear" w:color="FFFFFF" w:fill="FFFFFF"/>
      <w:tabs>
        <w:tab w:val="left" w:pos="360"/>
        <w:tab w:val="left" w:pos="6405"/>
      </w:tabs>
      <w:spacing w:before="640" w:after="280"/>
      <w:jc w:val="center"/>
      <w:outlineLvl w:val="0"/>
    </w:pPr>
    <w:rPr>
      <w:rFonts w:ascii="黑体" w:eastAsia="黑体"/>
      <w:kern w:val="0"/>
      <w:szCs w:val="20"/>
    </w:rPr>
  </w:style>
  <w:style w:type="paragraph" w:customStyle="1" w:styleId="66">
    <w:name w:val="正文表标题"/>
    <w:next w:val="57"/>
    <w:qFormat/>
    <w:uiPriority w:val="0"/>
    <w:pPr>
      <w:numPr>
        <w:ilvl w:val="0"/>
        <w:numId w:val="7"/>
      </w:numPr>
      <w:tabs>
        <w:tab w:val="left" w:pos="360"/>
      </w:tabs>
      <w:spacing w:before="156" w:beforeLines="50" w:after="156" w:afterLines="50"/>
      <w:jc w:val="center"/>
    </w:pPr>
    <w:rPr>
      <w:rFonts w:ascii="黑体" w:hAnsi="Times New Roman" w:eastAsia="黑体" w:cs="Times New Roman"/>
      <w:sz w:val="21"/>
      <w:lang w:val="en-US" w:eastAsia="zh-CN" w:bidi="ar-SA"/>
    </w:rPr>
  </w:style>
  <w:style w:type="paragraph" w:customStyle="1" w:styleId="67">
    <w:name w:val="Other|1"/>
    <w:basedOn w:val="1"/>
    <w:qFormat/>
    <w:uiPriority w:val="0"/>
    <w:rPr>
      <w:rFonts w:ascii="宋体" w:hAnsi="宋体" w:cs="宋体"/>
      <w:sz w:val="19"/>
      <w:szCs w:val="19"/>
      <w:lang w:val="zh-CN" w:bidi="zh-CN"/>
    </w:rPr>
  </w:style>
  <w:style w:type="paragraph" w:customStyle="1" w:styleId="68">
    <w:name w:val="终结线"/>
    <w:basedOn w:val="1"/>
    <w:qFormat/>
    <w:uiPriority w:val="0"/>
    <w:pPr>
      <w:framePr w:hSpace="181" w:vSpace="181" w:wrap="around" w:vAnchor="text" w:hAnchor="margin" w:xAlign="center" w:y="285"/>
    </w:pPr>
  </w:style>
  <w:style w:type="paragraph" w:customStyle="1" w:styleId="69">
    <w:name w:val="标准文件_术语条一"/>
    <w:basedOn w:val="70"/>
    <w:next w:val="73"/>
    <w:qFormat/>
    <w:uiPriority w:val="0"/>
  </w:style>
  <w:style w:type="paragraph" w:customStyle="1" w:styleId="70">
    <w:name w:val="标准文件_一级无标题"/>
    <w:basedOn w:val="71"/>
    <w:qFormat/>
    <w:uiPriority w:val="0"/>
    <w:pPr>
      <w:spacing w:before="0" w:beforeLines="0" w:after="0" w:afterLines="0"/>
      <w:outlineLvl w:val="9"/>
    </w:pPr>
    <w:rPr>
      <w:rFonts w:ascii="宋体" w:eastAsia="宋体"/>
    </w:rPr>
  </w:style>
  <w:style w:type="paragraph" w:customStyle="1" w:styleId="71">
    <w:name w:val="标准文件_一级条标题"/>
    <w:basedOn w:val="72"/>
    <w:next w:val="73"/>
    <w:qFormat/>
    <w:uiPriority w:val="0"/>
    <w:pPr>
      <w:numPr>
        <w:ilvl w:val="2"/>
      </w:numPr>
      <w:spacing w:before="50" w:beforeLines="50" w:after="50" w:afterLines="50"/>
      <w:outlineLvl w:val="1"/>
    </w:pPr>
  </w:style>
  <w:style w:type="paragraph" w:customStyle="1" w:styleId="72">
    <w:name w:val="标准文件_章标题"/>
    <w:next w:val="73"/>
    <w:qFormat/>
    <w:uiPriority w:val="0"/>
    <w:pPr>
      <w:numPr>
        <w:ilvl w:val="1"/>
        <w:numId w:val="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73">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74">
    <w:name w:val="标准文件_二级无标题"/>
    <w:basedOn w:val="75"/>
    <w:qFormat/>
    <w:uiPriority w:val="0"/>
    <w:pPr>
      <w:spacing w:before="0" w:beforeLines="0" w:after="0" w:afterLines="0"/>
      <w:outlineLvl w:val="9"/>
    </w:pPr>
    <w:rPr>
      <w:rFonts w:ascii="宋体" w:eastAsia="宋体"/>
    </w:rPr>
  </w:style>
  <w:style w:type="paragraph" w:customStyle="1" w:styleId="75">
    <w:name w:val="标准文件_二级条标题"/>
    <w:next w:val="73"/>
    <w:qFormat/>
    <w:uiPriority w:val="0"/>
    <w:pPr>
      <w:widowControl w:val="0"/>
      <w:numPr>
        <w:ilvl w:val="3"/>
        <w:numId w:val="8"/>
      </w:numPr>
      <w:spacing w:before="50" w:beforeLines="50" w:after="50" w:afterLines="50"/>
      <w:ind w:left="0"/>
      <w:jc w:val="both"/>
      <w:outlineLvl w:val="2"/>
    </w:pPr>
    <w:rPr>
      <w:rFonts w:ascii="黑体" w:hAnsi="Times New Roman" w:eastAsia="黑体" w:cs="Times New Roman"/>
      <w:sz w:val="21"/>
      <w:lang w:val="en-US" w:eastAsia="zh-CN" w:bidi="ar-SA"/>
    </w:rPr>
  </w:style>
  <w:style w:type="paragraph" w:customStyle="1" w:styleId="76">
    <w:name w:val="标准文件_页脚奇数页"/>
    <w:qFormat/>
    <w:uiPriority w:val="0"/>
    <w:pPr>
      <w:ind w:right="227"/>
      <w:jc w:val="right"/>
    </w:pPr>
    <w:rPr>
      <w:rFonts w:ascii="宋体" w:hAnsi="Times New Roman" w:eastAsia="宋体" w:cs="Times New Roman"/>
      <w:sz w:val="18"/>
      <w:lang w:val="en-US" w:eastAsia="zh-CN" w:bidi="ar-SA"/>
    </w:rPr>
  </w:style>
  <w:style w:type="paragraph" w:customStyle="1" w:styleId="77">
    <w:name w:val="标准文件_页脚偶数页"/>
    <w:qFormat/>
    <w:uiPriority w:val="0"/>
    <w:pPr>
      <w:ind w:left="198"/>
    </w:pPr>
    <w:rPr>
      <w:rFonts w:ascii="宋体" w:hAnsi="Times New Roman" w:eastAsia="宋体" w:cs="Times New Roman"/>
      <w:sz w:val="18"/>
      <w:lang w:val="en-US" w:eastAsia="zh-CN" w:bidi="ar-SA"/>
    </w:rPr>
  </w:style>
  <w:style w:type="paragraph" w:customStyle="1" w:styleId="78">
    <w:name w:val="说明文字"/>
    <w:basedOn w:val="1"/>
    <w:qFormat/>
    <w:uiPriority w:val="0"/>
  </w:style>
  <w:style w:type="paragraph" w:customStyle="1" w:styleId="79">
    <w:name w:val="标准文件_附录一级条标题"/>
    <w:next w:val="73"/>
    <w:qFormat/>
    <w:uiPriority w:val="0"/>
    <w:pPr>
      <w:widowControl w:val="0"/>
      <w:numPr>
        <w:ilvl w:val="1"/>
        <w:numId w:val="6"/>
      </w:numPr>
      <w:spacing w:before="50" w:beforeLines="50" w:after="50" w:afterLines="50"/>
      <w:jc w:val="both"/>
      <w:outlineLvl w:val="2"/>
    </w:pPr>
    <w:rPr>
      <w:rFonts w:ascii="黑体" w:hAnsi="Times New Roman" w:eastAsia="黑体" w:cs="Times New Roman"/>
      <w:kern w:val="21"/>
      <w:sz w:val="21"/>
      <w:lang w:val="en-US" w:eastAsia="zh-CN" w:bidi="ar-SA"/>
    </w:rPr>
  </w:style>
  <w:style w:type="paragraph" w:customStyle="1" w:styleId="80">
    <w:name w:val="标准文件_附录图标题"/>
    <w:next w:val="73"/>
    <w:qFormat/>
    <w:uiPriority w:val="0"/>
    <w:pPr>
      <w:numPr>
        <w:ilvl w:val="1"/>
        <w:numId w:val="9"/>
      </w:numPr>
      <w:adjustRightInd w:val="0"/>
      <w:snapToGrid w:val="0"/>
      <w:spacing w:before="50" w:beforeLines="50" w:after="50" w:afterLines="50"/>
      <w:jc w:val="center"/>
    </w:pPr>
    <w:rPr>
      <w:rFonts w:ascii="黑体" w:hAnsi="Times New Roman" w:eastAsia="黑体" w:cs="Times New Roman"/>
      <w:sz w:val="21"/>
      <w:lang w:val="en-US" w:eastAsia="zh-CN" w:bidi="ar-SA"/>
    </w:rPr>
  </w:style>
  <w:style w:type="paragraph" w:customStyle="1" w:styleId="81">
    <w:name w:val="标准文件_参考文献标题"/>
    <w:basedOn w:val="1"/>
    <w:next w:val="1"/>
    <w:qFormat/>
    <w:uiPriority w:val="0"/>
    <w:pPr>
      <w:widowControl/>
      <w:shd w:val="clear" w:color="FFFFFF" w:fill="FFFFFF"/>
      <w:spacing w:before="580" w:after="50" w:afterLines="50"/>
      <w:jc w:val="center"/>
      <w:outlineLvl w:val="0"/>
    </w:pPr>
    <w:rPr>
      <w:rFonts w:ascii="黑体" w:eastAsia="黑体"/>
      <w:kern w:val="0"/>
    </w:rPr>
  </w:style>
  <w:style w:type="character" w:customStyle="1" w:styleId="82">
    <w:name w:val="批注文字 Char"/>
    <w:basedOn w:val="28"/>
    <w:link w:val="8"/>
    <w:semiHidden/>
    <w:qFormat/>
    <w:uiPriority w:val="99"/>
    <w:rPr>
      <w:rFonts w:asciiTheme="minorHAnsi" w:hAnsiTheme="minorHAnsi" w:eastAsiaTheme="minorEastAsia" w:cstheme="minorBidi"/>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4.xml"/><Relationship Id="rId21" Type="http://schemas.openxmlformats.org/officeDocument/2006/relationships/footer" Target="footer13.xml"/><Relationship Id="rId20" Type="http://schemas.openxmlformats.org/officeDocument/2006/relationships/footer" Target="footer12.xml"/><Relationship Id="rId2" Type="http://schemas.openxmlformats.org/officeDocument/2006/relationships/settings" Target="settings.xml"/><Relationship Id="rId19" Type="http://schemas.openxmlformats.org/officeDocument/2006/relationships/footer" Target="footer11.xml"/><Relationship Id="rId18" Type="http://schemas.openxmlformats.org/officeDocument/2006/relationships/header" Target="header6.xml"/><Relationship Id="rId17" Type="http://schemas.openxmlformats.org/officeDocument/2006/relationships/header" Target="header5.xml"/><Relationship Id="rId16" Type="http://schemas.openxmlformats.org/officeDocument/2006/relationships/footer" Target="footer10.xml"/><Relationship Id="rId15" Type="http://schemas.openxmlformats.org/officeDocument/2006/relationships/footer" Target="footer9.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header" Target="header3.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24</Pages>
  <Words>1682</Words>
  <Characters>2372</Characters>
  <Lines>120</Lines>
  <Paragraphs>33</Paragraphs>
  <TotalTime>44</TotalTime>
  <ScaleCrop>false</ScaleCrop>
  <LinksUpToDate>false</LinksUpToDate>
  <CharactersWithSpaces>2736</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2024-03-05T03:25:00Z</dcterms:created>
  <dc:creator>wy</dc:creator>
  <cp:lastModifiedBy>郑双杰</cp:lastModifiedBy>
  <cp:lastPrinted>2022-09-06T01:26:00Z</cp:lastPrinted>
  <dcterms:modified xsi:type="dcterms:W3CDTF">2025-05-07T01:48:42Z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06C90A8E583F4D0AA0CFCCAE082BA7A7_13</vt:lpwstr>
  </property>
  <property fmtid="{D5CDD505-2E9C-101B-9397-08002B2CF9AE}" pid="4" name="KSOTemplateDocerSaveRecord">
    <vt:lpwstr>eyJoZGlkIjoiZjMyZTVlNzQ2MmE3NjdlOGI0Njc5NTI4ZWNkOWI2YTciLCJ1c2VySWQiOiIxMjgyODA4MTAwIn0=</vt:lpwstr>
  </property>
</Properties>
</file>