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Times New Roman"/>
          <w:lang w:val="en-US" w:eastAsia="zh-C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29"/>
                              <w:shd w:val="clear"/>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29"/>
                        <w:shd w:val="clear"/>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03</w:t>
      </w:r>
      <w:r>
        <w:rPr>
          <w:rFonts w:ascii="黑体" w:hAnsi="黑体" w:eastAsia="黑体" w:cs="Times New Roman"/>
        </w:rPr>
        <w:t>.</w:t>
      </w:r>
      <w:r>
        <w:rPr>
          <w:rFonts w:hint="eastAsia" w:ascii="黑体" w:hAnsi="黑体" w:eastAsia="黑体" w:cs="Times New Roman"/>
          <w:lang w:val="en-US" w:eastAsia="zh-CN"/>
        </w:rPr>
        <w:t>140</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A 16</w:t>
      </w:r>
      <w:r>
        <w:rPr>
          <w:rFonts w:ascii="黑体" w:hAnsi="黑体" w:eastAsia="黑体" w:cs="Times New Roman"/>
        </w:rPr>
        <w:t xml:space="preserve">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bookmarkStart w:id="238" w:name="_GoBack"/>
      <w:bookmarkEnd w:id="238"/>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-1760220</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4.15pt;margin-top:176.25pt;height:24pt;width:151.75pt;mso-position-horizontal-relative:page;mso-position-vertical-relative:page;z-index:251663360;mso-width-relative:page;mso-height-relative:page;" filled="f" stroked="f" coordsize="21600,21600" o:gfxdata="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HNJ4cP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知识产权公共服务网点服务规范</w:t>
                            </w:r>
                          </w:p>
                          <w:p>
                            <w:pPr>
                              <w:jc w:val="center"/>
                              <w:rPr>
                                <w:rStyle w:val="44"/>
                                <w:rFonts w:hint="default" w:ascii="黑体" w:hAnsi="黑体" w:eastAsia="黑体"/>
                                <w:kern w:val="0"/>
                                <w:sz w:val="28"/>
                                <w:szCs w:val="21"/>
                                <w:lang w:val="en-US" w:eastAsia="zh-CN"/>
                              </w:rPr>
                            </w:pPr>
                            <w:r>
                              <w:rPr>
                                <w:rStyle w:val="44"/>
                                <w:rFonts w:hint="default" w:ascii="黑体" w:hAnsi="黑体" w:eastAsia="黑体"/>
                                <w:kern w:val="0"/>
                                <w:sz w:val="28"/>
                                <w:szCs w:val="21"/>
                                <w:lang w:val="en-US" w:eastAsia="zh-CN"/>
                              </w:rPr>
                              <w:t>Service specification for intellectual property public service network</w:t>
                            </w:r>
                          </w:p>
                          <w:p>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报批</w:t>
                            </w:r>
                            <w:r>
                              <w:rPr>
                                <w:rFonts w:hint="eastAsia" w:asciiTheme="minorEastAsia" w:hAnsiTheme="minorEastAsia"/>
                                <w:sz w:val="24"/>
                              </w:rPr>
                              <w:t>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知识产权公共服务网点服务规范</w:t>
                      </w:r>
                    </w:p>
                    <w:p>
                      <w:pPr>
                        <w:jc w:val="center"/>
                        <w:rPr>
                          <w:rStyle w:val="44"/>
                          <w:rFonts w:hint="default" w:ascii="黑体" w:hAnsi="黑体" w:eastAsia="黑体"/>
                          <w:kern w:val="0"/>
                          <w:sz w:val="28"/>
                          <w:szCs w:val="21"/>
                          <w:lang w:val="en-US" w:eastAsia="zh-CN"/>
                        </w:rPr>
                      </w:pPr>
                      <w:r>
                        <w:rPr>
                          <w:rStyle w:val="44"/>
                          <w:rFonts w:hint="default" w:ascii="黑体" w:hAnsi="黑体" w:eastAsia="黑体"/>
                          <w:kern w:val="0"/>
                          <w:sz w:val="28"/>
                          <w:szCs w:val="21"/>
                          <w:lang w:val="en-US" w:eastAsia="zh-CN"/>
                        </w:rPr>
                        <w:t>Service specification for intellectual property public service network</w:t>
                      </w:r>
                    </w:p>
                    <w:p>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报批</w:t>
                      </w:r>
                      <w:r>
                        <w:rPr>
                          <w:rFonts w:hint="eastAsia" w:asciiTheme="minorEastAsia" w:hAnsiTheme="minorEastAsia"/>
                          <w:sz w:val="24"/>
                        </w:rPr>
                        <w:t>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2"/>
      </w:pPr>
    </w:p>
    <w:p>
      <w:pPr>
        <w:pStyle w:val="2"/>
      </w:pPr>
    </w:p>
    <w:p>
      <w:pPr>
        <w:pStyle w:val="2"/>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2025</w:t>
      </w:r>
      <w:r>
        <w:rPr>
          <w:rFonts w:hint="eastAsia" w:ascii="黑体" w:hAnsi="黑体" w:eastAsia="黑体"/>
          <w:sz w:val="28"/>
          <w:szCs w:val="28"/>
        </w:rPr>
        <w:t xml:space="preserve">-XX-XX发布                                       </w:t>
      </w:r>
      <w:r>
        <w:rPr>
          <w:rFonts w:hint="eastAsia" w:ascii="黑体" w:hAnsi="黑体" w:eastAsia="黑体"/>
          <w:sz w:val="28"/>
          <w:szCs w:val="28"/>
          <w:lang w:val="en-US" w:eastAsia="zh-CN"/>
        </w:rPr>
        <w:t>2025</w:t>
      </w:r>
      <w:r>
        <w:rPr>
          <w:rFonts w:hint="eastAsia" w:ascii="黑体" w:hAnsi="黑体" w:eastAsia="黑体"/>
          <w:sz w:val="28"/>
          <w:szCs w:val="28"/>
        </w:rPr>
        <w:t>-XX-XX实施</w:t>
      </w:r>
    </w:p>
    <w:p>
      <w:pPr>
        <w:keepNext w:val="0"/>
        <w:keepLines w:val="0"/>
        <w:pageBreakBefore w:val="0"/>
        <w:widowControl w:val="0"/>
        <w:kinsoku/>
        <w:wordWrap/>
        <w:overflowPunct/>
        <w:topLinePunct w:val="0"/>
        <w:autoSpaceDE/>
        <w:autoSpaceDN/>
        <w:bidi w:val="0"/>
        <w:adjustRightInd/>
        <w:snapToGrid/>
        <w:spacing w:line="1247" w:lineRule="exact"/>
        <w:jc w:val="center"/>
        <w:textAlignment w:val="auto"/>
        <w:outlineLvl w:val="9"/>
        <w:rPr>
          <w:rFonts w:hint="eastAsia"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2"/>
      </w:pPr>
    </w:p>
    <w:p>
      <w:pPr>
        <w:rPr>
          <w:rFonts w:ascii="黑体" w:hAnsi="黑体" w:eastAsia="黑体"/>
          <w:sz w:val="28"/>
          <w:szCs w:val="28"/>
        </w:rPr>
        <w:sectPr>
          <w:headerReference r:id="rId3" w:type="default"/>
          <w:headerReference r:id="rId4" w:type="even"/>
          <w:pgSz w:w="11906" w:h="16838"/>
          <w:pgMar w:top="567" w:right="851" w:bottom="1134" w:left="1418" w:header="0" w:footer="0" w:gutter="0"/>
          <w:pgBorders>
            <w:top w:val="none" w:sz="0" w:space="0"/>
            <w:left w:val="none" w:sz="0" w:space="0"/>
            <w:bottom w:val="none" w:sz="0" w:space="0"/>
            <w:right w:val="none" w:sz="0" w:space="0"/>
          </w:pgBorders>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_Toc31311 </w:instrText>
      </w:r>
      <w:r>
        <w:rPr>
          <w:rFonts w:hint="eastAsia" w:ascii="宋体" w:hAnsi="宋体" w:eastAsia="宋体" w:cs="宋体"/>
          <w:szCs w:val="21"/>
        </w:rPr>
        <w:fldChar w:fldCharType="separate"/>
      </w:r>
      <w:r>
        <w:rPr>
          <w:rFonts w:hint="eastAsia" w:ascii="宋体" w:hAnsi="宋体" w:eastAsia="宋体" w:cs="宋体"/>
          <w:szCs w:val="21"/>
          <w:lang w:val="en-US" w:eastAsia="zh-CN"/>
        </w:rPr>
        <w:t>前言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_Toc31311 \h </w:instrText>
      </w:r>
      <w:r>
        <w:rPr>
          <w:rFonts w:hint="eastAsia" w:ascii="宋体" w:hAnsi="宋体" w:eastAsia="宋体" w:cs="宋体"/>
          <w:szCs w:val="21"/>
        </w:rPr>
        <w:fldChar w:fldCharType="separate"/>
      </w:r>
      <w:r>
        <w:rPr>
          <w:rFonts w:hint="eastAsia" w:ascii="宋体" w:hAnsi="宋体" w:eastAsia="宋体" w:cs="宋体"/>
          <w:szCs w:val="21"/>
        </w:rPr>
        <w:t>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_Toc12613 </w:instrText>
      </w:r>
      <w:r>
        <w:rPr>
          <w:rFonts w:hint="eastAsia" w:ascii="宋体" w:hAnsi="宋体" w:eastAsia="宋体" w:cs="宋体"/>
          <w:szCs w:val="21"/>
        </w:rPr>
        <w:fldChar w:fldCharType="separate"/>
      </w:r>
      <w:r>
        <w:rPr>
          <w:rFonts w:hint="eastAsia" w:ascii="宋体" w:hAnsi="宋体" w:eastAsia="宋体" w:cs="宋体"/>
          <w:szCs w:val="21"/>
        </w:rPr>
        <w:t xml:space="preserve">1 </w:t>
      </w:r>
      <w:r>
        <w:rPr>
          <w:rFonts w:hint="eastAsia" w:ascii="宋体" w:hAnsi="宋体" w:eastAsia="宋体" w:cs="宋体"/>
          <w:szCs w:val="21"/>
          <w:lang w:val="en-US" w:eastAsia="zh-CN"/>
        </w:rPr>
        <w:t xml:space="preserve"> </w:t>
      </w:r>
      <w:r>
        <w:rPr>
          <w:rFonts w:hint="eastAsia" w:ascii="宋体" w:hAnsi="宋体" w:eastAsia="宋体" w:cs="宋体"/>
          <w:szCs w:val="21"/>
        </w:rPr>
        <w:t>范围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_Toc12613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_Toc7856 </w:instrText>
      </w:r>
      <w:r>
        <w:rPr>
          <w:rFonts w:hint="eastAsia" w:ascii="宋体" w:hAnsi="宋体" w:eastAsia="宋体" w:cs="宋体"/>
          <w:szCs w:val="21"/>
        </w:rPr>
        <w:fldChar w:fldCharType="separate"/>
      </w:r>
      <w:r>
        <w:rPr>
          <w:rFonts w:hint="eastAsia" w:ascii="宋体" w:hAnsi="宋体" w:eastAsia="宋体" w:cs="宋体"/>
          <w:szCs w:val="21"/>
        </w:rPr>
        <w:t xml:space="preserve">2 </w:t>
      </w:r>
      <w:r>
        <w:rPr>
          <w:rFonts w:hint="eastAsia" w:ascii="宋体" w:hAnsi="宋体" w:eastAsia="宋体" w:cs="宋体"/>
          <w:szCs w:val="21"/>
          <w:lang w:val="en-US" w:eastAsia="zh-CN"/>
        </w:rPr>
        <w:t xml:space="preserve"> </w:t>
      </w:r>
      <w:r>
        <w:rPr>
          <w:rFonts w:hint="eastAsia" w:ascii="宋体" w:hAnsi="宋体" w:eastAsia="宋体" w:cs="宋体"/>
          <w:szCs w:val="21"/>
        </w:rPr>
        <w:t>规范性引用文件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_Toc7856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_Toc31095 </w:instrText>
      </w:r>
      <w:r>
        <w:rPr>
          <w:rFonts w:hint="eastAsia" w:ascii="宋体" w:hAnsi="宋体" w:eastAsia="宋体" w:cs="宋体"/>
          <w:szCs w:val="21"/>
        </w:rPr>
        <w:fldChar w:fldCharType="separate"/>
      </w:r>
      <w:r>
        <w:rPr>
          <w:rFonts w:hint="eastAsia" w:ascii="宋体" w:hAnsi="宋体" w:eastAsia="宋体" w:cs="宋体"/>
          <w:szCs w:val="21"/>
        </w:rPr>
        <w:t xml:space="preserve">3 </w:t>
      </w:r>
      <w:r>
        <w:rPr>
          <w:rFonts w:hint="eastAsia" w:ascii="宋体" w:hAnsi="宋体" w:eastAsia="宋体" w:cs="宋体"/>
          <w:szCs w:val="21"/>
          <w:lang w:val="en-US" w:eastAsia="zh-CN"/>
        </w:rPr>
        <w:t xml:space="preserve"> </w:t>
      </w:r>
      <w:r>
        <w:rPr>
          <w:rFonts w:hint="eastAsia" w:ascii="宋体" w:hAnsi="宋体" w:eastAsia="宋体" w:cs="宋体"/>
          <w:szCs w:val="21"/>
        </w:rPr>
        <w:t>术语和定义</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_Toc31095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_Toc12862 </w:instrText>
      </w:r>
      <w:r>
        <w:rPr>
          <w:rFonts w:hint="eastAsia" w:ascii="宋体" w:hAnsi="宋体" w:eastAsia="宋体" w:cs="宋体"/>
          <w:szCs w:val="21"/>
        </w:rPr>
        <w:fldChar w:fldCharType="separate"/>
      </w:r>
      <w:r>
        <w:rPr>
          <w:rFonts w:hint="eastAsia" w:ascii="宋体" w:hAnsi="宋体" w:eastAsia="宋体" w:cs="宋体"/>
          <w:szCs w:val="21"/>
        </w:rPr>
        <w:t xml:space="preserve">4 </w:t>
      </w:r>
      <w:r>
        <w:rPr>
          <w:rFonts w:hint="eastAsia" w:ascii="宋体" w:hAnsi="宋体" w:eastAsia="宋体" w:cs="宋体"/>
          <w:szCs w:val="21"/>
          <w:lang w:val="en-US" w:eastAsia="zh-CN"/>
        </w:rPr>
        <w:t xml:space="preserve"> 人员</w:t>
      </w:r>
      <w:r>
        <w:rPr>
          <w:rFonts w:hint="eastAsia" w:ascii="宋体" w:hAnsi="宋体" w:eastAsia="宋体" w:cs="宋体"/>
          <w:szCs w:val="21"/>
        </w:rPr>
        <w:t>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_Toc12862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_Toc22023 </w:instrText>
      </w:r>
      <w:r>
        <w:rPr>
          <w:rFonts w:hint="eastAsia" w:ascii="宋体" w:hAnsi="宋体" w:eastAsia="宋体" w:cs="宋体"/>
          <w:szCs w:val="21"/>
        </w:rPr>
        <w:fldChar w:fldCharType="separate"/>
      </w:r>
      <w:r>
        <w:rPr>
          <w:rFonts w:hint="eastAsia" w:ascii="宋体" w:hAnsi="宋体" w:eastAsia="宋体" w:cs="宋体"/>
          <w:szCs w:val="21"/>
        </w:rPr>
        <w:t xml:space="preserve">4.1 </w:t>
      </w:r>
      <w:r>
        <w:rPr>
          <w:rFonts w:hint="eastAsia" w:ascii="宋体" w:hAnsi="宋体" w:eastAsia="宋体" w:cs="宋体"/>
          <w:szCs w:val="21"/>
          <w:lang w:val="en-US" w:eastAsia="zh-CN"/>
        </w:rPr>
        <w:t xml:space="preserve"> </w:t>
      </w:r>
      <w:r>
        <w:rPr>
          <w:rFonts w:hint="eastAsia" w:ascii="宋体" w:hAnsi="宋体" w:eastAsia="宋体" w:cs="宋体"/>
          <w:szCs w:val="21"/>
        </w:rPr>
        <w:t>人员资质及能力</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_Toc22023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_Toc30866 </w:instrText>
      </w:r>
      <w:r>
        <w:rPr>
          <w:rFonts w:hint="eastAsia" w:ascii="宋体" w:hAnsi="宋体" w:eastAsia="宋体" w:cs="宋体"/>
          <w:szCs w:val="21"/>
        </w:rPr>
        <w:fldChar w:fldCharType="separate"/>
      </w:r>
      <w:r>
        <w:rPr>
          <w:rFonts w:hint="eastAsia" w:ascii="宋体" w:hAnsi="宋体" w:eastAsia="宋体" w:cs="宋体"/>
          <w:szCs w:val="21"/>
        </w:rPr>
        <w:t xml:space="preserve">4.2 </w:t>
      </w:r>
      <w:r>
        <w:rPr>
          <w:rFonts w:hint="eastAsia" w:ascii="宋体" w:hAnsi="宋体" w:eastAsia="宋体" w:cs="宋体"/>
          <w:szCs w:val="21"/>
          <w:lang w:val="en-US" w:eastAsia="zh-CN"/>
        </w:rPr>
        <w:t xml:space="preserve"> </w:t>
      </w:r>
      <w:r>
        <w:rPr>
          <w:rFonts w:hint="eastAsia" w:ascii="宋体" w:hAnsi="宋体" w:eastAsia="宋体" w:cs="宋体"/>
          <w:szCs w:val="21"/>
        </w:rPr>
        <w:t>业务窗口</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_Toc30866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_Toc1153 </w:instrText>
      </w:r>
      <w:r>
        <w:rPr>
          <w:rFonts w:hint="eastAsia" w:ascii="宋体" w:hAnsi="宋体" w:eastAsia="宋体" w:cs="宋体"/>
          <w:szCs w:val="21"/>
        </w:rPr>
        <w:fldChar w:fldCharType="separate"/>
      </w:r>
      <w:r>
        <w:rPr>
          <w:rFonts w:hint="eastAsia" w:ascii="宋体" w:hAnsi="宋体" w:eastAsia="宋体" w:cs="宋体"/>
          <w:szCs w:val="21"/>
        </w:rPr>
        <w:t xml:space="preserve">4.3 </w:t>
      </w:r>
      <w:r>
        <w:rPr>
          <w:rFonts w:hint="eastAsia" w:ascii="宋体" w:hAnsi="宋体" w:eastAsia="宋体" w:cs="宋体"/>
          <w:szCs w:val="21"/>
          <w:lang w:val="en-US" w:eastAsia="zh-CN"/>
        </w:rPr>
        <w:t xml:space="preserve"> </w:t>
      </w:r>
      <w:r>
        <w:rPr>
          <w:rFonts w:hint="eastAsia" w:ascii="宋体" w:hAnsi="宋体" w:eastAsia="宋体" w:cs="宋体"/>
          <w:szCs w:val="21"/>
        </w:rPr>
        <w:t>窗口人员</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_Toc1153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_Toc16585 </w:instrText>
      </w:r>
      <w:r>
        <w:rPr>
          <w:rFonts w:hint="eastAsia" w:ascii="宋体" w:hAnsi="宋体" w:eastAsia="宋体" w:cs="宋体"/>
          <w:szCs w:val="21"/>
        </w:rPr>
        <w:fldChar w:fldCharType="separate"/>
      </w:r>
      <w:r>
        <w:rPr>
          <w:rFonts w:hint="eastAsia" w:ascii="宋体" w:hAnsi="宋体" w:eastAsia="宋体" w:cs="宋体"/>
          <w:szCs w:val="21"/>
          <w:lang w:val="en-US" w:eastAsia="zh-CN"/>
        </w:rPr>
        <w:t>5 设施设备</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_Toc16585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_Toc2281 </w:instrText>
      </w:r>
      <w:r>
        <w:rPr>
          <w:rFonts w:hint="eastAsia" w:ascii="宋体" w:hAnsi="宋体" w:eastAsia="宋体" w:cs="宋体"/>
          <w:szCs w:val="21"/>
        </w:rPr>
        <w:fldChar w:fldCharType="separate"/>
      </w:r>
      <w:r>
        <w:rPr>
          <w:rFonts w:hint="eastAsia" w:ascii="宋体" w:hAnsi="宋体" w:eastAsia="宋体" w:cs="宋体"/>
          <w:szCs w:val="21"/>
        </w:rPr>
        <w:t>5.1</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基础设施</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_Toc2281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_Toc2787 </w:instrText>
      </w:r>
      <w:r>
        <w:rPr>
          <w:rFonts w:hint="eastAsia" w:ascii="宋体" w:hAnsi="宋体" w:eastAsia="宋体" w:cs="宋体"/>
          <w:szCs w:val="21"/>
        </w:rPr>
        <w:fldChar w:fldCharType="separate"/>
      </w:r>
      <w:r>
        <w:rPr>
          <w:rFonts w:hint="eastAsia" w:ascii="宋体" w:hAnsi="宋体" w:eastAsia="宋体" w:cs="宋体"/>
          <w:szCs w:val="21"/>
        </w:rPr>
        <w:t xml:space="preserve">5.2 </w:t>
      </w:r>
      <w:r>
        <w:rPr>
          <w:rFonts w:hint="eastAsia" w:ascii="宋体" w:hAnsi="宋体" w:eastAsia="宋体" w:cs="宋体"/>
          <w:szCs w:val="21"/>
          <w:lang w:val="en-US" w:eastAsia="zh-CN"/>
        </w:rPr>
        <w:t xml:space="preserve"> </w:t>
      </w:r>
      <w:r>
        <w:rPr>
          <w:rFonts w:hint="eastAsia" w:ascii="宋体" w:hAnsi="宋体" w:eastAsia="宋体" w:cs="宋体"/>
          <w:szCs w:val="21"/>
        </w:rPr>
        <w:t>信息资源工具</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_Toc2787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_Toc16021 </w:instrText>
      </w:r>
      <w:r>
        <w:rPr>
          <w:rFonts w:hint="eastAsia" w:ascii="宋体" w:hAnsi="宋体" w:eastAsia="宋体" w:cs="宋体"/>
          <w:szCs w:val="21"/>
        </w:rPr>
        <w:fldChar w:fldCharType="separate"/>
      </w:r>
      <w:r>
        <w:rPr>
          <w:rFonts w:hint="eastAsia" w:ascii="宋体" w:hAnsi="宋体" w:eastAsia="宋体" w:cs="宋体"/>
          <w:szCs w:val="21"/>
        </w:rPr>
        <w:t>6 服务内容</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_Toc16021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_Toc23692 </w:instrText>
      </w:r>
      <w:r>
        <w:rPr>
          <w:rFonts w:hint="eastAsia" w:ascii="宋体" w:hAnsi="宋体" w:eastAsia="宋体" w:cs="宋体"/>
          <w:szCs w:val="21"/>
        </w:rPr>
        <w:fldChar w:fldCharType="separate"/>
      </w:r>
      <w:r>
        <w:rPr>
          <w:rFonts w:hint="eastAsia" w:ascii="宋体" w:hAnsi="宋体" w:eastAsia="宋体" w:cs="宋体"/>
          <w:szCs w:val="21"/>
        </w:rPr>
        <w:t xml:space="preserve">6.1 </w:t>
      </w:r>
      <w:r>
        <w:rPr>
          <w:rFonts w:hint="eastAsia" w:ascii="宋体" w:hAnsi="宋体" w:eastAsia="宋体" w:cs="宋体"/>
          <w:szCs w:val="21"/>
          <w:lang w:val="en-US" w:eastAsia="zh-CN"/>
        </w:rPr>
        <w:t xml:space="preserve"> </w:t>
      </w:r>
      <w:r>
        <w:rPr>
          <w:rFonts w:hint="eastAsia" w:ascii="宋体" w:hAnsi="宋体" w:eastAsia="宋体" w:cs="宋体"/>
          <w:szCs w:val="21"/>
        </w:rPr>
        <w:t>服务事项</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_Toc23692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_Toc14392 </w:instrText>
      </w:r>
      <w:r>
        <w:rPr>
          <w:rFonts w:hint="eastAsia" w:ascii="宋体" w:hAnsi="宋体" w:eastAsia="宋体" w:cs="宋体"/>
          <w:szCs w:val="21"/>
        </w:rPr>
        <w:fldChar w:fldCharType="separate"/>
      </w:r>
      <w:r>
        <w:rPr>
          <w:rFonts w:hint="eastAsia" w:ascii="宋体" w:hAnsi="宋体" w:eastAsia="宋体" w:cs="宋体"/>
          <w:szCs w:val="21"/>
        </w:rPr>
        <w:t xml:space="preserve">6.2 </w:t>
      </w:r>
      <w:r>
        <w:rPr>
          <w:rFonts w:hint="eastAsia" w:ascii="宋体" w:hAnsi="宋体" w:eastAsia="宋体" w:cs="宋体"/>
          <w:szCs w:val="21"/>
          <w:lang w:val="en-US" w:eastAsia="zh-CN"/>
        </w:rPr>
        <w:t xml:space="preserve"> </w:t>
      </w:r>
      <w:r>
        <w:rPr>
          <w:rFonts w:hint="eastAsia" w:ascii="宋体" w:hAnsi="宋体" w:eastAsia="宋体" w:cs="宋体"/>
          <w:szCs w:val="21"/>
        </w:rPr>
        <w:t>服务能力</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_Toc14392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_Toc11130 </w:instrText>
      </w:r>
      <w:r>
        <w:rPr>
          <w:rFonts w:hint="eastAsia" w:ascii="宋体" w:hAnsi="宋体" w:eastAsia="宋体" w:cs="宋体"/>
          <w:szCs w:val="21"/>
        </w:rPr>
        <w:fldChar w:fldCharType="separate"/>
      </w:r>
      <w:r>
        <w:rPr>
          <w:rFonts w:hint="eastAsia" w:ascii="宋体" w:hAnsi="宋体" w:eastAsia="宋体" w:cs="宋体"/>
          <w:szCs w:val="21"/>
        </w:rPr>
        <w:t xml:space="preserve">6.3 </w:t>
      </w:r>
      <w:r>
        <w:rPr>
          <w:rFonts w:hint="eastAsia" w:ascii="宋体" w:hAnsi="宋体" w:eastAsia="宋体" w:cs="宋体"/>
          <w:szCs w:val="21"/>
          <w:lang w:val="en-US" w:eastAsia="zh-CN"/>
        </w:rPr>
        <w:t xml:space="preserve"> </w:t>
      </w:r>
      <w:r>
        <w:rPr>
          <w:rFonts w:hint="eastAsia" w:ascii="宋体" w:hAnsi="宋体" w:eastAsia="宋体" w:cs="宋体"/>
          <w:szCs w:val="21"/>
        </w:rPr>
        <w:t>服务清单</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_Toc11130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_Toc28117 </w:instrText>
      </w:r>
      <w:r>
        <w:rPr>
          <w:rFonts w:hint="eastAsia" w:ascii="宋体" w:hAnsi="宋体" w:eastAsia="宋体" w:cs="宋体"/>
          <w:szCs w:val="21"/>
        </w:rPr>
        <w:fldChar w:fldCharType="separate"/>
      </w:r>
      <w:r>
        <w:rPr>
          <w:rFonts w:hint="eastAsia" w:ascii="宋体" w:hAnsi="宋体" w:eastAsia="宋体" w:cs="宋体"/>
          <w:szCs w:val="21"/>
        </w:rPr>
        <w:t xml:space="preserve">7 </w:t>
      </w:r>
      <w:r>
        <w:rPr>
          <w:rFonts w:hint="eastAsia" w:ascii="宋体" w:hAnsi="宋体" w:eastAsia="宋体" w:cs="宋体"/>
          <w:szCs w:val="21"/>
          <w:lang w:val="en-US" w:eastAsia="zh-CN"/>
        </w:rPr>
        <w:t xml:space="preserve"> </w:t>
      </w:r>
      <w:r>
        <w:rPr>
          <w:rFonts w:hint="eastAsia" w:ascii="宋体" w:hAnsi="宋体" w:eastAsia="宋体" w:cs="宋体"/>
          <w:szCs w:val="21"/>
        </w:rPr>
        <w:t>服务流程</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_Toc28117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_Toc1156 </w:instrText>
      </w:r>
      <w:r>
        <w:rPr>
          <w:rFonts w:hint="eastAsia" w:ascii="宋体" w:hAnsi="宋体" w:eastAsia="宋体" w:cs="宋体"/>
          <w:szCs w:val="21"/>
        </w:rPr>
        <w:fldChar w:fldCharType="separate"/>
      </w:r>
      <w:r>
        <w:rPr>
          <w:rFonts w:hint="eastAsia" w:ascii="宋体" w:hAnsi="宋体" w:eastAsia="宋体" w:cs="宋体"/>
          <w:szCs w:val="21"/>
        </w:rPr>
        <w:t xml:space="preserve">7.1 </w:t>
      </w:r>
      <w:r>
        <w:rPr>
          <w:rFonts w:hint="eastAsia" w:ascii="宋体" w:hAnsi="宋体" w:eastAsia="宋体" w:cs="宋体"/>
          <w:szCs w:val="21"/>
          <w:lang w:val="en-US" w:eastAsia="zh-CN"/>
        </w:rPr>
        <w:t xml:space="preserve"> </w:t>
      </w:r>
      <w:r>
        <w:rPr>
          <w:rFonts w:hint="eastAsia" w:ascii="宋体" w:hAnsi="宋体" w:eastAsia="宋体" w:cs="宋体"/>
          <w:szCs w:val="21"/>
        </w:rPr>
        <w:t>业务咨询</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_Toc1156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_Toc4709 </w:instrText>
      </w:r>
      <w:r>
        <w:rPr>
          <w:rFonts w:hint="eastAsia" w:ascii="宋体" w:hAnsi="宋体" w:eastAsia="宋体" w:cs="宋体"/>
          <w:szCs w:val="21"/>
        </w:rPr>
        <w:fldChar w:fldCharType="separate"/>
      </w:r>
      <w:r>
        <w:rPr>
          <w:rFonts w:hint="eastAsia" w:ascii="宋体" w:hAnsi="宋体" w:eastAsia="宋体" w:cs="宋体"/>
          <w:szCs w:val="21"/>
        </w:rPr>
        <w:t xml:space="preserve">7.2 </w:t>
      </w:r>
      <w:r>
        <w:rPr>
          <w:rFonts w:hint="eastAsia" w:ascii="宋体" w:hAnsi="宋体" w:eastAsia="宋体" w:cs="宋体"/>
          <w:szCs w:val="21"/>
          <w:lang w:val="en-US" w:eastAsia="zh-CN"/>
        </w:rPr>
        <w:t xml:space="preserve"> </w:t>
      </w:r>
      <w:r>
        <w:rPr>
          <w:rFonts w:hint="eastAsia" w:ascii="宋体" w:hAnsi="宋体" w:eastAsia="宋体" w:cs="宋体"/>
          <w:szCs w:val="21"/>
        </w:rPr>
        <w:t>业务办理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_Toc4709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_Toc29034 </w:instrText>
      </w:r>
      <w:r>
        <w:rPr>
          <w:rFonts w:hint="eastAsia" w:ascii="宋体" w:hAnsi="宋体" w:eastAsia="宋体" w:cs="宋体"/>
          <w:szCs w:val="21"/>
        </w:rPr>
        <w:fldChar w:fldCharType="separate"/>
      </w:r>
      <w:r>
        <w:rPr>
          <w:rFonts w:hint="eastAsia" w:ascii="宋体" w:hAnsi="宋体" w:eastAsia="宋体" w:cs="宋体"/>
          <w:szCs w:val="21"/>
        </w:rPr>
        <w:t xml:space="preserve">7.3 </w:t>
      </w:r>
      <w:r>
        <w:rPr>
          <w:rFonts w:hint="eastAsia" w:ascii="宋体" w:hAnsi="宋体" w:eastAsia="宋体" w:cs="宋体"/>
          <w:szCs w:val="21"/>
          <w:lang w:val="en-US" w:eastAsia="zh-CN"/>
        </w:rPr>
        <w:t xml:space="preserve"> </w:t>
      </w:r>
      <w:r>
        <w:rPr>
          <w:rFonts w:hint="eastAsia" w:ascii="宋体" w:hAnsi="宋体" w:eastAsia="宋体" w:cs="宋体"/>
          <w:szCs w:val="21"/>
        </w:rPr>
        <w:t>服务跟进</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_Toc29034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_Toc32526 </w:instrText>
      </w:r>
      <w:r>
        <w:rPr>
          <w:rFonts w:hint="eastAsia" w:ascii="宋体" w:hAnsi="宋体" w:eastAsia="宋体" w:cs="宋体"/>
          <w:szCs w:val="21"/>
        </w:rPr>
        <w:fldChar w:fldCharType="separate"/>
      </w:r>
      <w:r>
        <w:rPr>
          <w:rFonts w:hint="eastAsia" w:ascii="宋体" w:hAnsi="宋体" w:eastAsia="宋体" w:cs="宋体"/>
          <w:szCs w:val="21"/>
        </w:rPr>
        <w:t xml:space="preserve">8 </w:t>
      </w:r>
      <w:r>
        <w:rPr>
          <w:rFonts w:hint="eastAsia" w:ascii="宋体" w:hAnsi="宋体" w:eastAsia="宋体" w:cs="宋体"/>
          <w:szCs w:val="21"/>
          <w:lang w:val="en-US" w:eastAsia="zh-CN"/>
        </w:rPr>
        <w:t xml:space="preserve"> </w:t>
      </w:r>
      <w:r>
        <w:rPr>
          <w:rFonts w:hint="eastAsia" w:ascii="宋体" w:hAnsi="宋体" w:eastAsia="宋体" w:cs="宋体"/>
          <w:szCs w:val="21"/>
        </w:rPr>
        <w:t>评价与改进</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_Toc32526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_Toc18423 </w:instrText>
      </w:r>
      <w:r>
        <w:rPr>
          <w:rFonts w:hint="eastAsia" w:ascii="宋体" w:hAnsi="宋体" w:eastAsia="宋体" w:cs="宋体"/>
          <w:szCs w:val="21"/>
        </w:rPr>
        <w:fldChar w:fldCharType="separate"/>
      </w:r>
      <w:r>
        <w:rPr>
          <w:rFonts w:hint="eastAsia" w:ascii="宋体" w:hAnsi="宋体" w:eastAsia="宋体" w:cs="宋体"/>
          <w:szCs w:val="21"/>
        </w:rPr>
        <w:t xml:space="preserve">8.1 </w:t>
      </w:r>
      <w:r>
        <w:rPr>
          <w:rFonts w:hint="eastAsia" w:ascii="宋体" w:hAnsi="宋体" w:eastAsia="宋体" w:cs="宋体"/>
          <w:szCs w:val="21"/>
          <w:lang w:val="en-US" w:eastAsia="zh-CN"/>
        </w:rPr>
        <w:t xml:space="preserve"> </w:t>
      </w:r>
      <w:r>
        <w:rPr>
          <w:rFonts w:hint="eastAsia" w:ascii="宋体" w:hAnsi="宋体" w:eastAsia="宋体" w:cs="宋体"/>
          <w:szCs w:val="21"/>
        </w:rPr>
        <w:t>质量控制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_Toc18423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_Toc494 </w:instrText>
      </w:r>
      <w:r>
        <w:rPr>
          <w:rFonts w:hint="eastAsia" w:ascii="宋体" w:hAnsi="宋体" w:eastAsia="宋体" w:cs="宋体"/>
          <w:szCs w:val="21"/>
        </w:rPr>
        <w:fldChar w:fldCharType="separate"/>
      </w:r>
      <w:r>
        <w:rPr>
          <w:rFonts w:hint="eastAsia" w:ascii="宋体" w:hAnsi="宋体" w:eastAsia="宋体" w:cs="宋体"/>
          <w:szCs w:val="21"/>
        </w:rPr>
        <w:t xml:space="preserve">8.2 </w:t>
      </w:r>
      <w:r>
        <w:rPr>
          <w:rFonts w:hint="eastAsia" w:ascii="宋体" w:hAnsi="宋体" w:eastAsia="宋体" w:cs="宋体"/>
          <w:szCs w:val="21"/>
          <w:lang w:val="en-US" w:eastAsia="zh-CN"/>
        </w:rPr>
        <w:t xml:space="preserve"> </w:t>
      </w:r>
      <w:r>
        <w:rPr>
          <w:rFonts w:hint="eastAsia" w:ascii="宋体" w:hAnsi="宋体" w:eastAsia="宋体" w:cs="宋体"/>
          <w:szCs w:val="21"/>
        </w:rPr>
        <w:t>服务评价</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_Toc494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_Toc5988 </w:instrText>
      </w:r>
      <w:r>
        <w:rPr>
          <w:rFonts w:hint="eastAsia" w:ascii="宋体" w:hAnsi="宋体" w:eastAsia="宋体" w:cs="宋体"/>
          <w:szCs w:val="21"/>
        </w:rPr>
        <w:fldChar w:fldCharType="separate"/>
      </w:r>
      <w:r>
        <w:rPr>
          <w:rFonts w:hint="eastAsia" w:ascii="宋体" w:hAnsi="宋体" w:eastAsia="宋体" w:cs="宋体"/>
          <w:szCs w:val="21"/>
        </w:rPr>
        <w:t xml:space="preserve">8.3 </w:t>
      </w:r>
      <w:r>
        <w:rPr>
          <w:rFonts w:hint="eastAsia" w:ascii="宋体" w:hAnsi="宋体" w:eastAsia="宋体" w:cs="宋体"/>
          <w:szCs w:val="21"/>
          <w:lang w:val="en-US" w:eastAsia="zh-CN"/>
        </w:rPr>
        <w:t xml:space="preserve"> </w:t>
      </w:r>
      <w:r>
        <w:rPr>
          <w:rFonts w:hint="eastAsia" w:ascii="宋体" w:hAnsi="宋体" w:eastAsia="宋体" w:cs="宋体"/>
          <w:szCs w:val="21"/>
        </w:rPr>
        <w:t>持续改进</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_Toc5988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_Toc18591 </w:instrText>
      </w:r>
      <w:r>
        <w:rPr>
          <w:rFonts w:hint="eastAsia" w:ascii="宋体" w:hAnsi="宋体" w:eastAsia="宋体" w:cs="宋体"/>
          <w:szCs w:val="21"/>
        </w:rPr>
        <w:fldChar w:fldCharType="separate"/>
      </w:r>
      <w:r>
        <w:rPr>
          <w:rFonts w:hint="eastAsia" w:ascii="宋体" w:hAnsi="宋体" w:eastAsia="宋体" w:cs="宋体"/>
          <w:szCs w:val="21"/>
          <w:lang w:val="en-US" w:eastAsia="zh-CN"/>
        </w:rPr>
        <w:t xml:space="preserve">附录A（资料性）  </w:t>
      </w:r>
      <w:r>
        <w:rPr>
          <w:rFonts w:hint="default" w:ascii="宋体" w:hAnsi="宋体" w:eastAsia="宋体" w:cs="宋体"/>
          <w:szCs w:val="21"/>
          <w:lang w:val="en-US" w:eastAsia="zh-CN"/>
        </w:rPr>
        <w:t>知识产权保护中心公共服务事项清单</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_Toc18591 \h </w:instrText>
      </w:r>
      <w:r>
        <w:rPr>
          <w:rFonts w:hint="eastAsia" w:ascii="宋体" w:hAnsi="宋体" w:eastAsia="宋体" w:cs="宋体"/>
          <w:szCs w:val="21"/>
        </w:rPr>
        <w:fldChar w:fldCharType="separate"/>
      </w:r>
      <w:r>
        <w:rPr>
          <w:rFonts w:hint="eastAsia"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_Toc16941 </w:instrText>
      </w:r>
      <w:r>
        <w:rPr>
          <w:rFonts w:hint="eastAsia" w:ascii="宋体" w:hAnsi="宋体" w:eastAsia="宋体" w:cs="宋体"/>
          <w:szCs w:val="21"/>
        </w:rPr>
        <w:fldChar w:fldCharType="separate"/>
      </w:r>
      <w:r>
        <w:rPr>
          <w:rFonts w:hint="eastAsia" w:ascii="宋体" w:hAnsi="宋体" w:eastAsia="宋体" w:cs="宋体"/>
          <w:szCs w:val="21"/>
          <w:lang w:val="en-US" w:eastAsia="zh-CN"/>
        </w:rPr>
        <w:t>附录B（资料性）  知识产权保护中心分中心公共服务事项清单</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_Toc16941 \h </w:instrText>
      </w:r>
      <w:r>
        <w:rPr>
          <w:rFonts w:hint="eastAsia" w:ascii="宋体" w:hAnsi="宋体" w:eastAsia="宋体" w:cs="宋体"/>
          <w:szCs w:val="21"/>
        </w:rPr>
        <w:fldChar w:fldCharType="separate"/>
      </w:r>
      <w:r>
        <w:rPr>
          <w:rFonts w:hint="eastAsia" w:ascii="宋体" w:hAnsi="宋体" w:eastAsia="宋体" w:cs="宋体"/>
          <w:szCs w:val="21"/>
        </w:rPr>
        <w:t>10</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_Toc125 </w:instrText>
      </w:r>
      <w:r>
        <w:rPr>
          <w:rFonts w:hint="eastAsia" w:ascii="宋体" w:hAnsi="宋体" w:eastAsia="宋体" w:cs="宋体"/>
          <w:szCs w:val="21"/>
        </w:rPr>
        <w:fldChar w:fldCharType="separate"/>
      </w:r>
      <w:r>
        <w:rPr>
          <w:rFonts w:hint="eastAsia" w:ascii="宋体" w:hAnsi="宋体" w:eastAsia="宋体" w:cs="宋体"/>
          <w:szCs w:val="21"/>
          <w:lang w:val="en-US" w:eastAsia="zh-CN"/>
        </w:rPr>
        <w:t>附录C（资料性）  知识产权工作站公共服务事项清单</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_Toc125 \h </w:instrText>
      </w:r>
      <w:r>
        <w:rPr>
          <w:rFonts w:hint="eastAsia" w:ascii="宋体" w:hAnsi="宋体" w:eastAsia="宋体" w:cs="宋体"/>
          <w:szCs w:val="21"/>
        </w:rPr>
        <w:fldChar w:fldCharType="separate"/>
      </w:r>
      <w:r>
        <w:rPr>
          <w:rFonts w:hint="eastAsia" w:ascii="宋体" w:hAnsi="宋体" w:eastAsia="宋体" w:cs="宋体"/>
          <w:szCs w:val="21"/>
        </w:rPr>
        <w:t>11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_Toc18568 </w:instrText>
      </w:r>
      <w:r>
        <w:rPr>
          <w:rFonts w:hint="eastAsia" w:ascii="宋体" w:hAnsi="宋体" w:eastAsia="宋体" w:cs="宋体"/>
          <w:szCs w:val="21"/>
        </w:rPr>
        <w:fldChar w:fldCharType="separate"/>
      </w:r>
      <w:r>
        <w:rPr>
          <w:rFonts w:hint="eastAsia" w:ascii="宋体" w:hAnsi="宋体" w:eastAsia="宋体" w:cs="宋体"/>
          <w:szCs w:val="21"/>
          <w:lang w:val="en-US" w:eastAsia="zh-CN"/>
        </w:rPr>
        <w:t>参考文献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_Toc18568 \h </w:instrText>
      </w:r>
      <w:r>
        <w:rPr>
          <w:rFonts w:hint="eastAsia" w:ascii="宋体" w:hAnsi="宋体" w:eastAsia="宋体" w:cs="宋体"/>
          <w:szCs w:val="21"/>
        </w:rPr>
        <w:fldChar w:fldCharType="separate"/>
      </w:r>
      <w:r>
        <w:rPr>
          <w:rFonts w:hint="eastAsia" w:ascii="宋体" w:hAnsi="宋体" w:eastAsia="宋体" w:cs="宋体"/>
          <w:szCs w:val="21"/>
        </w:rPr>
        <w:t>12</w:t>
      </w:r>
      <w:r>
        <w:rPr>
          <w:rFonts w:hint="eastAsia" w:ascii="宋体" w:hAnsi="宋体" w:eastAsia="宋体" w:cs="宋体"/>
          <w:szCs w:val="21"/>
        </w:rPr>
        <w:fldChar w:fldCharType="end"/>
      </w:r>
      <w:r>
        <w:rPr>
          <w:rFonts w:hint="eastAsia" w:ascii="宋体" w:hAnsi="宋体" w:eastAsia="宋体" w:cs="宋体"/>
          <w:szCs w:val="21"/>
        </w:rPr>
        <w:fldChar w:fldCharType="end"/>
      </w:r>
    </w:p>
    <w:p>
      <w:pPr>
        <w:keepNext w:val="0"/>
        <w:keepLines w:val="0"/>
        <w:pageBreakBefore w:val="0"/>
        <w:widowControl w:val="0"/>
        <w:kinsoku/>
        <w:wordWrap/>
        <w:overflowPunct/>
        <w:topLinePunct w:val="0"/>
        <w:autoSpaceDE/>
        <w:autoSpaceDN/>
        <w:bidi w:val="0"/>
        <w:adjustRightInd/>
        <w:snapToGrid w:val="0"/>
        <w:jc w:val="left"/>
        <w:textAlignment w:val="auto"/>
        <w:rPr>
          <w:rFonts w:ascii="宋体" w:hAnsi="宋体" w:eastAsia="宋体" w:cs="宋体"/>
          <w:szCs w:val="21"/>
        </w:rPr>
      </w:pPr>
      <w:r>
        <w:rPr>
          <w:rFonts w:hint="eastAsia" w:ascii="宋体" w:hAnsi="宋体" w:eastAsia="宋体" w:cs="宋体"/>
          <w:szCs w:val="21"/>
        </w:rPr>
        <w:fldChar w:fldCharType="end"/>
      </w:r>
    </w:p>
    <w:p>
      <w:pPr>
        <w:pStyle w:val="2"/>
        <w:rPr>
          <w:rFonts w:ascii="宋体" w:hAnsi="宋体" w:eastAsia="宋体" w:cs="宋体"/>
          <w:szCs w:val="21"/>
        </w:rPr>
      </w:pPr>
    </w:p>
    <w:p>
      <w:pPr>
        <w:pStyle w:val="2"/>
        <w:rPr>
          <w:rFonts w:ascii="宋体" w:hAnsi="宋体" w:eastAsia="宋体" w:cs="宋体"/>
          <w:szCs w:val="21"/>
        </w:rPr>
      </w:pPr>
    </w:p>
    <w:p>
      <w:pPr>
        <w:pStyle w:val="2"/>
        <w:rPr>
          <w:rFonts w:ascii="宋体" w:hAnsi="宋体" w:eastAsia="宋体" w:cs="宋体"/>
          <w:szCs w:val="21"/>
        </w:rPr>
      </w:pPr>
    </w:p>
    <w:p>
      <w:pPr>
        <w:pStyle w:val="49"/>
        <w:keepNext w:val="0"/>
        <w:keepLines w:val="0"/>
        <w:pageBreakBefore w:val="0"/>
        <w:widowControl/>
        <w:shd w:val="clear"/>
        <w:kinsoku/>
        <w:wordWrap/>
        <w:overflowPunct/>
        <w:topLinePunct w:val="0"/>
        <w:autoSpaceDE/>
        <w:autoSpaceDN/>
        <w:bidi w:val="0"/>
        <w:adjustRightInd/>
        <w:snapToGrid/>
        <w:spacing w:before="567" w:after="680" w:afterLines="0"/>
        <w:ind w:left="425" w:hanging="425"/>
        <w:textAlignment w:val="auto"/>
        <w:rPr>
          <w:spacing w:val="320"/>
          <w:highlight w:val="none"/>
        </w:rPr>
        <w:sectPr>
          <w:headerReference r:id="rId5" w:type="default"/>
          <w:footerReference r:id="rId7" w:type="default"/>
          <w:headerReference r:id="rId6" w:type="even"/>
          <w:footerReference r:id="rId8"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1"/>
          <w:cols w:space="425" w:num="1"/>
          <w:docGrid w:type="lines" w:linePitch="312" w:charSpace="0"/>
        </w:sectPr>
      </w:pPr>
    </w:p>
    <w:p>
      <w:pPr>
        <w:pStyle w:val="2"/>
        <w:sectPr>
          <w:footerReference r:id="rId9" w:type="default"/>
          <w:footerReference r:id="rId10"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2" w:name="_Toc31311"/>
      <w:r>
        <w:rPr>
          <w:rFonts w:hint="eastAsia" w:ascii="黑体" w:hAnsi="黑体" w:eastAsia="黑体" w:cs="黑体"/>
          <w:kern w:val="0"/>
          <w:sz w:val="32"/>
          <w:szCs w:val="32"/>
          <w:lang w:val="en-US" w:eastAsia="zh-CN"/>
        </w:rPr>
        <w:t>前    言</w:t>
      </w:r>
      <w:bookmarkEnd w:id="2"/>
    </w:p>
    <w:p>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本文件由苏州市市场监督管理局（苏州市知识产权局）</w:t>
      </w:r>
      <w:r>
        <w:rPr>
          <w:rFonts w:hint="eastAsia" w:ascii="宋体" w:hAnsi="宋体" w:eastAsia="宋体" w:cs="宋体"/>
          <w:kern w:val="0"/>
          <w:szCs w:val="21"/>
          <w:lang w:val="en-US" w:eastAsia="zh-CN"/>
        </w:rPr>
        <w:t>提出、</w:t>
      </w:r>
      <w:r>
        <w:rPr>
          <w:rFonts w:hint="eastAsia" w:ascii="宋体" w:hAnsi="宋体" w:eastAsia="宋体" w:cs="宋体"/>
          <w:kern w:val="0"/>
          <w:szCs w:val="21"/>
        </w:rPr>
        <w:t>归口</w:t>
      </w:r>
      <w:r>
        <w:rPr>
          <w:rFonts w:hint="eastAsia" w:ascii="宋体" w:hAnsi="宋体" w:eastAsia="宋体" w:cs="宋体"/>
          <w:kern w:val="0"/>
          <w:szCs w:val="21"/>
          <w:lang w:val="en-US" w:eastAsia="zh-CN"/>
        </w:rPr>
        <w:t>并组织实施</w:t>
      </w:r>
      <w:r>
        <w:rPr>
          <w:rFonts w:hint="eastAsia" w:ascii="宋体" w:hAnsi="宋体" w:eastAsia="宋体" w:cs="宋体"/>
          <w:kern w:val="0"/>
          <w:szCs w:val="21"/>
        </w:rPr>
        <w:t>。</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本文件起草单位：苏州市知识产权保护中心、苏州毕惠标准技术服务有限公司、苏州高新知识产权服务有限公司、苏州市中南伟业知识产权代理事务所(普通合伙)、苏州维晟宏知识产权有限公司</w:t>
      </w:r>
      <w:r>
        <w:rPr>
          <w:rFonts w:hint="eastAsia" w:ascii="宋体" w:hAnsi="宋体" w:eastAsia="宋体" w:cs="宋体"/>
          <w:kern w:val="0"/>
          <w:szCs w:val="21"/>
          <w:lang w:eastAsia="zh-CN"/>
        </w:rPr>
        <w:t>、</w:t>
      </w:r>
      <w:r>
        <w:rPr>
          <w:rFonts w:hint="eastAsia" w:ascii="宋体" w:hAnsi="宋体" w:eastAsia="宋体" w:cs="宋体"/>
          <w:kern w:val="0"/>
          <w:szCs w:val="21"/>
        </w:rPr>
        <w:t>长三角生态绿色一体化发展示范区知识产权保护服务中心、苏州市知识产权保护中心吴江分中心、苏州市知识产权保护中心相城分中心</w:t>
      </w:r>
      <w:r>
        <w:rPr>
          <w:rFonts w:hint="eastAsia" w:ascii="宋体" w:hAnsi="宋体" w:eastAsia="宋体" w:cs="宋体"/>
          <w:kern w:val="0"/>
          <w:szCs w:val="21"/>
          <w:lang w:eastAsia="zh-CN"/>
        </w:rPr>
        <w:t>、</w:t>
      </w:r>
      <w:r>
        <w:rPr>
          <w:rFonts w:hint="eastAsia" w:ascii="宋体" w:hAnsi="宋体" w:eastAsia="宋体" w:cs="宋体"/>
          <w:kern w:val="0"/>
          <w:szCs w:val="21"/>
        </w:rPr>
        <w:t>追觅科技（苏州）有限公司。</w:t>
      </w:r>
    </w:p>
    <w:p>
      <w:pPr>
        <w:snapToGrid w:val="0"/>
        <w:ind w:firstLine="420" w:firstLineChars="200"/>
      </w:pPr>
      <w:r>
        <w:rPr>
          <w:rFonts w:hint="eastAsia" w:ascii="宋体" w:hAnsi="宋体" w:eastAsia="宋体" w:cs="宋体"/>
          <w:kern w:val="0"/>
          <w:szCs w:val="21"/>
        </w:rPr>
        <w:t>本文件主要起草人：张有勇、屈赟诚、</w:t>
      </w:r>
      <w:r>
        <w:rPr>
          <w:rFonts w:hint="eastAsia" w:ascii="宋体" w:hAnsi="宋体" w:eastAsia="宋体" w:cs="宋体"/>
          <w:kern w:val="0"/>
          <w:szCs w:val="21"/>
          <w:lang w:val="en-US" w:eastAsia="zh-CN"/>
        </w:rPr>
        <w:t>袁丹、</w:t>
      </w:r>
      <w:r>
        <w:rPr>
          <w:rFonts w:hint="eastAsia" w:ascii="宋体" w:hAnsi="宋体" w:eastAsia="宋体" w:cs="宋体"/>
          <w:kern w:val="0"/>
          <w:szCs w:val="21"/>
        </w:rPr>
        <w:t>马天放、陆瑶、高燕娃、邓福平、</w:t>
      </w:r>
      <w:r>
        <w:rPr>
          <w:rFonts w:hint="eastAsia" w:ascii="宋体" w:hAnsi="宋体" w:eastAsia="宋体" w:cs="宋体"/>
          <w:kern w:val="0"/>
          <w:szCs w:val="21"/>
          <w:lang w:val="en-US" w:eastAsia="zh-CN"/>
        </w:rPr>
        <w:t>张雅涵、</w:t>
      </w:r>
      <w:r>
        <w:rPr>
          <w:rFonts w:hint="eastAsia" w:ascii="宋体" w:hAnsi="宋体" w:eastAsia="宋体" w:cs="宋体"/>
          <w:kern w:val="0"/>
          <w:szCs w:val="21"/>
        </w:rPr>
        <w:t>许洪强、</w:t>
      </w:r>
      <w:r>
        <w:rPr>
          <w:rFonts w:hint="eastAsia" w:ascii="宋体" w:hAnsi="宋体" w:eastAsia="宋体" w:cs="宋体"/>
          <w:kern w:val="0"/>
          <w:szCs w:val="21"/>
          <w:lang w:val="en-US" w:eastAsia="zh-CN"/>
        </w:rPr>
        <w:t>张书毅、</w:t>
      </w:r>
      <w:r>
        <w:rPr>
          <w:rFonts w:hint="eastAsia" w:ascii="宋体" w:hAnsi="宋体" w:eastAsia="宋体" w:cs="宋体"/>
          <w:kern w:val="0"/>
          <w:szCs w:val="21"/>
        </w:rPr>
        <w:t>陶琴琴、宋学梅、熊杰、杨媛、黄海燕、</w:t>
      </w:r>
      <w:r>
        <w:rPr>
          <w:rFonts w:hint="eastAsia" w:ascii="宋体" w:hAnsi="宋体" w:eastAsia="宋体" w:cs="宋体"/>
          <w:kern w:val="0"/>
          <w:szCs w:val="21"/>
          <w:lang w:val="en-US" w:eastAsia="zh-CN"/>
        </w:rPr>
        <w:t>李莉、宋佳、</w:t>
      </w:r>
      <w:r>
        <w:rPr>
          <w:rFonts w:hint="eastAsia" w:ascii="宋体" w:hAnsi="宋体" w:eastAsia="宋体" w:cs="宋体"/>
          <w:kern w:val="0"/>
          <w:szCs w:val="21"/>
        </w:rPr>
        <w:t>陈琦、朱亚静、</w:t>
      </w:r>
      <w:r>
        <w:rPr>
          <w:rFonts w:hint="eastAsia" w:ascii="宋体" w:hAnsi="宋体" w:eastAsia="宋体" w:cs="宋体"/>
          <w:kern w:val="0"/>
          <w:szCs w:val="21"/>
          <w:lang w:val="en-US" w:eastAsia="zh-CN"/>
        </w:rPr>
        <w:t>黄雅君、张明、</w:t>
      </w:r>
      <w:r>
        <w:rPr>
          <w:rFonts w:hint="eastAsia" w:ascii="宋体" w:hAnsi="宋体" w:eastAsia="宋体" w:cs="宋体"/>
          <w:kern w:val="0"/>
          <w:szCs w:val="21"/>
        </w:rPr>
        <w:t>朱波。</w:t>
      </w:r>
    </w:p>
    <w:p>
      <w:pPr>
        <w:widowControl/>
        <w:rPr>
          <w:rFonts w:ascii="黑体" w:hAnsi="黑体" w:eastAsia="黑体"/>
          <w:bCs/>
          <w:sz w:val="32"/>
          <w:szCs w:val="32"/>
        </w:rPr>
        <w:sectPr>
          <w:footerReference r:id="rId12" w:type="default"/>
          <w:headerReference r:id="rId11" w:type="even"/>
          <w:footerReference r:id="rId13"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bookmarkStart w:id="3" w:name="SectionMark4"/>
    </w:p>
    <w:p>
      <w:pPr>
        <w:widowControl/>
        <w:spacing w:before="567" w:after="680"/>
        <w:jc w:val="center"/>
        <w:rPr>
          <w:rFonts w:hint="default" w:ascii="黑体" w:hAnsi="黑体" w:eastAsia="黑体"/>
          <w:bCs/>
          <w:sz w:val="32"/>
          <w:szCs w:val="32"/>
          <w:lang w:val="en-US" w:eastAsia="zh-CN"/>
        </w:rPr>
      </w:pPr>
      <w:r>
        <w:rPr>
          <w:rFonts w:hint="default" w:ascii="黑体" w:hAnsi="黑体" w:eastAsia="黑体"/>
          <w:bCs/>
          <w:sz w:val="32"/>
          <w:szCs w:val="32"/>
          <w:lang w:val="en-US" w:eastAsia="zh-CN"/>
        </w:rPr>
        <w:t>知识产权公共服务网点服务规范</w:t>
      </w:r>
    </w:p>
    <w:bookmarkEnd w:id="3"/>
    <w:p>
      <w:pPr>
        <w:pStyle w:val="66"/>
        <w:spacing w:before="312" w:after="312"/>
        <w:rPr>
          <w:rFonts w:hint="eastAsia"/>
        </w:rPr>
      </w:pPr>
      <w:bookmarkStart w:id="4" w:name="_Toc15741"/>
      <w:bookmarkStart w:id="5" w:name="_Toc67401897"/>
      <w:bookmarkStart w:id="6" w:name="_Toc51663569"/>
      <w:bookmarkStart w:id="7" w:name="_Toc87811223"/>
      <w:bookmarkStart w:id="8" w:name="_Toc47964512"/>
      <w:bookmarkStart w:id="9" w:name="_Toc122448156"/>
      <w:bookmarkStart w:id="10" w:name="_Toc67393169"/>
      <w:bookmarkStart w:id="11" w:name="_Toc48572088"/>
      <w:bookmarkStart w:id="12" w:name="_Toc48049835"/>
      <w:bookmarkStart w:id="13" w:name="_Toc12613"/>
      <w:bookmarkStart w:id="14" w:name="_Toc47973642"/>
      <w:bookmarkStart w:id="15" w:name="_Toc48569571"/>
      <w:bookmarkStart w:id="16" w:name="_Toc87811368"/>
      <w:bookmarkStart w:id="17" w:name="_Toc48028397"/>
      <w:bookmarkStart w:id="18" w:name="_Toc48050151"/>
      <w:bookmarkStart w:id="19" w:name="_Toc47964470"/>
      <w:bookmarkStart w:id="20" w:name="_Toc48028304"/>
      <w:bookmarkStart w:id="21" w:name="_Toc40454690"/>
      <w:bookmarkStart w:id="22" w:name="_Toc66965087"/>
      <w:bookmarkStart w:id="23" w:name="_Toc51147912"/>
      <w:bookmarkStart w:id="24" w:name="_Toc115339701"/>
      <w:bookmarkStart w:id="25" w:name="_Toc21213"/>
      <w:bookmarkStart w:id="26" w:name="_Toc30515"/>
      <w:bookmarkStart w:id="27" w:name="_Toc47973431"/>
      <w:bookmarkStart w:id="28" w:name="_Toc10375"/>
      <w:bookmarkStart w:id="29" w:name="_Toc46494722"/>
      <w:r>
        <w:rPr>
          <w:rFonts w:hint="eastAsia"/>
        </w:rPr>
        <w:t>范围</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51"/>
        <w:rPr>
          <w:rFonts w:hint="eastAsia"/>
        </w:rPr>
      </w:pPr>
      <w:r>
        <w:rPr>
          <w:rFonts w:hint="eastAsia"/>
        </w:rPr>
        <w:t>本文件规定了知识产权公共服务网点基本要求、服务内容、服务流程、评价与改进的要求。</w:t>
      </w:r>
    </w:p>
    <w:p>
      <w:pPr>
        <w:pStyle w:val="51"/>
        <w:rPr>
          <w:rFonts w:hint="eastAsia"/>
        </w:rPr>
      </w:pPr>
      <w:r>
        <w:rPr>
          <w:rFonts w:hint="eastAsia"/>
        </w:rPr>
        <w:t>本文件适用于知识产权公共服务网点服务工作。</w:t>
      </w:r>
    </w:p>
    <w:p>
      <w:pPr>
        <w:pStyle w:val="66"/>
        <w:tabs>
          <w:tab w:val="left" w:pos="7460"/>
        </w:tabs>
        <w:spacing w:before="312" w:after="312"/>
        <w:rPr>
          <w:rFonts w:hint="eastAsia"/>
        </w:rPr>
      </w:pPr>
      <w:bookmarkStart w:id="30" w:name="_Toc46494723"/>
      <w:bookmarkStart w:id="31" w:name="_Toc51663570"/>
      <w:bookmarkStart w:id="32" w:name="_Toc48569572"/>
      <w:bookmarkStart w:id="33" w:name="_Toc115339702"/>
      <w:bookmarkStart w:id="34" w:name="_Toc51147913"/>
      <w:bookmarkStart w:id="35" w:name="_Toc27904"/>
      <w:bookmarkStart w:id="36" w:name="_Toc47964513"/>
      <w:bookmarkStart w:id="37" w:name="_Toc48028398"/>
      <w:bookmarkStart w:id="38" w:name="_Toc7856"/>
      <w:bookmarkStart w:id="39" w:name="_Toc48028305"/>
      <w:bookmarkStart w:id="40" w:name="_Toc87811224"/>
      <w:bookmarkStart w:id="41" w:name="_Toc67401898"/>
      <w:bookmarkStart w:id="42" w:name="_Toc48050152"/>
      <w:bookmarkStart w:id="43" w:name="_Toc5397"/>
      <w:bookmarkStart w:id="44" w:name="_Toc66965088"/>
      <w:bookmarkStart w:id="45" w:name="_Toc40454691"/>
      <w:bookmarkStart w:id="46" w:name="_Toc29099"/>
      <w:bookmarkStart w:id="47" w:name="_Toc47964471"/>
      <w:bookmarkStart w:id="48" w:name="_Toc48572089"/>
      <w:bookmarkStart w:id="49" w:name="_Toc47973643"/>
      <w:bookmarkStart w:id="50" w:name="_Toc122448157"/>
      <w:bookmarkStart w:id="51" w:name="_Toc67393170"/>
      <w:bookmarkStart w:id="52" w:name="_Toc48049836"/>
      <w:bookmarkStart w:id="53" w:name="_Toc87811369"/>
      <w:bookmarkStart w:id="54" w:name="_Toc47973432"/>
      <w:bookmarkStart w:id="55" w:name="_Toc27351"/>
      <w:r>
        <w:rPr>
          <w:rFonts w:hint="eastAsia"/>
        </w:rPr>
        <w:t>规范性引用文件</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hint="eastAsia"/>
          <w:lang w:eastAsia="zh-CN"/>
        </w:rPr>
        <w:tab/>
      </w:r>
    </w:p>
    <w:p>
      <w:pPr>
        <w:pStyle w:val="51"/>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1"/>
        <w:rPr>
          <w:rFonts w:hint="eastAsia"/>
          <w:lang w:val="en-US" w:eastAsia="zh-CN"/>
        </w:rPr>
      </w:pPr>
      <w:r>
        <w:rPr>
          <w:rFonts w:hint="eastAsia"/>
          <w:lang w:val="en-US" w:eastAsia="zh-CN"/>
        </w:rPr>
        <w:t>GB/T 2893.1  图形符号 安全色和安全标志 第1部分：安全标志和安全标记的设计原则</w:t>
      </w:r>
    </w:p>
    <w:p>
      <w:pPr>
        <w:pStyle w:val="51"/>
        <w:rPr>
          <w:rFonts w:hint="eastAsia"/>
          <w:lang w:val="en-US" w:eastAsia="zh-CN"/>
        </w:rPr>
      </w:pPr>
      <w:r>
        <w:rPr>
          <w:rFonts w:hint="eastAsia"/>
          <w:lang w:val="en-US" w:eastAsia="zh-CN"/>
        </w:rPr>
        <w:t>GB 2894  安全标志及其使用导则</w:t>
      </w:r>
    </w:p>
    <w:p>
      <w:pPr>
        <w:pStyle w:val="51"/>
        <w:rPr>
          <w:rFonts w:hint="eastAsia"/>
          <w:lang w:val="en-US" w:eastAsia="zh-CN"/>
        </w:rPr>
      </w:pPr>
      <w:r>
        <w:rPr>
          <w:rFonts w:hint="eastAsia"/>
          <w:lang w:val="en-US" w:eastAsia="zh-CN"/>
        </w:rPr>
        <w:t>GB/T 10001.1  公共信息图形符号 第1部分：通用符号</w:t>
      </w:r>
    </w:p>
    <w:p>
      <w:pPr>
        <w:pStyle w:val="51"/>
        <w:rPr>
          <w:rFonts w:hint="eastAsia"/>
          <w:lang w:val="en-US" w:eastAsia="zh-CN"/>
        </w:rPr>
      </w:pPr>
      <w:r>
        <w:rPr>
          <w:rFonts w:hint="eastAsia"/>
          <w:lang w:val="en-US" w:eastAsia="zh-CN"/>
        </w:rPr>
        <w:t>GB/T 39551（所有部分）  专利导航指南</w:t>
      </w:r>
    </w:p>
    <w:p>
      <w:pPr>
        <w:pStyle w:val="66"/>
        <w:spacing w:before="312" w:after="312"/>
        <w:rPr>
          <w:rFonts w:hint="eastAsia"/>
          <w:szCs w:val="21"/>
        </w:rPr>
      </w:pPr>
      <w:bookmarkStart w:id="56" w:name="_Toc67401899"/>
      <w:bookmarkStart w:id="57" w:name="_Toc122448158"/>
      <w:bookmarkStart w:id="58" w:name="_Toc87811225"/>
      <w:bookmarkStart w:id="59" w:name="_Toc87811370"/>
      <w:bookmarkStart w:id="60" w:name="_Toc31095"/>
      <w:bookmarkStart w:id="61" w:name="_Toc67393171"/>
      <w:bookmarkStart w:id="62" w:name="_Toc115339703"/>
      <w:r>
        <w:rPr>
          <w:rFonts w:hint="eastAsia"/>
          <w:szCs w:val="21"/>
        </w:rPr>
        <w:t>术语和定义</w:t>
      </w:r>
      <w:bookmarkEnd w:id="56"/>
      <w:bookmarkEnd w:id="57"/>
      <w:bookmarkEnd w:id="58"/>
      <w:bookmarkEnd w:id="59"/>
      <w:bookmarkEnd w:id="60"/>
      <w:bookmarkEnd w:id="61"/>
      <w:bookmarkEnd w:id="62"/>
    </w:p>
    <w:p>
      <w:pPr>
        <w:pStyle w:val="51"/>
        <w:rPr>
          <w:rFonts w:hint="eastAsia"/>
        </w:rPr>
      </w:pPr>
      <w:r>
        <w:rPr>
          <w:rFonts w:hint="eastAsia"/>
        </w:rPr>
        <w:t>下列术语和定义适用于本文件。</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 xml:space="preserve">知识产权公共服务网点 </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intellectual property public service network</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面向组织和社会公众，提供业务受理、信息查询、运用服务、事务咨询、公益培训、政策宣贯等知识产权公共服务的机构，主要包括知识产权保护中心及分中心、知识产权工作站等服务网点。</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知识产权保护中心</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 xml:space="preserve"> Intellectual property protection center</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经地级及以上城市或地区知识产权主管部门申请，国家知识产权局同意，按相关要求完成建设并验收合格而认定的国家级知识产权保护中心。</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 xml:space="preserve">知识产权保护中心分中心 </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Intellectual property protection center branch center</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由合作单位提出申请，经市市场监督管理局（市知识产权局）同意设立，按相关要求完成建设并验收合格，承担市知识产权保护中心的部分职能，接受知识产权保护中心业务指导、年度考核的机构。</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 xml:space="preserve">知识产权工作站 </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intellectual property service workstation</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在创业园区、产业集聚区、乡镇、街道等设立，面向市场主体、创新主体和社会公众提供知识产权政策法规宣传、咨询服务、业务指导、人才培训等公益服务的站点。</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 xml:space="preserve">申请人 </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applicant</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提出知识产权服务需求的单位或个人。</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公共服务事项清单</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 xml:space="preserve"> list of public services</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政府机构或部门以正面清单的方式，统一向全社会提供标准化、规范化的公共服务内容，目的在于提高公共服务的均等化、普惠性、便捷性。</w:t>
      </w:r>
    </w:p>
    <w:p>
      <w:pPr>
        <w:pStyle w:val="66"/>
        <w:spacing w:before="312" w:after="312"/>
      </w:pPr>
      <w:bookmarkStart w:id="63" w:name="_Toc28479"/>
      <w:bookmarkStart w:id="64" w:name="_Toc176766240"/>
      <w:bookmarkStart w:id="65" w:name="_Toc12862"/>
      <w:bookmarkStart w:id="66" w:name="_Toc175745063"/>
      <w:bookmarkStart w:id="67" w:name="_Toc176113886"/>
      <w:bookmarkStart w:id="68" w:name="_Toc183598632"/>
      <w:bookmarkStart w:id="69" w:name="_Toc175737227"/>
      <w:bookmarkStart w:id="70" w:name="_Toc175734855"/>
      <w:r>
        <w:rPr>
          <w:rFonts w:hint="eastAsia"/>
          <w:lang w:val="en-US" w:eastAsia="zh-CN"/>
        </w:rPr>
        <w:t>人员</w:t>
      </w:r>
      <w:r>
        <w:rPr>
          <w:rFonts w:hint="eastAsia"/>
        </w:rPr>
        <w:t>要求</w:t>
      </w:r>
      <w:bookmarkEnd w:id="63"/>
      <w:bookmarkEnd w:id="64"/>
      <w:bookmarkEnd w:id="65"/>
      <w:bookmarkEnd w:id="66"/>
      <w:bookmarkEnd w:id="67"/>
      <w:bookmarkEnd w:id="68"/>
      <w:bookmarkEnd w:id="69"/>
      <w:bookmarkEnd w:id="70"/>
    </w:p>
    <w:p>
      <w:pPr>
        <w:pStyle w:val="65"/>
        <w:spacing w:before="156" w:after="156"/>
      </w:pPr>
      <w:bookmarkStart w:id="71" w:name="_Toc176766241"/>
      <w:bookmarkStart w:id="72" w:name="_Toc22023"/>
      <w:bookmarkStart w:id="73" w:name="_Toc175737228"/>
      <w:bookmarkStart w:id="74" w:name="_Toc176113887"/>
      <w:bookmarkStart w:id="75" w:name="_Toc17462"/>
      <w:bookmarkStart w:id="76" w:name="_Toc175734856"/>
      <w:bookmarkStart w:id="77" w:name="_Toc183598633"/>
      <w:bookmarkStart w:id="78" w:name="_Toc175745064"/>
      <w:r>
        <w:rPr>
          <w:rFonts w:hint="eastAsia"/>
        </w:rPr>
        <w:t>人员资质及能力</w:t>
      </w:r>
      <w:bookmarkEnd w:id="71"/>
      <w:bookmarkEnd w:id="72"/>
      <w:bookmarkEnd w:id="73"/>
      <w:bookmarkEnd w:id="74"/>
      <w:bookmarkEnd w:id="75"/>
      <w:bookmarkEnd w:id="76"/>
      <w:bookmarkEnd w:id="77"/>
      <w:bookmarkEnd w:id="78"/>
    </w:p>
    <w:p>
      <w:pPr>
        <w:pStyle w:val="69"/>
        <w:spacing w:before="156" w:after="156"/>
      </w:pPr>
      <w:bookmarkStart w:id="79" w:name="_Toc17412"/>
      <w:bookmarkStart w:id="80" w:name="_Toc13627"/>
      <w:r>
        <w:rPr>
          <w:rFonts w:hint="eastAsia"/>
        </w:rPr>
        <w:t>工作人员</w:t>
      </w:r>
      <w:bookmarkEnd w:id="79"/>
      <w:bookmarkEnd w:id="80"/>
    </w:p>
    <w:p>
      <w:pPr>
        <w:pStyle w:val="67"/>
        <w:ind w:firstLine="420"/>
      </w:pPr>
      <w:r>
        <w:rPr>
          <w:rFonts w:hint="eastAsia"/>
        </w:rPr>
        <w:t>知识产权公共服务网点应拥有专业的知识产权业务能力团队，知识产权保护中心人员数量、能力要求参照国家知识产权局对国家级知识产权保护中心建设和验收的标准。知识产权保护中心分中心、知识产权工作站应配备3名以上具有一定经验的专兼职工作人员，专职人员不少于2人。工作人员应具有流程管理、事务服务等相关工作经验，宜持有专利代理师资格证书、法律职业资格证书、知识产权师等相关证书。</w:t>
      </w:r>
    </w:p>
    <w:p>
      <w:pPr>
        <w:pStyle w:val="69"/>
        <w:spacing w:before="156" w:after="156"/>
      </w:pPr>
      <w:bookmarkStart w:id="81" w:name="_Toc25331"/>
      <w:bookmarkStart w:id="82" w:name="_Toc23003"/>
      <w:r>
        <w:rPr>
          <w:rFonts w:hint="eastAsia"/>
        </w:rPr>
        <w:t>专家顾问</w:t>
      </w:r>
      <w:bookmarkEnd w:id="81"/>
      <w:bookmarkEnd w:id="82"/>
    </w:p>
    <w:p>
      <w:pPr>
        <w:pStyle w:val="67"/>
        <w:ind w:firstLine="420"/>
      </w:pPr>
      <w:r>
        <w:rPr>
          <w:rFonts w:hint="eastAsia"/>
        </w:rPr>
        <w:t>遴选从事知识产权相关工作满5年，具备相应的专业知识、业务水平、工作技能的专家。入选的专家应定期接受培训和考核，实行动态管理机制。</w:t>
      </w:r>
    </w:p>
    <w:p>
      <w:pPr>
        <w:pStyle w:val="69"/>
        <w:spacing w:before="156" w:after="156"/>
      </w:pPr>
      <w:bookmarkStart w:id="83" w:name="_Toc11425"/>
      <w:bookmarkStart w:id="84" w:name="_Toc28319"/>
      <w:r>
        <w:rPr>
          <w:rFonts w:hint="eastAsia"/>
        </w:rPr>
        <w:t>志愿者</w:t>
      </w:r>
      <w:bookmarkEnd w:id="83"/>
      <w:bookmarkEnd w:id="84"/>
    </w:p>
    <w:p>
      <w:pPr>
        <w:pStyle w:val="67"/>
        <w:ind w:firstLine="420"/>
      </w:pPr>
      <w:bookmarkStart w:id="85" w:name="OLE_LINK1"/>
      <w:r>
        <w:rPr>
          <w:rFonts w:hint="eastAsia"/>
        </w:rPr>
        <w:t>服务网点可根据实际需求招募知识产权服务志愿者若干，志愿者应具备相应的专业知识和工作经验。入选的志愿者应定期接受培训和考核，实行动态管理机制。</w:t>
      </w:r>
    </w:p>
    <w:bookmarkEnd w:id="85"/>
    <w:p>
      <w:pPr>
        <w:pStyle w:val="65"/>
        <w:spacing w:before="156" w:after="156"/>
      </w:pPr>
      <w:bookmarkStart w:id="86" w:name="_Toc30866"/>
      <w:bookmarkStart w:id="87" w:name="_Toc11095"/>
      <w:bookmarkStart w:id="88" w:name="_Toc176113888"/>
      <w:bookmarkStart w:id="89" w:name="_Toc175734857"/>
      <w:bookmarkStart w:id="90" w:name="_Toc183598634"/>
      <w:bookmarkStart w:id="91" w:name="_Toc176766242"/>
      <w:bookmarkStart w:id="92" w:name="_Toc175737229"/>
      <w:bookmarkStart w:id="93" w:name="_Toc175745065"/>
      <w:r>
        <w:rPr>
          <w:rFonts w:hint="eastAsia"/>
        </w:rPr>
        <w:t>业务窗口</w:t>
      </w:r>
      <w:bookmarkEnd w:id="86"/>
      <w:bookmarkEnd w:id="87"/>
      <w:bookmarkEnd w:id="88"/>
      <w:bookmarkEnd w:id="89"/>
      <w:bookmarkEnd w:id="90"/>
      <w:bookmarkEnd w:id="91"/>
      <w:bookmarkEnd w:id="92"/>
      <w:bookmarkEnd w:id="93"/>
    </w:p>
    <w:p>
      <w:pPr>
        <w:pStyle w:val="68"/>
      </w:pPr>
      <w:r>
        <w:rPr>
          <w:rFonts w:hint="eastAsia"/>
        </w:rPr>
        <w:t>服务网点应设置窗口服务台、服务评价系统。窗口服务台，宜采用“低台敞开式”，台面应统一设置、摆放各种标志和宣传资料，柜台外侧放置座椅、服务评价设备，用于接受服务对象监督与评价。</w:t>
      </w:r>
    </w:p>
    <w:p>
      <w:pPr>
        <w:pStyle w:val="68"/>
      </w:pPr>
      <w:r>
        <w:rPr>
          <w:rFonts w:hint="eastAsia"/>
        </w:rPr>
        <w:t>窗口应配备桌椅、电脑、打印机、必要的办公用品（签字笔、纸张、胶水、订书机等）、盆栽植物、“一米线”等物品。</w:t>
      </w:r>
    </w:p>
    <w:p>
      <w:pPr>
        <w:pStyle w:val="68"/>
      </w:pPr>
      <w:r>
        <w:rPr>
          <w:rFonts w:hint="eastAsia"/>
        </w:rPr>
        <w:t>窗口应设置醒目的、便于识别的办事引导标志和警示标志。公共信息图形符号应符合GB/T</w:t>
      </w:r>
      <w:r>
        <w:rPr>
          <w:rFonts w:hint="eastAsia"/>
          <w:lang w:val="en-US" w:eastAsia="zh-CN"/>
        </w:rPr>
        <w:t xml:space="preserve"> </w:t>
      </w:r>
      <w:r>
        <w:rPr>
          <w:rFonts w:hint="eastAsia"/>
        </w:rPr>
        <w:t>2893.1、GB 2894、GB/T 10001.1的规定。</w:t>
      </w:r>
    </w:p>
    <w:p>
      <w:pPr>
        <w:pStyle w:val="68"/>
      </w:pPr>
      <w:r>
        <w:rPr>
          <w:rFonts w:hint="eastAsia"/>
        </w:rPr>
        <w:t>窗口宜配置显示屏或展板，用于窗口编号、工作人员信息、服务事项展示。</w:t>
      </w:r>
    </w:p>
    <w:p>
      <w:pPr>
        <w:pStyle w:val="65"/>
        <w:spacing w:before="156" w:after="156"/>
      </w:pPr>
      <w:bookmarkStart w:id="94" w:name="_Toc175737230"/>
      <w:bookmarkStart w:id="95" w:name="_Toc183598635"/>
      <w:bookmarkStart w:id="96" w:name="_Toc176113889"/>
      <w:bookmarkStart w:id="97" w:name="_Toc176766243"/>
      <w:bookmarkStart w:id="98" w:name="_Toc175745066"/>
      <w:bookmarkStart w:id="99" w:name="_Toc15187"/>
      <w:bookmarkStart w:id="100" w:name="_Toc1153"/>
      <w:bookmarkStart w:id="101" w:name="_Toc175734858"/>
      <w:r>
        <w:rPr>
          <w:rFonts w:hint="eastAsia"/>
        </w:rPr>
        <w:t>窗口人员</w:t>
      </w:r>
      <w:bookmarkEnd w:id="94"/>
      <w:bookmarkEnd w:id="95"/>
      <w:bookmarkEnd w:id="96"/>
      <w:bookmarkEnd w:id="97"/>
      <w:bookmarkEnd w:id="98"/>
      <w:bookmarkEnd w:id="99"/>
      <w:bookmarkEnd w:id="100"/>
      <w:bookmarkEnd w:id="101"/>
    </w:p>
    <w:p>
      <w:pPr>
        <w:pStyle w:val="69"/>
        <w:spacing w:before="156" w:after="156"/>
      </w:pPr>
      <w:bookmarkStart w:id="102" w:name="_Toc4454"/>
      <w:bookmarkStart w:id="103" w:name="_Toc21349"/>
      <w:r>
        <w:rPr>
          <w:rFonts w:hint="eastAsia"/>
        </w:rPr>
        <w:t>着装</w:t>
      </w:r>
      <w:bookmarkEnd w:id="102"/>
      <w:bookmarkEnd w:id="103"/>
    </w:p>
    <w:p>
      <w:pPr>
        <w:pStyle w:val="78"/>
      </w:pPr>
      <w:r>
        <w:rPr>
          <w:rFonts w:hint="eastAsia"/>
        </w:rPr>
        <w:t>工作人员应穿着工作服，要求着装得体。临时人员或新来未配工作服的人员应着相近服装，佩戴临时工作标志。</w:t>
      </w:r>
    </w:p>
    <w:p>
      <w:pPr>
        <w:pStyle w:val="78"/>
      </w:pPr>
      <w:r>
        <w:rPr>
          <w:rFonts w:hint="eastAsia"/>
        </w:rPr>
        <w:t>不应披衣、敞怀、挽袖、卷裤腿、脱鞋。</w:t>
      </w:r>
    </w:p>
    <w:p>
      <w:pPr>
        <w:pStyle w:val="78"/>
      </w:pPr>
      <w:r>
        <w:rPr>
          <w:rFonts w:hint="eastAsia"/>
        </w:rPr>
        <w:t>应穿黑色或其他深色鞋，不应赤脚穿鞋或穿拖鞋。</w:t>
      </w:r>
    </w:p>
    <w:p>
      <w:pPr>
        <w:pStyle w:val="69"/>
        <w:spacing w:before="156" w:after="156"/>
      </w:pPr>
      <w:bookmarkStart w:id="104" w:name="_Toc6352"/>
      <w:bookmarkStart w:id="105" w:name="_Toc9170"/>
      <w:r>
        <w:rPr>
          <w:rFonts w:hint="eastAsia"/>
        </w:rPr>
        <w:t>仪容仪表</w:t>
      </w:r>
      <w:bookmarkEnd w:id="104"/>
      <w:bookmarkEnd w:id="105"/>
    </w:p>
    <w:p>
      <w:pPr>
        <w:pStyle w:val="78"/>
      </w:pPr>
      <w:r>
        <w:rPr>
          <w:rFonts w:hint="eastAsia"/>
        </w:rPr>
        <w:t>应坐姿端正，不应架腿、来回晃椅、斜视、背对服务对象。</w:t>
      </w:r>
    </w:p>
    <w:p>
      <w:pPr>
        <w:pStyle w:val="78"/>
      </w:pPr>
      <w:r>
        <w:rPr>
          <w:rFonts w:hint="eastAsia"/>
        </w:rPr>
        <w:t>女同志仪容仪表应保持端庄，不着奇装异服，男同志不应留长发、剃光头或者蓄胡须。</w:t>
      </w:r>
      <w:r>
        <w:t xml:space="preserve"> </w:t>
      </w:r>
    </w:p>
    <w:p>
      <w:pPr>
        <w:pStyle w:val="78"/>
      </w:pPr>
      <w:r>
        <w:rPr>
          <w:rFonts w:hint="eastAsia"/>
        </w:rPr>
        <w:t>不应将腿、脚跷在台面或椅子上、半躺或仰躺在椅子上、伏在台面上以及做出其他散漫之举。</w:t>
      </w:r>
    </w:p>
    <w:p>
      <w:pPr>
        <w:pStyle w:val="69"/>
        <w:spacing w:before="156" w:after="156"/>
      </w:pPr>
      <w:bookmarkStart w:id="106" w:name="_Toc22163"/>
      <w:bookmarkStart w:id="107" w:name="_Toc30647"/>
      <w:r>
        <w:rPr>
          <w:rFonts w:hint="eastAsia"/>
          <w:lang w:val="en-US" w:eastAsia="zh-CN"/>
        </w:rPr>
        <w:t>接待要求</w:t>
      </w:r>
      <w:bookmarkEnd w:id="106"/>
      <w:bookmarkEnd w:id="107"/>
    </w:p>
    <w:p>
      <w:pPr>
        <w:pStyle w:val="78"/>
      </w:pPr>
      <w:r>
        <w:rPr>
          <w:rFonts w:hint="eastAsia"/>
        </w:rPr>
        <w:t>应使用普通话，语气温和，口齿清晰，声量适当，用语文明。</w:t>
      </w:r>
    </w:p>
    <w:p>
      <w:pPr>
        <w:pStyle w:val="78"/>
      </w:pPr>
      <w:r>
        <w:rPr>
          <w:rFonts w:hint="eastAsia"/>
        </w:rPr>
        <w:t>接待服务对象应态度亲切、耐心细致。现场接待，应全程微笑服务，主动向服务对象打招呼，做到来有迎声，走有送声；接听电话，应态度亲切，礼貌用语，对服务对象的咨询、提问及时准确回复。</w:t>
      </w:r>
    </w:p>
    <w:p>
      <w:pPr>
        <w:pStyle w:val="78"/>
      </w:pPr>
      <w:r>
        <w:rPr>
          <w:rFonts w:hint="eastAsia"/>
        </w:rPr>
        <w:t>接交服务对象相关材料时，应使用双手，轻拿轻放。</w:t>
      </w:r>
    </w:p>
    <w:p>
      <w:pPr>
        <w:pStyle w:val="78"/>
      </w:pPr>
      <w:r>
        <w:rPr>
          <w:rFonts w:hint="eastAsia"/>
        </w:rPr>
        <w:t>群众情绪激动时应冷静理智，沉着应对，做好疏导解释工作，不与群众发生争吵，对于群众提出的合理建议，应研究采纳。</w:t>
      </w:r>
    </w:p>
    <w:p>
      <w:pPr>
        <w:pStyle w:val="69"/>
        <w:spacing w:before="156" w:after="156"/>
      </w:pPr>
      <w:bookmarkStart w:id="108" w:name="_Toc18536"/>
      <w:bookmarkStart w:id="109" w:name="_Toc15683"/>
      <w:r>
        <w:rPr>
          <w:rFonts w:hint="eastAsia"/>
        </w:rPr>
        <w:t>纪律要求</w:t>
      </w:r>
      <w:bookmarkEnd w:id="108"/>
      <w:bookmarkEnd w:id="109"/>
    </w:p>
    <w:p>
      <w:pPr>
        <w:pStyle w:val="78"/>
      </w:pPr>
      <w:r>
        <w:rPr>
          <w:rFonts w:hint="eastAsia"/>
        </w:rPr>
        <w:t>遵守请假、销假制度，不应无故迟到、早退、缺勤和脱岗。</w:t>
      </w:r>
    </w:p>
    <w:p>
      <w:pPr>
        <w:pStyle w:val="78"/>
      </w:pPr>
      <w:r>
        <w:rPr>
          <w:rFonts w:hint="eastAsia"/>
        </w:rPr>
        <w:t>保持工作场所安静有序，不应大声喧哗、串岗聊天、嬉笑打闹。</w:t>
      </w:r>
    </w:p>
    <w:p>
      <w:pPr>
        <w:pStyle w:val="78"/>
      </w:pPr>
      <w:r>
        <w:rPr>
          <w:rFonts w:hint="eastAsia"/>
        </w:rPr>
        <w:t>私人物品入屉入柜，除工作所需用品外，其他物品不应放在窗口服务台，柜面前台随走随清。</w:t>
      </w:r>
    </w:p>
    <w:p>
      <w:pPr>
        <w:pStyle w:val="78"/>
      </w:pPr>
      <w:r>
        <w:rPr>
          <w:rFonts w:hint="eastAsia"/>
        </w:rPr>
        <w:t>不应利用各类通讯工具做其他与工作、学习无关的事，包括但不限于佩戴耳机、玩游戏、看视频、玩手机。</w:t>
      </w:r>
    </w:p>
    <w:p>
      <w:pPr>
        <w:pStyle w:val="78"/>
      </w:pPr>
      <w:r>
        <w:rPr>
          <w:rFonts w:hint="eastAsia"/>
        </w:rPr>
        <w:t>不应在窗口和公共服务区域吸烟、进食。</w:t>
      </w:r>
    </w:p>
    <w:p>
      <w:pPr>
        <w:pStyle w:val="66"/>
        <w:spacing w:before="312" w:after="312"/>
        <w:rPr>
          <w:rFonts w:hint="eastAsia"/>
          <w:lang w:val="en-US" w:eastAsia="zh-CN"/>
        </w:rPr>
      </w:pPr>
      <w:bookmarkStart w:id="110" w:name="_Toc16585"/>
      <w:r>
        <w:rPr>
          <w:rFonts w:hint="eastAsia"/>
          <w:lang w:val="en-US" w:eastAsia="zh-CN"/>
        </w:rPr>
        <w:t>设施设备</w:t>
      </w:r>
      <w:bookmarkEnd w:id="110"/>
    </w:p>
    <w:p>
      <w:pPr>
        <w:pStyle w:val="65"/>
        <w:spacing w:before="156" w:after="156"/>
        <w:rPr>
          <w:rFonts w:hint="eastAsia"/>
        </w:rPr>
      </w:pPr>
      <w:bookmarkStart w:id="111" w:name="_Toc2281"/>
      <w:bookmarkStart w:id="112" w:name="_Toc25007"/>
      <w:r>
        <w:rPr>
          <w:rFonts w:hint="eastAsia"/>
        </w:rPr>
        <w:t>基础设施</w:t>
      </w:r>
      <w:bookmarkEnd w:id="111"/>
      <w:bookmarkEnd w:id="112"/>
    </w:p>
    <w:p>
      <w:pPr>
        <w:pStyle w:val="67"/>
        <w:ind w:firstLine="420"/>
      </w:pPr>
      <w:r>
        <w:rPr>
          <w:rFonts w:hint="eastAsia"/>
        </w:rPr>
        <w:t>知识产权公共服务网点应具有适合开展知识产权公共服务所需的工作场地、网络环境、硬件设备、系统软件等相关办公基础设施，包括但不限于：</w:t>
      </w:r>
    </w:p>
    <w:p>
      <w:pPr>
        <w:pStyle w:val="80"/>
        <w:numPr>
          <w:ilvl w:val="0"/>
          <w:numId w:val="0"/>
        </w:numPr>
        <w:ind w:left="425" w:leftChars="0"/>
      </w:pPr>
      <w:r>
        <w:rPr>
          <w:rFonts w:hint="eastAsia" w:ascii="黑体" w:hAnsi="黑体" w:eastAsia="黑体" w:cs="黑体"/>
          <w:lang w:val="en-US" w:eastAsia="zh-CN"/>
        </w:rPr>
        <w:t>——</w:t>
      </w:r>
      <w:r>
        <w:rPr>
          <w:rFonts w:hint="eastAsia"/>
        </w:rPr>
        <w:t>工作场所：服务网点应设在市场主体聚集、交通便利、配套设施完善、环境良好的场地；</w:t>
      </w:r>
    </w:p>
    <w:p>
      <w:pPr>
        <w:pStyle w:val="80"/>
        <w:numPr>
          <w:ilvl w:val="0"/>
          <w:numId w:val="0"/>
        </w:numPr>
        <w:ind w:left="425" w:leftChars="0"/>
      </w:pPr>
      <w:r>
        <w:rPr>
          <w:rFonts w:hint="eastAsia" w:ascii="黑体" w:hAnsi="黑体" w:eastAsia="黑体" w:cs="黑体"/>
          <w:lang w:val="en-US" w:eastAsia="zh-CN"/>
        </w:rPr>
        <w:t>——</w:t>
      </w:r>
      <w:r>
        <w:rPr>
          <w:rFonts w:hint="eastAsia"/>
        </w:rPr>
        <w:t>办公设备：配备工作人员办公使用的电脑、打印机、扫描仪等；</w:t>
      </w:r>
    </w:p>
    <w:p>
      <w:pPr>
        <w:pStyle w:val="80"/>
        <w:numPr>
          <w:ilvl w:val="0"/>
          <w:numId w:val="0"/>
        </w:numPr>
        <w:ind w:left="844" w:leftChars="202" w:hanging="420" w:hangingChars="200"/>
      </w:pPr>
      <w:r>
        <w:rPr>
          <w:rFonts w:hint="eastAsia" w:ascii="黑体" w:hAnsi="黑体" w:eastAsia="黑体" w:cs="黑体"/>
          <w:lang w:val="en-US" w:eastAsia="zh-CN"/>
        </w:rPr>
        <w:t>——</w:t>
      </w:r>
      <w:r>
        <w:rPr>
          <w:rFonts w:hint="eastAsia"/>
        </w:rPr>
        <w:t>宣传设备：配备宣传资料架或电子宣传屏，展示商标、专利、集成电路布图设计、版权等知识产权服务指南；</w:t>
      </w:r>
    </w:p>
    <w:p>
      <w:pPr>
        <w:pStyle w:val="80"/>
        <w:numPr>
          <w:ilvl w:val="0"/>
          <w:numId w:val="0"/>
        </w:numPr>
        <w:ind w:left="844" w:leftChars="202" w:hanging="420" w:hangingChars="200"/>
      </w:pPr>
      <w:r>
        <w:rPr>
          <w:rFonts w:hint="eastAsia" w:ascii="黑体" w:hAnsi="黑体" w:eastAsia="黑体" w:cs="黑体"/>
          <w:lang w:val="en-US" w:eastAsia="zh-CN"/>
        </w:rPr>
        <w:t>——</w:t>
      </w:r>
      <w:r>
        <w:rPr>
          <w:rFonts w:hint="eastAsia"/>
        </w:rPr>
        <w:t>便民设备：至少配备联网电脑一台，电脑需安装好打印机、扫描仪，申请人可以在服务网点查询或在线办理各项业务，设置意见箱、饮水机、雨伞等设施；</w:t>
      </w:r>
    </w:p>
    <w:p>
      <w:pPr>
        <w:pStyle w:val="80"/>
        <w:numPr>
          <w:ilvl w:val="0"/>
          <w:numId w:val="0"/>
        </w:numPr>
        <w:ind w:left="425" w:leftChars="0"/>
      </w:pPr>
      <w:r>
        <w:rPr>
          <w:rFonts w:hint="eastAsia" w:ascii="黑体" w:hAnsi="黑体" w:eastAsia="黑体" w:cs="黑体"/>
          <w:lang w:val="en-US" w:eastAsia="zh-CN"/>
        </w:rPr>
        <w:t>——</w:t>
      </w:r>
      <w:r>
        <w:rPr>
          <w:rFonts w:hint="eastAsia"/>
        </w:rPr>
        <w:t>其他设备：根据相关法律法规要求配备安全、环保等基础设施。</w:t>
      </w:r>
    </w:p>
    <w:p>
      <w:pPr>
        <w:pStyle w:val="65"/>
        <w:spacing w:before="156" w:after="156"/>
        <w:rPr>
          <w:rFonts w:hint="eastAsia"/>
        </w:rPr>
      </w:pPr>
      <w:bookmarkStart w:id="113" w:name="_Toc8503"/>
      <w:bookmarkStart w:id="114" w:name="_Toc2787"/>
      <w:r>
        <w:rPr>
          <w:rFonts w:hint="eastAsia"/>
        </w:rPr>
        <w:t>信息资源工具</w:t>
      </w:r>
      <w:bookmarkEnd w:id="113"/>
      <w:bookmarkEnd w:id="114"/>
    </w:p>
    <w:p>
      <w:pPr>
        <w:pStyle w:val="68"/>
        <w:rPr>
          <w:rFonts w:hint="eastAsia"/>
          <w:lang w:val="en-US" w:eastAsia="zh-CN"/>
        </w:rPr>
      </w:pPr>
      <w:r>
        <w:rPr>
          <w:rFonts w:hint="eastAsia"/>
          <w:lang w:val="en-US" w:eastAsia="zh-CN"/>
        </w:rPr>
        <w:t>开展商标业务的公共服务网点，应当具有自建、购买或租用的商标数据库和信息检索工具等。</w:t>
      </w:r>
    </w:p>
    <w:p>
      <w:pPr>
        <w:pStyle w:val="68"/>
        <w:rPr>
          <w:rFonts w:hint="eastAsia"/>
          <w:lang w:val="en-US" w:eastAsia="zh-CN"/>
        </w:rPr>
      </w:pPr>
      <w:r>
        <w:rPr>
          <w:rFonts w:hint="eastAsia"/>
          <w:lang w:val="en-US" w:eastAsia="zh-CN"/>
        </w:rPr>
        <w:t>开展专利业务的公共服务网点，应当具有自建、购买或租用的国内外专利文献资料、数据库和信息分析工具等。</w:t>
      </w:r>
    </w:p>
    <w:p>
      <w:pPr>
        <w:pStyle w:val="68"/>
        <w:rPr>
          <w:rFonts w:hint="eastAsia"/>
          <w:lang w:val="en-US" w:eastAsia="zh-CN"/>
        </w:rPr>
      </w:pPr>
      <w:r>
        <w:rPr>
          <w:rFonts w:hint="eastAsia"/>
          <w:lang w:val="en-US" w:eastAsia="zh-CN"/>
        </w:rPr>
        <w:t>在商标、专利、集成电路布图设计等开展知识产权综合业务的公共服务网点，应当具备综合运用知识产权基础信息资源、数据库及检索工具的能力。</w:t>
      </w:r>
    </w:p>
    <w:p>
      <w:pPr>
        <w:pStyle w:val="68"/>
        <w:rPr>
          <w:rFonts w:hint="eastAsia"/>
          <w:lang w:val="en-US" w:eastAsia="zh-CN"/>
        </w:rPr>
      </w:pPr>
      <w:r>
        <w:rPr>
          <w:rFonts w:hint="eastAsia"/>
          <w:lang w:val="en-US" w:eastAsia="zh-CN"/>
        </w:rPr>
        <w:t>设立共享账号，对于人数不足的公共服务网点，应使用共享账号资源。</w:t>
      </w:r>
    </w:p>
    <w:p>
      <w:pPr>
        <w:pStyle w:val="66"/>
        <w:spacing w:before="312" w:after="312"/>
      </w:pPr>
      <w:bookmarkStart w:id="115" w:name="_Toc175734861"/>
      <w:bookmarkStart w:id="116" w:name="_Toc175737233"/>
      <w:bookmarkStart w:id="117" w:name="_Toc183598638"/>
      <w:bookmarkStart w:id="118" w:name="_Toc176113892"/>
      <w:bookmarkStart w:id="119" w:name="_Toc16021"/>
      <w:bookmarkStart w:id="120" w:name="_Toc31984"/>
      <w:bookmarkStart w:id="121" w:name="_Toc175745069"/>
      <w:bookmarkStart w:id="122" w:name="_Toc176766246"/>
      <w:r>
        <w:rPr>
          <w:rFonts w:hint="eastAsia"/>
        </w:rPr>
        <w:t>服务</w:t>
      </w:r>
      <w:bookmarkEnd w:id="115"/>
      <w:bookmarkEnd w:id="116"/>
      <w:r>
        <w:rPr>
          <w:rFonts w:hint="eastAsia"/>
        </w:rPr>
        <w:t>内容</w:t>
      </w:r>
      <w:bookmarkEnd w:id="117"/>
      <w:bookmarkEnd w:id="118"/>
      <w:bookmarkEnd w:id="119"/>
      <w:bookmarkEnd w:id="120"/>
      <w:bookmarkEnd w:id="121"/>
      <w:bookmarkEnd w:id="122"/>
    </w:p>
    <w:p>
      <w:pPr>
        <w:pStyle w:val="65"/>
        <w:spacing w:before="156" w:after="156"/>
      </w:pPr>
      <w:bookmarkStart w:id="123" w:name="_Toc175745070"/>
      <w:bookmarkStart w:id="124" w:name="_Toc175737234"/>
      <w:bookmarkStart w:id="125" w:name="_Toc176113893"/>
      <w:bookmarkStart w:id="126" w:name="_Toc176766247"/>
      <w:bookmarkStart w:id="127" w:name="_Toc175734862"/>
      <w:bookmarkStart w:id="128" w:name="_Toc23692"/>
      <w:bookmarkStart w:id="129" w:name="_Toc28625"/>
      <w:bookmarkStart w:id="130" w:name="_Toc183598639"/>
      <w:r>
        <w:rPr>
          <w:rFonts w:hint="eastAsia"/>
        </w:rPr>
        <w:t>服务</w:t>
      </w:r>
      <w:bookmarkEnd w:id="123"/>
      <w:bookmarkEnd w:id="124"/>
      <w:bookmarkEnd w:id="125"/>
      <w:bookmarkEnd w:id="126"/>
      <w:bookmarkEnd w:id="127"/>
      <w:r>
        <w:rPr>
          <w:rFonts w:hint="eastAsia"/>
        </w:rPr>
        <w:t>事项</w:t>
      </w:r>
      <w:bookmarkEnd w:id="128"/>
      <w:bookmarkEnd w:id="129"/>
      <w:bookmarkEnd w:id="130"/>
    </w:p>
    <w:p>
      <w:pPr>
        <w:pStyle w:val="18"/>
        <w:keepNext w:val="0"/>
        <w:keepLines w:val="0"/>
        <w:widowControl w:val="0"/>
        <w:numPr>
          <w:ilvl w:val="3"/>
          <w:numId w:val="8"/>
        </w:numPr>
        <w:suppressLineNumbers w:val="0"/>
        <w:adjustRightInd/>
        <w:spacing w:before="156" w:beforeLines="50" w:beforeAutospacing="0" w:after="156" w:afterLines="50" w:afterAutospacing="0" w:line="240" w:lineRule="auto"/>
        <w:ind w:left="0" w:right="0" w:firstLine="0"/>
        <w:jc w:val="both"/>
        <w:outlineLvl w:val="2"/>
        <w:rPr>
          <w:lang w:val="en-US"/>
        </w:rPr>
      </w:pPr>
      <w:bookmarkStart w:id="131" w:name="_Toc26031"/>
      <w:r>
        <w:rPr>
          <w:rFonts w:hint="eastAsia" w:ascii="黑体" w:hAnsi="Times New Roman" w:eastAsia="黑体" w:cs="Times New Roman"/>
          <w:kern w:val="0"/>
          <w:sz w:val="21"/>
          <w:szCs w:val="20"/>
          <w:lang w:val="en-US" w:eastAsia="zh-CN" w:bidi="ar"/>
        </w:rPr>
        <w:t>知识产权公共服务基础业务</w:t>
      </w:r>
      <w:bookmarkEnd w:id="131"/>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政策宣贯：充分利用服务指南、宣传页、报刊、网络等载体，通过广告宣传、发放传单、张贴标识、召开会议等形式，多方位、多维度的宣传最新知识产权相关政策，提高社会公众的知识产权创新及保护意识。</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公益培训：根据申请人的需求，明确培训主题及主要内容，采取线上线下的形式，有计划有组织的实施培训活动，提高培训对象对培训主题的认知和理解。</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事务咨询：知识产权公共服务网点根据自身服务范围及公共服务事项清单，接受服务对象的来电咨询、窗口咨询、网络咨询等，为社会公众提供专业、及时、准确、符合服务对象需求的解决方案。</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信息查询：知识产权公共服务网点通过信息资源工具帮助申请人获取知识产权相关信息，为创新与保护提供数据支持。</w:t>
      </w:r>
    </w:p>
    <w:p>
      <w:pPr>
        <w:pStyle w:val="18"/>
        <w:keepNext w:val="0"/>
        <w:keepLines w:val="0"/>
        <w:widowControl w:val="0"/>
        <w:numPr>
          <w:ilvl w:val="3"/>
          <w:numId w:val="8"/>
        </w:numPr>
        <w:suppressLineNumbers w:val="0"/>
        <w:adjustRightInd/>
        <w:spacing w:before="156" w:beforeLines="50" w:beforeAutospacing="0" w:after="156" w:afterLines="50" w:afterAutospacing="0" w:line="240" w:lineRule="auto"/>
        <w:ind w:left="0" w:right="0" w:firstLine="0"/>
        <w:jc w:val="both"/>
        <w:outlineLvl w:val="2"/>
        <w:rPr>
          <w:lang w:val="en-US"/>
        </w:rPr>
      </w:pPr>
      <w:bookmarkStart w:id="132" w:name="_Toc13986"/>
      <w:r>
        <w:rPr>
          <w:rFonts w:hint="eastAsia" w:ascii="黑体" w:hAnsi="Times New Roman" w:eastAsia="黑体" w:cs="Times New Roman"/>
          <w:kern w:val="0"/>
          <w:sz w:val="21"/>
          <w:szCs w:val="20"/>
          <w:lang w:val="en-US" w:eastAsia="zh-CN" w:bidi="ar"/>
        </w:rPr>
        <w:t>知识产权公共服务特色业务</w:t>
      </w:r>
      <w:bookmarkEnd w:id="132"/>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信息检索：利用专利、商标等检索工具，为申请人提供全面的知识产权信息获取服务，支持创新创造活动。</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专利导航：在宏观决策、产业规划、企业经营和创新活动中，以专利数据为核心深度融合各类数据资源，全景式分析区域发展定位、产业竞争格局、企业经营决策和技术创新方向，服务创新资源有效配置，提高决策精准度和科学性的新型专利信息应用模式，从而引导企业和个人有效利用专利信息，制定创新策略并优化专利布局。按照GB/T 39551提供专利导航服务。</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专利预警：提前识别潜在的知识产权风险，提供预防和应对策略，保护创新成果。</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维权保护：通过法律手段，维护权利人的合法权益。</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技术成果转化：推动知识产权成果从科研到市场的转化，实现其技术的商业价值。</w:t>
      </w:r>
    </w:p>
    <w:p>
      <w:pPr>
        <w:pStyle w:val="18"/>
        <w:keepNext w:val="0"/>
        <w:keepLines w:val="0"/>
        <w:widowControl w:val="0"/>
        <w:numPr>
          <w:ilvl w:val="3"/>
          <w:numId w:val="8"/>
        </w:numPr>
        <w:suppressLineNumbers w:val="0"/>
        <w:adjustRightInd/>
        <w:spacing w:before="156" w:beforeLines="50" w:beforeAutospacing="0" w:after="156" w:afterLines="50" w:afterAutospacing="0" w:line="240" w:lineRule="auto"/>
        <w:ind w:left="0" w:right="0" w:firstLine="0"/>
        <w:jc w:val="both"/>
        <w:outlineLvl w:val="2"/>
        <w:rPr>
          <w:lang w:val="en-US"/>
        </w:rPr>
      </w:pPr>
      <w:bookmarkStart w:id="133" w:name="_Toc32357"/>
      <w:r>
        <w:rPr>
          <w:rFonts w:hint="eastAsia" w:ascii="黑体" w:hAnsi="Times New Roman" w:eastAsia="黑体" w:cs="Times New Roman"/>
          <w:kern w:val="0"/>
          <w:sz w:val="21"/>
          <w:szCs w:val="20"/>
          <w:lang w:val="en-US" w:eastAsia="zh-CN" w:bidi="ar"/>
        </w:rPr>
        <w:t>知识产权公共服务专线业务</w:t>
      </w:r>
      <w:bookmarkEnd w:id="133"/>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专线业务需经国家知识产权局审批。</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专利、商标、集成电路布图设计等受理业务：向申请人提供一站式知识产权确权申请受理服务。</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专利信息服务：向申请人提供专利权登记副本、批量法律状态证明、优先权文件、查阅复制等专利信息服务。</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专利运用服务：向申请人提供专利权质押合同备案登记、专利实施许可合同备案登记、开放许可等专利转化运用服务，推动技术创新与知识产权的结合。</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缴费服务：为申请人提供专利、商标、集成电路布图设计等官费收缴业务。</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商标权质押业务：为申请人提供商标权质押登记合同备案。</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集成电路布图设计全流程审查业务：为申请人提供集成电路布图设计登记申请、审查、发文等全流程业务。</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国家知识产权局专利局授权的试点业务：探索新型知识产权服务模式，推动行业创新发展。</w:t>
      </w:r>
    </w:p>
    <w:p>
      <w:pPr>
        <w:pStyle w:val="65"/>
        <w:spacing w:before="156" w:after="156"/>
      </w:pPr>
      <w:bookmarkStart w:id="134" w:name="_Toc175745067"/>
      <w:bookmarkStart w:id="135" w:name="_Toc12814"/>
      <w:bookmarkStart w:id="136" w:name="_Toc183598636"/>
      <w:bookmarkStart w:id="137" w:name="_Toc175737231"/>
      <w:bookmarkStart w:id="138" w:name="_Toc176113890"/>
      <w:bookmarkStart w:id="139" w:name="_Toc176766244"/>
      <w:bookmarkStart w:id="140" w:name="_Toc14392"/>
      <w:bookmarkStart w:id="141" w:name="_Toc175734859"/>
      <w:r>
        <w:rPr>
          <w:rFonts w:hint="eastAsia"/>
        </w:rPr>
        <w:t>服务能力</w:t>
      </w:r>
      <w:bookmarkEnd w:id="134"/>
      <w:bookmarkEnd w:id="135"/>
      <w:bookmarkEnd w:id="136"/>
      <w:bookmarkEnd w:id="137"/>
      <w:bookmarkEnd w:id="138"/>
      <w:bookmarkEnd w:id="139"/>
      <w:bookmarkEnd w:id="140"/>
      <w:bookmarkEnd w:id="141"/>
    </w:p>
    <w:p>
      <w:pPr>
        <w:pStyle w:val="18"/>
        <w:keepNext w:val="0"/>
        <w:keepLines w:val="0"/>
        <w:widowControl w:val="0"/>
        <w:numPr>
          <w:ilvl w:val="3"/>
          <w:numId w:val="8"/>
        </w:numPr>
        <w:suppressLineNumbers w:val="0"/>
        <w:adjustRightInd/>
        <w:spacing w:before="156" w:beforeLines="50" w:beforeAutospacing="0" w:after="156" w:afterLines="50" w:afterAutospacing="0" w:line="240" w:lineRule="auto"/>
        <w:ind w:left="0" w:right="0" w:firstLine="0"/>
        <w:jc w:val="both"/>
        <w:outlineLvl w:val="2"/>
        <w:rPr>
          <w:rFonts w:hint="eastAsia" w:ascii="黑体" w:hAnsi="Times New Roman" w:eastAsia="黑体" w:cs="Times New Roman"/>
          <w:kern w:val="0"/>
          <w:sz w:val="21"/>
          <w:szCs w:val="20"/>
          <w:lang w:val="en-US" w:eastAsia="zh-CN" w:bidi="ar"/>
        </w:rPr>
      </w:pPr>
      <w:bookmarkStart w:id="142" w:name="_Toc21656"/>
      <w:r>
        <w:rPr>
          <w:rFonts w:hint="eastAsia" w:ascii="黑体" w:hAnsi="Times New Roman" w:eastAsia="黑体" w:cs="Times New Roman"/>
          <w:kern w:val="0"/>
          <w:sz w:val="21"/>
          <w:szCs w:val="20"/>
          <w:lang w:val="en-US" w:eastAsia="zh-CN" w:bidi="ar"/>
        </w:rPr>
        <w:t>专业知识储备</w:t>
      </w:r>
      <w:bookmarkEnd w:id="142"/>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熟悉专利、商标、版权、地理标志等知识产权的申请流程、保护范围和常见问题。</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及时更新《专利法》《商标法》《著作权法》等法律法规及地方政策，能准确解答政策咨询。</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了解知识产权领域的新趋势。</w:t>
      </w:r>
    </w:p>
    <w:p>
      <w:pPr>
        <w:pStyle w:val="18"/>
        <w:keepNext w:val="0"/>
        <w:keepLines w:val="0"/>
        <w:widowControl w:val="0"/>
        <w:numPr>
          <w:ilvl w:val="3"/>
          <w:numId w:val="8"/>
        </w:numPr>
        <w:suppressLineNumbers w:val="0"/>
        <w:adjustRightInd/>
        <w:spacing w:before="156" w:beforeLines="50" w:beforeAutospacing="0" w:after="156" w:afterLines="50" w:afterAutospacing="0" w:line="240" w:lineRule="auto"/>
        <w:ind w:left="0" w:right="0" w:firstLine="0"/>
        <w:jc w:val="both"/>
        <w:outlineLvl w:val="2"/>
        <w:rPr>
          <w:rFonts w:hint="eastAsia" w:ascii="黑体" w:hAnsi="Times New Roman" w:eastAsia="黑体" w:cs="Times New Roman"/>
          <w:kern w:val="0"/>
          <w:sz w:val="21"/>
          <w:szCs w:val="20"/>
          <w:lang w:val="en-US" w:eastAsia="zh-CN" w:bidi="ar"/>
        </w:rPr>
      </w:pPr>
      <w:bookmarkStart w:id="143" w:name="_Toc27234"/>
      <w:r>
        <w:rPr>
          <w:rFonts w:hint="eastAsia" w:ascii="黑体" w:hAnsi="Times New Roman" w:eastAsia="黑体" w:cs="Times New Roman"/>
          <w:kern w:val="0"/>
          <w:sz w:val="21"/>
          <w:szCs w:val="20"/>
          <w:lang w:val="en-US" w:eastAsia="zh-CN" w:bidi="ar"/>
        </w:rPr>
        <w:t>沟通与问题解决能力</w:t>
      </w:r>
      <w:bookmarkEnd w:id="143"/>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能用通俗语言向不同背景的申请人解释专业术语和流程。</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快速判断用户真实需求。</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lang w:val="en-US"/>
        </w:rPr>
      </w:pPr>
      <w:r>
        <w:rPr>
          <w:rFonts w:hint="eastAsia" w:ascii="宋体" w:hAnsi="Times New Roman" w:eastAsia="宋体" w:cs="Times New Roman"/>
          <w:kern w:val="0"/>
          <w:sz w:val="21"/>
          <w:szCs w:val="20"/>
          <w:lang w:val="en-US" w:eastAsia="zh-CN" w:bidi="ar"/>
        </w:rPr>
        <w:t>在知识产权维权咨询中，能提供初步解决建议或引导专业援助渠道。</w:t>
      </w:r>
    </w:p>
    <w:p>
      <w:pPr>
        <w:pStyle w:val="18"/>
        <w:keepNext w:val="0"/>
        <w:keepLines w:val="0"/>
        <w:widowControl w:val="0"/>
        <w:numPr>
          <w:ilvl w:val="3"/>
          <w:numId w:val="8"/>
        </w:numPr>
        <w:suppressLineNumbers w:val="0"/>
        <w:adjustRightInd/>
        <w:spacing w:before="156" w:beforeLines="50" w:beforeAutospacing="0" w:after="156" w:afterLines="50" w:afterAutospacing="0" w:line="240" w:lineRule="auto"/>
        <w:ind w:left="0" w:right="0" w:firstLine="0"/>
        <w:jc w:val="both"/>
        <w:outlineLvl w:val="2"/>
        <w:rPr>
          <w:rFonts w:hint="eastAsia" w:ascii="黑体" w:hAnsi="Times New Roman" w:eastAsia="黑体" w:cs="Times New Roman"/>
          <w:kern w:val="0"/>
          <w:sz w:val="21"/>
          <w:szCs w:val="20"/>
          <w:lang w:val="en-US" w:eastAsia="zh-CN" w:bidi="ar"/>
        </w:rPr>
      </w:pPr>
      <w:bookmarkStart w:id="144" w:name="_Toc20214"/>
      <w:r>
        <w:rPr>
          <w:rFonts w:hint="eastAsia" w:ascii="黑体" w:hAnsi="Times New Roman" w:eastAsia="黑体" w:cs="Times New Roman"/>
          <w:kern w:val="0"/>
          <w:sz w:val="21"/>
          <w:szCs w:val="20"/>
          <w:lang w:val="en-US" w:eastAsia="zh-CN" w:bidi="ar"/>
        </w:rPr>
        <w:t>信息化工具运用</w:t>
      </w:r>
      <w:bookmarkEnd w:id="144"/>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掌握知识产权电子申请平台、检索数据库的使用。</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指导用户使用自助终端、线上预约、材料预审等智慧服务功能。</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通过服务记录发现高频问题，反馈优化服务流程。</w:t>
      </w:r>
    </w:p>
    <w:p>
      <w:pPr>
        <w:pStyle w:val="18"/>
        <w:keepNext w:val="0"/>
        <w:keepLines w:val="0"/>
        <w:widowControl w:val="0"/>
        <w:numPr>
          <w:ilvl w:val="3"/>
          <w:numId w:val="8"/>
        </w:numPr>
        <w:suppressLineNumbers w:val="0"/>
        <w:adjustRightInd/>
        <w:spacing w:before="156" w:beforeLines="50" w:beforeAutospacing="0" w:after="156" w:afterLines="50" w:afterAutospacing="0" w:line="240" w:lineRule="auto"/>
        <w:ind w:left="0" w:right="0" w:firstLine="0"/>
        <w:jc w:val="both"/>
        <w:outlineLvl w:val="2"/>
        <w:rPr>
          <w:rFonts w:hint="eastAsia" w:ascii="黑体" w:hAnsi="Times New Roman" w:eastAsia="黑体" w:cs="Times New Roman"/>
          <w:kern w:val="0"/>
          <w:sz w:val="21"/>
          <w:szCs w:val="20"/>
          <w:lang w:val="en-US" w:eastAsia="zh-CN" w:bidi="ar"/>
        </w:rPr>
      </w:pPr>
      <w:bookmarkStart w:id="145" w:name="_Toc17441"/>
      <w:r>
        <w:rPr>
          <w:rFonts w:hint="eastAsia" w:ascii="黑体" w:hAnsi="Times New Roman" w:eastAsia="黑体" w:cs="Times New Roman"/>
          <w:kern w:val="0"/>
          <w:sz w:val="21"/>
          <w:szCs w:val="20"/>
          <w:lang w:val="en-US" w:eastAsia="zh-CN" w:bidi="ar"/>
        </w:rPr>
        <w:t>服务规范与职业素养</w:t>
      </w:r>
      <w:bookmarkEnd w:id="145"/>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严格遵循材料受理、形式审查、时限提醒等规范，避免程序错误。</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妥善处理用户提交的商业秘密或未公开技术信息，杜绝信息泄露。</w:t>
      </w:r>
    </w:p>
    <w:p>
      <w:pPr>
        <w:pStyle w:val="18"/>
        <w:keepNext w:val="0"/>
        <w:keepLines w:val="0"/>
        <w:widowControl/>
        <w:numPr>
          <w:ilvl w:val="4"/>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kern w:val="0"/>
          <w:sz w:val="21"/>
          <w:szCs w:val="20"/>
          <w:lang w:val="en-US" w:eastAsia="zh-CN" w:bidi="ar"/>
        </w:rPr>
      </w:pPr>
      <w:r>
        <w:rPr>
          <w:rFonts w:hint="eastAsia" w:ascii="宋体" w:hAnsi="Times New Roman" w:eastAsia="宋体" w:cs="Times New Roman"/>
          <w:kern w:val="0"/>
          <w:sz w:val="21"/>
          <w:szCs w:val="20"/>
          <w:lang w:val="en-US" w:eastAsia="zh-CN" w:bidi="ar"/>
        </w:rPr>
        <w:t>高峰期保持耐心，面对复杂问题或情绪激动的用户时保持专业态度。</w:t>
      </w:r>
    </w:p>
    <w:p>
      <w:pPr>
        <w:pStyle w:val="65"/>
        <w:spacing w:before="156" w:after="156"/>
      </w:pPr>
      <w:bookmarkStart w:id="146" w:name="_Toc175734863"/>
      <w:bookmarkStart w:id="147" w:name="_Toc176766248"/>
      <w:bookmarkStart w:id="148" w:name="_Toc31075"/>
      <w:bookmarkStart w:id="149" w:name="_Toc175745071"/>
      <w:bookmarkStart w:id="150" w:name="_Toc176113894"/>
      <w:bookmarkStart w:id="151" w:name="_Toc11130"/>
      <w:bookmarkStart w:id="152" w:name="_Toc183598640"/>
      <w:bookmarkStart w:id="153" w:name="_Toc175737235"/>
      <w:r>
        <w:rPr>
          <w:rFonts w:hint="eastAsia"/>
        </w:rPr>
        <w:t>服务清单</w:t>
      </w:r>
      <w:bookmarkEnd w:id="146"/>
      <w:bookmarkEnd w:id="147"/>
      <w:bookmarkEnd w:id="148"/>
      <w:bookmarkEnd w:id="149"/>
      <w:bookmarkEnd w:id="150"/>
      <w:bookmarkEnd w:id="151"/>
      <w:bookmarkEnd w:id="152"/>
      <w:bookmarkEnd w:id="153"/>
    </w:p>
    <w:p>
      <w:pPr>
        <w:pStyle w:val="68"/>
      </w:pPr>
      <w:r>
        <w:rPr>
          <w:rFonts w:hint="eastAsia"/>
        </w:rPr>
        <w:t>知识产权保护中心公共服务事项清单</w:t>
      </w:r>
      <w:r>
        <w:rPr>
          <w:rFonts w:hint="eastAsia"/>
          <w:lang w:val="en-US" w:eastAsia="zh-CN"/>
        </w:rPr>
        <w:t>参</w:t>
      </w:r>
      <w:r>
        <w:rPr>
          <w:rFonts w:hint="eastAsia"/>
        </w:rPr>
        <w:t>见附录A。</w:t>
      </w:r>
    </w:p>
    <w:p>
      <w:pPr>
        <w:pStyle w:val="68"/>
      </w:pPr>
      <w:r>
        <w:rPr>
          <w:rFonts w:hint="eastAsia"/>
        </w:rPr>
        <w:t>知识产权保护中心分中心公共服务事项清单</w:t>
      </w:r>
      <w:r>
        <w:rPr>
          <w:rFonts w:hint="eastAsia"/>
          <w:lang w:val="en-US" w:eastAsia="zh-CN"/>
        </w:rPr>
        <w:t>参</w:t>
      </w:r>
      <w:r>
        <w:rPr>
          <w:rFonts w:hint="eastAsia"/>
        </w:rPr>
        <w:t>见附录B。</w:t>
      </w:r>
    </w:p>
    <w:p>
      <w:pPr>
        <w:pStyle w:val="68"/>
      </w:pPr>
      <w:r>
        <w:rPr>
          <w:rFonts w:hint="eastAsia"/>
        </w:rPr>
        <w:t>知识产权工作站公共服务事项清单</w:t>
      </w:r>
      <w:r>
        <w:rPr>
          <w:rFonts w:hint="eastAsia"/>
          <w:lang w:val="en-US" w:eastAsia="zh-CN"/>
        </w:rPr>
        <w:t>参</w:t>
      </w:r>
      <w:r>
        <w:rPr>
          <w:rFonts w:hint="eastAsia"/>
        </w:rPr>
        <w:t>见附录C。</w:t>
      </w:r>
    </w:p>
    <w:p>
      <w:pPr>
        <w:pStyle w:val="66"/>
        <w:spacing w:before="312" w:after="312"/>
      </w:pPr>
      <w:bookmarkStart w:id="154" w:name="_Toc175737236"/>
      <w:bookmarkStart w:id="155" w:name="_Toc175734864"/>
      <w:bookmarkStart w:id="156" w:name="_Toc183598641"/>
      <w:bookmarkStart w:id="157" w:name="_Toc176766249"/>
      <w:bookmarkStart w:id="158" w:name="_Toc27004"/>
      <w:bookmarkStart w:id="159" w:name="_Toc175745072"/>
      <w:bookmarkStart w:id="160" w:name="_Toc28117"/>
      <w:bookmarkStart w:id="161" w:name="_Toc176113895"/>
      <w:r>
        <w:rPr>
          <w:rFonts w:hint="eastAsia"/>
        </w:rPr>
        <w:t>服务</w:t>
      </w:r>
      <w:bookmarkEnd w:id="154"/>
      <w:bookmarkEnd w:id="155"/>
      <w:r>
        <w:rPr>
          <w:rFonts w:hint="eastAsia"/>
        </w:rPr>
        <w:t>流程</w:t>
      </w:r>
      <w:bookmarkEnd w:id="156"/>
      <w:bookmarkEnd w:id="157"/>
      <w:bookmarkEnd w:id="158"/>
      <w:bookmarkEnd w:id="159"/>
      <w:bookmarkEnd w:id="160"/>
      <w:bookmarkEnd w:id="161"/>
    </w:p>
    <w:p>
      <w:pPr>
        <w:pStyle w:val="65"/>
        <w:spacing w:before="156" w:after="156"/>
      </w:pPr>
      <w:bookmarkStart w:id="162" w:name="_Toc175734865"/>
      <w:bookmarkStart w:id="163" w:name="_Toc175745073"/>
      <w:bookmarkStart w:id="164" w:name="_Toc1156"/>
      <w:bookmarkStart w:id="165" w:name="_Toc175737237"/>
      <w:bookmarkStart w:id="166" w:name="_Toc6264"/>
      <w:bookmarkStart w:id="167" w:name="_Toc176113896"/>
      <w:bookmarkStart w:id="168" w:name="_Toc183598642"/>
      <w:bookmarkStart w:id="169" w:name="_Toc176766250"/>
      <w:r>
        <w:rPr>
          <w:rFonts w:hint="eastAsia"/>
        </w:rPr>
        <w:t>业务咨询</w:t>
      </w:r>
      <w:bookmarkEnd w:id="162"/>
      <w:bookmarkEnd w:id="163"/>
      <w:bookmarkEnd w:id="164"/>
      <w:bookmarkEnd w:id="165"/>
      <w:bookmarkEnd w:id="166"/>
      <w:bookmarkEnd w:id="167"/>
      <w:bookmarkEnd w:id="168"/>
      <w:bookmarkEnd w:id="169"/>
    </w:p>
    <w:p>
      <w:pPr>
        <w:pStyle w:val="68"/>
        <w:rPr>
          <w:rFonts w:hint="eastAsia"/>
          <w:lang w:val="en-US" w:eastAsia="zh-CN"/>
        </w:rPr>
      </w:pPr>
      <w:r>
        <w:rPr>
          <w:rFonts w:hint="eastAsia"/>
          <w:lang w:val="en-US" w:eastAsia="zh-CN"/>
        </w:rPr>
        <w:t>申请人通过窗口、电话或线上渠道提交业务需求。</w:t>
      </w:r>
    </w:p>
    <w:p>
      <w:pPr>
        <w:pStyle w:val="68"/>
        <w:rPr>
          <w:rFonts w:hint="eastAsia"/>
          <w:lang w:val="en-US" w:eastAsia="zh-CN"/>
        </w:rPr>
      </w:pPr>
      <w:r>
        <w:rPr>
          <w:rFonts w:hint="eastAsia"/>
          <w:lang w:val="en-US" w:eastAsia="zh-CN"/>
        </w:rPr>
        <w:t>工作人员接收需求，初步判断需求类型（如咨询、办理、转介等）。</w:t>
      </w:r>
    </w:p>
    <w:p>
      <w:pPr>
        <w:pStyle w:val="68"/>
        <w:rPr>
          <w:rFonts w:hint="eastAsia"/>
          <w:lang w:val="en-US" w:eastAsia="zh-CN"/>
        </w:rPr>
      </w:pPr>
      <w:r>
        <w:rPr>
          <w:rFonts w:hint="eastAsia"/>
          <w:lang w:val="en-US" w:eastAsia="zh-CN"/>
        </w:rPr>
        <w:t>根据申请人需求描述清晰（如材料齐全、问题具体），标记为“明确”，进入业务办理阶段。</w:t>
      </w:r>
    </w:p>
    <w:p>
      <w:pPr>
        <w:pStyle w:val="68"/>
        <w:rPr>
          <w:rFonts w:hint="eastAsia"/>
          <w:lang w:val="en-US" w:eastAsia="zh-CN"/>
        </w:rPr>
      </w:pPr>
      <w:r>
        <w:rPr>
          <w:rFonts w:hint="eastAsia"/>
          <w:lang w:val="en-US" w:eastAsia="zh-CN"/>
        </w:rPr>
        <w:t>若需求模糊（如材料缺失、问题不具体），需与服务对象沟通补充信息，明确后再推进。</w:t>
      </w:r>
    </w:p>
    <w:p>
      <w:pPr>
        <w:pStyle w:val="68"/>
        <w:rPr>
          <w:rFonts w:hint="eastAsia"/>
          <w:lang w:val="en-US" w:eastAsia="zh-CN"/>
        </w:rPr>
      </w:pPr>
      <w:r>
        <w:rPr>
          <w:rFonts w:hint="eastAsia"/>
          <w:lang w:val="en-US" w:eastAsia="zh-CN"/>
        </w:rPr>
        <w:t>工作人员对能现场解答的问题及时给服务对象提供咨询服务，对不能现场解答的，工作人员应填写服务记录，及时匹配服务资源接洽服务对象。</w:t>
      </w:r>
    </w:p>
    <w:p>
      <w:pPr>
        <w:pStyle w:val="65"/>
        <w:spacing w:before="156" w:after="156"/>
      </w:pPr>
      <w:bookmarkStart w:id="170" w:name="_Toc176766251"/>
      <w:bookmarkStart w:id="171" w:name="_Toc175734866"/>
      <w:bookmarkStart w:id="172" w:name="_Toc23710"/>
      <w:bookmarkStart w:id="173" w:name="_Toc175745074"/>
      <w:bookmarkStart w:id="174" w:name="_Toc175737238"/>
      <w:bookmarkStart w:id="175" w:name="_Toc4709"/>
      <w:bookmarkStart w:id="176" w:name="_Toc176113897"/>
      <w:bookmarkStart w:id="177" w:name="_Toc183598643"/>
      <w:r>
        <w:rPr>
          <w:rFonts w:hint="eastAsia"/>
        </w:rPr>
        <w:t>业务办理</w:t>
      </w:r>
      <w:bookmarkEnd w:id="170"/>
      <w:bookmarkEnd w:id="171"/>
      <w:bookmarkEnd w:id="172"/>
      <w:bookmarkEnd w:id="173"/>
      <w:bookmarkEnd w:id="174"/>
      <w:bookmarkEnd w:id="175"/>
      <w:bookmarkEnd w:id="176"/>
      <w:bookmarkEnd w:id="177"/>
    </w:p>
    <w:p>
      <w:pPr>
        <w:pStyle w:val="68"/>
        <w:rPr>
          <w:rFonts w:hint="eastAsia"/>
          <w:lang w:val="en-US" w:eastAsia="zh-CN"/>
        </w:rPr>
      </w:pPr>
      <w:r>
        <w:rPr>
          <w:rFonts w:hint="eastAsia"/>
          <w:lang w:val="en-US" w:eastAsia="zh-CN"/>
        </w:rPr>
        <w:t>根据需求类型，分类录入系统（如知识产权申请、维权咨询等）。</w:t>
      </w:r>
    </w:p>
    <w:p>
      <w:pPr>
        <w:pStyle w:val="68"/>
        <w:rPr>
          <w:rFonts w:hint="eastAsia"/>
          <w:lang w:val="en-US" w:eastAsia="zh-CN"/>
        </w:rPr>
      </w:pPr>
      <w:r>
        <w:rPr>
          <w:rFonts w:hint="eastAsia"/>
          <w:lang w:val="en-US" w:eastAsia="zh-CN"/>
        </w:rPr>
        <w:t>生成《业务受理单》，与服务对象确认内容并签字（现场办理）或线上确认（远程办理）；对于可独立完成的业务（如材料初审、基础咨询），由工作人员直接处理；需要技术支持的，协调专家顾问介入。</w:t>
      </w:r>
    </w:p>
    <w:p>
      <w:pPr>
        <w:pStyle w:val="68"/>
        <w:rPr>
          <w:rFonts w:hint="eastAsia"/>
          <w:lang w:val="en-US" w:eastAsia="zh-CN"/>
        </w:rPr>
      </w:pPr>
      <w:r>
        <w:rPr>
          <w:rFonts w:hint="eastAsia"/>
          <w:lang w:val="en-US" w:eastAsia="zh-CN"/>
        </w:rPr>
        <w:t>若网点条件不足，应为来办理人员提供能办理的网点联系方式和地址。</w:t>
      </w:r>
    </w:p>
    <w:p>
      <w:pPr>
        <w:pStyle w:val="65"/>
        <w:spacing w:before="156" w:after="156"/>
      </w:pPr>
      <w:bookmarkStart w:id="178" w:name="_Toc175734867"/>
      <w:bookmarkStart w:id="179" w:name="_Toc28684"/>
      <w:bookmarkStart w:id="180" w:name="_Toc183598644"/>
      <w:bookmarkStart w:id="181" w:name="_Toc175745075"/>
      <w:bookmarkStart w:id="182" w:name="_Toc176113898"/>
      <w:bookmarkStart w:id="183" w:name="_Toc29034"/>
      <w:bookmarkStart w:id="184" w:name="_Toc175737239"/>
      <w:bookmarkStart w:id="185" w:name="_Toc176766252"/>
      <w:r>
        <w:rPr>
          <w:rFonts w:hint="eastAsia"/>
        </w:rPr>
        <w:t>服务跟进</w:t>
      </w:r>
      <w:bookmarkEnd w:id="178"/>
      <w:bookmarkEnd w:id="179"/>
      <w:bookmarkEnd w:id="180"/>
      <w:bookmarkEnd w:id="181"/>
      <w:bookmarkEnd w:id="182"/>
      <w:bookmarkEnd w:id="183"/>
      <w:bookmarkEnd w:id="184"/>
      <w:bookmarkEnd w:id="185"/>
    </w:p>
    <w:p>
      <w:pPr>
        <w:pStyle w:val="68"/>
      </w:pPr>
      <w:r>
        <w:rPr>
          <w:rFonts w:hint="eastAsia"/>
        </w:rPr>
        <w:t>工作人员应主动与职能部门、服务对象、专家顾问保持联系，及时跟进服务，做好协调和记录工作。</w:t>
      </w:r>
    </w:p>
    <w:p>
      <w:pPr>
        <w:pStyle w:val="68"/>
      </w:pPr>
      <w:r>
        <w:rPr>
          <w:rFonts w:hint="eastAsia"/>
        </w:rPr>
        <w:t>专家顾问应及时向工作人员反馈服务过程中出现的问题并提交需要协调处理的事项。</w:t>
      </w:r>
    </w:p>
    <w:p>
      <w:pPr>
        <w:pStyle w:val="68"/>
      </w:pPr>
      <w:r>
        <w:rPr>
          <w:rFonts w:hint="eastAsia"/>
        </w:rPr>
        <w:t>服务网点的服务流程见图1。</w:t>
      </w:r>
    </w:p>
    <w:p>
      <w:pPr>
        <w:pStyle w:val="68"/>
        <w:numPr>
          <w:ilvl w:val="3"/>
          <w:numId w:val="0"/>
        </w:numPr>
        <w:ind w:leftChars="0"/>
        <w:jc w:val="center"/>
        <w:rPr>
          <w:rFonts w:hint="eastAsia" w:eastAsia="宋体"/>
          <w:lang w:eastAsia="zh-CN"/>
        </w:rPr>
      </w:pPr>
      <w:r>
        <w:rPr>
          <w:rFonts w:hint="eastAsia" w:eastAsia="宋体"/>
          <w:lang w:eastAsia="zh-CN"/>
        </w:rPr>
        <w:drawing>
          <wp:inline distT="0" distB="0" distL="114300" distR="114300">
            <wp:extent cx="3820160" cy="5734685"/>
            <wp:effectExtent l="0" t="0" r="2540" b="5715"/>
            <wp:docPr id="32" name="图片 32" descr="未命名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32" descr="未命名 (2)"/>
                    <pic:cNvPicPr>
                      <a:picLocks noChangeAspect="true"/>
                    </pic:cNvPicPr>
                  </pic:nvPicPr>
                  <pic:blipFill>
                    <a:blip r:embed="rId25"/>
                    <a:stretch>
                      <a:fillRect/>
                    </a:stretch>
                  </pic:blipFill>
                  <pic:spPr>
                    <a:xfrm>
                      <a:off x="0" y="0"/>
                      <a:ext cx="3820160" cy="5734685"/>
                    </a:xfrm>
                    <a:prstGeom prst="rect">
                      <a:avLst/>
                    </a:prstGeom>
                  </pic:spPr>
                </pic:pic>
              </a:graphicData>
            </a:graphic>
          </wp:inline>
        </w:drawing>
      </w:r>
    </w:p>
    <w:p>
      <w:pPr>
        <w:pStyle w:val="81"/>
        <w:spacing w:before="156" w:after="156"/>
      </w:pPr>
      <w:r>
        <w:rPr>
          <w:rFonts w:hint="eastAsia"/>
        </w:rPr>
        <w:t>服务流程图</w:t>
      </w:r>
    </w:p>
    <w:p>
      <w:pPr>
        <w:pStyle w:val="66"/>
        <w:spacing w:before="312" w:after="312"/>
      </w:pPr>
      <w:bookmarkStart w:id="186" w:name="_Toc176766253"/>
      <w:bookmarkStart w:id="187" w:name="_Toc32526"/>
      <w:bookmarkStart w:id="188" w:name="_Toc176113899"/>
      <w:bookmarkStart w:id="189" w:name="_Toc23699"/>
      <w:bookmarkStart w:id="190" w:name="_Toc183598645"/>
      <w:r>
        <w:rPr>
          <w:rFonts w:hint="eastAsia"/>
        </w:rPr>
        <w:t>评价与改进</w:t>
      </w:r>
      <w:bookmarkEnd w:id="186"/>
      <w:bookmarkEnd w:id="187"/>
      <w:bookmarkEnd w:id="188"/>
      <w:bookmarkEnd w:id="189"/>
      <w:bookmarkEnd w:id="190"/>
    </w:p>
    <w:p>
      <w:pPr>
        <w:pStyle w:val="65"/>
        <w:spacing w:before="156" w:after="156"/>
      </w:pPr>
      <w:bookmarkStart w:id="191" w:name="_Toc175737241"/>
      <w:bookmarkStart w:id="192" w:name="_Toc176113900"/>
      <w:bookmarkStart w:id="193" w:name="_Toc175734869"/>
      <w:bookmarkStart w:id="194" w:name="_Toc3893"/>
      <w:bookmarkStart w:id="195" w:name="_Toc176766254"/>
      <w:bookmarkStart w:id="196" w:name="_Toc18423"/>
      <w:bookmarkStart w:id="197" w:name="_Toc175745077"/>
      <w:bookmarkStart w:id="198" w:name="_Toc183598646"/>
      <w:r>
        <w:rPr>
          <w:rFonts w:hint="eastAsia"/>
        </w:rPr>
        <w:t>质量控制</w:t>
      </w:r>
      <w:bookmarkEnd w:id="191"/>
      <w:bookmarkEnd w:id="192"/>
      <w:bookmarkEnd w:id="193"/>
      <w:bookmarkEnd w:id="194"/>
      <w:bookmarkEnd w:id="195"/>
      <w:bookmarkEnd w:id="196"/>
      <w:bookmarkEnd w:id="197"/>
      <w:bookmarkEnd w:id="198"/>
    </w:p>
    <w:p>
      <w:pPr>
        <w:pStyle w:val="67"/>
        <w:ind w:firstLine="420"/>
      </w:pPr>
      <w:r>
        <w:rPr>
          <w:rFonts w:hint="eastAsia"/>
        </w:rPr>
        <w:t>服务网点应建立服务质量控制体系，设置完善的服务质量控制文件，明确质量审核节点，在具体服务实施过程中加强全流程审核，及时发现并解决问题，保证服务质量。</w:t>
      </w:r>
    </w:p>
    <w:p>
      <w:pPr>
        <w:pStyle w:val="65"/>
        <w:spacing w:before="156" w:after="156"/>
      </w:pPr>
      <w:bookmarkStart w:id="199" w:name="_Toc175745078"/>
      <w:bookmarkStart w:id="200" w:name="_Toc176766255"/>
      <w:bookmarkStart w:id="201" w:name="_Toc175734870"/>
      <w:bookmarkStart w:id="202" w:name="_Toc2207"/>
      <w:bookmarkStart w:id="203" w:name="_Toc176113901"/>
      <w:bookmarkStart w:id="204" w:name="_Toc175737242"/>
      <w:bookmarkStart w:id="205" w:name="_Toc183598647"/>
      <w:bookmarkStart w:id="206" w:name="_Toc494"/>
      <w:r>
        <w:rPr>
          <w:rFonts w:hint="eastAsia"/>
        </w:rPr>
        <w:t>服务评价</w:t>
      </w:r>
      <w:bookmarkEnd w:id="199"/>
      <w:bookmarkEnd w:id="200"/>
      <w:bookmarkEnd w:id="201"/>
      <w:bookmarkEnd w:id="202"/>
      <w:bookmarkEnd w:id="203"/>
      <w:bookmarkEnd w:id="204"/>
      <w:bookmarkEnd w:id="205"/>
      <w:bookmarkEnd w:id="206"/>
    </w:p>
    <w:p>
      <w:pPr>
        <w:pStyle w:val="68"/>
      </w:pPr>
      <w:r>
        <w:rPr>
          <w:rFonts w:hint="eastAsia"/>
        </w:rPr>
        <w:t>应建立满意度调查制度，定期收集申请人对服务网点的专业水平、服务内容、服务成果质量、服务整体满意度、服务改进建议等方面的信息并加以分析。</w:t>
      </w:r>
    </w:p>
    <w:p>
      <w:pPr>
        <w:pStyle w:val="68"/>
      </w:pPr>
      <w:r>
        <w:rPr>
          <w:rFonts w:hint="eastAsia"/>
        </w:rPr>
        <w:t>应建立投诉机制，畅通投诉渠道，及时跟踪投诉处理反馈结果并改进。</w:t>
      </w:r>
    </w:p>
    <w:p>
      <w:pPr>
        <w:pStyle w:val="65"/>
        <w:spacing w:before="156" w:after="156"/>
      </w:pPr>
      <w:bookmarkStart w:id="207" w:name="_Toc183598648"/>
      <w:bookmarkStart w:id="208" w:name="_Toc175745079"/>
      <w:bookmarkStart w:id="209" w:name="_Toc175734871"/>
      <w:bookmarkStart w:id="210" w:name="_Toc5988"/>
      <w:bookmarkStart w:id="211" w:name="_Toc15012"/>
      <w:bookmarkStart w:id="212" w:name="_Toc176113902"/>
      <w:bookmarkStart w:id="213" w:name="_Toc176766256"/>
      <w:bookmarkStart w:id="214" w:name="_Toc175737243"/>
      <w:r>
        <w:rPr>
          <w:rFonts w:hint="eastAsia"/>
        </w:rPr>
        <w:t>持续改进</w:t>
      </w:r>
      <w:bookmarkEnd w:id="207"/>
      <w:bookmarkEnd w:id="208"/>
      <w:bookmarkEnd w:id="209"/>
      <w:bookmarkEnd w:id="210"/>
      <w:bookmarkEnd w:id="211"/>
      <w:bookmarkEnd w:id="212"/>
      <w:bookmarkEnd w:id="213"/>
      <w:bookmarkEnd w:id="214"/>
    </w:p>
    <w:p>
      <w:pPr>
        <w:pStyle w:val="68"/>
      </w:pPr>
      <w:r>
        <w:rPr>
          <w:rFonts w:hint="eastAsia"/>
        </w:rPr>
        <w:t>应建立评价改进工作机制，针对服务过程中存在的问题及服务对象提出的意见建议，定期开展评价与改进活动。</w:t>
      </w:r>
    </w:p>
    <w:p>
      <w:pPr>
        <w:pStyle w:val="68"/>
      </w:pPr>
      <w:r>
        <w:rPr>
          <w:rFonts w:hint="eastAsia"/>
        </w:rPr>
        <w:t>应对服务质量进行持续改进，从服务方式、服务内容、制度创新、人员团队建设等方面提出改进措施，提升机构的服务能力和服务水平。</w:t>
      </w:r>
    </w:p>
    <w:p>
      <w:pPr>
        <w:pStyle w:val="68"/>
        <w:sectPr>
          <w:headerReference r:id="rId14" w:type="default"/>
          <w:footerReference r:id="rId16" w:type="default"/>
          <w:headerReference r:id="rId15" w:type="even"/>
          <w:footerReference r:id="rId17" w:type="even"/>
          <w:pgSz w:w="11906" w:h="16838"/>
          <w:pgMar w:top="1417" w:right="1134" w:bottom="1134" w:left="1417" w:header="1418" w:footer="1134" w:gutter="284"/>
          <w:pgBorders>
            <w:top w:val="none" w:sz="0" w:space="0"/>
            <w:left w:val="none" w:sz="0" w:space="0"/>
            <w:bottom w:val="none" w:sz="0" w:space="0"/>
            <w:right w:val="none" w:sz="0" w:space="0"/>
          </w:pgBorders>
          <w:pgNumType w:fmt="decimal" w:start="1"/>
          <w:cols w:space="425" w:num="1"/>
          <w:formProt w:val="0"/>
          <w:docGrid w:type="lines" w:linePitch="312" w:charSpace="0"/>
        </w:sectPr>
      </w:pPr>
    </w:p>
    <w:p>
      <w:pPr>
        <w:pStyle w:val="6"/>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215" w:name="_Toc27120"/>
      <w:bookmarkStart w:id="216" w:name="_Toc18591"/>
      <w:r>
        <w:rPr>
          <w:rFonts w:hint="eastAsia" w:ascii="黑体" w:hAnsi="黑体" w:eastAsia="黑体" w:cs="黑体"/>
          <w:sz w:val="21"/>
          <w:szCs w:val="21"/>
          <w:lang w:val="en-US" w:eastAsia="zh-CN"/>
        </w:rPr>
        <w:t>附  录  A</w:t>
      </w:r>
      <w:bookmarkEnd w:id="215"/>
      <w:bookmarkEnd w:id="216"/>
    </w:p>
    <w:p>
      <w:pPr>
        <w:pStyle w:val="7"/>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217" w:name="_Toc21414"/>
      <w:bookmarkStart w:id="218" w:name="_Toc27907"/>
      <w:bookmarkStart w:id="219" w:name="_Toc23324"/>
      <w:r>
        <w:rPr>
          <w:rFonts w:hint="eastAsia" w:ascii="黑体" w:hAnsi="黑体" w:eastAsia="黑体" w:cs="黑体"/>
          <w:sz w:val="21"/>
          <w:szCs w:val="21"/>
          <w:lang w:val="en-US" w:eastAsia="zh-CN"/>
        </w:rPr>
        <w:t>（资料性）</w:t>
      </w:r>
      <w:bookmarkEnd w:id="217"/>
      <w:bookmarkEnd w:id="218"/>
      <w:bookmarkEnd w:id="219"/>
    </w:p>
    <w:p>
      <w:pPr>
        <w:pStyle w:val="7"/>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220" w:name="_Toc28875"/>
      <w:r>
        <w:rPr>
          <w:rFonts w:hint="default" w:ascii="黑体" w:hAnsi="黑体" w:eastAsia="黑体"/>
          <w:color w:val="000000"/>
          <w:sz w:val="21"/>
          <w:szCs w:val="21"/>
          <w:lang w:val="en-US" w:eastAsia="zh-CN"/>
        </w:rPr>
        <w:t>知识产权保护中心公共服务事项清单</w:t>
      </w:r>
      <w:bookmarkEnd w:id="220"/>
    </w:p>
    <w:p>
      <w:pPr>
        <w:pStyle w:val="73"/>
        <w:numPr>
          <w:ilvl w:val="1"/>
          <w:numId w:val="0"/>
        </w:numPr>
        <w:spacing w:before="156" w:after="156"/>
        <w:jc w:val="both"/>
        <w:rPr>
          <w:rFonts w:hint="eastAsia" w:ascii="宋体" w:hAnsi="宋体" w:eastAsia="宋体" w:cs="宋体"/>
        </w:rPr>
      </w:pPr>
      <w:bookmarkStart w:id="221" w:name="_Toc6393"/>
      <w:bookmarkStart w:id="222" w:name="_Toc13585"/>
      <w:bookmarkStart w:id="223" w:name="_Toc1804"/>
      <w:r>
        <w:rPr>
          <w:rFonts w:hint="eastAsia" w:hAnsi="Times New Roman" w:cs="Times New Roman"/>
        </w:rPr>
        <w:t>A.1　</w:t>
      </w:r>
      <w:bookmarkEnd w:id="221"/>
      <w:bookmarkEnd w:id="222"/>
      <w:r>
        <w:rPr>
          <w:rFonts w:hint="eastAsia" w:ascii="宋体" w:hAnsi="宋体" w:eastAsia="宋体" w:cs="宋体"/>
        </w:rPr>
        <w:t>知识产权保护中心公共服务事项</w:t>
      </w:r>
      <w:r>
        <w:rPr>
          <w:rFonts w:hint="eastAsia" w:ascii="宋体" w:hAnsi="宋体" w:eastAsia="宋体" w:cs="宋体"/>
          <w:lang w:val="en-US" w:eastAsia="zh-CN"/>
        </w:rPr>
        <w:t>参</w:t>
      </w:r>
      <w:r>
        <w:rPr>
          <w:rFonts w:hint="eastAsia" w:ascii="宋体" w:hAnsi="宋体" w:eastAsia="宋体" w:cs="宋体"/>
        </w:rPr>
        <w:t>见表A.1。</w:t>
      </w:r>
      <w:bookmarkEnd w:id="223"/>
    </w:p>
    <w:p>
      <w:pPr>
        <w:pStyle w:val="82"/>
        <w:spacing w:before="156" w:after="156"/>
      </w:pPr>
      <w:r>
        <w:rPr>
          <w:rFonts w:hint="eastAsia"/>
          <w:lang w:val="en-US" w:eastAsia="zh-CN"/>
        </w:rPr>
        <w:t xml:space="preserve"> </w:t>
      </w:r>
      <w:r>
        <w:rPr>
          <w:rFonts w:hint="eastAsia"/>
        </w:rPr>
        <w:t>知识产权保护中心公共服务事项清单</w:t>
      </w:r>
    </w:p>
    <w:tbl>
      <w:tblPr>
        <w:tblStyle w:val="21"/>
        <w:tblW w:w="9374"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554"/>
        <w:gridCol w:w="3250"/>
        <w:gridCol w:w="5570"/>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blHeade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default"/>
                <w:szCs w:val="20"/>
              </w:rPr>
              <w:t>序号</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事项名称</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服务内容</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vMerge w:val="restart"/>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专利申请受理（电子申请）</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受理社会公众提交的专利电子申请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vMerge w:val="continue"/>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专利申请受理（纸件申请）</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受理社会公众提交的专利纸件申请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2</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专利费用减缴申请受理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受理申请人提交的专利费用减缴申请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3</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专利申请优先审查受理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受理电子申请专利申请人提交的专利申请优先审查请求；向国家知识产权局推荐专利申请优先审查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4</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专利预审申请受理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受理专利快速预审申请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5</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专利预审主体备案受理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受理提交专利预审主体备案申请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6</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专利复审、无效优先审查受理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受理电子申请专利申请人提交的专利复审、无效宣告程序优先审查请求；向国家知识产权局推荐专利复审、无效优先审查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7</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专利登记簿副本出具</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受理专利权人或社会公众提交的出具专利登记簿副本的申请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8</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批量专利（申请）法律状态证明出具</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受理专利权人（申请人）或社会公众提交的出具批量专利（申请）法律状态证明的申请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9</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在先申请文件副本出具</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受理专利权人（申请人）或本案代理机构提交的在先申请文件副本的申请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10</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专利实施许可合同备案及变更、注销受理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受理专利权人或者其授权的权利人与被许可人提交的专利实施许可合同备案及变更、注销的申请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11</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专利权人专利开放许可声明受理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受理专利权人依据《专利法》提交的专利开放许可声明请求文件</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12</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专利权质押登记及注销、变更受理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受理出质人与质权人提交的专利权质押登记及注销、变更的申请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13</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专利文档查阅复制</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向社会公众、专利权利人提供专利申请案卷查阅复制服务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14</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商标注册申请受理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受理社会公众提交的商标注册申请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15</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商标变更申请受理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受理商标申请人或权利人提交的商标注册申请项目中的名义、地址、管理规则、成员名单变更的申请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16</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商标更正申请受理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受理商标申请人或权利人提交的商标更正的申请内容仅限于申请文件或者注册文件中的名义、地址、商品等项目个别文字错误，不涉及实质性内容</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17</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注册商标转让或移转申请受理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受理商标权转让人和受让人提交的转让或移转注册商标申请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18</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注册商标续展申请受理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受理商标权利人提交的注册商标续展申请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19</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注册商标注销申请受理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受理商标注册人申请注销其注册商标或者注销其商标在部分指定商品上的注册</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20</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注册商标补发注册证申请受理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受理商标权利人提交的注册商标补发注册证申请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55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21</w:t>
            </w:r>
          </w:p>
        </w:tc>
        <w:tc>
          <w:tcPr>
            <w:tcW w:w="325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注册商标使用许可备案申请受理</w:t>
            </w:r>
          </w:p>
        </w:tc>
        <w:tc>
          <w:tcPr>
            <w:tcW w:w="5570"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受理商标注册人及注册商标使用被许可人提交的注册商标使用许可备案申请</w:t>
            </w:r>
          </w:p>
        </w:tc>
      </w:tr>
    </w:tbl>
    <w:p>
      <w:pPr>
        <w:pStyle w:val="67"/>
        <w:ind w:firstLine="420"/>
        <w:jc w:val="center"/>
        <w:rPr>
          <w:rFonts w:hint="eastAsia"/>
        </w:rPr>
      </w:pPr>
    </w:p>
    <w:p>
      <w:pPr>
        <w:pStyle w:val="82"/>
        <w:numPr>
          <w:ilvl w:val="1"/>
          <w:numId w:val="13"/>
        </w:numPr>
        <w:spacing w:before="156" w:after="156"/>
        <w:rPr>
          <w:rFonts w:hint="eastAsia"/>
        </w:rPr>
      </w:pPr>
      <w:r>
        <w:rPr>
          <w:rFonts w:hint="eastAsia"/>
          <w:lang w:val="en-US" w:eastAsia="zh-CN"/>
        </w:rPr>
        <w:t xml:space="preserve"> </w:t>
      </w:r>
      <w:r>
        <w:rPr>
          <w:rFonts w:hint="eastAsia"/>
        </w:rPr>
        <w:t>知识产权保护中心公众服务事项清单（</w:t>
      </w:r>
      <w:r>
        <w:rPr>
          <w:rFonts w:hint="eastAsia" w:ascii="宋体" w:hAnsi="宋体" w:eastAsia="宋体" w:cs="宋体"/>
        </w:rPr>
        <w:t>续</w:t>
      </w:r>
      <w:r>
        <w:rPr>
          <w:rFonts w:hint="eastAsia"/>
        </w:rPr>
        <w:t>）</w:t>
      </w:r>
    </w:p>
    <w:tbl>
      <w:tblPr>
        <w:tblStyle w:val="21"/>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719"/>
        <w:gridCol w:w="3544"/>
        <w:gridCol w:w="5111"/>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blHeade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szCs w:val="20"/>
              </w:rPr>
              <w:t>序号</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szCs w:val="20"/>
              </w:rPr>
              <w:t>事项名称</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szCs w:val="20"/>
              </w:rPr>
              <w:t>服务内容</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22</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注册商标专用权质押登记受理</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受理注册商标专用权出质人与质权人提交的注册商标专用权质押登记申请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23</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备案商标代理机构信息查询</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向社会公众提供备案商标代理机构信息的查询服务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24</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地理标志商标申请受理</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受理申请人提交的地理标志商标申请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25</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集成电路布图设计登记申请受理</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受理社会公众提交的集成电路布图设计登记申请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26</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集成电路布图设计费用收缴</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接收社会公众缴纳的集成电路布图设计相关费用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27</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集成电路布图设计专有权放弃声明申请受理</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接受集成电路布图设计权利人在其布图设计专有权保护期届满之前，向国家知识产权局提交放弃该专有权书面声明</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28</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集成电路布图设计登记著录项目变更请求受理</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接受集成电路布图设计登记的申请人，权利人或代理机构，在集成电路布图设计相关的著录项目发生变化时，提出著录项目变更的请求</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29</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集成电路布图设计登记延长期限请求受理</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接受集成电路布图设计登记的申请人，权利人因正当理由不能在期限内进行或者完成某一行为或者程序时，提出延长期限的请求</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30</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集成电路布图设计登记恢复权利请求受理</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接受集成电路布图设计登记的申请人，权利人因不可抗拒的是由或者正当理由耽误相关期限，造成其权利丧失，提出恢复权利的请求</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31</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集成电路布图设计档案查阅</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向社会公众提供集成电路布图设计档案查阅服务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32</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维权援助申请受理</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受理苏州市辖区内的自然人、法人、其它组织的维权援助申请，提供知识产权侵权判定咨询意见、疑难知识产权案件咨询意见等服务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33</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海外纠纷应对指导申请受理</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受理苏州市辖区内的自然人、法人、其它组织的海外纠纷应对指导申请，组织专家进行分析研判，提供应对指导意见。</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34</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知识产权纠纷人民调解申请受理</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受理社会公众、纠纷当事人的纠纷调解申请，对当事人纠纷争议点进行调解</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35</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知识产权申请流程业务咨询、查询</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向社会公众提供商标、专利、地理标志、集成电路布图设计申请流程事务等咨询、查询服务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36</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知识产权法律、政策事务咨询、查询</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向社会公众提供包括知识产权申请、审批、保护、运用、管理、服务等相关的知识产权法律、政策事务咨询、查询</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37</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知识产权培训</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向社会公众提供专利代理、海外知识产权风险防控等培训内容，向企业家及企业技术骨干、中小学教师、高校创新创业导师等提供针对性的知识产权培训</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38</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知识产权信息检索分析</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向社会公众提供知识产权大数据、专利检索与分析、产业专利导航分析等查询服务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39</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知识产权服务机构和公共服务平台信息查询</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向社会公众提供全市服务机构和知识产权公共服务平台信息的查询服务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jc w:val="center"/>
        </w:trPr>
        <w:tc>
          <w:tcPr>
            <w:tcW w:w="719"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40</w:t>
            </w:r>
          </w:p>
        </w:tc>
        <w:tc>
          <w:tcPr>
            <w:tcW w:w="3544"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知识产权国际服务</w:t>
            </w:r>
          </w:p>
        </w:tc>
        <w:tc>
          <w:tcPr>
            <w:tcW w:w="5111" w:type="dxa"/>
            <w:tcBorders>
              <w:tl2br w:val="nil"/>
              <w:tr2bl w:val="nil"/>
            </w:tcBorders>
            <w:vAlign w:val="center"/>
          </w:tcPr>
          <w:p>
            <w:pPr>
              <w:pStyle w:val="76"/>
              <w:keepNext w:val="0"/>
              <w:keepLines w:val="0"/>
              <w:widowControl w:val="0"/>
              <w:suppressLineNumbers w:val="0"/>
              <w:spacing w:before="0" w:beforeAutospacing="0" w:after="0" w:afterAutospacing="0"/>
              <w:ind w:left="0" w:right="0"/>
              <w:rPr>
                <w:rFonts w:hint="eastAsia"/>
                <w:szCs w:val="20"/>
              </w:rPr>
            </w:pPr>
            <w:r>
              <w:rPr>
                <w:rFonts w:hint="eastAsia" w:hAnsi="宋体"/>
                <w:szCs w:val="20"/>
              </w:rPr>
              <w:t>提供国际知识产权规则、法治信息和重点国家（地区）的知识产权法律规则制度信息查询；提供国际知识产权高端服务信息以及服务对接通道</w:t>
            </w:r>
          </w:p>
        </w:tc>
      </w:tr>
    </w:tbl>
    <w:p>
      <w:pPr>
        <w:pStyle w:val="67"/>
        <w:ind w:firstLine="420"/>
        <w:jc w:val="center"/>
        <w:rPr>
          <w:rFonts w:hint="eastAsia"/>
        </w:rPr>
      </w:pPr>
    </w:p>
    <w:p>
      <w:pPr>
        <w:pStyle w:val="51"/>
      </w:pPr>
    </w:p>
    <w:p>
      <w:pPr>
        <w:pStyle w:val="51"/>
        <w:sectPr>
          <w:headerReference r:id="rId18" w:type="default"/>
          <w:footerReference r:id="rId20" w:type="default"/>
          <w:headerReference r:id="rId19" w:type="even"/>
          <w:footerReference r:id="rId21" w:type="even"/>
          <w:pgSz w:w="11906" w:h="16838"/>
          <w:pgMar w:top="1417" w:right="1134" w:bottom="1134" w:left="1418" w:header="1417" w:footer="1134" w:gutter="0"/>
          <w:pgBorders>
            <w:top w:val="none" w:sz="0" w:space="0"/>
            <w:left w:val="none" w:sz="0" w:space="0"/>
            <w:bottom w:val="none" w:sz="0" w:space="0"/>
            <w:right w:val="none" w:sz="0" w:space="0"/>
          </w:pgBorders>
          <w:cols w:space="425" w:num="1"/>
          <w:docGrid w:type="lines" w:linePitch="312" w:charSpace="0"/>
        </w:sectPr>
      </w:pPr>
    </w:p>
    <w:p>
      <w:pPr>
        <w:pStyle w:val="6"/>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224" w:name="_Toc16941"/>
      <w:r>
        <w:rPr>
          <w:rFonts w:hint="eastAsia" w:ascii="黑体" w:hAnsi="黑体" w:eastAsia="黑体" w:cs="黑体"/>
          <w:sz w:val="21"/>
          <w:szCs w:val="21"/>
          <w:lang w:val="en-US" w:eastAsia="zh-CN"/>
        </w:rPr>
        <w:t>附  录  B</w:t>
      </w:r>
      <w:bookmarkEnd w:id="224"/>
    </w:p>
    <w:p>
      <w:pPr>
        <w:pStyle w:val="7"/>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225" w:name="_Toc12726"/>
      <w:bookmarkStart w:id="226" w:name="_Toc12042"/>
      <w:r>
        <w:rPr>
          <w:rFonts w:hint="eastAsia" w:ascii="黑体" w:hAnsi="黑体" w:eastAsia="黑体" w:cs="黑体"/>
          <w:sz w:val="21"/>
          <w:szCs w:val="21"/>
          <w:lang w:val="en-US" w:eastAsia="zh-CN"/>
        </w:rPr>
        <w:t>（资料性）</w:t>
      </w:r>
      <w:bookmarkEnd w:id="225"/>
      <w:bookmarkEnd w:id="226"/>
    </w:p>
    <w:p>
      <w:pPr>
        <w:pStyle w:val="7"/>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227" w:name="_Toc1506"/>
      <w:bookmarkStart w:id="228" w:name="_Toc8701"/>
      <w:r>
        <w:rPr>
          <w:rFonts w:hint="eastAsia" w:ascii="黑体" w:hAnsi="黑体" w:eastAsia="黑体"/>
          <w:color w:val="000000"/>
          <w:sz w:val="21"/>
          <w:szCs w:val="21"/>
          <w:lang w:val="en-US" w:eastAsia="zh-CN"/>
        </w:rPr>
        <w:t>知识产权保护中心分中心公共服务事项清单</w:t>
      </w:r>
      <w:bookmarkEnd w:id="227"/>
      <w:bookmarkEnd w:id="228"/>
    </w:p>
    <w:p>
      <w:pPr>
        <w:pStyle w:val="11"/>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pPr>
      <w:r>
        <w:rPr>
          <w:rFonts w:hint="eastAsia" w:ascii="黑体" w:hAnsi="Times New Roman" w:eastAsia="黑体" w:cs="Times New Roman"/>
          <w:snapToGrid/>
          <w:kern w:val="21"/>
          <w:sz w:val="21"/>
          <w:szCs w:val="20"/>
          <w:lang w:val="en-US" w:eastAsia="zh-CN" w:bidi="ar-SA"/>
        </w:rPr>
        <w:t xml:space="preserve">B.1  </w:t>
      </w:r>
      <w:r>
        <w:rPr>
          <w:rFonts w:hint="eastAsia" w:ascii="宋体" w:hAnsi="宋体" w:eastAsia="宋体" w:cs="宋体"/>
          <w:snapToGrid/>
          <w:kern w:val="21"/>
          <w:sz w:val="21"/>
          <w:szCs w:val="20"/>
          <w:lang w:val="en-US" w:eastAsia="zh-CN" w:bidi="ar-SA"/>
        </w:rPr>
        <w:t>知识产权保护中心分中心公共服务事项参见表B.1</w:t>
      </w:r>
      <w:r>
        <w:rPr>
          <w:rFonts w:hint="eastAsia" w:ascii="宋体" w:hAnsi="宋体" w:eastAsia="宋体" w:cs="宋体"/>
          <w:lang w:val="en-US" w:eastAsia="zh-CN"/>
        </w:rPr>
        <w:t>。</w:t>
      </w:r>
    </w:p>
    <w:p>
      <w:pPr>
        <w:pStyle w:val="60"/>
        <w:numPr>
          <w:ilvl w:val="0"/>
          <w:numId w:val="0"/>
        </w:numPr>
        <w:rPr>
          <w:rFonts w:hint="eastAsia"/>
          <w:lang w:val="en-US" w:eastAsia="zh-CN"/>
        </w:rPr>
      </w:pPr>
      <w:r>
        <w:rPr>
          <w:rFonts w:hint="eastAsia"/>
        </w:rPr>
        <w:t>表</w:t>
      </w:r>
      <w:r>
        <w:rPr>
          <w:rFonts w:hint="eastAsia"/>
          <w:lang w:val="en-US" w:eastAsia="zh-CN"/>
        </w:rPr>
        <w:t>B</w:t>
      </w:r>
      <w:r>
        <w:rPr>
          <w:rFonts w:hint="eastAsia"/>
        </w:rPr>
        <w:t>.1</w:t>
      </w:r>
      <w:r>
        <w:rPr>
          <w:rFonts w:hint="eastAsia"/>
          <w:lang w:val="en-US" w:eastAsia="zh-CN"/>
        </w:rPr>
        <w:t xml:space="preserve"> </w:t>
      </w:r>
      <w:r>
        <w:rPr>
          <w:rFonts w:hint="eastAsia"/>
        </w:rPr>
        <w:t xml:space="preserve"> </w:t>
      </w:r>
      <w:r>
        <w:rPr>
          <w:rFonts w:hint="eastAsia"/>
          <w:lang w:val="en-US" w:eastAsia="zh-CN"/>
        </w:rPr>
        <w:t>知识产权保护中心分中心公共服务事项清单</w:t>
      </w:r>
    </w:p>
    <w:tbl>
      <w:tblPr>
        <w:tblStyle w:val="21"/>
        <w:tblW w:w="9374" w:type="dxa"/>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719"/>
        <w:gridCol w:w="3544"/>
        <w:gridCol w:w="5111"/>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blHeade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序号</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事项名称</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服务内容</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专利预审主体备案受理</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受理提交专利预审主体备案申请</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2</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专利复审、无效优先审查受理</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向上一级保护中心推荐专利复审无效优先审查案件</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3</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商标注册申请受理</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受理、初审社会公众提交的商标注册申请。向上一级保护中心提交初审合格的商标注册申请</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4</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注册商标专用权质押登记受理</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受理注册商标专用权出质人与质权人提交的注册商标专用权质押登记申请</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5</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备案商标代理机构信息查询</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向社会公众提供备案商标代理机构信息的查询服务</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6</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地理标志商标申请业务咨询</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电话、窗口、网络接受申请人关于地理标志商标申请业务咨询</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7</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维权援助申请受理</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受理苏州市辖区内的自然人、法人、其它组织的维权援助申请，提供知识产权侵权判定咨询意见、疑难知识产权案件咨询意见等服务</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8</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知识产权申请流程业务咨询、查询</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向社会公众提供商标、专利、地理标志、集成电路布图设计申请流程事务等咨询、查询服务</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9</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知识产权法律、政策事务咨询、查询</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向社会公众提供包括知识产权申请、审批、保护、运用、管理、服务等相关的知识产权法律、政策事务咨询、查询</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10</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知识产权培训</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向社会公众提供专利代理、海外知识产权风险防控等培训内容，向企业家及企业技术骨干、中小学教师、高校创新创业导师等提供针对性的知识产权培训</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11</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知识产权信息检索分析</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向社会公众提供知识产权大数据、专利检索与分析、产业专利导航分析等查询服务</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12</w:t>
            </w:r>
          </w:p>
        </w:tc>
        <w:tc>
          <w:tcPr>
            <w:tcW w:w="3544"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知识产权服务机构和公共服务平台信息查询</w:t>
            </w:r>
          </w:p>
        </w:tc>
        <w:tc>
          <w:tcPr>
            <w:tcW w:w="5111" w:type="dxa"/>
            <w:tcBorders>
              <w:tl2br w:val="nil"/>
              <w:tr2bl w:val="nil"/>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向社会公众提供全市服务机构和知识产权公共服务平台信息的查询服务</w:t>
            </w:r>
          </w:p>
        </w:tc>
      </w:tr>
    </w:tbl>
    <w:p>
      <w:pPr>
        <w:pStyle w:val="60"/>
        <w:numPr>
          <w:ilvl w:val="0"/>
          <w:numId w:val="0"/>
        </w:numPr>
        <w:rPr>
          <w:rFonts w:hint="eastAsia"/>
        </w:rPr>
      </w:pPr>
    </w:p>
    <w:p>
      <w:pPr>
        <w:pStyle w:val="51"/>
        <w:rPr>
          <w:rFonts w:hint="eastAsia"/>
          <w:lang w:val="en-US" w:eastAsia="zh-CN"/>
        </w:rPr>
      </w:pPr>
    </w:p>
    <w:p>
      <w:pPr>
        <w:pStyle w:val="51"/>
        <w:rPr>
          <w:rFonts w:hint="eastAsia"/>
          <w:lang w:val="en-US" w:eastAsia="zh-CN"/>
        </w:rPr>
      </w:pPr>
    </w:p>
    <w:p>
      <w:pPr>
        <w:pStyle w:val="51"/>
        <w:ind w:left="0" w:leftChars="0" w:firstLine="0" w:firstLineChars="0"/>
        <w:rPr>
          <w:rFonts w:hint="default"/>
          <w:lang w:val="en-US" w:eastAsia="zh-CN"/>
        </w:rPr>
      </w:pPr>
    </w:p>
    <w:p>
      <w:pPr>
        <w:pStyle w:val="51"/>
        <w:ind w:left="0" w:leftChars="0" w:firstLine="0" w:firstLineChars="0"/>
        <w:rPr>
          <w:rFonts w:hint="default"/>
          <w:lang w:val="en-US" w:eastAsia="zh-CN"/>
        </w:rPr>
        <w:sectPr>
          <w:footerReference r:id="rId22" w:type="default"/>
          <w:footerReference r:id="rId23" w:type="even"/>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pPr>
    </w:p>
    <w:p>
      <w:pPr>
        <w:pStyle w:val="6"/>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229" w:name="_Toc13736"/>
      <w:bookmarkStart w:id="230" w:name="_Toc125"/>
      <w:r>
        <w:rPr>
          <w:rFonts w:hint="eastAsia" w:ascii="黑体" w:hAnsi="黑体" w:eastAsia="黑体" w:cs="黑体"/>
          <w:sz w:val="21"/>
          <w:szCs w:val="21"/>
          <w:lang w:val="en-US" w:eastAsia="zh-CN"/>
        </w:rPr>
        <w:t>附  录  C</w:t>
      </w:r>
      <w:bookmarkEnd w:id="229"/>
      <w:bookmarkEnd w:id="230"/>
    </w:p>
    <w:p>
      <w:pPr>
        <w:pStyle w:val="7"/>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231" w:name="_Toc19702"/>
      <w:bookmarkStart w:id="232" w:name="_Toc11602"/>
      <w:r>
        <w:rPr>
          <w:rFonts w:hint="eastAsia" w:ascii="黑体" w:hAnsi="黑体" w:eastAsia="黑体" w:cs="黑体"/>
          <w:sz w:val="21"/>
          <w:szCs w:val="21"/>
          <w:lang w:val="en-US" w:eastAsia="zh-CN"/>
        </w:rPr>
        <w:t>（资料性）</w:t>
      </w:r>
      <w:bookmarkEnd w:id="231"/>
      <w:bookmarkEnd w:id="232"/>
    </w:p>
    <w:p>
      <w:pPr>
        <w:pStyle w:val="7"/>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233" w:name="_Toc4094"/>
      <w:bookmarkStart w:id="234" w:name="_Toc17825"/>
      <w:r>
        <w:rPr>
          <w:rFonts w:hint="eastAsia" w:ascii="黑体" w:hAnsi="黑体" w:eastAsia="黑体"/>
          <w:color w:val="000000"/>
          <w:sz w:val="21"/>
          <w:szCs w:val="21"/>
          <w:lang w:val="en-US" w:eastAsia="zh-CN"/>
        </w:rPr>
        <w:t>知识产权工作站公共服务事项清单</w:t>
      </w:r>
      <w:bookmarkEnd w:id="233"/>
      <w:bookmarkEnd w:id="234"/>
    </w:p>
    <w:p>
      <w:pPr>
        <w:pStyle w:val="11"/>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pPr>
      <w:r>
        <w:rPr>
          <w:rFonts w:hint="eastAsia" w:ascii="黑体" w:hAnsi="Times New Roman" w:eastAsia="黑体" w:cs="Times New Roman"/>
          <w:snapToGrid/>
          <w:kern w:val="21"/>
          <w:sz w:val="21"/>
          <w:szCs w:val="20"/>
          <w:lang w:val="en-US" w:eastAsia="zh-CN" w:bidi="ar-SA"/>
        </w:rPr>
        <w:t xml:space="preserve">C.1  </w:t>
      </w:r>
      <w:r>
        <w:rPr>
          <w:rFonts w:hint="eastAsia" w:ascii="宋体" w:hAnsi="宋体" w:eastAsia="宋体" w:cs="宋体"/>
          <w:snapToGrid/>
          <w:kern w:val="21"/>
          <w:sz w:val="21"/>
          <w:szCs w:val="20"/>
          <w:lang w:val="en-US" w:eastAsia="zh-CN" w:bidi="ar-SA"/>
        </w:rPr>
        <w:t>知识产权保护中心分中心公共服务事项参见表</w:t>
      </w:r>
      <w:r>
        <w:rPr>
          <w:rFonts w:hint="eastAsia" w:cs="宋体"/>
          <w:snapToGrid/>
          <w:kern w:val="21"/>
          <w:sz w:val="21"/>
          <w:szCs w:val="20"/>
          <w:lang w:val="en-US" w:eastAsia="zh-CN" w:bidi="ar-SA"/>
        </w:rPr>
        <w:t>C</w:t>
      </w:r>
      <w:r>
        <w:rPr>
          <w:rFonts w:hint="eastAsia" w:ascii="宋体" w:hAnsi="宋体" w:eastAsia="宋体" w:cs="宋体"/>
          <w:snapToGrid/>
          <w:kern w:val="21"/>
          <w:sz w:val="21"/>
          <w:szCs w:val="20"/>
          <w:lang w:val="en-US" w:eastAsia="zh-CN" w:bidi="ar-SA"/>
        </w:rPr>
        <w:t>.1</w:t>
      </w:r>
      <w:r>
        <w:rPr>
          <w:rFonts w:hint="eastAsia" w:ascii="宋体" w:hAnsi="宋体" w:eastAsia="宋体" w:cs="宋体"/>
          <w:lang w:val="en-US" w:eastAsia="zh-CN"/>
        </w:rPr>
        <w:t>。</w:t>
      </w:r>
    </w:p>
    <w:p>
      <w:pPr>
        <w:pStyle w:val="60"/>
        <w:numPr>
          <w:ilvl w:val="0"/>
          <w:numId w:val="0"/>
        </w:numPr>
        <w:rPr>
          <w:rFonts w:hint="eastAsia"/>
        </w:rPr>
      </w:pPr>
      <w:r>
        <w:rPr>
          <w:rFonts w:hint="eastAsia"/>
        </w:rPr>
        <w:t>表</w:t>
      </w:r>
      <w:r>
        <w:rPr>
          <w:rFonts w:hint="eastAsia"/>
          <w:lang w:val="en-US" w:eastAsia="zh-CN"/>
        </w:rPr>
        <w:t>C</w:t>
      </w:r>
      <w:r>
        <w:rPr>
          <w:rFonts w:hint="eastAsia"/>
        </w:rPr>
        <w:t>.1</w:t>
      </w:r>
      <w:r>
        <w:rPr>
          <w:rFonts w:hint="eastAsia"/>
          <w:lang w:val="en-US" w:eastAsia="zh-CN"/>
        </w:rPr>
        <w:t xml:space="preserve"> </w:t>
      </w:r>
      <w:r>
        <w:rPr>
          <w:rFonts w:hint="eastAsia"/>
        </w:rPr>
        <w:t xml:space="preserve"> 知识产权工作站公共服务事项清单</w:t>
      </w:r>
    </w:p>
    <w:tbl>
      <w:tblPr>
        <w:tblStyle w:val="21"/>
        <w:tblW w:w="0" w:type="auto"/>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719"/>
        <w:gridCol w:w="3544"/>
        <w:gridCol w:w="5111"/>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blHeader/>
          <w:jc w:val="center"/>
        </w:trPr>
        <w:tc>
          <w:tcPr>
            <w:tcW w:w="719" w:type="dxa"/>
            <w:tcBorders>
              <w:bottom w:val="single" w:color="auto" w:sz="8" w:space="0"/>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序号</w:t>
            </w:r>
          </w:p>
        </w:tc>
        <w:tc>
          <w:tcPr>
            <w:tcW w:w="3544" w:type="dxa"/>
            <w:tcBorders>
              <w:bottom w:val="single" w:color="auto" w:sz="8" w:space="0"/>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事项名称</w:t>
            </w:r>
          </w:p>
        </w:tc>
        <w:tc>
          <w:tcPr>
            <w:tcW w:w="5111" w:type="dxa"/>
            <w:tcBorders>
              <w:bottom w:val="single" w:color="auto" w:sz="8" w:space="0"/>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服务内容</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tcBorders>
              <w:top w:val="single" w:color="auto" w:sz="8" w:space="0"/>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1</w:t>
            </w:r>
          </w:p>
        </w:tc>
        <w:tc>
          <w:tcPr>
            <w:tcW w:w="3544" w:type="dxa"/>
            <w:tcBorders>
              <w:top w:val="single" w:color="auto" w:sz="8" w:space="0"/>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备案商标代理机构信息查询</w:t>
            </w:r>
          </w:p>
        </w:tc>
        <w:tc>
          <w:tcPr>
            <w:tcW w:w="5111" w:type="dxa"/>
            <w:tcBorders>
              <w:top w:val="single" w:color="auto" w:sz="8" w:space="0"/>
            </w:tcBorders>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向社会公众提供备案商标代理机构信息的查询服务</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2</w:t>
            </w:r>
          </w:p>
        </w:tc>
        <w:tc>
          <w:tcPr>
            <w:tcW w:w="3544"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维权援助咨询</w:t>
            </w:r>
          </w:p>
        </w:tc>
        <w:tc>
          <w:tcPr>
            <w:tcW w:w="5111"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解答辖区内的自然人、法人、其它组织的维权援助咨询，提供知识产权侵权判定咨询意见、疑难知识产权案件咨询意见等服务</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719"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3</w:t>
            </w:r>
          </w:p>
        </w:tc>
        <w:tc>
          <w:tcPr>
            <w:tcW w:w="3544"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知识产权申请流程业务咨询、查询</w:t>
            </w:r>
          </w:p>
        </w:tc>
        <w:tc>
          <w:tcPr>
            <w:tcW w:w="5111"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向社会公众提供商标、专利、地理标志、集成电路布图设计申请流程事务等咨询、查询服务</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4</w:t>
            </w:r>
          </w:p>
        </w:tc>
        <w:tc>
          <w:tcPr>
            <w:tcW w:w="3544"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知识产权法律、政策事务咨询、查询</w:t>
            </w:r>
          </w:p>
        </w:tc>
        <w:tc>
          <w:tcPr>
            <w:tcW w:w="5111"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向社会公众提供包括知识产权申请、审批、保护、运用、管理、服务等相关的知识产权法律、政策事务咨询、查询</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5</w:t>
            </w:r>
          </w:p>
        </w:tc>
        <w:tc>
          <w:tcPr>
            <w:tcW w:w="3544"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知识产权培训</w:t>
            </w:r>
          </w:p>
        </w:tc>
        <w:tc>
          <w:tcPr>
            <w:tcW w:w="5111"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向社会公众提供专利代理、海外知识产权风险防控等培训内容，向企业家及企业技术骨干、中小学教师、高校创新创业导师等提供针对性的知识产权培训</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719"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6</w:t>
            </w:r>
          </w:p>
        </w:tc>
        <w:tc>
          <w:tcPr>
            <w:tcW w:w="3544"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知识产权信息检索分析</w:t>
            </w:r>
          </w:p>
        </w:tc>
        <w:tc>
          <w:tcPr>
            <w:tcW w:w="5111"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向社会公众提供知识产权大数据、专利检索与分析、产业专利导航分析等查询服务</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719"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7</w:t>
            </w:r>
          </w:p>
        </w:tc>
        <w:tc>
          <w:tcPr>
            <w:tcW w:w="3544"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知识产权服务机构和公共服务平台信息查询</w:t>
            </w:r>
          </w:p>
        </w:tc>
        <w:tc>
          <w:tcPr>
            <w:tcW w:w="5111" w:type="dxa"/>
            <w:shd w:val="clear" w:color="auto" w:fill="auto"/>
            <w:vAlign w:val="center"/>
          </w:tcPr>
          <w:p>
            <w:pPr>
              <w:pStyle w:val="76"/>
              <w:keepNext w:val="0"/>
              <w:keepLines w:val="0"/>
              <w:widowControl w:val="0"/>
              <w:suppressLineNumbers w:val="0"/>
              <w:spacing w:before="0" w:beforeAutospacing="0" w:after="0" w:afterAutospacing="0"/>
              <w:ind w:left="0" w:right="0"/>
              <w:rPr>
                <w:rFonts w:hint="default"/>
                <w:szCs w:val="20"/>
              </w:rPr>
            </w:pPr>
            <w:r>
              <w:rPr>
                <w:rFonts w:hint="eastAsia"/>
                <w:szCs w:val="20"/>
              </w:rPr>
              <w:t>向社会公众提供全市服务机构和知识产权公共服务平台信息的查询服务</w:t>
            </w:r>
          </w:p>
        </w:tc>
      </w:tr>
    </w:tbl>
    <w:p>
      <w:pPr>
        <w:pStyle w:val="51"/>
        <w:rPr>
          <w:rFonts w:hint="eastAsia"/>
          <w:lang w:val="en-US" w:eastAsia="zh-CN"/>
        </w:rPr>
      </w:pPr>
    </w:p>
    <w:p>
      <w:pPr>
        <w:pStyle w:val="2"/>
      </w:pPr>
    </w:p>
    <w:p>
      <w:pPr>
        <w:bidi w:val="0"/>
      </w:pPr>
    </w:p>
    <w:p>
      <w:pPr>
        <w:bidi w:val="0"/>
      </w:pPr>
    </w:p>
    <w:p>
      <w:pPr>
        <w:tabs>
          <w:tab w:val="left" w:pos="2574"/>
        </w:tabs>
        <w:bidi w:val="0"/>
        <w:jc w:val="left"/>
        <w:rPr>
          <w:rFonts w:hint="eastAsia" w:eastAsiaTheme="minorEastAsia"/>
          <w:lang w:eastAsia="zh-CN"/>
        </w:rPr>
        <w:sectPr>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pPr>
    </w:p>
    <w:p>
      <w:pPr>
        <w:pStyle w:val="75"/>
        <w:shd w:val="clear" w:color="FFFFFF" w:fill="FFFFFF"/>
        <w:spacing w:before="567" w:after="283" w:afterLines="0"/>
        <w:rPr>
          <w:rFonts w:hint="eastAsia"/>
          <w:spacing w:val="105"/>
          <w:lang w:val="en-US" w:eastAsia="zh-CN"/>
        </w:rPr>
      </w:pPr>
      <w:bookmarkStart w:id="235" w:name="_Toc8436"/>
      <w:bookmarkStart w:id="236" w:name="_Toc120179958"/>
      <w:bookmarkStart w:id="237" w:name="_Toc18568"/>
      <w:r>
        <w:rPr>
          <w:rFonts w:hint="eastAsia"/>
          <w:spacing w:val="105"/>
          <w:lang w:val="en-US" w:eastAsia="zh-CN"/>
        </w:rPr>
        <w:t>参考文献</w:t>
      </w:r>
      <w:bookmarkEnd w:id="235"/>
      <w:bookmarkEnd w:id="236"/>
      <w:bookmarkEnd w:id="237"/>
    </w:p>
    <w:p>
      <w:pPr>
        <w:pStyle w:val="67"/>
        <w:numPr>
          <w:ilvl w:val="0"/>
          <w:numId w:val="14"/>
        </w:numPr>
        <w:ind w:firstLine="420"/>
        <w:rPr>
          <w:rFonts w:hint="eastAsia"/>
        </w:rPr>
      </w:pPr>
      <w:r>
        <w:rPr>
          <w:rFonts w:hint="eastAsia"/>
          <w:lang w:val="en-US" w:eastAsia="zh-CN"/>
        </w:rPr>
        <w:t xml:space="preserve"> </w:t>
      </w:r>
      <w:r>
        <w:rPr>
          <w:rFonts w:hint="eastAsia"/>
        </w:rPr>
        <w:t>《中华人民共和国专利法》（第十三届全国人民代表大会常务委员会第二十二次会议通过）</w:t>
      </w:r>
    </w:p>
    <w:p>
      <w:pPr>
        <w:pStyle w:val="67"/>
        <w:numPr>
          <w:ilvl w:val="0"/>
          <w:numId w:val="14"/>
        </w:numPr>
        <w:ind w:firstLine="420"/>
        <w:rPr>
          <w:rFonts w:hint="eastAsia"/>
        </w:rPr>
      </w:pPr>
      <w:r>
        <w:rPr>
          <w:rFonts w:hint="eastAsia"/>
          <w:lang w:val="en-US" w:eastAsia="zh-CN"/>
        </w:rPr>
        <w:t xml:space="preserve"> </w:t>
      </w:r>
      <w:r>
        <w:rPr>
          <w:rFonts w:hint="eastAsia"/>
        </w:rPr>
        <w:t>《中华人民共和国专利法实施细则》（中华人民共和国国务院令第306号）</w:t>
      </w:r>
    </w:p>
    <w:p>
      <w:pPr>
        <w:pStyle w:val="67"/>
        <w:numPr>
          <w:ilvl w:val="0"/>
          <w:numId w:val="14"/>
        </w:numPr>
        <w:ind w:firstLine="420"/>
        <w:rPr>
          <w:rFonts w:hint="eastAsia"/>
        </w:rPr>
      </w:pPr>
      <w:r>
        <w:rPr>
          <w:rFonts w:hint="eastAsia"/>
          <w:lang w:val="en-US" w:eastAsia="zh-CN"/>
        </w:rPr>
        <w:t xml:space="preserve"> </w:t>
      </w:r>
      <w:r>
        <w:rPr>
          <w:rFonts w:hint="eastAsia"/>
        </w:rPr>
        <w:t>《专利审查指南2023》（国家知识产权局令第78号）</w:t>
      </w:r>
    </w:p>
    <w:p>
      <w:pPr>
        <w:tabs>
          <w:tab w:val="left" w:pos="6335"/>
        </w:tabs>
        <w:bidi w:val="0"/>
        <w:jc w:val="left"/>
        <w:rPr>
          <w:rFonts w:ascii="黑体" w:hAnsi="黑体" w:eastAsia="黑体"/>
        </w:rPr>
      </w:pPr>
      <w:r>
        <w:rPr>
          <w:rFonts w:ascii="黑体" w:hAnsi="黑体" w:eastAsia="黑体"/>
        </w:rPr>
        <mc:AlternateContent>
          <mc:Choice Requires="wps">
            <w:drawing>
              <wp:anchor distT="0" distB="0" distL="114300" distR="114300" simplePos="0" relativeHeight="251667456"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7456;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t4S4n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p>
    <w:p>
      <w:pPr>
        <w:bidi w:val="0"/>
        <w:rPr>
          <w:rFonts w:hint="eastAsia" w:asciiTheme="minorHAnsi" w:hAnsiTheme="minorHAnsi" w:eastAsiaTheme="minorEastAsia" w:cstheme="minorBidi"/>
          <w:kern w:val="2"/>
          <w:sz w:val="21"/>
          <w:szCs w:val="22"/>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7080"/>
        </w:tabs>
        <w:bidi w:val="0"/>
        <w:jc w:val="left"/>
        <w:rPr>
          <w:rFonts w:hint="default" w:ascii="黑体" w:hAnsi="黑体" w:eastAsia="黑体" w:cs="黑体"/>
          <w:sz w:val="18"/>
          <w:szCs w:val="18"/>
          <w:lang w:val="en-US" w:eastAsia="zh-CN"/>
        </w:rPr>
      </w:pPr>
      <w:r>
        <w:rPr>
          <w:rFonts w:hint="eastAsia"/>
          <w:lang w:val="en-US" w:eastAsia="zh-CN"/>
        </w:rPr>
        <w:tab/>
      </w:r>
    </w:p>
    <w:sectPr>
      <w:pgSz w:w="11906" w:h="16838"/>
      <w:pgMar w:top="1417" w:right="1134" w:bottom="1134" w:left="1418" w:header="1417" w:footer="1134"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gkQd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N6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GCRB0dAgAAKwQAAA4AAAAAAAAAAQAgAAAANQEAAGRycy9lMm9Eb2MueG1sUEsF&#10;BgAAAAAGAAYAWQEAAMQFA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ro7ocdAgAAKwQAAA4AAAAAAAAAAQAgAAAANQ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posOffset>30480</wp:posOffset>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2.4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PsoLCzTAAAABgEAAA8AAAAAAAAAAQAgAAAAOAAAAGRycy9kb3ducmV2LnhtbFBLAQIUABQAAAAI&#10;AIdO4kCcR+mXFQIAABsEAAAOAAAAAAAAAAEAIAAAADgBAABkcnMvZTJvRG9jLnhtbFBLBQYAAAAA&#10;BgAGAFkBAAC/BQAAAAA=&#10;">
              <v:fill on="f" focussize="0,0"/>
              <v:stroke on="f" weight="0.5pt"/>
              <v:imagedata o:title=""/>
              <o:lock v:ext="edit" aspectratio="f"/>
              <v:textbox inset="0mm,0mm,0mm,0mm" style="mso-fit-shape-to-text:t;">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none" w:color="auto" w:sz="0" w:space="0"/>
        <w:left w:val="none" w:color="auto" w:sz="0" w:space="0"/>
        <w:bottom w:val="none" w:color="auto" w:sz="0" w:space="1"/>
        <w:right w:val="none" w:color="auto" w:sz="0" w:space="0"/>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Style w:val="34"/>
        <w:rFonts w:hint="eastAsia"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left"/>
      <w:textAlignment w:val="auto"/>
      <w:rPr>
        <w:rStyle w:val="34"/>
        <w:rFonts w:hint="eastAsia"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keepNext w:val="0"/>
      <w:keepLines w:val="0"/>
      <w:pageBreakBefore w:val="0"/>
      <w:widowControl w:val="0"/>
      <w:kinsoku/>
      <w:wordWrap/>
      <w:overflowPunct/>
      <w:topLinePunct w:val="0"/>
      <w:autoSpaceDE/>
      <w:autoSpaceDN/>
      <w:bidi w:val="0"/>
      <w:adjustRightInd w:val="0"/>
      <w:snapToGrid w:val="0"/>
      <w:spacing w:after="283"/>
      <w:textAlignment w:val="auto"/>
      <w:rPr>
        <w:rStyle w:val="34"/>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default"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w:t>
    </w:r>
    <w:r>
      <w:rPr>
        <w:rFonts w:hint="eastAsia" w:ascii="黑体" w:hAnsi="黑体" w:eastAsia="黑体"/>
        <w:lang w:val="en-US" w:eastAsia="zh-CN"/>
      </w:rPr>
      <w:t>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7"/>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DF197E5"/>
    <w:multiLevelType w:val="singleLevel"/>
    <w:tmpl w:val="1DF197E5"/>
    <w:lvl w:ilvl="0" w:tentative="0">
      <w:start w:val="1"/>
      <w:numFmt w:val="decimal"/>
      <w:suff w:val="space"/>
      <w:lvlText w:val="[%1]"/>
      <w:lvlJc w:val="left"/>
      <w:rPr>
        <w:rFonts w:hint="default" w:ascii="宋体" w:hAnsi="宋体" w:eastAsia="宋体" w:cstheme="minorEastAsia"/>
        <w:sz w:val="21"/>
        <w:szCs w:val="21"/>
      </w:rPr>
    </w:lvl>
  </w:abstractNum>
  <w:abstractNum w:abstractNumId="4">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pStyle w:val="80"/>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
    <w:nsid w:val="557C2AF5"/>
    <w:multiLevelType w:val="multilevel"/>
    <w:tmpl w:val="557C2AF5"/>
    <w:lvl w:ilvl="0" w:tentative="0">
      <w:start w:val="1"/>
      <w:numFmt w:val="decimal"/>
      <w:pStyle w:val="81"/>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8">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82"/>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0">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79"/>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4"/>
  </w:num>
  <w:num w:numId="3">
    <w:abstractNumId w:val="2"/>
  </w:num>
  <w:num w:numId="4">
    <w:abstractNumId w:val="5"/>
  </w:num>
  <w:num w:numId="5">
    <w:abstractNumId w:val="12"/>
  </w:num>
  <w:num w:numId="6">
    <w:abstractNumId w:val="10"/>
  </w:num>
  <w:num w:numId="7">
    <w:abstractNumId w:val="9"/>
  </w:num>
  <w:num w:numId="8">
    <w:abstractNumId w:val="11"/>
  </w:num>
  <w:num w:numId="9">
    <w:abstractNumId w:val="6"/>
  </w:num>
  <w:num w:numId="10">
    <w:abstractNumId w:val="0"/>
  </w:num>
  <w:num w:numId="11">
    <w:abstractNumId w:val="7"/>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3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B97F5E"/>
    <w:rsid w:val="01EE5E5A"/>
    <w:rsid w:val="024E4B4B"/>
    <w:rsid w:val="02670DCF"/>
    <w:rsid w:val="034D2939"/>
    <w:rsid w:val="03E1307F"/>
    <w:rsid w:val="041651F4"/>
    <w:rsid w:val="043164D2"/>
    <w:rsid w:val="04912ACD"/>
    <w:rsid w:val="04C62D2A"/>
    <w:rsid w:val="04DB69C7"/>
    <w:rsid w:val="056C2AC8"/>
    <w:rsid w:val="077C7A64"/>
    <w:rsid w:val="078D3A1F"/>
    <w:rsid w:val="086A5B0F"/>
    <w:rsid w:val="08D94A4A"/>
    <w:rsid w:val="08F24482"/>
    <w:rsid w:val="09332050"/>
    <w:rsid w:val="0949606C"/>
    <w:rsid w:val="09652865"/>
    <w:rsid w:val="097D3D26"/>
    <w:rsid w:val="09D66958"/>
    <w:rsid w:val="09E85885"/>
    <w:rsid w:val="0ADA2F69"/>
    <w:rsid w:val="0AE10BBF"/>
    <w:rsid w:val="0AF4041E"/>
    <w:rsid w:val="0B4B7E79"/>
    <w:rsid w:val="0BBA5614"/>
    <w:rsid w:val="0BBD0185"/>
    <w:rsid w:val="0BEB51B8"/>
    <w:rsid w:val="0C2D3A23"/>
    <w:rsid w:val="0D011260"/>
    <w:rsid w:val="0D3B0839"/>
    <w:rsid w:val="0DB937C0"/>
    <w:rsid w:val="0E572FD9"/>
    <w:rsid w:val="0F39623B"/>
    <w:rsid w:val="0F5D4929"/>
    <w:rsid w:val="0FB5747F"/>
    <w:rsid w:val="10F22B45"/>
    <w:rsid w:val="11EA4A5D"/>
    <w:rsid w:val="123426ED"/>
    <w:rsid w:val="1330335A"/>
    <w:rsid w:val="13492913"/>
    <w:rsid w:val="140915D6"/>
    <w:rsid w:val="144C07BE"/>
    <w:rsid w:val="14AB42D7"/>
    <w:rsid w:val="157601E9"/>
    <w:rsid w:val="15912AB1"/>
    <w:rsid w:val="159863B1"/>
    <w:rsid w:val="1614131D"/>
    <w:rsid w:val="16585639"/>
    <w:rsid w:val="167A1613"/>
    <w:rsid w:val="16B6476F"/>
    <w:rsid w:val="1986454E"/>
    <w:rsid w:val="19BD2F50"/>
    <w:rsid w:val="19D653D3"/>
    <w:rsid w:val="19E576EB"/>
    <w:rsid w:val="1A9F3EA8"/>
    <w:rsid w:val="1AE557D7"/>
    <w:rsid w:val="1AF62448"/>
    <w:rsid w:val="1B9118D8"/>
    <w:rsid w:val="1BA333BA"/>
    <w:rsid w:val="1BD1056A"/>
    <w:rsid w:val="1BD9327F"/>
    <w:rsid w:val="1CE617B0"/>
    <w:rsid w:val="1D475092"/>
    <w:rsid w:val="1E901E0D"/>
    <w:rsid w:val="1EFC4C0E"/>
    <w:rsid w:val="1F3709E9"/>
    <w:rsid w:val="1F372F73"/>
    <w:rsid w:val="1F5511FE"/>
    <w:rsid w:val="1F791B4A"/>
    <w:rsid w:val="1FF922F7"/>
    <w:rsid w:val="203A6C9D"/>
    <w:rsid w:val="20783C66"/>
    <w:rsid w:val="213D7067"/>
    <w:rsid w:val="227B299A"/>
    <w:rsid w:val="22F10B03"/>
    <w:rsid w:val="23282A50"/>
    <w:rsid w:val="235D1A58"/>
    <w:rsid w:val="23607492"/>
    <w:rsid w:val="23893375"/>
    <w:rsid w:val="23D049E7"/>
    <w:rsid w:val="24F31A54"/>
    <w:rsid w:val="262E49A9"/>
    <w:rsid w:val="27BA089A"/>
    <w:rsid w:val="291C47AB"/>
    <w:rsid w:val="295126A7"/>
    <w:rsid w:val="298760C9"/>
    <w:rsid w:val="299E589B"/>
    <w:rsid w:val="29DD2289"/>
    <w:rsid w:val="2A0674B9"/>
    <w:rsid w:val="2A19342E"/>
    <w:rsid w:val="2A9E6EDA"/>
    <w:rsid w:val="2AC259E9"/>
    <w:rsid w:val="2B5F5209"/>
    <w:rsid w:val="2B86097C"/>
    <w:rsid w:val="2BEF00BA"/>
    <w:rsid w:val="2C673F8F"/>
    <w:rsid w:val="2DA60AE7"/>
    <w:rsid w:val="2E6A0BA9"/>
    <w:rsid w:val="2E7D49BC"/>
    <w:rsid w:val="2F033AB7"/>
    <w:rsid w:val="2FC604F2"/>
    <w:rsid w:val="2FCA31B3"/>
    <w:rsid w:val="30512DC8"/>
    <w:rsid w:val="305807BF"/>
    <w:rsid w:val="30B023A9"/>
    <w:rsid w:val="30BA0FA5"/>
    <w:rsid w:val="32697E49"/>
    <w:rsid w:val="3298011B"/>
    <w:rsid w:val="33116C37"/>
    <w:rsid w:val="353F5AA9"/>
    <w:rsid w:val="355276CD"/>
    <w:rsid w:val="358773F6"/>
    <w:rsid w:val="37875802"/>
    <w:rsid w:val="37AA040E"/>
    <w:rsid w:val="387A4A23"/>
    <w:rsid w:val="397A5D84"/>
    <w:rsid w:val="3A38257A"/>
    <w:rsid w:val="3A773D1D"/>
    <w:rsid w:val="3AA47EC1"/>
    <w:rsid w:val="3B337E5E"/>
    <w:rsid w:val="3B53405D"/>
    <w:rsid w:val="3B687DD3"/>
    <w:rsid w:val="3BB84807"/>
    <w:rsid w:val="3C0507CC"/>
    <w:rsid w:val="3C0C2E90"/>
    <w:rsid w:val="3C153A08"/>
    <w:rsid w:val="3C574020"/>
    <w:rsid w:val="3CD016DD"/>
    <w:rsid w:val="3D6F398A"/>
    <w:rsid w:val="3D9E1027"/>
    <w:rsid w:val="3E6447D3"/>
    <w:rsid w:val="3E7762B4"/>
    <w:rsid w:val="3E914FDF"/>
    <w:rsid w:val="3F516B05"/>
    <w:rsid w:val="3FCB4391"/>
    <w:rsid w:val="407103DB"/>
    <w:rsid w:val="4125649B"/>
    <w:rsid w:val="413E41AB"/>
    <w:rsid w:val="41DD26A1"/>
    <w:rsid w:val="42826DD7"/>
    <w:rsid w:val="42D27F5D"/>
    <w:rsid w:val="432D5ADB"/>
    <w:rsid w:val="44B738AE"/>
    <w:rsid w:val="44DC50C3"/>
    <w:rsid w:val="44FD328B"/>
    <w:rsid w:val="455B5C08"/>
    <w:rsid w:val="459E4A6E"/>
    <w:rsid w:val="45B0521A"/>
    <w:rsid w:val="45E5444B"/>
    <w:rsid w:val="45F10943"/>
    <w:rsid w:val="46024881"/>
    <w:rsid w:val="463F1DAD"/>
    <w:rsid w:val="46432AD9"/>
    <w:rsid w:val="47B95B8F"/>
    <w:rsid w:val="48C6265B"/>
    <w:rsid w:val="491679AE"/>
    <w:rsid w:val="4944592C"/>
    <w:rsid w:val="4CC8541E"/>
    <w:rsid w:val="4D244B35"/>
    <w:rsid w:val="4D7C7F66"/>
    <w:rsid w:val="4E497F1B"/>
    <w:rsid w:val="4E72372F"/>
    <w:rsid w:val="4E826BA1"/>
    <w:rsid w:val="4F4F2935"/>
    <w:rsid w:val="4FB262DF"/>
    <w:rsid w:val="4FD712A8"/>
    <w:rsid w:val="502913D8"/>
    <w:rsid w:val="506A1CDA"/>
    <w:rsid w:val="50830AE8"/>
    <w:rsid w:val="513145D7"/>
    <w:rsid w:val="515A3F3F"/>
    <w:rsid w:val="51DB264E"/>
    <w:rsid w:val="52013E99"/>
    <w:rsid w:val="52884ADC"/>
    <w:rsid w:val="53487DC7"/>
    <w:rsid w:val="53D8739D"/>
    <w:rsid w:val="54EF45B2"/>
    <w:rsid w:val="5563538C"/>
    <w:rsid w:val="55782BE6"/>
    <w:rsid w:val="561C68FE"/>
    <w:rsid w:val="562763BA"/>
    <w:rsid w:val="56FA05E0"/>
    <w:rsid w:val="57205312"/>
    <w:rsid w:val="575B4970"/>
    <w:rsid w:val="58953240"/>
    <w:rsid w:val="58EA0B58"/>
    <w:rsid w:val="597102CD"/>
    <w:rsid w:val="5A782E0E"/>
    <w:rsid w:val="5AA42EE1"/>
    <w:rsid w:val="5AB20E18"/>
    <w:rsid w:val="5AC73CC7"/>
    <w:rsid w:val="5ADD04B0"/>
    <w:rsid w:val="5B6068E3"/>
    <w:rsid w:val="5CDD3C76"/>
    <w:rsid w:val="5CE24DE9"/>
    <w:rsid w:val="5D355860"/>
    <w:rsid w:val="5DD230AF"/>
    <w:rsid w:val="5E127A94"/>
    <w:rsid w:val="5E4F2952"/>
    <w:rsid w:val="5EC2103E"/>
    <w:rsid w:val="5F3651D2"/>
    <w:rsid w:val="5F47472B"/>
    <w:rsid w:val="5FCD3B2E"/>
    <w:rsid w:val="6022031E"/>
    <w:rsid w:val="612E72BF"/>
    <w:rsid w:val="61E0223F"/>
    <w:rsid w:val="620F48D2"/>
    <w:rsid w:val="62275A9D"/>
    <w:rsid w:val="62A274F4"/>
    <w:rsid w:val="630E5001"/>
    <w:rsid w:val="63473BF7"/>
    <w:rsid w:val="64490C49"/>
    <w:rsid w:val="65F96884"/>
    <w:rsid w:val="661204ED"/>
    <w:rsid w:val="663F48D4"/>
    <w:rsid w:val="66425B69"/>
    <w:rsid w:val="66832C22"/>
    <w:rsid w:val="66910CA5"/>
    <w:rsid w:val="66C17142"/>
    <w:rsid w:val="67451519"/>
    <w:rsid w:val="680D2B5C"/>
    <w:rsid w:val="68706054"/>
    <w:rsid w:val="688A0DE6"/>
    <w:rsid w:val="68917B90"/>
    <w:rsid w:val="68F02F9E"/>
    <w:rsid w:val="691D1DC4"/>
    <w:rsid w:val="69CF4947"/>
    <w:rsid w:val="6A4626EF"/>
    <w:rsid w:val="6A7C706D"/>
    <w:rsid w:val="6ADF74D7"/>
    <w:rsid w:val="6BCA186A"/>
    <w:rsid w:val="6C0563E5"/>
    <w:rsid w:val="6C6C0C3F"/>
    <w:rsid w:val="6C89702F"/>
    <w:rsid w:val="6C917B8F"/>
    <w:rsid w:val="6CCB1BFF"/>
    <w:rsid w:val="6D0B3EE8"/>
    <w:rsid w:val="6D325918"/>
    <w:rsid w:val="6DAD049D"/>
    <w:rsid w:val="6E851A78"/>
    <w:rsid w:val="6ECD387A"/>
    <w:rsid w:val="6F0B01CF"/>
    <w:rsid w:val="6F2F03DB"/>
    <w:rsid w:val="6FF139B8"/>
    <w:rsid w:val="70064409"/>
    <w:rsid w:val="70926DFA"/>
    <w:rsid w:val="7101188A"/>
    <w:rsid w:val="711A6DEF"/>
    <w:rsid w:val="72127AC6"/>
    <w:rsid w:val="72834520"/>
    <w:rsid w:val="73025D8D"/>
    <w:rsid w:val="73765CE2"/>
    <w:rsid w:val="7383295D"/>
    <w:rsid w:val="743442CC"/>
    <w:rsid w:val="743B50B2"/>
    <w:rsid w:val="748E5C99"/>
    <w:rsid w:val="74BF2C7A"/>
    <w:rsid w:val="75682D8E"/>
    <w:rsid w:val="75A31161"/>
    <w:rsid w:val="75D25B10"/>
    <w:rsid w:val="76442929"/>
    <w:rsid w:val="768F3DF2"/>
    <w:rsid w:val="76AF7FDA"/>
    <w:rsid w:val="76C27A63"/>
    <w:rsid w:val="7769462C"/>
    <w:rsid w:val="77D44DFB"/>
    <w:rsid w:val="77FA5285"/>
    <w:rsid w:val="7879089F"/>
    <w:rsid w:val="79294073"/>
    <w:rsid w:val="795409C4"/>
    <w:rsid w:val="79A2593A"/>
    <w:rsid w:val="7AF60F49"/>
    <w:rsid w:val="7B7F029E"/>
    <w:rsid w:val="7BBE3424"/>
    <w:rsid w:val="7BDA3403"/>
    <w:rsid w:val="7CA72FD6"/>
    <w:rsid w:val="7D146DE8"/>
    <w:rsid w:val="7D497EC4"/>
    <w:rsid w:val="7DF54524"/>
    <w:rsid w:val="7E0328BC"/>
    <w:rsid w:val="7E5D3F34"/>
    <w:rsid w:val="7E6B21EE"/>
    <w:rsid w:val="7FA252AD"/>
    <w:rsid w:val="7FAC1FBF"/>
    <w:rsid w:val="7FF57E3F"/>
    <w:rsid w:val="7FF90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Body Text"/>
    <w:basedOn w:val="1"/>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semiHidden/>
    <w:unhideWhenUsed/>
    <w:qFormat/>
    <w:uiPriority w:val="99"/>
    <w:pPr>
      <w:jc w:val="left"/>
    </w:pPr>
  </w:style>
  <w:style w:type="paragraph" w:styleId="9">
    <w:name w:val="toc 3"/>
    <w:basedOn w:val="1"/>
    <w:next w:val="1"/>
    <w:semiHidden/>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页眉 Char"/>
    <w:basedOn w:val="22"/>
    <w:link w:val="14"/>
    <w:qFormat/>
    <w:uiPriority w:val="99"/>
    <w:rPr>
      <w:sz w:val="18"/>
      <w:szCs w:val="18"/>
    </w:rPr>
  </w:style>
  <w:style w:type="character" w:customStyle="1" w:styleId="26">
    <w:name w:val="页脚 Char"/>
    <w:basedOn w:val="22"/>
    <w:link w:val="13"/>
    <w:qFormat/>
    <w:uiPriority w:val="99"/>
    <w:rPr>
      <w:sz w:val="18"/>
      <w:szCs w:val="18"/>
    </w:rPr>
  </w:style>
  <w:style w:type="character" w:customStyle="1" w:styleId="27">
    <w:name w:val="批注框文本 Char"/>
    <w:basedOn w:val="22"/>
    <w:link w:val="12"/>
    <w:semiHidden/>
    <w:qFormat/>
    <w:uiPriority w:val="99"/>
    <w:rPr>
      <w:sz w:val="18"/>
      <w:szCs w:val="18"/>
    </w:rPr>
  </w:style>
  <w:style w:type="paragraph" w:styleId="28">
    <w:name w:val="List Paragraph"/>
    <w:basedOn w:val="1"/>
    <w:qFormat/>
    <w:uiPriority w:val="34"/>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3"/>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qFormat/>
    <w:uiPriority w:val="11"/>
    <w:rPr>
      <w:rFonts w:eastAsia="宋体" w:asciiTheme="majorHAnsi" w:hAnsiTheme="majorHAnsi" w:cstheme="majorBidi"/>
      <w:b/>
      <w:bCs/>
      <w:kern w:val="28"/>
      <w:sz w:val="32"/>
      <w:szCs w:val="32"/>
    </w:rPr>
  </w:style>
  <w:style w:type="character" w:customStyle="1" w:styleId="36">
    <w:name w:val="标题 Char"/>
    <w:basedOn w:val="22"/>
    <w:link w:val="19"/>
    <w:qFormat/>
    <w:uiPriority w:val="10"/>
    <w:rPr>
      <w:rFonts w:eastAsia="宋体" w:asciiTheme="majorHAnsi" w:hAnsiTheme="majorHAnsi" w:cstheme="majorBidi"/>
      <w:b/>
      <w:bCs/>
      <w:sz w:val="32"/>
      <w:szCs w:val="32"/>
    </w:rPr>
  </w:style>
  <w:style w:type="character" w:customStyle="1" w:styleId="37">
    <w:name w:val="标题 2 Char"/>
    <w:basedOn w:val="22"/>
    <w:link w:val="4"/>
    <w:qFormat/>
    <w:uiPriority w:val="9"/>
    <w:rPr>
      <w:rFonts w:asciiTheme="majorHAnsi" w:hAnsiTheme="majorHAnsi" w:eastAsiaTheme="majorEastAsia" w:cstheme="majorBidi"/>
      <w:b/>
      <w:bCs/>
      <w:sz w:val="32"/>
      <w:szCs w:val="32"/>
    </w:rPr>
  </w:style>
  <w:style w:type="character" w:customStyle="1" w:styleId="38">
    <w:name w:val="标题 3 Char"/>
    <w:basedOn w:val="22"/>
    <w:link w:val="5"/>
    <w:semiHidden/>
    <w:qFormat/>
    <w:uiPriority w:val="9"/>
    <w:rPr>
      <w:b/>
      <w:bCs/>
      <w:sz w:val="32"/>
      <w:szCs w:val="32"/>
    </w:rPr>
  </w:style>
  <w:style w:type="character" w:customStyle="1" w:styleId="39">
    <w:name w:val="正文文本缩进 2 Char"/>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Char"/>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0" w:beforeLines="0" w:after="0" w:afterLines="0"/>
    </w:pPr>
    <w:rPr>
      <w:rFonts w:ascii="宋体" w:eastAsia="宋体"/>
    </w:rPr>
  </w:style>
  <w:style w:type="paragraph" w:customStyle="1" w:styleId="54">
    <w:name w:val="二级条标题"/>
    <w:basedOn w:val="52"/>
    <w:next w:val="51"/>
    <w:qFormat/>
    <w:uiPriority w:val="0"/>
    <w:pPr>
      <w:numPr>
        <w:ilvl w:val="2"/>
        <w:numId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0" w:beforeLines="0" w:after="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qFormat/>
    <w:uiPriority w:val="0"/>
    <w:pPr>
      <w:spacing w:before="0" w:beforeLines="0" w:after="0" w:afterLines="0"/>
      <w:outlineLvl w:val="9"/>
    </w:pPr>
    <w:rPr>
      <w:rFonts w:ascii="宋体" w:eastAsia="宋体"/>
    </w:rPr>
  </w:style>
  <w:style w:type="paragraph" w:customStyle="1" w:styleId="69">
    <w:name w:val="标准文件_二级条标题"/>
    <w:next w:val="67"/>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pPr>
      <w:ind w:firstLine="0" w:firstLineChars="0"/>
    </w:pPr>
    <w:rPr>
      <w:sz w:val="21"/>
    </w:rPr>
  </w:style>
  <w:style w:type="paragraph" w:customStyle="1" w:styleId="73">
    <w:name w:val="标准文件_附录一级条标题"/>
    <w:next w:val="6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表格"/>
    <w:basedOn w:val="67"/>
    <w:qFormat/>
    <w:uiPriority w:val="0"/>
    <w:pPr>
      <w:ind w:firstLine="0" w:firstLineChars="0"/>
      <w:jc w:val="center"/>
    </w:pPr>
    <w:rPr>
      <w:sz w:val="18"/>
    </w:rPr>
  </w:style>
  <w:style w:type="paragraph" w:customStyle="1" w:styleId="77">
    <w:name w:val="标准文件_注×："/>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paragraph" w:customStyle="1" w:styleId="78">
    <w:name w:val="标准文件_三级无标题"/>
    <w:basedOn w:val="79"/>
    <w:qFormat/>
    <w:uiPriority w:val="0"/>
    <w:pPr>
      <w:spacing w:before="0" w:beforeLines="0" w:after="0" w:afterLines="0"/>
      <w:outlineLvl w:val="9"/>
    </w:pPr>
    <w:rPr>
      <w:rFonts w:ascii="宋体" w:eastAsia="宋体"/>
    </w:rPr>
  </w:style>
  <w:style w:type="paragraph" w:customStyle="1" w:styleId="79">
    <w:name w:val="标准文件_三级条标题"/>
    <w:basedOn w:val="69"/>
    <w:next w:val="67"/>
    <w:qFormat/>
    <w:uiPriority w:val="0"/>
    <w:pPr>
      <w:widowControl/>
      <w:numPr>
        <w:ilvl w:val="4"/>
      </w:numPr>
      <w:outlineLvl w:val="3"/>
    </w:pPr>
  </w:style>
  <w:style w:type="paragraph" w:customStyle="1" w:styleId="80">
    <w:name w:val="标准文件_一级项"/>
    <w:qFormat/>
    <w:uiPriority w:val="0"/>
    <w:pPr>
      <w:numPr>
        <w:ilvl w:val="0"/>
        <w:numId w:val="4"/>
      </w:numPr>
    </w:pPr>
    <w:rPr>
      <w:rFonts w:ascii="宋体" w:hAnsi="Times New Roman" w:eastAsia="宋体" w:cs="Times New Roman"/>
      <w:sz w:val="21"/>
      <w:lang w:val="en-US" w:eastAsia="zh-CN" w:bidi="ar-SA"/>
    </w:rPr>
  </w:style>
  <w:style w:type="paragraph" w:customStyle="1" w:styleId="81">
    <w:name w:val="标准文件_正文图标题"/>
    <w:next w:val="67"/>
    <w:qFormat/>
    <w:uiPriority w:val="0"/>
    <w:pPr>
      <w:numPr>
        <w:ilvl w:val="0"/>
        <w:numId w:val="11"/>
      </w:numPr>
      <w:spacing w:before="50" w:beforeLines="50" w:after="50" w:afterLines="50"/>
      <w:jc w:val="center"/>
    </w:pPr>
    <w:rPr>
      <w:rFonts w:ascii="黑体" w:hAnsi="Times New Roman" w:eastAsia="黑体" w:cs="Times New Roman"/>
      <w:sz w:val="21"/>
      <w:lang w:val="en-US" w:eastAsia="zh-CN" w:bidi="ar-SA"/>
    </w:rPr>
  </w:style>
  <w:style w:type="paragraph" w:customStyle="1" w:styleId="82">
    <w:name w:val="标准文件_附录表标题"/>
    <w:next w:val="67"/>
    <w:qFormat/>
    <w:uiPriority w:val="0"/>
    <w:pPr>
      <w:numPr>
        <w:ilvl w:val="1"/>
        <w:numId w:val="12"/>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character" w:customStyle="1" w:styleId="83">
    <w:name w:val="标准文件_段 Char"/>
    <w:basedOn w:val="22"/>
    <w:qFormat/>
    <w:uiPriority w:val="0"/>
    <w:rPr>
      <w:rFonts w:hint="eastAsia" w:ascii="宋体" w:hAnsi="Times New Roman" w:eastAsia="宋体" w:cs="宋体"/>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18</Pages>
  <Words>5195</Words>
  <Characters>5490</Characters>
  <Lines>78</Lines>
  <Paragraphs>22</Paragraphs>
  <TotalTime>33</TotalTime>
  <ScaleCrop>false</ScaleCrop>
  <LinksUpToDate>false</LinksUpToDate>
  <CharactersWithSpaces>5838</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2022-12-21T15:00:00Z</dcterms:created>
  <dc:creator>wy</dc:creator>
  <cp:lastModifiedBy>sugou</cp:lastModifiedBy>
  <cp:lastPrinted>2022-09-06T09:26:00Z</cp:lastPrinted>
  <dcterms:modified xsi:type="dcterms:W3CDTF">2025-05-09T15:16:50Z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2D391516055844F695F153CAFD5B753F</vt:lpwstr>
  </property>
  <property fmtid="{D5CDD505-2E9C-101B-9397-08002B2CF9AE}" pid="4" name="KSOTemplateDocerSaveRecord">
    <vt:lpwstr>eyJoZGlkIjoiMjIxMDg2ZDVmODAxZDIyMjVlZjY0Zjk3MTNiYWIwMTciLCJ1c2VySWQiOiIxMzM4NDc1MDkxIn0=</vt:lpwstr>
  </property>
</Properties>
</file>