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Times New Roman"/>
        </w:rPr>
      </w:pPr>
      <w:r>
        <w:rPr>
          <w:rFonts w:ascii="黑体" w:hAnsi="黑体" w:eastAsia="黑体" w:cs="Times New Roman"/>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 xmlns:a="http://schemas.openxmlformats.org/drawingml/2006/main">
                  <a:graphicData uri="http://schemas.microsoft.com/office/word/2010/wordprocessingShape">
                    <wps:wsp>
                      <wps:cNvSpPr txBox="true">
                        <a:spLocks noChangeArrowheads="true"/>
                      </wps:cNvSpPr>
                      <wps:spPr bwMode="auto">
                        <a:xfrm>
                          <a:off x="0" y="0"/>
                          <a:ext cx="3696970" cy="792480"/>
                        </a:xfrm>
                        <a:prstGeom prst="rect">
                          <a:avLst/>
                        </a:prstGeom>
                        <a:noFill/>
                        <a:ln>
                          <a:noFill/>
                        </a:ln>
                      </wps:spPr>
                      <wps:txbx>
                        <w:txbxContent>
                          <w:p>
                            <w:pPr>
                              <w:pStyle w:val="30"/>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false" upright="true">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Hp1+O7YAAAACwEAAA8AAAAAAAAAAQAgAAAAOAAA&#10;AGRycy9kb3ducmV2LnhtbFBLAQIUABQAAAAIAIdO4kDM3w308gEAANMDAAAOAAAAAAAAAAEAIAAA&#10;AD0BAABkcnMvZTJvRG9jLnhtbFBLBQYAAAAABgAGAFkBAAChBQAAAAA=&#10;">
                <v:fill on="f" focussize="0,0"/>
                <v:stroke on="f"/>
                <v:imagedata o:title=""/>
                <o:lock v:ext="edit" aspectratio="f"/>
                <v:textbox style="mso-fit-shape-to-text:t;">
                  <w:txbxContent>
                    <w:p>
                      <w:pPr>
                        <w:pStyle w:val="30"/>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 xml:space="preserve">ICS </w:t>
      </w:r>
      <w:r>
        <w:rPr>
          <w:rFonts w:hint="eastAsia" w:ascii="黑体" w:hAnsi="黑体" w:eastAsia="黑体" w:cs="Times New Roman"/>
        </w:rPr>
        <w:t>93</w:t>
      </w:r>
      <w:r>
        <w:rPr>
          <w:rFonts w:ascii="黑体" w:hAnsi="黑体" w:eastAsia="黑体" w:cs="Times New Roman"/>
        </w:rPr>
        <w:t>.</w:t>
      </w:r>
      <w:r>
        <w:rPr>
          <w:rFonts w:hint="eastAsia" w:ascii="黑体" w:hAnsi="黑体" w:eastAsia="黑体" w:cs="Times New Roman"/>
        </w:rPr>
        <w:t>080</w:t>
      </w:r>
    </w:p>
    <w:p>
      <w:pPr>
        <w:rPr>
          <w:rFonts w:hint="eastAsia" w:ascii="黑体" w:hAnsi="黑体" w:eastAsia="黑体" w:cs="Times New Roman"/>
        </w:rPr>
      </w:pPr>
      <w:r>
        <w:rPr>
          <w:rFonts w:ascii="黑体" w:hAnsi="黑体" w:eastAsia="黑体" w:cs="Times New Roman"/>
        </w:rPr>
        <w:t xml:space="preserve">CCS </w:t>
      </w:r>
      <w:r>
        <w:rPr>
          <w:rFonts w:hint="eastAsia" w:ascii="黑体" w:hAnsi="黑体" w:eastAsia="黑体" w:cs="Times New Roman"/>
        </w:rPr>
        <w:t>P</w:t>
      </w:r>
      <w:r>
        <w:rPr>
          <w:rFonts w:ascii="黑体" w:hAnsi="黑体" w:eastAsia="黑体" w:cs="Times New Roman"/>
        </w:rPr>
        <w:t xml:space="preserve"> </w:t>
      </w:r>
      <w:r>
        <w:rPr>
          <w:rFonts w:hint="eastAsia" w:ascii="黑体" w:hAnsi="黑体" w:eastAsia="黑体" w:cs="Times New Roman"/>
        </w:rPr>
        <w:t>66</w:t>
      </w:r>
    </w:p>
    <w:p>
      <w:pPr>
        <w:rPr>
          <w:rFonts w:hint="eastAsia"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0" b="0"/>
                <wp:wrapNone/>
                <wp:docPr id="3" name="Text Box 18"/>
                <wp:cNvGraphicFramePr/>
                <a:graphic xmlns:a="http://schemas.openxmlformats.org/drawingml/2006/main">
                  <a:graphicData uri="http://schemas.microsoft.com/office/word/2010/wordprocessingShape">
                    <wps:wsp>
                      <wps:cNvSpPr txBox="true">
                        <a:spLocks noChangeArrowheads="true"/>
                      </wps:cNvSpPr>
                      <wps:spPr bwMode="auto">
                        <a:xfrm>
                          <a:off x="0" y="0"/>
                          <a:ext cx="6120130" cy="615950"/>
                        </a:xfrm>
                        <a:prstGeom prst="rect">
                          <a:avLst/>
                        </a:prstGeom>
                        <a:noFill/>
                        <a:ln w="0">
                          <a:no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false" upright="true">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f" coordsize="21600,21600" o:gfxdata="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p6icQ9gAAAAKAQAA&#10;DwAAAAAAAAABACAAAAA4AAAAZHJzL2Rvd25yZXYueG1sUEsBAhQAFAAAAAgAh07iQGuVgo4DAgAA&#10;8QMAAA4AAAAAAAAAAQAgAAAAPQEAAGRycy9lMm9Eb2MueG1sUEsFBgAAAAAGAAYAWQEAALIFAAAA&#10;AA==&#10;">
                <v:fill on="f" focussize="0,0"/>
                <v:stroke on="f" weight="0pt"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hint="eastAsia"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hint="eastAsia" w:ascii="黑体" w:hAnsi="黑体" w:eastAsia="黑体"/>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rightMargin">
                  <wp:posOffset>-1750695</wp:posOffset>
                </wp:positionH>
                <wp:positionV relativeFrom="topMargin">
                  <wp:posOffset>2238375</wp:posOffset>
                </wp:positionV>
                <wp:extent cx="1927225" cy="304800"/>
                <wp:effectExtent l="0" t="0" r="0" b="0"/>
                <wp:wrapNone/>
                <wp:docPr id="6" name="Text Box 19"/>
                <wp:cNvGraphicFramePr/>
                <a:graphic xmlns:a="http://schemas.openxmlformats.org/drawingml/2006/main">
                  <a:graphicData uri="http://schemas.microsoft.com/office/word/2010/wordprocessingShape">
                    <wps:wsp>
                      <wps:cNvSpPr txBox="true">
                        <a:spLocks noChangeArrowheads="true"/>
                      </wps:cNvSpPr>
                      <wps:spPr bwMode="auto">
                        <a:xfrm>
                          <a:off x="0" y="0"/>
                          <a:ext cx="1927344" cy="304800"/>
                        </a:xfrm>
                        <a:prstGeom prst="rect">
                          <a:avLst/>
                        </a:prstGeom>
                        <a:noFill/>
                        <a:ln w="0">
                          <a:noFill/>
                          <a:miter lim="800000"/>
                        </a:ln>
                      </wps:spPr>
                      <wps:txb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wps:txbx>
                      <wps:bodyPr rot="0" vert="horz" wrap="square" lIns="91440" tIns="45720" rIns="91440" bIns="45720" anchor="t" anchorCtr="false" upright="true">
                        <a:noAutofit/>
                      </wps:bodyPr>
                    </wps:wsp>
                  </a:graphicData>
                </a:graphic>
              </wp:anchor>
            </w:drawing>
          </mc:Choice>
          <mc:Fallback>
            <w:pict>
              <v:shape id="Text Box 19" o:spid="_x0000_s1026" o:spt="202" type="#_x0000_t202" style="position:absolute;left:0pt;margin-left:414.9pt;margin-top:176.25pt;height:24pt;width:151.75pt;mso-position-horizontal-relative:page;mso-position-vertical-relative:page;z-index:251663360;mso-width-relative:page;mso-height-relative:page;" filled="f" stroked="f" coordsize="21600,21600" o:gfxdata="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ActZENoAAAAL&#10;AQAADwAAAAAAAAABACAAAAA4AAAAZHJzL2Rvd25yZXYueG1sUEsBAhQAFAAAAAgAh07iQHyvKe0E&#10;AgAA8QMAAA4AAAAAAAAAAQAgAAAAPwEAAGRycy9lMm9Eb2MueG1sUEsFBgAAAAAGAAYAWQEAALUF&#10;AAAAAA==&#10;">
                <v:fill on="f" focussize="0,0"/>
                <v:stroke on="f" weight="0pt" miterlimit="8" joinstyle="miter"/>
                <v:imagedata o:title=""/>
                <o:lock v:ext="edit" aspectratio="f"/>
                <v:textbo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v:textbox>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&#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Iy4Wx0wAAAAgBAAAPAAAAAAAAAAEAIAAAADgAAABk&#10;cnMvZG93bnJldi54bWxQSwECFAAUAAAACACHTuJAOWU6U7wBAABpAwAADgAAAAAAAAABACAAAAA4&#10;AQAAZHJzL2Uyb0RvYy54bWxQSwUGAAAAAAYABgBZAQAAZg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0" t="0" r="0" b="0"/>
                <wp:wrapNone/>
                <wp:docPr id="4" name="Text Box 17"/>
                <wp:cNvGraphicFramePr/>
                <a:graphic xmlns:a="http://schemas.openxmlformats.org/drawingml/2006/main">
                  <a:graphicData uri="http://schemas.microsoft.com/office/word/2010/wordprocessingShape">
                    <wps:wsp>
                      <wps:cNvSpPr txBox="true">
                        <a:spLocks noChangeArrowheads="true"/>
                      </wps:cNvSpPr>
                      <wps:spPr bwMode="auto">
                        <a:xfrm>
                          <a:off x="0" y="0"/>
                          <a:ext cx="5924550" cy="3248025"/>
                        </a:xfrm>
                        <a:prstGeom prst="rect">
                          <a:avLst/>
                        </a:prstGeom>
                        <a:noFill/>
                        <a:ln w="0">
                          <a:noFill/>
                          <a:miter lim="800000"/>
                        </a:ln>
                      </wps:spPr>
                      <wps:txbx>
                        <w:txbxContent>
                          <w:p>
                            <w:pPr>
                              <w:jc w:val="center"/>
                              <w:rPr>
                                <w:rFonts w:hint="eastAsia" w:ascii="黑体" w:hAnsi="宋体" w:eastAsia="黑体"/>
                                <w:sz w:val="52"/>
                                <w:szCs w:val="52"/>
                              </w:rPr>
                            </w:pPr>
                            <w:r>
                              <w:rPr>
                                <w:rFonts w:hint="eastAsia" w:ascii="黑体" w:hAnsi="宋体" w:eastAsia="黑体"/>
                                <w:sz w:val="52"/>
                                <w:szCs w:val="52"/>
                              </w:rPr>
                              <w:t>城市快速路环境卫生机械化作业规范</w:t>
                            </w:r>
                          </w:p>
                          <w:p>
                            <w:pPr>
                              <w:jc w:val="center"/>
                              <w:rPr>
                                <w:rFonts w:hint="eastAsia" w:ascii="黑体" w:hAnsi="黑体" w:eastAsia="黑体"/>
                                <w:kern w:val="0"/>
                                <w:sz w:val="28"/>
                                <w:szCs w:val="21"/>
                              </w:rPr>
                            </w:pPr>
                            <w:r>
                              <w:rPr>
                                <w:rFonts w:hint="eastAsia" w:ascii="黑体" w:hAnsi="黑体" w:eastAsia="黑体"/>
                                <w:kern w:val="0"/>
                                <w:sz w:val="28"/>
                                <w:szCs w:val="21"/>
                              </w:rPr>
                              <w:t>Specification of city express road environmental sanitation mechanized operation</w:t>
                            </w:r>
                          </w:p>
                          <w:p>
                            <w:pPr>
                              <w:jc w:val="center"/>
                              <w:rPr>
                                <w:rFonts w:hint="eastAsia" w:asciiTheme="minorEastAsia" w:hAnsiTheme="minorEastAsia"/>
                                <w:sz w:val="24"/>
                              </w:rPr>
                            </w:pPr>
                            <w:r>
                              <w:rPr>
                                <w:rFonts w:hint="eastAsia" w:asciiTheme="minorEastAsia" w:hAnsiTheme="minorEastAsia"/>
                                <w:sz w:val="24"/>
                              </w:rPr>
                              <w:t>（报批稿）</w:t>
                            </w:r>
                          </w:p>
                        </w:txbxContent>
                      </wps:txbx>
                      <wps:bodyPr rot="0" vert="horz" wrap="square" lIns="91440" tIns="45720" rIns="91440" bIns="45720" anchor="t" anchorCtr="false" upright="true">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ed="f" stroked="f" coordsize="21600,21600" o:gfxdata="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hzBuOtkAAAALAQAA&#10;DwAAAAAAAAABACAAAAA4AAAAZHJzL2Rvd25yZXYueG1sUEsBAhQAFAAAAAgAh07iQJkxDzQCAgAA&#10;8gMAAA4AAAAAAAAAAQAgAAAAPgEAAGRycy9lMm9Eb2MueG1sUEsFBgAAAAAGAAYAWQEAALIFAAAA&#10;AA==&#10;">
                <v:fill on="f" focussize="0,0"/>
                <v:stroke on="f" weight="0pt" miterlimit="8" joinstyle="miter"/>
                <v:imagedata o:title=""/>
                <o:lock v:ext="edit" aspectratio="f"/>
                <v:textbox>
                  <w:txbxContent>
                    <w:p>
                      <w:pPr>
                        <w:jc w:val="center"/>
                        <w:rPr>
                          <w:rFonts w:hint="eastAsia" w:ascii="黑体" w:hAnsi="宋体" w:eastAsia="黑体"/>
                          <w:sz w:val="52"/>
                          <w:szCs w:val="52"/>
                        </w:rPr>
                      </w:pPr>
                      <w:r>
                        <w:rPr>
                          <w:rFonts w:hint="eastAsia" w:ascii="黑体" w:hAnsi="宋体" w:eastAsia="黑体"/>
                          <w:sz w:val="52"/>
                          <w:szCs w:val="52"/>
                        </w:rPr>
                        <w:t>城市快速路环境卫生机械化作业规范</w:t>
                      </w:r>
                    </w:p>
                    <w:p>
                      <w:pPr>
                        <w:jc w:val="center"/>
                        <w:rPr>
                          <w:rFonts w:hint="eastAsia" w:ascii="黑体" w:hAnsi="黑体" w:eastAsia="黑体"/>
                          <w:kern w:val="0"/>
                          <w:sz w:val="28"/>
                          <w:szCs w:val="21"/>
                        </w:rPr>
                      </w:pPr>
                      <w:r>
                        <w:rPr>
                          <w:rFonts w:hint="eastAsia" w:ascii="黑体" w:hAnsi="黑体" w:eastAsia="黑体"/>
                          <w:kern w:val="0"/>
                          <w:sz w:val="28"/>
                          <w:szCs w:val="21"/>
                        </w:rPr>
                        <w:t>Specification of city express road environmental sanitation mechanized operation</w:t>
                      </w:r>
                    </w:p>
                    <w:p>
                      <w:pPr>
                        <w:jc w:val="center"/>
                        <w:rPr>
                          <w:rFonts w:hint="eastAsia" w:asciiTheme="minorEastAsia" w:hAnsiTheme="minorEastAsia"/>
                          <w:sz w:val="24"/>
                        </w:rPr>
                      </w:pPr>
                      <w:r>
                        <w:rPr>
                          <w:rFonts w:hint="eastAsia" w:asciiTheme="minorEastAsia" w:hAnsiTheme="minorEastAsia"/>
                          <w:sz w:val="24"/>
                        </w:rPr>
                        <w:t>（报批稿）</w:t>
                      </w:r>
                    </w:p>
                  </w:txbxContent>
                </v:textbox>
              </v:shape>
            </w:pict>
          </mc:Fallback>
        </mc:AlternateContent>
      </w: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r>
        <w:rPr>
          <w:rFonts w:hint="eastAsia" w:ascii="黑体" w:hAnsi="黑体" w:eastAsia="黑体"/>
        </w:rPr>
        <w:t xml:space="preserve">                                                                                          </w:t>
      </w:r>
    </w:p>
    <w:p>
      <w:pPr>
        <w:pStyle w:val="2"/>
      </w:pPr>
    </w:p>
    <w:p>
      <w:pPr>
        <w:pStyle w:val="2"/>
      </w:pPr>
    </w:p>
    <w:p>
      <w:pPr>
        <w:pStyle w:val="2"/>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rPr>
      </w:pPr>
    </w:p>
    <w:p>
      <w:pPr>
        <w:rPr>
          <w:rFonts w:hint="eastAsia" w:ascii="黑体" w:hAnsi="黑体" w:eastAsia="黑体"/>
          <w:sz w:val="28"/>
          <w:szCs w:val="28"/>
        </w:rPr>
      </w:pPr>
      <w:r>
        <w:rPr>
          <w:rFonts w:ascii="黑体" w:hAnsi="黑体" w:eastAsia="黑体"/>
          <w:sz w:val="28"/>
          <w:szCs w:val="28"/>
        </w:rPr>
        <mc:AlternateContent>
          <mc:Choice Requires="wps">
            <w:drawing>
              <wp:anchor distT="0" distB="0" distL="114300" distR="114300" simplePos="0" relativeHeight="251664384"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true"/>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4384;mso-width-relative:page;mso-height-relative:page;" filled="f" stroked="t" coordsize="21600,21600" o:gfxdata="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CvMgXH1gAAAAwBAAAPAAAAAAAAAAEAIAAAADgA&#10;AABkcnMvZG93bnJldi54bWxQSwECFAAUAAAACACHTuJAbdKPlLwBAABpAwAADgAAAAAAAAABACAA&#10;AAA7AQAAZHJzL2Uyb0RvYy54bWxQSwUGAAAAAAYABgBZAQAAaQUAAAAA&#10;">
                <v:fill on="f" focussize="0,0"/>
                <v:stroke weight="1pt" color="#000000" joinstyle="round"/>
                <v:imagedata o:title=""/>
                <o:lock v:ext="edit" aspectratio="f"/>
              </v:shape>
            </w:pict>
          </mc:Fallback>
        </mc:AlternateContent>
      </w:r>
      <w:r>
        <w:rPr>
          <w:rFonts w:hint="eastAsia" w:ascii="黑体" w:hAnsi="黑体" w:eastAsia="黑体"/>
          <w:sz w:val="28"/>
          <w:szCs w:val="28"/>
        </w:rPr>
        <w:t>2025-XX-XX发布                                       2025-XX-XX实施</w:t>
      </w:r>
    </w:p>
    <w:p>
      <w:pPr>
        <w:spacing w:line="1247" w:lineRule="exact"/>
        <w:jc w:val="center"/>
        <w:rPr>
          <w:rFonts w:hint="eastAsia" w:ascii="黑体" w:hAnsi="黑体" w:eastAsia="黑体"/>
          <w:sz w:val="28"/>
          <w:szCs w:val="28"/>
        </w:rPr>
      </w:pPr>
      <w:bookmarkStart w:id="0" w:name="_Toc3547"/>
      <w:bookmarkStart w:id="1" w:name="_Toc18385"/>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p>
    <w:p>
      <w:pPr>
        <w:pStyle w:val="2"/>
        <w:sectPr>
          <w:pgSz w:w="11906" w:h="16838"/>
          <w:pgMar w:top="567" w:right="851" w:bottom="1134" w:left="1418" w:header="0" w:footer="0" w:gutter="0"/>
          <w:cols w:space="425" w:num="1"/>
          <w:docGrid w:type="lines" w:linePitch="312" w:charSpace="0"/>
        </w:sectPr>
      </w:pPr>
    </w:p>
    <w:p>
      <w:pPr>
        <w:snapToGrid w:val="0"/>
        <w:spacing w:before="567" w:after="680"/>
        <w:jc w:val="center"/>
        <w:rPr>
          <w:rFonts w:hint="eastAsia"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TOC \o "1-3" \h \z \u </w:instrText>
      </w:r>
      <w:r>
        <w:rPr>
          <w:rFonts w:hint="eastAsia" w:ascii="宋体" w:hAnsi="宋体" w:eastAsia="宋体" w:cs="宋体"/>
          <w:szCs w:val="21"/>
        </w:rPr>
        <w:fldChar w:fldCharType="separate"/>
      </w:r>
      <w:r>
        <w:rPr>
          <w:rFonts w:hint="eastAsia" w:ascii="宋体" w:hAnsi="宋体" w:eastAsia="宋体" w:cs="宋体"/>
          <w:szCs w:val="21"/>
        </w:rPr>
        <w:fldChar w:fldCharType="begin"/>
      </w:r>
      <w:r>
        <w:rPr>
          <w:rFonts w:hint="eastAsia" w:ascii="宋体" w:hAnsi="宋体" w:eastAsia="宋体" w:cs="宋体"/>
          <w:szCs w:val="21"/>
        </w:rPr>
        <w:instrText xml:space="preserve"> HYPERLINK \l "_Toc16290" </w:instrText>
      </w:r>
      <w:r>
        <w:rPr>
          <w:rFonts w:hint="eastAsia" w:ascii="宋体" w:hAnsi="宋体" w:eastAsia="宋体" w:cs="宋体"/>
          <w:szCs w:val="21"/>
        </w:rPr>
        <w:fldChar w:fldCharType="separate"/>
      </w:r>
      <w:r>
        <w:rPr>
          <w:rFonts w:hint="eastAsia" w:ascii="宋体" w:hAnsi="宋体" w:eastAsia="宋体" w:cs="宋体"/>
          <w:szCs w:val="21"/>
        </w:rPr>
        <w:t>前言</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_Toc16290 \h </w:instrText>
      </w:r>
      <w:r>
        <w:rPr>
          <w:rFonts w:hint="eastAsia" w:ascii="宋体" w:hAnsi="宋体" w:eastAsia="宋体" w:cs="宋体"/>
          <w:szCs w:val="21"/>
        </w:rPr>
        <w:fldChar w:fldCharType="separate"/>
      </w:r>
      <w:r>
        <w:rPr>
          <w:rFonts w:hint="eastAsia" w:ascii="宋体" w:hAnsi="宋体" w:eastAsia="宋体" w:cs="宋体"/>
          <w:szCs w:val="21"/>
        </w:rPr>
        <w:t>II</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"_Toc24268" </w:instrText>
      </w:r>
      <w:r>
        <w:rPr>
          <w:rFonts w:hint="eastAsia" w:ascii="宋体" w:hAnsi="宋体" w:eastAsia="宋体" w:cs="宋体"/>
          <w:szCs w:val="21"/>
        </w:rPr>
        <w:fldChar w:fldCharType="separate"/>
      </w:r>
      <w:r>
        <w:rPr>
          <w:rFonts w:hint="eastAsia" w:ascii="宋体" w:hAnsi="宋体" w:eastAsia="宋体" w:cs="宋体"/>
          <w:szCs w:val="21"/>
        </w:rPr>
        <w:t>1  范围</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_Toc24268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"_Toc17625" </w:instrText>
      </w:r>
      <w:r>
        <w:rPr>
          <w:rFonts w:hint="eastAsia" w:ascii="宋体" w:hAnsi="宋体" w:eastAsia="宋体" w:cs="宋体"/>
          <w:szCs w:val="21"/>
        </w:rPr>
        <w:fldChar w:fldCharType="separate"/>
      </w:r>
      <w:r>
        <w:rPr>
          <w:rFonts w:hint="eastAsia" w:ascii="宋体" w:hAnsi="宋体" w:eastAsia="宋体" w:cs="宋体"/>
          <w:szCs w:val="21"/>
        </w:rPr>
        <w:t>2  规范性引用文件</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_Toc17625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"_Toc1284" </w:instrText>
      </w:r>
      <w:r>
        <w:rPr>
          <w:rFonts w:hint="eastAsia" w:ascii="宋体" w:hAnsi="宋体" w:eastAsia="宋体" w:cs="宋体"/>
          <w:szCs w:val="21"/>
        </w:rPr>
        <w:fldChar w:fldCharType="separate"/>
      </w:r>
      <w:r>
        <w:rPr>
          <w:rFonts w:hint="eastAsia" w:ascii="宋体" w:hAnsi="宋体" w:eastAsia="宋体" w:cs="宋体"/>
          <w:szCs w:val="21"/>
        </w:rPr>
        <w:t>3  术语和定义</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_Toc1284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"_Toc30400" </w:instrText>
      </w:r>
      <w:r>
        <w:rPr>
          <w:rFonts w:hint="eastAsia" w:ascii="宋体" w:hAnsi="宋体" w:eastAsia="宋体" w:cs="宋体"/>
          <w:szCs w:val="21"/>
        </w:rPr>
        <w:fldChar w:fldCharType="separate"/>
      </w:r>
      <w:r>
        <w:rPr>
          <w:rFonts w:hint="eastAsia" w:ascii="宋体" w:hAnsi="宋体" w:eastAsia="宋体" w:cs="宋体"/>
          <w:szCs w:val="21"/>
        </w:rPr>
        <w:t>4  设施设备</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_Toc30400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"_Toc12097" </w:instrText>
      </w:r>
      <w:r>
        <w:rPr>
          <w:rFonts w:hint="eastAsia" w:ascii="宋体" w:hAnsi="宋体" w:eastAsia="宋体" w:cs="宋体"/>
          <w:szCs w:val="21"/>
        </w:rPr>
        <w:fldChar w:fldCharType="separate"/>
      </w:r>
      <w:r>
        <w:rPr>
          <w:rFonts w:hint="eastAsia" w:ascii="宋体" w:hAnsi="宋体" w:eastAsia="宋体" w:cs="宋体"/>
          <w:szCs w:val="21"/>
        </w:rPr>
        <w:t>4.1  配备要求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_Toc12097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"_Toc12113" </w:instrText>
      </w:r>
      <w:r>
        <w:rPr>
          <w:rFonts w:hint="eastAsia" w:ascii="宋体" w:hAnsi="宋体" w:eastAsia="宋体" w:cs="宋体"/>
          <w:szCs w:val="21"/>
        </w:rPr>
        <w:fldChar w:fldCharType="separate"/>
      </w:r>
      <w:r>
        <w:rPr>
          <w:rFonts w:hint="eastAsia" w:ascii="宋体" w:hAnsi="宋体" w:eastAsia="宋体" w:cs="宋体"/>
          <w:szCs w:val="21"/>
        </w:rPr>
        <w:t>4.2  车辆日常检查</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_Toc12113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"_Toc9132" </w:instrText>
      </w:r>
      <w:r>
        <w:rPr>
          <w:rFonts w:hint="eastAsia" w:ascii="宋体" w:hAnsi="宋体" w:eastAsia="宋体" w:cs="宋体"/>
          <w:szCs w:val="21"/>
        </w:rPr>
        <w:fldChar w:fldCharType="separate"/>
      </w:r>
      <w:r>
        <w:rPr>
          <w:rFonts w:hint="eastAsia" w:ascii="宋体" w:hAnsi="宋体" w:eastAsia="宋体" w:cs="宋体"/>
          <w:szCs w:val="21"/>
        </w:rPr>
        <w:t>5  人员物资</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_Toc9132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"_Toc25977" </w:instrText>
      </w:r>
      <w:r>
        <w:rPr>
          <w:rFonts w:hint="eastAsia" w:ascii="宋体" w:hAnsi="宋体" w:eastAsia="宋体" w:cs="宋体"/>
          <w:szCs w:val="21"/>
        </w:rPr>
        <w:fldChar w:fldCharType="separate"/>
      </w:r>
      <w:r>
        <w:rPr>
          <w:rFonts w:hint="eastAsia" w:ascii="宋体" w:hAnsi="宋体" w:eastAsia="宋体" w:cs="宋体"/>
          <w:szCs w:val="21"/>
        </w:rPr>
        <w:t>5.1  人员</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_Toc25977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"_Toc31205" </w:instrText>
      </w:r>
      <w:r>
        <w:rPr>
          <w:rFonts w:hint="eastAsia" w:ascii="宋体" w:hAnsi="宋体" w:eastAsia="宋体" w:cs="宋体"/>
          <w:szCs w:val="21"/>
        </w:rPr>
        <w:fldChar w:fldCharType="separate"/>
      </w:r>
      <w:r>
        <w:rPr>
          <w:rFonts w:hint="eastAsia" w:ascii="宋体" w:hAnsi="宋体" w:eastAsia="宋体" w:cs="宋体"/>
          <w:szCs w:val="21"/>
        </w:rPr>
        <w:t>5.2  物资</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_Toc31205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"_Toc9814" </w:instrText>
      </w:r>
      <w:r>
        <w:rPr>
          <w:rFonts w:hint="eastAsia" w:ascii="宋体" w:hAnsi="宋体" w:eastAsia="宋体" w:cs="宋体"/>
          <w:szCs w:val="21"/>
        </w:rPr>
        <w:fldChar w:fldCharType="separate"/>
      </w:r>
      <w:r>
        <w:rPr>
          <w:rFonts w:hint="eastAsia" w:ascii="宋体" w:hAnsi="宋体" w:eastAsia="宋体" w:cs="宋体"/>
          <w:szCs w:val="21"/>
        </w:rPr>
        <w:t>6  日常作业</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_Toc9814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"_Toc15960" </w:instrText>
      </w:r>
      <w:r>
        <w:rPr>
          <w:rFonts w:hint="eastAsia" w:ascii="宋体" w:hAnsi="宋体" w:eastAsia="宋体" w:cs="宋体"/>
          <w:szCs w:val="21"/>
        </w:rPr>
        <w:fldChar w:fldCharType="separate"/>
      </w:r>
      <w:r>
        <w:rPr>
          <w:rFonts w:hint="eastAsia" w:ascii="宋体" w:hAnsi="宋体" w:eastAsia="宋体" w:cs="宋体"/>
          <w:szCs w:val="21"/>
        </w:rPr>
        <w:t>6.1  基本要求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_Toc15960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"_Toc20227" </w:instrText>
      </w:r>
      <w:r>
        <w:rPr>
          <w:rFonts w:hint="eastAsia" w:ascii="宋体" w:hAnsi="宋体" w:eastAsia="宋体" w:cs="宋体"/>
          <w:szCs w:val="21"/>
        </w:rPr>
        <w:fldChar w:fldCharType="separate"/>
      </w:r>
      <w:r>
        <w:rPr>
          <w:rFonts w:hint="eastAsia" w:ascii="宋体" w:hAnsi="宋体" w:eastAsia="宋体" w:cs="宋体"/>
          <w:szCs w:val="21"/>
        </w:rPr>
        <w:t>6.2  冲洗作业</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_Toc20227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"_Toc16603" </w:instrText>
      </w:r>
      <w:r>
        <w:rPr>
          <w:rFonts w:hint="eastAsia" w:ascii="宋体" w:hAnsi="宋体" w:eastAsia="宋体" w:cs="宋体"/>
          <w:szCs w:val="21"/>
        </w:rPr>
        <w:fldChar w:fldCharType="separate"/>
      </w:r>
      <w:r>
        <w:rPr>
          <w:rFonts w:hint="eastAsia" w:ascii="宋体" w:hAnsi="宋体" w:eastAsia="宋体" w:cs="宋体"/>
          <w:szCs w:val="21"/>
        </w:rPr>
        <w:t>6.3  机扫作业</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_Toc16603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"_Toc13820" </w:instrText>
      </w:r>
      <w:r>
        <w:rPr>
          <w:rFonts w:hint="eastAsia" w:ascii="宋体" w:hAnsi="宋体" w:eastAsia="宋体" w:cs="宋体"/>
          <w:szCs w:val="21"/>
        </w:rPr>
        <w:fldChar w:fldCharType="separate"/>
      </w:r>
      <w:r>
        <w:rPr>
          <w:rFonts w:hint="eastAsia" w:ascii="宋体" w:hAnsi="宋体" w:eastAsia="宋体" w:cs="宋体"/>
          <w:szCs w:val="21"/>
        </w:rPr>
        <w:t>6.4  洗扫作业</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_Toc13820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"_Toc5136" </w:instrText>
      </w:r>
      <w:r>
        <w:rPr>
          <w:rFonts w:hint="eastAsia" w:ascii="宋体" w:hAnsi="宋体" w:eastAsia="宋体" w:cs="宋体"/>
          <w:szCs w:val="21"/>
        </w:rPr>
        <w:fldChar w:fldCharType="separate"/>
      </w:r>
      <w:r>
        <w:rPr>
          <w:rFonts w:hint="eastAsia" w:ascii="宋体" w:hAnsi="宋体" w:eastAsia="宋体" w:cs="宋体"/>
          <w:szCs w:val="21"/>
        </w:rPr>
        <w:t>6.5  洒水作业</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_Toc5136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"_Toc10529" </w:instrText>
      </w:r>
      <w:r>
        <w:rPr>
          <w:rFonts w:hint="eastAsia" w:ascii="宋体" w:hAnsi="宋体" w:eastAsia="宋体" w:cs="宋体"/>
          <w:szCs w:val="21"/>
        </w:rPr>
        <w:fldChar w:fldCharType="separate"/>
      </w:r>
      <w:r>
        <w:rPr>
          <w:rFonts w:hint="eastAsia" w:ascii="宋体" w:hAnsi="宋体" w:eastAsia="宋体" w:cs="宋体"/>
          <w:szCs w:val="21"/>
        </w:rPr>
        <w:t>6.6  “多车联动”盲区作业</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_Toc10529 \h </w:instrText>
      </w:r>
      <w:r>
        <w:rPr>
          <w:rFonts w:hint="eastAsia" w:ascii="宋体" w:hAnsi="宋体" w:eastAsia="宋体" w:cs="宋体"/>
          <w:szCs w:val="21"/>
        </w:rPr>
        <w:fldChar w:fldCharType="separate"/>
      </w:r>
      <w:r>
        <w:rPr>
          <w:rFonts w:hint="eastAsia"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"_Toc25845" </w:instrText>
      </w:r>
      <w:r>
        <w:rPr>
          <w:rFonts w:hint="eastAsia" w:ascii="宋体" w:hAnsi="宋体" w:eastAsia="宋体" w:cs="宋体"/>
          <w:szCs w:val="21"/>
        </w:rPr>
        <w:fldChar w:fldCharType="separate"/>
      </w:r>
      <w:r>
        <w:rPr>
          <w:rFonts w:hint="eastAsia" w:ascii="宋体" w:hAnsi="宋体" w:eastAsia="宋体" w:cs="宋体"/>
          <w:szCs w:val="21"/>
        </w:rPr>
        <w:t>7  质量要求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_Toc25845 \h </w:instrText>
      </w:r>
      <w:r>
        <w:rPr>
          <w:rFonts w:hint="eastAsia" w:ascii="宋体" w:hAnsi="宋体" w:eastAsia="宋体" w:cs="宋体"/>
          <w:szCs w:val="21"/>
        </w:rPr>
        <w:fldChar w:fldCharType="separate"/>
      </w:r>
      <w:r>
        <w:rPr>
          <w:rFonts w:hint="eastAsia"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"_Toc26002" </w:instrText>
      </w:r>
      <w:r>
        <w:rPr>
          <w:rFonts w:hint="eastAsia" w:ascii="宋体" w:hAnsi="宋体" w:eastAsia="宋体" w:cs="宋体"/>
          <w:szCs w:val="21"/>
        </w:rPr>
        <w:fldChar w:fldCharType="separate"/>
      </w:r>
      <w:r>
        <w:rPr>
          <w:rFonts w:hint="eastAsia" w:ascii="宋体" w:hAnsi="宋体" w:eastAsia="宋体" w:cs="宋体"/>
          <w:szCs w:val="21"/>
        </w:rPr>
        <w:t>7.1  作业覆盖率和频次</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_Toc26002 \h </w:instrText>
      </w:r>
      <w:r>
        <w:rPr>
          <w:rFonts w:hint="eastAsia" w:ascii="宋体" w:hAnsi="宋体" w:eastAsia="宋体" w:cs="宋体"/>
          <w:szCs w:val="21"/>
        </w:rPr>
        <w:fldChar w:fldCharType="separate"/>
      </w:r>
      <w:r>
        <w:rPr>
          <w:rFonts w:hint="eastAsia"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"_Toc6111" </w:instrText>
      </w:r>
      <w:r>
        <w:rPr>
          <w:rFonts w:hint="eastAsia" w:ascii="宋体" w:hAnsi="宋体" w:eastAsia="宋体" w:cs="宋体"/>
          <w:szCs w:val="21"/>
        </w:rPr>
        <w:fldChar w:fldCharType="separate"/>
      </w:r>
      <w:r>
        <w:rPr>
          <w:rFonts w:hint="eastAsia" w:ascii="宋体" w:hAnsi="宋体" w:eastAsia="宋体" w:cs="宋体"/>
          <w:szCs w:val="21"/>
        </w:rPr>
        <w:t>7.2  路面洁净程度</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_Toc6111 \h </w:instrText>
      </w:r>
      <w:r>
        <w:rPr>
          <w:rFonts w:hint="eastAsia" w:ascii="宋体" w:hAnsi="宋体" w:eastAsia="宋体" w:cs="宋体"/>
          <w:szCs w:val="21"/>
        </w:rPr>
        <w:fldChar w:fldCharType="separate"/>
      </w:r>
      <w:r>
        <w:rPr>
          <w:rFonts w:hint="eastAsia"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"_Toc13116" </w:instrText>
      </w:r>
      <w:r>
        <w:rPr>
          <w:rFonts w:hint="eastAsia" w:ascii="宋体" w:hAnsi="宋体" w:eastAsia="宋体" w:cs="宋体"/>
          <w:szCs w:val="21"/>
        </w:rPr>
        <w:fldChar w:fldCharType="separate"/>
      </w:r>
      <w:r>
        <w:rPr>
          <w:rFonts w:hint="eastAsia" w:ascii="宋体" w:hAnsi="宋体" w:eastAsia="宋体" w:cs="宋体"/>
          <w:szCs w:val="21"/>
        </w:rPr>
        <w:t>8  应急作业</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_Toc13116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"_Toc7751" </w:instrText>
      </w:r>
      <w:r>
        <w:rPr>
          <w:rFonts w:hint="eastAsia" w:ascii="宋体" w:hAnsi="宋体" w:eastAsia="宋体" w:cs="宋体"/>
          <w:szCs w:val="21"/>
        </w:rPr>
        <w:fldChar w:fldCharType="separate"/>
      </w:r>
      <w:r>
        <w:rPr>
          <w:rFonts w:hint="eastAsia" w:ascii="宋体" w:hAnsi="宋体" w:eastAsia="宋体" w:cs="宋体"/>
          <w:szCs w:val="21"/>
        </w:rPr>
        <w:t>8.1  低温雨雪、道路结冰天气</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_Toc7751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"_Toc27117" </w:instrText>
      </w:r>
      <w:r>
        <w:rPr>
          <w:rFonts w:hint="eastAsia" w:ascii="宋体" w:hAnsi="宋体" w:eastAsia="宋体" w:cs="宋体"/>
          <w:szCs w:val="21"/>
        </w:rPr>
        <w:fldChar w:fldCharType="separate"/>
      </w:r>
      <w:r>
        <w:rPr>
          <w:rFonts w:hint="eastAsia" w:ascii="宋体" w:hAnsi="宋体" w:eastAsia="宋体" w:cs="宋体"/>
          <w:szCs w:val="21"/>
        </w:rPr>
        <w:t>8.2  高温、雷暴、暴雨、台风、大风天气</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_Toc27117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ind w:firstLine="420" w:firstLineChars="200"/>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"_Toc21530" </w:instrText>
      </w:r>
      <w:r>
        <w:rPr>
          <w:rFonts w:hint="eastAsia" w:ascii="宋体" w:hAnsi="宋体" w:eastAsia="宋体" w:cs="宋体"/>
          <w:szCs w:val="21"/>
        </w:rPr>
        <w:fldChar w:fldCharType="separate"/>
      </w:r>
      <w:r>
        <w:rPr>
          <w:rFonts w:hint="eastAsia" w:ascii="宋体" w:hAnsi="宋体" w:eastAsia="宋体" w:cs="宋体"/>
          <w:szCs w:val="21"/>
        </w:rPr>
        <w:t>8.3  大雾、霾天气</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_Toc21530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"_Toc5097" </w:instrText>
      </w:r>
      <w:r>
        <w:rPr>
          <w:rFonts w:hint="eastAsia" w:ascii="宋体" w:hAnsi="宋体" w:eastAsia="宋体" w:cs="宋体"/>
          <w:szCs w:val="21"/>
        </w:rPr>
        <w:fldChar w:fldCharType="separate"/>
      </w:r>
      <w:r>
        <w:rPr>
          <w:rFonts w:hint="eastAsia" w:ascii="宋体" w:hAnsi="宋体" w:eastAsia="宋体" w:cs="宋体"/>
          <w:szCs w:val="21"/>
        </w:rPr>
        <w:t>9  作业安全</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_Toc5097 \h </w:instrText>
      </w:r>
      <w:r>
        <w:rPr>
          <w:rFonts w:hint="eastAsia" w:ascii="宋体" w:hAnsi="宋体" w:eastAsia="宋体" w:cs="宋体"/>
          <w:szCs w:val="21"/>
        </w:rPr>
        <w:fldChar w:fldCharType="separate"/>
      </w:r>
      <w:r>
        <w:rPr>
          <w:rFonts w:hint="eastAsia" w:ascii="宋体" w:hAnsi="宋体" w:eastAsia="宋体" w:cs="宋体"/>
          <w:szCs w:val="21"/>
        </w:rPr>
        <w:t>6</w:t>
      </w:r>
      <w:r>
        <w:rPr>
          <w:rFonts w:hint="eastAsia" w:ascii="宋体" w:hAnsi="宋体" w:eastAsia="宋体" w:cs="宋体"/>
          <w:szCs w:val="21"/>
        </w:rPr>
        <w:fldChar w:fldCharType="end"/>
      </w:r>
      <w:r>
        <w:rPr>
          <w:rFonts w:hint="eastAsia" w:ascii="宋体" w:hAnsi="宋体" w:eastAsia="宋体" w:cs="宋体"/>
          <w:szCs w:val="21"/>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rPr>
        <w:fldChar w:fldCharType="end"/>
      </w:r>
    </w:p>
    <w:p>
      <w:pPr>
        <w:pStyle w:val="2"/>
        <w:rPr>
          <w:rFonts w:hint="eastAsia" w:ascii="宋体" w:hAnsi="宋体" w:eastAsia="宋体" w:cs="宋体"/>
          <w:szCs w:val="21"/>
        </w:rPr>
      </w:pPr>
    </w:p>
    <w:p>
      <w:pPr>
        <w:pStyle w:val="2"/>
        <w:rPr>
          <w:rFonts w:hint="eastAsia" w:ascii="宋体" w:hAnsi="宋体" w:eastAsia="宋体" w:cs="宋体"/>
          <w:szCs w:val="21"/>
        </w:rPr>
      </w:pPr>
    </w:p>
    <w:p>
      <w:pPr>
        <w:pStyle w:val="2"/>
        <w:rPr>
          <w:rFonts w:hint="eastAsia" w:ascii="宋体" w:hAnsi="宋体" w:eastAsia="宋体" w:cs="宋体"/>
          <w:szCs w:val="21"/>
        </w:rPr>
      </w:pPr>
    </w:p>
    <w:p>
      <w:pPr>
        <w:pStyle w:val="50"/>
        <w:shd w:val="clear" w:color="auto" w:fill="auto"/>
        <w:spacing w:before="567" w:after="680" w:afterLines="0"/>
        <w:rPr>
          <w:spacing w:val="320"/>
        </w:rPr>
        <w:sectPr>
          <w:headerReference r:id="rId3" w:type="default"/>
          <w:footerReference r:id="rId5" w:type="default"/>
          <w:headerReference r:id="rId4" w:type="even"/>
          <w:footerReference r:id="rId6" w:type="even"/>
          <w:pgSz w:w="11906" w:h="16838"/>
          <w:pgMar w:top="1417" w:right="1134" w:bottom="1134" w:left="1418" w:header="1417" w:footer="1134" w:gutter="0"/>
          <w:pgNumType w:fmt="upperRoman" w:start="1"/>
          <w:cols w:space="425" w:num="1"/>
          <w:docGrid w:type="lines" w:linePitch="312" w:charSpace="0"/>
        </w:sectPr>
      </w:pPr>
    </w:p>
    <w:p>
      <w:pPr>
        <w:snapToGrid w:val="0"/>
        <w:spacing w:before="567" w:after="680"/>
        <w:jc w:val="center"/>
        <w:outlineLvl w:val="0"/>
        <w:rPr>
          <w:rFonts w:hint="eastAsia" w:ascii="黑体" w:hAnsi="黑体" w:eastAsia="黑体" w:cs="黑体"/>
          <w:kern w:val="0"/>
          <w:sz w:val="32"/>
          <w:szCs w:val="32"/>
        </w:rPr>
      </w:pPr>
      <w:bookmarkStart w:id="2" w:name="_Toc16290"/>
      <w:r>
        <w:rPr>
          <w:rFonts w:hint="eastAsia" w:ascii="黑体" w:hAnsi="黑体" w:eastAsia="黑体" w:cs="黑体"/>
          <w:kern w:val="0"/>
          <w:sz w:val="32"/>
          <w:szCs w:val="32"/>
        </w:rPr>
        <w:t>前    言</w:t>
      </w:r>
      <w:bookmarkEnd w:id="2"/>
    </w:p>
    <w:p>
      <w:pPr>
        <w:pStyle w:val="68"/>
        <w:ind w:firstLine="420"/>
      </w:pPr>
      <w:r>
        <w:rPr>
          <w:rFonts w:hint="eastAsia"/>
        </w:rPr>
        <w:t>本文件按照GB/T 1.1—2020《标准化工作导则  第1部分：标准化文件的结构和起草规则》的规定起草。</w:t>
      </w:r>
    </w:p>
    <w:p>
      <w:pPr>
        <w:pStyle w:val="68"/>
        <w:ind w:firstLine="420"/>
      </w:pPr>
      <w:r>
        <w:rPr>
          <w:rFonts w:hint="eastAsia"/>
        </w:rPr>
        <w:t>请注意本文件的某些内容可能涉及专利。本文件的发布机构不承担识别专利的责任。</w:t>
      </w:r>
    </w:p>
    <w:p>
      <w:pPr>
        <w:pStyle w:val="68"/>
        <w:ind w:firstLine="420"/>
      </w:pPr>
      <w:r>
        <w:rPr>
          <w:rFonts w:hint="eastAsia"/>
        </w:rPr>
        <w:t>本文件由苏州市城市管理局提出、归口并组织实施。</w:t>
      </w:r>
    </w:p>
    <w:p>
      <w:pPr>
        <w:pStyle w:val="68"/>
        <w:ind w:firstLine="420"/>
      </w:pPr>
      <w:r>
        <w:rPr>
          <w:rFonts w:hint="eastAsia"/>
        </w:rPr>
        <w:t>本文件起草单位：苏州市环境卫生管理处、苏州市质量和标准化院、苏州工业园区市政服务集团有限公司、苏州高新区(虎丘区)城市维护管理处。</w:t>
      </w:r>
    </w:p>
    <w:p>
      <w:pPr>
        <w:pStyle w:val="68"/>
        <w:ind w:firstLine="420"/>
      </w:pPr>
      <w:r>
        <w:rPr>
          <w:rFonts w:hint="eastAsia"/>
        </w:rPr>
        <w:t>本文件主要起草人：金伟、孟汉坤、姚凤根、高峰、杨洪凯、干磊、李辰、郁莉强、杨帆、乔羽、孙建中、丁兴贵、胡蔚、赵炜、姚恒俊、史志平。</w:t>
      </w:r>
    </w:p>
    <w:p>
      <w:pPr>
        <w:snapToGrid w:val="0"/>
        <w:ind w:firstLine="420" w:firstLineChars="200"/>
        <w:rPr>
          <w:rFonts w:hint="eastAsia" w:ascii="宋体" w:hAnsi="宋体" w:eastAsia="宋体" w:cs="宋体"/>
          <w:kern w:val="0"/>
          <w:szCs w:val="21"/>
        </w:rPr>
      </w:pPr>
    </w:p>
    <w:p>
      <w:pPr>
        <w:snapToGrid w:val="0"/>
        <w:ind w:firstLine="420" w:firstLineChars="200"/>
        <w:rPr>
          <w:rFonts w:hint="eastAsia" w:ascii="宋体" w:hAnsi="宋体" w:eastAsia="宋体" w:cs="宋体"/>
          <w:kern w:val="0"/>
          <w:szCs w:val="21"/>
        </w:rPr>
        <w:sectPr>
          <w:footerReference r:id="rId8" w:type="default"/>
          <w:headerReference r:id="rId7" w:type="even"/>
          <w:footerReference r:id="rId9" w:type="even"/>
          <w:pgSz w:w="11906" w:h="16838"/>
          <w:pgMar w:top="1417" w:right="1134" w:bottom="1134" w:left="1418" w:header="1417" w:footer="1134" w:gutter="0"/>
          <w:pgNumType w:fmt="upperRoman"/>
          <w:cols w:space="425" w:num="1"/>
          <w:docGrid w:type="lines" w:linePitch="312" w:charSpace="0"/>
        </w:sectPr>
      </w:pPr>
    </w:p>
    <w:p>
      <w:pPr>
        <w:widowControl/>
        <w:spacing w:before="567" w:after="680"/>
        <w:jc w:val="center"/>
        <w:rPr>
          <w:rFonts w:hint="eastAsia" w:ascii="黑体" w:hAnsi="黑体" w:eastAsia="黑体"/>
          <w:bCs/>
          <w:sz w:val="32"/>
          <w:szCs w:val="32"/>
        </w:rPr>
      </w:pPr>
      <w:bookmarkStart w:id="3" w:name="SectionMark4"/>
      <w:r>
        <w:rPr>
          <w:rFonts w:hint="eastAsia" w:ascii="黑体" w:hAnsi="宋体" w:eastAsia="黑体"/>
          <w:sz w:val="32"/>
          <w:szCs w:val="32"/>
        </w:rPr>
        <w:t>城市快速路环境卫生机械化作业规范</w:t>
      </w:r>
    </w:p>
    <w:bookmarkEnd w:id="3"/>
    <w:p>
      <w:pPr>
        <w:pStyle w:val="67"/>
        <w:spacing w:before="312" w:after="312"/>
      </w:pPr>
      <w:bookmarkStart w:id="4" w:name="_Toc24268"/>
      <w:r>
        <w:rPr>
          <w:rFonts w:hint="eastAsia"/>
        </w:rPr>
        <w:t>范围</w:t>
      </w:r>
      <w:bookmarkEnd w:id="4"/>
    </w:p>
    <w:p>
      <w:pPr>
        <w:pStyle w:val="68"/>
        <w:ind w:firstLine="420"/>
      </w:pPr>
      <w:r>
        <w:t>本文件规定了城市快速路环境卫生机械化作业的设施设备、人员物资、</w:t>
      </w:r>
      <w:r>
        <w:rPr>
          <w:rFonts w:hint="eastAsia"/>
        </w:rPr>
        <w:t>日常</w:t>
      </w:r>
      <w:r>
        <w:t>作业、质量要求、</w:t>
      </w:r>
      <w:r>
        <w:rPr>
          <w:rFonts w:hint="eastAsia"/>
        </w:rPr>
        <w:t>应急作业、作业安全等</w:t>
      </w:r>
      <w:r>
        <w:t>内容。</w:t>
      </w:r>
    </w:p>
    <w:p>
      <w:pPr>
        <w:pStyle w:val="68"/>
        <w:ind w:firstLine="420"/>
      </w:pPr>
      <w:r>
        <w:t>本文件适用于城市快速路环境卫生机械化作业。</w:t>
      </w:r>
    </w:p>
    <w:p>
      <w:pPr>
        <w:pStyle w:val="67"/>
        <w:spacing w:before="312" w:after="312"/>
      </w:pPr>
      <w:bookmarkStart w:id="5" w:name="_Toc15786"/>
      <w:bookmarkStart w:id="6" w:name="_Toc17625"/>
      <w:bookmarkStart w:id="7" w:name="_Toc163486581"/>
      <w:r>
        <w:rPr>
          <w:rFonts w:hint="eastAsia"/>
        </w:rPr>
        <w:t>规范性引用文件</w:t>
      </w:r>
      <w:bookmarkEnd w:id="5"/>
      <w:bookmarkEnd w:id="6"/>
      <w:bookmarkEnd w:id="7"/>
    </w:p>
    <w:sdt>
      <w:sdtPr>
        <w:rPr>
          <w:rFonts w:hint="eastAsia"/>
        </w:rPr>
        <w:id w:val="147471860"/>
        <w:placeholder>
          <w:docPart w:val="{1ebc0016-7c99-4ace-b341-de627bdd1ba7}"/>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68"/>
            <w:ind w:firstLine="420"/>
          </w:pPr>
          <w:r>
            <w:rPr>
              <w:rFonts w:hint="eastAsia"/>
            </w:rPr>
            <w:t>本文件没有规范性引用文件。</w:t>
          </w:r>
        </w:p>
      </w:sdtContent>
    </w:sdt>
    <w:p>
      <w:pPr>
        <w:pStyle w:val="67"/>
        <w:spacing w:before="312" w:after="312"/>
      </w:pPr>
      <w:bookmarkStart w:id="8" w:name="_Toc9223"/>
      <w:bookmarkStart w:id="9" w:name="_Toc163486582"/>
      <w:bookmarkStart w:id="10" w:name="_Toc1284"/>
      <w:r>
        <w:rPr>
          <w:rFonts w:hint="eastAsia"/>
          <w:szCs w:val="21"/>
        </w:rPr>
        <w:t>术语和定义</w:t>
      </w:r>
      <w:bookmarkEnd w:id="8"/>
      <w:bookmarkEnd w:id="9"/>
      <w:bookmarkEnd w:id="10"/>
    </w:p>
    <w:sdt>
      <w:sdtPr>
        <w:id w:val="147454108"/>
        <w:placeholder>
          <w:docPart w:val="{c29ef8a1-cc74-46de-97f2-0dbc46e8c786}"/>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68"/>
            <w:ind w:firstLine="420"/>
          </w:pPr>
          <w:r>
            <w:t>下列术语和定义适用于本文件。</w:t>
          </w:r>
        </w:p>
      </w:sdtContent>
    </w:sdt>
    <w:p>
      <w:pPr>
        <w:pStyle w:val="64"/>
        <w:ind w:left="420" w:hanging="420" w:hangingChars="200"/>
        <w:rPr>
          <w:rFonts w:hint="eastAsia" w:ascii="黑体" w:hAnsi="黑体" w:eastAsia="黑体"/>
        </w:rPr>
      </w:pPr>
    </w:p>
    <w:p>
      <w:pPr>
        <w:pStyle w:val="64"/>
        <w:numPr>
          <w:ilvl w:val="0"/>
          <w:numId w:val="0"/>
        </w:numPr>
        <w:ind w:left="420"/>
        <w:rPr>
          <w:rFonts w:hint="eastAsia" w:ascii="黑体" w:hAnsi="黑体" w:eastAsia="黑体"/>
        </w:rPr>
      </w:pPr>
      <w:r>
        <w:rPr>
          <w:rFonts w:hint="eastAsia" w:ascii="黑体" w:hAnsi="黑体" w:eastAsia="黑体"/>
        </w:rPr>
        <w:t>城市快速路  city express road</w:t>
      </w:r>
    </w:p>
    <w:p>
      <w:pPr>
        <w:pStyle w:val="68"/>
        <w:ind w:firstLine="420"/>
        <w:rPr>
          <w:rFonts w:ascii="Helvetica" w:hAnsi="Helvetica"/>
          <w:szCs w:val="21"/>
          <w:shd w:val="clear" w:color="auto" w:fill="FFFFFF"/>
        </w:rPr>
      </w:pPr>
      <w:r>
        <w:rPr>
          <w:rFonts w:hint="eastAsia"/>
        </w:rPr>
        <w:t>设有中央分隔带，具有双向四车道及以上的规模、全部或部分采用立体交叉与控制出入、供车辆以较高速度行驶的道路</w:t>
      </w:r>
      <w:r>
        <w:rPr>
          <w:rFonts w:ascii="Helvetica" w:hAnsi="Helvetica"/>
          <w:szCs w:val="21"/>
          <w:shd w:val="clear" w:color="auto" w:fill="FFFFFF"/>
        </w:rPr>
        <w:t>。</w:t>
      </w:r>
    </w:p>
    <w:p>
      <w:pPr>
        <w:pStyle w:val="64"/>
        <w:ind w:left="420" w:hanging="420" w:hangingChars="200"/>
        <w:rPr>
          <w:rFonts w:hint="eastAsia" w:ascii="黑体" w:hAnsi="黑体" w:eastAsia="黑体"/>
        </w:rPr>
      </w:pPr>
    </w:p>
    <w:p>
      <w:pPr>
        <w:pStyle w:val="64"/>
        <w:numPr>
          <w:ilvl w:val="0"/>
          <w:numId w:val="0"/>
        </w:numPr>
        <w:ind w:left="420"/>
        <w:rPr>
          <w:rFonts w:hint="eastAsia" w:ascii="黑体" w:hAnsi="黑体" w:eastAsia="黑体"/>
        </w:rPr>
      </w:pPr>
      <w:r>
        <w:rPr>
          <w:rFonts w:hint="eastAsia" w:ascii="黑体" w:hAnsi="黑体" w:eastAsia="黑体"/>
        </w:rPr>
        <w:t>清洗车  c</w:t>
      </w:r>
      <w:r>
        <w:rPr>
          <w:rFonts w:ascii="黑体" w:hAnsi="黑体" w:eastAsia="黑体"/>
        </w:rPr>
        <w:t>leaning truck</w:t>
      </w:r>
    </w:p>
    <w:p>
      <w:pPr>
        <w:pStyle w:val="52"/>
      </w:pPr>
      <w:r>
        <w:rPr>
          <w:rFonts w:hint="eastAsia"/>
        </w:rPr>
        <w:t>具有独立的高、低压清洗系统，在不同道路条件下能实现洒水、冲洗功能的特种专用车辆，也称为冲洗（洒水）车。</w:t>
      </w:r>
    </w:p>
    <w:p>
      <w:pPr>
        <w:pStyle w:val="64"/>
        <w:ind w:left="420" w:hanging="420" w:hangingChars="200"/>
        <w:rPr>
          <w:rFonts w:hint="eastAsia" w:ascii="黑体" w:hAnsi="黑体" w:eastAsia="黑体"/>
        </w:rPr>
      </w:pPr>
    </w:p>
    <w:p>
      <w:pPr>
        <w:pStyle w:val="64"/>
        <w:numPr>
          <w:ilvl w:val="0"/>
          <w:numId w:val="0"/>
        </w:numPr>
        <w:ind w:left="420"/>
        <w:rPr>
          <w:rFonts w:hint="eastAsia" w:ascii="黑体" w:hAnsi="黑体" w:eastAsia="黑体"/>
        </w:rPr>
      </w:pPr>
      <w:r>
        <w:rPr>
          <w:rFonts w:hint="eastAsia" w:ascii="黑体" w:hAnsi="黑体" w:eastAsia="黑体"/>
        </w:rPr>
        <w:t>扫路车  s</w:t>
      </w:r>
      <w:r>
        <w:rPr>
          <w:rFonts w:ascii="黑体" w:hAnsi="黑体" w:eastAsia="黑体"/>
        </w:rPr>
        <w:t>weeper truck</w:t>
      </w:r>
    </w:p>
    <w:p>
      <w:pPr>
        <w:pStyle w:val="68"/>
        <w:ind w:firstLine="420"/>
      </w:pPr>
      <w:r>
        <w:rPr>
          <w:rFonts w:hint="eastAsia"/>
        </w:rPr>
        <w:t>具有机械控制的扫刷和吸嘴，在不同道路条件下能实现路面清扫和垃圾回收、运输为一体的特种专用车辆。</w:t>
      </w:r>
    </w:p>
    <w:p>
      <w:pPr>
        <w:pStyle w:val="64"/>
        <w:ind w:left="420" w:hanging="420" w:hangingChars="200"/>
        <w:rPr>
          <w:rFonts w:hint="eastAsia" w:ascii="黑体" w:hAnsi="黑体" w:eastAsia="黑体"/>
        </w:rPr>
      </w:pPr>
    </w:p>
    <w:p>
      <w:pPr>
        <w:pStyle w:val="64"/>
        <w:numPr>
          <w:ilvl w:val="0"/>
          <w:numId w:val="0"/>
        </w:numPr>
        <w:ind w:left="420"/>
        <w:rPr>
          <w:rFonts w:hint="eastAsia" w:ascii="黑体" w:hAnsi="黑体" w:eastAsia="黑体"/>
        </w:rPr>
      </w:pPr>
      <w:r>
        <w:rPr>
          <w:rFonts w:hint="eastAsia" w:ascii="黑体" w:hAnsi="黑体" w:eastAsia="黑体"/>
        </w:rPr>
        <w:t xml:space="preserve">洗扫车  </w:t>
      </w:r>
      <w:r>
        <w:rPr>
          <w:rFonts w:ascii="黑体" w:hAnsi="黑体" w:eastAsia="黑体"/>
        </w:rPr>
        <w:t>cleaning sweeper truck</w:t>
      </w:r>
    </w:p>
    <w:p>
      <w:pPr>
        <w:pStyle w:val="68"/>
        <w:ind w:firstLine="420"/>
      </w:pPr>
      <w:r>
        <w:rPr>
          <w:rFonts w:hint="eastAsia"/>
        </w:rPr>
        <w:t>具有机械控制的扫刷、喷杆、吸嘴和独立的高、低压清洗系统，在不同道路条件下能实现路面清洗、清扫和垃圾、废水回收及运输为一体或洒水、冲洗功能的特种专用车辆。</w:t>
      </w:r>
    </w:p>
    <w:p>
      <w:pPr>
        <w:pStyle w:val="64"/>
        <w:ind w:left="420" w:hanging="420" w:hangingChars="200"/>
        <w:rPr>
          <w:rFonts w:hint="eastAsia" w:ascii="黑体" w:hAnsi="黑体" w:eastAsia="黑体"/>
        </w:rPr>
      </w:pPr>
    </w:p>
    <w:p>
      <w:pPr>
        <w:pStyle w:val="64"/>
        <w:numPr>
          <w:ilvl w:val="0"/>
          <w:numId w:val="0"/>
        </w:numPr>
        <w:ind w:left="420"/>
        <w:rPr>
          <w:rFonts w:hint="eastAsia" w:ascii="黑体" w:hAnsi="黑体" w:eastAsia="黑体"/>
        </w:rPr>
      </w:pPr>
      <w:r>
        <w:rPr>
          <w:rFonts w:hint="eastAsia" w:ascii="黑体" w:hAnsi="黑体" w:eastAsia="黑体"/>
        </w:rPr>
        <w:t>冲洗作业  flushing operation</w:t>
      </w:r>
    </w:p>
    <w:p>
      <w:pPr>
        <w:pStyle w:val="68"/>
        <w:ind w:firstLine="420"/>
      </w:pPr>
      <w:r>
        <w:rPr>
          <w:rFonts w:hint="eastAsia"/>
        </w:rPr>
        <w:t>利用清洗车/洗扫车车底对冲装置或清洗车车头喷水架，对城市快速路采用一定压力的水流进行冲洗的环卫清洁作业。</w:t>
      </w:r>
    </w:p>
    <w:p>
      <w:pPr>
        <w:pStyle w:val="64"/>
        <w:ind w:left="420" w:hanging="420" w:hangingChars="200"/>
        <w:rPr>
          <w:rFonts w:hint="eastAsia" w:ascii="黑体" w:hAnsi="黑体" w:eastAsia="黑体"/>
        </w:rPr>
      </w:pPr>
    </w:p>
    <w:p>
      <w:pPr>
        <w:pStyle w:val="64"/>
        <w:numPr>
          <w:ilvl w:val="0"/>
          <w:numId w:val="0"/>
        </w:numPr>
        <w:ind w:left="420"/>
        <w:rPr>
          <w:rFonts w:hint="eastAsia" w:ascii="黑体" w:hAnsi="黑体" w:eastAsia="黑体"/>
        </w:rPr>
      </w:pPr>
      <w:r>
        <w:rPr>
          <w:rFonts w:hint="eastAsia" w:ascii="黑体" w:hAnsi="黑体" w:eastAsia="黑体"/>
        </w:rPr>
        <w:t>机扫作业  machine scanning operation</w:t>
      </w:r>
    </w:p>
    <w:p>
      <w:pPr>
        <w:pStyle w:val="68"/>
        <w:ind w:firstLine="420"/>
      </w:pPr>
      <w:r>
        <w:rPr>
          <w:rFonts w:hint="eastAsia"/>
        </w:rPr>
        <w:t>利用扫路车机械控制的扫刷和吸嘴或洗扫车的扫路功能，对城市快速路进行清扫并将污物等一并吸附进随车容器内的环卫清洁作业。</w:t>
      </w:r>
    </w:p>
    <w:p>
      <w:pPr>
        <w:pStyle w:val="64"/>
        <w:ind w:left="420" w:hanging="420" w:hangingChars="200"/>
        <w:rPr>
          <w:rFonts w:hint="eastAsia" w:ascii="黑体" w:hAnsi="黑体" w:eastAsia="黑体"/>
        </w:rPr>
      </w:pPr>
    </w:p>
    <w:p>
      <w:pPr>
        <w:pStyle w:val="64"/>
        <w:numPr>
          <w:ilvl w:val="0"/>
          <w:numId w:val="0"/>
        </w:numPr>
        <w:ind w:left="420"/>
        <w:rPr>
          <w:rFonts w:hint="eastAsia" w:ascii="黑体" w:hAnsi="黑体" w:eastAsia="黑体"/>
        </w:rPr>
      </w:pPr>
      <w:r>
        <w:rPr>
          <w:rFonts w:hint="eastAsia" w:ascii="黑体" w:hAnsi="黑体" w:eastAsia="黑体"/>
        </w:rPr>
        <w:t>洗扫作业  cleaning operation</w:t>
      </w:r>
    </w:p>
    <w:p>
      <w:pPr>
        <w:pStyle w:val="68"/>
        <w:ind w:firstLine="420"/>
      </w:pPr>
      <w:r>
        <w:rPr>
          <w:rFonts w:hint="eastAsia"/>
        </w:rPr>
        <w:t>利用洗扫车机械控制的扫刷、喷杆和吸嘴，对城市快速路进行边冲洗边清扫并将污物和废水等一并吸附进随车容器内的环卫清洁作业。</w:t>
      </w:r>
    </w:p>
    <w:p>
      <w:pPr>
        <w:pStyle w:val="64"/>
        <w:ind w:left="420" w:hanging="420" w:hangingChars="200"/>
        <w:rPr>
          <w:rFonts w:hint="eastAsia" w:ascii="黑体" w:hAnsi="黑体" w:eastAsia="黑体"/>
        </w:rPr>
      </w:pPr>
    </w:p>
    <w:p>
      <w:pPr>
        <w:pStyle w:val="64"/>
        <w:numPr>
          <w:ilvl w:val="0"/>
          <w:numId w:val="0"/>
        </w:numPr>
        <w:ind w:left="420"/>
        <w:rPr>
          <w:rFonts w:hint="eastAsia" w:ascii="黑体" w:hAnsi="黑体" w:eastAsia="黑体"/>
        </w:rPr>
      </w:pPr>
      <w:r>
        <w:rPr>
          <w:rFonts w:hint="eastAsia" w:ascii="黑体" w:hAnsi="黑体" w:eastAsia="黑体"/>
        </w:rPr>
        <w:t>洒水作业  sprinkler operation</w:t>
      </w:r>
    </w:p>
    <w:p>
      <w:pPr>
        <w:pStyle w:val="68"/>
        <w:ind w:firstLine="420"/>
      </w:pPr>
      <w:r>
        <w:rPr>
          <w:rFonts w:hint="eastAsia"/>
        </w:rPr>
        <w:t>利用清洗车底盘鸭嘴洒水架或车尾直管状洒水架，对城市快速路</w:t>
      </w:r>
      <w:r>
        <w:t>进行洒水保持路面湿润</w:t>
      </w:r>
      <w:r>
        <w:rPr>
          <w:rFonts w:hint="eastAsia"/>
        </w:rPr>
        <w:t>，以达到抑尘、降尘和夏季小环境降温效果的环卫清洁作业。</w:t>
      </w:r>
    </w:p>
    <w:p>
      <w:pPr>
        <w:pStyle w:val="64"/>
        <w:ind w:left="420" w:hanging="420" w:hangingChars="200"/>
        <w:rPr>
          <w:rFonts w:hint="eastAsia" w:ascii="黑体" w:hAnsi="黑体" w:eastAsia="黑体"/>
        </w:rPr>
      </w:pPr>
    </w:p>
    <w:p>
      <w:pPr>
        <w:pStyle w:val="64"/>
        <w:numPr>
          <w:ilvl w:val="0"/>
          <w:numId w:val="0"/>
        </w:numPr>
        <w:ind w:left="420"/>
        <w:rPr>
          <w:rFonts w:hint="eastAsia" w:ascii="黑体" w:hAnsi="黑体" w:eastAsia="黑体"/>
        </w:rPr>
      </w:pPr>
      <w:r>
        <w:rPr>
          <w:rFonts w:hint="eastAsia" w:ascii="黑体" w:hAnsi="黑体" w:eastAsia="黑体"/>
        </w:rPr>
        <w:t>“多车联动”盲区作业  “multi-vehicle linkage”blind area operation</w:t>
      </w:r>
    </w:p>
    <w:p>
      <w:pPr>
        <w:pStyle w:val="68"/>
        <w:ind w:firstLine="420"/>
      </w:pPr>
      <w:r>
        <w:rPr>
          <w:rFonts w:hint="eastAsia"/>
        </w:rPr>
        <w:t>通过清洗车和洗扫车相互配合，按照“内冲外扫”的作业模式，先利用清洗车的前置喷枪对城市快速路的隔离桩、隔离带等机械化作业盲区进行冲洗，后续再跟进洗扫车在作业盲区外部区域进行洗扫，以高效、快速清除盲区积存垃圾、泥沙的环卫清洁作业。</w:t>
      </w:r>
    </w:p>
    <w:p>
      <w:pPr>
        <w:pStyle w:val="67"/>
        <w:spacing w:before="312" w:after="312"/>
        <w:rPr>
          <w:szCs w:val="21"/>
        </w:rPr>
      </w:pPr>
      <w:bookmarkStart w:id="11" w:name="_Toc20503"/>
      <w:bookmarkStart w:id="12" w:name="_Toc30400"/>
      <w:bookmarkStart w:id="13" w:name="_Toc163486585"/>
      <w:bookmarkStart w:id="14" w:name="_Toc163486724"/>
      <w:r>
        <w:rPr>
          <w:rFonts w:hint="eastAsia"/>
          <w:szCs w:val="21"/>
        </w:rPr>
        <w:t>设施设备</w:t>
      </w:r>
      <w:bookmarkEnd w:id="11"/>
      <w:bookmarkEnd w:id="12"/>
      <w:bookmarkEnd w:id="13"/>
      <w:bookmarkEnd w:id="14"/>
    </w:p>
    <w:p>
      <w:pPr>
        <w:pStyle w:val="66"/>
        <w:spacing w:before="156" w:after="156"/>
      </w:pPr>
      <w:bookmarkStart w:id="15" w:name="_Toc2015"/>
      <w:bookmarkStart w:id="16" w:name="_Toc12097"/>
      <w:r>
        <w:rPr>
          <w:rFonts w:hint="eastAsia"/>
        </w:rPr>
        <w:t>配备</w:t>
      </w:r>
      <w:bookmarkEnd w:id="15"/>
      <w:r>
        <w:rPr>
          <w:rFonts w:hint="eastAsia"/>
        </w:rPr>
        <w:t>要求</w:t>
      </w:r>
      <w:bookmarkEnd w:id="16"/>
    </w:p>
    <w:p>
      <w:pPr>
        <w:pStyle w:val="69"/>
        <w:ind w:left="0"/>
        <w:jc w:val="left"/>
      </w:pPr>
      <w:r>
        <w:rPr>
          <w:rFonts w:hint="eastAsia"/>
        </w:rPr>
        <w:t>设施设备包括机械化作业车辆、停车场及辅助设施、洗车设施、维护保养设施、垃圾收集倾倒设施、新能源车辆充电设施、供水设施等，其主要功能及配备要求见表1。</w:t>
      </w:r>
    </w:p>
    <w:p>
      <w:pPr>
        <w:pStyle w:val="69"/>
        <w:ind w:left="0"/>
        <w:jc w:val="left"/>
      </w:pPr>
      <w:r>
        <w:rPr>
          <w:rFonts w:hint="eastAsia"/>
        </w:rPr>
        <w:t>城市快速路环卫机械化作业设施设备的设置应布局合理、便于管理，满足机械化作业的各项标准和要求。</w:t>
      </w:r>
    </w:p>
    <w:p>
      <w:pPr>
        <w:pStyle w:val="69"/>
        <w:ind w:left="0"/>
        <w:jc w:val="left"/>
      </w:pPr>
      <w:r>
        <w:rPr>
          <w:rFonts w:hint="eastAsia"/>
        </w:rPr>
        <w:t>城市快速路环卫机械化作业设施设备的配备应满足日常作业需求，具体配备类型、数量各地宜根据实际需求配备。</w:t>
      </w:r>
    </w:p>
    <w:p>
      <w:pPr>
        <w:pStyle w:val="61"/>
        <w:numPr>
          <w:ilvl w:val="0"/>
          <w:numId w:val="0"/>
        </w:numPr>
      </w:pPr>
      <w:r>
        <w:rPr>
          <w:rFonts w:hint="eastAsia"/>
        </w:rPr>
        <w:t>表1  城市快速路环卫机械化作业设施设备表</w:t>
      </w:r>
    </w:p>
    <w:tbl>
      <w:tblPr>
        <w:tblStyle w:val="21"/>
        <w:tblW w:w="0" w:type="auto"/>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1984"/>
        <w:gridCol w:w="5953"/>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jc w:val="center"/>
        </w:trPr>
        <w:tc>
          <w:tcPr>
            <w:tcW w:w="737" w:type="dxa"/>
            <w:vAlign w:val="center"/>
          </w:tcPr>
          <w:p>
            <w:pPr>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序号</w:t>
            </w:r>
          </w:p>
        </w:tc>
        <w:tc>
          <w:tcPr>
            <w:tcW w:w="1984" w:type="dxa"/>
            <w:vAlign w:val="center"/>
          </w:tcPr>
          <w:p>
            <w:pPr>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设施名称</w:t>
            </w:r>
          </w:p>
        </w:tc>
        <w:tc>
          <w:tcPr>
            <w:tcW w:w="5953" w:type="dxa"/>
            <w:vAlign w:val="center"/>
          </w:tcPr>
          <w:p>
            <w:pPr>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主要功能及配置要求</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7" w:type="dxa"/>
            <w:vAlign w:val="center"/>
          </w:tcPr>
          <w:p>
            <w:pPr>
              <w:jc w:val="center"/>
              <w:rPr>
                <w:rFonts w:hint="eastAsia" w:ascii="宋体" w:hAnsi="宋体" w:eastAsia="宋体" w:cs="宋体"/>
                <w:kern w:val="0"/>
                <w:sz w:val="18"/>
                <w:szCs w:val="18"/>
              </w:rPr>
            </w:pPr>
            <w:r>
              <w:rPr>
                <w:rFonts w:hint="eastAsia" w:ascii="宋体" w:hAnsi="宋体" w:eastAsia="宋体" w:cs="宋体"/>
                <w:kern w:val="0"/>
                <w:sz w:val="18"/>
                <w:szCs w:val="18"/>
              </w:rPr>
              <w:t>1</w:t>
            </w:r>
          </w:p>
        </w:tc>
        <w:tc>
          <w:tcPr>
            <w:tcW w:w="1984" w:type="dxa"/>
            <w:vAlign w:val="center"/>
          </w:tcPr>
          <w:p>
            <w:pPr>
              <w:jc w:val="center"/>
              <w:rPr>
                <w:rFonts w:hint="eastAsia" w:ascii="宋体" w:hAnsi="宋体" w:eastAsia="宋体" w:cs="宋体"/>
                <w:kern w:val="0"/>
                <w:sz w:val="18"/>
                <w:szCs w:val="18"/>
              </w:rPr>
            </w:pPr>
            <w:r>
              <w:rPr>
                <w:rFonts w:hint="eastAsia" w:ascii="宋体" w:hAnsi="宋体" w:eastAsia="宋体" w:cs="宋体"/>
                <w:kern w:val="0"/>
                <w:sz w:val="18"/>
                <w:szCs w:val="18"/>
              </w:rPr>
              <w:t>机械化作业车辆</w:t>
            </w:r>
          </w:p>
        </w:tc>
        <w:tc>
          <w:tcPr>
            <w:tcW w:w="5953" w:type="dxa"/>
            <w:vAlign w:val="center"/>
          </w:tcPr>
          <w:p>
            <w:pPr>
              <w:jc w:val="left"/>
              <w:rPr>
                <w:rFonts w:hint="eastAsia" w:ascii="宋体" w:hAnsi="宋体" w:eastAsia="宋体" w:cs="宋体"/>
                <w:kern w:val="0"/>
                <w:sz w:val="18"/>
                <w:szCs w:val="18"/>
              </w:rPr>
            </w:pPr>
            <w:r>
              <w:rPr>
                <w:rFonts w:hint="eastAsia" w:ascii="宋体" w:hAnsi="宋体" w:eastAsia="宋体" w:cs="宋体"/>
                <w:kern w:val="0"/>
                <w:sz w:val="18"/>
                <w:szCs w:val="18"/>
              </w:rPr>
              <w:t>实现城市快速路的日常机械化冲洗、洒水、机扫、洗扫等作业。车辆的配备类型、数量应满足日常机械化作业需求</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37" w:type="dxa"/>
            <w:vAlign w:val="center"/>
          </w:tcPr>
          <w:p>
            <w:pPr>
              <w:jc w:val="center"/>
              <w:rPr>
                <w:rFonts w:hint="eastAsia" w:ascii="宋体" w:hAnsi="宋体" w:eastAsia="宋体" w:cs="宋体"/>
                <w:kern w:val="0"/>
                <w:sz w:val="18"/>
                <w:szCs w:val="18"/>
              </w:rPr>
            </w:pPr>
            <w:r>
              <w:rPr>
                <w:rFonts w:hint="eastAsia" w:ascii="宋体" w:hAnsi="宋体" w:eastAsia="宋体" w:cs="宋体"/>
                <w:kern w:val="0"/>
                <w:sz w:val="18"/>
                <w:szCs w:val="18"/>
              </w:rPr>
              <w:t>2</w:t>
            </w:r>
          </w:p>
        </w:tc>
        <w:tc>
          <w:tcPr>
            <w:tcW w:w="1984" w:type="dxa"/>
            <w:vAlign w:val="center"/>
          </w:tcPr>
          <w:p>
            <w:pPr>
              <w:jc w:val="center"/>
              <w:rPr>
                <w:rFonts w:hint="eastAsia" w:ascii="宋体" w:hAnsi="宋体" w:eastAsia="宋体" w:cs="宋体"/>
                <w:kern w:val="0"/>
                <w:sz w:val="18"/>
                <w:szCs w:val="18"/>
              </w:rPr>
            </w:pPr>
            <w:r>
              <w:rPr>
                <w:rFonts w:hint="eastAsia" w:ascii="宋体" w:hAnsi="宋体" w:eastAsia="宋体" w:cs="宋体"/>
                <w:kern w:val="0"/>
                <w:sz w:val="18"/>
                <w:szCs w:val="18"/>
              </w:rPr>
              <w:t>停车场及辅助设施</w:t>
            </w:r>
          </w:p>
        </w:tc>
        <w:tc>
          <w:tcPr>
            <w:tcW w:w="5953" w:type="dxa"/>
            <w:vAlign w:val="center"/>
          </w:tcPr>
          <w:p>
            <w:pPr>
              <w:jc w:val="left"/>
              <w:rPr>
                <w:rFonts w:hint="eastAsia" w:ascii="宋体" w:hAnsi="宋体" w:eastAsia="宋体" w:cs="宋体"/>
                <w:kern w:val="0"/>
                <w:sz w:val="18"/>
                <w:szCs w:val="18"/>
              </w:rPr>
            </w:pPr>
            <w:r>
              <w:rPr>
                <w:rFonts w:hint="eastAsia" w:ascii="宋体" w:hAnsi="宋体" w:eastAsia="宋体" w:cs="宋体"/>
                <w:kern w:val="0"/>
                <w:sz w:val="18"/>
                <w:szCs w:val="18"/>
              </w:rPr>
              <w:t>满足日常办公、休息。停车场应设置出入口及标志牌，配备必要的电子监控、照明、消防、通讯、排水和通风设施</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jc w:val="center"/>
        </w:trPr>
        <w:tc>
          <w:tcPr>
            <w:tcW w:w="737" w:type="dxa"/>
            <w:vAlign w:val="center"/>
          </w:tcPr>
          <w:p>
            <w:pPr>
              <w:jc w:val="center"/>
              <w:rPr>
                <w:rFonts w:hint="eastAsia" w:ascii="宋体" w:hAnsi="宋体" w:eastAsia="宋体" w:cs="宋体"/>
                <w:kern w:val="0"/>
                <w:sz w:val="18"/>
                <w:szCs w:val="18"/>
              </w:rPr>
            </w:pPr>
            <w:r>
              <w:rPr>
                <w:rFonts w:hint="eastAsia" w:ascii="宋体" w:hAnsi="宋体" w:eastAsia="宋体" w:cs="宋体"/>
                <w:kern w:val="0"/>
                <w:sz w:val="18"/>
                <w:szCs w:val="18"/>
              </w:rPr>
              <w:t>3</w:t>
            </w:r>
          </w:p>
        </w:tc>
        <w:tc>
          <w:tcPr>
            <w:tcW w:w="1984" w:type="dxa"/>
            <w:vAlign w:val="center"/>
          </w:tcPr>
          <w:p>
            <w:pPr>
              <w:jc w:val="center"/>
              <w:rPr>
                <w:rFonts w:hint="eastAsia" w:ascii="宋体" w:hAnsi="宋体" w:eastAsia="宋体" w:cs="宋体"/>
                <w:kern w:val="0"/>
                <w:sz w:val="18"/>
                <w:szCs w:val="18"/>
              </w:rPr>
            </w:pPr>
            <w:r>
              <w:rPr>
                <w:rFonts w:hint="eastAsia" w:ascii="宋体" w:hAnsi="宋体" w:eastAsia="宋体" w:cs="宋体"/>
                <w:kern w:val="0"/>
                <w:sz w:val="18"/>
                <w:szCs w:val="18"/>
              </w:rPr>
              <w:t>洗车设施</w:t>
            </w:r>
          </w:p>
        </w:tc>
        <w:tc>
          <w:tcPr>
            <w:tcW w:w="5953" w:type="dxa"/>
            <w:vAlign w:val="center"/>
          </w:tcPr>
          <w:p>
            <w:pPr>
              <w:jc w:val="left"/>
              <w:rPr>
                <w:rFonts w:hint="eastAsia" w:ascii="宋体" w:hAnsi="宋体" w:eastAsia="宋体" w:cs="宋体"/>
                <w:kern w:val="0"/>
                <w:sz w:val="18"/>
                <w:szCs w:val="18"/>
              </w:rPr>
            </w:pPr>
            <w:r>
              <w:rPr>
                <w:rFonts w:hint="eastAsia" w:ascii="宋体" w:hAnsi="宋体" w:eastAsia="宋体" w:cs="宋体"/>
                <w:kern w:val="0"/>
                <w:sz w:val="18"/>
                <w:szCs w:val="18"/>
              </w:rPr>
              <w:t>满足各类车辆的日常清洗。洗车设施应设置封闭式围墙及进出通道，并配备沉淀池及废水处理设施</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jc w:val="center"/>
        </w:trPr>
        <w:tc>
          <w:tcPr>
            <w:tcW w:w="737" w:type="dxa"/>
            <w:vAlign w:val="center"/>
          </w:tcPr>
          <w:p>
            <w:pPr>
              <w:jc w:val="center"/>
              <w:rPr>
                <w:rFonts w:hint="eastAsia" w:ascii="宋体" w:hAnsi="宋体" w:eastAsia="宋体" w:cs="宋体"/>
                <w:kern w:val="0"/>
                <w:sz w:val="18"/>
                <w:szCs w:val="18"/>
              </w:rPr>
            </w:pPr>
            <w:r>
              <w:rPr>
                <w:rFonts w:hint="eastAsia" w:ascii="宋体" w:hAnsi="宋体" w:eastAsia="宋体" w:cs="宋体"/>
                <w:kern w:val="0"/>
                <w:sz w:val="18"/>
                <w:szCs w:val="18"/>
              </w:rPr>
              <w:t>4</w:t>
            </w:r>
          </w:p>
        </w:tc>
        <w:tc>
          <w:tcPr>
            <w:tcW w:w="1984" w:type="dxa"/>
            <w:vAlign w:val="center"/>
          </w:tcPr>
          <w:p>
            <w:pPr>
              <w:jc w:val="center"/>
              <w:rPr>
                <w:rFonts w:hint="eastAsia" w:ascii="宋体" w:hAnsi="宋体" w:eastAsia="宋体" w:cs="宋体"/>
                <w:kern w:val="0"/>
                <w:sz w:val="18"/>
                <w:szCs w:val="18"/>
              </w:rPr>
            </w:pPr>
            <w:r>
              <w:rPr>
                <w:rFonts w:hint="eastAsia" w:ascii="宋体" w:hAnsi="宋体" w:eastAsia="宋体" w:cs="宋体"/>
                <w:kern w:val="0"/>
                <w:sz w:val="18"/>
                <w:szCs w:val="18"/>
              </w:rPr>
              <w:t>维护保养设施</w:t>
            </w:r>
          </w:p>
        </w:tc>
        <w:tc>
          <w:tcPr>
            <w:tcW w:w="5953" w:type="dxa"/>
            <w:vAlign w:val="center"/>
          </w:tcPr>
          <w:p>
            <w:pPr>
              <w:jc w:val="left"/>
              <w:rPr>
                <w:rFonts w:hint="eastAsia" w:ascii="宋体" w:hAnsi="宋体" w:eastAsia="宋体" w:cs="宋体"/>
                <w:kern w:val="0"/>
                <w:sz w:val="18"/>
                <w:szCs w:val="18"/>
              </w:rPr>
            </w:pPr>
            <w:r>
              <w:rPr>
                <w:rFonts w:hint="eastAsia" w:ascii="宋体" w:hAnsi="宋体" w:eastAsia="宋体" w:cs="宋体"/>
                <w:kern w:val="0"/>
                <w:sz w:val="18"/>
                <w:szCs w:val="18"/>
              </w:rPr>
              <w:t>满足各类车辆的日常维护保养、简单修理及部件更换，保证作业车辆的性能</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jc w:val="center"/>
        </w:trPr>
        <w:tc>
          <w:tcPr>
            <w:tcW w:w="737" w:type="dxa"/>
            <w:shd w:val="clear" w:color="auto" w:fill="auto"/>
            <w:vAlign w:val="center"/>
          </w:tcPr>
          <w:p>
            <w:pPr>
              <w:jc w:val="center"/>
              <w:rPr>
                <w:rFonts w:hint="eastAsia" w:ascii="宋体" w:hAnsi="宋体" w:eastAsia="宋体" w:cs="宋体"/>
                <w:kern w:val="0"/>
                <w:sz w:val="18"/>
                <w:szCs w:val="18"/>
              </w:rPr>
            </w:pPr>
            <w:r>
              <w:rPr>
                <w:rFonts w:hint="eastAsia" w:ascii="宋体" w:hAnsi="宋体" w:eastAsia="宋体" w:cs="宋体"/>
                <w:kern w:val="0"/>
                <w:sz w:val="18"/>
                <w:szCs w:val="18"/>
              </w:rPr>
              <w:t>5</w:t>
            </w:r>
          </w:p>
        </w:tc>
        <w:tc>
          <w:tcPr>
            <w:tcW w:w="1984" w:type="dxa"/>
            <w:shd w:val="clear" w:color="auto" w:fill="auto"/>
            <w:vAlign w:val="center"/>
          </w:tcPr>
          <w:p>
            <w:pPr>
              <w:jc w:val="center"/>
              <w:rPr>
                <w:rFonts w:hint="eastAsia" w:ascii="宋体" w:hAnsi="宋体" w:eastAsia="宋体" w:cs="宋体"/>
                <w:kern w:val="0"/>
                <w:sz w:val="18"/>
                <w:szCs w:val="18"/>
              </w:rPr>
            </w:pPr>
            <w:r>
              <w:rPr>
                <w:rFonts w:hint="eastAsia" w:ascii="宋体" w:hAnsi="宋体" w:eastAsia="宋体" w:cs="宋体"/>
                <w:kern w:val="0"/>
                <w:sz w:val="18"/>
                <w:szCs w:val="18"/>
              </w:rPr>
              <w:t>垃圾收集倾倒设施</w:t>
            </w:r>
          </w:p>
        </w:tc>
        <w:tc>
          <w:tcPr>
            <w:tcW w:w="5953" w:type="dxa"/>
            <w:shd w:val="clear" w:color="auto" w:fill="auto"/>
            <w:vAlign w:val="center"/>
          </w:tcPr>
          <w:p>
            <w:pPr>
              <w:jc w:val="left"/>
              <w:rPr>
                <w:rFonts w:hint="eastAsia" w:ascii="宋体" w:hAnsi="宋体" w:eastAsia="宋体" w:cs="宋体"/>
                <w:kern w:val="0"/>
                <w:sz w:val="18"/>
                <w:szCs w:val="18"/>
              </w:rPr>
            </w:pPr>
            <w:r>
              <w:rPr>
                <w:rFonts w:hint="eastAsia" w:ascii="宋体" w:hAnsi="宋体" w:eastAsia="宋体" w:cs="宋体"/>
                <w:kern w:val="0"/>
                <w:sz w:val="18"/>
                <w:szCs w:val="18"/>
              </w:rPr>
              <w:t>垃圾收集倾倒设施规模应根据作业区域内日均能收集到的垃圾量确定，并设置沉淀池及废水处理设施</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jc w:val="center"/>
        </w:trPr>
        <w:tc>
          <w:tcPr>
            <w:tcW w:w="737" w:type="dxa"/>
            <w:vAlign w:val="center"/>
          </w:tcPr>
          <w:p>
            <w:pPr>
              <w:jc w:val="center"/>
              <w:rPr>
                <w:rFonts w:hint="eastAsia" w:ascii="宋体" w:hAnsi="宋体" w:eastAsia="宋体" w:cs="宋体"/>
                <w:kern w:val="0"/>
                <w:sz w:val="18"/>
                <w:szCs w:val="18"/>
              </w:rPr>
            </w:pPr>
            <w:r>
              <w:rPr>
                <w:rFonts w:hint="eastAsia" w:ascii="宋体" w:hAnsi="宋体" w:eastAsia="宋体" w:cs="宋体"/>
                <w:kern w:val="0"/>
                <w:sz w:val="18"/>
                <w:szCs w:val="18"/>
              </w:rPr>
              <w:t>6</w:t>
            </w:r>
          </w:p>
        </w:tc>
        <w:tc>
          <w:tcPr>
            <w:tcW w:w="1984" w:type="dxa"/>
            <w:vAlign w:val="center"/>
          </w:tcPr>
          <w:p>
            <w:pPr>
              <w:jc w:val="center"/>
              <w:rPr>
                <w:rFonts w:hint="eastAsia" w:ascii="宋体" w:hAnsi="宋体" w:eastAsia="宋体" w:cs="宋体"/>
                <w:kern w:val="0"/>
                <w:sz w:val="18"/>
                <w:szCs w:val="18"/>
              </w:rPr>
            </w:pPr>
            <w:r>
              <w:rPr>
                <w:rFonts w:hint="eastAsia" w:ascii="宋体" w:hAnsi="宋体" w:eastAsia="宋体" w:cs="宋体"/>
                <w:kern w:val="0"/>
                <w:sz w:val="18"/>
                <w:szCs w:val="18"/>
              </w:rPr>
              <w:t>新能源车辆充电设施</w:t>
            </w:r>
          </w:p>
        </w:tc>
        <w:tc>
          <w:tcPr>
            <w:tcW w:w="5953" w:type="dxa"/>
            <w:vAlign w:val="center"/>
          </w:tcPr>
          <w:p>
            <w:pPr>
              <w:jc w:val="left"/>
              <w:rPr>
                <w:rFonts w:hint="eastAsia" w:ascii="宋体" w:hAnsi="宋体" w:eastAsia="宋体" w:cs="宋体"/>
                <w:kern w:val="0"/>
                <w:sz w:val="18"/>
                <w:szCs w:val="18"/>
              </w:rPr>
            </w:pPr>
            <w:r>
              <w:rPr>
                <w:rFonts w:hint="eastAsia" w:ascii="宋体" w:hAnsi="宋体" w:eastAsia="宋体" w:cs="宋体"/>
                <w:kern w:val="0"/>
                <w:sz w:val="18"/>
                <w:szCs w:val="18"/>
              </w:rPr>
              <w:t>充电设施应具备现场安保监控、充电设备运行工况监控等功能</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jc w:val="center"/>
        </w:trPr>
        <w:tc>
          <w:tcPr>
            <w:tcW w:w="737" w:type="dxa"/>
            <w:vAlign w:val="center"/>
          </w:tcPr>
          <w:p>
            <w:pPr>
              <w:jc w:val="center"/>
              <w:rPr>
                <w:rFonts w:hint="eastAsia" w:ascii="宋体" w:hAnsi="宋体" w:eastAsia="宋体" w:cs="宋体"/>
                <w:kern w:val="0"/>
                <w:sz w:val="18"/>
                <w:szCs w:val="18"/>
              </w:rPr>
            </w:pPr>
            <w:r>
              <w:rPr>
                <w:rFonts w:hint="eastAsia" w:ascii="宋体" w:hAnsi="宋体" w:eastAsia="宋体" w:cs="宋体"/>
                <w:kern w:val="0"/>
                <w:sz w:val="18"/>
                <w:szCs w:val="18"/>
              </w:rPr>
              <w:t>7</w:t>
            </w:r>
          </w:p>
        </w:tc>
        <w:tc>
          <w:tcPr>
            <w:tcW w:w="1984" w:type="dxa"/>
            <w:vAlign w:val="center"/>
          </w:tcPr>
          <w:p>
            <w:pPr>
              <w:jc w:val="center"/>
              <w:rPr>
                <w:rFonts w:hint="eastAsia" w:ascii="宋体" w:hAnsi="宋体" w:eastAsia="宋体" w:cs="宋体"/>
                <w:kern w:val="0"/>
                <w:sz w:val="18"/>
                <w:szCs w:val="18"/>
              </w:rPr>
            </w:pPr>
            <w:r>
              <w:rPr>
                <w:rFonts w:hint="eastAsia" w:ascii="宋体" w:hAnsi="宋体" w:eastAsia="宋体" w:cs="宋体"/>
                <w:kern w:val="0"/>
                <w:sz w:val="18"/>
                <w:szCs w:val="18"/>
              </w:rPr>
              <w:t>供水设施</w:t>
            </w:r>
          </w:p>
        </w:tc>
        <w:tc>
          <w:tcPr>
            <w:tcW w:w="5953" w:type="dxa"/>
            <w:vAlign w:val="center"/>
          </w:tcPr>
          <w:p>
            <w:pPr>
              <w:jc w:val="left"/>
              <w:rPr>
                <w:rFonts w:hint="eastAsia" w:ascii="宋体" w:hAnsi="宋体" w:eastAsia="宋体" w:cs="宋体"/>
                <w:kern w:val="0"/>
                <w:sz w:val="18"/>
                <w:szCs w:val="18"/>
              </w:rPr>
            </w:pPr>
            <w:r>
              <w:rPr>
                <w:rFonts w:hint="eastAsia" w:ascii="宋体" w:hAnsi="宋体" w:eastAsia="宋体" w:cs="宋体"/>
                <w:kern w:val="0"/>
                <w:sz w:val="18"/>
                <w:szCs w:val="18"/>
              </w:rPr>
              <w:t>用于环卫机械化作业车辆取水，可利用市政用水或者符合标准的地表水、再生水</w:t>
            </w:r>
          </w:p>
        </w:tc>
      </w:tr>
    </w:tbl>
    <w:p>
      <w:pPr>
        <w:pStyle w:val="66"/>
        <w:spacing w:before="156" w:after="156"/>
      </w:pPr>
      <w:bookmarkStart w:id="17" w:name="_Toc163486586"/>
      <w:bookmarkStart w:id="18" w:name="_Toc163486725"/>
      <w:bookmarkStart w:id="19" w:name="_Toc24652"/>
      <w:bookmarkStart w:id="20" w:name="_Toc12113"/>
      <w:r>
        <w:rPr>
          <w:rFonts w:hint="eastAsia"/>
        </w:rPr>
        <w:t>车辆</w:t>
      </w:r>
      <w:bookmarkEnd w:id="17"/>
      <w:bookmarkEnd w:id="18"/>
      <w:bookmarkEnd w:id="19"/>
      <w:r>
        <w:rPr>
          <w:rFonts w:hint="eastAsia"/>
        </w:rPr>
        <w:t>日常检查</w:t>
      </w:r>
      <w:bookmarkEnd w:id="20"/>
    </w:p>
    <w:p>
      <w:pPr>
        <w:pStyle w:val="70"/>
        <w:spacing w:before="156" w:after="156"/>
        <w:ind w:left="0"/>
        <w:jc w:val="left"/>
      </w:pPr>
      <w:bookmarkStart w:id="21" w:name="_Toc9599"/>
      <w:bookmarkStart w:id="22" w:name="_Toc9861"/>
      <w:bookmarkStart w:id="23" w:name="_Toc25672"/>
      <w:bookmarkStart w:id="24" w:name="_Toc32356"/>
      <w:bookmarkStart w:id="25" w:name="_Toc31325"/>
      <w:bookmarkStart w:id="26" w:name="_Toc12847"/>
      <w:r>
        <w:rPr>
          <w:rFonts w:hint="eastAsia"/>
        </w:rPr>
        <w:t>车辆底盘部分</w:t>
      </w:r>
      <w:bookmarkEnd w:id="21"/>
      <w:bookmarkEnd w:id="22"/>
      <w:bookmarkEnd w:id="23"/>
      <w:r>
        <w:rPr>
          <w:rFonts w:hint="eastAsia"/>
        </w:rPr>
        <w:t>检查</w:t>
      </w:r>
      <w:bookmarkEnd w:id="24"/>
      <w:bookmarkEnd w:id="25"/>
      <w:bookmarkEnd w:id="26"/>
    </w:p>
    <w:p>
      <w:pPr>
        <w:pStyle w:val="68"/>
        <w:ind w:firstLine="420"/>
        <w:rPr>
          <w:rFonts w:hint="eastAsia" w:hAnsi="宋体"/>
        </w:rPr>
      </w:pPr>
      <w:r>
        <w:rPr>
          <w:rFonts w:hint="eastAsia" w:hAnsi="宋体"/>
        </w:rPr>
        <w:t>对底盘部分的每日检查应遵照车辆底盘使用说明书的规定操作，发现底盘故障及时报修，由专业维修机构进行修理。</w:t>
      </w:r>
    </w:p>
    <w:p>
      <w:pPr>
        <w:pStyle w:val="70"/>
        <w:spacing w:before="156" w:after="156"/>
        <w:ind w:left="0"/>
        <w:jc w:val="left"/>
      </w:pPr>
      <w:bookmarkStart w:id="27" w:name="_Toc1031"/>
      <w:bookmarkStart w:id="28" w:name="_Toc20821"/>
      <w:bookmarkStart w:id="29" w:name="_Toc2569"/>
      <w:bookmarkStart w:id="30" w:name="_Toc27377"/>
      <w:bookmarkStart w:id="31" w:name="_Toc32506"/>
      <w:bookmarkStart w:id="32" w:name="_Toc8116"/>
      <w:r>
        <w:rPr>
          <w:rFonts w:hint="eastAsia"/>
        </w:rPr>
        <w:t>车辆作业装置部分</w:t>
      </w:r>
      <w:bookmarkEnd w:id="27"/>
      <w:bookmarkEnd w:id="28"/>
      <w:bookmarkEnd w:id="29"/>
      <w:r>
        <w:rPr>
          <w:rFonts w:hint="eastAsia"/>
        </w:rPr>
        <w:t>检查</w:t>
      </w:r>
      <w:bookmarkEnd w:id="30"/>
      <w:bookmarkEnd w:id="31"/>
      <w:bookmarkEnd w:id="32"/>
    </w:p>
    <w:p>
      <w:pPr>
        <w:pStyle w:val="78"/>
        <w:numPr>
          <w:ilvl w:val="0"/>
          <w:numId w:val="0"/>
        </w:numPr>
        <w:ind w:left="425"/>
      </w:pPr>
      <w:r>
        <w:rPr>
          <w:rFonts w:hint="eastAsia"/>
        </w:rPr>
        <w:t>对作业装置部分的每日检查包括但不限于表2的内容。</w:t>
      </w:r>
    </w:p>
    <w:p>
      <w:pPr>
        <w:pStyle w:val="61"/>
        <w:numPr>
          <w:ilvl w:val="0"/>
          <w:numId w:val="0"/>
        </w:numPr>
      </w:pPr>
      <w:r>
        <w:rPr>
          <w:rFonts w:hint="eastAsia"/>
        </w:rPr>
        <w:t>表2  车辆作业装置部分的每日检查内容</w:t>
      </w:r>
    </w:p>
    <w:tbl>
      <w:tblPr>
        <w:tblStyle w:val="21"/>
        <w:tblW w:w="9322" w:type="dxa"/>
        <w:tblInd w:w="0" w:type="dxa"/>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70"/>
        <w:gridCol w:w="844"/>
        <w:gridCol w:w="907"/>
        <w:gridCol w:w="907"/>
        <w:gridCol w:w="907"/>
        <w:gridCol w:w="907"/>
        <w:gridCol w:w="907"/>
        <w:gridCol w:w="907"/>
        <w:gridCol w:w="932"/>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trHeight w:val="454" w:hRule="atLeast"/>
        </w:trPr>
        <w:tc>
          <w:tcPr>
            <w:tcW w:w="1134" w:type="dxa"/>
            <w:vMerge w:val="restart"/>
            <w:noWrap/>
            <w:vAlign w:val="center"/>
          </w:tcPr>
          <w:p>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车 型</w:t>
            </w:r>
          </w:p>
        </w:tc>
        <w:tc>
          <w:tcPr>
            <w:tcW w:w="8188" w:type="dxa"/>
            <w:gridSpan w:val="9"/>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项  目</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trHeight w:val="454" w:hRule="atLeast"/>
        </w:trPr>
        <w:tc>
          <w:tcPr>
            <w:tcW w:w="1134" w:type="dxa"/>
            <w:vMerge w:val="continue"/>
            <w:noWrap/>
            <w:vAlign w:val="center"/>
          </w:tcPr>
          <w:p>
            <w:pPr>
              <w:widowControl/>
              <w:jc w:val="center"/>
              <w:rPr>
                <w:rFonts w:hint="eastAsia" w:ascii="宋体" w:hAnsi="宋体" w:eastAsia="宋体" w:cs="宋体"/>
                <w:color w:val="000000"/>
                <w:kern w:val="0"/>
                <w:sz w:val="18"/>
                <w:szCs w:val="18"/>
              </w:rPr>
            </w:pPr>
          </w:p>
        </w:tc>
        <w:tc>
          <w:tcPr>
            <w:tcW w:w="970"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扫刷松动、角度、接地高度情况</w:t>
            </w:r>
          </w:p>
        </w:tc>
        <w:tc>
          <w:tcPr>
            <w:tcW w:w="844"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吸嘴支撑轮磨损情况</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吸嘴离地间隙</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垃圾箱密封件情况</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各喷嘴堵塞情况</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各喷嘴出水角度</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传动皮带张紧情况</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各工作装置运转情况</w:t>
            </w:r>
          </w:p>
        </w:tc>
        <w:tc>
          <w:tcPr>
            <w:tcW w:w="932" w:type="dxa"/>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水滤器洁净程度</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trHeight w:val="454" w:hRule="atLeast"/>
        </w:trPr>
        <w:tc>
          <w:tcPr>
            <w:tcW w:w="1134"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清洗车</w:t>
            </w:r>
          </w:p>
        </w:tc>
        <w:tc>
          <w:tcPr>
            <w:tcW w:w="970" w:type="dxa"/>
            <w:noWrap/>
            <w:vAlign w:val="center"/>
          </w:tcPr>
          <w:p>
            <w:pPr>
              <w:widowControl/>
              <w:jc w:val="center"/>
              <w:rPr>
                <w:rFonts w:hint="eastAsia" w:ascii="宋体" w:hAnsi="宋体" w:eastAsia="宋体" w:cs="宋体"/>
                <w:color w:val="000000"/>
                <w:kern w:val="0"/>
                <w:sz w:val="18"/>
                <w:szCs w:val="18"/>
              </w:rPr>
            </w:pPr>
            <w:r>
              <w:rPr>
                <w:rFonts w:ascii="宋体" w:hAnsi="宋体" w:eastAsia="宋体" w:cs="宋体"/>
                <w:color w:val="000000"/>
                <w:kern w:val="0"/>
                <w:sz w:val="18"/>
                <w:szCs w:val="18"/>
              </w:rPr>
              <w:t>/</w:t>
            </w:r>
          </w:p>
        </w:tc>
        <w:tc>
          <w:tcPr>
            <w:tcW w:w="844" w:type="dxa"/>
            <w:noWrap/>
            <w:vAlign w:val="center"/>
          </w:tcPr>
          <w:p>
            <w:pPr>
              <w:widowControl/>
              <w:jc w:val="center"/>
              <w:rPr>
                <w:rFonts w:hint="eastAsia" w:ascii="宋体" w:hAnsi="宋体" w:eastAsia="宋体" w:cs="宋体"/>
                <w:color w:val="000000"/>
                <w:kern w:val="0"/>
                <w:sz w:val="18"/>
                <w:szCs w:val="18"/>
              </w:rPr>
            </w:pPr>
            <w:r>
              <w:rPr>
                <w:rFonts w:ascii="宋体" w:hAnsi="宋体" w:eastAsia="宋体" w:cs="宋体"/>
                <w:color w:val="000000"/>
                <w:kern w:val="0"/>
                <w:sz w:val="18"/>
                <w:szCs w:val="18"/>
              </w:rPr>
              <w:t>/</w:t>
            </w:r>
          </w:p>
        </w:tc>
        <w:tc>
          <w:tcPr>
            <w:tcW w:w="907" w:type="dxa"/>
            <w:noWrap/>
            <w:vAlign w:val="center"/>
          </w:tcPr>
          <w:p>
            <w:pPr>
              <w:widowControl/>
              <w:jc w:val="center"/>
              <w:rPr>
                <w:rFonts w:hint="eastAsia" w:ascii="宋体" w:hAnsi="宋体" w:eastAsia="宋体" w:cs="宋体"/>
                <w:color w:val="000000"/>
                <w:kern w:val="0"/>
                <w:sz w:val="18"/>
                <w:szCs w:val="18"/>
              </w:rPr>
            </w:pPr>
            <w:r>
              <w:rPr>
                <w:rFonts w:ascii="宋体" w:hAnsi="宋体" w:eastAsia="宋体" w:cs="宋体"/>
                <w:color w:val="000000"/>
                <w:kern w:val="0"/>
                <w:sz w:val="18"/>
                <w:szCs w:val="18"/>
              </w:rPr>
              <w:t>/</w:t>
            </w:r>
          </w:p>
        </w:tc>
        <w:tc>
          <w:tcPr>
            <w:tcW w:w="907" w:type="dxa"/>
            <w:noWrap/>
            <w:vAlign w:val="center"/>
          </w:tcPr>
          <w:p>
            <w:pPr>
              <w:widowControl/>
              <w:jc w:val="center"/>
              <w:rPr>
                <w:rFonts w:hint="eastAsia" w:ascii="宋体" w:hAnsi="宋体" w:eastAsia="宋体" w:cs="宋体"/>
                <w:color w:val="000000"/>
                <w:kern w:val="0"/>
                <w:sz w:val="18"/>
                <w:szCs w:val="18"/>
              </w:rPr>
            </w:pPr>
            <w:r>
              <w:rPr>
                <w:rFonts w:ascii="宋体" w:hAnsi="宋体" w:eastAsia="宋体" w:cs="宋体"/>
                <w:color w:val="000000"/>
                <w:kern w:val="0"/>
                <w:sz w:val="18"/>
                <w:szCs w:val="18"/>
              </w:rPr>
              <w:t>/</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932" w:type="dxa"/>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trHeight w:val="454" w:hRule="atLeast"/>
        </w:trPr>
        <w:tc>
          <w:tcPr>
            <w:tcW w:w="1134"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扫路车</w:t>
            </w:r>
          </w:p>
        </w:tc>
        <w:tc>
          <w:tcPr>
            <w:tcW w:w="970"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44"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932" w:type="dxa"/>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PrEx>
        <w:trPr>
          <w:trHeight w:val="454" w:hRule="atLeast"/>
        </w:trPr>
        <w:tc>
          <w:tcPr>
            <w:tcW w:w="1134"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洗扫车</w:t>
            </w:r>
          </w:p>
        </w:tc>
        <w:tc>
          <w:tcPr>
            <w:tcW w:w="970"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44"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907" w:type="dxa"/>
            <w:noWrap/>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932" w:type="dxa"/>
            <w:vAlign w:val="center"/>
          </w:tcPr>
          <w:p>
            <w:pPr>
              <w:widowControl/>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tc>
      </w:tr>
    </w:tbl>
    <w:p>
      <w:pPr>
        <w:pStyle w:val="67"/>
        <w:spacing w:before="312" w:after="312"/>
      </w:pPr>
      <w:bookmarkStart w:id="33" w:name="_Toc163486587"/>
      <w:bookmarkStart w:id="34" w:name="_Toc31911"/>
      <w:bookmarkStart w:id="35" w:name="_Toc9132"/>
      <w:r>
        <w:t>人员物资</w:t>
      </w:r>
      <w:bookmarkEnd w:id="33"/>
      <w:bookmarkEnd w:id="34"/>
      <w:bookmarkEnd w:id="35"/>
    </w:p>
    <w:p>
      <w:pPr>
        <w:pStyle w:val="66"/>
        <w:spacing w:before="156" w:after="156"/>
      </w:pPr>
      <w:bookmarkStart w:id="36" w:name="_Toc163486588"/>
      <w:bookmarkStart w:id="37" w:name="_Toc25977"/>
      <w:bookmarkStart w:id="38" w:name="_Toc2014"/>
      <w:r>
        <w:rPr>
          <w:rFonts w:hint="eastAsia"/>
        </w:rPr>
        <w:t>人员</w:t>
      </w:r>
      <w:bookmarkEnd w:id="36"/>
      <w:bookmarkEnd w:id="37"/>
      <w:bookmarkEnd w:id="38"/>
    </w:p>
    <w:p>
      <w:pPr>
        <w:pStyle w:val="69"/>
        <w:ind w:left="0"/>
        <w:jc w:val="left"/>
      </w:pPr>
      <w:r>
        <w:rPr>
          <w:rFonts w:hint="eastAsia"/>
        </w:rPr>
        <w:t>应配备调度员、驾驶员、辅助人员等。</w:t>
      </w:r>
    </w:p>
    <w:p>
      <w:pPr>
        <w:pStyle w:val="69"/>
        <w:ind w:left="0"/>
        <w:jc w:val="left"/>
      </w:pPr>
      <w:r>
        <w:rPr>
          <w:rFonts w:hint="eastAsia"/>
        </w:rPr>
        <w:t>应遵纪守法、爱岗敬业、身体健康，具备良好的职业道德素养。</w:t>
      </w:r>
    </w:p>
    <w:p>
      <w:pPr>
        <w:pStyle w:val="69"/>
        <w:ind w:left="0"/>
        <w:jc w:val="left"/>
      </w:pPr>
      <w:r>
        <w:rPr>
          <w:rFonts w:hint="eastAsia"/>
        </w:rPr>
        <w:t>应穿着统一制式工作服，夜间应同时穿着反光背心，保持着装干净、整洁。</w:t>
      </w:r>
    </w:p>
    <w:p>
      <w:pPr>
        <w:pStyle w:val="69"/>
        <w:ind w:left="0"/>
        <w:jc w:val="left"/>
      </w:pPr>
      <w:r>
        <w:rPr>
          <w:rFonts w:hint="eastAsia"/>
        </w:rPr>
        <w:t>应接受相应的安全生产教育和岗位技能培训，经考核合格后方能上岗，做到文明规范作业。驾驶员还应具备相应车辆设备的驾驶或操作资格，且三年内无重大以上交通责任事故。</w:t>
      </w:r>
    </w:p>
    <w:p>
      <w:pPr>
        <w:pStyle w:val="66"/>
        <w:spacing w:before="156" w:after="156"/>
      </w:pPr>
      <w:bookmarkStart w:id="39" w:name="_Toc163486589"/>
      <w:bookmarkStart w:id="40" w:name="_Toc31205"/>
      <w:bookmarkStart w:id="41" w:name="_Toc4562"/>
      <w:r>
        <w:rPr>
          <w:rFonts w:hint="eastAsia"/>
        </w:rPr>
        <w:t>物资</w:t>
      </w:r>
      <w:bookmarkEnd w:id="39"/>
      <w:bookmarkEnd w:id="40"/>
      <w:bookmarkEnd w:id="41"/>
    </w:p>
    <w:p>
      <w:pPr>
        <w:pStyle w:val="69"/>
        <w:ind w:left="0"/>
        <w:jc w:val="left"/>
      </w:pPr>
      <w:r>
        <w:rPr>
          <w:rFonts w:hint="eastAsia"/>
        </w:rPr>
        <w:t>作业耗材应包括扫刷、加水软管、洗涤剂等。</w:t>
      </w:r>
    </w:p>
    <w:p>
      <w:pPr>
        <w:pStyle w:val="69"/>
        <w:ind w:left="0"/>
        <w:jc w:val="left"/>
      </w:pPr>
      <w:r>
        <w:rPr>
          <w:rFonts w:hint="eastAsia"/>
        </w:rPr>
        <w:t>劳保用品应包括手套、光源、防护鞋、安全头盔、反光背心等。</w:t>
      </w:r>
    </w:p>
    <w:p>
      <w:pPr>
        <w:pStyle w:val="69"/>
        <w:ind w:left="0"/>
        <w:jc w:val="left"/>
      </w:pPr>
      <w:r>
        <w:rPr>
          <w:rFonts w:hint="eastAsia"/>
        </w:rPr>
        <w:t>应急物资应包括融雪剂（盐）、草垫、防滑链、警示桶等。</w:t>
      </w:r>
    </w:p>
    <w:p>
      <w:pPr>
        <w:pStyle w:val="67"/>
        <w:spacing w:before="312" w:after="312"/>
      </w:pPr>
      <w:bookmarkStart w:id="42" w:name="_Toc163486590"/>
      <w:bookmarkStart w:id="43" w:name="_Toc19425"/>
      <w:bookmarkStart w:id="44" w:name="_Toc9814"/>
      <w:r>
        <w:rPr>
          <w:rFonts w:hint="eastAsia"/>
        </w:rPr>
        <w:t>日常作业</w:t>
      </w:r>
      <w:bookmarkEnd w:id="42"/>
      <w:bookmarkEnd w:id="43"/>
      <w:bookmarkEnd w:id="44"/>
    </w:p>
    <w:p>
      <w:pPr>
        <w:pStyle w:val="66"/>
        <w:spacing w:before="156" w:after="156"/>
      </w:pPr>
      <w:bookmarkStart w:id="45" w:name="_Toc15960"/>
      <w:bookmarkStart w:id="46" w:name="_Toc17891"/>
      <w:bookmarkStart w:id="47" w:name="_Toc163486591"/>
      <w:r>
        <w:rPr>
          <w:rFonts w:hint="eastAsia"/>
        </w:rPr>
        <w:t>基本要求</w:t>
      </w:r>
      <w:bookmarkEnd w:id="45"/>
      <w:bookmarkEnd w:id="46"/>
      <w:bookmarkEnd w:id="47"/>
    </w:p>
    <w:p>
      <w:pPr>
        <w:pStyle w:val="69"/>
        <w:ind w:left="0"/>
        <w:jc w:val="left"/>
      </w:pPr>
      <w:r>
        <w:rPr>
          <w:rFonts w:hint="eastAsia"/>
        </w:rPr>
        <w:t>出车前，车辆安全警示鸣示设备应完好有效，车身应配备反光标识，同时对车辆灯光、胎压、各液压油位等进行例行检查，确保车况良好。</w:t>
      </w:r>
    </w:p>
    <w:p>
      <w:pPr>
        <w:pStyle w:val="69"/>
        <w:ind w:left="0"/>
        <w:jc w:val="left"/>
      </w:pPr>
      <w:r>
        <w:rPr>
          <w:rFonts w:hint="eastAsia"/>
        </w:rPr>
        <w:t>作业时应关注道路交通状况，遇到交通拥堵路段应暂停作业、快速驶离。白天作业宜安排在9:30～16:00进行，可在20:00～23:00适当开展快速巡回保洁作业；夜间作业宜安排在23:00～次日6:30进行，可在白天非交通高峰时段适当开展快速巡回保洁作业。</w:t>
      </w:r>
    </w:p>
    <w:p>
      <w:pPr>
        <w:pStyle w:val="69"/>
        <w:ind w:left="0"/>
        <w:jc w:val="left"/>
      </w:pPr>
      <w:r>
        <w:rPr>
          <w:rFonts w:hint="eastAsia"/>
        </w:rPr>
        <w:t>作业车辆清水箱水量不足时，应在指定供水设施处加水，加水后及时驶离。</w:t>
      </w:r>
    </w:p>
    <w:p>
      <w:pPr>
        <w:pStyle w:val="69"/>
        <w:ind w:left="0"/>
        <w:jc w:val="left"/>
      </w:pPr>
      <w:r>
        <w:rPr>
          <w:rFonts w:hint="eastAsia"/>
        </w:rPr>
        <w:t>扫路车、洗扫车作业完毕后应在指定场所倾倒垃圾。</w:t>
      </w:r>
    </w:p>
    <w:p>
      <w:pPr>
        <w:pStyle w:val="69"/>
        <w:ind w:left="0"/>
        <w:jc w:val="left"/>
      </w:pPr>
      <w:r>
        <w:rPr>
          <w:rFonts w:hint="eastAsia"/>
        </w:rPr>
        <w:t>作业车辆回场后，应清洗车辆，保持车容整洁，停放在指定位置。</w:t>
      </w:r>
    </w:p>
    <w:p>
      <w:pPr>
        <w:pStyle w:val="69"/>
        <w:ind w:left="0"/>
        <w:jc w:val="left"/>
      </w:pPr>
      <w:r>
        <w:rPr>
          <w:rFonts w:hint="eastAsia"/>
        </w:rPr>
        <w:t>冬季作业完毕后，车辆水路系统应及时排水，防止管路、阀门等部件冻裂。</w:t>
      </w:r>
    </w:p>
    <w:p>
      <w:pPr>
        <w:pStyle w:val="69"/>
        <w:ind w:left="0"/>
        <w:jc w:val="left"/>
      </w:pPr>
      <w:r>
        <w:rPr>
          <w:rFonts w:hint="eastAsia"/>
        </w:rPr>
        <w:t>当气温低于5℃时，应停止对城市快速路的冲洗、洗扫和洒水等带水作业，机扫作业全天候采用非喷水作业方式。</w:t>
      </w:r>
    </w:p>
    <w:p>
      <w:pPr>
        <w:pStyle w:val="69"/>
        <w:ind w:left="0"/>
        <w:jc w:val="left"/>
      </w:pPr>
      <w:r>
        <w:rPr>
          <w:rFonts w:hint="eastAsia"/>
        </w:rPr>
        <w:t>遇到道路突发情况（交通事故、便民服务工单、路面有大件散落障碍物等），应及时上报，宜在作业现场配备防撞车，做好安全防护，必要时联系相关主管部门开展联动处置。</w:t>
      </w:r>
    </w:p>
    <w:p>
      <w:pPr>
        <w:pStyle w:val="66"/>
        <w:spacing w:before="156" w:after="156"/>
      </w:pPr>
      <w:bookmarkStart w:id="48" w:name="_Toc20227"/>
      <w:bookmarkStart w:id="49" w:name="_Toc3970"/>
      <w:bookmarkStart w:id="50" w:name="_Toc163486592"/>
      <w:r>
        <w:rPr>
          <w:rFonts w:hint="eastAsia"/>
        </w:rPr>
        <w:t>冲洗作业</w:t>
      </w:r>
      <w:bookmarkEnd w:id="48"/>
      <w:bookmarkEnd w:id="49"/>
      <w:bookmarkEnd w:id="50"/>
    </w:p>
    <w:p>
      <w:pPr>
        <w:pStyle w:val="69"/>
        <w:ind w:left="0"/>
        <w:jc w:val="left"/>
      </w:pPr>
      <w:r>
        <w:rPr>
          <w:rFonts w:hint="eastAsia"/>
        </w:rPr>
        <w:t>冲洗作业宜在机扫、洗扫作业前进行。</w:t>
      </w:r>
    </w:p>
    <w:p>
      <w:pPr>
        <w:pStyle w:val="69"/>
        <w:ind w:left="0"/>
        <w:jc w:val="left"/>
      </w:pPr>
      <w:r>
        <w:rPr>
          <w:rFonts w:hint="eastAsia"/>
        </w:rPr>
        <w:t>出车前检</w:t>
      </w:r>
      <w:bookmarkStart w:id="77" w:name="_GoBack"/>
      <w:bookmarkEnd w:id="77"/>
      <w:r>
        <w:rPr>
          <w:rFonts w:hint="eastAsia"/>
        </w:rPr>
        <w:t>查车底对冲装置和车头喷水架等作业装置，符合如下要求：</w:t>
      </w:r>
    </w:p>
    <w:p>
      <w:pPr>
        <w:pStyle w:val="78"/>
        <w:numPr>
          <w:ilvl w:val="0"/>
          <w:numId w:val="11"/>
        </w:numPr>
        <w:ind w:left="850" w:hanging="425"/>
      </w:pPr>
      <w:r>
        <w:rPr>
          <w:rFonts w:hint="eastAsia"/>
        </w:rPr>
        <w:t>车底对冲装置喷头角度：喷头出水的水柱与水平面宜成约30°夹角；</w:t>
      </w:r>
    </w:p>
    <w:p>
      <w:pPr>
        <w:pStyle w:val="78"/>
        <w:ind w:left="850" w:hanging="425"/>
      </w:pPr>
      <w:r>
        <w:rPr>
          <w:rFonts w:hint="eastAsia"/>
        </w:rPr>
        <w:t>车头喷水架喷头角度：喷头出水的水流与水平面宜成约45°夹角；</w:t>
      </w:r>
    </w:p>
    <w:p>
      <w:pPr>
        <w:pStyle w:val="78"/>
        <w:ind w:left="850" w:hanging="425"/>
      </w:pPr>
      <w:r>
        <w:rPr>
          <w:rFonts w:hint="eastAsia"/>
        </w:rPr>
        <w:t>各喷头无漏水、堵塞现象。</w:t>
      </w:r>
    </w:p>
    <w:p>
      <w:pPr>
        <w:pStyle w:val="69"/>
        <w:ind w:left="0"/>
        <w:jc w:val="left"/>
      </w:pPr>
      <w:r>
        <w:rPr>
          <w:rFonts w:hint="eastAsia"/>
        </w:rPr>
        <w:t>利用对冲装置作业时，车辆应在中间车道往两侧双向冲洗或在最左侧车道往右侧单边冲洗，实现城市快速路的全路面冲洗。</w:t>
      </w:r>
    </w:p>
    <w:p>
      <w:pPr>
        <w:pStyle w:val="69"/>
        <w:ind w:left="0"/>
        <w:jc w:val="left"/>
      </w:pPr>
      <w:r>
        <w:rPr>
          <w:rFonts w:hint="eastAsia"/>
        </w:rPr>
        <w:t>利用喷水架作业时，车辆应在最左侧或最右侧车道冲洗，实现城市快速路的两侧冲洗。</w:t>
      </w:r>
    </w:p>
    <w:p>
      <w:pPr>
        <w:pStyle w:val="69"/>
        <w:ind w:left="0"/>
        <w:jc w:val="left"/>
      </w:pPr>
      <w:r>
        <w:rPr>
          <w:rFonts w:hint="eastAsia"/>
        </w:rPr>
        <w:t>作业时车速不宜超过25km/h，不应出现漏冲的情况。</w:t>
      </w:r>
    </w:p>
    <w:p>
      <w:pPr>
        <w:pStyle w:val="69"/>
        <w:ind w:left="0"/>
        <w:jc w:val="left"/>
      </w:pPr>
      <w:r>
        <w:rPr>
          <w:rFonts w:hint="eastAsia"/>
        </w:rPr>
        <w:t>作业时喷嘴应出水有力，不应出现断续喷水的现象。</w:t>
      </w:r>
    </w:p>
    <w:p>
      <w:pPr>
        <w:pStyle w:val="69"/>
        <w:ind w:left="0"/>
        <w:jc w:val="left"/>
      </w:pPr>
      <w:r>
        <w:rPr>
          <w:rFonts w:hint="eastAsia"/>
        </w:rPr>
        <w:t>在雨天应结合降雨量和路面洁净程度，适时进行冲洗作业。</w:t>
      </w:r>
    </w:p>
    <w:p>
      <w:pPr>
        <w:pStyle w:val="66"/>
        <w:spacing w:before="156" w:after="156"/>
      </w:pPr>
      <w:bookmarkStart w:id="51" w:name="_Toc16603"/>
      <w:r>
        <w:rPr>
          <w:rFonts w:hint="eastAsia"/>
        </w:rPr>
        <w:t>机扫作业</w:t>
      </w:r>
      <w:bookmarkEnd w:id="51"/>
    </w:p>
    <w:p>
      <w:pPr>
        <w:pStyle w:val="69"/>
        <w:ind w:left="0"/>
        <w:jc w:val="left"/>
      </w:pPr>
      <w:r>
        <w:rPr>
          <w:rFonts w:hint="eastAsia"/>
        </w:rPr>
        <w:t>机扫作业宜在冲洗作业完成15分钟后进行。</w:t>
      </w:r>
    </w:p>
    <w:p>
      <w:pPr>
        <w:pStyle w:val="69"/>
        <w:ind w:left="0"/>
        <w:jc w:val="left"/>
      </w:pPr>
      <w:r>
        <w:rPr>
          <w:rFonts w:hint="eastAsia"/>
        </w:rPr>
        <w:t>出车前检查扫盘、吸嘴等作业装置，符合如下要求：</w:t>
      </w:r>
    </w:p>
    <w:p>
      <w:pPr>
        <w:pStyle w:val="78"/>
        <w:numPr>
          <w:ilvl w:val="0"/>
          <w:numId w:val="12"/>
        </w:numPr>
        <w:ind w:left="425" w:firstLine="0"/>
      </w:pPr>
      <w:r>
        <w:rPr>
          <w:rFonts w:hint="eastAsia"/>
        </w:rPr>
        <w:t>扫盘角度：前扫盘宜前倾4°、外倾3°，后扫盘宜前倾4°、不外倾；</w:t>
      </w:r>
    </w:p>
    <w:p>
      <w:pPr>
        <w:pStyle w:val="78"/>
        <w:numPr>
          <w:ilvl w:val="0"/>
          <w:numId w:val="12"/>
        </w:numPr>
        <w:ind w:left="425" w:firstLine="0"/>
        <w:rPr>
          <w:rFonts w:hint="eastAsia" w:hAnsi="宋体"/>
          <w:sz w:val="22"/>
        </w:rPr>
      </w:pPr>
      <w:r>
        <w:rPr>
          <w:rStyle w:val="23"/>
          <w:rFonts w:hAnsi="宋体" w:cs="Arial"/>
          <w:i w:val="0"/>
          <w:iCs w:val="0"/>
          <w:shd w:val="clear" w:color="auto" w:fill="FFFFFF"/>
        </w:rPr>
        <w:t>扫刷落地高度：一般降至刷毛稍压地面</w:t>
      </w:r>
      <w:r>
        <w:rPr>
          <w:rStyle w:val="23"/>
          <w:rFonts w:hint="eastAsia" w:hAnsi="宋体" w:cs="Arial"/>
          <w:i w:val="0"/>
          <w:iCs w:val="0"/>
          <w:shd w:val="clear" w:color="auto" w:fill="FFFFFF"/>
        </w:rPr>
        <w:t>；</w:t>
      </w:r>
    </w:p>
    <w:p>
      <w:pPr>
        <w:pStyle w:val="78"/>
        <w:numPr>
          <w:ilvl w:val="0"/>
          <w:numId w:val="12"/>
        </w:numPr>
        <w:ind w:left="425" w:firstLine="0"/>
      </w:pPr>
      <w:r>
        <w:rPr>
          <w:rStyle w:val="23"/>
          <w:rFonts w:hAnsi="宋体" w:cs="Arial"/>
          <w:i w:val="0"/>
          <w:iCs w:val="0"/>
          <w:shd w:val="clear" w:color="auto" w:fill="FFFFFF"/>
        </w:rPr>
        <w:t>吸嘴离地高度：调整到无垃圾遗漏</w:t>
      </w:r>
      <w:r>
        <w:rPr>
          <w:rStyle w:val="23"/>
          <w:rFonts w:hint="eastAsia" w:hAnsi="宋体" w:cs="Arial"/>
          <w:i w:val="0"/>
          <w:iCs w:val="0"/>
          <w:shd w:val="clear" w:color="auto" w:fill="FFFFFF"/>
        </w:rPr>
        <w:t>。</w:t>
      </w:r>
    </w:p>
    <w:p>
      <w:pPr>
        <w:pStyle w:val="69"/>
        <w:ind w:left="0"/>
        <w:jc w:val="left"/>
      </w:pPr>
      <w:r>
        <w:rPr>
          <w:rFonts w:hint="eastAsia"/>
        </w:rPr>
        <w:t>作业时车速不宜超过20km/h，根据路面洁净程度，适当提高或者降低车速。</w:t>
      </w:r>
    </w:p>
    <w:p>
      <w:pPr>
        <w:pStyle w:val="69"/>
        <w:ind w:left="0"/>
        <w:jc w:val="left"/>
      </w:pPr>
      <w:r>
        <w:rPr>
          <w:rFonts w:hint="eastAsia"/>
        </w:rPr>
        <w:t>作业时车辆一侧扫刷应贴着快速路隔离墩平行作业，扫刷、吸嘴应落地。</w:t>
      </w:r>
    </w:p>
    <w:p>
      <w:pPr>
        <w:pStyle w:val="69"/>
        <w:ind w:left="0"/>
        <w:jc w:val="left"/>
      </w:pPr>
      <w:r>
        <w:rPr>
          <w:rFonts w:hint="eastAsia"/>
        </w:rPr>
        <w:t>非特殊气候条件下，应带水作业，避免道路扬尘。</w:t>
      </w:r>
    </w:p>
    <w:p>
      <w:pPr>
        <w:pStyle w:val="66"/>
        <w:spacing w:before="156" w:after="156"/>
      </w:pPr>
      <w:bookmarkStart w:id="52" w:name="_Toc20584"/>
      <w:bookmarkStart w:id="53" w:name="_Toc13820"/>
      <w:bookmarkStart w:id="54" w:name="_Toc163486594"/>
      <w:r>
        <w:rPr>
          <w:rFonts w:hint="eastAsia"/>
        </w:rPr>
        <w:t>洗扫作业</w:t>
      </w:r>
      <w:bookmarkEnd w:id="52"/>
      <w:bookmarkEnd w:id="53"/>
      <w:bookmarkEnd w:id="54"/>
    </w:p>
    <w:p>
      <w:pPr>
        <w:pStyle w:val="69"/>
        <w:ind w:left="0"/>
        <w:jc w:val="left"/>
      </w:pPr>
      <w:r>
        <w:rPr>
          <w:rFonts w:hint="eastAsia"/>
        </w:rPr>
        <w:t>洗扫作业宜在冲洗作业或机扫作业完成15分钟后进行。</w:t>
      </w:r>
    </w:p>
    <w:p>
      <w:pPr>
        <w:pStyle w:val="69"/>
        <w:ind w:left="0"/>
        <w:jc w:val="left"/>
      </w:pPr>
      <w:r>
        <w:rPr>
          <w:rFonts w:hint="eastAsia"/>
        </w:rPr>
        <w:t>出车前检查扫盘、吸嘴、喷杆等作业装置，符合如下要求：</w:t>
      </w:r>
    </w:p>
    <w:p>
      <w:pPr>
        <w:pStyle w:val="78"/>
        <w:numPr>
          <w:ilvl w:val="0"/>
          <w:numId w:val="13"/>
        </w:numPr>
      </w:pPr>
      <w:r>
        <w:rPr>
          <w:rFonts w:hint="eastAsia"/>
        </w:rPr>
        <w:t>扫盘角度：前扫盘宜前倾4°、外倾3°；如有后扫盘，则宜前倾4°、不外倾；</w:t>
      </w:r>
    </w:p>
    <w:p>
      <w:pPr>
        <w:pStyle w:val="78"/>
        <w:numPr>
          <w:ilvl w:val="0"/>
          <w:numId w:val="13"/>
        </w:numPr>
      </w:pPr>
      <w:r>
        <w:rPr>
          <w:rFonts w:hint="eastAsia"/>
        </w:rPr>
        <w:t>扫刷落地高度：</w:t>
      </w:r>
      <w:r>
        <w:rPr>
          <w:rStyle w:val="23"/>
          <w:rFonts w:hAnsi="宋体" w:cs="Arial"/>
          <w:i w:val="0"/>
          <w:iCs w:val="0"/>
          <w:shd w:val="clear" w:color="auto" w:fill="FFFFFF"/>
        </w:rPr>
        <w:t>一般降至刷毛稍压地面</w:t>
      </w:r>
      <w:r>
        <w:rPr>
          <w:rFonts w:hint="eastAsia"/>
        </w:rPr>
        <w:t>；</w:t>
      </w:r>
    </w:p>
    <w:p>
      <w:pPr>
        <w:pStyle w:val="78"/>
        <w:numPr>
          <w:ilvl w:val="0"/>
          <w:numId w:val="13"/>
        </w:numPr>
      </w:pPr>
      <w:r>
        <w:rPr>
          <w:rFonts w:hint="eastAsia"/>
        </w:rPr>
        <w:t>吸嘴离地高度：</w:t>
      </w:r>
      <w:r>
        <w:rPr>
          <w:rStyle w:val="23"/>
          <w:rFonts w:hAnsi="宋体" w:cs="Arial"/>
          <w:i w:val="0"/>
          <w:iCs w:val="0"/>
          <w:shd w:val="clear" w:color="auto" w:fill="FFFFFF"/>
        </w:rPr>
        <w:t>调整到无垃圾遗漏</w:t>
      </w:r>
      <w:r>
        <w:rPr>
          <w:rFonts w:hint="eastAsia"/>
        </w:rPr>
        <w:t>；</w:t>
      </w:r>
    </w:p>
    <w:p>
      <w:pPr>
        <w:pStyle w:val="78"/>
        <w:numPr>
          <w:ilvl w:val="0"/>
          <w:numId w:val="13"/>
        </w:numPr>
      </w:pPr>
      <w:r>
        <w:rPr>
          <w:rFonts w:hint="eastAsia"/>
        </w:rPr>
        <w:t>喷杆：能正常伸出、收回。</w:t>
      </w:r>
    </w:p>
    <w:p>
      <w:pPr>
        <w:pStyle w:val="69"/>
        <w:ind w:left="0"/>
        <w:jc w:val="left"/>
      </w:pPr>
      <w:r>
        <w:rPr>
          <w:rFonts w:hint="eastAsia"/>
        </w:rPr>
        <w:t>作业时车速不宜超过15km/h，根据路面洁净程度，适当提高或者降低车速。</w:t>
      </w:r>
    </w:p>
    <w:p>
      <w:pPr>
        <w:pStyle w:val="69"/>
        <w:ind w:left="0"/>
        <w:jc w:val="left"/>
      </w:pPr>
      <w:r>
        <w:rPr>
          <w:rFonts w:hint="eastAsia"/>
        </w:rPr>
        <w:t>作业时车辆一侧扫刷应贴着快速路隔离墩平行作业，扫刷、吸嘴应落地，左右喷杆应伸出。</w:t>
      </w:r>
    </w:p>
    <w:p>
      <w:pPr>
        <w:pStyle w:val="69"/>
        <w:ind w:left="0"/>
        <w:jc w:val="left"/>
      </w:pPr>
      <w:r>
        <w:rPr>
          <w:rFonts w:hint="eastAsia"/>
        </w:rPr>
        <w:t>作业时出现左右喷杆高压喷嘴堵塞、吸嘴漏吸等现象，应及时停止作业。</w:t>
      </w:r>
    </w:p>
    <w:p>
      <w:pPr>
        <w:pStyle w:val="69"/>
        <w:ind w:left="0"/>
        <w:jc w:val="left"/>
      </w:pPr>
      <w:r>
        <w:rPr>
          <w:rFonts w:hint="eastAsia"/>
        </w:rPr>
        <w:t>作业时车辆垃圾箱收集到的废水达到最高限位，应立即将车辆行驶至指定场所排放废水。</w:t>
      </w:r>
    </w:p>
    <w:p>
      <w:pPr>
        <w:pStyle w:val="66"/>
        <w:spacing w:before="156" w:after="156"/>
        <w:jc w:val="left"/>
      </w:pPr>
      <w:bookmarkStart w:id="55" w:name="_Toc5136"/>
      <w:bookmarkStart w:id="56" w:name="_Toc29447"/>
      <w:bookmarkStart w:id="57" w:name="_Toc163486595"/>
      <w:r>
        <w:rPr>
          <w:rFonts w:hint="eastAsia"/>
        </w:rPr>
        <w:t>洒水作业</w:t>
      </w:r>
      <w:bookmarkEnd w:id="55"/>
      <w:bookmarkEnd w:id="56"/>
      <w:bookmarkEnd w:id="57"/>
    </w:p>
    <w:p>
      <w:pPr>
        <w:pStyle w:val="69"/>
        <w:ind w:left="0"/>
        <w:jc w:val="left"/>
      </w:pPr>
      <w:r>
        <w:rPr>
          <w:rFonts w:hint="eastAsia"/>
        </w:rPr>
        <w:t>洒水作业应在白天进行，不宜在夜间进行。</w:t>
      </w:r>
    </w:p>
    <w:p>
      <w:pPr>
        <w:pStyle w:val="69"/>
        <w:ind w:left="0"/>
        <w:jc w:val="left"/>
      </w:pPr>
      <w:r>
        <w:rPr>
          <w:rFonts w:hint="eastAsia"/>
        </w:rPr>
        <w:t>出车前检查鸭嘴洒水架和直管状洒水架等作业装置，符合如下要求：</w:t>
      </w:r>
    </w:p>
    <w:p>
      <w:pPr>
        <w:pStyle w:val="78"/>
        <w:numPr>
          <w:ilvl w:val="0"/>
          <w:numId w:val="14"/>
        </w:numPr>
      </w:pPr>
      <w:r>
        <w:rPr>
          <w:rFonts w:hint="eastAsia"/>
        </w:rPr>
        <w:t>鸭嘴洒水架喷头角度：喷头出水的扇形水面与水平面宜成约30°夹角；</w:t>
      </w:r>
    </w:p>
    <w:p>
      <w:pPr>
        <w:pStyle w:val="78"/>
        <w:numPr>
          <w:ilvl w:val="0"/>
          <w:numId w:val="14"/>
        </w:numPr>
      </w:pPr>
      <w:r>
        <w:rPr>
          <w:rFonts w:hint="eastAsia"/>
        </w:rPr>
        <w:t>直管状洒水架喷头角度：喷头出水的水流与水平面宜成约15°夹角；</w:t>
      </w:r>
    </w:p>
    <w:p>
      <w:pPr>
        <w:pStyle w:val="78"/>
        <w:numPr>
          <w:ilvl w:val="0"/>
          <w:numId w:val="14"/>
        </w:numPr>
      </w:pPr>
      <w:r>
        <w:rPr>
          <w:rFonts w:hint="eastAsia"/>
        </w:rPr>
        <w:t>各喷头无漏水、堵塞现象。</w:t>
      </w:r>
    </w:p>
    <w:p>
      <w:pPr>
        <w:pStyle w:val="69"/>
        <w:ind w:left="0"/>
        <w:jc w:val="left"/>
      </w:pPr>
      <w:r>
        <w:rPr>
          <w:rFonts w:hint="eastAsia"/>
        </w:rPr>
        <w:t>作业时车辆应在中间车道，车速不宜超过35km/h。</w:t>
      </w:r>
    </w:p>
    <w:p>
      <w:pPr>
        <w:pStyle w:val="69"/>
        <w:ind w:left="0"/>
        <w:jc w:val="left"/>
      </w:pPr>
      <w:r>
        <w:rPr>
          <w:rFonts w:hint="eastAsia"/>
        </w:rPr>
        <w:t>洒水作业应覆盖所有车道，作业时喷嘴出水有力，不得出现断续喷水的现象，作业后路面无干燥路段。</w:t>
      </w:r>
    </w:p>
    <w:p>
      <w:pPr>
        <w:pStyle w:val="69"/>
        <w:ind w:left="0"/>
        <w:jc w:val="left"/>
      </w:pPr>
      <w:r>
        <w:rPr>
          <w:rFonts w:hint="eastAsia"/>
        </w:rPr>
        <w:t>当气温在（5～25）℃时，作业时采用车尾直管状洒水架进行洒水作业，抑制道路扬尘。</w:t>
      </w:r>
    </w:p>
    <w:p>
      <w:pPr>
        <w:pStyle w:val="69"/>
        <w:ind w:left="0"/>
        <w:jc w:val="left"/>
      </w:pPr>
      <w:r>
        <w:rPr>
          <w:rFonts w:hint="eastAsia"/>
        </w:rPr>
        <w:t>当气温高于25℃时，作业时可同时采用底盘鸭嘴洒水架和车尾直管状洒水架进行洒水作业，保证全路面的降温和湿润。</w:t>
      </w:r>
    </w:p>
    <w:p>
      <w:pPr>
        <w:pStyle w:val="66"/>
        <w:spacing w:before="156" w:after="156"/>
        <w:jc w:val="left"/>
      </w:pPr>
      <w:bookmarkStart w:id="58" w:name="_Toc163486596"/>
      <w:bookmarkStart w:id="59" w:name="_Toc10529"/>
      <w:bookmarkStart w:id="60" w:name="_Toc9000"/>
      <w:r>
        <w:rPr>
          <w:rFonts w:hint="eastAsia"/>
        </w:rPr>
        <w:t>“多车联动”盲区作业</w:t>
      </w:r>
      <w:bookmarkEnd w:id="58"/>
      <w:bookmarkEnd w:id="59"/>
      <w:bookmarkEnd w:id="60"/>
    </w:p>
    <w:p>
      <w:pPr>
        <w:pStyle w:val="69"/>
        <w:ind w:left="0"/>
        <w:jc w:val="left"/>
      </w:pPr>
      <w:r>
        <w:rPr>
          <w:rFonts w:hint="eastAsia"/>
        </w:rPr>
        <w:t>通过清洗车和洗扫车相互配合，按照“内冲外扫”的作业模式，应定期对机械化作业盲区开展“多车联动”盲区作业。</w:t>
      </w:r>
    </w:p>
    <w:p>
      <w:pPr>
        <w:pStyle w:val="69"/>
        <w:ind w:left="0"/>
        <w:jc w:val="left"/>
      </w:pPr>
      <w:r>
        <w:rPr>
          <w:rFonts w:hint="eastAsia"/>
        </w:rPr>
        <w:t>清洗车冲洗作业时，应根据盲区范围和积存垃圾、泥沙位置，控制好前置喷枪出水压力和角度，对作业盲区实现精准冲洗。</w:t>
      </w:r>
    </w:p>
    <w:p>
      <w:pPr>
        <w:pStyle w:val="69"/>
        <w:ind w:left="0"/>
        <w:jc w:val="left"/>
      </w:pPr>
      <w:r>
        <w:rPr>
          <w:rFonts w:hint="eastAsia"/>
        </w:rPr>
        <w:t>洗扫车洗扫作业时，应紧跟清洗车，及时将作业盲区内冲洗出的垃圾、泥沙等清理干净。</w:t>
      </w:r>
    </w:p>
    <w:p>
      <w:pPr>
        <w:pStyle w:val="67"/>
        <w:spacing w:before="312" w:after="312"/>
      </w:pPr>
      <w:bookmarkStart w:id="61" w:name="_Toc25845"/>
      <w:bookmarkStart w:id="62" w:name="_Toc19770"/>
      <w:bookmarkStart w:id="63" w:name="_Toc163486597"/>
      <w:r>
        <w:rPr>
          <w:rFonts w:hint="eastAsia"/>
        </w:rPr>
        <w:t>质量要求</w:t>
      </w:r>
      <w:bookmarkEnd w:id="61"/>
      <w:bookmarkEnd w:id="62"/>
      <w:bookmarkEnd w:id="63"/>
    </w:p>
    <w:p>
      <w:pPr>
        <w:pStyle w:val="66"/>
        <w:spacing w:before="156" w:after="156"/>
        <w:jc w:val="left"/>
      </w:pPr>
      <w:bookmarkStart w:id="64" w:name="_Toc163486598"/>
      <w:bookmarkStart w:id="65" w:name="_Toc22609"/>
      <w:bookmarkStart w:id="66" w:name="_Toc26002"/>
      <w:r>
        <w:rPr>
          <w:rFonts w:hint="eastAsia"/>
        </w:rPr>
        <w:t>作业覆盖率和</w:t>
      </w:r>
      <w:r>
        <w:t>频次</w:t>
      </w:r>
      <w:bookmarkEnd w:id="64"/>
      <w:bookmarkEnd w:id="65"/>
      <w:bookmarkEnd w:id="66"/>
    </w:p>
    <w:p>
      <w:pPr>
        <w:pStyle w:val="69"/>
        <w:ind w:left="0"/>
        <w:jc w:val="left"/>
      </w:pPr>
      <w:r>
        <w:rPr>
          <w:rFonts w:hint="eastAsia"/>
        </w:rPr>
        <w:t>城市快速路环卫机械化作业覆盖率应达到100%。</w:t>
      </w:r>
    </w:p>
    <w:p>
      <w:pPr>
        <w:pStyle w:val="69"/>
        <w:ind w:left="0"/>
        <w:jc w:val="left"/>
      </w:pPr>
      <w:r>
        <w:rPr>
          <w:rFonts w:hint="eastAsia"/>
        </w:rPr>
        <w:t>城市快速路环卫机械化作业频次宜参考表3执行。</w:t>
      </w:r>
    </w:p>
    <w:p>
      <w:pPr>
        <w:pStyle w:val="61"/>
        <w:numPr>
          <w:ilvl w:val="0"/>
          <w:numId w:val="0"/>
        </w:numPr>
      </w:pPr>
      <w:r>
        <w:rPr>
          <w:rFonts w:hint="eastAsia"/>
        </w:rPr>
        <w:t>表3  城市快速路环卫机械化作业频次</w:t>
      </w:r>
    </w:p>
    <w:tbl>
      <w:tblPr>
        <w:tblStyle w:val="21"/>
        <w:tblW w:w="9637" w:type="dxa"/>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984"/>
        <w:gridCol w:w="1984"/>
        <w:gridCol w:w="1984"/>
        <w:gridCol w:w="1984"/>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701" w:type="dxa"/>
            <w:vAlign w:val="center"/>
          </w:tcPr>
          <w:p>
            <w:pPr>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道路类型</w:t>
            </w:r>
          </w:p>
        </w:tc>
        <w:tc>
          <w:tcPr>
            <w:tcW w:w="1984" w:type="dxa"/>
            <w:vAlign w:val="center"/>
          </w:tcPr>
          <w:p>
            <w:pPr>
              <w:widowControl/>
              <w:ind w:firstLine="2"/>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冲洗作业</w:t>
            </w:r>
            <w:r>
              <w:rPr>
                <w:rFonts w:hint="eastAsia" w:ascii="宋体" w:hAnsi="宋体" w:eastAsia="宋体" w:cs="宋体"/>
                <w:b/>
                <w:bCs/>
                <w:sz w:val="18"/>
                <w:szCs w:val="18"/>
              </w:rPr>
              <w:t>（次/日）</w:t>
            </w:r>
          </w:p>
        </w:tc>
        <w:tc>
          <w:tcPr>
            <w:tcW w:w="1984" w:type="dxa"/>
            <w:vAlign w:val="center"/>
          </w:tcPr>
          <w:p>
            <w:pPr>
              <w:widowControl/>
              <w:ind w:firstLine="2"/>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机扫/洗扫作业</w:t>
            </w:r>
          </w:p>
          <w:p>
            <w:pPr>
              <w:widowControl/>
              <w:ind w:firstLine="2"/>
              <w:jc w:val="center"/>
              <w:rPr>
                <w:rFonts w:hint="eastAsia" w:ascii="宋体" w:hAnsi="宋体" w:eastAsia="宋体" w:cs="宋体"/>
                <w:b/>
                <w:bCs/>
                <w:color w:val="000000"/>
                <w:kern w:val="0"/>
                <w:sz w:val="18"/>
                <w:szCs w:val="18"/>
              </w:rPr>
            </w:pPr>
            <w:r>
              <w:rPr>
                <w:rFonts w:hint="eastAsia" w:ascii="宋体" w:hAnsi="宋体" w:eastAsia="宋体" w:cs="宋体"/>
                <w:b/>
                <w:bCs/>
                <w:sz w:val="18"/>
                <w:szCs w:val="18"/>
              </w:rPr>
              <w:t>（次/日）</w:t>
            </w:r>
          </w:p>
        </w:tc>
        <w:tc>
          <w:tcPr>
            <w:tcW w:w="1984" w:type="dxa"/>
            <w:vAlign w:val="center"/>
          </w:tcPr>
          <w:p>
            <w:pPr>
              <w:widowControl/>
              <w:ind w:firstLine="2"/>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洒水作业</w:t>
            </w:r>
            <w:r>
              <w:rPr>
                <w:rFonts w:hint="eastAsia" w:ascii="宋体" w:hAnsi="宋体" w:eastAsia="宋体" w:cs="宋体"/>
                <w:b/>
                <w:bCs/>
                <w:sz w:val="18"/>
                <w:szCs w:val="18"/>
              </w:rPr>
              <w:t>（次/日）</w:t>
            </w:r>
          </w:p>
        </w:tc>
        <w:tc>
          <w:tcPr>
            <w:tcW w:w="1984" w:type="dxa"/>
            <w:vAlign w:val="center"/>
          </w:tcPr>
          <w:p>
            <w:pPr>
              <w:widowControl/>
              <w:ind w:firstLine="2"/>
              <w:jc w:val="center"/>
              <w:rPr>
                <w:rFonts w:hint="eastAsia" w:ascii="宋体" w:hAnsi="宋体" w:eastAsia="宋体" w:cs="宋体"/>
                <w:b/>
                <w:bCs/>
                <w:color w:val="000000"/>
                <w:kern w:val="0"/>
                <w:sz w:val="18"/>
                <w:szCs w:val="18"/>
              </w:rPr>
            </w:pPr>
            <w:r>
              <w:rPr>
                <w:rFonts w:hint="eastAsia" w:ascii="宋体" w:hAnsi="宋体" w:eastAsia="宋体" w:cs="宋体"/>
                <w:b/>
                <w:bCs/>
                <w:sz w:val="18"/>
                <w:szCs w:val="18"/>
              </w:rPr>
              <w:t>“多车联动”盲区作业</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1701" w:type="dxa"/>
            <w:vAlign w:val="center"/>
          </w:tcPr>
          <w:p>
            <w:pPr>
              <w:jc w:val="center"/>
              <w:rPr>
                <w:rFonts w:hint="eastAsia" w:ascii="宋体" w:hAnsi="宋体" w:eastAsia="宋体" w:cs="宋体"/>
                <w:color w:val="000000"/>
                <w:sz w:val="18"/>
                <w:szCs w:val="18"/>
              </w:rPr>
            </w:pPr>
            <w:r>
              <w:rPr>
                <w:rFonts w:hint="eastAsia" w:ascii="宋体" w:hAnsi="宋体" w:eastAsia="宋体" w:cs="宋体"/>
                <w:color w:val="000000"/>
                <w:sz w:val="18"/>
                <w:szCs w:val="18"/>
              </w:rPr>
              <w:t>城市快速路</w:t>
            </w:r>
          </w:p>
        </w:tc>
        <w:tc>
          <w:tcPr>
            <w:tcW w:w="1984" w:type="dxa"/>
            <w:vAlign w:val="center"/>
          </w:tcPr>
          <w:p>
            <w:pPr>
              <w:widowControl/>
              <w:ind w:firstLine="2"/>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≥1</w:t>
            </w:r>
          </w:p>
        </w:tc>
        <w:tc>
          <w:tcPr>
            <w:tcW w:w="1984" w:type="dxa"/>
            <w:vAlign w:val="center"/>
          </w:tcPr>
          <w:p>
            <w:pPr>
              <w:widowControl/>
              <w:ind w:firstLine="2"/>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≥1</w:t>
            </w:r>
          </w:p>
        </w:tc>
        <w:tc>
          <w:tcPr>
            <w:tcW w:w="1984" w:type="dxa"/>
            <w:vAlign w:val="center"/>
          </w:tcPr>
          <w:p>
            <w:pPr>
              <w:widowControl/>
              <w:ind w:firstLine="2"/>
              <w:jc w:val="center"/>
              <w:rPr>
                <w:rFonts w:hint="eastAsia" w:ascii="宋体" w:hAnsi="宋体" w:eastAsia="宋体" w:cs="宋体"/>
                <w:b/>
                <w:bCs/>
                <w:color w:val="000000"/>
                <w:kern w:val="0"/>
                <w:sz w:val="18"/>
                <w:szCs w:val="18"/>
              </w:rPr>
            </w:pPr>
            <w:r>
              <w:rPr>
                <w:rFonts w:hint="eastAsia" w:ascii="宋体" w:hAnsi="宋体" w:eastAsia="宋体" w:cs="宋体"/>
                <w:color w:val="000000"/>
                <w:kern w:val="0"/>
                <w:sz w:val="18"/>
                <w:szCs w:val="18"/>
              </w:rPr>
              <w:t>≥1；在重污染天气和高温天气（≥35℃），应加强白天洒水作业，频次不少于2次/日</w:t>
            </w:r>
          </w:p>
        </w:tc>
        <w:tc>
          <w:tcPr>
            <w:tcW w:w="1984" w:type="dxa"/>
            <w:vAlign w:val="center"/>
          </w:tcPr>
          <w:p>
            <w:pPr>
              <w:widowControl/>
              <w:ind w:firstLine="2"/>
              <w:jc w:val="center"/>
              <w:rPr>
                <w:rFonts w:hint="eastAsia" w:ascii="宋体" w:hAnsi="宋体" w:eastAsia="宋体" w:cs="宋体"/>
                <w:b/>
                <w:bCs/>
                <w:sz w:val="18"/>
                <w:szCs w:val="18"/>
              </w:rPr>
            </w:pPr>
            <w:r>
              <w:rPr>
                <w:rFonts w:hint="eastAsia" w:ascii="宋体" w:hAnsi="宋体" w:eastAsia="宋体" w:cs="宋体"/>
                <w:color w:val="000000"/>
                <w:kern w:val="0"/>
                <w:sz w:val="18"/>
                <w:szCs w:val="18"/>
              </w:rPr>
              <w:t>每半月不少于1次</w:t>
            </w:r>
          </w:p>
        </w:tc>
      </w:tr>
    </w:tbl>
    <w:p>
      <w:pPr>
        <w:pStyle w:val="66"/>
        <w:spacing w:before="156" w:after="156"/>
        <w:jc w:val="left"/>
      </w:pPr>
      <w:bookmarkStart w:id="67" w:name="_Toc163486599"/>
      <w:bookmarkStart w:id="68" w:name="_Toc12567"/>
      <w:bookmarkStart w:id="69" w:name="_Toc6111"/>
      <w:r>
        <w:rPr>
          <w:rFonts w:hint="eastAsia"/>
        </w:rPr>
        <w:t>路面</w:t>
      </w:r>
      <w:bookmarkEnd w:id="67"/>
      <w:r>
        <w:rPr>
          <w:rFonts w:hint="eastAsia"/>
        </w:rPr>
        <w:t>洁净程度</w:t>
      </w:r>
      <w:bookmarkEnd w:id="68"/>
      <w:bookmarkEnd w:id="69"/>
    </w:p>
    <w:p>
      <w:pPr>
        <w:pStyle w:val="69"/>
        <w:ind w:left="0"/>
        <w:jc w:val="left"/>
      </w:pPr>
      <w:r>
        <w:rPr>
          <w:rFonts w:hint="eastAsia"/>
        </w:rPr>
        <w:t>路面整体感观应清洁，不应有积存垃圾、泥沙和积水等，标线清晰。</w:t>
      </w:r>
    </w:p>
    <w:p>
      <w:pPr>
        <w:pStyle w:val="69"/>
        <w:ind w:left="0"/>
        <w:jc w:val="left"/>
      </w:pPr>
      <w:r>
        <w:rPr>
          <w:rFonts w:hint="eastAsia"/>
        </w:rPr>
        <w:t>作业完成后路面洁净程度评价指标见表4。</w:t>
      </w:r>
    </w:p>
    <w:p>
      <w:pPr>
        <w:pStyle w:val="61"/>
        <w:numPr>
          <w:ilvl w:val="0"/>
          <w:numId w:val="0"/>
        </w:numPr>
      </w:pPr>
      <w:r>
        <w:rPr>
          <w:rFonts w:hint="eastAsia"/>
        </w:rPr>
        <w:t>表4  作业完成后路面洁净程度评价指标</w:t>
      </w:r>
    </w:p>
    <w:tbl>
      <w:tblPr>
        <w:tblStyle w:val="21"/>
        <w:tblW w:w="9750" w:type="dxa"/>
        <w:jc w:val="center"/>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1984"/>
        <w:gridCol w:w="1984"/>
        <w:gridCol w:w="1984"/>
        <w:gridCol w:w="1814"/>
      </w:tblGrid>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1984" w:type="dxa"/>
            <w:vAlign w:val="center"/>
          </w:tcPr>
          <w:p>
            <w:pPr>
              <w:jc w:val="center"/>
              <w:rPr>
                <w:rFonts w:hint="eastAsia" w:ascii="宋体" w:hAnsi="宋体" w:eastAsia="宋体" w:cs="宋体"/>
                <w:b/>
                <w:bCs/>
                <w:color w:val="000000"/>
                <w:sz w:val="18"/>
                <w:szCs w:val="18"/>
              </w:rPr>
            </w:pPr>
            <w:r>
              <w:rPr>
                <w:rFonts w:hint="eastAsia" w:ascii="宋体" w:hAnsi="宋体" w:eastAsia="宋体" w:cs="宋体"/>
                <w:b/>
                <w:bCs/>
                <w:sz w:val="18"/>
                <w:szCs w:val="18"/>
              </w:rPr>
              <w:t>作业完成后路面洁净程度评价</w:t>
            </w:r>
            <w:r>
              <w:rPr>
                <w:rFonts w:hint="eastAsia" w:ascii="宋体" w:hAnsi="宋体" w:eastAsia="宋体" w:cs="宋体"/>
                <w:b/>
                <w:bCs/>
                <w:color w:val="000000"/>
                <w:sz w:val="18"/>
                <w:szCs w:val="18"/>
              </w:rPr>
              <w:t>道路类型</w:t>
            </w:r>
          </w:p>
        </w:tc>
        <w:tc>
          <w:tcPr>
            <w:tcW w:w="1984" w:type="dxa"/>
            <w:vAlign w:val="center"/>
          </w:tcPr>
          <w:p>
            <w:pPr>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点状垃圾</w:t>
            </w:r>
          </w:p>
          <w:p>
            <w:pPr>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（个/百米）</w:t>
            </w:r>
          </w:p>
        </w:tc>
        <w:tc>
          <w:tcPr>
            <w:tcW w:w="1984" w:type="dxa"/>
            <w:vAlign w:val="center"/>
          </w:tcPr>
          <w:p>
            <w:pPr>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黄斑、积泥（沙）</w:t>
            </w:r>
          </w:p>
          <w:p>
            <w:pPr>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等污迹</w:t>
            </w:r>
          </w:p>
        </w:tc>
        <w:tc>
          <w:tcPr>
            <w:tcW w:w="1984" w:type="dxa"/>
            <w:vAlign w:val="center"/>
          </w:tcPr>
          <w:p>
            <w:pPr>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大片积水</w:t>
            </w:r>
          </w:p>
        </w:tc>
        <w:tc>
          <w:tcPr>
            <w:tcW w:w="1814" w:type="dxa"/>
            <w:vAlign w:val="center"/>
          </w:tcPr>
          <w:p>
            <w:pPr>
              <w:jc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窨井周边</w:t>
            </w:r>
          </w:p>
        </w:tc>
      </w:tr>
      <w:tr>
        <w:tblPrEx>
          <w:tblBorders>
            <w:top w:val="single" w:color="000000" w:sz="12" w:space="0"/>
            <w:left w:val="single" w:color="000000" w:sz="12" w:space="0"/>
            <w:bottom w:val="single" w:color="000000" w:sz="12" w:space="0"/>
            <w:right w:val="single" w:color="000000"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984" w:type="dxa"/>
            <w:vAlign w:val="center"/>
          </w:tcPr>
          <w:p>
            <w:pPr>
              <w:jc w:val="center"/>
              <w:rPr>
                <w:rFonts w:hint="eastAsia" w:ascii="宋体" w:hAnsi="宋体" w:eastAsia="宋体" w:cs="宋体"/>
                <w:color w:val="000000"/>
                <w:sz w:val="18"/>
                <w:szCs w:val="18"/>
              </w:rPr>
            </w:pPr>
            <w:r>
              <w:rPr>
                <w:rFonts w:hint="eastAsia" w:ascii="宋体" w:hAnsi="宋体" w:eastAsia="宋体" w:cs="宋体"/>
                <w:color w:val="000000"/>
                <w:sz w:val="18"/>
                <w:szCs w:val="18"/>
              </w:rPr>
              <w:t>城市快速路</w:t>
            </w:r>
          </w:p>
        </w:tc>
        <w:tc>
          <w:tcPr>
            <w:tcW w:w="1984" w:type="dxa"/>
            <w:vAlign w:val="center"/>
          </w:tcPr>
          <w:p>
            <w:pPr>
              <w:jc w:val="center"/>
              <w:rPr>
                <w:rFonts w:hint="eastAsia" w:ascii="宋体" w:hAnsi="宋体" w:eastAsia="宋体" w:cs="宋体"/>
                <w:color w:val="000000"/>
                <w:sz w:val="18"/>
                <w:szCs w:val="18"/>
              </w:rPr>
            </w:pPr>
            <w:r>
              <w:rPr>
                <w:rFonts w:hint="eastAsia" w:ascii="宋体" w:hAnsi="宋体" w:eastAsia="宋体" w:cs="宋体"/>
                <w:color w:val="000000"/>
                <w:sz w:val="18"/>
                <w:szCs w:val="18"/>
              </w:rPr>
              <w:t>≤5</w:t>
            </w:r>
          </w:p>
        </w:tc>
        <w:tc>
          <w:tcPr>
            <w:tcW w:w="1984" w:type="dxa"/>
            <w:vAlign w:val="center"/>
          </w:tcPr>
          <w:p>
            <w:pPr>
              <w:jc w:val="center"/>
              <w:rPr>
                <w:rFonts w:hint="eastAsia" w:ascii="宋体" w:hAnsi="宋体" w:eastAsia="宋体" w:cs="宋体"/>
                <w:color w:val="000000"/>
                <w:sz w:val="18"/>
                <w:szCs w:val="18"/>
              </w:rPr>
            </w:pPr>
            <w:r>
              <w:rPr>
                <w:rFonts w:hint="eastAsia" w:ascii="宋体" w:hAnsi="宋体" w:eastAsia="宋体" w:cs="宋体"/>
                <w:color w:val="000000"/>
                <w:sz w:val="18"/>
                <w:szCs w:val="18"/>
              </w:rPr>
              <w:t>无</w:t>
            </w:r>
          </w:p>
        </w:tc>
        <w:tc>
          <w:tcPr>
            <w:tcW w:w="1984" w:type="dxa"/>
            <w:vAlign w:val="center"/>
          </w:tcPr>
          <w:p>
            <w:pPr>
              <w:jc w:val="center"/>
              <w:rPr>
                <w:rFonts w:hint="eastAsia" w:ascii="宋体" w:hAnsi="宋体" w:eastAsia="宋体" w:cs="宋体"/>
                <w:color w:val="000000"/>
                <w:sz w:val="18"/>
                <w:szCs w:val="18"/>
              </w:rPr>
            </w:pPr>
            <w:r>
              <w:rPr>
                <w:rFonts w:hint="eastAsia" w:ascii="宋体" w:hAnsi="宋体" w:eastAsia="宋体" w:cs="宋体"/>
                <w:color w:val="000000"/>
                <w:sz w:val="18"/>
                <w:szCs w:val="18"/>
              </w:rPr>
              <w:t>无</w:t>
            </w:r>
          </w:p>
        </w:tc>
        <w:tc>
          <w:tcPr>
            <w:tcW w:w="1814" w:type="dxa"/>
            <w:vAlign w:val="center"/>
          </w:tcPr>
          <w:p>
            <w:pPr>
              <w:jc w:val="center"/>
              <w:rPr>
                <w:rFonts w:hint="eastAsia" w:ascii="宋体" w:hAnsi="宋体" w:eastAsia="宋体" w:cs="宋体"/>
                <w:color w:val="000000"/>
                <w:sz w:val="18"/>
                <w:szCs w:val="18"/>
              </w:rPr>
            </w:pPr>
            <w:r>
              <w:rPr>
                <w:rFonts w:hint="eastAsia" w:ascii="宋体" w:hAnsi="宋体" w:eastAsia="宋体" w:cs="宋体"/>
                <w:color w:val="000000"/>
                <w:sz w:val="18"/>
                <w:szCs w:val="18"/>
              </w:rPr>
              <w:t>干净</w:t>
            </w:r>
          </w:p>
        </w:tc>
      </w:tr>
    </w:tbl>
    <w:p>
      <w:pPr>
        <w:pStyle w:val="69"/>
        <w:ind w:left="0"/>
        <w:jc w:val="left"/>
      </w:pPr>
      <w:r>
        <w:rPr>
          <w:rFonts w:hint="eastAsia"/>
        </w:rPr>
        <w:t>冲洗作业后路面无污物，路牙无浮土。</w:t>
      </w:r>
    </w:p>
    <w:p>
      <w:pPr>
        <w:pStyle w:val="69"/>
        <w:ind w:left="0"/>
        <w:jc w:val="left"/>
      </w:pPr>
      <w:r>
        <w:rPr>
          <w:rFonts w:hint="eastAsia"/>
        </w:rPr>
        <w:t>机扫作业时不扬尘、不漏污，作业后路牙无点状垃圾，路面洁净。</w:t>
      </w:r>
    </w:p>
    <w:p>
      <w:pPr>
        <w:pStyle w:val="69"/>
        <w:ind w:left="0"/>
        <w:jc w:val="left"/>
      </w:pPr>
      <w:r>
        <w:rPr>
          <w:rFonts w:hint="eastAsia"/>
        </w:rPr>
        <w:t>洗扫作业后路面无点状垃圾、泥沙和积水。</w:t>
      </w:r>
    </w:p>
    <w:p>
      <w:pPr>
        <w:pStyle w:val="69"/>
        <w:ind w:left="0"/>
        <w:jc w:val="left"/>
      </w:pPr>
      <w:r>
        <w:rPr>
          <w:rFonts w:hint="eastAsia"/>
        </w:rPr>
        <w:t>洒水作业后路面湿润，无漏洒或积水现象。</w:t>
      </w:r>
    </w:p>
    <w:p>
      <w:pPr>
        <w:pStyle w:val="67"/>
        <w:spacing w:before="312" w:after="312"/>
        <w:rPr>
          <w:rFonts w:hint="eastAsia" w:hAnsi="黑体"/>
        </w:rPr>
      </w:pPr>
      <w:bookmarkStart w:id="70" w:name="_Toc13116"/>
      <w:r>
        <w:rPr>
          <w:rFonts w:hint="eastAsia" w:hAnsi="黑体"/>
        </w:rPr>
        <w:t>应急作业</w:t>
      </w:r>
      <w:bookmarkEnd w:id="70"/>
    </w:p>
    <w:p>
      <w:pPr>
        <w:pStyle w:val="66"/>
        <w:spacing w:before="156" w:after="156"/>
        <w:jc w:val="left"/>
        <w:rPr>
          <w:rFonts w:hint="eastAsia" w:hAnsi="黑体"/>
        </w:rPr>
      </w:pPr>
      <w:bookmarkStart w:id="71" w:name="_Toc7751"/>
      <w:bookmarkStart w:id="72" w:name="_Toc163486603"/>
      <w:r>
        <w:rPr>
          <w:rFonts w:hint="eastAsia" w:hAnsi="黑体"/>
        </w:rPr>
        <w:t>低温雨雪、道路结冰天气</w:t>
      </w:r>
      <w:bookmarkEnd w:id="71"/>
    </w:p>
    <w:p>
      <w:pPr>
        <w:pStyle w:val="69"/>
        <w:ind w:left="0"/>
        <w:rPr>
          <w:szCs w:val="21"/>
        </w:rPr>
      </w:pPr>
      <w:r>
        <w:rPr>
          <w:rFonts w:hint="eastAsia"/>
          <w:szCs w:val="21"/>
        </w:rPr>
        <w:t>出现低温雨雪、道路结冰天气的相关预警信号时，</w:t>
      </w:r>
      <w:r>
        <w:rPr>
          <w:rFonts w:hint="eastAsia"/>
        </w:rPr>
        <w:t>应采取如下措施：</w:t>
      </w:r>
    </w:p>
    <w:p>
      <w:pPr>
        <w:pStyle w:val="78"/>
        <w:numPr>
          <w:ilvl w:val="0"/>
          <w:numId w:val="15"/>
        </w:numPr>
      </w:pPr>
      <w:r>
        <w:rPr>
          <w:rFonts w:hint="eastAsia"/>
        </w:rPr>
        <w:t>利用撒布机开展融雪盐撒布作业，对积水、结冰、积雪严重路段，及时清理并开展人工补充撒盐作业；</w:t>
      </w:r>
    </w:p>
    <w:p>
      <w:pPr>
        <w:pStyle w:val="78"/>
        <w:numPr>
          <w:ilvl w:val="0"/>
          <w:numId w:val="15"/>
        </w:numPr>
      </w:pPr>
      <w:r>
        <w:rPr>
          <w:rFonts w:hint="eastAsia"/>
        </w:rPr>
        <w:t>对窨井堵塞区域，及时安排人员或联系相关主管部门开展应急处置；</w:t>
      </w:r>
    </w:p>
    <w:p>
      <w:pPr>
        <w:pStyle w:val="78"/>
        <w:numPr>
          <w:ilvl w:val="0"/>
          <w:numId w:val="15"/>
        </w:numPr>
      </w:pPr>
      <w:r>
        <w:rPr>
          <w:rFonts w:hint="eastAsia"/>
        </w:rPr>
        <w:t>根据道路结冰、积雪严重程度，适时运用机械化作业车辆喷洒融雪剂（盐）溶液，合理安排滚雪筒、推雪板开展机械除冰雪作业，保障城市快速路畅通。</w:t>
      </w:r>
    </w:p>
    <w:p>
      <w:pPr>
        <w:pStyle w:val="69"/>
        <w:ind w:left="0"/>
      </w:pPr>
      <w:r>
        <w:rPr>
          <w:rFonts w:hint="eastAsia"/>
        </w:rPr>
        <w:t>在</w:t>
      </w:r>
      <w:r>
        <w:rPr>
          <w:rFonts w:hint="eastAsia"/>
          <w:szCs w:val="21"/>
        </w:rPr>
        <w:t>低温雨雪、道路结冰天气的相关预警信号</w:t>
      </w:r>
      <w:r>
        <w:rPr>
          <w:rFonts w:hint="eastAsia"/>
        </w:rPr>
        <w:t>解除后36小时内，应采取如下措施：</w:t>
      </w:r>
    </w:p>
    <w:p>
      <w:pPr>
        <w:pStyle w:val="78"/>
        <w:numPr>
          <w:ilvl w:val="0"/>
          <w:numId w:val="16"/>
        </w:numPr>
      </w:pPr>
      <w:r>
        <w:rPr>
          <w:rFonts w:hint="eastAsia"/>
        </w:rPr>
        <w:t>及时安排人员清理道路积存冰雪；</w:t>
      </w:r>
    </w:p>
    <w:p>
      <w:pPr>
        <w:pStyle w:val="78"/>
        <w:numPr>
          <w:ilvl w:val="0"/>
          <w:numId w:val="16"/>
        </w:numPr>
      </w:pPr>
      <w:r>
        <w:rPr>
          <w:rFonts w:hint="eastAsia"/>
        </w:rPr>
        <w:t>及时恢复机械化清扫、保洁作业；</w:t>
      </w:r>
    </w:p>
    <w:p>
      <w:pPr>
        <w:pStyle w:val="78"/>
        <w:numPr>
          <w:ilvl w:val="0"/>
          <w:numId w:val="16"/>
        </w:numPr>
      </w:pPr>
      <w:r>
        <w:rPr>
          <w:rFonts w:hint="eastAsia"/>
        </w:rPr>
        <w:t>在气温低于5℃时，指定专人对室外温度实时监控和反馈，防止因低温条件下带水作业导致路面结冰，影响交通通行；</w:t>
      </w:r>
    </w:p>
    <w:p>
      <w:pPr>
        <w:pStyle w:val="78"/>
        <w:numPr>
          <w:ilvl w:val="0"/>
          <w:numId w:val="16"/>
        </w:numPr>
      </w:pPr>
      <w:r>
        <w:rPr>
          <w:rFonts w:hint="eastAsia"/>
        </w:rPr>
        <w:t>在气温低于0℃且伴有雨雪时，及时开展融雪剂（盐）撒布作业。</w:t>
      </w:r>
    </w:p>
    <w:p>
      <w:pPr>
        <w:pStyle w:val="66"/>
        <w:spacing w:before="156" w:after="156"/>
        <w:jc w:val="left"/>
        <w:rPr>
          <w:rFonts w:hint="eastAsia" w:hAnsi="黑体"/>
        </w:rPr>
      </w:pPr>
      <w:bookmarkStart w:id="73" w:name="_Toc27117"/>
      <w:r>
        <w:rPr>
          <w:rFonts w:hint="eastAsia" w:hAnsi="黑体"/>
        </w:rPr>
        <w:t>高温、雷暴、暴雨、</w:t>
      </w:r>
      <w:bookmarkEnd w:id="72"/>
      <w:r>
        <w:rPr>
          <w:rFonts w:hint="eastAsia" w:hAnsi="黑体"/>
        </w:rPr>
        <w:t>台风、大风天气</w:t>
      </w:r>
      <w:bookmarkEnd w:id="73"/>
    </w:p>
    <w:p>
      <w:pPr>
        <w:pStyle w:val="69"/>
        <w:ind w:left="0"/>
      </w:pPr>
      <w:r>
        <w:rPr>
          <w:rFonts w:hint="eastAsia"/>
          <w:szCs w:val="21"/>
        </w:rPr>
        <w:t>出现高温预警信号时，全天开展冲洗作业，白天开展洒水作业，以达到抑尘、降尘和夏季小环境降温效果。</w:t>
      </w:r>
    </w:p>
    <w:p>
      <w:pPr>
        <w:pStyle w:val="69"/>
        <w:ind w:left="0"/>
      </w:pPr>
      <w:r>
        <w:rPr>
          <w:rFonts w:hint="eastAsia"/>
          <w:szCs w:val="21"/>
        </w:rPr>
        <w:t>出现雷暴预警信号、暴雨预警信号时，应做好应急防范工作，加强雨前排查，及时清理窨井周边垃圾，防止堵塞排水管。</w:t>
      </w:r>
      <w:r>
        <w:rPr>
          <w:rFonts w:hint="eastAsia"/>
        </w:rPr>
        <w:t>必要时</w:t>
      </w:r>
      <w:r>
        <w:rPr>
          <w:rFonts w:hint="eastAsia"/>
          <w:szCs w:val="21"/>
        </w:rPr>
        <w:t>暂停城市快速路的环卫机械化作业，加强雨中巡查、雨后核查，及时发现、处置、消除积水隐患。</w:t>
      </w:r>
    </w:p>
    <w:p>
      <w:pPr>
        <w:pStyle w:val="69"/>
        <w:ind w:left="0"/>
      </w:pPr>
      <w:r>
        <w:rPr>
          <w:rFonts w:hint="eastAsia"/>
          <w:szCs w:val="21"/>
        </w:rPr>
        <w:t>出现台风预警信号、大风预警信号时，应随时关注天气变化，</w:t>
      </w:r>
      <w:r>
        <w:rPr>
          <w:rFonts w:hint="eastAsia"/>
        </w:rPr>
        <w:t>必要时</w:t>
      </w:r>
      <w:r>
        <w:rPr>
          <w:rFonts w:hint="eastAsia"/>
          <w:szCs w:val="21"/>
        </w:rPr>
        <w:t>暂停城市快速路的环卫机械化作业。</w:t>
      </w:r>
    </w:p>
    <w:p>
      <w:pPr>
        <w:pStyle w:val="66"/>
        <w:spacing w:before="156" w:after="156"/>
        <w:jc w:val="left"/>
        <w:rPr>
          <w:rFonts w:hint="eastAsia" w:hAnsi="黑体"/>
        </w:rPr>
      </w:pPr>
      <w:bookmarkStart w:id="74" w:name="_Toc21530"/>
      <w:bookmarkStart w:id="75" w:name="_Toc163486602"/>
      <w:r>
        <w:rPr>
          <w:rFonts w:hint="eastAsia" w:hAnsi="黑体"/>
        </w:rPr>
        <w:t>大雾、霾天气</w:t>
      </w:r>
      <w:bookmarkEnd w:id="74"/>
      <w:bookmarkEnd w:id="75"/>
    </w:p>
    <w:p>
      <w:pPr>
        <w:pStyle w:val="69"/>
        <w:ind w:left="0"/>
      </w:pPr>
      <w:r>
        <w:rPr>
          <w:rFonts w:hint="eastAsia"/>
        </w:rPr>
        <w:t>出现大雾黄色预警信号时，应随时关注天气变化，停止带水作业，作业时开启雾灯和后警示灯，必要时可暂缓或停止城市快速路的环卫机械化作业。</w:t>
      </w:r>
    </w:p>
    <w:p>
      <w:pPr>
        <w:pStyle w:val="69"/>
        <w:ind w:left="0"/>
      </w:pPr>
      <w:r>
        <w:rPr>
          <w:rFonts w:hint="eastAsia"/>
        </w:rPr>
        <w:t>出现大雾橙色预警信号、大雾红色预警信号时，应随时关注天气变化，停止城市快速路的环卫机械化作业。</w:t>
      </w:r>
    </w:p>
    <w:p>
      <w:pPr>
        <w:pStyle w:val="69"/>
        <w:ind w:left="0"/>
      </w:pPr>
      <w:r>
        <w:rPr>
          <w:rFonts w:hint="eastAsia"/>
        </w:rPr>
        <w:t>出现霾预警信号时，应随时关注天气变化，在气温条件允许的情况下，加大冲洗、洒水等作业力度，加密作业频次，抑制道路交通扬尘污染，改善空气质量。</w:t>
      </w:r>
    </w:p>
    <w:p>
      <w:pPr>
        <w:pStyle w:val="67"/>
        <w:spacing w:before="312" w:after="312"/>
        <w:rPr>
          <w:rFonts w:hint="eastAsia" w:hAnsi="黑体"/>
        </w:rPr>
      </w:pPr>
      <w:bookmarkStart w:id="76" w:name="_Toc5097"/>
      <w:r>
        <w:rPr>
          <w:rFonts w:hint="eastAsia" w:hAnsi="黑体"/>
        </w:rPr>
        <w:t>作业安全</w:t>
      </w:r>
      <w:bookmarkEnd w:id="76"/>
    </w:p>
    <w:p>
      <w:pPr>
        <w:pStyle w:val="65"/>
        <w:jc w:val="left"/>
      </w:pPr>
      <w:r>
        <w:rPr>
          <w:rFonts w:hint="eastAsia"/>
        </w:rPr>
        <w:t>应遵守交通法规，作业时不应横穿车道、跨线桥或隧道进行作业。</w:t>
      </w:r>
    </w:p>
    <w:p>
      <w:pPr>
        <w:pStyle w:val="65"/>
        <w:jc w:val="left"/>
      </w:pPr>
      <w:r>
        <w:rPr>
          <w:rFonts w:hint="eastAsia"/>
        </w:rPr>
        <w:t>发现车辆存在故障时应及时报修，不应带故障出车作业，确保行车安全。</w:t>
      </w:r>
    </w:p>
    <w:p>
      <w:pPr>
        <w:pStyle w:val="65"/>
        <w:jc w:val="left"/>
      </w:pPr>
      <w:r>
        <w:rPr>
          <w:rFonts w:hint="eastAsia"/>
        </w:rPr>
        <w:t>在作业期间应按规定开启警示灯，回场后应及时关闭警示灯，并切断车辆电源，不应在车辆行驶过程中排水。</w:t>
      </w:r>
    </w:p>
    <w:p>
      <w:pPr>
        <w:pStyle w:val="68"/>
        <w:ind w:firstLine="0" w:firstLineChars="0"/>
      </w:pPr>
    </w:p>
    <w:p>
      <w:pPr>
        <w:pStyle w:val="68"/>
        <w:ind w:firstLine="0" w:firstLineChars="0"/>
      </w:pPr>
      <w:r>
        <w:rPr>
          <w:rFonts w:ascii="黑体" w:hAnsi="黑体" w:eastAsia="黑体"/>
        </w:rPr>
        <mc:AlternateContent>
          <mc:Choice Requires="wps">
            <w:drawing>
              <wp:anchor distT="0" distB="0" distL="114300" distR="114300" simplePos="0" relativeHeight="251665408" behindDoc="0" locked="0" layoutInCell="1" allowOverlap="1">
                <wp:simplePos x="0" y="0"/>
                <wp:positionH relativeFrom="column">
                  <wp:posOffset>2111375</wp:posOffset>
                </wp:positionH>
                <wp:positionV relativeFrom="paragraph">
                  <wp:posOffset>174625</wp:posOffset>
                </wp:positionV>
                <wp:extent cx="1800225" cy="0"/>
                <wp:effectExtent l="0" t="0" r="0" b="0"/>
                <wp:wrapNone/>
                <wp:docPr id="25" name="直接箭头连接符 5"/>
                <wp:cNvGraphicFramePr/>
                <a:graphic xmlns:a="http://schemas.openxmlformats.org/drawingml/2006/main">
                  <a:graphicData uri="http://schemas.microsoft.com/office/word/2010/wordprocessingShape">
                    <wps:wsp>
                      <wps:cNvCnPr>
                        <a:cxnSpLocks noChangeShapeType="true"/>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6.25pt;margin-top:13.75pt;height:0pt;width:141.75pt;z-index:251665408;mso-width-relative:page;mso-height-relative:page;" filled="f" stroked="t" coordsize="21600,21600" o:gfxdata="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t4S4nYAAAACQEAAA8AAAAAAAAAAQAgAAAAOAAAAGRycy9k&#10;b3ducmV2LnhtbFBLAQIUABQAAAAIAIdO4kCI+o+p7AEAAI4DAAAOAAAAAAAAAAEAIAAAAD0BAABk&#10;cnMvZTJvRG9jLnhtbFBLBQYAAAAABgAGAFkBAACbBQAAAAA=&#10;">
                <v:fill on="f" focussize="0,0"/>
                <v:stroke color="#000000" joinstyle="round"/>
                <v:imagedata o:title=""/>
                <o:lock v:ext="edit" aspectratio="f"/>
              </v:shape>
            </w:pict>
          </mc:Fallback>
        </mc:AlternateContent>
      </w:r>
    </w:p>
    <w:sectPr>
      <w:headerReference r:id="rId10" w:type="default"/>
      <w:footerReference r:id="rId12" w:type="default"/>
      <w:headerReference r:id="rId11" w:type="even"/>
      <w:footerReference r:id="rId13" w:type="even"/>
      <w:pgSz w:w="11906" w:h="16838"/>
      <w:pgMar w:top="1417" w:right="1134" w:bottom="1134" w:left="1418" w:header="1417" w:footer="1134"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Helvetica">
    <w:altName w:val="汉仪君黑-35简"/>
    <w:panose1 w:val="020B0604020202020204"/>
    <w:charset w:val="00"/>
    <w:family w:val="swiss"/>
    <w:pitch w:val="default"/>
    <w:sig w:usb0="00000000" w:usb1="00000000" w:usb2="00000009" w:usb3="00000000" w:csb0="000001FF"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Liberation Serif">
    <w:panose1 w:val="02020603050405020304"/>
    <w:charset w:val="00"/>
    <w:family w:val="auto"/>
    <w:pitch w:val="default"/>
    <w:sig w:usb0="A00002AF" w:usb1="500078FB" w:usb2="00000000" w:usb3="00000000" w:csb0="6000009F" w:csb1="DFD70000"/>
  </w:font>
  <w:font w:name="汉仪君黑-35简">
    <w:panose1 w:val="020B0604020202020204"/>
    <w:charset w:val="86"/>
    <w:family w:val="auto"/>
    <w:pitch w:val="default"/>
    <w:sig w:usb0="A00002BF" w:usb1="0ACF7CFA" w:usb2="00000016" w:usb3="00000000" w:csb0="2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asciiTheme="minorEastAsia" w:hAnsiTheme="minorEastAsia"/>
      </w:rPr>
    </w:pPr>
    <w: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gF26zFQIAABkEAAAOAAAAAAAAAAEAIAAAADUBAABkcnMvZTJvRG9jLnhtbFBLBQYAAAAABgAG&#10;AFkBAAC8BQAAAAA=&#10;">
              <v:fill on="f" focussize="0,0"/>
              <v:stroke on="f" weight="0.5pt"/>
              <v:imagedata o:title=""/>
              <o:lock v:ext="edit" aspectratio="f"/>
              <v:textbox inset="0mm,0mm,0mm,0mm" style="mso-fit-shape-to-text:t;">
                <w:txbxContent>
                  <w:p>
                    <w:pPr>
                      <w:pStyle w:val="13"/>
                      <w:rPr>
                        <w:rFonts w:hint="eastAsia"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w:t>
                    </w:r>
                    <w:r>
                      <w:rPr>
                        <w:rFonts w:hint="eastAsia" w:asciiTheme="minorEastAsia" w:hAnsiTheme="minorEastAsia" w:cstheme="minor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asciiTheme="minorEastAsia" w:hAnsiTheme="minorEastAsia"/>
      </w:rPr>
    </w:pPr>
    <w: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A0Tqs0UAgAAGwQAAA4AAAAAAAAAAQAgAAAANQEAAGRycy9lMm9Eb2MueG1sUEsFBgAAAAAGAAYA&#10;WQEAALs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asciiTheme="minorEastAsia" w:hAnsiTheme="minorEastAsia"/>
      </w:rPr>
    </w:pPr>
    <w: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vuix5FQIAABsEAAAOAAAAAAAAAAEAIAAAADUBAABkcnMvZTJvRG9jLnhtbFBLBQYAAAAABgAG&#10;AFkBAAC8BQ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asciiTheme="minorEastAsia" w:hAnsiTheme="minorEastAsia"/>
      </w:rPr>
    </w:pPr>
    <w: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both"/>
                            <w:rPr>
                              <w:rFonts w:hint="eastAsia"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II</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CruUMsUAgAAGwQAAA4AAAAAAAAAAQAgAAAANQEAAGRycy9lMm9Eb2MueG1sUEsFBgAAAAAGAAYA&#10;WQEAALsFAAAAAA==&#10;">
              <v:fill on="f" focussize="0,0"/>
              <v:stroke on="f" weight="0.5pt"/>
              <v:imagedata o:title=""/>
              <o:lock v:ext="edit" aspectratio="f"/>
              <v:textbox inset="0mm,0mm,0mm,0mm" style="mso-fit-shape-to-text:t;">
                <w:txbxContent>
                  <w:p>
                    <w:pPr>
                      <w:pStyle w:val="13"/>
                      <w:jc w:val="both"/>
                      <w:rPr>
                        <w:rFonts w:hint="eastAsia"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II</w:t>
                    </w:r>
                    <w:r>
                      <w:rPr>
                        <w:rFonts w:hint="eastAsia" w:asciiTheme="minorEastAsia" w:hAnsiTheme="minorEastAsia" w:cstheme="minor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enter" w:pos="4737"/>
        <w:tab w:val="right" w:pos="9354"/>
      </w:tabs>
      <w:rPr>
        <w:rFonts w:hint="eastAsia" w:asciiTheme="minorEastAsia" w:hAnsiTheme="minorEastAsia"/>
      </w:rPr>
    </w:pPr>
    <w: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ascii="宋体" w:hAnsi="宋体" w:eastAsia="宋体" w:cs="宋体"/>
                            </w:rPr>
                            <w:t>1</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a375LFQIAABsEAAAOAAAAAAAAAAEAIAAAADUBAABkcnMvZTJvRG9jLnhtbFBLBQYAAAAABgAG&#10;AFkBAAC8BQAAAAA=&#10;">
              <v:fill on="f" focussize="0,0"/>
              <v:stroke on="f" weight="0.5pt"/>
              <v:imagedata o:title=""/>
              <o:lock v:ext="edit" aspectratio="f"/>
              <v:textbox inset="0mm,0mm,0mm,0mm" style="mso-fit-shape-to-text:t;">
                <w:txbxContent>
                  <w:p>
                    <w:pPr>
                      <w:pStyle w:val="13"/>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ascii="宋体" w:hAnsi="宋体" w:eastAsia="宋体" w:cs="宋体"/>
                      </w:rPr>
                      <w:t>1</w:t>
                    </w:r>
                    <w:r>
                      <w:rPr>
                        <w:rFonts w:hint="eastAsia" w:ascii="宋体" w:hAnsi="宋体" w:eastAsia="宋体" w:cs="宋体"/>
                      </w:rPr>
                      <w:fldChar w:fldCharType="end"/>
                    </w:r>
                  </w:p>
                </w:txbxContent>
              </v:textbox>
            </v:shape>
          </w:pict>
        </mc:Fallback>
      </mc:AlternateContent>
    </w:r>
    <w:r>
      <w:rPr>
        <w:rFonts w:hint="eastAsia" w:asciiTheme="minorEastAsia" w:hAnsiTheme="minorEastAsia"/>
      </w:rPr>
      <w:tab/>
    </w:r>
    <w:r>
      <w:rPr>
        <w:rFonts w:hint="eastAsia" w:asciiTheme="minorEastAsia" w:hAnsiTheme="minorEastAsia"/>
      </w:rPr>
      <w:tab/>
    </w:r>
    <w:r>
      <w:rPr>
        <w:rFonts w:hint="eastAsia" w:asciiTheme="minorEastAsia" w:hAnsiTheme="minorEastAsia"/>
      </w:rPr>
      <w:tab/>
    </w:r>
    <w:r>
      <w:rPr>
        <w:rFonts w:hint="eastAsia" w:asciiTheme="minorEastAsia" w:hAnsiTheme="minorEastAsia"/>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asciiTheme="minorEastAsia" w:hAnsiTheme="minorEastAsia"/>
      </w:rPr>
    </w:pPr>
    <w: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ascii="宋体" w:hAnsi="宋体" w:eastAsia="宋体" w:cs="宋体"/>
                            </w:rPr>
                            <w:t>2</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qllWQFQIAABsEAAAOAAAAAAAAAAEAIAAAADUBAABkcnMvZTJvRG9jLnhtbFBLBQYAAAAABgAG&#10;AFkBAAC8BQAAAAA=&#10;">
              <v:fill on="f" focussize="0,0"/>
              <v:stroke on="f" weight="0.5pt"/>
              <v:imagedata o:title=""/>
              <o:lock v:ext="edit" aspectratio="f"/>
              <v:textbox inset="0mm,0mm,0mm,0mm" style="mso-fit-shape-to-text:t;">
                <w:txbxContent>
                  <w:p>
                    <w:pPr>
                      <w:pStyle w:val="13"/>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ascii="宋体" w:hAnsi="宋体" w:eastAsia="宋体" w:cs="宋体"/>
                      </w:rPr>
                      <w:t>2</w:t>
                    </w:r>
                    <w:r>
                      <w:rPr>
                        <w:rFonts w:hint="eastAsia" w:ascii="宋体" w:hAnsi="宋体" w:eastAsia="宋体" w:cs="宋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5"/>
        <w:rFonts w:hint="eastAsia" w:ascii="黑体" w:hAnsi="黑体" w:eastAsia="黑体"/>
        <w:i w:val="0"/>
      </w:rPr>
    </w:pPr>
    <w:r>
      <w:rPr>
        <w:rFonts w:hint="eastAsia" w:ascii="黑体" w:hAnsi="黑体" w:eastAsia="黑体"/>
      </w:rPr>
      <w:t>DB32</w:t>
    </w:r>
    <w:r>
      <w:rPr>
        <w:rFonts w:ascii="黑体" w:hAnsi="黑体" w:eastAsia="黑体"/>
      </w:rPr>
      <w:t>05</w:t>
    </w:r>
    <w:r>
      <w:rPr>
        <w:rFonts w:hint="eastAsia" w:ascii="黑体" w:hAnsi="黑体" w:eastAsia="黑体"/>
      </w:rPr>
      <w:t>/T XXX—2025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adjustRightInd w:val="0"/>
      <w:snapToGrid w:val="0"/>
      <w:spacing w:after="283"/>
      <w:rPr>
        <w:rStyle w:val="35"/>
        <w:rFonts w:hint="eastAsia" w:ascii="黑体" w:hAnsi="黑体" w:eastAsia="黑体"/>
        <w:i w:val="0"/>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adjustRightInd w:val="0"/>
      <w:snapToGrid w:val="0"/>
      <w:spacing w:after="283"/>
      <w:rPr>
        <w:rFonts w:hint="eastAsia" w:ascii="黑体" w:hAnsi="黑体" w:eastAsia="黑体"/>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D3FEA"/>
    <w:multiLevelType w:val="multilevel"/>
    <w:tmpl w:val="07ED3FEA"/>
    <w:lvl w:ilvl="0" w:tentative="0">
      <w:start w:val="1"/>
      <w:numFmt w:val="none"/>
      <w:pStyle w:val="50"/>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15EF0C26"/>
    <w:multiLevelType w:val="multilevel"/>
    <w:tmpl w:val="15EF0C26"/>
    <w:lvl w:ilvl="0" w:tentative="0">
      <w:start w:val="1"/>
      <w:numFmt w:val="lowerLetter"/>
      <w:pStyle w:val="56"/>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1FC91163"/>
    <w:multiLevelType w:val="multilevel"/>
    <w:tmpl w:val="1FC91163"/>
    <w:lvl w:ilvl="0" w:tentative="0">
      <w:start w:val="1"/>
      <w:numFmt w:val="decimal"/>
      <w:pStyle w:val="51"/>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3"/>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5"/>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C5917C3"/>
    <w:multiLevelType w:val="multilevel"/>
    <w:tmpl w:val="2C5917C3"/>
    <w:lvl w:ilvl="0" w:tentative="0">
      <w:start w:val="1"/>
      <w:numFmt w:val="none"/>
      <w:pStyle w:val="79"/>
      <w:suff w:val="nothing"/>
      <w:lvlText w:val="%1——"/>
      <w:lvlJc w:val="left"/>
      <w:pPr>
        <w:ind w:left="833" w:hanging="408"/>
      </w:pPr>
      <w:rPr>
        <w:rFonts w:hint="default" w:ascii="黑体" w:hAnsi="黑体" w:eastAsia="黑体" w:cs="黑体"/>
        <w:lang w:val="en-US"/>
      </w:rPr>
    </w:lvl>
    <w:lvl w:ilvl="1" w:tentative="0">
      <w:start w:val="1"/>
      <w:numFmt w:val="bullet"/>
      <w:pStyle w:val="57"/>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4">
    <w:nsid w:val="44C50F90"/>
    <w:multiLevelType w:val="multilevel"/>
    <w:tmpl w:val="44C50F90"/>
    <w:lvl w:ilvl="0" w:tentative="0">
      <w:start w:val="1"/>
      <w:numFmt w:val="lowerLetter"/>
      <w:pStyle w:val="78"/>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5"/>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6">
    <w:nsid w:val="646260FA"/>
    <w:multiLevelType w:val="multilevel"/>
    <w:tmpl w:val="646260FA"/>
    <w:lvl w:ilvl="0" w:tentative="0">
      <w:start w:val="1"/>
      <w:numFmt w:val="decimal"/>
      <w:pStyle w:val="61"/>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7">
    <w:nsid w:val="657D3FBC"/>
    <w:multiLevelType w:val="multilevel"/>
    <w:tmpl w:val="657D3FBC"/>
    <w:lvl w:ilvl="0" w:tentative="0">
      <w:start w:val="1"/>
      <w:numFmt w:val="upperLetter"/>
      <w:pStyle w:val="60"/>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4"/>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8">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7"/>
      <w:suff w:val="nothing"/>
      <w:lvlText w:val="%1%2　"/>
      <w:lvlJc w:val="left"/>
      <w:pPr>
        <w:ind w:left="0" w:firstLine="0"/>
      </w:pPr>
      <w:rPr>
        <w:rFonts w:hint="eastAsia" w:ascii="黑体" w:eastAsia="黑体"/>
        <w:b w:val="0"/>
        <w:i w:val="0"/>
        <w:sz w:val="21"/>
      </w:rPr>
    </w:lvl>
    <w:lvl w:ilvl="2" w:tentative="0">
      <w:start w:val="1"/>
      <w:numFmt w:val="decimal"/>
      <w:pStyle w:val="6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70"/>
      <w:suff w:val="nothing"/>
      <w:lvlText w:val="%1%2.%3.%4　"/>
      <w:lvlJc w:val="left"/>
      <w:pPr>
        <w:ind w:left="567"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9">
    <w:nsid w:val="6DBF04F4"/>
    <w:multiLevelType w:val="multilevel"/>
    <w:tmpl w:val="6DBF04F4"/>
    <w:lvl w:ilvl="0" w:tentative="0">
      <w:start w:val="1"/>
      <w:numFmt w:val="none"/>
      <w:pStyle w:val="80"/>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0"/>
  </w:num>
  <w:num w:numId="2">
    <w:abstractNumId w:val="2"/>
  </w:num>
  <w:num w:numId="3">
    <w:abstractNumId w:val="1"/>
  </w:num>
  <w:num w:numId="4">
    <w:abstractNumId w:val="3"/>
  </w:num>
  <w:num w:numId="5">
    <w:abstractNumId w:val="7"/>
  </w:num>
  <w:num w:numId="6">
    <w:abstractNumId w:val="6"/>
  </w:num>
  <w:num w:numId="7">
    <w:abstractNumId w:val="8"/>
  </w:num>
  <w:num w:numId="8">
    <w:abstractNumId w:val="5"/>
  </w:num>
  <w:num w:numId="9">
    <w:abstractNumId w:val="4"/>
  </w:num>
  <w:num w:numId="10">
    <w:abstractNumId w:val="9"/>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mirrorMargins w:val="true"/>
  <w:bordersDoNotSurroundHeader w:val="true"/>
  <w:bordersDoNotSurroundFooter w:val="true"/>
  <w:documentProtection w:edit="trackedChanges" w:enforcement="0"/>
  <w:defaultTabStop w:val="420"/>
  <w:evenAndOddHeaders w:val="true"/>
  <w:drawingGridHorizontalSpacing w:val="105"/>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jOTdkMDk2ZTI1OWZiYzFjYTFjZDJlOTYxYjQ5ZTIifQ=="/>
    <w:docVar w:name="KSO_WPS_MARK_KEY" w:val="52548aae-2002-4139-9182-7b8689647ee4"/>
  </w:docVars>
  <w:rsids>
    <w:rsidRoot w:val="002C4A7A"/>
    <w:rsid w:val="00000C6F"/>
    <w:rsid w:val="00002D7A"/>
    <w:rsid w:val="00005817"/>
    <w:rsid w:val="00006640"/>
    <w:rsid w:val="000118A3"/>
    <w:rsid w:val="000120D8"/>
    <w:rsid w:val="00013861"/>
    <w:rsid w:val="00014E67"/>
    <w:rsid w:val="000173A8"/>
    <w:rsid w:val="0001746B"/>
    <w:rsid w:val="00020B49"/>
    <w:rsid w:val="00023E4E"/>
    <w:rsid w:val="00031630"/>
    <w:rsid w:val="00033063"/>
    <w:rsid w:val="0003782B"/>
    <w:rsid w:val="00044A47"/>
    <w:rsid w:val="000505F8"/>
    <w:rsid w:val="000511AD"/>
    <w:rsid w:val="00051426"/>
    <w:rsid w:val="00052CA1"/>
    <w:rsid w:val="00052E63"/>
    <w:rsid w:val="0005686E"/>
    <w:rsid w:val="00056E11"/>
    <w:rsid w:val="00062C17"/>
    <w:rsid w:val="0006343E"/>
    <w:rsid w:val="00065304"/>
    <w:rsid w:val="0006635C"/>
    <w:rsid w:val="0006737A"/>
    <w:rsid w:val="00071463"/>
    <w:rsid w:val="00074CE1"/>
    <w:rsid w:val="00075ADA"/>
    <w:rsid w:val="00076D53"/>
    <w:rsid w:val="00081105"/>
    <w:rsid w:val="000814DC"/>
    <w:rsid w:val="00085052"/>
    <w:rsid w:val="000863D8"/>
    <w:rsid w:val="0009093B"/>
    <w:rsid w:val="0009104A"/>
    <w:rsid w:val="00092A3E"/>
    <w:rsid w:val="000944B1"/>
    <w:rsid w:val="000946C9"/>
    <w:rsid w:val="0009741B"/>
    <w:rsid w:val="000A05E2"/>
    <w:rsid w:val="000A439D"/>
    <w:rsid w:val="000B1AD2"/>
    <w:rsid w:val="000B5222"/>
    <w:rsid w:val="000C02F8"/>
    <w:rsid w:val="000C1504"/>
    <w:rsid w:val="000C1F9F"/>
    <w:rsid w:val="000C5080"/>
    <w:rsid w:val="000C6FC8"/>
    <w:rsid w:val="000D0755"/>
    <w:rsid w:val="000D32A6"/>
    <w:rsid w:val="000D3EF6"/>
    <w:rsid w:val="000D56C0"/>
    <w:rsid w:val="000D5C84"/>
    <w:rsid w:val="000E084D"/>
    <w:rsid w:val="000E103E"/>
    <w:rsid w:val="000E1702"/>
    <w:rsid w:val="000E4AD1"/>
    <w:rsid w:val="000F2CB4"/>
    <w:rsid w:val="000F76AA"/>
    <w:rsid w:val="00102314"/>
    <w:rsid w:val="001067F0"/>
    <w:rsid w:val="001103A2"/>
    <w:rsid w:val="00110D5E"/>
    <w:rsid w:val="00110EC6"/>
    <w:rsid w:val="001118BF"/>
    <w:rsid w:val="00112AF7"/>
    <w:rsid w:val="00113409"/>
    <w:rsid w:val="001202C0"/>
    <w:rsid w:val="00120961"/>
    <w:rsid w:val="0012099B"/>
    <w:rsid w:val="0012359F"/>
    <w:rsid w:val="00133094"/>
    <w:rsid w:val="00142FB2"/>
    <w:rsid w:val="0014534C"/>
    <w:rsid w:val="001462B7"/>
    <w:rsid w:val="0014651C"/>
    <w:rsid w:val="00147278"/>
    <w:rsid w:val="00147564"/>
    <w:rsid w:val="00147A7E"/>
    <w:rsid w:val="00147F7E"/>
    <w:rsid w:val="001516E1"/>
    <w:rsid w:val="00151BE8"/>
    <w:rsid w:val="0015431A"/>
    <w:rsid w:val="001561B3"/>
    <w:rsid w:val="0015700F"/>
    <w:rsid w:val="0015743F"/>
    <w:rsid w:val="0016095C"/>
    <w:rsid w:val="0016154E"/>
    <w:rsid w:val="00163109"/>
    <w:rsid w:val="001648B8"/>
    <w:rsid w:val="001720FB"/>
    <w:rsid w:val="00173651"/>
    <w:rsid w:val="00173BD2"/>
    <w:rsid w:val="0017564C"/>
    <w:rsid w:val="00175A7C"/>
    <w:rsid w:val="001760F7"/>
    <w:rsid w:val="001762C0"/>
    <w:rsid w:val="00176E61"/>
    <w:rsid w:val="0018278F"/>
    <w:rsid w:val="001836C2"/>
    <w:rsid w:val="00195C90"/>
    <w:rsid w:val="0019613E"/>
    <w:rsid w:val="00197A15"/>
    <w:rsid w:val="001A1683"/>
    <w:rsid w:val="001A2848"/>
    <w:rsid w:val="001A2A72"/>
    <w:rsid w:val="001A2CD6"/>
    <w:rsid w:val="001A51F2"/>
    <w:rsid w:val="001B007D"/>
    <w:rsid w:val="001B0CF3"/>
    <w:rsid w:val="001B3AC1"/>
    <w:rsid w:val="001B5446"/>
    <w:rsid w:val="001C0F5C"/>
    <w:rsid w:val="001C10DE"/>
    <w:rsid w:val="001C3415"/>
    <w:rsid w:val="001C4DED"/>
    <w:rsid w:val="001C7FB4"/>
    <w:rsid w:val="001D0910"/>
    <w:rsid w:val="001D2F2F"/>
    <w:rsid w:val="001D2F99"/>
    <w:rsid w:val="001D48D0"/>
    <w:rsid w:val="001D70CD"/>
    <w:rsid w:val="001D7EB1"/>
    <w:rsid w:val="001E0871"/>
    <w:rsid w:val="001E0FFD"/>
    <w:rsid w:val="001E3D11"/>
    <w:rsid w:val="001E4804"/>
    <w:rsid w:val="001E7BD6"/>
    <w:rsid w:val="001F13C7"/>
    <w:rsid w:val="001F47C8"/>
    <w:rsid w:val="00207B42"/>
    <w:rsid w:val="00211953"/>
    <w:rsid w:val="002176EA"/>
    <w:rsid w:val="002209AC"/>
    <w:rsid w:val="00220A99"/>
    <w:rsid w:val="00222A27"/>
    <w:rsid w:val="00223A5B"/>
    <w:rsid w:val="00223BD4"/>
    <w:rsid w:val="00230CF6"/>
    <w:rsid w:val="00230F2F"/>
    <w:rsid w:val="002317EF"/>
    <w:rsid w:val="002356B9"/>
    <w:rsid w:val="00247720"/>
    <w:rsid w:val="00251127"/>
    <w:rsid w:val="00251550"/>
    <w:rsid w:val="002517ED"/>
    <w:rsid w:val="00253AB7"/>
    <w:rsid w:val="00254C51"/>
    <w:rsid w:val="00262444"/>
    <w:rsid w:val="00265E87"/>
    <w:rsid w:val="00276A28"/>
    <w:rsid w:val="002829F1"/>
    <w:rsid w:val="0028337F"/>
    <w:rsid w:val="00285357"/>
    <w:rsid w:val="00286986"/>
    <w:rsid w:val="00290F18"/>
    <w:rsid w:val="00293BD3"/>
    <w:rsid w:val="0029432B"/>
    <w:rsid w:val="002950A9"/>
    <w:rsid w:val="00296094"/>
    <w:rsid w:val="002A2A23"/>
    <w:rsid w:val="002A4D51"/>
    <w:rsid w:val="002A5A01"/>
    <w:rsid w:val="002A5BCE"/>
    <w:rsid w:val="002B1D58"/>
    <w:rsid w:val="002B3E52"/>
    <w:rsid w:val="002B5800"/>
    <w:rsid w:val="002C253D"/>
    <w:rsid w:val="002C3A09"/>
    <w:rsid w:val="002C4A7A"/>
    <w:rsid w:val="002C57A0"/>
    <w:rsid w:val="002C639A"/>
    <w:rsid w:val="002D0B11"/>
    <w:rsid w:val="002D0D1F"/>
    <w:rsid w:val="002D2351"/>
    <w:rsid w:val="002D38F3"/>
    <w:rsid w:val="002D49DC"/>
    <w:rsid w:val="002D54BC"/>
    <w:rsid w:val="002E02D5"/>
    <w:rsid w:val="002E5B5C"/>
    <w:rsid w:val="002F0F95"/>
    <w:rsid w:val="002F2052"/>
    <w:rsid w:val="002F2C23"/>
    <w:rsid w:val="002F360A"/>
    <w:rsid w:val="002F3CCA"/>
    <w:rsid w:val="002F61CE"/>
    <w:rsid w:val="00301D6E"/>
    <w:rsid w:val="0030224A"/>
    <w:rsid w:val="00302D0D"/>
    <w:rsid w:val="00304C82"/>
    <w:rsid w:val="00305C6E"/>
    <w:rsid w:val="00310BFF"/>
    <w:rsid w:val="00310C57"/>
    <w:rsid w:val="00311B67"/>
    <w:rsid w:val="0031322E"/>
    <w:rsid w:val="00315CF9"/>
    <w:rsid w:val="00317DB9"/>
    <w:rsid w:val="00325EFD"/>
    <w:rsid w:val="00327834"/>
    <w:rsid w:val="00330DE3"/>
    <w:rsid w:val="00334B35"/>
    <w:rsid w:val="00334DA4"/>
    <w:rsid w:val="00335ABA"/>
    <w:rsid w:val="00340030"/>
    <w:rsid w:val="00340CAC"/>
    <w:rsid w:val="003422C6"/>
    <w:rsid w:val="003438AA"/>
    <w:rsid w:val="00344E14"/>
    <w:rsid w:val="0034543B"/>
    <w:rsid w:val="00346A41"/>
    <w:rsid w:val="00346C04"/>
    <w:rsid w:val="0035067D"/>
    <w:rsid w:val="0035397E"/>
    <w:rsid w:val="00354DAE"/>
    <w:rsid w:val="00355096"/>
    <w:rsid w:val="003568F1"/>
    <w:rsid w:val="00362FF0"/>
    <w:rsid w:val="00363B77"/>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1F91"/>
    <w:rsid w:val="003E28CE"/>
    <w:rsid w:val="003F50E4"/>
    <w:rsid w:val="003F714F"/>
    <w:rsid w:val="00407B9E"/>
    <w:rsid w:val="004173C6"/>
    <w:rsid w:val="00417738"/>
    <w:rsid w:val="0042003E"/>
    <w:rsid w:val="004212D3"/>
    <w:rsid w:val="00421B81"/>
    <w:rsid w:val="00422051"/>
    <w:rsid w:val="0042333A"/>
    <w:rsid w:val="00426473"/>
    <w:rsid w:val="00426BC8"/>
    <w:rsid w:val="004302E0"/>
    <w:rsid w:val="00430DD2"/>
    <w:rsid w:val="004376FB"/>
    <w:rsid w:val="004426FC"/>
    <w:rsid w:val="0044581A"/>
    <w:rsid w:val="00451407"/>
    <w:rsid w:val="00451847"/>
    <w:rsid w:val="00454031"/>
    <w:rsid w:val="0045451F"/>
    <w:rsid w:val="00455EC6"/>
    <w:rsid w:val="004574AE"/>
    <w:rsid w:val="004610BF"/>
    <w:rsid w:val="00465A60"/>
    <w:rsid w:val="00465F8C"/>
    <w:rsid w:val="004672EA"/>
    <w:rsid w:val="0047069C"/>
    <w:rsid w:val="00471508"/>
    <w:rsid w:val="00476A44"/>
    <w:rsid w:val="00477ADC"/>
    <w:rsid w:val="00480D83"/>
    <w:rsid w:val="004926A0"/>
    <w:rsid w:val="004950A1"/>
    <w:rsid w:val="00495E4E"/>
    <w:rsid w:val="004A0644"/>
    <w:rsid w:val="004A132F"/>
    <w:rsid w:val="004A6AB6"/>
    <w:rsid w:val="004A7BB5"/>
    <w:rsid w:val="004B01AE"/>
    <w:rsid w:val="004B12F5"/>
    <w:rsid w:val="004B2D06"/>
    <w:rsid w:val="004B540D"/>
    <w:rsid w:val="004C2F70"/>
    <w:rsid w:val="004C5E71"/>
    <w:rsid w:val="004D09E4"/>
    <w:rsid w:val="004D424C"/>
    <w:rsid w:val="004D5B9A"/>
    <w:rsid w:val="004E01DA"/>
    <w:rsid w:val="004E32FC"/>
    <w:rsid w:val="004E3E2D"/>
    <w:rsid w:val="004E4186"/>
    <w:rsid w:val="004E4DE6"/>
    <w:rsid w:val="004E5A4A"/>
    <w:rsid w:val="004E6A32"/>
    <w:rsid w:val="004F0C75"/>
    <w:rsid w:val="004F12F4"/>
    <w:rsid w:val="004F3DCC"/>
    <w:rsid w:val="00506EF4"/>
    <w:rsid w:val="00507228"/>
    <w:rsid w:val="005102EF"/>
    <w:rsid w:val="00510EBE"/>
    <w:rsid w:val="005122CD"/>
    <w:rsid w:val="00520237"/>
    <w:rsid w:val="00523728"/>
    <w:rsid w:val="00524CE2"/>
    <w:rsid w:val="0053086A"/>
    <w:rsid w:val="00534D92"/>
    <w:rsid w:val="00536AD1"/>
    <w:rsid w:val="00536D1D"/>
    <w:rsid w:val="00537107"/>
    <w:rsid w:val="00540818"/>
    <w:rsid w:val="00540F72"/>
    <w:rsid w:val="00542910"/>
    <w:rsid w:val="00545588"/>
    <w:rsid w:val="00546657"/>
    <w:rsid w:val="0054753D"/>
    <w:rsid w:val="00554600"/>
    <w:rsid w:val="0055478B"/>
    <w:rsid w:val="005559B5"/>
    <w:rsid w:val="005606B4"/>
    <w:rsid w:val="00563D0F"/>
    <w:rsid w:val="005701EA"/>
    <w:rsid w:val="0057266C"/>
    <w:rsid w:val="00575480"/>
    <w:rsid w:val="00577F91"/>
    <w:rsid w:val="0058034A"/>
    <w:rsid w:val="00591331"/>
    <w:rsid w:val="005928C2"/>
    <w:rsid w:val="00596070"/>
    <w:rsid w:val="005A2C7F"/>
    <w:rsid w:val="005A4975"/>
    <w:rsid w:val="005A60AC"/>
    <w:rsid w:val="005B11B5"/>
    <w:rsid w:val="005B6D29"/>
    <w:rsid w:val="005C2D6A"/>
    <w:rsid w:val="005C370B"/>
    <w:rsid w:val="005D67F4"/>
    <w:rsid w:val="005E015F"/>
    <w:rsid w:val="005E1CA7"/>
    <w:rsid w:val="005F2078"/>
    <w:rsid w:val="005F2DCC"/>
    <w:rsid w:val="005F5CFF"/>
    <w:rsid w:val="00600F7C"/>
    <w:rsid w:val="006045C0"/>
    <w:rsid w:val="00610AF4"/>
    <w:rsid w:val="00613357"/>
    <w:rsid w:val="006166F8"/>
    <w:rsid w:val="00616AFA"/>
    <w:rsid w:val="00621AD2"/>
    <w:rsid w:val="00626507"/>
    <w:rsid w:val="0062656D"/>
    <w:rsid w:val="0062771B"/>
    <w:rsid w:val="00633884"/>
    <w:rsid w:val="00635FE2"/>
    <w:rsid w:val="00636094"/>
    <w:rsid w:val="00637850"/>
    <w:rsid w:val="00640CD9"/>
    <w:rsid w:val="00642519"/>
    <w:rsid w:val="00646C9D"/>
    <w:rsid w:val="006476F3"/>
    <w:rsid w:val="0065037E"/>
    <w:rsid w:val="0065660B"/>
    <w:rsid w:val="0065674A"/>
    <w:rsid w:val="00662568"/>
    <w:rsid w:val="00671889"/>
    <w:rsid w:val="006721F8"/>
    <w:rsid w:val="006738FB"/>
    <w:rsid w:val="00673C24"/>
    <w:rsid w:val="006763FD"/>
    <w:rsid w:val="006765E6"/>
    <w:rsid w:val="006839CD"/>
    <w:rsid w:val="006867E4"/>
    <w:rsid w:val="00686AB4"/>
    <w:rsid w:val="00687FF9"/>
    <w:rsid w:val="0069227C"/>
    <w:rsid w:val="00694817"/>
    <w:rsid w:val="00695FD6"/>
    <w:rsid w:val="006965B2"/>
    <w:rsid w:val="00696DF3"/>
    <w:rsid w:val="00697323"/>
    <w:rsid w:val="006A3A00"/>
    <w:rsid w:val="006A587D"/>
    <w:rsid w:val="006A62D4"/>
    <w:rsid w:val="006B00F8"/>
    <w:rsid w:val="006B0EDD"/>
    <w:rsid w:val="006B46B3"/>
    <w:rsid w:val="006B4881"/>
    <w:rsid w:val="006B4E4A"/>
    <w:rsid w:val="006D1713"/>
    <w:rsid w:val="006D3593"/>
    <w:rsid w:val="006D384B"/>
    <w:rsid w:val="006D7F23"/>
    <w:rsid w:val="006E42DF"/>
    <w:rsid w:val="006E6B90"/>
    <w:rsid w:val="006F6A5F"/>
    <w:rsid w:val="00705B6D"/>
    <w:rsid w:val="0070744F"/>
    <w:rsid w:val="007078CB"/>
    <w:rsid w:val="00711444"/>
    <w:rsid w:val="00716D47"/>
    <w:rsid w:val="00717C25"/>
    <w:rsid w:val="00720335"/>
    <w:rsid w:val="0072127F"/>
    <w:rsid w:val="00721D42"/>
    <w:rsid w:val="00723CE8"/>
    <w:rsid w:val="00724CC3"/>
    <w:rsid w:val="00726816"/>
    <w:rsid w:val="00732CFF"/>
    <w:rsid w:val="00732DD3"/>
    <w:rsid w:val="00733FAB"/>
    <w:rsid w:val="00734A6B"/>
    <w:rsid w:val="00736BCB"/>
    <w:rsid w:val="00736E73"/>
    <w:rsid w:val="007373F7"/>
    <w:rsid w:val="007404DC"/>
    <w:rsid w:val="00740F46"/>
    <w:rsid w:val="0074159C"/>
    <w:rsid w:val="0074173E"/>
    <w:rsid w:val="00741CBE"/>
    <w:rsid w:val="0074320E"/>
    <w:rsid w:val="00743636"/>
    <w:rsid w:val="00751B91"/>
    <w:rsid w:val="00754A67"/>
    <w:rsid w:val="007569D0"/>
    <w:rsid w:val="00760E8C"/>
    <w:rsid w:val="00762676"/>
    <w:rsid w:val="00763DA4"/>
    <w:rsid w:val="007667E9"/>
    <w:rsid w:val="00766A0F"/>
    <w:rsid w:val="007747B0"/>
    <w:rsid w:val="00775703"/>
    <w:rsid w:val="0077630C"/>
    <w:rsid w:val="00777F91"/>
    <w:rsid w:val="00784961"/>
    <w:rsid w:val="007906E7"/>
    <w:rsid w:val="00790CFC"/>
    <w:rsid w:val="00792C3D"/>
    <w:rsid w:val="00793C9B"/>
    <w:rsid w:val="007A262B"/>
    <w:rsid w:val="007A325E"/>
    <w:rsid w:val="007B1FFE"/>
    <w:rsid w:val="007B71FE"/>
    <w:rsid w:val="007B7740"/>
    <w:rsid w:val="007C0B91"/>
    <w:rsid w:val="007C5205"/>
    <w:rsid w:val="007C6FAF"/>
    <w:rsid w:val="007C72D7"/>
    <w:rsid w:val="007D209B"/>
    <w:rsid w:val="007D6D20"/>
    <w:rsid w:val="007D77B7"/>
    <w:rsid w:val="007E092C"/>
    <w:rsid w:val="007E1F24"/>
    <w:rsid w:val="007E451F"/>
    <w:rsid w:val="007E6197"/>
    <w:rsid w:val="007E6903"/>
    <w:rsid w:val="007F0AD4"/>
    <w:rsid w:val="007F0CE2"/>
    <w:rsid w:val="007F3D33"/>
    <w:rsid w:val="007F7E53"/>
    <w:rsid w:val="008024EF"/>
    <w:rsid w:val="008029D3"/>
    <w:rsid w:val="008034D8"/>
    <w:rsid w:val="00803B33"/>
    <w:rsid w:val="0080474D"/>
    <w:rsid w:val="00804961"/>
    <w:rsid w:val="008062A9"/>
    <w:rsid w:val="0081659D"/>
    <w:rsid w:val="0081736E"/>
    <w:rsid w:val="00817BE9"/>
    <w:rsid w:val="008204BD"/>
    <w:rsid w:val="00820C60"/>
    <w:rsid w:val="00822BEB"/>
    <w:rsid w:val="008237E6"/>
    <w:rsid w:val="00823FD0"/>
    <w:rsid w:val="00833562"/>
    <w:rsid w:val="008338C4"/>
    <w:rsid w:val="00842185"/>
    <w:rsid w:val="008423AD"/>
    <w:rsid w:val="00844C83"/>
    <w:rsid w:val="0084707B"/>
    <w:rsid w:val="00847F6B"/>
    <w:rsid w:val="0085002F"/>
    <w:rsid w:val="00851A37"/>
    <w:rsid w:val="0085316A"/>
    <w:rsid w:val="008544E6"/>
    <w:rsid w:val="0085647B"/>
    <w:rsid w:val="008570AF"/>
    <w:rsid w:val="00857FB0"/>
    <w:rsid w:val="008601C4"/>
    <w:rsid w:val="00860F7B"/>
    <w:rsid w:val="00861F8B"/>
    <w:rsid w:val="0086279F"/>
    <w:rsid w:val="00864F8B"/>
    <w:rsid w:val="00866D54"/>
    <w:rsid w:val="00867DB6"/>
    <w:rsid w:val="0087171A"/>
    <w:rsid w:val="00871B96"/>
    <w:rsid w:val="00871E5F"/>
    <w:rsid w:val="008724D7"/>
    <w:rsid w:val="00874360"/>
    <w:rsid w:val="00874E16"/>
    <w:rsid w:val="008778D8"/>
    <w:rsid w:val="008823C4"/>
    <w:rsid w:val="00885586"/>
    <w:rsid w:val="008866BC"/>
    <w:rsid w:val="00886D2A"/>
    <w:rsid w:val="008879AE"/>
    <w:rsid w:val="0089054C"/>
    <w:rsid w:val="00892FE8"/>
    <w:rsid w:val="008A11F7"/>
    <w:rsid w:val="008A525F"/>
    <w:rsid w:val="008A778B"/>
    <w:rsid w:val="008A7A04"/>
    <w:rsid w:val="008B0E87"/>
    <w:rsid w:val="008B2AA1"/>
    <w:rsid w:val="008B4744"/>
    <w:rsid w:val="008B4CD3"/>
    <w:rsid w:val="008B4EC7"/>
    <w:rsid w:val="008B7DA9"/>
    <w:rsid w:val="008C1198"/>
    <w:rsid w:val="008C23EA"/>
    <w:rsid w:val="008C5C32"/>
    <w:rsid w:val="008C6B7E"/>
    <w:rsid w:val="008C6DE2"/>
    <w:rsid w:val="008C754A"/>
    <w:rsid w:val="008C79E6"/>
    <w:rsid w:val="008D32D9"/>
    <w:rsid w:val="008D44DF"/>
    <w:rsid w:val="008D50F3"/>
    <w:rsid w:val="008D6AC9"/>
    <w:rsid w:val="008E1D3D"/>
    <w:rsid w:val="008E73CE"/>
    <w:rsid w:val="008F6E35"/>
    <w:rsid w:val="008F7846"/>
    <w:rsid w:val="00900625"/>
    <w:rsid w:val="00900D6C"/>
    <w:rsid w:val="00902C03"/>
    <w:rsid w:val="009056B3"/>
    <w:rsid w:val="00905EC8"/>
    <w:rsid w:val="00906EE2"/>
    <w:rsid w:val="00912AA0"/>
    <w:rsid w:val="00914E1E"/>
    <w:rsid w:val="0091747D"/>
    <w:rsid w:val="0092183B"/>
    <w:rsid w:val="009218D1"/>
    <w:rsid w:val="00922FAC"/>
    <w:rsid w:val="009304BF"/>
    <w:rsid w:val="00932FD3"/>
    <w:rsid w:val="00941A12"/>
    <w:rsid w:val="00941B18"/>
    <w:rsid w:val="00942F22"/>
    <w:rsid w:val="009449CC"/>
    <w:rsid w:val="00945592"/>
    <w:rsid w:val="0095230D"/>
    <w:rsid w:val="00953360"/>
    <w:rsid w:val="009534B7"/>
    <w:rsid w:val="00953CA8"/>
    <w:rsid w:val="0095703E"/>
    <w:rsid w:val="0096181B"/>
    <w:rsid w:val="009618A8"/>
    <w:rsid w:val="00961EC7"/>
    <w:rsid w:val="00961EF9"/>
    <w:rsid w:val="00964969"/>
    <w:rsid w:val="00970C6E"/>
    <w:rsid w:val="00975728"/>
    <w:rsid w:val="0097634E"/>
    <w:rsid w:val="00983F23"/>
    <w:rsid w:val="00992159"/>
    <w:rsid w:val="0099488E"/>
    <w:rsid w:val="009956AD"/>
    <w:rsid w:val="00996CA4"/>
    <w:rsid w:val="009A18CB"/>
    <w:rsid w:val="009A2548"/>
    <w:rsid w:val="009A67D7"/>
    <w:rsid w:val="009A7D1D"/>
    <w:rsid w:val="009B2735"/>
    <w:rsid w:val="009B3693"/>
    <w:rsid w:val="009B5AFA"/>
    <w:rsid w:val="009B6DC7"/>
    <w:rsid w:val="009B7156"/>
    <w:rsid w:val="009C15D7"/>
    <w:rsid w:val="009C1C44"/>
    <w:rsid w:val="009C4F6E"/>
    <w:rsid w:val="009C71D1"/>
    <w:rsid w:val="009D11D8"/>
    <w:rsid w:val="009D27A6"/>
    <w:rsid w:val="009D5852"/>
    <w:rsid w:val="009E229D"/>
    <w:rsid w:val="009E4501"/>
    <w:rsid w:val="009F022A"/>
    <w:rsid w:val="009F0E6B"/>
    <w:rsid w:val="009F25EB"/>
    <w:rsid w:val="009F4144"/>
    <w:rsid w:val="009F655E"/>
    <w:rsid w:val="00A0144F"/>
    <w:rsid w:val="00A03F3A"/>
    <w:rsid w:val="00A0565D"/>
    <w:rsid w:val="00A0685D"/>
    <w:rsid w:val="00A06B8F"/>
    <w:rsid w:val="00A129D5"/>
    <w:rsid w:val="00A1419B"/>
    <w:rsid w:val="00A16FE2"/>
    <w:rsid w:val="00A25BFF"/>
    <w:rsid w:val="00A26884"/>
    <w:rsid w:val="00A27283"/>
    <w:rsid w:val="00A2795C"/>
    <w:rsid w:val="00A31209"/>
    <w:rsid w:val="00A32E92"/>
    <w:rsid w:val="00A34096"/>
    <w:rsid w:val="00A3582A"/>
    <w:rsid w:val="00A35EAE"/>
    <w:rsid w:val="00A36BF2"/>
    <w:rsid w:val="00A415A9"/>
    <w:rsid w:val="00A421AD"/>
    <w:rsid w:val="00A504E9"/>
    <w:rsid w:val="00A516F3"/>
    <w:rsid w:val="00A52074"/>
    <w:rsid w:val="00A561C6"/>
    <w:rsid w:val="00A62CA6"/>
    <w:rsid w:val="00A62CE9"/>
    <w:rsid w:val="00A634E6"/>
    <w:rsid w:val="00A66329"/>
    <w:rsid w:val="00A7056C"/>
    <w:rsid w:val="00A713B5"/>
    <w:rsid w:val="00A72388"/>
    <w:rsid w:val="00A72B72"/>
    <w:rsid w:val="00A7321B"/>
    <w:rsid w:val="00A73768"/>
    <w:rsid w:val="00A7428C"/>
    <w:rsid w:val="00A8045F"/>
    <w:rsid w:val="00A87851"/>
    <w:rsid w:val="00A87B13"/>
    <w:rsid w:val="00A92BF9"/>
    <w:rsid w:val="00A94AA0"/>
    <w:rsid w:val="00A95E88"/>
    <w:rsid w:val="00A96125"/>
    <w:rsid w:val="00AA0DC4"/>
    <w:rsid w:val="00AA167B"/>
    <w:rsid w:val="00AA377C"/>
    <w:rsid w:val="00AA425D"/>
    <w:rsid w:val="00AA6CA5"/>
    <w:rsid w:val="00AB2CAF"/>
    <w:rsid w:val="00AB5BDE"/>
    <w:rsid w:val="00AB64F6"/>
    <w:rsid w:val="00AC576F"/>
    <w:rsid w:val="00AC6CE1"/>
    <w:rsid w:val="00AD00A8"/>
    <w:rsid w:val="00AD428E"/>
    <w:rsid w:val="00AD437E"/>
    <w:rsid w:val="00AD5D80"/>
    <w:rsid w:val="00AD74A7"/>
    <w:rsid w:val="00AE49BE"/>
    <w:rsid w:val="00AE55AC"/>
    <w:rsid w:val="00AE5822"/>
    <w:rsid w:val="00AE5F8A"/>
    <w:rsid w:val="00AE5FB5"/>
    <w:rsid w:val="00AF53DB"/>
    <w:rsid w:val="00AF7AFE"/>
    <w:rsid w:val="00B01237"/>
    <w:rsid w:val="00B02086"/>
    <w:rsid w:val="00B041B3"/>
    <w:rsid w:val="00B04EA9"/>
    <w:rsid w:val="00B06017"/>
    <w:rsid w:val="00B0722F"/>
    <w:rsid w:val="00B10919"/>
    <w:rsid w:val="00B10C61"/>
    <w:rsid w:val="00B1286A"/>
    <w:rsid w:val="00B1318E"/>
    <w:rsid w:val="00B1320C"/>
    <w:rsid w:val="00B17747"/>
    <w:rsid w:val="00B21CF9"/>
    <w:rsid w:val="00B309C2"/>
    <w:rsid w:val="00B319F3"/>
    <w:rsid w:val="00B33754"/>
    <w:rsid w:val="00B36BDA"/>
    <w:rsid w:val="00B36BE0"/>
    <w:rsid w:val="00B37367"/>
    <w:rsid w:val="00B37391"/>
    <w:rsid w:val="00B40809"/>
    <w:rsid w:val="00B42D11"/>
    <w:rsid w:val="00B42FF5"/>
    <w:rsid w:val="00B450A3"/>
    <w:rsid w:val="00B61230"/>
    <w:rsid w:val="00B61250"/>
    <w:rsid w:val="00B618E8"/>
    <w:rsid w:val="00B634DB"/>
    <w:rsid w:val="00B64FF7"/>
    <w:rsid w:val="00B66014"/>
    <w:rsid w:val="00B759FB"/>
    <w:rsid w:val="00B857D0"/>
    <w:rsid w:val="00B921F3"/>
    <w:rsid w:val="00B97265"/>
    <w:rsid w:val="00BA4CDD"/>
    <w:rsid w:val="00BA70BA"/>
    <w:rsid w:val="00BA7E3E"/>
    <w:rsid w:val="00BB0517"/>
    <w:rsid w:val="00BB3BEA"/>
    <w:rsid w:val="00BC34A7"/>
    <w:rsid w:val="00BC6585"/>
    <w:rsid w:val="00BC76F2"/>
    <w:rsid w:val="00BC7BB5"/>
    <w:rsid w:val="00BD3F71"/>
    <w:rsid w:val="00BD44B5"/>
    <w:rsid w:val="00BE3C8C"/>
    <w:rsid w:val="00BE537A"/>
    <w:rsid w:val="00BE6581"/>
    <w:rsid w:val="00BE7C53"/>
    <w:rsid w:val="00BF4AEF"/>
    <w:rsid w:val="00C042FA"/>
    <w:rsid w:val="00C045E1"/>
    <w:rsid w:val="00C04A86"/>
    <w:rsid w:val="00C1161C"/>
    <w:rsid w:val="00C16AD7"/>
    <w:rsid w:val="00C20320"/>
    <w:rsid w:val="00C2384C"/>
    <w:rsid w:val="00C23FEF"/>
    <w:rsid w:val="00C245B1"/>
    <w:rsid w:val="00C27A7C"/>
    <w:rsid w:val="00C30043"/>
    <w:rsid w:val="00C33115"/>
    <w:rsid w:val="00C33755"/>
    <w:rsid w:val="00C34933"/>
    <w:rsid w:val="00C37567"/>
    <w:rsid w:val="00C40C1D"/>
    <w:rsid w:val="00C40E79"/>
    <w:rsid w:val="00C419E0"/>
    <w:rsid w:val="00C42E3C"/>
    <w:rsid w:val="00C446A3"/>
    <w:rsid w:val="00C44DF1"/>
    <w:rsid w:val="00C454C9"/>
    <w:rsid w:val="00C45C14"/>
    <w:rsid w:val="00C462F3"/>
    <w:rsid w:val="00C46ADD"/>
    <w:rsid w:val="00C477F2"/>
    <w:rsid w:val="00C47CFD"/>
    <w:rsid w:val="00C50974"/>
    <w:rsid w:val="00C51190"/>
    <w:rsid w:val="00C52730"/>
    <w:rsid w:val="00C576D2"/>
    <w:rsid w:val="00C61DBC"/>
    <w:rsid w:val="00C624AE"/>
    <w:rsid w:val="00C657CE"/>
    <w:rsid w:val="00C65B45"/>
    <w:rsid w:val="00C665AF"/>
    <w:rsid w:val="00C672AB"/>
    <w:rsid w:val="00C67BC0"/>
    <w:rsid w:val="00C7008A"/>
    <w:rsid w:val="00C718C4"/>
    <w:rsid w:val="00C72B93"/>
    <w:rsid w:val="00C73BF9"/>
    <w:rsid w:val="00C7460A"/>
    <w:rsid w:val="00C774B2"/>
    <w:rsid w:val="00C776F9"/>
    <w:rsid w:val="00C80348"/>
    <w:rsid w:val="00C83947"/>
    <w:rsid w:val="00C84D5C"/>
    <w:rsid w:val="00C91A53"/>
    <w:rsid w:val="00C93A0F"/>
    <w:rsid w:val="00C93CF3"/>
    <w:rsid w:val="00C978DA"/>
    <w:rsid w:val="00CA2979"/>
    <w:rsid w:val="00CA3ECD"/>
    <w:rsid w:val="00CA5E90"/>
    <w:rsid w:val="00CB084A"/>
    <w:rsid w:val="00CB251A"/>
    <w:rsid w:val="00CB424F"/>
    <w:rsid w:val="00CB4C99"/>
    <w:rsid w:val="00CB55DE"/>
    <w:rsid w:val="00CB69C0"/>
    <w:rsid w:val="00CB6A26"/>
    <w:rsid w:val="00CC212B"/>
    <w:rsid w:val="00CC4479"/>
    <w:rsid w:val="00CD136E"/>
    <w:rsid w:val="00CD1A83"/>
    <w:rsid w:val="00CD7B79"/>
    <w:rsid w:val="00CE0575"/>
    <w:rsid w:val="00CE1209"/>
    <w:rsid w:val="00CE274E"/>
    <w:rsid w:val="00CE5A6D"/>
    <w:rsid w:val="00CF2291"/>
    <w:rsid w:val="00D006F1"/>
    <w:rsid w:val="00D01C43"/>
    <w:rsid w:val="00D069E0"/>
    <w:rsid w:val="00D077F0"/>
    <w:rsid w:val="00D137EA"/>
    <w:rsid w:val="00D15F22"/>
    <w:rsid w:val="00D169F2"/>
    <w:rsid w:val="00D20D83"/>
    <w:rsid w:val="00D23AE1"/>
    <w:rsid w:val="00D2420F"/>
    <w:rsid w:val="00D256C0"/>
    <w:rsid w:val="00D31DDD"/>
    <w:rsid w:val="00D32A80"/>
    <w:rsid w:val="00D3579A"/>
    <w:rsid w:val="00D37C0B"/>
    <w:rsid w:val="00D403C5"/>
    <w:rsid w:val="00D4585F"/>
    <w:rsid w:val="00D47CAE"/>
    <w:rsid w:val="00D509E6"/>
    <w:rsid w:val="00D50BA3"/>
    <w:rsid w:val="00D50C72"/>
    <w:rsid w:val="00D52FF9"/>
    <w:rsid w:val="00D53255"/>
    <w:rsid w:val="00D532C3"/>
    <w:rsid w:val="00D538D6"/>
    <w:rsid w:val="00D54A4F"/>
    <w:rsid w:val="00D6138F"/>
    <w:rsid w:val="00D624B9"/>
    <w:rsid w:val="00D6331D"/>
    <w:rsid w:val="00D6371B"/>
    <w:rsid w:val="00D642F5"/>
    <w:rsid w:val="00D7138D"/>
    <w:rsid w:val="00D7526C"/>
    <w:rsid w:val="00D77234"/>
    <w:rsid w:val="00D80501"/>
    <w:rsid w:val="00D81394"/>
    <w:rsid w:val="00D83C6D"/>
    <w:rsid w:val="00D85470"/>
    <w:rsid w:val="00D86D72"/>
    <w:rsid w:val="00D914B1"/>
    <w:rsid w:val="00D91668"/>
    <w:rsid w:val="00D93C6C"/>
    <w:rsid w:val="00D961CF"/>
    <w:rsid w:val="00D965AB"/>
    <w:rsid w:val="00D965BD"/>
    <w:rsid w:val="00D96611"/>
    <w:rsid w:val="00DA5A7B"/>
    <w:rsid w:val="00DA7326"/>
    <w:rsid w:val="00DB3696"/>
    <w:rsid w:val="00DB3A18"/>
    <w:rsid w:val="00DB761D"/>
    <w:rsid w:val="00DC418F"/>
    <w:rsid w:val="00DD4EC4"/>
    <w:rsid w:val="00DD5468"/>
    <w:rsid w:val="00DD6F40"/>
    <w:rsid w:val="00DE201D"/>
    <w:rsid w:val="00DF1EBF"/>
    <w:rsid w:val="00DF29FB"/>
    <w:rsid w:val="00DF3B2F"/>
    <w:rsid w:val="00DF48F2"/>
    <w:rsid w:val="00DF4BB1"/>
    <w:rsid w:val="00E0028F"/>
    <w:rsid w:val="00E0383F"/>
    <w:rsid w:val="00E03A13"/>
    <w:rsid w:val="00E03C54"/>
    <w:rsid w:val="00E045DD"/>
    <w:rsid w:val="00E0525C"/>
    <w:rsid w:val="00E1059E"/>
    <w:rsid w:val="00E120F0"/>
    <w:rsid w:val="00E14F1D"/>
    <w:rsid w:val="00E20A7B"/>
    <w:rsid w:val="00E20C07"/>
    <w:rsid w:val="00E22829"/>
    <w:rsid w:val="00E3004D"/>
    <w:rsid w:val="00E3005E"/>
    <w:rsid w:val="00E30E62"/>
    <w:rsid w:val="00E31B6C"/>
    <w:rsid w:val="00E3509B"/>
    <w:rsid w:val="00E3537D"/>
    <w:rsid w:val="00E36C78"/>
    <w:rsid w:val="00E401C4"/>
    <w:rsid w:val="00E42F0F"/>
    <w:rsid w:val="00E45044"/>
    <w:rsid w:val="00E45514"/>
    <w:rsid w:val="00E504BD"/>
    <w:rsid w:val="00E537D1"/>
    <w:rsid w:val="00E55655"/>
    <w:rsid w:val="00E621A8"/>
    <w:rsid w:val="00E7044D"/>
    <w:rsid w:val="00E72AA8"/>
    <w:rsid w:val="00E72BBB"/>
    <w:rsid w:val="00E81B66"/>
    <w:rsid w:val="00E8389F"/>
    <w:rsid w:val="00E84983"/>
    <w:rsid w:val="00E87E11"/>
    <w:rsid w:val="00E90FDD"/>
    <w:rsid w:val="00E91C59"/>
    <w:rsid w:val="00E96805"/>
    <w:rsid w:val="00EA115D"/>
    <w:rsid w:val="00EB1109"/>
    <w:rsid w:val="00EB2C29"/>
    <w:rsid w:val="00EB2DBC"/>
    <w:rsid w:val="00EB3505"/>
    <w:rsid w:val="00EB3E6D"/>
    <w:rsid w:val="00EB3EF5"/>
    <w:rsid w:val="00EB474D"/>
    <w:rsid w:val="00EB5D5A"/>
    <w:rsid w:val="00EB6A2C"/>
    <w:rsid w:val="00EB71F2"/>
    <w:rsid w:val="00EC1078"/>
    <w:rsid w:val="00EC4EDE"/>
    <w:rsid w:val="00EC65ED"/>
    <w:rsid w:val="00EC6E3E"/>
    <w:rsid w:val="00ED3E70"/>
    <w:rsid w:val="00ED4091"/>
    <w:rsid w:val="00ED5E11"/>
    <w:rsid w:val="00ED680E"/>
    <w:rsid w:val="00ED7B4B"/>
    <w:rsid w:val="00EE07BC"/>
    <w:rsid w:val="00EE2AFA"/>
    <w:rsid w:val="00EE3B43"/>
    <w:rsid w:val="00EE4615"/>
    <w:rsid w:val="00EE4642"/>
    <w:rsid w:val="00EE4646"/>
    <w:rsid w:val="00EF0721"/>
    <w:rsid w:val="00EF0B98"/>
    <w:rsid w:val="00EF20A1"/>
    <w:rsid w:val="00F0229B"/>
    <w:rsid w:val="00F04116"/>
    <w:rsid w:val="00F12CCA"/>
    <w:rsid w:val="00F16A12"/>
    <w:rsid w:val="00F16BA1"/>
    <w:rsid w:val="00F200FB"/>
    <w:rsid w:val="00F233DA"/>
    <w:rsid w:val="00F25112"/>
    <w:rsid w:val="00F26471"/>
    <w:rsid w:val="00F31218"/>
    <w:rsid w:val="00F355CA"/>
    <w:rsid w:val="00F37524"/>
    <w:rsid w:val="00F435EB"/>
    <w:rsid w:val="00F535DE"/>
    <w:rsid w:val="00F55043"/>
    <w:rsid w:val="00F55C44"/>
    <w:rsid w:val="00F57198"/>
    <w:rsid w:val="00F62CD0"/>
    <w:rsid w:val="00F63CB5"/>
    <w:rsid w:val="00F64B6C"/>
    <w:rsid w:val="00F65D80"/>
    <w:rsid w:val="00F7039A"/>
    <w:rsid w:val="00F71261"/>
    <w:rsid w:val="00F74A9C"/>
    <w:rsid w:val="00F770EC"/>
    <w:rsid w:val="00F7776A"/>
    <w:rsid w:val="00F86029"/>
    <w:rsid w:val="00F87873"/>
    <w:rsid w:val="00F936A8"/>
    <w:rsid w:val="00F9473B"/>
    <w:rsid w:val="00F95647"/>
    <w:rsid w:val="00FA3F7F"/>
    <w:rsid w:val="00FA7729"/>
    <w:rsid w:val="00FB2A20"/>
    <w:rsid w:val="00FB2AAD"/>
    <w:rsid w:val="00FB2C86"/>
    <w:rsid w:val="00FB5098"/>
    <w:rsid w:val="00FB5530"/>
    <w:rsid w:val="00FC0A14"/>
    <w:rsid w:val="00FC4373"/>
    <w:rsid w:val="00FC6561"/>
    <w:rsid w:val="00FC67BA"/>
    <w:rsid w:val="00FC741B"/>
    <w:rsid w:val="00FC7C26"/>
    <w:rsid w:val="00FD0995"/>
    <w:rsid w:val="00FD36DD"/>
    <w:rsid w:val="00FD4916"/>
    <w:rsid w:val="00FD4F02"/>
    <w:rsid w:val="00FD6021"/>
    <w:rsid w:val="00FD6E30"/>
    <w:rsid w:val="00FE06BE"/>
    <w:rsid w:val="00FE26D3"/>
    <w:rsid w:val="00FE6BAA"/>
    <w:rsid w:val="00FE7CB2"/>
    <w:rsid w:val="00FF2E8A"/>
    <w:rsid w:val="00FF47E6"/>
    <w:rsid w:val="01B97F5E"/>
    <w:rsid w:val="02670DCF"/>
    <w:rsid w:val="02C67529"/>
    <w:rsid w:val="034D2939"/>
    <w:rsid w:val="03DD6186"/>
    <w:rsid w:val="043164D2"/>
    <w:rsid w:val="04481B3B"/>
    <w:rsid w:val="04DB69C7"/>
    <w:rsid w:val="04DE59C9"/>
    <w:rsid w:val="052E66A2"/>
    <w:rsid w:val="05373674"/>
    <w:rsid w:val="056C2AC8"/>
    <w:rsid w:val="06744454"/>
    <w:rsid w:val="0687687D"/>
    <w:rsid w:val="078D3A1F"/>
    <w:rsid w:val="082F4AD6"/>
    <w:rsid w:val="087921F6"/>
    <w:rsid w:val="08CE609D"/>
    <w:rsid w:val="08D94A4A"/>
    <w:rsid w:val="09332050"/>
    <w:rsid w:val="09336848"/>
    <w:rsid w:val="09371E95"/>
    <w:rsid w:val="093A7BD7"/>
    <w:rsid w:val="094840A2"/>
    <w:rsid w:val="09652865"/>
    <w:rsid w:val="097D3D26"/>
    <w:rsid w:val="0993046C"/>
    <w:rsid w:val="09B90AFC"/>
    <w:rsid w:val="09C1299A"/>
    <w:rsid w:val="09CB082F"/>
    <w:rsid w:val="0A2166A1"/>
    <w:rsid w:val="0AC22D4B"/>
    <w:rsid w:val="0ADA2F69"/>
    <w:rsid w:val="0AE10BBF"/>
    <w:rsid w:val="0B4B7E79"/>
    <w:rsid w:val="0BBA5614"/>
    <w:rsid w:val="0BBD0185"/>
    <w:rsid w:val="0C9E222B"/>
    <w:rsid w:val="0D011260"/>
    <w:rsid w:val="0D9901FA"/>
    <w:rsid w:val="0DDF432E"/>
    <w:rsid w:val="0E5057A5"/>
    <w:rsid w:val="0EAD2BF9"/>
    <w:rsid w:val="0EFB2FA6"/>
    <w:rsid w:val="0F0A004B"/>
    <w:rsid w:val="0F5372FC"/>
    <w:rsid w:val="0F5D4929"/>
    <w:rsid w:val="0FC71A98"/>
    <w:rsid w:val="0FDE750E"/>
    <w:rsid w:val="0FEC4946"/>
    <w:rsid w:val="10F22B45"/>
    <w:rsid w:val="11317B11"/>
    <w:rsid w:val="11382C4E"/>
    <w:rsid w:val="11E85CAC"/>
    <w:rsid w:val="11E86967"/>
    <w:rsid w:val="11EA4A5D"/>
    <w:rsid w:val="123426ED"/>
    <w:rsid w:val="124A70DD"/>
    <w:rsid w:val="1330335A"/>
    <w:rsid w:val="13492913"/>
    <w:rsid w:val="135A0648"/>
    <w:rsid w:val="13DD7ADC"/>
    <w:rsid w:val="13E13626"/>
    <w:rsid w:val="140915D6"/>
    <w:rsid w:val="14AB42D7"/>
    <w:rsid w:val="14AC342D"/>
    <w:rsid w:val="14DC1B42"/>
    <w:rsid w:val="15475B55"/>
    <w:rsid w:val="155C2C83"/>
    <w:rsid w:val="159863B1"/>
    <w:rsid w:val="15F66C34"/>
    <w:rsid w:val="1614131D"/>
    <w:rsid w:val="162A4659"/>
    <w:rsid w:val="1695644C"/>
    <w:rsid w:val="16A80AB8"/>
    <w:rsid w:val="16B6476F"/>
    <w:rsid w:val="172A480E"/>
    <w:rsid w:val="17400AAE"/>
    <w:rsid w:val="17467C1C"/>
    <w:rsid w:val="178875F0"/>
    <w:rsid w:val="17D17D9B"/>
    <w:rsid w:val="17D31922"/>
    <w:rsid w:val="188F5E4E"/>
    <w:rsid w:val="18DA6CE0"/>
    <w:rsid w:val="18F51424"/>
    <w:rsid w:val="1938661F"/>
    <w:rsid w:val="1986454E"/>
    <w:rsid w:val="19BD2F50"/>
    <w:rsid w:val="19C071A3"/>
    <w:rsid w:val="19D653D3"/>
    <w:rsid w:val="19E576EB"/>
    <w:rsid w:val="19ED457C"/>
    <w:rsid w:val="1A645AE6"/>
    <w:rsid w:val="1A732F49"/>
    <w:rsid w:val="1A9F3EA8"/>
    <w:rsid w:val="1AAC566E"/>
    <w:rsid w:val="1AF62448"/>
    <w:rsid w:val="1B080EE5"/>
    <w:rsid w:val="1B326FF0"/>
    <w:rsid w:val="1BA03070"/>
    <w:rsid w:val="1C760ACE"/>
    <w:rsid w:val="1C856F63"/>
    <w:rsid w:val="1CA078F9"/>
    <w:rsid w:val="1CCE26B8"/>
    <w:rsid w:val="1CE617B0"/>
    <w:rsid w:val="1CF00880"/>
    <w:rsid w:val="1D475092"/>
    <w:rsid w:val="1D743260"/>
    <w:rsid w:val="1E901E0D"/>
    <w:rsid w:val="1EFC4C0E"/>
    <w:rsid w:val="1F3709E9"/>
    <w:rsid w:val="1F5511FE"/>
    <w:rsid w:val="1F791B4A"/>
    <w:rsid w:val="1FF922F7"/>
    <w:rsid w:val="203A6C9D"/>
    <w:rsid w:val="2059673D"/>
    <w:rsid w:val="21396C67"/>
    <w:rsid w:val="2164183D"/>
    <w:rsid w:val="21DD632A"/>
    <w:rsid w:val="227E06DD"/>
    <w:rsid w:val="23243032"/>
    <w:rsid w:val="235D1A58"/>
    <w:rsid w:val="236E508A"/>
    <w:rsid w:val="23863CED"/>
    <w:rsid w:val="23893375"/>
    <w:rsid w:val="238D1F9C"/>
    <w:rsid w:val="23D049E7"/>
    <w:rsid w:val="23E6478B"/>
    <w:rsid w:val="243169FD"/>
    <w:rsid w:val="245B0CD5"/>
    <w:rsid w:val="245E2574"/>
    <w:rsid w:val="24A16641"/>
    <w:rsid w:val="24B6092B"/>
    <w:rsid w:val="24CF3471"/>
    <w:rsid w:val="24F31A54"/>
    <w:rsid w:val="252F0496"/>
    <w:rsid w:val="253B1F59"/>
    <w:rsid w:val="254C6870"/>
    <w:rsid w:val="254E083A"/>
    <w:rsid w:val="25787562"/>
    <w:rsid w:val="25E23C92"/>
    <w:rsid w:val="262E49A9"/>
    <w:rsid w:val="27CD5B6C"/>
    <w:rsid w:val="27DB04A1"/>
    <w:rsid w:val="28884B08"/>
    <w:rsid w:val="28A30E9D"/>
    <w:rsid w:val="28C17575"/>
    <w:rsid w:val="28DD6A42"/>
    <w:rsid w:val="28E60D8A"/>
    <w:rsid w:val="28F72F97"/>
    <w:rsid w:val="291C47AB"/>
    <w:rsid w:val="29946A38"/>
    <w:rsid w:val="299E589B"/>
    <w:rsid w:val="29DD2289"/>
    <w:rsid w:val="2A0674B9"/>
    <w:rsid w:val="2A19342E"/>
    <w:rsid w:val="2A3C67F8"/>
    <w:rsid w:val="2A7C19A5"/>
    <w:rsid w:val="2A9E6EDA"/>
    <w:rsid w:val="2AC259E9"/>
    <w:rsid w:val="2AC5334C"/>
    <w:rsid w:val="2B0C0F7B"/>
    <w:rsid w:val="2B2208D5"/>
    <w:rsid w:val="2B2622F4"/>
    <w:rsid w:val="2B5244B4"/>
    <w:rsid w:val="2B942D1F"/>
    <w:rsid w:val="2BCE7FDF"/>
    <w:rsid w:val="2C6820E3"/>
    <w:rsid w:val="2CCE2260"/>
    <w:rsid w:val="2D0A773C"/>
    <w:rsid w:val="2D2A56E9"/>
    <w:rsid w:val="2DFE0923"/>
    <w:rsid w:val="2E204D3E"/>
    <w:rsid w:val="2E290480"/>
    <w:rsid w:val="2E533A1D"/>
    <w:rsid w:val="2E84707B"/>
    <w:rsid w:val="2EC76F67"/>
    <w:rsid w:val="2F033AB7"/>
    <w:rsid w:val="2F446A2D"/>
    <w:rsid w:val="2F677293"/>
    <w:rsid w:val="2FB35E69"/>
    <w:rsid w:val="2FC35FA3"/>
    <w:rsid w:val="2FC604F2"/>
    <w:rsid w:val="2FF124EE"/>
    <w:rsid w:val="30512DC8"/>
    <w:rsid w:val="305807BF"/>
    <w:rsid w:val="30BA0FA5"/>
    <w:rsid w:val="30EE4C7F"/>
    <w:rsid w:val="31556AAC"/>
    <w:rsid w:val="316664D2"/>
    <w:rsid w:val="319E66A5"/>
    <w:rsid w:val="31AD68E8"/>
    <w:rsid w:val="31B5579D"/>
    <w:rsid w:val="3227669B"/>
    <w:rsid w:val="32697E49"/>
    <w:rsid w:val="32B0267D"/>
    <w:rsid w:val="333728F4"/>
    <w:rsid w:val="334A56F6"/>
    <w:rsid w:val="33953AD8"/>
    <w:rsid w:val="33C211E4"/>
    <w:rsid w:val="34AF289E"/>
    <w:rsid w:val="34CE1050"/>
    <w:rsid w:val="355276CD"/>
    <w:rsid w:val="37875802"/>
    <w:rsid w:val="37DC1CD5"/>
    <w:rsid w:val="3801173C"/>
    <w:rsid w:val="385E093C"/>
    <w:rsid w:val="38DC4DE4"/>
    <w:rsid w:val="393671C3"/>
    <w:rsid w:val="397A5D84"/>
    <w:rsid w:val="3A38257A"/>
    <w:rsid w:val="3A773D1D"/>
    <w:rsid w:val="3A867F2D"/>
    <w:rsid w:val="3AC56A51"/>
    <w:rsid w:val="3ADE3FB6"/>
    <w:rsid w:val="3B0A7F94"/>
    <w:rsid w:val="3B337E5E"/>
    <w:rsid w:val="3B3836C7"/>
    <w:rsid w:val="3BDB4052"/>
    <w:rsid w:val="3BE148F5"/>
    <w:rsid w:val="3C0C2E90"/>
    <w:rsid w:val="3C153A08"/>
    <w:rsid w:val="3C243C4B"/>
    <w:rsid w:val="3CAF5C0A"/>
    <w:rsid w:val="3D0E228D"/>
    <w:rsid w:val="3D4E1DD8"/>
    <w:rsid w:val="3D62758B"/>
    <w:rsid w:val="3D6F398A"/>
    <w:rsid w:val="3D8F6979"/>
    <w:rsid w:val="3D9E1027"/>
    <w:rsid w:val="3DC54C33"/>
    <w:rsid w:val="3DF17B5D"/>
    <w:rsid w:val="3DF37D79"/>
    <w:rsid w:val="3E5500EC"/>
    <w:rsid w:val="3E6447D3"/>
    <w:rsid w:val="3E75078E"/>
    <w:rsid w:val="3F853255"/>
    <w:rsid w:val="3FBF68F1"/>
    <w:rsid w:val="3FCB4391"/>
    <w:rsid w:val="3FD1231A"/>
    <w:rsid w:val="3FE639A2"/>
    <w:rsid w:val="404B17A6"/>
    <w:rsid w:val="404E1D8E"/>
    <w:rsid w:val="407103DB"/>
    <w:rsid w:val="40BA14D7"/>
    <w:rsid w:val="41A203A0"/>
    <w:rsid w:val="41B11ADD"/>
    <w:rsid w:val="41DD26A1"/>
    <w:rsid w:val="41E974C9"/>
    <w:rsid w:val="41FF63AE"/>
    <w:rsid w:val="421D53C4"/>
    <w:rsid w:val="430B7913"/>
    <w:rsid w:val="4320516C"/>
    <w:rsid w:val="432D5ADB"/>
    <w:rsid w:val="43763C03"/>
    <w:rsid w:val="43BB30E7"/>
    <w:rsid w:val="444361EB"/>
    <w:rsid w:val="444F0682"/>
    <w:rsid w:val="447D65EE"/>
    <w:rsid w:val="44F17A51"/>
    <w:rsid w:val="455B5C08"/>
    <w:rsid w:val="459E4A6E"/>
    <w:rsid w:val="45DA6781"/>
    <w:rsid w:val="45E5444B"/>
    <w:rsid w:val="46024881"/>
    <w:rsid w:val="46432AD9"/>
    <w:rsid w:val="46625A9C"/>
    <w:rsid w:val="46991FE4"/>
    <w:rsid w:val="46CB71DA"/>
    <w:rsid w:val="470B1C8F"/>
    <w:rsid w:val="47C65E4E"/>
    <w:rsid w:val="48155F21"/>
    <w:rsid w:val="48765416"/>
    <w:rsid w:val="487815A6"/>
    <w:rsid w:val="48C6265B"/>
    <w:rsid w:val="48CA1E2D"/>
    <w:rsid w:val="491679AE"/>
    <w:rsid w:val="496E6EFB"/>
    <w:rsid w:val="49A32653"/>
    <w:rsid w:val="49CF51F6"/>
    <w:rsid w:val="4A410DF2"/>
    <w:rsid w:val="4B3F63AB"/>
    <w:rsid w:val="4BBA0D7E"/>
    <w:rsid w:val="4C602A7D"/>
    <w:rsid w:val="4C7346A9"/>
    <w:rsid w:val="4CC8541E"/>
    <w:rsid w:val="4D007DBC"/>
    <w:rsid w:val="4D05547B"/>
    <w:rsid w:val="4D083DDA"/>
    <w:rsid w:val="4D7C7F66"/>
    <w:rsid w:val="4DC34CC0"/>
    <w:rsid w:val="4E061402"/>
    <w:rsid w:val="4E251F0A"/>
    <w:rsid w:val="4E497F1B"/>
    <w:rsid w:val="4E4C60BF"/>
    <w:rsid w:val="4E5D33F6"/>
    <w:rsid w:val="4E72372F"/>
    <w:rsid w:val="4E826BA1"/>
    <w:rsid w:val="4E8D0540"/>
    <w:rsid w:val="4F244236"/>
    <w:rsid w:val="4F312E9A"/>
    <w:rsid w:val="4F3E697A"/>
    <w:rsid w:val="4FB262DF"/>
    <w:rsid w:val="4FD827A2"/>
    <w:rsid w:val="502913D8"/>
    <w:rsid w:val="50324731"/>
    <w:rsid w:val="506A1CDA"/>
    <w:rsid w:val="508B5BEF"/>
    <w:rsid w:val="50F1639A"/>
    <w:rsid w:val="510E0CFA"/>
    <w:rsid w:val="512D64A3"/>
    <w:rsid w:val="513145D7"/>
    <w:rsid w:val="51DB264E"/>
    <w:rsid w:val="51DC4954"/>
    <w:rsid w:val="52013E99"/>
    <w:rsid w:val="52884ADC"/>
    <w:rsid w:val="532A5B93"/>
    <w:rsid w:val="535A4741"/>
    <w:rsid w:val="53EA4E40"/>
    <w:rsid w:val="54EF45B2"/>
    <w:rsid w:val="550F5041"/>
    <w:rsid w:val="555C7B5A"/>
    <w:rsid w:val="55BB6F76"/>
    <w:rsid w:val="55FF2E68"/>
    <w:rsid w:val="561C68FE"/>
    <w:rsid w:val="5627460C"/>
    <w:rsid w:val="56B45E9F"/>
    <w:rsid w:val="56EB290C"/>
    <w:rsid w:val="56FA05E0"/>
    <w:rsid w:val="57205312"/>
    <w:rsid w:val="572A6162"/>
    <w:rsid w:val="575B4970"/>
    <w:rsid w:val="575C02E5"/>
    <w:rsid w:val="57E05754"/>
    <w:rsid w:val="584A5D0C"/>
    <w:rsid w:val="585C0258"/>
    <w:rsid w:val="58953240"/>
    <w:rsid w:val="58EA0B58"/>
    <w:rsid w:val="595F5340"/>
    <w:rsid w:val="597102CD"/>
    <w:rsid w:val="59995F05"/>
    <w:rsid w:val="59D6437F"/>
    <w:rsid w:val="59E7033A"/>
    <w:rsid w:val="5AA42EE1"/>
    <w:rsid w:val="5AB20E18"/>
    <w:rsid w:val="5ABA77FD"/>
    <w:rsid w:val="5ADD04B0"/>
    <w:rsid w:val="5AF25FAF"/>
    <w:rsid w:val="5B266F2F"/>
    <w:rsid w:val="5BC14BBB"/>
    <w:rsid w:val="5BE663CF"/>
    <w:rsid w:val="5C321615"/>
    <w:rsid w:val="5C493DA9"/>
    <w:rsid w:val="5CF76AE6"/>
    <w:rsid w:val="5D02128C"/>
    <w:rsid w:val="5D0E5BDE"/>
    <w:rsid w:val="5D9500AD"/>
    <w:rsid w:val="5DFE5C52"/>
    <w:rsid w:val="5E127A94"/>
    <w:rsid w:val="5EC2103E"/>
    <w:rsid w:val="5EED5DDF"/>
    <w:rsid w:val="5EF57055"/>
    <w:rsid w:val="5F3651D2"/>
    <w:rsid w:val="5F667F53"/>
    <w:rsid w:val="5FB567E4"/>
    <w:rsid w:val="60116111"/>
    <w:rsid w:val="60D50914"/>
    <w:rsid w:val="616B35FF"/>
    <w:rsid w:val="61747C2C"/>
    <w:rsid w:val="61925B38"/>
    <w:rsid w:val="61E0223F"/>
    <w:rsid w:val="62145A44"/>
    <w:rsid w:val="62275A9D"/>
    <w:rsid w:val="62A274F4"/>
    <w:rsid w:val="62F53B9C"/>
    <w:rsid w:val="63217375"/>
    <w:rsid w:val="63473BF7"/>
    <w:rsid w:val="6359415A"/>
    <w:rsid w:val="63E22CDB"/>
    <w:rsid w:val="64490C49"/>
    <w:rsid w:val="6490325C"/>
    <w:rsid w:val="64DC42B2"/>
    <w:rsid w:val="65000502"/>
    <w:rsid w:val="65693D31"/>
    <w:rsid w:val="65B337C6"/>
    <w:rsid w:val="65D04378"/>
    <w:rsid w:val="66832C22"/>
    <w:rsid w:val="668F4233"/>
    <w:rsid w:val="66CD2666"/>
    <w:rsid w:val="66D957E8"/>
    <w:rsid w:val="67446DCC"/>
    <w:rsid w:val="67451519"/>
    <w:rsid w:val="67E61601"/>
    <w:rsid w:val="68706054"/>
    <w:rsid w:val="68880F3A"/>
    <w:rsid w:val="688A0DE6"/>
    <w:rsid w:val="68917B90"/>
    <w:rsid w:val="68945B31"/>
    <w:rsid w:val="689C543D"/>
    <w:rsid w:val="68D77363"/>
    <w:rsid w:val="68F02F9E"/>
    <w:rsid w:val="691D1DC4"/>
    <w:rsid w:val="692C5D69"/>
    <w:rsid w:val="693A33BA"/>
    <w:rsid w:val="69601EB7"/>
    <w:rsid w:val="699A7177"/>
    <w:rsid w:val="69CF4947"/>
    <w:rsid w:val="69D567AB"/>
    <w:rsid w:val="6A2E5B11"/>
    <w:rsid w:val="6A4626EF"/>
    <w:rsid w:val="6A5135AE"/>
    <w:rsid w:val="6A7C706D"/>
    <w:rsid w:val="6AC6443E"/>
    <w:rsid w:val="6ADF74D7"/>
    <w:rsid w:val="6BB64010"/>
    <w:rsid w:val="6BBD539F"/>
    <w:rsid w:val="6BC02799"/>
    <w:rsid w:val="6BCA186A"/>
    <w:rsid w:val="6C0563E5"/>
    <w:rsid w:val="6C0B610A"/>
    <w:rsid w:val="6C6C0C3F"/>
    <w:rsid w:val="6C89702F"/>
    <w:rsid w:val="6C917B8F"/>
    <w:rsid w:val="6CBA18DE"/>
    <w:rsid w:val="6CEB1A97"/>
    <w:rsid w:val="6CF303EA"/>
    <w:rsid w:val="6DAD049D"/>
    <w:rsid w:val="6E107525"/>
    <w:rsid w:val="6E611E12"/>
    <w:rsid w:val="6E7E0654"/>
    <w:rsid w:val="6E9F2B3A"/>
    <w:rsid w:val="6ECD387A"/>
    <w:rsid w:val="6F26325B"/>
    <w:rsid w:val="6F2F03DB"/>
    <w:rsid w:val="6F805CB9"/>
    <w:rsid w:val="6FDB5B29"/>
    <w:rsid w:val="6FF139B8"/>
    <w:rsid w:val="70064409"/>
    <w:rsid w:val="70963C86"/>
    <w:rsid w:val="709D16AE"/>
    <w:rsid w:val="70A068F9"/>
    <w:rsid w:val="718F4844"/>
    <w:rsid w:val="71D21478"/>
    <w:rsid w:val="72127AC6"/>
    <w:rsid w:val="726522EC"/>
    <w:rsid w:val="731A1328"/>
    <w:rsid w:val="733541ED"/>
    <w:rsid w:val="733B7698"/>
    <w:rsid w:val="7343262D"/>
    <w:rsid w:val="73440153"/>
    <w:rsid w:val="735356C4"/>
    <w:rsid w:val="73B726D3"/>
    <w:rsid w:val="73D74111"/>
    <w:rsid w:val="746318AB"/>
    <w:rsid w:val="74850A24"/>
    <w:rsid w:val="748E5C99"/>
    <w:rsid w:val="74A72748"/>
    <w:rsid w:val="74BF2C7A"/>
    <w:rsid w:val="751C1388"/>
    <w:rsid w:val="75422471"/>
    <w:rsid w:val="75510906"/>
    <w:rsid w:val="75682D8E"/>
    <w:rsid w:val="758D193E"/>
    <w:rsid w:val="75A31161"/>
    <w:rsid w:val="75D25B10"/>
    <w:rsid w:val="76051E1C"/>
    <w:rsid w:val="761C69A3"/>
    <w:rsid w:val="762027B2"/>
    <w:rsid w:val="76442929"/>
    <w:rsid w:val="764C17F9"/>
    <w:rsid w:val="76B717B7"/>
    <w:rsid w:val="76C27A63"/>
    <w:rsid w:val="76D028FA"/>
    <w:rsid w:val="776112D4"/>
    <w:rsid w:val="77702A42"/>
    <w:rsid w:val="77A17072"/>
    <w:rsid w:val="794A5D98"/>
    <w:rsid w:val="795409C4"/>
    <w:rsid w:val="79856DD0"/>
    <w:rsid w:val="799B6145"/>
    <w:rsid w:val="7A3E5889"/>
    <w:rsid w:val="7A4606C0"/>
    <w:rsid w:val="7A715CD2"/>
    <w:rsid w:val="7ADD76F1"/>
    <w:rsid w:val="7AE30252"/>
    <w:rsid w:val="7AF60F49"/>
    <w:rsid w:val="7B1A0118"/>
    <w:rsid w:val="7B4F7695"/>
    <w:rsid w:val="7B8330AA"/>
    <w:rsid w:val="7B835FAF"/>
    <w:rsid w:val="7BA43E85"/>
    <w:rsid w:val="7BBE3424"/>
    <w:rsid w:val="7C0861C2"/>
    <w:rsid w:val="7C95557C"/>
    <w:rsid w:val="7CED7166"/>
    <w:rsid w:val="7D1B3CD3"/>
    <w:rsid w:val="7E0328BC"/>
    <w:rsid w:val="7E4F47F2"/>
    <w:rsid w:val="7E5F22E5"/>
    <w:rsid w:val="7EBB576E"/>
    <w:rsid w:val="7EE66563"/>
    <w:rsid w:val="7FAC1FBF"/>
    <w:rsid w:val="7FAF2DF8"/>
    <w:rsid w:val="7FF30F37"/>
    <w:rsid w:val="7FF57E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2"/>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1"/>
    <w:link w:val="3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9"/>
    <w:semiHidden/>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6">
    <w:name w:val="Normal Indent"/>
    <w:basedOn w:val="1"/>
    <w:next w:val="7"/>
    <w:qFormat/>
    <w:uiPriority w:val="0"/>
    <w:pPr>
      <w:ind w:firstLine="420"/>
    </w:pPr>
  </w:style>
  <w:style w:type="paragraph" w:styleId="7">
    <w:name w:val="envelope return"/>
    <w:basedOn w:val="1"/>
    <w:qFormat/>
    <w:uiPriority w:val="0"/>
    <w:pPr>
      <w:snapToGrid w:val="0"/>
    </w:pPr>
    <w:rPr>
      <w:rFonts w:ascii="Arial" w:hAnsi="Arial" w:eastAsia="仿宋_GB2312"/>
      <w:sz w:val="32"/>
    </w:rPr>
  </w:style>
  <w:style w:type="paragraph" w:styleId="8">
    <w:name w:val="annotation text"/>
    <w:basedOn w:val="1"/>
    <w:semiHidden/>
    <w:unhideWhenUsed/>
    <w:qFormat/>
    <w:uiPriority w:val="99"/>
    <w:pPr>
      <w:jc w:val="left"/>
    </w:pPr>
  </w:style>
  <w:style w:type="paragraph" w:styleId="9">
    <w:name w:val="toc 3"/>
    <w:basedOn w:val="1"/>
    <w:next w:val="1"/>
    <w:semiHidden/>
    <w:unhideWhenUsed/>
    <w:qFormat/>
    <w:uiPriority w:val="39"/>
    <w:pPr>
      <w:ind w:left="840" w:leftChars="400"/>
    </w:pPr>
  </w:style>
  <w:style w:type="paragraph" w:styleId="10">
    <w:name w:val="Date"/>
    <w:basedOn w:val="1"/>
    <w:next w:val="1"/>
    <w:link w:val="47"/>
    <w:semiHidden/>
    <w:unhideWhenUsed/>
    <w:qFormat/>
    <w:uiPriority w:val="99"/>
    <w:pPr>
      <w:ind w:left="100" w:leftChars="2500"/>
    </w:pPr>
  </w:style>
  <w:style w:type="paragraph" w:styleId="11">
    <w:name w:val="Body Text Indent 2"/>
    <w:basedOn w:val="1"/>
    <w:link w:val="40"/>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8"/>
    <w:semiHidden/>
    <w:unhideWhenUsed/>
    <w:qFormat/>
    <w:uiPriority w:val="99"/>
    <w:rPr>
      <w:sz w:val="18"/>
      <w:szCs w:val="18"/>
    </w:rPr>
  </w:style>
  <w:style w:type="paragraph" w:styleId="13">
    <w:name w:val="footer"/>
    <w:basedOn w:val="1"/>
    <w:link w:val="27"/>
    <w:unhideWhenUsed/>
    <w:qFormat/>
    <w:uiPriority w:val="99"/>
    <w:pPr>
      <w:tabs>
        <w:tab w:val="center" w:pos="4153"/>
        <w:tab w:val="right" w:pos="8306"/>
      </w:tabs>
      <w:snapToGrid w:val="0"/>
      <w:jc w:val="left"/>
    </w:pPr>
    <w:rPr>
      <w:sz w:val="18"/>
      <w:szCs w:val="18"/>
    </w:rPr>
  </w:style>
  <w:style w:type="paragraph" w:styleId="14">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Subtitle"/>
    <w:basedOn w:val="1"/>
    <w:next w:val="1"/>
    <w:link w:val="36"/>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unhideWhenUsed/>
    <w:qFormat/>
    <w:uiPriority w:val="39"/>
    <w:pPr>
      <w:tabs>
        <w:tab w:val="right" w:leader="dot" w:pos="9344"/>
      </w:tabs>
      <w:ind w:left="420" w:leftChars="200"/>
    </w:pPr>
  </w:style>
  <w:style w:type="paragraph" w:styleId="1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7"/>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Emphasis"/>
    <w:qFormat/>
    <w:uiPriority w:val="20"/>
    <w:rPr>
      <w:i/>
      <w:iCs/>
    </w:rPr>
  </w:style>
  <w:style w:type="character" w:styleId="24">
    <w:name w:val="Hyperlink"/>
    <w:basedOn w:val="22"/>
    <w:unhideWhenUsed/>
    <w:qFormat/>
    <w:uiPriority w:val="99"/>
    <w:rPr>
      <w:color w:val="0000FF" w:themeColor="hyperlink"/>
      <w:u w:val="single"/>
      <w14:textFill>
        <w14:solidFill>
          <w14:schemeClr w14:val="hlink"/>
        </w14:solidFill>
      </w14:textFill>
    </w:rPr>
  </w:style>
  <w:style w:type="character" w:styleId="25">
    <w:name w:val="annotation reference"/>
    <w:basedOn w:val="22"/>
    <w:semiHidden/>
    <w:unhideWhenUsed/>
    <w:qFormat/>
    <w:uiPriority w:val="99"/>
    <w:rPr>
      <w:sz w:val="21"/>
      <w:szCs w:val="21"/>
    </w:rPr>
  </w:style>
  <w:style w:type="character" w:customStyle="1" w:styleId="26">
    <w:name w:val="页眉 字符"/>
    <w:basedOn w:val="22"/>
    <w:link w:val="14"/>
    <w:qFormat/>
    <w:uiPriority w:val="99"/>
    <w:rPr>
      <w:sz w:val="18"/>
      <w:szCs w:val="18"/>
    </w:rPr>
  </w:style>
  <w:style w:type="character" w:customStyle="1" w:styleId="27">
    <w:name w:val="页脚 字符"/>
    <w:basedOn w:val="22"/>
    <w:link w:val="13"/>
    <w:qFormat/>
    <w:uiPriority w:val="99"/>
    <w:rPr>
      <w:sz w:val="18"/>
      <w:szCs w:val="18"/>
    </w:rPr>
  </w:style>
  <w:style w:type="character" w:customStyle="1" w:styleId="28">
    <w:name w:val="批注框文本 字符"/>
    <w:basedOn w:val="22"/>
    <w:link w:val="12"/>
    <w:semiHidden/>
    <w:qFormat/>
    <w:uiPriority w:val="99"/>
    <w:rPr>
      <w:sz w:val="18"/>
      <w:szCs w:val="18"/>
    </w:rPr>
  </w:style>
  <w:style w:type="paragraph" w:styleId="29">
    <w:name w:val="List Paragraph"/>
    <w:basedOn w:val="1"/>
    <w:qFormat/>
    <w:uiPriority w:val="34"/>
    <w:pPr>
      <w:ind w:firstLine="420" w:firstLineChars="200"/>
    </w:pPr>
  </w:style>
  <w:style w:type="paragraph" w:customStyle="1" w:styleId="3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1">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2">
    <w:name w:val="标题 1 字符"/>
    <w:basedOn w:val="22"/>
    <w:link w:val="3"/>
    <w:qFormat/>
    <w:uiPriority w:val="99"/>
    <w:rPr>
      <w:rFonts w:ascii="Calibri" w:hAnsi="Calibri" w:eastAsia="宋体" w:cs="Times New Roman"/>
      <w:b/>
      <w:bCs/>
      <w:kern w:val="44"/>
      <w:sz w:val="44"/>
      <w:szCs w:val="44"/>
    </w:rPr>
  </w:style>
  <w:style w:type="paragraph" w:styleId="33">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4">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5">
    <w:name w:val="不明显强调1"/>
    <w:basedOn w:val="22"/>
    <w:qFormat/>
    <w:uiPriority w:val="19"/>
    <w:rPr>
      <w:i/>
      <w:iCs/>
      <w:color w:val="808080" w:themeColor="text1" w:themeTint="80"/>
      <w14:textFill>
        <w14:solidFill>
          <w14:schemeClr w14:val="tx1">
            <w14:lumMod w14:val="50000"/>
            <w14:lumOff w14:val="50000"/>
          </w14:schemeClr>
        </w14:solidFill>
      </w14:textFill>
    </w:rPr>
  </w:style>
  <w:style w:type="character" w:customStyle="1" w:styleId="36">
    <w:name w:val="副标题 字符"/>
    <w:basedOn w:val="22"/>
    <w:link w:val="16"/>
    <w:qFormat/>
    <w:uiPriority w:val="11"/>
    <w:rPr>
      <w:rFonts w:eastAsia="宋体" w:asciiTheme="majorHAnsi" w:hAnsiTheme="majorHAnsi" w:cstheme="majorBidi"/>
      <w:b/>
      <w:bCs/>
      <w:kern w:val="28"/>
      <w:sz w:val="32"/>
      <w:szCs w:val="32"/>
    </w:rPr>
  </w:style>
  <w:style w:type="character" w:customStyle="1" w:styleId="37">
    <w:name w:val="标题 字符"/>
    <w:basedOn w:val="22"/>
    <w:link w:val="19"/>
    <w:qFormat/>
    <w:uiPriority w:val="10"/>
    <w:rPr>
      <w:rFonts w:eastAsia="宋体" w:asciiTheme="majorHAnsi" w:hAnsiTheme="majorHAnsi" w:cstheme="majorBidi"/>
      <w:b/>
      <w:bCs/>
      <w:sz w:val="32"/>
      <w:szCs w:val="32"/>
    </w:rPr>
  </w:style>
  <w:style w:type="character" w:customStyle="1" w:styleId="38">
    <w:name w:val="标题 2 字符"/>
    <w:basedOn w:val="22"/>
    <w:link w:val="4"/>
    <w:qFormat/>
    <w:uiPriority w:val="9"/>
    <w:rPr>
      <w:rFonts w:asciiTheme="majorHAnsi" w:hAnsiTheme="majorHAnsi" w:eastAsiaTheme="majorEastAsia" w:cstheme="majorBidi"/>
      <w:b/>
      <w:bCs/>
      <w:sz w:val="32"/>
      <w:szCs w:val="32"/>
    </w:rPr>
  </w:style>
  <w:style w:type="character" w:customStyle="1" w:styleId="39">
    <w:name w:val="标题 3 字符"/>
    <w:basedOn w:val="22"/>
    <w:link w:val="5"/>
    <w:semiHidden/>
    <w:qFormat/>
    <w:uiPriority w:val="9"/>
    <w:rPr>
      <w:b/>
      <w:bCs/>
      <w:sz w:val="32"/>
      <w:szCs w:val="32"/>
    </w:rPr>
  </w:style>
  <w:style w:type="character" w:customStyle="1" w:styleId="40">
    <w:name w:val="正文文本缩进 2 字符"/>
    <w:basedOn w:val="22"/>
    <w:link w:val="11"/>
    <w:qFormat/>
    <w:uiPriority w:val="0"/>
    <w:rPr>
      <w:rFonts w:ascii="宋体" w:hAnsi="宋体" w:eastAsia="宋体" w:cs="Times New Roman"/>
      <w:snapToGrid w:val="0"/>
      <w:kern w:val="0"/>
      <w:szCs w:val="24"/>
    </w:rPr>
  </w:style>
  <w:style w:type="paragraph" w:customStyle="1" w:styleId="41">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2">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3">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5">
    <w:name w:val="high-light-bg4"/>
    <w:basedOn w:val="22"/>
    <w:qFormat/>
    <w:uiPriority w:val="0"/>
  </w:style>
  <w:style w:type="character" w:customStyle="1" w:styleId="46">
    <w:name w:val="ordinary-span-edit2"/>
    <w:basedOn w:val="22"/>
    <w:qFormat/>
    <w:uiPriority w:val="0"/>
  </w:style>
  <w:style w:type="character" w:customStyle="1" w:styleId="47">
    <w:name w:val="日期 字符"/>
    <w:basedOn w:val="22"/>
    <w:link w:val="10"/>
    <w:semiHidden/>
    <w:qFormat/>
    <w:uiPriority w:val="99"/>
  </w:style>
  <w:style w:type="paragraph" w:customStyle="1" w:styleId="48">
    <w:name w:val="正文1"/>
    <w:qFormat/>
    <w:uiPriority w:val="0"/>
    <w:pPr>
      <w:jc w:val="both"/>
    </w:pPr>
    <w:rPr>
      <w:rFonts w:ascii="Calibri" w:hAnsi="Calibri" w:eastAsia="宋体" w:cs="宋体"/>
      <w:kern w:val="2"/>
      <w:sz w:val="21"/>
      <w:szCs w:val="21"/>
      <w:lang w:val="en-US" w:eastAsia="zh-CN" w:bidi="ar-SA"/>
    </w:rPr>
  </w:style>
  <w:style w:type="character" w:customStyle="1" w:styleId="49">
    <w:name w:val="dash6b63_6587__char1"/>
    <w:qFormat/>
    <w:uiPriority w:val="0"/>
    <w:rPr>
      <w:rFonts w:hint="default" w:ascii="Times New Roman" w:hAnsi="Times New Roman" w:cs="Times New Roman"/>
      <w:sz w:val="20"/>
      <w:szCs w:val="20"/>
      <w:u w:val="none"/>
    </w:rPr>
  </w:style>
  <w:style w:type="paragraph" w:customStyle="1" w:styleId="50">
    <w:name w:val="标准文件_前言、引言标题"/>
    <w:next w:val="1"/>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1">
    <w:name w:val="章标题"/>
    <w:next w:val="52"/>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2">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3">
    <w:name w:val="一级条标题"/>
    <w:next w:val="52"/>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4">
    <w:name w:val="二级无"/>
    <w:basedOn w:val="55"/>
    <w:qFormat/>
    <w:uiPriority w:val="0"/>
    <w:pPr>
      <w:spacing w:before="0" w:beforeLines="0" w:after="0" w:afterLines="0"/>
    </w:pPr>
    <w:rPr>
      <w:rFonts w:ascii="宋体" w:eastAsia="宋体"/>
    </w:rPr>
  </w:style>
  <w:style w:type="paragraph" w:customStyle="1" w:styleId="55">
    <w:name w:val="二级条标题"/>
    <w:basedOn w:val="53"/>
    <w:next w:val="52"/>
    <w:qFormat/>
    <w:uiPriority w:val="0"/>
    <w:pPr>
      <w:numPr>
        <w:ilvl w:val="2"/>
      </w:numPr>
      <w:spacing w:before="50" w:after="50"/>
      <w:outlineLvl w:val="3"/>
    </w:pPr>
  </w:style>
  <w:style w:type="paragraph" w:customStyle="1" w:styleId="56">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7">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8">
    <w:name w:val="注：（正文）"/>
    <w:basedOn w:val="59"/>
    <w:next w:val="52"/>
    <w:qFormat/>
    <w:uiPriority w:val="0"/>
  </w:style>
  <w:style w:type="paragraph" w:customStyle="1" w:styleId="59">
    <w:name w:val="注："/>
    <w:next w:val="52"/>
    <w:qFormat/>
    <w:uiPriority w:val="0"/>
    <w:pPr>
      <w:widowControl w:val="0"/>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60">
    <w:name w:val="附录标识"/>
    <w:basedOn w:val="1"/>
    <w:next w:val="52"/>
    <w:qFormat/>
    <w:uiPriority w:val="0"/>
    <w:pPr>
      <w:keepNext/>
      <w:widowControl/>
      <w:numPr>
        <w:ilvl w:val="0"/>
        <w:numId w:val="5"/>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1">
    <w:name w:val="正文表标题"/>
    <w:next w:val="52"/>
    <w:qFormat/>
    <w:uiPriority w:val="0"/>
    <w:pPr>
      <w:numPr>
        <w:ilvl w:val="0"/>
        <w:numId w:val="6"/>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2">
    <w:name w:val="Other|1"/>
    <w:basedOn w:val="1"/>
    <w:qFormat/>
    <w:uiPriority w:val="0"/>
    <w:rPr>
      <w:rFonts w:ascii="宋体" w:hAnsi="宋体" w:cs="宋体"/>
      <w:sz w:val="19"/>
      <w:szCs w:val="19"/>
      <w:lang w:val="zh-CN" w:bidi="zh-CN"/>
    </w:rPr>
  </w:style>
  <w:style w:type="paragraph" w:customStyle="1" w:styleId="63">
    <w:name w:val="终结线"/>
    <w:basedOn w:val="1"/>
    <w:qFormat/>
    <w:uiPriority w:val="0"/>
    <w:pPr>
      <w:framePr w:hSpace="181" w:vSpace="181" w:wrap="around" w:vAnchor="text" w:hAnchor="margin" w:xAlign="center" w:y="285"/>
    </w:pPr>
  </w:style>
  <w:style w:type="paragraph" w:customStyle="1" w:styleId="64">
    <w:name w:val="标准文件_术语条一"/>
    <w:basedOn w:val="65"/>
    <w:next w:val="68"/>
    <w:qFormat/>
    <w:uiPriority w:val="0"/>
  </w:style>
  <w:style w:type="paragraph" w:customStyle="1" w:styleId="65">
    <w:name w:val="标准文件_一级无标题"/>
    <w:basedOn w:val="66"/>
    <w:qFormat/>
    <w:uiPriority w:val="0"/>
    <w:pPr>
      <w:spacing w:before="0" w:beforeLines="0" w:after="0" w:afterLines="0"/>
      <w:outlineLvl w:val="9"/>
    </w:pPr>
    <w:rPr>
      <w:rFonts w:ascii="宋体" w:eastAsia="宋体"/>
    </w:rPr>
  </w:style>
  <w:style w:type="paragraph" w:customStyle="1" w:styleId="66">
    <w:name w:val="标准文件_一级条标题"/>
    <w:basedOn w:val="67"/>
    <w:next w:val="68"/>
    <w:qFormat/>
    <w:uiPriority w:val="0"/>
    <w:pPr>
      <w:numPr>
        <w:ilvl w:val="2"/>
      </w:numPr>
      <w:spacing w:before="50" w:beforeLines="50" w:after="50" w:afterLines="50"/>
      <w:outlineLvl w:val="1"/>
    </w:pPr>
  </w:style>
  <w:style w:type="paragraph" w:customStyle="1" w:styleId="67">
    <w:name w:val="标准文件_章标题"/>
    <w:next w:val="68"/>
    <w:qFormat/>
    <w:uiPriority w:val="0"/>
    <w:pPr>
      <w:numPr>
        <w:ilvl w:val="1"/>
        <w:numId w:val="7"/>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8">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9">
    <w:name w:val="标准文件_二级无标题"/>
    <w:basedOn w:val="70"/>
    <w:qFormat/>
    <w:uiPriority w:val="0"/>
    <w:pPr>
      <w:spacing w:before="0" w:beforeLines="0" w:after="0" w:afterLines="0"/>
      <w:outlineLvl w:val="9"/>
    </w:pPr>
    <w:rPr>
      <w:rFonts w:ascii="宋体" w:eastAsia="宋体"/>
    </w:rPr>
  </w:style>
  <w:style w:type="paragraph" w:customStyle="1" w:styleId="70">
    <w:name w:val="标准文件_二级条标题"/>
    <w:next w:val="68"/>
    <w:qFormat/>
    <w:uiPriority w:val="0"/>
    <w:pPr>
      <w:widowControl w:val="0"/>
      <w:numPr>
        <w:ilvl w:val="3"/>
        <w:numId w:val="7"/>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1">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3">
    <w:name w:val="说明文字"/>
    <w:basedOn w:val="1"/>
    <w:qFormat/>
    <w:uiPriority w:val="0"/>
  </w:style>
  <w:style w:type="paragraph" w:customStyle="1" w:styleId="74">
    <w:name w:val="标准文件_附录一级条标题"/>
    <w:next w:val="68"/>
    <w:qFormat/>
    <w:uiPriority w:val="0"/>
    <w:pPr>
      <w:widowControl w:val="0"/>
      <w:numPr>
        <w:ilvl w:val="1"/>
        <w:numId w:val="5"/>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5">
    <w:name w:val="标准文件_附录图标题"/>
    <w:next w:val="68"/>
    <w:qFormat/>
    <w:uiPriority w:val="0"/>
    <w:pPr>
      <w:numPr>
        <w:ilvl w:val="1"/>
        <w:numId w:val="8"/>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6">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paragraph" w:customStyle="1" w:styleId="77">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78">
    <w:name w:val="标准文件_字母编号列项（一级）"/>
    <w:qFormat/>
    <w:uiPriority w:val="0"/>
    <w:pPr>
      <w:numPr>
        <w:ilvl w:val="0"/>
        <w:numId w:val="9"/>
      </w:numPr>
      <w:jc w:val="both"/>
    </w:pPr>
    <w:rPr>
      <w:rFonts w:ascii="宋体" w:hAnsi="Times New Roman" w:eastAsia="宋体" w:cs="Times New Roman"/>
      <w:sz w:val="21"/>
      <w:lang w:val="en-US" w:eastAsia="zh-CN" w:bidi="ar-SA"/>
    </w:rPr>
  </w:style>
  <w:style w:type="paragraph" w:customStyle="1" w:styleId="79">
    <w:name w:val="标准文件_一级项"/>
    <w:qFormat/>
    <w:uiPriority w:val="0"/>
    <w:pPr>
      <w:numPr>
        <w:ilvl w:val="0"/>
        <w:numId w:val="4"/>
      </w:numPr>
    </w:pPr>
    <w:rPr>
      <w:rFonts w:ascii="宋体" w:hAnsi="Times New Roman" w:eastAsia="宋体" w:cs="Times New Roman"/>
      <w:sz w:val="21"/>
      <w:lang w:val="en-US" w:eastAsia="zh-CN" w:bidi="ar-SA"/>
    </w:rPr>
  </w:style>
  <w:style w:type="paragraph" w:customStyle="1" w:styleId="80">
    <w:name w:val="标准文件_注："/>
    <w:next w:val="68"/>
    <w:qFormat/>
    <w:uiPriority w:val="0"/>
    <w:pPr>
      <w:widowControl w:val="0"/>
      <w:numPr>
        <w:ilvl w:val="0"/>
        <w:numId w:val="10"/>
      </w:numPr>
      <w:autoSpaceDE w:val="0"/>
      <w:autoSpaceDN w:val="0"/>
      <w:jc w:val="both"/>
    </w:pPr>
    <w:rPr>
      <w:rFonts w:ascii="宋体" w:hAnsi="Times New Roman" w:eastAsia="宋体" w:cs="Times New Roman"/>
      <w:color w:val="FF0000"/>
      <w:sz w:val="18"/>
      <w:szCs w:val="18"/>
      <w:lang w:val="en-US" w:eastAsia="zh-CN" w:bidi="ar-SA"/>
    </w:rPr>
  </w:style>
  <w:style w:type="paragraph" w:customStyle="1" w:styleId="81">
    <w:name w:val="标准文件_三级无标题"/>
    <w:basedOn w:val="82"/>
    <w:qFormat/>
    <w:uiPriority w:val="0"/>
    <w:pPr>
      <w:numPr>
        <w:ilvl w:val="0"/>
        <w:numId w:val="0"/>
      </w:numPr>
      <w:spacing w:before="0" w:beforeLines="0" w:after="0" w:afterLines="0"/>
      <w:outlineLvl w:val="9"/>
    </w:pPr>
    <w:rPr>
      <w:rFonts w:ascii="宋体" w:eastAsia="宋体"/>
    </w:rPr>
  </w:style>
  <w:style w:type="paragraph" w:customStyle="1" w:styleId="82">
    <w:name w:val="标准文件_三级条标题"/>
    <w:basedOn w:val="70"/>
    <w:next w:val="68"/>
    <w:qFormat/>
    <w:uiPriority w:val="0"/>
    <w:pPr>
      <w:widowControl/>
      <w:numPr>
        <w:ilvl w:val="4"/>
      </w:numPr>
      <w:outlineLvl w:val="3"/>
    </w:pPr>
  </w:style>
  <w:style w:type="paragraph" w:customStyle="1" w:styleId="83">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84">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85">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86">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87">
    <w:name w:val="修订5"/>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88">
    <w:name w:val="修订6"/>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89">
    <w:name w:val="修订7"/>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glossaryDocument" Target="glossary/document.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ebc0016-7c99-4ace-b341-de627bdd1ba7}"/>
        <w:style w:val=""/>
        <w:category>
          <w:name w:val="常规"/>
          <w:gallery w:val="placeholder"/>
        </w:category>
        <w:types>
          <w:type w:val="bbPlcHdr"/>
        </w:types>
        <w:behaviors>
          <w:behavior w:val="content"/>
        </w:behaviors>
        <w:description w:val=""/>
        <w:guid w:val="{1EBC0016-7C99-4ACE-B341-DE627BDD1BA7}"/>
      </w:docPartPr>
      <w:docPartBody>
        <w:p>
          <w:pPr>
            <w:pStyle w:val="5"/>
            <w:rPr>
              <w:rFonts w:hint="eastAsia"/>
            </w:rPr>
          </w:pPr>
          <w:r>
            <w:rPr>
              <w:rStyle w:val="4"/>
              <w:rFonts w:hint="eastAsia"/>
            </w:rPr>
            <w:t>选择一项。</w:t>
          </w:r>
        </w:p>
      </w:docPartBody>
    </w:docPart>
    <w:docPart>
      <w:docPartPr>
        <w:name w:val="{c29ef8a1-cc74-46de-97f2-0dbc46e8c786}"/>
        <w:style w:val=""/>
        <w:category>
          <w:name w:val="常规"/>
          <w:gallery w:val="placeholder"/>
        </w:category>
        <w:types>
          <w:type w:val="bbPlcHdr"/>
        </w:types>
        <w:behaviors>
          <w:behavior w:val="content"/>
        </w:behaviors>
        <w:description w:val=""/>
        <w:guid w:val="{C29EF8A1-CC74-46DE-97F2-0DBC46E8C786}"/>
      </w:docPartPr>
      <w:docPartBody>
        <w:p>
          <w:pPr>
            <w:pStyle w:val="6"/>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Nimbus Roman No9 L"/>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true"/>
  <w:bordersDoNotSurroundFooter w:val="true"/>
  <w:defaultTabStop w:val="420"/>
  <w:characterSpacingControl w:val="doNotCompress"/>
  <w:compat>
    <w:useFELayout/>
    <w:splitPgBreakAndParaMark/>
    <w:compatSetting w:name="compatibilityMode" w:uri="http://schemas.microsoft.com/office/word" w:val="14"/>
  </w:compat>
  <w:rsids>
    <w:rsidRoot w:val="00A76CA8"/>
    <w:rsid w:val="00020B49"/>
    <w:rsid w:val="000457F9"/>
    <w:rsid w:val="00075958"/>
    <w:rsid w:val="000D0755"/>
    <w:rsid w:val="000E6D68"/>
    <w:rsid w:val="001345E2"/>
    <w:rsid w:val="001C1E36"/>
    <w:rsid w:val="002356B9"/>
    <w:rsid w:val="002F3A04"/>
    <w:rsid w:val="002F5123"/>
    <w:rsid w:val="003143EC"/>
    <w:rsid w:val="00315CF9"/>
    <w:rsid w:val="00327A59"/>
    <w:rsid w:val="003363FF"/>
    <w:rsid w:val="005235F4"/>
    <w:rsid w:val="00536667"/>
    <w:rsid w:val="005D3F2D"/>
    <w:rsid w:val="00636094"/>
    <w:rsid w:val="00662D93"/>
    <w:rsid w:val="006A1BA5"/>
    <w:rsid w:val="006B6C10"/>
    <w:rsid w:val="00703924"/>
    <w:rsid w:val="00712CCA"/>
    <w:rsid w:val="00734BB9"/>
    <w:rsid w:val="00764A20"/>
    <w:rsid w:val="007673AD"/>
    <w:rsid w:val="007D28DD"/>
    <w:rsid w:val="00817BE9"/>
    <w:rsid w:val="008851FB"/>
    <w:rsid w:val="008B7DA9"/>
    <w:rsid w:val="008D44DF"/>
    <w:rsid w:val="008F6E35"/>
    <w:rsid w:val="00955D4C"/>
    <w:rsid w:val="009B22AC"/>
    <w:rsid w:val="009B3693"/>
    <w:rsid w:val="009C1C44"/>
    <w:rsid w:val="009C7C59"/>
    <w:rsid w:val="00A1419B"/>
    <w:rsid w:val="00A54E65"/>
    <w:rsid w:val="00A573B1"/>
    <w:rsid w:val="00A76CA8"/>
    <w:rsid w:val="00A87851"/>
    <w:rsid w:val="00AB5BDE"/>
    <w:rsid w:val="00AC75BC"/>
    <w:rsid w:val="00AF577B"/>
    <w:rsid w:val="00B36BDA"/>
    <w:rsid w:val="00BC16EC"/>
    <w:rsid w:val="00C44DF1"/>
    <w:rsid w:val="00C776F9"/>
    <w:rsid w:val="00CE0B69"/>
    <w:rsid w:val="00CF5776"/>
    <w:rsid w:val="00D006F1"/>
    <w:rsid w:val="00DA554F"/>
    <w:rsid w:val="00DA5A7B"/>
    <w:rsid w:val="00DB6779"/>
    <w:rsid w:val="00DE123C"/>
    <w:rsid w:val="00DE7EA6"/>
    <w:rsid w:val="00E20C07"/>
    <w:rsid w:val="00E3005E"/>
    <w:rsid w:val="00E34FA7"/>
    <w:rsid w:val="00EE42CE"/>
    <w:rsid w:val="00EE4646"/>
    <w:rsid w:val="00F04116"/>
    <w:rsid w:val="00F70136"/>
    <w:rsid w:val="00FD09E5"/>
    <w:rsid w:val="00FF3D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601035219FB0436A861EEB278AB83A78"/>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0ACF6BA5721643CCBA522702B4B45C1C"/>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11</Pages>
  <Words>5065</Words>
  <Characters>5337</Characters>
  <Lines>52</Lines>
  <Paragraphs>14</Paragraphs>
  <TotalTime>41</TotalTime>
  <ScaleCrop>false</ScaleCrop>
  <LinksUpToDate>false</LinksUpToDate>
  <CharactersWithSpaces>5668</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2024-12-01T11:20:00Z</dcterms:created>
  <dc:creator>wy</dc:creator>
  <cp:lastModifiedBy>sugou</cp:lastModifiedBy>
  <cp:lastPrinted>2025-02-20T13:55:00Z</cp:lastPrinted>
  <dcterms:modified xsi:type="dcterms:W3CDTF">2025-05-09T13:34:20Z</dcterms:modified>
  <cp:revision>200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1F5F8B5244CC46A79A364AD3EE3C8A80_13</vt:lpwstr>
  </property>
  <property fmtid="{D5CDD505-2E9C-101B-9397-08002B2CF9AE}" pid="4" name="KSOTemplateDocerSaveRecord">
    <vt:lpwstr>eyJoZGlkIjoiMjIxMDg2ZDVmODAxZDIyMjVlZjY0Zjk3MTNiYWIwMTciLCJ1c2VySWQiOiIxMzM4NDc1MDkxIn0=</vt:lpwstr>
  </property>
</Properties>
</file>