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Times New Roman"/>
          <w:lang w:val="en-US" w:eastAsia="zh-C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29"/>
                              <w:shd w:val="clear"/>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29"/>
                        <w:shd w:val="clear"/>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lang w:val="en-US" w:eastAsia="zh-CN"/>
        </w:rPr>
        <w:t>03.040</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lang w:val="en-US" w:eastAsia="zh-CN"/>
        </w:rPr>
        <w:t>A 16</w:t>
      </w:r>
      <w:r>
        <w:rPr>
          <w:rFonts w:ascii="黑体" w:hAnsi="黑体" w:eastAsia="黑体" w:cs="Times New Roman"/>
        </w:rPr>
        <w:t xml:space="preserve"> </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-1712595</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3360;mso-width-relative:page;mso-height-relative:page;" filled="f" stroked="f" coordsize="21600,21600" o:gfxdata="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Kr5137bAAAA&#10;CwEAAA8AAAAAAAAAAQAgAAAAOAAAAGRycy9kb3ducmV2LnhtbFBLAQIUABQAAAAIAIdO4kB8rynt&#10;BAIAAPEDAAAOAAAAAAAAAAEAIAAAAEABAABkcnMvZTJvRG9jLnhtbFBLBQYAAAAABgAGAFkBAAC2&#10;BQAAAAA=&#10;">
                <v:fill on="f" focussize="0,0"/>
                <v:stroke on="f" weight="0pt" miterlimit="8" joinstyle="miter"/>
                <v:imagedata o:title=""/>
                <o:lock v:ext="edit" aspectratio="f"/>
                <v:textbo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知识产权服务机构服务规范</w:t>
                            </w:r>
                          </w:p>
                          <w:p>
                            <w:pPr>
                              <w:jc w:val="center"/>
                              <w:rPr>
                                <w:rStyle w:val="44"/>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Service specification for intellectual property service institutions</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知识产权服务机构服务规范</w:t>
                      </w:r>
                    </w:p>
                    <w:p>
                      <w:pPr>
                        <w:jc w:val="center"/>
                        <w:rPr>
                          <w:rStyle w:val="44"/>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Service specification for intellectual property service institutions</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8"/>
      </w:pPr>
    </w:p>
    <w:p>
      <w:pPr>
        <w:pStyle w:val="8"/>
      </w:pPr>
    </w:p>
    <w:p>
      <w:pPr>
        <w:pStyle w:val="8"/>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hint="default" w:ascii="黑体" w:hAnsi="黑体" w:eastAsia="黑体"/>
          <w:sz w:val="28"/>
          <w:szCs w:val="28"/>
          <w:lang w:val="en-US"/>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lang w:val="en-US" w:eastAsia="zh-CN"/>
        </w:rPr>
        <w:t>2025</w:t>
      </w:r>
      <w:r>
        <w:rPr>
          <w:rFonts w:hint="eastAsia" w:ascii="黑体" w:hAnsi="黑体" w:eastAsia="黑体"/>
          <w:sz w:val="28"/>
          <w:szCs w:val="28"/>
        </w:rPr>
        <w:t xml:space="preserve">-XX-XX发布                                       </w:t>
      </w:r>
      <w:r>
        <w:rPr>
          <w:rFonts w:hint="eastAsia" w:ascii="黑体" w:hAnsi="黑体" w:eastAsia="黑体"/>
          <w:sz w:val="28"/>
          <w:szCs w:val="28"/>
          <w:lang w:val="en-US" w:eastAsia="zh-CN"/>
        </w:rPr>
        <w:t>2025</w:t>
      </w:r>
      <w:r>
        <w:rPr>
          <w:rFonts w:hint="eastAsia" w:ascii="黑体" w:hAnsi="黑体" w:eastAsia="黑体"/>
          <w:sz w:val="28"/>
          <w:szCs w:val="28"/>
        </w:rPr>
        <w:t>-XX-XX实施</w:t>
      </w:r>
    </w:p>
    <w:p>
      <w:pPr>
        <w:keepNext w:val="0"/>
        <w:keepLines w:val="0"/>
        <w:pageBreakBefore w:val="0"/>
        <w:widowControl w:val="0"/>
        <w:kinsoku/>
        <w:wordWrap/>
        <w:overflowPunct/>
        <w:topLinePunct w:val="0"/>
        <w:autoSpaceDE/>
        <w:autoSpaceDN/>
        <w:bidi w:val="0"/>
        <w:adjustRightInd/>
        <w:snapToGrid/>
        <w:spacing w:line="1247" w:lineRule="exact"/>
        <w:jc w:val="center"/>
        <w:textAlignment w:val="auto"/>
        <w:outlineLvl w:val="9"/>
        <w:rPr>
          <w:rFonts w:hint="eastAsia"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8"/>
        <w:sectPr>
          <w:headerReference r:id="rId3" w:type="default"/>
          <w:footerReference r:id="rId5" w:type="default"/>
          <w:headerReference r:id="rId4" w:type="even"/>
          <w:footerReference r:id="rId6" w:type="even"/>
          <w:pgSz w:w="11906" w:h="16838"/>
          <w:pgMar w:top="567" w:right="851" w:bottom="1134" w:left="1418" w:header="0" w:footer="0" w:gutter="0"/>
          <w:cols w:space="425" w:num="1"/>
          <w:docGrid w:type="lines" w:linePitch="312" w:charSpace="0"/>
        </w:sectPr>
      </w:pPr>
    </w:p>
    <w:p>
      <w:pPr>
        <w:pStyle w:val="8"/>
      </w:pPr>
    </w:p>
    <w:p>
      <w:pPr>
        <w:rPr>
          <w:rFonts w:ascii="黑体" w:hAnsi="黑体" w:eastAsia="黑体"/>
          <w:sz w:val="28"/>
          <w:szCs w:val="28"/>
        </w:rPr>
        <w:sectPr>
          <w:footerReference r:id="rId7" w:type="default"/>
          <w:footerReference r:id="rId8" w:type="even"/>
          <w:pgSz w:w="11906" w:h="16838"/>
          <w:pgMar w:top="567" w:right="851" w:bottom="1134" w:left="1418" w:header="0" w:footer="0" w:gutter="0"/>
          <w:pgNumType w:start="1"/>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_Toc21945 </w:instrText>
      </w:r>
      <w:r>
        <w:rPr>
          <w:rFonts w:hint="eastAsia" w:ascii="宋体" w:hAnsi="宋体" w:eastAsia="宋体" w:cs="宋体"/>
          <w:szCs w:val="21"/>
        </w:rPr>
        <w:fldChar w:fldCharType="separate"/>
      </w:r>
      <w:r>
        <w:rPr>
          <w:rFonts w:hint="eastAsia" w:ascii="宋体" w:hAnsi="宋体" w:eastAsia="宋体" w:cs="宋体"/>
          <w:kern w:val="0"/>
          <w:szCs w:val="32"/>
          <w:lang w:val="en-US" w:eastAsia="zh-CN"/>
        </w:rPr>
        <w:t>前言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_Toc21945 \h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_Toc21637 </w:instrText>
      </w:r>
      <w:r>
        <w:rPr>
          <w:rFonts w:hint="eastAsia" w:ascii="宋体" w:hAnsi="宋体" w:eastAsia="宋体" w:cs="宋体"/>
          <w:szCs w:val="21"/>
        </w:rPr>
        <w:fldChar w:fldCharType="separate"/>
      </w:r>
      <w:r>
        <w:rPr>
          <w:rFonts w:hint="eastAsia" w:ascii="宋体" w:hAnsi="宋体" w:eastAsia="宋体" w:cs="宋体"/>
          <w:i w:val="0"/>
        </w:rPr>
        <w:t xml:space="preserve">1 </w:t>
      </w:r>
      <w:r>
        <w:rPr>
          <w:rFonts w:hint="eastAsia" w:ascii="宋体" w:hAnsi="宋体" w:eastAsia="宋体" w:cs="宋体"/>
          <w:i w:val="0"/>
          <w:lang w:val="en-US" w:eastAsia="zh-CN"/>
        </w:rPr>
        <w:t xml:space="preserve"> </w:t>
      </w:r>
      <w:r>
        <w:rPr>
          <w:rFonts w:hint="eastAsia" w:ascii="宋体" w:hAnsi="宋体" w:eastAsia="宋体" w:cs="宋体"/>
        </w:rPr>
        <w:t>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_Toc21637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_Toc4534 </w:instrText>
      </w:r>
      <w:r>
        <w:rPr>
          <w:rFonts w:hint="eastAsia" w:ascii="宋体" w:hAnsi="宋体" w:eastAsia="宋体" w:cs="宋体"/>
          <w:szCs w:val="21"/>
        </w:rPr>
        <w:fldChar w:fldCharType="separate"/>
      </w:r>
      <w:r>
        <w:rPr>
          <w:rFonts w:hint="eastAsia" w:ascii="宋体" w:hAnsi="宋体" w:eastAsia="宋体" w:cs="宋体"/>
          <w:i w:val="0"/>
        </w:rPr>
        <w:t xml:space="preserve">2 </w:t>
      </w:r>
      <w:r>
        <w:rPr>
          <w:rFonts w:hint="eastAsia" w:ascii="宋体" w:hAnsi="宋体" w:eastAsia="宋体" w:cs="宋体"/>
          <w:i w:val="0"/>
          <w:lang w:val="en-US" w:eastAsia="zh-CN"/>
        </w:rPr>
        <w:t xml:space="preserve"> </w:t>
      </w:r>
      <w:r>
        <w:rPr>
          <w:rFonts w:hint="eastAsia" w:ascii="宋体" w:hAnsi="宋体" w:eastAsia="宋体" w:cs="宋体"/>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_Toc4534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_Toc4695 </w:instrText>
      </w:r>
      <w:r>
        <w:rPr>
          <w:rFonts w:hint="eastAsia" w:ascii="宋体" w:hAnsi="宋体" w:eastAsia="宋体" w:cs="宋体"/>
          <w:szCs w:val="21"/>
        </w:rPr>
        <w:fldChar w:fldCharType="separate"/>
      </w:r>
      <w:r>
        <w:rPr>
          <w:rFonts w:hint="eastAsia" w:ascii="宋体" w:hAnsi="宋体" w:eastAsia="宋体" w:cs="宋体"/>
          <w:i w:val="0"/>
          <w:szCs w:val="21"/>
        </w:rPr>
        <w:t xml:space="preserve">3 </w:t>
      </w:r>
      <w:r>
        <w:rPr>
          <w:rFonts w:hint="eastAsia" w:ascii="宋体" w:hAnsi="宋体" w:eastAsia="宋体" w:cs="宋体"/>
          <w:i w:val="0"/>
          <w:szCs w:val="21"/>
          <w:lang w:val="en-US" w:eastAsia="zh-CN"/>
        </w:rPr>
        <w:t xml:space="preserve"> </w:t>
      </w:r>
      <w:r>
        <w:rPr>
          <w:rFonts w:hint="eastAsia" w:ascii="宋体" w:hAnsi="宋体" w:eastAsia="宋体" w:cs="宋体"/>
          <w:szCs w:val="21"/>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_Toc4695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_Toc30988 </w:instrText>
      </w:r>
      <w:r>
        <w:rPr>
          <w:rFonts w:hint="eastAsia" w:ascii="宋体" w:hAnsi="宋体" w:eastAsia="宋体" w:cs="宋体"/>
          <w:szCs w:val="21"/>
        </w:rPr>
        <w:fldChar w:fldCharType="separate"/>
      </w:r>
      <w:r>
        <w:rPr>
          <w:rFonts w:hint="eastAsia" w:ascii="宋体" w:hAnsi="宋体" w:eastAsia="宋体" w:cs="宋体"/>
          <w:i w:val="0"/>
        </w:rPr>
        <w:t xml:space="preserve">4 </w:t>
      </w:r>
      <w:r>
        <w:rPr>
          <w:rFonts w:hint="eastAsia" w:ascii="宋体" w:hAnsi="宋体" w:eastAsia="宋体" w:cs="宋体"/>
          <w:i w:val="0"/>
          <w:lang w:val="en-US" w:eastAsia="zh-CN"/>
        </w:rPr>
        <w:t xml:space="preserve"> </w:t>
      </w:r>
      <w:r>
        <w:rPr>
          <w:rFonts w:hint="eastAsia" w:ascii="宋体" w:hAnsi="宋体" w:eastAsia="宋体" w:cs="宋体"/>
          <w:lang w:val="en-US" w:eastAsia="zh-CN"/>
        </w:rPr>
        <w:t>基本要求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_Toc30988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_Toc6036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4.1  </w:t>
      </w:r>
      <w:r>
        <w:rPr>
          <w:rFonts w:hint="eastAsia" w:ascii="宋体" w:hAnsi="宋体" w:eastAsia="宋体" w:cs="宋体"/>
          <w:lang w:val="en-US" w:eastAsia="zh-CN"/>
        </w:rPr>
        <w:t>服务机构</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_Toc6036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_Toc24246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highlight w:val="none"/>
        </w:rPr>
        <w:t>从业人员</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_Toc24246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_Toc4368 </w:instrText>
      </w:r>
      <w:r>
        <w:rPr>
          <w:rFonts w:hint="eastAsia" w:ascii="宋体" w:hAnsi="宋体" w:eastAsia="宋体" w:cs="宋体"/>
          <w:szCs w:val="21"/>
        </w:rPr>
        <w:fldChar w:fldCharType="separate"/>
      </w:r>
      <w:r>
        <w:rPr>
          <w:rFonts w:hint="eastAsia" w:ascii="宋体" w:hAnsi="宋体" w:eastAsia="宋体" w:cs="宋体"/>
          <w:i w:val="0"/>
        </w:rPr>
        <w:t xml:space="preserve">5 </w:t>
      </w:r>
      <w:r>
        <w:rPr>
          <w:rFonts w:hint="eastAsia" w:ascii="宋体" w:hAnsi="宋体" w:eastAsia="宋体" w:cs="宋体"/>
          <w:i w:val="0"/>
          <w:lang w:val="en-US" w:eastAsia="zh-CN"/>
        </w:rPr>
        <w:t xml:space="preserve"> </w:t>
      </w:r>
      <w:r>
        <w:rPr>
          <w:rFonts w:hint="eastAsia" w:ascii="宋体" w:hAnsi="宋体" w:eastAsia="宋体" w:cs="宋体"/>
        </w:rPr>
        <w:t>服务内容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_Toc4368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_Toc21238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代理服务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_Toc21238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_Toc29139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咨询服务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_Toc29139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_Toc22843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5.3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运营服务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_Toc22843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_Toc16888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5.4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法律服务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_Toc16888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_Toc10767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5.5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信息服务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_Toc10767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_Toc19794 </w:instrText>
      </w:r>
      <w:r>
        <w:rPr>
          <w:rFonts w:hint="eastAsia" w:ascii="宋体" w:hAnsi="宋体" w:eastAsia="宋体" w:cs="宋体"/>
          <w:szCs w:val="21"/>
        </w:rPr>
        <w:fldChar w:fldCharType="separate"/>
      </w:r>
      <w:r>
        <w:rPr>
          <w:rFonts w:hint="eastAsia" w:ascii="宋体" w:hAnsi="宋体" w:eastAsia="宋体" w:cs="宋体"/>
          <w:i w:val="0"/>
        </w:rPr>
        <w:t xml:space="preserve">6 </w:t>
      </w:r>
      <w:r>
        <w:rPr>
          <w:rFonts w:hint="eastAsia" w:ascii="宋体" w:hAnsi="宋体" w:eastAsia="宋体" w:cs="宋体"/>
          <w:i w:val="0"/>
          <w:lang w:val="en-US" w:eastAsia="zh-CN"/>
        </w:rPr>
        <w:t xml:space="preserve"> </w:t>
      </w:r>
      <w:r>
        <w:rPr>
          <w:rFonts w:hint="eastAsia" w:ascii="宋体" w:hAnsi="宋体" w:eastAsia="宋体" w:cs="宋体"/>
        </w:rPr>
        <w:t>服务要求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_Toc19794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_Toc18854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6.1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服务接洽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_Toc18854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_Toc30788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服务方案</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_Toc30788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_Toc16330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6.3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服务实施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_Toc16330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_Toc29825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6.4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服务成果</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_Toc29825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_Toc25653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6.5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服务交付</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_Toc25653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_Toc7297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6.6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跟踪服务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_Toc7297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_Toc2707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6.7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服务外包</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_Toc2707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_Toc13298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6.8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服务关系变更与终止</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_Toc13298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_Toc29634 </w:instrText>
      </w:r>
      <w:r>
        <w:rPr>
          <w:rFonts w:hint="eastAsia" w:ascii="宋体" w:hAnsi="宋体" w:eastAsia="宋体" w:cs="宋体"/>
          <w:szCs w:val="21"/>
        </w:rPr>
        <w:fldChar w:fldCharType="separate"/>
      </w:r>
      <w:r>
        <w:rPr>
          <w:rFonts w:hint="eastAsia" w:ascii="宋体" w:hAnsi="宋体" w:eastAsia="宋体" w:cs="宋体"/>
          <w:i w:val="0"/>
        </w:rPr>
        <w:t xml:space="preserve">7 </w:t>
      </w:r>
      <w:r>
        <w:rPr>
          <w:rFonts w:hint="eastAsia" w:ascii="宋体" w:hAnsi="宋体" w:eastAsia="宋体" w:cs="宋体"/>
          <w:i w:val="0"/>
          <w:lang w:val="en-US" w:eastAsia="zh-CN"/>
        </w:rPr>
        <w:t xml:space="preserve"> </w:t>
      </w:r>
      <w:r>
        <w:rPr>
          <w:rFonts w:hint="eastAsia" w:ascii="宋体" w:hAnsi="宋体" w:eastAsia="宋体" w:cs="宋体"/>
        </w:rPr>
        <w:t>管理要求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_Toc29634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_Toc31863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信息公示</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_Toc31863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_Toc22042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7.2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服务理念</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_Toc22042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_Toc18784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7.3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管理制度</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_Toc18784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_Toc7342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7.4 </w:t>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宋体" w:hAnsi="宋体" w:eastAsia="宋体" w:cs="宋体"/>
        </w:rPr>
        <w:t>人员和设施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_Toc7342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pPr>
        <w:pStyle w:val="15"/>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_Toc21074 </w:instrText>
      </w:r>
      <w:r>
        <w:rPr>
          <w:rFonts w:hint="eastAsia" w:ascii="宋体" w:hAnsi="宋体" w:eastAsia="宋体" w:cs="宋体"/>
          <w:szCs w:val="21"/>
        </w:rPr>
        <w:fldChar w:fldCharType="separate"/>
      </w:r>
      <w:r>
        <w:rPr>
          <w:rFonts w:hint="eastAsia" w:ascii="宋体" w:hAnsi="宋体" w:eastAsia="宋体" w:cs="宋体"/>
          <w:i w:val="0"/>
        </w:rPr>
        <w:t xml:space="preserve">8 </w:t>
      </w:r>
      <w:r>
        <w:rPr>
          <w:rFonts w:hint="eastAsia" w:ascii="宋体" w:hAnsi="宋体" w:eastAsia="宋体" w:cs="宋体"/>
          <w:i w:val="0"/>
          <w:lang w:val="en-US" w:eastAsia="zh-CN"/>
        </w:rPr>
        <w:t xml:space="preserve"> </w:t>
      </w:r>
      <w:r>
        <w:rPr>
          <w:rFonts w:hint="eastAsia" w:ascii="宋体" w:hAnsi="宋体" w:eastAsia="宋体" w:cs="宋体"/>
        </w:rPr>
        <w:t>服务</w:t>
      </w:r>
      <w:r>
        <w:rPr>
          <w:rFonts w:hint="eastAsia" w:ascii="宋体" w:hAnsi="宋体" w:eastAsia="宋体" w:cs="宋体"/>
          <w:lang w:val="en-US" w:eastAsia="zh-CN"/>
        </w:rPr>
        <w:t>质量控制与评价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_Toc21074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_Toc15854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8.1  </w:t>
      </w:r>
      <w:r>
        <w:rPr>
          <w:rFonts w:hint="eastAsia" w:ascii="宋体" w:hAnsi="宋体" w:eastAsia="宋体" w:cs="宋体"/>
          <w:lang w:val="en-US" w:eastAsia="zh-CN"/>
        </w:rPr>
        <w:t>质量控制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_Toc15854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_Toc17393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8.2  </w:t>
      </w:r>
      <w:r>
        <w:rPr>
          <w:rFonts w:hint="eastAsia" w:ascii="宋体" w:hAnsi="宋体" w:eastAsia="宋体" w:cs="宋体"/>
          <w:lang w:val="en-US" w:eastAsia="zh-CN"/>
        </w:rPr>
        <w:t>服务评价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_Toc17393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pStyle w:val="17"/>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_Toc19480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8.3  </w:t>
      </w:r>
      <w:r>
        <w:rPr>
          <w:rFonts w:hint="eastAsia" w:ascii="宋体" w:hAnsi="宋体" w:eastAsia="宋体" w:cs="宋体"/>
          <w:lang w:val="en-US" w:eastAsia="zh-CN"/>
        </w:rPr>
        <w:t>持续改进</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_Toc19480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keepNext w:val="0"/>
        <w:keepLines w:val="0"/>
        <w:pageBreakBefore w:val="0"/>
        <w:widowControl w:val="0"/>
        <w:kinsoku/>
        <w:wordWrap/>
        <w:overflowPunct/>
        <w:topLinePunct w:val="0"/>
        <w:autoSpaceDE/>
        <w:autoSpaceDN/>
        <w:bidi w:val="0"/>
        <w:adjustRightInd/>
        <w:snapToGrid w:val="0"/>
        <w:jc w:val="left"/>
        <w:textAlignment w:val="auto"/>
        <w:rPr>
          <w:rFonts w:ascii="宋体" w:hAnsi="宋体" w:eastAsia="宋体" w:cs="宋体"/>
          <w:szCs w:val="21"/>
        </w:rPr>
      </w:pPr>
      <w:r>
        <w:rPr>
          <w:rFonts w:hint="eastAsia" w:ascii="宋体" w:hAnsi="宋体" w:eastAsia="宋体" w:cs="宋体"/>
          <w:szCs w:val="21"/>
        </w:rPr>
        <w:fldChar w:fldCharType="end"/>
      </w:r>
    </w:p>
    <w:p>
      <w:pPr>
        <w:pStyle w:val="8"/>
        <w:rPr>
          <w:rFonts w:ascii="宋体" w:hAnsi="宋体" w:eastAsia="宋体" w:cs="宋体"/>
          <w:szCs w:val="21"/>
        </w:rPr>
      </w:pPr>
    </w:p>
    <w:p>
      <w:pPr>
        <w:pStyle w:val="8"/>
        <w:rPr>
          <w:rFonts w:ascii="宋体" w:hAnsi="宋体" w:eastAsia="宋体" w:cs="宋体"/>
          <w:szCs w:val="21"/>
        </w:rPr>
      </w:pPr>
    </w:p>
    <w:p>
      <w:pPr>
        <w:pStyle w:val="8"/>
        <w:rPr>
          <w:rFonts w:ascii="宋体" w:hAnsi="宋体" w:eastAsia="宋体" w:cs="宋体"/>
          <w:szCs w:val="21"/>
        </w:rPr>
      </w:pPr>
    </w:p>
    <w:p>
      <w:pPr>
        <w:pStyle w:val="49"/>
        <w:keepNext w:val="0"/>
        <w:keepLines w:val="0"/>
        <w:pageBreakBefore w:val="0"/>
        <w:widowControl/>
        <w:shd w:val="clear"/>
        <w:kinsoku/>
        <w:wordWrap/>
        <w:overflowPunct/>
        <w:topLinePunct w:val="0"/>
        <w:autoSpaceDE/>
        <w:autoSpaceDN/>
        <w:bidi w:val="0"/>
        <w:adjustRightInd/>
        <w:snapToGrid/>
        <w:spacing w:before="567" w:after="680" w:afterLines="0"/>
        <w:ind w:left="425" w:hanging="425"/>
        <w:textAlignment w:val="auto"/>
        <w:rPr>
          <w:spacing w:val="320"/>
          <w:highlight w:val="none"/>
        </w:rPr>
        <w:sectPr>
          <w:headerReference r:id="rId9" w:type="default"/>
          <w:footerReference r:id="rId11" w:type="default"/>
          <w:headerReference r:id="rId10" w:type="even"/>
          <w:footerReference r:id="rId12" w:type="even"/>
          <w:pgSz w:w="11906" w:h="16838"/>
          <w:pgMar w:top="1417" w:right="1134" w:bottom="1134" w:left="1418" w:header="1417" w:footer="1134" w:gutter="0"/>
          <w:pgNumType w:fmt="upperRoman" w:start="1"/>
          <w:cols w:space="425" w:num="1"/>
          <w:docGrid w:type="lines" w:linePitch="312" w:charSpace="0"/>
        </w:sectPr>
      </w:pPr>
    </w:p>
    <w:p>
      <w:pPr>
        <w:pStyle w:val="8"/>
        <w:sectPr>
          <w:footerReference r:id="rId13" w:type="default"/>
          <w:footerReference r:id="rId14" w:type="even"/>
          <w:pgSz w:w="11906" w:h="16838"/>
          <w:pgMar w:top="1417" w:right="1134" w:bottom="1134" w:left="1418" w:header="1417" w:footer="1134" w:gutter="0"/>
          <w:pgNumType w:fmt="upperRoman" w:start="2"/>
          <w:cols w:space="425" w:num="1"/>
          <w:docGrid w:type="lines" w:linePitch="312" w:charSpace="0"/>
        </w:sectPr>
      </w:pPr>
    </w:p>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kern w:val="0"/>
          <w:sz w:val="32"/>
          <w:szCs w:val="32"/>
          <w:lang w:val="en-US" w:eastAsia="zh-CN"/>
        </w:rPr>
      </w:pPr>
      <w:bookmarkStart w:id="2" w:name="_Toc21945"/>
      <w:r>
        <w:rPr>
          <w:rFonts w:hint="eastAsia" w:ascii="黑体" w:hAnsi="黑体" w:eastAsia="黑体" w:cs="黑体"/>
          <w:kern w:val="0"/>
          <w:sz w:val="32"/>
          <w:szCs w:val="32"/>
          <w:lang w:val="en-US" w:eastAsia="zh-CN"/>
        </w:rPr>
        <w:t>前    言</w:t>
      </w:r>
      <w:bookmarkEnd w:id="2"/>
    </w:p>
    <w:p>
      <w:pPr>
        <w:shd w:val="clea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本文件按照GB/T 1.1—2020《标准化工作导则  第1部分：标准化文件的结构和起草规则》的规定起草。</w:t>
      </w:r>
    </w:p>
    <w:p>
      <w:pPr>
        <w:shd w:val="clea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请注意本文件的某些内容可能涉及专利。本文件的发布机构不承担识别专利的责任。</w:t>
      </w:r>
    </w:p>
    <w:p>
      <w:pPr>
        <w:shd w:val="clea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本文件由苏州市市场监督管理局提出</w:t>
      </w:r>
      <w:r>
        <w:rPr>
          <w:rFonts w:hint="eastAsia" w:ascii="宋体" w:hAnsi="宋体" w:eastAsia="宋体" w:cs="宋体"/>
          <w:kern w:val="0"/>
          <w:szCs w:val="21"/>
          <w:lang w:eastAsia="zh-CN"/>
        </w:rPr>
        <w:t>、</w:t>
      </w:r>
      <w:r>
        <w:rPr>
          <w:rFonts w:hint="eastAsia" w:ascii="宋体" w:hAnsi="宋体" w:eastAsia="宋体" w:cs="宋体"/>
          <w:kern w:val="0"/>
          <w:szCs w:val="21"/>
        </w:rPr>
        <w:t>归口</w:t>
      </w:r>
      <w:r>
        <w:rPr>
          <w:rFonts w:hint="eastAsia" w:ascii="宋体" w:hAnsi="宋体" w:eastAsia="宋体" w:cs="宋体"/>
          <w:kern w:val="0"/>
          <w:szCs w:val="21"/>
          <w:lang w:val="en-US" w:eastAsia="zh-CN"/>
        </w:rPr>
        <w:t>并组织实施</w:t>
      </w:r>
      <w:r>
        <w:rPr>
          <w:rFonts w:hint="eastAsia" w:ascii="宋体" w:hAnsi="宋体" w:eastAsia="宋体" w:cs="宋体"/>
          <w:kern w:val="0"/>
          <w:szCs w:val="21"/>
        </w:rPr>
        <w:t>。</w:t>
      </w:r>
    </w:p>
    <w:p>
      <w:pPr>
        <w:shd w:val="clear"/>
        <w:snapToGrid w:val="0"/>
        <w:ind w:firstLine="420" w:firstLineChars="200"/>
        <w:rPr>
          <w:rFonts w:hint="eastAsia" w:ascii="宋体" w:hAnsi="宋体" w:eastAsia="宋体" w:cs="宋体"/>
          <w:kern w:val="0"/>
          <w:szCs w:val="21"/>
        </w:rPr>
      </w:pPr>
      <w:r>
        <w:rPr>
          <w:rFonts w:hint="eastAsia" w:ascii="宋体" w:hAnsi="宋体" w:eastAsia="宋体" w:cs="宋体"/>
          <w:kern w:val="0"/>
          <w:szCs w:val="21"/>
        </w:rPr>
        <w:t>本文件起草单位：苏州威世博知识产权服务有限公司、中鑫国际认证（江苏）有限公司、苏州知途知识产权代理事务所（普通合伙）、苏州市质量和标准化院、苏州高新区（虎丘区）知识产权协会、</w:t>
      </w:r>
      <w:r>
        <w:rPr>
          <w:rFonts w:hint="eastAsia" w:ascii="宋体" w:hAnsi="宋体" w:eastAsia="宋体" w:cs="宋体"/>
          <w:kern w:val="0"/>
          <w:szCs w:val="21"/>
          <w:lang w:eastAsia="zh-CN"/>
        </w:rPr>
        <w:t>苏州市</w:t>
      </w:r>
      <w:bookmarkStart w:id="172" w:name="_GoBack"/>
      <w:bookmarkEnd w:id="172"/>
      <w:r>
        <w:rPr>
          <w:rFonts w:hint="eastAsia" w:ascii="宋体" w:hAnsi="宋体" w:eastAsia="宋体" w:cs="宋体"/>
          <w:kern w:val="0"/>
          <w:szCs w:val="21"/>
        </w:rPr>
        <w:t>吴中区市场监督管理局、智慧芽信息科技（苏州）有限公司、</w:t>
      </w:r>
      <w:r>
        <w:rPr>
          <w:rFonts w:hint="eastAsia" w:ascii="宋体" w:hAnsi="宋体" w:eastAsia="宋体" w:cs="宋体"/>
          <w:kern w:val="0"/>
          <w:szCs w:val="21"/>
          <w:lang w:eastAsia="zh-CN"/>
        </w:rPr>
        <w:t>苏州市</w:t>
      </w:r>
      <w:r>
        <w:rPr>
          <w:rFonts w:hint="eastAsia" w:ascii="宋体" w:hAnsi="宋体" w:eastAsia="宋体" w:cs="宋体"/>
          <w:kern w:val="0"/>
          <w:szCs w:val="21"/>
        </w:rPr>
        <w:t>高新区市场监督管理局、昆山市市场监督管理局、北京品源专利代理有限公司苏州分公司、苏州三英知识产权代理有限公司、江苏国际知识产权运营交易中心有限公司、北京远大卓悦知识产权代理事务所（普通合伙）苏州分所、江苏科电检测技术有限公司、江苏华普信息技术有限公司、北京同恒源知识产权代理有限公司苏州分公司。</w:t>
      </w:r>
    </w:p>
    <w:p>
      <w:pPr>
        <w:shd w:val="clea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本文件主要起草人：李彦涛、胡静、金冠敏、张硕、杨林洁、马刚强、殷芳、袁君、李小平、钱玟洁、毕速成、朱绿萍、陈广杰、金文、李婧、黄春梅、王婷、朱磊、王奎、何义亮、杨慧红</w:t>
      </w:r>
      <w:r>
        <w:rPr>
          <w:rFonts w:hint="eastAsia" w:ascii="宋体" w:hAnsi="宋体" w:eastAsia="宋体" w:cs="宋体"/>
          <w:kern w:val="0"/>
          <w:szCs w:val="21"/>
          <w:lang w:eastAsia="zh-CN"/>
        </w:rPr>
        <w:t>。</w:t>
      </w:r>
    </w:p>
    <w:p>
      <w:pPr>
        <w:snapToGrid w:val="0"/>
        <w:ind w:firstLine="420" w:firstLineChars="200"/>
        <w:rPr>
          <w:rFonts w:ascii="宋体" w:hAnsi="宋体" w:eastAsia="宋体" w:cs="宋体"/>
          <w:kern w:val="0"/>
          <w:szCs w:val="21"/>
        </w:rPr>
        <w:sectPr>
          <w:footerReference r:id="rId16" w:type="default"/>
          <w:headerReference r:id="rId15" w:type="even"/>
          <w:footerReference r:id="rId17" w:type="even"/>
          <w:pgSz w:w="11906" w:h="16838"/>
          <w:pgMar w:top="1417" w:right="1134" w:bottom="1134" w:left="1418" w:header="1417" w:footer="1134" w:gutter="0"/>
          <w:pgNumType w:fmt="upperRoman" w:start="2"/>
          <w:cols w:space="425" w:num="1"/>
          <w:docGrid w:type="lines" w:linePitch="312" w:charSpace="0"/>
        </w:sectPr>
      </w:pPr>
    </w:p>
    <w:p>
      <w:pPr>
        <w:pStyle w:val="8"/>
      </w:pPr>
    </w:p>
    <w:p>
      <w:pPr>
        <w:widowControl/>
        <w:rPr>
          <w:rFonts w:ascii="黑体" w:hAnsi="黑体" w:eastAsia="黑体"/>
          <w:bCs/>
          <w:sz w:val="32"/>
          <w:szCs w:val="32"/>
        </w:rPr>
        <w:sectPr>
          <w:footerReference r:id="rId19" w:type="default"/>
          <w:headerReference r:id="rId18" w:type="even"/>
          <w:footerReference r:id="rId20" w:type="even"/>
          <w:pgSz w:w="11906" w:h="16838"/>
          <w:pgMar w:top="1417" w:right="1134" w:bottom="1134" w:left="1418" w:header="1417" w:footer="1134" w:gutter="0"/>
          <w:pgNumType w:fmt="upperRoman" w:start="2"/>
          <w:cols w:space="425" w:num="1"/>
          <w:docGrid w:type="lines" w:linePitch="312" w:charSpace="0"/>
        </w:sectPr>
      </w:pPr>
      <w:bookmarkStart w:id="3" w:name="SectionMark4"/>
    </w:p>
    <w:p>
      <w:pPr>
        <w:widowControl/>
        <w:spacing w:before="567" w:after="680"/>
        <w:jc w:val="center"/>
        <w:rPr>
          <w:rFonts w:hint="default" w:ascii="黑体" w:hAnsi="黑体" w:eastAsia="黑体"/>
          <w:bCs/>
          <w:sz w:val="32"/>
          <w:szCs w:val="32"/>
          <w:lang w:val="en-US" w:eastAsia="zh-CN"/>
        </w:rPr>
      </w:pPr>
      <w:r>
        <w:rPr>
          <w:rFonts w:hint="eastAsia" w:ascii="黑体" w:hAnsi="宋体" w:eastAsia="黑体"/>
          <w:sz w:val="32"/>
          <w:szCs w:val="32"/>
          <w:lang w:val="en-US" w:eastAsia="zh-CN"/>
        </w:rPr>
        <w:t>知识产权服务机构服务规范</w:t>
      </w:r>
    </w:p>
    <w:bookmarkEnd w:id="3"/>
    <w:p>
      <w:pPr>
        <w:pStyle w:val="66"/>
        <w:spacing w:before="312" w:after="312"/>
        <w:rPr>
          <w:rFonts w:hint="eastAsia"/>
        </w:rPr>
      </w:pPr>
      <w:bookmarkStart w:id="4" w:name="_Toc46494722"/>
      <w:bookmarkStart w:id="5" w:name="_Toc47973642"/>
      <w:bookmarkStart w:id="6" w:name="_Toc47964512"/>
      <w:bookmarkStart w:id="7" w:name="_Toc47973431"/>
      <w:bookmarkStart w:id="8" w:name="_Toc48050151"/>
      <w:bookmarkStart w:id="9" w:name="_Toc48049835"/>
      <w:bookmarkStart w:id="10" w:name="_Toc40454690"/>
      <w:bookmarkStart w:id="11" w:name="_Toc51663569"/>
      <w:bookmarkStart w:id="12" w:name="_Toc21213"/>
      <w:bookmarkStart w:id="13" w:name="_Toc48028397"/>
      <w:bookmarkStart w:id="14" w:name="_Toc67393169"/>
      <w:bookmarkStart w:id="15" w:name="_Toc47964470"/>
      <w:bookmarkStart w:id="16" w:name="_Toc66965087"/>
      <w:bookmarkStart w:id="17" w:name="_Toc21637"/>
      <w:bookmarkStart w:id="18" w:name="_Toc122448156"/>
      <w:bookmarkStart w:id="19" w:name="_Toc48569571"/>
      <w:bookmarkStart w:id="20" w:name="_Toc87811223"/>
      <w:bookmarkStart w:id="21" w:name="_Toc10375"/>
      <w:bookmarkStart w:id="22" w:name="_Toc48028304"/>
      <w:bookmarkStart w:id="23" w:name="_Toc51147912"/>
      <w:bookmarkStart w:id="24" w:name="_Toc115339701"/>
      <w:bookmarkStart w:id="25" w:name="_Toc67401897"/>
      <w:bookmarkStart w:id="26" w:name="_Toc87811368"/>
      <w:bookmarkStart w:id="27" w:name="_Toc48572088"/>
      <w:bookmarkStart w:id="28" w:name="_Toc15741"/>
      <w:bookmarkStart w:id="29" w:name="_Toc30515"/>
      <w:r>
        <w:rPr>
          <w:rFonts w:hint="eastAsia"/>
        </w:rPr>
        <w:t>范围</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51"/>
        <w:rPr>
          <w:rFonts w:hint="eastAsia"/>
        </w:rPr>
      </w:pPr>
      <w:r>
        <w:rPr>
          <w:rFonts w:hint="eastAsia"/>
        </w:rPr>
        <w:t>本文件规定了知识产权服务机构服务的基本要求、服务内容及要求、服务管理要求、服务评价与改进。</w:t>
      </w:r>
    </w:p>
    <w:p>
      <w:pPr>
        <w:pStyle w:val="51"/>
        <w:rPr>
          <w:rFonts w:hint="eastAsia"/>
        </w:rPr>
      </w:pPr>
      <w:r>
        <w:rPr>
          <w:rFonts w:hint="eastAsia"/>
        </w:rPr>
        <w:t>本文件适用于知识产权服务机构开展知识产权服务活动及质量评价。</w:t>
      </w:r>
    </w:p>
    <w:p>
      <w:pPr>
        <w:pStyle w:val="66"/>
        <w:spacing w:before="312" w:after="312"/>
        <w:rPr>
          <w:rFonts w:hint="eastAsia"/>
        </w:rPr>
      </w:pPr>
      <w:bookmarkStart w:id="30" w:name="_Toc67401898"/>
      <w:bookmarkStart w:id="31" w:name="_Toc27904"/>
      <w:bookmarkStart w:id="32" w:name="_Toc40454691"/>
      <w:bookmarkStart w:id="33" w:name="_Toc115339702"/>
      <w:bookmarkStart w:id="34" w:name="_Toc87811224"/>
      <w:bookmarkStart w:id="35" w:name="_Toc47973432"/>
      <w:bookmarkStart w:id="36" w:name="_Toc4534"/>
      <w:bookmarkStart w:id="37" w:name="_Toc27351"/>
      <w:bookmarkStart w:id="38" w:name="_Toc51147913"/>
      <w:bookmarkStart w:id="39" w:name="_Toc5397"/>
      <w:bookmarkStart w:id="40" w:name="_Toc67393170"/>
      <w:bookmarkStart w:id="41" w:name="_Toc51663570"/>
      <w:bookmarkStart w:id="42" w:name="_Toc66965088"/>
      <w:bookmarkStart w:id="43" w:name="_Toc47973643"/>
      <w:bookmarkStart w:id="44" w:name="_Toc47964513"/>
      <w:bookmarkStart w:id="45" w:name="_Toc48028305"/>
      <w:bookmarkStart w:id="46" w:name="_Toc48050152"/>
      <w:bookmarkStart w:id="47" w:name="_Toc48028398"/>
      <w:bookmarkStart w:id="48" w:name="_Toc29099"/>
      <w:bookmarkStart w:id="49" w:name="_Toc87811369"/>
      <w:bookmarkStart w:id="50" w:name="_Toc48049836"/>
      <w:bookmarkStart w:id="51" w:name="_Toc46494723"/>
      <w:bookmarkStart w:id="52" w:name="_Toc47964471"/>
      <w:bookmarkStart w:id="53" w:name="_Toc122448157"/>
      <w:bookmarkStart w:id="54" w:name="_Toc48572089"/>
      <w:bookmarkStart w:id="55" w:name="_Toc48569572"/>
      <w:r>
        <w:rPr>
          <w:rFonts w:hint="eastAsia"/>
        </w:rPr>
        <w:t>规范性引用文件</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51"/>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1"/>
        <w:rPr>
          <w:rFonts w:hint="eastAsia"/>
        </w:rPr>
      </w:pPr>
      <w:r>
        <w:rPr>
          <w:rFonts w:hint="eastAsia"/>
        </w:rPr>
        <w:t>GB/T 21374—2008  知识产权文献与信息 基本词汇</w:t>
      </w:r>
    </w:p>
    <w:p>
      <w:pPr>
        <w:pStyle w:val="51"/>
        <w:rPr>
          <w:rFonts w:hint="eastAsia"/>
        </w:rPr>
      </w:pPr>
      <w:r>
        <w:rPr>
          <w:rFonts w:hint="eastAsia"/>
        </w:rPr>
        <w:t>GB/T 29490  企业知识产权合规管理体系 要求</w:t>
      </w:r>
    </w:p>
    <w:p>
      <w:pPr>
        <w:pStyle w:val="66"/>
        <w:spacing w:before="312" w:after="312"/>
        <w:rPr>
          <w:rFonts w:hint="eastAsia"/>
          <w:szCs w:val="21"/>
        </w:rPr>
      </w:pPr>
      <w:bookmarkStart w:id="56" w:name="_Toc67401899"/>
      <w:bookmarkStart w:id="57" w:name="_Toc4695"/>
      <w:bookmarkStart w:id="58" w:name="_Toc122448158"/>
      <w:bookmarkStart w:id="59" w:name="_Toc87811225"/>
      <w:bookmarkStart w:id="60" w:name="_Toc67393171"/>
      <w:bookmarkStart w:id="61" w:name="_Toc87811370"/>
      <w:bookmarkStart w:id="62" w:name="_Toc115339703"/>
      <w:r>
        <w:rPr>
          <w:rFonts w:hint="eastAsia"/>
          <w:szCs w:val="21"/>
        </w:rPr>
        <w:t>术语和定义</w:t>
      </w:r>
      <w:bookmarkEnd w:id="56"/>
      <w:bookmarkEnd w:id="57"/>
      <w:bookmarkEnd w:id="58"/>
      <w:bookmarkEnd w:id="59"/>
      <w:bookmarkEnd w:id="60"/>
      <w:bookmarkEnd w:id="61"/>
      <w:bookmarkEnd w:id="62"/>
    </w:p>
    <w:p>
      <w:pPr>
        <w:pStyle w:val="51"/>
        <w:rPr>
          <w:rFonts w:hint="eastAsia"/>
        </w:rPr>
      </w:pPr>
      <w:r>
        <w:rPr>
          <w:rFonts w:hint="eastAsia"/>
        </w:rPr>
        <w:t>GB/T 21374—2008、GB/T 29490界定的以及下列术语和定义适用于本文件。</w:t>
      </w:r>
    </w:p>
    <w:p>
      <w:pPr>
        <w:pStyle w:val="63"/>
        <w:keepNext w:val="0"/>
        <w:keepLines w:val="0"/>
        <w:pageBreakBefore w:val="0"/>
        <w:widowControl/>
        <w:kinsoku/>
        <w:wordWrap/>
        <w:overflowPunct/>
        <w:topLinePunct w:val="0"/>
        <w:autoSpaceDE/>
        <w:autoSpaceDN/>
        <w:bidi w:val="0"/>
        <w:adjustRightInd/>
        <w:snapToGrid/>
        <w:ind w:left="420" w:hanging="420" w:hangingChars="200"/>
        <w:textAlignment w:val="auto"/>
        <w:rPr>
          <w:rFonts w:ascii="黑体" w:hAnsi="黑体" w:eastAsia="黑体"/>
        </w:rPr>
      </w:pPr>
    </w:p>
    <w:p>
      <w:pPr>
        <w:pStyle w:val="63"/>
        <w:numPr>
          <w:ilvl w:val="-1"/>
          <w:numId w:val="0"/>
        </w:numPr>
        <w:ind w:firstLine="420" w:firstLineChars="200"/>
        <w:rPr>
          <w:rFonts w:ascii="黑体" w:hAnsi="黑体" w:eastAsia="黑体"/>
        </w:rPr>
      </w:pPr>
      <w:r>
        <w:rPr>
          <w:rFonts w:hint="eastAsia" w:ascii="黑体" w:hAnsi="黑体" w:eastAsia="黑体"/>
        </w:rPr>
        <w:t>知识产权</w:t>
      </w:r>
      <w:r>
        <w:rPr>
          <w:rFonts w:hint="eastAsia" w:ascii="黑体" w:hAnsi="黑体" w:eastAsia="黑体"/>
          <w:lang w:val="en-US" w:eastAsia="zh-CN"/>
        </w:rPr>
        <w:t xml:space="preserve"> </w:t>
      </w:r>
      <w:r>
        <w:rPr>
          <w:rFonts w:hint="eastAsia" w:ascii="黑体" w:hAnsi="黑体" w:eastAsia="黑体"/>
        </w:rPr>
        <w:t xml:space="preserve"> intellectual property</w:t>
      </w:r>
    </w:p>
    <w:p>
      <w:pPr>
        <w:pStyle w:val="67"/>
        <w:ind w:firstLine="420"/>
        <w:rPr>
          <w:rFonts w:hint="eastAsia"/>
        </w:rPr>
      </w:pPr>
      <w:r>
        <w:rPr>
          <w:rFonts w:hint="eastAsia"/>
        </w:rPr>
        <w:t>自然人、法人或非法人组织基于创造性智力成果依法享有的权利，主要包括专利权、商标权、著作权、集成电路布图设计权、地理标志、植物新品种权、商业秘密等。</w:t>
      </w:r>
    </w:p>
    <w:p>
      <w:pPr>
        <w:pStyle w:val="63"/>
        <w:keepNext w:val="0"/>
        <w:keepLines w:val="0"/>
        <w:pageBreakBefore w:val="0"/>
        <w:widowControl/>
        <w:kinsoku/>
        <w:wordWrap/>
        <w:overflowPunct/>
        <w:topLinePunct w:val="0"/>
        <w:autoSpaceDE/>
        <w:autoSpaceDN/>
        <w:bidi w:val="0"/>
        <w:adjustRightInd/>
        <w:snapToGrid/>
        <w:ind w:left="420" w:hanging="420" w:hangingChars="200"/>
        <w:textAlignment w:val="auto"/>
        <w:rPr>
          <w:rFonts w:ascii="黑体" w:hAnsi="黑体" w:eastAsia="黑体"/>
        </w:rPr>
      </w:pPr>
    </w:p>
    <w:p>
      <w:pPr>
        <w:pStyle w:val="63"/>
        <w:numPr>
          <w:ilvl w:val="-1"/>
          <w:numId w:val="0"/>
        </w:numPr>
        <w:ind w:firstLine="420" w:firstLineChars="200"/>
        <w:rPr>
          <w:rFonts w:ascii="黑体" w:hAnsi="黑体" w:eastAsia="黑体"/>
        </w:rPr>
      </w:pPr>
      <w:r>
        <w:rPr>
          <w:rFonts w:hint="eastAsia" w:ascii="黑体" w:hAnsi="黑体" w:eastAsia="黑体"/>
        </w:rPr>
        <w:t xml:space="preserve">知识产权服务 </w:t>
      </w:r>
      <w:r>
        <w:rPr>
          <w:rFonts w:hint="eastAsia" w:ascii="黑体" w:hAnsi="黑体" w:eastAsia="黑体"/>
          <w:lang w:val="en-US" w:eastAsia="zh-CN"/>
        </w:rPr>
        <w:t xml:space="preserve"> </w:t>
      </w:r>
      <w:r>
        <w:rPr>
          <w:rFonts w:hint="eastAsia" w:ascii="黑体" w:hAnsi="黑体" w:eastAsia="黑体"/>
        </w:rPr>
        <w:t>intellectual property services</w:t>
      </w:r>
    </w:p>
    <w:p>
      <w:pPr>
        <w:pStyle w:val="67"/>
        <w:ind w:firstLine="420"/>
      </w:pPr>
      <w:r>
        <w:rPr>
          <w:rFonts w:hint="eastAsia"/>
        </w:rPr>
        <w:t>综合应用知识产权信息和实践经验为客户提供服务的活动。</w:t>
      </w:r>
    </w:p>
    <w:p>
      <w:pPr>
        <w:pStyle w:val="63"/>
        <w:keepNext w:val="0"/>
        <w:keepLines w:val="0"/>
        <w:pageBreakBefore w:val="0"/>
        <w:widowControl/>
        <w:kinsoku/>
        <w:wordWrap/>
        <w:overflowPunct/>
        <w:topLinePunct w:val="0"/>
        <w:autoSpaceDE/>
        <w:autoSpaceDN/>
        <w:bidi w:val="0"/>
        <w:adjustRightInd/>
        <w:snapToGrid/>
        <w:ind w:left="420" w:hanging="420" w:hangingChars="200"/>
        <w:textAlignment w:val="auto"/>
        <w:rPr>
          <w:rFonts w:ascii="黑体" w:hAnsi="黑体" w:eastAsia="黑体"/>
        </w:rPr>
      </w:pPr>
    </w:p>
    <w:p>
      <w:pPr>
        <w:pStyle w:val="63"/>
        <w:numPr>
          <w:ilvl w:val="-1"/>
          <w:numId w:val="0"/>
        </w:numPr>
        <w:ind w:firstLine="420" w:firstLineChars="200"/>
        <w:rPr>
          <w:rFonts w:ascii="黑体" w:hAnsi="黑体" w:eastAsia="黑体"/>
        </w:rPr>
      </w:pPr>
      <w:r>
        <w:rPr>
          <w:rFonts w:hint="eastAsia" w:ascii="黑体" w:hAnsi="黑体" w:eastAsia="黑体"/>
        </w:rPr>
        <w:t xml:space="preserve">知识产权服务机构 </w:t>
      </w:r>
      <w:r>
        <w:rPr>
          <w:rFonts w:hint="eastAsia" w:ascii="黑体" w:hAnsi="黑体" w:eastAsia="黑体"/>
          <w:lang w:val="en-US" w:eastAsia="zh-CN"/>
        </w:rPr>
        <w:t xml:space="preserve"> </w:t>
      </w:r>
      <w:r>
        <w:rPr>
          <w:rFonts w:hint="eastAsia" w:ascii="黑体" w:hAnsi="黑体" w:eastAsia="黑体"/>
        </w:rPr>
        <w:t>intellectual property services providers</w:t>
      </w:r>
    </w:p>
    <w:p>
      <w:pPr>
        <w:pStyle w:val="67"/>
        <w:ind w:firstLine="420"/>
        <w:rPr>
          <w:rFonts w:hint="eastAsia" w:ascii="宋体" w:hAnsi="宋体" w:eastAsia="宋体" w:cs="宋体"/>
          <w:sz w:val="18"/>
          <w:szCs w:val="18"/>
          <w:lang w:val="en-US" w:eastAsia="zh-CN"/>
        </w:rPr>
      </w:pPr>
      <w:r>
        <w:rPr>
          <w:rFonts w:hint="eastAsia"/>
        </w:rPr>
        <w:t>接受客户委托为其提供知识产权服务的机构。</w:t>
      </w:r>
    </w:p>
    <w:p>
      <w:pPr>
        <w:pStyle w:val="66"/>
        <w:bidi w:val="0"/>
        <w:ind w:left="0" w:leftChars="0" w:firstLine="0" w:firstLineChars="0"/>
        <w:rPr>
          <w:rFonts w:hint="eastAsia"/>
        </w:rPr>
      </w:pPr>
      <w:bookmarkStart w:id="63" w:name="_Toc30988"/>
      <w:bookmarkStart w:id="64" w:name="_Toc500955133"/>
      <w:bookmarkStart w:id="65" w:name="_Toc67393179"/>
      <w:bookmarkStart w:id="66" w:name="_Toc500938711"/>
      <w:bookmarkStart w:id="67" w:name="_Toc502157208"/>
      <w:r>
        <w:rPr>
          <w:rFonts w:hint="eastAsia"/>
          <w:lang w:val="en-US" w:eastAsia="zh-CN"/>
        </w:rPr>
        <w:t>基本要求</w:t>
      </w:r>
      <w:bookmarkEnd w:id="63"/>
    </w:p>
    <w:p>
      <w:pPr>
        <w:pStyle w:val="65"/>
        <w:spacing w:before="156" w:after="156"/>
        <w:rPr>
          <w:rFonts w:hint="eastAsia" w:hAnsi="Times New Roman" w:cs="Times New Roman"/>
          <w:lang w:val="en-US" w:eastAsia="zh-CN"/>
        </w:rPr>
      </w:pPr>
      <w:bookmarkStart w:id="68" w:name="_Toc6036"/>
      <w:r>
        <w:rPr>
          <w:rFonts w:hint="eastAsia" w:hAnsi="Times New Roman" w:cs="Times New Roman"/>
          <w:lang w:val="en-US" w:eastAsia="zh-CN"/>
        </w:rPr>
        <w:t>服务机构</w:t>
      </w:r>
      <w:bookmarkEnd w:id="68"/>
    </w:p>
    <w:p>
      <w:pPr>
        <w:pStyle w:val="68"/>
      </w:pPr>
      <w:r>
        <w:t>知识产权服务机构应依法注册成立，符合国家相关资质要求，有固定的办公场所，有开展知识产权服务所必需的人力、信息、设施、财务</w:t>
      </w:r>
      <w:r>
        <w:rPr>
          <w:spacing w:val="-6"/>
        </w:rPr>
        <w:t>等资源。</w:t>
      </w:r>
    </w:p>
    <w:p>
      <w:pPr>
        <w:pStyle w:val="68"/>
      </w:pPr>
      <w:r>
        <w:rPr>
          <w:spacing w:val="-3"/>
        </w:rPr>
        <w:t>应建立完善的内部管理制度和知识产权服务流程，并有效运行。</w:t>
      </w:r>
    </w:p>
    <w:p>
      <w:pPr>
        <w:pStyle w:val="68"/>
      </w:pPr>
      <w:r>
        <w:t>应具有</w:t>
      </w:r>
      <w:r>
        <w:rPr>
          <w:spacing w:val="-14"/>
        </w:rPr>
        <w:t>相应资质或</w:t>
      </w:r>
      <w:r>
        <w:rPr>
          <w:spacing w:val="-8"/>
        </w:rPr>
        <w:t>相关工作经验的从业人员。</w:t>
      </w:r>
    </w:p>
    <w:p>
      <w:pPr>
        <w:pStyle w:val="65"/>
        <w:spacing w:before="156" w:after="156"/>
        <w:rPr>
          <w:highlight w:val="none"/>
        </w:rPr>
      </w:pPr>
      <w:bookmarkStart w:id="69" w:name="_Toc153541570"/>
      <w:bookmarkStart w:id="70" w:name="_Toc14848"/>
      <w:bookmarkStart w:id="71" w:name="_Toc24246"/>
      <w:bookmarkStart w:id="72" w:name="_Toc67401904"/>
      <w:r>
        <w:rPr>
          <w:highlight w:val="none"/>
        </w:rPr>
        <w:t>从业人员</w:t>
      </w:r>
      <w:bookmarkEnd w:id="69"/>
      <w:bookmarkEnd w:id="70"/>
      <w:bookmarkEnd w:id="71"/>
    </w:p>
    <w:p>
      <w:pPr>
        <w:pStyle w:val="68"/>
        <w:sectPr>
          <w:headerReference r:id="rId21" w:type="default"/>
          <w:footerReference r:id="rId23" w:type="default"/>
          <w:headerReference r:id="rId22" w:type="even"/>
          <w:footerReference r:id="rId24" w:type="even"/>
          <w:pgSz w:w="11906" w:h="16838"/>
          <w:pgMar w:top="1417" w:right="1134" w:bottom="1134" w:left="1418" w:header="1417" w:footer="1134" w:gutter="0"/>
          <w:pgNumType w:fmt="decimal" w:start="1"/>
          <w:cols w:space="425" w:num="1"/>
          <w:docGrid w:type="lines" w:linePitch="312" w:charSpace="0"/>
        </w:sectPr>
      </w:pPr>
    </w:p>
    <w:p>
      <w:pPr>
        <w:pStyle w:val="68"/>
      </w:pPr>
      <w:r>
        <w:rPr>
          <w:spacing w:val="-10"/>
        </w:rPr>
        <w:t>根据知识产权服务机构主体业务和岗位需求，</w:t>
      </w:r>
      <w:r>
        <w:t>应熟悉知识产权代理服务、咨询服务、运营服务、信息服务、法律服务等相关</w:t>
      </w:r>
      <w:r>
        <w:rPr>
          <w:rFonts w:hint="eastAsia"/>
          <w:lang w:eastAsia="zh-CN"/>
        </w:rPr>
        <w:t>法律法规</w:t>
      </w:r>
      <w:r>
        <w:t>、制度、政策、业务知识，具有一定的知识产权、标准化、工商管理、财务、信息、法律或档案等专业知识。</w:t>
      </w:r>
    </w:p>
    <w:p>
      <w:pPr>
        <w:pStyle w:val="68"/>
      </w:pPr>
      <w:r>
        <w:rPr>
          <w:spacing w:val="-7"/>
        </w:rPr>
        <w:t>从业人员根据岗位需求应取得相应的资格证书</w:t>
      </w:r>
      <w:r>
        <w:rPr>
          <w:rFonts w:hint="eastAsia"/>
          <w:spacing w:val="-7"/>
          <w:lang w:eastAsia="zh-CN"/>
        </w:rPr>
        <w:t>，并具备</w:t>
      </w:r>
      <w:r>
        <w:rPr>
          <w:rFonts w:hint="eastAsia"/>
          <w:spacing w:val="-8"/>
          <w:lang w:eastAsia="zh-CN"/>
        </w:rPr>
        <w:t>相应</w:t>
      </w:r>
      <w:r>
        <w:rPr>
          <w:spacing w:val="-8"/>
        </w:rPr>
        <w:t>工作经验。</w:t>
      </w:r>
    </w:p>
    <w:p>
      <w:pPr>
        <w:pStyle w:val="68"/>
      </w:pPr>
      <w:r>
        <w:rPr>
          <w:spacing w:val="-10"/>
        </w:rPr>
        <w:t>管理人员应具备</w:t>
      </w:r>
      <w:r>
        <w:rPr>
          <w:spacing w:val="-8"/>
        </w:rPr>
        <w:t>相关行业</w:t>
      </w:r>
      <w:r>
        <w:rPr>
          <w:rFonts w:hint="eastAsia"/>
          <w:spacing w:val="-8"/>
          <w:lang w:eastAsia="zh-CN"/>
        </w:rPr>
        <w:t>从业</w:t>
      </w:r>
      <w:r>
        <w:rPr>
          <w:spacing w:val="-8"/>
        </w:rPr>
        <w:t>经验。</w:t>
      </w:r>
    </w:p>
    <w:p>
      <w:pPr>
        <w:pStyle w:val="66"/>
        <w:keepNext w:val="0"/>
        <w:keepLines w:val="0"/>
        <w:pageBreakBefore w:val="0"/>
        <w:widowControl/>
        <w:kinsoku/>
        <w:wordWrap/>
        <w:overflowPunct/>
        <w:topLinePunct w:val="0"/>
        <w:autoSpaceDE/>
        <w:autoSpaceDN/>
        <w:bidi w:val="0"/>
        <w:adjustRightInd/>
        <w:snapToGrid/>
        <w:spacing w:before="312" w:after="312"/>
        <w:textAlignment w:val="auto"/>
      </w:pPr>
      <w:bookmarkStart w:id="73" w:name="_Toc26992"/>
      <w:bookmarkStart w:id="74" w:name="_Toc153541571"/>
      <w:bookmarkStart w:id="75" w:name="_Toc4368"/>
      <w:r>
        <w:t>服务内容</w:t>
      </w:r>
      <w:bookmarkEnd w:id="73"/>
      <w:bookmarkEnd w:id="74"/>
      <w:bookmarkEnd w:id="75"/>
    </w:p>
    <w:p>
      <w:pPr>
        <w:pStyle w:val="65"/>
        <w:keepNext w:val="0"/>
        <w:keepLines w:val="0"/>
        <w:pageBreakBefore w:val="0"/>
        <w:widowControl/>
        <w:kinsoku/>
        <w:wordWrap/>
        <w:overflowPunct/>
        <w:topLinePunct w:val="0"/>
        <w:autoSpaceDE/>
        <w:autoSpaceDN/>
        <w:bidi w:val="0"/>
        <w:adjustRightInd/>
        <w:snapToGrid/>
        <w:spacing w:before="156" w:after="156"/>
        <w:textAlignment w:val="auto"/>
      </w:pPr>
      <w:bookmarkStart w:id="76" w:name="_Toc111724878"/>
      <w:bookmarkEnd w:id="76"/>
      <w:bookmarkStart w:id="77" w:name="_Toc26904"/>
      <w:bookmarkStart w:id="78" w:name="_Toc153541572"/>
      <w:bookmarkStart w:id="79" w:name="_Toc21238"/>
      <w:r>
        <w:t>代理服务</w:t>
      </w:r>
      <w:bookmarkEnd w:id="77"/>
      <w:bookmarkEnd w:id="78"/>
      <w:bookmarkEnd w:id="79"/>
    </w:p>
    <w:p>
      <w:pPr>
        <w:pStyle w:val="67"/>
        <w:ind w:firstLine="420"/>
      </w:pPr>
      <w:r>
        <w:rPr>
          <w:rFonts w:hint="eastAsia"/>
        </w:rPr>
        <w:t>为客户提供知识产权的申请、登记或注册、审查以及年费维持阶段的相关代理服务，包括必要的业务交流、布局建议、进度沟通、流程支持等配套服务。</w:t>
      </w:r>
    </w:p>
    <w:p>
      <w:pPr>
        <w:pStyle w:val="65"/>
        <w:spacing w:before="156" w:after="156"/>
      </w:pPr>
      <w:bookmarkStart w:id="80" w:name="_Toc111724879"/>
      <w:bookmarkEnd w:id="80"/>
      <w:bookmarkStart w:id="81" w:name="_Toc29139"/>
      <w:bookmarkStart w:id="82" w:name="_Toc153541573"/>
      <w:bookmarkStart w:id="83" w:name="_Toc14249"/>
      <w:r>
        <w:t>咨询服务</w:t>
      </w:r>
      <w:bookmarkEnd w:id="81"/>
      <w:bookmarkEnd w:id="82"/>
      <w:bookmarkEnd w:id="83"/>
    </w:p>
    <w:p>
      <w:pPr>
        <w:pStyle w:val="67"/>
        <w:ind w:firstLine="420"/>
      </w:pPr>
      <w:r>
        <w:t>为客户提供知识产权管理规范或管理体系建设运行、知识产权尽职调查、知识产权战略规划制定、知识产权培训、知识产权项目辅导、专利导航等咨询服务。</w:t>
      </w:r>
    </w:p>
    <w:p>
      <w:pPr>
        <w:pStyle w:val="65"/>
        <w:spacing w:before="156" w:after="156"/>
      </w:pPr>
      <w:bookmarkStart w:id="84" w:name="_Toc111724880"/>
      <w:bookmarkEnd w:id="84"/>
      <w:bookmarkStart w:id="85" w:name="_Toc15623"/>
      <w:bookmarkStart w:id="86" w:name="_Toc153541574"/>
      <w:bookmarkStart w:id="87" w:name="_Toc22843"/>
      <w:r>
        <w:t>运营服务</w:t>
      </w:r>
      <w:bookmarkEnd w:id="85"/>
      <w:bookmarkEnd w:id="86"/>
      <w:bookmarkEnd w:id="87"/>
    </w:p>
    <w:p>
      <w:pPr>
        <w:pStyle w:val="67"/>
        <w:ind w:firstLine="420"/>
      </w:pPr>
      <w:r>
        <w:t>为客户提供知识产权许可、转让、评估、质押融资、证券化等运营</w:t>
      </w:r>
      <w:r>
        <w:rPr>
          <w:spacing w:val="-8"/>
        </w:rPr>
        <w:t>服务。</w:t>
      </w:r>
    </w:p>
    <w:p>
      <w:pPr>
        <w:pStyle w:val="65"/>
        <w:keepNext w:val="0"/>
        <w:keepLines w:val="0"/>
        <w:pageBreakBefore w:val="0"/>
        <w:widowControl/>
        <w:kinsoku/>
        <w:wordWrap/>
        <w:overflowPunct/>
        <w:topLinePunct w:val="0"/>
        <w:autoSpaceDE/>
        <w:autoSpaceDN/>
        <w:bidi w:val="0"/>
        <w:adjustRightInd/>
        <w:snapToGrid/>
        <w:spacing w:before="156" w:after="156"/>
        <w:textAlignment w:val="auto"/>
      </w:pPr>
      <w:bookmarkStart w:id="88" w:name="_Toc111724882"/>
      <w:bookmarkEnd w:id="88"/>
      <w:bookmarkStart w:id="89" w:name="_Toc3245"/>
      <w:bookmarkStart w:id="90" w:name="_Toc16888"/>
      <w:bookmarkStart w:id="91" w:name="_Toc153541575"/>
      <w:r>
        <w:t>法律服务</w:t>
      </w:r>
      <w:bookmarkEnd w:id="89"/>
      <w:bookmarkEnd w:id="90"/>
      <w:bookmarkEnd w:id="91"/>
    </w:p>
    <w:p>
      <w:pPr>
        <w:pStyle w:val="67"/>
        <w:ind w:firstLine="420"/>
      </w:pPr>
      <w:r>
        <w:t>为客户提供知识产权诉讼代理等法律服务。</w:t>
      </w:r>
    </w:p>
    <w:p>
      <w:pPr>
        <w:pStyle w:val="65"/>
        <w:spacing w:before="156" w:after="156"/>
      </w:pPr>
      <w:bookmarkStart w:id="92" w:name="_Toc111724881"/>
      <w:bookmarkEnd w:id="92"/>
      <w:bookmarkStart w:id="93" w:name="_Toc9643"/>
      <w:bookmarkStart w:id="94" w:name="_Toc10767"/>
      <w:bookmarkStart w:id="95" w:name="_Toc153541576"/>
      <w:r>
        <w:rPr>
          <w:rFonts w:hint="eastAsia"/>
        </w:rPr>
        <w:t>信息</w:t>
      </w:r>
      <w:r>
        <w:t>服务</w:t>
      </w:r>
      <w:bookmarkEnd w:id="93"/>
      <w:bookmarkEnd w:id="94"/>
      <w:bookmarkEnd w:id="95"/>
    </w:p>
    <w:p>
      <w:pPr>
        <w:pStyle w:val="67"/>
        <w:ind w:firstLine="420"/>
      </w:pPr>
      <w:r>
        <w:t>为客户提供知识产权</w:t>
      </w:r>
      <w:r>
        <w:rPr>
          <w:rFonts w:hint="eastAsia"/>
        </w:rPr>
        <w:t>信息检索分析、数据加工、文献翻译、数据库建设、软件开发、系统集成</w:t>
      </w:r>
      <w:r>
        <w:t>等</w:t>
      </w:r>
      <w:r>
        <w:rPr>
          <w:rFonts w:hint="eastAsia"/>
        </w:rPr>
        <w:t>信息</w:t>
      </w:r>
      <w:r>
        <w:t>服务。</w:t>
      </w:r>
    </w:p>
    <w:p>
      <w:pPr>
        <w:pStyle w:val="66"/>
        <w:keepNext w:val="0"/>
        <w:keepLines w:val="0"/>
        <w:pageBreakBefore w:val="0"/>
        <w:widowControl/>
        <w:kinsoku/>
        <w:wordWrap/>
        <w:overflowPunct/>
        <w:topLinePunct w:val="0"/>
        <w:autoSpaceDE/>
        <w:autoSpaceDN/>
        <w:bidi w:val="0"/>
        <w:adjustRightInd/>
        <w:snapToGrid/>
        <w:spacing w:before="312" w:after="312"/>
        <w:textAlignment w:val="auto"/>
      </w:pPr>
      <w:bookmarkStart w:id="96" w:name="_Toc111724890"/>
      <w:bookmarkEnd w:id="96"/>
      <w:bookmarkStart w:id="97" w:name="_Toc153541577"/>
      <w:bookmarkStart w:id="98" w:name="_Toc19794"/>
      <w:bookmarkStart w:id="99" w:name="_Toc3411"/>
      <w:r>
        <w:t>服务要求</w:t>
      </w:r>
      <w:bookmarkEnd w:id="97"/>
      <w:bookmarkEnd w:id="98"/>
      <w:bookmarkEnd w:id="99"/>
    </w:p>
    <w:p>
      <w:pPr>
        <w:pStyle w:val="65"/>
        <w:keepNext w:val="0"/>
        <w:keepLines w:val="0"/>
        <w:pageBreakBefore w:val="0"/>
        <w:widowControl/>
        <w:kinsoku/>
        <w:wordWrap/>
        <w:overflowPunct/>
        <w:topLinePunct w:val="0"/>
        <w:autoSpaceDE/>
        <w:autoSpaceDN/>
        <w:bidi w:val="0"/>
        <w:adjustRightInd/>
        <w:snapToGrid/>
        <w:spacing w:before="156" w:after="156"/>
        <w:textAlignment w:val="auto"/>
      </w:pPr>
      <w:bookmarkStart w:id="100" w:name="_Toc111724891"/>
      <w:bookmarkEnd w:id="100"/>
      <w:bookmarkStart w:id="101" w:name="_Toc7977"/>
      <w:bookmarkStart w:id="102" w:name="_Toc153541578"/>
      <w:bookmarkStart w:id="103" w:name="_Toc18854"/>
      <w:r>
        <w:t>服务接洽</w:t>
      </w:r>
      <w:bookmarkEnd w:id="101"/>
      <w:bookmarkEnd w:id="102"/>
      <w:bookmarkEnd w:id="103"/>
    </w:p>
    <w:p>
      <w:pPr>
        <w:pStyle w:val="68"/>
      </w:pPr>
      <w:r>
        <w:t>应向客户介绍服务机构的资质信息、从业人员信息</w:t>
      </w:r>
      <w:r>
        <w:rPr>
          <w:rFonts w:hint="eastAsia"/>
          <w:lang w:eastAsia="zh-CN"/>
        </w:rPr>
        <w:t>、</w:t>
      </w:r>
      <w:r>
        <w:rPr>
          <w:rFonts w:hint="eastAsia" w:ascii="宋体" w:hAnsi="宋体" w:eastAsia="宋体" w:cs="宋体"/>
          <w:i w:val="0"/>
          <w:iCs w:val="0"/>
          <w:sz w:val="21"/>
          <w:szCs w:val="21"/>
          <w:shd w:val="clear" w:color="auto" w:fill="FFFFFF"/>
          <w:lang w:val="en-US" w:eastAsia="zh-CN"/>
        </w:rPr>
        <w:t>既有客户利益冲突关系</w:t>
      </w:r>
      <w:r>
        <w:t>及相关市场服务信息，诚实开展知识产权服务业务等。</w:t>
      </w:r>
    </w:p>
    <w:p>
      <w:pPr>
        <w:pStyle w:val="68"/>
      </w:pPr>
      <w:r>
        <w:t>应向客户介绍完整、可靠的服务信息，明确知识产权服务的主要内容。</w:t>
      </w:r>
    </w:p>
    <w:p>
      <w:pPr>
        <w:pStyle w:val="68"/>
      </w:pPr>
      <w:r>
        <w:t>应向客户介绍服务的基本方案，包括基本框架、流程、费用组成、服务周期、成果形式和服务方式等。</w:t>
      </w:r>
    </w:p>
    <w:p>
      <w:pPr>
        <w:pStyle w:val="68"/>
      </w:pPr>
      <w:r>
        <w:t>向客户介绍服务方案时，服务实施人员</w:t>
      </w:r>
      <w:r>
        <w:rPr>
          <w:rFonts w:hint="eastAsia"/>
          <w:lang w:val="en-US" w:eastAsia="zh-CN"/>
        </w:rPr>
        <w:t>应</w:t>
      </w:r>
      <w:r>
        <w:t>参与接洽。</w:t>
      </w:r>
    </w:p>
    <w:p>
      <w:pPr>
        <w:pStyle w:val="65"/>
        <w:spacing w:before="156" w:after="156"/>
      </w:pPr>
      <w:bookmarkStart w:id="104" w:name="_Toc111724892"/>
      <w:bookmarkEnd w:id="104"/>
      <w:bookmarkStart w:id="105" w:name="_Toc30788"/>
      <w:bookmarkStart w:id="106" w:name="_Toc11561"/>
      <w:bookmarkStart w:id="107" w:name="_Toc153541579"/>
      <w:r>
        <w:t>服务方案</w:t>
      </w:r>
      <w:bookmarkEnd w:id="105"/>
      <w:bookmarkEnd w:id="106"/>
      <w:bookmarkEnd w:id="107"/>
    </w:p>
    <w:p>
      <w:pPr>
        <w:pStyle w:val="68"/>
      </w:pPr>
      <w:r>
        <w:t>应根据客户提供的知识产权信息确定服务方案，服务方案应包括团队名称、组成人员、项目目标任务、服务内容要求、服务工作计划。</w:t>
      </w:r>
    </w:p>
    <w:p>
      <w:pPr>
        <w:pStyle w:val="68"/>
      </w:pPr>
      <w:r>
        <w:t>服务方案应包括但不限于以下内容：</w:t>
      </w:r>
    </w:p>
    <w:p>
      <w:pPr>
        <w:pStyle w:val="78"/>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right="0" w:firstLine="0"/>
        <w:jc w:val="left"/>
        <w:textAlignment w:val="auto"/>
        <w:rPr>
          <w:rFonts w:hint="eastAsia" w:hAnsi="Times New Roman" w:cs="Times New Roman"/>
          <w:kern w:val="0"/>
          <w:szCs w:val="20"/>
          <w:lang w:eastAsia="zh-CN" w:bidi="ar"/>
        </w:rPr>
      </w:pPr>
      <w:r>
        <w:rPr>
          <w:rFonts w:hint="eastAsia" w:hAnsi="Times New Roman" w:cs="Times New Roman"/>
          <w:kern w:val="0"/>
          <w:szCs w:val="20"/>
          <w:lang w:eastAsia="zh-CN" w:bidi="ar"/>
        </w:rPr>
        <w:t>确定服务工作目标；</w:t>
      </w:r>
    </w:p>
    <w:p>
      <w:pPr>
        <w:pStyle w:val="78"/>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right="0" w:firstLine="0"/>
        <w:jc w:val="left"/>
        <w:textAlignment w:val="auto"/>
        <w:rPr>
          <w:rFonts w:hint="eastAsia" w:hAnsi="Times New Roman" w:cs="Times New Roman"/>
          <w:kern w:val="0"/>
          <w:szCs w:val="20"/>
          <w:lang w:eastAsia="zh-CN" w:bidi="ar"/>
        </w:rPr>
      </w:pPr>
      <w:r>
        <w:rPr>
          <w:rFonts w:hint="eastAsia" w:hAnsi="Times New Roman" w:cs="Times New Roman"/>
          <w:kern w:val="0"/>
          <w:szCs w:val="20"/>
          <w:lang w:eastAsia="zh-CN" w:bidi="ar"/>
        </w:rPr>
        <w:t>需要客户配合的事项；</w:t>
      </w:r>
    </w:p>
    <w:p>
      <w:pPr>
        <w:pStyle w:val="78"/>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right="0" w:firstLine="0"/>
        <w:jc w:val="left"/>
        <w:textAlignment w:val="auto"/>
        <w:rPr>
          <w:rFonts w:hint="eastAsia" w:hAnsi="Times New Roman" w:cs="Times New Roman"/>
          <w:kern w:val="0"/>
          <w:szCs w:val="20"/>
          <w:lang w:eastAsia="zh-CN" w:bidi="ar"/>
        </w:rPr>
      </w:pPr>
      <w:r>
        <w:rPr>
          <w:rFonts w:hint="eastAsia" w:hAnsi="Times New Roman" w:cs="Times New Roman"/>
          <w:kern w:val="0"/>
          <w:szCs w:val="20"/>
          <w:lang w:eastAsia="zh-CN" w:bidi="ar"/>
        </w:rPr>
        <w:t>异常沟通渠道；</w:t>
      </w:r>
    </w:p>
    <w:p>
      <w:pPr>
        <w:pStyle w:val="78"/>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right="0" w:firstLine="0"/>
        <w:jc w:val="left"/>
        <w:textAlignment w:val="auto"/>
        <w:rPr>
          <w:rFonts w:hint="eastAsia" w:hAnsi="Times New Roman" w:cs="Times New Roman"/>
          <w:kern w:val="0"/>
          <w:szCs w:val="20"/>
          <w:lang w:eastAsia="zh-CN" w:bidi="ar"/>
        </w:rPr>
      </w:pPr>
      <w:r>
        <w:rPr>
          <w:rFonts w:hint="eastAsia" w:hAnsi="Times New Roman" w:cs="Times New Roman"/>
          <w:kern w:val="0"/>
          <w:szCs w:val="20"/>
          <w:lang w:eastAsia="zh-CN" w:bidi="ar"/>
        </w:rPr>
        <w:t>阶段性通知；</w:t>
      </w:r>
    </w:p>
    <w:p>
      <w:pPr>
        <w:pStyle w:val="78"/>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right="0" w:firstLine="0"/>
        <w:jc w:val="left"/>
        <w:textAlignment w:val="auto"/>
        <w:rPr>
          <w:rFonts w:hint="eastAsia" w:hAnsi="Times New Roman" w:cs="Times New Roman"/>
          <w:kern w:val="0"/>
          <w:szCs w:val="20"/>
          <w:lang w:eastAsia="zh-CN" w:bidi="ar"/>
        </w:rPr>
      </w:pPr>
      <w:r>
        <w:rPr>
          <w:rFonts w:hint="eastAsia" w:hAnsi="Times New Roman" w:cs="Times New Roman"/>
          <w:kern w:val="0"/>
          <w:szCs w:val="20"/>
          <w:lang w:eastAsia="zh-CN" w:bidi="ar"/>
        </w:rPr>
        <w:t>知识产权服务的</w:t>
      </w:r>
      <w:r>
        <w:rPr>
          <w:rFonts w:hint="eastAsia" w:hAnsi="Times New Roman" w:cs="Times New Roman"/>
          <w:kern w:val="0"/>
          <w:szCs w:val="20"/>
          <w:lang w:val="en-US" w:eastAsia="zh-CN" w:bidi="ar"/>
        </w:rPr>
        <w:t>成果及交付形式</w:t>
      </w:r>
      <w:r>
        <w:rPr>
          <w:rFonts w:hint="eastAsia" w:hAnsi="Times New Roman" w:cs="Times New Roman"/>
          <w:kern w:val="0"/>
          <w:szCs w:val="20"/>
          <w:lang w:eastAsia="zh-CN" w:bidi="ar"/>
        </w:rPr>
        <w:t>。</w:t>
      </w:r>
    </w:p>
    <w:p>
      <w:pPr>
        <w:pStyle w:val="68"/>
      </w:pPr>
      <w:r>
        <w:t>应制定科学、合理、详细的内部评估工作程序，从合规性、科学性、有效性、经济性等角度对服务方案进行评估。</w:t>
      </w:r>
    </w:p>
    <w:p>
      <w:pPr>
        <w:pStyle w:val="68"/>
      </w:pPr>
      <w:r>
        <w:t>应根据服务方案签订合同，明确知识产权权属和相关保密要求，与客户建立协调机制。</w:t>
      </w:r>
    </w:p>
    <w:p>
      <w:pPr>
        <w:pStyle w:val="68"/>
      </w:pPr>
      <w:r>
        <w:t>合同应包括但不限于以下内容：</w:t>
      </w:r>
    </w:p>
    <w:p>
      <w:pPr>
        <w:pStyle w:val="78"/>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right="0" w:firstLine="0"/>
        <w:jc w:val="left"/>
        <w:textAlignment w:val="auto"/>
        <w:rPr>
          <w:rFonts w:hint="eastAsia" w:hAnsi="Times New Roman" w:cs="Times New Roman"/>
          <w:kern w:val="0"/>
          <w:szCs w:val="20"/>
          <w:lang w:eastAsia="zh-CN" w:bidi="ar"/>
        </w:rPr>
      </w:pPr>
      <w:r>
        <w:rPr>
          <w:rFonts w:hint="eastAsia" w:hAnsi="Times New Roman" w:cs="Times New Roman"/>
          <w:kern w:val="0"/>
          <w:szCs w:val="20"/>
          <w:lang w:eastAsia="zh-CN" w:bidi="ar"/>
        </w:rPr>
        <w:t>服务工作目标；</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服务内容与范围；</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服务成果交付方式；</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服务周期与时限；</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付款方式；</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保密条款；</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服务人员的构成；</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val="en-US" w:eastAsia="zh-CN" w:bidi="ar"/>
        </w:rPr>
        <w:t>违约或赔偿条款</w:t>
      </w:r>
      <w:r>
        <w:rPr>
          <w:rFonts w:hint="eastAsia" w:hAnsi="Times New Roman" w:cs="Times New Roman"/>
          <w:kern w:val="0"/>
          <w:szCs w:val="20"/>
          <w:lang w:eastAsia="zh-CN" w:bidi="ar"/>
        </w:rPr>
        <w:t>。</w:t>
      </w:r>
    </w:p>
    <w:p>
      <w:pPr>
        <w:pStyle w:val="65"/>
        <w:spacing w:before="156" w:after="156"/>
      </w:pPr>
      <w:bookmarkStart w:id="108" w:name="_Toc111724893"/>
      <w:bookmarkEnd w:id="108"/>
      <w:bookmarkStart w:id="109" w:name="_Toc153541580"/>
      <w:bookmarkStart w:id="110" w:name="_Toc7886"/>
      <w:bookmarkStart w:id="111" w:name="_Toc16330"/>
      <w:r>
        <w:t>服务实施</w:t>
      </w:r>
      <w:bookmarkEnd w:id="109"/>
      <w:bookmarkEnd w:id="110"/>
      <w:bookmarkEnd w:id="111"/>
    </w:p>
    <w:p>
      <w:pPr>
        <w:pStyle w:val="68"/>
      </w:pPr>
      <w:r>
        <w:t>应明确各成员的职责、任务分工、工作计划和要求。</w:t>
      </w:r>
    </w:p>
    <w:p>
      <w:pPr>
        <w:pStyle w:val="68"/>
      </w:pPr>
      <w:r>
        <w:t>应与客户指定的专门人员协同配合，组织实施服务方案。</w:t>
      </w:r>
    </w:p>
    <w:p>
      <w:pPr>
        <w:pStyle w:val="68"/>
      </w:pPr>
      <w:r>
        <w:t>应做好与客户约定的知识产权服务工作，直至取得合同约定的服务成果。</w:t>
      </w:r>
    </w:p>
    <w:p>
      <w:pPr>
        <w:pStyle w:val="68"/>
      </w:pPr>
      <w:r>
        <w:t>服务</w:t>
      </w:r>
      <w:r>
        <w:rPr>
          <w:rFonts w:hint="eastAsia"/>
          <w:lang w:val="en-US" w:eastAsia="zh-CN"/>
        </w:rPr>
        <w:t>机构</w:t>
      </w:r>
      <w:r>
        <w:t>组织实施过程包括但不限于以下内容：</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有针对性地为</w:t>
      </w:r>
      <w:r>
        <w:rPr>
          <w:rFonts w:hint="eastAsia" w:hAnsi="Times New Roman" w:cs="Times New Roman"/>
          <w:kern w:val="0"/>
          <w:szCs w:val="20"/>
          <w:lang w:val="en-US" w:eastAsia="zh-CN" w:bidi="ar"/>
        </w:rPr>
        <w:t>客户</w:t>
      </w:r>
      <w:r>
        <w:rPr>
          <w:rFonts w:hint="eastAsia" w:hAnsi="Times New Roman" w:cs="Times New Roman"/>
          <w:kern w:val="0"/>
          <w:szCs w:val="20"/>
          <w:lang w:eastAsia="zh-CN" w:bidi="ar"/>
        </w:rPr>
        <w:t>提供指导，形成实施过程记录；</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及时整理和分析实施过程中反馈的资料，建立案卷；</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主动通报进展情况，按时提交实施文件，完成归档；</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default" w:hAnsi="Times New Roman" w:cs="Times New Roman"/>
          <w:kern w:val="0"/>
          <w:szCs w:val="20"/>
          <w:lang w:eastAsia="zh-CN" w:bidi="ar"/>
        </w:rPr>
        <w:t>确认是否对后期服务结果法律状态进行实施跟踪</w:t>
      </w:r>
      <w:r>
        <w:rPr>
          <w:rFonts w:hint="eastAsia" w:hAnsi="Times New Roman" w:cs="Times New Roman"/>
          <w:kern w:val="0"/>
          <w:szCs w:val="20"/>
          <w:lang w:eastAsia="zh-CN" w:bidi="ar"/>
        </w:rPr>
        <w:t>，做好后续时限监控；</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委托关系变更时，前服务机构应对后续流程的顺利进行给予必要的配合。</w:t>
      </w:r>
    </w:p>
    <w:p>
      <w:pPr>
        <w:pStyle w:val="68"/>
      </w:pPr>
      <w:r>
        <w:t>服务实施过程中，应尊重第三方知识产权，不得恶意利用、窃取或侵犯第三方的知识产权（PPT、论文、报告等资料）成果，如有使用，应向客户说明出处并取得第三方的同意。</w:t>
      </w:r>
    </w:p>
    <w:p>
      <w:pPr>
        <w:pStyle w:val="65"/>
        <w:spacing w:before="156" w:after="156"/>
      </w:pPr>
      <w:bookmarkStart w:id="112" w:name="_Toc111724894"/>
      <w:bookmarkEnd w:id="112"/>
      <w:bookmarkStart w:id="113" w:name="_Toc29825"/>
      <w:bookmarkStart w:id="114" w:name="_Toc153541581"/>
      <w:bookmarkStart w:id="115" w:name="_Toc1122"/>
      <w:r>
        <w:t>服务成果</w:t>
      </w:r>
      <w:bookmarkEnd w:id="113"/>
      <w:bookmarkEnd w:id="114"/>
      <w:bookmarkEnd w:id="115"/>
    </w:p>
    <w:p>
      <w:pPr>
        <w:pStyle w:val="68"/>
      </w:pPr>
      <w:r>
        <w:t>成果正式交付前，服务机构应根据服务合同、服务方案和工作安排，对服务实施成果和质量等进行内部评估。</w:t>
      </w:r>
    </w:p>
    <w:p>
      <w:pPr>
        <w:pStyle w:val="68"/>
      </w:pPr>
      <w:r>
        <w:t>按照合同约定，与客户交流服务成果，结合客户的实际情况调整和完善，并提出应用成果和避免知识产权侵权纠纷的初步对策和建议。</w:t>
      </w:r>
    </w:p>
    <w:p>
      <w:pPr>
        <w:pStyle w:val="68"/>
      </w:pPr>
      <w:r>
        <w:t>按照合同要求向客户提供清晰和完整的服务成果，必要时应对服务成果</w:t>
      </w:r>
      <w:r>
        <w:rPr>
          <w:rFonts w:hint="eastAsia"/>
          <w:lang w:val="en-US" w:eastAsia="zh-CN"/>
        </w:rPr>
        <w:t>进行</w:t>
      </w:r>
      <w:r>
        <w:t>说明。</w:t>
      </w:r>
    </w:p>
    <w:p>
      <w:pPr>
        <w:pStyle w:val="65"/>
        <w:spacing w:before="156" w:after="156"/>
      </w:pPr>
      <w:bookmarkStart w:id="116" w:name="_Toc111724895"/>
      <w:bookmarkEnd w:id="116"/>
      <w:bookmarkStart w:id="117" w:name="_Toc25653"/>
      <w:bookmarkStart w:id="118" w:name="_Toc153541582"/>
      <w:bookmarkStart w:id="119" w:name="_Toc15310"/>
      <w:r>
        <w:t>服务交付</w:t>
      </w:r>
      <w:bookmarkEnd w:id="117"/>
      <w:bookmarkEnd w:id="118"/>
      <w:bookmarkEnd w:id="119"/>
    </w:p>
    <w:p>
      <w:pPr>
        <w:pStyle w:val="68"/>
      </w:pPr>
      <w:r>
        <w:t>按照合同约定的交付形式进行交付。</w:t>
      </w:r>
    </w:p>
    <w:p>
      <w:pPr>
        <w:pStyle w:val="68"/>
      </w:pPr>
      <w:r>
        <w:rPr>
          <w:rFonts w:hint="eastAsia"/>
        </w:rPr>
        <w:t>知识产权服务机构应在交付后对交付物的正确送达进行确认，形成送达回执等相关记录。</w:t>
      </w:r>
    </w:p>
    <w:p>
      <w:pPr>
        <w:pStyle w:val="68"/>
      </w:pPr>
      <w:r>
        <w:t>知识产权服务机构应在交付后开展客户满意度调查，形成客户满意度调查统计档案。</w:t>
      </w:r>
    </w:p>
    <w:p>
      <w:pPr>
        <w:pStyle w:val="65"/>
        <w:spacing w:before="156" w:after="156"/>
      </w:pPr>
      <w:bookmarkStart w:id="120" w:name="_Toc111724896"/>
      <w:bookmarkEnd w:id="120"/>
      <w:bookmarkStart w:id="121" w:name="_Toc22015"/>
      <w:bookmarkStart w:id="122" w:name="_Toc7297"/>
      <w:bookmarkStart w:id="123" w:name="_Toc153541583"/>
      <w:r>
        <w:t>跟踪服务</w:t>
      </w:r>
      <w:bookmarkEnd w:id="121"/>
      <w:bookmarkEnd w:id="122"/>
      <w:bookmarkEnd w:id="123"/>
      <w:r>
        <w:t xml:space="preserve"> </w:t>
      </w:r>
    </w:p>
    <w:p>
      <w:pPr>
        <w:pStyle w:val="68"/>
        <w:snapToGrid w:val="0"/>
      </w:pPr>
      <w:r>
        <w:t>约定服务交付后，知识产权服务机构应采取合适的方式回访客户，回访应征询客户对服务的意见。对客户的投诉和抱怨，应及时沟通并妥善处理。</w:t>
      </w:r>
    </w:p>
    <w:p>
      <w:pPr>
        <w:pStyle w:val="68"/>
        <w:snapToGrid w:val="0"/>
      </w:pPr>
      <w:r>
        <w:t>知识产权服务机构对客户投诉的问题相关处理过程与结果应持续跟踪。</w:t>
      </w:r>
    </w:p>
    <w:p>
      <w:pPr>
        <w:pStyle w:val="68"/>
        <w:snapToGrid w:val="0"/>
      </w:pPr>
      <w:r>
        <w:t>知识产权服务机构应确保客户信息不被泄露。</w:t>
      </w:r>
    </w:p>
    <w:p>
      <w:pPr>
        <w:pStyle w:val="65"/>
        <w:spacing w:before="156" w:after="156"/>
      </w:pPr>
      <w:bookmarkStart w:id="124" w:name="_Toc111724897"/>
      <w:bookmarkEnd w:id="124"/>
      <w:bookmarkStart w:id="125" w:name="_Toc153541584"/>
      <w:bookmarkStart w:id="126" w:name="_Toc6978"/>
      <w:bookmarkStart w:id="127" w:name="_Toc2707"/>
      <w:r>
        <w:t>服务外包</w:t>
      </w:r>
      <w:bookmarkEnd w:id="125"/>
      <w:bookmarkEnd w:id="126"/>
      <w:bookmarkEnd w:id="127"/>
    </w:p>
    <w:p>
      <w:pPr>
        <w:pStyle w:val="68"/>
        <w:snapToGrid w:val="0"/>
      </w:pPr>
      <w:r>
        <w:rPr>
          <w:rFonts w:hint="eastAsia"/>
          <w:lang w:val="en-US" w:eastAsia="zh-CN"/>
        </w:rPr>
        <w:t>服务涉及外包时，</w:t>
      </w:r>
      <w:r>
        <w:t>知识产权服务机构应主动</w:t>
      </w:r>
      <w:r>
        <w:rPr>
          <w:rFonts w:hint="eastAsia"/>
          <w:lang w:val="en-US" w:eastAsia="zh-CN"/>
        </w:rPr>
        <w:t>与</w:t>
      </w:r>
      <w:r>
        <w:t>客户商定</w:t>
      </w:r>
      <w:r>
        <w:rPr>
          <w:rFonts w:hint="eastAsia"/>
          <w:lang w:eastAsia="zh-CN"/>
        </w:rPr>
        <w:t>并确认</w:t>
      </w:r>
      <w:r>
        <w:t>服务方案。</w:t>
      </w:r>
    </w:p>
    <w:p>
      <w:pPr>
        <w:pStyle w:val="68"/>
        <w:snapToGrid w:val="0"/>
      </w:pPr>
      <w:r>
        <w:t>知识产权服务机构应向客户明示外包业务的服务资质和质量承诺等内容。</w:t>
      </w:r>
    </w:p>
    <w:p>
      <w:pPr>
        <w:pStyle w:val="65"/>
        <w:spacing w:before="156" w:after="156"/>
      </w:pPr>
      <w:bookmarkStart w:id="128" w:name="_Toc111724898"/>
      <w:bookmarkEnd w:id="128"/>
      <w:bookmarkStart w:id="129" w:name="_Toc13298"/>
      <w:bookmarkStart w:id="130" w:name="_Toc153541585"/>
      <w:bookmarkStart w:id="131" w:name="_Toc20585"/>
      <w:r>
        <w:t>服务关系变更与终止</w:t>
      </w:r>
      <w:bookmarkEnd w:id="129"/>
      <w:bookmarkEnd w:id="130"/>
      <w:bookmarkEnd w:id="131"/>
    </w:p>
    <w:p>
      <w:pPr>
        <w:pStyle w:val="69"/>
        <w:spacing w:before="156" w:after="156"/>
        <w:outlineLvl w:val="9"/>
      </w:pPr>
      <w:bookmarkStart w:id="132" w:name="_Toc111724899"/>
      <w:bookmarkEnd w:id="132"/>
      <w:bookmarkStart w:id="133" w:name="_Toc153791067"/>
      <w:bookmarkStart w:id="134" w:name="_Toc32009"/>
      <w:bookmarkStart w:id="135" w:name="_Toc8402"/>
      <w:r>
        <w:t>委托服务事项变更</w:t>
      </w:r>
      <w:bookmarkEnd w:id="133"/>
      <w:bookmarkEnd w:id="134"/>
      <w:bookmarkEnd w:id="135"/>
    </w:p>
    <w:p>
      <w:pPr>
        <w:pStyle w:val="67"/>
        <w:snapToGrid w:val="0"/>
        <w:ind w:firstLine="420"/>
      </w:pPr>
      <w:r>
        <w:t>服务机构应建立委托服务事项变更程序,形成变更记录：</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与客户协商确认变更委托服务事项，必要时签署变更协议；</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办理法律法规规定的手续；</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服务机构认为需要变更委托服务事项的,应及时告知客户。</w:t>
      </w:r>
    </w:p>
    <w:p>
      <w:pPr>
        <w:pStyle w:val="69"/>
        <w:spacing w:before="156" w:after="156"/>
        <w:outlineLvl w:val="9"/>
      </w:pPr>
      <w:bookmarkStart w:id="136" w:name="_Toc111724900"/>
      <w:bookmarkEnd w:id="136"/>
      <w:bookmarkStart w:id="137" w:name="_Toc9190"/>
      <w:bookmarkStart w:id="138" w:name="_Toc153791068"/>
      <w:bookmarkStart w:id="139" w:name="_Toc14411"/>
      <w:r>
        <w:t>委托服务关系终止</w:t>
      </w:r>
      <w:bookmarkEnd w:id="137"/>
      <w:bookmarkEnd w:id="138"/>
      <w:bookmarkEnd w:id="139"/>
    </w:p>
    <w:p>
      <w:pPr>
        <w:pStyle w:val="67"/>
        <w:ind w:firstLine="420"/>
      </w:pPr>
      <w:r>
        <w:t>服务机构应建立委托服务关系终止程序，形成终止过程记录：</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委托服务事项完成或依合同约定终止委托服务关系的,应及时通知委托人；</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协议终止委托服务关系的，应协助客户办理必要手续。</w:t>
      </w:r>
    </w:p>
    <w:p>
      <w:pPr>
        <w:pStyle w:val="66"/>
        <w:spacing w:before="312" w:after="312"/>
      </w:pPr>
      <w:bookmarkStart w:id="140" w:name="_Toc111724883"/>
      <w:bookmarkEnd w:id="140"/>
      <w:bookmarkStart w:id="141" w:name="_Toc153541586"/>
      <w:bookmarkStart w:id="142" w:name="_Toc12782"/>
      <w:bookmarkStart w:id="143" w:name="_Toc29634"/>
      <w:r>
        <w:t>管理要求</w:t>
      </w:r>
      <w:bookmarkEnd w:id="141"/>
      <w:bookmarkEnd w:id="142"/>
      <w:bookmarkEnd w:id="143"/>
    </w:p>
    <w:p>
      <w:pPr>
        <w:pStyle w:val="65"/>
        <w:spacing w:before="156" w:after="156"/>
      </w:pPr>
      <w:bookmarkStart w:id="144" w:name="_Toc111724884"/>
      <w:bookmarkEnd w:id="144"/>
      <w:bookmarkStart w:id="145" w:name="_Toc111724885"/>
      <w:bookmarkEnd w:id="145"/>
      <w:bookmarkStart w:id="146" w:name="_Toc153541588"/>
      <w:bookmarkStart w:id="147" w:name="_Toc9599"/>
      <w:bookmarkStart w:id="148" w:name="_Toc31863"/>
      <w:r>
        <w:t>信息公示</w:t>
      </w:r>
      <w:bookmarkEnd w:id="146"/>
      <w:bookmarkEnd w:id="147"/>
      <w:bookmarkEnd w:id="148"/>
    </w:p>
    <w:p>
      <w:pPr>
        <w:pStyle w:val="68"/>
        <w:keepNext w:val="0"/>
        <w:keepLines w:val="0"/>
        <w:pageBreakBefore w:val="0"/>
        <w:widowControl w:val="0"/>
        <w:numPr>
          <w:ilvl w:val="3"/>
          <w:numId w:val="0"/>
        </w:numPr>
        <w:kinsoku/>
        <w:wordWrap/>
        <w:overflowPunct/>
        <w:topLinePunct w:val="0"/>
        <w:autoSpaceDE/>
        <w:autoSpaceDN/>
        <w:bidi w:val="0"/>
        <w:adjustRightInd/>
        <w:snapToGrid/>
        <w:ind w:leftChars="0" w:firstLine="420" w:firstLineChars="200"/>
        <w:textAlignment w:val="auto"/>
      </w:pPr>
      <w:r>
        <w:t>服务机构应在服务场所或其网站公示下列信息：</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营业执照；</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服务机构资质证书；</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从业人员资质信息；</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其他依法应予以公示的信息。</w:t>
      </w:r>
    </w:p>
    <w:p>
      <w:pPr>
        <w:pStyle w:val="65"/>
        <w:spacing w:before="156" w:after="156"/>
      </w:pPr>
      <w:bookmarkStart w:id="149" w:name="_Toc111724886"/>
      <w:bookmarkEnd w:id="149"/>
      <w:bookmarkStart w:id="150" w:name="_Toc111724887"/>
      <w:bookmarkEnd w:id="150"/>
      <w:bookmarkStart w:id="151" w:name="_Toc1919"/>
      <w:bookmarkStart w:id="152" w:name="_Toc22042"/>
      <w:bookmarkStart w:id="153" w:name="_Toc153541589"/>
      <w:r>
        <w:t>服务理念</w:t>
      </w:r>
      <w:bookmarkEnd w:id="151"/>
      <w:bookmarkEnd w:id="152"/>
      <w:bookmarkEnd w:id="153"/>
    </w:p>
    <w:p>
      <w:pPr>
        <w:pStyle w:val="68"/>
      </w:pPr>
      <w:r>
        <w:t>知识产权服务机构应制定服务方针和目标，以体现明确的服务理念，其中应包含对客户权益的尊重和保护。</w:t>
      </w:r>
    </w:p>
    <w:p>
      <w:pPr>
        <w:pStyle w:val="68"/>
      </w:pPr>
      <w:r>
        <w:t>知识产权服务机构应确保</w:t>
      </w:r>
      <w:r>
        <w:rPr>
          <w:rFonts w:hint="eastAsia"/>
          <w:lang w:val="en-US" w:eastAsia="zh-CN"/>
        </w:rPr>
        <w:t>向</w:t>
      </w:r>
      <w:r>
        <w:t>客户</w:t>
      </w:r>
      <w:r>
        <w:rPr>
          <w:rFonts w:hint="eastAsia"/>
          <w:lang w:val="en-US" w:eastAsia="zh-CN"/>
        </w:rPr>
        <w:t>传达</w:t>
      </w:r>
      <w:r>
        <w:t>本机构的服务理念。</w:t>
      </w:r>
      <w:r>
        <w:rPr>
          <w:rFonts w:hint="eastAsia"/>
          <w:lang w:eastAsia="zh-CN"/>
        </w:rPr>
        <w:t>服务</w:t>
      </w:r>
      <w:r>
        <w:t>机构</w:t>
      </w:r>
      <w:r>
        <w:rPr>
          <w:rFonts w:hint="eastAsia"/>
          <w:lang w:val="en-US" w:eastAsia="zh-CN"/>
        </w:rPr>
        <w:t>从业人员</w:t>
      </w:r>
      <w:r>
        <w:t>亦能熟知本机构的服务理念，并能在服务各个环节中有效执行。</w:t>
      </w:r>
    </w:p>
    <w:p>
      <w:pPr>
        <w:pStyle w:val="68"/>
      </w:pPr>
      <w:r>
        <w:t>知识产权服务机构在专利代理服务过程中，应注意行业竞争冲突的回避原则。</w:t>
      </w:r>
    </w:p>
    <w:p>
      <w:pPr>
        <w:pStyle w:val="65"/>
        <w:spacing w:before="156" w:after="156"/>
      </w:pPr>
      <w:bookmarkStart w:id="154" w:name="_Toc111724888"/>
      <w:bookmarkEnd w:id="154"/>
      <w:bookmarkStart w:id="155" w:name="_Toc10840"/>
      <w:bookmarkStart w:id="156" w:name="_Toc18784"/>
      <w:bookmarkStart w:id="157" w:name="_Toc153541590"/>
      <w:r>
        <w:t>管理制度</w:t>
      </w:r>
      <w:bookmarkEnd w:id="155"/>
      <w:bookmarkEnd w:id="156"/>
      <w:bookmarkEnd w:id="157"/>
    </w:p>
    <w:p>
      <w:pPr>
        <w:pStyle w:val="68"/>
      </w:pPr>
      <w:r>
        <w:t>知识产权服务机构应建立完整的管理体系并有效实施</w:t>
      </w:r>
      <w:r>
        <w:rPr>
          <w:rFonts w:hint="eastAsia"/>
          <w:lang w:eastAsia="zh-CN"/>
        </w:rPr>
        <w:t>。</w:t>
      </w:r>
    </w:p>
    <w:p>
      <w:pPr>
        <w:pStyle w:val="68"/>
      </w:pPr>
      <w:r>
        <w:t>知识产权服务机构应建立完整的知识产权服务规章制度，能够覆盖服务的各个环节，形成透明化服务手册，内容应包含知识产权服务的作业指导书等，便于客户需要时，能够了解知识产权服务机构的知识产权服务是否符合专业要求。</w:t>
      </w:r>
    </w:p>
    <w:p>
      <w:pPr>
        <w:pStyle w:val="68"/>
      </w:pPr>
      <w:r>
        <w:t>知识产权服务机构应建立档案管理制度，妥善保管服务合同、服务方案、客户信息等重要资料，确保需要时能够快速查询调阅，应至少包括：</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建档规则，明确案卷管理，便于业务文件的存放；</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文件的存档与检索规则，明确案卷编号方式，进行分类登记和编号管理，便于案卷的查找；</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文件保存规则，明确保存方式、期限；</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文件销毁规则，明确销毁方式。</w:t>
      </w:r>
    </w:p>
    <w:p>
      <w:pPr>
        <w:pStyle w:val="68"/>
      </w:pPr>
      <w:r>
        <w:t>知识产权服务机构应建立业务流程管理制度，可使用信息管理系统，实现流程管理信息化：</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根据服务内容、客户需求等不同业务建立业务流程，设置相应流程岗位；</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针对业务流程，建立档案,确定作业任务和要求，指定作业人员，明确作业时限，记录业务状态；</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建立业务时限管理，包括时限的建立、提醒、监督、销核制度；</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跟踪和监控业务处理过程；</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明确业务终止的规则和程序。</w:t>
      </w:r>
    </w:p>
    <w:p>
      <w:pPr>
        <w:pStyle w:val="68"/>
      </w:pPr>
      <w:r>
        <w:t>知识产权服务机构应建立保密制度，至少包括:</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保密内容、保密措施、保密责任、保密期限及补救措施；</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与从业人员签订保密协议；</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pPr>
      <w:r>
        <w:rPr>
          <w:rFonts w:hint="eastAsia" w:hAnsi="Times New Roman" w:cs="Times New Roman"/>
          <w:kern w:val="0"/>
          <w:szCs w:val="20"/>
          <w:lang w:eastAsia="zh-CN" w:bidi="ar"/>
        </w:rPr>
        <w:t>实施保密制度的设备和设施</w:t>
      </w:r>
      <w:r>
        <w:t>。</w:t>
      </w:r>
    </w:p>
    <w:p>
      <w:pPr>
        <w:pStyle w:val="68"/>
      </w:pPr>
      <w:r>
        <w:t>知识产权服务机构应建立服务质量管理制度，至少包括：</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建立业务文件提交前的复核机制；</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建立业务文件的署名责任制；</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建立业务文件的定期抽查机制，保存并通报抽查记录；</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eastAsia="zh-CN" w:bidi="ar"/>
        </w:rPr>
      </w:pPr>
      <w:r>
        <w:rPr>
          <w:rFonts w:hint="eastAsia" w:hAnsi="Times New Roman" w:cs="Times New Roman"/>
          <w:kern w:val="0"/>
          <w:szCs w:val="20"/>
          <w:lang w:eastAsia="zh-CN" w:bidi="ar"/>
        </w:rPr>
        <w:t>建立业务研讨机制。</w:t>
      </w:r>
    </w:p>
    <w:p>
      <w:pPr>
        <w:pStyle w:val="68"/>
        <w:rPr>
          <w:rFonts w:ascii="黑体" w:eastAsia="黑体"/>
        </w:rPr>
      </w:pPr>
      <w:r>
        <w:t>知识产权服务机构应建立印章和电子系统权限管理制度，明确印章保管、使用的权限和程序</w:t>
      </w:r>
      <w:r>
        <w:rPr>
          <w:rFonts w:ascii="黑体" w:eastAsia="黑体" w:cs="黑体"/>
        </w:rPr>
        <w:t>。</w:t>
      </w:r>
    </w:p>
    <w:p>
      <w:pPr>
        <w:pStyle w:val="65"/>
        <w:spacing w:before="156" w:after="156"/>
      </w:pPr>
      <w:bookmarkStart w:id="158" w:name="_Toc111724889"/>
      <w:bookmarkEnd w:id="158"/>
      <w:bookmarkStart w:id="159" w:name="_Toc153541591"/>
      <w:bookmarkStart w:id="160" w:name="_Toc10871"/>
      <w:bookmarkStart w:id="161" w:name="_Toc7342"/>
      <w:r>
        <w:t>人员和设施</w:t>
      </w:r>
      <w:bookmarkEnd w:id="159"/>
      <w:bookmarkEnd w:id="160"/>
      <w:bookmarkEnd w:id="161"/>
    </w:p>
    <w:p>
      <w:pPr>
        <w:pStyle w:val="68"/>
      </w:pPr>
      <w:r>
        <w:t>知识产权服务机构管理层应清楚了解本文件第</w:t>
      </w:r>
      <w:r>
        <w:rPr>
          <w:rFonts w:hint="eastAsia"/>
          <w:lang w:val="en-US" w:eastAsia="zh-CN"/>
        </w:rPr>
        <w:t>6</w:t>
      </w:r>
      <w:r>
        <w:t>章的知识产权服务</w:t>
      </w:r>
      <w:r>
        <w:rPr>
          <w:rFonts w:hint="eastAsia"/>
          <w:lang w:eastAsia="zh-CN"/>
        </w:rPr>
        <w:t>管理</w:t>
      </w:r>
      <w:r>
        <w:t>要求能够得到满足，使客户利益得到有效保护。</w:t>
      </w:r>
    </w:p>
    <w:p>
      <w:pPr>
        <w:pStyle w:val="68"/>
      </w:pPr>
      <w:r>
        <w:t>知识产权服务机构应规定各类人员的岗位职责，其人员能力应满足相应岗位规定的要求，通过建立制度、签订协议等方式明确从业人员的任务、责任，监督从业人员恪守职业道德和执业纪律。</w:t>
      </w:r>
    </w:p>
    <w:p>
      <w:pPr>
        <w:pStyle w:val="68"/>
      </w:pPr>
      <w:r>
        <w:t>知识产权服务机构应开展员工培训，并对员工的工作业绩、能力进行考评，建立考核评价档案。</w:t>
      </w:r>
    </w:p>
    <w:p>
      <w:pPr>
        <w:pStyle w:val="66"/>
        <w:spacing w:before="312" w:after="312"/>
      </w:pPr>
      <w:bookmarkStart w:id="162" w:name="_Toc111724901"/>
      <w:bookmarkEnd w:id="162"/>
      <w:bookmarkStart w:id="163" w:name="_Toc153541592"/>
      <w:bookmarkStart w:id="164" w:name="_Toc21074"/>
      <w:bookmarkStart w:id="165" w:name="_Toc26248"/>
      <w:r>
        <w:t>服务</w:t>
      </w:r>
      <w:bookmarkEnd w:id="163"/>
      <w:r>
        <w:rPr>
          <w:rFonts w:hint="eastAsia"/>
          <w:lang w:val="en-US" w:eastAsia="zh-CN"/>
        </w:rPr>
        <w:t>质量控制与评价</w:t>
      </w:r>
      <w:bookmarkEnd w:id="164"/>
      <w:bookmarkEnd w:id="165"/>
    </w:p>
    <w:p>
      <w:pPr>
        <w:pStyle w:val="65"/>
        <w:spacing w:before="156" w:after="156"/>
        <w:rPr>
          <w:rFonts w:hint="eastAsia"/>
          <w:lang w:val="en-US" w:eastAsia="zh-CN"/>
        </w:rPr>
      </w:pPr>
      <w:bookmarkStart w:id="166" w:name="_Toc15854"/>
      <w:bookmarkStart w:id="167" w:name="_Toc22968"/>
      <w:r>
        <w:rPr>
          <w:rFonts w:hint="eastAsia"/>
          <w:lang w:val="en-US" w:eastAsia="zh-CN"/>
        </w:rPr>
        <w:t>质量控制</w:t>
      </w:r>
      <w:bookmarkEnd w:id="166"/>
      <w:bookmarkEnd w:id="167"/>
    </w:p>
    <w:p>
      <w:pPr>
        <w:pStyle w:val="68"/>
        <w:rPr>
          <w:rFonts w:hint="eastAsia" w:hAnsi="Times New Roman" w:cs="Times New Roman"/>
          <w:lang w:val="en-US" w:eastAsia="zh-CN"/>
        </w:rPr>
      </w:pPr>
      <w:r>
        <w:rPr>
          <w:rFonts w:hint="eastAsia" w:hAnsi="Times New Roman" w:cs="Times New Roman"/>
          <w:lang w:val="en-US" w:eastAsia="zh-CN"/>
        </w:rPr>
        <w:t>应制定服务质量目标，明确服务标准，细化服务要求。</w:t>
      </w:r>
    </w:p>
    <w:p>
      <w:pPr>
        <w:pStyle w:val="68"/>
        <w:rPr>
          <w:rFonts w:hint="eastAsia" w:hAnsi="Times New Roman" w:cs="Times New Roman"/>
          <w:lang w:val="en-US" w:eastAsia="zh-CN"/>
        </w:rPr>
      </w:pPr>
      <w:r>
        <w:rPr>
          <w:rFonts w:hint="eastAsia" w:hAnsi="Times New Roman" w:cs="Times New Roman"/>
          <w:lang w:val="en-US" w:eastAsia="zh-CN"/>
        </w:rPr>
        <w:t>定期检查服务质量，并将检查结果纳入日常工作考核。</w:t>
      </w:r>
    </w:p>
    <w:p>
      <w:pPr>
        <w:pStyle w:val="68"/>
        <w:numPr>
          <w:ilvl w:val="4"/>
          <w:numId w:val="8"/>
        </w:numPr>
        <w:ind w:left="0" w:leftChars="0" w:firstLine="0" w:firstLineChars="0"/>
        <w:rPr>
          <w:rFonts w:hint="default" w:hAnsi="Times New Roman" w:cs="Times New Roman"/>
          <w:lang w:val="en-US" w:eastAsia="zh-CN"/>
        </w:rPr>
      </w:pPr>
      <w:r>
        <w:rPr>
          <w:rFonts w:hint="eastAsia" w:hAnsi="Times New Roman" w:cs="Times New Roman"/>
          <w:lang w:val="en-US" w:eastAsia="zh-CN"/>
        </w:rPr>
        <w:t>工作考核关键绩效指标包括但不限于以下内容：</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val="en-US" w:eastAsia="zh-CN" w:bidi="ar"/>
        </w:rPr>
      </w:pPr>
      <w:r>
        <w:rPr>
          <w:rFonts w:hint="eastAsia" w:ascii="宋体" w:hAnsi="Times New Roman" w:cs="Times New Roman"/>
          <w:color w:val="auto"/>
          <w:kern w:val="0"/>
          <w:sz w:val="21"/>
          <w:szCs w:val="20"/>
          <w:lang w:val="en-US" w:eastAsia="zh-CN" w:bidi="ar-SA"/>
        </w:rPr>
        <w:t>代</w:t>
      </w:r>
      <w:r>
        <w:rPr>
          <w:rFonts w:hint="eastAsia" w:hAnsi="Times New Roman" w:cs="Times New Roman"/>
          <w:kern w:val="0"/>
          <w:szCs w:val="20"/>
          <w:lang w:val="en-US" w:eastAsia="zh-CN" w:bidi="ar"/>
        </w:rPr>
        <w:t>理服务：知识产权代理量、代理专利授权率或商标注册率、代理专利补正率、非正常专利代理量等；</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val="en-US" w:eastAsia="zh-CN" w:bidi="ar"/>
        </w:rPr>
      </w:pPr>
      <w:r>
        <w:rPr>
          <w:rFonts w:hint="eastAsia" w:hAnsi="Times New Roman" w:cs="Times New Roman"/>
          <w:kern w:val="0"/>
          <w:szCs w:val="20"/>
          <w:lang w:val="en-US" w:eastAsia="zh-CN" w:bidi="ar"/>
        </w:rPr>
        <w:t>咨询服务：开展知识产权尽职调查或战略规划咨询客户数量、开展企业知识产权管理体系建设咨询客户数量、辅导政府知识产权项目客户数量及立项率等；</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val="en-US" w:eastAsia="zh-CN" w:bidi="ar"/>
        </w:rPr>
      </w:pPr>
      <w:r>
        <w:rPr>
          <w:rFonts w:hint="eastAsia" w:hAnsi="Times New Roman" w:cs="Times New Roman"/>
          <w:kern w:val="0"/>
          <w:szCs w:val="20"/>
          <w:lang w:val="en-US" w:eastAsia="zh-CN" w:bidi="ar"/>
        </w:rPr>
        <w:t>运营服务：知识产权运营平台建设情况、收储或开放知识产权数量、完成专利许可、转让等交易数量、开展知识产权评估数量、知识产权质押融资额度等；</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val="en-US" w:eastAsia="zh-CN" w:bidi="ar"/>
        </w:rPr>
      </w:pPr>
      <w:r>
        <w:rPr>
          <w:rFonts w:hint="eastAsia" w:hAnsi="Times New Roman" w:cs="Times New Roman"/>
          <w:kern w:val="0"/>
          <w:szCs w:val="20"/>
          <w:lang w:val="en-US" w:eastAsia="zh-CN" w:bidi="ar"/>
        </w:rPr>
        <w:t>法律服务：知识产权无效或诉讼案件代理量、专利无效请求成功率、知识产权侵权诉讼胜诉率、知识产权纠纷和解谈判有效支持率等；</w:t>
      </w:r>
    </w:p>
    <w:p>
      <w:pPr>
        <w:pStyle w:val="78"/>
        <w:keepNext w:val="0"/>
        <w:keepLines w:val="0"/>
        <w:widowControl/>
        <w:numPr>
          <w:ilvl w:val="0"/>
          <w:numId w:val="11"/>
        </w:numPr>
        <w:suppressLineNumbers w:val="0"/>
        <w:adjustRightInd/>
        <w:spacing w:before="0" w:beforeAutospacing="0" w:after="0" w:afterAutospacing="0" w:line="240" w:lineRule="auto"/>
        <w:ind w:left="851" w:right="0" w:hanging="426"/>
        <w:jc w:val="left"/>
        <w:rPr>
          <w:rFonts w:hint="eastAsia" w:hAnsi="Times New Roman" w:cs="Times New Roman"/>
          <w:kern w:val="0"/>
          <w:szCs w:val="20"/>
          <w:lang w:val="en-US" w:eastAsia="zh-CN" w:bidi="ar"/>
        </w:rPr>
      </w:pPr>
      <w:r>
        <w:rPr>
          <w:rFonts w:hint="eastAsia" w:hAnsi="Times New Roman" w:cs="Times New Roman"/>
          <w:kern w:val="0"/>
          <w:szCs w:val="20"/>
          <w:lang w:val="en-US" w:eastAsia="zh-CN" w:bidi="ar"/>
        </w:rPr>
        <w:t>信息服务：知识产权数据库涵盖国别数量、数据库采购客户数量、定制化数据库开发数量、知识产权信息检索结果准确率、知识产权数据更新频次等。</w:t>
      </w:r>
    </w:p>
    <w:p>
      <w:pPr>
        <w:pStyle w:val="68"/>
        <w:numPr>
          <w:ilvl w:val="4"/>
          <w:numId w:val="8"/>
        </w:numPr>
        <w:ind w:left="0" w:leftChars="0" w:firstLine="0" w:firstLineChars="0"/>
        <w:rPr>
          <w:rFonts w:hint="default" w:hAnsi="Times New Roman" w:cs="Times New Roman"/>
          <w:lang w:val="en-US" w:eastAsia="zh-CN"/>
        </w:rPr>
      </w:pPr>
      <w:r>
        <w:rPr>
          <w:rFonts w:hint="eastAsia" w:hAnsi="Times New Roman" w:cs="Times New Roman"/>
          <w:lang w:val="en-US" w:eastAsia="zh-CN"/>
        </w:rPr>
        <w:t>工作考核关键绩效指标与竞争对手和本行业标杆的对比结果，在同行业中的水平，必要时包括细分领域的结果对比，以利于寻找改进机会。</w:t>
      </w:r>
    </w:p>
    <w:p>
      <w:pPr>
        <w:pStyle w:val="68"/>
        <w:rPr>
          <w:rFonts w:hint="eastAsia" w:hAnsi="Times New Roman" w:cs="Times New Roman"/>
          <w:lang w:val="en-US" w:eastAsia="zh-CN"/>
        </w:rPr>
      </w:pPr>
      <w:r>
        <w:rPr>
          <w:rFonts w:hint="eastAsia" w:hAnsi="Times New Roman" w:cs="Times New Roman"/>
          <w:lang w:val="en-US" w:eastAsia="zh-CN"/>
        </w:rPr>
        <w:t>每年度应至少进行1次自我服务评价或第三方评价。</w:t>
      </w:r>
    </w:p>
    <w:p>
      <w:pPr>
        <w:pStyle w:val="65"/>
        <w:spacing w:before="156" w:after="156"/>
        <w:rPr>
          <w:rFonts w:hint="eastAsia"/>
          <w:lang w:val="en-US" w:eastAsia="zh-CN"/>
        </w:rPr>
      </w:pPr>
      <w:bookmarkStart w:id="168" w:name="_Toc13299"/>
      <w:bookmarkStart w:id="169" w:name="_Toc17393"/>
      <w:r>
        <w:rPr>
          <w:rFonts w:hint="eastAsia"/>
          <w:lang w:val="en-US" w:eastAsia="zh-CN"/>
        </w:rPr>
        <w:t>服务评价</w:t>
      </w:r>
      <w:bookmarkEnd w:id="168"/>
      <w:bookmarkEnd w:id="169"/>
    </w:p>
    <w:p>
      <w:pPr>
        <w:pStyle w:val="68"/>
        <w:rPr>
          <w:rFonts w:hint="eastAsia" w:hAnsi="Times New Roman" w:cs="Times New Roman"/>
          <w:lang w:val="en-US" w:eastAsia="zh-CN"/>
        </w:rPr>
      </w:pPr>
      <w:r>
        <w:rPr>
          <w:rFonts w:hint="eastAsia" w:hAnsi="Times New Roman" w:cs="Times New Roman"/>
          <w:lang w:val="en-US" w:eastAsia="zh-CN"/>
        </w:rPr>
        <w:t>定期开展客户满意度调查，对满意度信息进行统计、分析、处理和评价。满意度调查范围应覆盖不同业务类型和客户群体。</w:t>
      </w:r>
    </w:p>
    <w:p>
      <w:pPr>
        <w:pStyle w:val="68"/>
        <w:rPr>
          <w:rFonts w:hint="eastAsia" w:hAnsi="Times New Roman" w:cs="Times New Roman"/>
          <w:lang w:val="en-US" w:eastAsia="zh-CN"/>
        </w:rPr>
      </w:pPr>
      <w:r>
        <w:rPr>
          <w:rFonts w:hint="eastAsia" w:hAnsi="Times New Roman" w:cs="Times New Roman"/>
          <w:lang w:val="en-US" w:eastAsia="zh-CN"/>
        </w:rPr>
        <w:t>建立投诉反馈机制,公示投诉受理和处理的方式(负责人/</w:t>
      </w:r>
      <w:r>
        <w:rPr>
          <w:rFonts w:hint="eastAsia" w:cs="Times New Roman"/>
          <w:lang w:val="en-US" w:eastAsia="zh-CN"/>
        </w:rPr>
        <w:t>投诉</w:t>
      </w:r>
      <w:r>
        <w:rPr>
          <w:rFonts w:hint="eastAsia" w:hAnsi="Times New Roman" w:cs="Times New Roman"/>
          <w:lang w:val="en-US" w:eastAsia="zh-CN"/>
        </w:rPr>
        <w:t>电话等)、程序、结果和时长等，畅通投诉反馈渠道,及时处理服务对象所反映的问题等。</w:t>
      </w:r>
    </w:p>
    <w:p>
      <w:pPr>
        <w:pStyle w:val="65"/>
        <w:spacing w:before="156" w:after="156"/>
        <w:rPr>
          <w:rFonts w:hint="eastAsia"/>
          <w:lang w:val="en-US" w:eastAsia="zh-CN"/>
        </w:rPr>
      </w:pPr>
      <w:bookmarkStart w:id="170" w:name="_Toc19474"/>
      <w:bookmarkStart w:id="171" w:name="_Toc19480"/>
      <w:r>
        <w:rPr>
          <w:rFonts w:hint="eastAsia"/>
          <w:lang w:val="en-US" w:eastAsia="zh-CN"/>
        </w:rPr>
        <w:t>持续改进</w:t>
      </w:r>
      <w:bookmarkEnd w:id="170"/>
      <w:bookmarkEnd w:id="171"/>
    </w:p>
    <w:p>
      <w:pPr>
        <w:pStyle w:val="68"/>
        <w:rPr>
          <w:rFonts w:hint="eastAsia" w:hAnsi="Times New Roman" w:cs="Times New Roman"/>
          <w:lang w:val="en-US" w:eastAsia="zh-CN"/>
        </w:rPr>
      </w:pPr>
      <w:r>
        <w:rPr>
          <w:rFonts w:hint="eastAsia" w:hAnsi="Times New Roman" w:cs="Times New Roman"/>
          <w:lang w:val="en-US" w:eastAsia="zh-CN"/>
        </w:rPr>
        <w:t>定期统计并分析服务投诉、客户满意度等，总结服务中常见问题，持续改进服务质量。</w:t>
      </w:r>
    </w:p>
    <w:p>
      <w:pPr>
        <w:pStyle w:val="68"/>
        <w:rPr>
          <w:rFonts w:hint="eastAsia" w:hAnsi="Times New Roman" w:cs="Times New Roman"/>
          <w:lang w:val="en-US" w:eastAsia="zh-CN"/>
        </w:rPr>
      </w:pPr>
      <w:r>
        <w:rPr>
          <w:rFonts w:hint="eastAsia" w:hAnsi="Times New Roman" w:cs="Times New Roman"/>
          <w:lang w:val="en-US" w:eastAsia="zh-CN"/>
        </w:rPr>
        <w:t>持续改进服务评价方法，不断完善服务评价体系。</w:t>
      </w:r>
    </w:p>
    <w:p>
      <w:pPr>
        <w:pStyle w:val="68"/>
        <w:rPr>
          <w:rFonts w:hint="eastAsia" w:hAnsi="Times New Roman" w:cs="Times New Roman"/>
          <w:lang w:val="en-US" w:eastAsia="zh-CN"/>
        </w:rPr>
      </w:pPr>
      <w:r>
        <w:rPr>
          <w:rFonts w:hint="eastAsia" w:hAnsi="Times New Roman" w:cs="Times New Roman"/>
          <w:lang w:val="en-US" w:eastAsia="zh-CN"/>
        </w:rPr>
        <w:t>不断优化服务流程，完善服务内容，改进服务方式，提高工作效率。</w:t>
      </w:r>
    </w:p>
    <w:bookmarkEnd w:id="64"/>
    <w:bookmarkEnd w:id="65"/>
    <w:bookmarkEnd w:id="66"/>
    <w:bookmarkEnd w:id="67"/>
    <w:bookmarkEnd w:id="72"/>
    <w:p>
      <w:pPr>
        <w:tabs>
          <w:tab w:val="left" w:pos="6335"/>
        </w:tabs>
        <w:bidi w:val="0"/>
        <w:jc w:val="left"/>
        <w:rPr>
          <w:rFonts w:hint="default" w:ascii="黑体" w:hAnsi="黑体" w:eastAsia="黑体" w:cs="黑体"/>
          <w:sz w:val="18"/>
          <w:szCs w:val="18"/>
          <w:lang w:val="en-US" w:eastAsia="zh-CN"/>
        </w:rPr>
      </w:pPr>
      <w:r>
        <w:rPr>
          <w:rFonts w:ascii="黑体" w:hAnsi="黑体" w:eastAsia="黑体"/>
        </w:rPr>
        <mc:AlternateContent>
          <mc:Choice Requires="wps">
            <w:drawing>
              <wp:anchor distT="0" distB="0" distL="114300" distR="114300" simplePos="0" relativeHeight="251669504" behindDoc="0" locked="0" layoutInCell="1" allowOverlap="1">
                <wp:simplePos x="0" y="0"/>
                <wp:positionH relativeFrom="column">
                  <wp:posOffset>1687195</wp:posOffset>
                </wp:positionH>
                <wp:positionV relativeFrom="paragraph">
                  <wp:posOffset>210185</wp:posOffset>
                </wp:positionV>
                <wp:extent cx="1800225" cy="0"/>
                <wp:effectExtent l="0" t="4445" r="0" b="5080"/>
                <wp:wrapNone/>
                <wp:docPr id="1" name="直接箭头连接符 5"/>
                <wp:cNvGraphicFramePr/>
                <a:graphic xmlns:a="http://schemas.openxmlformats.org/drawingml/2006/main">
                  <a:graphicData uri="http://schemas.microsoft.com/office/word/2010/wordprocessingShape">
                    <wps:wsp>
                      <wps:cNvCnPr>
                        <a:cxnSpLocks noChangeShapeType="true"/>
                      </wps:cNvCnPr>
                      <wps:spPr bwMode="auto">
                        <a:xfrm>
                          <a:off x="0" y="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32.85pt;margin-top:16.55pt;height:0pt;width:141.75pt;z-index:251669504;mso-width-relative:page;mso-height-relative:page;" filled="f" stroked="t" coordsize="21600,21600" o:gfxdata="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2QBedNgAAAAJAQAADwAAAAAAAAABACAAAAA4AAAAZHJzL2Rvd25yZXYueG1sUEsBAhQA&#10;FAAAAAgAh07iQErbKBTcAQAAgQMAAA4AAAAAAAAAAQAgAAAAPQEAAGRycy9lMm9Eb2MueG1sUEsF&#10;BgAAAAAGAAYAWQEAAIsFAAAAAA==&#10;">
                <v:fill on="f" focussize="0,0"/>
                <v:stroke color="#000000" joinstyle="round"/>
                <v:imagedata o:title=""/>
                <o:lock v:ext="edit" aspectratio="f"/>
              </v:shape>
            </w:pict>
          </mc:Fallback>
        </mc:AlternateContent>
      </w:r>
    </w:p>
    <w:sectPr>
      <w:footerReference r:id="rId25" w:type="default"/>
      <w:footerReference r:id="rId26" w:type="even"/>
      <w:pgSz w:w="11906" w:h="16838"/>
      <w:pgMar w:top="1417" w:right="1134" w:bottom="1134" w:left="1418" w:header="1417"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uix5FQIAABsEAAAOAAAAZHJz&#10;L2Uyb0RvYy54bWytU8uO0zAU3SPxD5b3NGmBUV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KEsM0dnT69vX0/fH04wuB&#10;DQC1LswQt3aIjN0b21U0+r0YXAH2NHonvU5fDEUQArSPF4RFFwmHcTydTKclXBy+QUGJ4ul350N8&#10;K6wmSaioxwozsuxwF+I5dAhJ1YxdNUrlNSpD2opevXxd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vuix5FQIAABsEAAAOAAAAAAAAAAEAIAAAADUBAABkcnMvZTJvRG9jLnhtbFBLBQYAAAAABgAG&#10;AFkBAAC8BQ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QcJ/5BwCAAArBAAADgAAAAAAAAABACAAAAA1AQAAZHJzL2Uyb0RvYy54bWxQSwUG&#10;AAAAAAYABgBZAQAAwwU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gUyDHQIAACs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mhLDNGZ0+vb19P3p9OML&#10;wRsAalyYwW/j4BnbN7YtaPR7MZgC3lPrrfQ63WiKwAVoHy8IizYSjsfxdDKd5jBx2AYFKbLrd+dD&#10;fCusJkkoqMcIO2TZYR3i2XVwSdmMXdVKdWNUhjQFvXn5K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qBTIMdAgAAKwQAAA4AAAAAAAAAAQAgAAAANQEAAGRycy9lMm9Eb2MueG1sUEsF&#10;BgAAAAAGAAYAWQEAAMQFA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zAJlYHQIAACsEAAAOAAAAZHJz&#10;L2Uyb0RvYy54bWytU82O0zAQviPxDpbvNGkRq1I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mhLDNGZ0+vb19P3p9OML&#10;wRsAalyYwW/j4BnbN7YtaPR7MZgC3lPrrfQ63WiKwAVoHy8IizYSjsfxdDKd5jBx2AYFKbLrd+dD&#10;fCusJkkoqMcIO2TZYR3i2XVwSdmMXdVKdWNUhjQFvXn5K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DMAmVgdAgAAKwQAAA4AAAAAAAAAAQAgAAAANQEAAGRycy9lMm9Eb2MueG1sUEsF&#10;BgAAAAAGAAYAWQEAAMQFAAAAAA==&#10;">
              <v:fill on="f" focussize="0,0"/>
              <v:stroke on="f" weight="0.5pt"/>
              <v:imagedata o:title=""/>
              <o:lock v:ext="edit" aspectratio="f"/>
              <v:textbox inset="0mm,0mm,0mm,0mm" style="mso-fit-shape-to-text:t;">
                <w:txbxContent>
                  <w:p>
                    <w:pPr>
                      <w:pStyle w:val="13"/>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h37cb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Id+3GxwCAAArBAAADgAAAAAAAAABACAAAAA1AQAAZHJzL2Uyb0RvYy54bWxQSwUG&#10;AAAAAAYABgBZAQAAwwU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BTHVGnGwIAACsEAAAOAAAAAAAAAAEAIAAAADUBAABkcnMvZTJvRG9jLnhtbFBLBQYA&#10;AAAABgAGAFkBAADCBQAAAAA=&#10;">
              <v:fill on="f" focussize="0,0"/>
              <v:stroke on="f" weight="0.5pt"/>
              <v:imagedata o:title=""/>
              <o:lock v:ext="edit" aspectratio="f"/>
              <v:textbox inset="0mm,0mm,0mm,0mm" style="mso-fit-shape-to-text:t;">
                <w:txbxContent>
                  <w:p>
                    <w:pPr>
                      <w:pStyle w:val="13"/>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default"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keepNext w:val="0"/>
      <w:keepLines w:val="0"/>
      <w:pageBreakBefore w:val="0"/>
      <w:widowControl w:val="0"/>
      <w:pBdr>
        <w:bottom w:val="none" w:color="auto" w:sz="0" w:space="1"/>
      </w:pBdr>
      <w:kinsoku/>
      <w:wordWrap/>
      <w:overflowPunct/>
      <w:topLinePunct w:val="0"/>
      <w:bidi w:val="0"/>
      <w:adjustRightInd/>
      <w:snapToGrid w:val="0"/>
      <w:spacing w:after="283"/>
      <w:jc w:val="right"/>
      <w:textAlignment w:val="auto"/>
      <w:rPr>
        <w:rFonts w:hint="eastAsia"/>
        <w:sz w:val="21"/>
        <w:szCs w:val="21"/>
        <w:lang w:eastAsia="zh-CN"/>
      </w:rPr>
    </w:pPr>
    <w:r>
      <w:rPr>
        <w:sz w:val="21"/>
        <w:szCs w:val="21"/>
      </w:rPr>
      <w:ptab w:relativeTo="margin" w:alignment="left" w:leader="none"/>
    </w:r>
    <w:r>
      <w:rPr>
        <w:rFonts w:hint="eastAsia" w:ascii="黑体" w:hAnsi="黑体" w:eastAsia="黑体"/>
        <w:sz w:val="21"/>
        <w:szCs w:val="21"/>
      </w:rPr>
      <w:t>DB32</w:t>
    </w:r>
    <w:r>
      <w:rPr>
        <w:rFonts w:ascii="黑体" w:hAnsi="黑体" w:eastAsia="黑体"/>
        <w:sz w:val="21"/>
        <w:szCs w:val="21"/>
      </w:rPr>
      <w:t>05</w:t>
    </w:r>
    <w:r>
      <w:rPr>
        <w:rFonts w:hint="eastAsia" w:ascii="黑体" w:hAnsi="黑体" w:eastAsia="黑体"/>
        <w:sz w:val="21"/>
        <w:szCs w:val="21"/>
      </w:rPr>
      <w:t>/T XXX—20</w:t>
    </w:r>
    <w:r>
      <w:rPr>
        <w:rFonts w:ascii="黑体" w:hAnsi="黑体" w:eastAsia="黑体"/>
        <w:sz w:val="21"/>
        <w:szCs w:val="21"/>
      </w:rPr>
      <w:t>2</w:t>
    </w:r>
    <w:r>
      <w:rPr>
        <w:rFonts w:hint="eastAsia" w:ascii="黑体" w:hAnsi="黑体" w:eastAsia="黑体"/>
        <w:sz w:val="21"/>
        <w:szCs w:val="21"/>
        <w:lang w:val="en-US" w:eastAsia="zh-CN"/>
      </w:rPr>
      <w:t>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val="0"/>
      <w:snapToGrid w:val="0"/>
      <w:spacing w:after="283"/>
      <w:textAlignment w:val="auto"/>
      <w:rPr>
        <w:rFonts w:hint="default"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0F562"/>
    <w:multiLevelType w:val="multilevel"/>
    <w:tmpl w:val="9E50F562"/>
    <w:lvl w:ilvl="0" w:tentative="0">
      <w:start w:val="1"/>
      <w:numFmt w:val="none"/>
      <w:suff w:val="nothing"/>
      <w:lvlText w:val="%1——"/>
      <w:lvlJc w:val="left"/>
      <w:pPr>
        <w:ind w:left="851" w:hanging="426"/>
      </w:pPr>
      <w:rPr>
        <w:rFonts w:hint="default" w:ascii="黑体" w:hAnsi="黑体" w:eastAsia="黑体" w:cs="黑体"/>
        <w:b w:val="0"/>
        <w:i w:val="0"/>
        <w:sz w:val="22"/>
        <w:szCs w:val="21"/>
      </w:rPr>
    </w:lvl>
    <w:lvl w:ilvl="1" w:tentative="0">
      <w:start w:val="1"/>
      <w:numFmt w:val="none"/>
      <w:lvlText w:val=""/>
      <w:lvlJc w:val="left"/>
      <w:pPr>
        <w:ind w:left="851" w:hanging="431"/>
      </w:pPr>
      <w:rPr>
        <w:rFonts w:ascii="Symbol" w:hAnsi="Symbol" w:cs="Symbol"/>
        <w:sz w:val="21"/>
      </w:rPr>
    </w:lvl>
    <w:lvl w:ilvl="2" w:tentative="0">
      <w:start w:val="1"/>
      <w:numFmt w:val="bullet"/>
      <w:lvlText w:val=""/>
      <w:lvlJc w:val="left"/>
      <w:pPr>
        <w:ind w:left="851" w:hanging="426"/>
      </w:pPr>
      <w:rPr>
        <w:rFonts w:hint="default" w:ascii="Wingdings" w:hAnsi="Wingdings" w:cs="Wingdings"/>
        <w:sz w:val="21"/>
      </w:rPr>
    </w:lvl>
    <w:lvl w:ilvl="3" w:tentative="0">
      <w:start w:val="1"/>
      <w:numFmt w:val="decimal"/>
      <w:lvlText w:val="%4."/>
      <w:lvlJc w:val="left"/>
      <w:pPr>
        <w:tabs>
          <w:tab w:val="left" w:pos="2071"/>
        </w:tabs>
        <w:ind w:left="1884" w:hanging="528"/>
      </w:pPr>
    </w:lvl>
    <w:lvl w:ilvl="4" w:tentative="0">
      <w:start w:val="1"/>
      <w:numFmt w:val="lowerLetter"/>
      <w:lvlText w:val="%5)"/>
      <w:lvlJc w:val="left"/>
      <w:pPr>
        <w:tabs>
          <w:tab w:val="left" w:pos="2383"/>
        </w:tabs>
        <w:ind w:left="2196" w:hanging="528"/>
      </w:pPr>
    </w:lvl>
    <w:lvl w:ilvl="5" w:tentative="0">
      <w:start w:val="1"/>
      <w:numFmt w:val="lowerRoman"/>
      <w:lvlText w:val="%6."/>
      <w:lvlJc w:val="right"/>
      <w:pPr>
        <w:tabs>
          <w:tab w:val="left" w:pos="2695"/>
        </w:tabs>
        <w:ind w:left="2508" w:hanging="528"/>
      </w:pPr>
    </w:lvl>
    <w:lvl w:ilvl="6" w:tentative="0">
      <w:start w:val="1"/>
      <w:numFmt w:val="decimal"/>
      <w:lvlText w:val="%7."/>
      <w:lvlJc w:val="left"/>
      <w:pPr>
        <w:tabs>
          <w:tab w:val="left" w:pos="3007"/>
        </w:tabs>
        <w:ind w:left="2820" w:hanging="528"/>
      </w:pPr>
    </w:lvl>
    <w:lvl w:ilvl="7" w:tentative="0">
      <w:start w:val="1"/>
      <w:numFmt w:val="lowerLetter"/>
      <w:lvlText w:val="%8)"/>
      <w:lvlJc w:val="left"/>
      <w:pPr>
        <w:tabs>
          <w:tab w:val="left" w:pos="3319"/>
        </w:tabs>
        <w:ind w:left="3132" w:hanging="528"/>
      </w:pPr>
    </w:lvl>
    <w:lvl w:ilvl="8" w:tentative="0">
      <w:start w:val="1"/>
      <w:numFmt w:val="lowerRoman"/>
      <w:lvlText w:val="%9."/>
      <w:lvlJc w:val="right"/>
      <w:pPr>
        <w:tabs>
          <w:tab w:val="left" w:pos="3631"/>
        </w:tabs>
        <w:ind w:left="3444" w:hanging="528"/>
      </w:pPr>
    </w:lvl>
  </w:abstractNum>
  <w:abstractNum w:abstractNumId="1">
    <w:nsid w:val="079102AD"/>
    <w:multiLevelType w:val="multilevel"/>
    <w:tmpl w:val="079102AD"/>
    <w:lvl w:ilvl="0" w:tentative="0">
      <w:start w:val="1"/>
      <w:numFmt w:val="decimal"/>
      <w:pStyle w:val="77"/>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C5917C3"/>
    <w:multiLevelType w:val="multilevel"/>
    <w:tmpl w:val="2C5917C3"/>
    <w:lvl w:ilvl="0" w:tentative="0">
      <w:start w:val="1"/>
      <w:numFmt w:val="none"/>
      <w:pStyle w:val="78"/>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7">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9">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0">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2"/>
  </w:num>
  <w:num w:numId="2">
    <w:abstractNumId w:val="4"/>
  </w:num>
  <w:num w:numId="3">
    <w:abstractNumId w:val="3"/>
  </w:num>
  <w:num w:numId="4">
    <w:abstractNumId w:val="5"/>
  </w:num>
  <w:num w:numId="5">
    <w:abstractNumId w:val="10"/>
  </w:num>
  <w:num w:numId="6">
    <w:abstractNumId w:val="8"/>
  </w:num>
  <w:num w:numId="7">
    <w:abstractNumId w:val="7"/>
  </w:num>
  <w:num w:numId="8">
    <w:abstractNumId w:val="9"/>
  </w:num>
  <w:num w:numId="9">
    <w:abstractNumId w:val="6"/>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true"/>
  <w:bordersDoNotSurroundHeader w:val="false"/>
  <w:bordersDoNotSurroundFooter w:val="false"/>
  <w:documentProtection w:edit="trackedChanges" w:enforcement="0"/>
  <w:defaultTabStop w:val="420"/>
  <w:evenAndOddHeaders w:val="true"/>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3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B97F5E"/>
    <w:rsid w:val="02670DCF"/>
    <w:rsid w:val="034D2939"/>
    <w:rsid w:val="043164D2"/>
    <w:rsid w:val="04DB69C7"/>
    <w:rsid w:val="056C2AC8"/>
    <w:rsid w:val="078D3A1F"/>
    <w:rsid w:val="08D94A4A"/>
    <w:rsid w:val="09332050"/>
    <w:rsid w:val="09652865"/>
    <w:rsid w:val="097D3D26"/>
    <w:rsid w:val="0ADA2F69"/>
    <w:rsid w:val="0AE10BBF"/>
    <w:rsid w:val="0AF4041E"/>
    <w:rsid w:val="0B4B7E79"/>
    <w:rsid w:val="0BBA5614"/>
    <w:rsid w:val="0BBD0185"/>
    <w:rsid w:val="0BFA7971"/>
    <w:rsid w:val="0D011260"/>
    <w:rsid w:val="0E572FD9"/>
    <w:rsid w:val="0F5D4929"/>
    <w:rsid w:val="0FB5747F"/>
    <w:rsid w:val="10F22B45"/>
    <w:rsid w:val="11EA4A5D"/>
    <w:rsid w:val="123426ED"/>
    <w:rsid w:val="1330335A"/>
    <w:rsid w:val="13492913"/>
    <w:rsid w:val="140915D6"/>
    <w:rsid w:val="14AB42D7"/>
    <w:rsid w:val="15912AB1"/>
    <w:rsid w:val="159863B1"/>
    <w:rsid w:val="1614131D"/>
    <w:rsid w:val="16585639"/>
    <w:rsid w:val="16B6476F"/>
    <w:rsid w:val="1986454E"/>
    <w:rsid w:val="19BD2F50"/>
    <w:rsid w:val="19D653D3"/>
    <w:rsid w:val="19E576EB"/>
    <w:rsid w:val="1A9F3EA8"/>
    <w:rsid w:val="1AE557D7"/>
    <w:rsid w:val="1AF62448"/>
    <w:rsid w:val="1CE617B0"/>
    <w:rsid w:val="1D475092"/>
    <w:rsid w:val="1E901E0D"/>
    <w:rsid w:val="1EFC4C0E"/>
    <w:rsid w:val="1F3709E9"/>
    <w:rsid w:val="1F5511FE"/>
    <w:rsid w:val="1F791B4A"/>
    <w:rsid w:val="1FF922F7"/>
    <w:rsid w:val="203A6C9D"/>
    <w:rsid w:val="213D7067"/>
    <w:rsid w:val="23282A50"/>
    <w:rsid w:val="235D1A58"/>
    <w:rsid w:val="23607492"/>
    <w:rsid w:val="23893375"/>
    <w:rsid w:val="23D049E7"/>
    <w:rsid w:val="24F31A54"/>
    <w:rsid w:val="25C07C71"/>
    <w:rsid w:val="262E49A9"/>
    <w:rsid w:val="27607157"/>
    <w:rsid w:val="291C47AB"/>
    <w:rsid w:val="295126A7"/>
    <w:rsid w:val="299E589B"/>
    <w:rsid w:val="29DD2289"/>
    <w:rsid w:val="2A0674B9"/>
    <w:rsid w:val="2A19342E"/>
    <w:rsid w:val="2A9E6EDA"/>
    <w:rsid w:val="2AC259E9"/>
    <w:rsid w:val="2B5F5209"/>
    <w:rsid w:val="2B86097C"/>
    <w:rsid w:val="2BEF00BA"/>
    <w:rsid w:val="2E6A0BA9"/>
    <w:rsid w:val="2F033AB7"/>
    <w:rsid w:val="2FC604F2"/>
    <w:rsid w:val="2FD600FB"/>
    <w:rsid w:val="30512DC8"/>
    <w:rsid w:val="305807BF"/>
    <w:rsid w:val="30BA0FA5"/>
    <w:rsid w:val="32697E49"/>
    <w:rsid w:val="33116C37"/>
    <w:rsid w:val="343B6BAD"/>
    <w:rsid w:val="355276CD"/>
    <w:rsid w:val="37875802"/>
    <w:rsid w:val="37AA040E"/>
    <w:rsid w:val="397A5D84"/>
    <w:rsid w:val="3A38257A"/>
    <w:rsid w:val="3A773D1D"/>
    <w:rsid w:val="3AA47EC1"/>
    <w:rsid w:val="3B337E5E"/>
    <w:rsid w:val="3C0C2E90"/>
    <w:rsid w:val="3C153A08"/>
    <w:rsid w:val="3CD57D18"/>
    <w:rsid w:val="3D0F28A3"/>
    <w:rsid w:val="3D243BD4"/>
    <w:rsid w:val="3D6F398A"/>
    <w:rsid w:val="3D9E1027"/>
    <w:rsid w:val="3E6447D3"/>
    <w:rsid w:val="3E914FDF"/>
    <w:rsid w:val="3EF40857"/>
    <w:rsid w:val="3FCB4391"/>
    <w:rsid w:val="407103DB"/>
    <w:rsid w:val="413E41AB"/>
    <w:rsid w:val="41DD26A1"/>
    <w:rsid w:val="432D5ADB"/>
    <w:rsid w:val="455B5C08"/>
    <w:rsid w:val="459E4A6E"/>
    <w:rsid w:val="45E5444B"/>
    <w:rsid w:val="45F10943"/>
    <w:rsid w:val="46024881"/>
    <w:rsid w:val="46432AD9"/>
    <w:rsid w:val="48C6265B"/>
    <w:rsid w:val="491679AE"/>
    <w:rsid w:val="4CC8541E"/>
    <w:rsid w:val="4D244B35"/>
    <w:rsid w:val="4D7C7F66"/>
    <w:rsid w:val="4E497F1B"/>
    <w:rsid w:val="4E72372F"/>
    <w:rsid w:val="4E826BA1"/>
    <w:rsid w:val="4FB262DF"/>
    <w:rsid w:val="502913D8"/>
    <w:rsid w:val="506A1CDA"/>
    <w:rsid w:val="513145D7"/>
    <w:rsid w:val="516B36B1"/>
    <w:rsid w:val="51DB264E"/>
    <w:rsid w:val="52013E99"/>
    <w:rsid w:val="52884ADC"/>
    <w:rsid w:val="54EF45B2"/>
    <w:rsid w:val="561C68FE"/>
    <w:rsid w:val="56FA05E0"/>
    <w:rsid w:val="57205312"/>
    <w:rsid w:val="575B4970"/>
    <w:rsid w:val="58953240"/>
    <w:rsid w:val="58EA0B58"/>
    <w:rsid w:val="597102CD"/>
    <w:rsid w:val="5A782E0E"/>
    <w:rsid w:val="5AA42EE1"/>
    <w:rsid w:val="5AB20E18"/>
    <w:rsid w:val="5ADD04B0"/>
    <w:rsid w:val="5B6068E3"/>
    <w:rsid w:val="5E127A94"/>
    <w:rsid w:val="5EC2103E"/>
    <w:rsid w:val="5F3651D2"/>
    <w:rsid w:val="612E72BF"/>
    <w:rsid w:val="61E0223F"/>
    <w:rsid w:val="62275A9D"/>
    <w:rsid w:val="62A274F4"/>
    <w:rsid w:val="63473BF7"/>
    <w:rsid w:val="64490C49"/>
    <w:rsid w:val="663F48D4"/>
    <w:rsid w:val="66832C22"/>
    <w:rsid w:val="66910CA5"/>
    <w:rsid w:val="67451519"/>
    <w:rsid w:val="68706054"/>
    <w:rsid w:val="688A0DE6"/>
    <w:rsid w:val="68917B90"/>
    <w:rsid w:val="68F02F9E"/>
    <w:rsid w:val="691D1DC4"/>
    <w:rsid w:val="69CF4947"/>
    <w:rsid w:val="6A4626EF"/>
    <w:rsid w:val="6A7C706D"/>
    <w:rsid w:val="6ADF74D7"/>
    <w:rsid w:val="6BCA186A"/>
    <w:rsid w:val="6C0563E5"/>
    <w:rsid w:val="6C6C0C3F"/>
    <w:rsid w:val="6C89702F"/>
    <w:rsid w:val="6C917B8F"/>
    <w:rsid w:val="6DAD049D"/>
    <w:rsid w:val="6ECD387A"/>
    <w:rsid w:val="6F2F03DB"/>
    <w:rsid w:val="6F463B1A"/>
    <w:rsid w:val="6FF139B8"/>
    <w:rsid w:val="70064409"/>
    <w:rsid w:val="71E26A77"/>
    <w:rsid w:val="72127AC6"/>
    <w:rsid w:val="73765CE2"/>
    <w:rsid w:val="7383295D"/>
    <w:rsid w:val="743442CC"/>
    <w:rsid w:val="748E5C99"/>
    <w:rsid w:val="74BF2C7A"/>
    <w:rsid w:val="75682D8E"/>
    <w:rsid w:val="75A31161"/>
    <w:rsid w:val="75D25B10"/>
    <w:rsid w:val="76442929"/>
    <w:rsid w:val="76C27A63"/>
    <w:rsid w:val="795409C4"/>
    <w:rsid w:val="7AF60F49"/>
    <w:rsid w:val="7BBE3424"/>
    <w:rsid w:val="7C701FB9"/>
    <w:rsid w:val="7D6D7ACF"/>
    <w:rsid w:val="7E0328BC"/>
    <w:rsid w:val="7E5D3F34"/>
    <w:rsid w:val="7FAC1FBF"/>
    <w:rsid w:val="7FF57E3F"/>
    <w:rsid w:val="7FF90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pPr>
  </w:style>
  <w:style w:type="paragraph" w:styleId="6">
    <w:name w:val="envelope return"/>
    <w:basedOn w:val="1"/>
    <w:qFormat/>
    <w:uiPriority w:val="0"/>
    <w:pPr>
      <w:snapToGrid w:val="0"/>
    </w:pPr>
    <w:rPr>
      <w:rFonts w:ascii="Arial" w:hAnsi="Arial" w:eastAsia="仿宋_GB2312"/>
      <w:sz w:val="32"/>
    </w:rPr>
  </w:style>
  <w:style w:type="paragraph" w:styleId="7">
    <w:name w:val="annotation text"/>
    <w:basedOn w:val="1"/>
    <w:semiHidden/>
    <w:unhideWhenUsed/>
    <w:qFormat/>
    <w:uiPriority w:val="99"/>
    <w:pPr>
      <w:jc w:val="left"/>
    </w:pPr>
  </w:style>
  <w:style w:type="paragraph" w:styleId="8">
    <w:name w:val="Body Text"/>
    <w:basedOn w:val="1"/>
    <w:qFormat/>
    <w:uiPriority w:val="0"/>
  </w:style>
  <w:style w:type="paragraph" w:styleId="9">
    <w:name w:val="toc 3"/>
    <w:basedOn w:val="1"/>
    <w:next w:val="1"/>
    <w:semiHidden/>
    <w:unhideWhenUsed/>
    <w:qFormat/>
    <w:uiPriority w:val="39"/>
    <w:pPr>
      <w:ind w:left="840" w:leftChars="400"/>
    </w:pPr>
  </w:style>
  <w:style w:type="paragraph" w:styleId="10">
    <w:name w:val="Date"/>
    <w:basedOn w:val="1"/>
    <w:next w:val="1"/>
    <w:link w:val="46"/>
    <w:semiHidden/>
    <w:unhideWhenUsed/>
    <w:qFormat/>
    <w:uiPriority w:val="99"/>
    <w:pPr>
      <w:ind w:left="100" w:leftChars="2500"/>
    </w:pPr>
  </w:style>
  <w:style w:type="paragraph" w:styleId="11">
    <w:name w:val="Body Text Indent 2"/>
    <w:basedOn w:val="1"/>
    <w:link w:val="39"/>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000FF"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character" w:customStyle="1" w:styleId="25">
    <w:name w:val="页眉 Char"/>
    <w:basedOn w:val="22"/>
    <w:link w:val="14"/>
    <w:qFormat/>
    <w:uiPriority w:val="99"/>
    <w:rPr>
      <w:sz w:val="18"/>
      <w:szCs w:val="18"/>
    </w:rPr>
  </w:style>
  <w:style w:type="character" w:customStyle="1" w:styleId="26">
    <w:name w:val="页脚 Char"/>
    <w:basedOn w:val="22"/>
    <w:link w:val="13"/>
    <w:qFormat/>
    <w:uiPriority w:val="99"/>
    <w:rPr>
      <w:sz w:val="18"/>
      <w:szCs w:val="18"/>
    </w:rPr>
  </w:style>
  <w:style w:type="character" w:customStyle="1" w:styleId="27">
    <w:name w:val="批注框文本 Char"/>
    <w:basedOn w:val="22"/>
    <w:link w:val="12"/>
    <w:semiHidden/>
    <w:qFormat/>
    <w:uiPriority w:val="99"/>
    <w:rPr>
      <w:sz w:val="18"/>
      <w:szCs w:val="18"/>
    </w:rPr>
  </w:style>
  <w:style w:type="paragraph" w:styleId="28">
    <w:name w:val="List Paragraph"/>
    <w:basedOn w:val="1"/>
    <w:qFormat/>
    <w:uiPriority w:val="34"/>
    <w:pPr>
      <w:ind w:firstLine="420" w:firstLineChars="200"/>
    </w:pPr>
  </w:style>
  <w:style w:type="paragraph" w:customStyle="1" w:styleId="2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2"/>
    <w:qFormat/>
    <w:uiPriority w:val="99"/>
    <w:rPr>
      <w:rFonts w:ascii="Calibri" w:hAnsi="Calibri" w:eastAsia="宋体" w:cs="Times New Roman"/>
      <w:b/>
      <w:bCs/>
      <w:kern w:val="44"/>
      <w:sz w:val="44"/>
      <w:szCs w:val="44"/>
    </w:rPr>
  </w:style>
  <w:style w:type="paragraph" w:styleId="3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qFormat/>
    <w:uiPriority w:val="11"/>
    <w:rPr>
      <w:rFonts w:eastAsia="宋体" w:asciiTheme="majorHAnsi" w:hAnsiTheme="majorHAnsi" w:cstheme="majorBidi"/>
      <w:b/>
      <w:bCs/>
      <w:kern w:val="28"/>
      <w:sz w:val="32"/>
      <w:szCs w:val="32"/>
    </w:rPr>
  </w:style>
  <w:style w:type="character" w:customStyle="1" w:styleId="36">
    <w:name w:val="标题 Char"/>
    <w:basedOn w:val="22"/>
    <w:link w:val="19"/>
    <w:qFormat/>
    <w:uiPriority w:val="10"/>
    <w:rPr>
      <w:rFonts w:eastAsia="宋体" w:asciiTheme="majorHAnsi" w:hAnsiTheme="majorHAnsi" w:cstheme="majorBidi"/>
      <w:b/>
      <w:bCs/>
      <w:sz w:val="32"/>
      <w:szCs w:val="32"/>
    </w:rPr>
  </w:style>
  <w:style w:type="character" w:customStyle="1" w:styleId="37">
    <w:name w:val="标题 2 Char"/>
    <w:basedOn w:val="22"/>
    <w:link w:val="3"/>
    <w:qFormat/>
    <w:uiPriority w:val="9"/>
    <w:rPr>
      <w:rFonts w:asciiTheme="majorHAnsi" w:hAnsiTheme="majorHAnsi" w:eastAsiaTheme="majorEastAsia" w:cstheme="majorBidi"/>
      <w:b/>
      <w:bCs/>
      <w:sz w:val="32"/>
      <w:szCs w:val="32"/>
    </w:rPr>
  </w:style>
  <w:style w:type="character" w:customStyle="1" w:styleId="38">
    <w:name w:val="标题 3 Char"/>
    <w:basedOn w:val="22"/>
    <w:link w:val="4"/>
    <w:semiHidden/>
    <w:qFormat/>
    <w:uiPriority w:val="9"/>
    <w:rPr>
      <w:b/>
      <w:bCs/>
      <w:sz w:val="32"/>
      <w:szCs w:val="32"/>
    </w:rPr>
  </w:style>
  <w:style w:type="character" w:customStyle="1" w:styleId="39">
    <w:name w:val="正文文本缩进 2 Char"/>
    <w:basedOn w:val="22"/>
    <w:link w:val="11"/>
    <w:qFormat/>
    <w:uiPriority w:val="0"/>
    <w:rPr>
      <w:rFonts w:ascii="宋体" w:hAnsi="宋体" w:eastAsia="宋体" w:cs="Times New Roman"/>
      <w:snapToGrid w:val="0"/>
      <w:kern w:val="0"/>
      <w:szCs w:val="24"/>
    </w:rPr>
  </w:style>
  <w:style w:type="paragraph" w:customStyle="1" w:styleId="40">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qFormat/>
    <w:uiPriority w:val="0"/>
  </w:style>
  <w:style w:type="character" w:customStyle="1" w:styleId="45">
    <w:name w:val="ordinary-span-edit2"/>
    <w:basedOn w:val="22"/>
    <w:qFormat/>
    <w:uiPriority w:val="0"/>
  </w:style>
  <w:style w:type="character" w:customStyle="1" w:styleId="46">
    <w:name w:val="日期 Char"/>
    <w:basedOn w:val="22"/>
    <w:link w:val="10"/>
    <w:semiHidden/>
    <w:qFormat/>
    <w:uiPriority w:val="99"/>
  </w:style>
  <w:style w:type="paragraph" w:customStyle="1" w:styleId="47">
    <w:name w:val="正文1"/>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qFormat/>
    <w:uiPriority w:val="0"/>
    <w:rPr>
      <w:rFonts w:hint="default" w:ascii="Times New Roman" w:hAnsi="Times New Roman" w:cs="Times New Roman"/>
      <w:sz w:val="20"/>
      <w:szCs w:val="20"/>
      <w:u w:val="none"/>
    </w:rPr>
  </w:style>
  <w:style w:type="paragraph" w:customStyle="1" w:styleId="49">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qFormat/>
    <w:uiPriority w:val="0"/>
    <w:pPr>
      <w:spacing w:before="0" w:beforeLines="0" w:after="0" w:afterLines="0"/>
    </w:pPr>
    <w:rPr>
      <w:rFonts w:ascii="宋体" w:eastAsia="宋体"/>
    </w:rPr>
  </w:style>
  <w:style w:type="paragraph" w:customStyle="1" w:styleId="54">
    <w:name w:val="二级条标题"/>
    <w:basedOn w:val="52"/>
    <w:next w:val="51"/>
    <w:qFormat/>
    <w:uiPriority w:val="0"/>
    <w:pPr>
      <w:numPr>
        <w:ilvl w:val="2"/>
        <w:numId w:val="2"/>
      </w:numPr>
      <w:spacing w:before="50" w:after="50"/>
      <w:outlineLvl w:val="3"/>
    </w:pPr>
  </w:style>
  <w:style w:type="paragraph" w:customStyle="1" w:styleId="55">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qFormat/>
    <w:uiPriority w:val="0"/>
  </w:style>
  <w:style w:type="paragraph" w:customStyle="1" w:styleId="58">
    <w:name w:val="注："/>
    <w:next w:val="51"/>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qFormat/>
    <w:uiPriority w:val="0"/>
    <w:rPr>
      <w:rFonts w:ascii="宋体" w:hAnsi="宋体" w:cs="宋体"/>
      <w:sz w:val="19"/>
      <w:szCs w:val="19"/>
      <w:lang w:val="zh-CN" w:bidi="zh-CN"/>
    </w:rPr>
  </w:style>
  <w:style w:type="paragraph" w:customStyle="1" w:styleId="62">
    <w:name w:val="终结线"/>
    <w:basedOn w:val="1"/>
    <w:qFormat/>
    <w:uiPriority w:val="0"/>
    <w:pPr>
      <w:framePr w:hSpace="181" w:vSpace="181" w:wrap="around" w:vAnchor="text" w:hAnchor="margin" w:xAlign="center" w:y="285"/>
    </w:pPr>
  </w:style>
  <w:style w:type="paragraph" w:customStyle="1" w:styleId="63">
    <w:name w:val="标准文件_术语条一"/>
    <w:basedOn w:val="64"/>
    <w:next w:val="67"/>
    <w:qFormat/>
    <w:uiPriority w:val="0"/>
  </w:style>
  <w:style w:type="paragraph" w:customStyle="1" w:styleId="64">
    <w:name w:val="标准文件_一级无标题"/>
    <w:basedOn w:val="65"/>
    <w:qFormat/>
    <w:uiPriority w:val="0"/>
    <w:pPr>
      <w:spacing w:before="0" w:beforeLines="0" w:after="0" w:afterLines="0"/>
      <w:outlineLvl w:val="9"/>
    </w:pPr>
    <w:rPr>
      <w:rFonts w:ascii="宋体" w:eastAsia="宋体"/>
    </w:rPr>
  </w:style>
  <w:style w:type="paragraph" w:customStyle="1" w:styleId="65">
    <w:name w:val="标准文件_一级条标题"/>
    <w:basedOn w:val="66"/>
    <w:next w:val="67"/>
    <w:qFormat/>
    <w:uiPriority w:val="0"/>
    <w:pPr>
      <w:numPr>
        <w:ilvl w:val="2"/>
      </w:numPr>
      <w:spacing w:before="50" w:beforeLines="50" w:after="50" w:afterLines="50"/>
      <w:outlineLvl w:val="1"/>
    </w:pPr>
  </w:style>
  <w:style w:type="paragraph" w:customStyle="1" w:styleId="66">
    <w:name w:val="标准文件_章标题"/>
    <w:next w:val="67"/>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qFormat/>
    <w:uiPriority w:val="0"/>
    <w:pPr>
      <w:spacing w:before="0" w:beforeLines="0" w:after="0" w:afterLines="0"/>
      <w:outlineLvl w:val="9"/>
    </w:pPr>
    <w:rPr>
      <w:rFonts w:ascii="宋体" w:eastAsia="宋体"/>
    </w:rPr>
  </w:style>
  <w:style w:type="paragraph" w:customStyle="1" w:styleId="69">
    <w:name w:val="标准文件_二级条标题"/>
    <w:next w:val="67"/>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qFormat/>
    <w:uiPriority w:val="0"/>
    <w:pPr>
      <w:ind w:firstLine="0" w:firstLineChars="0"/>
    </w:pPr>
    <w:rPr>
      <w:sz w:val="21"/>
    </w:rPr>
  </w:style>
  <w:style w:type="paragraph" w:customStyle="1" w:styleId="73">
    <w:name w:val="标准文件_附录一级条标题"/>
    <w:next w:val="67"/>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标准文件_表格"/>
    <w:basedOn w:val="67"/>
    <w:qFormat/>
    <w:uiPriority w:val="0"/>
    <w:pPr>
      <w:ind w:firstLine="0" w:firstLineChars="0"/>
      <w:jc w:val="center"/>
    </w:pPr>
    <w:rPr>
      <w:sz w:val="18"/>
    </w:rPr>
  </w:style>
  <w:style w:type="paragraph" w:customStyle="1" w:styleId="77">
    <w:name w:val="标准文件_注×："/>
    <w:qFormat/>
    <w:uiPriority w:val="0"/>
    <w:pPr>
      <w:widowControl w:val="0"/>
      <w:numPr>
        <w:ilvl w:val="0"/>
        <w:numId w:val="10"/>
      </w:numPr>
      <w:autoSpaceDE w:val="0"/>
      <w:autoSpaceDN w:val="0"/>
      <w:jc w:val="both"/>
    </w:pPr>
    <w:rPr>
      <w:rFonts w:ascii="宋体" w:hAnsi="Times New Roman" w:eastAsia="宋体" w:cs="Times New Roman"/>
      <w:sz w:val="18"/>
      <w:szCs w:val="18"/>
      <w:lang w:val="en-US" w:eastAsia="zh-CN" w:bidi="ar-SA"/>
    </w:rPr>
  </w:style>
  <w:style w:type="paragraph" w:customStyle="1" w:styleId="78">
    <w:name w:val="标准文件_一级项"/>
    <w:qFormat/>
    <w:uiPriority w:val="0"/>
    <w:pPr>
      <w:numPr>
        <w:ilvl w:val="0"/>
        <w:numId w:val="4"/>
      </w:numPr>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6.xml"/><Relationship Id="rId25" Type="http://schemas.openxmlformats.org/officeDocument/2006/relationships/footer" Target="footer15.xml"/><Relationship Id="rId24" Type="http://schemas.openxmlformats.org/officeDocument/2006/relationships/footer" Target="footer14.xml"/><Relationship Id="rId23" Type="http://schemas.openxmlformats.org/officeDocument/2006/relationships/footer" Target="footer13.xml"/><Relationship Id="rId22" Type="http://schemas.openxmlformats.org/officeDocument/2006/relationships/header" Target="header8.xml"/><Relationship Id="rId21" Type="http://schemas.openxmlformats.org/officeDocument/2006/relationships/header" Target="header7.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16</Pages>
  <Words>4758</Words>
  <Characters>4951</Characters>
  <Lines>78</Lines>
  <Paragraphs>22</Paragraphs>
  <TotalTime>51</TotalTime>
  <ScaleCrop>false</ScaleCrop>
  <LinksUpToDate>false</LinksUpToDate>
  <CharactersWithSpaces>5281</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2022-12-21T15:00:00Z</dcterms:created>
  <dc:creator>wy</dc:creator>
  <cp:lastModifiedBy>sugou</cp:lastModifiedBy>
  <cp:lastPrinted>2022-09-06T09:26:00Z</cp:lastPrinted>
  <dcterms:modified xsi:type="dcterms:W3CDTF">2025-05-19T10:20:19Z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6E43B425AE064A989386F5C30FDEF422_13</vt:lpwstr>
  </property>
  <property fmtid="{D5CDD505-2E9C-101B-9397-08002B2CF9AE}" pid="4" name="KSOTemplateDocerSaveRecord">
    <vt:lpwstr>eyJoZGlkIjoiMjIxMDg2ZDVmODAxZDIyMjVlZjY0Zjk3MTNiYWIwMTciLCJ1c2VySWQiOiIxMzM4NDc1MDkxIn0=</vt:lpwstr>
  </property>
</Properties>
</file>