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Times New Roman"/>
        </w:rPr>
      </w:pPr>
      <w:r>
        <w:rPr>
          <w:rFonts w:ascii="黑体" w:hAnsi="黑体" w:eastAsia="黑体" w:cs="Times New Roman"/>
        </w:rPr>
        <mc:AlternateContent>
          <mc:Choice Requires="wps">
            <w:drawing>
              <wp:anchor distT="0" distB="0" distL="114300" distR="114300" simplePos="0" relativeHeight="251660288"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29"/>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60288;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29"/>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ICS 13.020</w:t>
      </w:r>
    </w:p>
    <w:p>
      <w:pPr>
        <w:rPr>
          <w:rFonts w:ascii="黑体" w:hAnsi="黑体" w:eastAsia="黑体" w:cs="Times New Roman"/>
        </w:rPr>
      </w:pPr>
      <w:r>
        <w:rPr>
          <w:rFonts w:ascii="黑体" w:hAnsi="黑体" w:eastAsia="黑体" w:cs="Times New Roman"/>
        </w:rPr>
        <w:t xml:space="preserve">CCS Z 05 </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3360;mso-width-relative:page;mso-height-relative:page;" filled="f" stroked="f" coordsize="21600,21600" o:gfxdata="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p6icQ9gAAAAKAQAA&#10;DwAAAAAAAAABACAAAAA4AAAAZHJzL2Rvd25yZXYueG1sUEsBAhQAFAAAAAgAh07iQGuVgo4DAgAA&#10;8QMAAA4AAAAAAAAAAQAgAAAAPQEAAGRycy9lMm9Eb2MueG1sUEsFBgAAAAAGAAYAWQEAALIFAAAA&#10;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bookmarkStart w:id="141" w:name="_GoBack"/>
      <w:bookmarkEnd w:id="141"/>
      <w:r>
        <w:rPr>
          <w:rFonts w:ascii="黑体" w:hAnsi="黑体" w:eastAsia="黑体"/>
        </w:rPr>
        <mc:AlternateContent>
          <mc:Choice Requires="wps">
            <w:drawing>
              <wp:anchor distT="0" distB="0" distL="114300" distR="114300" simplePos="0" relativeHeight="251664384" behindDoc="0" locked="0" layoutInCell="1" allowOverlap="1">
                <wp:simplePos x="0" y="0"/>
                <wp:positionH relativeFrom="rightMargin">
                  <wp:posOffset>-1731645</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noFill/>
                          <a:miter lim="800000"/>
                        </a:ln>
                      </wps:spPr>
                      <wps:txb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6.4pt;margin-top:176.25pt;height:24pt;width:151.75pt;mso-position-horizontal-relative:page;mso-position-vertical-relative:page;z-index:251664384;mso-width-relative:page;mso-height-relative:page;" filled="f" stroked="f" coordsize="21600,21600" o:gfxdata="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DOVSetoAAAAL&#10;AQAADwAAAAAAAAABACAAAAA4AAAAZHJzL2Rvd25yZXYueG1sUEsBAhQAFAAAAAgAh07iQHyvKe0E&#10;AgAA8QMAAA4AAAAAAAAAAQAgAAAAPwEAAGRycy9lMm9Eb2MueG1sUEsFBgAAAAAGAAYAWQEAALUF&#10;AAAAAA==&#10;">
                <v:fill on="f" focussize="0,0"/>
                <v:stroke on="f" weight="0pt" miterlimit="8" joinstyle="miter"/>
                <v:imagedata o:title=""/>
                <o:lock v:ext="edit" aspectratio="f"/>
                <v:textbo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v:textbox>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1312;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noFill/>
                          <a:miter lim="800000"/>
                        </a:ln>
                      </wps:spPr>
                      <wps:txbx>
                        <w:txbxContent>
                          <w:p>
                            <w:pPr>
                              <w:jc w:val="center"/>
                              <w:rPr>
                                <w:rStyle w:val="44"/>
                                <w:rFonts w:ascii="黑体" w:hAnsi="黑体" w:eastAsia="黑体"/>
                                <w:kern w:val="0"/>
                                <w:sz w:val="28"/>
                                <w:szCs w:val="21"/>
                              </w:rPr>
                            </w:pPr>
                            <w:r>
                              <w:rPr>
                                <w:rFonts w:hint="eastAsia" w:ascii="黑体" w:hAnsi="Times New Roman" w:eastAsia="黑体" w:cs="Times New Roman"/>
                                <w:sz w:val="52"/>
                                <w:szCs w:val="20"/>
                              </w:rPr>
                              <w:t>低空飞行器垂直起降点噪声控制规范</w:t>
                            </w:r>
                            <w:r>
                              <w:rPr>
                                <w:rFonts w:ascii="黑体" w:hAnsi="黑体" w:eastAsia="黑体"/>
                                <w:kern w:val="0"/>
                                <w:sz w:val="28"/>
                                <w:szCs w:val="21"/>
                              </w:rPr>
                              <w:t>Specification of noise control for low-altitude vertical take-off and landing (VTOL) port</w:t>
                            </w:r>
                          </w:p>
                          <w:p>
                            <w:pPr>
                              <w:jc w:val="center"/>
                              <w:rPr>
                                <w:rFonts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2336;mso-width-relative:page;mso-height-relative:page;" filled="f" stroked="f" coordsize="21600,21600" o:gfxdata="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hzBuOtkAAAALAQAA&#10;DwAAAAAAAAABACAAAAA4AAAAZHJzL2Rvd25yZXYueG1sUEsBAhQAFAAAAAgAh07iQJkxDzQCAgAA&#10;8gMAAA4AAAAAAAAAAQAgAAAAPgEAAGRycy9lMm9Eb2MueG1sUEsFBgAAAAAGAAYAWQEAALIFAAAA&#10;AA==&#10;">
                <v:fill on="f" focussize="0,0"/>
                <v:stroke on="f" weight="0pt" miterlimit="8" joinstyle="miter"/>
                <v:imagedata o:title=""/>
                <o:lock v:ext="edit" aspectratio="f"/>
                <v:textbox>
                  <w:txbxContent>
                    <w:p>
                      <w:pPr>
                        <w:jc w:val="center"/>
                        <w:rPr>
                          <w:rStyle w:val="44"/>
                          <w:rFonts w:ascii="黑体" w:hAnsi="黑体" w:eastAsia="黑体"/>
                          <w:kern w:val="0"/>
                          <w:sz w:val="28"/>
                          <w:szCs w:val="21"/>
                        </w:rPr>
                      </w:pPr>
                      <w:r>
                        <w:rPr>
                          <w:rFonts w:hint="eastAsia" w:ascii="黑体" w:hAnsi="Times New Roman" w:eastAsia="黑体" w:cs="Times New Roman"/>
                          <w:sz w:val="52"/>
                          <w:szCs w:val="20"/>
                        </w:rPr>
                        <w:t>低空飞行器垂直起降点噪声控制规范</w:t>
                      </w:r>
                      <w:r>
                        <w:rPr>
                          <w:rFonts w:ascii="黑体" w:hAnsi="黑体" w:eastAsia="黑体"/>
                          <w:kern w:val="0"/>
                          <w:sz w:val="28"/>
                          <w:szCs w:val="21"/>
                        </w:rPr>
                        <w:t>Specification of noise control for low-altitude vertical take-off and landing (VTOL) port</w:t>
                      </w:r>
                    </w:p>
                    <w:p>
                      <w:pPr>
                        <w:jc w:val="center"/>
                        <w:rPr>
                          <w:rFonts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2"/>
      </w:pPr>
    </w:p>
    <w:p>
      <w:pPr>
        <w:pStyle w:val="2"/>
      </w:pPr>
    </w:p>
    <w:p>
      <w:pPr>
        <w:pStyle w:val="2"/>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65408"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5408;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sz w:val="28"/>
          <w:szCs w:val="28"/>
        </w:rPr>
        <w:t>2025-XX-XX发布                                       2025-XX-XX实施</w:t>
      </w:r>
    </w:p>
    <w:p>
      <w:pPr>
        <w:spacing w:line="1247" w:lineRule="exact"/>
        <w:jc w:val="center"/>
        <w:rPr>
          <w:rFonts w:ascii="黑体" w:hAnsi="黑体" w:eastAsia="黑体"/>
          <w:sz w:val="28"/>
          <w:szCs w:val="28"/>
        </w:rPr>
      </w:pPr>
      <w:bookmarkStart w:id="0" w:name="_Toc3547"/>
      <w:bookmarkStart w:id="1" w:name="_Toc18385"/>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2"/>
      </w:pPr>
    </w:p>
    <w:p>
      <w:pPr>
        <w:rPr>
          <w:rFonts w:ascii="黑体" w:hAnsi="黑体" w:eastAsia="黑体"/>
          <w:sz w:val="28"/>
          <w:szCs w:val="28"/>
        </w:rPr>
        <w:sectPr>
          <w:headerReference r:id="rId3" w:type="default"/>
          <w:pgSz w:w="11906" w:h="16838"/>
          <w:pgMar w:top="567" w:right="851" w:bottom="1134" w:left="1418" w:header="0" w:footer="0" w:gutter="0"/>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sdt>
      <w:sdtPr>
        <w:rPr>
          <w:rFonts w:ascii="宋体" w:hAnsi="宋体" w:eastAsia="宋体" w:cs="宋体"/>
          <w:kern w:val="0"/>
          <w:szCs w:val="32"/>
        </w:rPr>
        <w:id w:val="-609584231"/>
        <w:docPartObj>
          <w:docPartGallery w:val="Table of Contents"/>
          <w:docPartUnique/>
        </w:docPartObj>
      </w:sdtPr>
      <w:sdtEndPr>
        <w:rPr>
          <w:rFonts w:asciiTheme="minorHAnsi" w:hAnsiTheme="minorHAnsi" w:eastAsiaTheme="minorEastAsia" w:cstheme="minorBidi"/>
          <w:b/>
          <w:bCs/>
          <w:kern w:val="2"/>
          <w:szCs w:val="22"/>
          <w:lang w:val="zh-CN"/>
        </w:rPr>
      </w:sdtEndPr>
      <w:sdtContent>
        <w:p>
          <w:pPr>
            <w:pStyle w:val="15"/>
            <w:tabs>
              <w:tab w:val="right" w:leader="dot" w:pos="9354"/>
            </w:tabs>
            <w:rPr>
              <w:rFonts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TOC \o "1-3" \h \z \u </w:instrText>
          </w:r>
          <w:r>
            <w:rPr>
              <w:rFonts w:hint="eastAsia" w:ascii="宋体" w:hAnsi="宋体" w:eastAsia="宋体" w:cs="宋体"/>
              <w:szCs w:val="21"/>
            </w:rPr>
            <w:fldChar w:fldCharType="separate"/>
          </w:r>
          <w:r>
            <w:fldChar w:fldCharType="begin"/>
          </w:r>
          <w:r>
            <w:instrText xml:space="preserve"> HYPERLINK \l "_Toc4677" </w:instrText>
          </w:r>
          <w:r>
            <w:fldChar w:fldCharType="separate"/>
          </w:r>
          <w:r>
            <w:rPr>
              <w:rFonts w:hint="eastAsia" w:ascii="宋体" w:hAnsi="宋体" w:eastAsia="宋体" w:cs="宋体"/>
              <w:szCs w:val="21"/>
            </w:rPr>
            <w:t>前言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_Toc4677 \h </w:instrText>
          </w:r>
          <w:r>
            <w:rPr>
              <w:rFonts w:hint="eastAsia" w:ascii="宋体" w:hAnsi="宋体" w:eastAsia="宋体" w:cs="宋体"/>
              <w:szCs w:val="21"/>
            </w:rPr>
            <w:fldChar w:fldCharType="separate"/>
          </w:r>
          <w:r>
            <w:rPr>
              <w:rFonts w:ascii="宋体" w:hAnsi="宋体" w:eastAsia="宋体" w:cs="宋体"/>
              <w:szCs w:val="21"/>
            </w:rPr>
            <w:t>II</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"_Toc28731" </w:instrText>
          </w:r>
          <w:r>
            <w:fldChar w:fldCharType="separate"/>
          </w:r>
          <w:r>
            <w:rPr>
              <w:rFonts w:hint="eastAsia" w:ascii="宋体" w:hAnsi="宋体" w:eastAsia="宋体" w:cs="宋体"/>
              <w:szCs w:val="21"/>
            </w:rPr>
            <w:t>引言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_Toc28731 \h </w:instrText>
          </w:r>
          <w:r>
            <w:rPr>
              <w:rFonts w:hint="eastAsia" w:ascii="宋体" w:hAnsi="宋体" w:eastAsia="宋体" w:cs="宋体"/>
              <w:szCs w:val="21"/>
            </w:rPr>
            <w:fldChar w:fldCharType="separate"/>
          </w:r>
          <w:r>
            <w:rPr>
              <w:rFonts w:ascii="宋体" w:hAnsi="宋体" w:eastAsia="宋体" w:cs="宋体"/>
              <w:szCs w:val="21"/>
            </w:rPr>
            <w:t>III</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"_Toc6930" </w:instrText>
          </w:r>
          <w:r>
            <w:fldChar w:fldCharType="separate"/>
          </w:r>
          <w:r>
            <w:rPr>
              <w:rFonts w:hint="eastAsia" w:ascii="宋体" w:hAnsi="宋体" w:eastAsia="宋体" w:cs="宋体"/>
              <w:szCs w:val="21"/>
            </w:rPr>
            <w:t>1  范围</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_Toc6930 \h </w:instrText>
          </w:r>
          <w:r>
            <w:rPr>
              <w:rFonts w:hint="eastAsia" w:ascii="宋体" w:hAnsi="宋体" w:eastAsia="宋体" w:cs="宋体"/>
              <w:szCs w:val="21"/>
            </w:rPr>
            <w:fldChar w:fldCharType="separate"/>
          </w:r>
          <w:r>
            <w:rPr>
              <w:rFonts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"_Toc12052" </w:instrText>
          </w:r>
          <w:r>
            <w:fldChar w:fldCharType="separate"/>
          </w:r>
          <w:r>
            <w:rPr>
              <w:rFonts w:hint="eastAsia" w:ascii="宋体" w:hAnsi="宋体" w:eastAsia="宋体" w:cs="宋体"/>
              <w:szCs w:val="21"/>
            </w:rPr>
            <w:t>2  规范性引用文件</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_Toc12052 \h </w:instrText>
          </w:r>
          <w:r>
            <w:rPr>
              <w:rFonts w:hint="eastAsia" w:ascii="宋体" w:hAnsi="宋体" w:eastAsia="宋体" w:cs="宋体"/>
              <w:szCs w:val="21"/>
            </w:rPr>
            <w:fldChar w:fldCharType="separate"/>
          </w:r>
          <w:r>
            <w:rPr>
              <w:rFonts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"_Toc19823" </w:instrText>
          </w:r>
          <w:r>
            <w:fldChar w:fldCharType="separate"/>
          </w:r>
          <w:r>
            <w:rPr>
              <w:rFonts w:hint="eastAsia" w:ascii="宋体" w:hAnsi="宋体" w:eastAsia="宋体" w:cs="宋体"/>
              <w:szCs w:val="21"/>
            </w:rPr>
            <w:t>3  术语和定义</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_Toc19823 \h </w:instrText>
          </w:r>
          <w:r>
            <w:rPr>
              <w:rFonts w:hint="eastAsia" w:ascii="宋体" w:hAnsi="宋体" w:eastAsia="宋体" w:cs="宋体"/>
              <w:szCs w:val="21"/>
            </w:rPr>
            <w:fldChar w:fldCharType="separate"/>
          </w:r>
          <w:r>
            <w:rPr>
              <w:rFonts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"_Toc23404" </w:instrText>
          </w:r>
          <w:r>
            <w:fldChar w:fldCharType="separate"/>
          </w:r>
          <w:r>
            <w:rPr>
              <w:rFonts w:hint="eastAsia" w:ascii="宋体" w:hAnsi="宋体" w:eastAsia="宋体" w:cs="宋体"/>
              <w:szCs w:val="21"/>
            </w:rPr>
            <w:t>4  总体要求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_Toc23404 \h </w:instrText>
          </w:r>
          <w:r>
            <w:rPr>
              <w:rFonts w:hint="eastAsia" w:ascii="宋体" w:hAnsi="宋体" w:eastAsia="宋体" w:cs="宋体"/>
              <w:szCs w:val="21"/>
            </w:rPr>
            <w:fldChar w:fldCharType="separate"/>
          </w:r>
          <w:r>
            <w:rPr>
              <w:rFonts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"_Toc19896" </w:instrText>
          </w:r>
          <w:r>
            <w:fldChar w:fldCharType="separate"/>
          </w:r>
          <w:r>
            <w:rPr>
              <w:rFonts w:hint="eastAsia" w:ascii="宋体" w:hAnsi="宋体" w:eastAsia="宋体" w:cs="宋体"/>
              <w:szCs w:val="21"/>
            </w:rPr>
            <w:t>5  限制要求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_Toc19896 \h </w:instrText>
          </w:r>
          <w:r>
            <w:rPr>
              <w:rFonts w:hint="eastAsia" w:ascii="宋体" w:hAnsi="宋体" w:eastAsia="宋体" w:cs="宋体"/>
              <w:szCs w:val="21"/>
            </w:rPr>
            <w:fldChar w:fldCharType="separate"/>
          </w:r>
          <w:r>
            <w:rPr>
              <w:rFonts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"_Toc23484" </w:instrText>
          </w:r>
          <w:r>
            <w:fldChar w:fldCharType="separate"/>
          </w:r>
          <w:r>
            <w:rPr>
              <w:rFonts w:hint="eastAsia" w:ascii="宋体" w:hAnsi="宋体" w:eastAsia="宋体" w:cs="宋体"/>
              <w:szCs w:val="21"/>
            </w:rPr>
            <w:t>5.1  场界噪声限值</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_Toc23484 \h </w:instrText>
          </w:r>
          <w:r>
            <w:rPr>
              <w:rFonts w:hint="eastAsia" w:ascii="宋体" w:hAnsi="宋体" w:eastAsia="宋体" w:cs="宋体"/>
              <w:szCs w:val="21"/>
            </w:rPr>
            <w:fldChar w:fldCharType="separate"/>
          </w:r>
          <w:r>
            <w:rPr>
              <w:rFonts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"_Toc5606" </w:instrText>
          </w:r>
          <w:r>
            <w:fldChar w:fldCharType="separate"/>
          </w:r>
          <w:r>
            <w:rPr>
              <w:rFonts w:hint="eastAsia" w:ascii="宋体" w:hAnsi="宋体" w:eastAsia="宋体" w:cs="宋体"/>
              <w:szCs w:val="21"/>
            </w:rPr>
            <w:t>5.2  飞行器噪声限值</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_Toc5606 \h </w:instrText>
          </w:r>
          <w:r>
            <w:rPr>
              <w:rFonts w:hint="eastAsia" w:ascii="宋体" w:hAnsi="宋体" w:eastAsia="宋体" w:cs="宋体"/>
              <w:szCs w:val="21"/>
            </w:rPr>
            <w:fldChar w:fldCharType="separate"/>
          </w:r>
          <w:r>
            <w:rPr>
              <w:rFonts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"_Toc16881" </w:instrText>
          </w:r>
          <w:r>
            <w:fldChar w:fldCharType="separate"/>
          </w:r>
          <w:r>
            <w:rPr>
              <w:rFonts w:hint="eastAsia" w:ascii="宋体" w:hAnsi="宋体" w:eastAsia="宋体" w:cs="宋体"/>
              <w:szCs w:val="21"/>
            </w:rPr>
            <w:t>5.3  起降架次的限制</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_Toc16881 \h </w:instrText>
          </w:r>
          <w:r>
            <w:rPr>
              <w:rFonts w:hint="eastAsia" w:ascii="宋体" w:hAnsi="宋体" w:eastAsia="宋体" w:cs="宋体"/>
              <w:szCs w:val="21"/>
            </w:rPr>
            <w:fldChar w:fldCharType="separate"/>
          </w:r>
          <w:r>
            <w:rPr>
              <w:rFonts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"_Toc22699" </w:instrText>
          </w:r>
          <w:r>
            <w:fldChar w:fldCharType="separate"/>
          </w:r>
          <w:r>
            <w:rPr>
              <w:rFonts w:hint="eastAsia" w:ascii="宋体" w:hAnsi="宋体" w:eastAsia="宋体" w:cs="宋体"/>
              <w:szCs w:val="21"/>
            </w:rPr>
            <w:t>5.4  起降架次的限制</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_Toc22699 \h </w:instrText>
          </w:r>
          <w:r>
            <w:rPr>
              <w:rFonts w:hint="eastAsia" w:ascii="宋体" w:hAnsi="宋体" w:eastAsia="宋体" w:cs="宋体"/>
              <w:szCs w:val="21"/>
            </w:rPr>
            <w:fldChar w:fldCharType="separate"/>
          </w:r>
          <w:r>
            <w:rPr>
              <w:rFonts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"_Toc1187" </w:instrText>
          </w:r>
          <w:r>
            <w:fldChar w:fldCharType="separate"/>
          </w:r>
          <w:r>
            <w:rPr>
              <w:rFonts w:hint="eastAsia" w:ascii="宋体" w:hAnsi="宋体" w:eastAsia="宋体" w:cs="宋体"/>
              <w:szCs w:val="21"/>
            </w:rPr>
            <w:t>6  噪声识别与评估</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_Toc1187 \h </w:instrText>
          </w:r>
          <w:r>
            <w:rPr>
              <w:rFonts w:hint="eastAsia" w:ascii="宋体" w:hAnsi="宋体" w:eastAsia="宋体" w:cs="宋体"/>
              <w:szCs w:val="21"/>
            </w:rPr>
            <w:fldChar w:fldCharType="separate"/>
          </w:r>
          <w:r>
            <w:rPr>
              <w:rFonts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"_Toc11829" </w:instrText>
          </w:r>
          <w:r>
            <w:fldChar w:fldCharType="separate"/>
          </w:r>
          <w:r>
            <w:rPr>
              <w:rFonts w:hint="eastAsia" w:ascii="宋体" w:hAnsi="宋体" w:eastAsia="宋体" w:cs="宋体"/>
              <w:szCs w:val="21"/>
            </w:rPr>
            <w:t>6.1  噪声识别</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_Toc11829 \h </w:instrText>
          </w:r>
          <w:r>
            <w:rPr>
              <w:rFonts w:hint="eastAsia" w:ascii="宋体" w:hAnsi="宋体" w:eastAsia="宋体" w:cs="宋体"/>
              <w:szCs w:val="21"/>
            </w:rPr>
            <w:fldChar w:fldCharType="separate"/>
          </w:r>
          <w:r>
            <w:rPr>
              <w:rFonts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"_Toc28476" </w:instrText>
          </w:r>
          <w:r>
            <w:fldChar w:fldCharType="separate"/>
          </w:r>
          <w:r>
            <w:rPr>
              <w:rFonts w:hint="eastAsia" w:ascii="宋体" w:hAnsi="宋体" w:eastAsia="宋体" w:cs="宋体"/>
              <w:szCs w:val="21"/>
            </w:rPr>
            <w:t>6.2  噪声要求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_Toc28476 \h </w:instrText>
          </w:r>
          <w:r>
            <w:rPr>
              <w:rFonts w:hint="eastAsia" w:ascii="宋体" w:hAnsi="宋体" w:eastAsia="宋体" w:cs="宋体"/>
              <w:szCs w:val="21"/>
            </w:rPr>
            <w:fldChar w:fldCharType="separate"/>
          </w:r>
          <w:r>
            <w:rPr>
              <w:rFonts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"_Toc24672" </w:instrText>
          </w:r>
          <w:r>
            <w:fldChar w:fldCharType="separate"/>
          </w:r>
          <w:r>
            <w:rPr>
              <w:rFonts w:hint="eastAsia" w:ascii="宋体" w:hAnsi="宋体" w:eastAsia="宋体" w:cs="宋体"/>
              <w:szCs w:val="21"/>
            </w:rPr>
            <w:t>6.3  噪声特性分析</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_Toc24672 \h </w:instrText>
          </w:r>
          <w:r>
            <w:rPr>
              <w:rFonts w:hint="eastAsia" w:ascii="宋体" w:hAnsi="宋体" w:eastAsia="宋体" w:cs="宋体"/>
              <w:szCs w:val="21"/>
            </w:rPr>
            <w:fldChar w:fldCharType="separate"/>
          </w:r>
          <w:r>
            <w:rPr>
              <w:rFonts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"_Toc26615" </w:instrText>
          </w:r>
          <w:r>
            <w:fldChar w:fldCharType="separate"/>
          </w:r>
          <w:r>
            <w:rPr>
              <w:rFonts w:hint="eastAsia" w:ascii="宋体" w:hAnsi="宋体" w:eastAsia="宋体" w:cs="宋体"/>
              <w:szCs w:val="21"/>
            </w:rPr>
            <w:t>6.4  声环境影响预测</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_Toc26615 \h </w:instrText>
          </w:r>
          <w:r>
            <w:rPr>
              <w:rFonts w:hint="eastAsia" w:ascii="宋体" w:hAnsi="宋体" w:eastAsia="宋体" w:cs="宋体"/>
              <w:szCs w:val="21"/>
            </w:rPr>
            <w:fldChar w:fldCharType="separate"/>
          </w:r>
          <w:r>
            <w:rPr>
              <w:rFonts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"_Toc6429" </w:instrText>
          </w:r>
          <w:r>
            <w:fldChar w:fldCharType="separate"/>
          </w:r>
          <w:r>
            <w:rPr>
              <w:rFonts w:hint="eastAsia" w:ascii="宋体" w:hAnsi="宋体" w:eastAsia="宋体" w:cs="宋体"/>
              <w:szCs w:val="21"/>
            </w:rPr>
            <w:t>6.5  数据记录与报告</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_Toc6429 \h </w:instrText>
          </w:r>
          <w:r>
            <w:rPr>
              <w:rFonts w:hint="eastAsia" w:ascii="宋体" w:hAnsi="宋体" w:eastAsia="宋体" w:cs="宋体"/>
              <w:szCs w:val="21"/>
            </w:rPr>
            <w:fldChar w:fldCharType="separate"/>
          </w:r>
          <w:r>
            <w:rPr>
              <w:rFonts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"_Toc25368" </w:instrText>
          </w:r>
          <w:r>
            <w:fldChar w:fldCharType="separate"/>
          </w:r>
          <w:r>
            <w:rPr>
              <w:rFonts w:hint="eastAsia" w:ascii="宋体" w:hAnsi="宋体" w:eastAsia="宋体" w:cs="宋体"/>
              <w:szCs w:val="21"/>
            </w:rPr>
            <w:t>6.6  持续监控与调整</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_Toc25368 \h </w:instrText>
          </w:r>
          <w:r>
            <w:rPr>
              <w:rFonts w:hint="eastAsia" w:ascii="宋体" w:hAnsi="宋体" w:eastAsia="宋体" w:cs="宋体"/>
              <w:szCs w:val="21"/>
            </w:rPr>
            <w:fldChar w:fldCharType="separate"/>
          </w:r>
          <w:r>
            <w:rPr>
              <w:rFonts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"_Toc3409" </w:instrText>
          </w:r>
          <w:r>
            <w:fldChar w:fldCharType="separate"/>
          </w:r>
          <w:r>
            <w:rPr>
              <w:rFonts w:hint="eastAsia" w:ascii="宋体" w:hAnsi="宋体" w:eastAsia="宋体" w:cs="宋体"/>
              <w:szCs w:val="21"/>
            </w:rPr>
            <w:t>7  噪声传播控制措施</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_Toc3409 \h </w:instrText>
          </w:r>
          <w:r>
            <w:rPr>
              <w:rFonts w:hint="eastAsia" w:ascii="宋体" w:hAnsi="宋体" w:eastAsia="宋体" w:cs="宋体"/>
              <w:szCs w:val="21"/>
            </w:rPr>
            <w:fldChar w:fldCharType="separate"/>
          </w:r>
          <w:r>
            <w:rPr>
              <w:rFonts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"_Toc21725" </w:instrText>
          </w:r>
          <w:r>
            <w:fldChar w:fldCharType="separate"/>
          </w:r>
          <w:r>
            <w:rPr>
              <w:rFonts w:hint="eastAsia" w:ascii="宋体" w:hAnsi="宋体" w:eastAsia="宋体" w:cs="宋体"/>
              <w:szCs w:val="21"/>
            </w:rPr>
            <w:t>7.1  地面设施建设的声学设计</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_Toc21725 \h </w:instrText>
          </w:r>
          <w:r>
            <w:rPr>
              <w:rFonts w:hint="eastAsia" w:ascii="宋体" w:hAnsi="宋体" w:eastAsia="宋体" w:cs="宋体"/>
              <w:szCs w:val="21"/>
            </w:rPr>
            <w:fldChar w:fldCharType="separate"/>
          </w:r>
          <w:r>
            <w:rPr>
              <w:rFonts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"_Toc20352" </w:instrText>
          </w:r>
          <w:r>
            <w:fldChar w:fldCharType="separate"/>
          </w:r>
          <w:r>
            <w:rPr>
              <w:rFonts w:hint="eastAsia" w:ascii="宋体" w:hAnsi="宋体" w:eastAsia="宋体" w:cs="宋体"/>
              <w:szCs w:val="21"/>
            </w:rPr>
            <w:t>7.2  声屏障布局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_Toc20352 \h </w:instrText>
          </w:r>
          <w:r>
            <w:rPr>
              <w:rFonts w:hint="eastAsia" w:ascii="宋体" w:hAnsi="宋体" w:eastAsia="宋体" w:cs="宋体"/>
              <w:szCs w:val="21"/>
            </w:rPr>
            <w:fldChar w:fldCharType="separate"/>
          </w:r>
          <w:r>
            <w:rPr>
              <w:rFonts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"_Toc16370" </w:instrText>
          </w:r>
          <w:r>
            <w:fldChar w:fldCharType="separate"/>
          </w:r>
          <w:r>
            <w:rPr>
              <w:rFonts w:hint="eastAsia" w:ascii="宋体" w:hAnsi="宋体" w:eastAsia="宋体" w:cs="宋体"/>
              <w:szCs w:val="21"/>
            </w:rPr>
            <w:t>7.3  综合设计考虑</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_Toc16370 \h </w:instrText>
          </w:r>
          <w:r>
            <w:rPr>
              <w:rFonts w:hint="eastAsia" w:ascii="宋体" w:hAnsi="宋体" w:eastAsia="宋体" w:cs="宋体"/>
              <w:szCs w:val="21"/>
            </w:rPr>
            <w:fldChar w:fldCharType="separate"/>
          </w:r>
          <w:r>
            <w:rPr>
              <w:rFonts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"_Toc4350" </w:instrText>
          </w:r>
          <w:r>
            <w:fldChar w:fldCharType="separate"/>
          </w:r>
          <w:r>
            <w:rPr>
              <w:rFonts w:hint="eastAsia" w:ascii="宋体" w:hAnsi="宋体" w:eastAsia="宋体" w:cs="宋体"/>
              <w:szCs w:val="21"/>
            </w:rPr>
            <w:t>7.4  施工与验收</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_Toc4350 \h </w:instrText>
          </w:r>
          <w:r>
            <w:rPr>
              <w:rFonts w:hint="eastAsia" w:ascii="宋体" w:hAnsi="宋体" w:eastAsia="宋体" w:cs="宋体"/>
              <w:szCs w:val="21"/>
            </w:rPr>
            <w:fldChar w:fldCharType="separate"/>
          </w:r>
          <w:r>
            <w:rPr>
              <w:rFonts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"_Toc11365" </w:instrText>
          </w:r>
          <w:r>
            <w:fldChar w:fldCharType="separate"/>
          </w:r>
          <w:r>
            <w:rPr>
              <w:rFonts w:hint="eastAsia" w:ascii="宋体" w:hAnsi="宋体" w:eastAsia="宋体" w:cs="宋体"/>
              <w:szCs w:val="21"/>
            </w:rPr>
            <w:t>8  噪声监测与管理</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_Toc11365 \h </w:instrText>
          </w:r>
          <w:r>
            <w:rPr>
              <w:rFonts w:hint="eastAsia" w:ascii="宋体" w:hAnsi="宋体" w:eastAsia="宋体" w:cs="宋体"/>
              <w:szCs w:val="21"/>
            </w:rPr>
            <w:fldChar w:fldCharType="separate"/>
          </w:r>
          <w:r>
            <w:rPr>
              <w:rFonts w:ascii="宋体" w:hAnsi="宋体" w:eastAsia="宋体" w:cs="宋体"/>
              <w:szCs w:val="21"/>
            </w:rPr>
            <w:t>8</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"_Toc3454" </w:instrText>
          </w:r>
          <w:r>
            <w:fldChar w:fldCharType="separate"/>
          </w:r>
          <w:r>
            <w:rPr>
              <w:rFonts w:hint="eastAsia" w:ascii="宋体" w:hAnsi="宋体" w:eastAsia="宋体" w:cs="宋体"/>
              <w:szCs w:val="21"/>
            </w:rPr>
            <w:t>8.1  噪声监测体系建立</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_Toc3454 \h </w:instrText>
          </w:r>
          <w:r>
            <w:rPr>
              <w:rFonts w:hint="eastAsia" w:ascii="宋体" w:hAnsi="宋体" w:eastAsia="宋体" w:cs="宋体"/>
              <w:szCs w:val="21"/>
            </w:rPr>
            <w:fldChar w:fldCharType="separate"/>
          </w:r>
          <w:r>
            <w:rPr>
              <w:rFonts w:ascii="宋体" w:hAnsi="宋体" w:eastAsia="宋体" w:cs="宋体"/>
              <w:szCs w:val="21"/>
            </w:rPr>
            <w:t>8</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"_Toc29559" </w:instrText>
          </w:r>
          <w:r>
            <w:fldChar w:fldCharType="separate"/>
          </w:r>
          <w:r>
            <w:rPr>
              <w:rFonts w:hint="eastAsia" w:ascii="宋体" w:hAnsi="宋体" w:eastAsia="宋体" w:cs="宋体"/>
              <w:szCs w:val="21"/>
            </w:rPr>
            <w:t>8.2  定期检测垂直起降点及周边环境噪声水平</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_Toc29559 \h </w:instrText>
          </w:r>
          <w:r>
            <w:rPr>
              <w:rFonts w:hint="eastAsia" w:ascii="宋体" w:hAnsi="宋体" w:eastAsia="宋体" w:cs="宋体"/>
              <w:szCs w:val="21"/>
            </w:rPr>
            <w:fldChar w:fldCharType="separate"/>
          </w:r>
          <w:r>
            <w:rPr>
              <w:rFonts w:ascii="宋体" w:hAnsi="宋体" w:eastAsia="宋体" w:cs="宋体"/>
              <w:szCs w:val="21"/>
            </w:rPr>
            <w:t>8</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ind w:firstLine="420" w:firstLineChars="200"/>
            <w:rPr>
              <w:rFonts w:ascii="宋体" w:hAnsi="宋体" w:eastAsia="宋体" w:cs="宋体"/>
              <w:szCs w:val="21"/>
            </w:rPr>
          </w:pPr>
          <w:r>
            <w:fldChar w:fldCharType="begin"/>
          </w:r>
          <w:r>
            <w:instrText xml:space="preserve"> HYPERLINK \l "_Toc31793" </w:instrText>
          </w:r>
          <w:r>
            <w:fldChar w:fldCharType="separate"/>
          </w:r>
          <w:r>
            <w:rPr>
              <w:rFonts w:hint="eastAsia" w:ascii="宋体" w:hAnsi="宋体" w:eastAsia="宋体" w:cs="宋体"/>
              <w:szCs w:val="21"/>
            </w:rPr>
            <w:t>8.3  制定维护保养</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_Toc31793 \h </w:instrText>
          </w:r>
          <w:r>
            <w:rPr>
              <w:rFonts w:hint="eastAsia" w:ascii="宋体" w:hAnsi="宋体" w:eastAsia="宋体" w:cs="宋体"/>
              <w:szCs w:val="21"/>
            </w:rPr>
            <w:fldChar w:fldCharType="separate"/>
          </w:r>
          <w:r>
            <w:rPr>
              <w:rFonts w:ascii="宋体" w:hAnsi="宋体" w:eastAsia="宋体" w:cs="宋体"/>
              <w:szCs w:val="21"/>
            </w:rPr>
            <w:t>8</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"_Toc28349" </w:instrText>
          </w:r>
          <w:r>
            <w:fldChar w:fldCharType="separate"/>
          </w:r>
          <w:r>
            <w:rPr>
              <w:rFonts w:hint="eastAsia" w:ascii="宋体" w:hAnsi="宋体" w:eastAsia="宋体" w:cs="宋体"/>
              <w:szCs w:val="21"/>
            </w:rPr>
            <w:t>附录A</w:t>
          </w:r>
          <w:r>
            <w:rPr>
              <w:rFonts w:hint="eastAsia" w:ascii="宋体" w:hAnsi="宋体" w:eastAsia="宋体" w:cs="宋体"/>
              <w:szCs w:val="21"/>
            </w:rPr>
            <w:fldChar w:fldCharType="end"/>
          </w:r>
          <w:r>
            <w:fldChar w:fldCharType="begin"/>
          </w:r>
          <w:r>
            <w:instrText xml:space="preserve"> HYPERLINK \l "_Toc31453" </w:instrText>
          </w:r>
          <w:r>
            <w:fldChar w:fldCharType="separate"/>
          </w:r>
          <w:r>
            <w:rPr>
              <w:rFonts w:hint="eastAsia" w:ascii="宋体" w:hAnsi="宋体" w:eastAsia="宋体" w:cs="宋体"/>
              <w:szCs w:val="21"/>
            </w:rPr>
            <w:t xml:space="preserve">（资料性） </w:t>
          </w:r>
          <w:r>
            <w:rPr>
              <w:rFonts w:hint="eastAsia" w:ascii="宋体" w:hAnsi="宋体" w:eastAsia="宋体" w:cs="宋体"/>
              <w:szCs w:val="21"/>
            </w:rPr>
            <w:fldChar w:fldCharType="end"/>
          </w:r>
          <w:r>
            <w:rPr>
              <w:rFonts w:hint="eastAsia" w:ascii="宋体" w:hAnsi="宋体" w:eastAsia="宋体" w:cs="宋体"/>
              <w:szCs w:val="21"/>
            </w:rPr>
            <w:t xml:space="preserve"> </w:t>
          </w:r>
          <w:r>
            <w:fldChar w:fldCharType="begin"/>
          </w:r>
          <w:r>
            <w:instrText xml:space="preserve"> HYPERLINK \l "_Toc19813" </w:instrText>
          </w:r>
          <w:r>
            <w:fldChar w:fldCharType="separate"/>
          </w:r>
          <w:r>
            <w:rPr>
              <w:rFonts w:hint="eastAsia" w:ascii="宋体" w:hAnsi="宋体" w:eastAsia="宋体" w:cs="宋体"/>
              <w:szCs w:val="21"/>
            </w:rPr>
            <w:t>低空飞行器噪声实验</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_Toc19813 \h </w:instrText>
          </w:r>
          <w:r>
            <w:rPr>
              <w:rFonts w:hint="eastAsia" w:ascii="宋体" w:hAnsi="宋体" w:eastAsia="宋体" w:cs="宋体"/>
              <w:szCs w:val="21"/>
            </w:rPr>
            <w:fldChar w:fldCharType="separate"/>
          </w:r>
          <w:r>
            <w:rPr>
              <w:rFonts w:ascii="宋体" w:hAnsi="宋体" w:eastAsia="宋体" w:cs="宋体"/>
              <w:szCs w:val="21"/>
            </w:rPr>
            <w:t>9</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rPr>
              <w:rFonts w:ascii="宋体" w:hAnsi="宋体" w:eastAsia="宋体" w:cs="宋体"/>
              <w:szCs w:val="21"/>
            </w:rPr>
          </w:pPr>
          <w:r>
            <w:fldChar w:fldCharType="begin"/>
          </w:r>
          <w:r>
            <w:instrText xml:space="preserve"> HYPERLINK \l "_Toc18220" </w:instrText>
          </w:r>
          <w:r>
            <w:fldChar w:fldCharType="separate"/>
          </w:r>
          <w:r>
            <w:rPr>
              <w:rFonts w:hint="eastAsia" w:ascii="宋体" w:hAnsi="宋体" w:eastAsia="宋体" w:cs="宋体"/>
              <w:szCs w:val="21"/>
            </w:rPr>
            <w:t>参考文献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_Toc18220 \h </w:instrText>
          </w:r>
          <w:r>
            <w:rPr>
              <w:rFonts w:hint="eastAsia" w:ascii="宋体" w:hAnsi="宋体" w:eastAsia="宋体" w:cs="宋体"/>
              <w:szCs w:val="21"/>
            </w:rPr>
            <w:fldChar w:fldCharType="separate"/>
          </w:r>
          <w:r>
            <w:rPr>
              <w:rFonts w:ascii="宋体" w:hAnsi="宋体" w:eastAsia="宋体" w:cs="宋体"/>
              <w:szCs w:val="21"/>
            </w:rPr>
            <w:t>14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tabs>
              <w:tab w:val="right" w:leader="dot" w:pos="9354"/>
            </w:tabs>
          </w:pPr>
          <w:r>
            <w:rPr>
              <w:rFonts w:hint="eastAsia" w:ascii="宋体" w:hAnsi="宋体" w:eastAsia="宋体" w:cs="宋体"/>
              <w:szCs w:val="21"/>
            </w:rPr>
            <w:fldChar w:fldCharType="end"/>
          </w:r>
        </w:p>
      </w:sdtContent>
    </w:sdt>
    <w:p>
      <w:pPr>
        <w:snapToGrid w:val="0"/>
        <w:jc w:val="left"/>
        <w:rPr>
          <w:rFonts w:ascii="宋体" w:hAnsi="宋体" w:eastAsia="宋体" w:cs="宋体"/>
          <w:szCs w:val="21"/>
        </w:rPr>
        <w:sectPr>
          <w:headerReference r:id="rId4" w:type="default"/>
          <w:footerReference r:id="rId6" w:type="default"/>
          <w:headerReference r:id="rId5" w:type="even"/>
          <w:footerReference r:id="rId7" w:type="even"/>
          <w:pgSz w:w="11906" w:h="16838"/>
          <w:pgMar w:top="1417" w:right="1134" w:bottom="1134" w:left="1418" w:header="1417" w:footer="1134" w:gutter="0"/>
          <w:pgNumType w:fmt="upperRoman" w:start="1"/>
          <w:cols w:space="425" w:num="1"/>
          <w:docGrid w:type="lines" w:linePitch="312" w:charSpace="0"/>
        </w:sectPr>
      </w:pPr>
    </w:p>
    <w:p>
      <w:pPr>
        <w:tabs>
          <w:tab w:val="center" w:pos="4677"/>
          <w:tab w:val="left" w:pos="8625"/>
        </w:tabs>
        <w:snapToGrid w:val="0"/>
        <w:spacing w:before="567" w:after="680"/>
        <w:jc w:val="left"/>
        <w:outlineLvl w:val="0"/>
        <w:rPr>
          <w:rFonts w:ascii="黑体" w:hAnsi="黑体" w:eastAsia="黑体" w:cs="黑体"/>
          <w:kern w:val="0"/>
          <w:sz w:val="32"/>
          <w:szCs w:val="32"/>
        </w:rPr>
        <w:sectPr>
          <w:headerReference r:id="rId8" w:type="default"/>
          <w:footerReference r:id="rId10" w:type="default"/>
          <w:headerReference r:id="rId9" w:type="even"/>
          <w:footerReference r:id="rId11" w:type="even"/>
          <w:pgSz w:w="11906" w:h="16838"/>
          <w:pgMar w:top="1417" w:right="1134" w:bottom="1134" w:left="1418" w:header="1417" w:footer="1134" w:gutter="0"/>
          <w:pgNumType w:fmt="upperRoman" w:start="1"/>
          <w:cols w:space="425" w:num="1"/>
          <w:docGrid w:type="lines" w:linePitch="312" w:charSpace="0"/>
        </w:sectPr>
      </w:pPr>
      <w:bookmarkStart w:id="2" w:name="_Toc15638"/>
    </w:p>
    <w:p>
      <w:pPr>
        <w:tabs>
          <w:tab w:val="center" w:pos="4677"/>
          <w:tab w:val="left" w:pos="8625"/>
        </w:tabs>
        <w:snapToGrid w:val="0"/>
        <w:spacing w:before="567" w:after="680"/>
        <w:jc w:val="left"/>
        <w:outlineLvl w:val="0"/>
        <w:rPr>
          <w:rFonts w:ascii="黑体" w:hAnsi="黑体" w:eastAsia="黑体" w:cs="黑体"/>
          <w:kern w:val="0"/>
          <w:sz w:val="32"/>
          <w:szCs w:val="32"/>
        </w:rPr>
      </w:pPr>
      <w:r>
        <w:rPr>
          <w:rFonts w:ascii="黑体" w:hAnsi="黑体" w:eastAsia="黑体" w:cs="黑体"/>
          <w:kern w:val="0"/>
          <w:sz w:val="32"/>
          <w:szCs w:val="32"/>
        </w:rPr>
        <w:tab/>
      </w:r>
      <w:bookmarkStart w:id="3" w:name="_Toc4677"/>
      <w:r>
        <w:rPr>
          <w:rFonts w:hint="eastAsia" w:ascii="黑体" w:hAnsi="黑体" w:eastAsia="黑体" w:cs="黑体"/>
          <w:kern w:val="0"/>
          <w:sz w:val="32"/>
          <w:szCs w:val="32"/>
        </w:rPr>
        <w:t>前    言</w:t>
      </w:r>
      <w:bookmarkEnd w:id="2"/>
      <w:bookmarkEnd w:id="3"/>
      <w:r>
        <w:rPr>
          <w:rFonts w:ascii="黑体" w:hAnsi="黑体" w:eastAsia="黑体" w:cs="黑体"/>
          <w:kern w:val="0"/>
          <w:sz w:val="32"/>
          <w:szCs w:val="32"/>
        </w:rPr>
        <w:tab/>
      </w:r>
    </w:p>
    <w:p>
      <w:pPr>
        <w:pStyle w:val="67"/>
        <w:ind w:firstLine="420"/>
      </w:pPr>
      <w:r>
        <w:rPr>
          <w:rFonts w:hint="eastAsia"/>
        </w:rPr>
        <w:t>本文件按照GB/T 1.1—2020《标准化工作导则第1部分：标准化文件的结构和起草规则》的规定起草。</w:t>
      </w:r>
    </w:p>
    <w:p>
      <w:pPr>
        <w:pStyle w:val="67"/>
        <w:ind w:firstLine="420"/>
      </w:pPr>
      <w:r>
        <w:rPr>
          <w:rFonts w:hint="eastAsia"/>
        </w:rPr>
        <w:t>请注意本文件的某些内容可能涉及专利，本文件的发布机构不承担识别这些专利的责任。</w:t>
      </w:r>
    </w:p>
    <w:p>
      <w:pPr>
        <w:pStyle w:val="67"/>
        <w:ind w:firstLine="420"/>
      </w:pPr>
      <w:r>
        <w:rPr>
          <w:rFonts w:hint="eastAsia"/>
        </w:rPr>
        <w:t>本文件由苏州市生态环境局提出、归口并组织实施。</w:t>
      </w:r>
    </w:p>
    <w:p>
      <w:pPr>
        <w:pStyle w:val="67"/>
        <w:ind w:firstLine="420"/>
      </w:pPr>
      <w:r>
        <w:rPr>
          <w:rFonts w:hint="eastAsia"/>
        </w:rPr>
        <w:t>本文件起草单位：苏州声学产业技术研究院有限公司、苏州市航空产业发展集团有限公司、江苏云圣智能科技有限责任公司、长三角碳纤维及复合材料技术创新中心、北京航空航天大学、苏州格丽室新材料科技有限公司、苏州工学院、苏州高新低空经济产业发展有限公司、苏州环邦检测科技有限公司、苏州低空科技有限公司、南京华秦光声科技有限责任公司、常熟大鹏航空航天科技有限公司、兴科迪科技（泰州）有限公司、南京大学、广东汇天航空航天科技有限公司、中认英泰检测技术有限公司、伊犁师范大学、江苏省常熟中等专业学校、苏州海鸥飞行汽车有限公司、深圳市环境科学研究院、宏韵声学（苏州）航空科技有限公司、江苏省声学产业技术创新中心、苏州市声学学会、苏州宇联精灵机器人有限公司、江苏亨睿碳纤维科技有限公司、格物汽车科技（苏州）有限公司、常熟市市场监督管理局、苏州声学检验检测有限公司、苏州华声环保科技有限公司、常熟市苏衡声环保科技有限公司、苏州比翱科技集团有限公司、海德声学（上海）科技有限公司、苏州云圣千里低空产业运营有限公司、南京航空航天大学、苏州市常熟生态环境局。</w:t>
      </w:r>
    </w:p>
    <w:p>
      <w:pPr>
        <w:pStyle w:val="67"/>
        <w:ind w:firstLine="420"/>
      </w:pPr>
      <w:r>
        <w:rPr>
          <w:rFonts w:hint="eastAsia"/>
        </w:rPr>
        <w:t>本文件主要起草人：卢明辉、谢海圣、韩峰、李政、施海霞、鲁强兵、解龙翔、李晓东、徐希海、刘林、邱昇、黄丛林、葛龙、周建光、白利敏、益小苏、郭俊杰、李东、胡添尧、李明高、廖贺龙、李忠、钱斯文、唐李明、关鹏飞、苏章明、冯梓鑫、鲍明、何芝华、陆崇义、颜军、郁康、杨娜、梁勇奇、邱宏波、杜光辉、姚维娅、练正伟、刘畅、朱雨晨、王珏、朱腊梅、王乐、</w:t>
      </w:r>
      <w:r>
        <w:t>毛阳</w:t>
      </w:r>
      <w:r>
        <w:rPr>
          <w:rFonts w:hint="eastAsia"/>
        </w:rPr>
        <w:t>、朱胜利、金民、陈栋、招启军、陈希、韩志达。</w:t>
      </w:r>
    </w:p>
    <w:p>
      <w:pPr>
        <w:pStyle w:val="2"/>
      </w:pPr>
    </w:p>
    <w:p>
      <w:pPr>
        <w:snapToGrid w:val="0"/>
        <w:rPr>
          <w:rFonts w:ascii="宋体" w:hAnsi="宋体" w:eastAsia="宋体" w:cs="宋体"/>
          <w:kern w:val="0"/>
          <w:szCs w:val="21"/>
        </w:rPr>
      </w:pPr>
    </w:p>
    <w:p>
      <w:pPr>
        <w:rPr>
          <w:rFonts w:ascii="宋体" w:hAnsi="宋体" w:eastAsia="宋体" w:cs="宋体"/>
          <w:szCs w:val="21"/>
        </w:rPr>
      </w:pPr>
    </w:p>
    <w:p>
      <w:pPr>
        <w:rPr>
          <w:rFonts w:ascii="宋体" w:hAnsi="宋体" w:eastAsia="宋体" w:cs="宋体"/>
          <w:szCs w:val="21"/>
        </w:rPr>
      </w:pPr>
      <w:r>
        <w:rPr>
          <w:rFonts w:ascii="宋体" w:hAnsi="宋体" w:eastAsia="宋体" w:cs="宋体"/>
          <w:szCs w:val="21"/>
        </w:rPr>
        <w:br w:type="page"/>
      </w:r>
    </w:p>
    <w:p>
      <w:pPr>
        <w:snapToGrid w:val="0"/>
        <w:spacing w:before="567" w:after="680"/>
        <w:jc w:val="center"/>
        <w:outlineLvl w:val="0"/>
        <w:rPr>
          <w:rFonts w:ascii="黑体" w:hAnsi="黑体" w:eastAsia="黑体" w:cs="黑体"/>
          <w:kern w:val="0"/>
          <w:sz w:val="32"/>
          <w:szCs w:val="32"/>
        </w:rPr>
      </w:pPr>
      <w:bookmarkStart w:id="4" w:name="_Toc28731"/>
      <w:r>
        <w:rPr>
          <w:rFonts w:hint="eastAsia" w:ascii="黑体" w:hAnsi="黑体" w:eastAsia="黑体" w:cs="黑体"/>
          <w:kern w:val="0"/>
          <w:sz w:val="32"/>
          <w:szCs w:val="32"/>
        </w:rPr>
        <w:t>引    言</w:t>
      </w:r>
      <w:bookmarkEnd w:id="4"/>
    </w:p>
    <w:p>
      <w:pPr>
        <w:pStyle w:val="67"/>
        <w:ind w:firstLine="420"/>
      </w:pPr>
      <w:r>
        <w:rPr>
          <w:rFonts w:hint="eastAsia"/>
        </w:rPr>
        <w:t>为促进苏州市低空经济的高质量发展，保障低空飞行器垂直起降点在运营过程中的环境噪声控制达到国家及地方环保要求，提升周边居民生活质量，特制定本文件。本文件旨在为低空飞行器垂直起降点的规划、设计、建设和运行维护提供噪声控制的技术指导和操作规范。</w:t>
      </w:r>
    </w:p>
    <w:p>
      <w:pPr>
        <w:pStyle w:val="2"/>
      </w:pPr>
    </w:p>
    <w:p>
      <w:pPr>
        <w:pStyle w:val="2"/>
      </w:pPr>
      <w:bookmarkStart w:id="5" w:name="SectionMark4"/>
    </w:p>
    <w:p>
      <w:pPr>
        <w:pStyle w:val="2"/>
        <w:sectPr>
          <w:headerReference r:id="rId12" w:type="default"/>
          <w:footerReference r:id="rId14" w:type="default"/>
          <w:headerReference r:id="rId13" w:type="even"/>
          <w:footerReference r:id="rId15" w:type="even"/>
          <w:pgSz w:w="11906" w:h="16838"/>
          <w:pgMar w:top="1417" w:right="1134" w:bottom="1134" w:left="1418" w:header="1417" w:footer="1134" w:gutter="0"/>
          <w:pgNumType w:fmt="upperRoman"/>
          <w:cols w:space="425" w:num="1"/>
          <w:docGrid w:type="lines" w:linePitch="312" w:charSpace="0"/>
        </w:sectPr>
      </w:pPr>
    </w:p>
    <w:p>
      <w:pPr>
        <w:pStyle w:val="79"/>
        <w:spacing w:before="3" w:beforeLines="1" w:after="686" w:afterLines="220" w:line="360" w:lineRule="auto"/>
        <w:rPr>
          <w:rFonts w:ascii="宋体" w:hAnsi="宋体" w:eastAsia="宋体" w:cs="宋体"/>
          <w:kern w:val="0"/>
          <w:sz w:val="22"/>
          <w:szCs w:val="22"/>
        </w:rPr>
      </w:pPr>
      <w:sdt>
        <w:sdtPr>
          <w:tag w:val="NEW_STAND_NAME"/>
          <w:id w:val="331124951"/>
        </w:sdtPr>
        <w:sdtContent>
          <w:r>
            <w:rPr>
              <w:rFonts w:hint="eastAsia"/>
            </w:rPr>
            <w:t>低空飞行器垂直起降点噪声控制规范</w:t>
          </w:r>
        </w:sdtContent>
      </w:sdt>
    </w:p>
    <w:bookmarkEnd w:id="5"/>
    <w:p>
      <w:pPr>
        <w:pStyle w:val="66"/>
        <w:spacing w:before="312" w:after="312"/>
      </w:pPr>
      <w:bookmarkStart w:id="6" w:name="_Toc48050151"/>
      <w:bookmarkStart w:id="7" w:name="_Toc47964470"/>
      <w:bookmarkStart w:id="8" w:name="_Toc66965087"/>
      <w:bookmarkStart w:id="9" w:name="_Toc67393169"/>
      <w:bookmarkStart w:id="10" w:name="_Toc48028397"/>
      <w:bookmarkStart w:id="11" w:name="_Toc115339701"/>
      <w:bookmarkStart w:id="12" w:name="_Toc122448156"/>
      <w:bookmarkStart w:id="13" w:name="_Toc48028304"/>
      <w:bookmarkStart w:id="14" w:name="_Toc30515"/>
      <w:bookmarkStart w:id="15" w:name="_Toc4672"/>
      <w:bookmarkStart w:id="16" w:name="_Toc87811368"/>
      <w:bookmarkStart w:id="17" w:name="_Toc47964512"/>
      <w:bookmarkStart w:id="18" w:name="_Toc10375"/>
      <w:bookmarkStart w:id="19" w:name="_Toc21213"/>
      <w:bookmarkStart w:id="20" w:name="_Toc67401897"/>
      <w:bookmarkStart w:id="21" w:name="_Toc48569571"/>
      <w:bookmarkStart w:id="22" w:name="_Toc51663569"/>
      <w:bookmarkStart w:id="23" w:name="_Toc46494722"/>
      <w:bookmarkStart w:id="24" w:name="_Toc47973642"/>
      <w:bookmarkStart w:id="25" w:name="_Toc51147912"/>
      <w:bookmarkStart w:id="26" w:name="_Toc87811223"/>
      <w:bookmarkStart w:id="27" w:name="_Toc48572088"/>
      <w:bookmarkStart w:id="28" w:name="_Toc48049835"/>
      <w:bookmarkStart w:id="29" w:name="_Toc47973431"/>
      <w:bookmarkStart w:id="30" w:name="_Toc6930"/>
      <w:bookmarkStart w:id="31" w:name="_Toc40454690"/>
      <w:bookmarkStart w:id="32" w:name="_Toc15741"/>
      <w:r>
        <w:rPr>
          <w:rFonts w:hint="eastAsia"/>
        </w:rPr>
        <w:t>范围</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80"/>
        <w:ind w:left="0" w:firstLine="420" w:firstLineChars="200"/>
        <w:jc w:val="left"/>
        <w:rPr>
          <w:color w:val="000000"/>
          <w:sz w:val="21"/>
          <w:szCs w:val="24"/>
        </w:rPr>
      </w:pPr>
      <w:bookmarkStart w:id="33" w:name="_Toc40454691"/>
      <w:bookmarkStart w:id="34" w:name="_Toc47964471"/>
      <w:bookmarkStart w:id="35" w:name="_Toc47973432"/>
      <w:bookmarkStart w:id="36" w:name="_Toc48028398"/>
      <w:bookmarkStart w:id="37" w:name="_Toc48569572"/>
      <w:bookmarkStart w:id="38" w:name="_Toc29099"/>
      <w:bookmarkStart w:id="39" w:name="_Toc51147913"/>
      <w:bookmarkStart w:id="40" w:name="_Toc67393170"/>
      <w:bookmarkStart w:id="41" w:name="_Toc122448157"/>
      <w:bookmarkStart w:id="42" w:name="_Toc66965088"/>
      <w:bookmarkStart w:id="43" w:name="_Toc46494723"/>
      <w:bookmarkStart w:id="44" w:name="_Toc51663570"/>
      <w:bookmarkStart w:id="45" w:name="_Toc115339702"/>
      <w:bookmarkStart w:id="46" w:name="_Toc25682"/>
      <w:bookmarkStart w:id="47" w:name="_Toc5397"/>
      <w:bookmarkStart w:id="48" w:name="_Toc47973643"/>
      <w:bookmarkStart w:id="49" w:name="_Toc48049836"/>
      <w:bookmarkStart w:id="50" w:name="_Toc47964513"/>
      <w:bookmarkStart w:id="51" w:name="_Toc87811369"/>
      <w:bookmarkStart w:id="52" w:name="_Toc67401898"/>
      <w:bookmarkStart w:id="53" w:name="_Toc27904"/>
      <w:bookmarkStart w:id="54" w:name="_Toc27351"/>
      <w:bookmarkStart w:id="55" w:name="_Toc48028305"/>
      <w:bookmarkStart w:id="56" w:name="_Toc87811224"/>
      <w:bookmarkStart w:id="57" w:name="_Toc48572089"/>
      <w:bookmarkStart w:id="58" w:name="_Toc48050152"/>
      <w:r>
        <w:rPr>
          <w:rFonts w:hint="eastAsia"/>
          <w:color w:val="000000"/>
          <w:sz w:val="21"/>
          <w:szCs w:val="24"/>
        </w:rPr>
        <w:t>本文件规定了低空飞行器垂直起降点噪声控制总体要求，提供了噪声控制规范。</w:t>
      </w:r>
    </w:p>
    <w:p>
      <w:pPr>
        <w:ind w:firstLine="420" w:firstLineChars="200"/>
        <w:rPr>
          <w:szCs w:val="21"/>
        </w:rPr>
      </w:pPr>
      <w:r>
        <w:rPr>
          <w:rFonts w:hint="eastAsia"/>
          <w:color w:val="000000"/>
          <w:szCs w:val="24"/>
        </w:rPr>
        <w:t>本文件适用于苏州市范围内新建、改建、扩建的低空飞行器垂直起降点及其配套设施的噪声控制方案、实施评估规范与运行维护工作。</w:t>
      </w:r>
    </w:p>
    <w:p>
      <w:pPr>
        <w:ind w:firstLine="420" w:firstLineChars="200"/>
        <w:rPr>
          <w:szCs w:val="21"/>
        </w:rPr>
      </w:pPr>
      <w:r>
        <w:rPr>
          <w:rFonts w:hint="eastAsia"/>
          <w:szCs w:val="21"/>
        </w:rPr>
        <w:t>本文件不适用于消防、卫生、公安、应急等政府部门的</w:t>
      </w:r>
      <w:r>
        <w:rPr>
          <w:rFonts w:hint="eastAsia"/>
        </w:rPr>
        <w:t>低空飞行器垂直起降点</w:t>
      </w:r>
      <w:r>
        <w:rPr>
          <w:rFonts w:hint="eastAsia"/>
          <w:szCs w:val="21"/>
        </w:rPr>
        <w:t>。</w:t>
      </w:r>
    </w:p>
    <w:p>
      <w:pPr>
        <w:pStyle w:val="66"/>
        <w:spacing w:before="312" w:after="312"/>
      </w:pPr>
      <w:bookmarkStart w:id="59" w:name="_Toc12052"/>
      <w:r>
        <w:rPr>
          <w:rFonts w:hint="eastAsia"/>
        </w:rPr>
        <w:t>规范性引用文件</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51"/>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51"/>
        <w:rPr>
          <w:bCs/>
        </w:rPr>
      </w:pPr>
      <w:r>
        <w:t>GB 3096-2008</w:t>
      </w:r>
      <w:r>
        <w:rPr>
          <w:rFonts w:hint="eastAsia"/>
        </w:rPr>
        <w:t xml:space="preserve">  </w:t>
      </w:r>
      <w:r>
        <w:rPr>
          <w:bCs/>
        </w:rPr>
        <w:t>声环境质量标准</w:t>
      </w:r>
    </w:p>
    <w:p>
      <w:pPr>
        <w:pStyle w:val="51"/>
      </w:pPr>
      <w:r>
        <w:rPr>
          <w:rFonts w:hint="eastAsia"/>
        </w:rPr>
        <w:t>GB/T 3947-1996  声学名词术语</w:t>
      </w:r>
    </w:p>
    <w:p>
      <w:pPr>
        <w:pStyle w:val="51"/>
      </w:pPr>
      <w:r>
        <w:t>GB 9660-</w:t>
      </w:r>
      <w:r>
        <w:rPr>
          <w:rFonts w:hint="eastAsia"/>
        </w:rPr>
        <w:t>19</w:t>
      </w:r>
      <w:r>
        <w:t>88</w:t>
      </w:r>
      <w:r>
        <w:rPr>
          <w:rFonts w:hint="eastAsia"/>
        </w:rPr>
        <w:t xml:space="preserve">  </w:t>
      </w:r>
      <w:r>
        <w:t>机场周围飞机噪声环境标准</w:t>
      </w:r>
    </w:p>
    <w:p>
      <w:pPr>
        <w:pStyle w:val="51"/>
      </w:pPr>
      <w:r>
        <w:rPr>
          <w:rFonts w:hint="eastAsia"/>
        </w:rPr>
        <w:t>GB 12523-2011  建筑施工场界噪声排放标准</w:t>
      </w:r>
    </w:p>
    <w:p>
      <w:pPr>
        <w:pStyle w:val="51"/>
      </w:pPr>
      <w:r>
        <w:rPr>
          <w:rFonts w:hint="eastAsia"/>
        </w:rPr>
        <w:t xml:space="preserve">GB </w:t>
      </w:r>
      <w:bookmarkStart w:id="60" w:name="OLE_LINK10"/>
      <w:r>
        <w:rPr>
          <w:rFonts w:hint="eastAsia"/>
        </w:rPr>
        <w:t>42590</w:t>
      </w:r>
      <w:bookmarkEnd w:id="60"/>
      <w:r>
        <w:rPr>
          <w:rFonts w:hint="eastAsia"/>
        </w:rPr>
        <w:t>-2023  民用无人驾驶航空器系统安全要求</w:t>
      </w:r>
    </w:p>
    <w:p>
      <w:pPr>
        <w:pStyle w:val="51"/>
      </w:pPr>
      <w:r>
        <w:rPr>
          <w:rFonts w:hint="eastAsia"/>
        </w:rPr>
        <w:t>GB 50300-2013  建筑工程施工质量验收统一标准</w:t>
      </w:r>
    </w:p>
    <w:p>
      <w:pPr>
        <w:pStyle w:val="51"/>
      </w:pPr>
      <w:r>
        <w:t>GB/T 51335-2018</w:t>
      </w:r>
      <w:r>
        <w:rPr>
          <w:rFonts w:hint="eastAsia"/>
        </w:rPr>
        <w:t xml:space="preserve">  </w:t>
      </w:r>
      <w:r>
        <w:t>声屏障结构技术标准</w:t>
      </w:r>
    </w:p>
    <w:p>
      <w:pPr>
        <w:pStyle w:val="51"/>
        <w:tabs>
          <w:tab w:val="center" w:pos="4677"/>
          <w:tab w:val="clear" w:pos="4201"/>
        </w:tabs>
      </w:pPr>
      <w:r>
        <w:rPr>
          <w:rFonts w:hint="eastAsia"/>
        </w:rPr>
        <w:t>GB 55038-2025  住宅项目规范</w:t>
      </w:r>
      <w:r>
        <w:rPr>
          <w:rFonts w:hint="eastAsia"/>
        </w:rPr>
        <w:tab/>
      </w:r>
    </w:p>
    <w:p>
      <w:pPr>
        <w:pStyle w:val="51"/>
      </w:pPr>
      <w:bookmarkStart w:id="61" w:name="_Hlk197938613"/>
      <w:r>
        <w:t>GBZ 2.2-2007</w:t>
      </w:r>
      <w:r>
        <w:rPr>
          <w:rFonts w:hint="eastAsia"/>
        </w:rPr>
        <w:t xml:space="preserve">  </w:t>
      </w:r>
      <w:r>
        <w:t>工作场所有害因素职业接触限值 第2部分：物理因素</w:t>
      </w:r>
    </w:p>
    <w:p>
      <w:pPr>
        <w:pStyle w:val="51"/>
      </w:pPr>
      <w:r>
        <w:t>T/GITIF 021-2024</w:t>
      </w:r>
      <w:r>
        <w:rPr>
          <w:rFonts w:hint="eastAsia"/>
        </w:rPr>
        <w:t xml:space="preserve"> </w:t>
      </w:r>
      <w:r>
        <w:rPr>
          <w:rFonts w:hint="eastAsia"/>
          <w:lang w:val="en-US" w:eastAsia="zh-CN"/>
        </w:rPr>
        <w:t xml:space="preserve"> </w:t>
      </w:r>
      <w:r>
        <w:rPr>
          <w:bCs/>
        </w:rPr>
        <w:t>中小型无人驾驶航空器垂直起降场技术要求</w:t>
      </w:r>
    </w:p>
    <w:p>
      <w:pPr>
        <w:pStyle w:val="51"/>
      </w:pPr>
      <w:r>
        <w:t>T/CCAATB 0062-2024</w:t>
      </w:r>
      <w:r>
        <w:rPr>
          <w:rFonts w:hint="eastAsia"/>
        </w:rPr>
        <w:t xml:space="preserve"> </w:t>
      </w:r>
      <w:r>
        <w:rPr>
          <w:rFonts w:hint="eastAsia"/>
          <w:lang w:val="en-US" w:eastAsia="zh-CN"/>
        </w:rPr>
        <w:t xml:space="preserve"> </w:t>
      </w:r>
      <w:r>
        <w:t>电动垂直起降航空器（eVTOL）起降场技术要求</w:t>
      </w:r>
    </w:p>
    <w:bookmarkEnd w:id="61"/>
    <w:p>
      <w:pPr>
        <w:pStyle w:val="51"/>
      </w:pPr>
      <w:r>
        <w:t>ISO 9613-</w:t>
      </w:r>
      <w:r>
        <w:rPr>
          <w:rFonts w:hint="eastAsia"/>
        </w:rPr>
        <w:t>2：</w:t>
      </w:r>
      <w:r>
        <w:t xml:space="preserve">2024 </w:t>
      </w:r>
      <w:r>
        <w:rPr>
          <w:rFonts w:hint="eastAsia"/>
        </w:rPr>
        <w:t xml:space="preserve"> </w:t>
      </w:r>
      <w:r>
        <w:t xml:space="preserve">Acoustics </w:t>
      </w:r>
      <w:r>
        <w:rPr>
          <w:rFonts w:hint="eastAsia"/>
        </w:rPr>
        <w:t>a</w:t>
      </w:r>
      <w:r>
        <w:t>ttenuation of sound</w:t>
      </w:r>
      <w:r>
        <w:rPr>
          <w:rFonts w:hint="eastAsia"/>
        </w:rPr>
        <w:t xml:space="preserve"> </w:t>
      </w:r>
      <w:r>
        <w:t>during propagation outdoors</w:t>
      </w:r>
    </w:p>
    <w:p>
      <w:pPr>
        <w:pStyle w:val="66"/>
        <w:spacing w:before="312" w:after="312"/>
        <w:rPr>
          <w:szCs w:val="21"/>
        </w:rPr>
      </w:pPr>
      <w:bookmarkStart w:id="62" w:name="_Toc87811225"/>
      <w:bookmarkStart w:id="63" w:name="_Toc19823"/>
      <w:bookmarkStart w:id="64" w:name="_Toc87811370"/>
      <w:bookmarkStart w:id="65" w:name="_Toc115339703"/>
      <w:bookmarkStart w:id="66" w:name="_Toc16728"/>
      <w:bookmarkStart w:id="67" w:name="_Toc67393171"/>
      <w:bookmarkStart w:id="68" w:name="_Toc122448158"/>
      <w:bookmarkStart w:id="69" w:name="_Toc67401899"/>
      <w:r>
        <w:rPr>
          <w:rFonts w:hint="eastAsia"/>
          <w:szCs w:val="21"/>
        </w:rPr>
        <w:t>术语和定义</w:t>
      </w:r>
      <w:bookmarkEnd w:id="62"/>
      <w:bookmarkEnd w:id="63"/>
      <w:bookmarkEnd w:id="64"/>
      <w:bookmarkEnd w:id="65"/>
      <w:bookmarkEnd w:id="66"/>
      <w:bookmarkEnd w:id="67"/>
      <w:bookmarkEnd w:id="68"/>
      <w:bookmarkEnd w:id="69"/>
    </w:p>
    <w:p>
      <w:pPr>
        <w:ind w:firstLine="420" w:firstLineChars="200"/>
        <w:rPr>
          <w:rFonts w:ascii="宋体" w:hAnsi="宋体" w:eastAsia="宋体"/>
          <w:szCs w:val="21"/>
        </w:rPr>
      </w:pPr>
      <w:r>
        <w:rPr>
          <w:rFonts w:hint="eastAsia" w:ascii="宋体" w:hAnsi="宋体" w:eastAsia="宋体"/>
          <w:color w:val="000000"/>
          <w:szCs w:val="24"/>
        </w:rPr>
        <w:t>GB/T 3947-1996</w:t>
      </w:r>
      <w:r>
        <w:rPr>
          <w:rFonts w:hint="eastAsia" w:ascii="宋体" w:hAnsi="宋体" w:eastAsia="宋体"/>
          <w:szCs w:val="21"/>
        </w:rPr>
        <w:t>界定的以及下列术语和定义适用于本文件。</w:t>
      </w:r>
    </w:p>
    <w:p>
      <w:pPr>
        <w:rPr>
          <w:rFonts w:ascii="黑体" w:hAnsi="黑体" w:eastAsia="黑体"/>
          <w:szCs w:val="21"/>
        </w:rPr>
      </w:pPr>
      <w:r>
        <w:rPr>
          <w:rFonts w:ascii="黑体" w:hAnsi="黑体" w:eastAsia="黑体"/>
          <w:szCs w:val="21"/>
        </w:rPr>
        <w:t>3.1</w:t>
      </w:r>
    </w:p>
    <w:p>
      <w:pPr>
        <w:ind w:firstLine="420" w:firstLineChars="200"/>
        <w:rPr>
          <w:rFonts w:ascii="黑体" w:hAnsi="黑体" w:eastAsia="黑体" w:cs="Times New Roman"/>
          <w:szCs w:val="21"/>
        </w:rPr>
      </w:pPr>
      <w:r>
        <w:rPr>
          <w:rFonts w:hint="eastAsia" w:ascii="Times New Roman" w:hAnsi="Times New Roman" w:eastAsia="黑体" w:cs="Times New Roman"/>
          <w:szCs w:val="21"/>
        </w:rPr>
        <w:t xml:space="preserve">低空飞行器 </w:t>
      </w:r>
      <w:r>
        <w:rPr>
          <w:rFonts w:hint="eastAsia" w:ascii="黑体" w:hAnsi="黑体" w:eastAsia="黑体" w:cs="Times New Roman"/>
          <w:szCs w:val="21"/>
        </w:rPr>
        <w:t xml:space="preserve"> low altitude aircraft</w:t>
      </w:r>
    </w:p>
    <w:p>
      <w:pPr>
        <w:ind w:firstLine="420" w:firstLineChars="200"/>
        <w:rPr>
          <w:rFonts w:ascii="宋体" w:hAnsi="宋体" w:eastAsia="宋体"/>
          <w:szCs w:val="21"/>
        </w:rPr>
      </w:pPr>
      <w:r>
        <w:rPr>
          <w:rFonts w:hint="eastAsia" w:ascii="宋体" w:hAnsi="宋体" w:eastAsia="宋体"/>
          <w:szCs w:val="21"/>
        </w:rPr>
        <w:t>指在低空范围（1000米以下）内进行飞行活动的各类飞行器，包括但不限于电动垂直起降飞行器(eVTOL)、无人机、轻型直升机等。</w:t>
      </w:r>
    </w:p>
    <w:p>
      <w:pPr>
        <w:ind w:firstLine="420" w:firstLineChars="200"/>
        <w:rPr>
          <w:rFonts w:ascii="宋体" w:hAnsi="宋体" w:eastAsia="宋体"/>
          <w:szCs w:val="21"/>
        </w:rPr>
      </w:pPr>
      <w:r>
        <w:rPr>
          <w:rFonts w:hint="eastAsia" w:ascii="宋体" w:hAnsi="宋体" w:eastAsia="宋体"/>
          <w:szCs w:val="21"/>
        </w:rPr>
        <w:t>[</w:t>
      </w:r>
      <w:bookmarkStart w:id="70" w:name="OLE_LINK16"/>
      <w:r>
        <w:rPr>
          <w:rFonts w:hint="eastAsia" w:ascii="宋体" w:hAnsi="宋体" w:eastAsia="宋体"/>
          <w:szCs w:val="21"/>
        </w:rPr>
        <w:t>来源：</w:t>
      </w:r>
      <w:r>
        <w:rPr>
          <w:rFonts w:hint="eastAsia" w:ascii="宋体" w:hAnsi="宋体" w:eastAsia="宋体"/>
          <w:bCs/>
          <w:szCs w:val="21"/>
        </w:rPr>
        <w:t>T/CCAATB 0062-2024，</w:t>
      </w:r>
      <w:r>
        <w:rPr>
          <w:rFonts w:hint="eastAsia" w:ascii="宋体" w:hAnsi="宋体" w:eastAsia="宋体"/>
          <w:szCs w:val="21"/>
        </w:rPr>
        <w:t>3.1，有修改</w:t>
      </w:r>
      <w:bookmarkEnd w:id="70"/>
      <w:r>
        <w:rPr>
          <w:rFonts w:hint="eastAsia" w:ascii="宋体" w:hAnsi="宋体" w:eastAsia="宋体"/>
          <w:szCs w:val="21"/>
        </w:rPr>
        <w:t>]</w:t>
      </w:r>
    </w:p>
    <w:p>
      <w:pPr>
        <w:rPr>
          <w:rFonts w:ascii="黑体" w:hAnsi="黑体" w:eastAsia="黑体"/>
          <w:szCs w:val="21"/>
        </w:rPr>
      </w:pPr>
      <w:r>
        <w:rPr>
          <w:rFonts w:hint="eastAsia" w:ascii="黑体" w:hAnsi="黑体" w:eastAsia="黑体"/>
          <w:szCs w:val="21"/>
        </w:rPr>
        <w:t>3</w:t>
      </w:r>
      <w:r>
        <w:rPr>
          <w:rFonts w:ascii="黑体" w:hAnsi="黑体" w:eastAsia="黑体"/>
          <w:szCs w:val="21"/>
        </w:rPr>
        <w:t>.2</w:t>
      </w:r>
    </w:p>
    <w:p>
      <w:pPr>
        <w:ind w:firstLine="420" w:firstLineChars="200"/>
        <w:rPr>
          <w:rFonts w:ascii="黑体" w:hAnsi="黑体" w:eastAsia="黑体" w:cs="Times New Roman"/>
          <w:szCs w:val="21"/>
        </w:rPr>
      </w:pPr>
      <w:r>
        <w:rPr>
          <w:rFonts w:ascii="黑体" w:hAnsi="黑体" w:eastAsia="黑体" w:cs="Times New Roman"/>
          <w:szCs w:val="21"/>
        </w:rPr>
        <w:t>低空飞行器垂直起降点  low-altitude vertical take-off and landing field</w:t>
      </w:r>
    </w:p>
    <w:p>
      <w:pPr>
        <w:ind w:firstLine="420" w:firstLineChars="200"/>
        <w:rPr>
          <w:rFonts w:ascii="宋体" w:hAnsi="宋体" w:eastAsia="宋体"/>
          <w:szCs w:val="21"/>
        </w:rPr>
      </w:pPr>
      <w:r>
        <w:rPr>
          <w:rFonts w:ascii="宋体" w:hAnsi="宋体" w:eastAsia="宋体"/>
          <w:szCs w:val="21"/>
        </w:rPr>
        <w:t>提供低空飞行器起降、维护、指挥调度及信息管理等服务的设施。</w:t>
      </w:r>
    </w:p>
    <w:p>
      <w:pPr>
        <w:ind w:firstLine="420" w:firstLineChars="200"/>
        <w:rPr>
          <w:rFonts w:ascii="宋体" w:hAnsi="宋体" w:eastAsia="宋体"/>
          <w:szCs w:val="21"/>
        </w:rPr>
      </w:pPr>
      <w:r>
        <w:rPr>
          <w:rFonts w:hint="eastAsia" w:ascii="宋体" w:hAnsi="宋体" w:eastAsia="宋体"/>
          <w:szCs w:val="21"/>
        </w:rPr>
        <w:t>[</w:t>
      </w:r>
      <w:bookmarkStart w:id="71" w:name="OLE_LINK15"/>
      <w:r>
        <w:rPr>
          <w:rFonts w:hint="eastAsia" w:ascii="宋体" w:hAnsi="宋体" w:eastAsia="宋体"/>
          <w:szCs w:val="21"/>
        </w:rPr>
        <w:t>来源：</w:t>
      </w:r>
      <w:bookmarkStart w:id="72" w:name="OLE_LINK26"/>
      <w:bookmarkStart w:id="73" w:name="OLE_LINK14"/>
      <w:r>
        <w:rPr>
          <w:rFonts w:hint="eastAsia" w:ascii="宋体" w:hAnsi="宋体" w:eastAsia="宋体"/>
          <w:szCs w:val="21"/>
        </w:rPr>
        <w:t>T/CCAATB 0062-2024</w:t>
      </w:r>
      <w:bookmarkEnd w:id="72"/>
      <w:r>
        <w:rPr>
          <w:rFonts w:hint="eastAsia" w:ascii="宋体" w:hAnsi="宋体" w:eastAsia="宋体"/>
          <w:szCs w:val="21"/>
        </w:rPr>
        <w:t>，3.2，</w:t>
      </w:r>
      <w:r>
        <w:rPr>
          <w:rFonts w:ascii="宋体" w:hAnsi="宋体" w:eastAsia="宋体"/>
          <w:szCs w:val="21"/>
        </w:rPr>
        <w:t>有修改</w:t>
      </w:r>
      <w:bookmarkEnd w:id="71"/>
      <w:bookmarkEnd w:id="73"/>
      <w:r>
        <w:rPr>
          <w:rFonts w:hint="eastAsia" w:ascii="宋体" w:hAnsi="宋体" w:eastAsia="宋体"/>
          <w:szCs w:val="21"/>
        </w:rPr>
        <w:t>]</w:t>
      </w:r>
    </w:p>
    <w:p>
      <w:pPr>
        <w:rPr>
          <w:rFonts w:ascii="黑体" w:hAnsi="黑体" w:eastAsia="黑体"/>
          <w:szCs w:val="21"/>
        </w:rPr>
      </w:pPr>
      <w:r>
        <w:rPr>
          <w:rFonts w:hint="eastAsia" w:ascii="黑体" w:hAnsi="黑体" w:eastAsia="黑体"/>
          <w:szCs w:val="21"/>
        </w:rPr>
        <w:t>3.</w:t>
      </w:r>
      <w:r>
        <w:rPr>
          <w:rFonts w:ascii="黑体" w:hAnsi="黑体" w:eastAsia="黑体"/>
          <w:szCs w:val="21"/>
        </w:rPr>
        <w:t>3</w:t>
      </w:r>
    </w:p>
    <w:p>
      <w:pPr>
        <w:ind w:firstLine="420"/>
        <w:rPr>
          <w:rFonts w:ascii="黑体" w:hAnsi="黑体" w:eastAsia="黑体" w:cs="Times New Roman"/>
          <w:szCs w:val="21"/>
        </w:rPr>
      </w:pPr>
      <w:r>
        <w:rPr>
          <w:rFonts w:hint="eastAsia" w:ascii="黑体" w:hAnsi="黑体" w:eastAsia="黑体"/>
          <w:szCs w:val="21"/>
        </w:rPr>
        <w:t xml:space="preserve">场界  </w:t>
      </w:r>
      <w:r>
        <w:rPr>
          <w:rFonts w:hint="eastAsia" w:ascii="黑体" w:hAnsi="黑体" w:eastAsia="黑体" w:cs="Times New Roman"/>
          <w:szCs w:val="21"/>
        </w:rPr>
        <w:t>f</w:t>
      </w:r>
      <w:r>
        <w:rPr>
          <w:rFonts w:ascii="黑体" w:hAnsi="黑体" w:eastAsia="黑体" w:cs="Times New Roman"/>
          <w:szCs w:val="21"/>
        </w:rPr>
        <w:t xml:space="preserve">ield </w:t>
      </w:r>
      <w:r>
        <w:rPr>
          <w:rFonts w:hint="eastAsia" w:ascii="黑体" w:hAnsi="黑体" w:eastAsia="黑体" w:cs="Times New Roman"/>
          <w:szCs w:val="21"/>
        </w:rPr>
        <w:t>b</w:t>
      </w:r>
      <w:r>
        <w:rPr>
          <w:rFonts w:ascii="黑体" w:hAnsi="黑体" w:eastAsia="黑体" w:cs="Times New Roman"/>
          <w:szCs w:val="21"/>
        </w:rPr>
        <w:t>oundary</w:t>
      </w:r>
    </w:p>
    <w:p>
      <w:pPr>
        <w:ind w:firstLine="420" w:firstLineChars="200"/>
        <w:rPr>
          <w:rFonts w:ascii="宋体" w:hAnsi="宋体" w:eastAsia="宋体"/>
          <w:szCs w:val="21"/>
        </w:rPr>
      </w:pPr>
      <w:r>
        <w:rPr>
          <w:rFonts w:hint="eastAsia" w:ascii="宋体" w:hAnsi="宋体" w:eastAsia="宋体"/>
          <w:szCs w:val="21"/>
        </w:rPr>
        <w:t>由有关主管部门批准的起降点场地边界或飞行器起降过程中实际使用的起降场地边界。</w:t>
      </w:r>
    </w:p>
    <w:p>
      <w:pPr>
        <w:ind w:firstLine="420" w:firstLineChars="200"/>
        <w:rPr>
          <w:rFonts w:ascii="宋体" w:hAnsi="宋体" w:eastAsia="宋体"/>
          <w:szCs w:val="21"/>
        </w:rPr>
      </w:pPr>
      <w:r>
        <w:rPr>
          <w:rFonts w:hint="eastAsia" w:ascii="宋体" w:hAnsi="宋体" w:eastAsia="宋体"/>
          <w:szCs w:val="21"/>
        </w:rPr>
        <w:t>[来源：GB 12523-2011，</w:t>
      </w:r>
      <w:r>
        <w:rPr>
          <w:rFonts w:ascii="宋体" w:hAnsi="宋体" w:eastAsia="宋体"/>
          <w:szCs w:val="21"/>
        </w:rPr>
        <w:t>3.6</w:t>
      </w:r>
      <w:r>
        <w:rPr>
          <w:rFonts w:hint="eastAsia" w:ascii="宋体" w:hAnsi="宋体" w:eastAsia="宋体"/>
          <w:szCs w:val="21"/>
        </w:rPr>
        <w:t>，</w:t>
      </w:r>
      <w:r>
        <w:rPr>
          <w:rFonts w:ascii="宋体" w:hAnsi="宋体" w:eastAsia="宋体"/>
          <w:szCs w:val="21"/>
        </w:rPr>
        <w:t>有修改</w:t>
      </w:r>
      <w:r>
        <w:rPr>
          <w:rFonts w:hint="eastAsia" w:ascii="宋体" w:hAnsi="宋体" w:eastAsia="宋体"/>
          <w:szCs w:val="21"/>
        </w:rPr>
        <w:t>]</w:t>
      </w:r>
    </w:p>
    <w:p>
      <w:pPr>
        <w:rPr>
          <w:rFonts w:ascii="黑体" w:hAnsi="黑体" w:eastAsia="黑体"/>
          <w:szCs w:val="21"/>
        </w:rPr>
      </w:pPr>
      <w:r>
        <w:rPr>
          <w:rFonts w:hint="eastAsia" w:ascii="黑体" w:hAnsi="黑体" w:eastAsia="黑体"/>
          <w:szCs w:val="21"/>
        </w:rPr>
        <w:t>3.4</w:t>
      </w:r>
    </w:p>
    <w:p>
      <w:pPr>
        <w:ind w:firstLine="420" w:firstLineChars="200"/>
        <w:rPr>
          <w:rFonts w:ascii="黑体" w:hAnsi="黑体" w:eastAsia="黑体" w:cs="Times New Roman"/>
          <w:szCs w:val="21"/>
        </w:rPr>
      </w:pPr>
      <w:r>
        <w:rPr>
          <w:rFonts w:ascii="黑体" w:hAnsi="黑体" w:eastAsia="黑体" w:cs="Times New Roman"/>
          <w:szCs w:val="21"/>
        </w:rPr>
        <w:t>噪声控制</w:t>
      </w:r>
      <w:r>
        <w:rPr>
          <w:rFonts w:hint="eastAsia" w:ascii="黑体" w:hAnsi="黑体" w:eastAsia="黑体" w:cs="Times New Roman"/>
          <w:szCs w:val="21"/>
        </w:rPr>
        <w:t xml:space="preserve"> </w:t>
      </w:r>
      <w:r>
        <w:rPr>
          <w:rFonts w:ascii="黑体" w:hAnsi="黑体" w:eastAsia="黑体" w:cs="Times New Roman"/>
          <w:szCs w:val="21"/>
        </w:rPr>
        <w:t xml:space="preserve"> </w:t>
      </w:r>
      <w:r>
        <w:rPr>
          <w:rFonts w:hint="eastAsia" w:ascii="黑体" w:hAnsi="黑体" w:eastAsia="黑体" w:cs="Times New Roman"/>
          <w:szCs w:val="21"/>
        </w:rPr>
        <w:t>n</w:t>
      </w:r>
      <w:r>
        <w:rPr>
          <w:rFonts w:ascii="黑体" w:hAnsi="黑体" w:eastAsia="黑体" w:cs="Times New Roman"/>
          <w:szCs w:val="21"/>
        </w:rPr>
        <w:t xml:space="preserve">oise </w:t>
      </w:r>
      <w:r>
        <w:rPr>
          <w:rFonts w:hint="eastAsia" w:ascii="黑体" w:hAnsi="黑体" w:eastAsia="黑体" w:cs="Times New Roman"/>
          <w:szCs w:val="21"/>
        </w:rPr>
        <w:t>c</w:t>
      </w:r>
      <w:r>
        <w:rPr>
          <w:rFonts w:ascii="黑体" w:hAnsi="黑体" w:eastAsia="黑体" w:cs="Times New Roman"/>
          <w:szCs w:val="21"/>
        </w:rPr>
        <w:t>ontrol</w:t>
      </w:r>
    </w:p>
    <w:p>
      <w:pPr>
        <w:ind w:firstLine="420" w:firstLineChars="200"/>
        <w:rPr>
          <w:rFonts w:ascii="宋体" w:hAnsi="宋体" w:eastAsia="宋体"/>
          <w:szCs w:val="21"/>
        </w:rPr>
      </w:pPr>
      <w:r>
        <w:rPr>
          <w:rFonts w:ascii="宋体" w:hAnsi="宋体" w:eastAsia="宋体"/>
          <w:szCs w:val="21"/>
        </w:rPr>
        <w:t>采取各种措施减少或消除噪声对环境和人体健康的不利影响的过程。</w:t>
      </w:r>
    </w:p>
    <w:p>
      <w:pPr>
        <w:rPr>
          <w:rFonts w:ascii="黑体" w:hAnsi="黑体" w:eastAsia="黑体"/>
          <w:szCs w:val="21"/>
        </w:rPr>
      </w:pPr>
      <w:r>
        <w:rPr>
          <w:rFonts w:hint="eastAsia" w:ascii="黑体" w:hAnsi="黑体" w:eastAsia="黑体"/>
          <w:szCs w:val="21"/>
        </w:rPr>
        <w:t>3.5</w:t>
      </w:r>
    </w:p>
    <w:p>
      <w:pPr>
        <w:ind w:firstLine="420" w:firstLineChars="200"/>
        <w:rPr>
          <w:rFonts w:ascii="黑体" w:hAnsi="黑体" w:eastAsia="黑体" w:cs="Times New Roman"/>
          <w:szCs w:val="21"/>
        </w:rPr>
      </w:pPr>
      <w:r>
        <w:rPr>
          <w:rFonts w:hint="eastAsia" w:ascii="黑体" w:hAnsi="黑体" w:eastAsia="黑体" w:cs="Times New Roman"/>
          <w:szCs w:val="21"/>
        </w:rPr>
        <w:t xml:space="preserve">噪声准入机制 </w:t>
      </w:r>
      <w:r>
        <w:rPr>
          <w:rFonts w:ascii="黑体" w:hAnsi="黑体" w:eastAsia="黑体" w:cs="Times New Roman"/>
          <w:szCs w:val="21"/>
        </w:rPr>
        <w:t xml:space="preserve"> </w:t>
      </w:r>
      <w:r>
        <w:rPr>
          <w:rFonts w:hint="eastAsia" w:ascii="黑体" w:hAnsi="黑体" w:eastAsia="黑体" w:cs="Times New Roman"/>
          <w:szCs w:val="21"/>
        </w:rPr>
        <w:t>noise admission mechanism</w:t>
      </w:r>
    </w:p>
    <w:p>
      <w:pPr>
        <w:ind w:firstLine="420" w:firstLineChars="200"/>
        <w:rPr>
          <w:rFonts w:ascii="宋体" w:hAnsi="宋体" w:eastAsia="宋体"/>
          <w:szCs w:val="21"/>
        </w:rPr>
      </w:pPr>
      <w:r>
        <w:rPr>
          <w:rFonts w:hint="eastAsia" w:ascii="宋体" w:hAnsi="宋体" w:eastAsia="宋体"/>
          <w:szCs w:val="21"/>
        </w:rPr>
        <w:t>为控制低空飞行器在垂直起降点产生的噪声水平，而设立的一系列噪声限制标准和要求。</w:t>
      </w:r>
    </w:p>
    <w:p>
      <w:pPr>
        <w:rPr>
          <w:rFonts w:ascii="黑体" w:hAnsi="黑体" w:eastAsia="黑体"/>
          <w:szCs w:val="21"/>
        </w:rPr>
      </w:pPr>
      <w:r>
        <w:rPr>
          <w:rFonts w:hint="eastAsia" w:ascii="黑体" w:hAnsi="黑体" w:eastAsia="黑体"/>
          <w:szCs w:val="21"/>
        </w:rPr>
        <w:t>3.6</w:t>
      </w:r>
    </w:p>
    <w:p>
      <w:pPr>
        <w:ind w:firstLine="420" w:firstLineChars="200"/>
        <w:rPr>
          <w:rFonts w:ascii="黑体" w:hAnsi="黑体" w:eastAsia="黑体" w:cs="Times New Roman"/>
          <w:szCs w:val="21"/>
        </w:rPr>
      </w:pPr>
      <w:r>
        <w:rPr>
          <w:rFonts w:hint="eastAsia" w:ascii="黑体" w:hAnsi="黑体" w:eastAsia="黑体" w:cs="Times New Roman"/>
          <w:szCs w:val="21"/>
        </w:rPr>
        <w:t xml:space="preserve">噪声航路控制 </w:t>
      </w:r>
      <w:r>
        <w:rPr>
          <w:rFonts w:ascii="黑体" w:hAnsi="黑体" w:eastAsia="黑体" w:cs="Times New Roman"/>
          <w:szCs w:val="21"/>
        </w:rPr>
        <w:t xml:space="preserve"> </w:t>
      </w:r>
      <w:r>
        <w:rPr>
          <w:rFonts w:hint="eastAsia" w:ascii="黑体" w:hAnsi="黑体" w:eastAsia="黑体" w:cs="Times New Roman"/>
          <w:szCs w:val="21"/>
        </w:rPr>
        <w:t>noise route control</w:t>
      </w:r>
    </w:p>
    <w:p>
      <w:pPr>
        <w:ind w:firstLine="420" w:firstLineChars="200"/>
        <w:rPr>
          <w:rFonts w:ascii="宋体" w:hAnsi="宋体" w:eastAsia="宋体"/>
          <w:szCs w:val="21"/>
        </w:rPr>
      </w:pPr>
      <w:r>
        <w:rPr>
          <w:rFonts w:hint="eastAsia" w:ascii="宋体" w:hAnsi="宋体" w:eastAsia="宋体"/>
          <w:szCs w:val="21"/>
        </w:rPr>
        <w:t>指对低空飞行器飞行路径进行规划和控制，以减少噪声对特定区域的影响。</w:t>
      </w:r>
    </w:p>
    <w:p>
      <w:pPr>
        <w:rPr>
          <w:rFonts w:ascii="黑体" w:hAnsi="黑体" w:eastAsia="黑体"/>
          <w:szCs w:val="21"/>
        </w:rPr>
      </w:pPr>
      <w:r>
        <w:rPr>
          <w:rFonts w:hint="eastAsia" w:ascii="黑体" w:hAnsi="黑体" w:eastAsia="黑体"/>
          <w:szCs w:val="21"/>
        </w:rPr>
        <w:t>3.7</w:t>
      </w:r>
    </w:p>
    <w:p>
      <w:pPr>
        <w:ind w:firstLine="420" w:firstLineChars="200"/>
        <w:rPr>
          <w:rFonts w:ascii="黑体" w:hAnsi="黑体" w:eastAsia="黑体" w:cs="Times New Roman"/>
          <w:szCs w:val="21"/>
        </w:rPr>
      </w:pPr>
      <w:r>
        <w:rPr>
          <w:rFonts w:hint="eastAsia" w:ascii="黑体" w:hAnsi="黑体" w:eastAsia="黑体" w:cs="Times New Roman"/>
          <w:szCs w:val="21"/>
        </w:rPr>
        <w:t>声屏障  noise barrier</w:t>
      </w:r>
    </w:p>
    <w:p>
      <w:pPr>
        <w:ind w:firstLine="420" w:firstLineChars="200"/>
        <w:rPr>
          <w:rFonts w:ascii="宋体" w:hAnsi="宋体" w:eastAsia="宋体"/>
          <w:szCs w:val="21"/>
        </w:rPr>
      </w:pPr>
      <w:r>
        <w:rPr>
          <w:rFonts w:hint="eastAsia" w:ascii="宋体" w:hAnsi="宋体" w:eastAsia="宋体"/>
          <w:szCs w:val="21"/>
        </w:rPr>
        <w:t>用于减少噪声传播的物理结构，通过设计和实施声屏障来降低低空飞行器产生的噪声对周围环境的影响。</w:t>
      </w:r>
    </w:p>
    <w:p>
      <w:pPr>
        <w:ind w:firstLine="420" w:firstLineChars="200"/>
        <w:rPr>
          <w:rFonts w:ascii="宋体" w:hAnsi="宋体" w:eastAsia="宋体"/>
          <w:szCs w:val="21"/>
        </w:rPr>
      </w:pPr>
      <w:r>
        <w:rPr>
          <w:rFonts w:hint="eastAsia" w:ascii="宋体" w:hAnsi="宋体" w:eastAsia="宋体"/>
          <w:szCs w:val="21"/>
        </w:rPr>
        <w:t>[来源：</w:t>
      </w:r>
      <w:r>
        <w:rPr>
          <w:rFonts w:ascii="宋体" w:hAnsi="宋体" w:eastAsia="宋体"/>
          <w:szCs w:val="21"/>
        </w:rPr>
        <w:t>GB/T 51335-2018</w:t>
      </w:r>
      <w:r>
        <w:rPr>
          <w:rFonts w:hint="eastAsia" w:ascii="宋体" w:hAnsi="宋体" w:eastAsia="宋体"/>
          <w:szCs w:val="21"/>
        </w:rPr>
        <w:t>，3.</w:t>
      </w:r>
      <w:r>
        <w:rPr>
          <w:rFonts w:ascii="宋体" w:hAnsi="宋体" w:eastAsia="宋体"/>
          <w:szCs w:val="21"/>
        </w:rPr>
        <w:t>1，有修改</w:t>
      </w:r>
      <w:r>
        <w:rPr>
          <w:rFonts w:hint="eastAsia" w:ascii="宋体" w:hAnsi="宋体" w:eastAsia="宋体"/>
          <w:szCs w:val="21"/>
        </w:rPr>
        <w:t>]</w:t>
      </w:r>
    </w:p>
    <w:p>
      <w:pPr>
        <w:rPr>
          <w:rFonts w:ascii="黑体" w:hAnsi="黑体" w:eastAsia="黑体"/>
          <w:szCs w:val="21"/>
        </w:rPr>
      </w:pPr>
      <w:r>
        <w:rPr>
          <w:rFonts w:hint="eastAsia" w:ascii="黑体" w:hAnsi="黑体" w:eastAsia="黑体"/>
          <w:szCs w:val="21"/>
        </w:rPr>
        <w:t>3</w:t>
      </w:r>
      <w:r>
        <w:rPr>
          <w:rFonts w:ascii="黑体" w:hAnsi="黑体" w:eastAsia="黑体"/>
          <w:szCs w:val="21"/>
        </w:rPr>
        <w:t>.</w:t>
      </w:r>
      <w:r>
        <w:rPr>
          <w:rFonts w:hint="eastAsia" w:ascii="黑体" w:hAnsi="黑体" w:eastAsia="黑体"/>
          <w:szCs w:val="21"/>
        </w:rPr>
        <w:t>8</w:t>
      </w:r>
    </w:p>
    <w:p>
      <w:pPr>
        <w:ind w:firstLine="420" w:firstLineChars="200"/>
        <w:rPr>
          <w:rFonts w:ascii="黑体" w:hAnsi="黑体" w:eastAsia="黑体" w:cs="Times New Roman"/>
          <w:szCs w:val="21"/>
        </w:rPr>
      </w:pPr>
      <w:r>
        <w:rPr>
          <w:rFonts w:hint="eastAsia" w:ascii="黑体" w:hAnsi="黑体" w:eastAsia="黑体" w:cs="Times New Roman"/>
          <w:szCs w:val="21"/>
        </w:rPr>
        <w:t xml:space="preserve">声功率级 </w:t>
      </w:r>
      <w:r>
        <w:rPr>
          <w:rFonts w:ascii="黑体" w:hAnsi="黑体" w:eastAsia="黑体" w:cs="Times New Roman"/>
          <w:szCs w:val="21"/>
        </w:rPr>
        <w:t xml:space="preserve"> </w:t>
      </w:r>
      <w:r>
        <w:rPr>
          <w:rFonts w:hint="eastAsia" w:ascii="黑体" w:hAnsi="黑体" w:eastAsia="黑体" w:cs="Times New Roman"/>
          <w:szCs w:val="21"/>
        </w:rPr>
        <w:t>sound power level</w:t>
      </w:r>
    </w:p>
    <w:p>
      <w:pPr>
        <w:ind w:firstLine="420" w:firstLineChars="200"/>
        <w:rPr>
          <w:rFonts w:ascii="宋体" w:hAnsi="宋体" w:eastAsia="宋体"/>
          <w:szCs w:val="21"/>
        </w:rPr>
      </w:pPr>
      <w:r>
        <w:rPr>
          <w:rFonts w:hint="eastAsia" w:ascii="宋体" w:hAnsi="宋体" w:eastAsia="宋体"/>
          <w:szCs w:val="21"/>
        </w:rPr>
        <w:t>声源在单位时间内向外辐射的声能的量度，用分贝（dB）表示，是衡量声源声辐射能力的物理量。</w:t>
      </w:r>
    </w:p>
    <w:p>
      <w:pPr>
        <w:ind w:firstLine="420" w:firstLineChars="200"/>
        <w:rPr>
          <w:rFonts w:ascii="宋体" w:hAnsi="宋体" w:eastAsia="宋体"/>
          <w:szCs w:val="21"/>
        </w:rPr>
      </w:pPr>
      <w:r>
        <w:rPr>
          <w:rFonts w:hint="eastAsia" w:ascii="宋体" w:hAnsi="宋体" w:eastAsia="宋体"/>
          <w:szCs w:val="21"/>
        </w:rPr>
        <w:t>[来源：GB/T 3947-1996，2.49]</w:t>
      </w:r>
    </w:p>
    <w:p>
      <w:pPr>
        <w:rPr>
          <w:rFonts w:ascii="黑体" w:hAnsi="黑体" w:eastAsia="黑体"/>
          <w:szCs w:val="21"/>
        </w:rPr>
      </w:pPr>
      <w:r>
        <w:rPr>
          <w:rFonts w:hint="eastAsia" w:ascii="黑体" w:hAnsi="黑体" w:eastAsia="黑体"/>
          <w:szCs w:val="21"/>
        </w:rPr>
        <w:t>3.9</w:t>
      </w:r>
    </w:p>
    <w:p>
      <w:pPr>
        <w:ind w:firstLine="420" w:firstLineChars="200"/>
        <w:rPr>
          <w:rFonts w:ascii="黑体" w:hAnsi="黑体" w:eastAsia="黑体" w:cs="Times New Roman"/>
          <w:szCs w:val="21"/>
        </w:rPr>
      </w:pPr>
      <w:r>
        <w:rPr>
          <w:rFonts w:hint="eastAsia" w:ascii="黑体" w:hAnsi="黑体" w:eastAsia="黑体" w:cs="Times New Roman"/>
          <w:szCs w:val="21"/>
        </w:rPr>
        <w:t>声敏感区  noise sensitive area</w:t>
      </w:r>
    </w:p>
    <w:p>
      <w:pPr>
        <w:ind w:firstLine="420" w:firstLineChars="200"/>
        <w:rPr>
          <w:rFonts w:ascii="宋体" w:hAnsi="宋体" w:eastAsia="宋体"/>
          <w:szCs w:val="21"/>
        </w:rPr>
      </w:pPr>
      <w:r>
        <w:rPr>
          <w:rFonts w:hint="eastAsia" w:ascii="宋体" w:hAnsi="宋体" w:eastAsia="宋体"/>
          <w:szCs w:val="21"/>
        </w:rPr>
        <w:t>声敏感区被定义为需要保持安静的建筑物集中的区域，具体包括医院、学校、机关、科研单位、住宅等。这些区域对噪声较为敏感，因此需要特别的噪声控制措施来保护居民的生活质量和健康。</w:t>
      </w:r>
    </w:p>
    <w:p>
      <w:pPr>
        <w:ind w:firstLine="420" w:firstLineChars="200"/>
        <w:rPr>
          <w:rFonts w:ascii="宋体" w:hAnsi="宋体" w:eastAsia="宋体"/>
          <w:szCs w:val="21"/>
        </w:rPr>
      </w:pPr>
      <w:r>
        <w:rPr>
          <w:rFonts w:hint="eastAsia" w:ascii="宋体" w:hAnsi="宋体" w:eastAsia="宋体"/>
          <w:szCs w:val="21"/>
        </w:rPr>
        <w:t>[来源：</w:t>
      </w:r>
      <w:r>
        <w:rPr>
          <w:rFonts w:ascii="宋体" w:hAnsi="宋体" w:eastAsia="宋体"/>
          <w:szCs w:val="21"/>
        </w:rPr>
        <w:t>GB 3096-2008</w:t>
      </w:r>
      <w:r>
        <w:rPr>
          <w:rFonts w:hint="eastAsia" w:ascii="宋体" w:hAnsi="宋体" w:eastAsia="宋体"/>
          <w:szCs w:val="21"/>
        </w:rPr>
        <w:t>，3.</w:t>
      </w:r>
      <w:r>
        <w:rPr>
          <w:rFonts w:ascii="宋体" w:hAnsi="宋体" w:eastAsia="宋体"/>
          <w:szCs w:val="21"/>
        </w:rPr>
        <w:t>1</w:t>
      </w:r>
      <w:r>
        <w:rPr>
          <w:rFonts w:hint="eastAsia" w:ascii="宋体" w:hAnsi="宋体" w:eastAsia="宋体"/>
          <w:szCs w:val="21"/>
        </w:rPr>
        <w:t>0，有修改]</w:t>
      </w:r>
    </w:p>
    <w:p>
      <w:pPr>
        <w:rPr>
          <w:rFonts w:ascii="黑体" w:hAnsi="黑体" w:eastAsia="黑体"/>
          <w:szCs w:val="21"/>
        </w:rPr>
      </w:pPr>
      <w:r>
        <w:rPr>
          <w:rFonts w:hint="eastAsia" w:ascii="黑体" w:hAnsi="黑体" w:eastAsia="黑体"/>
          <w:szCs w:val="21"/>
        </w:rPr>
        <w:t>3.10</w:t>
      </w:r>
    </w:p>
    <w:p>
      <w:pPr>
        <w:ind w:firstLine="420" w:firstLineChars="200"/>
        <w:rPr>
          <w:rFonts w:ascii="黑体" w:hAnsi="黑体" w:eastAsia="黑体" w:cs="Times New Roman"/>
          <w:color w:val="auto"/>
          <w:szCs w:val="21"/>
        </w:rPr>
      </w:pPr>
      <w:r>
        <w:rPr>
          <w:rFonts w:hint="eastAsia" w:ascii="黑体" w:hAnsi="黑体" w:eastAsia="黑体" w:cs="Times New Roman"/>
          <w:color w:val="auto"/>
          <w:szCs w:val="21"/>
        </w:rPr>
        <w:t>昼间  day-time、夜间 night-time</w:t>
      </w:r>
    </w:p>
    <w:p>
      <w:pPr>
        <w:ind w:firstLine="420"/>
        <w:rPr>
          <w:rFonts w:ascii="宋体" w:hAnsi="宋体" w:eastAsia="宋体"/>
          <w:color w:val="auto"/>
          <w:szCs w:val="21"/>
        </w:rPr>
      </w:pPr>
      <w:r>
        <w:rPr>
          <w:rFonts w:hint="eastAsia" w:ascii="宋体" w:hAnsi="宋体" w:eastAsia="宋体"/>
          <w:color w:val="auto"/>
          <w:szCs w:val="21"/>
        </w:rPr>
        <w:t>根据《中华人民共和国环境噪声污染防治法》，“昼间”是指6:00至22:00之间的时段，“夜间”是指22:00至次日6:00之间的时段。</w:t>
      </w:r>
    </w:p>
    <w:p>
      <w:pPr>
        <w:ind w:firstLine="420" w:firstLineChars="200"/>
        <w:rPr>
          <w:rFonts w:ascii="宋体" w:hAnsi="宋体" w:eastAsia="宋体"/>
          <w:color w:val="auto"/>
          <w:szCs w:val="21"/>
        </w:rPr>
      </w:pPr>
      <w:r>
        <w:rPr>
          <w:rFonts w:hint="eastAsia" w:ascii="宋体" w:hAnsi="宋体" w:eastAsia="宋体"/>
          <w:color w:val="auto"/>
          <w:szCs w:val="21"/>
        </w:rPr>
        <w:t>[来源：</w:t>
      </w:r>
      <w:r>
        <w:rPr>
          <w:rFonts w:ascii="宋体" w:hAnsi="宋体" w:eastAsia="宋体"/>
          <w:color w:val="auto"/>
          <w:szCs w:val="21"/>
        </w:rPr>
        <w:t>GB 3096-2008</w:t>
      </w:r>
      <w:r>
        <w:rPr>
          <w:rFonts w:hint="eastAsia" w:ascii="宋体" w:hAnsi="宋体" w:eastAsia="宋体"/>
          <w:color w:val="auto"/>
          <w:szCs w:val="21"/>
        </w:rPr>
        <w:t>，3.4]</w:t>
      </w:r>
    </w:p>
    <w:p>
      <w:pPr>
        <w:rPr>
          <w:rFonts w:ascii="黑体" w:hAnsi="黑体" w:eastAsia="黑体"/>
          <w:szCs w:val="21"/>
        </w:rPr>
      </w:pPr>
      <w:r>
        <w:rPr>
          <w:rFonts w:hint="eastAsia" w:ascii="黑体" w:hAnsi="黑体" w:eastAsia="黑体"/>
          <w:szCs w:val="21"/>
        </w:rPr>
        <w:t>3.11</w:t>
      </w:r>
    </w:p>
    <w:p>
      <w:pPr>
        <w:ind w:firstLine="420" w:firstLineChars="200"/>
        <w:rPr>
          <w:rFonts w:ascii="黑体" w:hAnsi="黑体" w:eastAsia="黑体" w:cs="Times New Roman"/>
          <w:szCs w:val="21"/>
        </w:rPr>
      </w:pPr>
      <w:r>
        <w:rPr>
          <w:rFonts w:hint="eastAsia" w:ascii="黑体" w:hAnsi="黑体" w:eastAsia="黑体" w:cs="Times New Roman"/>
          <w:szCs w:val="21"/>
        </w:rPr>
        <w:t>最大噪声级  maximum sound level</w:t>
      </w:r>
    </w:p>
    <w:p>
      <w:pPr>
        <w:ind w:firstLine="420" w:firstLineChars="200"/>
        <w:rPr>
          <w:rFonts w:ascii="宋体" w:hAnsi="宋体" w:eastAsia="宋体"/>
          <w:szCs w:val="21"/>
        </w:rPr>
      </w:pPr>
      <w:r>
        <w:rPr>
          <w:rFonts w:hint="eastAsia" w:ascii="宋体" w:hAnsi="宋体" w:eastAsia="宋体"/>
          <w:szCs w:val="21"/>
        </w:rPr>
        <w:t>在规定的测量时间段内或对某一独立噪声事件，测得的A声级最大值，用L</w:t>
      </w:r>
      <w:r>
        <w:rPr>
          <w:rFonts w:hint="eastAsia" w:ascii="宋体" w:hAnsi="宋体" w:eastAsia="宋体"/>
          <w:szCs w:val="21"/>
          <w:vertAlign w:val="subscript"/>
        </w:rPr>
        <w:t>max</w:t>
      </w:r>
      <w:r>
        <w:rPr>
          <w:rFonts w:hint="eastAsia" w:ascii="宋体" w:hAnsi="宋体" w:eastAsia="宋体"/>
          <w:szCs w:val="21"/>
        </w:rPr>
        <w:t>表示，单位为dB(A)。</w:t>
      </w:r>
    </w:p>
    <w:p>
      <w:pPr>
        <w:ind w:firstLine="420" w:firstLineChars="200"/>
        <w:rPr>
          <w:rFonts w:ascii="宋体" w:hAnsi="宋体" w:eastAsia="宋体"/>
          <w:szCs w:val="21"/>
        </w:rPr>
      </w:pPr>
      <w:r>
        <w:rPr>
          <w:rFonts w:hint="eastAsia" w:ascii="宋体" w:hAnsi="宋体" w:eastAsia="宋体"/>
          <w:szCs w:val="21"/>
        </w:rPr>
        <w:t>[来源：</w:t>
      </w:r>
      <w:r>
        <w:rPr>
          <w:rFonts w:ascii="宋体" w:hAnsi="宋体" w:eastAsia="宋体"/>
          <w:szCs w:val="21"/>
        </w:rPr>
        <w:t>GB 3096-2008</w:t>
      </w:r>
      <w:r>
        <w:rPr>
          <w:rFonts w:hint="eastAsia" w:ascii="宋体" w:hAnsi="宋体" w:eastAsia="宋体"/>
          <w:szCs w:val="21"/>
        </w:rPr>
        <w:t>，3.5，有修改]</w:t>
      </w:r>
    </w:p>
    <w:p>
      <w:pPr>
        <w:rPr>
          <w:rFonts w:ascii="黑体" w:hAnsi="黑体" w:eastAsia="黑体"/>
          <w:szCs w:val="21"/>
        </w:rPr>
      </w:pPr>
      <w:r>
        <w:rPr>
          <w:rFonts w:hint="eastAsia" w:ascii="黑体" w:hAnsi="黑体" w:eastAsia="黑体"/>
          <w:szCs w:val="21"/>
        </w:rPr>
        <w:t>3.12</w:t>
      </w:r>
    </w:p>
    <w:p>
      <w:pPr>
        <w:ind w:firstLine="420" w:firstLineChars="200"/>
        <w:rPr>
          <w:rFonts w:ascii="黑体" w:hAnsi="黑体" w:eastAsia="黑体" w:cs="Times New Roman"/>
          <w:szCs w:val="21"/>
        </w:rPr>
      </w:pPr>
      <w:r>
        <w:rPr>
          <w:rFonts w:ascii="黑体" w:hAnsi="黑体" w:eastAsia="黑体" w:cs="Times New Roman"/>
          <w:szCs w:val="21"/>
        </w:rPr>
        <w:t>等效连续</w:t>
      </w:r>
      <w:r>
        <w:rPr>
          <w:rFonts w:hint="eastAsia" w:ascii="黑体" w:hAnsi="黑体" w:eastAsia="黑体" w:cs="Times New Roman"/>
          <w:szCs w:val="21"/>
        </w:rPr>
        <w:t>A</w:t>
      </w:r>
      <w:r>
        <w:rPr>
          <w:rFonts w:ascii="黑体" w:hAnsi="黑体" w:eastAsia="黑体" w:cs="Times New Roman"/>
          <w:szCs w:val="21"/>
        </w:rPr>
        <w:t>声级</w:t>
      </w:r>
      <w:r>
        <w:rPr>
          <w:rFonts w:hint="eastAsia" w:ascii="黑体" w:hAnsi="黑体" w:eastAsia="黑体" w:cs="Times New Roman"/>
          <w:szCs w:val="21"/>
        </w:rPr>
        <w:t xml:space="preserve"> </w:t>
      </w:r>
      <w:r>
        <w:rPr>
          <w:rFonts w:ascii="黑体" w:hAnsi="黑体" w:eastAsia="黑体" w:cs="Times New Roman"/>
          <w:szCs w:val="21"/>
        </w:rPr>
        <w:t xml:space="preserve"> equivalent continuous A-weighted sound pressure level</w:t>
      </w:r>
    </w:p>
    <w:p>
      <w:pPr>
        <w:ind w:firstLine="420" w:firstLineChars="200"/>
        <w:rPr>
          <w:rFonts w:ascii="宋体" w:hAnsi="宋体" w:eastAsia="宋体"/>
          <w:szCs w:val="21"/>
        </w:rPr>
      </w:pPr>
      <w:r>
        <w:rPr>
          <w:rFonts w:ascii="宋体" w:hAnsi="宋体" w:eastAsia="宋体"/>
          <w:szCs w:val="21"/>
        </w:rPr>
        <w:t>简称为等效声级，指在规定测量时间</w:t>
      </w:r>
      <w:r>
        <w:rPr>
          <w:rFonts w:hint="eastAsia" w:ascii="宋体" w:hAnsi="宋体" w:eastAsia="宋体"/>
          <w:szCs w:val="21"/>
        </w:rPr>
        <w:t>T</w:t>
      </w:r>
      <w:r>
        <w:rPr>
          <w:rFonts w:ascii="宋体" w:hAnsi="宋体" w:eastAsia="宋体"/>
          <w:szCs w:val="21"/>
        </w:rPr>
        <w:t>内</w:t>
      </w:r>
      <w:r>
        <w:rPr>
          <w:rFonts w:hint="eastAsia" w:ascii="宋体" w:hAnsi="宋体" w:eastAsia="宋体"/>
          <w:szCs w:val="21"/>
        </w:rPr>
        <w:t>A</w:t>
      </w:r>
      <w:r>
        <w:rPr>
          <w:rFonts w:ascii="宋体" w:hAnsi="宋体" w:eastAsia="宋体"/>
          <w:szCs w:val="21"/>
        </w:rPr>
        <w:t>声级的能量平均值。除特别指明外，本标准中噪声限值皆为等效声级。根据定义，等效声级表示为：</w:t>
      </w:r>
    </w:p>
    <w:p>
      <w:pPr>
        <w:ind w:firstLine="420" w:firstLineChars="200"/>
        <w:jc w:val="right"/>
        <w:rPr>
          <w:iCs/>
          <w:szCs w:val="21"/>
        </w:rPr>
      </w:pPr>
      <m:oMath>
        <m:sSub>
          <m:sSubPr>
            <m:ctrlPr>
              <w:rPr>
                <w:rFonts w:ascii="Cambria Math" w:hAnsi="Cambria Math"/>
                <w:iCs/>
                <w:szCs w:val="21"/>
              </w:rPr>
            </m:ctrlPr>
          </m:sSubPr>
          <m:e>
            <m:r>
              <m:rPr>
                <m:sty m:val="p"/>
              </m:rPr>
              <w:rPr>
                <w:rFonts w:ascii="Cambria Math" w:hAnsi="Cambria Math"/>
                <w:szCs w:val="21"/>
              </w:rPr>
              <m:t>L</m:t>
            </m:r>
            <m:ctrlPr>
              <w:rPr>
                <w:rFonts w:ascii="Cambria Math" w:hAnsi="Cambria Math"/>
                <w:iCs/>
                <w:szCs w:val="21"/>
              </w:rPr>
            </m:ctrlPr>
          </m:e>
          <m:sub>
            <m:r>
              <m:rPr>
                <m:sty m:val="p"/>
              </m:rPr>
              <w:rPr>
                <w:rFonts w:ascii="Cambria Math" w:hAnsi="Cambria Math"/>
                <w:szCs w:val="21"/>
              </w:rPr>
              <m:t>eq</m:t>
            </m:r>
            <m:ctrlPr>
              <w:rPr>
                <w:rFonts w:ascii="Cambria Math" w:hAnsi="Cambria Math"/>
                <w:iCs/>
                <w:szCs w:val="21"/>
              </w:rPr>
            </m:ctrlPr>
          </m:sub>
        </m:sSub>
        <m:r>
          <m:rPr>
            <m:sty m:val="p"/>
          </m:rPr>
          <w:rPr>
            <w:rFonts w:ascii="Cambria Math" w:hAnsi="Cambria Math"/>
            <w:szCs w:val="21"/>
          </w:rPr>
          <m:t>=10lg</m:t>
        </m:r>
        <m:d>
          <m:dPr>
            <m:ctrlPr>
              <w:rPr>
                <w:rFonts w:ascii="Cambria Math" w:hAnsi="Cambria Math"/>
                <w:iCs/>
                <w:szCs w:val="21"/>
              </w:rPr>
            </m:ctrlPr>
          </m:dPr>
          <m:e>
            <m:f>
              <m:fPr>
                <m:ctrlPr>
                  <w:rPr>
                    <w:rFonts w:ascii="Cambria Math" w:hAnsi="Cambria Math"/>
                    <w:iCs/>
                    <w:szCs w:val="21"/>
                  </w:rPr>
                </m:ctrlPr>
              </m:fPr>
              <m:num>
                <m:r>
                  <m:rPr>
                    <m:sty m:val="p"/>
                  </m:rPr>
                  <w:rPr>
                    <w:rFonts w:ascii="Cambria Math" w:hAnsi="Cambria Math"/>
                    <w:szCs w:val="21"/>
                  </w:rPr>
                  <m:t>1</m:t>
                </m:r>
                <m:ctrlPr>
                  <w:rPr>
                    <w:rFonts w:ascii="Cambria Math" w:hAnsi="Cambria Math"/>
                    <w:iCs/>
                    <w:szCs w:val="21"/>
                  </w:rPr>
                </m:ctrlPr>
              </m:num>
              <m:den>
                <m:r>
                  <m:rPr>
                    <m:sty m:val="p"/>
                  </m:rPr>
                  <w:rPr>
                    <w:rFonts w:ascii="Cambria Math" w:hAnsi="Cambria Math"/>
                    <w:szCs w:val="21"/>
                  </w:rPr>
                  <m:t>T</m:t>
                </m:r>
                <m:ctrlPr>
                  <w:rPr>
                    <w:rFonts w:ascii="Cambria Math" w:hAnsi="Cambria Math"/>
                    <w:iCs/>
                    <w:szCs w:val="21"/>
                  </w:rPr>
                </m:ctrlPr>
              </m:den>
            </m:f>
            <m:nary>
              <m:naryPr>
                <m:limLoc m:val="subSup"/>
                <m:ctrlPr>
                  <w:rPr>
                    <w:rFonts w:ascii="Cambria Math" w:hAnsi="Cambria Math"/>
                    <w:iCs/>
                    <w:szCs w:val="21"/>
                  </w:rPr>
                </m:ctrlPr>
              </m:naryPr>
              <m:sub>
                <m:r>
                  <m:rPr>
                    <m:sty m:val="p"/>
                  </m:rPr>
                  <w:rPr>
                    <w:rFonts w:ascii="Cambria Math" w:hAnsi="Cambria Math"/>
                    <w:szCs w:val="21"/>
                  </w:rPr>
                  <m:t>0</m:t>
                </m:r>
                <m:ctrlPr>
                  <w:rPr>
                    <w:rFonts w:ascii="Cambria Math" w:hAnsi="Cambria Math"/>
                    <w:iCs/>
                    <w:szCs w:val="21"/>
                  </w:rPr>
                </m:ctrlPr>
              </m:sub>
              <m:sup>
                <m:r>
                  <m:rPr>
                    <m:sty m:val="p"/>
                  </m:rPr>
                  <w:rPr>
                    <w:rFonts w:ascii="Cambria Math" w:hAnsi="Cambria Math"/>
                    <w:szCs w:val="21"/>
                  </w:rPr>
                  <m:t>T</m:t>
                </m:r>
                <m:ctrlPr>
                  <w:rPr>
                    <w:rFonts w:ascii="Cambria Math" w:hAnsi="Cambria Math"/>
                    <w:iCs/>
                    <w:szCs w:val="21"/>
                  </w:rPr>
                </m:ctrlPr>
              </m:sup>
              <m:e>
                <m:sSup>
                  <m:sSupPr>
                    <m:ctrlPr>
                      <w:rPr>
                        <w:rFonts w:ascii="Cambria Math" w:hAnsi="Cambria Math"/>
                        <w:iCs/>
                        <w:szCs w:val="21"/>
                      </w:rPr>
                    </m:ctrlPr>
                  </m:sSupPr>
                  <m:e>
                    <m:r>
                      <m:rPr>
                        <m:sty m:val="p"/>
                      </m:rPr>
                      <w:rPr>
                        <w:rFonts w:ascii="Cambria Math" w:hAnsi="Cambria Math"/>
                        <w:szCs w:val="21"/>
                      </w:rPr>
                      <m:t>10</m:t>
                    </m:r>
                    <m:ctrlPr>
                      <w:rPr>
                        <w:rFonts w:ascii="Cambria Math" w:hAnsi="Cambria Math"/>
                        <w:iCs/>
                        <w:szCs w:val="21"/>
                      </w:rPr>
                    </m:ctrlPr>
                  </m:e>
                  <m:sup>
                    <m:r>
                      <m:rPr>
                        <m:sty m:val="p"/>
                      </m:rPr>
                      <w:rPr>
                        <w:rFonts w:ascii="Cambria Math" w:hAnsi="Cambria Math"/>
                        <w:szCs w:val="21"/>
                      </w:rPr>
                      <m:t>0.1∙</m:t>
                    </m:r>
                    <m:sSub>
                      <m:sSubPr>
                        <m:ctrlPr>
                          <w:rPr>
                            <w:rFonts w:ascii="Cambria Math" w:hAnsi="Cambria Math"/>
                            <w:iCs/>
                            <w:szCs w:val="21"/>
                          </w:rPr>
                        </m:ctrlPr>
                      </m:sSubPr>
                      <m:e>
                        <m:r>
                          <m:rPr>
                            <m:sty m:val="p"/>
                          </m:rPr>
                          <w:rPr>
                            <w:rFonts w:ascii="Cambria Math" w:hAnsi="Cambria Math"/>
                            <w:szCs w:val="21"/>
                          </w:rPr>
                          <m:t>L</m:t>
                        </m:r>
                        <m:ctrlPr>
                          <w:rPr>
                            <w:rFonts w:ascii="Cambria Math" w:hAnsi="Cambria Math"/>
                            <w:iCs/>
                            <w:szCs w:val="21"/>
                          </w:rPr>
                        </m:ctrlPr>
                      </m:e>
                      <m:sub>
                        <m:r>
                          <m:rPr>
                            <m:sty m:val="p"/>
                          </m:rPr>
                          <w:rPr>
                            <w:rFonts w:ascii="Cambria Math" w:hAnsi="Cambria Math"/>
                            <w:szCs w:val="21"/>
                          </w:rPr>
                          <m:t>A</m:t>
                        </m:r>
                        <m:ctrlPr>
                          <w:rPr>
                            <w:rFonts w:ascii="Cambria Math" w:hAnsi="Cambria Math"/>
                            <w:iCs/>
                            <w:szCs w:val="21"/>
                          </w:rPr>
                        </m:ctrlPr>
                      </m:sub>
                    </m:sSub>
                    <m:ctrlPr>
                      <w:rPr>
                        <w:rFonts w:ascii="Cambria Math" w:hAnsi="Cambria Math"/>
                        <w:iCs/>
                        <w:szCs w:val="21"/>
                      </w:rPr>
                    </m:ctrlPr>
                  </m:sup>
                </m:sSup>
                <m:r>
                  <m:rPr>
                    <m:sty m:val="p"/>
                  </m:rPr>
                  <w:rPr>
                    <w:rFonts w:ascii="Cambria Math" w:hAnsi="Cambria Math"/>
                    <w:szCs w:val="21"/>
                  </w:rPr>
                  <m:t>dt</m:t>
                </m:r>
                <m:ctrlPr>
                  <w:rPr>
                    <w:rFonts w:ascii="Cambria Math" w:hAnsi="Cambria Math"/>
                    <w:iCs/>
                    <w:szCs w:val="21"/>
                  </w:rPr>
                </m:ctrlPr>
              </m:e>
            </m:nary>
            <m:ctrlPr>
              <w:rPr>
                <w:rFonts w:ascii="Cambria Math" w:hAnsi="Cambria Math"/>
                <w:iCs/>
                <w:szCs w:val="21"/>
              </w:rPr>
            </m:ctrlPr>
          </m:e>
        </m:d>
      </m:oMath>
      <w:bookmarkStart w:id="74" w:name="OLE_LINK23"/>
      <w:r>
        <w:rPr>
          <w:rFonts w:hint="eastAsia"/>
          <w:iCs/>
          <w:szCs w:val="21"/>
        </w:rPr>
        <w:t>…………………………………………</w:t>
      </w:r>
      <w:r>
        <w:rPr>
          <w:rFonts w:hint="eastAsia" w:asciiTheme="minorEastAsia" w:hAnsiTheme="minorEastAsia" w:eastAsiaTheme="minorEastAsia" w:cstheme="minorEastAsia"/>
          <w:iCs/>
          <w:szCs w:val="21"/>
        </w:rPr>
        <w:t>（1）</w:t>
      </w:r>
    </w:p>
    <w:bookmarkEnd w:id="74"/>
    <w:p>
      <w:pPr>
        <w:ind w:firstLine="420" w:firstLineChars="200"/>
        <w:rPr>
          <w:szCs w:val="21"/>
        </w:rPr>
      </w:pPr>
      <w:r>
        <w:rPr>
          <w:szCs w:val="21"/>
        </w:rPr>
        <w:t>式中</w:t>
      </w:r>
      <w:r>
        <w:rPr>
          <w:rFonts w:hint="eastAsia"/>
          <w:szCs w:val="21"/>
        </w:rPr>
        <w:t>:</w:t>
      </w:r>
    </w:p>
    <w:p>
      <w:pPr>
        <w:ind w:firstLine="420" w:firstLineChars="200"/>
        <w:rPr>
          <w:szCs w:val="21"/>
        </w:rPr>
      </w:pPr>
      <w:r>
        <w:rPr>
          <w:rFonts w:hint="eastAsia"/>
          <w:szCs w:val="21"/>
        </w:rPr>
        <w:t>L</w:t>
      </w:r>
      <w:r>
        <w:rPr>
          <w:rFonts w:hint="eastAsia"/>
          <w:szCs w:val="21"/>
          <w:vertAlign w:val="subscript"/>
        </w:rPr>
        <w:t>A</w:t>
      </w:r>
      <w:r>
        <w:rPr>
          <w:szCs w:val="21"/>
        </w:rPr>
        <w:t>—</w:t>
      </w:r>
      <w:r>
        <w:rPr>
          <w:rFonts w:hint="eastAsia"/>
          <w:szCs w:val="21"/>
        </w:rPr>
        <w:t>t</w:t>
      </w:r>
      <w:r>
        <w:rPr>
          <w:szCs w:val="21"/>
        </w:rPr>
        <w:t>时刻的瞬时</w:t>
      </w:r>
      <w:r>
        <w:rPr>
          <w:rFonts w:hint="eastAsia"/>
          <w:szCs w:val="21"/>
        </w:rPr>
        <w:t>A</w:t>
      </w:r>
      <w:r>
        <w:rPr>
          <w:szCs w:val="21"/>
        </w:rPr>
        <w:t>声级</w:t>
      </w:r>
      <w:r>
        <w:rPr>
          <w:rFonts w:hint="eastAsia"/>
          <w:szCs w:val="21"/>
        </w:rPr>
        <w:t>，单位为dB(A)；</w:t>
      </w:r>
    </w:p>
    <w:p>
      <w:pPr>
        <w:ind w:firstLine="420" w:firstLineChars="200"/>
        <w:rPr>
          <w:szCs w:val="21"/>
        </w:rPr>
      </w:pPr>
      <w:r>
        <w:rPr>
          <w:rFonts w:hint="eastAsia" w:ascii="Times New Roman" w:hAnsi="Times New Roman" w:cs="Times New Roman"/>
          <w:szCs w:val="21"/>
        </w:rPr>
        <w:t>T</w:t>
      </w:r>
      <w:r>
        <w:rPr>
          <w:szCs w:val="21"/>
        </w:rPr>
        <w:t>—规定的测量时间段</w:t>
      </w:r>
      <w:r>
        <w:rPr>
          <w:rFonts w:hint="eastAsia"/>
          <w:szCs w:val="21"/>
        </w:rPr>
        <w:t>，单位为s</w:t>
      </w:r>
      <w:r>
        <w:rPr>
          <w:szCs w:val="21"/>
        </w:rPr>
        <w:t>。</w:t>
      </w:r>
    </w:p>
    <w:p>
      <w:pPr>
        <w:rPr>
          <w:rFonts w:ascii="黑体" w:hAnsi="黑体" w:eastAsia="黑体"/>
          <w:szCs w:val="21"/>
        </w:rPr>
      </w:pPr>
      <w:r>
        <w:rPr>
          <w:rFonts w:hint="eastAsia" w:ascii="黑体" w:hAnsi="黑体" w:eastAsia="黑体"/>
          <w:szCs w:val="21"/>
        </w:rPr>
        <w:t>3.13</w:t>
      </w:r>
    </w:p>
    <w:p>
      <w:pPr>
        <w:ind w:firstLine="420" w:firstLineChars="200"/>
        <w:rPr>
          <w:rFonts w:ascii="黑体" w:hAnsi="黑体" w:eastAsia="黑体" w:cs="Times New Roman"/>
          <w:color w:val="auto"/>
          <w:szCs w:val="21"/>
        </w:rPr>
      </w:pPr>
      <w:r>
        <w:rPr>
          <w:rFonts w:ascii="黑体" w:hAnsi="黑体" w:eastAsia="黑体" w:cs="Times New Roman"/>
          <w:color w:val="auto"/>
          <w:szCs w:val="21"/>
        </w:rPr>
        <w:t>昼间等效声级</w:t>
      </w:r>
      <w:r>
        <w:rPr>
          <w:rFonts w:hint="eastAsia" w:ascii="黑体" w:hAnsi="黑体" w:eastAsia="黑体" w:cs="Times New Roman"/>
          <w:color w:val="auto"/>
          <w:szCs w:val="21"/>
        </w:rPr>
        <w:t xml:space="preserve"> </w:t>
      </w:r>
      <w:r>
        <w:rPr>
          <w:rFonts w:ascii="黑体" w:hAnsi="黑体" w:eastAsia="黑体" w:cs="Times New Roman"/>
          <w:color w:val="auto"/>
          <w:szCs w:val="21"/>
        </w:rPr>
        <w:t xml:space="preserve"> day</w:t>
      </w:r>
      <w:r>
        <w:rPr>
          <w:rFonts w:hint="eastAsia" w:ascii="黑体" w:hAnsi="黑体" w:eastAsia="黑体" w:cs="Times New Roman"/>
          <w:color w:val="auto"/>
          <w:szCs w:val="21"/>
        </w:rPr>
        <w:t xml:space="preserve"> time equivalent sound level、</w:t>
      </w:r>
      <w:r>
        <w:rPr>
          <w:rFonts w:ascii="黑体" w:hAnsi="黑体" w:eastAsia="黑体" w:cs="Times New Roman"/>
          <w:color w:val="auto"/>
          <w:szCs w:val="21"/>
        </w:rPr>
        <w:t>夜间等效声级</w:t>
      </w:r>
      <w:r>
        <w:rPr>
          <w:rFonts w:hint="eastAsia" w:ascii="黑体" w:hAnsi="黑体" w:eastAsia="黑体" w:cs="Times New Roman"/>
          <w:color w:val="auto"/>
          <w:szCs w:val="21"/>
        </w:rPr>
        <w:t xml:space="preserve"> </w:t>
      </w:r>
      <w:r>
        <w:rPr>
          <w:rFonts w:ascii="黑体" w:hAnsi="黑体" w:eastAsia="黑体" w:cs="Times New Roman"/>
          <w:color w:val="auto"/>
          <w:szCs w:val="21"/>
        </w:rPr>
        <w:t xml:space="preserve"> night</w:t>
      </w:r>
      <w:r>
        <w:rPr>
          <w:rFonts w:hint="eastAsia" w:ascii="黑体" w:hAnsi="黑体" w:eastAsia="黑体" w:cs="Times New Roman"/>
          <w:color w:val="auto"/>
          <w:szCs w:val="21"/>
        </w:rPr>
        <w:t xml:space="preserve"> time equivalent sound level </w:t>
      </w:r>
    </w:p>
    <w:p>
      <w:pPr>
        <w:ind w:firstLine="420"/>
        <w:rPr>
          <w:rFonts w:ascii="宋体" w:hAnsi="宋体" w:eastAsia="宋体"/>
          <w:color w:val="auto"/>
          <w:szCs w:val="21"/>
        </w:rPr>
      </w:pPr>
      <w:r>
        <w:rPr>
          <w:rFonts w:ascii="宋体" w:hAnsi="宋体" w:eastAsia="宋体"/>
          <w:color w:val="auto"/>
          <w:szCs w:val="21"/>
        </w:rPr>
        <w:t>在昼间时段内测得的等效连续</w:t>
      </w:r>
      <w:r>
        <w:rPr>
          <w:rFonts w:hint="eastAsia" w:ascii="宋体" w:hAnsi="宋体" w:eastAsia="宋体"/>
          <w:color w:val="auto"/>
          <w:szCs w:val="21"/>
        </w:rPr>
        <w:t>A</w:t>
      </w:r>
      <w:r>
        <w:rPr>
          <w:rFonts w:ascii="宋体" w:hAnsi="宋体" w:eastAsia="宋体"/>
          <w:color w:val="auto"/>
          <w:szCs w:val="21"/>
        </w:rPr>
        <w:t>声级称为昼间等效声级，用</w:t>
      </w:r>
      <w:r>
        <w:rPr>
          <w:rFonts w:hint="eastAsia" w:ascii="宋体" w:hAnsi="宋体" w:eastAsia="宋体"/>
          <w:color w:val="auto"/>
          <w:szCs w:val="21"/>
        </w:rPr>
        <w:t>L</w:t>
      </w:r>
      <w:r>
        <w:rPr>
          <w:rFonts w:hint="eastAsia" w:ascii="宋体" w:hAnsi="宋体" w:eastAsia="宋体"/>
          <w:color w:val="auto"/>
          <w:szCs w:val="21"/>
          <w:vertAlign w:val="subscript"/>
        </w:rPr>
        <w:t>d</w:t>
      </w:r>
      <w:r>
        <w:rPr>
          <w:rFonts w:ascii="宋体" w:hAnsi="宋体" w:eastAsia="宋体"/>
          <w:color w:val="auto"/>
          <w:szCs w:val="21"/>
        </w:rPr>
        <w:t>表示，单位</w:t>
      </w:r>
      <w:r>
        <w:rPr>
          <w:rFonts w:hint="eastAsia" w:ascii="宋体" w:hAnsi="宋体" w:eastAsia="宋体"/>
          <w:color w:val="auto"/>
          <w:szCs w:val="21"/>
        </w:rPr>
        <w:t>为dB(A)。</w:t>
      </w:r>
    </w:p>
    <w:p>
      <w:pPr>
        <w:ind w:firstLine="420"/>
        <w:rPr>
          <w:rFonts w:ascii="宋体" w:hAnsi="宋体" w:eastAsia="宋体"/>
          <w:color w:val="auto"/>
          <w:szCs w:val="21"/>
        </w:rPr>
      </w:pPr>
      <w:r>
        <w:rPr>
          <w:rFonts w:ascii="宋体" w:hAnsi="宋体" w:eastAsia="宋体"/>
          <w:color w:val="auto"/>
          <w:szCs w:val="21"/>
        </w:rPr>
        <w:t>在夜间时段内测得的等效连续</w:t>
      </w:r>
      <w:r>
        <w:rPr>
          <w:rFonts w:hint="eastAsia" w:ascii="宋体" w:hAnsi="宋体" w:eastAsia="宋体"/>
          <w:color w:val="auto"/>
          <w:szCs w:val="21"/>
        </w:rPr>
        <w:t>A</w:t>
      </w:r>
      <w:r>
        <w:rPr>
          <w:rFonts w:ascii="宋体" w:hAnsi="宋体" w:eastAsia="宋体"/>
          <w:color w:val="auto"/>
          <w:szCs w:val="21"/>
        </w:rPr>
        <w:t>声级称为夜间等效声级，用</w:t>
      </w:r>
      <w:r>
        <w:rPr>
          <w:rFonts w:hint="eastAsia" w:ascii="宋体" w:hAnsi="宋体" w:eastAsia="宋体"/>
          <w:color w:val="auto"/>
          <w:szCs w:val="21"/>
        </w:rPr>
        <w:t>L</w:t>
      </w:r>
      <w:r>
        <w:rPr>
          <w:rFonts w:hint="eastAsia" w:ascii="宋体" w:hAnsi="宋体" w:eastAsia="宋体"/>
          <w:color w:val="auto"/>
          <w:szCs w:val="21"/>
          <w:vertAlign w:val="subscript"/>
        </w:rPr>
        <w:t>n</w:t>
      </w:r>
      <w:r>
        <w:rPr>
          <w:rFonts w:ascii="宋体" w:hAnsi="宋体" w:eastAsia="宋体"/>
          <w:color w:val="auto"/>
          <w:szCs w:val="21"/>
        </w:rPr>
        <w:t>表示，单位</w:t>
      </w:r>
      <w:r>
        <w:rPr>
          <w:rFonts w:hint="eastAsia" w:ascii="宋体" w:hAnsi="宋体" w:eastAsia="宋体"/>
          <w:color w:val="auto"/>
          <w:szCs w:val="21"/>
        </w:rPr>
        <w:t>为dB(A)。</w:t>
      </w:r>
    </w:p>
    <w:p>
      <w:pPr>
        <w:rPr>
          <w:rFonts w:ascii="黑体" w:hAnsi="黑体" w:eastAsia="黑体"/>
          <w:szCs w:val="21"/>
        </w:rPr>
      </w:pPr>
      <w:r>
        <w:rPr>
          <w:rFonts w:hint="eastAsia" w:ascii="黑体" w:hAnsi="黑体" w:eastAsia="黑体"/>
          <w:szCs w:val="21"/>
        </w:rPr>
        <w:t>3.1</w:t>
      </w:r>
      <w:r>
        <w:rPr>
          <w:rFonts w:ascii="黑体" w:hAnsi="黑体" w:eastAsia="黑体"/>
          <w:szCs w:val="21"/>
        </w:rPr>
        <w:t>4</w:t>
      </w:r>
    </w:p>
    <w:p>
      <w:pPr>
        <w:ind w:firstLine="420" w:firstLineChars="200"/>
        <w:rPr>
          <w:rFonts w:ascii="黑体" w:hAnsi="黑体" w:eastAsia="黑体" w:cs="Times New Roman"/>
          <w:szCs w:val="21"/>
        </w:rPr>
      </w:pPr>
      <w:r>
        <w:rPr>
          <w:rFonts w:hint="eastAsia" w:ascii="黑体" w:hAnsi="黑体" w:eastAsia="黑体" w:cs="Times New Roman"/>
          <w:szCs w:val="21"/>
        </w:rPr>
        <w:t xml:space="preserve">声暴露级 </w:t>
      </w:r>
      <w:r>
        <w:rPr>
          <w:rFonts w:ascii="黑体" w:hAnsi="黑体" w:eastAsia="黑体" w:cs="Times New Roman"/>
          <w:szCs w:val="21"/>
        </w:rPr>
        <w:t xml:space="preserve"> sound exposure level</w:t>
      </w:r>
    </w:p>
    <w:p>
      <w:pPr>
        <w:ind w:firstLine="420"/>
        <w:rPr>
          <w:rFonts w:ascii="宋体" w:hAnsi="宋体" w:eastAsia="宋体"/>
          <w:szCs w:val="21"/>
        </w:rPr>
      </w:pPr>
      <w:r>
        <w:rPr>
          <w:rFonts w:ascii="宋体" w:hAnsi="宋体" w:eastAsia="宋体"/>
          <w:szCs w:val="21"/>
        </w:rPr>
        <w:t>衡量噪声暴露总量的指标，用于评估单次或累计噪声事件对听力的潜在影响。其定义为将一段时间内的声能压缩到1秒的等效连续声压级，单位为分贝（dB）。</w:t>
      </w:r>
    </w:p>
    <w:p>
      <w:pPr>
        <w:pStyle w:val="66"/>
        <w:spacing w:before="312" w:after="312"/>
      </w:pPr>
      <w:bookmarkStart w:id="75" w:name="_Toc23404"/>
      <w:r>
        <w:rPr>
          <w:rFonts w:hint="eastAsia"/>
        </w:rPr>
        <w:t>总体要求</w:t>
      </w:r>
      <w:bookmarkEnd w:id="75"/>
    </w:p>
    <w:p>
      <w:pPr>
        <w:pStyle w:val="67"/>
        <w:ind w:firstLine="420"/>
      </w:pPr>
      <w:r>
        <w:rPr>
          <w:rFonts w:hint="eastAsia"/>
        </w:rPr>
        <w:t>低空飞行器垂直起降点的噪声污染治理需遵循以下四个原则。</w:t>
      </w:r>
    </w:p>
    <w:p>
      <w:pPr>
        <w:pStyle w:val="67"/>
        <w:ind w:firstLine="420"/>
      </w:pPr>
      <w:r>
        <w:rPr>
          <w:rFonts w:hint="eastAsia"/>
        </w:rPr>
        <w:t>a）源头减量：优先考虑通过改进飞行器设计、优化运行程序等手段减少噪声源产生的噪声；</w:t>
      </w:r>
    </w:p>
    <w:p>
      <w:pPr>
        <w:pStyle w:val="67"/>
        <w:ind w:firstLine="420"/>
      </w:pPr>
      <w:r>
        <w:rPr>
          <w:rFonts w:hint="eastAsia"/>
        </w:rPr>
        <w:t>b）传播途径控制：利用声屏障、绿化带、吸声材料等措施，阻隔或吸收噪声；</w:t>
      </w:r>
    </w:p>
    <w:p>
      <w:pPr>
        <w:pStyle w:val="67"/>
        <w:ind w:firstLine="420"/>
      </w:pPr>
      <w:r>
        <w:rPr>
          <w:rFonts w:hint="eastAsia"/>
        </w:rPr>
        <w:t>c）受体保护：对声敏感区采取特别保护措施，确保噪声影响最小化；</w:t>
      </w:r>
    </w:p>
    <w:p>
      <w:pPr>
        <w:pStyle w:val="67"/>
        <w:ind w:firstLine="420"/>
      </w:pPr>
      <w:r>
        <w:rPr>
          <w:rFonts w:hint="eastAsia"/>
        </w:rPr>
        <w:t>d）综合管理：结合噪声监测、公众参与、法规执行等手段，实施噪声污染的全面管理。</w:t>
      </w:r>
    </w:p>
    <w:p>
      <w:pPr>
        <w:pStyle w:val="66"/>
        <w:spacing w:before="312" w:after="312"/>
      </w:pPr>
      <w:bookmarkStart w:id="76" w:name="_Toc19896"/>
      <w:r>
        <w:rPr>
          <w:rFonts w:hint="eastAsia"/>
        </w:rPr>
        <w:t>限制要求</w:t>
      </w:r>
      <w:bookmarkEnd w:id="76"/>
    </w:p>
    <w:p>
      <w:pPr>
        <w:pStyle w:val="65"/>
        <w:spacing w:before="156" w:after="156"/>
      </w:pPr>
      <w:bookmarkStart w:id="77" w:name="_Toc23484"/>
      <w:bookmarkStart w:id="78" w:name="_Toc67393179"/>
      <w:bookmarkStart w:id="79" w:name="_Toc500938711"/>
      <w:bookmarkStart w:id="80" w:name="_Toc500955133"/>
      <w:bookmarkStart w:id="81" w:name="_Toc502157208"/>
      <w:r>
        <w:rPr>
          <w:rFonts w:hint="eastAsia"/>
        </w:rPr>
        <w:t>场界噪声限值</w:t>
      </w:r>
      <w:bookmarkEnd w:id="77"/>
    </w:p>
    <w:p>
      <w:pPr>
        <w:pStyle w:val="67"/>
        <w:spacing w:before="156" w:beforeLines="50" w:after="156" w:afterLines="50"/>
        <w:ind w:firstLine="0" w:firstLineChars="0"/>
        <w:rPr>
          <w:rFonts w:ascii="黑体" w:hAnsi="黑体" w:eastAsia="黑体"/>
        </w:rPr>
      </w:pPr>
      <w:r>
        <w:rPr>
          <w:rFonts w:hint="eastAsia" w:ascii="黑体" w:hAnsi="黑体" w:eastAsia="黑体"/>
        </w:rPr>
        <w:t>5</w:t>
      </w:r>
      <w:r>
        <w:rPr>
          <w:rFonts w:ascii="黑体" w:hAnsi="黑体" w:eastAsia="黑体"/>
        </w:rPr>
        <w:t xml:space="preserve">.1.1  </w:t>
      </w:r>
      <w:r>
        <w:rPr>
          <w:rFonts w:hint="eastAsia" w:ascii="黑体" w:hAnsi="黑体" w:eastAsia="黑体"/>
        </w:rPr>
        <w:t>垂直起降点的场界线</w:t>
      </w:r>
    </w:p>
    <w:p>
      <w:pPr>
        <w:pStyle w:val="67"/>
        <w:ind w:firstLine="420"/>
      </w:pPr>
      <w:r>
        <w:rPr>
          <w:rFonts w:hint="eastAsia"/>
        </w:rPr>
        <w:t>垂直起降点的场界线为垂直起降点飞行器垂直起降区域边界外扩50 m，若有树木、建筑或声屏障等，该外扩距离可以减少至30 m，如图1。</w:t>
      </w:r>
    </w:p>
    <w:p>
      <w:pPr>
        <w:pStyle w:val="67"/>
        <w:ind w:firstLine="420"/>
        <w:jc w:val="center"/>
      </w:pPr>
      <w:r>
        <w:rPr>
          <w:rFonts w:hint="eastAsia"/>
          <w:color w:val="FF0000"/>
          <w:szCs w:val="21"/>
        </w:rPr>
        <w:drawing>
          <wp:inline distT="0" distB="0" distL="0" distR="0">
            <wp:extent cx="2912745" cy="2444750"/>
            <wp:effectExtent l="0" t="0" r="0" b="0"/>
            <wp:docPr id="1223250435"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23250435" name="图片 6"/>
                    <pic:cNvPicPr>
                      <a:picLocks noChangeAspect="true" noChangeArrowheads="true"/>
                    </pic:cNvPicPr>
                  </pic:nvPicPr>
                  <pic:blipFill>
                    <a:blip r:embed="rId25" cstate="print">
                      <a:extLst>
                        <a:ext uri="{28A0092B-C50C-407E-A947-70E740481C1C}">
                          <a14:useLocalDpi xmlns:a14="http://schemas.microsoft.com/office/drawing/2010/main" val="false"/>
                        </a:ext>
                      </a:extLst>
                    </a:blip>
                    <a:srcRect/>
                    <a:stretch>
                      <a:fillRect/>
                    </a:stretch>
                  </pic:blipFill>
                  <pic:spPr>
                    <a:xfrm>
                      <a:off x="0" y="0"/>
                      <a:ext cx="2948961" cy="2475710"/>
                    </a:xfrm>
                    <a:prstGeom prst="rect">
                      <a:avLst/>
                    </a:prstGeom>
                    <a:noFill/>
                  </pic:spPr>
                </pic:pic>
              </a:graphicData>
            </a:graphic>
          </wp:inline>
        </w:drawing>
      </w:r>
    </w:p>
    <w:p>
      <w:pPr>
        <w:pStyle w:val="74"/>
        <w:spacing w:before="156" w:after="156"/>
      </w:pPr>
      <w:r>
        <w:rPr>
          <w:rFonts w:hint="eastAsia"/>
        </w:rPr>
        <w:t>图1  低空飞行垂直起降点的场界线</w:t>
      </w:r>
    </w:p>
    <w:p>
      <w:pPr>
        <w:pStyle w:val="67"/>
        <w:spacing w:before="156" w:beforeLines="50" w:after="156" w:afterLines="50"/>
        <w:ind w:firstLine="0" w:firstLineChars="0"/>
        <w:rPr>
          <w:rFonts w:hint="eastAsia" w:ascii="黑体" w:hAnsi="黑体" w:eastAsia="黑体"/>
        </w:rPr>
      </w:pPr>
      <w:r>
        <w:rPr>
          <w:rFonts w:hint="eastAsia" w:ascii="黑体" w:hAnsi="黑体" w:eastAsia="黑体"/>
        </w:rPr>
        <w:t>5</w:t>
      </w:r>
      <w:r>
        <w:rPr>
          <w:rFonts w:ascii="黑体" w:hAnsi="黑体" w:eastAsia="黑体"/>
        </w:rPr>
        <w:t xml:space="preserve">.1.2  </w:t>
      </w:r>
      <w:r>
        <w:rPr>
          <w:rFonts w:hint="eastAsia" w:ascii="黑体" w:hAnsi="黑体" w:eastAsia="黑体"/>
        </w:rPr>
        <w:t>垂直起降点的场界噪声限值</w:t>
      </w:r>
    </w:p>
    <w:p>
      <w:pPr>
        <w:pStyle w:val="67"/>
        <w:ind w:firstLine="420"/>
        <w:rPr>
          <w:rFonts w:hint="eastAsia"/>
        </w:rPr>
      </w:pPr>
      <w:r>
        <w:rPr>
          <w:rFonts w:hint="eastAsia"/>
        </w:rPr>
        <w:t>参照 GB 3096-2008，按区域的使用功能特点和环境质量要求，声环境功能区分为以下五种类型：</w:t>
      </w:r>
    </w:p>
    <w:p>
      <w:pPr>
        <w:pStyle w:val="67"/>
        <w:ind w:firstLine="420"/>
        <w:rPr>
          <w:rFonts w:hint="eastAsia"/>
        </w:rPr>
      </w:pPr>
      <w:r>
        <w:rPr>
          <w:rFonts w:hint="eastAsia"/>
        </w:rPr>
        <w:t>a）0类声环境功能区：指康复疗养区等特别需要安静的区域；</w:t>
      </w:r>
    </w:p>
    <w:p>
      <w:pPr>
        <w:pStyle w:val="67"/>
        <w:ind w:firstLine="420"/>
        <w:rPr>
          <w:rFonts w:hint="eastAsia"/>
        </w:rPr>
      </w:pPr>
      <w:r>
        <w:rPr>
          <w:rFonts w:hint="eastAsia"/>
        </w:rPr>
        <w:t>b）1类声环境功能区：指以居民住宅、医疗卫生、文化教育、科研设计、行政办公为主要功能，需要保持安静的区域；</w:t>
      </w:r>
    </w:p>
    <w:p>
      <w:pPr>
        <w:pStyle w:val="67"/>
        <w:ind w:firstLine="420"/>
        <w:rPr>
          <w:rFonts w:hint="eastAsia"/>
        </w:rPr>
      </w:pPr>
      <w:r>
        <w:rPr>
          <w:rFonts w:hint="eastAsia"/>
        </w:rPr>
        <w:t>c）2类声环境功能区：指以商业金融、集市贸易为主要功能，或者居住、商业、工业混杂，需要维护住宅安静的区域；</w:t>
      </w:r>
    </w:p>
    <w:p>
      <w:pPr>
        <w:pStyle w:val="67"/>
        <w:ind w:firstLine="420"/>
        <w:rPr>
          <w:rFonts w:hint="eastAsia"/>
        </w:rPr>
      </w:pPr>
      <w:r>
        <w:rPr>
          <w:rFonts w:hint="eastAsia"/>
        </w:rPr>
        <w:t>d）3类声环境功能区：指以工业生产、仓储物流为主要功能，需要防止工业噪声对周围环境产生严重影响的区域；</w:t>
      </w:r>
    </w:p>
    <w:p>
      <w:pPr>
        <w:pStyle w:val="67"/>
        <w:ind w:firstLine="420"/>
      </w:pPr>
      <w:r>
        <w:rPr>
          <w:rFonts w:hint="eastAsia"/>
          <w:lang w:val="en-US" w:eastAsia="zh-CN"/>
        </w:rPr>
        <w:t>e</w:t>
      </w:r>
      <w:r>
        <w:rPr>
          <w:rFonts w:hint="eastAsia"/>
        </w:rPr>
        <w:t>）4类声环境功能区：指交通干线两侧一定距离之内，需要防止交通噪声对周围环境产生严重影响的区域，包括4a类和4b类两种类型。4a类为高速公路、一级公路、二级公路、城市快速路、城市主干路、城市次干路、城市轨道交通（地面段）、内河航道两侧区域；4b类为铁路干线两侧区域。</w:t>
      </w:r>
    </w:p>
    <w:p>
      <w:pPr>
        <w:pStyle w:val="67"/>
        <w:ind w:firstLine="420"/>
      </w:pPr>
      <w:r>
        <w:rPr>
          <w:rFonts w:hint="eastAsia"/>
        </w:rPr>
        <w:t>低空飞行器垂直起降点的场界噪声限值参考起降点所在声环境功能区噪声等效声级限值见表1。</w:t>
      </w:r>
    </w:p>
    <w:p>
      <w:pPr>
        <w:pStyle w:val="60"/>
        <w:keepNext w:val="0"/>
        <w:keepLines w:val="0"/>
        <w:pageBreakBefore w:val="0"/>
        <w:widowControl/>
        <w:numPr>
          <w:ilvl w:val="0"/>
          <w:numId w:val="0"/>
        </w:numPr>
        <w:kinsoku/>
        <w:wordWrap/>
        <w:overflowPunct/>
        <w:topLinePunct w:val="0"/>
        <w:autoSpaceDE/>
        <w:autoSpaceDN/>
        <w:bidi w:val="0"/>
        <w:adjustRightInd/>
        <w:snapToGrid/>
        <w:ind w:right="0"/>
        <w:jc w:val="center"/>
        <w:textAlignment w:val="auto"/>
        <w:rPr>
          <w:rFonts w:hint="eastAsia"/>
        </w:rPr>
      </w:pPr>
      <w:r>
        <w:rPr>
          <w:rFonts w:hint="eastAsia"/>
        </w:rPr>
        <w:t>表1  城市区域环境</w:t>
      </w:r>
      <w:bookmarkStart w:id="82" w:name="OLE_LINK7"/>
      <w:r>
        <w:rPr>
          <w:rFonts w:hint="eastAsia"/>
        </w:rPr>
        <w:t>噪声</w:t>
      </w:r>
      <w:bookmarkStart w:id="83" w:name="_Hlk198574623"/>
      <w:r>
        <w:t>等效声级</w:t>
      </w:r>
      <w:bookmarkEnd w:id="82"/>
      <w:bookmarkEnd w:id="83"/>
      <w:r>
        <w:rPr>
          <w:rFonts w:hint="eastAsia"/>
        </w:rPr>
        <w:t>限值</w:t>
      </w:r>
    </w:p>
    <w:p>
      <w:pPr>
        <w:pStyle w:val="60"/>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right="1259"/>
        <w:textAlignment w:val="auto"/>
      </w:pPr>
      <w:r>
        <w:rPr>
          <w:rFonts w:hint="eastAsia"/>
          <w:lang w:val="en-US" w:eastAsia="zh-CN"/>
        </w:rPr>
        <w:t xml:space="preserve">                                                              </w:t>
      </w:r>
      <w:r>
        <w:rPr>
          <w:rFonts w:hint="eastAsia" w:asciiTheme="minorEastAsia" w:hAnsiTheme="minorEastAsia" w:eastAsiaTheme="minorEastAsia" w:cstheme="minorEastAsia"/>
          <w:sz w:val="18"/>
          <w:szCs w:val="16"/>
        </w:rPr>
        <w:t>单位：dB(A)</w:t>
      </w:r>
    </w:p>
    <w:tbl>
      <w:tblPr>
        <w:tblStyle w:val="20"/>
        <w:tblW w:w="6439" w:type="dxa"/>
        <w:jc w:val="center"/>
        <w:tblLayout w:type="autofit"/>
        <w:tblCellMar>
          <w:top w:w="0" w:type="dxa"/>
          <w:left w:w="108" w:type="dxa"/>
          <w:bottom w:w="0" w:type="dxa"/>
          <w:right w:w="108" w:type="dxa"/>
        </w:tblCellMar>
      </w:tblPr>
      <w:tblGrid>
        <w:gridCol w:w="1202"/>
        <w:gridCol w:w="1694"/>
        <w:gridCol w:w="1701"/>
        <w:gridCol w:w="1842"/>
      </w:tblGrid>
      <w:tr>
        <w:tblPrEx>
          <w:tblCellMar>
            <w:top w:w="0" w:type="dxa"/>
            <w:left w:w="108" w:type="dxa"/>
            <w:bottom w:w="0" w:type="dxa"/>
            <w:right w:w="108" w:type="dxa"/>
          </w:tblCellMar>
        </w:tblPrEx>
        <w:trPr>
          <w:trHeight w:val="304" w:hRule="atLeast"/>
          <w:jc w:val="center"/>
        </w:trPr>
        <w:tc>
          <w:tcPr>
            <w:tcW w:w="2896" w:type="dxa"/>
            <w:gridSpan w:val="2"/>
            <w:vMerge w:val="restart"/>
            <w:tcBorders>
              <w:top w:val="single" w:color="auto" w:sz="12" w:space="0"/>
              <w:left w:val="single" w:color="auto" w:sz="12" w:space="0"/>
              <w:bottom w:val="single" w:color="000000" w:sz="4" w:space="0"/>
              <w:right w:val="single" w:color="000000" w:sz="4" w:space="0"/>
              <w:tl2br w:val="nil"/>
            </w:tcBorders>
            <w:shd w:val="clear" w:color="auto" w:fill="FFFFFF"/>
            <w:noWrap/>
            <w:vAlign w:val="center"/>
          </w:tcPr>
          <w:p>
            <w:pPr>
              <w:pStyle w:val="67"/>
              <w:ind w:firstLine="420"/>
            </w:pPr>
            <w:r>
              <w:rPr>
                <w:rFonts w:hint="eastAsia"/>
              </w:rPr>
              <w:t>声环境功能区类别</w:t>
            </w:r>
          </w:p>
        </w:tc>
        <w:tc>
          <w:tcPr>
            <w:tcW w:w="3543" w:type="dxa"/>
            <w:gridSpan w:val="2"/>
            <w:tcBorders>
              <w:top w:val="single" w:color="auto" w:sz="12" w:space="0"/>
              <w:left w:val="single" w:color="000000" w:sz="4" w:space="0"/>
              <w:bottom w:val="single" w:color="000000" w:sz="4" w:space="0"/>
              <w:right w:val="single" w:color="auto" w:sz="12" w:space="0"/>
            </w:tcBorders>
            <w:shd w:val="clear" w:color="auto" w:fill="FFFFFF"/>
            <w:noWrap/>
            <w:vAlign w:val="center"/>
          </w:tcPr>
          <w:p>
            <w:pPr>
              <w:pStyle w:val="67"/>
              <w:ind w:firstLine="0" w:firstLineChars="0"/>
              <w:jc w:val="center"/>
            </w:pPr>
            <w:r>
              <w:rPr>
                <w:rFonts w:hint="eastAsia"/>
              </w:rPr>
              <w:t>时段</w:t>
            </w:r>
          </w:p>
        </w:tc>
      </w:tr>
      <w:tr>
        <w:tblPrEx>
          <w:tblCellMar>
            <w:top w:w="0" w:type="dxa"/>
            <w:left w:w="108" w:type="dxa"/>
            <w:bottom w:w="0" w:type="dxa"/>
            <w:right w:w="108" w:type="dxa"/>
          </w:tblCellMar>
        </w:tblPrEx>
        <w:trPr>
          <w:trHeight w:val="304" w:hRule="atLeast"/>
          <w:jc w:val="center"/>
        </w:trPr>
        <w:tc>
          <w:tcPr>
            <w:tcW w:w="2896" w:type="dxa"/>
            <w:gridSpan w:val="2"/>
            <w:vMerge w:val="continue"/>
            <w:tcBorders>
              <w:left w:val="single" w:color="auto" w:sz="12" w:space="0"/>
              <w:bottom w:val="single" w:color="000000" w:sz="4" w:space="0"/>
              <w:right w:val="single" w:color="000000" w:sz="4" w:space="0"/>
              <w:tl2br w:val="nil"/>
            </w:tcBorders>
            <w:shd w:val="clear" w:color="auto" w:fill="FFFFFF"/>
            <w:noWrap/>
            <w:vAlign w:val="center"/>
          </w:tcPr>
          <w:p>
            <w:pPr>
              <w:pStyle w:val="67"/>
              <w:ind w:firstLine="420"/>
            </w:pPr>
          </w:p>
        </w:tc>
        <w:tc>
          <w:tcPr>
            <w:tcW w:w="1701" w:type="dxa"/>
            <w:tcBorders>
              <w:top w:val="single" w:color="000000" w:sz="4" w:space="0"/>
              <w:left w:val="single" w:color="000000" w:sz="4" w:space="0"/>
              <w:bottom w:val="single" w:color="auto" w:sz="12" w:space="0"/>
              <w:right w:val="single" w:color="000000" w:sz="4" w:space="0"/>
            </w:tcBorders>
            <w:shd w:val="clear" w:color="auto" w:fill="FFFFFF"/>
            <w:noWrap/>
            <w:vAlign w:val="center"/>
          </w:tcPr>
          <w:p>
            <w:pPr>
              <w:pStyle w:val="67"/>
              <w:ind w:firstLine="0" w:firstLineChars="0"/>
              <w:jc w:val="center"/>
            </w:pPr>
            <w:r>
              <w:rPr>
                <w:rFonts w:hint="eastAsia"/>
              </w:rPr>
              <w:t>昼间</w:t>
            </w:r>
          </w:p>
        </w:tc>
        <w:tc>
          <w:tcPr>
            <w:tcW w:w="1842" w:type="dxa"/>
            <w:tcBorders>
              <w:top w:val="single" w:color="000000" w:sz="4" w:space="0"/>
              <w:left w:val="single" w:color="000000" w:sz="4" w:space="0"/>
              <w:bottom w:val="single" w:color="auto" w:sz="12" w:space="0"/>
              <w:right w:val="single" w:color="auto" w:sz="12" w:space="0"/>
            </w:tcBorders>
            <w:shd w:val="clear" w:color="auto" w:fill="FFFFFF"/>
            <w:noWrap/>
            <w:vAlign w:val="center"/>
          </w:tcPr>
          <w:p>
            <w:pPr>
              <w:pStyle w:val="67"/>
              <w:ind w:firstLine="0" w:firstLineChars="0"/>
              <w:jc w:val="center"/>
            </w:pPr>
            <w:r>
              <w:rPr>
                <w:rFonts w:hint="eastAsia"/>
              </w:rPr>
              <w:t>夜间</w:t>
            </w:r>
          </w:p>
        </w:tc>
      </w:tr>
      <w:tr>
        <w:tblPrEx>
          <w:tblCellMar>
            <w:top w:w="0" w:type="dxa"/>
            <w:left w:w="108" w:type="dxa"/>
            <w:bottom w:w="0" w:type="dxa"/>
            <w:right w:w="108" w:type="dxa"/>
          </w:tblCellMar>
        </w:tblPrEx>
        <w:trPr>
          <w:trHeight w:val="304" w:hRule="atLeast"/>
          <w:jc w:val="center"/>
        </w:trPr>
        <w:tc>
          <w:tcPr>
            <w:tcW w:w="2896" w:type="dxa"/>
            <w:gridSpan w:val="2"/>
            <w:tcBorders>
              <w:top w:val="single" w:color="auto" w:sz="12" w:space="0"/>
              <w:left w:val="single" w:color="auto" w:sz="12" w:space="0"/>
              <w:bottom w:val="single" w:color="000000" w:sz="4" w:space="0"/>
              <w:right w:val="single" w:color="000000" w:sz="4" w:space="0"/>
            </w:tcBorders>
            <w:shd w:val="clear" w:color="auto" w:fill="FFFFFF"/>
            <w:noWrap/>
            <w:vAlign w:val="center"/>
          </w:tcPr>
          <w:p>
            <w:pPr>
              <w:pStyle w:val="67"/>
              <w:ind w:firstLine="420"/>
            </w:pPr>
            <w:bookmarkStart w:id="84" w:name="_Hlk197933589"/>
            <w:r>
              <w:rPr>
                <w:rFonts w:hint="eastAsia"/>
              </w:rPr>
              <w:t>0类</w:t>
            </w:r>
          </w:p>
        </w:tc>
        <w:tc>
          <w:tcPr>
            <w:tcW w:w="1701" w:type="dxa"/>
            <w:tcBorders>
              <w:top w:val="single" w:color="auto" w:sz="12" w:space="0"/>
              <w:left w:val="single" w:color="000000" w:sz="4" w:space="0"/>
              <w:bottom w:val="single" w:color="000000" w:sz="4" w:space="0"/>
              <w:right w:val="single" w:color="000000" w:sz="4" w:space="0"/>
            </w:tcBorders>
            <w:shd w:val="clear" w:color="auto" w:fill="FFFFFF"/>
            <w:noWrap/>
            <w:vAlign w:val="center"/>
          </w:tcPr>
          <w:p>
            <w:pPr>
              <w:pStyle w:val="67"/>
              <w:ind w:firstLine="0" w:firstLineChars="0"/>
              <w:jc w:val="center"/>
            </w:pPr>
            <w:r>
              <w:rPr>
                <w:rFonts w:hint="eastAsia"/>
              </w:rPr>
              <w:t>50</w:t>
            </w:r>
          </w:p>
        </w:tc>
        <w:tc>
          <w:tcPr>
            <w:tcW w:w="1842" w:type="dxa"/>
            <w:tcBorders>
              <w:top w:val="single" w:color="auto" w:sz="12" w:space="0"/>
              <w:left w:val="single" w:color="000000" w:sz="4" w:space="0"/>
              <w:bottom w:val="single" w:color="000000" w:sz="4" w:space="0"/>
              <w:right w:val="single" w:color="auto" w:sz="12" w:space="0"/>
            </w:tcBorders>
            <w:shd w:val="clear" w:color="auto" w:fill="FFFFFF"/>
            <w:noWrap/>
            <w:vAlign w:val="center"/>
          </w:tcPr>
          <w:p>
            <w:pPr>
              <w:pStyle w:val="67"/>
              <w:ind w:firstLine="0" w:firstLineChars="0"/>
              <w:jc w:val="center"/>
            </w:pPr>
            <w:r>
              <w:rPr>
                <w:rFonts w:hint="eastAsia"/>
              </w:rPr>
              <w:t>40</w:t>
            </w:r>
          </w:p>
        </w:tc>
      </w:tr>
      <w:tr>
        <w:tblPrEx>
          <w:tblCellMar>
            <w:top w:w="0" w:type="dxa"/>
            <w:left w:w="108" w:type="dxa"/>
            <w:bottom w:w="0" w:type="dxa"/>
            <w:right w:w="108" w:type="dxa"/>
          </w:tblCellMar>
        </w:tblPrEx>
        <w:trPr>
          <w:trHeight w:val="304" w:hRule="atLeast"/>
          <w:jc w:val="center"/>
        </w:trPr>
        <w:tc>
          <w:tcPr>
            <w:tcW w:w="2896" w:type="dxa"/>
            <w:gridSpan w:val="2"/>
            <w:tcBorders>
              <w:top w:val="single" w:color="000000" w:sz="4" w:space="0"/>
              <w:left w:val="single" w:color="auto" w:sz="12" w:space="0"/>
              <w:bottom w:val="single" w:color="000000" w:sz="4" w:space="0"/>
              <w:right w:val="single" w:color="000000" w:sz="4" w:space="0"/>
            </w:tcBorders>
            <w:shd w:val="clear" w:color="auto" w:fill="FFFFFF"/>
            <w:noWrap/>
            <w:vAlign w:val="center"/>
          </w:tcPr>
          <w:p>
            <w:pPr>
              <w:pStyle w:val="67"/>
              <w:ind w:firstLine="420"/>
            </w:pPr>
            <w:r>
              <w:rPr>
                <w:rFonts w:hint="eastAsia"/>
              </w:rPr>
              <w:t>1类</w:t>
            </w:r>
          </w:p>
        </w:tc>
        <w:tc>
          <w:tcPr>
            <w:tcW w:w="17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Style w:val="67"/>
              <w:ind w:firstLine="0" w:firstLineChars="0"/>
              <w:jc w:val="center"/>
            </w:pPr>
            <w:r>
              <w:rPr>
                <w:rFonts w:hint="eastAsia"/>
              </w:rPr>
              <w:t>55</w:t>
            </w:r>
          </w:p>
        </w:tc>
        <w:tc>
          <w:tcPr>
            <w:tcW w:w="1842" w:type="dxa"/>
            <w:tcBorders>
              <w:top w:val="single" w:color="000000" w:sz="4" w:space="0"/>
              <w:left w:val="single" w:color="000000" w:sz="4" w:space="0"/>
              <w:bottom w:val="single" w:color="000000" w:sz="4" w:space="0"/>
              <w:right w:val="single" w:color="auto" w:sz="12" w:space="0"/>
            </w:tcBorders>
            <w:shd w:val="clear" w:color="auto" w:fill="FFFFFF"/>
            <w:noWrap/>
            <w:vAlign w:val="center"/>
          </w:tcPr>
          <w:p>
            <w:pPr>
              <w:pStyle w:val="67"/>
              <w:ind w:firstLine="0" w:firstLineChars="0"/>
              <w:jc w:val="center"/>
            </w:pPr>
            <w:r>
              <w:rPr>
                <w:rFonts w:hint="eastAsia"/>
              </w:rPr>
              <w:t>45</w:t>
            </w:r>
          </w:p>
        </w:tc>
      </w:tr>
      <w:tr>
        <w:tblPrEx>
          <w:tblCellMar>
            <w:top w:w="0" w:type="dxa"/>
            <w:left w:w="108" w:type="dxa"/>
            <w:bottom w:w="0" w:type="dxa"/>
            <w:right w:w="108" w:type="dxa"/>
          </w:tblCellMar>
        </w:tblPrEx>
        <w:trPr>
          <w:trHeight w:val="304" w:hRule="atLeast"/>
          <w:jc w:val="center"/>
        </w:trPr>
        <w:tc>
          <w:tcPr>
            <w:tcW w:w="2896" w:type="dxa"/>
            <w:gridSpan w:val="2"/>
            <w:tcBorders>
              <w:top w:val="single" w:color="000000" w:sz="4" w:space="0"/>
              <w:left w:val="single" w:color="auto" w:sz="12" w:space="0"/>
              <w:bottom w:val="single" w:color="000000" w:sz="4" w:space="0"/>
              <w:right w:val="single" w:color="000000" w:sz="4" w:space="0"/>
            </w:tcBorders>
            <w:shd w:val="clear" w:color="auto" w:fill="FFFFFF"/>
            <w:noWrap/>
            <w:vAlign w:val="center"/>
          </w:tcPr>
          <w:p>
            <w:pPr>
              <w:pStyle w:val="67"/>
              <w:ind w:firstLine="420"/>
            </w:pPr>
            <w:r>
              <w:rPr>
                <w:rFonts w:hint="eastAsia"/>
              </w:rPr>
              <w:t>2类</w:t>
            </w:r>
          </w:p>
        </w:tc>
        <w:tc>
          <w:tcPr>
            <w:tcW w:w="17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Style w:val="67"/>
              <w:ind w:firstLine="0" w:firstLineChars="0"/>
              <w:jc w:val="center"/>
            </w:pPr>
            <w:r>
              <w:rPr>
                <w:rFonts w:hint="eastAsia"/>
              </w:rPr>
              <w:t>60</w:t>
            </w:r>
          </w:p>
        </w:tc>
        <w:tc>
          <w:tcPr>
            <w:tcW w:w="1842" w:type="dxa"/>
            <w:tcBorders>
              <w:top w:val="single" w:color="000000" w:sz="4" w:space="0"/>
              <w:left w:val="single" w:color="000000" w:sz="4" w:space="0"/>
              <w:bottom w:val="single" w:color="000000" w:sz="4" w:space="0"/>
              <w:right w:val="single" w:color="auto" w:sz="12" w:space="0"/>
            </w:tcBorders>
            <w:shd w:val="clear" w:color="auto" w:fill="FFFFFF"/>
            <w:noWrap/>
            <w:vAlign w:val="center"/>
          </w:tcPr>
          <w:p>
            <w:pPr>
              <w:pStyle w:val="67"/>
              <w:ind w:firstLine="0" w:firstLineChars="0"/>
              <w:jc w:val="center"/>
            </w:pPr>
            <w:r>
              <w:rPr>
                <w:rFonts w:hint="eastAsia"/>
              </w:rPr>
              <w:t>50</w:t>
            </w:r>
          </w:p>
        </w:tc>
      </w:tr>
      <w:tr>
        <w:tblPrEx>
          <w:tblCellMar>
            <w:top w:w="0" w:type="dxa"/>
            <w:left w:w="108" w:type="dxa"/>
            <w:bottom w:w="0" w:type="dxa"/>
            <w:right w:w="108" w:type="dxa"/>
          </w:tblCellMar>
        </w:tblPrEx>
        <w:trPr>
          <w:trHeight w:val="304" w:hRule="atLeast"/>
          <w:jc w:val="center"/>
        </w:trPr>
        <w:tc>
          <w:tcPr>
            <w:tcW w:w="2896" w:type="dxa"/>
            <w:gridSpan w:val="2"/>
            <w:tcBorders>
              <w:top w:val="single" w:color="000000" w:sz="4" w:space="0"/>
              <w:left w:val="single" w:color="auto" w:sz="12" w:space="0"/>
              <w:bottom w:val="single" w:color="000000" w:sz="4" w:space="0"/>
              <w:right w:val="single" w:color="000000" w:sz="4" w:space="0"/>
            </w:tcBorders>
            <w:shd w:val="clear" w:color="auto" w:fill="FFFFFF"/>
            <w:noWrap/>
            <w:vAlign w:val="center"/>
          </w:tcPr>
          <w:p>
            <w:pPr>
              <w:pStyle w:val="67"/>
              <w:ind w:firstLine="420"/>
            </w:pPr>
            <w:r>
              <w:rPr>
                <w:rFonts w:hint="eastAsia"/>
              </w:rPr>
              <w:t>3类</w:t>
            </w:r>
          </w:p>
        </w:tc>
        <w:tc>
          <w:tcPr>
            <w:tcW w:w="17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Style w:val="67"/>
              <w:ind w:firstLine="0" w:firstLineChars="0"/>
              <w:jc w:val="center"/>
            </w:pPr>
            <w:r>
              <w:rPr>
                <w:rFonts w:hint="eastAsia"/>
              </w:rPr>
              <w:t>65</w:t>
            </w:r>
          </w:p>
        </w:tc>
        <w:tc>
          <w:tcPr>
            <w:tcW w:w="1842" w:type="dxa"/>
            <w:tcBorders>
              <w:top w:val="single" w:color="000000" w:sz="4" w:space="0"/>
              <w:left w:val="single" w:color="000000" w:sz="4" w:space="0"/>
              <w:bottom w:val="single" w:color="000000" w:sz="4" w:space="0"/>
              <w:right w:val="single" w:color="auto" w:sz="12" w:space="0"/>
            </w:tcBorders>
            <w:shd w:val="clear" w:color="auto" w:fill="FFFFFF"/>
            <w:noWrap/>
            <w:vAlign w:val="center"/>
          </w:tcPr>
          <w:p>
            <w:pPr>
              <w:pStyle w:val="67"/>
              <w:ind w:firstLine="0" w:firstLineChars="0"/>
              <w:jc w:val="center"/>
            </w:pPr>
            <w:r>
              <w:rPr>
                <w:rFonts w:hint="eastAsia"/>
              </w:rPr>
              <w:t>55</w:t>
            </w:r>
          </w:p>
        </w:tc>
      </w:tr>
      <w:tr>
        <w:tblPrEx>
          <w:tblCellMar>
            <w:top w:w="0" w:type="dxa"/>
            <w:left w:w="108" w:type="dxa"/>
            <w:bottom w:w="0" w:type="dxa"/>
            <w:right w:w="108" w:type="dxa"/>
          </w:tblCellMar>
        </w:tblPrEx>
        <w:trPr>
          <w:trHeight w:val="304" w:hRule="atLeast"/>
          <w:jc w:val="center"/>
        </w:trPr>
        <w:tc>
          <w:tcPr>
            <w:tcW w:w="1202" w:type="dxa"/>
            <w:vMerge w:val="restart"/>
            <w:tcBorders>
              <w:top w:val="single" w:color="000000" w:sz="4" w:space="0"/>
              <w:left w:val="single" w:color="auto" w:sz="12" w:space="0"/>
              <w:bottom w:val="single" w:color="auto" w:sz="12" w:space="0"/>
              <w:right w:val="single" w:color="000000" w:sz="4" w:space="0"/>
            </w:tcBorders>
            <w:shd w:val="clear" w:color="auto" w:fill="FFFFFF"/>
            <w:noWrap/>
            <w:vAlign w:val="center"/>
          </w:tcPr>
          <w:p>
            <w:pPr>
              <w:pStyle w:val="67"/>
              <w:ind w:firstLine="420"/>
            </w:pPr>
            <w:r>
              <w:rPr>
                <w:rFonts w:hint="eastAsia"/>
              </w:rPr>
              <w:t>4类</w:t>
            </w:r>
          </w:p>
        </w:tc>
        <w:tc>
          <w:tcPr>
            <w:tcW w:w="16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Style w:val="67"/>
              <w:ind w:firstLine="420"/>
            </w:pPr>
            <w:r>
              <w:rPr>
                <w:rFonts w:hint="eastAsia"/>
              </w:rPr>
              <w:t>4a类</w:t>
            </w:r>
          </w:p>
        </w:tc>
        <w:tc>
          <w:tcPr>
            <w:tcW w:w="17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Style w:val="67"/>
              <w:ind w:firstLine="0" w:firstLineChars="0"/>
              <w:jc w:val="center"/>
            </w:pPr>
            <w:r>
              <w:rPr>
                <w:rFonts w:hint="eastAsia"/>
              </w:rPr>
              <w:t>70</w:t>
            </w:r>
          </w:p>
        </w:tc>
        <w:tc>
          <w:tcPr>
            <w:tcW w:w="1842" w:type="dxa"/>
            <w:tcBorders>
              <w:top w:val="single" w:color="000000" w:sz="4" w:space="0"/>
              <w:left w:val="single" w:color="000000" w:sz="4" w:space="0"/>
              <w:bottom w:val="single" w:color="000000" w:sz="4" w:space="0"/>
              <w:right w:val="single" w:color="auto" w:sz="12" w:space="0"/>
            </w:tcBorders>
            <w:shd w:val="clear" w:color="auto" w:fill="FFFFFF"/>
            <w:noWrap/>
            <w:vAlign w:val="center"/>
          </w:tcPr>
          <w:p>
            <w:pPr>
              <w:pStyle w:val="67"/>
              <w:ind w:firstLine="0" w:firstLineChars="0"/>
              <w:jc w:val="center"/>
            </w:pPr>
            <w:r>
              <w:rPr>
                <w:rFonts w:hint="eastAsia"/>
              </w:rPr>
              <w:t>55</w:t>
            </w:r>
          </w:p>
        </w:tc>
      </w:tr>
      <w:tr>
        <w:tblPrEx>
          <w:tblCellMar>
            <w:top w:w="0" w:type="dxa"/>
            <w:left w:w="108" w:type="dxa"/>
            <w:bottom w:w="0" w:type="dxa"/>
            <w:right w:w="108" w:type="dxa"/>
          </w:tblCellMar>
        </w:tblPrEx>
        <w:trPr>
          <w:trHeight w:val="322" w:hRule="atLeast"/>
          <w:jc w:val="center"/>
        </w:trPr>
        <w:tc>
          <w:tcPr>
            <w:tcW w:w="1202" w:type="dxa"/>
            <w:vMerge w:val="continue"/>
            <w:tcBorders>
              <w:top w:val="single" w:color="000000" w:sz="4" w:space="0"/>
              <w:left w:val="single" w:color="auto" w:sz="12" w:space="0"/>
              <w:bottom w:val="single" w:color="auto" w:sz="12" w:space="0"/>
              <w:right w:val="single" w:color="000000" w:sz="4" w:space="0"/>
            </w:tcBorders>
            <w:shd w:val="clear" w:color="auto" w:fill="FFFFFF"/>
            <w:noWrap/>
            <w:vAlign w:val="center"/>
          </w:tcPr>
          <w:p>
            <w:pPr>
              <w:pStyle w:val="67"/>
              <w:ind w:firstLine="420"/>
            </w:pPr>
          </w:p>
        </w:tc>
        <w:tc>
          <w:tcPr>
            <w:tcW w:w="1694" w:type="dxa"/>
            <w:tcBorders>
              <w:top w:val="single" w:color="000000" w:sz="4" w:space="0"/>
              <w:left w:val="single" w:color="000000" w:sz="4" w:space="0"/>
              <w:bottom w:val="single" w:color="auto" w:sz="12" w:space="0"/>
              <w:right w:val="single" w:color="000000" w:sz="4" w:space="0"/>
            </w:tcBorders>
            <w:shd w:val="clear" w:color="auto" w:fill="FFFFFF"/>
            <w:noWrap/>
            <w:vAlign w:val="center"/>
          </w:tcPr>
          <w:p>
            <w:pPr>
              <w:pStyle w:val="67"/>
              <w:ind w:firstLine="420"/>
            </w:pPr>
            <w:r>
              <w:rPr>
                <w:rFonts w:hint="eastAsia"/>
              </w:rPr>
              <w:t>4b类</w:t>
            </w:r>
          </w:p>
        </w:tc>
        <w:tc>
          <w:tcPr>
            <w:tcW w:w="1701" w:type="dxa"/>
            <w:tcBorders>
              <w:top w:val="single" w:color="000000" w:sz="4" w:space="0"/>
              <w:left w:val="single" w:color="000000" w:sz="4" w:space="0"/>
              <w:bottom w:val="single" w:color="auto" w:sz="12" w:space="0"/>
              <w:right w:val="single" w:color="000000" w:sz="4" w:space="0"/>
            </w:tcBorders>
            <w:shd w:val="clear" w:color="auto" w:fill="FFFFFF"/>
            <w:noWrap/>
            <w:vAlign w:val="center"/>
          </w:tcPr>
          <w:p>
            <w:pPr>
              <w:pStyle w:val="67"/>
              <w:ind w:firstLine="0" w:firstLineChars="0"/>
              <w:jc w:val="center"/>
            </w:pPr>
            <w:r>
              <w:rPr>
                <w:rFonts w:hint="eastAsia"/>
              </w:rPr>
              <w:t>70</w:t>
            </w:r>
          </w:p>
        </w:tc>
        <w:tc>
          <w:tcPr>
            <w:tcW w:w="1842" w:type="dxa"/>
            <w:tcBorders>
              <w:top w:val="single" w:color="000000" w:sz="4" w:space="0"/>
              <w:left w:val="single" w:color="000000" w:sz="4" w:space="0"/>
              <w:bottom w:val="single" w:color="auto" w:sz="12" w:space="0"/>
              <w:right w:val="single" w:color="auto" w:sz="12" w:space="0"/>
            </w:tcBorders>
            <w:shd w:val="clear" w:color="auto" w:fill="FFFFFF"/>
            <w:noWrap/>
            <w:vAlign w:val="center"/>
          </w:tcPr>
          <w:p>
            <w:pPr>
              <w:pStyle w:val="67"/>
              <w:ind w:firstLine="0" w:firstLineChars="0"/>
              <w:jc w:val="center"/>
            </w:pPr>
            <w:r>
              <w:rPr>
                <w:rFonts w:hint="eastAsia"/>
              </w:rPr>
              <w:t>60</w:t>
            </w:r>
          </w:p>
        </w:tc>
      </w:tr>
      <w:bookmarkEnd w:id="84"/>
    </w:tbl>
    <w:p>
      <w:pPr>
        <w:pStyle w:val="67"/>
        <w:ind w:firstLine="0" w:firstLineChars="0"/>
      </w:pPr>
    </w:p>
    <w:p>
      <w:pPr>
        <w:pStyle w:val="65"/>
        <w:spacing w:before="156" w:after="156"/>
      </w:pPr>
      <w:bookmarkStart w:id="85" w:name="_Toc5606"/>
      <w:bookmarkStart w:id="86" w:name="_Toc67401904"/>
      <w:r>
        <w:rPr>
          <w:rFonts w:hint="eastAsia"/>
        </w:rPr>
        <w:t>飞行器噪声限值</w:t>
      </w:r>
      <w:bookmarkEnd w:id="85"/>
    </w:p>
    <w:p>
      <w:pPr>
        <w:pStyle w:val="67"/>
        <w:ind w:firstLine="420"/>
        <w:rPr>
          <w:rFonts w:hint="eastAsia" w:eastAsia="宋体"/>
          <w:lang w:eastAsia="zh-CN"/>
        </w:rPr>
      </w:pPr>
      <w:r>
        <w:rPr>
          <w:rFonts w:hint="eastAsia"/>
        </w:rPr>
        <w:t>根据GB 42590-2023、GB 9660-1988和CCAR-36-R2，给出按重量等级分类和对应飞行器噪声等效声级限值建议见表2。其中：0类标准适用于最大起飞重量＜25 kg的飞行器；I类标准适用于25 kg≤最大起飞重量＜150 kg的飞行器；II类标准适用于150 kg≤最大起飞重量＜600 kg的飞行器；III类标准适用于600 kg≤最大起飞重量＜1250 kg的飞行器；IV类标准适用于最大起飞重量≥1250</w:t>
      </w:r>
      <w:r>
        <w:rPr>
          <w:rFonts w:hint="eastAsia"/>
          <w:lang w:val="en-US" w:eastAsia="zh-CN"/>
        </w:rPr>
        <w:t xml:space="preserve"> </w:t>
      </w:r>
      <w:r>
        <w:rPr>
          <w:rFonts w:hint="eastAsia"/>
        </w:rPr>
        <w:t>kg的飞行器</w:t>
      </w:r>
      <w:r>
        <w:rPr>
          <w:rFonts w:hint="eastAsia"/>
          <w:lang w:eastAsia="zh-CN"/>
        </w:rPr>
        <w:t>。</w:t>
      </w:r>
    </w:p>
    <w:p>
      <w:pPr>
        <w:pStyle w:val="67"/>
        <w:ind w:firstLine="420"/>
        <w:rPr>
          <w:rFonts w:hint="eastAsia"/>
        </w:rPr>
      </w:pPr>
      <w:r>
        <w:rPr>
          <w:rFonts w:hint="eastAsia"/>
        </w:rPr>
        <w:t>以上小于25 kg的飞行器噪声测试方法参照附录A，大于等于25 kg的飞行器噪声也可以参照附录A，或者参考CCAR-36-R2中噪声测试方法，若两种方法都进行测试的情况下则取较小值。</w:t>
      </w:r>
    </w:p>
    <w:p>
      <w:pPr>
        <w:pStyle w:val="60"/>
        <w:numPr>
          <w:ilvl w:val="0"/>
          <w:numId w:val="0"/>
        </w:numPr>
        <w:ind w:right="420"/>
      </w:pPr>
      <w:r>
        <w:rPr>
          <w:rFonts w:hint="eastAsia"/>
        </w:rPr>
        <w:t xml:space="preserve"> </w:t>
      </w:r>
      <w:r>
        <w:t xml:space="preserve">         </w:t>
      </w:r>
      <w:r>
        <w:rPr>
          <w:rFonts w:hint="eastAsia"/>
        </w:rPr>
        <w:t>表2  飞行器重量等级分类及对应的噪声</w:t>
      </w:r>
      <w:r>
        <w:t>等效声级</w:t>
      </w:r>
      <w:r>
        <w:rPr>
          <w:rFonts w:hint="eastAsia"/>
        </w:rPr>
        <w:t xml:space="preserve">限值  </w:t>
      </w:r>
      <w:r>
        <w:t xml:space="preserve">  </w:t>
      </w:r>
    </w:p>
    <w:p>
      <w:pPr>
        <w:pStyle w:val="60"/>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right="420"/>
        <w:textAlignment w:val="auto"/>
      </w:pPr>
      <w:r>
        <w:rPr>
          <w:rFonts w:hint="eastAsia"/>
          <w:lang w:val="en-US" w:eastAsia="zh-CN"/>
        </w:rPr>
        <w:t xml:space="preserve">                                                              </w:t>
      </w:r>
      <w:r>
        <w:rPr>
          <w:rFonts w:hint="eastAsia" w:asciiTheme="minorEastAsia" w:hAnsiTheme="minorEastAsia" w:eastAsiaTheme="minorEastAsia" w:cstheme="minorEastAsia"/>
          <w:sz w:val="18"/>
          <w:szCs w:val="16"/>
          <w:lang w:val="en-US" w:eastAsia="zh-CN"/>
        </w:rPr>
        <w:t xml:space="preserve">  单位：dB(A)</w:t>
      </w:r>
    </w:p>
    <w:tbl>
      <w:tblPr>
        <w:tblStyle w:val="21"/>
        <w:tblW w:w="38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2447"/>
        <w:gridCol w:w="2127"/>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51" w:type="pct"/>
            <w:vMerge w:val="restart"/>
            <w:tcBorders>
              <w:top w:val="single" w:color="auto" w:sz="12" w:space="0"/>
              <w:left w:val="single" w:color="auto" w:sz="12" w:space="0"/>
              <w:bottom w:val="single" w:color="auto" w:sz="12" w:space="0"/>
            </w:tcBorders>
            <w:noWrap/>
            <w:vAlign w:val="center"/>
          </w:tcPr>
          <w:p>
            <w:pPr>
              <w:jc w:val="center"/>
              <w:rPr>
                <w:rFonts w:ascii="宋体" w:hAnsi="宋体" w:eastAsia="宋体" w:cs="Times New Roman"/>
                <w:sz w:val="18"/>
                <w:szCs w:val="18"/>
              </w:rPr>
            </w:pPr>
            <w:r>
              <w:rPr>
                <w:rFonts w:ascii="宋体" w:hAnsi="宋体" w:eastAsia="宋体" w:cs="Times New Roman"/>
                <w:sz w:val="18"/>
                <w:szCs w:val="18"/>
              </w:rPr>
              <w:t>类别</w:t>
            </w:r>
          </w:p>
        </w:tc>
        <w:tc>
          <w:tcPr>
            <w:tcW w:w="1660" w:type="pct"/>
            <w:vMerge w:val="restart"/>
            <w:tcBorders>
              <w:top w:val="single" w:color="auto" w:sz="12" w:space="0"/>
              <w:bottom w:val="single" w:color="auto" w:sz="12" w:space="0"/>
            </w:tcBorders>
            <w:noWrap/>
            <w:vAlign w:val="center"/>
          </w:tcPr>
          <w:p>
            <w:pPr>
              <w:jc w:val="center"/>
              <w:rPr>
                <w:rFonts w:ascii="宋体" w:hAnsi="宋体" w:eastAsia="宋体" w:cs="Times New Roman"/>
                <w:sz w:val="18"/>
                <w:szCs w:val="18"/>
              </w:rPr>
            </w:pPr>
            <w:r>
              <w:rPr>
                <w:rFonts w:hint="eastAsia" w:ascii="宋体" w:hAnsi="宋体" w:eastAsia="宋体" w:cs="Times New Roman"/>
                <w:sz w:val="18"/>
                <w:szCs w:val="18"/>
              </w:rPr>
              <w:t>最大起飞</w:t>
            </w:r>
            <w:r>
              <w:rPr>
                <w:rFonts w:ascii="宋体" w:hAnsi="宋体" w:eastAsia="宋体" w:cs="Times New Roman"/>
                <w:sz w:val="18"/>
                <w:szCs w:val="18"/>
              </w:rPr>
              <w:t>重量</w:t>
            </w:r>
            <w:r>
              <w:rPr>
                <w:rFonts w:hint="eastAsia" w:ascii="宋体" w:hAnsi="宋体" w:eastAsia="宋体" w:cs="Times New Roman"/>
                <w:sz w:val="18"/>
                <w:szCs w:val="18"/>
              </w:rPr>
              <w:t xml:space="preserve"> </w:t>
            </w:r>
          </w:p>
        </w:tc>
        <w:tc>
          <w:tcPr>
            <w:tcW w:w="2789" w:type="pct"/>
            <w:gridSpan w:val="2"/>
            <w:tcBorders>
              <w:top w:val="single" w:color="auto" w:sz="12" w:space="0"/>
              <w:bottom w:val="single" w:color="auto" w:sz="4" w:space="0"/>
              <w:right w:val="single" w:color="auto" w:sz="12" w:space="0"/>
            </w:tcBorders>
            <w:noWrap/>
          </w:tcPr>
          <w:p>
            <w:pPr>
              <w:widowControl/>
              <w:jc w:val="center"/>
              <w:rPr>
                <w:rFonts w:ascii="宋体" w:hAnsi="宋体" w:eastAsia="宋体" w:cs="Times New Roman"/>
                <w:sz w:val="18"/>
                <w:szCs w:val="18"/>
              </w:rPr>
            </w:pPr>
            <w:r>
              <w:rPr>
                <w:rFonts w:hint="eastAsia" w:ascii="宋体" w:hAnsi="宋体" w:eastAsia="宋体" w:cs="Times New Roman"/>
                <w:sz w:val="18"/>
                <w:szCs w:val="18"/>
              </w:rPr>
              <w:t>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51" w:type="pct"/>
            <w:vMerge w:val="continue"/>
            <w:tcBorders>
              <w:left w:val="single" w:color="auto" w:sz="12" w:space="0"/>
              <w:bottom w:val="single" w:color="auto" w:sz="12" w:space="0"/>
            </w:tcBorders>
            <w:noWrap/>
          </w:tcPr>
          <w:p>
            <w:pPr>
              <w:widowControl/>
              <w:jc w:val="center"/>
              <w:rPr>
                <w:rFonts w:ascii="宋体" w:hAnsi="宋体" w:eastAsia="宋体" w:cs="Times New Roman"/>
                <w:sz w:val="18"/>
                <w:szCs w:val="18"/>
              </w:rPr>
            </w:pPr>
          </w:p>
        </w:tc>
        <w:tc>
          <w:tcPr>
            <w:tcW w:w="1660" w:type="pct"/>
            <w:vMerge w:val="continue"/>
            <w:tcBorders>
              <w:bottom w:val="single" w:color="auto" w:sz="12" w:space="0"/>
            </w:tcBorders>
            <w:noWrap/>
          </w:tcPr>
          <w:p>
            <w:pPr>
              <w:widowControl/>
              <w:jc w:val="center"/>
              <w:rPr>
                <w:rFonts w:ascii="宋体" w:hAnsi="宋体" w:eastAsia="宋体" w:cs="Times New Roman"/>
                <w:sz w:val="18"/>
                <w:szCs w:val="18"/>
              </w:rPr>
            </w:pPr>
          </w:p>
        </w:tc>
        <w:tc>
          <w:tcPr>
            <w:tcW w:w="1443" w:type="pct"/>
            <w:tcBorders>
              <w:bottom w:val="single" w:color="auto" w:sz="12" w:space="0"/>
            </w:tcBorders>
            <w:noWrap/>
          </w:tcPr>
          <w:p>
            <w:pPr>
              <w:widowControl/>
              <w:jc w:val="center"/>
              <w:rPr>
                <w:rFonts w:ascii="宋体" w:hAnsi="宋体" w:eastAsia="宋体" w:cs="Times New Roman"/>
                <w:sz w:val="18"/>
                <w:szCs w:val="18"/>
              </w:rPr>
            </w:pPr>
            <w:r>
              <w:rPr>
                <w:rFonts w:hint="eastAsia" w:ascii="宋体" w:hAnsi="宋体" w:eastAsia="宋体" w:cs="Times New Roman"/>
                <w:sz w:val="18"/>
                <w:szCs w:val="18"/>
              </w:rPr>
              <w:t>悬停</w:t>
            </w:r>
          </w:p>
        </w:tc>
        <w:tc>
          <w:tcPr>
            <w:tcW w:w="1347" w:type="pct"/>
            <w:tcBorders>
              <w:bottom w:val="single" w:color="auto" w:sz="12" w:space="0"/>
              <w:right w:val="single" w:color="auto" w:sz="12" w:space="0"/>
            </w:tcBorders>
            <w:noWrap/>
          </w:tcPr>
          <w:p>
            <w:pPr>
              <w:widowControl/>
              <w:jc w:val="center"/>
              <w:rPr>
                <w:rFonts w:ascii="宋体" w:hAnsi="宋体" w:eastAsia="宋体" w:cs="Times New Roman"/>
                <w:sz w:val="18"/>
                <w:szCs w:val="18"/>
              </w:rPr>
            </w:pPr>
            <w:r>
              <w:rPr>
                <w:rFonts w:ascii="宋体" w:hAnsi="宋体" w:eastAsia="宋体" w:cs="Times New Roman"/>
                <w:sz w:val="18"/>
                <w:szCs w:val="18"/>
              </w:rPr>
              <w:t>飞越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51" w:type="pct"/>
            <w:tcBorders>
              <w:top w:val="single" w:color="auto" w:sz="12" w:space="0"/>
              <w:left w:val="single" w:color="auto" w:sz="12" w:space="0"/>
            </w:tcBorders>
            <w:noWrap/>
          </w:tcPr>
          <w:p>
            <w:pPr>
              <w:widowControl/>
              <w:jc w:val="center"/>
              <w:rPr>
                <w:rFonts w:ascii="宋体" w:hAnsi="宋体" w:eastAsia="宋体" w:cs="Times New Roman"/>
                <w:sz w:val="18"/>
                <w:szCs w:val="18"/>
              </w:rPr>
            </w:pPr>
            <w:r>
              <w:rPr>
                <w:rFonts w:ascii="宋体" w:hAnsi="宋体" w:eastAsia="宋体" w:cs="Times New Roman"/>
                <w:sz w:val="18"/>
                <w:szCs w:val="18"/>
              </w:rPr>
              <w:t>0</w:t>
            </w:r>
          </w:p>
        </w:tc>
        <w:tc>
          <w:tcPr>
            <w:tcW w:w="1660" w:type="pct"/>
            <w:tcBorders>
              <w:top w:val="single" w:color="auto" w:sz="12" w:space="0"/>
            </w:tcBorders>
            <w:noWrap/>
          </w:tcPr>
          <w:p>
            <w:pPr>
              <w:widowControl/>
              <w:jc w:val="center"/>
              <w:rPr>
                <w:rFonts w:ascii="宋体" w:hAnsi="宋体" w:eastAsia="宋体" w:cs="Times New Roman"/>
                <w:sz w:val="18"/>
                <w:szCs w:val="18"/>
              </w:rPr>
            </w:pPr>
            <w:r>
              <w:rPr>
                <w:rFonts w:hint="eastAsia" w:ascii="宋体" w:hAnsi="宋体" w:eastAsia="宋体" w:cs="Times New Roman"/>
                <w:sz w:val="18"/>
                <w:szCs w:val="18"/>
              </w:rPr>
              <w:t>&lt;25kg</w:t>
            </w:r>
          </w:p>
        </w:tc>
        <w:tc>
          <w:tcPr>
            <w:tcW w:w="1443" w:type="pct"/>
            <w:tcBorders>
              <w:top w:val="single" w:color="auto" w:sz="12" w:space="0"/>
            </w:tcBorders>
            <w:noWrap/>
          </w:tcPr>
          <w:p>
            <w:pPr>
              <w:widowControl/>
              <w:jc w:val="center"/>
              <w:rPr>
                <w:rFonts w:ascii="宋体" w:hAnsi="宋体" w:eastAsia="宋体" w:cs="Times New Roman"/>
                <w:sz w:val="18"/>
                <w:szCs w:val="18"/>
              </w:rPr>
            </w:pPr>
            <w:r>
              <w:rPr>
                <w:rFonts w:hint="eastAsia" w:ascii="宋体" w:hAnsi="宋体" w:eastAsia="宋体" w:cs="Times New Roman"/>
                <w:sz w:val="18"/>
                <w:szCs w:val="18"/>
              </w:rPr>
              <w:t>60</w:t>
            </w:r>
          </w:p>
        </w:tc>
        <w:tc>
          <w:tcPr>
            <w:tcW w:w="1347" w:type="pct"/>
            <w:tcBorders>
              <w:top w:val="single" w:color="auto" w:sz="12" w:space="0"/>
              <w:right w:val="single" w:color="auto" w:sz="12" w:space="0"/>
            </w:tcBorders>
            <w:noWrap/>
          </w:tcPr>
          <w:p>
            <w:pPr>
              <w:widowControl/>
              <w:jc w:val="center"/>
              <w:rPr>
                <w:rFonts w:ascii="宋体" w:hAnsi="宋体" w:eastAsia="宋体" w:cs="Times New Roman"/>
                <w:sz w:val="18"/>
                <w:szCs w:val="18"/>
              </w:rPr>
            </w:pPr>
            <w:r>
              <w:rPr>
                <w:rFonts w:hint="eastAsia" w:ascii="宋体" w:hAnsi="宋体" w:eastAsia="宋体" w:cs="Times New Roman"/>
                <w:sz w:val="18"/>
                <w:szCs w:val="18"/>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51" w:type="pct"/>
            <w:tcBorders>
              <w:left w:val="single" w:color="auto" w:sz="12" w:space="0"/>
            </w:tcBorders>
            <w:noWrap/>
          </w:tcPr>
          <w:p>
            <w:pPr>
              <w:widowControl/>
              <w:jc w:val="center"/>
              <w:rPr>
                <w:rFonts w:ascii="宋体" w:hAnsi="宋体" w:eastAsia="宋体" w:cs="Times New Roman"/>
                <w:sz w:val="18"/>
                <w:szCs w:val="18"/>
              </w:rPr>
            </w:pPr>
            <w:bookmarkStart w:id="87" w:name="_Hlk197597164"/>
            <w:r>
              <w:rPr>
                <w:rFonts w:ascii="宋体" w:hAnsi="宋体" w:eastAsia="宋体" w:cs="Times New Roman"/>
                <w:sz w:val="18"/>
                <w:szCs w:val="18"/>
              </w:rPr>
              <w:t>I</w:t>
            </w:r>
          </w:p>
        </w:tc>
        <w:tc>
          <w:tcPr>
            <w:tcW w:w="1660" w:type="pct"/>
            <w:noWrap/>
          </w:tcPr>
          <w:p>
            <w:pPr>
              <w:widowControl/>
              <w:jc w:val="center"/>
              <w:rPr>
                <w:rFonts w:ascii="宋体" w:hAnsi="宋体" w:eastAsia="宋体" w:cs="Times New Roman"/>
                <w:sz w:val="18"/>
                <w:szCs w:val="18"/>
              </w:rPr>
            </w:pPr>
            <w:r>
              <w:rPr>
                <w:rFonts w:hint="eastAsia" w:ascii="宋体" w:hAnsi="宋体" w:eastAsia="宋体" w:cs="Times New Roman"/>
                <w:sz w:val="18"/>
                <w:szCs w:val="18"/>
              </w:rPr>
              <w:t>25</w:t>
            </w:r>
            <w:r>
              <w:rPr>
                <w:rFonts w:ascii="宋体" w:hAnsi="宋体" w:eastAsia="宋体" w:cs="Times New Roman"/>
                <w:sz w:val="18"/>
                <w:szCs w:val="18"/>
              </w:rPr>
              <w:t>～150kg</w:t>
            </w:r>
          </w:p>
        </w:tc>
        <w:tc>
          <w:tcPr>
            <w:tcW w:w="1443" w:type="pct"/>
            <w:noWrap/>
          </w:tcPr>
          <w:p>
            <w:pPr>
              <w:widowControl/>
              <w:jc w:val="center"/>
              <w:rPr>
                <w:rFonts w:ascii="宋体" w:hAnsi="宋体" w:eastAsia="宋体" w:cs="Times New Roman"/>
                <w:sz w:val="18"/>
                <w:szCs w:val="18"/>
              </w:rPr>
            </w:pPr>
            <w:r>
              <w:rPr>
                <w:rFonts w:ascii="宋体" w:hAnsi="宋体" w:eastAsia="宋体" w:cs="Times New Roman"/>
                <w:sz w:val="18"/>
                <w:szCs w:val="18"/>
              </w:rPr>
              <w:t>6</w:t>
            </w:r>
            <w:r>
              <w:rPr>
                <w:rFonts w:hint="eastAsia" w:ascii="宋体" w:hAnsi="宋体" w:eastAsia="宋体" w:cs="Times New Roman"/>
                <w:sz w:val="18"/>
                <w:szCs w:val="18"/>
              </w:rPr>
              <w:t>5</w:t>
            </w:r>
          </w:p>
        </w:tc>
        <w:tc>
          <w:tcPr>
            <w:tcW w:w="1347" w:type="pct"/>
            <w:tcBorders>
              <w:right w:val="single" w:color="auto" w:sz="12" w:space="0"/>
            </w:tcBorders>
            <w:noWrap/>
          </w:tcPr>
          <w:p>
            <w:pPr>
              <w:widowControl/>
              <w:jc w:val="center"/>
              <w:rPr>
                <w:rFonts w:ascii="宋体" w:hAnsi="宋体" w:eastAsia="宋体" w:cs="Times New Roman"/>
                <w:sz w:val="18"/>
                <w:szCs w:val="18"/>
              </w:rPr>
            </w:pPr>
            <w:r>
              <w:rPr>
                <w:rFonts w:hint="eastAsia" w:ascii="宋体" w:hAnsi="宋体" w:eastAsia="宋体" w:cs="Times New Roman"/>
                <w:sz w:val="18"/>
                <w:szCs w:val="1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51" w:type="pct"/>
            <w:tcBorders>
              <w:left w:val="single" w:color="auto" w:sz="12" w:space="0"/>
            </w:tcBorders>
            <w:noWrap/>
          </w:tcPr>
          <w:p>
            <w:pPr>
              <w:widowControl/>
              <w:jc w:val="center"/>
              <w:rPr>
                <w:rFonts w:ascii="宋体" w:hAnsi="宋体" w:eastAsia="宋体" w:cs="Times New Roman"/>
                <w:sz w:val="18"/>
                <w:szCs w:val="18"/>
              </w:rPr>
            </w:pPr>
            <w:r>
              <w:rPr>
                <w:rFonts w:ascii="宋体" w:hAnsi="宋体" w:eastAsia="宋体" w:cs="Times New Roman"/>
                <w:sz w:val="18"/>
                <w:szCs w:val="18"/>
              </w:rPr>
              <w:t>II</w:t>
            </w:r>
          </w:p>
        </w:tc>
        <w:tc>
          <w:tcPr>
            <w:tcW w:w="1660" w:type="pct"/>
            <w:noWrap/>
          </w:tcPr>
          <w:p>
            <w:pPr>
              <w:widowControl/>
              <w:jc w:val="center"/>
              <w:rPr>
                <w:rFonts w:ascii="宋体" w:hAnsi="宋体" w:eastAsia="宋体" w:cs="Times New Roman"/>
                <w:sz w:val="18"/>
                <w:szCs w:val="18"/>
              </w:rPr>
            </w:pPr>
            <w:r>
              <w:rPr>
                <w:rFonts w:ascii="宋体" w:hAnsi="宋体" w:eastAsia="宋体" w:cs="Times New Roman"/>
                <w:sz w:val="18"/>
                <w:szCs w:val="18"/>
              </w:rPr>
              <w:t>150～600kg</w:t>
            </w:r>
          </w:p>
        </w:tc>
        <w:tc>
          <w:tcPr>
            <w:tcW w:w="1443" w:type="pct"/>
            <w:noWrap/>
          </w:tcPr>
          <w:p>
            <w:pPr>
              <w:widowControl/>
              <w:jc w:val="center"/>
              <w:rPr>
                <w:rFonts w:ascii="宋体" w:hAnsi="宋体" w:eastAsia="宋体" w:cs="Times New Roman"/>
                <w:sz w:val="18"/>
                <w:szCs w:val="18"/>
              </w:rPr>
            </w:pPr>
            <w:r>
              <w:rPr>
                <w:rFonts w:ascii="宋体" w:hAnsi="宋体" w:eastAsia="宋体" w:cs="Times New Roman"/>
                <w:sz w:val="18"/>
                <w:szCs w:val="18"/>
              </w:rPr>
              <w:t>7</w:t>
            </w:r>
            <w:r>
              <w:rPr>
                <w:rFonts w:hint="eastAsia" w:ascii="宋体" w:hAnsi="宋体" w:eastAsia="宋体" w:cs="Times New Roman"/>
                <w:sz w:val="18"/>
                <w:szCs w:val="18"/>
              </w:rPr>
              <w:t>6</w:t>
            </w:r>
          </w:p>
        </w:tc>
        <w:tc>
          <w:tcPr>
            <w:tcW w:w="1347" w:type="pct"/>
            <w:tcBorders>
              <w:right w:val="single" w:color="auto" w:sz="12" w:space="0"/>
            </w:tcBorders>
            <w:noWrap/>
          </w:tcPr>
          <w:p>
            <w:pPr>
              <w:widowControl/>
              <w:jc w:val="center"/>
              <w:rPr>
                <w:rFonts w:ascii="宋体" w:hAnsi="宋体" w:eastAsia="宋体" w:cs="Times New Roman"/>
                <w:sz w:val="18"/>
                <w:szCs w:val="18"/>
              </w:rPr>
            </w:pPr>
            <w:r>
              <w:rPr>
                <w:rFonts w:hint="eastAsia" w:ascii="宋体" w:hAnsi="宋体" w:eastAsia="宋体" w:cs="Times New Roman"/>
                <w:sz w:val="18"/>
                <w:szCs w:val="18"/>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51" w:type="pct"/>
            <w:tcBorders>
              <w:left w:val="single" w:color="auto" w:sz="12" w:space="0"/>
              <w:bottom w:val="single" w:color="auto" w:sz="4" w:space="0"/>
            </w:tcBorders>
            <w:noWrap/>
          </w:tcPr>
          <w:p>
            <w:pPr>
              <w:widowControl/>
              <w:jc w:val="center"/>
              <w:rPr>
                <w:rFonts w:ascii="宋体" w:hAnsi="宋体" w:eastAsia="宋体" w:cs="Times New Roman"/>
                <w:sz w:val="18"/>
                <w:szCs w:val="18"/>
              </w:rPr>
            </w:pPr>
            <w:r>
              <w:rPr>
                <w:rFonts w:ascii="宋体" w:hAnsi="宋体" w:eastAsia="宋体" w:cs="Times New Roman"/>
                <w:sz w:val="18"/>
                <w:szCs w:val="18"/>
              </w:rPr>
              <w:t>III</w:t>
            </w:r>
          </w:p>
        </w:tc>
        <w:tc>
          <w:tcPr>
            <w:tcW w:w="1660" w:type="pct"/>
            <w:tcBorders>
              <w:bottom w:val="single" w:color="auto" w:sz="4" w:space="0"/>
            </w:tcBorders>
            <w:noWrap/>
          </w:tcPr>
          <w:p>
            <w:pPr>
              <w:widowControl/>
              <w:jc w:val="center"/>
              <w:rPr>
                <w:rFonts w:ascii="宋体" w:hAnsi="宋体" w:eastAsia="宋体" w:cs="Times New Roman"/>
                <w:sz w:val="18"/>
                <w:szCs w:val="18"/>
              </w:rPr>
            </w:pPr>
            <w:r>
              <w:rPr>
                <w:rFonts w:ascii="宋体" w:hAnsi="宋体" w:eastAsia="宋体" w:cs="Times New Roman"/>
                <w:sz w:val="18"/>
                <w:szCs w:val="18"/>
              </w:rPr>
              <w:t>600～1250kg</w:t>
            </w:r>
          </w:p>
        </w:tc>
        <w:tc>
          <w:tcPr>
            <w:tcW w:w="1443" w:type="pct"/>
            <w:tcBorders>
              <w:bottom w:val="single" w:color="auto" w:sz="4" w:space="0"/>
            </w:tcBorders>
            <w:noWrap/>
          </w:tcPr>
          <w:p>
            <w:pPr>
              <w:widowControl/>
              <w:jc w:val="center"/>
              <w:rPr>
                <w:rFonts w:ascii="宋体" w:hAnsi="宋体" w:eastAsia="宋体" w:cs="Times New Roman"/>
                <w:sz w:val="18"/>
                <w:szCs w:val="18"/>
              </w:rPr>
            </w:pPr>
            <w:r>
              <w:rPr>
                <w:rFonts w:hint="eastAsia" w:ascii="宋体" w:hAnsi="宋体" w:eastAsia="宋体" w:cs="Times New Roman"/>
                <w:sz w:val="18"/>
                <w:szCs w:val="18"/>
              </w:rPr>
              <w:t>86</w:t>
            </w:r>
          </w:p>
        </w:tc>
        <w:tc>
          <w:tcPr>
            <w:tcW w:w="1347" w:type="pct"/>
            <w:tcBorders>
              <w:bottom w:val="single" w:color="auto" w:sz="4" w:space="0"/>
              <w:right w:val="single" w:color="auto" w:sz="12" w:space="0"/>
            </w:tcBorders>
            <w:noWrap/>
          </w:tcPr>
          <w:p>
            <w:pPr>
              <w:widowControl/>
              <w:jc w:val="center"/>
              <w:rPr>
                <w:rFonts w:ascii="宋体" w:hAnsi="宋体" w:eastAsia="宋体" w:cs="Times New Roman"/>
                <w:sz w:val="18"/>
                <w:szCs w:val="18"/>
              </w:rPr>
            </w:pPr>
            <w:r>
              <w:rPr>
                <w:rFonts w:ascii="宋体" w:hAnsi="宋体" w:eastAsia="宋体" w:cs="Times New Roman"/>
                <w:sz w:val="18"/>
                <w:szCs w:val="18"/>
              </w:rPr>
              <w:t>8</w:t>
            </w:r>
            <w:r>
              <w:rPr>
                <w:rFonts w:hint="eastAsia" w:ascii="宋体" w:hAnsi="宋体" w:eastAsia="宋体" w:cs="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51" w:type="pct"/>
            <w:tcBorders>
              <w:left w:val="single" w:color="auto" w:sz="12" w:space="0"/>
              <w:bottom w:val="single" w:color="auto" w:sz="12" w:space="0"/>
            </w:tcBorders>
            <w:noWrap/>
          </w:tcPr>
          <w:p>
            <w:pPr>
              <w:widowControl/>
              <w:jc w:val="center"/>
              <w:rPr>
                <w:rFonts w:ascii="宋体" w:hAnsi="宋体" w:eastAsia="宋体" w:cs="Times New Roman"/>
                <w:sz w:val="18"/>
                <w:szCs w:val="18"/>
              </w:rPr>
            </w:pPr>
            <w:r>
              <w:rPr>
                <w:rFonts w:hint="eastAsia" w:ascii="宋体" w:hAnsi="宋体" w:eastAsia="宋体" w:cs="Times New Roman"/>
                <w:sz w:val="18"/>
                <w:szCs w:val="18"/>
              </w:rPr>
              <w:t>IV</w:t>
            </w:r>
          </w:p>
        </w:tc>
        <w:tc>
          <w:tcPr>
            <w:tcW w:w="1660" w:type="pct"/>
            <w:tcBorders>
              <w:bottom w:val="single" w:color="auto" w:sz="12" w:space="0"/>
            </w:tcBorders>
            <w:noWrap/>
          </w:tcPr>
          <w:p>
            <w:pPr>
              <w:widowControl/>
              <w:jc w:val="center"/>
              <w:rPr>
                <w:rFonts w:ascii="宋体" w:hAnsi="宋体" w:eastAsia="宋体" w:cs="Times New Roman"/>
                <w:sz w:val="18"/>
                <w:szCs w:val="18"/>
              </w:rPr>
            </w:pPr>
            <w:r>
              <w:rPr>
                <w:rFonts w:hint="eastAsia" w:ascii="宋体" w:hAnsi="宋体" w:eastAsia="宋体" w:cs="Times New Roman"/>
                <w:sz w:val="18"/>
                <w:szCs w:val="18"/>
              </w:rPr>
              <w:t>≥</w:t>
            </w:r>
            <w:r>
              <w:rPr>
                <w:rFonts w:ascii="宋体" w:hAnsi="宋体" w:eastAsia="宋体" w:cs="Times New Roman"/>
                <w:sz w:val="18"/>
                <w:szCs w:val="18"/>
              </w:rPr>
              <w:t>1250</w:t>
            </w:r>
            <w:r>
              <w:rPr>
                <w:rFonts w:hint="eastAsia" w:ascii="宋体" w:hAnsi="宋体" w:eastAsia="宋体" w:cs="Times New Roman"/>
                <w:sz w:val="18"/>
                <w:szCs w:val="18"/>
              </w:rPr>
              <w:t xml:space="preserve">kg </w:t>
            </w:r>
          </w:p>
        </w:tc>
        <w:tc>
          <w:tcPr>
            <w:tcW w:w="1443" w:type="pct"/>
            <w:tcBorders>
              <w:bottom w:val="single" w:color="auto" w:sz="12" w:space="0"/>
            </w:tcBorders>
            <w:noWrap/>
          </w:tcPr>
          <w:p>
            <w:pPr>
              <w:widowControl/>
              <w:jc w:val="center"/>
              <w:rPr>
                <w:rFonts w:ascii="宋体" w:hAnsi="宋体" w:eastAsia="宋体" w:cs="Times New Roman"/>
                <w:sz w:val="18"/>
                <w:szCs w:val="18"/>
              </w:rPr>
            </w:pPr>
            <w:r>
              <w:rPr>
                <w:rFonts w:hint="eastAsia" w:ascii="宋体" w:hAnsi="宋体" w:eastAsia="宋体" w:cs="Times New Roman"/>
                <w:sz w:val="18"/>
                <w:szCs w:val="18"/>
              </w:rPr>
              <w:t>88</w:t>
            </w:r>
          </w:p>
        </w:tc>
        <w:tc>
          <w:tcPr>
            <w:tcW w:w="1347" w:type="pct"/>
            <w:tcBorders>
              <w:bottom w:val="single" w:color="auto" w:sz="12" w:space="0"/>
              <w:right w:val="single" w:color="auto" w:sz="12" w:space="0"/>
            </w:tcBorders>
            <w:noWrap/>
          </w:tcPr>
          <w:p>
            <w:pPr>
              <w:widowControl/>
              <w:jc w:val="center"/>
              <w:rPr>
                <w:rFonts w:ascii="宋体" w:hAnsi="宋体" w:eastAsia="宋体" w:cs="Times New Roman"/>
                <w:sz w:val="18"/>
                <w:szCs w:val="18"/>
              </w:rPr>
            </w:pPr>
            <w:r>
              <w:rPr>
                <w:rFonts w:hint="eastAsia" w:ascii="宋体" w:hAnsi="宋体" w:eastAsia="宋体" w:cs="Times New Roman"/>
                <w:sz w:val="18"/>
                <w:szCs w:val="18"/>
              </w:rPr>
              <w:t>94</w:t>
            </w:r>
          </w:p>
        </w:tc>
      </w:tr>
      <w:bookmarkEnd w:id="87"/>
    </w:tbl>
    <w:p>
      <w:pPr>
        <w:pStyle w:val="51"/>
        <w:ind w:firstLine="0" w:firstLineChars="0"/>
        <w:rPr>
          <w:rFonts w:hint="eastAsia"/>
        </w:rPr>
      </w:pPr>
    </w:p>
    <w:p>
      <w:pPr>
        <w:pStyle w:val="65"/>
        <w:spacing w:before="156" w:after="156"/>
      </w:pPr>
      <w:bookmarkStart w:id="88" w:name="_Toc16881"/>
      <w:r>
        <w:rPr>
          <w:rFonts w:hint="eastAsia"/>
        </w:rPr>
        <w:t>起降架次的限制</w:t>
      </w:r>
      <w:bookmarkEnd w:id="88"/>
    </w:p>
    <w:p>
      <w:pPr>
        <w:pStyle w:val="67"/>
        <w:ind w:firstLine="420"/>
      </w:pPr>
      <w:r>
        <w:rPr>
          <w:rFonts w:hint="eastAsia"/>
        </w:rPr>
        <w:t>结合场界噪声限值、低空飞行器噪声限值和噪声暴露级，低空飞行器垂直起降点的低空飞行器起降架次限制见表3。</w:t>
      </w:r>
    </w:p>
    <w:p>
      <w:pPr>
        <w:pStyle w:val="60"/>
        <w:numPr>
          <w:ilvl w:val="0"/>
          <w:numId w:val="0"/>
        </w:numPr>
        <w:ind w:right="420"/>
      </w:pPr>
      <w:bookmarkStart w:id="89" w:name="OLE_LINK31"/>
      <w:r>
        <w:rPr>
          <w:rFonts w:hint="eastAsia"/>
        </w:rPr>
        <w:t>表3</w:t>
      </w:r>
      <w:bookmarkStart w:id="90" w:name="OLE_LINK6"/>
      <w:r>
        <w:rPr>
          <w:rFonts w:hint="eastAsia"/>
        </w:rPr>
        <w:t xml:space="preserve">  飞行器起降</w:t>
      </w:r>
      <w:bookmarkStart w:id="91" w:name="OLE_LINK5"/>
      <w:bookmarkStart w:id="92" w:name="OLE_LINK4"/>
      <w:r>
        <w:rPr>
          <w:rFonts w:hint="eastAsia"/>
        </w:rPr>
        <w:t>架次的限制</w:t>
      </w:r>
      <w:bookmarkEnd w:id="90"/>
      <w:bookmarkEnd w:id="91"/>
      <w:bookmarkEnd w:id="92"/>
    </w:p>
    <w:tbl>
      <w:tblPr>
        <w:tblStyle w:val="20"/>
        <w:tblW w:w="9280" w:type="dxa"/>
        <w:jc w:val="center"/>
        <w:tblLayout w:type="fixed"/>
        <w:tblCellMar>
          <w:top w:w="0" w:type="dxa"/>
          <w:left w:w="108" w:type="dxa"/>
          <w:bottom w:w="0" w:type="dxa"/>
          <w:right w:w="108" w:type="dxa"/>
        </w:tblCellMar>
      </w:tblPr>
      <w:tblGrid>
        <w:gridCol w:w="1494"/>
        <w:gridCol w:w="1557"/>
        <w:gridCol w:w="1557"/>
        <w:gridCol w:w="1557"/>
        <w:gridCol w:w="1557"/>
        <w:gridCol w:w="1558"/>
      </w:tblGrid>
      <w:tr>
        <w:tblPrEx>
          <w:tblCellMar>
            <w:top w:w="0" w:type="dxa"/>
            <w:left w:w="108" w:type="dxa"/>
            <w:bottom w:w="0" w:type="dxa"/>
            <w:right w:w="108" w:type="dxa"/>
          </w:tblCellMar>
        </w:tblPrEx>
        <w:trPr>
          <w:trHeight w:val="424" w:hRule="atLeast"/>
          <w:tblHeader/>
          <w:jc w:val="center"/>
        </w:trPr>
        <w:tc>
          <w:tcPr>
            <w:tcW w:w="1494" w:type="dxa"/>
            <w:vMerge w:val="restart"/>
            <w:tcBorders>
              <w:top w:val="single" w:color="auto" w:sz="12" w:space="0"/>
              <w:left w:val="single" w:color="auto" w:sz="12" w:space="0"/>
              <w:bottom w:val="single" w:color="auto" w:sz="12" w:space="0"/>
              <w:right w:val="single" w:color="000000" w:sz="4" w:space="0"/>
            </w:tcBorders>
            <w:shd w:val="clear" w:color="auto" w:fill="auto"/>
            <w:vAlign w:val="center"/>
          </w:tcPr>
          <w:p>
            <w:pPr>
              <w:widowControl/>
              <w:jc w:val="center"/>
              <w:rPr>
                <w:rFonts w:ascii="宋体" w:hAnsi="宋体" w:eastAsia="宋体"/>
                <w:sz w:val="18"/>
                <w:szCs w:val="18"/>
              </w:rPr>
            </w:pPr>
            <w:r>
              <w:rPr>
                <w:rFonts w:hint="eastAsia" w:ascii="宋体" w:hAnsi="宋体" w:eastAsia="宋体"/>
                <w:sz w:val="18"/>
                <w:szCs w:val="18"/>
              </w:rPr>
              <w:t>环境声</w:t>
            </w:r>
          </w:p>
          <w:p>
            <w:pPr>
              <w:widowControl/>
              <w:tabs>
                <w:tab w:val="center" w:pos="639"/>
              </w:tabs>
              <w:jc w:val="center"/>
              <w:rPr>
                <w:rFonts w:ascii="宋体" w:hAnsi="宋体" w:eastAsia="宋体"/>
                <w:sz w:val="18"/>
                <w:szCs w:val="18"/>
              </w:rPr>
            </w:pPr>
            <w:r>
              <w:rPr>
                <w:rFonts w:hint="eastAsia" w:ascii="宋体" w:hAnsi="宋体" w:eastAsia="宋体"/>
                <w:sz w:val="18"/>
                <w:szCs w:val="18"/>
              </w:rPr>
              <w:t>功能类型</w:t>
            </w:r>
          </w:p>
        </w:tc>
        <w:tc>
          <w:tcPr>
            <w:tcW w:w="7786" w:type="dxa"/>
            <w:gridSpan w:val="5"/>
            <w:tcBorders>
              <w:top w:val="single" w:color="auto" w:sz="12" w:space="0"/>
              <w:left w:val="single" w:color="000000" w:sz="4" w:space="0"/>
              <w:bottom w:val="single" w:color="000000" w:sz="4" w:space="0"/>
              <w:right w:val="single" w:color="auto" w:sz="12"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飞行器噪声类别</w:t>
            </w:r>
          </w:p>
        </w:tc>
      </w:tr>
      <w:tr>
        <w:tblPrEx>
          <w:tblCellMar>
            <w:top w:w="0" w:type="dxa"/>
            <w:left w:w="108" w:type="dxa"/>
            <w:bottom w:w="0" w:type="dxa"/>
            <w:right w:w="108" w:type="dxa"/>
          </w:tblCellMar>
        </w:tblPrEx>
        <w:trPr>
          <w:trHeight w:val="384" w:hRule="atLeast"/>
          <w:tblHeader/>
          <w:jc w:val="center"/>
        </w:trPr>
        <w:tc>
          <w:tcPr>
            <w:tcW w:w="1494" w:type="dxa"/>
            <w:vMerge w:val="continue"/>
            <w:tcBorders>
              <w:top w:val="single" w:color="000000" w:sz="4" w:space="0"/>
              <w:left w:val="single" w:color="auto" w:sz="12" w:space="0"/>
              <w:bottom w:val="single" w:color="auto" w:sz="12" w:space="0"/>
              <w:right w:val="single" w:color="auto" w:sz="4" w:space="0"/>
              <w:tl2br w:val="single" w:color="auto" w:sz="4" w:space="0"/>
            </w:tcBorders>
            <w:shd w:val="clear" w:color="auto" w:fill="auto"/>
            <w:vAlign w:val="center"/>
          </w:tcPr>
          <w:p>
            <w:pPr>
              <w:widowControl/>
              <w:jc w:val="center"/>
              <w:rPr>
                <w:rFonts w:ascii="宋体" w:hAnsi="宋体" w:eastAsia="宋体"/>
                <w:sz w:val="18"/>
                <w:szCs w:val="18"/>
              </w:rPr>
            </w:pPr>
          </w:p>
        </w:tc>
        <w:tc>
          <w:tcPr>
            <w:tcW w:w="1557" w:type="dxa"/>
            <w:tcBorders>
              <w:top w:val="single" w:color="000000" w:sz="4" w:space="0"/>
              <w:left w:val="single" w:color="auto" w:sz="4" w:space="0"/>
              <w:bottom w:val="single" w:color="auto" w:sz="12"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0类</w:t>
            </w:r>
          </w:p>
        </w:tc>
        <w:tc>
          <w:tcPr>
            <w:tcW w:w="1557" w:type="dxa"/>
            <w:tcBorders>
              <w:top w:val="single" w:color="000000" w:sz="4" w:space="0"/>
              <w:left w:val="nil"/>
              <w:bottom w:val="single" w:color="auto" w:sz="12"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I类</w:t>
            </w:r>
          </w:p>
        </w:tc>
        <w:tc>
          <w:tcPr>
            <w:tcW w:w="1557" w:type="dxa"/>
            <w:tcBorders>
              <w:top w:val="single" w:color="000000" w:sz="4" w:space="0"/>
              <w:left w:val="nil"/>
              <w:bottom w:val="single" w:color="auto" w:sz="12"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II类</w:t>
            </w:r>
          </w:p>
        </w:tc>
        <w:tc>
          <w:tcPr>
            <w:tcW w:w="1557" w:type="dxa"/>
            <w:tcBorders>
              <w:top w:val="single" w:color="000000" w:sz="4" w:space="0"/>
              <w:left w:val="nil"/>
              <w:bottom w:val="single" w:color="auto" w:sz="12"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III类</w:t>
            </w:r>
          </w:p>
        </w:tc>
        <w:tc>
          <w:tcPr>
            <w:tcW w:w="1558" w:type="dxa"/>
            <w:tcBorders>
              <w:top w:val="single" w:color="000000" w:sz="4" w:space="0"/>
              <w:left w:val="nil"/>
              <w:bottom w:val="single" w:color="auto" w:sz="12" w:space="0"/>
              <w:right w:val="single" w:color="auto" w:sz="12"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VI类</w:t>
            </w:r>
          </w:p>
        </w:tc>
      </w:tr>
      <w:tr>
        <w:tblPrEx>
          <w:tblCellMar>
            <w:top w:w="0" w:type="dxa"/>
            <w:left w:w="108" w:type="dxa"/>
            <w:bottom w:w="0" w:type="dxa"/>
            <w:right w:w="108" w:type="dxa"/>
          </w:tblCellMar>
        </w:tblPrEx>
        <w:trPr>
          <w:trHeight w:val="483" w:hRule="atLeast"/>
          <w:jc w:val="center"/>
        </w:trPr>
        <w:tc>
          <w:tcPr>
            <w:tcW w:w="1494" w:type="dxa"/>
            <w:tcBorders>
              <w:top w:val="single" w:color="auto" w:sz="12" w:space="0"/>
              <w:left w:val="single" w:color="auto" w:sz="12" w:space="0"/>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0</w:t>
            </w:r>
          </w:p>
        </w:tc>
        <w:tc>
          <w:tcPr>
            <w:tcW w:w="1557" w:type="dxa"/>
            <w:tcBorders>
              <w:top w:val="single" w:color="auto" w:sz="12"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昼间：无限制</w:t>
            </w:r>
          </w:p>
          <w:p>
            <w:pPr>
              <w:widowControl/>
              <w:jc w:val="center"/>
              <w:rPr>
                <w:rFonts w:ascii="宋体" w:hAnsi="宋体" w:eastAsia="宋体"/>
                <w:sz w:val="18"/>
                <w:szCs w:val="18"/>
              </w:rPr>
            </w:pPr>
            <w:r>
              <w:rPr>
                <w:rFonts w:hint="eastAsia" w:ascii="宋体" w:hAnsi="宋体" w:eastAsia="宋体"/>
                <w:sz w:val="18"/>
                <w:szCs w:val="18"/>
              </w:rPr>
              <w:t>夜间：8架</w:t>
            </w:r>
          </w:p>
        </w:tc>
        <w:tc>
          <w:tcPr>
            <w:tcW w:w="1557" w:type="dxa"/>
            <w:tcBorders>
              <w:top w:val="single" w:color="auto" w:sz="12" w:space="0"/>
              <w:left w:val="nil"/>
              <w:bottom w:val="single" w:color="auto" w:sz="4" w:space="0"/>
              <w:right w:val="single" w:color="auto" w:sz="4" w:space="0"/>
            </w:tcBorders>
            <w:shd w:val="clear" w:color="auto" w:fill="auto"/>
            <w:vAlign w:val="center"/>
          </w:tcPr>
          <w:p>
            <w:pPr>
              <w:widowControl/>
              <w:ind w:firstLine="180" w:firstLineChars="100"/>
              <w:jc w:val="center"/>
              <w:rPr>
                <w:rFonts w:ascii="宋体" w:hAnsi="宋体" w:eastAsia="宋体"/>
                <w:sz w:val="18"/>
                <w:szCs w:val="18"/>
              </w:rPr>
            </w:pPr>
            <w:r>
              <w:rPr>
                <w:rFonts w:hint="eastAsia" w:ascii="宋体" w:hAnsi="宋体" w:eastAsia="宋体"/>
                <w:sz w:val="18"/>
                <w:szCs w:val="18"/>
              </w:rPr>
              <w:t>昼间：64架</w:t>
            </w:r>
          </w:p>
          <w:p>
            <w:pPr>
              <w:widowControl/>
              <w:jc w:val="center"/>
              <w:rPr>
                <w:rFonts w:ascii="宋体" w:hAnsi="宋体" w:eastAsia="宋体"/>
                <w:sz w:val="18"/>
                <w:szCs w:val="18"/>
              </w:rPr>
            </w:pPr>
            <w:r>
              <w:rPr>
                <w:rFonts w:hint="eastAsia" w:ascii="宋体" w:hAnsi="宋体" w:eastAsia="宋体"/>
                <w:sz w:val="18"/>
                <w:szCs w:val="18"/>
              </w:rPr>
              <w:t>夜间：0架</w:t>
            </w:r>
          </w:p>
        </w:tc>
        <w:tc>
          <w:tcPr>
            <w:tcW w:w="1557" w:type="dxa"/>
            <w:tcBorders>
              <w:top w:val="single" w:color="auto" w:sz="12" w:space="0"/>
              <w:left w:val="nil"/>
              <w:bottom w:val="single" w:color="auto" w:sz="4" w:space="0"/>
              <w:right w:val="single" w:color="auto" w:sz="4" w:space="0"/>
            </w:tcBorders>
            <w:shd w:val="clear" w:color="auto" w:fill="auto"/>
            <w:vAlign w:val="center"/>
          </w:tcPr>
          <w:p>
            <w:pPr>
              <w:widowControl/>
              <w:ind w:left="210" w:leftChars="100"/>
              <w:jc w:val="center"/>
              <w:rPr>
                <w:rFonts w:ascii="宋体" w:hAnsi="宋体" w:eastAsia="宋体"/>
                <w:sz w:val="18"/>
                <w:szCs w:val="18"/>
              </w:rPr>
            </w:pPr>
            <w:r>
              <w:rPr>
                <w:rFonts w:hint="eastAsia" w:ascii="宋体" w:hAnsi="宋体" w:eastAsia="宋体"/>
                <w:sz w:val="18"/>
                <w:szCs w:val="18"/>
              </w:rPr>
              <w:t>昼间：0架</w:t>
            </w:r>
          </w:p>
          <w:p>
            <w:pPr>
              <w:widowControl/>
              <w:ind w:left="210" w:leftChars="100"/>
              <w:jc w:val="center"/>
              <w:rPr>
                <w:rFonts w:ascii="宋体" w:hAnsi="宋体" w:eastAsia="宋体"/>
                <w:sz w:val="18"/>
                <w:szCs w:val="18"/>
              </w:rPr>
            </w:pPr>
            <w:r>
              <w:rPr>
                <w:rFonts w:hint="eastAsia" w:ascii="宋体" w:hAnsi="宋体" w:eastAsia="宋体"/>
                <w:sz w:val="18"/>
                <w:szCs w:val="18"/>
              </w:rPr>
              <w:t>夜间：0架</w:t>
            </w:r>
          </w:p>
        </w:tc>
        <w:tc>
          <w:tcPr>
            <w:tcW w:w="1557" w:type="dxa"/>
            <w:tcBorders>
              <w:top w:val="single" w:color="auto" w:sz="12" w:space="0"/>
              <w:left w:val="nil"/>
              <w:bottom w:val="single" w:color="auto" w:sz="4" w:space="0"/>
              <w:right w:val="single" w:color="auto" w:sz="4" w:space="0"/>
            </w:tcBorders>
            <w:shd w:val="clear" w:color="auto" w:fill="auto"/>
            <w:vAlign w:val="center"/>
          </w:tcPr>
          <w:p>
            <w:pPr>
              <w:widowControl/>
              <w:jc w:val="center"/>
              <w:rPr>
                <w:rFonts w:ascii="宋体" w:hAnsi="宋体" w:eastAsia="宋体"/>
                <w:sz w:val="18"/>
                <w:szCs w:val="18"/>
              </w:rPr>
            </w:pPr>
            <w:r>
              <w:rPr>
                <w:rFonts w:hint="eastAsia" w:ascii="宋体" w:hAnsi="宋体" w:eastAsia="宋体"/>
                <w:sz w:val="18"/>
                <w:szCs w:val="18"/>
              </w:rPr>
              <w:t>昼间：0架</w:t>
            </w:r>
          </w:p>
          <w:p>
            <w:pPr>
              <w:widowControl/>
              <w:jc w:val="center"/>
              <w:rPr>
                <w:rFonts w:ascii="宋体" w:hAnsi="宋体" w:eastAsia="宋体"/>
                <w:sz w:val="18"/>
                <w:szCs w:val="18"/>
              </w:rPr>
            </w:pPr>
            <w:r>
              <w:rPr>
                <w:rFonts w:hint="eastAsia" w:ascii="宋体" w:hAnsi="宋体" w:eastAsia="宋体"/>
                <w:sz w:val="18"/>
                <w:szCs w:val="18"/>
              </w:rPr>
              <w:t>夜间：0架</w:t>
            </w:r>
          </w:p>
        </w:tc>
        <w:tc>
          <w:tcPr>
            <w:tcW w:w="1558" w:type="dxa"/>
            <w:tcBorders>
              <w:top w:val="single" w:color="auto" w:sz="12" w:space="0"/>
              <w:left w:val="nil"/>
              <w:bottom w:val="single" w:color="auto" w:sz="4" w:space="0"/>
              <w:right w:val="single" w:color="auto" w:sz="12" w:space="0"/>
            </w:tcBorders>
            <w:shd w:val="clear" w:color="auto" w:fill="auto"/>
            <w:vAlign w:val="center"/>
          </w:tcPr>
          <w:p>
            <w:pPr>
              <w:widowControl/>
              <w:jc w:val="center"/>
              <w:rPr>
                <w:rFonts w:ascii="宋体" w:hAnsi="宋体" w:eastAsia="宋体"/>
                <w:sz w:val="18"/>
                <w:szCs w:val="18"/>
              </w:rPr>
            </w:pPr>
            <w:r>
              <w:rPr>
                <w:rFonts w:hint="eastAsia" w:ascii="宋体" w:hAnsi="宋体" w:eastAsia="宋体"/>
                <w:sz w:val="18"/>
                <w:szCs w:val="18"/>
              </w:rPr>
              <w:t>昼间：0架</w:t>
            </w:r>
          </w:p>
          <w:p>
            <w:pPr>
              <w:widowControl/>
              <w:jc w:val="center"/>
              <w:rPr>
                <w:rFonts w:ascii="宋体" w:hAnsi="宋体" w:eastAsia="宋体"/>
                <w:sz w:val="18"/>
                <w:szCs w:val="18"/>
              </w:rPr>
            </w:pPr>
            <w:r>
              <w:rPr>
                <w:rFonts w:hint="eastAsia" w:ascii="宋体" w:hAnsi="宋体" w:eastAsia="宋体"/>
                <w:sz w:val="18"/>
                <w:szCs w:val="18"/>
              </w:rPr>
              <w:t>夜间：0架</w:t>
            </w:r>
          </w:p>
        </w:tc>
      </w:tr>
      <w:tr>
        <w:tblPrEx>
          <w:tblCellMar>
            <w:top w:w="0" w:type="dxa"/>
            <w:left w:w="108" w:type="dxa"/>
            <w:bottom w:w="0" w:type="dxa"/>
            <w:right w:w="108" w:type="dxa"/>
          </w:tblCellMar>
        </w:tblPrEx>
        <w:trPr>
          <w:trHeight w:val="563" w:hRule="atLeast"/>
          <w:jc w:val="center"/>
        </w:trPr>
        <w:tc>
          <w:tcPr>
            <w:tcW w:w="1494" w:type="dxa"/>
            <w:tcBorders>
              <w:top w:val="nil"/>
              <w:left w:val="single" w:color="auto" w:sz="12" w:space="0"/>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1</w:t>
            </w:r>
          </w:p>
        </w:tc>
        <w:tc>
          <w:tcPr>
            <w:tcW w:w="155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昼间：无限制</w:t>
            </w:r>
          </w:p>
          <w:p>
            <w:pPr>
              <w:widowControl/>
              <w:jc w:val="center"/>
              <w:rPr>
                <w:rFonts w:ascii="宋体" w:hAnsi="宋体" w:eastAsia="宋体"/>
                <w:sz w:val="18"/>
                <w:szCs w:val="18"/>
              </w:rPr>
            </w:pPr>
            <w:r>
              <w:rPr>
                <w:rFonts w:hint="eastAsia" w:ascii="宋体" w:hAnsi="宋体" w:eastAsia="宋体"/>
                <w:sz w:val="18"/>
                <w:szCs w:val="18"/>
              </w:rPr>
              <w:t>夜间：32架</w:t>
            </w:r>
          </w:p>
        </w:tc>
        <w:tc>
          <w:tcPr>
            <w:tcW w:w="155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昼间：无限制</w:t>
            </w:r>
          </w:p>
          <w:p>
            <w:pPr>
              <w:widowControl/>
              <w:ind w:firstLine="180" w:firstLineChars="100"/>
              <w:jc w:val="center"/>
              <w:rPr>
                <w:rFonts w:ascii="宋体" w:hAnsi="宋体" w:eastAsia="宋体"/>
                <w:sz w:val="18"/>
                <w:szCs w:val="18"/>
              </w:rPr>
            </w:pPr>
            <w:r>
              <w:rPr>
                <w:rFonts w:hint="eastAsia" w:ascii="宋体" w:hAnsi="宋体" w:eastAsia="宋体"/>
                <w:sz w:val="18"/>
                <w:szCs w:val="18"/>
              </w:rPr>
              <w:t>夜间：8架</w:t>
            </w:r>
          </w:p>
        </w:tc>
        <w:tc>
          <w:tcPr>
            <w:tcW w:w="155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sz w:val="18"/>
                <w:szCs w:val="18"/>
              </w:rPr>
            </w:pPr>
            <w:r>
              <w:rPr>
                <w:rFonts w:hint="eastAsia" w:ascii="宋体" w:hAnsi="宋体" w:eastAsia="宋体"/>
                <w:sz w:val="18"/>
                <w:szCs w:val="18"/>
              </w:rPr>
              <w:t>昼间：16架</w:t>
            </w:r>
          </w:p>
          <w:p>
            <w:pPr>
              <w:widowControl/>
              <w:jc w:val="center"/>
              <w:rPr>
                <w:rFonts w:ascii="宋体" w:hAnsi="宋体" w:eastAsia="宋体"/>
                <w:sz w:val="18"/>
                <w:szCs w:val="18"/>
              </w:rPr>
            </w:pPr>
            <w:r>
              <w:rPr>
                <w:rFonts w:hint="eastAsia" w:ascii="宋体" w:hAnsi="宋体" w:eastAsia="宋体"/>
                <w:sz w:val="18"/>
                <w:szCs w:val="18"/>
              </w:rPr>
              <w:t>夜间：0架</w:t>
            </w:r>
          </w:p>
        </w:tc>
        <w:tc>
          <w:tcPr>
            <w:tcW w:w="155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sz w:val="18"/>
                <w:szCs w:val="18"/>
              </w:rPr>
            </w:pPr>
            <w:r>
              <w:rPr>
                <w:rFonts w:hint="eastAsia" w:ascii="宋体" w:hAnsi="宋体" w:eastAsia="宋体"/>
                <w:sz w:val="18"/>
                <w:szCs w:val="18"/>
              </w:rPr>
              <w:t>昼间：0架</w:t>
            </w:r>
          </w:p>
          <w:p>
            <w:pPr>
              <w:widowControl/>
              <w:jc w:val="center"/>
              <w:rPr>
                <w:rFonts w:ascii="宋体" w:hAnsi="宋体" w:eastAsia="宋体"/>
                <w:sz w:val="18"/>
                <w:szCs w:val="18"/>
              </w:rPr>
            </w:pPr>
            <w:r>
              <w:rPr>
                <w:rFonts w:hint="eastAsia" w:ascii="宋体" w:hAnsi="宋体" w:eastAsia="宋体"/>
                <w:sz w:val="18"/>
                <w:szCs w:val="18"/>
              </w:rPr>
              <w:t>夜间：0架</w:t>
            </w:r>
          </w:p>
        </w:tc>
        <w:tc>
          <w:tcPr>
            <w:tcW w:w="1558" w:type="dxa"/>
            <w:tcBorders>
              <w:top w:val="single" w:color="auto" w:sz="4" w:space="0"/>
              <w:left w:val="nil"/>
              <w:bottom w:val="single" w:color="auto" w:sz="4" w:space="0"/>
              <w:right w:val="single" w:color="auto" w:sz="12" w:space="0"/>
            </w:tcBorders>
            <w:shd w:val="clear" w:color="auto" w:fill="auto"/>
            <w:vAlign w:val="center"/>
          </w:tcPr>
          <w:p>
            <w:pPr>
              <w:widowControl/>
              <w:jc w:val="center"/>
              <w:rPr>
                <w:rFonts w:ascii="宋体" w:hAnsi="宋体" w:eastAsia="宋体"/>
                <w:sz w:val="18"/>
                <w:szCs w:val="18"/>
              </w:rPr>
            </w:pPr>
            <w:r>
              <w:rPr>
                <w:rFonts w:hint="eastAsia" w:ascii="宋体" w:hAnsi="宋体" w:eastAsia="宋体"/>
                <w:sz w:val="18"/>
                <w:szCs w:val="18"/>
              </w:rPr>
              <w:t>昼间：0架</w:t>
            </w:r>
          </w:p>
          <w:p>
            <w:pPr>
              <w:widowControl/>
              <w:jc w:val="center"/>
              <w:rPr>
                <w:rFonts w:ascii="宋体" w:hAnsi="宋体" w:eastAsia="宋体"/>
                <w:sz w:val="18"/>
                <w:szCs w:val="18"/>
              </w:rPr>
            </w:pPr>
            <w:r>
              <w:rPr>
                <w:rFonts w:hint="eastAsia" w:ascii="宋体" w:hAnsi="宋体" w:eastAsia="宋体"/>
                <w:sz w:val="18"/>
                <w:szCs w:val="18"/>
              </w:rPr>
              <w:t>夜间：0架</w:t>
            </w:r>
          </w:p>
        </w:tc>
      </w:tr>
      <w:tr>
        <w:tblPrEx>
          <w:tblCellMar>
            <w:top w:w="0" w:type="dxa"/>
            <w:left w:w="108" w:type="dxa"/>
            <w:bottom w:w="0" w:type="dxa"/>
            <w:right w:w="108" w:type="dxa"/>
          </w:tblCellMar>
        </w:tblPrEx>
        <w:trPr>
          <w:trHeight w:val="557" w:hRule="atLeast"/>
          <w:jc w:val="center"/>
        </w:trPr>
        <w:tc>
          <w:tcPr>
            <w:tcW w:w="1494" w:type="dxa"/>
            <w:tcBorders>
              <w:top w:val="nil"/>
              <w:left w:val="single" w:color="auto" w:sz="12" w:space="0"/>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2</w:t>
            </w:r>
          </w:p>
        </w:tc>
        <w:tc>
          <w:tcPr>
            <w:tcW w:w="155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无限制</w:t>
            </w:r>
          </w:p>
        </w:tc>
        <w:tc>
          <w:tcPr>
            <w:tcW w:w="155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昼间：无限制</w:t>
            </w:r>
          </w:p>
          <w:p>
            <w:pPr>
              <w:widowControl/>
              <w:jc w:val="center"/>
              <w:rPr>
                <w:rFonts w:ascii="宋体" w:hAnsi="宋体" w:eastAsia="宋体"/>
                <w:sz w:val="18"/>
                <w:szCs w:val="18"/>
              </w:rPr>
            </w:pPr>
            <w:r>
              <w:rPr>
                <w:rFonts w:hint="eastAsia" w:ascii="宋体" w:hAnsi="宋体" w:eastAsia="宋体"/>
                <w:sz w:val="18"/>
                <w:szCs w:val="18"/>
              </w:rPr>
              <w:t>夜间：32架</w:t>
            </w:r>
          </w:p>
        </w:tc>
        <w:tc>
          <w:tcPr>
            <w:tcW w:w="155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昼间：48架</w:t>
            </w:r>
          </w:p>
          <w:p>
            <w:pPr>
              <w:widowControl/>
              <w:jc w:val="center"/>
              <w:rPr>
                <w:rFonts w:ascii="宋体" w:hAnsi="宋体" w:eastAsia="宋体"/>
                <w:sz w:val="18"/>
                <w:szCs w:val="18"/>
              </w:rPr>
            </w:pPr>
            <w:r>
              <w:rPr>
                <w:rFonts w:hint="eastAsia" w:ascii="宋体" w:hAnsi="宋体" w:eastAsia="宋体"/>
                <w:sz w:val="18"/>
                <w:szCs w:val="18"/>
              </w:rPr>
              <w:t>夜间：0架</w:t>
            </w:r>
          </w:p>
        </w:tc>
        <w:tc>
          <w:tcPr>
            <w:tcW w:w="155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sz w:val="18"/>
                <w:szCs w:val="18"/>
              </w:rPr>
            </w:pPr>
            <w:r>
              <w:rPr>
                <w:rFonts w:hint="eastAsia" w:ascii="宋体" w:hAnsi="宋体" w:eastAsia="宋体"/>
                <w:sz w:val="18"/>
                <w:szCs w:val="18"/>
              </w:rPr>
              <w:t>昼间：0架</w:t>
            </w:r>
          </w:p>
          <w:p>
            <w:pPr>
              <w:widowControl/>
              <w:jc w:val="center"/>
              <w:rPr>
                <w:rFonts w:ascii="宋体" w:hAnsi="宋体" w:eastAsia="宋体"/>
                <w:sz w:val="18"/>
                <w:szCs w:val="18"/>
              </w:rPr>
            </w:pPr>
            <w:r>
              <w:rPr>
                <w:rFonts w:hint="eastAsia" w:ascii="宋体" w:hAnsi="宋体" w:eastAsia="宋体"/>
                <w:sz w:val="18"/>
                <w:szCs w:val="18"/>
              </w:rPr>
              <w:t>夜间：0架</w:t>
            </w:r>
          </w:p>
        </w:tc>
        <w:tc>
          <w:tcPr>
            <w:tcW w:w="1558" w:type="dxa"/>
            <w:tcBorders>
              <w:top w:val="single" w:color="auto" w:sz="4" w:space="0"/>
              <w:left w:val="nil"/>
              <w:bottom w:val="single" w:color="auto" w:sz="4" w:space="0"/>
              <w:right w:val="single" w:color="auto" w:sz="12" w:space="0"/>
            </w:tcBorders>
            <w:shd w:val="clear" w:color="auto" w:fill="auto"/>
            <w:vAlign w:val="center"/>
          </w:tcPr>
          <w:p>
            <w:pPr>
              <w:widowControl/>
              <w:jc w:val="center"/>
              <w:rPr>
                <w:rFonts w:ascii="宋体" w:hAnsi="宋体" w:eastAsia="宋体"/>
                <w:sz w:val="18"/>
                <w:szCs w:val="18"/>
              </w:rPr>
            </w:pPr>
            <w:r>
              <w:rPr>
                <w:rFonts w:hint="eastAsia" w:ascii="宋体" w:hAnsi="宋体" w:eastAsia="宋体"/>
                <w:sz w:val="18"/>
                <w:szCs w:val="18"/>
              </w:rPr>
              <w:t>昼间：0架</w:t>
            </w:r>
          </w:p>
          <w:p>
            <w:pPr>
              <w:widowControl/>
              <w:jc w:val="center"/>
              <w:rPr>
                <w:rFonts w:ascii="宋体" w:hAnsi="宋体" w:eastAsia="宋体"/>
                <w:sz w:val="18"/>
                <w:szCs w:val="18"/>
              </w:rPr>
            </w:pPr>
            <w:r>
              <w:rPr>
                <w:rFonts w:hint="eastAsia" w:ascii="宋体" w:hAnsi="宋体" w:eastAsia="宋体"/>
                <w:sz w:val="18"/>
                <w:szCs w:val="18"/>
              </w:rPr>
              <w:t>夜间：0架</w:t>
            </w:r>
          </w:p>
        </w:tc>
      </w:tr>
      <w:tr>
        <w:tblPrEx>
          <w:tblCellMar>
            <w:top w:w="0" w:type="dxa"/>
            <w:left w:w="108" w:type="dxa"/>
            <w:bottom w:w="0" w:type="dxa"/>
            <w:right w:w="108" w:type="dxa"/>
          </w:tblCellMar>
        </w:tblPrEx>
        <w:trPr>
          <w:trHeight w:val="576" w:hRule="atLeast"/>
          <w:jc w:val="center"/>
        </w:trPr>
        <w:tc>
          <w:tcPr>
            <w:tcW w:w="1494" w:type="dxa"/>
            <w:tcBorders>
              <w:top w:val="nil"/>
              <w:left w:val="single" w:color="auto" w:sz="12" w:space="0"/>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3</w:t>
            </w:r>
          </w:p>
        </w:tc>
        <w:tc>
          <w:tcPr>
            <w:tcW w:w="155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无限制</w:t>
            </w:r>
          </w:p>
        </w:tc>
        <w:tc>
          <w:tcPr>
            <w:tcW w:w="155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无限制</w:t>
            </w:r>
          </w:p>
        </w:tc>
        <w:tc>
          <w:tcPr>
            <w:tcW w:w="155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昼间：160架</w:t>
            </w:r>
          </w:p>
          <w:p>
            <w:pPr>
              <w:widowControl/>
              <w:jc w:val="center"/>
              <w:rPr>
                <w:rFonts w:ascii="宋体" w:hAnsi="宋体" w:eastAsia="宋体"/>
                <w:sz w:val="18"/>
                <w:szCs w:val="18"/>
              </w:rPr>
            </w:pPr>
            <w:r>
              <w:rPr>
                <w:rFonts w:hint="eastAsia" w:ascii="宋体" w:hAnsi="宋体" w:eastAsia="宋体"/>
                <w:sz w:val="18"/>
                <w:szCs w:val="18"/>
              </w:rPr>
              <w:t>夜间：8架</w:t>
            </w:r>
          </w:p>
        </w:tc>
        <w:tc>
          <w:tcPr>
            <w:tcW w:w="155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昼间：16架</w:t>
            </w:r>
          </w:p>
          <w:p>
            <w:pPr>
              <w:widowControl/>
              <w:jc w:val="center"/>
              <w:rPr>
                <w:rFonts w:ascii="宋体" w:hAnsi="宋体" w:eastAsia="宋体"/>
                <w:sz w:val="18"/>
                <w:szCs w:val="18"/>
              </w:rPr>
            </w:pPr>
            <w:r>
              <w:rPr>
                <w:rFonts w:hint="eastAsia" w:ascii="宋体" w:hAnsi="宋体" w:eastAsia="宋体"/>
                <w:sz w:val="18"/>
                <w:szCs w:val="18"/>
              </w:rPr>
              <w:t>夜间：0架</w:t>
            </w:r>
          </w:p>
        </w:tc>
        <w:tc>
          <w:tcPr>
            <w:tcW w:w="1558" w:type="dxa"/>
            <w:tcBorders>
              <w:top w:val="single" w:color="auto" w:sz="4" w:space="0"/>
              <w:left w:val="nil"/>
              <w:bottom w:val="single" w:color="auto" w:sz="4" w:space="0"/>
              <w:right w:val="single" w:color="auto" w:sz="12" w:space="0"/>
            </w:tcBorders>
            <w:shd w:val="clear" w:color="auto" w:fill="auto"/>
            <w:vAlign w:val="center"/>
          </w:tcPr>
          <w:p>
            <w:pPr>
              <w:widowControl/>
              <w:jc w:val="center"/>
              <w:rPr>
                <w:rFonts w:ascii="宋体" w:hAnsi="宋体" w:eastAsia="宋体"/>
                <w:sz w:val="18"/>
                <w:szCs w:val="18"/>
              </w:rPr>
            </w:pPr>
            <w:r>
              <w:rPr>
                <w:rFonts w:hint="eastAsia" w:ascii="宋体" w:hAnsi="宋体" w:eastAsia="宋体"/>
                <w:sz w:val="18"/>
                <w:szCs w:val="18"/>
              </w:rPr>
              <w:t>昼间：16架</w:t>
            </w:r>
          </w:p>
          <w:p>
            <w:pPr>
              <w:widowControl/>
              <w:jc w:val="center"/>
              <w:rPr>
                <w:rFonts w:ascii="宋体" w:hAnsi="宋体" w:eastAsia="宋体"/>
                <w:sz w:val="18"/>
                <w:szCs w:val="18"/>
              </w:rPr>
            </w:pPr>
            <w:r>
              <w:rPr>
                <w:rFonts w:hint="eastAsia" w:ascii="宋体" w:hAnsi="宋体" w:eastAsia="宋体"/>
                <w:sz w:val="18"/>
                <w:szCs w:val="18"/>
              </w:rPr>
              <w:t>夜间：0架</w:t>
            </w:r>
          </w:p>
        </w:tc>
      </w:tr>
      <w:tr>
        <w:tblPrEx>
          <w:tblCellMar>
            <w:top w:w="0" w:type="dxa"/>
            <w:left w:w="108" w:type="dxa"/>
            <w:bottom w:w="0" w:type="dxa"/>
            <w:right w:w="108" w:type="dxa"/>
          </w:tblCellMar>
        </w:tblPrEx>
        <w:trPr>
          <w:trHeight w:val="529" w:hRule="atLeast"/>
          <w:jc w:val="center"/>
        </w:trPr>
        <w:tc>
          <w:tcPr>
            <w:tcW w:w="1494" w:type="dxa"/>
            <w:tcBorders>
              <w:top w:val="single" w:color="auto" w:sz="4" w:space="0"/>
              <w:left w:val="single" w:color="auto" w:sz="12" w:space="0"/>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4a</w:t>
            </w:r>
          </w:p>
        </w:tc>
        <w:tc>
          <w:tcPr>
            <w:tcW w:w="155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无限制</w:t>
            </w:r>
          </w:p>
        </w:tc>
        <w:tc>
          <w:tcPr>
            <w:tcW w:w="155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无限制</w:t>
            </w:r>
          </w:p>
        </w:tc>
        <w:tc>
          <w:tcPr>
            <w:tcW w:w="155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昼间：无限制</w:t>
            </w:r>
          </w:p>
          <w:p>
            <w:pPr>
              <w:widowControl/>
              <w:jc w:val="center"/>
              <w:rPr>
                <w:rFonts w:ascii="宋体" w:hAnsi="宋体" w:eastAsia="宋体"/>
                <w:sz w:val="18"/>
                <w:szCs w:val="18"/>
              </w:rPr>
            </w:pPr>
            <w:r>
              <w:rPr>
                <w:rFonts w:hint="eastAsia" w:ascii="宋体" w:hAnsi="宋体" w:eastAsia="宋体"/>
                <w:sz w:val="18"/>
                <w:szCs w:val="18"/>
              </w:rPr>
              <w:t>夜间：8架</w:t>
            </w:r>
          </w:p>
        </w:tc>
        <w:tc>
          <w:tcPr>
            <w:tcW w:w="155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昼间：48架</w:t>
            </w:r>
          </w:p>
          <w:p>
            <w:pPr>
              <w:widowControl/>
              <w:jc w:val="center"/>
              <w:rPr>
                <w:rFonts w:ascii="宋体" w:hAnsi="宋体" w:eastAsia="宋体"/>
                <w:sz w:val="18"/>
                <w:szCs w:val="18"/>
              </w:rPr>
            </w:pPr>
            <w:r>
              <w:rPr>
                <w:rFonts w:hint="eastAsia" w:ascii="宋体" w:hAnsi="宋体" w:eastAsia="宋体"/>
                <w:sz w:val="18"/>
                <w:szCs w:val="18"/>
              </w:rPr>
              <w:t>夜间：0架</w:t>
            </w:r>
          </w:p>
        </w:tc>
        <w:tc>
          <w:tcPr>
            <w:tcW w:w="1558" w:type="dxa"/>
            <w:tcBorders>
              <w:top w:val="single" w:color="auto" w:sz="4" w:space="0"/>
              <w:left w:val="nil"/>
              <w:bottom w:val="single" w:color="auto" w:sz="4" w:space="0"/>
              <w:right w:val="single" w:color="auto" w:sz="12"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昼间：32架</w:t>
            </w:r>
          </w:p>
          <w:p>
            <w:pPr>
              <w:widowControl/>
              <w:jc w:val="center"/>
              <w:rPr>
                <w:rFonts w:ascii="宋体" w:hAnsi="宋体" w:eastAsia="宋体"/>
                <w:sz w:val="18"/>
                <w:szCs w:val="18"/>
              </w:rPr>
            </w:pPr>
            <w:r>
              <w:rPr>
                <w:rFonts w:hint="eastAsia" w:ascii="宋体" w:hAnsi="宋体" w:eastAsia="宋体"/>
                <w:sz w:val="18"/>
                <w:szCs w:val="18"/>
              </w:rPr>
              <w:t>夜间：0架</w:t>
            </w:r>
          </w:p>
        </w:tc>
      </w:tr>
      <w:tr>
        <w:tblPrEx>
          <w:tblCellMar>
            <w:top w:w="0" w:type="dxa"/>
            <w:left w:w="108" w:type="dxa"/>
            <w:bottom w:w="0" w:type="dxa"/>
            <w:right w:w="108" w:type="dxa"/>
          </w:tblCellMar>
        </w:tblPrEx>
        <w:trPr>
          <w:trHeight w:val="529" w:hRule="atLeast"/>
          <w:jc w:val="center"/>
        </w:trPr>
        <w:tc>
          <w:tcPr>
            <w:tcW w:w="1494" w:type="dxa"/>
            <w:tcBorders>
              <w:top w:val="single" w:color="auto" w:sz="4" w:space="0"/>
              <w:left w:val="single" w:color="auto" w:sz="12" w:space="0"/>
              <w:bottom w:val="single" w:color="auto" w:sz="12"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4b</w:t>
            </w:r>
          </w:p>
        </w:tc>
        <w:tc>
          <w:tcPr>
            <w:tcW w:w="1557" w:type="dxa"/>
            <w:tcBorders>
              <w:top w:val="single" w:color="auto" w:sz="4" w:space="0"/>
              <w:left w:val="nil"/>
              <w:bottom w:val="single" w:color="auto" w:sz="12"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无限制</w:t>
            </w:r>
          </w:p>
        </w:tc>
        <w:tc>
          <w:tcPr>
            <w:tcW w:w="1557" w:type="dxa"/>
            <w:tcBorders>
              <w:top w:val="single" w:color="auto" w:sz="4" w:space="0"/>
              <w:left w:val="nil"/>
              <w:bottom w:val="single" w:color="auto" w:sz="12"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无限制</w:t>
            </w:r>
          </w:p>
        </w:tc>
        <w:tc>
          <w:tcPr>
            <w:tcW w:w="1557" w:type="dxa"/>
            <w:tcBorders>
              <w:top w:val="single" w:color="auto" w:sz="4" w:space="0"/>
              <w:left w:val="nil"/>
              <w:bottom w:val="single" w:color="auto" w:sz="12"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昼间：无限制</w:t>
            </w:r>
          </w:p>
          <w:p>
            <w:pPr>
              <w:widowControl/>
              <w:jc w:val="center"/>
              <w:rPr>
                <w:rFonts w:ascii="宋体" w:hAnsi="宋体" w:eastAsia="宋体"/>
                <w:sz w:val="18"/>
                <w:szCs w:val="18"/>
              </w:rPr>
            </w:pPr>
            <w:r>
              <w:rPr>
                <w:rFonts w:hint="eastAsia" w:ascii="宋体" w:hAnsi="宋体" w:eastAsia="宋体"/>
                <w:sz w:val="18"/>
                <w:szCs w:val="18"/>
              </w:rPr>
              <w:t>夜间：24架</w:t>
            </w:r>
          </w:p>
        </w:tc>
        <w:tc>
          <w:tcPr>
            <w:tcW w:w="1557" w:type="dxa"/>
            <w:tcBorders>
              <w:top w:val="single" w:color="auto" w:sz="4" w:space="0"/>
              <w:left w:val="nil"/>
              <w:bottom w:val="single" w:color="auto" w:sz="12" w:space="0"/>
              <w:right w:val="single" w:color="auto" w:sz="4"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昼间：48架</w:t>
            </w:r>
          </w:p>
          <w:p>
            <w:pPr>
              <w:widowControl/>
              <w:jc w:val="center"/>
              <w:rPr>
                <w:rFonts w:ascii="宋体" w:hAnsi="宋体" w:eastAsia="宋体"/>
                <w:sz w:val="18"/>
                <w:szCs w:val="18"/>
              </w:rPr>
            </w:pPr>
            <w:r>
              <w:rPr>
                <w:rFonts w:hint="eastAsia" w:ascii="宋体" w:hAnsi="宋体" w:eastAsia="宋体"/>
                <w:sz w:val="18"/>
                <w:szCs w:val="18"/>
              </w:rPr>
              <w:t>夜间：0架</w:t>
            </w:r>
          </w:p>
        </w:tc>
        <w:tc>
          <w:tcPr>
            <w:tcW w:w="1558" w:type="dxa"/>
            <w:tcBorders>
              <w:top w:val="single" w:color="auto" w:sz="4" w:space="0"/>
              <w:left w:val="nil"/>
              <w:bottom w:val="single" w:color="auto" w:sz="12" w:space="0"/>
              <w:right w:val="single" w:color="auto" w:sz="12" w:space="0"/>
            </w:tcBorders>
            <w:shd w:val="clear" w:color="auto" w:fill="auto"/>
            <w:noWrap/>
            <w:vAlign w:val="center"/>
          </w:tcPr>
          <w:p>
            <w:pPr>
              <w:widowControl/>
              <w:jc w:val="center"/>
              <w:rPr>
                <w:rFonts w:ascii="宋体" w:hAnsi="宋体" w:eastAsia="宋体"/>
                <w:sz w:val="18"/>
                <w:szCs w:val="18"/>
              </w:rPr>
            </w:pPr>
            <w:r>
              <w:rPr>
                <w:rFonts w:hint="eastAsia" w:ascii="宋体" w:hAnsi="宋体" w:eastAsia="宋体"/>
                <w:sz w:val="18"/>
                <w:szCs w:val="18"/>
              </w:rPr>
              <w:t>昼间：32架</w:t>
            </w:r>
          </w:p>
          <w:p>
            <w:pPr>
              <w:widowControl/>
              <w:jc w:val="center"/>
              <w:rPr>
                <w:rFonts w:ascii="宋体" w:hAnsi="宋体" w:eastAsia="宋体"/>
                <w:sz w:val="18"/>
                <w:szCs w:val="18"/>
              </w:rPr>
            </w:pPr>
            <w:r>
              <w:rPr>
                <w:rFonts w:hint="eastAsia" w:ascii="宋体" w:hAnsi="宋体" w:eastAsia="宋体"/>
                <w:sz w:val="18"/>
                <w:szCs w:val="18"/>
              </w:rPr>
              <w:t>夜间：8架</w:t>
            </w:r>
          </w:p>
        </w:tc>
      </w:tr>
      <w:tr>
        <w:tblPrEx>
          <w:tblCellMar>
            <w:top w:w="0" w:type="dxa"/>
            <w:left w:w="108" w:type="dxa"/>
            <w:bottom w:w="0" w:type="dxa"/>
            <w:right w:w="108" w:type="dxa"/>
          </w:tblCellMar>
        </w:tblPrEx>
        <w:trPr>
          <w:trHeight w:val="313" w:hRule="atLeast"/>
          <w:jc w:val="center"/>
        </w:trPr>
        <w:tc>
          <w:tcPr>
            <w:tcW w:w="9280" w:type="dxa"/>
            <w:gridSpan w:val="6"/>
            <w:tcBorders>
              <w:top w:val="single" w:color="auto" w:sz="12" w:space="0"/>
              <w:left w:val="single" w:color="auto" w:sz="12" w:space="0"/>
              <w:bottom w:val="single" w:color="auto" w:sz="12" w:space="0"/>
              <w:right w:val="single" w:color="auto" w:sz="12" w:space="0"/>
            </w:tcBorders>
            <w:shd w:val="clear" w:color="auto" w:fill="auto"/>
            <w:noWrap/>
            <w:vAlign w:val="center"/>
          </w:tcPr>
          <w:p>
            <w:pPr>
              <w:widowControl/>
              <w:ind w:left="420" w:leftChars="200"/>
              <w:rPr>
                <w:rFonts w:ascii="宋体" w:hAnsi="宋体" w:eastAsia="宋体"/>
                <w:sz w:val="18"/>
                <w:szCs w:val="18"/>
              </w:rPr>
            </w:pPr>
            <w:r>
              <w:rPr>
                <w:rFonts w:hint="eastAsia" w:ascii="黑体" w:hAnsi="黑体" w:eastAsia="黑体" w:cs="黑体"/>
                <w:sz w:val="18"/>
                <w:szCs w:val="18"/>
              </w:rPr>
              <w:t>注:</w:t>
            </w:r>
            <w:r>
              <w:rPr>
                <w:rFonts w:hint="eastAsia" w:ascii="宋体" w:hAnsi="宋体" w:eastAsia="宋体"/>
                <w:sz w:val="18"/>
                <w:szCs w:val="18"/>
              </w:rPr>
              <w:t>所有架次都是指昼间和夜间一整段时间内的起降架次。</w:t>
            </w:r>
          </w:p>
        </w:tc>
      </w:tr>
      <w:bookmarkEnd w:id="89"/>
    </w:tbl>
    <w:p>
      <w:pPr>
        <w:pStyle w:val="65"/>
        <w:spacing w:before="156" w:after="156"/>
      </w:pPr>
      <w:bookmarkStart w:id="93" w:name="_Toc22699"/>
      <w:r>
        <w:rPr>
          <w:rFonts w:hint="eastAsia"/>
        </w:rPr>
        <w:t>起降架次的限制</w:t>
      </w:r>
      <w:bookmarkEnd w:id="93"/>
    </w:p>
    <w:p>
      <w:pPr>
        <w:pStyle w:val="67"/>
        <w:ind w:firstLine="420"/>
      </w:pPr>
      <w:r>
        <w:rPr>
          <w:rFonts w:hint="eastAsia"/>
        </w:rPr>
        <w:t>根据GBZ 2.2-2007中对人噪声暴露剂量的要求，低空飞行器垂直起降点停机坪区域，在允许地面人员活动的状态下，停机坪区域内噪声宜控制在85 dB(A)以下。</w:t>
      </w:r>
    </w:p>
    <w:p>
      <w:pPr>
        <w:pStyle w:val="66"/>
        <w:spacing w:before="312" w:after="312"/>
      </w:pPr>
      <w:bookmarkStart w:id="94" w:name="_Toc1187"/>
      <w:r>
        <w:rPr>
          <w:rFonts w:hint="eastAsia"/>
        </w:rPr>
        <w:t>噪声识别与评估</w:t>
      </w:r>
      <w:bookmarkEnd w:id="94"/>
    </w:p>
    <w:p>
      <w:pPr>
        <w:pStyle w:val="65"/>
        <w:spacing w:before="156" w:after="156"/>
      </w:pPr>
      <w:bookmarkStart w:id="95" w:name="_Toc11829"/>
      <w:r>
        <w:rPr>
          <w:rFonts w:hint="eastAsia"/>
        </w:rPr>
        <w:t>噪声识别</w:t>
      </w:r>
      <w:bookmarkEnd w:id="95"/>
    </w:p>
    <w:p>
      <w:pPr>
        <w:pStyle w:val="67"/>
        <w:spacing w:before="156" w:beforeLines="50" w:after="156" w:afterLines="50"/>
        <w:ind w:firstLine="0" w:firstLineChars="0"/>
        <w:rPr>
          <w:rFonts w:ascii="黑体" w:hAnsi="黑体" w:eastAsia="黑体"/>
        </w:rPr>
      </w:pPr>
      <w:r>
        <w:rPr>
          <w:rFonts w:hint="eastAsia" w:ascii="黑体" w:hAnsi="黑体" w:eastAsia="黑体"/>
        </w:rPr>
        <w:t>6.1.1</w:t>
      </w:r>
      <w:r>
        <w:rPr>
          <w:rFonts w:ascii="黑体" w:hAnsi="黑体" w:eastAsia="黑体"/>
        </w:rPr>
        <w:t xml:space="preserve"> </w:t>
      </w:r>
      <w:r>
        <w:rPr>
          <w:rFonts w:hint="eastAsia" w:ascii="黑体" w:hAnsi="黑体" w:eastAsia="黑体"/>
          <w:lang w:val="en-US" w:eastAsia="zh-CN"/>
        </w:rPr>
        <w:t xml:space="preserve"> </w:t>
      </w:r>
      <w:r>
        <w:rPr>
          <w:rFonts w:hint="eastAsia" w:ascii="黑体" w:hAnsi="黑体" w:eastAsia="黑体"/>
        </w:rPr>
        <w:t>设备噪声</w:t>
      </w:r>
    </w:p>
    <w:p>
      <w:pPr>
        <w:pStyle w:val="67"/>
        <w:ind w:firstLine="420"/>
      </w:pPr>
      <w:r>
        <w:rPr>
          <w:rFonts w:hint="eastAsia"/>
        </w:rPr>
        <w:t>宜识别包括但不限于发动机、空调系统、发电机等设备和车辆进出等作业活动产生的噪声。对每种设备或活动的噪声进行分类，记录其工作时间、频率、声功率级等基本信息。</w:t>
      </w:r>
    </w:p>
    <w:p>
      <w:pPr>
        <w:pStyle w:val="67"/>
        <w:spacing w:before="156" w:beforeLines="50" w:after="156" w:afterLines="50"/>
        <w:ind w:firstLine="0" w:firstLineChars="0"/>
        <w:rPr>
          <w:rFonts w:ascii="黑体" w:hAnsi="黑体" w:eastAsia="黑体"/>
        </w:rPr>
      </w:pPr>
      <w:r>
        <w:rPr>
          <w:rFonts w:hint="eastAsia" w:ascii="黑体" w:hAnsi="黑体" w:eastAsia="黑体"/>
        </w:rPr>
        <w:t>6.1.2</w:t>
      </w:r>
      <w:r>
        <w:rPr>
          <w:rFonts w:ascii="黑体" w:hAnsi="黑体" w:eastAsia="黑体"/>
        </w:rPr>
        <w:t xml:space="preserve"> </w:t>
      </w:r>
      <w:r>
        <w:rPr>
          <w:rFonts w:hint="eastAsia" w:ascii="黑体" w:hAnsi="黑体" w:eastAsia="黑体"/>
          <w:lang w:val="en-US" w:eastAsia="zh-CN"/>
        </w:rPr>
        <w:t xml:space="preserve"> </w:t>
      </w:r>
      <w:r>
        <w:rPr>
          <w:rFonts w:hint="eastAsia" w:ascii="黑体" w:hAnsi="黑体" w:eastAsia="黑体"/>
        </w:rPr>
        <w:t>飞行作业噪声</w:t>
      </w:r>
    </w:p>
    <w:p>
      <w:pPr>
        <w:pStyle w:val="67"/>
        <w:ind w:firstLine="420"/>
      </w:pPr>
      <w:r>
        <w:rPr>
          <w:rFonts w:hint="eastAsia"/>
        </w:rPr>
        <w:t>宜特别关注无人机起飞、降落、悬停、高速飞行等不同飞行状态下的噪声特性，考虑机型、飞行高度、飞行速度等因素对噪声产生的影响。</w:t>
      </w:r>
    </w:p>
    <w:p>
      <w:pPr>
        <w:pStyle w:val="67"/>
        <w:spacing w:before="156" w:beforeLines="50" w:after="156" w:afterLines="50"/>
        <w:ind w:firstLine="0" w:firstLineChars="0"/>
        <w:rPr>
          <w:rFonts w:ascii="黑体" w:hAnsi="黑体" w:eastAsia="黑体"/>
        </w:rPr>
      </w:pPr>
      <w:r>
        <w:rPr>
          <w:rFonts w:hint="eastAsia" w:ascii="黑体" w:hAnsi="黑体" w:eastAsia="黑体"/>
        </w:rPr>
        <w:t>6.1.3</w:t>
      </w:r>
      <w:r>
        <w:rPr>
          <w:rFonts w:ascii="黑体" w:hAnsi="黑体" w:eastAsia="黑体"/>
        </w:rPr>
        <w:t xml:space="preserve"> </w:t>
      </w:r>
      <w:r>
        <w:rPr>
          <w:rFonts w:hint="eastAsia" w:ascii="黑体" w:hAnsi="黑体" w:eastAsia="黑体"/>
          <w:lang w:val="en-US" w:eastAsia="zh-CN"/>
        </w:rPr>
        <w:t xml:space="preserve"> </w:t>
      </w:r>
      <w:r>
        <w:rPr>
          <w:rFonts w:hint="eastAsia" w:ascii="黑体" w:hAnsi="黑体" w:eastAsia="黑体"/>
        </w:rPr>
        <w:t>人员活动噪声</w:t>
      </w:r>
    </w:p>
    <w:p>
      <w:pPr>
        <w:pStyle w:val="67"/>
        <w:ind w:firstLine="420"/>
      </w:pPr>
      <w:r>
        <w:rPr>
          <w:rFonts w:hint="eastAsia"/>
        </w:rPr>
        <w:t>宜考虑到工作人员日常操作、交流等活动产生的噪声。</w:t>
      </w:r>
    </w:p>
    <w:p>
      <w:pPr>
        <w:pStyle w:val="65"/>
        <w:spacing w:before="156" w:after="156"/>
      </w:pPr>
      <w:bookmarkStart w:id="96" w:name="_Toc28476"/>
      <w:r>
        <w:rPr>
          <w:rFonts w:hint="eastAsia"/>
        </w:rPr>
        <w:t>噪声要求</w:t>
      </w:r>
      <w:bookmarkEnd w:id="96"/>
    </w:p>
    <w:p>
      <w:pPr>
        <w:pStyle w:val="67"/>
        <w:spacing w:before="156" w:beforeLines="50" w:after="156" w:afterLines="50"/>
        <w:ind w:firstLine="0" w:firstLineChars="0"/>
        <w:rPr>
          <w:rFonts w:ascii="黑体" w:hAnsi="黑体" w:eastAsia="黑体"/>
        </w:rPr>
      </w:pPr>
      <w:r>
        <w:rPr>
          <w:rFonts w:hint="eastAsia" w:ascii="黑体" w:hAnsi="黑体" w:eastAsia="黑体"/>
        </w:rPr>
        <w:t>6</w:t>
      </w:r>
      <w:r>
        <w:rPr>
          <w:rFonts w:ascii="黑体" w:hAnsi="黑体" w:eastAsia="黑体"/>
        </w:rPr>
        <w:t xml:space="preserve">.2.1 </w:t>
      </w:r>
      <w:r>
        <w:rPr>
          <w:rFonts w:hint="eastAsia" w:ascii="黑体" w:hAnsi="黑体" w:eastAsia="黑体"/>
          <w:lang w:val="en-US" w:eastAsia="zh-CN"/>
        </w:rPr>
        <w:t xml:space="preserve"> </w:t>
      </w:r>
      <w:r>
        <w:rPr>
          <w:rFonts w:hint="eastAsia" w:ascii="黑体" w:hAnsi="黑体" w:eastAsia="黑体"/>
        </w:rPr>
        <w:t>飞行器准入噪声要求</w:t>
      </w:r>
    </w:p>
    <w:p>
      <w:pPr>
        <w:pStyle w:val="67"/>
        <w:ind w:firstLine="420"/>
      </w:pPr>
      <w:r>
        <w:rPr>
          <w:rFonts w:hint="eastAsia"/>
        </w:rPr>
        <w:t>按照附录A或者CCAR-36-R2的测试方法测得飞行器噪声，根据本文件表2制定飞行器准入噪声要求。</w:t>
      </w:r>
    </w:p>
    <w:p>
      <w:pPr>
        <w:pStyle w:val="67"/>
        <w:spacing w:before="156" w:beforeLines="50" w:after="156" w:afterLines="50"/>
        <w:ind w:firstLine="0" w:firstLineChars="0"/>
        <w:rPr>
          <w:rFonts w:ascii="黑体" w:hAnsi="黑体" w:eastAsia="黑体"/>
        </w:rPr>
      </w:pPr>
      <w:r>
        <w:rPr>
          <w:rFonts w:hint="eastAsia" w:ascii="黑体" w:hAnsi="黑体" w:eastAsia="黑体"/>
        </w:rPr>
        <w:t>6</w:t>
      </w:r>
      <w:r>
        <w:rPr>
          <w:rFonts w:ascii="黑体" w:hAnsi="黑体" w:eastAsia="黑体"/>
        </w:rPr>
        <w:t xml:space="preserve">.2.2 </w:t>
      </w:r>
      <w:r>
        <w:rPr>
          <w:rFonts w:hint="eastAsia" w:ascii="黑体" w:hAnsi="黑体" w:eastAsia="黑体"/>
          <w:lang w:val="en-US" w:eastAsia="zh-CN"/>
        </w:rPr>
        <w:t xml:space="preserve"> </w:t>
      </w:r>
      <w:r>
        <w:rPr>
          <w:rFonts w:hint="eastAsia" w:ascii="黑体" w:hAnsi="黑体" w:eastAsia="黑体"/>
        </w:rPr>
        <w:t>社区里的垂直起降点噪声要求</w:t>
      </w:r>
    </w:p>
    <w:p>
      <w:pPr>
        <w:pStyle w:val="67"/>
        <w:ind w:firstLine="420"/>
      </w:pPr>
      <w:r>
        <w:rPr>
          <w:rFonts w:hint="eastAsia"/>
        </w:rPr>
        <w:t>根据飞行器对垂直起降点周围社区居民的影响，制定噪声要求。</w:t>
      </w:r>
    </w:p>
    <w:p>
      <w:pPr>
        <w:pStyle w:val="67"/>
        <w:spacing w:before="156" w:beforeLines="50" w:after="156" w:afterLines="50"/>
        <w:ind w:firstLine="0" w:firstLineChars="0"/>
        <w:rPr>
          <w:rFonts w:ascii="黑体" w:hAnsi="黑体" w:eastAsia="黑体"/>
        </w:rPr>
      </w:pPr>
      <w:r>
        <w:rPr>
          <w:rFonts w:hint="eastAsia" w:ascii="黑体" w:hAnsi="黑体" w:eastAsia="黑体"/>
        </w:rPr>
        <w:t>6</w:t>
      </w:r>
      <w:r>
        <w:rPr>
          <w:rFonts w:ascii="黑体" w:hAnsi="黑体" w:eastAsia="黑体"/>
        </w:rPr>
        <w:t xml:space="preserve">.2.3 </w:t>
      </w:r>
      <w:r>
        <w:rPr>
          <w:rFonts w:hint="eastAsia" w:ascii="黑体" w:hAnsi="黑体" w:eastAsia="黑体"/>
          <w:lang w:val="en-US" w:eastAsia="zh-CN"/>
        </w:rPr>
        <w:t xml:space="preserve"> </w:t>
      </w:r>
      <w:r>
        <w:rPr>
          <w:rFonts w:hint="eastAsia" w:ascii="黑体" w:hAnsi="黑体" w:eastAsia="黑体"/>
        </w:rPr>
        <w:t>垂直起降点场内噪声要求</w:t>
      </w:r>
    </w:p>
    <w:p>
      <w:pPr>
        <w:pStyle w:val="67"/>
        <w:ind w:firstLine="420"/>
      </w:pPr>
      <w:r>
        <w:rPr>
          <w:rFonts w:hint="eastAsia"/>
        </w:rPr>
        <w:t>依据工作人员劳动保护，垂直起降点室内舒适度，制定垂直起降点场内噪声要求。</w:t>
      </w:r>
    </w:p>
    <w:p>
      <w:pPr>
        <w:pStyle w:val="65"/>
        <w:spacing w:before="156" w:after="156"/>
      </w:pPr>
      <w:bookmarkStart w:id="97" w:name="_Toc24672"/>
      <w:r>
        <w:rPr>
          <w:rFonts w:hint="eastAsia"/>
        </w:rPr>
        <w:t>噪声特性分析</w:t>
      </w:r>
      <w:bookmarkEnd w:id="97"/>
    </w:p>
    <w:p>
      <w:pPr>
        <w:pStyle w:val="67"/>
        <w:spacing w:before="156" w:beforeLines="50" w:after="156" w:afterLines="50"/>
        <w:ind w:firstLine="0" w:firstLineChars="0"/>
        <w:rPr>
          <w:rFonts w:ascii="黑体" w:hAnsi="黑体" w:eastAsia="黑体"/>
        </w:rPr>
      </w:pPr>
      <w:r>
        <w:rPr>
          <w:rFonts w:hint="eastAsia" w:ascii="黑体" w:hAnsi="黑体" w:eastAsia="黑体"/>
        </w:rPr>
        <w:t>6</w:t>
      </w:r>
      <w:r>
        <w:rPr>
          <w:rFonts w:ascii="黑体" w:hAnsi="黑体" w:eastAsia="黑体"/>
        </w:rPr>
        <w:t xml:space="preserve">.3.1 </w:t>
      </w:r>
      <w:r>
        <w:rPr>
          <w:rFonts w:hint="eastAsia" w:ascii="黑体" w:hAnsi="黑体" w:eastAsia="黑体"/>
          <w:lang w:val="en-US" w:eastAsia="zh-CN"/>
        </w:rPr>
        <w:t xml:space="preserve"> </w:t>
      </w:r>
      <w:r>
        <w:rPr>
          <w:rFonts w:hint="eastAsia" w:ascii="黑体" w:hAnsi="黑体" w:eastAsia="黑体"/>
        </w:rPr>
        <w:t>声功率级测定</w:t>
      </w:r>
    </w:p>
    <w:p>
      <w:pPr>
        <w:pStyle w:val="67"/>
        <w:ind w:firstLine="420"/>
      </w:pPr>
      <w:r>
        <w:rPr>
          <w:rFonts w:hint="eastAsia"/>
        </w:rPr>
        <w:t>声功率级的测定应使用专业设备对各类噪声源进行现场测量，确定其声功率级(L</w:t>
      </w:r>
      <w:r>
        <w:rPr>
          <w:rFonts w:hint="eastAsia"/>
          <w:vertAlign w:val="subscript"/>
        </w:rPr>
        <w:t>w</w:t>
      </w:r>
      <w:r>
        <w:rPr>
          <w:rFonts w:hint="eastAsia"/>
        </w:rPr>
        <w:t>)。</w:t>
      </w:r>
    </w:p>
    <w:p>
      <w:pPr>
        <w:pStyle w:val="67"/>
        <w:spacing w:before="156" w:beforeLines="50" w:after="156" w:afterLines="50"/>
        <w:ind w:firstLine="0" w:firstLineChars="0"/>
        <w:rPr>
          <w:rFonts w:ascii="黑体" w:hAnsi="黑体" w:eastAsia="黑体"/>
        </w:rPr>
      </w:pPr>
      <w:r>
        <w:rPr>
          <w:rFonts w:hint="eastAsia" w:ascii="黑体" w:hAnsi="黑体" w:eastAsia="黑体"/>
        </w:rPr>
        <w:t>6</w:t>
      </w:r>
      <w:r>
        <w:rPr>
          <w:rFonts w:ascii="黑体" w:hAnsi="黑体" w:eastAsia="黑体"/>
        </w:rPr>
        <w:t xml:space="preserve">.3.2 </w:t>
      </w:r>
      <w:r>
        <w:rPr>
          <w:rFonts w:hint="eastAsia" w:ascii="黑体" w:hAnsi="黑体" w:eastAsia="黑体"/>
          <w:lang w:val="en-US" w:eastAsia="zh-CN"/>
        </w:rPr>
        <w:t xml:space="preserve"> </w:t>
      </w:r>
      <w:r>
        <w:rPr>
          <w:rFonts w:hint="eastAsia" w:ascii="黑体" w:hAnsi="黑体" w:eastAsia="黑体"/>
        </w:rPr>
        <w:t>频谱分析</w:t>
      </w:r>
    </w:p>
    <w:p>
      <w:pPr>
        <w:pStyle w:val="67"/>
        <w:ind w:firstLine="420"/>
      </w:pPr>
      <w:r>
        <w:rPr>
          <w:rFonts w:hint="eastAsia"/>
        </w:rPr>
        <w:t>分析噪声的频谱分布，了解不同频率成分对整体噪声环境的影响，特别是对人类生活和健康有显著影响的低频和中频噪声。</w:t>
      </w:r>
    </w:p>
    <w:p>
      <w:pPr>
        <w:pStyle w:val="67"/>
        <w:spacing w:before="156" w:beforeLines="50" w:after="156" w:afterLines="50"/>
        <w:ind w:firstLine="0" w:firstLineChars="0"/>
        <w:rPr>
          <w:rFonts w:ascii="黑体" w:hAnsi="黑体" w:eastAsia="黑体"/>
        </w:rPr>
      </w:pPr>
      <w:r>
        <w:rPr>
          <w:rFonts w:hint="eastAsia" w:ascii="黑体" w:hAnsi="黑体" w:eastAsia="黑体"/>
        </w:rPr>
        <w:t>6</w:t>
      </w:r>
      <w:r>
        <w:rPr>
          <w:rFonts w:ascii="黑体" w:hAnsi="黑体" w:eastAsia="黑体"/>
        </w:rPr>
        <w:t xml:space="preserve">.3.3 </w:t>
      </w:r>
      <w:r>
        <w:rPr>
          <w:rFonts w:hint="eastAsia" w:ascii="黑体" w:hAnsi="黑体" w:eastAsia="黑体"/>
          <w:lang w:val="en-US" w:eastAsia="zh-CN"/>
        </w:rPr>
        <w:t xml:space="preserve"> </w:t>
      </w:r>
      <w:r>
        <w:rPr>
          <w:rFonts w:hint="eastAsia" w:ascii="黑体" w:hAnsi="黑体" w:eastAsia="黑体"/>
        </w:rPr>
        <w:t>时间特性分析</w:t>
      </w:r>
    </w:p>
    <w:p>
      <w:pPr>
        <w:pStyle w:val="67"/>
        <w:ind w:firstLine="420"/>
      </w:pPr>
      <w:r>
        <w:rPr>
          <w:rFonts w:hint="eastAsia"/>
        </w:rPr>
        <w:t>考察噪声发生的周期性、持续时间及变化趋势，以适应性调整控制策略。</w:t>
      </w:r>
    </w:p>
    <w:p>
      <w:pPr>
        <w:pStyle w:val="65"/>
        <w:spacing w:before="156" w:after="156"/>
      </w:pPr>
      <w:bookmarkStart w:id="98" w:name="_Toc26615"/>
      <w:r>
        <w:rPr>
          <w:rFonts w:hint="eastAsia"/>
        </w:rPr>
        <w:t>声环境影响预测</w:t>
      </w:r>
      <w:bookmarkEnd w:id="98"/>
    </w:p>
    <w:p>
      <w:pPr>
        <w:pStyle w:val="67"/>
        <w:spacing w:before="156" w:beforeLines="50" w:after="156" w:afterLines="50"/>
        <w:ind w:firstLine="0" w:firstLineChars="0"/>
        <w:rPr>
          <w:rFonts w:ascii="黑体" w:hAnsi="黑体" w:eastAsia="黑体"/>
        </w:rPr>
      </w:pPr>
      <w:r>
        <w:rPr>
          <w:rFonts w:hint="eastAsia" w:ascii="黑体" w:hAnsi="黑体" w:eastAsia="黑体"/>
        </w:rPr>
        <w:t>6</w:t>
      </w:r>
      <w:r>
        <w:rPr>
          <w:rFonts w:ascii="黑体" w:hAnsi="黑体" w:eastAsia="黑体"/>
        </w:rPr>
        <w:t xml:space="preserve">.4.1 </w:t>
      </w:r>
      <w:r>
        <w:rPr>
          <w:rFonts w:hint="eastAsia" w:ascii="黑体" w:hAnsi="黑体" w:eastAsia="黑体"/>
          <w:lang w:val="en-US" w:eastAsia="zh-CN"/>
        </w:rPr>
        <w:t xml:space="preserve"> </w:t>
      </w:r>
      <w:r>
        <w:rPr>
          <w:rFonts w:hint="eastAsia" w:ascii="黑体" w:hAnsi="黑体" w:eastAsia="黑体"/>
        </w:rPr>
        <w:t>传播模型应用</w:t>
      </w:r>
    </w:p>
    <w:p>
      <w:pPr>
        <w:pStyle w:val="67"/>
        <w:ind w:firstLine="420"/>
      </w:pPr>
      <w:r>
        <w:rPr>
          <w:rFonts w:hint="eastAsia"/>
        </w:rPr>
        <w:t>利用标准ISO 9613-2：2024中的声传播模型结合地形、建筑物布局等环境因素，预测噪声在垂直起降点周边区域的传播路径和衰减情况。</w:t>
      </w:r>
    </w:p>
    <w:p>
      <w:pPr>
        <w:pStyle w:val="67"/>
        <w:spacing w:before="156" w:beforeLines="50" w:after="156" w:afterLines="50"/>
        <w:ind w:firstLine="0" w:firstLineChars="0"/>
        <w:rPr>
          <w:rFonts w:ascii="黑体" w:hAnsi="黑体" w:eastAsia="黑体"/>
        </w:rPr>
      </w:pPr>
      <w:r>
        <w:rPr>
          <w:rFonts w:hint="eastAsia" w:ascii="黑体" w:hAnsi="黑体" w:eastAsia="黑体"/>
        </w:rPr>
        <w:t>6</w:t>
      </w:r>
      <w:r>
        <w:rPr>
          <w:rFonts w:ascii="黑体" w:hAnsi="黑体" w:eastAsia="黑体"/>
        </w:rPr>
        <w:t xml:space="preserve">.4.2 </w:t>
      </w:r>
      <w:r>
        <w:rPr>
          <w:rFonts w:hint="eastAsia" w:ascii="黑体" w:hAnsi="黑体" w:eastAsia="黑体"/>
          <w:lang w:val="en-US" w:eastAsia="zh-CN"/>
        </w:rPr>
        <w:t xml:space="preserve"> </w:t>
      </w:r>
      <w:r>
        <w:rPr>
          <w:rFonts w:hint="eastAsia" w:ascii="黑体" w:hAnsi="黑体" w:eastAsia="黑体"/>
        </w:rPr>
        <w:t>声敏感区评估</w:t>
      </w:r>
    </w:p>
    <w:p>
      <w:pPr>
        <w:pStyle w:val="67"/>
        <w:ind w:firstLine="420"/>
      </w:pPr>
      <w:r>
        <w:rPr>
          <w:rFonts w:hint="eastAsia"/>
        </w:rPr>
        <w:t>标识出学校、医院、居民区等声敏感区，评估飞行垂直起降点噪声对其潜在影响，包括昼夜间等效声级(L</w:t>
      </w:r>
      <w:r>
        <w:rPr>
          <w:rFonts w:hint="eastAsia"/>
          <w:vertAlign w:val="subscript"/>
        </w:rPr>
        <w:t>d</w:t>
      </w:r>
      <w:r>
        <w:rPr>
          <w:rFonts w:hint="eastAsia"/>
        </w:rPr>
        <w:t>、L</w:t>
      </w:r>
      <w:r>
        <w:rPr>
          <w:rFonts w:hint="eastAsia"/>
          <w:vertAlign w:val="subscript"/>
        </w:rPr>
        <w:t>n</w:t>
      </w:r>
      <w:r>
        <w:rPr>
          <w:rFonts w:hint="eastAsia"/>
        </w:rPr>
        <w:t>)和最大噪声级（L</w:t>
      </w:r>
      <w:r>
        <w:rPr>
          <w:rFonts w:hint="eastAsia"/>
          <w:vertAlign w:val="subscript"/>
        </w:rPr>
        <w:t>max</w:t>
      </w:r>
      <w:r>
        <w:rPr>
          <w:rFonts w:hint="eastAsia"/>
        </w:rPr>
        <w:t>）。</w:t>
      </w:r>
    </w:p>
    <w:p>
      <w:pPr>
        <w:pStyle w:val="67"/>
        <w:spacing w:before="156" w:beforeLines="50" w:after="156" w:afterLines="50"/>
        <w:ind w:firstLine="0" w:firstLineChars="0"/>
        <w:rPr>
          <w:rFonts w:ascii="黑体" w:hAnsi="黑体" w:eastAsia="黑体"/>
        </w:rPr>
      </w:pPr>
      <w:r>
        <w:rPr>
          <w:rFonts w:hint="eastAsia" w:ascii="黑体" w:hAnsi="黑体" w:eastAsia="黑体"/>
        </w:rPr>
        <w:t>6</w:t>
      </w:r>
      <w:r>
        <w:rPr>
          <w:rFonts w:ascii="黑体" w:hAnsi="黑体" w:eastAsia="黑体"/>
        </w:rPr>
        <w:t xml:space="preserve">.4.3 </w:t>
      </w:r>
      <w:r>
        <w:rPr>
          <w:rFonts w:hint="eastAsia" w:ascii="黑体" w:hAnsi="黑体" w:eastAsia="黑体"/>
          <w:lang w:val="en-US" w:eastAsia="zh-CN"/>
        </w:rPr>
        <w:t xml:space="preserve"> </w:t>
      </w:r>
      <w:r>
        <w:rPr>
          <w:rFonts w:hint="eastAsia" w:ascii="黑体" w:hAnsi="黑体" w:eastAsia="黑体"/>
        </w:rPr>
        <w:t>环境影响评价</w:t>
      </w:r>
    </w:p>
    <w:p>
      <w:pPr>
        <w:pStyle w:val="67"/>
        <w:ind w:firstLine="420"/>
      </w:pPr>
      <w:r>
        <w:rPr>
          <w:rFonts w:hint="eastAsia"/>
        </w:rPr>
        <w:t>综合分析噪声对生态环境、野生动物、人类健康及社会心理的影响，必要时进行生态声学评估。</w:t>
      </w:r>
    </w:p>
    <w:p>
      <w:pPr>
        <w:pStyle w:val="65"/>
        <w:spacing w:before="156" w:after="156"/>
      </w:pPr>
      <w:bookmarkStart w:id="99" w:name="_Toc6429"/>
      <w:r>
        <w:rPr>
          <w:rFonts w:hint="eastAsia"/>
        </w:rPr>
        <w:t>数据记录与报告</w:t>
      </w:r>
      <w:bookmarkEnd w:id="99"/>
    </w:p>
    <w:p>
      <w:pPr>
        <w:pStyle w:val="67"/>
        <w:ind w:firstLine="0" w:firstLineChars="0"/>
      </w:pPr>
      <w:r>
        <w:rPr>
          <w:rFonts w:hint="eastAsia" w:ascii="黑体" w:hAnsi="黑体" w:eastAsia="黑体"/>
        </w:rPr>
        <w:t>6.5.1</w:t>
      </w:r>
      <w:r>
        <w:t xml:space="preserve">  </w:t>
      </w:r>
      <w:r>
        <w:rPr>
          <w:rFonts w:hint="eastAsia"/>
        </w:rPr>
        <w:t>所有识别、分析及预测的数据应详细记录，包括测量方法、仪器校准记录、环境条件、测试结果等，形成噪声源识别与评估报告。</w:t>
      </w:r>
    </w:p>
    <w:p>
      <w:pPr>
        <w:pStyle w:val="67"/>
        <w:ind w:firstLine="0" w:firstLineChars="0"/>
      </w:pPr>
      <w:r>
        <w:rPr>
          <w:rFonts w:hint="eastAsia" w:ascii="黑体" w:hAnsi="黑体" w:eastAsia="黑体"/>
        </w:rPr>
        <w:t>6.5.2</w:t>
      </w:r>
      <w:r>
        <w:t xml:space="preserve">  </w:t>
      </w:r>
      <w:r>
        <w:rPr>
          <w:rFonts w:hint="eastAsia"/>
        </w:rPr>
        <w:t>报告应包括噪声源清单、特性总结、预测模型及敏感区域影响分析，为后续设计和管理决策提供清晰依据。</w:t>
      </w:r>
    </w:p>
    <w:p>
      <w:pPr>
        <w:pStyle w:val="67"/>
        <w:ind w:firstLine="0" w:firstLineChars="0"/>
      </w:pPr>
      <w:r>
        <w:rPr>
          <w:rFonts w:hint="eastAsia" w:ascii="黑体" w:hAnsi="黑体" w:eastAsia="黑体"/>
        </w:rPr>
        <w:t>6.5.3</w:t>
      </w:r>
      <w:r>
        <w:t xml:space="preserve">  </w:t>
      </w:r>
      <w:r>
        <w:rPr>
          <w:rFonts w:hint="eastAsia"/>
        </w:rPr>
        <w:t>定期开展数据安全培训，防范内部人员误操作或恶意行为。</w:t>
      </w:r>
    </w:p>
    <w:p>
      <w:pPr>
        <w:pStyle w:val="67"/>
        <w:ind w:firstLine="0" w:firstLineChars="0"/>
      </w:pPr>
      <w:r>
        <w:rPr>
          <w:rFonts w:hint="eastAsia" w:ascii="黑体" w:hAnsi="黑体" w:eastAsia="黑体"/>
        </w:rPr>
        <w:t>6.5.4</w:t>
      </w:r>
      <w:r>
        <w:t xml:space="preserve">  </w:t>
      </w:r>
      <w:r>
        <w:rPr>
          <w:rFonts w:hint="eastAsia"/>
        </w:rPr>
        <w:t>设立数据安全负责人，定期备份数据并异地存储，确保连续性，建立快速恢复机制应对勒索软件等攻击。</w:t>
      </w:r>
    </w:p>
    <w:p>
      <w:pPr>
        <w:pStyle w:val="65"/>
        <w:spacing w:before="156" w:after="156"/>
      </w:pPr>
      <w:bookmarkStart w:id="100" w:name="_Toc25368"/>
      <w:r>
        <w:rPr>
          <w:rFonts w:hint="eastAsia"/>
        </w:rPr>
        <w:t>持续监控与调整</w:t>
      </w:r>
      <w:bookmarkEnd w:id="100"/>
    </w:p>
    <w:p>
      <w:pPr>
        <w:pStyle w:val="68"/>
        <w:numPr>
          <w:ilvl w:val="3"/>
          <w:numId w:val="0"/>
        </w:numPr>
        <w:ind w:firstLine="420" w:firstLineChars="200"/>
      </w:pPr>
      <w:r>
        <w:rPr>
          <w:rFonts w:hint="eastAsia"/>
        </w:rPr>
        <w:t>实施动态管理，定期复审噪声源状况和控制措施的有效性，根据垂直起降点运营变化及周边环境反馈，适时调整噪声控制策略。</w:t>
      </w:r>
    </w:p>
    <w:p>
      <w:pPr>
        <w:pStyle w:val="66"/>
        <w:spacing w:before="312" w:after="312"/>
      </w:pPr>
      <w:bookmarkStart w:id="101" w:name="_Toc3409"/>
      <w:r>
        <w:rPr>
          <w:rFonts w:hint="eastAsia"/>
        </w:rPr>
        <w:t>噪声传播控制措施</w:t>
      </w:r>
      <w:bookmarkEnd w:id="101"/>
    </w:p>
    <w:p>
      <w:pPr>
        <w:pStyle w:val="65"/>
        <w:spacing w:before="156" w:after="156"/>
      </w:pPr>
      <w:bookmarkStart w:id="102" w:name="_Toc21725"/>
      <w:r>
        <w:rPr>
          <w:rFonts w:hint="eastAsia"/>
        </w:rPr>
        <w:t>地面设施建设的声学设计</w:t>
      </w:r>
      <w:bookmarkEnd w:id="102"/>
    </w:p>
    <w:p>
      <w:pPr>
        <w:pStyle w:val="67"/>
        <w:spacing w:before="156" w:beforeLines="50" w:after="156" w:afterLines="50"/>
        <w:ind w:firstLine="0" w:firstLineChars="0"/>
        <w:rPr>
          <w:rFonts w:ascii="黑体" w:hAnsi="黑体" w:eastAsia="黑体"/>
        </w:rPr>
      </w:pPr>
      <w:r>
        <w:rPr>
          <w:rFonts w:ascii="黑体" w:hAnsi="黑体" w:eastAsia="黑体"/>
        </w:rPr>
        <w:t xml:space="preserve">7.1.1 </w:t>
      </w:r>
      <w:r>
        <w:rPr>
          <w:rFonts w:hint="eastAsia" w:ascii="黑体" w:hAnsi="黑体" w:eastAsia="黑体"/>
          <w:lang w:val="en-US" w:eastAsia="zh-CN"/>
        </w:rPr>
        <w:t xml:space="preserve"> </w:t>
      </w:r>
      <w:r>
        <w:rPr>
          <w:rFonts w:hint="eastAsia" w:ascii="黑体" w:hAnsi="黑体" w:eastAsia="黑体"/>
        </w:rPr>
        <w:t>跑道与停机坪</w:t>
      </w:r>
    </w:p>
    <w:p>
      <w:pPr>
        <w:pStyle w:val="68"/>
        <w:numPr>
          <w:ilvl w:val="3"/>
          <w:numId w:val="0"/>
        </w:numPr>
        <w:ind w:firstLine="420" w:firstLineChars="200"/>
      </w:pPr>
      <w:r>
        <w:rPr>
          <w:rFonts w:hint="eastAsia"/>
        </w:rPr>
        <w:t>采用吸声材料铺设跑道边缘和停机坪周边，减少飞行器起降和地面滑行时的轮胎噪声和机身振动噪声。</w:t>
      </w:r>
    </w:p>
    <w:p>
      <w:pPr>
        <w:pStyle w:val="67"/>
        <w:spacing w:before="156" w:beforeLines="50" w:after="156" w:afterLines="50"/>
        <w:ind w:firstLine="0" w:firstLineChars="0"/>
        <w:rPr>
          <w:rFonts w:ascii="黑体" w:hAnsi="黑体" w:eastAsia="黑体"/>
        </w:rPr>
      </w:pPr>
      <w:r>
        <w:rPr>
          <w:rFonts w:hint="eastAsia" w:ascii="黑体" w:hAnsi="黑体" w:eastAsia="黑体"/>
        </w:rPr>
        <w:t>7</w:t>
      </w:r>
      <w:r>
        <w:rPr>
          <w:rFonts w:ascii="黑体" w:hAnsi="黑体" w:eastAsia="黑体"/>
        </w:rPr>
        <w:t xml:space="preserve">.1.2 </w:t>
      </w:r>
      <w:r>
        <w:rPr>
          <w:rFonts w:hint="eastAsia" w:ascii="黑体" w:hAnsi="黑体" w:eastAsia="黑体"/>
          <w:lang w:val="en-US" w:eastAsia="zh-CN"/>
        </w:rPr>
        <w:t xml:space="preserve"> </w:t>
      </w:r>
      <w:r>
        <w:rPr>
          <w:rFonts w:hint="eastAsia" w:ascii="黑体" w:hAnsi="黑体" w:eastAsia="黑体"/>
        </w:rPr>
        <w:t>机库与维护设施</w:t>
      </w:r>
    </w:p>
    <w:p>
      <w:pPr>
        <w:pStyle w:val="68"/>
        <w:numPr>
          <w:ilvl w:val="3"/>
          <w:numId w:val="0"/>
        </w:numPr>
        <w:ind w:firstLine="420" w:firstLineChars="200"/>
      </w:pPr>
      <w:r>
        <w:rPr>
          <w:rFonts w:hint="eastAsia"/>
        </w:rPr>
        <w:t>设计机库时采用双层墙结构，内部填充吸声材料，门窗采用隔音设计，确保维修作业期间噪声不外泄。</w:t>
      </w:r>
    </w:p>
    <w:p>
      <w:pPr>
        <w:pStyle w:val="67"/>
        <w:spacing w:before="156" w:beforeLines="50" w:after="156" w:afterLines="50"/>
        <w:ind w:firstLine="0" w:firstLineChars="0"/>
        <w:rPr>
          <w:rFonts w:ascii="黑体" w:hAnsi="黑体" w:eastAsia="黑体"/>
        </w:rPr>
      </w:pPr>
      <w:r>
        <w:rPr>
          <w:rFonts w:hint="eastAsia" w:ascii="黑体" w:hAnsi="黑体" w:eastAsia="黑体"/>
        </w:rPr>
        <w:t>7</w:t>
      </w:r>
      <w:r>
        <w:rPr>
          <w:rFonts w:ascii="黑体" w:hAnsi="黑体" w:eastAsia="黑体"/>
        </w:rPr>
        <w:t xml:space="preserve">.1.3 </w:t>
      </w:r>
      <w:r>
        <w:rPr>
          <w:rFonts w:hint="eastAsia" w:ascii="黑体" w:hAnsi="黑体" w:eastAsia="黑体"/>
          <w:lang w:val="en-US" w:eastAsia="zh-CN"/>
        </w:rPr>
        <w:t xml:space="preserve"> </w:t>
      </w:r>
      <w:r>
        <w:rPr>
          <w:rFonts w:hint="eastAsia" w:ascii="黑体" w:hAnsi="黑体" w:eastAsia="黑体"/>
        </w:rPr>
        <w:t>建筑声学优化</w:t>
      </w:r>
    </w:p>
    <w:p>
      <w:pPr>
        <w:pStyle w:val="68"/>
        <w:numPr>
          <w:ilvl w:val="3"/>
          <w:numId w:val="0"/>
        </w:numPr>
        <w:ind w:firstLine="420" w:firstLineChars="200"/>
      </w:pPr>
      <w:r>
        <w:rPr>
          <w:rFonts w:hint="eastAsia"/>
        </w:rPr>
        <w:t>办公楼、休息室等人员密集区采用隔声窗、隔音门、吸音天花板和墙面，创造安静的工作与休息环境，建筑噪音防治标准宜满足国标 GB 55038-2025的相关要求，建筑外墙、外窗隔声量≥35 dB。</w:t>
      </w:r>
    </w:p>
    <w:p>
      <w:pPr>
        <w:pStyle w:val="65"/>
        <w:spacing w:before="156" w:after="156"/>
      </w:pPr>
      <w:bookmarkStart w:id="103" w:name="_Toc20352"/>
      <w:r>
        <w:rPr>
          <w:rFonts w:hint="eastAsia"/>
        </w:rPr>
        <w:t>声屏障布局</w:t>
      </w:r>
      <w:bookmarkEnd w:id="103"/>
    </w:p>
    <w:p>
      <w:pPr>
        <w:pStyle w:val="67"/>
        <w:spacing w:before="156" w:beforeLines="50" w:after="156" w:afterLines="50"/>
        <w:ind w:firstLine="0" w:firstLineChars="0"/>
        <w:rPr>
          <w:rFonts w:ascii="黑体" w:hAnsi="黑体" w:eastAsia="黑体"/>
        </w:rPr>
      </w:pPr>
      <w:r>
        <w:rPr>
          <w:rFonts w:hint="eastAsia" w:ascii="黑体" w:hAnsi="黑体" w:eastAsia="黑体"/>
        </w:rPr>
        <w:t>7</w:t>
      </w:r>
      <w:r>
        <w:rPr>
          <w:rFonts w:ascii="黑体" w:hAnsi="黑体" w:eastAsia="黑体"/>
        </w:rPr>
        <w:t>.2.1</w:t>
      </w:r>
      <w:r>
        <w:rPr>
          <w:rFonts w:hint="eastAsia" w:ascii="黑体" w:hAnsi="黑体" w:eastAsia="黑体"/>
          <w:lang w:val="en-US" w:eastAsia="zh-CN"/>
        </w:rPr>
        <w:t xml:space="preserve"> </w:t>
      </w:r>
      <w:r>
        <w:rPr>
          <w:rFonts w:ascii="黑体" w:hAnsi="黑体" w:eastAsia="黑体"/>
        </w:rPr>
        <w:t xml:space="preserve"> </w:t>
      </w:r>
      <w:r>
        <w:rPr>
          <w:rFonts w:hint="eastAsia" w:ascii="黑体" w:hAnsi="黑体" w:eastAsia="黑体"/>
        </w:rPr>
        <w:t>周边布局</w:t>
      </w:r>
    </w:p>
    <w:p>
      <w:pPr>
        <w:pStyle w:val="68"/>
        <w:numPr>
          <w:ilvl w:val="3"/>
          <w:numId w:val="0"/>
        </w:numPr>
        <w:ind w:firstLine="420" w:firstLineChars="200"/>
      </w:pPr>
      <w:r>
        <w:rPr>
          <w:rFonts w:hint="eastAsia"/>
        </w:rPr>
        <w:t>在垂直起降点建设与设计中，根据噪声传播预测结果，应保证场界线上噪声相较于起降区域噪声小于10 dB(A) 以上，若未能达到，则需采取加装声屏障等隔离措施。</w:t>
      </w:r>
    </w:p>
    <w:p>
      <w:pPr>
        <w:pStyle w:val="67"/>
        <w:spacing w:before="156" w:beforeLines="50" w:after="156" w:afterLines="50"/>
        <w:ind w:firstLine="0" w:firstLineChars="0"/>
        <w:rPr>
          <w:rFonts w:ascii="黑体" w:hAnsi="黑体" w:eastAsia="黑体"/>
        </w:rPr>
      </w:pPr>
      <w:r>
        <w:rPr>
          <w:rFonts w:hint="eastAsia" w:ascii="黑体" w:hAnsi="黑体" w:eastAsia="黑体"/>
        </w:rPr>
        <w:t>7</w:t>
      </w:r>
      <w:r>
        <w:rPr>
          <w:rFonts w:ascii="黑体" w:hAnsi="黑体" w:eastAsia="黑体"/>
        </w:rPr>
        <w:t xml:space="preserve">.2.2 </w:t>
      </w:r>
      <w:r>
        <w:rPr>
          <w:rFonts w:hint="eastAsia" w:ascii="黑体" w:hAnsi="黑体" w:eastAsia="黑体"/>
          <w:lang w:val="en-US" w:eastAsia="zh-CN"/>
        </w:rPr>
        <w:t xml:space="preserve"> </w:t>
      </w:r>
      <w:r>
        <w:rPr>
          <w:rFonts w:hint="eastAsia" w:ascii="黑体" w:hAnsi="黑体" w:eastAsia="黑体"/>
        </w:rPr>
        <w:t>声屏障的使用</w:t>
      </w:r>
    </w:p>
    <w:p>
      <w:pPr>
        <w:pStyle w:val="68"/>
        <w:numPr>
          <w:ilvl w:val="3"/>
          <w:numId w:val="0"/>
        </w:numPr>
        <w:ind w:firstLine="420" w:firstLineChars="200"/>
      </w:pPr>
      <w:r>
        <w:rPr>
          <w:rFonts w:hint="eastAsia"/>
        </w:rPr>
        <w:t>当沿垂直起降点边界设置声屏障时，声屏障的高度、材质和形状需根据声源特性及环境条件进行设计，声屏障常用材料包括混凝土、传统隔音材料、超构声学材料等。对于特殊地形或风向影响明显的区域，采用可调节角度的智能声屏障，提高噪声控制的灵活性和效率。</w:t>
      </w:r>
    </w:p>
    <w:p>
      <w:pPr>
        <w:pStyle w:val="65"/>
        <w:spacing w:before="156" w:after="156"/>
      </w:pPr>
      <w:bookmarkStart w:id="104" w:name="_Toc16370"/>
      <w:r>
        <w:rPr>
          <w:rFonts w:hint="eastAsia"/>
        </w:rPr>
        <w:t>综合设计考虑</w:t>
      </w:r>
      <w:bookmarkEnd w:id="104"/>
    </w:p>
    <w:p>
      <w:pPr>
        <w:pStyle w:val="67"/>
        <w:spacing w:before="156" w:beforeLines="50" w:after="156" w:afterLines="50"/>
        <w:ind w:firstLine="0" w:firstLineChars="0"/>
        <w:rPr>
          <w:rFonts w:hint="eastAsia" w:ascii="黑体" w:hAnsi="黑体" w:eastAsia="黑体"/>
        </w:rPr>
      </w:pPr>
      <w:r>
        <w:rPr>
          <w:rFonts w:hint="eastAsia" w:ascii="黑体" w:hAnsi="黑体" w:eastAsia="黑体"/>
        </w:rPr>
        <w:t>7</w:t>
      </w:r>
      <w:r>
        <w:rPr>
          <w:rFonts w:ascii="黑体" w:hAnsi="黑体" w:eastAsia="黑体"/>
        </w:rPr>
        <w:t xml:space="preserve">.3.1 </w:t>
      </w:r>
      <w:r>
        <w:rPr>
          <w:rFonts w:hint="eastAsia" w:ascii="黑体" w:hAnsi="黑体" w:eastAsia="黑体"/>
          <w:lang w:val="en-US" w:eastAsia="zh-CN"/>
        </w:rPr>
        <w:t xml:space="preserve"> </w:t>
      </w:r>
      <w:r>
        <w:rPr>
          <w:rFonts w:hint="eastAsia" w:ascii="黑体" w:hAnsi="黑体" w:eastAsia="黑体"/>
        </w:rPr>
        <w:t>起降点选址</w:t>
      </w:r>
    </w:p>
    <w:p>
      <w:pPr>
        <w:ind w:firstLine="420" w:firstLineChars="200"/>
        <w:rPr>
          <w:rFonts w:ascii="宋体" w:hAnsi="宋体" w:eastAsia="宋体"/>
          <w:szCs w:val="21"/>
        </w:rPr>
      </w:pPr>
      <w:r>
        <w:rPr>
          <w:rFonts w:hint="eastAsia" w:ascii="宋体" w:hAnsi="宋体" w:eastAsia="宋体"/>
          <w:szCs w:val="21"/>
        </w:rPr>
        <w:t>在规划垂直起降点的时候，宜远离声敏感区，可以适当利用自然地形地貌，如山丘、树林等，或者现有的建筑设施，作为天然的屏障，阻挡噪声传播。</w:t>
      </w:r>
    </w:p>
    <w:p>
      <w:pPr>
        <w:pStyle w:val="67"/>
        <w:spacing w:before="156" w:beforeLines="50" w:after="156" w:afterLines="50"/>
        <w:ind w:firstLine="0" w:firstLineChars="0"/>
        <w:rPr>
          <w:rFonts w:hint="eastAsia" w:ascii="黑体" w:hAnsi="黑体" w:eastAsia="黑体"/>
        </w:rPr>
      </w:pPr>
      <w:r>
        <w:rPr>
          <w:rFonts w:hint="eastAsia" w:ascii="黑体" w:hAnsi="黑体" w:eastAsia="黑体"/>
        </w:rPr>
        <w:t>7</w:t>
      </w:r>
      <w:r>
        <w:rPr>
          <w:rFonts w:ascii="黑体" w:hAnsi="黑体" w:eastAsia="黑体"/>
        </w:rPr>
        <w:t>.3.2</w:t>
      </w:r>
      <w:r>
        <w:rPr>
          <w:rFonts w:hint="eastAsia" w:ascii="黑体" w:hAnsi="黑体" w:eastAsia="黑体"/>
          <w:lang w:val="en-US" w:eastAsia="zh-CN"/>
        </w:rPr>
        <w:t xml:space="preserve"> </w:t>
      </w:r>
      <w:r>
        <w:rPr>
          <w:rFonts w:ascii="黑体" w:hAnsi="黑体" w:eastAsia="黑体"/>
        </w:rPr>
        <w:t xml:space="preserve"> </w:t>
      </w:r>
      <w:r>
        <w:rPr>
          <w:rFonts w:hint="eastAsia" w:ascii="黑体" w:hAnsi="黑体" w:eastAsia="黑体"/>
        </w:rPr>
        <w:t>协同规划</w:t>
      </w:r>
    </w:p>
    <w:p>
      <w:pPr>
        <w:ind w:firstLine="420" w:firstLineChars="200"/>
        <w:rPr>
          <w:rFonts w:ascii="宋体" w:hAnsi="宋体" w:eastAsia="宋体"/>
          <w:szCs w:val="21"/>
        </w:rPr>
      </w:pPr>
      <w:r>
        <w:rPr>
          <w:rFonts w:ascii="宋体" w:hAnsi="宋体" w:eastAsia="宋体"/>
          <w:szCs w:val="21"/>
        </w:rPr>
        <w:t>在设计初期，将噪声控制融入整体规划之中，确保飞行区、办公区、生活区等各功能区布局合理，减少相互间的噪声干扰。</w:t>
      </w:r>
    </w:p>
    <w:p>
      <w:pPr>
        <w:pStyle w:val="67"/>
        <w:spacing w:before="156" w:beforeLines="50" w:after="156" w:afterLines="50"/>
        <w:ind w:firstLine="0" w:firstLineChars="0"/>
        <w:rPr>
          <w:rFonts w:hint="eastAsia" w:ascii="黑体" w:hAnsi="黑体" w:eastAsia="黑体"/>
        </w:rPr>
      </w:pPr>
      <w:r>
        <w:rPr>
          <w:rFonts w:hint="eastAsia" w:ascii="黑体" w:hAnsi="黑体" w:eastAsia="黑体"/>
        </w:rPr>
        <w:t>7</w:t>
      </w:r>
      <w:r>
        <w:rPr>
          <w:rFonts w:ascii="黑体" w:hAnsi="黑体" w:eastAsia="黑体"/>
        </w:rPr>
        <w:t xml:space="preserve">.3.3 </w:t>
      </w:r>
      <w:r>
        <w:rPr>
          <w:rFonts w:hint="eastAsia" w:ascii="黑体" w:hAnsi="黑体" w:eastAsia="黑体"/>
          <w:lang w:val="en-US" w:eastAsia="zh-CN"/>
        </w:rPr>
        <w:t xml:space="preserve"> </w:t>
      </w:r>
      <w:r>
        <w:rPr>
          <w:rFonts w:hint="eastAsia" w:ascii="黑体" w:hAnsi="黑体" w:eastAsia="黑体"/>
        </w:rPr>
        <w:t>模拟验证</w:t>
      </w:r>
    </w:p>
    <w:p>
      <w:pPr>
        <w:ind w:firstLine="420" w:firstLineChars="200"/>
        <w:rPr>
          <w:rFonts w:ascii="宋体" w:hAnsi="宋体" w:eastAsia="宋体"/>
          <w:szCs w:val="21"/>
        </w:rPr>
      </w:pPr>
      <w:r>
        <w:rPr>
          <w:rFonts w:ascii="宋体" w:hAnsi="宋体" w:eastAsia="宋体"/>
          <w:szCs w:val="21"/>
        </w:rPr>
        <w:t>运用计算机仿真软件，对设计方案进行声场模拟，预估实际效果，及时调整优化，确保设计方案的科学性和实用性。</w:t>
      </w:r>
    </w:p>
    <w:p>
      <w:pPr>
        <w:pStyle w:val="65"/>
        <w:spacing w:before="156" w:after="156"/>
      </w:pPr>
      <w:bookmarkStart w:id="105" w:name="_Toc4350"/>
      <w:r>
        <w:rPr>
          <w:rFonts w:hint="eastAsia"/>
        </w:rPr>
        <w:t>施工与验收</w:t>
      </w:r>
      <w:bookmarkEnd w:id="105"/>
    </w:p>
    <w:p>
      <w:pPr>
        <w:pStyle w:val="68"/>
        <w:numPr>
          <w:ilvl w:val="3"/>
          <w:numId w:val="0"/>
        </w:numPr>
      </w:pPr>
      <w:r>
        <w:rPr>
          <w:rFonts w:hint="eastAsia" w:ascii="黑体" w:hAnsi="黑体" w:eastAsia="黑体"/>
        </w:rPr>
        <w:t>7</w:t>
      </w:r>
      <w:r>
        <w:rPr>
          <w:rFonts w:ascii="黑体" w:hAnsi="黑体" w:eastAsia="黑体"/>
        </w:rPr>
        <w:t>.4.1</w:t>
      </w:r>
      <w:r>
        <w:t xml:space="preserve">  </w:t>
      </w:r>
      <w:r>
        <w:rPr>
          <w:rFonts w:hint="eastAsia"/>
        </w:rPr>
        <w:t>噪声控制工程需严格遵循施工标准，明确所有噪声控制材料（如吸声材料、隔音板、声屏障等）和设备的技术规格、性能指标及合格供应商名单，规范施工工艺，落实安全环保要求。</w:t>
      </w:r>
    </w:p>
    <w:p>
      <w:pPr>
        <w:pStyle w:val="68"/>
        <w:numPr>
          <w:ilvl w:val="3"/>
          <w:numId w:val="0"/>
        </w:numPr>
      </w:pPr>
      <w:r>
        <w:rPr>
          <w:rFonts w:hint="eastAsia" w:ascii="黑体" w:hAnsi="黑体" w:eastAsia="黑体"/>
        </w:rPr>
        <w:t>7</w:t>
      </w:r>
      <w:r>
        <w:rPr>
          <w:rFonts w:ascii="黑体" w:hAnsi="黑体" w:eastAsia="黑体"/>
        </w:rPr>
        <w:t xml:space="preserve">.4.2 </w:t>
      </w:r>
      <w:r>
        <w:t xml:space="preserve"> </w:t>
      </w:r>
      <w:r>
        <w:rPr>
          <w:rFonts w:hint="eastAsia"/>
        </w:rPr>
        <w:t>验收流程包括施工单位初步自检、建设单位组织预验收、整改复验、相关部门及专家正式验收，验收合格颁发证书，施工结束后建立噪声控制设施的维护保养制度，定期检查设施状态，确保长期有效运行，必要时进行性能评估与优化调整。</w:t>
      </w:r>
    </w:p>
    <w:p>
      <w:pPr>
        <w:pStyle w:val="66"/>
        <w:spacing w:before="312" w:after="312"/>
      </w:pPr>
      <w:bookmarkStart w:id="106" w:name="_Toc11365"/>
      <w:r>
        <w:rPr>
          <w:rFonts w:hint="eastAsia"/>
        </w:rPr>
        <w:t>噪声监测与管理</w:t>
      </w:r>
      <w:bookmarkEnd w:id="106"/>
    </w:p>
    <w:p>
      <w:pPr>
        <w:pStyle w:val="65"/>
        <w:spacing w:before="156" w:after="156"/>
      </w:pPr>
      <w:bookmarkStart w:id="107" w:name="_Toc3454"/>
      <w:r>
        <w:rPr>
          <w:rFonts w:hint="eastAsia"/>
        </w:rPr>
        <w:t>噪声监测体系建立</w:t>
      </w:r>
      <w:bookmarkEnd w:id="107"/>
    </w:p>
    <w:p>
      <w:pPr>
        <w:pStyle w:val="68"/>
        <w:numPr>
          <w:ilvl w:val="3"/>
          <w:numId w:val="0"/>
        </w:numPr>
        <w:ind w:firstLine="420" w:firstLineChars="200"/>
      </w:pPr>
      <w:r>
        <w:rPr>
          <w:rFonts w:hint="eastAsia"/>
        </w:rPr>
        <w:t>低空飞行器的运营管理部门需要建立噪声监测体系，具体如下：</w:t>
      </w:r>
    </w:p>
    <w:p>
      <w:pPr>
        <w:pStyle w:val="68"/>
        <w:numPr>
          <w:ilvl w:val="3"/>
          <w:numId w:val="0"/>
        </w:numPr>
        <w:ind w:firstLine="420" w:firstLineChars="200"/>
        <w:rPr>
          <w:rFonts w:hint="eastAsia" w:eastAsia="宋体"/>
          <w:lang w:eastAsia="zh-CN"/>
        </w:rPr>
      </w:pPr>
      <w:r>
        <w:t>a</w:t>
      </w:r>
      <w:r>
        <w:rPr>
          <w:rFonts w:hint="eastAsia"/>
        </w:rPr>
        <w:t>）监测网络布设：结合垂直起降点噪声源分布、周边敏感区域位置，科学规划噪声监测点位，包括固定监测站、流动监测点及远程在线监测系统，确保监测范围全面覆盖</w:t>
      </w:r>
      <w:r>
        <w:rPr>
          <w:rFonts w:hint="eastAsia"/>
          <w:lang w:eastAsia="zh-CN"/>
        </w:rPr>
        <w:t>；</w:t>
      </w:r>
    </w:p>
    <w:p>
      <w:pPr>
        <w:pStyle w:val="68"/>
        <w:numPr>
          <w:ilvl w:val="3"/>
          <w:numId w:val="0"/>
        </w:numPr>
        <w:ind w:firstLine="420" w:firstLineChars="200"/>
        <w:rPr>
          <w:rFonts w:hint="eastAsia" w:eastAsia="宋体"/>
          <w:lang w:eastAsia="zh-CN"/>
        </w:rPr>
      </w:pPr>
      <w:r>
        <w:t>b</w:t>
      </w:r>
      <w:r>
        <w:rPr>
          <w:rFonts w:hint="eastAsia"/>
        </w:rPr>
        <w:t>）监测设备选型：选用高精度、计量合格的噪声监测仪器，如分贝计、噪声频谱分析仪等，满足不同环境和时段的监测需求</w:t>
      </w:r>
      <w:r>
        <w:rPr>
          <w:rFonts w:hint="eastAsia"/>
          <w:lang w:eastAsia="zh-CN"/>
        </w:rPr>
        <w:t>；</w:t>
      </w:r>
    </w:p>
    <w:p>
      <w:pPr>
        <w:pStyle w:val="68"/>
        <w:numPr>
          <w:ilvl w:val="3"/>
          <w:numId w:val="0"/>
        </w:numPr>
        <w:ind w:firstLine="420" w:firstLineChars="200"/>
        <w:rPr>
          <w:rFonts w:hint="eastAsia" w:eastAsia="宋体"/>
          <w:lang w:eastAsia="zh-CN"/>
        </w:rPr>
      </w:pPr>
      <w:r>
        <w:t>c</w:t>
      </w:r>
      <w:r>
        <w:rPr>
          <w:rFonts w:hint="eastAsia"/>
        </w:rPr>
        <w:t>）数据采集与分析：实施全天候自动监测，采集噪声数据并实时传输至中央管理系统，运用大数据分析技术，对噪声水平、频谱特征、时间分布等进行深入分析，及时发现异常噪声事件</w:t>
      </w:r>
      <w:r>
        <w:rPr>
          <w:rFonts w:hint="eastAsia"/>
          <w:lang w:eastAsia="zh-CN"/>
        </w:rPr>
        <w:t>；</w:t>
      </w:r>
    </w:p>
    <w:p>
      <w:pPr>
        <w:pStyle w:val="68"/>
        <w:numPr>
          <w:ilvl w:val="3"/>
          <w:numId w:val="0"/>
        </w:numPr>
        <w:ind w:firstLine="420" w:firstLineChars="200"/>
        <w:rPr>
          <w:rFonts w:hint="eastAsia" w:eastAsia="宋体"/>
          <w:lang w:eastAsia="zh-CN"/>
        </w:rPr>
      </w:pPr>
      <w:r>
        <w:rPr>
          <w:rFonts w:hint="eastAsia"/>
        </w:rPr>
        <w:t>d）应急响应：建立噪声突发事件应急预案，如设备故障、特殊天气条件下的噪声突增等情况，确保能迅速响应并采取有效措施减轻影响</w:t>
      </w:r>
      <w:r>
        <w:rPr>
          <w:rFonts w:hint="eastAsia"/>
          <w:lang w:eastAsia="zh-CN"/>
        </w:rPr>
        <w:t>；</w:t>
      </w:r>
    </w:p>
    <w:p>
      <w:pPr>
        <w:pStyle w:val="68"/>
        <w:numPr>
          <w:ilvl w:val="3"/>
          <w:numId w:val="0"/>
        </w:numPr>
        <w:ind w:firstLine="420" w:firstLineChars="200"/>
      </w:pPr>
      <w:r>
        <w:t>e</w:t>
      </w:r>
      <w:r>
        <w:rPr>
          <w:rFonts w:hint="eastAsia"/>
        </w:rPr>
        <w:t>）公众参与：建立公众投诉与反馈机制，鼓励周边居民参与噪声监测，提供更贴近生活的噪声感知信息，增强噪声管理的社会参与度。</w:t>
      </w:r>
    </w:p>
    <w:p>
      <w:pPr>
        <w:pStyle w:val="65"/>
        <w:spacing w:before="156" w:after="156"/>
      </w:pPr>
      <w:bookmarkStart w:id="108" w:name="_Toc29559"/>
      <w:r>
        <w:rPr>
          <w:rFonts w:hint="eastAsia"/>
        </w:rPr>
        <w:t>定期检测垂直起降点及周边环境噪声水平</w:t>
      </w:r>
      <w:bookmarkEnd w:id="108"/>
    </w:p>
    <w:p>
      <w:pPr>
        <w:pStyle w:val="67"/>
        <w:ind w:firstLine="420"/>
        <w:rPr>
          <w:rFonts w:hint="eastAsia"/>
        </w:rPr>
      </w:pPr>
      <w:r>
        <w:rPr>
          <w:rFonts w:hint="eastAsia"/>
        </w:rPr>
        <w:t>定期检测垂直起降点及周边环境噪声水平，从以下方面进行：</w:t>
      </w:r>
    </w:p>
    <w:p>
      <w:pPr>
        <w:pStyle w:val="68"/>
        <w:numPr>
          <w:ilvl w:val="3"/>
          <w:numId w:val="0"/>
        </w:numPr>
        <w:ind w:firstLine="420" w:firstLineChars="200"/>
        <w:rPr>
          <w:rFonts w:hint="eastAsia" w:eastAsia="宋体"/>
          <w:lang w:eastAsia="zh-CN"/>
        </w:rPr>
      </w:pPr>
      <w:r>
        <w:rPr>
          <w:rFonts w:hint="eastAsia"/>
        </w:rPr>
        <w:t>a）定期检测计划：制定年度、季度乃至月度的噪声检测计划，覆盖垂直起降点内各主要噪声源、周边敏感区域及关键传播路径，确保检测的系统性和规律性</w:t>
      </w:r>
      <w:r>
        <w:rPr>
          <w:rFonts w:hint="eastAsia"/>
          <w:lang w:eastAsia="zh-CN"/>
        </w:rPr>
        <w:t>；</w:t>
      </w:r>
    </w:p>
    <w:p>
      <w:pPr>
        <w:pStyle w:val="68"/>
        <w:numPr>
          <w:ilvl w:val="3"/>
          <w:numId w:val="0"/>
        </w:numPr>
        <w:ind w:firstLine="420" w:firstLineChars="200"/>
        <w:rPr>
          <w:rFonts w:hint="eastAsia" w:eastAsia="宋体"/>
          <w:lang w:eastAsia="zh-CN"/>
        </w:rPr>
      </w:pPr>
      <w:r>
        <w:rPr>
          <w:rFonts w:hint="eastAsia"/>
        </w:rPr>
        <w:t>b）检测标准与评估：按照国家及地方环境噪声排放标准，对检测结果进行评估，判断是否满足环保要求，对超标区域或时段进行重点标记，为后续调控提供依据</w:t>
      </w:r>
      <w:r>
        <w:rPr>
          <w:rFonts w:hint="eastAsia"/>
          <w:lang w:eastAsia="zh-CN"/>
        </w:rPr>
        <w:t>；</w:t>
      </w:r>
    </w:p>
    <w:p>
      <w:pPr>
        <w:pStyle w:val="68"/>
        <w:numPr>
          <w:ilvl w:val="3"/>
          <w:numId w:val="0"/>
        </w:numPr>
        <w:ind w:firstLine="420" w:firstLineChars="200"/>
      </w:pPr>
      <w:r>
        <w:t>c</w:t>
      </w:r>
      <w:r>
        <w:rPr>
          <w:rFonts w:hint="eastAsia"/>
        </w:rPr>
        <w:t>）噪声暴露评估：对垂直起降点工作人员及周边居民的噪声暴露情况进行定期评估，确保符合职业健康与公共安全标准。</w:t>
      </w:r>
    </w:p>
    <w:p>
      <w:pPr>
        <w:pStyle w:val="65"/>
        <w:spacing w:before="156" w:after="156"/>
      </w:pPr>
      <w:bookmarkStart w:id="109" w:name="_Toc31793"/>
      <w:r>
        <w:rPr>
          <w:rFonts w:hint="eastAsia"/>
        </w:rPr>
        <w:t>制定维护保养</w:t>
      </w:r>
      <w:bookmarkEnd w:id="109"/>
      <w:r>
        <w:rPr>
          <w:rFonts w:hint="eastAsia"/>
        </w:rPr>
        <w:t xml:space="preserve"> </w:t>
      </w:r>
    </w:p>
    <w:p>
      <w:pPr>
        <w:pStyle w:val="67"/>
        <w:ind w:firstLine="420"/>
        <w:rPr>
          <w:rFonts w:hint="eastAsia"/>
        </w:rPr>
      </w:pPr>
      <w:r>
        <w:rPr>
          <w:rFonts w:hint="eastAsia"/>
        </w:rPr>
        <w:t>制定低空飞行器垂直起降点维护计划，从以下方面进行：</w:t>
      </w:r>
    </w:p>
    <w:p>
      <w:pPr>
        <w:pStyle w:val="68"/>
        <w:numPr>
          <w:ilvl w:val="3"/>
          <w:numId w:val="0"/>
        </w:numPr>
        <w:ind w:firstLine="420" w:firstLineChars="200"/>
        <w:rPr>
          <w:rFonts w:hint="eastAsia" w:eastAsia="宋体"/>
          <w:lang w:eastAsia="zh-CN"/>
        </w:rPr>
      </w:pPr>
      <w:r>
        <w:rPr>
          <w:rFonts w:hint="eastAsia"/>
        </w:rPr>
        <w:t>a）设施维护：针对声屏障、吸声材料、隔音门窗等设施，制定定期检查、清洁、修复或更换的维护计划，防止因老化、损坏而影响降噪效果</w:t>
      </w:r>
      <w:r>
        <w:rPr>
          <w:rFonts w:hint="eastAsia"/>
          <w:lang w:eastAsia="zh-CN"/>
        </w:rPr>
        <w:t>；</w:t>
      </w:r>
    </w:p>
    <w:p>
      <w:pPr>
        <w:pStyle w:val="68"/>
        <w:numPr>
          <w:ilvl w:val="3"/>
          <w:numId w:val="0"/>
        </w:numPr>
        <w:ind w:firstLine="420" w:firstLineChars="200"/>
        <w:rPr>
          <w:rFonts w:hint="eastAsia" w:eastAsia="宋体"/>
          <w:lang w:eastAsia="zh-CN"/>
        </w:rPr>
      </w:pPr>
      <w:r>
        <w:rPr>
          <w:rFonts w:hint="eastAsia"/>
        </w:rPr>
        <w:t>b）设备保养：对噪声监测设备进行定期校准和维护，确保数据准确性，延长设备使用寿命</w:t>
      </w:r>
      <w:r>
        <w:rPr>
          <w:rFonts w:hint="eastAsia"/>
          <w:lang w:eastAsia="zh-CN"/>
        </w:rPr>
        <w:t>；</w:t>
      </w:r>
    </w:p>
    <w:p>
      <w:pPr>
        <w:pStyle w:val="68"/>
        <w:numPr>
          <w:ilvl w:val="3"/>
          <w:numId w:val="0"/>
        </w:numPr>
        <w:ind w:firstLine="420" w:firstLineChars="200"/>
      </w:pPr>
      <w:r>
        <w:t>c</w:t>
      </w:r>
      <w:r>
        <w:rPr>
          <w:rFonts w:hint="eastAsia"/>
        </w:rPr>
        <w:t>）技术升级与优化：定期评估噪声控制措施的实效性，结合新技术、新材料的发展，适时进行技术改造和优化升级，不断提升噪声控制水平。</w:t>
      </w:r>
    </w:p>
    <w:bookmarkEnd w:id="78"/>
    <w:bookmarkEnd w:id="79"/>
    <w:bookmarkEnd w:id="80"/>
    <w:bookmarkEnd w:id="81"/>
    <w:bookmarkEnd w:id="86"/>
    <w:p>
      <w:pPr>
        <w:pStyle w:val="51"/>
      </w:pPr>
    </w:p>
    <w:p>
      <w:pPr>
        <w:pStyle w:val="51"/>
        <w:sectPr>
          <w:headerReference r:id="rId16" w:type="default"/>
          <w:footerReference r:id="rId18" w:type="default"/>
          <w:headerReference r:id="rId17" w:type="even"/>
          <w:footerReference r:id="rId19" w:type="even"/>
          <w:pgSz w:w="11906" w:h="16838"/>
          <w:pgMar w:top="1417" w:right="1134" w:bottom="1134" w:left="1418" w:header="1417" w:footer="1134" w:gutter="0"/>
          <w:pgNumType w:start="1"/>
          <w:cols w:space="425" w:num="1"/>
          <w:docGrid w:type="lines" w:linePitch="312" w:charSpace="0"/>
        </w:sectPr>
      </w:pPr>
    </w:p>
    <w:p>
      <w:pPr>
        <w:pStyle w:val="6"/>
        <w:adjustRightInd w:val="0"/>
        <w:snapToGrid w:val="0"/>
        <w:spacing w:before="567"/>
        <w:ind w:firstLine="0"/>
        <w:jc w:val="center"/>
        <w:outlineLvl w:val="0"/>
        <w:rPr>
          <w:rFonts w:ascii="黑体" w:hAnsi="黑体" w:eastAsia="黑体" w:cs="黑体"/>
          <w:szCs w:val="21"/>
        </w:rPr>
      </w:pPr>
      <w:bookmarkStart w:id="110" w:name="_Toc9352"/>
      <w:bookmarkStart w:id="111" w:name="_Toc28349"/>
      <w:bookmarkStart w:id="112" w:name="_Toc27120"/>
      <w:r>
        <w:rPr>
          <w:rFonts w:hint="eastAsia" w:ascii="黑体" w:hAnsi="黑体" w:eastAsia="黑体" w:cs="黑体"/>
          <w:szCs w:val="21"/>
        </w:rPr>
        <w:t>附  录  A</w:t>
      </w:r>
      <w:bookmarkEnd w:id="110"/>
      <w:bookmarkEnd w:id="111"/>
      <w:bookmarkEnd w:id="112"/>
    </w:p>
    <w:p>
      <w:pPr>
        <w:pStyle w:val="7"/>
        <w:jc w:val="center"/>
        <w:outlineLvl w:val="0"/>
        <w:rPr>
          <w:rFonts w:ascii="黑体" w:hAnsi="黑体" w:eastAsia="黑体" w:cs="黑体"/>
          <w:sz w:val="21"/>
          <w:szCs w:val="21"/>
        </w:rPr>
      </w:pPr>
      <w:bookmarkStart w:id="113" w:name="_Toc23324"/>
      <w:bookmarkStart w:id="114" w:name="_Toc198639158"/>
      <w:bookmarkStart w:id="115" w:name="_Toc21414"/>
      <w:bookmarkStart w:id="116" w:name="_Toc14964"/>
      <w:bookmarkStart w:id="117" w:name="_Toc31453"/>
      <w:r>
        <w:rPr>
          <w:rFonts w:hint="eastAsia" w:ascii="黑体" w:hAnsi="黑体" w:eastAsia="黑体" w:cs="黑体"/>
          <w:sz w:val="21"/>
          <w:szCs w:val="21"/>
        </w:rPr>
        <w:t>（资料性）</w:t>
      </w:r>
      <w:bookmarkEnd w:id="113"/>
      <w:bookmarkEnd w:id="114"/>
      <w:bookmarkEnd w:id="115"/>
      <w:bookmarkEnd w:id="116"/>
      <w:bookmarkEnd w:id="117"/>
    </w:p>
    <w:p>
      <w:pPr>
        <w:pStyle w:val="7"/>
        <w:adjustRightInd w:val="0"/>
        <w:spacing w:after="283"/>
        <w:jc w:val="center"/>
        <w:outlineLvl w:val="0"/>
        <w:rPr>
          <w:rFonts w:ascii="黑体" w:hAnsi="黑体" w:eastAsia="黑体"/>
          <w:color w:val="000000"/>
          <w:sz w:val="21"/>
          <w:szCs w:val="21"/>
        </w:rPr>
      </w:pPr>
      <w:bookmarkStart w:id="118" w:name="_Toc198639159"/>
      <w:bookmarkStart w:id="119" w:name="_Toc19813"/>
      <w:r>
        <w:rPr>
          <w:rFonts w:hint="eastAsia" w:ascii="黑体" w:hAnsi="黑体" w:eastAsia="黑体"/>
          <w:color w:val="000000"/>
          <w:sz w:val="21"/>
          <w:szCs w:val="21"/>
        </w:rPr>
        <w:t>低空飞行器噪声实验</w:t>
      </w:r>
      <w:bookmarkEnd w:id="118"/>
      <w:bookmarkEnd w:id="119"/>
    </w:p>
    <w:p>
      <w:pPr>
        <w:pStyle w:val="73"/>
        <w:numPr>
          <w:ilvl w:val="1"/>
          <w:numId w:val="0"/>
        </w:numPr>
        <w:spacing w:before="156" w:after="156"/>
      </w:pPr>
      <w:bookmarkStart w:id="120" w:name="_Toc6393"/>
      <w:bookmarkStart w:id="121" w:name="_Toc13585"/>
      <w:bookmarkStart w:id="122" w:name="_Toc198639160"/>
      <w:bookmarkStart w:id="123" w:name="_Toc19079"/>
      <w:r>
        <w:rPr>
          <w:rFonts w:hint="eastAsia"/>
        </w:rPr>
        <w:t>A.1　</w:t>
      </w:r>
      <w:bookmarkEnd w:id="120"/>
      <w:bookmarkEnd w:id="121"/>
      <w:r>
        <w:rPr>
          <w:rFonts w:hint="eastAsia"/>
        </w:rPr>
        <w:t>试验条件</w:t>
      </w:r>
      <w:bookmarkEnd w:id="122"/>
      <w:bookmarkEnd w:id="123"/>
    </w:p>
    <w:p>
      <w:pPr>
        <w:pStyle w:val="67"/>
        <w:ind w:firstLine="420"/>
      </w:pPr>
      <w:r>
        <w:rPr>
          <w:rFonts w:hint="eastAsia"/>
        </w:rPr>
        <w:t>无人驾驶航空器噪声试验条件应满足GB 42590-2023 中5.14.1要求，具体噪声试验条件应满足以下要求。</w:t>
      </w:r>
    </w:p>
    <w:p>
      <w:pPr>
        <w:pStyle w:val="67"/>
        <w:ind w:firstLine="420"/>
      </w:pPr>
      <w:r>
        <w:rPr>
          <w:rFonts w:hint="eastAsia"/>
        </w:rPr>
        <w:t>a)试验环境背景噪声低于无人驾驶航空器噪声至少10 dB(A)；如果测量环境为全消声室环境，理想情况下背景噪声低于无人驾驶航空器噪声 15 dB(A)；</w:t>
      </w:r>
    </w:p>
    <w:p>
      <w:pPr>
        <w:pStyle w:val="67"/>
        <w:ind w:firstLine="420"/>
      </w:pPr>
      <w:r>
        <w:rPr>
          <w:rFonts w:hint="eastAsia"/>
        </w:rPr>
        <w:t>b)传声器在测量过程中安装防风罩；</w:t>
      </w:r>
    </w:p>
    <w:p>
      <w:pPr>
        <w:pStyle w:val="67"/>
        <w:ind w:firstLine="420"/>
      </w:pPr>
      <w:r>
        <w:rPr>
          <w:rFonts w:hint="eastAsia"/>
        </w:rPr>
        <w:t>c)传声器距离地面或水平墙壁距离至少 0.5 m；</w:t>
      </w:r>
    </w:p>
    <w:p>
      <w:pPr>
        <w:pStyle w:val="67"/>
        <w:ind w:firstLine="420"/>
      </w:pPr>
      <w:r>
        <w:rPr>
          <w:rFonts w:hint="eastAsia"/>
        </w:rPr>
        <w:t>d)若在全消声室环境测试，则传声器至少达到GB/T 20441.4-2006规定的WS2F类型自由场传声器的要求，宜选用WS3F类型自由场传声器；</w:t>
      </w:r>
    </w:p>
    <w:p>
      <w:pPr>
        <w:pStyle w:val="67"/>
        <w:ind w:firstLine="420"/>
      </w:pPr>
      <w:r>
        <w:rPr>
          <w:rFonts w:hint="eastAsia"/>
        </w:rPr>
        <w:t>e)若测试在室外环境测试，则传声器至少达到GB/T 20441.4-2006规定的WS2P类型压力型传声器的要求，宜选用WS3P类型压力型传声器；</w:t>
      </w:r>
    </w:p>
    <w:p>
      <w:pPr>
        <w:pStyle w:val="67"/>
        <w:ind w:firstLine="420"/>
      </w:pPr>
      <w:r>
        <w:rPr>
          <w:rFonts w:hint="eastAsia"/>
        </w:rPr>
        <w:t>f)若在全消声室环境测试，按照GB/T 3222.2-2022进行校准；</w:t>
      </w:r>
    </w:p>
    <w:p>
      <w:pPr>
        <w:pStyle w:val="67"/>
        <w:ind w:firstLine="420"/>
        <w:rPr>
          <w:rFonts w:hAnsi="宋体"/>
        </w:rPr>
      </w:pPr>
      <w:r>
        <w:rPr>
          <w:rFonts w:hint="eastAsia"/>
        </w:rPr>
        <w:t>g)若在室外环境测试，地形平坦、宽敞，并在标识中说明地面类型如水泥地、草地或泥地等，环境条件</w:t>
      </w:r>
      <w:r>
        <w:rPr>
          <w:rFonts w:hint="eastAsia" w:hAnsi="宋体"/>
        </w:rPr>
        <w:t>满足：</w:t>
      </w:r>
    </w:p>
    <w:p>
      <w:pPr>
        <w:ind w:firstLine="840" w:firstLineChars="400"/>
        <w:rPr>
          <w:rFonts w:ascii="宋体" w:hAnsi="宋体" w:eastAsia="宋体"/>
          <w:szCs w:val="21"/>
        </w:rPr>
      </w:pPr>
      <w:r>
        <w:rPr>
          <w:rFonts w:hint="eastAsia" w:ascii="宋体" w:hAnsi="宋体" w:eastAsia="宋体"/>
          <w:szCs w:val="21"/>
        </w:rPr>
        <w:t>1)测试时不能有降雨；</w:t>
      </w:r>
    </w:p>
    <w:p>
      <w:pPr>
        <w:ind w:firstLine="840" w:firstLineChars="400"/>
        <w:rPr>
          <w:rFonts w:ascii="宋体" w:hAnsi="宋体" w:eastAsia="宋体"/>
          <w:szCs w:val="21"/>
        </w:rPr>
      </w:pPr>
      <w:r>
        <w:rPr>
          <w:rFonts w:hint="eastAsia" w:ascii="宋体" w:hAnsi="宋体" w:eastAsia="宋体"/>
          <w:szCs w:val="21"/>
        </w:rPr>
        <w:t>2)测试时环境温度(T,单位为℃)不低于</w:t>
      </w:r>
      <w:r>
        <w:rPr>
          <w:rFonts w:ascii="宋体" w:hAnsi="宋体" w:eastAsia="宋体"/>
          <w:szCs w:val="21"/>
        </w:rPr>
        <w:t xml:space="preserve"> </w:t>
      </w:r>
      <w:r>
        <w:rPr>
          <w:rFonts w:hint="eastAsia" w:ascii="宋体" w:hAnsi="宋体" w:eastAsia="宋体"/>
          <w:szCs w:val="21"/>
        </w:rPr>
        <w:t>5</w:t>
      </w:r>
      <w:r>
        <w:rPr>
          <w:rFonts w:ascii="宋体" w:hAnsi="宋体" w:eastAsia="宋体"/>
          <w:szCs w:val="21"/>
        </w:rPr>
        <w:t xml:space="preserve"> </w:t>
      </w:r>
      <w:r>
        <w:rPr>
          <w:rFonts w:hint="eastAsia" w:ascii="宋体" w:hAnsi="宋体" w:eastAsia="宋体"/>
          <w:szCs w:val="21"/>
        </w:rPr>
        <w:t>℃,且不高于 35</w:t>
      </w:r>
      <w:r>
        <w:rPr>
          <w:rFonts w:ascii="宋体" w:hAnsi="宋体" w:eastAsia="宋体"/>
          <w:szCs w:val="21"/>
        </w:rPr>
        <w:t xml:space="preserve"> </w:t>
      </w:r>
      <w:r>
        <w:rPr>
          <w:rFonts w:hint="eastAsia" w:ascii="宋体" w:hAnsi="宋体" w:eastAsia="宋体"/>
          <w:szCs w:val="21"/>
        </w:rPr>
        <w:t>℃；</w:t>
      </w:r>
    </w:p>
    <w:p>
      <w:pPr>
        <w:ind w:firstLine="840" w:firstLineChars="400"/>
        <w:rPr>
          <w:rFonts w:ascii="宋体" w:hAnsi="宋体" w:eastAsia="宋体"/>
          <w:szCs w:val="21"/>
        </w:rPr>
      </w:pPr>
      <w:r>
        <w:rPr>
          <w:rFonts w:hint="eastAsia" w:ascii="宋体" w:hAnsi="宋体" w:eastAsia="宋体"/>
          <w:szCs w:val="21"/>
        </w:rPr>
        <w:t>3)测试时相对湿度不低于20%,且不高于90%。当其在20%～56%范围时，温度满足：</w:t>
      </w:r>
    </w:p>
    <w:p>
      <w:pPr>
        <w:ind w:firstLine="2100" w:firstLineChars="1000"/>
        <w:rPr>
          <w:rFonts w:ascii="宋体" w:hAnsi="宋体" w:eastAsia="宋体"/>
          <w:szCs w:val="21"/>
        </w:rPr>
      </w:pPr>
      <w:r>
        <w:rPr>
          <w:rFonts w:hint="default" w:ascii="Times New Roman" w:hAnsi="Times New Roman" w:eastAsia="宋体" w:cs="Times New Roman"/>
          <w:b w:val="0"/>
          <w:bCs w:val="0"/>
          <w:szCs w:val="21"/>
        </w:rPr>
        <w:t>T≥-2.34×10</w:t>
      </w:r>
      <w:r>
        <w:rPr>
          <w:rFonts w:hint="default" w:ascii="Times New Roman" w:hAnsi="Times New Roman" w:eastAsia="宋体" w:cs="Times New Roman"/>
          <w:b w:val="0"/>
          <w:bCs w:val="0"/>
          <w:szCs w:val="21"/>
          <w:vertAlign w:val="superscript"/>
        </w:rPr>
        <w:t>-4</w:t>
      </w:r>
      <w:r>
        <w:rPr>
          <w:rFonts w:hint="default" w:ascii="Times New Roman" w:hAnsi="Times New Roman" w:eastAsia="宋体" w:cs="Times New Roman"/>
          <w:b w:val="0"/>
          <w:bCs w:val="0"/>
          <w:szCs w:val="21"/>
        </w:rPr>
        <w:t>RH</w:t>
      </w:r>
      <w:r>
        <w:rPr>
          <w:rFonts w:hint="default" w:ascii="Times New Roman" w:hAnsi="Times New Roman" w:eastAsia="宋体" w:cs="Times New Roman"/>
          <w:b w:val="0"/>
          <w:bCs w:val="0"/>
          <w:szCs w:val="21"/>
          <w:vertAlign w:val="superscript"/>
        </w:rPr>
        <w:t>3</w:t>
      </w:r>
      <w:r>
        <w:rPr>
          <w:rFonts w:hint="default" w:ascii="Times New Roman" w:hAnsi="Times New Roman" w:eastAsia="宋体" w:cs="Times New Roman"/>
          <w:b w:val="0"/>
          <w:bCs w:val="0"/>
          <w:szCs w:val="21"/>
        </w:rPr>
        <w:t>+3.6×10</w:t>
      </w:r>
      <w:r>
        <w:rPr>
          <w:rFonts w:hint="default" w:ascii="Times New Roman" w:hAnsi="Times New Roman" w:eastAsia="宋体" w:cs="Times New Roman"/>
          <w:b w:val="0"/>
          <w:bCs w:val="0"/>
          <w:szCs w:val="21"/>
          <w:vertAlign w:val="superscript"/>
        </w:rPr>
        <w:t>-2</w:t>
      </w:r>
      <w:r>
        <w:rPr>
          <w:rFonts w:hint="default" w:ascii="Times New Roman" w:hAnsi="Times New Roman" w:eastAsia="宋体" w:cs="Times New Roman"/>
          <w:b w:val="0"/>
          <w:bCs w:val="0"/>
          <w:szCs w:val="21"/>
        </w:rPr>
        <w:t>RH</w:t>
      </w:r>
      <w:r>
        <w:rPr>
          <w:rFonts w:hint="default" w:ascii="Times New Roman" w:hAnsi="Times New Roman" w:eastAsia="宋体" w:cs="Times New Roman"/>
          <w:b w:val="0"/>
          <w:bCs w:val="0"/>
          <w:szCs w:val="21"/>
          <w:vertAlign w:val="superscript"/>
        </w:rPr>
        <w:t>2</w:t>
      </w:r>
      <w:r>
        <w:rPr>
          <w:rFonts w:hint="default" w:ascii="Times New Roman" w:hAnsi="Times New Roman" w:eastAsia="宋体" w:cs="Times New Roman"/>
          <w:b w:val="0"/>
          <w:bCs w:val="0"/>
          <w:szCs w:val="21"/>
        </w:rPr>
        <w:t xml:space="preserve">-2.3RH+63.58 </w:t>
      </w:r>
      <w:r>
        <w:rPr>
          <w:rFonts w:hint="default" w:ascii="Times New Roman" w:hAnsi="Times New Roman" w:eastAsia="宋体" w:cs="Times New Roman"/>
          <w:szCs w:val="21"/>
        </w:rPr>
        <w:t xml:space="preserve">    </w:t>
      </w:r>
      <w:r>
        <w:rPr>
          <w:rFonts w:ascii="宋体" w:hAnsi="宋体" w:eastAsia="宋体"/>
          <w:szCs w:val="21"/>
        </w:rPr>
        <w:t xml:space="preserve"> </w:t>
      </w:r>
      <w:r>
        <w:rPr>
          <w:rFonts w:hint="eastAsia" w:ascii="宋体" w:hAnsi="宋体" w:eastAsia="宋体"/>
          <w:szCs w:val="21"/>
        </w:rPr>
        <w:t>………………………（A</w:t>
      </w:r>
      <w:r>
        <w:rPr>
          <w:rFonts w:ascii="宋体" w:hAnsi="宋体" w:eastAsia="宋体"/>
          <w:szCs w:val="21"/>
        </w:rPr>
        <w:t>.1</w:t>
      </w:r>
      <w:r>
        <w:rPr>
          <w:rFonts w:hint="eastAsia" w:ascii="宋体" w:hAnsi="宋体" w:eastAsia="宋体"/>
          <w:szCs w:val="21"/>
        </w:rPr>
        <w:t>）</w:t>
      </w:r>
    </w:p>
    <w:p>
      <w:pPr>
        <w:ind w:firstLine="900" w:firstLineChars="500"/>
        <w:rPr>
          <w:rFonts w:ascii="宋体" w:hAnsi="宋体" w:eastAsia="宋体"/>
          <w:sz w:val="18"/>
          <w:szCs w:val="18"/>
        </w:rPr>
      </w:pPr>
      <w:r>
        <w:rPr>
          <w:rFonts w:hint="eastAsia" w:ascii="黑体" w:hAnsi="黑体" w:eastAsia="黑体" w:cs="黑体"/>
          <w:sz w:val="18"/>
          <w:szCs w:val="18"/>
        </w:rPr>
        <w:t>注1：</w:t>
      </w:r>
      <w:r>
        <w:rPr>
          <w:rFonts w:hint="eastAsia" w:ascii="宋体" w:hAnsi="宋体" w:eastAsia="宋体"/>
          <w:sz w:val="18"/>
          <w:szCs w:val="18"/>
        </w:rPr>
        <w:t>此处RH为相对湿度的百分比的分子（例如相对湿度50%时，则RH=50）。</w:t>
      </w:r>
    </w:p>
    <w:p>
      <w:pPr>
        <w:ind w:firstLine="840" w:firstLineChars="400"/>
        <w:rPr>
          <w:rFonts w:ascii="宋体" w:hAnsi="宋体" w:eastAsia="宋体"/>
          <w:szCs w:val="21"/>
        </w:rPr>
      </w:pPr>
      <w:r>
        <w:rPr>
          <w:rFonts w:hint="eastAsia" w:ascii="宋体" w:hAnsi="宋体" w:eastAsia="宋体"/>
          <w:szCs w:val="21"/>
        </w:rPr>
        <w:t>4)测试为悬停状态时，风速小于 2.1 m/s；</w:t>
      </w:r>
    </w:p>
    <w:p>
      <w:pPr>
        <w:ind w:firstLine="840" w:firstLineChars="400"/>
        <w:rPr>
          <w:rFonts w:ascii="宋体" w:hAnsi="宋体" w:eastAsia="宋体"/>
          <w:szCs w:val="21"/>
        </w:rPr>
      </w:pPr>
      <w:r>
        <w:rPr>
          <w:rFonts w:hint="eastAsia" w:ascii="宋体" w:hAnsi="宋体" w:eastAsia="宋体"/>
          <w:szCs w:val="21"/>
        </w:rPr>
        <w:t>5)测试为飞行状态时，飞行方向的风速小于 4.1</w:t>
      </w:r>
      <w:r>
        <w:rPr>
          <w:rFonts w:ascii="宋体" w:hAnsi="宋体" w:eastAsia="宋体"/>
          <w:szCs w:val="21"/>
        </w:rPr>
        <w:t xml:space="preserve"> </w:t>
      </w:r>
      <w:r>
        <w:rPr>
          <w:rFonts w:hint="eastAsia" w:ascii="宋体" w:hAnsi="宋体" w:eastAsia="宋体"/>
          <w:szCs w:val="21"/>
        </w:rPr>
        <w:t>m/s,垂直于飞行方向的风速小于 2.1</w:t>
      </w:r>
      <w:r>
        <w:rPr>
          <w:rFonts w:ascii="宋体" w:hAnsi="宋体" w:eastAsia="宋体"/>
          <w:szCs w:val="21"/>
        </w:rPr>
        <w:t xml:space="preserve"> </w:t>
      </w:r>
      <w:r>
        <w:rPr>
          <w:rFonts w:hint="eastAsia" w:ascii="宋体" w:hAnsi="宋体" w:eastAsia="宋体"/>
          <w:szCs w:val="21"/>
        </w:rPr>
        <w:t>m/s。</w:t>
      </w:r>
    </w:p>
    <w:p>
      <w:pPr>
        <w:ind w:firstLine="420" w:firstLineChars="200"/>
        <w:rPr>
          <w:rFonts w:hint="eastAsia" w:ascii="宋体" w:hAnsi="宋体" w:eastAsia="宋体"/>
          <w:szCs w:val="21"/>
          <w:lang w:eastAsia="zh-CN"/>
        </w:rPr>
      </w:pPr>
      <w:r>
        <w:rPr>
          <w:rFonts w:hint="eastAsia" w:ascii="宋体" w:hAnsi="宋体" w:eastAsia="宋体"/>
          <w:szCs w:val="21"/>
        </w:rPr>
        <w:t>h)试验设置条件</w:t>
      </w:r>
      <w:r>
        <w:rPr>
          <w:rFonts w:hint="eastAsia" w:ascii="宋体" w:hAnsi="宋体" w:eastAsia="宋体"/>
          <w:szCs w:val="21"/>
          <w:lang w:eastAsia="zh-CN"/>
        </w:rPr>
        <w:t>：</w:t>
      </w:r>
    </w:p>
    <w:p>
      <w:pPr>
        <w:pStyle w:val="67"/>
        <w:ind w:firstLine="420"/>
        <w:rPr>
          <w:rFonts w:hint="eastAsia" w:eastAsia="宋体"/>
          <w:lang w:eastAsia="zh-CN"/>
        </w:rPr>
      </w:pPr>
      <w:r>
        <w:rPr>
          <w:rFonts w:hint="eastAsia"/>
        </w:rPr>
        <w:t xml:space="preserve"> </w:t>
      </w:r>
      <w:r>
        <w:t xml:space="preserve">   </w:t>
      </w:r>
      <w:r>
        <w:rPr>
          <w:rFonts w:hint="eastAsia"/>
        </w:rPr>
        <w:t>1)无人驾驶航空器噪声测试的示意图如图A.1所示。试验将使用两个传声器，分别位于地面观测点和侧面观测点。侧面观测点与无人驾驶航空器等高</w:t>
      </w:r>
      <w:r>
        <w:rPr>
          <w:rFonts w:hint="eastAsia"/>
          <w:lang w:eastAsia="zh-CN"/>
        </w:rPr>
        <w:t>；</w:t>
      </w:r>
    </w:p>
    <w:p>
      <w:pPr>
        <w:pStyle w:val="67"/>
        <w:ind w:firstLine="840" w:firstLineChars="400"/>
        <w:rPr>
          <w:rFonts w:hint="eastAsia" w:eastAsia="宋体"/>
          <w:lang w:eastAsia="zh-CN"/>
        </w:rPr>
      </w:pPr>
      <w:r>
        <w:rPr>
          <w:rFonts w:hint="eastAsia"/>
        </w:rPr>
        <w:t>2)当进行悬停测试时，无人驾驶航空器位于地面观测点正上方。此时，无人驾驶航空器与两个观测点的距离L大于或等于 5D（D为无人驾驶航空器最大直径）</w:t>
      </w:r>
      <w:r>
        <w:rPr>
          <w:rFonts w:hint="eastAsia"/>
          <w:lang w:eastAsia="zh-CN"/>
        </w:rPr>
        <w:t>；</w:t>
      </w:r>
    </w:p>
    <w:p>
      <w:pPr>
        <w:pStyle w:val="67"/>
        <w:ind w:firstLine="840" w:firstLineChars="400"/>
      </w:pPr>
      <w:r>
        <w:rPr>
          <w:rFonts w:hint="eastAsia"/>
        </w:rPr>
        <w:t>3)当进行飞行测试时，无人驾驶航空器飞行路径垂直于 2个传声器与悬停点构成的平面，且飞行高度L大于或等于 5D</w:t>
      </w:r>
      <w:r>
        <w:t xml:space="preserve"> </w:t>
      </w:r>
      <w:r>
        <w:rPr>
          <w:rFonts w:hint="eastAsia"/>
        </w:rPr>
        <w:t>,侧面传声器到飞行路径的距离为 L。飞行速度大小标记在铭牌或者说明书中。</w:t>
      </w:r>
    </w:p>
    <w:p>
      <w:pPr>
        <w:pStyle w:val="67"/>
        <w:ind w:firstLine="420"/>
      </w:pPr>
      <w:r>
        <w:rPr>
          <w:rFonts w:hint="eastAsia" w:hAnsi="宋体"/>
        </w:rPr>
        <w:t>i</w:t>
      </w:r>
      <w:r>
        <w:rPr>
          <w:rFonts w:hint="eastAsia"/>
        </w:rPr>
        <w:t>)对于室外测试，环境温度、相对湿度、风速大小和方向的测试点应在离地面高度 1.2 m～10 m，温度的测量误差应在 ±0.5 ℃ 以内，相对湿度的测量误差应在±3%以内。</w:t>
      </w:r>
    </w:p>
    <w:p>
      <w:pPr>
        <w:ind w:left="870" w:leftChars="200" w:hanging="450" w:hangingChars="250"/>
        <w:rPr>
          <w:rFonts w:ascii="黑体" w:hAnsi="黑体" w:eastAsia="黑体" w:cs="黑体"/>
          <w:sz w:val="18"/>
          <w:szCs w:val="18"/>
        </w:rPr>
      </w:pPr>
      <w:r>
        <w:rPr>
          <w:rFonts w:hint="eastAsia" w:ascii="黑体" w:hAnsi="黑体" w:eastAsia="黑体" w:cs="黑体"/>
          <w:sz w:val="18"/>
          <w:szCs w:val="18"/>
        </w:rPr>
        <w:t>注2：</w:t>
      </w:r>
      <w:r>
        <w:rPr>
          <w:rFonts w:hint="eastAsia" w:ascii="宋体" w:hAnsi="宋体" w:eastAsia="宋体" w:cs="宋体"/>
          <w:sz w:val="18"/>
          <w:szCs w:val="18"/>
        </w:rPr>
        <w:t>无人驾驶航空器的最大直径D是指无人驾驶航空器投影在水平方向时，最小的包络圆的直径。该包络圆覆盖的区域包含了无人驾驶航空器噪声源可能的范围。</w:t>
      </w:r>
    </w:p>
    <w:p>
      <w:pPr>
        <w:pStyle w:val="67"/>
        <w:ind w:firstLine="0" w:firstLineChars="0"/>
        <w:jc w:val="center"/>
      </w:pPr>
      <w:r>
        <w:drawing>
          <wp:inline distT="0" distB="0" distL="0" distR="0">
            <wp:extent cx="4157345" cy="2618740"/>
            <wp:effectExtent l="0" t="0" r="0" b="0"/>
            <wp:docPr id="430914615"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30914615" name="图片 1"/>
                    <pic:cNvPicPr>
                      <a:picLocks noChangeAspect="true"/>
                    </pic:cNvPicPr>
                  </pic:nvPicPr>
                  <pic:blipFill>
                    <a:blip r:embed="rId26"/>
                    <a:stretch>
                      <a:fillRect/>
                    </a:stretch>
                  </pic:blipFill>
                  <pic:spPr>
                    <a:xfrm>
                      <a:off x="0" y="0"/>
                      <a:ext cx="4208962" cy="2651387"/>
                    </a:xfrm>
                    <a:prstGeom prst="rect">
                      <a:avLst/>
                    </a:prstGeom>
                  </pic:spPr>
                </pic:pic>
              </a:graphicData>
            </a:graphic>
          </wp:inline>
        </w:drawing>
      </w:r>
    </w:p>
    <w:p>
      <w:pPr>
        <w:ind w:firstLine="360" w:firstLineChars="200"/>
        <w:rPr>
          <w:rFonts w:ascii="宋体" w:hAnsi="宋体" w:eastAsia="宋体"/>
          <w:sz w:val="18"/>
          <w:szCs w:val="18"/>
        </w:rPr>
      </w:pPr>
      <w:r>
        <w:rPr>
          <w:rFonts w:ascii="宋体" w:hAnsi="宋体" w:eastAsia="宋体"/>
          <w:sz w:val="18"/>
          <w:szCs w:val="18"/>
        </w:rPr>
        <w:t>说明</w:t>
      </w:r>
      <w:r>
        <w:rPr>
          <w:rFonts w:ascii="宋体" w:hAnsi="宋体" w:eastAsia="宋体" w:cs="Times New Roman"/>
          <w:sz w:val="18"/>
          <w:szCs w:val="18"/>
        </w:rPr>
        <w:t>：</w:t>
      </w:r>
    </w:p>
    <w:p>
      <w:pPr>
        <w:ind w:firstLine="360" w:firstLineChars="200"/>
        <w:rPr>
          <w:rFonts w:ascii="宋体" w:hAnsi="宋体" w:eastAsia="宋体"/>
          <w:sz w:val="18"/>
          <w:szCs w:val="18"/>
        </w:rPr>
      </w:pPr>
      <w:r>
        <w:rPr>
          <w:rFonts w:ascii="宋体" w:hAnsi="宋体" w:eastAsia="宋体"/>
          <w:sz w:val="18"/>
          <w:szCs w:val="18"/>
        </w:rPr>
        <w:t>Mic 1：地面观测点传声器；</w:t>
      </w:r>
    </w:p>
    <w:p>
      <w:pPr>
        <w:ind w:firstLine="360" w:firstLineChars="200"/>
        <w:rPr>
          <w:rFonts w:ascii="宋体" w:hAnsi="宋体" w:eastAsia="宋体"/>
          <w:sz w:val="18"/>
          <w:szCs w:val="18"/>
        </w:rPr>
      </w:pPr>
      <w:r>
        <w:rPr>
          <w:rFonts w:ascii="宋体" w:hAnsi="宋体" w:eastAsia="宋体"/>
          <w:sz w:val="18"/>
          <w:szCs w:val="18"/>
        </w:rPr>
        <w:t>Mic 2：侧面观测点传声器；</w:t>
      </w:r>
    </w:p>
    <w:p>
      <w:pPr>
        <w:ind w:firstLine="360" w:firstLineChars="200"/>
        <w:rPr>
          <w:rFonts w:ascii="宋体" w:hAnsi="宋体" w:eastAsia="宋体"/>
          <w:sz w:val="18"/>
          <w:szCs w:val="18"/>
        </w:rPr>
      </w:pPr>
      <w:r>
        <w:rPr>
          <w:rFonts w:ascii="宋体" w:hAnsi="宋体" w:eastAsia="宋体"/>
          <w:sz w:val="18"/>
          <w:szCs w:val="18"/>
        </w:rPr>
        <w:t>H</w:t>
      </w:r>
      <w:r>
        <w:rPr>
          <w:rFonts w:ascii="宋体" w:hAnsi="宋体" w:eastAsia="宋体"/>
          <w:sz w:val="18"/>
          <w:szCs w:val="18"/>
          <w:vertAlign w:val="subscript"/>
        </w:rPr>
        <w:t>m</w:t>
      </w:r>
      <w:r>
        <w:rPr>
          <w:rFonts w:ascii="宋体" w:hAnsi="宋体" w:eastAsia="宋体"/>
          <w:sz w:val="18"/>
          <w:szCs w:val="18"/>
        </w:rPr>
        <w:t>：传声器与地面距离；</w:t>
      </w:r>
    </w:p>
    <w:p>
      <w:pPr>
        <w:ind w:firstLine="360" w:firstLineChars="200"/>
        <w:rPr>
          <w:rFonts w:ascii="宋体" w:hAnsi="宋体" w:eastAsia="宋体"/>
          <w:sz w:val="18"/>
          <w:szCs w:val="18"/>
        </w:rPr>
      </w:pPr>
      <w:r>
        <w:rPr>
          <w:rFonts w:ascii="宋体" w:hAnsi="宋体" w:eastAsia="宋体"/>
          <w:sz w:val="18"/>
          <w:szCs w:val="18"/>
        </w:rPr>
        <w:t>L：航空器到观测点距离；</w:t>
      </w:r>
    </w:p>
    <w:p>
      <w:pPr>
        <w:ind w:firstLine="360" w:firstLineChars="200"/>
        <w:rPr>
          <w:rFonts w:ascii="宋体" w:hAnsi="宋体" w:eastAsia="宋体"/>
          <w:sz w:val="18"/>
          <w:szCs w:val="18"/>
        </w:rPr>
      </w:pPr>
      <w:r>
        <w:rPr>
          <w:rFonts w:ascii="宋体" w:hAnsi="宋体" w:eastAsia="宋体"/>
          <w:sz w:val="18"/>
          <w:szCs w:val="18"/>
        </w:rPr>
        <w:t>BAC 三点连线：飞行状态下的飞行路径。</w:t>
      </w:r>
    </w:p>
    <w:p>
      <w:pPr>
        <w:keepNext w:val="0"/>
        <w:keepLines w:val="0"/>
        <w:pageBreakBefore w:val="0"/>
        <w:widowControl w:val="0"/>
        <w:kinsoku/>
        <w:wordWrap/>
        <w:overflowPunct/>
        <w:topLinePunct w:val="0"/>
        <w:autoSpaceDE/>
        <w:autoSpaceDN/>
        <w:bidi w:val="0"/>
        <w:adjustRightInd/>
        <w:snapToGrid/>
        <w:ind w:left="855" w:leftChars="150" w:hanging="540" w:hangingChars="300"/>
        <w:textAlignment w:val="auto"/>
        <w:rPr>
          <w:rFonts w:ascii="宋体" w:hAnsi="宋体" w:eastAsia="宋体"/>
          <w:sz w:val="18"/>
          <w:szCs w:val="18"/>
        </w:rPr>
      </w:pPr>
      <w:r>
        <w:rPr>
          <w:rFonts w:hint="eastAsia" w:ascii="黑体" w:hAnsi="黑体" w:eastAsia="黑体" w:cs="黑体"/>
          <w:sz w:val="18"/>
          <w:szCs w:val="18"/>
        </w:rPr>
        <w:t>注3：</w:t>
      </w:r>
      <w:r>
        <w:rPr>
          <w:rFonts w:ascii="宋体" w:hAnsi="宋体" w:eastAsia="宋体"/>
          <w:sz w:val="18"/>
          <w:szCs w:val="18"/>
        </w:rPr>
        <w:t>该设置用于悬停和飞行状态下的噪声测试。其中A点及两个传声器构成的平面垂直于地面。悬停时无人驾驶航空器位于A点。</w:t>
      </w:r>
    </w:p>
    <w:p>
      <w:pPr>
        <w:pStyle w:val="74"/>
        <w:spacing w:before="156" w:after="156"/>
      </w:pPr>
      <w:r>
        <w:rPr>
          <w:rFonts w:hint="eastAsia"/>
        </w:rPr>
        <w:t>图</w:t>
      </w:r>
      <w:r>
        <w:t>A.</w:t>
      </w:r>
      <w:r>
        <w:rPr>
          <w:rFonts w:hint="eastAsia"/>
        </w:rPr>
        <w:t>1  无人驾驶航空器噪声测试示意图</w:t>
      </w:r>
    </w:p>
    <w:p>
      <w:pPr>
        <w:pStyle w:val="73"/>
        <w:numPr>
          <w:ilvl w:val="1"/>
          <w:numId w:val="0"/>
        </w:numPr>
        <w:spacing w:before="156" w:after="156"/>
      </w:pPr>
      <w:bookmarkStart w:id="124" w:name="_Toc198639161"/>
      <w:bookmarkStart w:id="125" w:name="_Toc10405"/>
      <w:r>
        <w:rPr>
          <w:rFonts w:hint="eastAsia"/>
        </w:rPr>
        <w:t>A.</w:t>
      </w:r>
      <w:r>
        <w:t>2</w:t>
      </w:r>
      <w:r>
        <w:rPr>
          <w:rFonts w:hint="eastAsia"/>
        </w:rPr>
        <w:t>　试验步骤</w:t>
      </w:r>
      <w:bookmarkEnd w:id="124"/>
      <w:bookmarkEnd w:id="125"/>
    </w:p>
    <w:p>
      <w:pPr>
        <w:pStyle w:val="73"/>
        <w:numPr>
          <w:ilvl w:val="1"/>
          <w:numId w:val="0"/>
        </w:numPr>
        <w:spacing w:before="156" w:after="156"/>
      </w:pPr>
      <w:bookmarkStart w:id="126" w:name="_Toc12974"/>
      <w:bookmarkStart w:id="127" w:name="_Toc198639162"/>
      <w:r>
        <w:rPr>
          <w:rFonts w:hint="eastAsia"/>
        </w:rPr>
        <w:t>A.</w:t>
      </w:r>
      <w:r>
        <w:t>2.1</w:t>
      </w:r>
      <w:r>
        <w:rPr>
          <w:rFonts w:hint="eastAsia"/>
        </w:rPr>
        <w:t>　悬停状态下</w:t>
      </w:r>
      <w:bookmarkEnd w:id="126"/>
      <w:bookmarkEnd w:id="127"/>
    </w:p>
    <w:p>
      <w:pPr>
        <w:pStyle w:val="67"/>
        <w:ind w:firstLine="420"/>
        <w:rPr>
          <w:rFonts w:hint="eastAsia"/>
        </w:rPr>
      </w:pPr>
      <w:r>
        <w:rPr>
          <w:rFonts w:hint="eastAsia"/>
        </w:rPr>
        <w:t>低空飞行器在悬停状态下，其噪声实验按以下步骤进行：</w:t>
      </w:r>
    </w:p>
    <w:p>
      <w:pPr>
        <w:pStyle w:val="67"/>
        <w:ind w:firstLine="420"/>
      </w:pPr>
      <w:r>
        <w:t>1）旋翼无人驾驶航空器悬停达到稳定状态后，开始测量，持续时间</w:t>
      </w:r>
      <w:r>
        <w:rPr>
          <w:rFonts w:hint="eastAsia"/>
        </w:rPr>
        <w:t xml:space="preserve"> </w:t>
      </w:r>
      <w:r>
        <w:t>20 s ，重复至少</w:t>
      </w:r>
      <w:r>
        <w:rPr>
          <w:rFonts w:hint="eastAsia"/>
        </w:rPr>
        <w:t xml:space="preserve"> </w:t>
      </w:r>
      <w:r>
        <w:t>10 次。</w:t>
      </w:r>
    </w:p>
    <w:p>
      <w:pPr>
        <w:pStyle w:val="67"/>
        <w:ind w:firstLine="420"/>
      </w:pPr>
      <w:r>
        <w:rPr>
          <w:rFonts w:hint="eastAsia"/>
        </w:rPr>
        <w:t>2）对测试数据进行初步分析，采用</w:t>
      </w:r>
      <w:r>
        <w:t>噪声测试中的异常数据剔除</w:t>
      </w:r>
      <w:r>
        <w:rPr>
          <w:rFonts w:hint="eastAsia"/>
        </w:rPr>
        <w:t>方法进行数据预处理。</w:t>
      </w:r>
    </w:p>
    <w:p>
      <w:pPr>
        <w:pStyle w:val="67"/>
        <w:ind w:firstLine="420"/>
      </w:pPr>
      <w:r>
        <w:rPr>
          <w:rFonts w:hint="eastAsia"/>
        </w:rPr>
        <w:t>3</w:t>
      </w:r>
      <w:r>
        <w:t>）通过两个传声器测量得到的声压信号，按公式</w:t>
      </w:r>
      <w:r>
        <w:rPr>
          <w:rFonts w:hint="eastAsia"/>
        </w:rPr>
        <w:t>（A</w:t>
      </w:r>
      <w:r>
        <w:t>.2</w:t>
      </w:r>
      <w:r>
        <w:rPr>
          <w:rFonts w:hint="eastAsia"/>
        </w:rPr>
        <w:t>）</w:t>
      </w:r>
      <w:r>
        <w:t>计算各自A计权声压级大小</w:t>
      </w:r>
      <m:oMath>
        <m:sSub>
          <m:sSubPr>
            <m:ctrlPr>
              <w:rPr>
                <w:rFonts w:ascii="Cambria Math" w:hAnsi="Cambria Math"/>
                <w:i/>
              </w:rPr>
            </m:ctrlPr>
          </m:sSubPr>
          <m:e>
            <m:r>
              <m:rPr>
                <m:nor/>
                <m:sty m:val="p"/>
              </m:rPr>
              <w:rPr>
                <w:b w:val="0"/>
                <w:i w:val="0"/>
              </w:rPr>
              <m:t>SPL</m:t>
            </m:r>
            <m:ctrlPr>
              <w:rPr>
                <w:rFonts w:ascii="Cambria Math" w:hAnsi="Cambria Math"/>
                <w:i/>
              </w:rPr>
            </m:ctrlPr>
          </m:e>
          <m:sub>
            <m:r>
              <m:rPr/>
              <w:rPr>
                <w:rFonts w:ascii="Cambria Math" w:hAnsi="Cambria Math"/>
              </w:rPr>
              <m:t>i</m:t>
            </m:r>
            <m:ctrlPr>
              <w:rPr>
                <w:rFonts w:ascii="Cambria Math" w:hAnsi="Cambria Math"/>
                <w:i/>
              </w:rPr>
            </m:ctrlPr>
          </m:sub>
        </m:sSub>
      </m:oMath>
      <w:r>
        <w:t>。</w:t>
      </w:r>
    </w:p>
    <w:tbl>
      <w:tblPr>
        <w:tblStyle w:val="21"/>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0"/>
        <w:gridCol w:w="33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right"/>
        </w:trPr>
        <w:tc>
          <w:tcPr>
            <w:tcW w:w="3340" w:type="dxa"/>
            <w:shd w:val="clear" w:color="auto" w:fill="auto"/>
            <w:vAlign w:val="center"/>
          </w:tcPr>
          <w:p>
            <w:pPr>
              <w:pStyle w:val="67"/>
              <w:widowControl/>
              <w:ind w:firstLine="420"/>
            </w:pPr>
            <m:oMathPara>
              <m:oMath>
                <m:sSub>
                  <m:sSubPr>
                    <m:ctrlPr>
                      <w:rPr>
                        <w:rFonts w:ascii="Cambria Math" w:hAnsi="Cambria Math"/>
                        <w:i/>
                      </w:rPr>
                    </m:ctrlPr>
                  </m:sSubPr>
                  <m:e>
                    <m:r>
                      <m:rPr>
                        <m:nor/>
                        <m:sty m:val="p"/>
                      </m:rPr>
                      <w:rPr>
                        <w:b w:val="0"/>
                        <w:i w:val="0"/>
                      </w:rPr>
                      <m:t>SPL</m:t>
                    </m:r>
                    <m:ctrlPr>
                      <w:rPr>
                        <w:rFonts w:ascii="Cambria Math" w:hAnsi="Cambria Math"/>
                        <w:i/>
                      </w:rPr>
                    </m:ctrlPr>
                  </m:e>
                  <m:sub>
                    <m:r>
                      <m:rPr/>
                      <w:rPr>
                        <w:rFonts w:ascii="Cambria Math" w:hAnsi="Cambria Math"/>
                      </w:rPr>
                      <m:t>i</m:t>
                    </m:r>
                    <m:ctrlPr>
                      <w:rPr>
                        <w:rFonts w:ascii="Cambria Math" w:hAnsi="Cambria Math"/>
                        <w:i/>
                      </w:rPr>
                    </m:ctrlPr>
                  </m:sub>
                </m:sSub>
                <m:r>
                  <m:rPr>
                    <m:nor/>
                    <m:sty m:val="p"/>
                  </m:rPr>
                  <w:rPr>
                    <w:b w:val="0"/>
                    <w:i w:val="0"/>
                  </w:rPr>
                  <m:t>=10lg</m:t>
                </m:r>
                <m:f>
                  <m:fPr>
                    <m:ctrlPr>
                      <w:rPr>
                        <w:rFonts w:ascii="Cambria Math" w:hAnsi="Cambria Math"/>
                        <w:i/>
                      </w:rPr>
                    </m:ctrlPr>
                  </m:fPr>
                  <m:num>
                    <m:r>
                      <m:rPr>
                        <m:nor/>
                        <m:sty m:val="p"/>
                      </m:rPr>
                      <w:rPr>
                        <w:b w:val="0"/>
                        <w:i w:val="0"/>
                      </w:rPr>
                      <m:t>1</m:t>
                    </m:r>
                    <m:ctrlPr>
                      <w:rPr>
                        <w:rFonts w:ascii="Cambria Math" w:hAnsi="Cambria Math"/>
                        <w:i/>
                      </w:rPr>
                    </m:ctrlPr>
                  </m:num>
                  <m:den>
                    <m:r>
                      <m:rPr>
                        <m:nor/>
                        <m:sty m:val="p"/>
                      </m:rPr>
                      <w:rPr>
                        <w:b w:val="0"/>
                        <w:i w:val="0"/>
                      </w:rPr>
                      <m:t>∆t</m:t>
                    </m:r>
                    <m:ctrlPr>
                      <w:rPr>
                        <w:rFonts w:ascii="Cambria Math" w:hAnsi="Cambria Math"/>
                        <w:i/>
                      </w:rPr>
                    </m:ctrlPr>
                  </m:den>
                </m:f>
                <m:nary>
                  <m:naryPr>
                    <m:limLoc m:val="subSup"/>
                    <m:ctrlPr>
                      <w:rPr>
                        <w:rFonts w:ascii="Cambria Math" w:hAnsi="Cambria Math"/>
                        <w:i/>
                      </w:rPr>
                    </m:ctrlPr>
                  </m:naryPr>
                  <m:sub>
                    <m:sSub>
                      <m:sSubPr>
                        <m:ctrlPr>
                          <w:rPr>
                            <w:rFonts w:ascii="Cambria Math" w:hAnsi="Cambria Math"/>
                            <w:i/>
                          </w:rPr>
                        </m:ctrlPr>
                      </m:sSubPr>
                      <m:e>
                        <m:r>
                          <m:rPr>
                            <m:nor/>
                            <m:sty m:val="p"/>
                          </m:rPr>
                          <w:rPr>
                            <w:b w:val="0"/>
                            <w:i w:val="0"/>
                          </w:rPr>
                          <m:t>t</m:t>
                        </m:r>
                        <m:ctrlPr>
                          <w:rPr>
                            <w:rFonts w:ascii="Cambria Math" w:hAnsi="Cambria Math"/>
                            <w:i/>
                          </w:rPr>
                        </m:ctrlPr>
                      </m:e>
                      <m:sub>
                        <m:r>
                          <m:rPr>
                            <m:nor/>
                            <m:sty m:val="p"/>
                          </m:rPr>
                          <w:rPr>
                            <w:b w:val="0"/>
                            <w:i w:val="0"/>
                          </w:rPr>
                          <m:t>1</m:t>
                        </m:r>
                        <m:ctrlPr>
                          <w:rPr>
                            <w:rFonts w:ascii="Cambria Math" w:hAnsi="Cambria Math"/>
                            <w:i/>
                          </w:rPr>
                        </m:ctrlPr>
                      </m:sub>
                    </m:sSub>
                    <m:ctrlPr>
                      <w:rPr>
                        <w:rFonts w:ascii="Cambria Math" w:hAnsi="Cambria Math"/>
                        <w:i/>
                      </w:rPr>
                    </m:ctrlPr>
                  </m:sub>
                  <m:sup>
                    <m:r>
                      <m:rPr>
                        <m:nor/>
                        <m:sty m:val="p"/>
                      </m:rPr>
                      <w:rPr>
                        <w:b w:val="0"/>
                        <w:i w:val="0"/>
                      </w:rPr>
                      <m:t>t2</m:t>
                    </m:r>
                    <m:ctrlPr>
                      <w:rPr>
                        <w:rFonts w:ascii="Cambria Math" w:hAnsi="Cambria Math"/>
                        <w:i/>
                      </w:rPr>
                    </m:ctrlPr>
                  </m:sup>
                  <m:e>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sty m:val="p"/>
                                      </m:rPr>
                                      <w:rPr>
                                        <w:b w:val="0"/>
                                        <w:i w:val="0"/>
                                      </w:rPr>
                                      <m:t>p</m:t>
                                    </m:r>
                                    <m:ctrlPr>
                                      <w:rPr>
                                        <w:rFonts w:ascii="Cambria Math" w:hAnsi="Cambria Math"/>
                                        <w:i/>
                                      </w:rPr>
                                    </m:ctrlPr>
                                  </m:e>
                                  <m:sub>
                                    <m:r>
                                      <m:rPr>
                                        <m:nor/>
                                        <m:sty m:val="p"/>
                                      </m:rPr>
                                      <w:rPr>
                                        <w:b w:val="0"/>
                                        <w:i w:val="0"/>
                                      </w:rPr>
                                      <m:t>A,</m:t>
                                    </m:r>
                                    <m:r>
                                      <m:rPr/>
                                      <w:rPr>
                                        <w:rFonts w:ascii="Cambria Math" w:hAnsi="Cambria Math"/>
                                      </w:rPr>
                                      <m:t>i</m:t>
                                    </m:r>
                                    <m:ctrlPr>
                                      <w:rPr>
                                        <w:rFonts w:ascii="Cambria Math" w:hAnsi="Cambria Math"/>
                                        <w:i/>
                                      </w:rPr>
                                    </m:ctrlPr>
                                  </m:sub>
                                </m:sSub>
                                <m:r>
                                  <m:rPr>
                                    <m:nor/>
                                    <m:sty m:val="p"/>
                                  </m:rPr>
                                  <w:rPr>
                                    <w:b w:val="0"/>
                                    <w:i w:val="0"/>
                                  </w:rPr>
                                  <m:t>(t)</m:t>
                                </m:r>
                                <m:ctrlPr>
                                  <w:rPr>
                                    <w:rFonts w:ascii="Cambria Math" w:hAnsi="Cambria Math"/>
                                    <w:i/>
                                  </w:rPr>
                                </m:ctrlPr>
                              </m:num>
                              <m:den>
                                <m:sSub>
                                  <m:sSubPr>
                                    <m:ctrlPr>
                                      <w:rPr>
                                        <w:rFonts w:ascii="Cambria Math" w:hAnsi="Cambria Math"/>
                                        <w:i/>
                                      </w:rPr>
                                    </m:ctrlPr>
                                  </m:sSubPr>
                                  <m:e>
                                    <m:r>
                                      <m:rPr>
                                        <m:nor/>
                                        <m:sty m:val="p"/>
                                      </m:rPr>
                                      <w:rPr>
                                        <w:b w:val="0"/>
                                        <w:i w:val="0"/>
                                      </w:rPr>
                                      <m:t>p</m:t>
                                    </m:r>
                                    <m:ctrlPr>
                                      <w:rPr>
                                        <w:rFonts w:ascii="Cambria Math" w:hAnsi="Cambria Math"/>
                                        <w:i/>
                                      </w:rPr>
                                    </m:ctrlPr>
                                  </m:e>
                                  <m:sub>
                                    <m:r>
                                      <m:rPr>
                                        <m:nor/>
                                        <m:sty m:val="p"/>
                                      </m:rPr>
                                      <w:rPr>
                                        <w:b w:val="0"/>
                                        <w:i w:val="0"/>
                                      </w:rPr>
                                      <m:t>ref</m:t>
                                    </m:r>
                                    <m:ctrlPr>
                                      <w:rPr>
                                        <w:rFonts w:ascii="Cambria Math" w:hAnsi="Cambria Math"/>
                                        <w:i/>
                                      </w:rPr>
                                    </m:ctrlPr>
                                  </m:sub>
                                </m:sSub>
                                <m:ctrlPr>
                                  <w:rPr>
                                    <w:rFonts w:ascii="Cambria Math" w:hAnsi="Cambria Math"/>
                                    <w:i/>
                                  </w:rPr>
                                </m:ctrlPr>
                              </m:den>
                            </m:f>
                            <m:ctrlPr>
                              <w:rPr>
                                <w:rFonts w:ascii="Cambria Math" w:hAnsi="Cambria Math"/>
                                <w:i/>
                              </w:rPr>
                            </m:ctrlPr>
                          </m:e>
                        </m:d>
                        <m:ctrlPr>
                          <w:rPr>
                            <w:rFonts w:ascii="Cambria Math" w:hAnsi="Cambria Math"/>
                            <w:i/>
                          </w:rPr>
                        </m:ctrlPr>
                      </m:e>
                      <m:sup>
                        <m:r>
                          <m:rPr>
                            <m:nor/>
                            <m:sty m:val="p"/>
                          </m:rPr>
                          <w:rPr>
                            <w:b w:val="0"/>
                            <w:i w:val="0"/>
                          </w:rPr>
                          <m:t>2</m:t>
                        </m:r>
                        <m:ctrlPr>
                          <w:rPr>
                            <w:rFonts w:ascii="Cambria Math" w:hAnsi="Cambria Math"/>
                            <w:i/>
                          </w:rPr>
                        </m:ctrlPr>
                      </m:sup>
                    </m:sSup>
                    <m:r>
                      <m:rPr>
                        <m:nor/>
                        <m:sty m:val="p"/>
                      </m:rPr>
                      <w:rPr>
                        <w:b w:val="0"/>
                        <w:i w:val="0"/>
                      </w:rPr>
                      <m:t>dt</m:t>
                    </m:r>
                    <m:ctrlPr>
                      <w:rPr>
                        <w:rFonts w:ascii="Cambria Math" w:hAnsi="Cambria Math"/>
                        <w:i/>
                      </w:rPr>
                    </m:ctrlPr>
                  </m:e>
                </m:nary>
              </m:oMath>
            </m:oMathPara>
          </w:p>
        </w:tc>
        <w:tc>
          <w:tcPr>
            <w:tcW w:w="3340" w:type="dxa"/>
            <w:shd w:val="clear" w:color="auto" w:fill="auto"/>
            <w:vAlign w:val="center"/>
          </w:tcPr>
          <w:p>
            <w:pPr>
              <w:pStyle w:val="67"/>
              <w:widowControl/>
              <w:ind w:firstLine="420"/>
            </w:pPr>
            <w:bookmarkStart w:id="128" w:name="OLE_LINK18"/>
            <w:bookmarkStart w:id="129" w:name="OLE_LINK17"/>
            <w:r>
              <w:rPr>
                <w:rFonts w:hint="eastAsia"/>
              </w:rPr>
              <w:t>…………………………</w:t>
            </w:r>
            <w:r>
              <w:t>(A.</w:t>
            </w:r>
            <w:r>
              <w:rPr>
                <w:rFonts w:hint="eastAsia"/>
              </w:rPr>
              <w:t>2</w:t>
            </w:r>
            <w:r>
              <w:t>)</w:t>
            </w:r>
            <w:bookmarkEnd w:id="128"/>
            <w:bookmarkEnd w:id="129"/>
          </w:p>
        </w:tc>
      </w:tr>
    </w:tbl>
    <w:p>
      <w:pPr>
        <w:pStyle w:val="67"/>
        <w:ind w:firstLine="420"/>
      </w:pPr>
      <w:r>
        <w:t>式中：</w:t>
      </w:r>
    </w:p>
    <w:p>
      <w:pPr>
        <w:pStyle w:val="67"/>
        <w:ind w:firstLine="420"/>
      </w:pPr>
      <m:oMath>
        <m:sSub>
          <m:sSubPr>
            <m:ctrlPr>
              <w:rPr>
                <w:rFonts w:ascii="Cambria Math" w:hAnsi="Cambria Math"/>
                <w:i/>
              </w:rPr>
            </m:ctrlPr>
          </m:sSubPr>
          <m:e>
            <m:r>
              <m:rPr>
                <m:nor/>
                <m:sty m:val="p"/>
              </m:rPr>
              <w:rPr>
                <w:b w:val="0"/>
                <w:i w:val="0"/>
              </w:rPr>
              <m:t>p</m:t>
            </m:r>
            <m:ctrlPr>
              <w:rPr>
                <w:rFonts w:ascii="Cambria Math" w:hAnsi="Cambria Math"/>
                <w:i/>
              </w:rPr>
            </m:ctrlPr>
          </m:e>
          <m:sub>
            <m:r>
              <m:rPr>
                <m:nor/>
                <m:sty m:val="p"/>
              </m:rPr>
              <w:rPr>
                <w:b w:val="0"/>
                <w:i w:val="0"/>
              </w:rPr>
              <m:t>A,</m:t>
            </m:r>
            <w:bookmarkStart w:id="130" w:name="_Hlk198637131"/>
            <m:r>
              <m:rPr/>
              <w:rPr>
                <w:rFonts w:ascii="Cambria Math" w:hAnsi="Cambria Math"/>
              </w:rPr>
              <m:t>i</m:t>
            </m:r>
            <w:bookmarkEnd w:id="130"/>
            <m:ctrlPr>
              <w:rPr>
                <w:rFonts w:ascii="Cambria Math" w:hAnsi="Cambria Math"/>
                <w:i/>
              </w:rPr>
            </m:ctrlPr>
          </m:sub>
        </m:sSub>
      </m:oMath>
      <w:r>
        <w:t>：第i次测量所得到的A计权声压，单位为帕斯卡</w:t>
      </w:r>
      <w:r>
        <w:rPr>
          <w:rFonts w:hint="eastAsia"/>
        </w:rPr>
        <w:t>（Pa）</w:t>
      </w:r>
      <w:r>
        <w:t>；</w:t>
      </w:r>
    </w:p>
    <w:p>
      <w:pPr>
        <w:pStyle w:val="67"/>
        <w:ind w:firstLine="420"/>
      </w:pPr>
      <m:oMath>
        <m:sSub>
          <m:sSubPr>
            <m:ctrlPr>
              <w:rPr>
                <w:rFonts w:ascii="Cambria Math" w:hAnsi="Cambria Math"/>
                <w:i/>
              </w:rPr>
            </m:ctrlPr>
          </m:sSubPr>
          <m:e>
            <m:r>
              <m:rPr>
                <m:nor/>
                <m:sty m:val="p"/>
              </m:rPr>
              <w:rPr>
                <w:b w:val="0"/>
                <w:i w:val="0"/>
              </w:rPr>
              <m:t>p</m:t>
            </m:r>
            <m:ctrlPr>
              <w:rPr>
                <w:rFonts w:ascii="Cambria Math" w:hAnsi="Cambria Math"/>
                <w:i/>
              </w:rPr>
            </m:ctrlPr>
          </m:e>
          <m:sub>
            <m:r>
              <m:rPr>
                <m:nor/>
                <m:sty m:val="p"/>
              </m:rPr>
              <w:rPr>
                <w:b w:val="0"/>
                <w:i w:val="0"/>
              </w:rPr>
              <m:t>ref</m:t>
            </m:r>
            <m:ctrlPr>
              <w:rPr>
                <w:rFonts w:ascii="Cambria Math" w:hAnsi="Cambria Math"/>
                <w:i/>
              </w:rPr>
            </m:ctrlPr>
          </m:sub>
        </m:sSub>
        <m:r>
          <m:rPr>
            <m:nor/>
            <m:sty m:val="p"/>
          </m:rPr>
          <w:rPr>
            <w:b w:val="0"/>
            <w:i w:val="0"/>
          </w:rPr>
          <m:t>=20μPa</m:t>
        </m:r>
      </m:oMath>
      <w:r>
        <w:t>：参考声压大小；</w:t>
      </w:r>
    </w:p>
    <w:p>
      <w:pPr>
        <w:pStyle w:val="67"/>
        <w:ind w:firstLine="420"/>
      </w:pPr>
      <m:oMath>
        <m:r>
          <m:rPr>
            <m:nor/>
            <m:sty m:val="p"/>
          </m:rPr>
          <w:rPr>
            <w:b w:val="0"/>
            <w:i w:val="0"/>
          </w:rPr>
          <m:t>∆t=</m:t>
        </m:r>
        <m:sSub>
          <m:sSubPr>
            <m:ctrlPr>
              <w:rPr>
                <w:rFonts w:ascii="Cambria Math" w:hAnsi="Cambria Math"/>
              </w:rPr>
            </m:ctrlPr>
          </m:sSubPr>
          <m:e>
            <m:r>
              <m:rPr>
                <m:sty m:val="p"/>
              </m:rPr>
              <w:rPr>
                <w:rFonts w:ascii="Cambria Math" w:hAnsi="Cambria Math"/>
              </w:rPr>
              <m:t>t</m:t>
            </m:r>
            <m:ctrlPr>
              <w:rPr>
                <w:rFonts w:ascii="Cambria Math" w:hAnsi="Cambria Math"/>
              </w:rPr>
            </m:ctrlPr>
          </m:e>
          <m:sub>
            <m:r>
              <m:rPr>
                <m:sty m:val="p"/>
              </m:rPr>
              <w:rPr>
                <w:rFonts w:ascii="Cambria Math" w:hAnsi="Cambria Math"/>
              </w:rPr>
              <m:t>2</m:t>
            </m:r>
            <m:ctrlPr>
              <w:rPr>
                <w:rFonts w:ascii="Cambria Math" w:hAnsi="Cambria Math"/>
              </w:rPr>
            </m:ctrlPr>
          </m:sub>
        </m:sSub>
        <m:r>
          <m:rPr>
            <m:nor/>
            <m:sty m:val="p"/>
          </m:rPr>
          <w:rPr>
            <w:b w:val="0"/>
            <w:i w:val="0"/>
          </w:rPr>
          <m:t>-</m:t>
        </m:r>
        <m:sSub>
          <m:sSubPr>
            <m:ctrlPr>
              <w:rPr>
                <w:rFonts w:ascii="Cambria Math" w:hAnsi="Cambria Math"/>
              </w:rPr>
            </m:ctrlPr>
          </m:sSubPr>
          <m:e>
            <m:r>
              <m:rPr>
                <m:sty m:val="p"/>
              </m:rPr>
              <w:rPr>
                <w:rFonts w:ascii="Cambria Math" w:hAnsi="Cambria Math"/>
              </w:rPr>
              <m:t>t</m:t>
            </m:r>
            <m:ctrlPr>
              <w:rPr>
                <w:rFonts w:ascii="Cambria Math" w:hAnsi="Cambria Math"/>
              </w:rPr>
            </m:ctrlPr>
          </m:e>
          <m:sub>
            <m:r>
              <m:rPr>
                <m:sty m:val="p"/>
              </m:rPr>
              <w:rPr>
                <w:rFonts w:ascii="Cambria Math" w:hAnsi="Cambria Math"/>
              </w:rPr>
              <m:t>1</m:t>
            </m:r>
            <m:ctrlPr>
              <w:rPr>
                <w:rFonts w:ascii="Cambria Math" w:hAnsi="Cambria Math"/>
              </w:rPr>
            </m:ctrlPr>
          </m:sub>
        </m:sSub>
      </m:oMath>
      <w:r>
        <w:t>：测试时间长度t</w:t>
      </w:r>
      <w:r>
        <w:rPr>
          <w:vertAlign w:val="subscript"/>
        </w:rPr>
        <w:t>1</w:t>
      </w:r>
      <w:r>
        <w:t>为测量起始时间，t</w:t>
      </w:r>
      <w:r>
        <w:rPr>
          <w:vertAlign w:val="subscript"/>
        </w:rPr>
        <w:t>2</w:t>
      </w:r>
      <w:r>
        <w:t>为测量终止时间；</w:t>
      </w:r>
    </w:p>
    <w:p>
      <w:pPr>
        <w:pStyle w:val="67"/>
        <w:ind w:firstLine="420"/>
      </w:pPr>
      <m:oMath>
        <m:r>
          <m:rPr/>
          <w:rPr>
            <w:rFonts w:ascii="Cambria Math" w:hAnsi="Cambria Math"/>
          </w:rPr>
          <m:t>i</m:t>
        </m:r>
      </m:oMath>
      <w:r>
        <w:t>：第</w:t>
      </w:r>
      <m:oMath>
        <m:r>
          <m:rPr/>
          <w:rPr>
            <w:rFonts w:ascii="Cambria Math" w:hAnsi="Cambria Math"/>
          </w:rPr>
          <m:t>i</m:t>
        </m:r>
      </m:oMath>
      <w:r>
        <w:t>次重复测量。</w:t>
      </w:r>
    </w:p>
    <w:p>
      <w:pPr>
        <w:pStyle w:val="67"/>
        <w:ind w:firstLine="420"/>
      </w:pPr>
      <w:r>
        <w:rPr>
          <w:rFonts w:hint="eastAsia"/>
        </w:rPr>
        <w:t>4</w:t>
      </w:r>
      <w:r>
        <w:t>）对于每一次测试，同时测量</w:t>
      </w:r>
      <w:r>
        <w:rPr>
          <w:rFonts w:ascii="Times New Roman"/>
        </w:rPr>
        <w:t>环境的温度</w:t>
      </w:r>
      <w:r>
        <w:rPr>
          <w:rFonts w:ascii="Times New Roman"/>
          <w:szCs w:val="21"/>
        </w:rPr>
        <w:t>T</w:t>
      </w:r>
      <w:r>
        <w:rPr>
          <w:rFonts w:ascii="Times New Roman"/>
          <w:i/>
          <w:iCs/>
          <w:szCs w:val="21"/>
          <w:vertAlign w:val="subscript"/>
        </w:rPr>
        <w:t>i</w:t>
      </w:r>
      <w:r>
        <w:rPr>
          <w:rFonts w:ascii="Times New Roman"/>
        </w:rPr>
        <w:t>（单位为℃）和相对湿度值（</w:t>
      </w:r>
      <w:r>
        <w:rPr>
          <w:rFonts w:ascii="Times New Roman"/>
          <w:szCs w:val="21"/>
        </w:rPr>
        <w:t>RH</w:t>
      </w:r>
      <w:r>
        <w:rPr>
          <w:rFonts w:ascii="Times New Roman"/>
          <w:i/>
          <w:iCs/>
          <w:szCs w:val="21"/>
          <w:vertAlign w:val="subscript"/>
        </w:rPr>
        <w:t>i</w:t>
      </w:r>
      <w:r>
        <w:rPr>
          <w:rFonts w:ascii="Times New Roman"/>
        </w:rPr>
        <w:t>）。在满足相关规定的条件下，根据表A.1对悬停状态的声压级测试</w:t>
      </w:r>
      <w:r>
        <w:rPr>
          <w:rFonts w:ascii="Times New Roman"/>
          <w:szCs w:val="21"/>
        </w:rPr>
        <w:t>SPL</w:t>
      </w:r>
      <w:r>
        <w:rPr>
          <w:rFonts w:ascii="Times New Roman"/>
          <w:i/>
          <w:iCs/>
          <w:szCs w:val="21"/>
          <w:vertAlign w:val="subscript"/>
        </w:rPr>
        <w:t>i</w:t>
      </w:r>
      <w:r>
        <w:rPr>
          <w:rFonts w:ascii="Times New Roman"/>
        </w:rPr>
        <w:t>进行修正。</w:t>
      </w:r>
    </w:p>
    <w:p>
      <w:pPr>
        <w:pStyle w:val="60"/>
        <w:numPr>
          <w:ilvl w:val="0"/>
          <w:numId w:val="0"/>
        </w:numPr>
      </w:pPr>
    </w:p>
    <w:p>
      <w:pPr>
        <w:pStyle w:val="60"/>
        <w:numPr>
          <w:ilvl w:val="0"/>
          <w:numId w:val="0"/>
        </w:numPr>
      </w:pPr>
      <w:r>
        <w:t>表</w:t>
      </w:r>
      <w:r>
        <w:rPr>
          <w:rFonts w:hint="eastAsia"/>
        </w:rPr>
        <w:t>A</w:t>
      </w:r>
      <w:r>
        <w:t>.1</w:t>
      </w:r>
      <w:r>
        <w:rPr>
          <w:rFonts w:hint="eastAsia"/>
          <w:lang w:val="en-US" w:eastAsia="zh-CN"/>
        </w:rPr>
        <w:t xml:space="preserve"> </w:t>
      </w:r>
      <w:r>
        <w:t xml:space="preserve"> 悬停状态下无人机噪声测量结果相对湿度和温度修正关系</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0" w:type="dxa"/>
            <w:tcBorders>
              <w:top w:val="single" w:color="auto" w:sz="12" w:space="0"/>
              <w:left w:val="single" w:color="auto" w:sz="12" w:space="0"/>
              <w:bottom w:val="single" w:color="auto" w:sz="12" w:space="0"/>
            </w:tcBorders>
            <w:vAlign w:val="center"/>
          </w:tcPr>
          <w:p>
            <w:pPr>
              <w:jc w:val="center"/>
              <w:rPr>
                <w:rFonts w:ascii="宋体" w:hAnsi="宋体" w:eastAsia="宋体" w:cs="Times New Roman"/>
                <w:iCs/>
                <w:sz w:val="18"/>
                <w:szCs w:val="18"/>
              </w:rPr>
            </w:pPr>
            <m:oMath>
              <m:r>
                <m:rPr>
                  <m:sty m:val="p"/>
                </m:rPr>
                <w:rPr>
                  <w:rFonts w:ascii="Cambria Math" w:hAnsi="Cambria Math" w:eastAsia="宋体" w:cs="Times New Roman"/>
                  <w:sz w:val="18"/>
                  <w:szCs w:val="18"/>
                </w:rPr>
                <m:t>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Cs w:val="21"/>
                      <w:vertAlign w:val="subscript"/>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和</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T</m:t>
                  </m:r>
                  <m:ctrlPr>
                    <w:rPr>
                      <w:rFonts w:ascii="Cambria Math" w:hAnsi="Cambria Math" w:eastAsia="宋体" w:cs="Times New Roman"/>
                      <w:iCs/>
                      <w:sz w:val="18"/>
                      <w:szCs w:val="18"/>
                    </w:rPr>
                  </m:ctrlPr>
                </m:e>
                <m:sub>
                  <m:r>
                    <m:rPr/>
                    <w:rPr>
                      <w:rFonts w:ascii="Cambria Math" w:hAnsi="Cambria Math" w:eastAsia="宋体" w:cs="Times New Roman"/>
                      <w:szCs w:val="21"/>
                      <w:vertAlign w:val="subscript"/>
                    </w:rPr>
                    <m:t>i</m:t>
                  </m:r>
                  <m:ctrlPr>
                    <w:rPr>
                      <w:rFonts w:ascii="Cambria Math" w:hAnsi="Cambria Math" w:eastAsia="宋体" w:cs="Times New Roman"/>
                      <w:iCs/>
                      <w:sz w:val="18"/>
                      <w:szCs w:val="18"/>
                    </w:rPr>
                  </m:ctrlPr>
                </m:sub>
              </m:sSub>
            </m:oMath>
            <w:r>
              <w:rPr>
                <w:rFonts w:ascii="宋体" w:hAnsi="宋体" w:eastAsia="宋体" w:cs="Times New Roman"/>
                <w:iCs/>
                <w:sz w:val="18"/>
                <w:szCs w:val="18"/>
              </w:rPr>
              <w:t>所满足的条件</w:t>
            </w:r>
          </w:p>
        </w:tc>
        <w:tc>
          <w:tcPr>
            <w:tcW w:w="5010" w:type="dxa"/>
            <w:tcBorders>
              <w:top w:val="single" w:color="auto" w:sz="12" w:space="0"/>
              <w:bottom w:val="single" w:color="auto" w:sz="12" w:space="0"/>
              <w:right w:val="single" w:color="auto" w:sz="12" w:space="0"/>
            </w:tcBorders>
            <w:vAlign w:val="center"/>
          </w:tcPr>
          <w:p>
            <w:pPr>
              <w:jc w:val="center"/>
              <w:rPr>
                <w:rFonts w:ascii="宋体" w:hAnsi="宋体" w:eastAsia="宋体" w:cs="Times New Roman"/>
                <w:iCs/>
                <w:sz w:val="18"/>
                <w:szCs w:val="18"/>
              </w:rPr>
            </w:pPr>
            <w:r>
              <w:rPr>
                <w:rFonts w:ascii="宋体" w:hAnsi="宋体" w:eastAsia="宋体" w:cs="Times New Roman"/>
                <w:iCs/>
                <w:sz w:val="18"/>
                <w:szCs w:val="18"/>
              </w:rPr>
              <w:t>修正公式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0" w:type="dxa"/>
            <w:tcBorders>
              <w:top w:val="single" w:color="auto" w:sz="12" w:space="0"/>
              <w:left w:val="single" w:color="auto" w:sz="12" w:space="0"/>
            </w:tcBorders>
            <w:vAlign w:val="center"/>
          </w:tcPr>
          <w:p>
            <w:pPr>
              <w:jc w:val="center"/>
              <w:rPr>
                <w:rFonts w:hAnsi="Cambria Math" w:eastAsia="宋体" w:cs="Times New Roman"/>
                <w:sz w:val="18"/>
                <w:szCs w:val="18"/>
              </w:rPr>
            </w:pPr>
            <m:oMath>
              <m:r>
                <m:rPr>
                  <m:sty m:val="p"/>
                </m:rPr>
                <w:rPr>
                  <w:rFonts w:ascii="Cambria Math" w:hAnsi="Cambria Math" w:eastAsia="宋体" w:cs="Times New Roman"/>
                  <w:sz w:val="18"/>
                  <w:szCs w:val="18"/>
                </w:rPr>
                <m:t>23≤R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≤87 且</m:t>
              </m:r>
            </m:oMath>
            <w:r>
              <w:rPr>
                <w:rFonts w:hint="eastAsia" w:hAnsi="Cambria Math" w:eastAsia="宋体" w:cs="Times New Roman"/>
                <w:sz w:val="18"/>
                <w:szCs w:val="18"/>
              </w:rPr>
              <w:t xml:space="preserve"> </w:t>
            </w:r>
            <m:oMath>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T</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≤−7.84×1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−5</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3</m:t>
                  </m:r>
                  <m:ctrlPr>
                    <w:rPr>
                      <w:rFonts w:ascii="Cambria Math" w:hAnsi="Cambria Math" w:eastAsia="宋体" w:cs="Times New Roman"/>
                      <w:iCs/>
                      <w:sz w:val="18"/>
                      <w:szCs w:val="18"/>
                    </w:rPr>
                  </m:ctrlPr>
                </m:sup>
              </m:sSubSup>
            </m:oMath>
          </w:p>
          <w:p>
            <w:pPr>
              <w:jc w:val="center"/>
              <w:rPr>
                <w:rFonts w:ascii="宋体" w:hAnsi="宋体" w:eastAsia="宋体" w:cs="Times New Roman"/>
                <w:iCs/>
                <w:sz w:val="18"/>
                <w:szCs w:val="18"/>
              </w:rPr>
            </w:pPr>
            <m:oMathPara>
              <m:oMath>
                <m:r>
                  <m:rPr>
                    <m:sty m:val="p"/>
                  </m:rPr>
                  <w:rPr>
                    <w:rFonts w:ascii="Cambria Math" w:hAnsi="Cambria Math" w:eastAsia="宋体" w:cs="Times New Roman"/>
                    <w:sz w:val="18"/>
                    <w:szCs w:val="18"/>
                  </w:rPr>
                  <m:t>+1.795×1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bSup>
                <m:r>
                  <m:rPr>
                    <m:sty m:val="p"/>
                  </m:rPr>
                  <w:rPr>
                    <w:rFonts w:ascii="Cambria Math" w:hAnsi="Cambria Math" w:eastAsia="宋体" w:cs="Times New Roman"/>
                    <w:sz w:val="18"/>
                    <w:szCs w:val="18"/>
                  </w:rPr>
                  <m:t>−1.65R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+64.36</m:t>
                </m:r>
              </m:oMath>
            </m:oMathPara>
          </w:p>
        </w:tc>
        <w:tc>
          <w:tcPr>
            <w:tcW w:w="5010" w:type="dxa"/>
            <w:vMerge w:val="restart"/>
            <w:tcBorders>
              <w:top w:val="single" w:color="auto" w:sz="12" w:space="0"/>
              <w:right w:val="single" w:color="auto" w:sz="12" w:space="0"/>
            </w:tcBorders>
            <w:vAlign w:val="center"/>
          </w:tcPr>
          <w:p>
            <w:pPr>
              <w:jc w:val="center"/>
              <w:rPr>
                <w:rFonts w:ascii="宋体" w:hAnsi="宋体" w:eastAsia="宋体" w:cs="Times New Roman"/>
                <w:iCs/>
                <w:sz w:val="18"/>
                <w:szCs w:val="18"/>
              </w:rPr>
            </w:pPr>
            <m:oMathPara>
              <m:oMath>
                <m:r>
                  <m:rPr>
                    <m:sty m:val="p"/>
                  </m:rPr>
                  <w:rPr>
                    <w:rFonts w:ascii="Cambria Math" w:hAnsi="Cambria Math" w:eastAsia="宋体" w:cs="Times New Roman"/>
                    <w:sz w:val="18"/>
                    <w:szCs w:val="18"/>
                  </w:rPr>
                  <m:t>SP</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L</m:t>
                    </m:r>
                    <m:ctrlPr>
                      <w:rPr>
                        <w:rFonts w:ascii="Cambria Math" w:hAnsi="Cambria Math" w:eastAsia="宋体" w:cs="Times New Roman"/>
                        <w:iCs/>
                        <w:sz w:val="18"/>
                        <w:szCs w:val="18"/>
                      </w:rPr>
                    </m:ctrlPr>
                  </m:e>
                  <m:sub>
                    <m:r>
                      <m:rPr/>
                      <w:rPr>
                        <w:rFonts w:ascii="Cambria Math" w:hAnsi="Cambria Math" w:eastAsia="宋体" w:cs="Times New Roman"/>
                        <w:szCs w:val="21"/>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m:t>
                    </m:r>
                    <m:ctrlPr>
                      <w:rPr>
                        <w:rFonts w:ascii="Cambria Math" w:hAnsi="Cambria Math" w:eastAsia="宋体" w:cs="Times New Roman"/>
                        <w:iCs/>
                        <w:sz w:val="18"/>
                        <w:szCs w:val="18"/>
                      </w:rPr>
                    </m:ctrlPr>
                  </m:sup>
                </m:sSubSup>
                <m:r>
                  <m:rPr>
                    <m:sty m:val="p"/>
                  </m:rPr>
                  <w:rPr>
                    <w:rFonts w:ascii="Cambria Math" w:hAnsi="Cambria Math" w:eastAsia="宋体" w:cs="Times New Roman"/>
                    <w:sz w:val="18"/>
                    <w:szCs w:val="18"/>
                  </w:rPr>
                  <m:t>=SP</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L</m:t>
                    </m:r>
                    <m:ctrlPr>
                      <w:rPr>
                        <w:rFonts w:ascii="Cambria Math" w:hAnsi="Cambria Math" w:eastAsia="宋体" w:cs="Times New Roman"/>
                        <w:iCs/>
                        <w:sz w:val="18"/>
                        <w:szCs w:val="18"/>
                      </w:rPr>
                    </m:ctrlPr>
                  </m:e>
                  <m:sub>
                    <m:r>
                      <m:rPr/>
                      <w:rPr>
                        <w:rFonts w:ascii="Cambria Math" w:hAnsi="Cambria Math" w:eastAsia="宋体" w:cs="Times New Roman"/>
                        <w:szCs w:val="21"/>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+0.05dB</m:t>
                </m:r>
                <m:r>
                  <m:rPr>
                    <m:sty m:val="p"/>
                  </m:rPr>
                  <w:rPr>
                    <w:rFonts w:hint="eastAsia" w:ascii="Cambria Math" w:hAnsi="Cambria Math" w:eastAsia="宋体" w:cs="Times New Roman"/>
                    <w:sz w:val="18"/>
                    <w:szCs w:val="18"/>
                  </w:rPr>
                  <m:t>（</m:t>
                </m:r>
                <m:r>
                  <m:rPr>
                    <m:sty m:val="p"/>
                  </m:rPr>
                  <w:rPr>
                    <w:rFonts w:ascii="Cambria Math" w:hAnsi="Cambria Math" w:eastAsia="宋体" w:cs="Times New Roman"/>
                    <w:sz w:val="18"/>
                    <w:szCs w:val="18"/>
                  </w:rPr>
                  <m:t>A</m:t>
                </m:r>
                <m:r>
                  <m:rPr>
                    <m:sty m:val="p"/>
                  </m:rPr>
                  <w:rPr>
                    <w:rFonts w:hint="eastAsia" w:ascii="Cambria Math" w:hAnsi="Cambria Math" w:eastAsia="宋体" w:cs="Times New Roman"/>
                    <w:sz w:val="18"/>
                    <w:szCs w:val="18"/>
                  </w:rPr>
                  <m:t>）</m:t>
                </m:r>
              </m:oMath>
            </m:oMathPara>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0" w:type="dxa"/>
            <w:tcBorders>
              <w:left w:val="single" w:color="auto" w:sz="12" w:space="0"/>
            </w:tcBorders>
            <w:vAlign w:val="center"/>
          </w:tcPr>
          <w:p>
            <w:pPr>
              <w:jc w:val="center"/>
              <w:rPr>
                <w:rFonts w:hAnsi="Cambria Math" w:eastAsia="宋体" w:cs="Times New Roman"/>
                <w:sz w:val="18"/>
                <w:szCs w:val="18"/>
              </w:rPr>
            </w:pPr>
            <m:oMath>
              <m:r>
                <m:rPr>
                  <m:sty m:val="p"/>
                </m:rPr>
                <w:rPr>
                  <w:rFonts w:ascii="Cambria Math" w:hAnsi="Cambria Math" w:eastAsia="宋体" w:cs="Times New Roman"/>
                  <w:sz w:val="18"/>
                  <w:szCs w:val="18"/>
                </w:rPr>
                <m:t>21≤R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≤79 且</m:t>
              </m:r>
            </m:oMath>
            <w:r>
              <w:rPr>
                <w:rFonts w:hint="eastAsia" w:hAnsi="Cambria Math" w:eastAsia="宋体" w:cs="Times New Roman"/>
                <w:sz w:val="18"/>
                <w:szCs w:val="18"/>
              </w:rPr>
              <w:t xml:space="preserve"> </w:t>
            </w:r>
            <m:oMath>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T</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≥−1.03×1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−4</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3</m:t>
                  </m:r>
                  <m:ctrlPr>
                    <w:rPr>
                      <w:rFonts w:ascii="Cambria Math" w:hAnsi="Cambria Math" w:eastAsia="宋体" w:cs="Times New Roman"/>
                      <w:iCs/>
                      <w:sz w:val="18"/>
                      <w:szCs w:val="18"/>
                    </w:rPr>
                  </m:ctrlPr>
                </m:sup>
              </m:sSubSup>
            </m:oMath>
          </w:p>
          <w:p>
            <w:pPr>
              <w:jc w:val="center"/>
              <w:rPr>
                <w:rFonts w:ascii="宋体" w:hAnsi="宋体" w:eastAsia="宋体" w:cs="Times New Roman"/>
                <w:iCs/>
                <w:sz w:val="18"/>
                <w:szCs w:val="18"/>
              </w:rPr>
            </w:pPr>
            <m:oMathPara>
              <m:oMath>
                <m:r>
                  <m:rPr>
                    <m:sty m:val="p"/>
                  </m:rPr>
                  <w:rPr>
                    <w:rFonts w:ascii="Cambria Math" w:hAnsi="Cambria Math" w:eastAsia="宋体" w:cs="Times New Roman"/>
                    <w:sz w:val="18"/>
                    <w:szCs w:val="18"/>
                  </w:rPr>
                  <m:t>+2.14×1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m:sty m:val="p"/>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bSup>
                <m:r>
                  <m:rPr>
                    <m:sty m:val="p"/>
                  </m:rPr>
                  <w:rPr>
                    <w:rFonts w:ascii="Cambria Math" w:hAnsi="Cambria Math" w:eastAsia="宋体" w:cs="Times New Roman"/>
                    <w:sz w:val="18"/>
                    <w:szCs w:val="18"/>
                  </w:rPr>
                  <m:t>−1.798R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+64.27</m:t>
                </m:r>
              </m:oMath>
            </m:oMathPara>
          </w:p>
        </w:tc>
        <w:tc>
          <w:tcPr>
            <w:tcW w:w="5010" w:type="dxa"/>
            <w:vMerge w:val="continue"/>
            <w:tcBorders>
              <w:right w:val="single" w:color="auto" w:sz="12" w:space="0"/>
            </w:tcBorders>
            <w:vAlign w:val="center"/>
          </w:tcPr>
          <w:p>
            <w:pPr>
              <w:jc w:val="center"/>
              <w:rPr>
                <w:rFonts w:ascii="宋体" w:hAnsi="宋体" w:eastAsia="宋体" w:cs="Times New Roman"/>
                <w:i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10" w:type="dxa"/>
            <w:tcBorders>
              <w:left w:val="single" w:color="auto" w:sz="12" w:space="0"/>
            </w:tcBorders>
            <w:vAlign w:val="center"/>
          </w:tcPr>
          <w:p>
            <w:pPr>
              <w:jc w:val="center"/>
              <w:rPr>
                <w:rFonts w:hAnsi="Cambria Math" w:eastAsia="宋体" w:cs="Times New Roman"/>
                <w:sz w:val="18"/>
                <w:szCs w:val="18"/>
              </w:rPr>
            </w:pPr>
            <m:oMath>
              <m:r>
                <m:rPr>
                  <m:sty m:val="p"/>
                </m:rPr>
                <w:rPr>
                  <w:rFonts w:ascii="Cambria Math" w:hAnsi="Cambria Math" w:eastAsia="宋体" w:cs="Times New Roman"/>
                  <w:sz w:val="18"/>
                  <w:szCs w:val="18"/>
                </w:rPr>
                <m:t>21≤R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≤79且</m:t>
              </m:r>
            </m:oMath>
            <w:r>
              <w:rPr>
                <w:rFonts w:hint="eastAsia" w:hAnsi="Cambria Math" w:eastAsia="宋体" w:cs="Times New Roman"/>
                <w:sz w:val="18"/>
                <w:szCs w:val="18"/>
              </w:rPr>
              <w:t xml:space="preserve"> </w:t>
            </w:r>
            <m:oMath>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T</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＜−1.03×1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−4</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3</m:t>
                  </m:r>
                  <m:ctrlPr>
                    <w:rPr>
                      <w:rFonts w:ascii="Cambria Math" w:hAnsi="Cambria Math" w:eastAsia="宋体" w:cs="Times New Roman"/>
                      <w:iCs/>
                      <w:sz w:val="18"/>
                      <w:szCs w:val="18"/>
                    </w:rPr>
                  </m:ctrlPr>
                </m:sup>
              </m:sSubSup>
            </m:oMath>
          </w:p>
          <w:p>
            <w:pPr>
              <w:jc w:val="center"/>
              <w:rPr>
                <w:rFonts w:ascii="宋体" w:hAnsi="宋体" w:eastAsia="宋体" w:cs="Times New Roman"/>
                <w:iCs/>
                <w:sz w:val="18"/>
                <w:szCs w:val="18"/>
              </w:rPr>
            </w:pPr>
            <m:oMathPara>
              <m:oMath>
                <m:r>
                  <m:rPr>
                    <m:sty m:val="p"/>
                  </m:rPr>
                  <w:rPr>
                    <w:rFonts w:ascii="Cambria Math" w:hAnsi="Cambria Math" w:eastAsia="宋体" w:cs="Times New Roman"/>
                    <w:sz w:val="18"/>
                    <w:szCs w:val="18"/>
                  </w:rPr>
                  <m:t>+2.14×1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bSup>
                <m:r>
                  <m:rPr>
                    <m:sty m:val="p"/>
                  </m:rPr>
                  <w:rPr>
                    <w:rFonts w:ascii="Cambria Math" w:hAnsi="Cambria Math" w:eastAsia="宋体" w:cs="Times New Roman"/>
                    <w:sz w:val="18"/>
                    <w:szCs w:val="18"/>
                  </w:rPr>
                  <m:t>−1.798R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+64.27</m:t>
                </m:r>
              </m:oMath>
            </m:oMathPara>
          </w:p>
        </w:tc>
        <w:tc>
          <w:tcPr>
            <w:tcW w:w="5010" w:type="dxa"/>
            <w:vMerge w:val="restart"/>
            <w:tcBorders>
              <w:right w:val="single" w:color="auto" w:sz="12" w:space="0"/>
            </w:tcBorders>
            <w:vAlign w:val="center"/>
          </w:tcPr>
          <w:p>
            <w:pPr>
              <w:jc w:val="center"/>
              <w:rPr>
                <w:rFonts w:ascii="宋体" w:hAnsi="宋体" w:eastAsia="宋体" w:cs="Times New Roman"/>
                <w:iCs/>
                <w:sz w:val="18"/>
                <w:szCs w:val="18"/>
              </w:rPr>
            </w:pPr>
            <m:oMathPara>
              <m:oMath>
                <m:r>
                  <m:rPr>
                    <m:sty m:val="p"/>
                  </m:rPr>
                  <w:rPr>
                    <w:rFonts w:ascii="Cambria Math" w:hAnsi="Cambria Math" w:eastAsia="宋体" w:cs="Times New Roman"/>
                    <w:sz w:val="18"/>
                    <w:szCs w:val="18"/>
                  </w:rPr>
                  <m:t>SP</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L</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m:t>
                    </m:r>
                    <m:ctrlPr>
                      <w:rPr>
                        <w:rFonts w:ascii="Cambria Math" w:hAnsi="Cambria Math" w:eastAsia="宋体" w:cs="Times New Roman"/>
                        <w:iCs/>
                        <w:sz w:val="18"/>
                        <w:szCs w:val="18"/>
                      </w:rPr>
                    </m:ctrlPr>
                  </m:sup>
                </m:sSubSup>
                <m:r>
                  <m:rPr>
                    <m:sty m:val="p"/>
                  </m:rPr>
                  <w:rPr>
                    <w:rFonts w:ascii="Cambria Math" w:hAnsi="Cambria Math" w:eastAsia="宋体" w:cs="Times New Roman"/>
                    <w:sz w:val="18"/>
                    <w:szCs w:val="18"/>
                  </w:rPr>
                  <m:t>=SP</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L</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+0.1dB</m:t>
                </m:r>
                <m:r>
                  <m:rPr>
                    <m:sty m:val="p"/>
                  </m:rPr>
                  <w:rPr>
                    <w:rFonts w:hint="eastAsia" w:ascii="Cambria Math" w:hAnsi="Cambria Math" w:eastAsia="宋体" w:cs="Times New Roman"/>
                    <w:sz w:val="18"/>
                    <w:szCs w:val="18"/>
                  </w:rPr>
                  <m:t>（</m:t>
                </m:r>
                <m:r>
                  <m:rPr>
                    <m:sty m:val="p"/>
                  </m:rPr>
                  <w:rPr>
                    <w:rFonts w:ascii="Cambria Math" w:hAnsi="Cambria Math" w:eastAsia="宋体" w:cs="Times New Roman"/>
                    <w:sz w:val="18"/>
                    <w:szCs w:val="18"/>
                  </w:rPr>
                  <m:t>A</m:t>
                </m:r>
                <m:r>
                  <m:rPr>
                    <m:sty m:val="p"/>
                  </m:rPr>
                  <w:rPr>
                    <w:rFonts w:hint="eastAsia" w:ascii="Cambria Math" w:hAnsi="Cambria Math" w:eastAsia="宋体" w:cs="Times New Roman"/>
                    <w:sz w:val="18"/>
                    <w:szCs w:val="18"/>
                  </w:rPr>
                  <m:t>）</m:t>
                </m:r>
              </m:oMath>
            </m:oMathPara>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0" w:type="dxa"/>
            <w:tcBorders>
              <w:left w:val="single" w:color="auto" w:sz="12" w:space="0"/>
            </w:tcBorders>
            <w:vAlign w:val="center"/>
          </w:tcPr>
          <w:p>
            <w:pPr>
              <w:jc w:val="center"/>
              <w:rPr>
                <w:rFonts w:hAnsi="Cambria Math" w:eastAsia="宋体" w:cs="Times New Roman"/>
                <w:sz w:val="18"/>
                <w:szCs w:val="18"/>
              </w:rPr>
            </w:pPr>
            <m:oMath>
              <m:r>
                <m:rPr>
                  <m:sty m:val="p"/>
                </m:rPr>
                <w:rPr>
                  <w:rFonts w:ascii="Cambria Math" w:hAnsi="Cambria Math" w:eastAsia="宋体" w:cs="Times New Roman"/>
                  <w:sz w:val="18"/>
                  <w:szCs w:val="18"/>
                </w:rPr>
                <m:t>20≤R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≤71且</m:t>
              </m:r>
            </m:oMath>
            <w:r>
              <w:rPr>
                <w:rFonts w:hint="eastAsia" w:hAnsi="Cambria Math" w:eastAsia="宋体" w:cs="Times New Roman"/>
                <w:sz w:val="18"/>
                <w:szCs w:val="18"/>
              </w:rPr>
              <w:t xml:space="preserve"> </w:t>
            </w:r>
            <m:oMath>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T</m:t>
                  </m:r>
                  <m:ctrlPr>
                    <w:rPr>
                      <w:rFonts w:ascii="Cambria Math" w:hAnsi="Cambria Math" w:eastAsia="宋体" w:cs="Times New Roman"/>
                      <w:iCs/>
                      <w:sz w:val="18"/>
                      <w:szCs w:val="18"/>
                    </w:rPr>
                  </m:ctrlPr>
                </m:e>
                <m:sub>
                  <m:r>
                    <m:rPr/>
                    <w:rPr>
                      <w:rFonts w:ascii="Cambria Math" w:hAnsi="Cambria Math" w:eastAsia="宋体" w:cs="Times New Roman"/>
                      <w:szCs w:val="21"/>
                      <w:vertAlign w:val="subscript"/>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≥−1.318×1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−4</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3</m:t>
                  </m:r>
                  <m:ctrlPr>
                    <w:rPr>
                      <w:rFonts w:ascii="Cambria Math" w:hAnsi="Cambria Math" w:eastAsia="宋体" w:cs="Times New Roman"/>
                      <w:iCs/>
                      <w:sz w:val="18"/>
                      <w:szCs w:val="18"/>
                    </w:rPr>
                  </m:ctrlPr>
                </m:sup>
              </m:sSubSup>
            </m:oMath>
          </w:p>
          <w:p>
            <w:pPr>
              <w:jc w:val="center"/>
              <w:rPr>
                <w:rFonts w:ascii="宋体" w:hAnsi="宋体" w:eastAsia="宋体" w:cs="Times New Roman"/>
                <w:iCs/>
                <w:sz w:val="18"/>
                <w:szCs w:val="18"/>
              </w:rPr>
            </w:pPr>
            <m:oMathPara>
              <m:oMath>
                <m:r>
                  <m:rPr>
                    <m:sty m:val="p"/>
                  </m:rPr>
                  <w:rPr>
                    <w:rFonts w:ascii="Cambria Math" w:hAnsi="Cambria Math" w:eastAsia="宋体" w:cs="Times New Roman"/>
                    <w:sz w:val="18"/>
                    <w:szCs w:val="18"/>
                  </w:rPr>
                  <m:t>+2.5×1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bSup>
                <m:r>
                  <m:rPr>
                    <m:sty m:val="p"/>
                  </m:rPr>
                  <w:rPr>
                    <w:rFonts w:ascii="Cambria Math" w:hAnsi="Cambria Math" w:eastAsia="宋体" w:cs="Times New Roman"/>
                    <w:sz w:val="18"/>
                    <w:szCs w:val="18"/>
                  </w:rPr>
                  <m:t>−1.94R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+63.85</m:t>
                </m:r>
              </m:oMath>
            </m:oMathPara>
          </w:p>
        </w:tc>
        <w:tc>
          <w:tcPr>
            <w:tcW w:w="5010" w:type="dxa"/>
            <w:vMerge w:val="continue"/>
            <w:tcBorders>
              <w:right w:val="single" w:color="auto" w:sz="12" w:space="0"/>
            </w:tcBorders>
            <w:vAlign w:val="center"/>
          </w:tcPr>
          <w:p>
            <w:pPr>
              <w:jc w:val="center"/>
              <w:rPr>
                <w:rFonts w:ascii="宋体" w:hAnsi="宋体" w:eastAsia="宋体" w:cs="Times New Roman"/>
                <w:i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0" w:type="dxa"/>
            <w:tcBorders>
              <w:left w:val="single" w:color="auto" w:sz="12" w:space="0"/>
            </w:tcBorders>
            <w:vAlign w:val="center"/>
          </w:tcPr>
          <w:p>
            <w:pPr>
              <w:jc w:val="center"/>
              <w:rPr>
                <w:rFonts w:hAnsi="Cambria Math" w:eastAsia="宋体" w:cs="Times New Roman"/>
                <w:sz w:val="18"/>
                <w:szCs w:val="18"/>
              </w:rPr>
            </w:pPr>
            <m:oMath>
              <m:r>
                <m:rPr>
                  <m:sty m:val="p"/>
                </m:rPr>
                <w:rPr>
                  <w:rFonts w:ascii="Cambria Math" w:hAnsi="Cambria Math" w:eastAsia="宋体" w:cs="Times New Roman"/>
                  <w:sz w:val="18"/>
                  <w:szCs w:val="18"/>
                </w:rPr>
                <m:t>20≤R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≤71且</m:t>
              </m:r>
            </m:oMath>
            <w:r>
              <w:rPr>
                <w:rFonts w:hint="eastAsia" w:hAnsi="Cambria Math" w:eastAsia="宋体" w:cs="Times New Roman"/>
                <w:sz w:val="18"/>
                <w:szCs w:val="18"/>
              </w:rPr>
              <w:t xml:space="preserve"> </w:t>
            </w:r>
            <m:oMath>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T</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≤−1.318×1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−4</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3</m:t>
                  </m:r>
                  <m:ctrlPr>
                    <w:rPr>
                      <w:rFonts w:ascii="Cambria Math" w:hAnsi="Cambria Math" w:eastAsia="宋体" w:cs="Times New Roman"/>
                      <w:iCs/>
                      <w:sz w:val="18"/>
                      <w:szCs w:val="18"/>
                    </w:rPr>
                  </m:ctrlPr>
                </m:sup>
              </m:sSubSup>
            </m:oMath>
          </w:p>
          <w:p>
            <w:pPr>
              <w:jc w:val="center"/>
              <w:rPr>
                <w:rFonts w:ascii="宋体" w:hAnsi="宋体" w:eastAsia="宋体" w:cs="Times New Roman"/>
                <w:iCs/>
                <w:sz w:val="18"/>
                <w:szCs w:val="18"/>
              </w:rPr>
            </w:pPr>
            <m:oMathPara>
              <m:oMath>
                <m:r>
                  <m:rPr>
                    <m:sty m:val="p"/>
                  </m:rPr>
                  <w:rPr>
                    <w:rFonts w:ascii="Cambria Math" w:hAnsi="Cambria Math" w:eastAsia="宋体" w:cs="Times New Roman"/>
                    <w:sz w:val="18"/>
                    <w:szCs w:val="18"/>
                  </w:rPr>
                  <m:t>+2.5×1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bSup>
                <m:r>
                  <m:rPr>
                    <m:sty m:val="p"/>
                  </m:rPr>
                  <w:rPr>
                    <w:rFonts w:ascii="Cambria Math" w:hAnsi="Cambria Math" w:eastAsia="宋体" w:cs="Times New Roman"/>
                    <w:sz w:val="18"/>
                    <w:szCs w:val="18"/>
                  </w:rPr>
                  <m:t>−1.94R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+63.85</m:t>
                </m:r>
              </m:oMath>
            </m:oMathPara>
          </w:p>
        </w:tc>
        <w:tc>
          <w:tcPr>
            <w:tcW w:w="5010" w:type="dxa"/>
            <w:vMerge w:val="restart"/>
            <w:tcBorders>
              <w:right w:val="single" w:color="auto" w:sz="12" w:space="0"/>
            </w:tcBorders>
            <w:vAlign w:val="center"/>
          </w:tcPr>
          <w:p>
            <w:pPr>
              <w:jc w:val="center"/>
              <w:rPr>
                <w:rFonts w:ascii="宋体" w:hAnsi="宋体" w:eastAsia="宋体" w:cs="Times New Roman"/>
                <w:iCs/>
                <w:sz w:val="18"/>
                <w:szCs w:val="18"/>
              </w:rPr>
            </w:pPr>
            <m:oMathPara>
              <m:oMath>
                <m:r>
                  <m:rPr>
                    <m:sty m:val="p"/>
                  </m:rPr>
                  <w:rPr>
                    <w:rFonts w:ascii="Cambria Math" w:hAnsi="Cambria Math" w:eastAsia="宋体" w:cs="Times New Roman"/>
                    <w:sz w:val="18"/>
                    <w:szCs w:val="18"/>
                  </w:rPr>
                  <m:t>SP</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L</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m:t>
                    </m:r>
                    <m:ctrlPr>
                      <w:rPr>
                        <w:rFonts w:ascii="Cambria Math" w:hAnsi="Cambria Math" w:eastAsia="宋体" w:cs="Times New Roman"/>
                        <w:iCs/>
                        <w:sz w:val="18"/>
                        <w:szCs w:val="18"/>
                      </w:rPr>
                    </m:ctrlPr>
                  </m:sup>
                </m:sSubSup>
                <m:r>
                  <m:rPr>
                    <m:sty m:val="p"/>
                  </m:rPr>
                  <w:rPr>
                    <w:rFonts w:ascii="Cambria Math" w:hAnsi="Cambria Math" w:eastAsia="宋体" w:cs="Times New Roman"/>
                    <w:sz w:val="18"/>
                    <w:szCs w:val="18"/>
                  </w:rPr>
                  <m:t>=SP</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L</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+0.15dB</m:t>
                </m:r>
                <m:r>
                  <m:rPr>
                    <m:sty m:val="p"/>
                  </m:rPr>
                  <w:rPr>
                    <w:rFonts w:hint="eastAsia" w:ascii="Cambria Math" w:hAnsi="Cambria Math" w:eastAsia="宋体" w:cs="Times New Roman"/>
                    <w:sz w:val="18"/>
                    <w:szCs w:val="18"/>
                  </w:rPr>
                  <m:t>（</m:t>
                </m:r>
                <m:r>
                  <m:rPr>
                    <m:sty m:val="p"/>
                  </m:rPr>
                  <w:rPr>
                    <w:rFonts w:ascii="Cambria Math" w:hAnsi="Cambria Math" w:eastAsia="宋体" w:cs="Times New Roman"/>
                    <w:sz w:val="18"/>
                    <w:szCs w:val="18"/>
                  </w:rPr>
                  <m:t>A</m:t>
                </m:r>
                <m:r>
                  <m:rPr>
                    <m:sty m:val="p"/>
                  </m:rPr>
                  <w:rPr>
                    <w:rFonts w:hint="eastAsia" w:ascii="Cambria Math" w:hAnsi="Cambria Math" w:eastAsia="宋体" w:cs="Times New Roman"/>
                    <w:sz w:val="18"/>
                    <w:szCs w:val="18"/>
                  </w:rPr>
                  <m:t>）</m:t>
                </m:r>
              </m:oMath>
            </m:oMathPara>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0" w:type="dxa"/>
            <w:tcBorders>
              <w:left w:val="single" w:color="auto" w:sz="12" w:space="0"/>
            </w:tcBorders>
            <w:vAlign w:val="center"/>
          </w:tcPr>
          <w:p>
            <w:pPr>
              <w:jc w:val="center"/>
              <w:rPr>
                <w:rFonts w:hAnsi="Cambria Math" w:eastAsia="宋体" w:cs="Times New Roman"/>
                <w:sz w:val="18"/>
                <w:szCs w:val="18"/>
              </w:rPr>
            </w:pPr>
            <m:oMath>
              <m:r>
                <m:rPr>
                  <m:sty m:val="p"/>
                </m:rPr>
                <w:rPr>
                  <w:rFonts w:ascii="Cambria Math" w:hAnsi="Cambria Math" w:eastAsia="宋体" w:cs="Times New Roman"/>
                  <w:sz w:val="18"/>
                  <w:szCs w:val="18"/>
                </w:rPr>
                <m:t>20≤R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≤64且</m:t>
              </m:r>
            </m:oMath>
            <w:r>
              <w:rPr>
                <w:rFonts w:hint="eastAsia" w:hAnsi="Cambria Math" w:eastAsia="宋体" w:cs="Times New Roman"/>
                <w:sz w:val="18"/>
                <w:szCs w:val="18"/>
              </w:rPr>
              <w:t xml:space="preserve"> </w:t>
            </w:r>
            <m:oMath>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T</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≤−1.65×1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−4</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3</m:t>
                  </m:r>
                  <m:ctrlPr>
                    <w:rPr>
                      <w:rFonts w:ascii="Cambria Math" w:hAnsi="Cambria Math" w:eastAsia="宋体" w:cs="Times New Roman"/>
                      <w:iCs/>
                      <w:sz w:val="18"/>
                      <w:szCs w:val="18"/>
                    </w:rPr>
                  </m:ctrlPr>
                </m:sup>
              </m:sSubSup>
            </m:oMath>
          </w:p>
          <w:p>
            <w:pPr>
              <w:jc w:val="center"/>
              <w:rPr>
                <w:rFonts w:ascii="宋体" w:hAnsi="宋体" w:eastAsia="宋体" w:cs="Times New Roman"/>
                <w:iCs/>
                <w:sz w:val="18"/>
                <w:szCs w:val="18"/>
              </w:rPr>
            </w:pPr>
            <m:oMathPara>
              <m:oMath>
                <m:r>
                  <m:rPr>
                    <m:sty m:val="p"/>
                  </m:rPr>
                  <w:rPr>
                    <w:rFonts w:ascii="Cambria Math" w:hAnsi="Cambria Math" w:eastAsia="宋体" w:cs="Times New Roman"/>
                    <w:sz w:val="18"/>
                    <w:szCs w:val="18"/>
                  </w:rPr>
                  <m:t>+2.87×1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bSup>
                <m:r>
                  <m:rPr>
                    <m:sty m:val="p"/>
                  </m:rPr>
                  <w:rPr>
                    <w:rFonts w:ascii="Cambria Math" w:hAnsi="Cambria Math" w:eastAsia="宋体" w:cs="Times New Roman"/>
                    <w:sz w:val="18"/>
                    <w:szCs w:val="18"/>
                  </w:rPr>
                  <m:t>−2.07R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+63.2</m:t>
                </m:r>
              </m:oMath>
            </m:oMathPara>
          </w:p>
        </w:tc>
        <w:tc>
          <w:tcPr>
            <w:tcW w:w="5010" w:type="dxa"/>
            <w:vMerge w:val="continue"/>
            <w:tcBorders>
              <w:right w:val="single" w:color="auto" w:sz="12" w:space="0"/>
            </w:tcBorders>
            <w:vAlign w:val="center"/>
          </w:tcPr>
          <w:p>
            <w:pPr>
              <w:jc w:val="center"/>
              <w:rPr>
                <w:rFonts w:ascii="宋体" w:hAnsi="宋体" w:eastAsia="宋体" w:cs="Times New Roman"/>
                <w:i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10" w:type="dxa"/>
            <w:tcBorders>
              <w:left w:val="single" w:color="auto" w:sz="12" w:space="0"/>
            </w:tcBorders>
            <w:vAlign w:val="center"/>
          </w:tcPr>
          <w:p>
            <w:pPr>
              <w:jc w:val="center"/>
              <w:rPr>
                <w:rFonts w:hAnsi="Cambria Math" w:eastAsia="宋体" w:cs="Times New Roman"/>
                <w:sz w:val="18"/>
                <w:szCs w:val="18"/>
              </w:rPr>
            </w:pPr>
            <m:oMathPara>
              <m:oMath>
                <m:r>
                  <m:rPr>
                    <m:sty m:val="p"/>
                  </m:rPr>
                  <w:rPr>
                    <w:rFonts w:ascii="Cambria Math" w:hAnsi="Cambria Math" w:eastAsia="宋体" w:cs="Times New Roman"/>
                    <w:sz w:val="18"/>
                    <w:szCs w:val="18"/>
                  </w:rPr>
                  <m:t>20≤R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 xml:space="preserve">≤64 且  </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T</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≤−1.65×1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−4</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3</m:t>
                    </m:r>
                    <m:ctrlPr>
                      <w:rPr>
                        <w:rFonts w:ascii="Cambria Math" w:hAnsi="Cambria Math" w:eastAsia="宋体" w:cs="Times New Roman"/>
                        <w:iCs/>
                        <w:sz w:val="18"/>
                        <w:szCs w:val="18"/>
                      </w:rPr>
                    </m:ctrlPr>
                  </m:sup>
                </m:sSubSup>
              </m:oMath>
            </m:oMathPara>
          </w:p>
          <w:p>
            <w:pPr>
              <w:jc w:val="center"/>
              <w:rPr>
                <w:rFonts w:ascii="宋体" w:hAnsi="宋体" w:eastAsia="宋体" w:cs="Times New Roman"/>
                <w:iCs/>
                <w:sz w:val="18"/>
                <w:szCs w:val="18"/>
              </w:rPr>
            </w:pPr>
            <m:oMathPara>
              <m:oMath>
                <m:r>
                  <m:rPr>
                    <m:sty m:val="p"/>
                  </m:rPr>
                  <w:rPr>
                    <w:rFonts w:ascii="Cambria Math" w:hAnsi="Cambria Math" w:eastAsia="宋体" w:cs="Times New Roman"/>
                    <w:sz w:val="18"/>
                    <w:szCs w:val="18"/>
                  </w:rPr>
                  <m:t>+2.87×1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bSup>
                <m:r>
                  <m:rPr>
                    <m:sty m:val="p"/>
                  </m:rPr>
                  <w:rPr>
                    <w:rFonts w:ascii="Cambria Math" w:hAnsi="Cambria Math" w:eastAsia="宋体" w:cs="Times New Roman"/>
                    <w:sz w:val="18"/>
                    <w:szCs w:val="18"/>
                  </w:rPr>
                  <m:t>−2.07R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+63.2</m:t>
                </m:r>
              </m:oMath>
            </m:oMathPara>
          </w:p>
        </w:tc>
        <w:tc>
          <w:tcPr>
            <w:tcW w:w="5010" w:type="dxa"/>
            <w:vMerge w:val="restart"/>
            <w:tcBorders>
              <w:right w:val="single" w:color="auto" w:sz="12" w:space="0"/>
            </w:tcBorders>
            <w:vAlign w:val="center"/>
          </w:tcPr>
          <w:p>
            <w:pPr>
              <w:jc w:val="center"/>
              <w:rPr>
                <w:rFonts w:ascii="宋体" w:hAnsi="宋体" w:eastAsia="宋体" w:cs="Times New Roman"/>
                <w:iCs/>
                <w:sz w:val="18"/>
                <w:szCs w:val="18"/>
              </w:rPr>
            </w:pPr>
            <m:oMathPara>
              <m:oMath>
                <m:r>
                  <m:rPr>
                    <m:sty m:val="p"/>
                  </m:rPr>
                  <w:rPr>
                    <w:rFonts w:ascii="Cambria Math" w:hAnsi="Cambria Math" w:eastAsia="宋体" w:cs="Times New Roman"/>
                    <w:sz w:val="18"/>
                    <w:szCs w:val="18"/>
                  </w:rPr>
                  <m:t>SP</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L</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m:t>
                    </m:r>
                    <m:ctrlPr>
                      <w:rPr>
                        <w:rFonts w:ascii="Cambria Math" w:hAnsi="Cambria Math" w:eastAsia="宋体" w:cs="Times New Roman"/>
                        <w:iCs/>
                        <w:sz w:val="18"/>
                        <w:szCs w:val="18"/>
                      </w:rPr>
                    </m:ctrlPr>
                  </m:sup>
                </m:sSubSup>
                <m:r>
                  <m:rPr>
                    <m:sty m:val="p"/>
                  </m:rPr>
                  <w:rPr>
                    <w:rFonts w:ascii="Cambria Math" w:hAnsi="Cambria Math" w:eastAsia="宋体" w:cs="Times New Roman"/>
                    <w:sz w:val="18"/>
                    <w:szCs w:val="18"/>
                  </w:rPr>
                  <m:t>=SP</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L</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+0.2dB</m:t>
                </m:r>
                <m:r>
                  <m:rPr>
                    <m:sty m:val="p"/>
                  </m:rPr>
                  <w:rPr>
                    <w:rFonts w:hint="eastAsia" w:ascii="Cambria Math" w:hAnsi="Cambria Math" w:eastAsia="宋体" w:cs="Times New Roman"/>
                    <w:sz w:val="18"/>
                    <w:szCs w:val="18"/>
                  </w:rPr>
                  <m:t>（</m:t>
                </m:r>
                <m:r>
                  <m:rPr>
                    <m:sty m:val="p"/>
                  </m:rPr>
                  <w:rPr>
                    <w:rFonts w:ascii="Cambria Math" w:hAnsi="Cambria Math" w:eastAsia="宋体" w:cs="Times New Roman"/>
                    <w:sz w:val="18"/>
                    <w:szCs w:val="18"/>
                  </w:rPr>
                  <m:t>A</m:t>
                </m:r>
                <m:r>
                  <m:rPr>
                    <m:sty m:val="p"/>
                  </m:rPr>
                  <w:rPr>
                    <w:rFonts w:hint="eastAsia" w:ascii="Cambria Math" w:hAnsi="Cambria Math" w:eastAsia="宋体" w:cs="Times New Roman"/>
                    <w:sz w:val="18"/>
                    <w:szCs w:val="18"/>
                  </w:rPr>
                  <m:t>）</m:t>
                </m:r>
              </m:oMath>
            </m:oMathPara>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0" w:type="dxa"/>
            <w:tcBorders>
              <w:left w:val="single" w:color="auto" w:sz="12" w:space="0"/>
            </w:tcBorders>
            <w:vAlign w:val="center"/>
          </w:tcPr>
          <w:p>
            <w:pPr>
              <w:jc w:val="center"/>
              <w:rPr>
                <w:rFonts w:hAnsi="Cambria Math" w:eastAsia="宋体" w:cs="Times New Roman"/>
                <w:sz w:val="18"/>
                <w:szCs w:val="18"/>
              </w:rPr>
            </w:pPr>
            <m:oMath>
              <m:r>
                <m:rPr>
                  <m:sty m:val="p"/>
                </m:rPr>
                <w:rPr>
                  <w:rFonts w:ascii="Cambria Math" w:hAnsi="Cambria Math" w:eastAsia="宋体" w:cs="Times New Roman"/>
                  <w:sz w:val="18"/>
                  <w:szCs w:val="18"/>
                </w:rPr>
                <m:t>20≤R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≤56且</m:t>
              </m:r>
            </m:oMath>
            <w:r>
              <w:rPr>
                <w:rFonts w:hint="eastAsia" w:hAnsi="Cambria Math" w:eastAsia="宋体" w:cs="Times New Roman"/>
                <w:sz w:val="18"/>
                <w:szCs w:val="18"/>
              </w:rPr>
              <w:t xml:space="preserve"> </w:t>
            </w:r>
            <m:oMath>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T</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≤−2.43×1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−4</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3</m:t>
                  </m:r>
                  <m:ctrlPr>
                    <w:rPr>
                      <w:rFonts w:ascii="Cambria Math" w:hAnsi="Cambria Math" w:eastAsia="宋体" w:cs="Times New Roman"/>
                      <w:iCs/>
                      <w:sz w:val="18"/>
                      <w:szCs w:val="18"/>
                    </w:rPr>
                  </m:ctrlPr>
                </m:sup>
              </m:sSubSup>
            </m:oMath>
          </w:p>
          <w:p>
            <w:pPr>
              <w:jc w:val="center"/>
              <w:rPr>
                <w:rFonts w:ascii="宋体" w:hAnsi="宋体" w:eastAsia="宋体" w:cs="Times New Roman"/>
                <w:iCs/>
                <w:sz w:val="18"/>
                <w:szCs w:val="18"/>
              </w:rPr>
            </w:pPr>
            <m:oMathPara>
              <m:oMath>
                <m:r>
                  <m:rPr>
                    <m:sty m:val="p"/>
                  </m:rPr>
                  <w:rPr>
                    <w:rFonts w:ascii="Cambria Math" w:hAnsi="Cambria Math" w:eastAsia="宋体" w:cs="Times New Roman"/>
                    <w:sz w:val="18"/>
                    <w:szCs w:val="18"/>
                  </w:rPr>
                  <m:t>+3.6×1</m:t>
                </m:r>
                <m:sSup>
                  <m:sSupPr>
                    <m:ctrlPr>
                      <w:rPr>
                        <w:rFonts w:ascii="Cambria Math" w:hAnsi="Cambria Math" w:eastAsia="宋体" w:cs="Times New Roman"/>
                        <w:iCs/>
                        <w:sz w:val="18"/>
                        <w:szCs w:val="18"/>
                      </w:rPr>
                    </m:ctrlPr>
                  </m:sSupPr>
                  <m:e>
                    <m:r>
                      <m:rPr>
                        <m:sty m:val="p"/>
                      </m:rPr>
                      <w:rPr>
                        <w:rFonts w:ascii="Cambria Math" w:hAnsi="Cambria Math" w:eastAsia="宋体" w:cs="Times New Roman"/>
                        <w:sz w:val="18"/>
                        <w:szCs w:val="18"/>
                      </w:rPr>
                      <m:t>0</m:t>
                    </m:r>
                    <m:ctrlPr>
                      <w:rPr>
                        <w:rFonts w:ascii="Cambria Math" w:hAnsi="Cambria Math" w:eastAsia="宋体" w:cs="Times New Roman"/>
                        <w:iCs/>
                        <w:sz w:val="18"/>
                        <w:szCs w:val="18"/>
                      </w:rPr>
                    </m:ctrlPr>
                  </m:e>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p>
                <m:r>
                  <m:rPr>
                    <m:sty m:val="p"/>
                  </m:rPr>
                  <w:rPr>
                    <w:rFonts w:ascii="Cambria Math" w:hAnsi="Cambria Math" w:eastAsia="宋体" w:cs="Times New Roman"/>
                    <w:sz w:val="18"/>
                    <w:szCs w:val="18"/>
                  </w:rPr>
                  <m:t>R</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2</m:t>
                    </m:r>
                    <m:ctrlPr>
                      <w:rPr>
                        <w:rFonts w:ascii="Cambria Math" w:hAnsi="Cambria Math" w:eastAsia="宋体" w:cs="Times New Roman"/>
                        <w:iCs/>
                        <w:sz w:val="18"/>
                        <w:szCs w:val="18"/>
                      </w:rPr>
                    </m:ctrlPr>
                  </m:sup>
                </m:sSubSup>
                <m:r>
                  <m:rPr>
                    <m:sty m:val="p"/>
                  </m:rPr>
                  <w:rPr>
                    <w:rFonts w:ascii="Cambria Math" w:hAnsi="Cambria Math" w:eastAsia="宋体" w:cs="Times New Roman"/>
                    <w:sz w:val="18"/>
                    <w:szCs w:val="18"/>
                  </w:rPr>
                  <m:t>−2.3R</m:t>
                </m:r>
                <m:sSub>
                  <m:sSubPr>
                    <m:ctrlPr>
                      <w:rPr>
                        <w:rFonts w:ascii="Cambria Math" w:hAnsi="Cambria Math" w:eastAsia="宋体" w:cs="Times New Roman"/>
                        <w:iCs/>
                        <w:sz w:val="18"/>
                        <w:szCs w:val="18"/>
                      </w:rPr>
                    </m:ctrlPr>
                  </m:sSubPr>
                  <m:e>
                    <m:r>
                      <m:rPr>
                        <m:sty m:val="p"/>
                      </m:rPr>
                      <w:rPr>
                        <w:rFonts w:ascii="Cambria Math" w:hAnsi="Cambria Math" w:eastAsia="宋体" w:cs="Times New Roman"/>
                        <w:sz w:val="18"/>
                        <w:szCs w:val="18"/>
                      </w:rPr>
                      <m:t>H</m:t>
                    </m:r>
                    <m:ctrlPr>
                      <w:rPr>
                        <w:rFonts w:ascii="Cambria Math" w:hAnsi="Cambria Math" w:eastAsia="宋体" w:cs="Times New Roman"/>
                        <w:iCs/>
                        <w:sz w:val="18"/>
                        <w:szCs w:val="18"/>
                      </w:rPr>
                    </m:ctrlPr>
                  </m:e>
                  <m:sub>
                    <m:r>
                      <m:rPr/>
                      <w:rPr>
                        <w:rFonts w:ascii="Cambria Math" w:hAnsi="Cambria Math" w:eastAsia="宋体" w:cs="Times New Roman"/>
                        <w:sz w:val="18"/>
                        <w:szCs w:val="18"/>
                      </w:rPr>
                      <m:t>i</m:t>
                    </m:r>
                    <m:ctrlPr>
                      <w:rPr>
                        <w:rFonts w:ascii="Cambria Math" w:hAnsi="Cambria Math" w:eastAsia="宋体" w:cs="Times New Roman"/>
                        <w:iCs/>
                        <w:sz w:val="18"/>
                        <w:szCs w:val="18"/>
                      </w:rPr>
                    </m:ctrlPr>
                  </m:sub>
                </m:sSub>
                <m:r>
                  <m:rPr>
                    <m:sty m:val="p"/>
                  </m:rPr>
                  <w:rPr>
                    <w:rFonts w:ascii="Cambria Math" w:hAnsi="Cambria Math" w:eastAsia="宋体" w:cs="Times New Roman"/>
                    <w:sz w:val="18"/>
                    <w:szCs w:val="18"/>
                  </w:rPr>
                  <m:t>+63.58</m:t>
                </m:r>
              </m:oMath>
            </m:oMathPara>
          </w:p>
        </w:tc>
        <w:tc>
          <w:tcPr>
            <w:tcW w:w="5010" w:type="dxa"/>
            <w:vMerge w:val="continue"/>
            <w:tcBorders>
              <w:right w:val="single" w:color="auto" w:sz="12" w:space="0"/>
            </w:tcBorders>
            <w:vAlign w:val="center"/>
          </w:tcPr>
          <w:p>
            <w:pPr>
              <w:jc w:val="center"/>
              <w:rPr>
                <w:rFonts w:ascii="宋体" w:hAnsi="宋体" w:eastAsia="宋体" w:cs="Times New Roman"/>
                <w:i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0" w:type="dxa"/>
            <w:tcBorders>
              <w:left w:val="single" w:color="auto" w:sz="12" w:space="0"/>
              <w:bottom w:val="single" w:color="auto" w:sz="12" w:space="0"/>
            </w:tcBorders>
            <w:vAlign w:val="center"/>
          </w:tcPr>
          <w:p>
            <w:pPr>
              <w:jc w:val="center"/>
              <w:rPr>
                <w:rFonts w:ascii="宋体" w:hAnsi="宋体" w:eastAsia="宋体" w:cs="Times New Roman"/>
                <w:iCs/>
                <w:sz w:val="18"/>
                <w:szCs w:val="18"/>
              </w:rPr>
            </w:pPr>
            <w:r>
              <w:rPr>
                <w:rFonts w:ascii="宋体" w:hAnsi="宋体" w:eastAsia="宋体" w:cs="Times New Roman"/>
                <w:iCs/>
                <w:sz w:val="18"/>
                <w:szCs w:val="18"/>
              </w:rPr>
              <w:t>满足GB42590-2023《民用无人驾驶航空器系统安全要求》中5.14.1 g）规定的条件</w:t>
            </w:r>
          </w:p>
        </w:tc>
        <w:tc>
          <w:tcPr>
            <w:tcW w:w="5010" w:type="dxa"/>
            <w:tcBorders>
              <w:bottom w:val="single" w:color="auto" w:sz="12" w:space="0"/>
              <w:right w:val="single" w:color="auto" w:sz="12" w:space="0"/>
            </w:tcBorders>
            <w:vAlign w:val="center"/>
          </w:tcPr>
          <w:p>
            <w:pPr>
              <w:jc w:val="center"/>
              <w:rPr>
                <w:rFonts w:ascii="宋体" w:hAnsi="宋体" w:eastAsia="宋体" w:cs="Times New Roman"/>
                <w:iCs/>
                <w:sz w:val="18"/>
                <w:szCs w:val="18"/>
              </w:rPr>
            </w:pPr>
            <w:r>
              <w:rPr>
                <w:rFonts w:ascii="宋体" w:hAnsi="宋体" w:eastAsia="宋体" w:cs="Times New Roman"/>
                <w:iCs/>
                <w:sz w:val="18"/>
                <w:szCs w:val="18"/>
              </w:rPr>
              <w:t>无需修正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20" w:type="dxa"/>
            <w:gridSpan w:val="2"/>
            <w:tcBorders>
              <w:top w:val="single" w:color="auto" w:sz="12" w:space="0"/>
              <w:left w:val="single" w:color="auto" w:sz="12" w:space="0"/>
              <w:bottom w:val="single" w:color="auto" w:sz="12" w:space="0"/>
              <w:right w:val="single" w:color="auto" w:sz="12" w:space="0"/>
            </w:tcBorders>
            <w:vAlign w:val="center"/>
          </w:tcPr>
          <w:p>
            <w:pPr>
              <w:rPr>
                <w:rFonts w:ascii="宋体" w:hAnsi="宋体" w:eastAsia="宋体" w:cs="Times New Roman"/>
                <w:iCs/>
                <w:sz w:val="18"/>
                <w:szCs w:val="18"/>
              </w:rPr>
            </w:pPr>
            <w:r>
              <w:rPr>
                <w:rFonts w:ascii="宋体" w:hAnsi="宋体" w:eastAsia="宋体" w:cs="Times New Roman"/>
                <w:iCs/>
                <w:sz w:val="18"/>
                <w:szCs w:val="18"/>
              </w:rPr>
              <w:t>注：</w:t>
            </w:r>
            <m:oMath>
              <m:r>
                <m:rPr>
                  <m:sty m:val="p"/>
                </m:rPr>
                <w:rPr>
                  <w:rFonts w:ascii="Cambria Math" w:hAnsi="Cambria Math" w:eastAsia="宋体" w:cs="Times New Roman"/>
                  <w:sz w:val="18"/>
                  <w:szCs w:val="18"/>
                </w:rPr>
                <m:t>SP</m:t>
              </m:r>
              <m:sSubSup>
                <m:sSubSupPr>
                  <m:ctrlPr>
                    <w:rPr>
                      <w:rFonts w:ascii="Cambria Math" w:hAnsi="Cambria Math" w:eastAsia="宋体" w:cs="Times New Roman"/>
                      <w:iCs/>
                      <w:sz w:val="18"/>
                      <w:szCs w:val="18"/>
                    </w:rPr>
                  </m:ctrlPr>
                </m:sSubSupPr>
                <m:e>
                  <m:r>
                    <m:rPr>
                      <m:sty m:val="p"/>
                    </m:rPr>
                    <w:rPr>
                      <w:rFonts w:ascii="Cambria Math" w:hAnsi="Cambria Math" w:eastAsia="宋体" w:cs="Times New Roman"/>
                      <w:sz w:val="18"/>
                      <w:szCs w:val="18"/>
                    </w:rPr>
                    <m:t>L</m:t>
                  </m:r>
                  <m:ctrlPr>
                    <w:rPr>
                      <w:rFonts w:ascii="Cambria Math" w:hAnsi="Cambria Math" w:eastAsia="宋体" w:cs="Times New Roman"/>
                      <w:iCs/>
                      <w:sz w:val="18"/>
                      <w:szCs w:val="18"/>
                    </w:rPr>
                  </m:ctrlPr>
                </m:e>
                <m:sub>
                  <m:r>
                    <m:rPr>
                      <m:sty m:val="p"/>
                    </m:rPr>
                    <w:rPr>
                      <w:rFonts w:ascii="Cambria Math" w:hAnsi="Cambria Math" w:eastAsia="宋体" w:cs="Times New Roman"/>
                      <w:sz w:val="18"/>
                      <w:szCs w:val="18"/>
                    </w:rPr>
                    <m:t>i</m:t>
                  </m:r>
                  <m:ctrlPr>
                    <w:rPr>
                      <w:rFonts w:ascii="Cambria Math" w:hAnsi="Cambria Math" w:eastAsia="宋体" w:cs="Times New Roman"/>
                      <w:iCs/>
                      <w:sz w:val="18"/>
                      <w:szCs w:val="18"/>
                    </w:rPr>
                  </m:ctrlPr>
                </m:sub>
                <m:sup>
                  <m:r>
                    <m:rPr>
                      <m:sty m:val="p"/>
                    </m:rPr>
                    <w:rPr>
                      <w:rFonts w:ascii="Cambria Math" w:hAnsi="Cambria Math" w:eastAsia="宋体" w:cs="Times New Roman"/>
                      <w:sz w:val="18"/>
                      <w:szCs w:val="18"/>
                    </w:rPr>
                    <m:t>∗</m:t>
                  </m:r>
                  <m:ctrlPr>
                    <w:rPr>
                      <w:rFonts w:ascii="Cambria Math" w:hAnsi="Cambria Math" w:eastAsia="宋体" w:cs="Times New Roman"/>
                      <w:iCs/>
                      <w:sz w:val="18"/>
                      <w:szCs w:val="18"/>
                    </w:rPr>
                  </m:ctrlPr>
                </m:sup>
              </m:sSubSup>
            </m:oMath>
            <w:r>
              <w:rPr>
                <w:rFonts w:ascii="宋体" w:hAnsi="宋体" w:eastAsia="宋体" w:cs="Times New Roman"/>
                <w:iCs/>
                <w:sz w:val="18"/>
                <w:szCs w:val="18"/>
              </w:rPr>
              <w:t>表示修正后的声压级结果</w:t>
            </w:r>
          </w:p>
        </w:tc>
      </w:tr>
    </w:tbl>
    <w:p>
      <w:pPr>
        <w:pStyle w:val="67"/>
        <w:ind w:firstLine="0" w:firstLineChars="0"/>
      </w:pPr>
    </w:p>
    <w:p>
      <w:pPr>
        <w:ind w:firstLine="420" w:firstLineChars="200"/>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）计算重复测试的结果的算术平均值，得到测量的A计权声压级大小SPL</w:t>
      </w:r>
      <w:r>
        <w:rPr>
          <w:rFonts w:ascii="Times New Roman" w:hAnsi="Times New Roman" w:cs="Times New Roman"/>
          <w:szCs w:val="21"/>
          <w:vertAlign w:val="subscript"/>
        </w:rPr>
        <w:t>m</w:t>
      </w:r>
      <w:r>
        <w:rPr>
          <w:rFonts w:ascii="Times New Roman" w:hAnsi="Times New Roman" w:cs="Times New Roman"/>
          <w:szCs w:val="21"/>
        </w:rPr>
        <w:t>，即公式</w:t>
      </w:r>
      <w:r>
        <w:rPr>
          <w:rFonts w:hint="eastAsia" w:asciiTheme="minorEastAsia" w:hAnsiTheme="minorEastAsia" w:eastAsiaTheme="minorEastAsia" w:cstheme="minorEastAsia"/>
          <w:szCs w:val="21"/>
        </w:rPr>
        <w:t>（A.3）</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42"/>
        <w:gridCol w:w="3163"/>
        <w:gridCol w:w="32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40" w:type="dxa"/>
            <w:vAlign w:val="center"/>
          </w:tcPr>
          <w:p>
            <w:pPr>
              <w:rPr>
                <w:rFonts w:ascii="Times New Roman" w:hAnsi="Times New Roman" w:cs="Times New Roman"/>
                <w:szCs w:val="21"/>
              </w:rPr>
            </w:pPr>
          </w:p>
        </w:tc>
        <w:tc>
          <w:tcPr>
            <w:tcW w:w="3340" w:type="dxa"/>
            <w:vAlign w:val="center"/>
          </w:tcPr>
          <w:p>
            <w:pPr>
              <w:ind w:right="78" w:rightChars="37"/>
              <w:jc w:val="center"/>
              <w:rPr>
                <w:rFonts w:ascii="Times New Roman" w:hAnsi="Times New Roman" w:cs="Times New Roman"/>
                <w:szCs w:val="21"/>
              </w:rPr>
            </w:pPr>
            <m:oMathPara>
              <m:oMath>
                <m:r>
                  <m:rPr>
                    <m:nor/>
                    <m:sty m:val="p"/>
                  </m:rPr>
                  <w:rPr>
                    <w:rFonts w:ascii="Times New Roman" w:hAnsi="Times New Roman" w:cs="Times New Roman"/>
                    <w:b w:val="0"/>
                    <w:i w:val="0"/>
                    <w:szCs w:val="21"/>
                  </w:rPr>
                  <m:t>SP</m:t>
                </m:r>
                <m:sSub>
                  <m:sSubPr>
                    <m:ctrlPr>
                      <w:rPr>
                        <w:rFonts w:ascii="Cambria Math" w:hAnsi="Cambria Math" w:cs="Times New Roman"/>
                        <w:szCs w:val="21"/>
                      </w:rPr>
                    </m:ctrlPr>
                  </m:sSubPr>
                  <m:e>
                    <m:r>
                      <m:rPr>
                        <m:nor/>
                        <m:sty m:val="p"/>
                      </m:rPr>
                      <w:rPr>
                        <w:rFonts w:ascii="Times New Roman" w:hAnsi="Times New Roman" w:cs="Times New Roman"/>
                        <w:b w:val="0"/>
                        <w:i w:val="0"/>
                        <w:szCs w:val="21"/>
                      </w:rPr>
                      <m:t>L</m:t>
                    </m:r>
                    <m:ctrlPr>
                      <w:rPr>
                        <w:rFonts w:ascii="Cambria Math" w:hAnsi="Cambria Math" w:cs="Times New Roman"/>
                        <w:szCs w:val="21"/>
                      </w:rPr>
                    </m:ctrlPr>
                  </m:e>
                  <m:sub>
                    <m:r>
                      <m:rPr/>
                      <w:rPr>
                        <w:rFonts w:ascii="Cambria Math" w:hAnsi="Cambria Math" w:cs="Times New Roman"/>
                        <w:szCs w:val="21"/>
                      </w:rPr>
                      <m:t>m</m:t>
                    </m:r>
                    <m:ctrlPr>
                      <w:rPr>
                        <w:rFonts w:ascii="Cambria Math" w:hAnsi="Cambria Math" w:cs="Times New Roman"/>
                        <w:i/>
                        <w:szCs w:val="21"/>
                      </w:rPr>
                    </m:ctrlPr>
                  </m:sub>
                </m:sSub>
                <m:r>
                  <m:rPr/>
                  <w:rPr>
                    <w:rFonts w:ascii="Cambria Math" w:hAnsi="Cambria Math" w:cs="Times New Roman"/>
                    <w:szCs w:val="21"/>
                  </w:rPr>
                  <m:t>=</m:t>
                </m:r>
                <m:f>
                  <m:fPr>
                    <m:ctrlPr>
                      <w:rPr>
                        <w:rFonts w:ascii="Cambria Math" w:hAnsi="Cambria Math" w:cs="Times New Roman"/>
                        <w:i/>
                        <w:szCs w:val="21"/>
                      </w:rPr>
                    </m:ctrlPr>
                  </m:fPr>
                  <m:num>
                    <m:r>
                      <m:rPr/>
                      <w:rPr>
                        <w:rFonts w:ascii="Cambria Math" w:hAnsi="Cambria Math" w:cs="Times New Roman"/>
                        <w:szCs w:val="21"/>
                      </w:rPr>
                      <m:t>1</m:t>
                    </m:r>
                    <m:ctrlPr>
                      <w:rPr>
                        <w:rFonts w:ascii="Cambria Math" w:hAnsi="Cambria Math" w:cs="Times New Roman"/>
                        <w:i/>
                        <w:szCs w:val="21"/>
                      </w:rPr>
                    </m:ctrlPr>
                  </m:num>
                  <m:den>
                    <m:r>
                      <m:rPr/>
                      <w:rPr>
                        <w:rFonts w:ascii="Cambria Math" w:hAnsi="Cambria Math" w:cs="Times New Roman"/>
                        <w:szCs w:val="21"/>
                      </w:rPr>
                      <m:t>N</m:t>
                    </m:r>
                    <m:ctrlPr>
                      <w:rPr>
                        <w:rFonts w:ascii="Cambria Math" w:hAnsi="Cambria Math" w:cs="Times New Roman"/>
                        <w:i/>
                        <w:szCs w:val="21"/>
                      </w:rPr>
                    </m:ctrlPr>
                  </m:den>
                </m:f>
                <m:nary>
                  <m:naryPr>
                    <m:chr m:val="∑"/>
                    <m:ctrlPr>
                      <w:rPr>
                        <w:rFonts w:ascii="Cambria Math" w:hAnsi="Cambria Math" w:cs="Times New Roman"/>
                        <w:i/>
                        <w:szCs w:val="21"/>
                      </w:rPr>
                    </m:ctrlPr>
                  </m:naryPr>
                  <m:sub>
                    <m:r>
                      <m:rPr/>
                      <w:rPr>
                        <w:rFonts w:ascii="Cambria Math" w:hAnsi="Cambria Math" w:cs="Times New Roman"/>
                        <w:szCs w:val="21"/>
                      </w:rPr>
                      <m:t>i=1</m:t>
                    </m:r>
                    <m:ctrlPr>
                      <w:rPr>
                        <w:rFonts w:ascii="Cambria Math" w:hAnsi="Cambria Math" w:cs="Times New Roman"/>
                        <w:i/>
                        <w:szCs w:val="21"/>
                      </w:rPr>
                    </m:ctrlPr>
                  </m:sub>
                  <m:sup>
                    <m:r>
                      <m:rPr/>
                      <w:rPr>
                        <w:rFonts w:ascii="Cambria Math" w:hAnsi="Cambria Math" w:cs="Times New Roman"/>
                        <w:szCs w:val="21"/>
                      </w:rPr>
                      <m:t>N</m:t>
                    </m:r>
                    <m:ctrlPr>
                      <w:rPr>
                        <w:rFonts w:ascii="Cambria Math" w:hAnsi="Cambria Math" w:cs="Times New Roman"/>
                        <w:i/>
                        <w:szCs w:val="21"/>
                      </w:rPr>
                    </m:ctrlPr>
                  </m:sup>
                  <m:e>
                    <m:r>
                      <m:rPr/>
                      <w:rPr>
                        <w:rFonts w:ascii="Cambria Math" w:hAnsi="Cambria Math" w:cs="Times New Roman"/>
                        <w:szCs w:val="21"/>
                      </w:rPr>
                      <m:t>SP</m:t>
                    </m:r>
                    <m:sSup>
                      <m:sSupPr>
                        <m:ctrlPr>
                          <w:rPr>
                            <w:rFonts w:ascii="Cambria Math" w:hAnsi="Cambria Math" w:cs="Times New Roman"/>
                            <w:i/>
                            <w:szCs w:val="21"/>
                          </w:rPr>
                        </m:ctrlPr>
                      </m:sSupPr>
                      <m:e>
                        <m:sSub>
                          <m:sSubPr>
                            <m:ctrlPr>
                              <w:rPr>
                                <w:rFonts w:ascii="Cambria Math" w:hAnsi="Cambria Math" w:cs="Times New Roman"/>
                                <w:i/>
                                <w:szCs w:val="21"/>
                              </w:rPr>
                            </m:ctrlPr>
                          </m:sSubPr>
                          <m:e>
                            <m:r>
                              <m:rPr/>
                              <w:rPr>
                                <w:rFonts w:ascii="Cambria Math" w:hAnsi="Cambria Math" w:cs="Times New Roman"/>
                                <w:szCs w:val="21"/>
                              </w:rPr>
                              <m:t>L</m:t>
                            </m:r>
                            <m:ctrlPr>
                              <w:rPr>
                                <w:rFonts w:ascii="Cambria Math" w:hAnsi="Cambria Math" w:cs="Times New Roman"/>
                                <w:i/>
                                <w:szCs w:val="21"/>
                              </w:rPr>
                            </m:ctrlPr>
                          </m:e>
                          <m:sub>
                            <m:r>
                              <m:rPr/>
                              <w:rPr>
                                <w:rFonts w:ascii="Cambria Math" w:hAnsi="Cambria Math" w:cs="Times New Roman"/>
                                <w:szCs w:val="21"/>
                              </w:rPr>
                              <m:t>i</m:t>
                            </m:r>
                            <m:ctrlPr>
                              <w:rPr>
                                <w:rFonts w:ascii="Cambria Math" w:hAnsi="Cambria Math" w:cs="Times New Roman"/>
                                <w:i/>
                                <w:szCs w:val="21"/>
                              </w:rPr>
                            </m:ctrlPr>
                          </m:sub>
                        </m:sSub>
                        <m:ctrlPr>
                          <w:rPr>
                            <w:rFonts w:ascii="Cambria Math" w:hAnsi="Cambria Math" w:cs="Times New Roman"/>
                            <w:i/>
                            <w:szCs w:val="21"/>
                          </w:rPr>
                        </m:ctrlPr>
                      </m:e>
                      <m:sup>
                        <m:r>
                          <m:rPr/>
                          <w:rPr>
                            <w:rFonts w:ascii="Cambria Math" w:hAnsi="Cambria Math" w:cs="Times New Roman"/>
                            <w:szCs w:val="21"/>
                          </w:rPr>
                          <m:t>∗</m:t>
                        </m:r>
                        <m:ctrlPr>
                          <w:rPr>
                            <w:rFonts w:ascii="Cambria Math" w:hAnsi="Cambria Math" w:cs="Times New Roman"/>
                            <w:i/>
                            <w:szCs w:val="21"/>
                          </w:rPr>
                        </m:ctrlPr>
                      </m:sup>
                    </m:sSup>
                    <m:ctrlPr>
                      <w:rPr>
                        <w:rFonts w:ascii="Cambria Math" w:hAnsi="Cambria Math" w:cs="Times New Roman"/>
                        <w:i/>
                        <w:szCs w:val="21"/>
                      </w:rPr>
                    </m:ctrlPr>
                  </m:e>
                </m:nary>
              </m:oMath>
            </m:oMathPara>
          </w:p>
        </w:tc>
        <w:tc>
          <w:tcPr>
            <w:tcW w:w="3340" w:type="dxa"/>
            <w:vAlign w:val="center"/>
          </w:tcPr>
          <w:p>
            <w:pPr>
              <w:ind w:left="-151" w:leftChars="-73" w:hanging="2"/>
              <w:jc w:val="right"/>
              <w:rPr>
                <w:rFonts w:ascii="Times New Roman" w:hAnsi="Times New Roman" w:cs="Times New Roman"/>
                <w:szCs w:val="21"/>
              </w:rPr>
            </w:pPr>
            <w:bookmarkStart w:id="131" w:name="OLE_LINK28"/>
            <w:r>
              <w:rPr>
                <w:rFonts w:hint="eastAsia" w:ascii="Times New Roman" w:hAnsi="Times New Roman" w:cs="Times New Roman"/>
                <w:szCs w:val="21"/>
              </w:rPr>
              <w:t>…………………………</w:t>
            </w:r>
            <w:r>
              <w:rPr>
                <w:rFonts w:hint="eastAsia" w:asciiTheme="minorEastAsia" w:hAnsiTheme="minorEastAsia" w:eastAsiaTheme="minorEastAsia" w:cstheme="minorEastAsia"/>
                <w:szCs w:val="21"/>
              </w:rPr>
              <w:t>（A.3）</w:t>
            </w:r>
            <w:bookmarkEnd w:id="131"/>
          </w:p>
        </w:tc>
      </w:tr>
    </w:tbl>
    <w:p>
      <w:pPr>
        <w:ind w:left="687" w:leftChars="327"/>
        <w:rPr>
          <w:rFonts w:ascii="Times New Roman" w:hAnsi="Times New Roman" w:cs="Times New Roman"/>
          <w:szCs w:val="21"/>
        </w:rPr>
      </w:pPr>
      <w:r>
        <w:rPr>
          <w:rFonts w:ascii="Times New Roman" w:hAnsi="Times New Roman" w:cs="Times New Roman"/>
          <w:szCs w:val="21"/>
        </w:rPr>
        <w:t>式中：</w:t>
      </w:r>
    </w:p>
    <w:p>
      <w:pPr>
        <w:ind w:left="687" w:leftChars="327"/>
        <w:rPr>
          <w:rFonts w:ascii="Times New Roman" w:hAnsi="Times New Roman" w:cs="Times New Roman"/>
          <w:szCs w:val="21"/>
        </w:rPr>
      </w:pPr>
      <w:r>
        <w:rPr>
          <w:rFonts w:ascii="Times New Roman" w:hAnsi="Times New Roman" w:cs="Times New Roman"/>
          <w:szCs w:val="21"/>
        </w:rPr>
        <w:t>N</w:t>
      </w:r>
      <w:bookmarkStart w:id="132" w:name="OLE_LINK11"/>
      <w:r>
        <w:rPr>
          <w:rFonts w:ascii="Times New Roman" w:hAnsi="Times New Roman" w:cs="Times New Roman"/>
          <w:szCs w:val="21"/>
        </w:rPr>
        <w:t>：</w:t>
      </w:r>
      <w:bookmarkEnd w:id="132"/>
      <w:r>
        <w:rPr>
          <w:rFonts w:ascii="Times New Roman" w:hAnsi="Times New Roman" w:cs="Times New Roman"/>
          <w:szCs w:val="21"/>
        </w:rPr>
        <w:t>重复测量次数；</w:t>
      </w:r>
    </w:p>
    <w:p>
      <w:pPr>
        <w:ind w:left="687" w:leftChars="327"/>
        <w:rPr>
          <w:rFonts w:ascii="Times New Roman" w:hAnsi="Times New Roman" w:cs="Times New Roman"/>
          <w:szCs w:val="21"/>
        </w:rPr>
      </w:pPr>
      <m:oMath>
        <m:r>
          <m:rPr/>
          <w:rPr>
            <w:rFonts w:ascii="Cambria Math" w:hAnsi="Cambria Math" w:cs="Times New Roman"/>
            <w:szCs w:val="21"/>
          </w:rPr>
          <m:t>i</m:t>
        </m:r>
      </m:oMath>
      <w:r>
        <w:rPr>
          <w:rFonts w:ascii="Times New Roman" w:hAnsi="Times New Roman" w:cs="Times New Roman"/>
          <w:szCs w:val="21"/>
        </w:rPr>
        <w:t>：第</w:t>
      </w:r>
      <w:r>
        <w:rPr>
          <w:rFonts w:ascii="Times New Roman" w:hAnsi="Times New Roman" w:cs="Times New Roman"/>
          <w:i/>
          <w:iCs/>
          <w:szCs w:val="21"/>
        </w:rPr>
        <w:t>i</w:t>
      </w:r>
      <w:r>
        <w:rPr>
          <w:rFonts w:ascii="Times New Roman" w:hAnsi="Times New Roman" w:cs="Times New Roman"/>
          <w:szCs w:val="21"/>
        </w:rPr>
        <w:t>次测量结果；</w:t>
      </w:r>
    </w:p>
    <w:p>
      <w:pPr>
        <w:ind w:left="687" w:leftChars="327"/>
        <w:rPr>
          <w:rFonts w:ascii="Times New Roman" w:hAnsi="Times New Roman" w:cs="Times New Roman"/>
          <w:szCs w:val="21"/>
        </w:rPr>
      </w:pPr>
      <m:oMath>
        <m:r>
          <m:rPr/>
          <w:rPr>
            <w:rFonts w:ascii="Cambria Math" w:hAnsi="Cambria Math" w:cs="Times New Roman"/>
            <w:szCs w:val="21"/>
          </w:rPr>
          <m:t>SP</m:t>
        </m:r>
        <m:sSup>
          <m:sSupPr>
            <m:ctrlPr>
              <w:rPr>
                <w:rFonts w:ascii="Cambria Math" w:hAnsi="Cambria Math" w:cs="Times New Roman"/>
                <w:i/>
                <w:szCs w:val="21"/>
              </w:rPr>
            </m:ctrlPr>
          </m:sSupPr>
          <m:e>
            <m:sSub>
              <m:sSubPr>
                <m:ctrlPr>
                  <w:rPr>
                    <w:rFonts w:ascii="Cambria Math" w:hAnsi="Cambria Math" w:cs="Times New Roman"/>
                    <w:i/>
                    <w:szCs w:val="21"/>
                  </w:rPr>
                </m:ctrlPr>
              </m:sSubPr>
              <m:e>
                <m:r>
                  <m:rPr/>
                  <w:rPr>
                    <w:rFonts w:ascii="Cambria Math" w:hAnsi="Cambria Math" w:cs="Times New Roman"/>
                    <w:szCs w:val="21"/>
                  </w:rPr>
                  <m:t>L</m:t>
                </m:r>
                <m:ctrlPr>
                  <w:rPr>
                    <w:rFonts w:ascii="Cambria Math" w:hAnsi="Cambria Math" w:cs="Times New Roman"/>
                    <w:i/>
                    <w:szCs w:val="21"/>
                  </w:rPr>
                </m:ctrlPr>
              </m:e>
              <w:bookmarkStart w:id="133" w:name="_Hlk198624467"/>
              <m:sub>
                <m:r>
                  <m:rPr/>
                  <w:rPr>
                    <w:rFonts w:ascii="Cambria Math" w:hAnsi="Cambria Math" w:cs="Times New Roman"/>
                    <w:szCs w:val="21"/>
                  </w:rPr>
                  <m:t>i</m:t>
                </m:r>
                <w:bookmarkEnd w:id="133"/>
                <m:ctrlPr>
                  <w:rPr>
                    <w:rFonts w:ascii="Cambria Math" w:hAnsi="Cambria Math" w:cs="Times New Roman"/>
                    <w:i/>
                    <w:szCs w:val="21"/>
                  </w:rPr>
                </m:ctrlPr>
              </m:sub>
            </m:sSub>
            <m:ctrlPr>
              <w:rPr>
                <w:rFonts w:ascii="Cambria Math" w:hAnsi="Cambria Math" w:cs="Times New Roman"/>
                <w:i/>
                <w:szCs w:val="21"/>
              </w:rPr>
            </m:ctrlPr>
          </m:e>
          <m:sup>
            <m:r>
              <m:rPr/>
              <w:rPr>
                <w:rFonts w:ascii="Cambria Math" w:hAnsi="Cambria Math" w:cs="Times New Roman"/>
                <w:szCs w:val="21"/>
              </w:rPr>
              <m:t>∗</m:t>
            </m:r>
            <m:ctrlPr>
              <w:rPr>
                <w:rFonts w:ascii="Cambria Math" w:hAnsi="Cambria Math" w:cs="Times New Roman"/>
                <w:i/>
                <w:szCs w:val="21"/>
              </w:rPr>
            </m:ctrlPr>
          </m:sup>
        </m:sSup>
      </m:oMath>
      <w:r>
        <w:rPr>
          <w:rFonts w:ascii="Times New Roman" w:hAnsi="Times New Roman" w:cs="Times New Roman"/>
          <w:szCs w:val="21"/>
        </w:rPr>
        <w:t>：修正后的第i次测量声压级大小；</w:t>
      </w:r>
    </w:p>
    <w:p>
      <w:pPr>
        <w:ind w:left="687" w:leftChars="327"/>
        <w:rPr>
          <w:rFonts w:ascii="Times New Roman" w:hAnsi="Times New Roman" w:cs="Times New Roman"/>
          <w:szCs w:val="21"/>
        </w:rPr>
      </w:pPr>
      <m:oMath>
        <m:r>
          <m:rPr>
            <m:nor/>
            <m:sty m:val="p"/>
          </m:rPr>
          <w:rPr>
            <w:rFonts w:ascii="Times New Roman" w:hAnsi="Times New Roman" w:cs="Times New Roman"/>
            <w:b w:val="0"/>
            <w:i w:val="0"/>
            <w:szCs w:val="21"/>
          </w:rPr>
          <m:t>SP</m:t>
        </m:r>
        <m:sSub>
          <m:sSubPr>
            <m:ctrlPr>
              <w:rPr>
                <w:rFonts w:ascii="Cambria Math" w:hAnsi="Cambria Math" w:cs="Times New Roman"/>
                <w:szCs w:val="21"/>
              </w:rPr>
            </m:ctrlPr>
          </m:sSubPr>
          <m:e>
            <m:r>
              <m:rPr>
                <m:nor/>
                <m:sty m:val="p"/>
              </m:rPr>
              <w:rPr>
                <w:rFonts w:ascii="Times New Roman" w:hAnsi="Times New Roman" w:cs="Times New Roman"/>
                <w:b w:val="0"/>
                <w:i w:val="0"/>
                <w:szCs w:val="21"/>
              </w:rPr>
              <m:t>L</m:t>
            </m:r>
            <m:ctrlPr>
              <w:rPr>
                <w:rFonts w:ascii="Cambria Math" w:hAnsi="Cambria Math" w:cs="Times New Roman"/>
                <w:szCs w:val="21"/>
              </w:rPr>
            </m:ctrlPr>
          </m:e>
          <m:sub>
            <m:r>
              <m:rPr/>
              <w:rPr>
                <w:rFonts w:ascii="Cambria Math" w:hAnsi="Cambria Math" w:cs="Times New Roman"/>
                <w:szCs w:val="21"/>
              </w:rPr>
              <m:t>m</m:t>
            </m:r>
            <m:ctrlPr>
              <w:rPr>
                <w:rFonts w:ascii="Cambria Math" w:hAnsi="Cambria Math" w:cs="Times New Roman"/>
                <w:i/>
                <w:szCs w:val="21"/>
              </w:rPr>
            </m:ctrlPr>
          </m:sub>
        </m:sSub>
      </m:oMath>
      <w:r>
        <w:rPr>
          <w:rFonts w:ascii="Times New Roman" w:hAnsi="Times New Roman" w:cs="Times New Roman"/>
          <w:szCs w:val="21"/>
        </w:rPr>
        <w:t>：测量所得平均后的A计权声压级大小。</w:t>
      </w:r>
    </w:p>
    <w:p>
      <w:pPr>
        <w:ind w:firstLine="420" w:firstLineChars="200"/>
        <w:rPr>
          <w:rFonts w:ascii="Times New Roman" w:hAnsi="Times New Roman" w:cs="Times New Roman"/>
          <w:szCs w:val="21"/>
        </w:rPr>
      </w:pPr>
      <w:r>
        <w:rPr>
          <w:rFonts w:hint="eastAsia" w:ascii="Times New Roman" w:hAnsi="Times New Roman" w:cs="Times New Roman"/>
          <w:szCs w:val="21"/>
        </w:rPr>
        <w:t>6</w:t>
      </w:r>
      <w:r>
        <w:rPr>
          <w:rFonts w:ascii="Times New Roman" w:hAnsi="Times New Roman" w:cs="Times New Roman"/>
          <w:szCs w:val="21"/>
        </w:rPr>
        <w:t>）将测量结果按照公式</w:t>
      </w:r>
      <w:r>
        <w:rPr>
          <w:rFonts w:hint="eastAsia" w:ascii="Times New Roman" w:hAnsi="Times New Roman" w:cs="Times New Roman"/>
          <w:szCs w:val="21"/>
        </w:rPr>
        <w:t>（A</w:t>
      </w:r>
      <w:r>
        <w:rPr>
          <w:rFonts w:ascii="Times New Roman" w:hAnsi="Times New Roman" w:cs="Times New Roman"/>
          <w:szCs w:val="21"/>
        </w:rPr>
        <w:t>.4</w:t>
      </w:r>
      <w:r>
        <w:rPr>
          <w:rFonts w:hint="eastAsia" w:ascii="Times New Roman" w:hAnsi="Times New Roman" w:cs="Times New Roman"/>
          <w:szCs w:val="21"/>
        </w:rPr>
        <w:t>）</w:t>
      </w:r>
      <w:r>
        <w:rPr>
          <w:rFonts w:ascii="Times New Roman" w:hAnsi="Times New Roman" w:cs="Times New Roman"/>
          <w:szCs w:val="21"/>
        </w:rPr>
        <w:t>归一化到距离航空器等效位置为</w:t>
      </w:r>
      <w:r>
        <w:rPr>
          <w:rFonts w:hint="eastAsia" w:ascii="Times New Roman" w:hAnsi="Times New Roman" w:cs="Times New Roman"/>
          <w:szCs w:val="21"/>
        </w:rPr>
        <w:t xml:space="preserve"> </w:t>
      </w:r>
      <w:r>
        <w:rPr>
          <w:rFonts w:ascii="Times New Roman" w:hAnsi="Times New Roman" w:cs="Times New Roman"/>
          <w:szCs w:val="21"/>
        </w:rPr>
        <w:t>1 m 的观测点上。</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22"/>
        <w:gridCol w:w="3179"/>
        <w:gridCol w:w="32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340" w:type="dxa"/>
            <w:vAlign w:val="center"/>
          </w:tcPr>
          <w:p>
            <w:pPr>
              <w:rPr>
                <w:rFonts w:ascii="Times New Roman" w:hAnsi="Times New Roman" w:cs="Times New Roman"/>
                <w:szCs w:val="21"/>
              </w:rPr>
            </w:pPr>
          </w:p>
        </w:tc>
        <w:tc>
          <w:tcPr>
            <w:tcW w:w="3340" w:type="dxa"/>
            <w:vAlign w:val="center"/>
          </w:tcPr>
          <w:p>
            <w:pPr>
              <w:jc w:val="center"/>
              <w:rPr>
                <w:rFonts w:ascii="Times New Roman" w:hAnsi="Times New Roman" w:cs="Times New Roman"/>
                <w:szCs w:val="21"/>
              </w:rPr>
            </w:pPr>
            <m:oMathPara>
              <m:oMath>
                <m:r>
                  <m:rPr>
                    <m:nor/>
                    <m:sty m:val="p"/>
                  </m:rPr>
                  <w:rPr>
                    <w:rFonts w:ascii="Times New Roman" w:hAnsi="Times New Roman" w:cs="Times New Roman"/>
                    <w:b w:val="0"/>
                    <w:i w:val="0"/>
                    <w:szCs w:val="21"/>
                  </w:rPr>
                  <m:t>SPL=</m:t>
                </m:r>
                <m:r>
                  <m:rPr/>
                  <w:rPr>
                    <w:rFonts w:ascii="Cambria Math" w:hAnsi="Cambria Math" w:cs="Times New Roman"/>
                    <w:szCs w:val="21"/>
                  </w:rPr>
                  <m:t>SP</m:t>
                </m:r>
                <m:sSub>
                  <m:sSubPr>
                    <m:ctrlPr>
                      <w:rPr>
                        <w:rFonts w:ascii="Cambria Math" w:hAnsi="Cambria Math" w:cs="Times New Roman"/>
                        <w:szCs w:val="21"/>
                      </w:rPr>
                    </m:ctrlPr>
                  </m:sSubPr>
                  <m:e>
                    <m:r>
                      <m:rPr/>
                      <w:rPr>
                        <w:rFonts w:ascii="Cambria Math" w:hAnsi="Cambria Math" w:cs="Times New Roman"/>
                        <w:szCs w:val="21"/>
                      </w:rPr>
                      <m:t>L</m:t>
                    </m:r>
                    <m:ctrlPr>
                      <w:rPr>
                        <w:rFonts w:ascii="Cambria Math" w:hAnsi="Cambria Math" w:cs="Times New Roman"/>
                        <w:szCs w:val="21"/>
                      </w:rPr>
                    </m:ctrlPr>
                  </m:e>
                  <m:sub>
                    <m:r>
                      <m:rPr/>
                      <w:rPr>
                        <w:rFonts w:ascii="Cambria Math" w:hAnsi="Cambria Math" w:cs="Times New Roman"/>
                        <w:szCs w:val="21"/>
                      </w:rPr>
                      <m:t>m</m:t>
                    </m:r>
                    <m:ctrlPr>
                      <w:rPr>
                        <w:rFonts w:ascii="Cambria Math" w:hAnsi="Cambria Math" w:cs="Times New Roman"/>
                        <w:i/>
                        <w:szCs w:val="21"/>
                      </w:rPr>
                    </m:ctrlPr>
                  </m:sub>
                </m:sSub>
                <m:r>
                  <m:rPr/>
                  <w:rPr>
                    <w:rFonts w:ascii="Cambria Math" w:hAnsi="Cambria Math" w:cs="Times New Roman"/>
                    <w:szCs w:val="21"/>
                  </w:rPr>
                  <m:t>+20</m:t>
                </m:r>
                <m:func>
                  <m:funcPr>
                    <m:ctrlPr>
                      <w:rPr>
                        <w:rFonts w:ascii="Cambria Math" w:hAnsi="Cambria Math" w:cs="Times New Roman"/>
                        <w:i/>
                        <w:szCs w:val="21"/>
                      </w:rPr>
                    </m:ctrlPr>
                  </m:funcPr>
                  <m:fName>
                    <m:r>
                      <m:rPr/>
                      <w:rPr>
                        <w:rFonts w:ascii="Cambria Math" w:hAnsi="Cambria Math" w:cs="Times New Roman"/>
                        <w:szCs w:val="21"/>
                      </w:rPr>
                      <m:t>lg</m:t>
                    </m:r>
                    <m:ctrlPr>
                      <w:rPr>
                        <w:rFonts w:ascii="Cambria Math" w:hAnsi="Cambria Math" w:cs="Times New Roman"/>
                        <w:i/>
                        <w:szCs w:val="21"/>
                      </w:rPr>
                    </m:ctrlPr>
                  </m:fName>
                  <m:e>
                    <m:r>
                      <m:rPr/>
                      <w:rPr>
                        <w:rFonts w:ascii="Cambria Math" w:hAnsi="Cambria Math" w:cs="Times New Roman"/>
                        <w:szCs w:val="21"/>
                      </w:rPr>
                      <m:t>L</m:t>
                    </m:r>
                    <m:ctrlPr>
                      <w:rPr>
                        <w:rFonts w:ascii="Cambria Math" w:hAnsi="Cambria Math" w:cs="Times New Roman"/>
                        <w:i/>
                        <w:szCs w:val="21"/>
                      </w:rPr>
                    </m:ctrlPr>
                  </m:e>
                </m:func>
              </m:oMath>
            </m:oMathPara>
          </w:p>
        </w:tc>
        <w:tc>
          <w:tcPr>
            <w:tcW w:w="3340" w:type="dxa"/>
            <w:vAlign w:val="center"/>
          </w:tcPr>
          <w:p>
            <w:pPr>
              <w:jc w:val="right"/>
              <w:rPr>
                <w:rFonts w:ascii="Times New Roman" w:hAnsi="Times New Roman" w:cs="Times New Roman"/>
                <w:szCs w:val="21"/>
              </w:rPr>
            </w:pPr>
            <w:r>
              <w:rPr>
                <w:rFonts w:hint="eastAsia" w:ascii="Times New Roman" w:hAnsi="Times New Roman" w:cs="Times New Roman"/>
                <w:szCs w:val="21"/>
              </w:rPr>
              <w:t>…………………………</w:t>
            </w:r>
            <w:r>
              <w:rPr>
                <w:rFonts w:hint="eastAsia" w:asciiTheme="minorEastAsia" w:hAnsiTheme="minorEastAsia" w:eastAsiaTheme="minorEastAsia" w:cstheme="minorEastAsia"/>
                <w:szCs w:val="21"/>
              </w:rPr>
              <w:t>（A.4）</w:t>
            </w:r>
          </w:p>
        </w:tc>
      </w:tr>
    </w:tbl>
    <w:p>
      <w:pPr>
        <w:ind w:left="687" w:leftChars="327"/>
        <w:rPr>
          <w:rFonts w:ascii="Times New Roman" w:hAnsi="Times New Roman" w:cs="Times New Roman"/>
          <w:szCs w:val="21"/>
        </w:rPr>
      </w:pPr>
      <w:r>
        <w:rPr>
          <w:rFonts w:ascii="Times New Roman" w:hAnsi="Times New Roman" w:cs="Times New Roman"/>
          <w:szCs w:val="21"/>
        </w:rPr>
        <w:t>式中：</w:t>
      </w:r>
    </w:p>
    <w:p>
      <w:pPr>
        <w:ind w:left="687" w:leftChars="327"/>
        <w:rPr>
          <w:rFonts w:ascii="Times New Roman" w:hAnsi="Times New Roman" w:cs="Times New Roman"/>
          <w:szCs w:val="21"/>
        </w:rPr>
      </w:pPr>
      <w:r>
        <w:rPr>
          <w:rFonts w:ascii="Times New Roman" w:hAnsi="Times New Roman" w:cs="Times New Roman"/>
          <w:szCs w:val="21"/>
        </w:rPr>
        <w:t>L：无人驾驶航空器到传声器的距离，单位为</w:t>
      </w:r>
      <w:r>
        <w:rPr>
          <w:rFonts w:hint="eastAsia" w:ascii="Times New Roman" w:hAnsi="Times New Roman" w:cs="Times New Roman"/>
          <w:szCs w:val="21"/>
        </w:rPr>
        <w:t xml:space="preserve"> </w:t>
      </w:r>
      <w:r>
        <w:rPr>
          <w:rFonts w:ascii="Times New Roman" w:hAnsi="Times New Roman" w:cs="Times New Roman"/>
          <w:szCs w:val="21"/>
        </w:rPr>
        <w:t>米</w:t>
      </w:r>
      <w:r>
        <w:rPr>
          <w:rFonts w:hint="eastAsia" w:ascii="Times New Roman" w:hAnsi="Times New Roman" w:cs="Times New Roman"/>
          <w:szCs w:val="21"/>
        </w:rPr>
        <w:t>（m）。</w:t>
      </w:r>
    </w:p>
    <w:p>
      <w:pPr>
        <w:ind w:firstLine="420" w:firstLineChars="200"/>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）将归一化的A计权声压级标记到无人驾驶航空器铭牌或者说明书。</w:t>
      </w:r>
    </w:p>
    <w:p>
      <w:pPr>
        <w:pStyle w:val="73"/>
        <w:numPr>
          <w:ilvl w:val="1"/>
          <w:numId w:val="0"/>
        </w:numPr>
        <w:spacing w:before="156" w:after="156"/>
      </w:pPr>
      <w:bookmarkStart w:id="134" w:name="_Toc198639163"/>
      <w:bookmarkStart w:id="135" w:name="_Toc30874"/>
      <w:r>
        <w:rPr>
          <w:rFonts w:hint="eastAsia"/>
        </w:rPr>
        <w:t xml:space="preserve">A.2.2 </w:t>
      </w:r>
      <w:r>
        <w:rPr>
          <w:rFonts w:hint="eastAsia"/>
          <w:lang w:val="en-US" w:eastAsia="zh-CN"/>
        </w:rPr>
        <w:t xml:space="preserve"> </w:t>
      </w:r>
      <w:r>
        <w:t>飞行状态下</w:t>
      </w:r>
      <w:bookmarkEnd w:id="134"/>
      <w:bookmarkEnd w:id="135"/>
    </w:p>
    <w:p>
      <w:pPr>
        <w:pStyle w:val="67"/>
        <w:ind w:firstLine="420"/>
        <w:rPr>
          <w:rFonts w:hint="eastAsia"/>
        </w:rPr>
      </w:pPr>
      <w:r>
        <w:rPr>
          <w:rFonts w:hint="eastAsia"/>
        </w:rPr>
        <w:t>低空飞行器在飞行状态下，其噪声实验按以下步骤进行：</w:t>
      </w:r>
    </w:p>
    <w:p>
      <w:pPr>
        <w:ind w:firstLine="420" w:firstLineChars="200"/>
        <w:rPr>
          <w:rFonts w:ascii="宋体" w:hAnsi="宋体" w:eastAsia="宋体" w:cs="Times New Roman"/>
          <w:szCs w:val="21"/>
        </w:rPr>
      </w:pPr>
      <w:r>
        <w:rPr>
          <w:rFonts w:ascii="宋体" w:hAnsi="宋体" w:eastAsia="宋体" w:cs="Times New Roman"/>
          <w:szCs w:val="21"/>
        </w:rPr>
        <w:t>1</w:t>
      </w:r>
      <w:r>
        <w:rPr>
          <w:rFonts w:hint="eastAsia" w:ascii="宋体" w:hAnsi="宋体" w:eastAsia="宋体" w:cs="Times New Roman"/>
          <w:szCs w:val="21"/>
        </w:rPr>
        <w:t>）</w:t>
      </w:r>
      <w:r>
        <w:rPr>
          <w:rFonts w:ascii="宋体" w:hAnsi="宋体" w:eastAsia="宋体" w:cs="Times New Roman"/>
          <w:szCs w:val="21"/>
        </w:rPr>
        <w:t>飞行状态中保证无人驾驶航空器在达到图1中点A前后距离不小于</w:t>
      </w:r>
      <w:r>
        <w:rPr>
          <w:rFonts w:hint="eastAsia" w:ascii="宋体" w:hAnsi="宋体" w:eastAsia="宋体" w:cs="Times New Roman"/>
          <w:szCs w:val="21"/>
        </w:rPr>
        <w:t xml:space="preserve"> </w:t>
      </w:r>
      <w:r>
        <w:rPr>
          <w:rFonts w:ascii="宋体" w:hAnsi="宋体" w:eastAsia="宋体" w:cs="Times New Roman"/>
          <w:szCs w:val="21"/>
        </w:rPr>
        <w:t>2 L ；飞行过程中速度保持不变，且速度大小标记到无人驾驶航空器铭牌或者说明书。</w:t>
      </w:r>
    </w:p>
    <w:p>
      <w:pPr>
        <w:ind w:firstLine="420" w:firstLineChars="200"/>
        <w:rPr>
          <w:rFonts w:ascii="宋体" w:hAnsi="宋体" w:eastAsia="宋体" w:cs="Times New Roman"/>
          <w:szCs w:val="21"/>
        </w:rPr>
      </w:pPr>
      <w:r>
        <w:rPr>
          <w:rFonts w:ascii="宋体" w:hAnsi="宋体" w:eastAsia="宋体" w:cs="Times New Roman"/>
          <w:szCs w:val="21"/>
        </w:rPr>
        <w:t>2</w:t>
      </w:r>
      <w:r>
        <w:rPr>
          <w:rFonts w:hint="eastAsia" w:ascii="宋体" w:hAnsi="宋体" w:eastAsia="宋体" w:cs="Times New Roman"/>
          <w:szCs w:val="21"/>
        </w:rPr>
        <w:t>）</w:t>
      </w:r>
      <w:r>
        <w:rPr>
          <w:rFonts w:ascii="宋体" w:hAnsi="宋体" w:eastAsia="宋体" w:cs="Times New Roman"/>
          <w:szCs w:val="21"/>
        </w:rPr>
        <w:t>在无人驾驶航空器开始飞行状态时进行测量。</w:t>
      </w:r>
    </w:p>
    <w:p>
      <w:pPr>
        <w:ind w:firstLine="420" w:firstLineChars="200"/>
        <w:rPr>
          <w:rFonts w:ascii="宋体" w:hAnsi="宋体" w:eastAsia="宋体" w:cs="Times New Roman"/>
          <w:szCs w:val="21"/>
        </w:rPr>
      </w:pPr>
      <w:r>
        <w:rPr>
          <w:rFonts w:hint="eastAsia" w:ascii="宋体" w:hAnsi="宋体" w:eastAsia="宋体" w:cs="Times New Roman"/>
          <w:szCs w:val="21"/>
        </w:rPr>
        <w:t>3）对测试数据进行初步分析，采用</w:t>
      </w:r>
      <w:r>
        <w:rPr>
          <w:rFonts w:ascii="宋体" w:hAnsi="宋体" w:eastAsia="宋体" w:cs="Segoe UI"/>
          <w:szCs w:val="21"/>
          <w:shd w:val="clear" w:color="auto" w:fill="FFFFFF"/>
        </w:rPr>
        <w:t>噪声测试中的异常数据剔除</w:t>
      </w:r>
      <w:r>
        <w:rPr>
          <w:rFonts w:hint="eastAsia" w:ascii="宋体" w:hAnsi="宋体" w:eastAsia="宋体" w:cs="Segoe UI"/>
          <w:szCs w:val="21"/>
          <w:shd w:val="clear" w:color="auto" w:fill="FFFFFF"/>
        </w:rPr>
        <w:t>方法进行数据预处理</w:t>
      </w:r>
    </w:p>
    <w:p>
      <w:pPr>
        <w:ind w:firstLine="420" w:firstLineChars="200"/>
        <w:rPr>
          <w:rFonts w:ascii="宋体" w:hAnsi="宋体" w:eastAsia="宋体" w:cs="Times New Roman"/>
          <w:szCs w:val="21"/>
        </w:rPr>
      </w:pPr>
      <w:r>
        <w:rPr>
          <w:rFonts w:hint="eastAsia" w:ascii="宋体" w:hAnsi="宋体" w:eastAsia="宋体" w:cs="Times New Roman"/>
          <w:szCs w:val="21"/>
        </w:rPr>
        <w:t>4）</w:t>
      </w:r>
      <w:r>
        <w:rPr>
          <w:rFonts w:ascii="宋体" w:hAnsi="宋体" w:eastAsia="宋体" w:cs="Times New Roman"/>
          <w:szCs w:val="21"/>
        </w:rPr>
        <w:t>重复至少 10次</w:t>
      </w:r>
      <w:r>
        <w:rPr>
          <w:rFonts w:hint="eastAsia" w:ascii="宋体" w:hAnsi="宋体" w:eastAsia="宋体" w:cs="Times New Roman"/>
          <w:szCs w:val="21"/>
        </w:rPr>
        <w:t xml:space="preserve"> </w:t>
      </w:r>
      <w:r>
        <w:rPr>
          <w:rFonts w:ascii="宋体" w:hAnsi="宋体" w:eastAsia="宋体" w:cs="Times New Roman"/>
          <w:szCs w:val="21"/>
        </w:rPr>
        <w:t>。</w:t>
      </w:r>
    </w:p>
    <w:p>
      <w:pPr>
        <w:ind w:firstLine="420" w:firstLineChars="200"/>
        <w:rPr>
          <w:rFonts w:ascii="宋体" w:hAnsi="宋体" w:eastAsia="宋体" w:cs="Times New Roman"/>
          <w:szCs w:val="21"/>
        </w:rPr>
      </w:pPr>
      <w:r>
        <w:rPr>
          <w:rFonts w:hint="eastAsia" w:ascii="宋体" w:hAnsi="宋体" w:eastAsia="宋体" w:cs="Times New Roman"/>
          <w:szCs w:val="21"/>
        </w:rPr>
        <w:t>5</w:t>
      </w:r>
      <w:r>
        <w:rPr>
          <w:rFonts w:ascii="宋体" w:hAnsi="宋体" w:eastAsia="宋体" w:cs="Times New Roman"/>
          <w:szCs w:val="21"/>
        </w:rPr>
        <w:t>）对于每一次测量,选取两个时间点</w:t>
      </w:r>
      <w:r>
        <w:rPr>
          <w:rFonts w:hint="eastAsia" w:ascii="宋体" w:hAnsi="宋体" w:eastAsia="宋体" w:cs="Times New Roman"/>
          <w:szCs w:val="21"/>
        </w:rPr>
        <w:t xml:space="preserve"> </w:t>
      </w:r>
      <w:r>
        <w:rPr>
          <w:rFonts w:ascii="宋体" w:hAnsi="宋体" w:eastAsia="宋体" w:cs="Times New Roman"/>
          <w:szCs w:val="21"/>
        </w:rPr>
        <w:t>t</w:t>
      </w:r>
      <w:r>
        <w:rPr>
          <w:rFonts w:ascii="宋体" w:hAnsi="宋体" w:eastAsia="宋体" w:cs="Times New Roman"/>
          <w:szCs w:val="21"/>
          <w:vertAlign w:val="subscript"/>
        </w:rPr>
        <w:t xml:space="preserve">1 </w:t>
      </w:r>
      <w:r>
        <w:rPr>
          <w:rFonts w:ascii="宋体" w:hAnsi="宋体" w:eastAsia="宋体" w:cs="Times New Roman"/>
          <w:szCs w:val="21"/>
        </w:rPr>
        <w:t>和</w:t>
      </w:r>
      <w:r>
        <w:rPr>
          <w:rFonts w:hint="eastAsia" w:ascii="宋体" w:hAnsi="宋体" w:eastAsia="宋体" w:cs="Times New Roman"/>
          <w:szCs w:val="21"/>
        </w:rPr>
        <w:t xml:space="preserve"> </w:t>
      </w:r>
      <w:r>
        <w:rPr>
          <w:rFonts w:ascii="宋体" w:hAnsi="宋体" w:eastAsia="宋体" w:cs="Times New Roman"/>
          <w:szCs w:val="21"/>
        </w:rPr>
        <w:t>t</w:t>
      </w:r>
      <w:r>
        <w:rPr>
          <w:rFonts w:ascii="宋体" w:hAnsi="宋体" w:eastAsia="宋体" w:cs="Times New Roman"/>
          <w:szCs w:val="21"/>
          <w:vertAlign w:val="subscript"/>
        </w:rPr>
        <w:t xml:space="preserve">2 </w:t>
      </w:r>
      <w:r>
        <w:rPr>
          <w:rFonts w:ascii="宋体" w:hAnsi="宋体" w:eastAsia="宋体" w:cs="Times New Roman"/>
          <w:szCs w:val="21"/>
        </w:rPr>
        <w:t>。在t</w:t>
      </w:r>
      <w:r>
        <w:rPr>
          <w:rFonts w:ascii="宋体" w:hAnsi="宋体" w:eastAsia="宋体" w:cs="Times New Roman"/>
          <w:szCs w:val="21"/>
          <w:vertAlign w:val="subscript"/>
        </w:rPr>
        <w:t>1</w:t>
      </w:r>
      <w:r>
        <w:rPr>
          <w:rFonts w:ascii="宋体" w:hAnsi="宋体" w:eastAsia="宋体" w:cs="Times New Roman"/>
          <w:szCs w:val="21"/>
        </w:rPr>
        <w:t>时刻无人驾驶航空器位于图1中的B点，t</w:t>
      </w:r>
      <w:r>
        <w:rPr>
          <w:rFonts w:ascii="宋体" w:hAnsi="宋体" w:eastAsia="宋体" w:cs="Times New Roman"/>
          <w:szCs w:val="21"/>
          <w:vertAlign w:val="subscript"/>
        </w:rPr>
        <w:t>2</w:t>
      </w:r>
      <w:r>
        <w:rPr>
          <w:rFonts w:ascii="宋体" w:hAnsi="宋体" w:eastAsia="宋体" w:cs="Times New Roman"/>
          <w:szCs w:val="21"/>
        </w:rPr>
        <w:t>时刻无人驾驶航空器位于图1中C点。B和C两点与A点的距离都为</w:t>
      </w:r>
      <w:r>
        <w:rPr>
          <w:rFonts w:hint="eastAsia" w:ascii="宋体" w:hAnsi="宋体" w:eastAsia="宋体" w:cs="Times New Roman"/>
          <w:szCs w:val="21"/>
        </w:rPr>
        <w:t xml:space="preserve"> </w:t>
      </w:r>
      <w:r>
        <w:rPr>
          <w:rFonts w:ascii="宋体" w:hAnsi="宋体" w:eastAsia="宋体" w:cs="Times New Roman"/>
          <w:szCs w:val="21"/>
        </w:rPr>
        <w:t>L。</w:t>
      </w:r>
    </w:p>
    <w:p>
      <w:pPr>
        <w:ind w:firstLine="420" w:firstLineChars="200"/>
        <w:rPr>
          <w:rFonts w:ascii="宋体" w:hAnsi="宋体" w:eastAsia="宋体" w:cs="Times New Roman"/>
          <w:szCs w:val="21"/>
        </w:rPr>
      </w:pPr>
      <w:r>
        <w:rPr>
          <w:rFonts w:hint="eastAsia" w:ascii="宋体" w:hAnsi="宋体" w:eastAsia="宋体" w:cs="Times New Roman"/>
          <w:szCs w:val="21"/>
        </w:rPr>
        <w:t>6）</w:t>
      </w:r>
      <w:r>
        <w:rPr>
          <w:rFonts w:ascii="宋体" w:hAnsi="宋体" w:eastAsia="宋体" w:cs="Times New Roman"/>
          <w:szCs w:val="21"/>
        </w:rPr>
        <w:t>对于每一次测量，利用t</w:t>
      </w:r>
      <w:r>
        <w:rPr>
          <w:rFonts w:hint="eastAsia" w:ascii="宋体" w:hAnsi="宋体" w:eastAsia="宋体"/>
          <w:szCs w:val="21"/>
        </w:rPr>
        <w:t>∈</w:t>
      </w:r>
      <w:r>
        <w:rPr>
          <w:rFonts w:ascii="宋体" w:hAnsi="宋体" w:eastAsia="宋体" w:cs="Times New Roman"/>
          <w:szCs w:val="21"/>
        </w:rPr>
        <w:t>[t</w:t>
      </w:r>
      <w:r>
        <w:rPr>
          <w:rFonts w:ascii="宋体" w:hAnsi="宋体" w:eastAsia="宋体" w:cs="Times New Roman"/>
          <w:szCs w:val="21"/>
          <w:vertAlign w:val="subscript"/>
        </w:rPr>
        <w:t>1</w:t>
      </w:r>
      <w:r>
        <w:rPr>
          <w:rFonts w:ascii="宋体" w:hAnsi="宋体" w:eastAsia="宋体" w:cs="Times New Roman"/>
          <w:szCs w:val="21"/>
        </w:rPr>
        <w:t>,t</w:t>
      </w:r>
      <w:r>
        <w:rPr>
          <w:rFonts w:ascii="宋体" w:hAnsi="宋体" w:eastAsia="宋体" w:cs="Times New Roman"/>
          <w:szCs w:val="21"/>
          <w:vertAlign w:val="subscript"/>
        </w:rPr>
        <w:t>2</w:t>
      </w:r>
      <w:r>
        <w:rPr>
          <w:rFonts w:ascii="宋体" w:hAnsi="宋体" w:eastAsia="宋体" w:cs="Times New Roman"/>
          <w:szCs w:val="21"/>
        </w:rPr>
        <w:t>]时间段内的声压测量结果，计算两个传声器处的A计权声压级大小</w:t>
      </w:r>
      <w:r>
        <w:rPr>
          <w:rFonts w:hint="eastAsia" w:ascii="宋体" w:hAnsi="宋体" w:eastAsia="宋体" w:cs="Times New Roman"/>
          <w:szCs w:val="21"/>
        </w:rPr>
        <w:t>（</w:t>
      </w:r>
      <w:r>
        <w:rPr>
          <w:rFonts w:ascii="宋体" w:hAnsi="宋体" w:eastAsia="宋体" w:cs="Times New Roman"/>
          <w:szCs w:val="21"/>
        </w:rPr>
        <w:t>见公式</w:t>
      </w:r>
      <w:r>
        <w:rPr>
          <w:rFonts w:hint="eastAsia" w:ascii="宋体" w:hAnsi="宋体" w:eastAsia="宋体" w:cs="Times New Roman"/>
          <w:szCs w:val="21"/>
        </w:rPr>
        <w:t>A</w:t>
      </w:r>
      <w:r>
        <w:rPr>
          <w:rFonts w:ascii="宋体" w:hAnsi="宋体" w:eastAsia="宋体" w:cs="Times New Roman"/>
          <w:szCs w:val="21"/>
        </w:rPr>
        <w:t>.</w:t>
      </w:r>
      <w:r>
        <w:rPr>
          <w:rFonts w:hint="eastAsia" w:ascii="宋体" w:hAnsi="宋体" w:eastAsia="宋体" w:cs="Times New Roman"/>
          <w:szCs w:val="21"/>
        </w:rPr>
        <w:t>5）</w:t>
      </w:r>
      <w:r>
        <w:rPr>
          <w:rFonts w:ascii="宋体" w:hAnsi="宋体" w:eastAsia="宋体" w:cs="Times New Roman"/>
          <w:szCs w:val="21"/>
        </w:rPr>
        <w:t>。</w:t>
      </w:r>
    </w:p>
    <w:tbl>
      <w:tblPr>
        <w:tblStyle w:val="2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34"/>
        <w:gridCol w:w="3163"/>
        <w:gridCol w:w="3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40" w:type="dxa"/>
            <w:vAlign w:val="center"/>
          </w:tcPr>
          <w:p>
            <w:pPr>
              <w:spacing w:line="360" w:lineRule="auto"/>
              <w:jc w:val="center"/>
              <w:rPr>
                <w:rFonts w:ascii="Times New Roman" w:hAnsi="Times New Roman" w:cs="Times New Roman"/>
              </w:rPr>
            </w:pPr>
          </w:p>
        </w:tc>
        <w:tc>
          <w:tcPr>
            <w:tcW w:w="3340" w:type="dxa"/>
            <w:vAlign w:val="center"/>
          </w:tcPr>
          <w:p>
            <w:pPr>
              <w:jc w:val="center"/>
              <w:rPr>
                <w:rFonts w:ascii="Times New Roman" w:hAnsi="Times New Roman" w:cs="Times New Roman"/>
                <w:szCs w:val="21"/>
              </w:rPr>
            </w:pPr>
            <m:oMathPara>
              <m:oMath>
                <m:r>
                  <m:rPr>
                    <m:nor/>
                    <m:sty m:val="p"/>
                  </m:rPr>
                  <w:rPr>
                    <w:rFonts w:ascii="Times New Roman" w:hAnsi="Times New Roman" w:cs="Times New Roman"/>
                    <w:b w:val="0"/>
                    <w:i w:val="0"/>
                    <w:szCs w:val="21"/>
                  </w:rPr>
                  <m:t>SP</m:t>
                </m:r>
                <m:sSub>
                  <m:sSubPr>
                    <m:ctrlPr>
                      <w:rPr>
                        <w:rFonts w:ascii="Cambria Math" w:hAnsi="Cambria Math" w:cs="Times New Roman"/>
                        <w:szCs w:val="21"/>
                      </w:rPr>
                    </m:ctrlPr>
                  </m:sSubPr>
                  <m:e>
                    <m:r>
                      <m:rPr>
                        <m:nor/>
                        <m:sty m:val="p"/>
                      </m:rPr>
                      <w:rPr>
                        <w:rFonts w:ascii="Times New Roman" w:hAnsi="Times New Roman" w:cs="Times New Roman"/>
                        <w:b w:val="0"/>
                        <w:i w:val="0"/>
                        <w:szCs w:val="21"/>
                      </w:rPr>
                      <m:t>L</m:t>
                    </m:r>
                    <m:ctrlPr>
                      <w:rPr>
                        <w:rFonts w:ascii="Cambria Math" w:hAnsi="Cambria Math" w:cs="Times New Roman"/>
                        <w:szCs w:val="21"/>
                      </w:rPr>
                    </m:ctrlPr>
                  </m:e>
                  <m:sub>
                    <m:r>
                      <m:rPr/>
                      <w:rPr>
                        <w:rFonts w:ascii="Cambria Math" w:hAnsi="Cambria Math" w:cs="Times New Roman"/>
                        <w:szCs w:val="21"/>
                      </w:rPr>
                      <m:t>i</m:t>
                    </m:r>
                    <m:ctrlPr>
                      <w:rPr>
                        <w:rFonts w:ascii="Cambria Math" w:hAnsi="Cambria Math" w:cs="Times New Roman"/>
                        <w:i/>
                        <w:szCs w:val="21"/>
                      </w:rPr>
                    </m:ctrlPr>
                  </m:sub>
                </m:sSub>
                <m:r>
                  <m:rPr/>
                  <w:rPr>
                    <w:rFonts w:ascii="Cambria Math" w:hAnsi="Cambria Math" w:cs="Times New Roman"/>
                    <w:szCs w:val="21"/>
                  </w:rPr>
                  <m:t>=10</m:t>
                </m:r>
                <m:func>
                  <m:funcPr>
                    <m:ctrlPr>
                      <w:rPr>
                        <w:rFonts w:ascii="Cambria Math" w:hAnsi="Cambria Math" w:cs="Times New Roman"/>
                        <w:i/>
                        <w:szCs w:val="21"/>
                      </w:rPr>
                    </m:ctrlPr>
                  </m:funcPr>
                  <m:fName>
                    <m:r>
                      <m:rPr/>
                      <w:rPr>
                        <w:rFonts w:ascii="Cambria Math" w:hAnsi="Cambria Math" w:cs="Times New Roman"/>
                        <w:szCs w:val="21"/>
                      </w:rPr>
                      <m:t>lg</m:t>
                    </m:r>
                    <m:ctrlPr>
                      <w:rPr>
                        <w:rFonts w:ascii="Cambria Math" w:hAnsi="Cambria Math" w:cs="Times New Roman"/>
                        <w:i/>
                        <w:szCs w:val="21"/>
                      </w:rPr>
                    </m:ctrlPr>
                  </m:fName>
                  <m:e>
                    <m:f>
                      <m:fPr>
                        <m:ctrlPr>
                          <w:rPr>
                            <w:rFonts w:ascii="Cambria Math" w:hAnsi="Cambria Math" w:cs="Times New Roman"/>
                            <w:i/>
                            <w:szCs w:val="21"/>
                          </w:rPr>
                        </m:ctrlPr>
                      </m:fPr>
                      <m:num>
                        <m:r>
                          <m:rPr/>
                          <w:rPr>
                            <w:rFonts w:ascii="Cambria Math" w:hAnsi="Cambria Math" w:cs="Times New Roman"/>
                            <w:szCs w:val="21"/>
                          </w:rPr>
                          <m:t>1</m:t>
                        </m:r>
                        <m:ctrlPr>
                          <w:rPr>
                            <w:rFonts w:ascii="Cambria Math" w:hAnsi="Cambria Math" w:cs="Times New Roman"/>
                            <w:i/>
                            <w:szCs w:val="21"/>
                          </w:rPr>
                        </m:ctrlPr>
                      </m:num>
                      <m:den>
                        <m:r>
                          <m:rPr/>
                          <w:rPr>
                            <w:rFonts w:ascii="Cambria Math" w:hAnsi="Cambria Math" w:cs="Times New Roman"/>
                            <w:szCs w:val="21"/>
                          </w:rPr>
                          <m:t>△t</m:t>
                        </m:r>
                        <m:ctrlPr>
                          <w:rPr>
                            <w:rFonts w:ascii="Cambria Math" w:hAnsi="Cambria Math" w:cs="Times New Roman"/>
                            <w:i/>
                            <w:szCs w:val="21"/>
                          </w:rPr>
                        </m:ctrlPr>
                      </m:den>
                    </m:f>
                    <m:ctrlPr>
                      <w:rPr>
                        <w:rFonts w:ascii="Cambria Math" w:hAnsi="Cambria Math" w:cs="Times New Roman"/>
                        <w:i/>
                        <w:szCs w:val="21"/>
                      </w:rPr>
                    </m:ctrlPr>
                  </m:e>
                </m:func>
                <m:sSup>
                  <m:sSupPr>
                    <m:ctrlPr>
                      <w:rPr>
                        <w:rFonts w:ascii="Cambria Math" w:hAnsi="Cambria Math" w:cs="Times New Roman"/>
                        <w:i/>
                        <w:szCs w:val="21"/>
                      </w:rPr>
                    </m:ctrlPr>
                  </m:sSupPr>
                  <m:e>
                    <m:nary>
                      <m:naryPr>
                        <m:ctrlPr>
                          <w:rPr>
                            <w:rFonts w:ascii="Cambria Math" w:hAnsi="Cambria Math" w:cs="Times New Roman"/>
                            <w:i/>
                            <w:szCs w:val="21"/>
                          </w:rPr>
                        </m:ctrlPr>
                      </m:naryPr>
                      <m:sub>
                        <m:sSub>
                          <m:sSubPr>
                            <m:ctrlPr>
                              <w:rPr>
                                <w:rFonts w:ascii="Cambria Math" w:hAnsi="Cambria Math" w:cs="Times New Roman"/>
                                <w:i/>
                                <w:szCs w:val="21"/>
                              </w:rPr>
                            </m:ctrlPr>
                          </m:sSubPr>
                          <m:e>
                            <m:r>
                              <m:rPr/>
                              <w:rPr>
                                <w:rFonts w:ascii="Cambria Math" w:hAnsi="Cambria Math" w:cs="Times New Roman"/>
                                <w:szCs w:val="21"/>
                              </w:rPr>
                              <m:t>t</m:t>
                            </m:r>
                            <m:ctrlPr>
                              <w:rPr>
                                <w:rFonts w:ascii="Cambria Math" w:hAnsi="Cambria Math" w:cs="Times New Roman"/>
                                <w:i/>
                                <w:szCs w:val="21"/>
                              </w:rPr>
                            </m:ctrlPr>
                          </m:e>
                          <m:sub>
                            <m:r>
                              <m:rPr/>
                              <w:rPr>
                                <w:rFonts w:ascii="Cambria Math" w:hAnsi="Cambria Math" w:cs="Times New Roman"/>
                                <w:szCs w:val="21"/>
                              </w:rPr>
                              <m:t>1</m:t>
                            </m:r>
                            <m:ctrlPr>
                              <w:rPr>
                                <w:rFonts w:ascii="Cambria Math" w:hAnsi="Cambria Math" w:cs="Times New Roman"/>
                                <w:i/>
                                <w:szCs w:val="21"/>
                              </w:rPr>
                            </m:ctrlPr>
                          </m:sub>
                        </m:sSub>
                        <m:ctrlPr>
                          <w:rPr>
                            <w:rFonts w:ascii="Cambria Math" w:hAnsi="Cambria Math" w:cs="Times New Roman"/>
                            <w:i/>
                            <w:szCs w:val="21"/>
                          </w:rPr>
                        </m:ctrlPr>
                      </m:sub>
                      <m:sup>
                        <m:sSub>
                          <m:sSubPr>
                            <m:ctrlPr>
                              <w:rPr>
                                <w:rFonts w:ascii="Cambria Math" w:hAnsi="Cambria Math" w:cs="Times New Roman"/>
                                <w:i/>
                                <w:szCs w:val="21"/>
                              </w:rPr>
                            </m:ctrlPr>
                          </m:sSubPr>
                          <m:e>
                            <m:r>
                              <m:rPr/>
                              <w:rPr>
                                <w:rFonts w:ascii="Cambria Math" w:hAnsi="Cambria Math" w:cs="Times New Roman"/>
                                <w:szCs w:val="21"/>
                              </w:rPr>
                              <m:t>t</m:t>
                            </m:r>
                            <m:ctrlPr>
                              <w:rPr>
                                <w:rFonts w:ascii="Cambria Math" w:hAnsi="Cambria Math" w:cs="Times New Roman"/>
                                <w:i/>
                                <w:szCs w:val="21"/>
                              </w:rPr>
                            </m:ctrlPr>
                          </m:e>
                          <m:sub>
                            <m:r>
                              <m:rPr/>
                              <w:rPr>
                                <w:rFonts w:ascii="Cambria Math" w:hAnsi="Cambria Math" w:cs="Times New Roman"/>
                                <w:szCs w:val="21"/>
                              </w:rPr>
                              <m:t>2</m:t>
                            </m:r>
                            <m:ctrlPr>
                              <w:rPr>
                                <w:rFonts w:ascii="Cambria Math" w:hAnsi="Cambria Math" w:cs="Times New Roman"/>
                                <w:i/>
                                <w:szCs w:val="21"/>
                              </w:rPr>
                            </m:ctrlPr>
                          </m:sub>
                        </m:sSub>
                        <m:ctrlPr>
                          <w:rPr>
                            <w:rFonts w:ascii="Cambria Math" w:hAnsi="Cambria Math" w:cs="Times New Roman"/>
                            <w:i/>
                            <w:szCs w:val="21"/>
                          </w:rPr>
                        </m:ctrlPr>
                      </m:sup>
                      <m:e>
                        <m:d>
                          <m:dPr>
                            <m:begChr m:val="["/>
                            <m:endChr m:val="]"/>
                            <m:ctrlPr>
                              <w:rPr>
                                <w:rFonts w:ascii="Cambria Math" w:hAnsi="Cambria Math" w:cs="Times New Roman"/>
                                <w:i/>
                                <w:szCs w:val="21"/>
                              </w:rPr>
                            </m:ctrlPr>
                          </m:dPr>
                          <m:e>
                            <m:f>
                              <m:fPr>
                                <m:ctrlPr>
                                  <w:rPr>
                                    <w:rFonts w:ascii="Cambria Math" w:hAnsi="Cambria Math" w:cs="Times New Roman"/>
                                    <w:i/>
                                    <w:szCs w:val="21"/>
                                  </w:rPr>
                                </m:ctrlPr>
                              </m:fPr>
                              <m:num>
                                <m:sSub>
                                  <m:sSubPr>
                                    <m:ctrlPr>
                                      <w:rPr>
                                        <w:rFonts w:ascii="Cambria Math" w:hAnsi="Cambria Math" w:cs="Times New Roman"/>
                                        <w:i/>
                                        <w:szCs w:val="21"/>
                                      </w:rPr>
                                    </m:ctrlPr>
                                  </m:sSubPr>
                                  <m:e>
                                    <m:r>
                                      <m:rPr/>
                                      <w:rPr>
                                        <w:rFonts w:ascii="Cambria Math" w:hAnsi="Cambria Math" w:cs="Times New Roman"/>
                                        <w:szCs w:val="21"/>
                                      </w:rPr>
                                      <m:t>p</m:t>
                                    </m:r>
                                    <m:ctrlPr>
                                      <w:rPr>
                                        <w:rFonts w:ascii="Cambria Math" w:hAnsi="Cambria Math" w:cs="Times New Roman"/>
                                        <w:i/>
                                        <w:szCs w:val="21"/>
                                      </w:rPr>
                                    </m:ctrlPr>
                                  </m:e>
                                  <m:sub>
                                    <m:r>
                                      <m:rPr/>
                                      <w:rPr>
                                        <w:rFonts w:ascii="Cambria Math" w:hAnsi="Cambria Math" w:cs="Times New Roman"/>
                                        <w:szCs w:val="21"/>
                                      </w:rPr>
                                      <m:t>A,i</m:t>
                                    </m:r>
                                    <m:ctrlPr>
                                      <w:rPr>
                                        <w:rFonts w:ascii="Cambria Math" w:hAnsi="Cambria Math" w:cs="Times New Roman"/>
                                        <w:i/>
                                        <w:szCs w:val="21"/>
                                      </w:rPr>
                                    </m:ctrlPr>
                                  </m:sub>
                                </m:sSub>
                                <m:r>
                                  <m:rPr/>
                                  <w:rPr>
                                    <w:rFonts w:ascii="Cambria Math" w:hAnsi="Cambria Math" w:cs="Times New Roman"/>
                                    <w:szCs w:val="21"/>
                                  </w:rPr>
                                  <m:t>(</m:t>
                                </m:r>
                                <m:func>
                                  <m:funcPr>
                                    <m:ctrlPr>
                                      <w:rPr>
                                        <w:rFonts w:ascii="Cambria Math" w:hAnsi="Cambria Math" w:cs="Times New Roman"/>
                                        <w:i/>
                                        <w:szCs w:val="21"/>
                                      </w:rPr>
                                    </m:ctrlPr>
                                  </m:funcPr>
                                  <m:fName>
                                    <m:r>
                                      <m:rPr/>
                                      <w:rPr>
                                        <w:rFonts w:ascii="Cambria Math" w:hAnsi="Cambria Math" w:cs="Times New Roman"/>
                                        <w:szCs w:val="21"/>
                                      </w:rPr>
                                      <m:t>t</m:t>
                                    </m:r>
                                    <m:ctrlPr>
                                      <w:rPr>
                                        <w:rFonts w:ascii="Cambria Math" w:hAnsi="Cambria Math" w:cs="Times New Roman"/>
                                        <w:i/>
                                        <w:szCs w:val="21"/>
                                      </w:rPr>
                                    </m:ctrlPr>
                                  </m:fName>
                                  <m:e>
                                    <m:r>
                                      <m:rPr/>
                                      <w:rPr>
                                        <w:rFonts w:ascii="Cambria Math" w:hAnsi="Cambria Math" w:cs="Times New Roman"/>
                                        <w:szCs w:val="21"/>
                                      </w:rPr>
                                      <m:t>)</m:t>
                                    </m:r>
                                    <m:ctrlPr>
                                      <w:rPr>
                                        <w:rFonts w:ascii="Cambria Math" w:hAnsi="Cambria Math" w:cs="Times New Roman"/>
                                        <w:i/>
                                        <w:szCs w:val="21"/>
                                      </w:rPr>
                                    </m:ctrlPr>
                                  </m:e>
                                </m:func>
                                <m:ctrlPr>
                                  <w:rPr>
                                    <w:rFonts w:ascii="Cambria Math" w:hAnsi="Cambria Math" w:cs="Times New Roman"/>
                                    <w:i/>
                                    <w:szCs w:val="21"/>
                                  </w:rPr>
                                </m:ctrlPr>
                              </m:num>
                              <m:den>
                                <m:sSub>
                                  <m:sSubPr>
                                    <m:ctrlPr>
                                      <w:rPr>
                                        <w:rFonts w:ascii="Cambria Math" w:hAnsi="Cambria Math" w:cs="Times New Roman"/>
                                        <w:i/>
                                        <w:szCs w:val="21"/>
                                      </w:rPr>
                                    </m:ctrlPr>
                                  </m:sSubPr>
                                  <m:e>
                                    <m:r>
                                      <m:rPr/>
                                      <w:rPr>
                                        <w:rFonts w:ascii="Cambria Math" w:hAnsi="Cambria Math" w:cs="Times New Roman"/>
                                        <w:szCs w:val="21"/>
                                      </w:rPr>
                                      <m:t>p</m:t>
                                    </m:r>
                                    <m:ctrlPr>
                                      <w:rPr>
                                        <w:rFonts w:ascii="Cambria Math" w:hAnsi="Cambria Math" w:cs="Times New Roman"/>
                                        <w:i/>
                                        <w:szCs w:val="21"/>
                                      </w:rPr>
                                    </m:ctrlPr>
                                  </m:e>
                                  <m:sub>
                                    <m:r>
                                      <m:rPr/>
                                      <w:rPr>
                                        <w:rFonts w:ascii="Cambria Math" w:hAnsi="Cambria Math" w:cs="Times New Roman"/>
                                        <w:szCs w:val="21"/>
                                      </w:rPr>
                                      <m:t>ref</m:t>
                                    </m:r>
                                    <m:ctrlPr>
                                      <w:rPr>
                                        <w:rFonts w:ascii="Cambria Math" w:hAnsi="Cambria Math" w:cs="Times New Roman"/>
                                        <w:i/>
                                        <w:szCs w:val="21"/>
                                      </w:rPr>
                                    </m:ctrlPr>
                                  </m:sub>
                                </m:sSub>
                                <m:ctrlPr>
                                  <w:rPr>
                                    <w:rFonts w:ascii="Cambria Math" w:hAnsi="Cambria Math" w:cs="Times New Roman"/>
                                    <w:i/>
                                    <w:szCs w:val="21"/>
                                  </w:rPr>
                                </m:ctrlPr>
                              </m:den>
                            </m:f>
                            <m:ctrlPr>
                              <w:rPr>
                                <w:rFonts w:ascii="Cambria Math" w:hAnsi="Cambria Math" w:cs="Times New Roman"/>
                                <w:i/>
                                <w:szCs w:val="21"/>
                              </w:rPr>
                            </m:ctrlPr>
                          </m:e>
                        </m:d>
                        <m:ctrlPr>
                          <w:rPr>
                            <w:rFonts w:ascii="Cambria Math" w:hAnsi="Cambria Math" w:cs="Times New Roman"/>
                            <w:i/>
                            <w:szCs w:val="21"/>
                          </w:rPr>
                        </m:ctrlPr>
                      </m:e>
                    </m:nary>
                    <m:ctrlPr>
                      <w:rPr>
                        <w:rFonts w:ascii="Cambria Math" w:hAnsi="Cambria Math" w:cs="Times New Roman"/>
                        <w:i/>
                        <w:szCs w:val="21"/>
                      </w:rPr>
                    </m:ctrlPr>
                  </m:e>
                  <m:sup>
                    <m:r>
                      <m:rPr/>
                      <w:rPr>
                        <w:rFonts w:ascii="Cambria Math" w:hAnsi="Cambria Math" w:cs="Times New Roman"/>
                        <w:szCs w:val="21"/>
                      </w:rPr>
                      <m:t>2</m:t>
                    </m:r>
                    <m:ctrlPr>
                      <w:rPr>
                        <w:rFonts w:ascii="Cambria Math" w:hAnsi="Cambria Math" w:cs="Times New Roman"/>
                        <w:i/>
                        <w:szCs w:val="21"/>
                      </w:rPr>
                    </m:ctrlPr>
                  </m:sup>
                </m:sSup>
                <m:r>
                  <m:rPr/>
                  <w:rPr>
                    <w:rFonts w:ascii="Cambria Math" w:hAnsi="Cambria Math" w:cs="Times New Roman"/>
                    <w:szCs w:val="21"/>
                  </w:rPr>
                  <m:t>dt</m:t>
                </m:r>
              </m:oMath>
            </m:oMathPara>
          </w:p>
        </w:tc>
        <w:tc>
          <w:tcPr>
            <w:tcW w:w="3340" w:type="dxa"/>
            <w:vAlign w:val="center"/>
          </w:tcPr>
          <w:p>
            <w:pPr>
              <w:spacing w:line="360" w:lineRule="auto"/>
              <w:jc w:val="right"/>
              <w:rPr>
                <w:rFonts w:ascii="Times New Roman" w:hAnsi="Times New Roman" w:cs="Times New Roman"/>
              </w:rPr>
            </w:pPr>
            <w:r>
              <w:rPr>
                <w:rFonts w:hint="eastAsia" w:ascii="Times New Roman" w:hAnsi="Times New Roman" w:cs="Times New Roman"/>
                <w:szCs w:val="21"/>
              </w:rPr>
              <w:t>…………………………</w:t>
            </w:r>
            <w:r>
              <w:rPr>
                <w:rFonts w:hint="eastAsia" w:asciiTheme="minorEastAsia" w:hAnsiTheme="minorEastAsia" w:eastAsiaTheme="minorEastAsia" w:cstheme="minorEastAsia"/>
              </w:rPr>
              <w:t>（A.5）</w:t>
            </w:r>
          </w:p>
        </w:tc>
      </w:tr>
    </w:tbl>
    <w:p>
      <w:pPr>
        <w:ind w:left="687" w:leftChars="327"/>
        <w:rPr>
          <w:rFonts w:ascii="宋体" w:hAnsi="宋体" w:eastAsia="宋体" w:cs="Times New Roman"/>
          <w:szCs w:val="21"/>
        </w:rPr>
      </w:pPr>
      <w:r>
        <w:rPr>
          <w:rFonts w:ascii="宋体" w:hAnsi="宋体" w:eastAsia="宋体" w:cs="Times New Roman"/>
          <w:szCs w:val="21"/>
        </w:rPr>
        <w:t>式中：</w:t>
      </w:r>
    </w:p>
    <w:p>
      <w:pPr>
        <w:ind w:left="687" w:leftChars="327"/>
        <w:rPr>
          <w:rFonts w:ascii="宋体" w:hAnsi="宋体" w:eastAsia="宋体" w:cs="Times New Roman"/>
          <w:szCs w:val="21"/>
        </w:rPr>
      </w:pPr>
      <m:oMath>
        <m:sSub>
          <m:sSubPr>
            <m:ctrlPr>
              <w:rPr>
                <w:rFonts w:ascii="Cambria Math" w:hAnsi="Cambria Math" w:eastAsia="宋体" w:cs="Times New Roman"/>
                <w:iCs/>
                <w:szCs w:val="21"/>
              </w:rPr>
            </m:ctrlPr>
          </m:sSubPr>
          <m:e>
            <m:r>
              <m:rPr>
                <m:sty m:val="p"/>
              </m:rPr>
              <w:rPr>
                <w:rFonts w:ascii="Cambria Math" w:hAnsi="Cambria Math" w:eastAsia="宋体" w:cs="Times New Roman"/>
                <w:szCs w:val="21"/>
              </w:rPr>
              <m:t>p</m:t>
            </m:r>
            <m:ctrlPr>
              <w:rPr>
                <w:rFonts w:ascii="Cambria Math" w:hAnsi="Cambria Math" w:eastAsia="宋体" w:cs="Times New Roman"/>
                <w:iCs/>
                <w:szCs w:val="21"/>
              </w:rPr>
            </m:ctrlPr>
          </m:e>
          <m:sub>
            <m:r>
              <m:rPr>
                <m:sty m:val="p"/>
              </m:rPr>
              <w:rPr>
                <w:rFonts w:ascii="Cambria Math" w:hAnsi="Cambria Math" w:eastAsia="宋体" w:cs="Times New Roman"/>
                <w:szCs w:val="21"/>
              </w:rPr>
              <m:t>A,i</m:t>
            </m:r>
            <m:ctrlPr>
              <w:rPr>
                <w:rFonts w:ascii="Cambria Math" w:hAnsi="Cambria Math" w:eastAsia="宋体" w:cs="Times New Roman"/>
                <w:iCs/>
                <w:szCs w:val="21"/>
              </w:rPr>
            </m:ctrlPr>
          </m:sub>
        </m:sSub>
      </m:oMath>
      <w:r>
        <w:rPr>
          <w:rFonts w:ascii="宋体" w:hAnsi="宋体" w:eastAsia="宋体" w:cs="Times New Roman"/>
          <w:szCs w:val="21"/>
        </w:rPr>
        <w:t>：第</w:t>
      </w:r>
      <w:r>
        <w:rPr>
          <w:rFonts w:ascii="宋体" w:hAnsi="宋体" w:eastAsia="宋体" w:cs="Times New Roman"/>
          <w:i/>
          <w:iCs/>
          <w:szCs w:val="21"/>
        </w:rPr>
        <w:t>i</w:t>
      </w:r>
      <w:r>
        <w:rPr>
          <w:rFonts w:ascii="宋体" w:hAnsi="宋体" w:eastAsia="宋体" w:cs="Times New Roman"/>
          <w:szCs w:val="21"/>
        </w:rPr>
        <w:t>次测量所得到的A计权声压；</w:t>
      </w:r>
    </w:p>
    <w:p>
      <w:pPr>
        <w:ind w:left="687" w:leftChars="327"/>
        <w:rPr>
          <w:rFonts w:ascii="宋体" w:hAnsi="宋体" w:eastAsia="宋体" w:cs="Times New Roman"/>
          <w:szCs w:val="21"/>
        </w:rPr>
      </w:pPr>
      <m:oMath>
        <m:sSub>
          <m:sSubPr>
            <m:ctrlPr>
              <w:rPr>
                <w:rFonts w:ascii="Cambria Math" w:hAnsi="Cambria Math" w:eastAsia="宋体" w:cs="Times New Roman"/>
                <w:iCs/>
                <w:szCs w:val="21"/>
              </w:rPr>
            </m:ctrlPr>
          </m:sSubPr>
          <m:e>
            <m:r>
              <m:rPr>
                <m:sty m:val="p"/>
              </m:rPr>
              <w:rPr>
                <w:rFonts w:ascii="Cambria Math" w:hAnsi="Cambria Math" w:eastAsia="宋体" w:cs="Times New Roman"/>
                <w:szCs w:val="21"/>
              </w:rPr>
              <m:t>p</m:t>
            </m:r>
            <m:ctrlPr>
              <w:rPr>
                <w:rFonts w:ascii="Cambria Math" w:hAnsi="Cambria Math" w:eastAsia="宋体" w:cs="Times New Roman"/>
                <w:iCs/>
                <w:szCs w:val="21"/>
              </w:rPr>
            </m:ctrlPr>
          </m:e>
          <m:sub>
            <m:r>
              <m:rPr>
                <m:sty m:val="p"/>
              </m:rPr>
              <w:rPr>
                <w:rFonts w:ascii="Cambria Math" w:hAnsi="Cambria Math" w:eastAsia="宋体" w:cs="Times New Roman"/>
                <w:szCs w:val="21"/>
              </w:rPr>
              <m:t>ref</m:t>
            </m:r>
            <m:ctrlPr>
              <w:rPr>
                <w:rFonts w:ascii="Cambria Math" w:hAnsi="Cambria Math" w:eastAsia="宋体" w:cs="Times New Roman"/>
                <w:iCs/>
                <w:szCs w:val="21"/>
              </w:rPr>
            </m:ctrlPr>
          </m:sub>
        </m:sSub>
        <m:r>
          <m:rPr>
            <m:sty m:val="p"/>
          </m:rPr>
          <w:rPr>
            <w:rFonts w:ascii="Cambria Math" w:hAnsi="Cambria Math" w:eastAsia="宋体" w:cs="Times New Roman"/>
            <w:szCs w:val="21"/>
          </w:rPr>
          <m:t>=20μPa</m:t>
        </m:r>
      </m:oMath>
      <w:r>
        <w:rPr>
          <w:rFonts w:ascii="宋体" w:hAnsi="宋体" w:eastAsia="宋体" w:cs="Times New Roman"/>
          <w:szCs w:val="21"/>
        </w:rPr>
        <w:t>：参考声压大小；</w:t>
      </w:r>
    </w:p>
    <w:p>
      <w:pPr>
        <w:ind w:left="687" w:leftChars="327"/>
        <w:rPr>
          <w:rFonts w:ascii="宋体" w:hAnsi="宋体" w:eastAsia="宋体" w:cs="Times New Roman"/>
          <w:szCs w:val="21"/>
        </w:rPr>
      </w:pPr>
      <m:oMath>
        <m:r>
          <m:rPr>
            <m:sty m:val="p"/>
          </m:rPr>
          <w:rPr>
            <w:rFonts w:ascii="Cambria Math" w:hAnsi="Cambria Math" w:eastAsia="宋体" w:cs="Times New Roman"/>
            <w:szCs w:val="21"/>
          </w:rPr>
          <m:t>△t=</m:t>
        </m:r>
        <m:sSub>
          <m:sSubPr>
            <m:ctrlPr>
              <w:rPr>
                <w:rFonts w:ascii="Cambria Math" w:hAnsi="Cambria Math" w:eastAsia="宋体" w:cs="Times New Roman"/>
                <w:iCs/>
                <w:szCs w:val="21"/>
              </w:rPr>
            </m:ctrlPr>
          </m:sSubPr>
          <m:e>
            <m:r>
              <m:rPr>
                <m:sty m:val="p"/>
              </m:rPr>
              <w:rPr>
                <w:rFonts w:ascii="Cambria Math" w:hAnsi="Cambria Math" w:eastAsia="宋体" w:cs="Times New Roman"/>
                <w:szCs w:val="21"/>
              </w:rPr>
              <m:t>t</m:t>
            </m:r>
            <m:ctrlPr>
              <w:rPr>
                <w:rFonts w:ascii="Cambria Math" w:hAnsi="Cambria Math" w:eastAsia="宋体" w:cs="Times New Roman"/>
                <w:iCs/>
                <w:szCs w:val="21"/>
              </w:rPr>
            </m:ctrlPr>
          </m:e>
          <m:sub>
            <m:r>
              <m:rPr>
                <m:sty m:val="p"/>
              </m:rPr>
              <w:rPr>
                <w:rFonts w:ascii="Cambria Math" w:hAnsi="Cambria Math" w:eastAsia="宋体" w:cs="Times New Roman"/>
                <w:szCs w:val="21"/>
              </w:rPr>
              <m:t>2</m:t>
            </m:r>
            <m:ctrlPr>
              <w:rPr>
                <w:rFonts w:ascii="Cambria Math" w:hAnsi="Cambria Math" w:eastAsia="宋体" w:cs="Times New Roman"/>
                <w:iCs/>
                <w:szCs w:val="21"/>
              </w:rPr>
            </m:ctrlPr>
          </m:sub>
        </m:sSub>
        <m:r>
          <m:rPr>
            <m:sty m:val="p"/>
          </m:rPr>
          <w:rPr>
            <w:rFonts w:ascii="Cambria Math" w:hAnsi="Cambria Math" w:eastAsia="宋体" w:cs="Times New Roman"/>
            <w:szCs w:val="21"/>
          </w:rPr>
          <m:t>−</m:t>
        </m:r>
        <m:sSub>
          <m:sSubPr>
            <m:ctrlPr>
              <w:rPr>
                <w:rFonts w:ascii="Cambria Math" w:hAnsi="Cambria Math" w:eastAsia="宋体" w:cs="Times New Roman"/>
                <w:iCs/>
                <w:szCs w:val="21"/>
              </w:rPr>
            </m:ctrlPr>
          </m:sSubPr>
          <m:e>
            <m:r>
              <m:rPr>
                <m:sty m:val="p"/>
              </m:rPr>
              <w:rPr>
                <w:rFonts w:ascii="Cambria Math" w:hAnsi="Cambria Math" w:eastAsia="宋体" w:cs="Times New Roman"/>
                <w:szCs w:val="21"/>
              </w:rPr>
              <m:t>t</m:t>
            </m:r>
            <m:ctrlPr>
              <w:rPr>
                <w:rFonts w:ascii="Cambria Math" w:hAnsi="Cambria Math" w:eastAsia="宋体" w:cs="Times New Roman"/>
                <w:iCs/>
                <w:szCs w:val="21"/>
              </w:rPr>
            </m:ctrlPr>
          </m:e>
          <m:sub>
            <m:r>
              <m:rPr>
                <m:sty m:val="p"/>
              </m:rPr>
              <w:rPr>
                <w:rFonts w:ascii="Cambria Math" w:hAnsi="Cambria Math" w:eastAsia="宋体" w:cs="Times New Roman"/>
                <w:szCs w:val="21"/>
              </w:rPr>
              <m:t>1</m:t>
            </m:r>
            <m:ctrlPr>
              <w:rPr>
                <w:rFonts w:ascii="Cambria Math" w:hAnsi="Cambria Math" w:eastAsia="宋体" w:cs="Times New Roman"/>
                <w:iCs/>
                <w:szCs w:val="21"/>
              </w:rPr>
            </m:ctrlPr>
          </m:sub>
        </m:sSub>
      </m:oMath>
      <w:r>
        <w:rPr>
          <w:rFonts w:ascii="宋体" w:hAnsi="宋体" w:eastAsia="宋体" w:cs="Times New Roman"/>
          <w:szCs w:val="21"/>
        </w:rPr>
        <w:t>：测试时间长度</w:t>
      </w:r>
      <w:r>
        <w:rPr>
          <w:rFonts w:hint="eastAsia" w:ascii="宋体" w:hAnsi="宋体" w:eastAsia="宋体" w:cs="Times New Roman"/>
          <w:szCs w:val="21"/>
        </w:rPr>
        <w:t>，</w:t>
      </w:r>
      <w:r>
        <w:rPr>
          <w:rFonts w:ascii="宋体" w:hAnsi="宋体" w:eastAsia="宋体" w:cs="Times New Roman"/>
          <w:szCs w:val="21"/>
        </w:rPr>
        <w:t>为测量起始时间</w:t>
      </w:r>
      <w:r>
        <w:rPr>
          <w:rFonts w:hint="eastAsia" w:ascii="宋体" w:hAnsi="宋体" w:eastAsia="宋体" w:cs="Times New Roman"/>
          <w:szCs w:val="21"/>
        </w:rPr>
        <w:t>，</w:t>
      </w:r>
      <w:r>
        <w:rPr>
          <w:rFonts w:ascii="宋体" w:hAnsi="宋体" w:eastAsia="宋体" w:cs="Times New Roman"/>
          <w:szCs w:val="21"/>
        </w:rPr>
        <w:t>t</w:t>
      </w:r>
      <w:r>
        <w:rPr>
          <w:rFonts w:ascii="宋体" w:hAnsi="宋体" w:eastAsia="宋体" w:cs="Times New Roman"/>
          <w:szCs w:val="21"/>
          <w:vertAlign w:val="subscript"/>
        </w:rPr>
        <w:t>z</w:t>
      </w:r>
      <w:r>
        <w:rPr>
          <w:rFonts w:ascii="宋体" w:hAnsi="宋体" w:eastAsia="宋体" w:cs="Times New Roman"/>
          <w:szCs w:val="21"/>
        </w:rPr>
        <w:t>为测量终止时间；</w:t>
      </w:r>
    </w:p>
    <w:p>
      <w:pPr>
        <w:ind w:left="687" w:leftChars="327"/>
        <w:rPr>
          <w:rFonts w:ascii="宋体" w:hAnsi="宋体" w:eastAsia="宋体" w:cs="Times New Roman"/>
          <w:szCs w:val="21"/>
        </w:rPr>
      </w:pPr>
      <m:oMath>
        <m:r>
          <m:rPr/>
          <w:rPr>
            <w:rFonts w:ascii="Cambria Math" w:hAnsi="Cambria Math" w:eastAsia="宋体" w:cs="Times New Roman"/>
            <w:szCs w:val="21"/>
          </w:rPr>
          <m:t>i</m:t>
        </m:r>
      </m:oMath>
      <w:r>
        <w:rPr>
          <w:rFonts w:ascii="宋体" w:hAnsi="宋体" w:eastAsia="宋体" w:cs="Times New Roman"/>
          <w:szCs w:val="21"/>
        </w:rPr>
        <w:t>：第</w:t>
      </w:r>
      <m:oMath>
        <m:r>
          <m:rPr/>
          <w:rPr>
            <w:rFonts w:ascii="Cambria Math" w:hAnsi="Cambria Math" w:eastAsia="宋体" w:cs="Times New Roman"/>
            <w:szCs w:val="21"/>
          </w:rPr>
          <m:t xml:space="preserve"> i </m:t>
        </m:r>
      </m:oMath>
      <w:r>
        <w:rPr>
          <w:rFonts w:ascii="宋体" w:hAnsi="宋体" w:eastAsia="宋体" w:cs="Times New Roman"/>
          <w:szCs w:val="21"/>
        </w:rPr>
        <w:t>次重复测量。</w:t>
      </w:r>
    </w:p>
    <w:p>
      <w:pPr>
        <w:ind w:firstLine="420" w:firstLineChars="200"/>
        <w:rPr>
          <w:rFonts w:ascii="宋体" w:hAnsi="宋体" w:eastAsia="宋体" w:cs="Times New Roman"/>
          <w:szCs w:val="21"/>
        </w:rPr>
      </w:pPr>
      <w:r>
        <w:rPr>
          <w:rFonts w:hint="eastAsia" w:ascii="宋体" w:hAnsi="宋体" w:eastAsia="宋体" w:cs="Times New Roman"/>
          <w:szCs w:val="21"/>
        </w:rPr>
        <w:t>7</w:t>
      </w:r>
      <w:r>
        <w:rPr>
          <w:rFonts w:ascii="宋体" w:hAnsi="宋体" w:eastAsia="宋体" w:cs="Times New Roman"/>
          <w:szCs w:val="21"/>
        </w:rPr>
        <w:t>）还同时测量环境的温度</w:t>
      </w:r>
      <w:r>
        <w:rPr>
          <w:rFonts w:hint="eastAsia" w:ascii="宋体" w:hAnsi="宋体" w:eastAsia="宋体" w:cs="Times New Roman"/>
          <w:szCs w:val="21"/>
        </w:rPr>
        <w:t xml:space="preserve"> </w:t>
      </w:r>
      <w:r>
        <w:rPr>
          <w:rFonts w:ascii="宋体" w:hAnsi="宋体" w:eastAsia="宋体" w:cs="Times New Roman"/>
          <w:szCs w:val="21"/>
        </w:rPr>
        <w:t xml:space="preserve">T </w:t>
      </w:r>
      <w:r>
        <w:rPr>
          <w:rFonts w:hint="eastAsia" w:ascii="宋体" w:hAnsi="宋体" w:eastAsia="宋体" w:cs="Times New Roman"/>
          <w:szCs w:val="21"/>
        </w:rPr>
        <w:t>（</w:t>
      </w:r>
      <w:r>
        <w:rPr>
          <w:rFonts w:ascii="宋体" w:hAnsi="宋体" w:eastAsia="宋体" w:cs="Times New Roman"/>
          <w:szCs w:val="21"/>
        </w:rPr>
        <w:t>单位为℃</w:t>
      </w:r>
      <w:r>
        <w:rPr>
          <w:rFonts w:hint="eastAsia" w:ascii="宋体" w:hAnsi="宋体" w:eastAsia="宋体" w:cs="Times New Roman"/>
          <w:szCs w:val="21"/>
        </w:rPr>
        <w:t>）</w:t>
      </w:r>
      <w:r>
        <w:rPr>
          <w:rFonts w:ascii="宋体" w:hAnsi="宋体" w:eastAsia="宋体" w:cs="Times New Roman"/>
          <w:szCs w:val="21"/>
        </w:rPr>
        <w:t>和相对湿度值</w:t>
      </w:r>
      <w:r>
        <w:rPr>
          <w:rFonts w:hint="eastAsia" w:ascii="宋体" w:hAnsi="宋体" w:eastAsia="宋体" w:cs="Times New Roman"/>
          <w:szCs w:val="21"/>
        </w:rPr>
        <w:t>（</w:t>
      </w:r>
      <w:r>
        <w:rPr>
          <w:rFonts w:ascii="宋体" w:hAnsi="宋体" w:eastAsia="宋体" w:cs="Times New Roman"/>
          <w:szCs w:val="21"/>
        </w:rPr>
        <w:t>RH</w:t>
      </w:r>
      <w:r>
        <w:rPr>
          <w:rFonts w:ascii="宋体" w:hAnsi="宋体" w:eastAsia="宋体" w:cs="Times New Roman"/>
          <w:i/>
          <w:iCs/>
          <w:szCs w:val="21"/>
          <w:vertAlign w:val="subscript"/>
        </w:rPr>
        <w:t>i</w:t>
      </w:r>
      <w:r>
        <w:rPr>
          <w:rFonts w:hint="eastAsia" w:ascii="宋体" w:hAnsi="宋体" w:eastAsia="宋体" w:cs="Times New Roman"/>
          <w:szCs w:val="21"/>
        </w:rPr>
        <w:t>）</w:t>
      </w:r>
      <w:r>
        <w:rPr>
          <w:rFonts w:ascii="宋体" w:hAnsi="宋体" w:eastAsia="宋体" w:cs="Times New Roman"/>
          <w:szCs w:val="21"/>
        </w:rPr>
        <w:t>。在满足相关规定的条件下，根据</w:t>
      </w:r>
      <w:r>
        <w:rPr>
          <w:rFonts w:hint="eastAsia" w:ascii="宋体" w:hAnsi="宋体" w:eastAsia="宋体" w:cs="Times New Roman"/>
          <w:szCs w:val="21"/>
        </w:rPr>
        <w:t xml:space="preserve"> </w:t>
      </w:r>
      <w:r>
        <w:rPr>
          <w:rFonts w:ascii="宋体" w:hAnsi="宋体" w:eastAsia="宋体" w:cs="Times New Roman"/>
          <w:szCs w:val="21"/>
        </w:rPr>
        <w:t>GB42590-2023《民用无人驾驶航空器系统安全要求》中5.14.2要求，对悬停状态的声压级测试SPL</w:t>
      </w:r>
      <w:r>
        <w:rPr>
          <w:rFonts w:ascii="宋体" w:hAnsi="宋体" w:eastAsia="宋体" w:cs="Times New Roman"/>
          <w:i/>
          <w:iCs/>
          <w:szCs w:val="21"/>
          <w:vertAlign w:val="subscript"/>
        </w:rPr>
        <w:t>i</w:t>
      </w:r>
      <w:r>
        <w:rPr>
          <w:rFonts w:ascii="宋体" w:hAnsi="宋体" w:eastAsia="宋体" w:cs="Times New Roman"/>
          <w:szCs w:val="21"/>
        </w:rPr>
        <w:t>进行修正。</w:t>
      </w:r>
    </w:p>
    <w:p>
      <w:pPr>
        <w:pStyle w:val="60"/>
        <w:numPr>
          <w:ilvl w:val="0"/>
          <w:numId w:val="0"/>
        </w:numPr>
      </w:pPr>
      <w:r>
        <w:rPr>
          <w:rFonts w:hint="eastAsia"/>
        </w:rPr>
        <w:t>表A.</w:t>
      </w:r>
      <w:r>
        <w:t xml:space="preserve">2 </w:t>
      </w:r>
      <w:r>
        <w:rPr>
          <w:rFonts w:hint="eastAsia"/>
        </w:rPr>
        <w:t>飞行状态下无人机噪声测量结果相对湿度和温度修正关系</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5"/>
        <w:gridCol w:w="3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345" w:type="dxa"/>
            <w:tcBorders>
              <w:top w:val="single" w:color="auto" w:sz="12" w:space="0"/>
              <w:left w:val="single" w:color="auto" w:sz="12" w:space="0"/>
              <w:bottom w:val="single" w:color="auto" w:sz="12" w:space="0"/>
            </w:tcBorders>
            <w:vAlign w:val="center"/>
          </w:tcPr>
          <w:p>
            <w:pPr>
              <w:pStyle w:val="67"/>
              <w:widowControl/>
              <w:ind w:firstLine="420"/>
              <w:jc w:val="center"/>
              <w:rPr>
                <w:iCs/>
              </w:rPr>
            </w:pPr>
            <m:oMath>
              <m:r>
                <m:rPr>
                  <m:sty m:val="p"/>
                </m:rPr>
                <w:rPr>
                  <w:rFonts w:ascii="Cambria Math" w:hAnsi="Cambria Math"/>
                </w:rPr>
                <m:t>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Sub>
              <m:r>
                <m:rPr>
                  <m:sty m:val="p"/>
                </m:rPr>
                <w:rPr>
                  <w:rFonts w:ascii="Cambria Math" w:hAnsi="Cambria Math"/>
                </w:rPr>
                <m:t>和</m:t>
              </m:r>
              <m:sSub>
                <m:sSubPr>
                  <m:ctrlPr>
                    <w:rPr>
                      <w:rFonts w:ascii="Cambria Math" w:hAnsi="Cambria Math"/>
                      <w:iCs/>
                    </w:rPr>
                  </m:ctrlPr>
                </m:sSubPr>
                <m:e>
                  <m:r>
                    <m:rPr>
                      <m:sty m:val="p"/>
                    </m:rPr>
                    <w:rPr>
                      <w:rFonts w:ascii="Cambria Math" w:hAnsi="Cambria Math"/>
                    </w:rPr>
                    <m:t>T</m:t>
                  </m:r>
                  <m:ctrlPr>
                    <w:rPr>
                      <w:rFonts w:ascii="Cambria Math" w:hAnsi="Cambria Math"/>
                      <w:iCs/>
                    </w:rPr>
                  </m:ctrlPr>
                </m:e>
                <m:sub>
                  <m:r>
                    <m:rPr/>
                    <w:rPr>
                      <w:rFonts w:ascii="Cambria Math" w:hAnsi="Cambria Math"/>
                      <w:vertAlign w:val="subscript"/>
                    </w:rPr>
                    <m:t>i</m:t>
                  </m:r>
                  <m:ctrlPr>
                    <w:rPr>
                      <w:rFonts w:ascii="Cambria Math" w:hAnsi="Cambria Math"/>
                      <w:iCs/>
                    </w:rPr>
                  </m:ctrlPr>
                </m:sub>
              </m:sSub>
            </m:oMath>
            <w:r>
              <w:rPr>
                <w:iCs/>
              </w:rPr>
              <w:t>所满足的条件</w:t>
            </w:r>
          </w:p>
        </w:tc>
        <w:tc>
          <w:tcPr>
            <w:tcW w:w="3225" w:type="dxa"/>
            <w:tcBorders>
              <w:top w:val="single" w:color="auto" w:sz="12" w:space="0"/>
              <w:bottom w:val="single" w:color="auto" w:sz="12" w:space="0"/>
              <w:right w:val="single" w:color="auto" w:sz="12" w:space="0"/>
            </w:tcBorders>
            <w:vAlign w:val="center"/>
          </w:tcPr>
          <w:p>
            <w:pPr>
              <w:pStyle w:val="67"/>
              <w:widowControl/>
              <w:ind w:firstLine="420"/>
              <w:jc w:val="center"/>
              <w:rPr>
                <w:iCs/>
              </w:rPr>
            </w:pPr>
            <w:r>
              <w:rPr>
                <w:iCs/>
              </w:rPr>
              <w:t>修正公式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345" w:type="dxa"/>
            <w:tcBorders>
              <w:top w:val="single" w:color="auto" w:sz="12" w:space="0"/>
              <w:left w:val="single" w:color="auto" w:sz="12" w:space="0"/>
            </w:tcBorders>
            <w:vAlign w:val="center"/>
          </w:tcPr>
          <w:p>
            <w:pPr>
              <w:pStyle w:val="67"/>
              <w:widowControl/>
              <w:ind w:firstLine="1260" w:firstLineChars="600"/>
              <w:rPr>
                <w:rFonts w:hAnsi="Cambria Math"/>
              </w:rPr>
            </w:pPr>
            <m:oMath>
              <m:r>
                <m:rPr>
                  <m:sty m:val="p"/>
                </m:rPr>
                <w:rPr>
                  <w:rFonts w:ascii="Cambria Math" w:hAnsi="Cambria Math"/>
                </w:rPr>
                <m:t>23≤R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Sub>
              <m:r>
                <m:rPr>
                  <m:sty m:val="p"/>
                </m:rPr>
                <w:rPr>
                  <w:rFonts w:ascii="Cambria Math" w:hAnsi="Cambria Math"/>
                </w:rPr>
                <m:t>≤87且</m:t>
              </m:r>
            </m:oMath>
            <w:r>
              <w:rPr>
                <w:rFonts w:hint="eastAsia" w:hAnsi="Cambria Math"/>
              </w:rPr>
              <w:t xml:space="preserve"> </w:t>
            </w:r>
            <m:oMath>
              <m:sSub>
                <m:sSubPr>
                  <m:ctrlPr>
                    <w:rPr>
                      <w:rFonts w:ascii="Cambria Math" w:hAnsi="Cambria Math"/>
                      <w:iCs/>
                    </w:rPr>
                  </m:ctrlPr>
                </m:sSubPr>
                <m:e>
                  <m:r>
                    <m:rPr>
                      <m:sty m:val="p"/>
                    </m:rPr>
                    <w:rPr>
                      <w:rFonts w:ascii="Cambria Math" w:hAnsi="Cambria Math"/>
                    </w:rPr>
                    <m:t>T</m:t>
                  </m:r>
                  <m:ctrlPr>
                    <w:rPr>
                      <w:rFonts w:ascii="Cambria Math" w:hAnsi="Cambria Math"/>
                      <w:iCs/>
                    </w:rPr>
                  </m:ctrlPr>
                </m:e>
                <m:sub>
                  <m:r>
                    <m:rPr/>
                    <w:rPr>
                      <w:rFonts w:ascii="Cambria Math" w:hAnsi="Cambria Math"/>
                    </w:rPr>
                    <m:t>i</m:t>
                  </m:r>
                  <m:ctrlPr>
                    <w:rPr>
                      <w:rFonts w:ascii="Cambria Math" w:hAnsi="Cambria Math"/>
                      <w:iCs/>
                    </w:rPr>
                  </m:ctrlPr>
                </m:sub>
              </m:sSub>
              <m:r>
                <m:rPr>
                  <m:sty m:val="p"/>
                </m:rPr>
                <w:rPr>
                  <w:rFonts w:ascii="Cambria Math" w:hAnsi="Cambria Math"/>
                </w:rPr>
                <m:t>＜−7.84×1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−5</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up>
                  <m:r>
                    <m:rPr>
                      <m:sty m:val="p"/>
                    </m:rPr>
                    <w:rPr>
                      <w:rFonts w:ascii="Cambria Math" w:hAnsi="Cambria Math"/>
                    </w:rPr>
                    <m:t>3</m:t>
                  </m:r>
                  <m:ctrlPr>
                    <w:rPr>
                      <w:rFonts w:ascii="Cambria Math" w:hAnsi="Cambria Math"/>
                      <w:iCs/>
                    </w:rPr>
                  </m:ctrlPr>
                </m:sup>
              </m:sSubSup>
            </m:oMath>
          </w:p>
          <w:p>
            <w:pPr>
              <w:pStyle w:val="67"/>
              <w:widowControl/>
              <w:ind w:firstLine="420"/>
              <w:rPr>
                <w:iCs/>
              </w:rPr>
            </w:pPr>
            <m:oMathPara>
              <m:oMath>
                <m:r>
                  <m:rPr>
                    <m:sty m:val="p"/>
                  </m:rPr>
                  <w:rPr>
                    <w:rFonts w:ascii="Cambria Math" w:hAnsi="Cambria Math"/>
                  </w:rPr>
                  <m:t>+1.795×1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−2</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up>
                    <m:r>
                      <m:rPr>
                        <m:sty m:val="p"/>
                      </m:rPr>
                      <w:rPr>
                        <w:rFonts w:ascii="Cambria Math" w:hAnsi="Cambria Math"/>
                      </w:rPr>
                      <m:t>2</m:t>
                    </m:r>
                    <m:ctrlPr>
                      <w:rPr>
                        <w:rFonts w:ascii="Cambria Math" w:hAnsi="Cambria Math"/>
                        <w:iCs/>
                      </w:rPr>
                    </m:ctrlPr>
                  </m:sup>
                </m:sSubSup>
                <m:r>
                  <m:rPr>
                    <m:sty m:val="p"/>
                  </m:rPr>
                  <w:rPr>
                    <w:rFonts w:ascii="Cambria Math" w:hAnsi="Cambria Math"/>
                  </w:rPr>
                  <m:t>−1.65R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Sub>
                <m:r>
                  <m:rPr>
                    <m:sty m:val="p"/>
                  </m:rPr>
                  <w:rPr>
                    <w:rFonts w:ascii="Cambria Math" w:hAnsi="Cambria Math"/>
                  </w:rPr>
                  <m:t>+64.36</m:t>
                </m:r>
              </m:oMath>
            </m:oMathPara>
          </w:p>
        </w:tc>
        <w:tc>
          <w:tcPr>
            <w:tcW w:w="3225" w:type="dxa"/>
            <w:vMerge w:val="restart"/>
            <w:tcBorders>
              <w:top w:val="single" w:color="auto" w:sz="12" w:space="0"/>
              <w:right w:val="single" w:color="auto" w:sz="12" w:space="0"/>
            </w:tcBorders>
            <w:vAlign w:val="center"/>
          </w:tcPr>
          <w:p>
            <w:pPr>
              <w:pStyle w:val="67"/>
              <w:widowControl/>
              <w:ind w:firstLine="420"/>
              <w:rPr>
                <w:iCs/>
              </w:rPr>
            </w:pPr>
            <m:oMathPara>
              <m:oMath>
                <m:r>
                  <m:rPr>
                    <m:sty m:val="p"/>
                  </m:rPr>
                  <w:rPr>
                    <w:rFonts w:ascii="Cambria Math" w:hAnsi="Cambria Math"/>
                  </w:rPr>
                  <m:t>SP</m:t>
                </m:r>
                <m:sSubSup>
                  <m:sSubSupPr>
                    <m:ctrlPr>
                      <w:rPr>
                        <w:rFonts w:ascii="Cambria Math" w:hAnsi="Cambria Math"/>
                        <w:iCs/>
                      </w:rPr>
                    </m:ctrlPr>
                  </m:sSubSupPr>
                  <m:e>
                    <m:r>
                      <m:rPr>
                        <m:sty m:val="p"/>
                      </m:rPr>
                      <w:rPr>
                        <w:rFonts w:ascii="Cambria Math" w:hAnsi="Cambria Math"/>
                      </w:rPr>
                      <m:t>L</m:t>
                    </m:r>
                    <m:ctrlPr>
                      <w:rPr>
                        <w:rFonts w:ascii="Cambria Math" w:hAnsi="Cambria Math"/>
                        <w:iCs/>
                      </w:rPr>
                    </m:ctrlPr>
                  </m:e>
                  <m:sub>
                    <m:r>
                      <m:rPr/>
                      <w:rPr>
                        <w:rFonts w:ascii="Cambria Math" w:hAnsi="Cambria Math"/>
                        <w:vertAlign w:val="subscript"/>
                      </w:rPr>
                      <m:t>i</m:t>
                    </m:r>
                    <m:ctrlPr>
                      <w:rPr>
                        <w:rFonts w:ascii="Cambria Math" w:hAnsi="Cambria Math"/>
                        <w:iCs/>
                      </w:rPr>
                    </m:ctrlPr>
                  </m:sub>
                  <m:sup>
                    <m:r>
                      <m:rPr>
                        <m:sty m:val="p"/>
                      </m:rPr>
                      <w:rPr>
                        <w:rFonts w:ascii="Cambria Math" w:hAnsi="Cambria Math"/>
                      </w:rPr>
                      <m:t>∗</m:t>
                    </m:r>
                    <m:ctrlPr>
                      <w:rPr>
                        <w:rFonts w:ascii="Cambria Math" w:hAnsi="Cambria Math"/>
                        <w:iCs/>
                      </w:rPr>
                    </m:ctrlPr>
                  </m:sup>
                </m:sSubSup>
                <m:r>
                  <m:rPr>
                    <m:sty m:val="p"/>
                  </m:rPr>
                  <w:rPr>
                    <w:rFonts w:ascii="Cambria Math" w:hAnsi="Cambria Math"/>
                  </w:rPr>
                  <m:t>=SP</m:t>
                </m:r>
                <m:sSub>
                  <m:sSubPr>
                    <m:ctrlPr>
                      <w:rPr>
                        <w:rFonts w:ascii="Cambria Math" w:hAnsi="Cambria Math"/>
                        <w:iCs/>
                      </w:rPr>
                    </m:ctrlPr>
                  </m:sSubPr>
                  <m:e>
                    <m:r>
                      <m:rPr>
                        <m:sty m:val="p"/>
                      </m:rPr>
                      <w:rPr>
                        <w:rFonts w:ascii="Cambria Math" w:hAnsi="Cambria Math"/>
                      </w:rPr>
                      <m:t>L</m:t>
                    </m:r>
                    <m:ctrlPr>
                      <w:rPr>
                        <w:rFonts w:ascii="Cambria Math" w:hAnsi="Cambria Math"/>
                        <w:iCs/>
                      </w:rPr>
                    </m:ctrlPr>
                  </m:e>
                  <m:sub>
                    <m:r>
                      <m:rPr/>
                      <w:rPr>
                        <w:rFonts w:ascii="Cambria Math" w:hAnsi="Cambria Math"/>
                        <w:vertAlign w:val="subscript"/>
                      </w:rPr>
                      <m:t>i</m:t>
                    </m:r>
                    <m:ctrlPr>
                      <w:rPr>
                        <w:rFonts w:ascii="Cambria Math" w:hAnsi="Cambria Math"/>
                        <w:iCs/>
                      </w:rPr>
                    </m:ctrlPr>
                  </m:sub>
                </m:sSub>
                <m:r>
                  <m:rPr>
                    <m:sty m:val="p"/>
                  </m:rPr>
                  <w:rPr>
                    <w:rFonts w:ascii="Cambria Math" w:hAnsi="Cambria Math"/>
                  </w:rPr>
                  <m:t>+0.1dB</m:t>
                </m:r>
                <m:r>
                  <m:rPr>
                    <m:sty m:val="p"/>
                  </m:rPr>
                  <w:rPr>
                    <w:rFonts w:hint="eastAsia" w:ascii="Cambria Math" w:hAnsi="Cambria Math"/>
                  </w:rPr>
                  <m:t>（</m:t>
                </m:r>
                <m:r>
                  <m:rPr>
                    <m:sty m:val="p"/>
                  </m:rPr>
                  <w:rPr>
                    <w:rFonts w:ascii="Cambria Math" w:hAnsi="Cambria Math"/>
                  </w:rPr>
                  <m:t>A</m:t>
                </m:r>
                <m:r>
                  <m:rPr>
                    <m:sty m:val="p"/>
                  </m:rPr>
                  <w:rPr>
                    <w:rFonts w:hint="eastAsia" w:ascii="Cambria Math" w:hAnsi="Cambria Math"/>
                  </w:rPr>
                  <m:t>）</m:t>
                </m:r>
              </m:oMath>
            </m:oMathPara>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345" w:type="dxa"/>
            <w:tcBorders>
              <w:left w:val="single" w:color="auto" w:sz="12" w:space="0"/>
            </w:tcBorders>
            <w:vAlign w:val="center"/>
          </w:tcPr>
          <w:p>
            <w:pPr>
              <w:pStyle w:val="67"/>
              <w:widowControl/>
              <w:ind w:firstLine="420"/>
              <w:rPr>
                <w:rFonts w:hAnsi="Cambria Math"/>
              </w:rPr>
            </w:pPr>
            <m:oMathPara>
              <m:oMath>
                <m:r>
                  <m:rPr>
                    <m:sty m:val="p"/>
                  </m:rPr>
                  <w:rPr>
                    <w:rFonts w:ascii="Cambria Math" w:hAnsi="Cambria Math"/>
                  </w:rPr>
                  <m:t>21≤R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Sub>
                <m:r>
                  <m:rPr>
                    <m:sty m:val="p"/>
                  </m:rPr>
                  <w:rPr>
                    <w:rFonts w:ascii="Cambria Math" w:hAnsi="Cambria Math"/>
                  </w:rPr>
                  <m:t>≤79 且</m:t>
                </m:r>
                <m:sSub>
                  <m:sSubPr>
                    <m:ctrlPr>
                      <w:rPr>
                        <w:rFonts w:ascii="Cambria Math" w:hAnsi="Cambria Math"/>
                        <w:iCs/>
                      </w:rPr>
                    </m:ctrlPr>
                  </m:sSubPr>
                  <m:e>
                    <m:r>
                      <m:rPr>
                        <m:sty m:val="p"/>
                      </m:rPr>
                      <w:rPr>
                        <w:rFonts w:ascii="Cambria Math" w:hAnsi="Cambria Math"/>
                      </w:rPr>
                      <m:t xml:space="preserve"> T</m:t>
                    </m:r>
                    <m:ctrlPr>
                      <w:rPr>
                        <w:rFonts w:ascii="Cambria Math" w:hAnsi="Cambria Math"/>
                        <w:iCs/>
                      </w:rPr>
                    </m:ctrlPr>
                  </m:e>
                  <m:sub>
                    <m:r>
                      <m:rPr/>
                      <w:rPr>
                        <w:rFonts w:ascii="Cambria Math" w:hAnsi="Cambria Math"/>
                        <w:vertAlign w:val="subscript"/>
                      </w:rPr>
                      <m:t>i</m:t>
                    </m:r>
                    <m:ctrlPr>
                      <w:rPr>
                        <w:rFonts w:ascii="Cambria Math" w:hAnsi="Cambria Math"/>
                        <w:iCs/>
                      </w:rPr>
                    </m:ctrlPr>
                  </m:sub>
                </m:sSub>
                <m:r>
                  <m:rPr>
                    <m:sty m:val="p"/>
                  </m:rPr>
                  <w:rPr>
                    <w:rFonts w:ascii="Cambria Math" w:hAnsi="Cambria Math"/>
                  </w:rPr>
                  <m:t>≥−1.03×1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−4</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up>
                    <m:r>
                      <m:rPr>
                        <m:sty m:val="p"/>
                      </m:rPr>
                      <w:rPr>
                        <w:rFonts w:ascii="Cambria Math" w:hAnsi="Cambria Math"/>
                      </w:rPr>
                      <m:t>3</m:t>
                    </m:r>
                    <m:ctrlPr>
                      <w:rPr>
                        <w:rFonts w:ascii="Cambria Math" w:hAnsi="Cambria Math"/>
                        <w:iCs/>
                      </w:rPr>
                    </m:ctrlPr>
                  </m:sup>
                </m:sSubSup>
              </m:oMath>
            </m:oMathPara>
          </w:p>
          <w:p>
            <w:pPr>
              <w:pStyle w:val="67"/>
              <w:widowControl/>
              <w:ind w:firstLine="420"/>
              <w:rPr>
                <w:iCs/>
              </w:rPr>
            </w:pPr>
            <m:oMathPara>
              <m:oMath>
                <m:r>
                  <m:rPr>
                    <m:sty m:val="p"/>
                  </m:rPr>
                  <w:rPr>
                    <w:rFonts w:ascii="Cambria Math" w:hAnsi="Cambria Math"/>
                  </w:rPr>
                  <m:t>+2.14×1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−2</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up>
                    <m:r>
                      <m:rPr>
                        <m:sty m:val="p"/>
                      </m:rPr>
                      <w:rPr>
                        <w:rFonts w:ascii="Cambria Math" w:hAnsi="Cambria Math"/>
                      </w:rPr>
                      <m:t>2</m:t>
                    </m:r>
                    <m:ctrlPr>
                      <w:rPr>
                        <w:rFonts w:ascii="Cambria Math" w:hAnsi="Cambria Math"/>
                        <w:iCs/>
                      </w:rPr>
                    </m:ctrlPr>
                  </m:sup>
                </m:sSubSup>
                <m:r>
                  <m:rPr>
                    <m:sty m:val="p"/>
                  </m:rPr>
                  <w:rPr>
                    <w:rFonts w:ascii="Cambria Math" w:hAnsi="Cambria Math"/>
                  </w:rPr>
                  <m:t>−1.798R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Sub>
                <m:r>
                  <m:rPr>
                    <m:sty m:val="p"/>
                  </m:rPr>
                  <w:rPr>
                    <w:rFonts w:ascii="Cambria Math" w:hAnsi="Cambria Math"/>
                  </w:rPr>
                  <m:t>+64.27</m:t>
                </m:r>
              </m:oMath>
            </m:oMathPara>
          </w:p>
        </w:tc>
        <w:tc>
          <w:tcPr>
            <w:tcW w:w="3225" w:type="dxa"/>
            <w:vMerge w:val="continue"/>
            <w:tcBorders>
              <w:right w:val="single" w:color="auto" w:sz="12" w:space="0"/>
            </w:tcBorders>
            <w:vAlign w:val="center"/>
          </w:tcPr>
          <w:p>
            <w:pPr>
              <w:pStyle w:val="67"/>
              <w:widowControl/>
              <w:ind w:firstLine="420"/>
              <w:rPr>
                <w:i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345" w:type="dxa"/>
            <w:tcBorders>
              <w:left w:val="single" w:color="auto" w:sz="12" w:space="0"/>
            </w:tcBorders>
            <w:vAlign w:val="center"/>
          </w:tcPr>
          <w:p>
            <w:pPr>
              <w:pStyle w:val="67"/>
              <w:widowControl/>
              <w:ind w:firstLine="420"/>
              <w:rPr>
                <w:rFonts w:hAnsi="Cambria Math"/>
              </w:rPr>
            </w:pPr>
            <m:oMathPara>
              <m:oMath>
                <m:r>
                  <m:rPr>
                    <m:sty m:val="p"/>
                  </m:rPr>
                  <w:rPr>
                    <w:rFonts w:ascii="Cambria Math" w:hAnsi="Cambria Math"/>
                  </w:rPr>
                  <m:t>21≤R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Sub>
                <m:r>
                  <m:rPr>
                    <m:sty m:val="p"/>
                  </m:rPr>
                  <w:rPr>
                    <w:rFonts w:ascii="Cambria Math" w:hAnsi="Cambria Math"/>
                  </w:rPr>
                  <m:t xml:space="preserve">≤79 且 </m:t>
                </m:r>
                <m:sSub>
                  <m:sSubPr>
                    <m:ctrlPr>
                      <w:rPr>
                        <w:rFonts w:ascii="Cambria Math" w:hAnsi="Cambria Math"/>
                        <w:iCs/>
                      </w:rPr>
                    </m:ctrlPr>
                  </m:sSubPr>
                  <m:e>
                    <m:r>
                      <m:rPr>
                        <m:sty m:val="p"/>
                      </m:rPr>
                      <w:rPr>
                        <w:rFonts w:ascii="Cambria Math" w:hAnsi="Cambria Math"/>
                      </w:rPr>
                      <m:t>T</m:t>
                    </m:r>
                    <m:ctrlPr>
                      <w:rPr>
                        <w:rFonts w:ascii="Cambria Math" w:hAnsi="Cambria Math"/>
                        <w:iCs/>
                      </w:rPr>
                    </m:ctrlPr>
                  </m:e>
                  <m:sub>
                    <m:r>
                      <m:rPr/>
                      <w:rPr>
                        <w:rFonts w:ascii="Cambria Math" w:hAnsi="Cambria Math"/>
                      </w:rPr>
                      <m:t>i</m:t>
                    </m:r>
                    <m:ctrlPr>
                      <w:rPr>
                        <w:rFonts w:ascii="Cambria Math" w:hAnsi="Cambria Math"/>
                        <w:iCs/>
                      </w:rPr>
                    </m:ctrlPr>
                  </m:sub>
                </m:sSub>
                <m:r>
                  <m:rPr>
                    <m:sty m:val="p"/>
                  </m:rPr>
                  <w:rPr>
                    <w:rFonts w:ascii="Cambria Math" w:hAnsi="Cambria Math"/>
                  </w:rPr>
                  <m:t>＜−1.03×1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−4</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up>
                    <m:r>
                      <m:rPr>
                        <m:sty m:val="p"/>
                      </m:rPr>
                      <w:rPr>
                        <w:rFonts w:ascii="Cambria Math" w:hAnsi="Cambria Math"/>
                      </w:rPr>
                      <m:t>3</m:t>
                    </m:r>
                    <m:ctrlPr>
                      <w:rPr>
                        <w:rFonts w:ascii="Cambria Math" w:hAnsi="Cambria Math"/>
                        <w:iCs/>
                      </w:rPr>
                    </m:ctrlPr>
                  </m:sup>
                </m:sSubSup>
              </m:oMath>
            </m:oMathPara>
          </w:p>
          <w:p>
            <w:pPr>
              <w:pStyle w:val="67"/>
              <w:widowControl/>
              <w:ind w:firstLine="420"/>
              <w:rPr>
                <w:iCs/>
              </w:rPr>
            </w:pPr>
            <m:oMathPara>
              <m:oMath>
                <m:r>
                  <m:rPr>
                    <m:sty m:val="p"/>
                  </m:rPr>
                  <w:rPr>
                    <w:rFonts w:ascii="Cambria Math" w:hAnsi="Cambria Math"/>
                  </w:rPr>
                  <m:t>+2.14×1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−2</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up>
                    <m:r>
                      <m:rPr>
                        <m:sty m:val="p"/>
                      </m:rPr>
                      <w:rPr>
                        <w:rFonts w:ascii="Cambria Math" w:hAnsi="Cambria Math"/>
                      </w:rPr>
                      <m:t>2</m:t>
                    </m:r>
                    <m:ctrlPr>
                      <w:rPr>
                        <w:rFonts w:ascii="Cambria Math" w:hAnsi="Cambria Math"/>
                        <w:iCs/>
                      </w:rPr>
                    </m:ctrlPr>
                  </m:sup>
                </m:sSubSup>
                <m:r>
                  <m:rPr>
                    <m:sty m:val="p"/>
                  </m:rPr>
                  <w:rPr>
                    <w:rFonts w:ascii="Cambria Math" w:hAnsi="Cambria Math"/>
                  </w:rPr>
                  <m:t>−1.798R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Sub>
                <m:r>
                  <m:rPr>
                    <m:sty m:val="p"/>
                  </m:rPr>
                  <w:rPr>
                    <w:rFonts w:ascii="Cambria Math" w:hAnsi="Cambria Math"/>
                  </w:rPr>
                  <m:t>+64.27</m:t>
                </m:r>
              </m:oMath>
            </m:oMathPara>
          </w:p>
        </w:tc>
        <w:tc>
          <w:tcPr>
            <w:tcW w:w="3225" w:type="dxa"/>
            <w:vMerge w:val="restart"/>
            <w:tcBorders>
              <w:right w:val="single" w:color="auto" w:sz="12" w:space="0"/>
            </w:tcBorders>
            <w:vAlign w:val="center"/>
          </w:tcPr>
          <w:p>
            <w:pPr>
              <w:pStyle w:val="67"/>
              <w:widowControl/>
              <w:ind w:firstLine="420"/>
              <w:rPr>
                <w:iCs/>
              </w:rPr>
            </w:pPr>
            <m:oMathPara>
              <m:oMath>
                <m:r>
                  <m:rPr>
                    <m:sty m:val="p"/>
                  </m:rPr>
                  <w:rPr>
                    <w:rFonts w:ascii="Cambria Math" w:hAnsi="Cambria Math"/>
                  </w:rPr>
                  <m:t>SP</m:t>
                </m:r>
                <m:sSubSup>
                  <m:sSubSupPr>
                    <m:ctrlPr>
                      <w:rPr>
                        <w:rFonts w:ascii="Cambria Math" w:hAnsi="Cambria Math"/>
                        <w:iCs/>
                      </w:rPr>
                    </m:ctrlPr>
                  </m:sSubSupPr>
                  <m:e>
                    <m:r>
                      <m:rPr>
                        <m:sty m:val="p"/>
                      </m:rPr>
                      <w:rPr>
                        <w:rFonts w:ascii="Cambria Math" w:hAnsi="Cambria Math"/>
                      </w:rPr>
                      <m:t>L</m:t>
                    </m:r>
                    <m:ctrlPr>
                      <w:rPr>
                        <w:rFonts w:ascii="Cambria Math" w:hAnsi="Cambria Math"/>
                        <w:iCs/>
                      </w:rPr>
                    </m:ctrlPr>
                  </m:e>
                  <m:sub>
                    <m:r>
                      <m:rPr/>
                      <w:rPr>
                        <w:rFonts w:ascii="Cambria Math" w:hAnsi="Cambria Math"/>
                      </w:rPr>
                      <m:t>i</m:t>
                    </m:r>
                    <m:ctrlPr>
                      <w:rPr>
                        <w:rFonts w:ascii="Cambria Math" w:hAnsi="Cambria Math"/>
                        <w:iCs/>
                      </w:rPr>
                    </m:ctrlPr>
                  </m:sub>
                  <m:sup>
                    <m:r>
                      <m:rPr>
                        <m:sty m:val="p"/>
                      </m:rPr>
                      <w:rPr>
                        <w:rFonts w:ascii="Cambria Math" w:hAnsi="Cambria Math"/>
                      </w:rPr>
                      <m:t>∗</m:t>
                    </m:r>
                    <m:ctrlPr>
                      <w:rPr>
                        <w:rFonts w:ascii="Cambria Math" w:hAnsi="Cambria Math"/>
                        <w:iCs/>
                      </w:rPr>
                    </m:ctrlPr>
                  </m:sup>
                </m:sSubSup>
                <m:r>
                  <m:rPr>
                    <m:sty m:val="p"/>
                  </m:rPr>
                  <w:rPr>
                    <w:rFonts w:ascii="Cambria Math" w:hAnsi="Cambria Math"/>
                  </w:rPr>
                  <m:t>=SP</m:t>
                </m:r>
                <m:sSub>
                  <m:sSubPr>
                    <m:ctrlPr>
                      <w:rPr>
                        <w:rFonts w:ascii="Cambria Math" w:hAnsi="Cambria Math"/>
                        <w:iCs/>
                      </w:rPr>
                    </m:ctrlPr>
                  </m:sSubPr>
                  <m:e>
                    <m:r>
                      <m:rPr>
                        <m:sty m:val="p"/>
                      </m:rPr>
                      <w:rPr>
                        <w:rFonts w:ascii="Cambria Math" w:hAnsi="Cambria Math"/>
                      </w:rPr>
                      <m:t>L</m:t>
                    </m:r>
                    <m:ctrlPr>
                      <w:rPr>
                        <w:rFonts w:ascii="Cambria Math" w:hAnsi="Cambria Math"/>
                        <w:iCs/>
                      </w:rPr>
                    </m:ctrlPr>
                  </m:e>
                  <m:sub>
                    <m:r>
                      <m:rPr/>
                      <w:rPr>
                        <w:rFonts w:ascii="Cambria Math" w:hAnsi="Cambria Math"/>
                        <w:vertAlign w:val="subscript"/>
                      </w:rPr>
                      <m:t>i</m:t>
                    </m:r>
                    <m:ctrlPr>
                      <w:rPr>
                        <w:rFonts w:ascii="Cambria Math" w:hAnsi="Cambria Math"/>
                        <w:iCs/>
                      </w:rPr>
                    </m:ctrlPr>
                  </m:sub>
                </m:sSub>
                <m:r>
                  <m:rPr>
                    <m:sty m:val="p"/>
                  </m:rPr>
                  <w:rPr>
                    <w:rFonts w:ascii="Cambria Math" w:hAnsi="Cambria Math"/>
                  </w:rPr>
                  <m:t>+0.2dB</m:t>
                </m:r>
                <m:r>
                  <m:rPr>
                    <m:sty m:val="p"/>
                  </m:rPr>
                  <w:rPr>
                    <w:rFonts w:hint="eastAsia" w:ascii="Cambria Math" w:hAnsi="Cambria Math"/>
                  </w:rPr>
                  <m:t>（</m:t>
                </m:r>
                <m:r>
                  <m:rPr>
                    <m:sty m:val="p"/>
                  </m:rPr>
                  <w:rPr>
                    <w:rFonts w:ascii="Cambria Math" w:hAnsi="Cambria Math"/>
                  </w:rPr>
                  <m:t>A</m:t>
                </m:r>
                <m:r>
                  <m:rPr>
                    <m:sty m:val="p"/>
                  </m:rPr>
                  <w:rPr>
                    <w:rFonts w:hint="eastAsia" w:ascii="Cambria Math" w:hAnsi="Cambria Math"/>
                  </w:rPr>
                  <m:t>）</m:t>
                </m:r>
              </m:oMath>
            </m:oMathPara>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345" w:type="dxa"/>
            <w:tcBorders>
              <w:left w:val="single" w:color="auto" w:sz="12" w:space="0"/>
              <w:bottom w:val="single" w:color="auto" w:sz="4" w:space="0"/>
            </w:tcBorders>
            <w:vAlign w:val="center"/>
          </w:tcPr>
          <w:p>
            <w:pPr>
              <w:pStyle w:val="67"/>
              <w:widowControl/>
              <w:ind w:firstLine="420"/>
              <w:rPr>
                <w:rFonts w:hAnsi="Cambria Math"/>
              </w:rPr>
            </w:pPr>
            <m:oMathPara>
              <m:oMath>
                <m:r>
                  <m:rPr>
                    <m:sty m:val="p"/>
                  </m:rPr>
                  <w:rPr>
                    <w:rFonts w:ascii="Cambria Math" w:hAnsi="Cambria Math"/>
                  </w:rPr>
                  <m:t>20≤R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Sub>
                <m:r>
                  <m:rPr>
                    <m:sty m:val="p"/>
                  </m:rPr>
                  <w:rPr>
                    <w:rFonts w:ascii="Cambria Math" w:hAnsi="Cambria Math"/>
                  </w:rPr>
                  <m:t>≤71且</m:t>
                </m:r>
                <m:sSub>
                  <m:sSubPr>
                    <m:ctrlPr>
                      <w:rPr>
                        <w:rFonts w:ascii="Cambria Math" w:hAnsi="Cambria Math"/>
                        <w:iCs/>
                      </w:rPr>
                    </m:ctrlPr>
                  </m:sSubPr>
                  <m:e>
                    <m:r>
                      <m:rPr>
                        <m:sty m:val="p"/>
                      </m:rPr>
                      <w:rPr>
                        <w:rFonts w:ascii="Cambria Math" w:hAnsi="Cambria Math"/>
                      </w:rPr>
                      <m:t>T</m:t>
                    </m:r>
                    <m:ctrlPr>
                      <w:rPr>
                        <w:rFonts w:ascii="Cambria Math" w:hAnsi="Cambria Math"/>
                        <w:iCs/>
                      </w:rPr>
                    </m:ctrlPr>
                  </m:e>
                  <m:sub>
                    <m:r>
                      <m:rPr/>
                      <w:rPr>
                        <w:rFonts w:ascii="Cambria Math" w:hAnsi="Cambria Math"/>
                      </w:rPr>
                      <m:t>i</m:t>
                    </m:r>
                    <m:ctrlPr>
                      <w:rPr>
                        <w:rFonts w:ascii="Cambria Math" w:hAnsi="Cambria Math"/>
                        <w:iCs/>
                      </w:rPr>
                    </m:ctrlPr>
                  </m:sub>
                </m:sSub>
                <m:r>
                  <m:rPr>
                    <m:sty m:val="p"/>
                  </m:rPr>
                  <w:rPr>
                    <w:rFonts w:ascii="Cambria Math" w:hAnsi="Cambria Math"/>
                  </w:rPr>
                  <m:t>≥−1.318×1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−4</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up>
                    <m:r>
                      <m:rPr>
                        <m:sty m:val="p"/>
                      </m:rPr>
                      <w:rPr>
                        <w:rFonts w:ascii="Cambria Math" w:hAnsi="Cambria Math"/>
                      </w:rPr>
                      <m:t>3</m:t>
                    </m:r>
                    <m:ctrlPr>
                      <w:rPr>
                        <w:rFonts w:ascii="Cambria Math" w:hAnsi="Cambria Math"/>
                        <w:iCs/>
                      </w:rPr>
                    </m:ctrlPr>
                  </m:sup>
                </m:sSubSup>
              </m:oMath>
            </m:oMathPara>
          </w:p>
          <w:p>
            <w:pPr>
              <w:pStyle w:val="67"/>
              <w:widowControl/>
              <w:ind w:firstLine="420"/>
              <w:rPr>
                <w:iCs/>
              </w:rPr>
            </w:pPr>
            <m:oMathPara>
              <m:oMath>
                <m:r>
                  <m:rPr>
                    <m:sty m:val="p"/>
                  </m:rPr>
                  <w:rPr>
                    <w:rFonts w:ascii="Cambria Math" w:hAnsi="Cambria Math"/>
                  </w:rPr>
                  <m:t>+2.5×1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−2</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up>
                    <m:r>
                      <m:rPr>
                        <m:sty m:val="p"/>
                      </m:rPr>
                      <w:rPr>
                        <w:rFonts w:ascii="Cambria Math" w:hAnsi="Cambria Math"/>
                      </w:rPr>
                      <m:t>2</m:t>
                    </m:r>
                    <m:ctrlPr>
                      <w:rPr>
                        <w:rFonts w:ascii="Cambria Math" w:hAnsi="Cambria Math"/>
                        <w:iCs/>
                      </w:rPr>
                    </m:ctrlPr>
                  </m:sup>
                </m:sSubSup>
                <m:r>
                  <m:rPr>
                    <m:sty m:val="p"/>
                  </m:rPr>
                  <w:rPr>
                    <w:rFonts w:ascii="Cambria Math" w:hAnsi="Cambria Math"/>
                  </w:rPr>
                  <m:t>−1.94R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Sub>
                <m:r>
                  <m:rPr>
                    <m:sty m:val="p"/>
                  </m:rPr>
                  <w:rPr>
                    <w:rFonts w:ascii="Cambria Math" w:hAnsi="Cambria Math"/>
                  </w:rPr>
                  <m:t>+63.85</m:t>
                </m:r>
              </m:oMath>
            </m:oMathPara>
          </w:p>
        </w:tc>
        <w:tc>
          <w:tcPr>
            <w:tcW w:w="3225" w:type="dxa"/>
            <w:vMerge w:val="continue"/>
            <w:tcBorders>
              <w:bottom w:val="single" w:color="auto" w:sz="4" w:space="0"/>
              <w:right w:val="single" w:color="auto" w:sz="12" w:space="0"/>
            </w:tcBorders>
            <w:vAlign w:val="center"/>
          </w:tcPr>
          <w:p>
            <w:pPr>
              <w:pStyle w:val="67"/>
              <w:widowControl/>
              <w:ind w:firstLine="420"/>
              <w:rPr>
                <w:i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345" w:type="dxa"/>
            <w:tcBorders>
              <w:left w:val="single" w:color="auto" w:sz="12" w:space="0"/>
            </w:tcBorders>
            <w:vAlign w:val="center"/>
          </w:tcPr>
          <w:p>
            <w:pPr>
              <w:pStyle w:val="67"/>
              <w:widowControl/>
              <w:ind w:firstLine="1039" w:firstLineChars="495"/>
              <w:rPr>
                <w:rFonts w:hAnsi="Cambria Math"/>
              </w:rPr>
            </w:pPr>
            <m:oMath>
              <m:r>
                <m:rPr/>
                <w:rPr>
                  <w:rFonts w:ascii="Cambria Math" w:hAnsi="Cambria Math" w:eastAsiaTheme="minorEastAsia" w:cstheme="minorBidi"/>
                </w:rPr>
                <m:t xml:space="preserve">   </m:t>
              </m:r>
              <m:r>
                <m:rPr>
                  <m:sty m:val="p"/>
                </m:rPr>
                <w:rPr>
                  <w:rFonts w:ascii="Cambria Math" w:hAnsi="Cambria Math"/>
                </w:rPr>
                <m:t>20≤R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Sub>
              <m:r>
                <m:rPr>
                  <m:sty m:val="p"/>
                </m:rPr>
                <w:rPr>
                  <w:rFonts w:ascii="Cambria Math" w:hAnsi="Cambria Math"/>
                </w:rPr>
                <m:t>≤71 且</m:t>
              </m:r>
            </m:oMath>
            <w:r>
              <w:rPr>
                <w:rFonts w:hint="eastAsia" w:hAnsi="Cambria Math"/>
              </w:rPr>
              <w:t xml:space="preserve"> </w:t>
            </w:r>
            <m:oMath>
              <m:sSub>
                <m:sSubPr>
                  <m:ctrlPr>
                    <w:rPr>
                      <w:rFonts w:ascii="Cambria Math" w:hAnsi="Cambria Math"/>
                      <w:iCs/>
                    </w:rPr>
                  </m:ctrlPr>
                </m:sSubPr>
                <m:e>
                  <m:r>
                    <m:rPr>
                      <m:sty m:val="p"/>
                    </m:rPr>
                    <w:rPr>
                      <w:rFonts w:ascii="Cambria Math" w:hAnsi="Cambria Math"/>
                    </w:rPr>
                    <m:t>T</m:t>
                  </m:r>
                  <m:ctrlPr>
                    <w:rPr>
                      <w:rFonts w:ascii="Cambria Math" w:hAnsi="Cambria Math"/>
                      <w:iCs/>
                    </w:rPr>
                  </m:ctrlPr>
                </m:e>
                <m:sub>
                  <m:r>
                    <m:rPr/>
                    <w:rPr>
                      <w:rFonts w:ascii="Cambria Math" w:hAnsi="Cambria Math"/>
                      <w:vertAlign w:val="subscript"/>
                    </w:rPr>
                    <m:t>i</m:t>
                  </m:r>
                  <m:ctrlPr>
                    <w:rPr>
                      <w:rFonts w:ascii="Cambria Math" w:hAnsi="Cambria Math"/>
                      <w:iCs/>
                    </w:rPr>
                  </m:ctrlPr>
                </m:sub>
              </m:sSub>
              <m:r>
                <m:rPr>
                  <m:sty m:val="p"/>
                </m:rPr>
                <w:rPr>
                  <w:rFonts w:ascii="Cambria Math" w:hAnsi="Cambria Math"/>
                </w:rPr>
                <m:t>＜−1.318×1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−4</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up>
                  <m:r>
                    <m:rPr>
                      <m:sty m:val="p"/>
                    </m:rPr>
                    <w:rPr>
                      <w:rFonts w:ascii="Cambria Math" w:hAnsi="Cambria Math"/>
                    </w:rPr>
                    <m:t>3</m:t>
                  </m:r>
                  <m:ctrlPr>
                    <w:rPr>
                      <w:rFonts w:ascii="Cambria Math" w:hAnsi="Cambria Math"/>
                      <w:iCs/>
                    </w:rPr>
                  </m:ctrlPr>
                </m:sup>
              </m:sSubSup>
            </m:oMath>
          </w:p>
          <w:p>
            <w:pPr>
              <w:pStyle w:val="67"/>
              <w:widowControl/>
              <w:ind w:firstLine="420"/>
            </w:pPr>
            <m:oMathPara>
              <m:oMath>
                <m:r>
                  <m:rPr>
                    <m:sty m:val="p"/>
                  </m:rPr>
                  <w:rPr>
                    <w:rFonts w:ascii="Cambria Math" w:hAnsi="Cambria Math"/>
                  </w:rPr>
                  <m:t>+2.5×1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−2</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up>
                    <m:r>
                      <m:rPr>
                        <m:sty m:val="p"/>
                      </m:rPr>
                      <w:rPr>
                        <w:rFonts w:ascii="Cambria Math" w:hAnsi="Cambria Math"/>
                      </w:rPr>
                      <m:t>2</m:t>
                    </m:r>
                    <m:ctrlPr>
                      <w:rPr>
                        <w:rFonts w:ascii="Cambria Math" w:hAnsi="Cambria Math"/>
                        <w:iCs/>
                      </w:rPr>
                    </m:ctrlPr>
                  </m:sup>
                </m:sSubSup>
                <m:r>
                  <m:rPr>
                    <m:sty m:val="p"/>
                  </m:rPr>
                  <w:rPr>
                    <w:rFonts w:ascii="Cambria Math" w:hAnsi="Cambria Math"/>
                  </w:rPr>
                  <m:t>−1.94R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Sub>
                <m:r>
                  <m:rPr>
                    <m:sty m:val="p"/>
                  </m:rPr>
                  <w:rPr>
                    <w:rFonts w:ascii="Cambria Math" w:hAnsi="Cambria Math"/>
                  </w:rPr>
                  <m:t>+63.</m:t>
                </m:r>
              </m:oMath>
            </m:oMathPara>
          </w:p>
        </w:tc>
        <w:tc>
          <w:tcPr>
            <w:tcW w:w="3225" w:type="dxa"/>
            <w:vMerge w:val="restart"/>
            <w:tcBorders>
              <w:right w:val="single" w:color="auto" w:sz="12" w:space="0"/>
            </w:tcBorders>
            <w:vAlign w:val="center"/>
          </w:tcPr>
          <w:p>
            <w:pPr>
              <w:pStyle w:val="67"/>
              <w:widowControl/>
              <w:ind w:firstLine="420"/>
              <w:rPr>
                <w:iCs/>
              </w:rPr>
            </w:pPr>
            <m:oMathPara>
              <m:oMath>
                <m:r>
                  <m:rPr>
                    <m:sty m:val="p"/>
                  </m:rPr>
                  <w:rPr>
                    <w:rFonts w:ascii="Cambria Math" w:hAnsi="Cambria Math"/>
                  </w:rPr>
                  <m:t>SP</m:t>
                </m:r>
                <m:sSubSup>
                  <m:sSubSupPr>
                    <m:ctrlPr>
                      <w:rPr>
                        <w:rFonts w:ascii="Cambria Math" w:hAnsi="Cambria Math"/>
                        <w:iCs/>
                      </w:rPr>
                    </m:ctrlPr>
                  </m:sSubSupPr>
                  <m:e>
                    <m:r>
                      <m:rPr>
                        <m:sty m:val="p"/>
                      </m:rPr>
                      <w:rPr>
                        <w:rFonts w:ascii="Cambria Math" w:hAnsi="Cambria Math"/>
                      </w:rPr>
                      <m:t>L</m:t>
                    </m:r>
                    <m:ctrlPr>
                      <w:rPr>
                        <w:rFonts w:ascii="Cambria Math" w:hAnsi="Cambria Math"/>
                        <w:iCs/>
                      </w:rPr>
                    </m:ctrlPr>
                  </m:e>
                  <m:sub>
                    <m:r>
                      <m:rPr/>
                      <w:rPr>
                        <w:rFonts w:ascii="Cambria Math" w:hAnsi="Cambria Math"/>
                        <w:vertAlign w:val="subscript"/>
                      </w:rPr>
                      <m:t>i</m:t>
                    </m:r>
                    <m:ctrlPr>
                      <w:rPr>
                        <w:rFonts w:ascii="Cambria Math" w:hAnsi="Cambria Math"/>
                        <w:iCs/>
                      </w:rPr>
                    </m:ctrlPr>
                  </m:sub>
                  <m:sup>
                    <m:r>
                      <m:rPr>
                        <m:sty m:val="p"/>
                      </m:rPr>
                      <w:rPr>
                        <w:rFonts w:ascii="Cambria Math" w:hAnsi="Cambria Math"/>
                      </w:rPr>
                      <m:t>∗</m:t>
                    </m:r>
                    <m:ctrlPr>
                      <w:rPr>
                        <w:rFonts w:ascii="Cambria Math" w:hAnsi="Cambria Math"/>
                        <w:iCs/>
                      </w:rPr>
                    </m:ctrlPr>
                  </m:sup>
                </m:sSubSup>
                <m:r>
                  <m:rPr>
                    <m:sty m:val="p"/>
                  </m:rPr>
                  <w:rPr>
                    <w:rFonts w:ascii="Cambria Math" w:hAnsi="Cambria Math"/>
                  </w:rPr>
                  <m:t>=SP</m:t>
                </m:r>
                <m:sSub>
                  <m:sSubPr>
                    <m:ctrlPr>
                      <w:rPr>
                        <w:rFonts w:ascii="Cambria Math" w:hAnsi="Cambria Math"/>
                        <w:iCs/>
                      </w:rPr>
                    </m:ctrlPr>
                  </m:sSubPr>
                  <m:e>
                    <m:r>
                      <m:rPr>
                        <m:sty m:val="p"/>
                      </m:rPr>
                      <w:rPr>
                        <w:rFonts w:ascii="Cambria Math" w:hAnsi="Cambria Math"/>
                      </w:rPr>
                      <m:t>L</m:t>
                    </m:r>
                    <m:ctrlPr>
                      <w:rPr>
                        <w:rFonts w:ascii="Cambria Math" w:hAnsi="Cambria Math"/>
                        <w:iCs/>
                      </w:rPr>
                    </m:ctrlPr>
                  </m:e>
                  <m:sub>
                    <m:r>
                      <m:rPr/>
                      <w:rPr>
                        <w:rFonts w:ascii="Cambria Math" w:hAnsi="Cambria Math"/>
                        <w:vertAlign w:val="subscript"/>
                      </w:rPr>
                      <m:t>i</m:t>
                    </m:r>
                    <m:ctrlPr>
                      <w:rPr>
                        <w:rFonts w:ascii="Cambria Math" w:hAnsi="Cambria Math"/>
                        <w:iCs/>
                      </w:rPr>
                    </m:ctrlPr>
                  </m:sub>
                </m:sSub>
                <m:r>
                  <m:rPr>
                    <m:sty m:val="p"/>
                  </m:rPr>
                  <w:rPr>
                    <w:rFonts w:ascii="Cambria Math" w:hAnsi="Cambria Math"/>
                  </w:rPr>
                  <m:t>+0.3dB</m:t>
                </m:r>
                <m:r>
                  <m:rPr>
                    <m:sty m:val="p"/>
                  </m:rPr>
                  <w:rPr>
                    <w:rFonts w:hint="eastAsia" w:ascii="Cambria Math" w:hAnsi="Cambria Math"/>
                  </w:rPr>
                  <m:t>（</m:t>
                </m:r>
                <m:r>
                  <m:rPr>
                    <m:sty m:val="p"/>
                  </m:rPr>
                  <w:rPr>
                    <w:rFonts w:ascii="Cambria Math" w:hAnsi="Cambria Math"/>
                  </w:rPr>
                  <m:t>A</m:t>
                </m:r>
                <m:r>
                  <m:rPr>
                    <m:sty m:val="p"/>
                  </m:rPr>
                  <w:rPr>
                    <w:rFonts w:hint="eastAsia" w:ascii="Cambria Math" w:hAnsi="Cambria Math"/>
                  </w:rPr>
                  <m:t>）</m:t>
                </m:r>
              </m:oMath>
            </m:oMathPara>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345" w:type="dxa"/>
            <w:tcBorders>
              <w:left w:val="single" w:color="auto" w:sz="12" w:space="0"/>
            </w:tcBorders>
            <w:vAlign w:val="center"/>
          </w:tcPr>
          <w:p>
            <w:pPr>
              <w:pStyle w:val="67"/>
              <w:widowControl/>
              <w:ind w:firstLine="1260" w:firstLineChars="600"/>
              <w:rPr>
                <w:rFonts w:hAnsi="Cambria Math"/>
              </w:rPr>
            </w:pPr>
            <m:oMath>
              <m:r>
                <m:rPr>
                  <m:sty m:val="p"/>
                </m:rPr>
                <w:rPr>
                  <w:rFonts w:ascii="Cambria Math" w:hAnsi="Cambria Math"/>
                </w:rPr>
                <m:t>20≤R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Sub>
              <m:r>
                <m:rPr>
                  <m:sty m:val="p"/>
                </m:rPr>
                <w:rPr>
                  <w:rFonts w:ascii="Cambria Math" w:hAnsi="Cambria Math"/>
                </w:rPr>
                <m:t>≤64 且</m:t>
              </m:r>
            </m:oMath>
            <w:r>
              <w:rPr>
                <w:rFonts w:hint="eastAsia" w:hAnsi="Cambria Math"/>
              </w:rPr>
              <w:t xml:space="preserve"> </w:t>
            </w:r>
            <m:oMath>
              <m:sSub>
                <m:sSubPr>
                  <m:ctrlPr>
                    <w:rPr>
                      <w:rFonts w:ascii="Cambria Math" w:hAnsi="Cambria Math"/>
                      <w:iCs/>
                    </w:rPr>
                  </m:ctrlPr>
                </m:sSubPr>
                <m:e>
                  <m:r>
                    <m:rPr>
                      <m:sty m:val="p"/>
                    </m:rPr>
                    <w:rPr>
                      <w:rFonts w:ascii="Cambria Math" w:hAnsi="Cambria Math"/>
                    </w:rPr>
                    <m:t>T</m:t>
                  </m:r>
                  <m:ctrlPr>
                    <w:rPr>
                      <w:rFonts w:ascii="Cambria Math" w:hAnsi="Cambria Math"/>
                      <w:iCs/>
                    </w:rPr>
                  </m:ctrlPr>
                </m:e>
                <m:sub>
                  <m:r>
                    <m:rPr/>
                    <w:rPr>
                      <w:rFonts w:ascii="Cambria Math" w:hAnsi="Cambria Math"/>
                    </w:rPr>
                    <m:t>i</m:t>
                  </m:r>
                  <m:ctrlPr>
                    <w:rPr>
                      <w:rFonts w:ascii="Cambria Math" w:hAnsi="Cambria Math"/>
                      <w:iCs/>
                    </w:rPr>
                  </m:ctrlPr>
                </m:sub>
              </m:sSub>
              <m:r>
                <m:rPr>
                  <m:sty m:val="p"/>
                </m:rPr>
                <w:rPr>
                  <w:rFonts w:ascii="Cambria Math" w:hAnsi="Cambria Math"/>
                </w:rPr>
                <m:t>≥−1.65×1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−4</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up>
                  <m:r>
                    <m:rPr>
                      <m:sty m:val="p"/>
                    </m:rPr>
                    <w:rPr>
                      <w:rFonts w:ascii="Cambria Math" w:hAnsi="Cambria Math"/>
                    </w:rPr>
                    <m:t>3</m:t>
                  </m:r>
                  <m:ctrlPr>
                    <w:rPr>
                      <w:rFonts w:ascii="Cambria Math" w:hAnsi="Cambria Math"/>
                      <w:iCs/>
                    </w:rPr>
                  </m:ctrlPr>
                </m:sup>
              </m:sSubSup>
            </m:oMath>
          </w:p>
          <w:p>
            <w:pPr>
              <w:pStyle w:val="67"/>
              <w:widowControl w:val="0"/>
              <w:ind w:firstLine="1039" w:firstLineChars="495"/>
              <w:rPr>
                <w:rFonts w:ascii="Calibri" w:hAnsi="Calibri"/>
              </w:rPr>
            </w:pPr>
            <m:oMathPara>
              <m:oMath>
                <m:r>
                  <m:rPr>
                    <m:sty m:val="p"/>
                  </m:rPr>
                  <w:rPr>
                    <w:rFonts w:ascii="Cambria Math" w:hAnsi="Cambria Math"/>
                  </w:rPr>
                  <m:t>+2.87×1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−2</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up>
                    <m:r>
                      <m:rPr>
                        <m:sty m:val="p"/>
                      </m:rPr>
                      <w:rPr>
                        <w:rFonts w:ascii="Cambria Math" w:hAnsi="Cambria Math"/>
                      </w:rPr>
                      <m:t>2</m:t>
                    </m:r>
                    <m:ctrlPr>
                      <w:rPr>
                        <w:rFonts w:ascii="Cambria Math" w:hAnsi="Cambria Math"/>
                        <w:iCs/>
                      </w:rPr>
                    </m:ctrlPr>
                  </m:sup>
                </m:sSubSup>
                <m:r>
                  <m:rPr>
                    <m:sty m:val="p"/>
                  </m:rPr>
                  <w:rPr>
                    <w:rFonts w:ascii="Cambria Math" w:hAnsi="Cambria Math"/>
                  </w:rPr>
                  <m:t>−2.07R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Sub>
                <m:r>
                  <m:rPr>
                    <m:sty m:val="p"/>
                  </m:rPr>
                  <w:rPr>
                    <w:rFonts w:ascii="Cambria Math" w:hAnsi="Cambria Math"/>
                  </w:rPr>
                  <m:t>+63.2</m:t>
                </m:r>
              </m:oMath>
            </m:oMathPara>
          </w:p>
        </w:tc>
        <w:tc>
          <w:tcPr>
            <w:tcW w:w="3225" w:type="dxa"/>
            <w:vMerge w:val="continue"/>
            <w:tcBorders>
              <w:right w:val="single" w:color="auto" w:sz="12" w:space="0"/>
            </w:tcBorders>
            <w:vAlign w:val="center"/>
          </w:tcPr>
          <w:p>
            <w:pPr>
              <w:pStyle w:val="67"/>
              <w:widowControl w:val="0"/>
              <w:ind w:firstLine="42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345" w:type="dxa"/>
            <w:tcBorders>
              <w:left w:val="single" w:color="auto" w:sz="12" w:space="0"/>
            </w:tcBorders>
            <w:vAlign w:val="center"/>
          </w:tcPr>
          <w:p>
            <w:pPr>
              <w:pStyle w:val="67"/>
              <w:widowControl/>
              <w:ind w:firstLine="1260" w:firstLineChars="600"/>
              <w:rPr>
                <w:rFonts w:hAnsi="Cambria Math"/>
              </w:rPr>
            </w:pPr>
            <m:oMath>
              <m:r>
                <m:rPr>
                  <m:sty m:val="p"/>
                </m:rPr>
                <w:rPr>
                  <w:rFonts w:ascii="Cambria Math" w:hAnsi="Cambria Math"/>
                </w:rPr>
                <m:t>20≤R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Sub>
              <m:r>
                <m:rPr>
                  <m:sty m:val="p"/>
                </m:rPr>
                <w:rPr>
                  <w:rFonts w:ascii="Cambria Math" w:hAnsi="Cambria Math"/>
                </w:rPr>
                <m:t>≤64 且</m:t>
              </m:r>
            </m:oMath>
            <w:r>
              <w:rPr>
                <w:rFonts w:hint="eastAsia" w:hAnsi="Cambria Math"/>
              </w:rPr>
              <w:t xml:space="preserve"> </w:t>
            </w:r>
            <m:oMath>
              <m:sSub>
                <m:sSubPr>
                  <m:ctrlPr>
                    <w:rPr>
                      <w:rFonts w:ascii="Cambria Math" w:hAnsi="Cambria Math"/>
                      <w:iCs/>
                    </w:rPr>
                  </m:ctrlPr>
                </m:sSubPr>
                <m:e>
                  <m:r>
                    <m:rPr>
                      <m:sty m:val="p"/>
                    </m:rPr>
                    <w:rPr>
                      <w:rFonts w:ascii="Cambria Math" w:hAnsi="Cambria Math"/>
                    </w:rPr>
                    <m:t>T</m:t>
                  </m:r>
                  <m:ctrlPr>
                    <w:rPr>
                      <w:rFonts w:ascii="Cambria Math" w:hAnsi="Cambria Math"/>
                      <w:iCs/>
                    </w:rPr>
                  </m:ctrlPr>
                </m:e>
                <m:sub>
                  <m:r>
                    <m:rPr/>
                    <w:rPr>
                      <w:rFonts w:ascii="Cambria Math" w:hAnsi="Cambria Math"/>
                    </w:rPr>
                    <m:t>i</m:t>
                  </m:r>
                  <m:ctrlPr>
                    <w:rPr>
                      <w:rFonts w:ascii="Cambria Math" w:hAnsi="Cambria Math"/>
                      <w:iCs/>
                    </w:rPr>
                  </m:ctrlPr>
                </m:sub>
              </m:sSub>
              <m:r>
                <m:rPr>
                  <m:sty m:val="p"/>
                </m:rPr>
                <w:rPr>
                  <w:rFonts w:ascii="Cambria Math" w:hAnsi="Cambria Math"/>
                </w:rPr>
                <m:t>＜−1.65×1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−4</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up>
                  <m:r>
                    <m:rPr>
                      <m:sty m:val="p"/>
                    </m:rPr>
                    <w:rPr>
                      <w:rFonts w:ascii="Cambria Math" w:hAnsi="Cambria Math"/>
                    </w:rPr>
                    <m:t>3</m:t>
                  </m:r>
                  <m:ctrlPr>
                    <w:rPr>
                      <w:rFonts w:ascii="Cambria Math" w:hAnsi="Cambria Math"/>
                      <w:iCs/>
                    </w:rPr>
                  </m:ctrlPr>
                </m:sup>
              </m:sSubSup>
            </m:oMath>
          </w:p>
          <w:p>
            <w:pPr>
              <w:pStyle w:val="67"/>
              <w:widowControl w:val="0"/>
              <w:ind w:firstLine="1260" w:firstLineChars="600"/>
              <w:rPr>
                <w:rFonts w:ascii="Calibri" w:hAnsi="Calibri"/>
              </w:rPr>
            </w:pPr>
            <m:oMathPara>
              <m:oMath>
                <m:r>
                  <m:rPr>
                    <m:sty m:val="p"/>
                  </m:rPr>
                  <w:rPr>
                    <w:rFonts w:ascii="Cambria Math" w:hAnsi="Cambria Math"/>
                  </w:rPr>
                  <m:t>+2.87×1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−2</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up>
                    <m:r>
                      <m:rPr>
                        <m:sty m:val="p"/>
                      </m:rPr>
                      <w:rPr>
                        <w:rFonts w:ascii="Cambria Math" w:hAnsi="Cambria Math"/>
                      </w:rPr>
                      <m:t>2</m:t>
                    </m:r>
                    <m:ctrlPr>
                      <w:rPr>
                        <w:rFonts w:ascii="Cambria Math" w:hAnsi="Cambria Math"/>
                        <w:iCs/>
                      </w:rPr>
                    </m:ctrlPr>
                  </m:sup>
                </m:sSubSup>
                <m:r>
                  <m:rPr>
                    <m:sty m:val="p"/>
                  </m:rPr>
                  <w:rPr>
                    <w:rFonts w:ascii="Cambria Math" w:hAnsi="Cambria Math"/>
                  </w:rPr>
                  <m:t>−2.07R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Sub>
                <m:r>
                  <m:rPr>
                    <m:sty m:val="p"/>
                  </m:rPr>
                  <w:rPr>
                    <w:rFonts w:ascii="Cambria Math" w:hAnsi="Cambria Math"/>
                  </w:rPr>
                  <m:t>+63.2</m:t>
                </m:r>
              </m:oMath>
            </m:oMathPara>
          </w:p>
        </w:tc>
        <w:tc>
          <w:tcPr>
            <w:tcW w:w="3225" w:type="dxa"/>
            <w:vMerge w:val="restart"/>
            <w:tcBorders>
              <w:right w:val="single" w:color="auto" w:sz="12" w:space="0"/>
            </w:tcBorders>
            <w:vAlign w:val="center"/>
          </w:tcPr>
          <w:p>
            <w:pPr>
              <w:pStyle w:val="67"/>
              <w:widowControl w:val="0"/>
              <w:ind w:firstLine="420"/>
            </w:pPr>
            <m:oMathPara>
              <m:oMath>
                <m:r>
                  <m:rPr>
                    <m:sty m:val="p"/>
                  </m:rPr>
                  <w:rPr>
                    <w:rFonts w:ascii="Cambria Math" w:hAnsi="Cambria Math"/>
                  </w:rPr>
                  <m:t>SP</m:t>
                </m:r>
                <m:sSubSup>
                  <m:sSubSupPr>
                    <m:ctrlPr>
                      <w:rPr>
                        <w:rFonts w:ascii="Cambria Math" w:hAnsi="Cambria Math"/>
                        <w:iCs/>
                      </w:rPr>
                    </m:ctrlPr>
                  </m:sSubSupPr>
                  <m:e>
                    <m:r>
                      <m:rPr>
                        <m:sty m:val="p"/>
                      </m:rPr>
                      <w:rPr>
                        <w:rFonts w:ascii="Cambria Math" w:hAnsi="Cambria Math"/>
                      </w:rPr>
                      <m:t>L</m:t>
                    </m:r>
                    <m:ctrlPr>
                      <w:rPr>
                        <w:rFonts w:ascii="Cambria Math" w:hAnsi="Cambria Math"/>
                        <w:iCs/>
                      </w:rPr>
                    </m:ctrlPr>
                  </m:e>
                  <m:sub>
                    <m:r>
                      <m:rPr/>
                      <w:rPr>
                        <w:rFonts w:ascii="Cambria Math" w:hAnsi="Cambria Math"/>
                      </w:rPr>
                      <m:t>i</m:t>
                    </m:r>
                    <m:ctrlPr>
                      <w:rPr>
                        <w:rFonts w:ascii="Cambria Math" w:hAnsi="Cambria Math"/>
                        <w:iCs/>
                      </w:rPr>
                    </m:ctrlPr>
                  </m:sub>
                  <m:sup>
                    <m:r>
                      <m:rPr>
                        <m:sty m:val="p"/>
                      </m:rPr>
                      <w:rPr>
                        <w:rFonts w:ascii="Cambria Math" w:hAnsi="Cambria Math"/>
                      </w:rPr>
                      <m:t>∗</m:t>
                    </m:r>
                    <m:ctrlPr>
                      <w:rPr>
                        <w:rFonts w:ascii="Cambria Math" w:hAnsi="Cambria Math"/>
                        <w:iCs/>
                      </w:rPr>
                    </m:ctrlPr>
                  </m:sup>
                </m:sSubSup>
                <m:r>
                  <m:rPr>
                    <m:sty m:val="p"/>
                  </m:rPr>
                  <w:rPr>
                    <w:rFonts w:ascii="Cambria Math" w:hAnsi="Cambria Math"/>
                  </w:rPr>
                  <m:t>=SP</m:t>
                </m:r>
                <m:sSub>
                  <m:sSubPr>
                    <m:ctrlPr>
                      <w:rPr>
                        <w:rFonts w:ascii="Cambria Math" w:hAnsi="Cambria Math"/>
                        <w:iCs/>
                      </w:rPr>
                    </m:ctrlPr>
                  </m:sSubPr>
                  <m:e>
                    <m:r>
                      <m:rPr>
                        <m:sty m:val="p"/>
                      </m:rPr>
                      <w:rPr>
                        <w:rFonts w:ascii="Cambria Math" w:hAnsi="Cambria Math"/>
                      </w:rPr>
                      <m:t>L</m:t>
                    </m:r>
                    <m:ctrlPr>
                      <w:rPr>
                        <w:rFonts w:ascii="Cambria Math" w:hAnsi="Cambria Math"/>
                        <w:iCs/>
                      </w:rPr>
                    </m:ctrlPr>
                  </m:e>
                  <m:sub>
                    <m:r>
                      <m:rPr/>
                      <w:rPr>
                        <w:rFonts w:ascii="Cambria Math" w:hAnsi="Cambria Math"/>
                      </w:rPr>
                      <m:t>i</m:t>
                    </m:r>
                    <m:ctrlPr>
                      <w:rPr>
                        <w:rFonts w:ascii="Cambria Math" w:hAnsi="Cambria Math"/>
                        <w:iCs/>
                      </w:rPr>
                    </m:ctrlPr>
                  </m:sub>
                </m:sSub>
                <m:r>
                  <m:rPr>
                    <m:sty m:val="p"/>
                  </m:rPr>
                  <w:rPr>
                    <w:rFonts w:ascii="Cambria Math" w:hAnsi="Cambria Math"/>
                  </w:rPr>
                  <m:t>+0.4dB</m:t>
                </m:r>
                <m:r>
                  <m:rPr>
                    <m:sty m:val="p"/>
                  </m:rPr>
                  <w:rPr>
                    <w:rFonts w:hint="eastAsia" w:ascii="Cambria Math" w:hAnsi="Cambria Math"/>
                  </w:rPr>
                  <m:t>（</m:t>
                </m:r>
                <m:r>
                  <m:rPr>
                    <m:sty m:val="p"/>
                  </m:rPr>
                  <w:rPr>
                    <w:rFonts w:ascii="Cambria Math" w:hAnsi="Cambria Math"/>
                  </w:rPr>
                  <m:t>A</m:t>
                </m:r>
                <m:r>
                  <m:rPr>
                    <m:sty m:val="p"/>
                  </m:rPr>
                  <w:rPr>
                    <w:rFonts w:hint="eastAsia" w:ascii="Cambria Math" w:hAnsi="Cambria Math"/>
                  </w:rPr>
                  <m:t>）</m:t>
                </m:r>
              </m:oMath>
            </m:oMathPara>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345" w:type="dxa"/>
            <w:tcBorders>
              <w:left w:val="single" w:color="auto" w:sz="12" w:space="0"/>
            </w:tcBorders>
            <w:vAlign w:val="center"/>
          </w:tcPr>
          <w:p>
            <w:pPr>
              <w:pStyle w:val="67"/>
              <w:widowControl/>
              <w:ind w:firstLine="199" w:firstLineChars="95"/>
              <w:jc w:val="center"/>
              <w:rPr>
                <w:rFonts w:hAnsi="Cambria Math"/>
              </w:rPr>
            </w:pPr>
            <m:oMath>
              <m:r>
                <m:rPr>
                  <m:sty m:val="p"/>
                </m:rPr>
                <w:rPr>
                  <w:rFonts w:ascii="Cambria Math" w:hAnsi="Cambria Math"/>
                </w:rPr>
                <m:t>20≤R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Sub>
              <m:r>
                <m:rPr>
                  <m:sty m:val="p"/>
                </m:rPr>
                <w:rPr>
                  <w:rFonts w:ascii="Cambria Math" w:hAnsi="Cambria Math"/>
                </w:rPr>
                <m:t>≤56 且</m:t>
              </m:r>
            </m:oMath>
            <w:r>
              <w:rPr>
                <w:rFonts w:hint="eastAsia" w:hAnsi="Cambria Math"/>
              </w:rPr>
              <w:t xml:space="preserve"> </w:t>
            </w:r>
            <m:oMath>
              <m:sSub>
                <m:sSubPr>
                  <m:ctrlPr>
                    <w:rPr>
                      <w:rFonts w:ascii="Cambria Math" w:hAnsi="Cambria Math"/>
                      <w:iCs/>
                    </w:rPr>
                  </m:ctrlPr>
                </m:sSubPr>
                <m:e>
                  <m:r>
                    <m:rPr>
                      <m:sty m:val="p"/>
                    </m:rPr>
                    <w:rPr>
                      <w:rFonts w:ascii="Cambria Math" w:hAnsi="Cambria Math"/>
                    </w:rPr>
                    <m:t>T</m:t>
                  </m:r>
                  <m:ctrlPr>
                    <w:rPr>
                      <w:rFonts w:ascii="Cambria Math" w:hAnsi="Cambria Math"/>
                      <w:iCs/>
                    </w:rPr>
                  </m:ctrlPr>
                </m:e>
                <m:sub>
                  <m:r>
                    <m:rPr/>
                    <w:rPr>
                      <w:rFonts w:ascii="Cambria Math" w:hAnsi="Cambria Math"/>
                      <w:vertAlign w:val="subscript"/>
                    </w:rPr>
                    <m:t>i</m:t>
                  </m:r>
                  <m:ctrlPr>
                    <w:rPr>
                      <w:rFonts w:ascii="Cambria Math" w:hAnsi="Cambria Math"/>
                      <w:iCs/>
                    </w:rPr>
                  </m:ctrlPr>
                </m:sub>
              </m:sSub>
              <m:r>
                <m:rPr>
                  <m:sty m:val="p"/>
                </m:rPr>
                <w:rPr>
                  <w:rFonts w:ascii="Cambria Math" w:hAnsi="Cambria Math"/>
                </w:rPr>
                <m:t>≥−2.43×1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−4</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vertAlign w:val="subscript"/>
                    </w:rPr>
                    <m:t>i</m:t>
                  </m:r>
                  <m:ctrlPr>
                    <w:rPr>
                      <w:rFonts w:ascii="Cambria Math" w:hAnsi="Cambria Math"/>
                      <w:iCs/>
                    </w:rPr>
                  </m:ctrlPr>
                </m:sub>
                <m:sup>
                  <m:r>
                    <m:rPr>
                      <m:sty m:val="p"/>
                    </m:rPr>
                    <w:rPr>
                      <w:rFonts w:ascii="Cambria Math" w:hAnsi="Cambria Math"/>
                    </w:rPr>
                    <m:t>3</m:t>
                  </m:r>
                  <m:ctrlPr>
                    <w:rPr>
                      <w:rFonts w:ascii="Cambria Math" w:hAnsi="Cambria Math"/>
                      <w:iCs/>
                    </w:rPr>
                  </m:ctrlPr>
                </m:sup>
              </m:sSubSup>
            </m:oMath>
          </w:p>
          <w:p>
            <w:pPr>
              <w:pStyle w:val="67"/>
              <w:widowControl w:val="0"/>
              <w:ind w:firstLine="1260" w:firstLineChars="600"/>
              <w:jc w:val="center"/>
              <w:rPr>
                <w:rFonts w:ascii="Calibri" w:hAnsi="Calibri"/>
              </w:rPr>
            </w:pPr>
            <m:oMathPara>
              <m:oMath>
                <m:r>
                  <m:rPr>
                    <m:sty m:val="p"/>
                  </m:rPr>
                  <w:rPr>
                    <w:rFonts w:ascii="Cambria Math" w:hAnsi="Cambria Math"/>
                  </w:rPr>
                  <m:t>+3.6×1</m:t>
                </m:r>
                <m:sSup>
                  <m:sSupPr>
                    <m:ctrlPr>
                      <w:rPr>
                        <w:rFonts w:ascii="Cambria Math" w:hAnsi="Cambria Math"/>
                        <w:iCs/>
                      </w:rPr>
                    </m:ctrlPr>
                  </m:sSupPr>
                  <m:e>
                    <m:r>
                      <m:rPr>
                        <m:sty m:val="p"/>
                      </m:rPr>
                      <w:rPr>
                        <w:rFonts w:ascii="Cambria Math" w:hAnsi="Cambria Math"/>
                      </w:rPr>
                      <m:t>0</m:t>
                    </m:r>
                    <m:ctrlPr>
                      <w:rPr>
                        <w:rFonts w:ascii="Cambria Math" w:hAnsi="Cambria Math"/>
                        <w:iCs/>
                      </w:rPr>
                    </m:ctrlPr>
                  </m:e>
                  <m:sup>
                    <m:r>
                      <m:rPr>
                        <m:sty m:val="p"/>
                      </m:rPr>
                      <w:rPr>
                        <w:rFonts w:ascii="Cambria Math" w:hAnsi="Cambria Math"/>
                      </w:rPr>
                      <m:t>−2</m:t>
                    </m:r>
                    <m:ctrlPr>
                      <w:rPr>
                        <w:rFonts w:ascii="Cambria Math" w:hAnsi="Cambria Math"/>
                        <w:iCs/>
                      </w:rPr>
                    </m:ctrlPr>
                  </m:sup>
                </m:sSup>
                <m:r>
                  <m:rPr>
                    <m:sty m:val="p"/>
                  </m:rPr>
                  <w:rPr>
                    <w:rFonts w:ascii="Cambria Math" w:hAnsi="Cambria Math"/>
                  </w:rPr>
                  <m:t>R</m:t>
                </m:r>
                <m:sSubSup>
                  <m:sSubSupPr>
                    <m:ctrlPr>
                      <w:rPr>
                        <w:rFonts w:ascii="Cambria Math" w:hAnsi="Cambria Math"/>
                        <w:iCs/>
                      </w:rPr>
                    </m:ctrlPr>
                  </m:sSubSup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up>
                    <m:r>
                      <m:rPr>
                        <m:sty m:val="p"/>
                      </m:rPr>
                      <w:rPr>
                        <w:rFonts w:ascii="Cambria Math" w:hAnsi="Cambria Math"/>
                      </w:rPr>
                      <m:t>2</m:t>
                    </m:r>
                    <m:ctrlPr>
                      <w:rPr>
                        <w:rFonts w:ascii="Cambria Math" w:hAnsi="Cambria Math"/>
                        <w:iCs/>
                      </w:rPr>
                    </m:ctrlPr>
                  </m:sup>
                </m:sSubSup>
                <m:r>
                  <m:rPr>
                    <m:sty m:val="p"/>
                  </m:rPr>
                  <w:rPr>
                    <w:rFonts w:ascii="Cambria Math" w:hAnsi="Cambria Math"/>
                  </w:rPr>
                  <m:t>−2.3R</m:t>
                </m:r>
                <m:sSub>
                  <m:sSubPr>
                    <m:ctrlPr>
                      <w:rPr>
                        <w:rFonts w:ascii="Cambria Math" w:hAnsi="Cambria Math"/>
                        <w:iCs/>
                      </w:rPr>
                    </m:ctrlPr>
                  </m:sSubPr>
                  <m:e>
                    <m:r>
                      <m:rPr>
                        <m:sty m:val="p"/>
                      </m:rPr>
                      <w:rPr>
                        <w:rFonts w:ascii="Cambria Math" w:hAnsi="Cambria Math"/>
                      </w:rPr>
                      <m:t>H</m:t>
                    </m:r>
                    <m:ctrlPr>
                      <w:rPr>
                        <w:rFonts w:ascii="Cambria Math" w:hAnsi="Cambria Math"/>
                        <w:iCs/>
                      </w:rPr>
                    </m:ctrlPr>
                  </m:e>
                  <m:sub>
                    <m:r>
                      <m:rPr/>
                      <w:rPr>
                        <w:rFonts w:ascii="Cambria Math" w:hAnsi="Cambria Math"/>
                      </w:rPr>
                      <m:t>i</m:t>
                    </m:r>
                    <m:ctrlPr>
                      <w:rPr>
                        <w:rFonts w:ascii="Cambria Math" w:hAnsi="Cambria Math"/>
                        <w:iCs/>
                      </w:rPr>
                    </m:ctrlPr>
                  </m:sub>
                </m:sSub>
                <m:r>
                  <m:rPr>
                    <m:sty m:val="p"/>
                  </m:rPr>
                  <w:rPr>
                    <w:rFonts w:ascii="Cambria Math" w:hAnsi="Cambria Math"/>
                  </w:rPr>
                  <m:t>+63.58</m:t>
                </m:r>
              </m:oMath>
            </m:oMathPara>
          </w:p>
        </w:tc>
        <w:tc>
          <w:tcPr>
            <w:tcW w:w="3225" w:type="dxa"/>
            <w:vMerge w:val="continue"/>
            <w:tcBorders>
              <w:right w:val="single" w:color="auto" w:sz="12" w:space="0"/>
            </w:tcBorders>
            <w:vAlign w:val="center"/>
          </w:tcPr>
          <w:p>
            <w:pPr>
              <w:pStyle w:val="67"/>
              <w:widowControl w:val="0"/>
              <w:ind w:firstLine="420"/>
              <w:jc w:val="center"/>
              <w:rPr>
                <w:rFonts w:ascii="Calibri" w:hAnsi="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345" w:type="dxa"/>
            <w:tcBorders>
              <w:left w:val="single" w:color="auto" w:sz="12" w:space="0"/>
              <w:bottom w:val="single" w:color="auto" w:sz="12" w:space="0"/>
            </w:tcBorders>
            <w:vAlign w:val="center"/>
          </w:tcPr>
          <w:p>
            <w:pPr>
              <w:pStyle w:val="67"/>
              <w:widowControl w:val="0"/>
              <w:ind w:firstLine="420"/>
              <w:rPr>
                <w:rFonts w:ascii="Calibri" w:hAnsi="Calibri"/>
              </w:rPr>
            </w:pPr>
            <w:r>
              <w:rPr>
                <w:iCs/>
              </w:rPr>
              <w:t>满足GB42590-2023《民用无人驾驶航空器系统安全要求》中5.14.1 g）规定的条件</w:t>
            </w:r>
          </w:p>
        </w:tc>
        <w:tc>
          <w:tcPr>
            <w:tcW w:w="3225" w:type="dxa"/>
            <w:tcBorders>
              <w:bottom w:val="single" w:color="auto" w:sz="12" w:space="0"/>
              <w:right w:val="single" w:color="auto" w:sz="12" w:space="0"/>
            </w:tcBorders>
            <w:vAlign w:val="center"/>
          </w:tcPr>
          <w:p>
            <w:pPr>
              <w:pStyle w:val="67"/>
              <w:widowControl w:val="0"/>
              <w:ind w:firstLine="420"/>
              <w:rPr>
                <w:rFonts w:ascii="Calibri" w:hAnsi="Calibri"/>
              </w:rPr>
            </w:pPr>
            <w:r>
              <w:rPr>
                <w:iCs/>
              </w:rPr>
              <w:t>无需修正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345" w:type="dxa"/>
            <w:tcBorders>
              <w:top w:val="single" w:color="auto" w:sz="12" w:space="0"/>
              <w:left w:val="single" w:color="auto" w:sz="12" w:space="0"/>
              <w:bottom w:val="single" w:color="auto" w:sz="12" w:space="0"/>
            </w:tcBorders>
            <w:vAlign w:val="center"/>
          </w:tcPr>
          <w:p>
            <w:pPr>
              <w:pStyle w:val="67"/>
              <w:widowControl w:val="0"/>
              <w:ind w:firstLine="0" w:firstLineChars="0"/>
              <w:rPr>
                <w:rFonts w:hint="eastAsia" w:ascii="Calibri" w:hAnsi="Calibri"/>
              </w:rPr>
            </w:pPr>
            <w:r>
              <w:rPr>
                <w:rFonts w:hint="eastAsia" w:ascii="Calibri" w:hAnsi="Calibri"/>
              </w:rPr>
              <w:t xml:space="preserve"> </w:t>
            </w:r>
            <w:r>
              <w:rPr>
                <w:rFonts w:ascii="Calibri" w:hAnsi="Calibri"/>
              </w:rPr>
              <w:t xml:space="preserve">   </w:t>
            </w:r>
            <w:r>
              <w:rPr>
                <w:iCs/>
              </w:rPr>
              <w:t>注：</w:t>
            </w:r>
            <m:oMath>
              <m:r>
                <m:rPr>
                  <m:sty m:val="p"/>
                </m:rPr>
                <w:rPr>
                  <w:rFonts w:ascii="Cambria Math" w:hAnsi="Cambria Math"/>
                </w:rPr>
                <m:t>SP</m:t>
              </m:r>
              <m:sSubSup>
                <m:sSubSupPr>
                  <m:ctrlPr>
                    <w:rPr>
                      <w:rFonts w:ascii="Cambria Math" w:hAnsi="Cambria Math"/>
                      <w:iCs/>
                    </w:rPr>
                  </m:ctrlPr>
                </m:sSubSupPr>
                <m:e>
                  <m:r>
                    <m:rPr>
                      <m:sty m:val="p"/>
                    </m:rPr>
                    <w:rPr>
                      <w:rFonts w:ascii="Cambria Math" w:hAnsi="Cambria Math"/>
                    </w:rPr>
                    <m:t>L</m:t>
                  </m:r>
                  <m:ctrlPr>
                    <w:rPr>
                      <w:rFonts w:ascii="Cambria Math" w:hAnsi="Cambria Math"/>
                      <w:iCs/>
                    </w:rPr>
                  </m:ctrlPr>
                </m:e>
                <m:sub>
                  <m:r>
                    <m:rPr/>
                    <w:rPr>
                      <w:rFonts w:ascii="Cambria Math" w:hAnsi="Cambria Math"/>
                    </w:rPr>
                    <m:t>i</m:t>
                  </m:r>
                  <m:ctrlPr>
                    <w:rPr>
                      <w:rFonts w:ascii="Cambria Math" w:hAnsi="Cambria Math"/>
                      <w:iCs/>
                    </w:rPr>
                  </m:ctrlPr>
                </m:sub>
                <m:sup>
                  <m:r>
                    <m:rPr>
                      <m:sty m:val="p"/>
                    </m:rPr>
                    <w:rPr>
                      <w:rFonts w:ascii="Cambria Math" w:hAnsi="Cambria Math"/>
                    </w:rPr>
                    <m:t>∗</m:t>
                  </m:r>
                  <m:ctrlPr>
                    <w:rPr>
                      <w:rFonts w:ascii="Cambria Math" w:hAnsi="Cambria Math"/>
                      <w:iCs/>
                    </w:rPr>
                  </m:ctrlPr>
                </m:sup>
              </m:sSubSup>
            </m:oMath>
            <w:r>
              <w:rPr>
                <w:iCs/>
              </w:rPr>
              <w:t>表示修正后的声压级结果</w:t>
            </w:r>
          </w:p>
        </w:tc>
        <w:tc>
          <w:tcPr>
            <w:tcW w:w="3225" w:type="dxa"/>
            <w:tcBorders>
              <w:top w:val="single" w:color="auto" w:sz="12" w:space="0"/>
              <w:bottom w:val="single" w:color="auto" w:sz="12" w:space="0"/>
              <w:right w:val="single" w:color="auto" w:sz="12" w:space="0"/>
            </w:tcBorders>
            <w:vAlign w:val="center"/>
          </w:tcPr>
          <w:p>
            <w:pPr>
              <w:pStyle w:val="67"/>
              <w:widowControl w:val="0"/>
              <w:ind w:firstLine="420"/>
              <w:rPr>
                <w:rFonts w:ascii="Calibri" w:hAnsi="Calibri"/>
              </w:rPr>
            </w:pPr>
          </w:p>
        </w:tc>
      </w:tr>
    </w:tbl>
    <w:p>
      <w:pPr>
        <w:pStyle w:val="67"/>
        <w:ind w:firstLine="0" w:firstLineChars="0"/>
        <w:rPr>
          <w:rFonts w:hint="eastAsia"/>
        </w:rPr>
      </w:pPr>
    </w:p>
    <w:p>
      <w:pPr>
        <w:ind w:firstLine="420" w:firstLineChars="200"/>
        <w:rPr>
          <w:rFonts w:ascii="宋体" w:hAnsi="宋体" w:eastAsia="宋体" w:cs="Times New Roman"/>
          <w:szCs w:val="21"/>
        </w:rPr>
      </w:pPr>
      <w:r>
        <w:rPr>
          <w:rFonts w:hint="eastAsia" w:ascii="宋体" w:hAnsi="宋体" w:eastAsia="宋体" w:cs="Times New Roman"/>
          <w:szCs w:val="21"/>
        </w:rPr>
        <w:t>8）</w:t>
      </w:r>
      <w:r>
        <w:rPr>
          <w:rFonts w:ascii="宋体" w:hAnsi="宋体" w:eastAsia="宋体" w:cs="Times New Roman"/>
          <w:szCs w:val="21"/>
        </w:rPr>
        <w:t>对重复测试的结果进行算术平均，得到测量的A计权声压级大小</w:t>
      </w:r>
      <w:r>
        <w:rPr>
          <w:rFonts w:hint="eastAsia" w:ascii="宋体" w:hAnsi="宋体" w:eastAsia="宋体" w:cs="Times New Roman"/>
          <w:szCs w:val="21"/>
        </w:rPr>
        <w:t xml:space="preserve"> </w:t>
      </w:r>
      <w:r>
        <w:rPr>
          <w:rFonts w:ascii="宋体" w:hAnsi="宋体" w:eastAsia="宋体" w:cs="Times New Roman"/>
          <w:szCs w:val="21"/>
        </w:rPr>
        <w:t>SPL</w:t>
      </w:r>
      <w:r>
        <w:rPr>
          <w:rFonts w:ascii="宋体" w:hAnsi="宋体" w:eastAsia="宋体" w:cs="Times New Roman"/>
          <w:szCs w:val="21"/>
          <w:vertAlign w:val="subscript"/>
        </w:rPr>
        <w:t>m</w:t>
      </w:r>
      <w:r>
        <w:rPr>
          <w:rFonts w:ascii="宋体" w:hAnsi="宋体" w:eastAsia="宋体" w:cs="Times New Roman"/>
          <w:szCs w:val="21"/>
        </w:rPr>
        <w:t>，见公式（A.</w:t>
      </w:r>
      <w:r>
        <w:rPr>
          <w:rFonts w:hint="eastAsia" w:ascii="宋体" w:hAnsi="宋体" w:eastAsia="宋体" w:cs="Times New Roman"/>
          <w:szCs w:val="21"/>
        </w:rPr>
        <w:t>6</w:t>
      </w:r>
      <w:r>
        <w:rPr>
          <w:rFonts w:ascii="宋体" w:hAnsi="宋体" w:eastAsia="宋体" w:cs="Times New Roman"/>
          <w:szCs w:val="21"/>
        </w:rPr>
        <w:t>）。</w:t>
      </w:r>
    </w:p>
    <w:tbl>
      <w:tblPr>
        <w:tblStyle w:val="2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39"/>
        <w:gridCol w:w="3156"/>
        <w:gridCol w:w="32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40" w:type="dxa"/>
            <w:vAlign w:val="center"/>
          </w:tcPr>
          <w:p>
            <w:pPr>
              <w:jc w:val="center"/>
              <w:rPr>
                <w:rFonts w:ascii="宋体" w:hAnsi="宋体" w:eastAsia="宋体" w:cs="Times New Roman"/>
                <w:szCs w:val="21"/>
              </w:rPr>
            </w:pPr>
          </w:p>
        </w:tc>
        <w:tc>
          <w:tcPr>
            <w:tcW w:w="3340" w:type="dxa"/>
            <w:vAlign w:val="center"/>
          </w:tcPr>
          <w:p>
            <w:pPr>
              <w:jc w:val="center"/>
              <w:rPr>
                <w:rFonts w:ascii="宋体" w:hAnsi="宋体" w:eastAsia="宋体" w:cs="Times New Roman"/>
                <w:szCs w:val="21"/>
              </w:rPr>
            </w:pPr>
            <m:oMathPara>
              <m:oMath>
                <m:r>
                  <m:rPr>
                    <m:nor/>
                    <m:sty m:val="p"/>
                  </m:rPr>
                  <w:rPr>
                    <w:rFonts w:ascii="宋体" w:hAnsi="宋体" w:eastAsia="宋体" w:cs="Times New Roman"/>
                    <w:b w:val="0"/>
                    <w:i w:val="0"/>
                    <w:szCs w:val="21"/>
                  </w:rPr>
                  <m:t>SP</m:t>
                </m:r>
                <m:sSub>
                  <m:sSubPr>
                    <m:ctrlPr>
                      <w:rPr>
                        <w:rFonts w:ascii="Cambria Math" w:hAnsi="Cambria Math" w:eastAsia="宋体" w:cs="Times New Roman"/>
                        <w:szCs w:val="21"/>
                      </w:rPr>
                    </m:ctrlPr>
                  </m:sSubPr>
                  <m:e>
                    <m:r>
                      <m:rPr>
                        <m:nor/>
                        <m:sty m:val="p"/>
                      </m:rPr>
                      <w:rPr>
                        <w:rFonts w:ascii="宋体" w:hAnsi="宋体" w:eastAsia="宋体" w:cs="Times New Roman"/>
                        <w:b w:val="0"/>
                        <w:i w:val="0"/>
                        <w:szCs w:val="21"/>
                      </w:rPr>
                      <m:t>L</m:t>
                    </m:r>
                    <m:ctrlPr>
                      <w:rPr>
                        <w:rFonts w:ascii="Cambria Math" w:hAnsi="Cambria Math" w:eastAsia="宋体" w:cs="Times New Roman"/>
                        <w:szCs w:val="21"/>
                      </w:rPr>
                    </m:ctrlPr>
                  </m:e>
                  <m:sub>
                    <m:r>
                      <m:rPr/>
                      <w:rPr>
                        <w:rFonts w:ascii="Cambria Math" w:hAnsi="Cambria Math" w:eastAsia="宋体" w:cs="Times New Roman"/>
                        <w:szCs w:val="21"/>
                      </w:rPr>
                      <m:t>m</m:t>
                    </m:r>
                    <m:ctrlPr>
                      <w:rPr>
                        <w:rFonts w:ascii="Cambria Math" w:hAnsi="Cambria Math" w:eastAsia="宋体" w:cs="Times New Roman"/>
                        <w:i/>
                        <w:szCs w:val="21"/>
                      </w:rPr>
                    </m:ctrlPr>
                  </m:sub>
                </m:sSub>
                <m:r>
                  <m:rPr/>
                  <w:rPr>
                    <w:rFonts w:ascii="Cambria Math" w:hAnsi="Cambria Math" w:eastAsia="宋体" w:cs="Times New Roman"/>
                    <w:szCs w:val="21"/>
                  </w:rPr>
                  <m:t>=</m:t>
                </m:r>
                <m:f>
                  <m:fPr>
                    <m:ctrlPr>
                      <w:rPr>
                        <w:rFonts w:ascii="Cambria Math" w:hAnsi="Cambria Math" w:eastAsia="宋体" w:cs="Times New Roman"/>
                        <w:i/>
                        <w:szCs w:val="21"/>
                      </w:rPr>
                    </m:ctrlPr>
                  </m:fPr>
                  <m:num>
                    <m:r>
                      <m:rPr/>
                      <w:rPr>
                        <w:rFonts w:ascii="Cambria Math" w:hAnsi="Cambria Math" w:eastAsia="宋体" w:cs="Times New Roman"/>
                        <w:szCs w:val="21"/>
                      </w:rPr>
                      <m:t>1</m:t>
                    </m:r>
                    <m:ctrlPr>
                      <w:rPr>
                        <w:rFonts w:ascii="Cambria Math" w:hAnsi="Cambria Math" w:eastAsia="宋体" w:cs="Times New Roman"/>
                        <w:i/>
                        <w:szCs w:val="21"/>
                      </w:rPr>
                    </m:ctrlPr>
                  </m:num>
                  <m:den>
                    <m:r>
                      <m:rPr/>
                      <w:rPr>
                        <w:rFonts w:ascii="Cambria Math" w:hAnsi="Cambria Math" w:eastAsia="宋体" w:cs="Times New Roman"/>
                        <w:szCs w:val="21"/>
                      </w:rPr>
                      <m:t>N</m:t>
                    </m:r>
                    <m:ctrlPr>
                      <w:rPr>
                        <w:rFonts w:ascii="Cambria Math" w:hAnsi="Cambria Math" w:eastAsia="宋体" w:cs="Times New Roman"/>
                        <w:i/>
                        <w:szCs w:val="21"/>
                      </w:rPr>
                    </m:ctrlPr>
                  </m:den>
                </m:f>
                <m:nary>
                  <m:naryPr>
                    <m:chr m:val="∑"/>
                    <m:ctrlPr>
                      <w:rPr>
                        <w:rFonts w:ascii="Cambria Math" w:hAnsi="Cambria Math" w:eastAsia="宋体" w:cs="Times New Roman"/>
                        <w:i/>
                        <w:szCs w:val="21"/>
                      </w:rPr>
                    </m:ctrlPr>
                  </m:naryPr>
                  <m:sub>
                    <m:r>
                      <m:rPr/>
                      <w:rPr>
                        <w:rFonts w:ascii="Cambria Math" w:hAnsi="Cambria Math" w:eastAsia="宋体" w:cs="Times New Roman"/>
                        <w:szCs w:val="21"/>
                      </w:rPr>
                      <m:t>i=1</m:t>
                    </m:r>
                    <m:ctrlPr>
                      <w:rPr>
                        <w:rFonts w:ascii="Cambria Math" w:hAnsi="Cambria Math" w:eastAsia="宋体" w:cs="Times New Roman"/>
                        <w:i/>
                        <w:szCs w:val="21"/>
                      </w:rPr>
                    </m:ctrlPr>
                  </m:sub>
                  <m:sup>
                    <m:r>
                      <m:rPr/>
                      <w:rPr>
                        <w:rFonts w:ascii="Cambria Math" w:hAnsi="Cambria Math" w:eastAsia="宋体" w:cs="Times New Roman"/>
                        <w:szCs w:val="21"/>
                      </w:rPr>
                      <m:t>N</m:t>
                    </m:r>
                    <m:ctrlPr>
                      <w:rPr>
                        <w:rFonts w:ascii="Cambria Math" w:hAnsi="Cambria Math" w:eastAsia="宋体" w:cs="Times New Roman"/>
                        <w:i/>
                        <w:szCs w:val="21"/>
                      </w:rPr>
                    </m:ctrlPr>
                  </m:sup>
                  <m:e>
                    <m:r>
                      <m:rPr/>
                      <w:rPr>
                        <w:rFonts w:ascii="Cambria Math" w:hAnsi="Cambria Math" w:eastAsia="宋体" w:cs="Times New Roman"/>
                        <w:szCs w:val="21"/>
                      </w:rPr>
                      <m:t>SP</m:t>
                    </m:r>
                    <m:sSup>
                      <m:sSupPr>
                        <m:ctrlPr>
                          <w:rPr>
                            <w:rFonts w:ascii="Cambria Math" w:hAnsi="Cambria Math" w:eastAsia="宋体" w:cs="Times New Roman"/>
                            <w:i/>
                            <w:szCs w:val="21"/>
                          </w:rPr>
                        </m:ctrlPr>
                      </m:sSupPr>
                      <m:e>
                        <m:sSub>
                          <m:sSubPr>
                            <m:ctrlPr>
                              <w:rPr>
                                <w:rFonts w:ascii="Cambria Math" w:hAnsi="Cambria Math" w:eastAsia="宋体" w:cs="Times New Roman"/>
                                <w:i/>
                                <w:szCs w:val="21"/>
                              </w:rPr>
                            </m:ctrlPr>
                          </m:sSubPr>
                          <m:e>
                            <m:r>
                              <m:rPr/>
                              <w:rPr>
                                <w:rFonts w:ascii="Cambria Math" w:hAnsi="Cambria Math" w:eastAsia="宋体" w:cs="Times New Roman"/>
                                <w:szCs w:val="21"/>
                              </w:rPr>
                              <m:t>L</m:t>
                            </m:r>
                            <m:ctrlPr>
                              <w:rPr>
                                <w:rFonts w:ascii="Cambria Math" w:hAnsi="Cambria Math" w:eastAsia="宋体" w:cs="Times New Roman"/>
                                <w:i/>
                                <w:szCs w:val="21"/>
                              </w:rPr>
                            </m:ctrlPr>
                          </m:e>
                          <m:sub>
                            <m:r>
                              <m:rPr/>
                              <w:rPr>
                                <w:rFonts w:ascii="Cambria Math" w:hAnsi="Cambria Math" w:eastAsia="宋体" w:cs="Times New Roman"/>
                                <w:szCs w:val="21"/>
                              </w:rPr>
                              <m:t>i</m:t>
                            </m:r>
                            <m:ctrlPr>
                              <w:rPr>
                                <w:rFonts w:ascii="Cambria Math" w:hAnsi="Cambria Math" w:eastAsia="宋体" w:cs="Times New Roman"/>
                                <w:i/>
                                <w:szCs w:val="21"/>
                              </w:rPr>
                            </m:ctrlPr>
                          </m:sub>
                        </m:sSub>
                        <m:ctrlPr>
                          <w:rPr>
                            <w:rFonts w:ascii="Cambria Math" w:hAnsi="Cambria Math" w:eastAsia="宋体" w:cs="Times New Roman"/>
                            <w:i/>
                            <w:szCs w:val="21"/>
                          </w:rPr>
                        </m:ctrlPr>
                      </m:e>
                      <m:sup>
                        <m:r>
                          <m:rPr/>
                          <w:rPr>
                            <w:rFonts w:ascii="Cambria Math" w:hAnsi="Cambria Math" w:eastAsia="宋体" w:cs="Times New Roman"/>
                            <w:szCs w:val="21"/>
                          </w:rPr>
                          <m:t>∗</m:t>
                        </m:r>
                        <m:ctrlPr>
                          <w:rPr>
                            <w:rFonts w:ascii="Cambria Math" w:hAnsi="Cambria Math" w:eastAsia="宋体" w:cs="Times New Roman"/>
                            <w:i/>
                            <w:szCs w:val="21"/>
                          </w:rPr>
                        </m:ctrlPr>
                      </m:sup>
                    </m:sSup>
                    <m:ctrlPr>
                      <w:rPr>
                        <w:rFonts w:ascii="Cambria Math" w:hAnsi="Cambria Math" w:eastAsia="宋体" w:cs="Times New Roman"/>
                        <w:i/>
                        <w:szCs w:val="21"/>
                      </w:rPr>
                    </m:ctrlPr>
                  </m:e>
                </m:nary>
              </m:oMath>
            </m:oMathPara>
          </w:p>
        </w:tc>
        <w:tc>
          <w:tcPr>
            <w:tcW w:w="3340" w:type="dxa"/>
            <w:vAlign w:val="center"/>
          </w:tcPr>
          <w:p>
            <w:pPr>
              <w:jc w:val="right"/>
              <w:rPr>
                <w:rFonts w:ascii="宋体" w:hAnsi="宋体" w:eastAsia="宋体" w:cs="Times New Roman"/>
                <w:szCs w:val="21"/>
              </w:rPr>
            </w:pPr>
            <w:r>
              <w:rPr>
                <w:rFonts w:hint="eastAsia" w:ascii="宋体" w:hAnsi="宋体" w:eastAsia="宋体" w:cs="Times New Roman"/>
                <w:szCs w:val="21"/>
              </w:rPr>
              <w:t>…………………………</w:t>
            </w:r>
            <w:r>
              <w:rPr>
                <w:rFonts w:ascii="宋体" w:hAnsi="宋体" w:eastAsia="宋体" w:cs="Times New Roman"/>
                <w:szCs w:val="21"/>
              </w:rPr>
              <w:t>（A.</w:t>
            </w:r>
            <w:r>
              <w:rPr>
                <w:rFonts w:hint="eastAsia" w:ascii="宋体" w:hAnsi="宋体" w:eastAsia="宋体" w:cs="Times New Roman"/>
                <w:szCs w:val="21"/>
              </w:rPr>
              <w:t>6</w:t>
            </w:r>
            <w:r>
              <w:rPr>
                <w:rFonts w:ascii="宋体" w:hAnsi="宋体" w:eastAsia="宋体" w:cs="Times New Roman"/>
                <w:szCs w:val="21"/>
              </w:rPr>
              <w:t>）</w:t>
            </w:r>
          </w:p>
        </w:tc>
      </w:tr>
    </w:tbl>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式中：</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N：重复测量次数；</w:t>
      </w:r>
    </w:p>
    <w:p>
      <w:pPr>
        <w:ind w:firstLine="420" w:firstLineChars="200"/>
        <w:rPr>
          <w:rFonts w:hint="eastAsia" w:asciiTheme="minorEastAsia" w:hAnsiTheme="minorEastAsia" w:eastAsiaTheme="minorEastAsia" w:cstheme="minorEastAsia"/>
          <w:szCs w:val="21"/>
        </w:rPr>
      </w:pPr>
      <m:oMath>
        <m:r>
          <m:rPr/>
          <w:rPr>
            <w:rFonts w:hint="eastAsia" w:ascii="Cambria Math" w:hAnsi="Cambria Math" w:eastAsiaTheme="minorEastAsia" w:cstheme="minorEastAsia"/>
            <w:szCs w:val="21"/>
          </w:rPr>
          <m:t>i</m:t>
        </m:r>
      </m:oMath>
      <w:r>
        <w:rPr>
          <w:rFonts w:hint="eastAsia" w:asciiTheme="minorEastAsia" w:hAnsiTheme="minorEastAsia" w:eastAsiaTheme="minorEastAsia" w:cstheme="minorEastAsia"/>
          <w:szCs w:val="21"/>
        </w:rPr>
        <w:t>：第</w:t>
      </w:r>
      <m:oMath>
        <m:r>
          <m:rPr/>
          <w:rPr>
            <w:rFonts w:hint="eastAsia" w:ascii="Cambria Math" w:hAnsi="Cambria Math" w:eastAsiaTheme="minorEastAsia" w:cstheme="minorEastAsia"/>
            <w:szCs w:val="21"/>
          </w:rPr>
          <m:t>i</m:t>
        </m:r>
      </m:oMath>
      <w:r>
        <w:rPr>
          <w:rFonts w:hint="eastAsia" w:asciiTheme="minorEastAsia" w:hAnsiTheme="minorEastAsia" w:eastAsiaTheme="minorEastAsia" w:cstheme="minorEastAsia"/>
          <w:szCs w:val="21"/>
        </w:rPr>
        <w:t>次测量结果；</w:t>
      </w:r>
    </w:p>
    <w:p>
      <w:pPr>
        <w:ind w:firstLine="420" w:firstLineChars="200"/>
        <w:rPr>
          <w:rFonts w:hint="eastAsia" w:asciiTheme="minorEastAsia" w:hAnsiTheme="minorEastAsia" w:eastAsiaTheme="minorEastAsia" w:cstheme="minorEastAsia"/>
          <w:szCs w:val="21"/>
        </w:rPr>
      </w:pPr>
      <m:oMath>
        <m:r>
          <m:rPr/>
          <w:rPr>
            <w:rFonts w:hint="eastAsia" w:ascii="Cambria Math" w:hAnsi="Cambria Math" w:eastAsiaTheme="minorEastAsia" w:cstheme="minorEastAsia"/>
            <w:szCs w:val="21"/>
          </w:rPr>
          <m:t>SP</m:t>
        </m:r>
        <m:sSup>
          <m:sSupPr>
            <m:ctrlPr>
              <w:rPr>
                <w:rFonts w:hint="eastAsia" w:ascii="Cambria Math" w:hAnsi="Cambria Math" w:eastAsiaTheme="minorEastAsia" w:cstheme="minorEastAsia"/>
                <w:i/>
                <w:szCs w:val="21"/>
              </w:rPr>
            </m:ctrlPr>
          </m:sSupPr>
          <m:e>
            <m:sSub>
              <m:sSubPr>
                <m:ctrlPr>
                  <w:rPr>
                    <w:rFonts w:hint="eastAsia" w:ascii="Cambria Math" w:hAnsi="Cambria Math" w:eastAsiaTheme="minorEastAsia" w:cstheme="minorEastAsia"/>
                    <w:i/>
                    <w:szCs w:val="21"/>
                  </w:rPr>
                </m:ctrlPr>
              </m:sSubPr>
              <m:e>
                <m:r>
                  <m:rPr/>
                  <w:rPr>
                    <w:rFonts w:hint="eastAsia" w:ascii="Cambria Math" w:hAnsi="Cambria Math" w:eastAsiaTheme="minorEastAsia" w:cstheme="minorEastAsia"/>
                    <w:szCs w:val="21"/>
                  </w:rPr>
                  <m:t>L</m:t>
                </m:r>
                <m:ctrlPr>
                  <w:rPr>
                    <w:rFonts w:hint="eastAsia" w:ascii="Cambria Math" w:hAnsi="Cambria Math" w:eastAsiaTheme="minorEastAsia" w:cstheme="minorEastAsia"/>
                    <w:i/>
                    <w:szCs w:val="21"/>
                  </w:rPr>
                </m:ctrlPr>
              </m:e>
              <m:sub>
                <m:r>
                  <m:rPr/>
                  <w:rPr>
                    <w:rFonts w:hint="eastAsia" w:ascii="Cambria Math" w:hAnsi="Cambria Math" w:eastAsiaTheme="minorEastAsia" w:cstheme="minorEastAsia"/>
                    <w:szCs w:val="21"/>
                  </w:rPr>
                  <m:t>i</m:t>
                </m:r>
                <m:ctrlPr>
                  <w:rPr>
                    <w:rFonts w:hint="eastAsia" w:ascii="Cambria Math" w:hAnsi="Cambria Math" w:eastAsiaTheme="minorEastAsia" w:cstheme="minorEastAsia"/>
                    <w:i/>
                    <w:szCs w:val="21"/>
                  </w:rPr>
                </m:ctrlPr>
              </m:sub>
            </m:sSub>
            <m:ctrlPr>
              <w:rPr>
                <w:rFonts w:hint="eastAsia" w:ascii="Cambria Math" w:hAnsi="Cambria Math" w:eastAsiaTheme="minorEastAsia" w:cstheme="minorEastAsia"/>
                <w:i/>
                <w:szCs w:val="21"/>
              </w:rPr>
            </m:ctrlPr>
          </m:e>
          <m:sup>
            <m:r>
              <m:rPr/>
              <w:rPr>
                <w:rFonts w:hint="eastAsia" w:ascii="Cambria Math" w:hAnsi="Cambria Math" w:eastAsiaTheme="minorEastAsia" w:cstheme="minorEastAsia"/>
                <w:szCs w:val="21"/>
              </w:rPr>
              <m:t>∗</m:t>
            </m:r>
            <m:ctrlPr>
              <w:rPr>
                <w:rFonts w:hint="eastAsia" w:ascii="Cambria Math" w:hAnsi="Cambria Math" w:eastAsiaTheme="minorEastAsia" w:cstheme="minorEastAsia"/>
                <w:i/>
                <w:szCs w:val="21"/>
              </w:rPr>
            </m:ctrlPr>
          </m:sup>
        </m:sSup>
      </m:oMath>
      <w:r>
        <w:rPr>
          <w:rFonts w:hint="eastAsia" w:asciiTheme="minorEastAsia" w:hAnsiTheme="minorEastAsia" w:eastAsiaTheme="minorEastAsia" w:cstheme="minorEastAsia"/>
          <w:szCs w:val="21"/>
        </w:rPr>
        <w:t>：修正后的第</w:t>
      </w:r>
      <m:oMath>
        <m:r>
          <m:rPr/>
          <w:rPr>
            <w:rFonts w:hint="eastAsia" w:ascii="Cambria Math" w:hAnsi="Cambria Math" w:eastAsiaTheme="minorEastAsia" w:cstheme="minorEastAsia"/>
            <w:szCs w:val="21"/>
          </w:rPr>
          <m:t xml:space="preserve"> i </m:t>
        </m:r>
      </m:oMath>
      <w:r>
        <w:rPr>
          <w:rFonts w:hint="eastAsia" w:asciiTheme="minorEastAsia" w:hAnsiTheme="minorEastAsia" w:eastAsiaTheme="minorEastAsia" w:cstheme="minorEastAsia"/>
          <w:szCs w:val="21"/>
        </w:rPr>
        <w:t>次测量声压级大小；</w:t>
      </w:r>
    </w:p>
    <w:p>
      <w:pPr>
        <w:ind w:firstLine="420" w:firstLineChars="200"/>
        <w:rPr>
          <w:rFonts w:hint="eastAsia" w:asciiTheme="minorEastAsia" w:hAnsiTheme="minorEastAsia" w:eastAsiaTheme="minorEastAsia" w:cstheme="minorEastAsia"/>
          <w:szCs w:val="21"/>
        </w:rPr>
      </w:pPr>
      <m:oMath>
        <m:r>
          <m:rPr>
            <m:nor/>
            <m:sty m:val="p"/>
          </m:rPr>
          <w:rPr>
            <w:rFonts w:hint="eastAsia" w:ascii="Cambria Math" w:hAnsi="Cambria Math" w:eastAsiaTheme="minorEastAsia" w:cstheme="minorEastAsia"/>
            <w:b w:val="0"/>
            <w:i w:val="0"/>
            <w:szCs w:val="21"/>
          </w:rPr>
          <m:t>SP</m:t>
        </m:r>
        <m:sSub>
          <m:sSubPr>
            <m:ctrlPr>
              <w:rPr>
                <w:rFonts w:hint="eastAsia" w:ascii="Cambria Math" w:hAnsi="Cambria Math" w:eastAsiaTheme="minorEastAsia" w:cstheme="minorEastAsia"/>
                <w:szCs w:val="21"/>
              </w:rPr>
            </m:ctrlPr>
          </m:sSubPr>
          <m:e>
            <m:r>
              <m:rPr>
                <m:nor/>
                <m:sty m:val="p"/>
              </m:rPr>
              <w:rPr>
                <w:rFonts w:hint="eastAsia" w:ascii="Cambria Math" w:hAnsi="Cambria Math" w:eastAsiaTheme="minorEastAsia" w:cstheme="minorEastAsia"/>
                <w:b w:val="0"/>
                <w:i w:val="0"/>
                <w:szCs w:val="21"/>
              </w:rPr>
              <m:t>L</m:t>
            </m:r>
            <m:ctrlPr>
              <w:rPr>
                <w:rFonts w:hint="eastAsia" w:ascii="Cambria Math" w:hAnsi="Cambria Math" w:eastAsiaTheme="minorEastAsia" w:cstheme="minorEastAsia"/>
                <w:szCs w:val="21"/>
              </w:rPr>
            </m:ctrlPr>
          </m:e>
          <m:sub>
            <m:r>
              <m:rPr/>
              <w:rPr>
                <w:rFonts w:hint="eastAsia" w:ascii="Cambria Math" w:hAnsi="Cambria Math" w:eastAsiaTheme="minorEastAsia" w:cstheme="minorEastAsia"/>
                <w:szCs w:val="21"/>
              </w:rPr>
              <m:t>m</m:t>
            </m:r>
            <m:ctrlPr>
              <w:rPr>
                <w:rFonts w:hint="eastAsia" w:ascii="Cambria Math" w:hAnsi="Cambria Math" w:eastAsiaTheme="minorEastAsia" w:cstheme="minorEastAsia"/>
                <w:i/>
                <w:szCs w:val="21"/>
              </w:rPr>
            </m:ctrlPr>
          </m:sub>
        </m:sSub>
      </m:oMath>
      <w:r>
        <w:rPr>
          <w:rFonts w:hint="eastAsia" w:asciiTheme="minorEastAsia" w:hAnsiTheme="minorEastAsia" w:eastAsiaTheme="minorEastAsia" w:cstheme="minorEastAsia"/>
          <w:szCs w:val="21"/>
        </w:rPr>
        <w:t>：测量所得平均后的 A计权声压级大小。</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9）将测量结果按照公式（A.4）归一化到距离航空器等效位置为 1 m 的观测点上；将归一化的A计权声压级标记到无人驾驶航空器铭牌或者说明书。</w:t>
      </w:r>
    </w:p>
    <w:p>
      <w:pPr>
        <w:pStyle w:val="67"/>
        <w:ind w:firstLine="420"/>
        <w:rPr>
          <w:rFonts w:hAnsi="宋体"/>
        </w:rPr>
      </w:pPr>
    </w:p>
    <w:p>
      <w:pPr>
        <w:pStyle w:val="67"/>
        <w:ind w:firstLine="420"/>
      </w:pPr>
    </w:p>
    <w:p>
      <w:pPr>
        <w:pStyle w:val="67"/>
        <w:ind w:firstLine="420"/>
      </w:pPr>
    </w:p>
    <w:p>
      <w:pPr>
        <w:pStyle w:val="67"/>
        <w:ind w:firstLine="420"/>
      </w:pPr>
    </w:p>
    <w:p>
      <w:pPr>
        <w:pStyle w:val="67"/>
        <w:ind w:firstLine="420"/>
      </w:pPr>
    </w:p>
    <w:p>
      <w:pPr>
        <w:pStyle w:val="67"/>
        <w:ind w:firstLine="420"/>
      </w:pPr>
    </w:p>
    <w:p>
      <w:pPr>
        <w:pStyle w:val="67"/>
        <w:ind w:firstLine="420"/>
      </w:pPr>
    </w:p>
    <w:p>
      <w:pPr>
        <w:pStyle w:val="67"/>
        <w:ind w:firstLine="420"/>
      </w:pPr>
    </w:p>
    <w:p>
      <w:pPr>
        <w:pStyle w:val="67"/>
        <w:ind w:firstLine="420"/>
      </w:pPr>
    </w:p>
    <w:p/>
    <w:p/>
    <w:p>
      <w:pPr>
        <w:tabs>
          <w:tab w:val="left" w:pos="2574"/>
        </w:tabs>
        <w:jc w:val="left"/>
      </w:pPr>
    </w:p>
    <w:p/>
    <w:p/>
    <w:p/>
    <w:p/>
    <w:p/>
    <w:p>
      <w:r>
        <w:br w:type="page"/>
      </w:r>
    </w:p>
    <w:p>
      <w:pPr>
        <w:pStyle w:val="75"/>
        <w:spacing w:before="567" w:after="283" w:afterLines="0"/>
        <w:rPr>
          <w:spacing w:val="105"/>
        </w:rPr>
      </w:pPr>
      <w:bookmarkStart w:id="136" w:name="_Toc18220"/>
      <w:bookmarkStart w:id="137" w:name="_Toc120179958"/>
      <w:bookmarkStart w:id="138" w:name="_Toc28615"/>
      <w:bookmarkStart w:id="139" w:name="_Toc8436"/>
      <w:r>
        <w:rPr>
          <w:rFonts w:hint="eastAsia"/>
          <w:spacing w:val="105"/>
        </w:rPr>
        <w:t>参考文献</w:t>
      </w:r>
      <w:bookmarkEnd w:id="136"/>
      <w:bookmarkEnd w:id="137"/>
      <w:bookmarkEnd w:id="138"/>
      <w:bookmarkEnd w:id="139"/>
    </w:p>
    <w:p>
      <w:pPr>
        <w:pStyle w:val="28"/>
        <w:numPr>
          <w:ilvl w:val="0"/>
          <w:numId w:val="10"/>
        </w:numPr>
        <w:ind w:firstLineChars="0"/>
        <w:rPr>
          <w:rFonts w:ascii="宋体" w:hAnsi="宋体" w:eastAsia="宋体" w:cs="Times New Roman"/>
          <w:kern w:val="0"/>
          <w:szCs w:val="20"/>
        </w:rPr>
      </w:pPr>
      <w:r>
        <w:rPr>
          <w:rFonts w:hint="eastAsia" w:ascii="宋体" w:hAnsi="宋体" w:eastAsia="宋体"/>
        </w:rPr>
        <w:t xml:space="preserve"> </w:t>
      </w:r>
      <w:r>
        <w:rPr>
          <w:rFonts w:hint="eastAsia" w:ascii="宋体" w:hAnsi="宋体" w:eastAsia="宋体" w:cs="Times New Roman"/>
          <w:kern w:val="0"/>
          <w:szCs w:val="20"/>
        </w:rPr>
        <w:t>GB/T 3222.2-2022 声学 环境噪声的描述、测量与评价 第2部分：声压级测定</w:t>
      </w:r>
    </w:p>
    <w:p>
      <w:pPr>
        <w:pStyle w:val="28"/>
        <w:numPr>
          <w:ilvl w:val="0"/>
          <w:numId w:val="10"/>
        </w:numPr>
        <w:autoSpaceDE w:val="0"/>
        <w:autoSpaceDN w:val="0"/>
        <w:ind w:left="833" w:hanging="408" w:firstLineChars="0"/>
        <w:jc w:val="left"/>
        <w:rPr>
          <w:rFonts w:ascii="宋体" w:hAnsi="宋体" w:eastAsia="宋体"/>
          <w:color w:val="000000"/>
          <w:szCs w:val="24"/>
        </w:rPr>
      </w:pPr>
      <w:r>
        <w:rPr>
          <w:rFonts w:ascii="宋体" w:hAnsi="宋体" w:eastAsia="宋体"/>
          <w:color w:val="000000"/>
          <w:szCs w:val="24"/>
        </w:rPr>
        <w:t xml:space="preserve"> GB 12348</w:t>
      </w:r>
      <w:r>
        <w:rPr>
          <w:rFonts w:hint="eastAsia" w:ascii="宋体" w:hAnsi="宋体" w:eastAsia="宋体"/>
          <w:color w:val="000000"/>
          <w:szCs w:val="24"/>
        </w:rPr>
        <w:t xml:space="preserve">-2008 </w:t>
      </w:r>
      <w:r>
        <w:rPr>
          <w:rFonts w:ascii="宋体" w:hAnsi="宋体" w:eastAsia="宋体"/>
          <w:color w:val="000000"/>
          <w:szCs w:val="24"/>
        </w:rPr>
        <w:t>工业企业厂界环境噪声排放标准</w:t>
      </w:r>
    </w:p>
    <w:p>
      <w:pPr>
        <w:pStyle w:val="28"/>
        <w:numPr>
          <w:ilvl w:val="0"/>
          <w:numId w:val="10"/>
        </w:numPr>
        <w:autoSpaceDE w:val="0"/>
        <w:autoSpaceDN w:val="0"/>
        <w:ind w:left="833" w:hanging="408" w:firstLineChars="0"/>
        <w:jc w:val="left"/>
        <w:rPr>
          <w:rFonts w:ascii="宋体" w:hAnsi="宋体" w:eastAsia="宋体"/>
          <w:color w:val="000000"/>
          <w:szCs w:val="24"/>
        </w:rPr>
      </w:pPr>
      <w:r>
        <w:rPr>
          <w:rFonts w:ascii="宋体" w:hAnsi="宋体" w:eastAsia="宋体"/>
          <w:color w:val="000000"/>
          <w:szCs w:val="24"/>
        </w:rPr>
        <w:t xml:space="preserve"> GB/T 20441.4-2006</w:t>
      </w:r>
      <w:r>
        <w:rPr>
          <w:rFonts w:hint="eastAsia" w:ascii="宋体" w:hAnsi="宋体" w:eastAsia="宋体"/>
          <w:color w:val="000000"/>
          <w:szCs w:val="24"/>
        </w:rPr>
        <w:t xml:space="preserve"> </w:t>
      </w:r>
      <w:r>
        <w:rPr>
          <w:rFonts w:ascii="宋体" w:hAnsi="宋体" w:eastAsia="宋体"/>
          <w:color w:val="000000"/>
          <w:szCs w:val="24"/>
        </w:rPr>
        <w:t>测量传声器 第4部分: 工作标准传声器规范</w:t>
      </w:r>
    </w:p>
    <w:p>
      <w:pPr>
        <w:pStyle w:val="28"/>
        <w:numPr>
          <w:ilvl w:val="0"/>
          <w:numId w:val="10"/>
        </w:numPr>
        <w:autoSpaceDE w:val="0"/>
        <w:autoSpaceDN w:val="0"/>
        <w:ind w:left="833" w:hanging="408" w:firstLineChars="0"/>
        <w:jc w:val="left"/>
        <w:rPr>
          <w:rFonts w:ascii="宋体" w:hAnsi="宋体" w:eastAsia="宋体"/>
          <w:color w:val="000000"/>
          <w:szCs w:val="24"/>
        </w:rPr>
      </w:pPr>
      <w:r>
        <w:rPr>
          <w:rFonts w:ascii="宋体" w:hAnsi="宋体" w:eastAsia="宋体"/>
          <w:color w:val="000000"/>
          <w:szCs w:val="24"/>
        </w:rPr>
        <w:t xml:space="preserve"> GB/T 35018-2018</w:t>
      </w:r>
      <w:r>
        <w:rPr>
          <w:rFonts w:hint="eastAsia" w:ascii="宋体" w:hAnsi="宋体" w:eastAsia="宋体"/>
          <w:color w:val="000000"/>
          <w:szCs w:val="24"/>
        </w:rPr>
        <w:t xml:space="preserve"> 民用无人驾驶航空器系统</w:t>
      </w:r>
      <w:r>
        <w:rPr>
          <w:rFonts w:ascii="宋体" w:hAnsi="宋体" w:eastAsia="宋体"/>
          <w:color w:val="000000"/>
          <w:szCs w:val="24"/>
        </w:rPr>
        <w:t>分类</w:t>
      </w:r>
      <w:r>
        <w:rPr>
          <w:rFonts w:hint="eastAsia" w:ascii="宋体" w:hAnsi="宋体" w:eastAsia="宋体"/>
          <w:color w:val="000000"/>
          <w:szCs w:val="24"/>
        </w:rPr>
        <w:t>及</w:t>
      </w:r>
      <w:r>
        <w:rPr>
          <w:rFonts w:ascii="宋体" w:hAnsi="宋体" w:eastAsia="宋体"/>
          <w:color w:val="000000"/>
          <w:szCs w:val="24"/>
        </w:rPr>
        <w:t>分级</w:t>
      </w:r>
    </w:p>
    <w:p>
      <w:pPr>
        <w:pStyle w:val="28"/>
        <w:numPr>
          <w:ilvl w:val="0"/>
          <w:numId w:val="10"/>
        </w:numPr>
        <w:autoSpaceDE w:val="0"/>
        <w:autoSpaceDN w:val="0"/>
        <w:ind w:left="833" w:hanging="408" w:firstLineChars="0"/>
        <w:jc w:val="left"/>
        <w:rPr>
          <w:rFonts w:ascii="宋体" w:hAnsi="宋体" w:eastAsia="宋体"/>
          <w:szCs w:val="24"/>
        </w:rPr>
      </w:pPr>
      <w:r>
        <w:rPr>
          <w:rFonts w:ascii="宋体" w:hAnsi="宋体" w:eastAsia="宋体"/>
          <w:color w:val="000000"/>
          <w:szCs w:val="24"/>
        </w:rPr>
        <w:t xml:space="preserve"> </w:t>
      </w:r>
      <w:r>
        <w:rPr>
          <w:rFonts w:hint="eastAsia" w:ascii="宋体" w:hAnsi="宋体" w:eastAsia="宋体"/>
          <w:color w:val="000000"/>
          <w:szCs w:val="24"/>
        </w:rPr>
        <w:t>CCAR-36-</w:t>
      </w:r>
      <w:r>
        <w:rPr>
          <w:rFonts w:ascii="宋体" w:hAnsi="宋体" w:eastAsia="宋体"/>
          <w:color w:val="000000"/>
          <w:szCs w:val="24"/>
        </w:rPr>
        <w:t>R2</w:t>
      </w:r>
      <w:r>
        <w:rPr>
          <w:rFonts w:hint="eastAsia" w:ascii="宋体" w:hAnsi="宋体" w:eastAsia="宋体"/>
          <w:color w:val="000000"/>
          <w:szCs w:val="24"/>
        </w:rPr>
        <w:t xml:space="preserve"> 航空器型号和适航合格审定噪声规定</w:t>
      </w:r>
    </w:p>
    <w:p>
      <w:pPr>
        <w:pStyle w:val="28"/>
        <w:numPr>
          <w:ilvl w:val="0"/>
          <w:numId w:val="10"/>
        </w:numPr>
        <w:autoSpaceDE w:val="0"/>
        <w:autoSpaceDN w:val="0"/>
        <w:ind w:left="833" w:hanging="408" w:firstLineChars="0"/>
        <w:jc w:val="left"/>
        <w:rPr>
          <w:rFonts w:ascii="宋体" w:hAnsi="宋体" w:eastAsia="宋体"/>
          <w:szCs w:val="24"/>
        </w:rPr>
      </w:pPr>
      <w:r>
        <w:rPr>
          <w:rFonts w:ascii="宋体" w:hAnsi="宋体" w:eastAsia="宋体"/>
          <w:szCs w:val="24"/>
        </w:rPr>
        <w:t xml:space="preserve"> ISO</w:t>
      </w:r>
      <w:r>
        <w:rPr>
          <w:rFonts w:hint="eastAsia" w:ascii="宋体" w:hAnsi="宋体" w:eastAsia="宋体"/>
          <w:szCs w:val="24"/>
        </w:rPr>
        <w:t xml:space="preserve"> </w:t>
      </w:r>
      <w:r>
        <w:rPr>
          <w:rFonts w:ascii="宋体" w:hAnsi="宋体" w:eastAsia="宋体"/>
          <w:szCs w:val="24"/>
        </w:rPr>
        <w:t>5305</w:t>
      </w:r>
      <w:r>
        <w:rPr>
          <w:rFonts w:hint="eastAsia" w:ascii="宋体" w:hAnsi="宋体" w:eastAsia="宋体"/>
          <w:szCs w:val="24"/>
        </w:rPr>
        <w:t>：</w:t>
      </w:r>
      <w:r>
        <w:rPr>
          <w:rFonts w:ascii="宋体" w:hAnsi="宋体" w:eastAsia="宋体"/>
          <w:szCs w:val="24"/>
        </w:rPr>
        <w:t>2024 Noise measurements for UAS</w:t>
      </w:r>
      <w:r>
        <w:rPr>
          <w:rFonts w:hint="eastAsia" w:ascii="宋体" w:hAnsi="宋体" w:eastAsia="宋体"/>
          <w:szCs w:val="24"/>
        </w:rPr>
        <w:t>（unmanned</w:t>
      </w:r>
      <w:r>
        <w:rPr>
          <w:rFonts w:ascii="宋体" w:hAnsi="宋体" w:eastAsia="宋体"/>
          <w:szCs w:val="24"/>
        </w:rPr>
        <w:t xml:space="preserve"> aircraft systems</w:t>
      </w:r>
      <w:r>
        <w:rPr>
          <w:rFonts w:hint="eastAsia" w:ascii="宋体" w:hAnsi="宋体" w:eastAsia="宋体"/>
          <w:szCs w:val="24"/>
        </w:rPr>
        <w:t>）</w:t>
      </w:r>
    </w:p>
    <w:p>
      <w:pPr>
        <w:pStyle w:val="67"/>
        <w:numPr>
          <w:ilvl w:val="0"/>
          <w:numId w:val="10"/>
        </w:numPr>
        <w:ind w:firstLine="420" w:firstLineChars="0"/>
        <w:rPr>
          <w:rFonts w:hAnsi="宋体"/>
        </w:rPr>
      </w:pPr>
      <w:r>
        <w:rPr>
          <w:rFonts w:hint="eastAsia" w:hAnsi="宋体"/>
          <w:color w:val="000000"/>
          <w:szCs w:val="24"/>
        </w:rPr>
        <w:t xml:space="preserve"> </w:t>
      </w:r>
      <w:r>
        <w:rPr>
          <w:rFonts w:hAnsi="宋体"/>
          <w:color w:val="000000"/>
          <w:szCs w:val="24"/>
        </w:rPr>
        <w:t>欧盟法规（EU）2019/945</w:t>
      </w:r>
    </w:p>
    <w:p>
      <w:pPr>
        <w:tabs>
          <w:tab w:val="left" w:pos="6335"/>
        </w:tabs>
        <w:jc w:val="left"/>
      </w:pPr>
    </w:p>
    <w:p>
      <w:pPr>
        <w:tabs>
          <w:tab w:val="left" w:pos="6335"/>
        </w:tabs>
        <w:jc w:val="left"/>
      </w:pPr>
    </w:p>
    <w:p>
      <w:pPr>
        <w:tabs>
          <w:tab w:val="left" w:pos="6335"/>
        </w:tabs>
        <w:jc w:val="left"/>
        <w:rPr>
          <w:rFonts w:ascii="黑体" w:hAnsi="黑体" w:eastAsia="黑体" w:cs="黑体"/>
          <w:sz w:val="18"/>
          <w:szCs w:val="18"/>
        </w:rPr>
      </w:pPr>
      <w:r>
        <w:rPr>
          <w:rFonts w:ascii="黑体" w:hAnsi="黑体" w:eastAsia="黑体"/>
        </w:rPr>
        <mc:AlternateContent>
          <mc:Choice Requires="wps">
            <w:drawing>
              <wp:anchor distT="0" distB="0" distL="114300" distR="114300" simplePos="0" relativeHeight="251668480" behindDoc="0" locked="0" layoutInCell="1" allowOverlap="1">
                <wp:simplePos x="0" y="0"/>
                <wp:positionH relativeFrom="column">
                  <wp:posOffset>2111375</wp:posOffset>
                </wp:positionH>
                <wp:positionV relativeFrom="paragraph">
                  <wp:posOffset>174625</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68480;mso-width-relative:page;mso-height-relative:page;" filled="f" stroked="t" coordsize="21600,21600" o:gfxdata="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t4S4nYAAAACQEAAA8AAAAAAAAAAQAgAAAAOAAAAGRycy9k&#10;b3ducmV2LnhtbFBLAQIUABQAAAAIAIdO4kCI+o+p7AEAAI4DAAAOAAAAAAAAAAEAIAAAAD0BAABk&#10;cnMvZTJvRG9jLnhtbFBLBQYAAAAABgAGAFkBAACbBQAAAAA=&#10;">
                <v:fill on="f" focussize="0,0"/>
                <v:stroke color="#000000" joinstyle="round"/>
                <v:imagedata o:title=""/>
                <o:lock v:ext="edit" aspectratio="f"/>
              </v:shape>
            </w:pict>
          </mc:Fallback>
        </mc:AlternateContent>
      </w:r>
    </w:p>
    <w:sectPr>
      <w:headerReference r:id="rId20" w:type="default"/>
      <w:footerReference r:id="rId22" w:type="default"/>
      <w:headerReference r:id="rId21" w:type="even"/>
      <w:footerReference r:id="rId23" w:type="even"/>
      <w:pgSz w:w="11906" w:h="16838"/>
      <w:pgMar w:top="1417" w:right="1134" w:bottom="1134" w:left="1418" w:header="1417" w:footer="113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Cambria Math">
    <w:altName w:val="DejaVu Math TeX Gyre"/>
    <w:panose1 w:val="02040503050406030204"/>
    <w:charset w:val="00"/>
    <w:family w:val="roman"/>
    <w:pitch w:val="default"/>
    <w:sig w:usb0="00000000" w:usb1="00000000" w:usb2="02000000" w:usb3="00000000" w:csb0="2000019F" w:csb1="00000000"/>
  </w:font>
  <w:font w:name="Segoe UI">
    <w:altName w:val="Noto Naskh Arabic"/>
    <w:panose1 w:val="020B0502040204020203"/>
    <w:charset w:val="00"/>
    <w:family w:val="swiss"/>
    <w:pitch w:val="default"/>
    <w:sig w:usb0="00000000" w:usb1="00000000" w:usb2="00000009" w:usb3="00000000" w:csb0="200001FF"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Liberation Serif">
    <w:panose1 w:val="02020603050405020304"/>
    <w:charset w:val="00"/>
    <w:family w:val="auto"/>
    <w:pitch w:val="default"/>
    <w:sig w:usb0="A00002AF" w:usb1="500078FB" w:usb2="00000000" w:usb3="00000000" w:csb0="6000009F" w:csb1="DFD70000"/>
  </w:font>
  <w:font w:name="FreeSerif">
    <w:panose1 w:val="02020603050405020304"/>
    <w:charset w:val="00"/>
    <w:family w:val="auto"/>
    <w:pitch w:val="default"/>
    <w:sig w:usb0="E59FAFFF" w:usb1="C200FDFF" w:usb2="43501B29" w:usb3="04000043" w:csb0="600101FF" w:csb1="FFFF0000"/>
  </w:font>
  <w:font w:name="DejaVu Math TeX Gyre">
    <w:panose1 w:val="02000503000000000000"/>
    <w:charset w:val="00"/>
    <w:family w:val="auto"/>
    <w:pitch w:val="default"/>
    <w:sig w:usb0="A10000EF" w:usb1="4201F9EE" w:usb2="02000000" w:usb3="00000000" w:csb0="60000193" w:csb1="0DD40000"/>
  </w:font>
  <w:font w:name="方正宋体S-超大字符集">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 w:name="Ubuntu">
    <w:panose1 w:val="020B0604030602030204"/>
    <w:charset w:val="00"/>
    <w:family w:val="auto"/>
    <w:pitch w:val="default"/>
    <w:sig w:usb0="E00002FF" w:usb1="5000205B" w:usb2="00000000" w:usb3="00000000" w:csb0="2000009F" w:csb1="56010000"/>
  </w:font>
  <w:font w:name="Noto Naskh Arabic">
    <w:panose1 w:val="020B0502040504020204"/>
    <w:charset w:val="00"/>
    <w:family w:val="auto"/>
    <w:pitch w:val="default"/>
    <w:sig w:usb0="00002000" w:usb1="80000000" w:usb2="00000008" w:usb3="00000000" w:csb0="00000041" w:csb1="0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50416673"/>
      <w:docPartObj>
        <w:docPartGallery w:val="autotext"/>
      </w:docPartObj>
    </w:sdtPr>
    <w:sdtContent>
      <w:p>
        <w:pPr>
          <w:pStyle w:val="13"/>
          <w:jc w:val="right"/>
        </w:pP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p>
    </w:sdtContent>
  </w:sdt>
  <w:p>
    <w:pPr>
      <w:pStyle w:val="13"/>
      <w:jc w:val="center"/>
      <w:rPr>
        <w:rFonts w:asciiTheme="minorEastAsia" w:hAnsiTheme="minor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ascii="宋体" w:hAnsi="宋体" w:eastAsia="宋体"/>
                            </w:rPr>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R+mXFQIAABs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cR+mXFQIAABsEAAAOAAAAAAAAAAEAIAAAADUBAABkcnMvZTJvRG9jLnhtbFBLBQYAAAAABgAG&#10;AFkBAAC8BQAAAAA=&#10;">
              <v:fill on="f" focussize="0,0"/>
              <v:stroke on="f" weight="0.5pt"/>
              <v:imagedata o:title=""/>
              <o:lock v:ext="edit" aspectratio="f"/>
              <v:textbox inset="0mm,0mm,0mm,0mm" style="mso-fit-shape-to-text:t;">
                <w:txbxContent>
                  <w:p>
                    <w:pPr>
                      <w:pStyle w:val="13"/>
                      <w:rPr>
                        <w:rFonts w:ascii="宋体" w:hAnsi="宋体" w:eastAsia="宋体"/>
                      </w:rPr>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rPr>
        <w:rFonts w:asciiTheme="minorEastAsia" w:hAnsiTheme="minorEastAsia"/>
      </w:rPr>
    </w:pPr>
    <w: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393506715"/>
                          </w:sdtPr>
                          <w:sdtContent>
                            <w:p>
                              <w:pPr>
                                <w:pStyle w:val="13"/>
                                <w:jc w:val="right"/>
                              </w:pP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p>
                          </w:sdtContent>
                        </w:sdt>
                        <w:p>
                          <w:pPr>
                            <w:pStyle w:val="2"/>
                          </w:pP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0Tqs0UAgAAGwQAAA4AAAAAAAAAAQAgAAAANQEAAGRycy9lMm9Eb2MueG1sUEsFBgAAAAAGAAYA&#10;WQEAALsFAAAAAA==&#10;">
              <v:fill on="f" focussize="0,0"/>
              <v:stroke on="f" weight="0.5pt"/>
              <v:imagedata o:title=""/>
              <o:lock v:ext="edit" aspectratio="f"/>
              <v:textbox inset="0mm,0mm,0mm,0mm" style="mso-fit-shape-to-text:t;">
                <w:txbxContent>
                  <w:sdt>
                    <w:sdtPr>
                      <w:id w:val="-1393506715"/>
                    </w:sdtPr>
                    <w:sdtContent>
                      <w:p>
                        <w:pPr>
                          <w:pStyle w:val="13"/>
                          <w:jc w:val="right"/>
                        </w:pP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p>
                    </w:sdtContent>
                  </w:sdt>
                  <w:p>
                    <w:pPr>
                      <w:pStyle w:val="2"/>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ascii="宋体" w:hAnsi="宋体" w:eastAsia="宋体"/>
                            </w:rPr>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Bp+M3hYCAAAZBAAADgAAAAAAAAABACAAAAA1AQAAZHJzL2Uyb0RvYy54bWxQSwUGAAAAAAYA&#10;BgBZAQAAvQUAAAAA&#10;">
              <v:fill on="f" focussize="0,0"/>
              <v:stroke on="f" weight="0.5pt"/>
              <v:imagedata o:title=""/>
              <o:lock v:ext="edit" aspectratio="f"/>
              <v:textbox inset="0mm,0mm,0mm,0mm" style="mso-fit-shape-to-text:t;">
                <w:txbxContent>
                  <w:p>
                    <w:pPr>
                      <w:pStyle w:val="13"/>
                      <w:rPr>
                        <w:rFonts w:ascii="宋体" w:hAnsi="宋体" w:eastAsia="宋体"/>
                      </w:rPr>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2453170"/>
    </w:sdtPr>
    <w:sdtEndPr>
      <w:rPr>
        <w:rFonts w:hint="eastAsia" w:ascii="宋体" w:hAnsi="宋体" w:eastAsia="宋体" w:cs="宋体"/>
      </w:rPr>
    </w:sdtEndPr>
    <w:sdtContent>
      <w:p>
        <w:pPr>
          <w:pStyle w:val="13"/>
          <w:jc w:val="right"/>
          <w:rPr>
            <w:rFonts w:asciiTheme="minorEastAsia" w:hAnsiTheme="minorEastAsia"/>
          </w:rPr>
        </w:pPr>
        <w:r>
          <w:rPr>
            <w:rFonts w:hint="eastAsia" w:ascii="宋体" w:hAnsi="宋体" w:eastAsia="宋体" w:cs="宋体"/>
          </w:rPr>
          <w:fldChar w:fldCharType="begin"/>
        </w:r>
        <w:r>
          <w:rPr>
            <w:rFonts w:hint="eastAsia" w:ascii="宋体" w:hAnsi="宋体" w:eastAsia="宋体" w:cs="宋体"/>
          </w:rPr>
          <w:instrText xml:space="preserve">PAGE   \* MERGEFORMAT</w:instrText>
        </w:r>
        <w:r>
          <w:rPr>
            <w:rFonts w:hint="eastAsia" w:ascii="宋体" w:hAnsi="宋体" w:eastAsia="宋体" w:cs="宋体"/>
          </w:rPr>
          <w:fldChar w:fldCharType="separate"/>
        </w:r>
        <w:r>
          <w:rPr>
            <w:rFonts w:hint="eastAsia" w:ascii="宋体" w:hAnsi="宋体" w:eastAsia="宋体" w:cs="宋体"/>
            <w:lang w:val="zh-CN"/>
          </w:rPr>
          <w:t>2</w:t>
        </w:r>
        <w:r>
          <w:rPr>
            <w:rFonts w:hint="eastAsia" w:ascii="宋体" w:hAnsi="宋体" w:eastAsia="宋体" w:cs="宋体"/>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ascii="宋体" w:hAnsi="宋体" w:eastAsia="宋体"/>
                            </w:rPr>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x2BxcUAgAAGwQAAA4AAAAAAAAAAQAgAAAANQEAAGRycy9lMm9Eb2MueG1sUEsFBgAAAAAGAAYA&#10;WQEAALsFAAAAAA==&#10;">
              <v:fill on="f" focussize="0,0"/>
              <v:stroke on="f" weight="0.5pt"/>
              <v:imagedata o:title=""/>
              <o:lock v:ext="edit" aspectratio="f"/>
              <v:textbox inset="0mm,0mm,0mm,0mm" style="mso-fit-shape-to-text:t;">
                <w:txbxContent>
                  <w:p>
                    <w:pPr>
                      <w:pStyle w:val="13"/>
                      <w:rPr>
                        <w:rFonts w:ascii="宋体" w:hAnsi="宋体" w:eastAsia="宋体"/>
                      </w:rPr>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6432" behindDoc="0" locked="0" layoutInCell="1" allowOverlap="1">
              <wp:simplePos x="0" y="0"/>
              <wp:positionH relativeFrom="margin">
                <wp:posOffset>5875020</wp:posOffset>
              </wp:positionH>
              <wp:positionV relativeFrom="paragraph">
                <wp:posOffset>0</wp:posOffset>
              </wp:positionV>
              <wp:extent cx="205105" cy="193675"/>
              <wp:effectExtent l="0" t="0" r="4445" b="0"/>
              <wp:wrapNone/>
              <wp:docPr id="18" name="文本框 18"/>
              <wp:cNvGraphicFramePr/>
              <a:graphic xmlns:a="http://schemas.openxmlformats.org/drawingml/2006/main">
                <a:graphicData uri="http://schemas.microsoft.com/office/word/2010/wordprocessingShape">
                  <wps:wsp>
                    <wps:cNvSpPr txBox="true"/>
                    <wps:spPr>
                      <a:xfrm>
                        <a:off x="0" y="0"/>
                        <a:ext cx="205154" cy="19343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wps:txbx>
                    <wps:bodyPr rot="0" spcFirstLastPara="0" vertOverflow="overflow" horzOverflow="overflow" vert="horz" wrap="square" lIns="0" tIns="0" rIns="0" bIns="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462.6pt;margin-top:0pt;height:15.25pt;width:16.15pt;mso-position-horizontal-relative:margin;z-index:251666432;mso-width-relative:page;mso-height-relative:page;" filled="f" stroked="f" coordsize="21600,21600" o:gfxdata="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AmR42L1gAAAAcBAAAPAAAAAAAAAAEAIAAAADgAAABkcnMvZG93bnJldi54bWxQ&#10;SwECFAAUAAAACACHTuJA8xvVGRwCAAAbBAAADgAAAAAAAAABACAAAAA7AQAAZHJzL2Uyb0RvYy54&#10;bWxQSwUGAAAAAAYABgBZAQAAyQUAAAAA&#10;">
              <v:fill on="f" focussize="0,0"/>
              <v:stroke on="f" weight="0.5pt"/>
              <v:imagedata o:title=""/>
              <o:lock v:ext="edit" aspectratio="f"/>
              <v:textbox inset="0mm,0mm,0mm,0mm">
                <w:txbxContent>
                  <w:p>
                    <w:pPr>
                      <w:pStyle w:val="13"/>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6</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375LFQIAABsEAAAOAAAAZHJz&#10;L2Uyb0RvYy54bWytU8uO0zAU3SPxD5b3NGkRo1I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a375LFQIAABsEAAAOAAAAAAAAAAEAIAAAADUBAABkcnMvZTJvRG9jLnhtbFBLBQYAAAAABgAG&#10;AFkBAAC8BQAAAAA=&#10;">
              <v:fill on="f" focussize="0,0"/>
              <v:stroke on="f" weight="0.5pt"/>
              <v:imagedata o:title=""/>
              <o:lock v:ext="edit" aspectratio="f"/>
              <v:textbox inset="0mm,0mm,0mm,0mm" style="mso-fit-shape-to-text:t;">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6</w:t>
                    </w:r>
                    <w:r>
                      <w:rPr>
                        <w:rFonts w:hint="eastAsia" w:asciiTheme="minorEastAsia" w:hAnsiTheme="minorEastAsia" w:cs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adjustRightInd w:val="0"/>
      <w:snapToGrid w:val="0"/>
      <w:spacing w:after="283"/>
      <w:rPr>
        <w:rStyle w:val="34"/>
        <w:rFonts w:ascii="黑体" w:hAnsi="黑体" w:eastAsia="黑体"/>
        <w:i w:val="0"/>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ascii="黑体" w:hAnsi="黑体" w:eastAsia="黑体"/>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adjustRightInd w:val="0"/>
      <w:snapToGrid w:val="0"/>
      <w:spacing w:after="283"/>
      <w:rPr>
        <w:rStyle w:val="34"/>
        <w:rFonts w:ascii="黑体" w:hAnsi="黑体" w:eastAsia="黑体"/>
        <w:i w:val="0"/>
      </w:rPr>
    </w:pPr>
    <w:r>
      <w:ptab w:relativeTo="margin" w:alignment="right" w:leader="none"/>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ascii="黑体" w:hAnsi="黑体" w:eastAsia="黑体"/>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adjustRightInd w:val="0"/>
      <w:snapToGrid w:val="0"/>
      <w:spacing w:after="283"/>
      <w:rPr>
        <w:rStyle w:val="34"/>
        <w:rFonts w:ascii="黑体" w:hAnsi="黑体" w:eastAsia="黑体"/>
        <w:i w:val="0"/>
      </w:rPr>
    </w:pPr>
    <w:r>
      <w:ptab w:relativeTo="margin" w:alignment="right" w:leader="none"/>
    </w:r>
    <w:bookmarkStart w:id="140" w:name="OLE_LINK1"/>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bookmarkEnd w:id="140"/>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jc w:val="right"/>
      <w:rPr>
        <w:rFonts w:ascii="黑体" w:hAnsi="黑体" w:eastAsia="黑体"/>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Style w:val="34"/>
        <w:rFonts w:ascii="黑体" w:hAnsi="黑体" w:eastAsia="黑体"/>
        <w:i w:val="0"/>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XXX—2025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XXX—2025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jc w:val="right"/>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ascii="黑体" w:hAnsi="黑体" w:eastAsia="黑体"/>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77"/>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7ED3FEA"/>
    <w:multiLevelType w:val="multilevel"/>
    <w:tmpl w:val="07ED3FEA"/>
    <w:lvl w:ilvl="0" w:tentative="0">
      <w:start w:val="1"/>
      <w:numFmt w:val="none"/>
      <w:pStyle w:val="49"/>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1DF197E5"/>
    <w:multiLevelType w:val="singleLevel"/>
    <w:tmpl w:val="1DF197E5"/>
    <w:lvl w:ilvl="0" w:tentative="0">
      <w:start w:val="1"/>
      <w:numFmt w:val="decimal"/>
      <w:suff w:val="space"/>
      <w:lvlText w:val="[%1]"/>
      <w:lvlJc w:val="left"/>
      <w:rPr>
        <w:rFonts w:hint="default" w:ascii="宋体" w:hAnsi="宋体" w:eastAsia="宋体" w:cstheme="minorEastAsia"/>
        <w:sz w:val="21"/>
        <w:szCs w:val="21"/>
      </w:rPr>
    </w:lvl>
  </w:abstractNum>
  <w:abstractNum w:abstractNumId="4">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6">
    <w:nsid w:val="646260FA"/>
    <w:multiLevelType w:val="multilevel"/>
    <w:tmpl w:val="646260FA"/>
    <w:lvl w:ilvl="0" w:tentative="0">
      <w:start w:val="1"/>
      <w:numFmt w:val="decimal"/>
      <w:pStyle w:val="6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
    <w:nsid w:val="657D3FBC"/>
    <w:multiLevelType w:val="multilevel"/>
    <w:tmpl w:val="657D3FBC"/>
    <w:lvl w:ilvl="0" w:tentative="0">
      <w:start w:val="1"/>
      <w:numFmt w:val="upperLetter"/>
      <w:pStyle w:val="59"/>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8">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6DBF04F4"/>
    <w:multiLevelType w:val="multilevel"/>
    <w:tmpl w:val="6DBF04F4"/>
    <w:lvl w:ilvl="0" w:tentative="0">
      <w:start w:val="1"/>
      <w:numFmt w:val="none"/>
      <w:pStyle w:val="5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
  </w:num>
  <w:num w:numId="2">
    <w:abstractNumId w:val="4"/>
  </w:num>
  <w:num w:numId="3">
    <w:abstractNumId w:val="2"/>
  </w:num>
  <w:num w:numId="4">
    <w:abstractNumId w:val="5"/>
  </w:num>
  <w:num w:numId="5">
    <w:abstractNumId w:val="9"/>
  </w:num>
  <w:num w:numId="6">
    <w:abstractNumId w:val="7"/>
  </w:num>
  <w:num w:numId="7">
    <w:abstractNumId w:val="6"/>
  </w:num>
  <w:num w:numId="8">
    <w:abstractNumId w:val="8"/>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true"/>
  <w:bordersDoNotSurroundHeader w:val="true"/>
  <w:bordersDoNotSurroundFooter w:val="true"/>
  <w:documentProtection w:edit="trackedChanges" w:enforcement="0"/>
  <w:defaultTabStop w:val="420"/>
  <w:evenAndOddHeaders w:val="true"/>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OTdkMDk2ZTI1OWZiYzFjYTFjZDJlOTYxYjQ5ZTIifQ=="/>
    <w:docVar w:name="KSO_WPS_MARK_KEY" w:val="52548aae-2002-4139-9182-7b8689647ee4"/>
  </w:docVars>
  <w:rsids>
    <w:rsidRoot w:val="002C4A7A"/>
    <w:rsid w:val="00000B70"/>
    <w:rsid w:val="00000C6F"/>
    <w:rsid w:val="00002D7A"/>
    <w:rsid w:val="00005817"/>
    <w:rsid w:val="000066D0"/>
    <w:rsid w:val="00013861"/>
    <w:rsid w:val="000158B9"/>
    <w:rsid w:val="000173A8"/>
    <w:rsid w:val="0001746B"/>
    <w:rsid w:val="00017E9C"/>
    <w:rsid w:val="00030320"/>
    <w:rsid w:val="00031630"/>
    <w:rsid w:val="0003782B"/>
    <w:rsid w:val="000435E1"/>
    <w:rsid w:val="000505F8"/>
    <w:rsid w:val="000511AD"/>
    <w:rsid w:val="0005686E"/>
    <w:rsid w:val="00056E11"/>
    <w:rsid w:val="0006343E"/>
    <w:rsid w:val="00065304"/>
    <w:rsid w:val="00071463"/>
    <w:rsid w:val="00074CE1"/>
    <w:rsid w:val="00075ADA"/>
    <w:rsid w:val="00081105"/>
    <w:rsid w:val="000814DC"/>
    <w:rsid w:val="0008444D"/>
    <w:rsid w:val="0009093B"/>
    <w:rsid w:val="0009104A"/>
    <w:rsid w:val="00092A3E"/>
    <w:rsid w:val="00093FCB"/>
    <w:rsid w:val="000944B1"/>
    <w:rsid w:val="000946C9"/>
    <w:rsid w:val="0009741B"/>
    <w:rsid w:val="000A05E2"/>
    <w:rsid w:val="000B1AD2"/>
    <w:rsid w:val="000B5222"/>
    <w:rsid w:val="000C1F9F"/>
    <w:rsid w:val="000C7E3C"/>
    <w:rsid w:val="000D3EF6"/>
    <w:rsid w:val="000D5C84"/>
    <w:rsid w:val="000E084D"/>
    <w:rsid w:val="000E4AD1"/>
    <w:rsid w:val="000F2CB4"/>
    <w:rsid w:val="001103A2"/>
    <w:rsid w:val="0011081D"/>
    <w:rsid w:val="00110D5E"/>
    <w:rsid w:val="00110EC6"/>
    <w:rsid w:val="00112AF7"/>
    <w:rsid w:val="00113409"/>
    <w:rsid w:val="00115DB8"/>
    <w:rsid w:val="0012005F"/>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65FE8"/>
    <w:rsid w:val="001720FB"/>
    <w:rsid w:val="00173651"/>
    <w:rsid w:val="001755B0"/>
    <w:rsid w:val="0017564C"/>
    <w:rsid w:val="00175A7C"/>
    <w:rsid w:val="001760F7"/>
    <w:rsid w:val="00176E61"/>
    <w:rsid w:val="001879D8"/>
    <w:rsid w:val="001955B9"/>
    <w:rsid w:val="00195C90"/>
    <w:rsid w:val="0019613E"/>
    <w:rsid w:val="001A1683"/>
    <w:rsid w:val="001A2848"/>
    <w:rsid w:val="001A2A72"/>
    <w:rsid w:val="001A2CD6"/>
    <w:rsid w:val="001A6B43"/>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1265D"/>
    <w:rsid w:val="002209AC"/>
    <w:rsid w:val="00220A99"/>
    <w:rsid w:val="00222A27"/>
    <w:rsid w:val="00223A5B"/>
    <w:rsid w:val="00223BD4"/>
    <w:rsid w:val="00230CF6"/>
    <w:rsid w:val="00230F2F"/>
    <w:rsid w:val="00247720"/>
    <w:rsid w:val="00251127"/>
    <w:rsid w:val="00251537"/>
    <w:rsid w:val="00251550"/>
    <w:rsid w:val="002517ED"/>
    <w:rsid w:val="00262444"/>
    <w:rsid w:val="002627A0"/>
    <w:rsid w:val="00266FD9"/>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C7AE4"/>
    <w:rsid w:val="002D2351"/>
    <w:rsid w:val="002D38F3"/>
    <w:rsid w:val="002D49DC"/>
    <w:rsid w:val="002D54BC"/>
    <w:rsid w:val="002E5B5C"/>
    <w:rsid w:val="002F19CC"/>
    <w:rsid w:val="002F2052"/>
    <w:rsid w:val="002F2C23"/>
    <w:rsid w:val="002F3CCA"/>
    <w:rsid w:val="00301D6E"/>
    <w:rsid w:val="0030224A"/>
    <w:rsid w:val="00302D0D"/>
    <w:rsid w:val="003042C4"/>
    <w:rsid w:val="00304C82"/>
    <w:rsid w:val="00311B67"/>
    <w:rsid w:val="0031322E"/>
    <w:rsid w:val="00313681"/>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57168"/>
    <w:rsid w:val="00362FF0"/>
    <w:rsid w:val="003662BC"/>
    <w:rsid w:val="00366DB7"/>
    <w:rsid w:val="00367200"/>
    <w:rsid w:val="0037136A"/>
    <w:rsid w:val="003720DC"/>
    <w:rsid w:val="00375FCF"/>
    <w:rsid w:val="00387FF8"/>
    <w:rsid w:val="0039194B"/>
    <w:rsid w:val="00393266"/>
    <w:rsid w:val="003A0945"/>
    <w:rsid w:val="003A0DBB"/>
    <w:rsid w:val="003A238B"/>
    <w:rsid w:val="003B6878"/>
    <w:rsid w:val="003C0E5B"/>
    <w:rsid w:val="003C2C65"/>
    <w:rsid w:val="003C31B0"/>
    <w:rsid w:val="003C3E8F"/>
    <w:rsid w:val="003C7A7D"/>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71508"/>
    <w:rsid w:val="004718B1"/>
    <w:rsid w:val="00486DF2"/>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D6658"/>
    <w:rsid w:val="004E01DA"/>
    <w:rsid w:val="004E3E2D"/>
    <w:rsid w:val="004E4186"/>
    <w:rsid w:val="004E4916"/>
    <w:rsid w:val="004E4DE6"/>
    <w:rsid w:val="004F0C75"/>
    <w:rsid w:val="004F3DCC"/>
    <w:rsid w:val="00504626"/>
    <w:rsid w:val="00506EF4"/>
    <w:rsid w:val="0050712B"/>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81B7A"/>
    <w:rsid w:val="00591331"/>
    <w:rsid w:val="005928C2"/>
    <w:rsid w:val="00596070"/>
    <w:rsid w:val="005A2C7F"/>
    <w:rsid w:val="005A2CCC"/>
    <w:rsid w:val="005A4975"/>
    <w:rsid w:val="005A60AC"/>
    <w:rsid w:val="005B6D29"/>
    <w:rsid w:val="005C370B"/>
    <w:rsid w:val="005E015F"/>
    <w:rsid w:val="005E1CA7"/>
    <w:rsid w:val="005F1A0D"/>
    <w:rsid w:val="005F2020"/>
    <w:rsid w:val="005F2DCC"/>
    <w:rsid w:val="005F5CFF"/>
    <w:rsid w:val="00600F7C"/>
    <w:rsid w:val="006045C0"/>
    <w:rsid w:val="00610AF4"/>
    <w:rsid w:val="00613357"/>
    <w:rsid w:val="0061370A"/>
    <w:rsid w:val="00616AFA"/>
    <w:rsid w:val="00621AD2"/>
    <w:rsid w:val="00626507"/>
    <w:rsid w:val="0062656D"/>
    <w:rsid w:val="00633884"/>
    <w:rsid w:val="00635FE2"/>
    <w:rsid w:val="00637850"/>
    <w:rsid w:val="00640CD9"/>
    <w:rsid w:val="00646C9D"/>
    <w:rsid w:val="006476F3"/>
    <w:rsid w:val="0065553D"/>
    <w:rsid w:val="0065660B"/>
    <w:rsid w:val="00662568"/>
    <w:rsid w:val="006738FB"/>
    <w:rsid w:val="00673C24"/>
    <w:rsid w:val="006763FD"/>
    <w:rsid w:val="006839CD"/>
    <w:rsid w:val="006867E4"/>
    <w:rsid w:val="00686AB4"/>
    <w:rsid w:val="00687FF9"/>
    <w:rsid w:val="00693258"/>
    <w:rsid w:val="00694817"/>
    <w:rsid w:val="006948F4"/>
    <w:rsid w:val="00695FD6"/>
    <w:rsid w:val="006965B2"/>
    <w:rsid w:val="00697323"/>
    <w:rsid w:val="006A3A00"/>
    <w:rsid w:val="006A587D"/>
    <w:rsid w:val="006B00F8"/>
    <w:rsid w:val="006B0EDD"/>
    <w:rsid w:val="006B21CB"/>
    <w:rsid w:val="006B4E4A"/>
    <w:rsid w:val="006D1713"/>
    <w:rsid w:val="006D3593"/>
    <w:rsid w:val="006D384B"/>
    <w:rsid w:val="006D7F23"/>
    <w:rsid w:val="006E42DF"/>
    <w:rsid w:val="006E5EA6"/>
    <w:rsid w:val="006E6B90"/>
    <w:rsid w:val="00701328"/>
    <w:rsid w:val="00704E63"/>
    <w:rsid w:val="00705B6D"/>
    <w:rsid w:val="0070744F"/>
    <w:rsid w:val="007078CB"/>
    <w:rsid w:val="00711444"/>
    <w:rsid w:val="00716005"/>
    <w:rsid w:val="00716D47"/>
    <w:rsid w:val="00717C25"/>
    <w:rsid w:val="00720335"/>
    <w:rsid w:val="00721D42"/>
    <w:rsid w:val="00723CE8"/>
    <w:rsid w:val="00724CC3"/>
    <w:rsid w:val="00724F90"/>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4AD3"/>
    <w:rsid w:val="007667E9"/>
    <w:rsid w:val="007747B0"/>
    <w:rsid w:val="00775703"/>
    <w:rsid w:val="0077630C"/>
    <w:rsid w:val="00777F91"/>
    <w:rsid w:val="00784961"/>
    <w:rsid w:val="007906E7"/>
    <w:rsid w:val="00790CFC"/>
    <w:rsid w:val="00793C1A"/>
    <w:rsid w:val="00793C9B"/>
    <w:rsid w:val="00796D89"/>
    <w:rsid w:val="007A262B"/>
    <w:rsid w:val="007A325E"/>
    <w:rsid w:val="007B0172"/>
    <w:rsid w:val="007B160A"/>
    <w:rsid w:val="007B4450"/>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34751"/>
    <w:rsid w:val="00842185"/>
    <w:rsid w:val="008423AD"/>
    <w:rsid w:val="00844C83"/>
    <w:rsid w:val="0084707B"/>
    <w:rsid w:val="008478DB"/>
    <w:rsid w:val="0085002F"/>
    <w:rsid w:val="00852BEC"/>
    <w:rsid w:val="0085316A"/>
    <w:rsid w:val="00856EE6"/>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96505"/>
    <w:rsid w:val="00897E58"/>
    <w:rsid w:val="008A525F"/>
    <w:rsid w:val="008A778B"/>
    <w:rsid w:val="008A7A04"/>
    <w:rsid w:val="008B2AA1"/>
    <w:rsid w:val="008B4744"/>
    <w:rsid w:val="008B4CD3"/>
    <w:rsid w:val="008B621F"/>
    <w:rsid w:val="008C1198"/>
    <w:rsid w:val="008C23EA"/>
    <w:rsid w:val="008C6DE2"/>
    <w:rsid w:val="008C754A"/>
    <w:rsid w:val="008C7775"/>
    <w:rsid w:val="008D32D9"/>
    <w:rsid w:val="008D50F3"/>
    <w:rsid w:val="008D6AC9"/>
    <w:rsid w:val="008E1D3D"/>
    <w:rsid w:val="008E73CE"/>
    <w:rsid w:val="008F3440"/>
    <w:rsid w:val="008F7846"/>
    <w:rsid w:val="00900625"/>
    <w:rsid w:val="00900D6C"/>
    <w:rsid w:val="009029C8"/>
    <w:rsid w:val="00902C03"/>
    <w:rsid w:val="009056B3"/>
    <w:rsid w:val="00905EC8"/>
    <w:rsid w:val="00906EE2"/>
    <w:rsid w:val="00911BD0"/>
    <w:rsid w:val="00912AA0"/>
    <w:rsid w:val="00914E1E"/>
    <w:rsid w:val="00920126"/>
    <w:rsid w:val="0092183B"/>
    <w:rsid w:val="00922FAC"/>
    <w:rsid w:val="0092359B"/>
    <w:rsid w:val="009304BF"/>
    <w:rsid w:val="00932FD3"/>
    <w:rsid w:val="00933241"/>
    <w:rsid w:val="00941A12"/>
    <w:rsid w:val="00941B18"/>
    <w:rsid w:val="009449CC"/>
    <w:rsid w:val="00945592"/>
    <w:rsid w:val="00953360"/>
    <w:rsid w:val="009534B7"/>
    <w:rsid w:val="0095703E"/>
    <w:rsid w:val="00960DE7"/>
    <w:rsid w:val="0096181B"/>
    <w:rsid w:val="009619C0"/>
    <w:rsid w:val="00961EC7"/>
    <w:rsid w:val="00970C6E"/>
    <w:rsid w:val="00975728"/>
    <w:rsid w:val="00992159"/>
    <w:rsid w:val="0099488E"/>
    <w:rsid w:val="009956AD"/>
    <w:rsid w:val="00996CA4"/>
    <w:rsid w:val="009976F2"/>
    <w:rsid w:val="009A18CB"/>
    <w:rsid w:val="009A67D7"/>
    <w:rsid w:val="009A7D1D"/>
    <w:rsid w:val="009B2735"/>
    <w:rsid w:val="009B2F16"/>
    <w:rsid w:val="009B5AFA"/>
    <w:rsid w:val="009B6DC7"/>
    <w:rsid w:val="009B7156"/>
    <w:rsid w:val="009C15D7"/>
    <w:rsid w:val="009C71D1"/>
    <w:rsid w:val="009D11D8"/>
    <w:rsid w:val="009D27A6"/>
    <w:rsid w:val="009D5852"/>
    <w:rsid w:val="009E229D"/>
    <w:rsid w:val="009E2765"/>
    <w:rsid w:val="009E4501"/>
    <w:rsid w:val="009F022A"/>
    <w:rsid w:val="009F25EB"/>
    <w:rsid w:val="009F4144"/>
    <w:rsid w:val="009F655E"/>
    <w:rsid w:val="00A0144F"/>
    <w:rsid w:val="00A0565D"/>
    <w:rsid w:val="00A0685D"/>
    <w:rsid w:val="00A06B8F"/>
    <w:rsid w:val="00A129D5"/>
    <w:rsid w:val="00A25BFF"/>
    <w:rsid w:val="00A26884"/>
    <w:rsid w:val="00A26B70"/>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12F5"/>
    <w:rsid w:val="00A87B13"/>
    <w:rsid w:val="00A92BF9"/>
    <w:rsid w:val="00A96125"/>
    <w:rsid w:val="00AA0DC4"/>
    <w:rsid w:val="00AA377C"/>
    <w:rsid w:val="00AA425D"/>
    <w:rsid w:val="00AB2CAF"/>
    <w:rsid w:val="00AB4C69"/>
    <w:rsid w:val="00AB64F6"/>
    <w:rsid w:val="00AC7BB0"/>
    <w:rsid w:val="00AD00A8"/>
    <w:rsid w:val="00AD428E"/>
    <w:rsid w:val="00AD74A7"/>
    <w:rsid w:val="00AE49BE"/>
    <w:rsid w:val="00AE4F40"/>
    <w:rsid w:val="00AE55AC"/>
    <w:rsid w:val="00AE5F8A"/>
    <w:rsid w:val="00AF53DB"/>
    <w:rsid w:val="00AF7AFE"/>
    <w:rsid w:val="00B01237"/>
    <w:rsid w:val="00B02086"/>
    <w:rsid w:val="00B06017"/>
    <w:rsid w:val="00B06D78"/>
    <w:rsid w:val="00B10919"/>
    <w:rsid w:val="00B1286A"/>
    <w:rsid w:val="00B1318E"/>
    <w:rsid w:val="00B14F0A"/>
    <w:rsid w:val="00B17747"/>
    <w:rsid w:val="00B21CF9"/>
    <w:rsid w:val="00B30847"/>
    <w:rsid w:val="00B309C2"/>
    <w:rsid w:val="00B30EE2"/>
    <w:rsid w:val="00B319F3"/>
    <w:rsid w:val="00B33754"/>
    <w:rsid w:val="00B36BE0"/>
    <w:rsid w:val="00B37391"/>
    <w:rsid w:val="00B42D11"/>
    <w:rsid w:val="00B42FF5"/>
    <w:rsid w:val="00B450A3"/>
    <w:rsid w:val="00B55729"/>
    <w:rsid w:val="00B61230"/>
    <w:rsid w:val="00B61250"/>
    <w:rsid w:val="00B618E8"/>
    <w:rsid w:val="00B634DB"/>
    <w:rsid w:val="00B64FF7"/>
    <w:rsid w:val="00B66014"/>
    <w:rsid w:val="00B759FB"/>
    <w:rsid w:val="00B840D0"/>
    <w:rsid w:val="00B857D0"/>
    <w:rsid w:val="00B93DEF"/>
    <w:rsid w:val="00B97265"/>
    <w:rsid w:val="00BA4CDD"/>
    <w:rsid w:val="00BA70BA"/>
    <w:rsid w:val="00BA7E3E"/>
    <w:rsid w:val="00BB0517"/>
    <w:rsid w:val="00BC34A7"/>
    <w:rsid w:val="00BC6585"/>
    <w:rsid w:val="00BC76F2"/>
    <w:rsid w:val="00BD3F71"/>
    <w:rsid w:val="00BD44B5"/>
    <w:rsid w:val="00BD7A5B"/>
    <w:rsid w:val="00BE3C8C"/>
    <w:rsid w:val="00BE537A"/>
    <w:rsid w:val="00BE6581"/>
    <w:rsid w:val="00BF4AEF"/>
    <w:rsid w:val="00C042FA"/>
    <w:rsid w:val="00C046C5"/>
    <w:rsid w:val="00C04732"/>
    <w:rsid w:val="00C056DF"/>
    <w:rsid w:val="00C1161C"/>
    <w:rsid w:val="00C16AD7"/>
    <w:rsid w:val="00C20320"/>
    <w:rsid w:val="00C2384C"/>
    <w:rsid w:val="00C245B1"/>
    <w:rsid w:val="00C274FB"/>
    <w:rsid w:val="00C27A7C"/>
    <w:rsid w:val="00C30043"/>
    <w:rsid w:val="00C33755"/>
    <w:rsid w:val="00C34933"/>
    <w:rsid w:val="00C371D6"/>
    <w:rsid w:val="00C40C1D"/>
    <w:rsid w:val="00C40E79"/>
    <w:rsid w:val="00C42E3C"/>
    <w:rsid w:val="00C45C14"/>
    <w:rsid w:val="00C462F3"/>
    <w:rsid w:val="00C46ADD"/>
    <w:rsid w:val="00C477F2"/>
    <w:rsid w:val="00C47CFD"/>
    <w:rsid w:val="00C50974"/>
    <w:rsid w:val="00C51190"/>
    <w:rsid w:val="00C53BD3"/>
    <w:rsid w:val="00C624AE"/>
    <w:rsid w:val="00C657CE"/>
    <w:rsid w:val="00C65B45"/>
    <w:rsid w:val="00C672AB"/>
    <w:rsid w:val="00C67BC0"/>
    <w:rsid w:val="00C7008A"/>
    <w:rsid w:val="00C72B93"/>
    <w:rsid w:val="00C7460A"/>
    <w:rsid w:val="00C774B2"/>
    <w:rsid w:val="00C83947"/>
    <w:rsid w:val="00C84D5C"/>
    <w:rsid w:val="00C917DD"/>
    <w:rsid w:val="00C9190A"/>
    <w:rsid w:val="00C91A53"/>
    <w:rsid w:val="00C93A0F"/>
    <w:rsid w:val="00C93CF3"/>
    <w:rsid w:val="00C95546"/>
    <w:rsid w:val="00CA2979"/>
    <w:rsid w:val="00CA3ECD"/>
    <w:rsid w:val="00CA5E90"/>
    <w:rsid w:val="00CB084A"/>
    <w:rsid w:val="00CB1CD6"/>
    <w:rsid w:val="00CB251A"/>
    <w:rsid w:val="00CB69C0"/>
    <w:rsid w:val="00CB6A26"/>
    <w:rsid w:val="00CB733D"/>
    <w:rsid w:val="00CC212B"/>
    <w:rsid w:val="00CC3A8B"/>
    <w:rsid w:val="00CC456B"/>
    <w:rsid w:val="00CD1C0E"/>
    <w:rsid w:val="00CD4374"/>
    <w:rsid w:val="00CE0575"/>
    <w:rsid w:val="00CE1209"/>
    <w:rsid w:val="00CE274E"/>
    <w:rsid w:val="00CE592F"/>
    <w:rsid w:val="00CE5A6D"/>
    <w:rsid w:val="00CF2291"/>
    <w:rsid w:val="00D05E27"/>
    <w:rsid w:val="00D069E0"/>
    <w:rsid w:val="00D136BB"/>
    <w:rsid w:val="00D137EA"/>
    <w:rsid w:val="00D169F2"/>
    <w:rsid w:val="00D16E1E"/>
    <w:rsid w:val="00D20D83"/>
    <w:rsid w:val="00D2420F"/>
    <w:rsid w:val="00D256C0"/>
    <w:rsid w:val="00D32A80"/>
    <w:rsid w:val="00D400D1"/>
    <w:rsid w:val="00D403C5"/>
    <w:rsid w:val="00D4585F"/>
    <w:rsid w:val="00D47CAE"/>
    <w:rsid w:val="00D50BA3"/>
    <w:rsid w:val="00D5105C"/>
    <w:rsid w:val="00D53255"/>
    <w:rsid w:val="00D55AF9"/>
    <w:rsid w:val="00D6138F"/>
    <w:rsid w:val="00D624B9"/>
    <w:rsid w:val="00D6371B"/>
    <w:rsid w:val="00D642F5"/>
    <w:rsid w:val="00D7138D"/>
    <w:rsid w:val="00D7526C"/>
    <w:rsid w:val="00D77234"/>
    <w:rsid w:val="00D80447"/>
    <w:rsid w:val="00D80501"/>
    <w:rsid w:val="00D81394"/>
    <w:rsid w:val="00D85470"/>
    <w:rsid w:val="00D86D72"/>
    <w:rsid w:val="00D87EED"/>
    <w:rsid w:val="00D908CB"/>
    <w:rsid w:val="00D914B1"/>
    <w:rsid w:val="00D91668"/>
    <w:rsid w:val="00D92C56"/>
    <w:rsid w:val="00D965AB"/>
    <w:rsid w:val="00D965BD"/>
    <w:rsid w:val="00DA31C8"/>
    <w:rsid w:val="00DA7326"/>
    <w:rsid w:val="00DB3696"/>
    <w:rsid w:val="00DC2525"/>
    <w:rsid w:val="00DC418F"/>
    <w:rsid w:val="00DD4EC4"/>
    <w:rsid w:val="00DD5468"/>
    <w:rsid w:val="00DD6F40"/>
    <w:rsid w:val="00DE201D"/>
    <w:rsid w:val="00DE3498"/>
    <w:rsid w:val="00DF1EBF"/>
    <w:rsid w:val="00DF29FB"/>
    <w:rsid w:val="00DF3B2F"/>
    <w:rsid w:val="00DF48F2"/>
    <w:rsid w:val="00DF4BB1"/>
    <w:rsid w:val="00E0028F"/>
    <w:rsid w:val="00E0383F"/>
    <w:rsid w:val="00E03A13"/>
    <w:rsid w:val="00E03C54"/>
    <w:rsid w:val="00E0525C"/>
    <w:rsid w:val="00E1059E"/>
    <w:rsid w:val="00E120F0"/>
    <w:rsid w:val="00E14F1D"/>
    <w:rsid w:val="00E164EA"/>
    <w:rsid w:val="00E20A7B"/>
    <w:rsid w:val="00E22829"/>
    <w:rsid w:val="00E3004D"/>
    <w:rsid w:val="00E31B6C"/>
    <w:rsid w:val="00E3509B"/>
    <w:rsid w:val="00E3537D"/>
    <w:rsid w:val="00E36C78"/>
    <w:rsid w:val="00E401C4"/>
    <w:rsid w:val="00E40F02"/>
    <w:rsid w:val="00E42F0F"/>
    <w:rsid w:val="00E43577"/>
    <w:rsid w:val="00E45044"/>
    <w:rsid w:val="00E504BD"/>
    <w:rsid w:val="00E537D1"/>
    <w:rsid w:val="00E55655"/>
    <w:rsid w:val="00E6049E"/>
    <w:rsid w:val="00E621A8"/>
    <w:rsid w:val="00E72AA8"/>
    <w:rsid w:val="00E72BBB"/>
    <w:rsid w:val="00E769D3"/>
    <w:rsid w:val="00E81B66"/>
    <w:rsid w:val="00E81D63"/>
    <w:rsid w:val="00E8389F"/>
    <w:rsid w:val="00E84983"/>
    <w:rsid w:val="00E90FDD"/>
    <w:rsid w:val="00E91C59"/>
    <w:rsid w:val="00E96805"/>
    <w:rsid w:val="00EA115D"/>
    <w:rsid w:val="00EA257F"/>
    <w:rsid w:val="00EB1109"/>
    <w:rsid w:val="00EB2076"/>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E71D6"/>
    <w:rsid w:val="00EF0721"/>
    <w:rsid w:val="00EF20A1"/>
    <w:rsid w:val="00EF3EF7"/>
    <w:rsid w:val="00EF78B8"/>
    <w:rsid w:val="00F12CCA"/>
    <w:rsid w:val="00F14D9A"/>
    <w:rsid w:val="00F15034"/>
    <w:rsid w:val="00F16A12"/>
    <w:rsid w:val="00F16BA1"/>
    <w:rsid w:val="00F200FB"/>
    <w:rsid w:val="00F233DA"/>
    <w:rsid w:val="00F26471"/>
    <w:rsid w:val="00F31218"/>
    <w:rsid w:val="00F435EB"/>
    <w:rsid w:val="00F4715D"/>
    <w:rsid w:val="00F535DE"/>
    <w:rsid w:val="00F54AA7"/>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104B"/>
    <w:rsid w:val="00FB2A20"/>
    <w:rsid w:val="00FB2C86"/>
    <w:rsid w:val="00FB5098"/>
    <w:rsid w:val="00FB5530"/>
    <w:rsid w:val="00FC4373"/>
    <w:rsid w:val="00FC741B"/>
    <w:rsid w:val="00FC7C26"/>
    <w:rsid w:val="00FD0995"/>
    <w:rsid w:val="00FD4916"/>
    <w:rsid w:val="00FD52A4"/>
    <w:rsid w:val="00FD6E30"/>
    <w:rsid w:val="00FE06BE"/>
    <w:rsid w:val="00FE26D3"/>
    <w:rsid w:val="00FE6BAA"/>
    <w:rsid w:val="00FE7CB2"/>
    <w:rsid w:val="00FF2E8A"/>
    <w:rsid w:val="00FF3305"/>
    <w:rsid w:val="00FF47E6"/>
    <w:rsid w:val="00FF6763"/>
    <w:rsid w:val="01B97F5E"/>
    <w:rsid w:val="02670DCF"/>
    <w:rsid w:val="033931F1"/>
    <w:rsid w:val="034D2939"/>
    <w:rsid w:val="043164D2"/>
    <w:rsid w:val="04DB69C7"/>
    <w:rsid w:val="056C2AC8"/>
    <w:rsid w:val="078D3A1F"/>
    <w:rsid w:val="08D94A4A"/>
    <w:rsid w:val="09332050"/>
    <w:rsid w:val="09652865"/>
    <w:rsid w:val="097D3D26"/>
    <w:rsid w:val="0ADA2F69"/>
    <w:rsid w:val="0AE10BBF"/>
    <w:rsid w:val="0AF4041E"/>
    <w:rsid w:val="0B4B7E79"/>
    <w:rsid w:val="0BBA5614"/>
    <w:rsid w:val="0BBD0185"/>
    <w:rsid w:val="0D011260"/>
    <w:rsid w:val="0DCC4DC1"/>
    <w:rsid w:val="0E572FD9"/>
    <w:rsid w:val="0F5D4929"/>
    <w:rsid w:val="0FB5747F"/>
    <w:rsid w:val="10F22B45"/>
    <w:rsid w:val="11911252"/>
    <w:rsid w:val="11EA4A5D"/>
    <w:rsid w:val="123426ED"/>
    <w:rsid w:val="1330335A"/>
    <w:rsid w:val="13492913"/>
    <w:rsid w:val="140915D6"/>
    <w:rsid w:val="14AB42D7"/>
    <w:rsid w:val="15912AB1"/>
    <w:rsid w:val="159863B1"/>
    <w:rsid w:val="1614131D"/>
    <w:rsid w:val="16585639"/>
    <w:rsid w:val="16B6476F"/>
    <w:rsid w:val="1986454E"/>
    <w:rsid w:val="19BD2F50"/>
    <w:rsid w:val="19D653D3"/>
    <w:rsid w:val="19E576EB"/>
    <w:rsid w:val="1A9F3EA8"/>
    <w:rsid w:val="1AE557D7"/>
    <w:rsid w:val="1AF62448"/>
    <w:rsid w:val="1CE617B0"/>
    <w:rsid w:val="1D475092"/>
    <w:rsid w:val="1E901E0D"/>
    <w:rsid w:val="1EFC4C0E"/>
    <w:rsid w:val="1F3709E9"/>
    <w:rsid w:val="1F5511FE"/>
    <w:rsid w:val="1F791B4A"/>
    <w:rsid w:val="1FF922F7"/>
    <w:rsid w:val="203A6C9D"/>
    <w:rsid w:val="213D7067"/>
    <w:rsid w:val="23282A50"/>
    <w:rsid w:val="235D1A58"/>
    <w:rsid w:val="23607492"/>
    <w:rsid w:val="23893375"/>
    <w:rsid w:val="23D049E7"/>
    <w:rsid w:val="24F31A54"/>
    <w:rsid w:val="262E49A9"/>
    <w:rsid w:val="282E35F2"/>
    <w:rsid w:val="291C47AB"/>
    <w:rsid w:val="295126A7"/>
    <w:rsid w:val="299E589B"/>
    <w:rsid w:val="29DD2289"/>
    <w:rsid w:val="2A0674B9"/>
    <w:rsid w:val="2A19342E"/>
    <w:rsid w:val="2A9E6EDA"/>
    <w:rsid w:val="2AC259E9"/>
    <w:rsid w:val="2B5F5209"/>
    <w:rsid w:val="2B86097C"/>
    <w:rsid w:val="2BEF00BA"/>
    <w:rsid w:val="2E6A0BA9"/>
    <w:rsid w:val="2F033AB7"/>
    <w:rsid w:val="2FC604F2"/>
    <w:rsid w:val="302A097A"/>
    <w:rsid w:val="30512DC8"/>
    <w:rsid w:val="305807BF"/>
    <w:rsid w:val="30BA0FA5"/>
    <w:rsid w:val="32697E49"/>
    <w:rsid w:val="33116C37"/>
    <w:rsid w:val="355276CD"/>
    <w:rsid w:val="37875802"/>
    <w:rsid w:val="37AA040E"/>
    <w:rsid w:val="397A5D84"/>
    <w:rsid w:val="3A38257A"/>
    <w:rsid w:val="3A773D1D"/>
    <w:rsid w:val="3AA47EC1"/>
    <w:rsid w:val="3B337E5E"/>
    <w:rsid w:val="3C0C2E90"/>
    <w:rsid w:val="3C153A08"/>
    <w:rsid w:val="3D6F398A"/>
    <w:rsid w:val="3D9E1027"/>
    <w:rsid w:val="3E6447D3"/>
    <w:rsid w:val="3E914FDF"/>
    <w:rsid w:val="3FCB4391"/>
    <w:rsid w:val="407103DB"/>
    <w:rsid w:val="413E41AB"/>
    <w:rsid w:val="41DD26A1"/>
    <w:rsid w:val="432D5ADB"/>
    <w:rsid w:val="455B5C08"/>
    <w:rsid w:val="459E4A6E"/>
    <w:rsid w:val="45E5444B"/>
    <w:rsid w:val="45F10943"/>
    <w:rsid w:val="46024881"/>
    <w:rsid w:val="46432AD9"/>
    <w:rsid w:val="48C6265B"/>
    <w:rsid w:val="491679AE"/>
    <w:rsid w:val="4CC8541E"/>
    <w:rsid w:val="4D244B35"/>
    <w:rsid w:val="4D7C7F66"/>
    <w:rsid w:val="4E497F1B"/>
    <w:rsid w:val="4E72372F"/>
    <w:rsid w:val="4E826BA1"/>
    <w:rsid w:val="4FB262DF"/>
    <w:rsid w:val="502913D8"/>
    <w:rsid w:val="506A1CDA"/>
    <w:rsid w:val="513145D7"/>
    <w:rsid w:val="51DB264E"/>
    <w:rsid w:val="52013E99"/>
    <w:rsid w:val="52884ADC"/>
    <w:rsid w:val="54EF45B2"/>
    <w:rsid w:val="561C68FE"/>
    <w:rsid w:val="56FA05E0"/>
    <w:rsid w:val="57205312"/>
    <w:rsid w:val="575B4970"/>
    <w:rsid w:val="58953240"/>
    <w:rsid w:val="58EA0B58"/>
    <w:rsid w:val="597102CD"/>
    <w:rsid w:val="5A782E0E"/>
    <w:rsid w:val="5AA42EE1"/>
    <w:rsid w:val="5AB20E18"/>
    <w:rsid w:val="5ADD04B0"/>
    <w:rsid w:val="5B6068E3"/>
    <w:rsid w:val="5E127A94"/>
    <w:rsid w:val="5EC2103E"/>
    <w:rsid w:val="5F3651D2"/>
    <w:rsid w:val="612E72BF"/>
    <w:rsid w:val="61E0223F"/>
    <w:rsid w:val="62275A9D"/>
    <w:rsid w:val="62A274F4"/>
    <w:rsid w:val="63473BF7"/>
    <w:rsid w:val="63482B27"/>
    <w:rsid w:val="64490C49"/>
    <w:rsid w:val="65423643"/>
    <w:rsid w:val="663F48D4"/>
    <w:rsid w:val="66832C22"/>
    <w:rsid w:val="66910CA5"/>
    <w:rsid w:val="67451519"/>
    <w:rsid w:val="684201CE"/>
    <w:rsid w:val="68706054"/>
    <w:rsid w:val="688A0DE6"/>
    <w:rsid w:val="68917B90"/>
    <w:rsid w:val="68F02F9E"/>
    <w:rsid w:val="691D1DC4"/>
    <w:rsid w:val="69CF4947"/>
    <w:rsid w:val="6A4626EF"/>
    <w:rsid w:val="6A7C706D"/>
    <w:rsid w:val="6ADF74D7"/>
    <w:rsid w:val="6BCA186A"/>
    <w:rsid w:val="6C0563E5"/>
    <w:rsid w:val="6C6C0C3F"/>
    <w:rsid w:val="6C89702F"/>
    <w:rsid w:val="6C917B8F"/>
    <w:rsid w:val="6DAD049D"/>
    <w:rsid w:val="6ECD387A"/>
    <w:rsid w:val="6F2F03DB"/>
    <w:rsid w:val="6FF139B8"/>
    <w:rsid w:val="70064409"/>
    <w:rsid w:val="72127AC6"/>
    <w:rsid w:val="73654554"/>
    <w:rsid w:val="73765CE2"/>
    <w:rsid w:val="7383295D"/>
    <w:rsid w:val="743442CC"/>
    <w:rsid w:val="748E5C99"/>
    <w:rsid w:val="74BF2C7A"/>
    <w:rsid w:val="75682D8E"/>
    <w:rsid w:val="75A31161"/>
    <w:rsid w:val="75D25B10"/>
    <w:rsid w:val="76442929"/>
    <w:rsid w:val="76C27A63"/>
    <w:rsid w:val="795409C4"/>
    <w:rsid w:val="7AF60F49"/>
    <w:rsid w:val="7BBE3424"/>
    <w:rsid w:val="7E0328BC"/>
    <w:rsid w:val="7E5D3F34"/>
    <w:rsid w:val="7FAC1FBF"/>
    <w:rsid w:val="7FCF6782"/>
    <w:rsid w:val="7FF57E3F"/>
    <w:rsid w:val="7FF90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1"/>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8"/>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6">
    <w:name w:val="Normal Indent"/>
    <w:basedOn w:val="1"/>
    <w:next w:val="7"/>
    <w:qFormat/>
    <w:uiPriority w:val="0"/>
    <w:pPr>
      <w:ind w:firstLine="420"/>
    </w:pPr>
  </w:style>
  <w:style w:type="paragraph" w:styleId="7">
    <w:name w:val="envelope return"/>
    <w:basedOn w:val="1"/>
    <w:qFormat/>
    <w:uiPriority w:val="0"/>
    <w:pPr>
      <w:snapToGrid w:val="0"/>
    </w:pPr>
    <w:rPr>
      <w:rFonts w:ascii="Arial" w:hAnsi="Arial" w:eastAsia="仿宋_GB2312"/>
      <w:sz w:val="32"/>
    </w:rPr>
  </w:style>
  <w:style w:type="paragraph" w:styleId="8">
    <w:name w:val="annotation text"/>
    <w:basedOn w:val="1"/>
    <w:semiHidden/>
    <w:unhideWhenUsed/>
    <w:qFormat/>
    <w:uiPriority w:val="99"/>
    <w:pPr>
      <w:jc w:val="left"/>
    </w:pPr>
  </w:style>
  <w:style w:type="paragraph" w:styleId="9">
    <w:name w:val="toc 3"/>
    <w:basedOn w:val="1"/>
    <w:next w:val="1"/>
    <w:unhideWhenUsed/>
    <w:qFormat/>
    <w:uiPriority w:val="39"/>
    <w:pPr>
      <w:ind w:left="840" w:leftChars="400"/>
    </w:pPr>
  </w:style>
  <w:style w:type="paragraph" w:styleId="10">
    <w:name w:val="Date"/>
    <w:basedOn w:val="1"/>
    <w:next w:val="1"/>
    <w:link w:val="46"/>
    <w:semiHidden/>
    <w:unhideWhenUsed/>
    <w:qFormat/>
    <w:uiPriority w:val="99"/>
    <w:pPr>
      <w:ind w:left="100" w:leftChars="2500"/>
    </w:pPr>
  </w:style>
  <w:style w:type="paragraph" w:styleId="11">
    <w:name w:val="Body Text Indent 2"/>
    <w:basedOn w:val="1"/>
    <w:link w:val="39"/>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semiHidden/>
    <w:unhideWhenUsed/>
    <w:qFormat/>
    <w:uiPriority w:val="99"/>
    <w:rPr>
      <w:sz w:val="18"/>
      <w:szCs w:val="18"/>
    </w:rPr>
  </w:style>
  <w:style w:type="paragraph" w:styleId="13">
    <w:name w:val="footer"/>
    <w:basedOn w:val="1"/>
    <w:link w:val="26"/>
    <w:unhideWhenUsed/>
    <w:qFormat/>
    <w:uiPriority w:val="99"/>
    <w:pPr>
      <w:tabs>
        <w:tab w:val="center" w:pos="4153"/>
        <w:tab w:val="right" w:pos="8306"/>
      </w:tabs>
      <w:snapToGrid w:val="0"/>
      <w:jc w:val="left"/>
    </w:pPr>
    <w:rPr>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5"/>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unhideWhenUsed/>
    <w:qFormat/>
    <w:uiPriority w:val="99"/>
    <w:rPr>
      <w:color w:val="0000FF" w:themeColor="hyperlink"/>
      <w:u w:val="single"/>
      <w14:textFill>
        <w14:solidFill>
          <w14:schemeClr w14:val="hlink"/>
        </w14:solidFill>
      </w14:textFill>
    </w:rPr>
  </w:style>
  <w:style w:type="character" w:styleId="24">
    <w:name w:val="annotation reference"/>
    <w:basedOn w:val="22"/>
    <w:semiHidden/>
    <w:unhideWhenUsed/>
    <w:qFormat/>
    <w:uiPriority w:val="99"/>
    <w:rPr>
      <w:sz w:val="21"/>
      <w:szCs w:val="21"/>
    </w:rPr>
  </w:style>
  <w:style w:type="character" w:customStyle="1" w:styleId="25">
    <w:name w:val="页眉 字符"/>
    <w:basedOn w:val="22"/>
    <w:link w:val="14"/>
    <w:qFormat/>
    <w:uiPriority w:val="99"/>
    <w:rPr>
      <w:sz w:val="18"/>
      <w:szCs w:val="18"/>
    </w:rPr>
  </w:style>
  <w:style w:type="character" w:customStyle="1" w:styleId="26">
    <w:name w:val="页脚 字符"/>
    <w:basedOn w:val="22"/>
    <w:link w:val="13"/>
    <w:qFormat/>
    <w:uiPriority w:val="99"/>
    <w:rPr>
      <w:sz w:val="18"/>
      <w:szCs w:val="18"/>
    </w:rPr>
  </w:style>
  <w:style w:type="character" w:customStyle="1" w:styleId="27">
    <w:name w:val="批注框文本 字符"/>
    <w:basedOn w:val="22"/>
    <w:link w:val="12"/>
    <w:semiHidden/>
    <w:qFormat/>
    <w:uiPriority w:val="99"/>
    <w:rPr>
      <w:sz w:val="18"/>
      <w:szCs w:val="18"/>
    </w:rPr>
  </w:style>
  <w:style w:type="paragraph" w:styleId="28">
    <w:name w:val="List Paragraph"/>
    <w:basedOn w:val="1"/>
    <w:qFormat/>
    <w:uiPriority w:val="1"/>
    <w:pPr>
      <w:ind w:firstLine="420" w:firstLineChars="200"/>
    </w:pPr>
  </w:style>
  <w:style w:type="paragraph" w:customStyle="1" w:styleId="2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字符"/>
    <w:basedOn w:val="22"/>
    <w:link w:val="3"/>
    <w:qFormat/>
    <w:uiPriority w:val="99"/>
    <w:rPr>
      <w:rFonts w:ascii="Calibri" w:hAnsi="Calibri" w:eastAsia="宋体" w:cs="Times New Roman"/>
      <w:b/>
      <w:bCs/>
      <w:kern w:val="44"/>
      <w:sz w:val="44"/>
      <w:szCs w:val="44"/>
    </w:rPr>
  </w:style>
  <w:style w:type="paragraph" w:styleId="3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qFormat/>
    <w:uiPriority w:val="19"/>
    <w:rPr>
      <w:i/>
      <w:iCs/>
      <w:color w:val="808080" w:themeColor="text1" w:themeTint="80"/>
      <w14:textFill>
        <w14:solidFill>
          <w14:schemeClr w14:val="tx1">
            <w14:lumMod w14:val="50000"/>
            <w14:lumOff w14:val="50000"/>
          </w14:schemeClr>
        </w14:solidFill>
      </w14:textFill>
    </w:rPr>
  </w:style>
  <w:style w:type="character" w:customStyle="1" w:styleId="35">
    <w:name w:val="副标题 字符"/>
    <w:basedOn w:val="22"/>
    <w:link w:val="16"/>
    <w:qFormat/>
    <w:uiPriority w:val="11"/>
    <w:rPr>
      <w:rFonts w:eastAsia="宋体" w:asciiTheme="majorHAnsi" w:hAnsiTheme="majorHAnsi" w:cstheme="majorBidi"/>
      <w:b/>
      <w:bCs/>
      <w:kern w:val="28"/>
      <w:sz w:val="32"/>
      <w:szCs w:val="32"/>
    </w:rPr>
  </w:style>
  <w:style w:type="character" w:customStyle="1" w:styleId="36">
    <w:name w:val="标题 字符"/>
    <w:basedOn w:val="22"/>
    <w:link w:val="19"/>
    <w:qFormat/>
    <w:uiPriority w:val="10"/>
    <w:rPr>
      <w:rFonts w:eastAsia="宋体" w:asciiTheme="majorHAnsi" w:hAnsiTheme="majorHAnsi" w:cstheme="majorBidi"/>
      <w:b/>
      <w:bCs/>
      <w:sz w:val="32"/>
      <w:szCs w:val="32"/>
    </w:rPr>
  </w:style>
  <w:style w:type="character" w:customStyle="1" w:styleId="37">
    <w:name w:val="标题 2 字符"/>
    <w:basedOn w:val="22"/>
    <w:link w:val="4"/>
    <w:qFormat/>
    <w:uiPriority w:val="9"/>
    <w:rPr>
      <w:rFonts w:asciiTheme="majorHAnsi" w:hAnsiTheme="majorHAnsi" w:eastAsiaTheme="majorEastAsia" w:cstheme="majorBidi"/>
      <w:b/>
      <w:bCs/>
      <w:sz w:val="32"/>
      <w:szCs w:val="32"/>
    </w:rPr>
  </w:style>
  <w:style w:type="character" w:customStyle="1" w:styleId="38">
    <w:name w:val="标题 3 字符"/>
    <w:basedOn w:val="22"/>
    <w:link w:val="5"/>
    <w:semiHidden/>
    <w:qFormat/>
    <w:uiPriority w:val="9"/>
    <w:rPr>
      <w:b/>
      <w:bCs/>
      <w:sz w:val="32"/>
      <w:szCs w:val="32"/>
    </w:rPr>
  </w:style>
  <w:style w:type="character" w:customStyle="1" w:styleId="39">
    <w:name w:val="正文文本缩进 2 字符"/>
    <w:basedOn w:val="22"/>
    <w:link w:val="11"/>
    <w:qFormat/>
    <w:uiPriority w:val="0"/>
    <w:rPr>
      <w:rFonts w:ascii="宋体" w:hAnsi="宋体" w:eastAsia="宋体" w:cs="Times New Roman"/>
      <w:snapToGrid w:val="0"/>
      <w:kern w:val="0"/>
      <w:szCs w:val="24"/>
    </w:rPr>
  </w:style>
  <w:style w:type="paragraph" w:customStyle="1" w:styleId="40">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qFormat/>
    <w:uiPriority w:val="0"/>
  </w:style>
  <w:style w:type="character" w:customStyle="1" w:styleId="45">
    <w:name w:val="ordinary-span-edit2"/>
    <w:basedOn w:val="22"/>
    <w:qFormat/>
    <w:uiPriority w:val="0"/>
  </w:style>
  <w:style w:type="character" w:customStyle="1" w:styleId="46">
    <w:name w:val="日期 字符"/>
    <w:basedOn w:val="22"/>
    <w:link w:val="10"/>
    <w:semiHidden/>
    <w:qFormat/>
    <w:uiPriority w:val="99"/>
  </w:style>
  <w:style w:type="paragraph" w:customStyle="1" w:styleId="47">
    <w:name w:val="正文1"/>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qFormat/>
    <w:uiPriority w:val="0"/>
    <w:rPr>
      <w:rFonts w:hint="default" w:ascii="Times New Roman" w:hAnsi="Times New Roman" w:cs="Times New Roman"/>
      <w:sz w:val="20"/>
      <w:szCs w:val="20"/>
      <w:u w:val="none"/>
    </w:rPr>
  </w:style>
  <w:style w:type="paragraph" w:customStyle="1" w:styleId="49">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qFormat/>
    <w:uiPriority w:val="0"/>
    <w:pPr>
      <w:spacing w:before="0" w:beforeLines="0" w:after="0" w:afterLines="0"/>
    </w:pPr>
    <w:rPr>
      <w:rFonts w:ascii="宋体" w:eastAsia="宋体"/>
    </w:rPr>
  </w:style>
  <w:style w:type="paragraph" w:customStyle="1" w:styleId="54">
    <w:name w:val="二级条标题"/>
    <w:basedOn w:val="52"/>
    <w:next w:val="51"/>
    <w:qFormat/>
    <w:uiPriority w:val="0"/>
    <w:pPr>
      <w:numPr>
        <w:ilvl w:val="2"/>
      </w:numPr>
      <w:spacing w:before="50" w:after="50"/>
      <w:outlineLvl w:val="3"/>
    </w:pPr>
  </w:style>
  <w:style w:type="paragraph" w:customStyle="1" w:styleId="55">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6">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qFormat/>
    <w:uiPriority w:val="0"/>
  </w:style>
  <w:style w:type="paragraph" w:customStyle="1" w:styleId="58">
    <w:name w:val="注："/>
    <w:next w:val="51"/>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59">
    <w:name w:val="附录标识"/>
    <w:basedOn w:val="1"/>
    <w:next w:val="51"/>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1">
    <w:name w:val="Other|1"/>
    <w:basedOn w:val="1"/>
    <w:qFormat/>
    <w:uiPriority w:val="0"/>
    <w:rPr>
      <w:rFonts w:ascii="宋体" w:hAnsi="宋体" w:cs="宋体"/>
      <w:sz w:val="19"/>
      <w:szCs w:val="19"/>
      <w:lang w:val="zh-CN" w:bidi="zh-CN"/>
    </w:rPr>
  </w:style>
  <w:style w:type="paragraph" w:customStyle="1" w:styleId="62">
    <w:name w:val="终结线"/>
    <w:basedOn w:val="1"/>
    <w:qFormat/>
    <w:uiPriority w:val="0"/>
    <w:pPr>
      <w:framePr w:hSpace="181" w:vSpace="181" w:wrap="around" w:vAnchor="text" w:hAnchor="margin" w:xAlign="center" w:y="285"/>
    </w:pPr>
  </w:style>
  <w:style w:type="paragraph" w:customStyle="1" w:styleId="63">
    <w:name w:val="标准文件_术语条一"/>
    <w:basedOn w:val="64"/>
    <w:next w:val="67"/>
    <w:qFormat/>
    <w:uiPriority w:val="0"/>
  </w:style>
  <w:style w:type="paragraph" w:customStyle="1" w:styleId="64">
    <w:name w:val="标准文件_一级无标题"/>
    <w:basedOn w:val="65"/>
    <w:qFormat/>
    <w:uiPriority w:val="0"/>
    <w:pPr>
      <w:spacing w:before="0" w:beforeLines="0" w:after="0" w:afterLines="0"/>
      <w:outlineLvl w:val="9"/>
    </w:pPr>
    <w:rPr>
      <w:rFonts w:ascii="宋体" w:eastAsia="宋体"/>
    </w:rPr>
  </w:style>
  <w:style w:type="paragraph" w:customStyle="1" w:styleId="65">
    <w:name w:val="标准文件_一级条标题"/>
    <w:basedOn w:val="66"/>
    <w:next w:val="67"/>
    <w:qFormat/>
    <w:uiPriority w:val="0"/>
    <w:pPr>
      <w:numPr>
        <w:ilvl w:val="2"/>
      </w:numPr>
      <w:spacing w:before="50" w:beforeLines="50" w:after="50" w:afterLines="50"/>
      <w:outlineLvl w:val="1"/>
    </w:pPr>
  </w:style>
  <w:style w:type="paragraph" w:customStyle="1" w:styleId="66">
    <w:name w:val="标准文件_章标题"/>
    <w:next w:val="67"/>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7">
    <w:name w:val="标准文件_段"/>
    <w:link w:val="7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qFormat/>
    <w:uiPriority w:val="0"/>
    <w:pPr>
      <w:spacing w:before="0" w:beforeLines="0" w:after="0" w:afterLines="0"/>
      <w:outlineLvl w:val="9"/>
    </w:pPr>
    <w:rPr>
      <w:rFonts w:ascii="宋体" w:eastAsia="宋体"/>
    </w:rPr>
  </w:style>
  <w:style w:type="paragraph" w:customStyle="1" w:styleId="69">
    <w:name w:val="标准文件_二级条标题"/>
    <w:next w:val="67"/>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qFormat/>
    <w:uiPriority w:val="0"/>
  </w:style>
  <w:style w:type="paragraph" w:customStyle="1" w:styleId="73">
    <w:name w:val="标准文件_附录一级条标题"/>
    <w:next w:val="67"/>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qFormat/>
    <w:uiPriority w:val="0"/>
    <w:p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paragraph" w:customStyle="1" w:styleId="76">
    <w:name w:val="标准文件_表格"/>
    <w:basedOn w:val="67"/>
    <w:qFormat/>
    <w:uiPriority w:val="0"/>
    <w:pPr>
      <w:ind w:firstLine="0" w:firstLineChars="0"/>
      <w:jc w:val="center"/>
    </w:pPr>
    <w:rPr>
      <w:sz w:val="18"/>
    </w:rPr>
  </w:style>
  <w:style w:type="paragraph" w:customStyle="1" w:styleId="77">
    <w:name w:val="标准文件_注×："/>
    <w:qFormat/>
    <w:uiPriority w:val="0"/>
    <w:pPr>
      <w:widowControl w:val="0"/>
      <w:numPr>
        <w:ilvl w:val="0"/>
        <w:numId w:val="9"/>
      </w:numPr>
      <w:autoSpaceDE w:val="0"/>
      <w:autoSpaceDN w:val="0"/>
      <w:jc w:val="both"/>
    </w:pPr>
    <w:rPr>
      <w:rFonts w:ascii="宋体" w:hAnsi="Times New Roman" w:eastAsia="宋体" w:cs="Times New Roman"/>
      <w:sz w:val="18"/>
      <w:szCs w:val="18"/>
      <w:lang w:val="en-US" w:eastAsia="zh-CN" w:bidi="ar-SA"/>
    </w:rPr>
  </w:style>
  <w:style w:type="character" w:customStyle="1" w:styleId="78">
    <w:name w:val="标准文件_段 Char"/>
    <w:link w:val="67"/>
    <w:qFormat/>
    <w:uiPriority w:val="0"/>
    <w:rPr>
      <w:rFonts w:ascii="宋体"/>
      <w:sz w:val="21"/>
    </w:rPr>
  </w:style>
  <w:style w:type="paragraph" w:customStyle="1" w:styleId="79">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80">
    <w:name w:val="Table Paragraph"/>
    <w:basedOn w:val="1"/>
    <w:qFormat/>
    <w:uiPriority w:val="1"/>
    <w:pPr>
      <w:autoSpaceDE w:val="0"/>
      <w:autoSpaceDN w:val="0"/>
      <w:spacing w:before="99"/>
      <w:ind w:left="521"/>
      <w:jc w:val="center"/>
    </w:pPr>
    <w:rPr>
      <w:rFonts w:ascii="宋体" w:hAnsi="宋体" w:eastAsia="宋体" w:cs="宋体"/>
      <w:kern w:val="0"/>
      <w:sz w:val="22"/>
    </w:rPr>
  </w:style>
  <w:style w:type="paragraph" w:customStyle="1" w:styleId="81">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png"/><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0.xml"/><Relationship Id="rId22" Type="http://schemas.openxmlformats.org/officeDocument/2006/relationships/footer" Target="footer9.xml"/><Relationship Id="rId21" Type="http://schemas.openxmlformats.org/officeDocument/2006/relationships/header" Target="header11.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22</Pages>
  <Words>2323</Words>
  <Characters>13244</Characters>
  <Lines>110</Lines>
  <Paragraphs>31</Paragraphs>
  <TotalTime>28</TotalTime>
  <ScaleCrop>false</ScaleCrop>
  <LinksUpToDate>false</LinksUpToDate>
  <CharactersWithSpaces>15536</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2022-12-21T15:00:00Z</dcterms:created>
  <dc:creator>wy</dc:creator>
  <cp:lastModifiedBy>sugou</cp:lastModifiedBy>
  <cp:lastPrinted>2025-05-20T15:13:00Z</cp:lastPrinted>
  <dcterms:modified xsi:type="dcterms:W3CDTF">2025-05-22T10:09:45Z</dcterms:modified>
  <cp:revision>179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2D391516055844F695F153CAFD5B753F</vt:lpwstr>
  </property>
</Properties>
</file>