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01</w:t>
      </w:r>
      <w:r>
        <w:rPr>
          <w:rFonts w:ascii="黑体" w:hAnsi="黑体" w:eastAsia="黑体" w:cs="Times New Roman"/>
        </w:rPr>
        <w:t>.</w:t>
      </w:r>
      <w:r>
        <w:rPr>
          <w:rFonts w:hint="eastAsia" w:ascii="黑体" w:hAnsi="黑体" w:eastAsia="黑体" w:cs="Times New Roman"/>
        </w:rPr>
        <w:t>040</w:t>
      </w:r>
      <w:r>
        <w:rPr>
          <w:rFonts w:ascii="黑体" w:hAnsi="黑体" w:eastAsia="黑体" w:cs="Times New Roman"/>
        </w:rPr>
        <w:t>.</w:t>
      </w:r>
      <w:r>
        <w:rPr>
          <w:rFonts w:hint="eastAsia" w:ascii="黑体" w:hAnsi="黑体" w:eastAsia="黑体" w:cs="Times New Roman"/>
        </w:rPr>
        <w:t>93</w:t>
      </w:r>
    </w:p>
    <w:p>
      <w:pPr>
        <w:rPr>
          <w:rFonts w:hint="eastAsia"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P</w:t>
      </w:r>
      <w:r>
        <w:rPr>
          <w:rFonts w:ascii="黑体" w:hAnsi="黑体" w:eastAsia="黑体" w:cs="Times New Roman"/>
        </w:rPr>
        <w:t xml:space="preserve"> </w:t>
      </w:r>
      <w:r>
        <w:rPr>
          <w:rFonts w:hint="eastAsia" w:ascii="黑体" w:hAnsi="黑体" w:eastAsia="黑体" w:cs="Times New Roman"/>
        </w:rPr>
        <w:t>66</w:t>
      </w:r>
      <w:r>
        <w:rPr>
          <w:rFonts w:ascii="黑体" w:hAnsi="黑体" w:eastAsia="黑体" w:cs="Times New Roman"/>
        </w:rPr>
        <w:t xml:space="preserve"> </w:t>
      </w:r>
    </w:p>
    <w:p>
      <w:pPr>
        <w:rPr>
          <w:rFonts w:hint="eastAsia"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hint="eastAsia"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hint="eastAsia"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-1769745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3.4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OmDYab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rPr>
                            </w:pPr>
                            <w:r>
                              <w:rPr>
                                <w:rFonts w:hint="eastAsia" w:ascii="黑体" w:hAnsi="宋体" w:eastAsia="黑体"/>
                                <w:sz w:val="52"/>
                                <w:szCs w:val="52"/>
                              </w:rPr>
                              <w:t>城市桥梁无人机巡检管理规范</w:t>
                            </w:r>
                          </w:p>
                          <w:p>
                            <w:pPr>
                              <w:jc w:val="center"/>
                              <w:rPr>
                                <w:rStyle w:val="44"/>
                                <w:rFonts w:hint="eastAsia" w:ascii="黑体" w:hAnsi="黑体" w:eastAsia="黑体"/>
                                <w:kern w:val="0"/>
                                <w:sz w:val="28"/>
                                <w:szCs w:val="21"/>
                              </w:rPr>
                            </w:pPr>
                            <w:r>
                              <w:rPr>
                                <w:rFonts w:hint="eastAsia" w:ascii="黑体" w:hAnsi="黑体" w:eastAsia="黑体"/>
                                <w:kern w:val="0"/>
                                <w:sz w:val="28"/>
                                <w:szCs w:val="21"/>
                              </w:rPr>
                              <w:t>Management specification for unmanned aerial vehicle patrol of urban bridges</w:t>
                            </w:r>
                          </w:p>
                          <w:p>
                            <w:pPr>
                              <w:jc w:val="center"/>
                              <w:rPr>
                                <w:rFonts w:hint="eastAsia"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rPr>
                      </w:pPr>
                      <w:r>
                        <w:rPr>
                          <w:rFonts w:hint="eastAsia" w:ascii="黑体" w:hAnsi="宋体" w:eastAsia="黑体"/>
                          <w:sz w:val="52"/>
                          <w:szCs w:val="52"/>
                        </w:rPr>
                        <w:t>城市桥梁无人机巡检管理规范</w:t>
                      </w:r>
                    </w:p>
                    <w:p>
                      <w:pPr>
                        <w:jc w:val="center"/>
                        <w:rPr>
                          <w:rStyle w:val="44"/>
                          <w:rFonts w:hint="eastAsia" w:ascii="黑体" w:hAnsi="黑体" w:eastAsia="黑体"/>
                          <w:kern w:val="0"/>
                          <w:sz w:val="28"/>
                          <w:szCs w:val="21"/>
                        </w:rPr>
                      </w:pPr>
                      <w:r>
                        <w:rPr>
                          <w:rFonts w:hint="eastAsia" w:ascii="黑体" w:hAnsi="黑体" w:eastAsia="黑体"/>
                          <w:kern w:val="0"/>
                          <w:sz w:val="28"/>
                          <w:szCs w:val="21"/>
                        </w:rPr>
                        <w:t>Management specification for unmanned aerial vehicle patrol of urban bridges</w:t>
                      </w:r>
                    </w:p>
                    <w:p>
                      <w:pPr>
                        <w:jc w:val="center"/>
                        <w:rPr>
                          <w:rFonts w:hint="eastAsia"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r>
        <w:rPr>
          <w:rFonts w:hint="eastAsia" w:ascii="黑体" w:hAnsi="黑体" w:eastAsia="黑体"/>
        </w:rPr>
        <w:t xml:space="preserve">                                                                                          </w:t>
      </w:r>
    </w:p>
    <w:p>
      <w:pPr>
        <w:pStyle w:val="8"/>
      </w:pPr>
    </w:p>
    <w:p>
      <w:pPr>
        <w:pStyle w:val="8"/>
      </w:pPr>
    </w:p>
    <w:p>
      <w:pPr>
        <w:pStyle w:val="8"/>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hint="eastAsia"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hint="eastAsia"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hint="eastAsia"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"_Toc28110" </w:instrText>
      </w:r>
      <w:r>
        <w:rPr>
          <w:rFonts w:hint="eastAsia" w:ascii="宋体" w:hAnsi="宋体" w:eastAsia="宋体" w:cs="宋体"/>
        </w:rP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_Toc28110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"_Toc29393" </w:instrText>
      </w:r>
      <w:r>
        <w:rPr>
          <w:rFonts w:hint="eastAsia" w:ascii="宋体" w:hAnsi="宋体" w:eastAsia="宋体" w:cs="宋体"/>
        </w:rPr>
        <w:fldChar w:fldCharType="separate"/>
      </w:r>
      <w:r>
        <w:rPr>
          <w:rFonts w:hint="eastAsia" w:ascii="宋体" w:hAnsi="宋体" w:eastAsia="宋体" w:cs="宋体"/>
        </w:rPr>
        <w:t xml:space="preserve">1 </w:t>
      </w:r>
      <w:r>
        <w:rPr>
          <w:rFonts w:hint="eastAsia" w:ascii="宋体" w:hAnsi="宋体" w:eastAsia="宋体" w:cs="宋体"/>
          <w:lang w:val="en-US" w:eastAsia="zh-CN"/>
        </w:rPr>
        <w:t xml:space="preserve">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_Toc29393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"_Toc17749" </w:instrText>
      </w:r>
      <w:r>
        <w:rPr>
          <w:rFonts w:hint="eastAsia" w:ascii="宋体" w:hAnsi="宋体" w:eastAsia="宋体" w:cs="宋体"/>
        </w:rPr>
        <w:fldChar w:fldCharType="separate"/>
      </w:r>
      <w:r>
        <w:rPr>
          <w:rFonts w:hint="eastAsia" w:ascii="宋体" w:hAnsi="宋体" w:eastAsia="宋体" w:cs="宋体"/>
        </w:rPr>
        <w:t xml:space="preserve">2 </w:t>
      </w:r>
      <w:r>
        <w:rPr>
          <w:rFonts w:hint="eastAsia" w:ascii="宋体" w:hAnsi="宋体" w:eastAsia="宋体" w:cs="宋体"/>
          <w:lang w:val="en-US" w:eastAsia="zh-CN"/>
        </w:rPr>
        <w:t xml:space="preserve">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_Toc17749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"_Toc1428" </w:instrText>
      </w:r>
      <w:r>
        <w:rPr>
          <w:rFonts w:hint="eastAsia" w:ascii="宋体" w:hAnsi="宋体" w:eastAsia="宋体" w:cs="宋体"/>
        </w:rPr>
        <w:fldChar w:fldCharType="separate"/>
      </w:r>
      <w:r>
        <w:rPr>
          <w:rFonts w:hint="eastAsia" w:ascii="宋体" w:hAnsi="宋体" w:eastAsia="宋体" w:cs="宋体"/>
          <w:szCs w:val="21"/>
        </w:rPr>
        <w:t xml:space="preserve">3 </w:t>
      </w:r>
      <w:r>
        <w:rPr>
          <w:rFonts w:hint="eastAsia" w:ascii="宋体" w:hAnsi="宋体" w:eastAsia="宋体" w:cs="宋体"/>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_Toc1428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"_Toc18468" </w:instrText>
      </w:r>
      <w:r>
        <w:rPr>
          <w:rFonts w:hint="eastAsia" w:ascii="宋体" w:hAnsi="宋体" w:eastAsia="宋体" w:cs="宋体"/>
        </w:rPr>
        <w:fldChar w:fldCharType="separate"/>
      </w:r>
      <w:r>
        <w:rPr>
          <w:rFonts w:hint="eastAsia" w:ascii="宋体" w:hAnsi="宋体" w:eastAsia="宋体" w:cs="宋体"/>
        </w:rPr>
        <w:t xml:space="preserve">4 </w:t>
      </w:r>
      <w:r>
        <w:rPr>
          <w:rFonts w:hint="eastAsia" w:ascii="宋体" w:hAnsi="宋体" w:eastAsia="宋体" w:cs="宋体"/>
          <w:lang w:val="en-US" w:eastAsia="zh-CN"/>
        </w:rPr>
        <w:t xml:space="preserve"> </w:t>
      </w:r>
      <w:r>
        <w:rPr>
          <w:rFonts w:hint="eastAsia" w:ascii="宋体" w:hAnsi="宋体" w:eastAsia="宋体" w:cs="宋体"/>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_Toc18468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"_Toc13942"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4.1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环境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_Toc13942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"_Toc18858"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4.2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运营主体</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_Toc18858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"_Toc13572"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4.3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人员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_Toc13572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"_Toc1479"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lang w:val="en-US" w:eastAsia="zh-CN"/>
        </w:rPr>
        <w:t xml:space="preserve"> </w:t>
      </w:r>
      <w:r>
        <w:rPr>
          <w:rFonts w:hint="eastAsia" w:ascii="宋体" w:hAnsi="宋体" w:eastAsia="宋体" w:cs="宋体"/>
        </w:rPr>
        <w:t xml:space="preserve"> 设备设施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_Toc1479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"_Toc5623"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5.1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无人机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_Toc5623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"_Toc27945"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5.2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挂载设备要求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_Toc27945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9"/>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"_Toc25278" </w:instrText>
      </w:r>
      <w:r>
        <w:rPr>
          <w:rFonts w:hint="eastAsia" w:ascii="宋体" w:hAnsi="宋体" w:eastAsia="宋体" w:cs="宋体"/>
        </w:rPr>
        <w:fldChar w:fldCharType="separate"/>
      </w:r>
      <w:r>
        <w:rPr>
          <w:rFonts w:hint="eastAsia" w:ascii="宋体" w:hAnsi="宋体" w:eastAsia="宋体" w:cs="宋体"/>
        </w:rPr>
        <w:t>5.2.1</w:t>
      </w:r>
      <w:r>
        <w:rPr>
          <w:rFonts w:hint="eastAsia" w:ascii="宋体" w:hAnsi="宋体" w:eastAsia="宋体" w:cs="宋体"/>
          <w:lang w:val="en-US" w:eastAsia="zh-CN"/>
        </w:rPr>
        <w:t xml:space="preserve"> </w:t>
      </w:r>
      <w:r>
        <w:rPr>
          <w:rFonts w:hint="eastAsia" w:ascii="宋体" w:hAnsi="宋体" w:eastAsia="宋体" w:cs="宋体"/>
        </w:rPr>
        <w:t xml:space="preserve"> 相机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_Toc25278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9"/>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"_Toc6450" </w:instrText>
      </w:r>
      <w:r>
        <w:rPr>
          <w:rFonts w:hint="eastAsia" w:ascii="宋体" w:hAnsi="宋体" w:eastAsia="宋体" w:cs="宋体"/>
        </w:rPr>
        <w:fldChar w:fldCharType="separate"/>
      </w:r>
      <w:r>
        <w:rPr>
          <w:rFonts w:hint="eastAsia" w:ascii="宋体" w:hAnsi="宋体" w:eastAsia="宋体" w:cs="宋体"/>
        </w:rPr>
        <w:t xml:space="preserve">5.2.2 </w:t>
      </w:r>
      <w:r>
        <w:rPr>
          <w:rFonts w:hint="eastAsia" w:ascii="宋体" w:hAnsi="宋体" w:eastAsia="宋体" w:cs="宋体"/>
          <w:lang w:val="en-US" w:eastAsia="zh-CN"/>
        </w:rPr>
        <w:t xml:space="preserve"> </w:t>
      </w:r>
      <w:r>
        <w:rPr>
          <w:rFonts w:hint="eastAsia" w:ascii="宋体" w:hAnsi="宋体" w:eastAsia="宋体" w:cs="宋体"/>
        </w:rPr>
        <w:t>激光雷达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_Toc6450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9"/>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"_Toc22067" </w:instrText>
      </w:r>
      <w:r>
        <w:rPr>
          <w:rFonts w:hint="eastAsia" w:ascii="宋体" w:hAnsi="宋体" w:eastAsia="宋体" w:cs="宋体"/>
        </w:rPr>
        <w:fldChar w:fldCharType="separate"/>
      </w:r>
      <w:r>
        <w:rPr>
          <w:rFonts w:hint="eastAsia" w:ascii="宋体" w:hAnsi="宋体" w:eastAsia="宋体" w:cs="宋体"/>
        </w:rPr>
        <w:t xml:space="preserve">5.2.3 </w:t>
      </w:r>
      <w:r>
        <w:rPr>
          <w:rFonts w:hint="eastAsia" w:ascii="宋体" w:hAnsi="宋体" w:eastAsia="宋体" w:cs="宋体"/>
          <w:lang w:val="en-US" w:eastAsia="zh-CN"/>
        </w:rPr>
        <w:t xml:space="preserve"> </w:t>
      </w:r>
      <w:r>
        <w:rPr>
          <w:rFonts w:hint="eastAsia" w:ascii="宋体" w:hAnsi="宋体" w:eastAsia="宋体" w:cs="宋体"/>
        </w:rPr>
        <w:t>照明设备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_Toc22067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"_Toc19525"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5.3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无人机设备维护保养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_Toc19525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"_Toc14397"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5.4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无人机电池维护保养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_Toc14397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"_Toc18816"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5.5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挂载设备维护保养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_Toc18816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"_Toc5923" </w:instrText>
      </w:r>
      <w:r>
        <w:rPr>
          <w:rFonts w:hint="eastAsia" w:ascii="宋体" w:hAnsi="宋体" w:eastAsia="宋体" w:cs="宋体"/>
        </w:rPr>
        <w:fldChar w:fldCharType="separate"/>
      </w:r>
      <w:r>
        <w:rPr>
          <w:rFonts w:hint="eastAsia" w:ascii="宋体" w:hAnsi="宋体" w:eastAsia="宋体" w:cs="宋体"/>
        </w:rPr>
        <w:t xml:space="preserve">6 </w:t>
      </w:r>
      <w:r>
        <w:rPr>
          <w:rFonts w:hint="eastAsia" w:ascii="宋体" w:hAnsi="宋体" w:eastAsia="宋体" w:cs="宋体"/>
          <w:lang w:val="en-US" w:eastAsia="zh-CN"/>
        </w:rPr>
        <w:t xml:space="preserve"> </w:t>
      </w:r>
      <w:r>
        <w:rPr>
          <w:rFonts w:hint="eastAsia" w:ascii="宋体" w:hAnsi="宋体" w:eastAsia="宋体" w:cs="宋体"/>
        </w:rPr>
        <w:t>安全要求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_Toc5923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"_Toc26402"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6.1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人员安全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_Toc26402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"_Toc21728"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6.2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无人机飞行安全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_Toc21728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"_Toc6439" </w:instrText>
      </w:r>
      <w:r>
        <w:rPr>
          <w:rFonts w:hint="eastAsia" w:ascii="宋体" w:hAnsi="宋体" w:eastAsia="宋体" w:cs="宋体"/>
        </w:rPr>
        <w:fldChar w:fldCharType="separate"/>
      </w:r>
      <w:r>
        <w:rPr>
          <w:rFonts w:hint="eastAsia" w:ascii="宋体" w:hAnsi="宋体" w:eastAsia="宋体" w:cs="宋体"/>
        </w:rPr>
        <w:t xml:space="preserve">7 </w:t>
      </w:r>
      <w:r>
        <w:rPr>
          <w:rFonts w:hint="eastAsia" w:ascii="宋体" w:hAnsi="宋体" w:eastAsia="宋体" w:cs="宋体"/>
          <w:lang w:val="en-US" w:eastAsia="zh-CN"/>
        </w:rPr>
        <w:t xml:space="preserve"> </w:t>
      </w:r>
      <w:r>
        <w:rPr>
          <w:rFonts w:hint="eastAsia" w:ascii="宋体" w:hAnsi="宋体" w:eastAsia="宋体" w:cs="宋体"/>
        </w:rPr>
        <w:t>飞行作业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_Toc6439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"_Toc28605"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7.1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飞前准备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_Toc28605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"_Toc24046"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7.2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飞行要求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_Toc24046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"_Toc26862"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7.3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数据采集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_Toc26862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"_Toc1250"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7.4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设备故障处置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_Toc1250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lang w:val="en-US" w:eastAsia="zh-CN"/>
        </w:rPr>
        <w:t xml:space="preserve"> </w:t>
      </w:r>
      <w:r>
        <w:rPr>
          <w:rFonts w:hint="eastAsia" w:ascii="宋体" w:hAnsi="宋体" w:eastAsia="宋体" w:cs="宋体"/>
        </w:rPr>
        <w:t xml:space="preserve"> 巡检内容及要求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"_Toc18292"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8.1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一般要求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_Toc18292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"_Toc473"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8.2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日常巡检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_Toc473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"_Toc12015"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8.3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经常巡检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_Toc12015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"_Toc17616"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8.4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定期巡检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_Toc17616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"_Toc21998" </w:instrText>
      </w:r>
      <w:r>
        <w:rPr>
          <w:rFonts w:hint="eastAsia" w:ascii="宋体" w:hAnsi="宋体" w:eastAsia="宋体" w:cs="宋体"/>
        </w:rPr>
        <w:fldChar w:fldCharType="separate"/>
      </w:r>
      <w:r>
        <w:rPr>
          <w:rFonts w:hint="eastAsia" w:ascii="宋体" w:hAnsi="宋体" w:eastAsia="宋体" w:cs="宋体"/>
        </w:rPr>
        <w:t xml:space="preserve">9 </w:t>
      </w:r>
      <w:r>
        <w:rPr>
          <w:rFonts w:hint="eastAsia" w:ascii="宋体" w:hAnsi="宋体" w:eastAsia="宋体" w:cs="宋体"/>
          <w:lang w:val="en-US" w:eastAsia="zh-CN"/>
        </w:rPr>
        <w:t xml:space="preserve"> </w:t>
      </w:r>
      <w:r>
        <w:rPr>
          <w:rFonts w:hint="eastAsia" w:ascii="宋体" w:hAnsi="宋体" w:eastAsia="宋体" w:cs="宋体"/>
        </w:rPr>
        <w:t>巡检成果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_Toc21998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"_Toc27583"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9.1</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kern w:val="0"/>
          <w14:scene3d>
            <w14:lightRig w14:rig="threePt" w14:dir="t">
              <w14:rot w14:lat="0" w14:lon="0" w14:rev="0"/>
            </w14:lightRig>
          </w14:scene3d>
        </w:rPr>
        <w:t xml:space="preserve"> </w:t>
      </w:r>
      <w:r>
        <w:rPr>
          <w:rFonts w:hint="eastAsia" w:ascii="宋体" w:hAnsi="宋体" w:eastAsia="宋体" w:cs="宋体"/>
        </w:rPr>
        <w:t>巡检报告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_Toc27583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"_Toc19067" </w:instrText>
      </w:r>
      <w:r>
        <w:rPr>
          <w:rFonts w:hint="eastAsia" w:ascii="宋体" w:hAnsi="宋体" w:eastAsia="宋体" w:cs="宋体"/>
        </w:rPr>
        <w:fldChar w:fldCharType="separate"/>
      </w:r>
      <w:r>
        <w:rPr>
          <w:rFonts w:hint="eastAsia" w:ascii="宋体" w:hAnsi="宋体" w:eastAsia="宋体" w:cs="宋体"/>
          <w:kern w:val="0"/>
          <w14:scene3d>
            <w14:lightRig w14:rig="threePt" w14:dir="t">
              <w14:rot w14:lat="0" w14:lon="0" w14:rev="0"/>
            </w14:lightRig>
          </w14:scene3d>
        </w:rPr>
        <w:t xml:space="preserve">9.2 </w:t>
      </w:r>
      <w:r>
        <w:rPr>
          <w:rFonts w:hint="eastAsia" w:ascii="宋体" w:hAnsi="宋体" w:eastAsia="宋体" w:cs="宋体"/>
          <w:kern w:val="0"/>
          <w:lang w:val="en-US" w:eastAsia="zh-CN"/>
          <w14:scene3d>
            <w14:lightRig w14:rig="threePt" w14:dir="t">
              <w14:rot w14:lat="0" w14:lon="0" w14:rev="0"/>
            </w14:lightRig>
          </w14:scene3d>
        </w:rPr>
        <w:t xml:space="preserve"> </w:t>
      </w:r>
      <w:r>
        <w:rPr>
          <w:rFonts w:hint="eastAsia" w:ascii="宋体" w:hAnsi="宋体" w:eastAsia="宋体" w:cs="宋体"/>
        </w:rPr>
        <w:t>影像资料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_Toc19067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pPr>
        <w:pStyle w:val="15"/>
        <w:tabs>
          <w:tab w:val="right" w:leader="dot" w:pos="9354"/>
        </w:tabs>
        <w:rPr>
          <w:rFonts w:hint="eastAsia" w:ascii="宋体" w:hAnsi="宋体" w:eastAsia="宋体" w:cs="宋体"/>
          <w:szCs w:val="21"/>
        </w:rPr>
      </w:pPr>
      <w:r>
        <w:rPr>
          <w:rFonts w:hint="eastAsia" w:ascii="宋体" w:hAnsi="宋体" w:eastAsia="宋体" w:cs="宋体"/>
        </w:rPr>
        <w:fldChar w:fldCharType="begin"/>
      </w:r>
      <w:r>
        <w:rPr>
          <w:rFonts w:hint="eastAsia" w:ascii="宋体" w:hAnsi="宋体" w:eastAsia="宋体" w:cs="宋体"/>
        </w:rPr>
        <w:instrText xml:space="preserve"> HYPERLINK \l "_Toc6828" </w:instrText>
      </w:r>
      <w:r>
        <w:rPr>
          <w:rFonts w:hint="eastAsia" w:ascii="宋体" w:hAnsi="宋体" w:eastAsia="宋体" w:cs="宋体"/>
        </w:rPr>
        <w:fldChar w:fldCharType="separate"/>
      </w:r>
      <w:r>
        <w:rPr>
          <w:rFonts w:hint="eastAsia" w:ascii="宋体" w:hAnsi="宋体" w:eastAsia="宋体" w:cs="宋体"/>
          <w:szCs w:val="21"/>
        </w:rPr>
        <w:t>附录A（资料性）</w:t>
      </w:r>
      <w:r>
        <w:rPr>
          <w:rFonts w:hint="eastAsia" w:ascii="宋体" w:hAnsi="宋体" w:eastAsia="宋体" w:cs="宋体"/>
          <w:szCs w:val="21"/>
          <w:lang w:val="en-US" w:eastAsia="zh-CN"/>
        </w:rPr>
        <w:t xml:space="preserve">  </w:t>
      </w:r>
      <w:r>
        <w:rPr>
          <w:rFonts w:hint="eastAsia" w:ascii="宋体" w:hAnsi="宋体" w:eastAsia="宋体" w:cs="宋体"/>
          <w:szCs w:val="21"/>
        </w:rPr>
        <w:t>城市桥梁日常巡检报表</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_Toc6828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"_Toc22910" </w:instrText>
      </w:r>
      <w:r>
        <w:rPr>
          <w:rFonts w:hint="eastAsia" w:ascii="宋体" w:hAnsi="宋体" w:eastAsia="宋体" w:cs="宋体"/>
        </w:rPr>
        <w:fldChar w:fldCharType="separate"/>
      </w:r>
      <w:r>
        <w:rPr>
          <w:rFonts w:hint="eastAsia" w:ascii="宋体" w:hAnsi="宋体" w:eastAsia="宋体" w:cs="宋体"/>
          <w:szCs w:val="21"/>
        </w:rPr>
        <w:t>附录B（规范性）</w:t>
      </w:r>
      <w:r>
        <w:rPr>
          <w:rFonts w:hint="eastAsia" w:ascii="宋体" w:hAnsi="宋体" w:eastAsia="宋体" w:cs="宋体"/>
          <w:szCs w:val="21"/>
          <w:lang w:val="en-US" w:eastAsia="zh-CN"/>
        </w:rPr>
        <w:t xml:space="preserve">  </w:t>
      </w:r>
      <w:r>
        <w:rPr>
          <w:rFonts w:hint="eastAsia" w:ascii="宋体" w:hAnsi="宋体" w:eastAsia="宋体" w:cs="宋体"/>
          <w:szCs w:val="21"/>
        </w:rPr>
        <w:t>定期巡检内容</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_Toc22910 \h </w:instrText>
      </w:r>
      <w:r>
        <w:rPr>
          <w:rFonts w:hint="eastAsia" w:ascii="宋体" w:hAnsi="宋体" w:eastAsia="宋体" w:cs="宋体"/>
          <w:szCs w:val="21"/>
        </w:rPr>
        <w:fldChar w:fldCharType="separate"/>
      </w:r>
      <w:r>
        <w:rPr>
          <w:rFonts w:hint="eastAsia" w:ascii="宋体" w:hAnsi="宋体" w:eastAsia="宋体" w:cs="宋体"/>
          <w:szCs w:val="21"/>
        </w:rPr>
        <w:t>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pPr>
      <w:r>
        <w:rPr>
          <w:rFonts w:hint="eastAsia" w:ascii="宋体" w:hAnsi="宋体" w:eastAsia="宋体" w:cs="宋体"/>
        </w:rPr>
        <w:fldChar w:fldCharType="begin"/>
      </w:r>
      <w:r>
        <w:rPr>
          <w:rFonts w:hint="eastAsia" w:ascii="宋体" w:hAnsi="宋体" w:eastAsia="宋体" w:cs="宋体"/>
        </w:rPr>
        <w:instrText xml:space="preserve"> HYPERLINK \l "_Toc7676" </w:instrText>
      </w:r>
      <w:r>
        <w:rPr>
          <w:rFonts w:hint="eastAsia" w:ascii="宋体" w:hAnsi="宋体" w:eastAsia="宋体" w:cs="宋体"/>
        </w:rPr>
        <w:fldChar w:fldCharType="separate"/>
      </w:r>
      <w:r>
        <w:rPr>
          <w:rFonts w:hint="eastAsia" w:ascii="宋体" w:hAnsi="宋体" w:eastAsia="宋体" w:cs="宋体"/>
          <w:szCs w:val="21"/>
        </w:rPr>
        <w:t>参考文献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_Toc7676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pPr>
        <w:snapToGrid w:val="0"/>
        <w:jc w:val="left"/>
        <w:rPr>
          <w:rFonts w:hint="eastAsia" w:ascii="宋体" w:hAnsi="宋体" w:eastAsia="宋体" w:cs="宋体"/>
          <w:szCs w:val="21"/>
        </w:rPr>
      </w:pPr>
      <w:r>
        <w:rPr>
          <w:rFonts w:hint="eastAsia" w:ascii="宋体" w:hAnsi="宋体" w:eastAsia="宋体" w:cs="宋体"/>
          <w:szCs w:val="21"/>
        </w:rPr>
        <w:fldChar w:fldCharType="end"/>
      </w:r>
    </w:p>
    <w:p>
      <w:pPr>
        <w:pStyle w:val="49"/>
        <w:shd w:val="clear" w:color="auto" w:fill="auto"/>
        <w:spacing w:before="567" w:after="680"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8"/>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snapToGrid w:val="0"/>
        <w:spacing w:before="567" w:after="680"/>
        <w:jc w:val="center"/>
        <w:outlineLvl w:val="0"/>
        <w:rPr>
          <w:rFonts w:hint="eastAsia" w:ascii="黑体" w:hAnsi="黑体" w:eastAsia="黑体" w:cs="黑体"/>
          <w:kern w:val="0"/>
          <w:sz w:val="32"/>
          <w:szCs w:val="32"/>
        </w:rPr>
      </w:pPr>
      <w:bookmarkStart w:id="2" w:name="_Toc28110"/>
      <w:r>
        <w:rPr>
          <w:rFonts w:hint="eastAsia" w:ascii="黑体" w:hAnsi="黑体" w:eastAsia="黑体" w:cs="黑体"/>
          <w:kern w:val="0"/>
          <w:sz w:val="32"/>
          <w:szCs w:val="32"/>
        </w:rPr>
        <w:t>前    言</w:t>
      </w:r>
      <w:bookmarkEnd w:id="2"/>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pPr>
      <w:r>
        <w:rPr>
          <w:rFonts w:hint="eastAsia" w:ascii="宋体" w:hAnsi="宋体" w:eastAsia="宋体" w:cs="宋体"/>
          <w:kern w:val="0"/>
          <w:szCs w:val="21"/>
        </w:rPr>
        <w:t>本文件</w:t>
      </w:r>
      <w:r>
        <w:rPr>
          <w:rFonts w:ascii="宋体" w:hAnsi="宋体" w:eastAsia="宋体" w:cs="宋体"/>
          <w:kern w:val="0"/>
          <w:szCs w:val="21"/>
        </w:rPr>
        <w:t>由</w:t>
      </w:r>
      <w:r>
        <w:rPr>
          <w:rFonts w:hint="eastAsia"/>
        </w:rPr>
        <w:t>苏州市交通运输局</w:t>
      </w:r>
      <w:r>
        <w:rPr>
          <w:rFonts w:hint="eastAsia"/>
          <w:lang w:bidi="ar"/>
        </w:rPr>
        <w:t>提出</w:t>
      </w:r>
      <w:r>
        <w:rPr>
          <w:rFonts w:hint="eastAsia"/>
          <w:lang w:eastAsia="zh-CN" w:bidi="ar"/>
        </w:rPr>
        <w:t>、</w:t>
      </w:r>
      <w:r>
        <w:rPr>
          <w:rFonts w:hint="eastAsia"/>
          <w:lang w:bidi="ar"/>
        </w:rPr>
        <w:t>归口</w:t>
      </w:r>
      <w:r>
        <w:rPr>
          <w:rFonts w:hint="eastAsia"/>
          <w:lang w:val="en-US" w:eastAsia="zh-CN" w:bidi="ar"/>
        </w:rPr>
        <w:t>并组织实施</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w:t>
      </w:r>
      <w:r>
        <w:rPr>
          <w:rFonts w:hint="eastAsia"/>
        </w:rPr>
        <w:t>清华大学苏州汽车研究院（吴江）、苏州大风技术有限公司、中国移动通信集团江苏有限公司苏州分公司、苏州空地网联科技有限公司、苏州市质量和标准化院、江苏云圣智能科技有限责任公司、苏州智能交通信息科技股份有限公司、苏州清猛智能科技有限公司、苏州航空产业集团</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本文件主要起草人：</w:t>
      </w:r>
      <w:r>
        <w:rPr>
          <w:rFonts w:hint="eastAsia"/>
        </w:rPr>
        <w:t>张新钰、余力、王嘉捷、杨军、白利敏、沈彧、李婧、谢晓烽、鞠京梁、申灏文、董一帆、张梦凡、马兆捷、马辉、李肖图灵、王新新、刘俊、董金聪、周建光</w:t>
      </w:r>
      <w:r>
        <w:rPr>
          <w:rFonts w:hint="eastAsia" w:ascii="宋体" w:hAnsi="宋体" w:eastAsia="宋体" w:cs="宋体"/>
          <w:kern w:val="0"/>
          <w:szCs w:val="21"/>
        </w:rPr>
        <w:t>。</w:t>
      </w:r>
    </w:p>
    <w:p>
      <w:pPr>
        <w:snapToGrid w:val="0"/>
        <w:ind w:firstLine="420" w:firstLineChars="200"/>
        <w:rPr>
          <w:rFonts w:hint="eastAsia"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start="2"/>
          <w:cols w:space="425" w:num="1"/>
          <w:docGrid w:type="lines" w:linePitch="312" w:charSpace="0"/>
        </w:sectPr>
      </w:pPr>
    </w:p>
    <w:p>
      <w:pPr>
        <w:pStyle w:val="8"/>
      </w:pPr>
    </w:p>
    <w:p>
      <w:pPr>
        <w:widowControl/>
        <w:rPr>
          <w:rFonts w:hint="eastAsia" w:ascii="黑体" w:hAnsi="黑体" w:eastAsia="黑体"/>
          <w:bCs/>
          <w:sz w:val="32"/>
          <w:szCs w:val="32"/>
        </w:rPr>
        <w:sectPr>
          <w:footerReference r:id="rId14" w:type="default"/>
          <w:headerReference r:id="rId13" w:type="even"/>
          <w:footerReference r:id="rId15" w:type="even"/>
          <w:pgSz w:w="11906" w:h="16838"/>
          <w:pgMar w:top="1417" w:right="1134" w:bottom="1134" w:left="1418" w:header="1417" w:footer="1134" w:gutter="0"/>
          <w:pgNumType w:fmt="upperRoman" w:start="2"/>
          <w:cols w:space="425" w:num="1"/>
          <w:docGrid w:type="lines" w:linePitch="312" w:charSpace="0"/>
        </w:sectPr>
      </w:pPr>
      <w:bookmarkStart w:id="3" w:name="SectionMark4"/>
    </w:p>
    <w:p>
      <w:pPr>
        <w:widowControl/>
        <w:spacing w:before="567" w:after="680"/>
        <w:jc w:val="center"/>
        <w:rPr>
          <w:rFonts w:hint="eastAsia" w:ascii="黑体" w:hAnsi="黑体" w:eastAsia="黑体"/>
          <w:bCs/>
          <w:sz w:val="32"/>
          <w:szCs w:val="32"/>
        </w:rPr>
      </w:pPr>
      <w:bookmarkStart w:id="113" w:name="_GoBack"/>
      <w:r>
        <w:rPr>
          <w:rFonts w:hint="eastAsia" w:ascii="黑体" w:hAnsi="宋体" w:eastAsia="黑体"/>
          <w:sz w:val="32"/>
          <w:szCs w:val="32"/>
        </w:rPr>
        <w:t>城市桥梁无人机巡检管理规范</w:t>
      </w:r>
      <w:bookmarkEnd w:id="113"/>
    </w:p>
    <w:bookmarkEnd w:id="3"/>
    <w:p>
      <w:pPr>
        <w:pStyle w:val="66"/>
        <w:spacing w:before="312" w:after="312"/>
      </w:pPr>
      <w:bookmarkStart w:id="4" w:name="_Toc29393"/>
      <w:bookmarkStart w:id="5" w:name="_Toc48028397"/>
      <w:bookmarkStart w:id="6" w:name="_Toc47964470"/>
      <w:bookmarkStart w:id="7" w:name="_Toc47973642"/>
      <w:bookmarkStart w:id="8" w:name="_Toc67401897"/>
      <w:bookmarkStart w:id="9" w:name="_Toc10375"/>
      <w:bookmarkStart w:id="10" w:name="_Toc15741"/>
      <w:bookmarkStart w:id="11" w:name="_Toc30515"/>
      <w:bookmarkStart w:id="12" w:name="_Toc87811368"/>
      <w:bookmarkStart w:id="13" w:name="_Toc46494722"/>
      <w:bookmarkStart w:id="14" w:name="_Toc48049835"/>
      <w:bookmarkStart w:id="15" w:name="_Toc47964512"/>
      <w:bookmarkStart w:id="16" w:name="_Toc122448156"/>
      <w:bookmarkStart w:id="17" w:name="_Toc48569571"/>
      <w:bookmarkStart w:id="18" w:name="_Toc48050151"/>
      <w:bookmarkStart w:id="19" w:name="_Toc66965087"/>
      <w:bookmarkStart w:id="20" w:name="_Toc51147912"/>
      <w:bookmarkStart w:id="21" w:name="_Toc67393169"/>
      <w:bookmarkStart w:id="22" w:name="_Toc51663569"/>
      <w:bookmarkStart w:id="23" w:name="_Toc87811223"/>
      <w:bookmarkStart w:id="24" w:name="_Toc48028304"/>
      <w:bookmarkStart w:id="25" w:name="_Toc40454690"/>
      <w:bookmarkStart w:id="26" w:name="_Toc47973431"/>
      <w:bookmarkStart w:id="27" w:name="_Toc115339701"/>
      <w:bookmarkStart w:id="28" w:name="_Toc48572088"/>
      <w:bookmarkStart w:id="29" w:name="_Toc21213"/>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67"/>
        <w:ind w:firstLine="420"/>
        <w:rPr>
          <w:kern w:val="2"/>
        </w:rPr>
      </w:pPr>
      <w:r>
        <w:rPr>
          <w:rFonts w:hint="eastAsia"/>
        </w:rPr>
        <w:t>本文件规定了城市桥梁无人机巡检的基本要求、设备设施、安全要求、飞行作业、巡检内容及要求、巡检成果等内容。</w:t>
      </w:r>
    </w:p>
    <w:p>
      <w:pPr>
        <w:pStyle w:val="51"/>
      </w:pPr>
      <w:r>
        <w:rPr>
          <w:rFonts w:hint="eastAsia"/>
        </w:rPr>
        <w:t>本文件适用于城市桥梁无人机巡检。</w:t>
      </w:r>
    </w:p>
    <w:p>
      <w:pPr>
        <w:pStyle w:val="66"/>
        <w:spacing w:before="312" w:after="312"/>
      </w:pPr>
      <w:bookmarkStart w:id="30" w:name="_Toc48049836"/>
      <w:bookmarkStart w:id="31" w:name="_Toc87811369"/>
      <w:bookmarkStart w:id="32" w:name="_Toc48569572"/>
      <w:bookmarkStart w:id="33" w:name="_Toc115339702"/>
      <w:bookmarkStart w:id="34" w:name="_Toc29099"/>
      <w:bookmarkStart w:id="35" w:name="_Toc48028398"/>
      <w:bookmarkStart w:id="36" w:name="_Toc51147913"/>
      <w:bookmarkStart w:id="37" w:name="_Toc48050152"/>
      <w:bookmarkStart w:id="38" w:name="_Toc46494723"/>
      <w:bookmarkStart w:id="39" w:name="_Toc5397"/>
      <w:bookmarkStart w:id="40" w:name="_Toc47973432"/>
      <w:bookmarkStart w:id="41" w:name="_Toc87811224"/>
      <w:bookmarkStart w:id="42" w:name="_Toc27904"/>
      <w:bookmarkStart w:id="43" w:name="_Toc66965088"/>
      <w:bookmarkStart w:id="44" w:name="_Toc51663570"/>
      <w:bookmarkStart w:id="45" w:name="_Toc27351"/>
      <w:bookmarkStart w:id="46" w:name="_Toc47964471"/>
      <w:bookmarkStart w:id="47" w:name="_Toc122448157"/>
      <w:bookmarkStart w:id="48" w:name="_Toc40454691"/>
      <w:bookmarkStart w:id="49" w:name="_Toc47964513"/>
      <w:bookmarkStart w:id="50" w:name="_Toc47973643"/>
      <w:bookmarkStart w:id="51" w:name="_Toc48572089"/>
      <w:bookmarkStart w:id="52" w:name="_Toc67401898"/>
      <w:bookmarkStart w:id="53" w:name="_Toc17749"/>
      <w:bookmarkStart w:id="54" w:name="_Toc67393170"/>
      <w:bookmarkStart w:id="55" w:name="_Toc48028305"/>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67"/>
        <w:ind w:firstLine="420"/>
      </w:pPr>
      <w:bookmarkStart w:id="56" w:name="_Toc67401899"/>
      <w:bookmarkStart w:id="57" w:name="_Toc87811225"/>
      <w:bookmarkStart w:id="58" w:name="_Toc115339703"/>
      <w:bookmarkStart w:id="59" w:name="_Toc67393171"/>
      <w:bookmarkStart w:id="60" w:name="_Toc122448158"/>
      <w:bookmarkStart w:id="61" w:name="_Toc87811370"/>
      <w:r>
        <w:t xml:space="preserve">GB/T </w:t>
      </w:r>
      <w:r>
        <w:rPr>
          <w:rFonts w:hint="eastAsia"/>
        </w:rPr>
        <w:t>38909</w:t>
      </w:r>
      <w:r>
        <w:t xml:space="preserve"> </w:t>
      </w:r>
      <w:r>
        <w:rPr>
          <w:rFonts w:hint="eastAsia"/>
          <w:lang w:val="en-US" w:eastAsia="zh-CN"/>
        </w:rPr>
        <w:t xml:space="preserve"> </w:t>
      </w:r>
      <w:r>
        <w:rPr>
          <w:rFonts w:hint="eastAsia"/>
        </w:rPr>
        <w:t>民用轻小型无人机系统电磁兼容性要求与试验方法</w:t>
      </w:r>
    </w:p>
    <w:p>
      <w:pPr>
        <w:pStyle w:val="67"/>
        <w:ind w:firstLine="420"/>
      </w:pPr>
      <w:r>
        <w:t xml:space="preserve">GB/T </w:t>
      </w:r>
      <w:r>
        <w:rPr>
          <w:rFonts w:hint="eastAsia"/>
        </w:rPr>
        <w:t xml:space="preserve">38930 </w:t>
      </w:r>
      <w:r>
        <w:rPr>
          <w:rFonts w:hint="eastAsia"/>
          <w:lang w:val="en-US" w:eastAsia="zh-CN"/>
        </w:rPr>
        <w:t xml:space="preserve"> </w:t>
      </w:r>
      <w:r>
        <w:rPr>
          <w:rFonts w:hint="eastAsia"/>
        </w:rPr>
        <w:t>民用轻小型无人机系统抗风性要求及其试验方法</w:t>
      </w:r>
    </w:p>
    <w:p>
      <w:pPr>
        <w:pStyle w:val="67"/>
        <w:ind w:firstLine="420"/>
      </w:pPr>
      <w:r>
        <w:t xml:space="preserve">GB/T </w:t>
      </w:r>
      <w:r>
        <w:rPr>
          <w:rFonts w:hint="eastAsia"/>
        </w:rPr>
        <w:t xml:space="preserve">38997 </w:t>
      </w:r>
      <w:r>
        <w:rPr>
          <w:rFonts w:hint="eastAsia"/>
          <w:lang w:val="en-US" w:eastAsia="zh-CN"/>
        </w:rPr>
        <w:t xml:space="preserve"> </w:t>
      </w:r>
      <w:r>
        <w:rPr>
          <w:rFonts w:hint="eastAsia"/>
        </w:rPr>
        <w:t>轻小型多旋翼无人机飞行控制与导航系统通用要求</w:t>
      </w:r>
    </w:p>
    <w:p>
      <w:pPr>
        <w:pStyle w:val="67"/>
        <w:ind w:firstLine="420"/>
      </w:pPr>
      <w:r>
        <w:rPr>
          <w:rFonts w:hint="eastAsia"/>
        </w:rPr>
        <w:t xml:space="preserve">CJJ 99 </w:t>
      </w:r>
      <w:r>
        <w:rPr>
          <w:rFonts w:hint="eastAsia"/>
          <w:lang w:val="en-US" w:eastAsia="zh-CN"/>
        </w:rPr>
        <w:t xml:space="preserve"> </w:t>
      </w:r>
      <w:r>
        <w:rPr>
          <w:rFonts w:hint="eastAsia"/>
        </w:rPr>
        <w:t>城市桥梁养护技术标准</w:t>
      </w:r>
    </w:p>
    <w:p>
      <w:pPr>
        <w:pStyle w:val="67"/>
        <w:ind w:firstLine="420"/>
        <w:rPr>
          <w:rFonts w:hint="eastAsia" w:hAnsi="宋体"/>
          <w:highlight w:val="yellow"/>
        </w:rPr>
      </w:pPr>
      <w:r>
        <w:rPr>
          <w:rFonts w:hint="eastAsia" w:hAnsi="宋体"/>
        </w:rPr>
        <w:t xml:space="preserve">IEC 60825 </w:t>
      </w:r>
      <w:r>
        <w:rPr>
          <w:rFonts w:hint="eastAsia" w:hAnsi="宋体"/>
          <w:lang w:val="en-US" w:eastAsia="zh-CN"/>
        </w:rPr>
        <w:t xml:space="preserve"> </w:t>
      </w:r>
      <w:r>
        <w:rPr>
          <w:rFonts w:hint="eastAsia" w:hAnsi="宋体"/>
        </w:rPr>
        <w:t>激光产品的安全 第1部分：设备分类和要求</w:t>
      </w:r>
    </w:p>
    <w:p>
      <w:pPr>
        <w:pStyle w:val="66"/>
        <w:spacing w:before="312" w:after="312"/>
        <w:rPr>
          <w:szCs w:val="21"/>
        </w:rPr>
      </w:pPr>
      <w:bookmarkStart w:id="62" w:name="_Toc1428"/>
      <w:r>
        <w:rPr>
          <w:rFonts w:hint="eastAsia"/>
          <w:szCs w:val="21"/>
        </w:rPr>
        <w:t>术语和定义</w:t>
      </w:r>
      <w:bookmarkEnd w:id="56"/>
      <w:bookmarkEnd w:id="57"/>
      <w:bookmarkEnd w:id="58"/>
      <w:bookmarkEnd w:id="59"/>
      <w:bookmarkEnd w:id="60"/>
      <w:bookmarkEnd w:id="61"/>
      <w:bookmarkEnd w:id="62"/>
    </w:p>
    <w:p>
      <w:pPr>
        <w:pStyle w:val="51"/>
      </w:pPr>
      <w:r>
        <w:rPr>
          <w:rFonts w:hint="eastAsia"/>
        </w:rPr>
        <w:t>下列术语和定义适用于本文件。</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自动巡检</w:t>
      </w:r>
      <w:r>
        <w:rPr>
          <w:rFonts w:hint="eastAsia" w:ascii="黑体" w:hAnsi="黑体" w:eastAsia="黑体"/>
          <w:lang w:val="en-US" w:eastAsia="zh-CN"/>
        </w:rPr>
        <w:t xml:space="preserve">  </w:t>
      </w:r>
      <w:r>
        <w:rPr>
          <w:rFonts w:hint="eastAsia" w:ascii="黑体" w:hAnsi="黑体" w:eastAsia="黑体"/>
        </w:rPr>
        <w:t>automatic patrol</w:t>
      </w:r>
    </w:p>
    <w:p>
      <w:pPr>
        <w:pStyle w:val="67"/>
        <w:ind w:firstLine="420"/>
      </w:pPr>
      <w:r>
        <w:rPr>
          <w:rFonts w:hint="eastAsia"/>
        </w:rPr>
        <w:t>基于城市桥梁的3D模型和地面控制系统的路径规划，通过预设程序或智能算法，使无人机在无需人工实时操控的情况下，自主完成对桥梁结构的系统性检测任务。</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手动巡检</w:t>
      </w:r>
      <w:r>
        <w:rPr>
          <w:rFonts w:hint="eastAsia" w:ascii="黑体" w:hAnsi="黑体" w:eastAsia="黑体"/>
          <w:lang w:val="en-US" w:eastAsia="zh-CN"/>
        </w:rPr>
        <w:t xml:space="preserve"> </w:t>
      </w:r>
      <w:r>
        <w:rPr>
          <w:rFonts w:hint="eastAsia" w:ascii="黑体" w:hAnsi="黑体" w:eastAsia="黑体"/>
        </w:rPr>
        <w:t xml:space="preserve"> manual patrol</w:t>
      </w:r>
    </w:p>
    <w:p>
      <w:pPr>
        <w:pStyle w:val="67"/>
        <w:ind w:firstLine="420"/>
      </w:pPr>
      <w:r>
        <w:rPr>
          <w:rFonts w:hint="eastAsia"/>
        </w:rPr>
        <w:t>由操作人员人工控制无人机完成对桥梁结构的系统性检测任务。</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 xml:space="preserve">粗飞方法 </w:t>
      </w:r>
      <w:r>
        <w:rPr>
          <w:rFonts w:hint="eastAsia" w:ascii="黑体" w:hAnsi="黑体" w:eastAsia="黑体"/>
          <w:lang w:val="en-US" w:eastAsia="zh-CN"/>
        </w:rPr>
        <w:t xml:space="preserve"> </w:t>
      </w:r>
      <w:r>
        <w:rPr>
          <w:rFonts w:hint="eastAsia" w:ascii="黑体" w:hAnsi="黑体" w:eastAsia="黑体"/>
        </w:rPr>
        <w:t>coarse flying method</w:t>
      </w:r>
    </w:p>
    <w:p>
      <w:pPr>
        <w:pStyle w:val="67"/>
        <w:ind w:firstLine="420"/>
      </w:pPr>
      <w:r>
        <w:rPr>
          <w:rFonts w:hint="eastAsia"/>
        </w:rPr>
        <w:t>使用大视场对桥梁结构表面开展粗略普查的巡检作业方法。</w:t>
      </w:r>
    </w:p>
    <w:p>
      <w:pPr>
        <w:pStyle w:val="63"/>
        <w:ind w:left="420" w:hanging="420" w:hangingChars="200"/>
        <w:rPr>
          <w:rFonts w:hint="eastAsia" w:ascii="黑体" w:hAnsi="黑体" w:eastAsia="黑体"/>
        </w:rPr>
      </w:pPr>
    </w:p>
    <w:p>
      <w:pPr>
        <w:pStyle w:val="63"/>
        <w:numPr>
          <w:ilvl w:val="0"/>
          <w:numId w:val="0"/>
        </w:numPr>
        <w:ind w:left="420"/>
        <w:rPr>
          <w:rFonts w:hint="eastAsia" w:ascii="黑体" w:hAnsi="黑体" w:eastAsia="黑体"/>
        </w:rPr>
      </w:pPr>
      <w:r>
        <w:rPr>
          <w:rFonts w:hint="eastAsia" w:ascii="黑体" w:hAnsi="黑体" w:eastAsia="黑体"/>
        </w:rPr>
        <w:t xml:space="preserve">精飞方法 </w:t>
      </w:r>
      <w:r>
        <w:rPr>
          <w:rFonts w:hint="eastAsia" w:ascii="黑体" w:hAnsi="黑体" w:eastAsia="黑体"/>
          <w:lang w:val="en-US" w:eastAsia="zh-CN"/>
        </w:rPr>
        <w:t xml:space="preserve"> </w:t>
      </w:r>
      <w:r>
        <w:rPr>
          <w:rFonts w:hint="eastAsia" w:ascii="黑体" w:hAnsi="黑体" w:eastAsia="黑体"/>
        </w:rPr>
        <w:t>precision flying method</w:t>
      </w:r>
    </w:p>
    <w:p>
      <w:pPr>
        <w:pStyle w:val="67"/>
        <w:ind w:firstLine="420"/>
      </w:pPr>
      <w:r>
        <w:rPr>
          <w:rFonts w:hint="eastAsia"/>
        </w:rPr>
        <w:t>使用小视场对桥梁结构表面开展精细化检测的巡检作业方法。</w:t>
      </w:r>
    </w:p>
    <w:p>
      <w:pPr>
        <w:pStyle w:val="67"/>
        <w:ind w:firstLine="0" w:firstLineChars="0"/>
        <w:rPr>
          <w:rFonts w:hint="eastAsia" w:ascii="黑体" w:hAnsi="黑体" w:eastAsia="黑体" w:cs="黑体"/>
        </w:rPr>
      </w:pPr>
      <w:r>
        <w:rPr>
          <w:rFonts w:hint="eastAsia" w:ascii="黑体" w:hAnsi="黑体" w:eastAsia="黑体" w:cs="黑体"/>
        </w:rPr>
        <w:t>3.5</w:t>
      </w:r>
    </w:p>
    <w:p>
      <w:pPr>
        <w:pStyle w:val="63"/>
        <w:numPr>
          <w:ilvl w:val="0"/>
          <w:numId w:val="0"/>
        </w:numPr>
        <w:ind w:left="420"/>
        <w:rPr>
          <w:rFonts w:hint="eastAsia" w:ascii="黑体" w:hAnsi="黑体" w:eastAsia="黑体" w:cs="黑体"/>
        </w:rPr>
      </w:pPr>
      <w:r>
        <w:rPr>
          <w:rFonts w:hint="eastAsia" w:ascii="黑体" w:hAnsi="黑体" w:eastAsia="黑体" w:cs="黑体"/>
        </w:rPr>
        <w:t xml:space="preserve">云台 </w:t>
      </w:r>
      <w:r>
        <w:rPr>
          <w:rFonts w:hint="eastAsia" w:ascii="黑体" w:hAnsi="黑体" w:eastAsia="黑体" w:cs="黑体"/>
          <w:lang w:val="en-US" w:eastAsia="zh-CN"/>
        </w:rPr>
        <w:t xml:space="preserve"> </w:t>
      </w:r>
      <w:r>
        <w:rPr>
          <w:rFonts w:hint="eastAsia" w:ascii="黑体" w:hAnsi="黑体" w:eastAsia="黑体" w:cs="黑体"/>
        </w:rPr>
        <w:t>gimbal</w:t>
      </w:r>
    </w:p>
    <w:p>
      <w:pPr>
        <w:pStyle w:val="67"/>
        <w:ind w:firstLine="420"/>
      </w:pPr>
      <w:r>
        <w:rPr>
          <w:rFonts w:hint="eastAsia"/>
        </w:rPr>
        <w:t>一种用于固定和稳定摄影摄像设备（如相机、摄像机等）的机械装置。</w:t>
      </w:r>
    </w:p>
    <w:p>
      <w:pPr>
        <w:pStyle w:val="67"/>
        <w:ind w:firstLine="0" w:firstLineChars="0"/>
        <w:rPr>
          <w:rFonts w:hint="eastAsia" w:ascii="黑体" w:hAnsi="黑体" w:eastAsia="黑体" w:cs="黑体"/>
        </w:rPr>
      </w:pPr>
      <w:r>
        <w:rPr>
          <w:rFonts w:hint="eastAsia" w:ascii="黑体" w:hAnsi="黑体" w:eastAsia="黑体" w:cs="黑体"/>
        </w:rPr>
        <w:t>3.6</w:t>
      </w:r>
    </w:p>
    <w:p>
      <w:pPr>
        <w:pStyle w:val="67"/>
        <w:ind w:firstLine="420"/>
        <w:rPr>
          <w:rFonts w:hint="eastAsia" w:ascii="黑体" w:hAnsi="黑体" w:eastAsia="黑体" w:cs="黑体"/>
        </w:rPr>
      </w:pPr>
      <w:r>
        <w:rPr>
          <w:rFonts w:hint="eastAsia" w:ascii="黑体" w:hAnsi="黑体" w:eastAsia="黑体" w:cs="黑体"/>
        </w:rPr>
        <w:t xml:space="preserve">姿态模式 </w:t>
      </w:r>
      <w:r>
        <w:rPr>
          <w:rFonts w:hint="eastAsia" w:ascii="黑体" w:hAnsi="黑体" w:eastAsia="黑体" w:cs="黑体"/>
          <w:lang w:val="en-US" w:eastAsia="zh-CN"/>
        </w:rPr>
        <w:t xml:space="preserve"> </w:t>
      </w:r>
      <w:r>
        <w:rPr>
          <w:rFonts w:hint="eastAsia" w:ascii="黑体" w:hAnsi="黑体" w:eastAsia="黑体" w:cs="黑体"/>
        </w:rPr>
        <w:t>attitude mode</w:t>
      </w:r>
    </w:p>
    <w:p>
      <w:pPr>
        <w:pStyle w:val="67"/>
        <w:ind w:firstLine="420"/>
      </w:pPr>
      <w:r>
        <w:rPr>
          <w:rFonts w:hint="eastAsia"/>
        </w:rPr>
        <w:t>无人机</w:t>
      </w:r>
      <w:r>
        <w:t>不依赖</w:t>
      </w:r>
      <w:r>
        <w:rPr>
          <w:rFonts w:hint="eastAsia"/>
        </w:rPr>
        <w:t>卫星</w:t>
      </w:r>
      <w:r>
        <w:t>和视觉系统进行定位，而是仅使用无人机内置的传感器，如气压计、陀螺仪等，来维持飞行高度和飞机的姿态稳定</w:t>
      </w:r>
      <w:r>
        <w:rPr>
          <w:rFonts w:hint="eastAsia"/>
        </w:rPr>
        <w:t>的飞行模式。</w:t>
      </w:r>
    </w:p>
    <w:p>
      <w:pPr>
        <w:pStyle w:val="66"/>
        <w:spacing w:before="312" w:after="312"/>
      </w:pPr>
      <w:bookmarkStart w:id="63" w:name="_Toc18468"/>
      <w:r>
        <w:rPr>
          <w:rFonts w:hint="eastAsia"/>
        </w:rPr>
        <w:t>基本要求</w:t>
      </w:r>
      <w:bookmarkEnd w:id="63"/>
    </w:p>
    <w:p>
      <w:pPr>
        <w:pStyle w:val="65"/>
        <w:spacing w:before="156" w:after="156"/>
      </w:pPr>
      <w:bookmarkStart w:id="64" w:name="_Toc13942"/>
      <w:r>
        <w:rPr>
          <w:rFonts w:hint="eastAsia"/>
        </w:rPr>
        <w:t>环境</w:t>
      </w:r>
      <w:bookmarkEnd w:id="64"/>
    </w:p>
    <w:p>
      <w:pPr>
        <w:pStyle w:val="68"/>
      </w:pPr>
      <w:r>
        <w:rPr>
          <w:rFonts w:hint="eastAsia"/>
        </w:rPr>
        <w:t>巡检线路沿线左右两侧20</w:t>
      </w:r>
      <w:r>
        <w:rPr>
          <w:rFonts w:hint="eastAsia"/>
          <w:lang w:val="en-US" w:eastAsia="zh-CN"/>
        </w:rPr>
        <w:t xml:space="preserve"> </w:t>
      </w:r>
      <w:r>
        <w:rPr>
          <w:rFonts w:hint="eastAsia"/>
        </w:rPr>
        <w:t>m范围内应无爆破、射击、打靶、飞行物、烟雾、火焰</w:t>
      </w:r>
      <w:r>
        <w:rPr>
          <w:rFonts w:hint="eastAsia"/>
          <w:lang w:val="en-US" w:eastAsia="zh-CN"/>
        </w:rPr>
        <w:t>和</w:t>
      </w:r>
      <w:r>
        <w:rPr>
          <w:rFonts w:hint="eastAsia"/>
        </w:rPr>
        <w:t>无线电干扰等影响飞行安全的因素。</w:t>
      </w:r>
    </w:p>
    <w:p>
      <w:pPr>
        <w:pStyle w:val="68"/>
      </w:pPr>
      <w:r>
        <w:rPr>
          <w:rFonts w:hint="eastAsia"/>
        </w:rPr>
        <w:t>起飞、降落点应选取平坦场地，面积应</w:t>
      </w:r>
      <w:r>
        <w:rPr>
          <w:rFonts w:hint="eastAsia" w:hAnsi="宋体"/>
        </w:rPr>
        <w:t>＞</w:t>
      </w:r>
      <w:r>
        <w:rPr>
          <w:rFonts w:hint="eastAsia"/>
        </w:rPr>
        <w:t>5</w:t>
      </w:r>
      <w:r>
        <w:rPr>
          <w:rFonts w:hint="eastAsia"/>
          <w:lang w:val="en-US" w:eastAsia="zh-CN"/>
        </w:rPr>
        <w:t xml:space="preserve"> </w:t>
      </w:r>
      <w:r>
        <w:rPr>
          <w:rFonts w:hint="eastAsia"/>
        </w:rPr>
        <w:t>m</w:t>
      </w:r>
      <w:r>
        <w:rPr>
          <w:rFonts w:hint="eastAsia" w:hAnsi="宋体"/>
          <w:lang w:val="en-US" w:eastAsia="zh-CN"/>
        </w:rPr>
        <w:t>*</w:t>
      </w:r>
      <w:r>
        <w:rPr>
          <w:rFonts w:hint="eastAsia"/>
        </w:rPr>
        <w:t>5</w:t>
      </w:r>
      <w:r>
        <w:rPr>
          <w:rFonts w:hint="eastAsia"/>
          <w:lang w:val="en-US" w:eastAsia="zh-CN"/>
        </w:rPr>
        <w:t xml:space="preserve"> </w:t>
      </w:r>
      <w:r>
        <w:rPr>
          <w:rFonts w:hint="eastAsia"/>
        </w:rPr>
        <w:t>m，起降点上空无障碍物。</w:t>
      </w:r>
    </w:p>
    <w:p>
      <w:pPr>
        <w:pStyle w:val="68"/>
      </w:pPr>
      <w:r>
        <w:rPr>
          <w:rFonts w:hint="eastAsia"/>
        </w:rPr>
        <w:t>作业时空气相对湿度应≤80</w:t>
      </w:r>
      <w:r>
        <w:rPr>
          <w:rFonts w:hint="eastAsia"/>
          <w:lang w:eastAsia="zh-CN"/>
        </w:rPr>
        <w:t>%</w:t>
      </w:r>
      <w:r>
        <w:rPr>
          <w:rFonts w:hint="eastAsia"/>
          <w:lang w:val="en-US" w:eastAsia="zh-CN"/>
        </w:rPr>
        <w:t xml:space="preserve"> </w:t>
      </w:r>
      <w:r>
        <w:rPr>
          <w:rFonts w:hint="eastAsia"/>
        </w:rPr>
        <w:t>RH。</w:t>
      </w:r>
    </w:p>
    <w:p>
      <w:pPr>
        <w:pStyle w:val="68"/>
      </w:pPr>
      <w:r>
        <w:rPr>
          <w:rFonts w:hint="eastAsia"/>
        </w:rPr>
        <w:t>作业现场瞬时风速应≤10</w:t>
      </w:r>
      <w:r>
        <w:rPr>
          <w:rFonts w:hint="eastAsia"/>
          <w:lang w:val="en-US" w:eastAsia="zh-CN"/>
        </w:rPr>
        <w:t xml:space="preserve"> </w:t>
      </w:r>
      <w:r>
        <w:rPr>
          <w:rFonts w:hint="eastAsia"/>
        </w:rPr>
        <w:t>m/s。</w:t>
      </w:r>
    </w:p>
    <w:p>
      <w:pPr>
        <w:pStyle w:val="68"/>
      </w:pPr>
      <w:r>
        <w:rPr>
          <w:rFonts w:hint="eastAsia"/>
        </w:rPr>
        <w:t>作业环境能见度应符合《无人驾驶航空器飞行管理暂行条例》相关规定。</w:t>
      </w:r>
    </w:p>
    <w:p>
      <w:pPr>
        <w:pStyle w:val="68"/>
      </w:pPr>
      <w:r>
        <w:rPr>
          <w:rFonts w:hint="eastAsia"/>
        </w:rPr>
        <w:t>作业环境温度应在-20℃</w:t>
      </w:r>
      <w:r>
        <w:rPr>
          <w:rFonts w:hint="eastAsia" w:hAnsi="宋体"/>
        </w:rPr>
        <w:t>～</w:t>
      </w:r>
      <w:r>
        <w:rPr>
          <w:rFonts w:hint="eastAsia"/>
        </w:rPr>
        <w:t>50℃之间。</w:t>
      </w:r>
    </w:p>
    <w:p>
      <w:pPr>
        <w:pStyle w:val="65"/>
        <w:spacing w:before="156" w:after="156"/>
      </w:pPr>
      <w:bookmarkStart w:id="65" w:name="_Toc18858"/>
      <w:r>
        <w:rPr>
          <w:rFonts w:hint="eastAsia"/>
        </w:rPr>
        <w:t>运营主体</w:t>
      </w:r>
      <w:bookmarkEnd w:id="65"/>
    </w:p>
    <w:p>
      <w:pPr>
        <w:pStyle w:val="68"/>
      </w:pPr>
      <w:r>
        <w:rPr>
          <w:rFonts w:hint="eastAsia"/>
        </w:rPr>
        <w:t>开展无人机城市桥梁巡检的运营主体应具备下列条件：</w:t>
      </w:r>
    </w:p>
    <w:p>
      <w:pPr>
        <w:pStyle w:val="78"/>
      </w:pPr>
      <w:r>
        <w:rPr>
          <w:rFonts w:hint="eastAsia"/>
        </w:rPr>
        <w:t>应具有法人资格；</w:t>
      </w:r>
    </w:p>
    <w:p>
      <w:pPr>
        <w:pStyle w:val="78"/>
      </w:pPr>
      <w:r>
        <w:rPr>
          <w:rFonts w:hint="eastAsia"/>
        </w:rPr>
        <w:t>应具有与所从事运营活动相适应的运营能力；</w:t>
      </w:r>
    </w:p>
    <w:p>
      <w:pPr>
        <w:pStyle w:val="78"/>
      </w:pPr>
      <w:r>
        <w:rPr>
          <w:rFonts w:hint="eastAsia"/>
        </w:rPr>
        <w:t>应在相关主管部门进行登记备案；</w:t>
      </w:r>
    </w:p>
    <w:p>
      <w:pPr>
        <w:pStyle w:val="78"/>
      </w:pPr>
      <w:r>
        <w:rPr>
          <w:rFonts w:hint="eastAsia"/>
        </w:rPr>
        <w:t>应具有民用无人驾驶航空器运营</w:t>
      </w:r>
      <w:r>
        <w:rPr>
          <w:rFonts w:hint="eastAsia"/>
          <w:lang w:val="en-US" w:eastAsia="zh-CN"/>
        </w:rPr>
        <w:t>合格</w:t>
      </w:r>
      <w:r>
        <w:rPr>
          <w:rFonts w:hint="eastAsia"/>
        </w:rPr>
        <w:t>证。</w:t>
      </w:r>
    </w:p>
    <w:p>
      <w:pPr>
        <w:pStyle w:val="68"/>
      </w:pPr>
      <w:r>
        <w:rPr>
          <w:rFonts w:hint="eastAsia"/>
        </w:rPr>
        <w:t>运营主体应为操作人员和飞行辅助人员应购买人身意外险，并为无人机购买第三者责任险。</w:t>
      </w:r>
    </w:p>
    <w:p>
      <w:pPr>
        <w:pStyle w:val="68"/>
      </w:pPr>
      <w:r>
        <w:rPr>
          <w:rFonts w:hint="eastAsia"/>
        </w:rPr>
        <w:t>运营主体应提前规划好巡检路线和频率，按照《无人驾驶航空器飞行管理暂行条例》的规定，向苏州市低空运行服务平台申请报备，并与苏州市低空飞行服务中心进行数据对接交互。</w:t>
      </w:r>
    </w:p>
    <w:p>
      <w:pPr>
        <w:pStyle w:val="68"/>
      </w:pPr>
      <w:r>
        <w:rPr>
          <w:rFonts w:hint="eastAsia"/>
        </w:rPr>
        <w:t>无人机进行铁路桥梁巡检时应向铁路公安部门报备。</w:t>
      </w:r>
    </w:p>
    <w:p>
      <w:pPr>
        <w:pStyle w:val="65"/>
        <w:spacing w:before="156" w:after="156"/>
      </w:pPr>
      <w:bookmarkStart w:id="66" w:name="_Toc13572"/>
      <w:r>
        <w:rPr>
          <w:rFonts w:hint="eastAsia"/>
        </w:rPr>
        <w:t>人员</w:t>
      </w:r>
      <w:bookmarkEnd w:id="66"/>
    </w:p>
    <w:p>
      <w:pPr>
        <w:pStyle w:val="68"/>
      </w:pPr>
      <w:r>
        <w:rPr>
          <w:rFonts w:hint="eastAsia"/>
        </w:rPr>
        <w:t>巡检作业应配备操作人员</w:t>
      </w:r>
      <w:r>
        <w:rPr>
          <w:rFonts w:hint="eastAsia"/>
          <w:lang w:val="en-US" w:eastAsia="zh-CN"/>
        </w:rPr>
        <w:t>和</w:t>
      </w:r>
      <w:r>
        <w:rPr>
          <w:rFonts w:hint="eastAsia"/>
        </w:rPr>
        <w:t>飞行辅助人员。</w:t>
      </w:r>
    </w:p>
    <w:p>
      <w:pPr>
        <w:pStyle w:val="68"/>
      </w:pPr>
      <w:r>
        <w:rPr>
          <w:rFonts w:hint="eastAsia"/>
        </w:rPr>
        <w:t>操作人员应具备CAAC颁发的</w:t>
      </w:r>
      <w:r>
        <w:t>民用无人机驾驶员合格证</w:t>
      </w:r>
      <w:r>
        <w:rPr>
          <w:rFonts w:hint="eastAsia"/>
        </w:rPr>
        <w:t>及相应民用无人机操作执照，具备无人机系统的运行维护、突发情况处置及使用无人机进行桥梁检测的业务能力，并通过相应机型的操作培训，取得相应资质。</w:t>
      </w:r>
    </w:p>
    <w:p>
      <w:pPr>
        <w:pStyle w:val="68"/>
      </w:pPr>
      <w:r>
        <w:rPr>
          <w:rFonts w:hint="eastAsia"/>
        </w:rPr>
        <w:t>飞行辅助人员应具备协助操作人员维护无人机系统运行、处置突发情况的能力。</w:t>
      </w:r>
    </w:p>
    <w:p>
      <w:pPr>
        <w:pStyle w:val="66"/>
        <w:spacing w:before="312" w:after="312"/>
      </w:pPr>
      <w:bookmarkStart w:id="67" w:name="_Toc26578"/>
      <w:bookmarkStart w:id="68" w:name="_Toc1479"/>
      <w:r>
        <w:rPr>
          <w:rFonts w:hint="eastAsia"/>
        </w:rPr>
        <w:t>设备设施</w:t>
      </w:r>
      <w:bookmarkEnd w:id="67"/>
      <w:bookmarkEnd w:id="68"/>
    </w:p>
    <w:p>
      <w:pPr>
        <w:pStyle w:val="65"/>
        <w:spacing w:before="156" w:after="156"/>
      </w:pPr>
      <w:bookmarkStart w:id="69" w:name="_Toc5623"/>
      <w:r>
        <w:rPr>
          <w:rFonts w:hint="eastAsia"/>
        </w:rPr>
        <w:t>无人机</w:t>
      </w:r>
      <w:bookmarkEnd w:id="69"/>
    </w:p>
    <w:p>
      <w:pPr>
        <w:pStyle w:val="68"/>
      </w:pPr>
      <w:r>
        <w:rPr>
          <w:rFonts w:hint="eastAsia"/>
          <w:lang w:val="en-US" w:eastAsia="zh-CN"/>
        </w:rPr>
        <w:t>运营主体</w:t>
      </w:r>
      <w:r>
        <w:rPr>
          <w:rFonts w:hint="eastAsia"/>
        </w:rPr>
        <w:t>宜选择多旋翼无人机进行巡检作业。</w:t>
      </w:r>
    </w:p>
    <w:p>
      <w:pPr>
        <w:pStyle w:val="68"/>
      </w:pPr>
      <w:r>
        <w:rPr>
          <w:rFonts w:hint="eastAsia"/>
        </w:rPr>
        <w:t>无人机应满足以下要求：</w:t>
      </w:r>
    </w:p>
    <w:p>
      <w:pPr>
        <w:pStyle w:val="78"/>
        <w:numPr>
          <w:ilvl w:val="0"/>
          <w:numId w:val="13"/>
        </w:numPr>
      </w:pPr>
      <w:r>
        <w:rPr>
          <w:rFonts w:hint="eastAsia"/>
        </w:rPr>
        <w:t>续航时间≥30</w:t>
      </w:r>
      <w:r>
        <w:rPr>
          <w:rFonts w:hint="eastAsia"/>
          <w:lang w:val="en-US" w:eastAsia="zh-CN"/>
        </w:rPr>
        <w:t xml:space="preserve"> </w:t>
      </w:r>
      <w:r>
        <w:rPr>
          <w:rFonts w:hint="eastAsia"/>
        </w:rPr>
        <w:t>min；</w:t>
      </w:r>
    </w:p>
    <w:p>
      <w:pPr>
        <w:pStyle w:val="78"/>
      </w:pPr>
      <w:r>
        <w:rPr>
          <w:rFonts w:hint="eastAsia"/>
        </w:rPr>
        <w:t>应具备感知和避障功能包括障碍物感知、告警提示并采取自动悬停、避让或降落等措施；</w:t>
      </w:r>
    </w:p>
    <w:p>
      <w:pPr>
        <w:pStyle w:val="78"/>
      </w:pPr>
      <w:r>
        <w:rPr>
          <w:rFonts w:hint="eastAsia"/>
        </w:rPr>
        <w:t>可搭载相机、激光雷达</w:t>
      </w:r>
      <w:r>
        <w:rPr>
          <w:rFonts w:hint="eastAsia"/>
          <w:lang w:val="en-US" w:eastAsia="zh-CN"/>
        </w:rPr>
        <w:t>和</w:t>
      </w:r>
      <w:r>
        <w:rPr>
          <w:rFonts w:hint="eastAsia"/>
        </w:rPr>
        <w:t>照明设备等挂载设备；</w:t>
      </w:r>
    </w:p>
    <w:p>
      <w:pPr>
        <w:pStyle w:val="78"/>
      </w:pPr>
      <w:r>
        <w:rPr>
          <w:rFonts w:hint="eastAsia"/>
        </w:rPr>
        <w:t>支持云台上置和云台下置；</w:t>
      </w:r>
    </w:p>
    <w:p>
      <w:pPr>
        <w:pStyle w:val="78"/>
      </w:pPr>
      <w:r>
        <w:rPr>
          <w:rFonts w:hint="eastAsia"/>
        </w:rPr>
        <w:t>与地面控制设备间图像传输距离应＞0.3</w:t>
      </w:r>
      <w:r>
        <w:rPr>
          <w:rFonts w:hint="eastAsia"/>
          <w:lang w:val="en-US" w:eastAsia="zh-CN"/>
        </w:rPr>
        <w:t xml:space="preserve"> </w:t>
      </w:r>
      <w:r>
        <w:rPr>
          <w:rFonts w:hint="eastAsia"/>
        </w:rPr>
        <w:t>km；</w:t>
      </w:r>
    </w:p>
    <w:p>
      <w:pPr>
        <w:pStyle w:val="18"/>
        <w:numPr>
          <w:ilvl w:val="0"/>
          <w:numId w:val="11"/>
        </w:numPr>
        <w:spacing w:before="0" w:beforeAutospacing="0" w:after="0" w:afterAutospacing="0"/>
        <w:jc w:val="both"/>
        <w:rPr>
          <w:rFonts w:hint="eastAsia" w:ascii="宋体" w:hAnsi="宋体" w:eastAsia="宋体" w:cs="宋体"/>
          <w:sz w:val="21"/>
          <w:szCs w:val="20"/>
          <w:lang w:bidi="ar"/>
        </w:rPr>
      </w:pPr>
      <w:r>
        <w:rPr>
          <w:rFonts w:hint="eastAsia" w:ascii="Times New Roman" w:hAnsi="Times New Roman" w:cs="Times New Roman"/>
          <w:sz w:val="21"/>
          <w:szCs w:val="20"/>
          <w:lang w:bidi="ar"/>
        </w:rPr>
        <w:t>电磁兼容应符</w:t>
      </w:r>
      <w:r>
        <w:rPr>
          <w:rFonts w:hint="eastAsia" w:ascii="宋体" w:hAnsi="宋体" w:eastAsia="宋体" w:cs="宋体"/>
          <w:sz w:val="21"/>
          <w:szCs w:val="20"/>
          <w:lang w:bidi="ar"/>
        </w:rPr>
        <w:t>合GB/T 38909的要求；</w:t>
      </w:r>
    </w:p>
    <w:p>
      <w:pPr>
        <w:pStyle w:val="18"/>
        <w:numPr>
          <w:ilvl w:val="0"/>
          <w:numId w:val="11"/>
        </w:numPr>
        <w:spacing w:before="0" w:beforeAutospacing="0" w:after="0" w:afterAutospacing="0"/>
        <w:jc w:val="both"/>
        <w:rPr>
          <w:rFonts w:hint="eastAsia" w:ascii="宋体" w:hAnsi="宋体" w:eastAsia="宋体" w:cs="宋体"/>
          <w:sz w:val="21"/>
          <w:szCs w:val="20"/>
          <w:lang w:bidi="ar"/>
        </w:rPr>
      </w:pPr>
      <w:r>
        <w:rPr>
          <w:rFonts w:hint="eastAsia" w:ascii="宋体" w:hAnsi="宋体" w:eastAsia="宋体" w:cs="宋体"/>
          <w:sz w:val="21"/>
          <w:szCs w:val="20"/>
          <w:lang w:bidi="ar"/>
        </w:rPr>
        <w:t>抗风性能应符合GB/T 38930的要求；</w:t>
      </w:r>
    </w:p>
    <w:p>
      <w:pPr>
        <w:pStyle w:val="18"/>
        <w:numPr>
          <w:ilvl w:val="0"/>
          <w:numId w:val="11"/>
        </w:numPr>
        <w:spacing w:before="0" w:beforeAutospacing="0" w:after="0" w:afterAutospacing="0"/>
        <w:jc w:val="both"/>
      </w:pPr>
      <w:r>
        <w:rPr>
          <w:rFonts w:hint="eastAsia" w:ascii="宋体" w:hAnsi="宋体" w:eastAsia="宋体" w:cs="宋体"/>
          <w:sz w:val="21"/>
          <w:szCs w:val="20"/>
          <w:lang w:bidi="ar"/>
        </w:rPr>
        <w:t>飞控算法与导航系统应符合GB/T 38997的要求。</w:t>
      </w:r>
    </w:p>
    <w:p>
      <w:pPr>
        <w:pStyle w:val="68"/>
      </w:pPr>
      <w:r>
        <w:rPr>
          <w:rFonts w:hint="eastAsia"/>
        </w:rPr>
        <w:t>地面控制设备应具备对无人机进行航线规划和任务规划的功能。</w:t>
      </w:r>
    </w:p>
    <w:p>
      <w:pPr>
        <w:pStyle w:val="65"/>
        <w:spacing w:before="156" w:after="156"/>
      </w:pPr>
      <w:bookmarkStart w:id="70" w:name="_Toc27945"/>
      <w:r>
        <w:rPr>
          <w:rFonts w:hint="eastAsia"/>
        </w:rPr>
        <w:t>挂载设备要求</w:t>
      </w:r>
      <w:bookmarkEnd w:id="70"/>
    </w:p>
    <w:p>
      <w:pPr>
        <w:pStyle w:val="69"/>
        <w:spacing w:before="156" w:after="156"/>
      </w:pPr>
      <w:bookmarkStart w:id="71" w:name="_Toc25278"/>
      <w:r>
        <w:rPr>
          <w:rFonts w:hint="eastAsia"/>
        </w:rPr>
        <w:t>相机</w:t>
      </w:r>
      <w:bookmarkEnd w:id="71"/>
    </w:p>
    <w:p>
      <w:pPr>
        <w:pStyle w:val="67"/>
        <w:ind w:firstLine="420"/>
      </w:pPr>
      <w:r>
        <w:rPr>
          <w:rFonts w:hint="eastAsia"/>
        </w:rPr>
        <w:t>相机应满足以下要求：</w:t>
      </w:r>
    </w:p>
    <w:p>
      <w:pPr>
        <w:pStyle w:val="78"/>
        <w:numPr>
          <w:ilvl w:val="0"/>
          <w:numId w:val="14"/>
        </w:numPr>
      </w:pPr>
      <w:r>
        <w:rPr>
          <w:rFonts w:hint="eastAsia"/>
        </w:rPr>
        <w:t>控制云台具备三轴自动稳定功能，控制精度满足在-0.05°</w:t>
      </w:r>
      <w:r>
        <w:rPr>
          <w:rFonts w:hint="eastAsia" w:hAnsi="宋体"/>
        </w:rPr>
        <w:t>～</w:t>
      </w:r>
      <w:r>
        <w:rPr>
          <w:rFonts w:hint="eastAsia"/>
        </w:rPr>
        <w:t>0.05°之间；</w:t>
      </w:r>
    </w:p>
    <w:p>
      <w:pPr>
        <w:pStyle w:val="78"/>
      </w:pPr>
      <w:r>
        <w:rPr>
          <w:rFonts w:hint="eastAsia"/>
        </w:rPr>
        <w:t>相机传感器分辨率≥2000万像素，变焦相机的光学变焦倍数不低于10倍；</w:t>
      </w:r>
    </w:p>
    <w:p>
      <w:pPr>
        <w:pStyle w:val="78"/>
      </w:pPr>
      <w:r>
        <w:rPr>
          <w:rFonts w:hint="eastAsia"/>
        </w:rPr>
        <w:t>拍摄视频分辨率≥1080</w:t>
      </w:r>
      <w:r>
        <w:rPr>
          <w:rFonts w:hint="eastAsia"/>
          <w:lang w:val="en-US" w:eastAsia="zh-CN"/>
        </w:rPr>
        <w:t xml:space="preserve"> </w:t>
      </w:r>
      <w:r>
        <w:rPr>
          <w:rFonts w:hint="eastAsia"/>
        </w:rPr>
        <w:t>P；</w:t>
      </w:r>
    </w:p>
    <w:p>
      <w:pPr>
        <w:pStyle w:val="78"/>
      </w:pPr>
      <w:r>
        <w:rPr>
          <w:rFonts w:hint="eastAsia"/>
        </w:rPr>
        <w:t>相机具备手动触发和自动触发功能，触发功能包括定点、等时间间隔</w:t>
      </w:r>
      <w:r>
        <w:rPr>
          <w:rFonts w:hint="eastAsia"/>
          <w:lang w:val="en-US" w:eastAsia="zh-CN"/>
        </w:rPr>
        <w:t>和</w:t>
      </w:r>
      <w:r>
        <w:rPr>
          <w:rFonts w:hint="eastAsia"/>
        </w:rPr>
        <w:t>等距离间隔曝光；</w:t>
      </w:r>
    </w:p>
    <w:p>
      <w:pPr>
        <w:pStyle w:val="78"/>
        <w:rPr>
          <w:rFonts w:hint="eastAsia" w:ascii="宋体" w:hAnsi="宋体" w:eastAsia="宋体" w:cs="宋体"/>
        </w:rPr>
      </w:pPr>
      <w:r>
        <w:rPr>
          <w:rFonts w:ascii="仿宋_GB2312" w:hAnsi="仿宋_GB2312"/>
        </w:rPr>
        <w:t>有效像素</w:t>
      </w:r>
      <w:r>
        <w:rPr>
          <w:rFonts w:hint="eastAsia" w:ascii="仿宋_GB2312" w:hAnsi="仿宋_GB2312"/>
        </w:rPr>
        <w:t>不低</w:t>
      </w:r>
      <w:r>
        <w:rPr>
          <w:rFonts w:hint="eastAsia" w:ascii="宋体" w:hAnsi="宋体" w:eastAsia="宋体" w:cs="宋体"/>
        </w:rPr>
        <w:t>于3.2</w:t>
      </w:r>
      <w:r>
        <w:rPr>
          <w:rFonts w:hint="eastAsia" w:ascii="宋体" w:hAnsi="宋体" w:eastAsia="宋体" w:cs="宋体"/>
          <w:lang w:val="en-US" w:eastAsia="zh-CN"/>
        </w:rPr>
        <w:t xml:space="preserve"> </w:t>
      </w:r>
      <w:r>
        <w:rPr>
          <w:rFonts w:hint="eastAsia" w:ascii="宋体" w:hAnsi="宋体" w:eastAsia="宋体" w:cs="宋体"/>
        </w:rPr>
        <w:t>Mpx，RGB模式下≥12.3</w:t>
      </w:r>
      <w:r>
        <w:rPr>
          <w:rFonts w:hint="eastAsia" w:ascii="宋体" w:hAnsi="宋体" w:eastAsia="宋体" w:cs="宋体"/>
          <w:lang w:val="en-US" w:eastAsia="zh-CN"/>
        </w:rPr>
        <w:t xml:space="preserve"> </w:t>
      </w:r>
      <w:r>
        <w:rPr>
          <w:rFonts w:hint="eastAsia" w:ascii="宋体" w:hAnsi="宋体" w:eastAsia="宋体" w:cs="宋体"/>
        </w:rPr>
        <w:t>Mpx；</w:t>
      </w:r>
    </w:p>
    <w:p>
      <w:pPr>
        <w:pStyle w:val="78"/>
      </w:pPr>
      <w:r>
        <w:rPr>
          <w:rFonts w:hint="eastAsia" w:ascii="宋体" w:hAnsi="宋体" w:eastAsia="宋体" w:cs="宋体"/>
        </w:rPr>
        <w:t>飞行高度距地面120</w:t>
      </w:r>
      <w:r>
        <w:rPr>
          <w:rFonts w:hint="eastAsia" w:hAnsi="宋体" w:cs="宋体"/>
          <w:lang w:val="en-US" w:eastAsia="zh-CN"/>
        </w:rPr>
        <w:t xml:space="preserve"> </w:t>
      </w:r>
      <w:r>
        <w:rPr>
          <w:rFonts w:hint="eastAsia" w:ascii="宋体" w:hAnsi="宋体" w:eastAsia="宋体" w:cs="宋体"/>
        </w:rPr>
        <w:t>m时，地面分辨率≤</w:t>
      </w:r>
      <w:r>
        <w:rPr>
          <w:rStyle w:val="79"/>
          <w:rFonts w:hint="eastAsia" w:ascii="宋体" w:hAnsi="宋体" w:eastAsia="宋体" w:cs="宋体"/>
          <w:color w:val="auto"/>
          <w:u w:val="none"/>
        </w:rPr>
        <w:t>5.28</w:t>
      </w:r>
      <w:r>
        <w:rPr>
          <w:rStyle w:val="79"/>
          <w:rFonts w:hint="eastAsia" w:ascii="宋体" w:hAnsi="宋体" w:eastAsia="宋体" w:cs="宋体"/>
          <w:color w:val="auto"/>
          <w:u w:val="none"/>
          <w:lang w:val="en-US" w:eastAsia="zh-CN"/>
        </w:rPr>
        <w:t xml:space="preserve"> </w:t>
      </w:r>
      <w:r>
        <w:rPr>
          <w:rStyle w:val="79"/>
          <w:rFonts w:hint="eastAsia" w:ascii="宋体" w:hAnsi="宋体" w:eastAsia="宋体" w:cs="宋体"/>
          <w:color w:val="auto"/>
          <w:u w:val="none"/>
        </w:rPr>
        <w:t>cm/</w:t>
      </w:r>
      <w:r>
        <w:rPr>
          <w:rFonts w:hint="eastAsia" w:ascii="宋体" w:hAnsi="宋体" w:eastAsia="宋体" w:cs="宋体"/>
        </w:rPr>
        <w:t>px</w:t>
      </w:r>
      <w:r>
        <w:rPr>
          <w:rStyle w:val="79"/>
          <w:rFonts w:hint="eastAsia" w:ascii="宋体" w:hAnsi="宋体" w:eastAsia="宋体" w:cs="宋体"/>
          <w:color w:val="auto"/>
          <w:u w:val="none"/>
        </w:rPr>
        <w:t>，彩色遥感影像分辨率</w:t>
      </w:r>
      <w:r>
        <w:rPr>
          <w:rFonts w:hint="eastAsia" w:ascii="宋体" w:hAnsi="宋体" w:eastAsia="宋体" w:cs="宋体"/>
        </w:rPr>
        <w:t>≤</w:t>
      </w:r>
      <w:r>
        <w:rPr>
          <w:rStyle w:val="79"/>
          <w:rFonts w:hint="eastAsia" w:ascii="宋体" w:hAnsi="宋体" w:eastAsia="宋体" w:cs="宋体"/>
          <w:color w:val="auto"/>
          <w:u w:val="none"/>
        </w:rPr>
        <w:t>2.60</w:t>
      </w:r>
      <w:r>
        <w:rPr>
          <w:rStyle w:val="79"/>
          <w:rFonts w:hint="eastAsia" w:ascii="宋体" w:hAnsi="宋体" w:eastAsia="宋体" w:cs="宋体"/>
          <w:color w:val="auto"/>
          <w:u w:val="none"/>
          <w:lang w:val="en-US" w:eastAsia="zh-CN"/>
        </w:rPr>
        <w:t xml:space="preserve"> </w:t>
      </w:r>
      <w:r>
        <w:rPr>
          <w:rStyle w:val="79"/>
          <w:rFonts w:hint="eastAsia" w:ascii="宋体" w:hAnsi="宋体" w:eastAsia="宋体" w:cs="宋体"/>
          <w:color w:val="auto"/>
          <w:u w:val="none"/>
        </w:rPr>
        <w:t>cm/</w:t>
      </w:r>
      <w:r>
        <w:rPr>
          <w:rFonts w:hint="eastAsia" w:ascii="宋体" w:hAnsi="宋体" w:eastAsia="宋体" w:cs="宋体"/>
        </w:rPr>
        <w:t>px</w:t>
      </w:r>
      <w:r>
        <w:rPr>
          <w:rStyle w:val="79"/>
          <w:rFonts w:hint="eastAsia" w:ascii="宋体"/>
          <w:color w:val="auto"/>
          <w:u w:val="none"/>
        </w:rPr>
        <w:t>；</w:t>
      </w:r>
    </w:p>
    <w:p>
      <w:pPr>
        <w:pStyle w:val="78"/>
      </w:pPr>
      <w:r>
        <w:rPr>
          <w:rFonts w:hint="eastAsia"/>
        </w:rPr>
        <w:t>相机存储空间≥32</w:t>
      </w:r>
      <w:r>
        <w:rPr>
          <w:rFonts w:hint="eastAsia"/>
          <w:lang w:val="en-US" w:eastAsia="zh-CN"/>
        </w:rPr>
        <w:t xml:space="preserve"> </w:t>
      </w:r>
      <w:r>
        <w:rPr>
          <w:rFonts w:hint="eastAsia"/>
        </w:rPr>
        <w:t>GB；</w:t>
      </w:r>
    </w:p>
    <w:p>
      <w:pPr>
        <w:pStyle w:val="78"/>
      </w:pPr>
      <w:r>
        <w:rPr>
          <w:rFonts w:hint="eastAsia"/>
        </w:rPr>
        <w:t>支持通过地面站控制相机执行拍照、录像</w:t>
      </w:r>
      <w:r>
        <w:rPr>
          <w:rFonts w:hint="eastAsia"/>
          <w:lang w:val="en-US" w:eastAsia="zh-CN"/>
        </w:rPr>
        <w:t>和</w:t>
      </w:r>
      <w:r>
        <w:rPr>
          <w:rFonts w:hint="eastAsia"/>
        </w:rPr>
        <w:t>变焦等指令。</w:t>
      </w:r>
    </w:p>
    <w:p>
      <w:pPr>
        <w:pStyle w:val="69"/>
        <w:spacing w:before="156" w:after="156"/>
      </w:pPr>
      <w:bookmarkStart w:id="72" w:name="_Toc6450"/>
      <w:r>
        <w:rPr>
          <w:rFonts w:hint="eastAsia"/>
        </w:rPr>
        <w:t>激光雷达</w:t>
      </w:r>
      <w:bookmarkEnd w:id="72"/>
    </w:p>
    <w:p>
      <w:pPr>
        <w:pStyle w:val="67"/>
        <w:ind w:firstLine="420"/>
        <w:rPr>
          <w:rFonts w:hint="eastAsia" w:asciiTheme="minorEastAsia" w:hAnsiTheme="minorEastAsia" w:eastAsiaTheme="minorEastAsia" w:cstheme="minorEastAsia"/>
        </w:rPr>
      </w:pPr>
      <w:r>
        <w:rPr>
          <w:rFonts w:hint="eastAsia" w:asciiTheme="minorEastAsia" w:hAnsiTheme="minorEastAsia" w:eastAsiaTheme="minorEastAsia" w:cstheme="minorEastAsia"/>
        </w:rPr>
        <w:t>无人机搭载的激光雷达应满足以下要求：</w:t>
      </w:r>
    </w:p>
    <w:p>
      <w:pPr>
        <w:pStyle w:val="78"/>
        <w:numPr>
          <w:ilvl w:val="0"/>
          <w:numId w:val="15"/>
        </w:numP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rPr>
        <w:t>测距精度（均方根误差RMS在1σ条件下）≤2</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cm；</w:t>
      </w:r>
    </w:p>
    <w:p>
      <w:pPr>
        <w:pStyle w:val="78"/>
        <w:rPr>
          <w:rFonts w:hint="eastAsia" w:asciiTheme="minorEastAsia" w:hAnsiTheme="minorEastAsia" w:eastAsiaTheme="minorEastAsia" w:cstheme="minorEastAsia"/>
        </w:rPr>
      </w:pPr>
      <w:r>
        <w:rPr>
          <w:rFonts w:hint="eastAsia" w:asciiTheme="minorEastAsia" w:hAnsiTheme="minorEastAsia" w:eastAsiaTheme="minorEastAsia" w:cstheme="minorEastAsia"/>
        </w:rPr>
        <w:t>最大支持回波数≥5</w:t>
      </w:r>
      <w:r>
        <w:rPr>
          <w:rFonts w:hint="eastAsia" w:asciiTheme="minorEastAsia" w:hAnsiTheme="minorEastAsia" w:eastAsiaTheme="minorEastAsia" w:cstheme="minorEastAsia"/>
          <w:lang w:val="en-US" w:eastAsia="zh-CN"/>
        </w:rPr>
        <w:t xml:space="preserve"> 个</w:t>
      </w:r>
      <w:r>
        <w:rPr>
          <w:rFonts w:hint="eastAsia" w:asciiTheme="minorEastAsia" w:hAnsiTheme="minorEastAsia" w:eastAsiaTheme="minorEastAsia" w:cstheme="minorEastAsia"/>
        </w:rPr>
        <w:t>；</w:t>
      </w:r>
    </w:p>
    <w:p>
      <w:pPr>
        <w:pStyle w:val="78"/>
        <w:rPr>
          <w:rFonts w:hint="eastAsia" w:asciiTheme="minorEastAsia" w:hAnsiTheme="minorEastAsia" w:eastAsiaTheme="minorEastAsia" w:cstheme="minorEastAsia"/>
        </w:rPr>
      </w:pPr>
      <w:r>
        <w:rPr>
          <w:rFonts w:hint="eastAsia" w:asciiTheme="minorEastAsia" w:hAnsiTheme="minorEastAsia" w:eastAsiaTheme="minorEastAsia" w:cstheme="minorEastAsia"/>
        </w:rPr>
        <w:t>在100</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m距离处测量时，激光光斑（半峰全宽）水平方向应≤4</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cm、垂直方向应≤12</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cm；</w:t>
      </w:r>
    </w:p>
    <w:p>
      <w:pPr>
        <w:pStyle w:val="78"/>
        <w:rPr>
          <w:rFonts w:hint="eastAsia" w:asciiTheme="minorEastAsia" w:hAnsiTheme="minorEastAsia" w:eastAsiaTheme="minorEastAsia" w:cstheme="minorEastAsia"/>
        </w:rPr>
      </w:pPr>
      <w:r>
        <w:rPr>
          <w:rFonts w:hint="eastAsia" w:asciiTheme="minorEastAsia" w:hAnsiTheme="minorEastAsia" w:eastAsiaTheme="minorEastAsia" w:cstheme="minorEastAsia"/>
        </w:rPr>
        <w:t>激光脉冲重复频率PRF≥240</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kHz；</w:t>
      </w:r>
    </w:p>
    <w:p>
      <w:pPr>
        <w:pStyle w:val="78"/>
      </w:pPr>
      <w:r>
        <w:rPr>
          <w:rFonts w:hint="eastAsia" w:asciiTheme="minorEastAsia" w:hAnsiTheme="minorEastAsia" w:eastAsiaTheme="minorEastAsia" w:cstheme="minorEastAsia"/>
        </w:rPr>
        <w:t>激光安全等级应高于IEC 60825-1中规定的Class1</w:t>
      </w:r>
      <w:r>
        <w:rPr>
          <w:rFonts w:hint="eastAsia" w:hAnsi="宋体" w:cs="宋体"/>
        </w:rPr>
        <w:t>。</w:t>
      </w:r>
    </w:p>
    <w:p>
      <w:pPr>
        <w:pStyle w:val="69"/>
        <w:spacing w:before="156" w:after="156"/>
      </w:pPr>
      <w:bookmarkStart w:id="73" w:name="_Toc22067"/>
      <w:r>
        <w:rPr>
          <w:rFonts w:hint="eastAsia"/>
        </w:rPr>
        <w:t>照明设备</w:t>
      </w:r>
      <w:bookmarkEnd w:id="73"/>
    </w:p>
    <w:p>
      <w:pPr>
        <w:pStyle w:val="78"/>
        <w:numPr>
          <w:ilvl w:val="0"/>
          <w:numId w:val="0"/>
        </w:numPr>
        <w:ind w:firstLine="420" w:firstLineChars="200"/>
      </w:pPr>
      <w:r>
        <w:rPr>
          <w:rFonts w:hint="eastAsia"/>
        </w:rPr>
        <w:t>无人机搭载的照明设备照度应达到50</w:t>
      </w:r>
      <w:r>
        <w:rPr>
          <w:rFonts w:hint="eastAsia"/>
          <w:lang w:val="en-US" w:eastAsia="zh-CN"/>
        </w:rPr>
        <w:t xml:space="preserve"> lx</w:t>
      </w:r>
      <w:r>
        <w:rPr>
          <w:rFonts w:hint="eastAsia"/>
        </w:rPr>
        <w:t>～200</w:t>
      </w:r>
      <w:r>
        <w:rPr>
          <w:rFonts w:hint="eastAsia"/>
          <w:lang w:val="en-US" w:eastAsia="zh-CN"/>
        </w:rPr>
        <w:t xml:space="preserve"> </w:t>
      </w:r>
      <w:r>
        <w:rPr>
          <w:rFonts w:hint="eastAsia"/>
        </w:rPr>
        <w:t>lx。夜间或低光环境中至少需要300</w:t>
      </w:r>
      <w:r>
        <w:rPr>
          <w:rFonts w:hint="eastAsia"/>
          <w:lang w:val="en-US" w:eastAsia="zh-CN"/>
        </w:rPr>
        <w:t xml:space="preserve"> </w:t>
      </w:r>
      <w:r>
        <w:rPr>
          <w:rFonts w:hint="eastAsia"/>
        </w:rPr>
        <w:t>lx</w:t>
      </w:r>
      <w:r>
        <w:rPr>
          <w:rFonts w:hint="eastAsia"/>
          <w:lang w:eastAsia="zh-CN"/>
        </w:rPr>
        <w:t>，</w:t>
      </w:r>
      <w:r>
        <w:rPr>
          <w:rFonts w:hint="eastAsia"/>
        </w:rPr>
        <w:t>并避免阴影干扰。</w:t>
      </w:r>
    </w:p>
    <w:p>
      <w:pPr>
        <w:pStyle w:val="65"/>
        <w:spacing w:before="156" w:after="156"/>
      </w:pPr>
      <w:bookmarkStart w:id="74" w:name="_Toc19525"/>
      <w:r>
        <w:rPr>
          <w:rFonts w:hint="eastAsia"/>
        </w:rPr>
        <w:t>无人机设备维护保养</w:t>
      </w:r>
      <w:bookmarkEnd w:id="74"/>
    </w:p>
    <w:p>
      <w:pPr>
        <w:pStyle w:val="68"/>
      </w:pPr>
      <w:r>
        <w:rPr>
          <w:rFonts w:hint="eastAsia"/>
        </w:rPr>
        <w:t>按照设备维护保养通用要求，分为日常检查保养和定期检查保养。</w:t>
      </w:r>
    </w:p>
    <w:p>
      <w:pPr>
        <w:pStyle w:val="68"/>
      </w:pPr>
      <w:r>
        <w:rPr>
          <w:rFonts w:hint="eastAsia"/>
        </w:rPr>
        <w:t>日常检查保养应包括但不限于以下内容：</w:t>
      </w:r>
    </w:p>
    <w:p>
      <w:pPr>
        <w:pStyle w:val="78"/>
        <w:numPr>
          <w:ilvl w:val="0"/>
          <w:numId w:val="16"/>
        </w:numPr>
      </w:pPr>
      <w:r>
        <w:rPr>
          <w:rFonts w:hint="eastAsia"/>
        </w:rPr>
        <w:t>保持任务载荷设备清洁；</w:t>
      </w:r>
    </w:p>
    <w:p>
      <w:pPr>
        <w:pStyle w:val="78"/>
      </w:pPr>
      <w:r>
        <w:rPr>
          <w:rFonts w:hint="eastAsia"/>
        </w:rPr>
        <w:t>保持数据存储空间充足。</w:t>
      </w:r>
    </w:p>
    <w:p>
      <w:pPr>
        <w:pStyle w:val="68"/>
      </w:pPr>
      <w:r>
        <w:rPr>
          <w:rFonts w:hint="eastAsia"/>
        </w:rPr>
        <w:t>定期检查保养应包括但不限于以下内容：</w:t>
      </w:r>
    </w:p>
    <w:p>
      <w:pPr>
        <w:pStyle w:val="78"/>
        <w:numPr>
          <w:ilvl w:val="0"/>
          <w:numId w:val="17"/>
        </w:numPr>
      </w:pPr>
      <w:r>
        <w:rPr>
          <w:rFonts w:hint="eastAsia"/>
        </w:rPr>
        <w:t>机身外观完整无损；</w:t>
      </w:r>
    </w:p>
    <w:p>
      <w:pPr>
        <w:pStyle w:val="78"/>
      </w:pPr>
      <w:r>
        <w:rPr>
          <w:rFonts w:hint="eastAsia"/>
        </w:rPr>
        <w:t>机身框架完好无裂纹；</w:t>
      </w:r>
    </w:p>
    <w:p>
      <w:pPr>
        <w:pStyle w:val="78"/>
      </w:pPr>
      <w:r>
        <w:rPr>
          <w:rFonts w:hint="eastAsia"/>
        </w:rPr>
        <w:t>橡胶件状态良好；</w:t>
      </w:r>
    </w:p>
    <w:p>
      <w:pPr>
        <w:pStyle w:val="78"/>
      </w:pPr>
      <w:r>
        <w:rPr>
          <w:rFonts w:hint="eastAsia"/>
        </w:rPr>
        <w:t>紧固件</w:t>
      </w:r>
      <w:r>
        <w:rPr>
          <w:rFonts w:hint="eastAsia"/>
          <w:lang w:val="en-US" w:eastAsia="zh-CN"/>
        </w:rPr>
        <w:t>和</w:t>
      </w:r>
      <w:r>
        <w:rPr>
          <w:rFonts w:hint="eastAsia"/>
        </w:rPr>
        <w:t>连接件稳定可靠；</w:t>
      </w:r>
    </w:p>
    <w:p>
      <w:pPr>
        <w:pStyle w:val="78"/>
      </w:pPr>
      <w:r>
        <w:rPr>
          <w:rFonts w:hint="eastAsia"/>
        </w:rPr>
        <w:t>桨叶外观完好无损；</w:t>
      </w:r>
    </w:p>
    <w:p>
      <w:pPr>
        <w:pStyle w:val="78"/>
      </w:pPr>
      <w:r>
        <w:rPr>
          <w:rFonts w:hint="eastAsia"/>
        </w:rPr>
        <w:t>照明设备外观完好无破损；</w:t>
      </w:r>
    </w:p>
    <w:p>
      <w:pPr>
        <w:pStyle w:val="78"/>
      </w:pPr>
      <w:r>
        <w:rPr>
          <w:rFonts w:hint="eastAsia"/>
        </w:rPr>
        <w:t>照明设备功能正常。</w:t>
      </w:r>
    </w:p>
    <w:p>
      <w:pPr>
        <w:pStyle w:val="65"/>
        <w:spacing w:before="156" w:after="156"/>
      </w:pPr>
      <w:bookmarkStart w:id="75" w:name="_Toc14397"/>
      <w:r>
        <w:rPr>
          <w:rFonts w:hint="eastAsia"/>
        </w:rPr>
        <w:t>无人机电池维护保养</w:t>
      </w:r>
      <w:bookmarkEnd w:id="75"/>
    </w:p>
    <w:p>
      <w:pPr>
        <w:pStyle w:val="68"/>
      </w:pPr>
      <w:r>
        <w:rPr>
          <w:rFonts w:hint="eastAsia"/>
        </w:rPr>
        <w:t>飞行结束后应及时拔出无人机电池，置于适宜的温度条件下。</w:t>
      </w:r>
    </w:p>
    <w:p>
      <w:pPr>
        <w:pStyle w:val="68"/>
      </w:pPr>
      <w:r>
        <w:rPr>
          <w:rFonts w:hint="eastAsia"/>
        </w:rPr>
        <w:t>对长期不使用的电池，宜将电池电量放电至40</w:t>
      </w:r>
      <w:r>
        <w:rPr>
          <w:rFonts w:hint="eastAsia"/>
          <w:lang w:eastAsia="zh-CN"/>
        </w:rPr>
        <w:t>%</w:t>
      </w:r>
      <w:r>
        <w:rPr>
          <w:rFonts w:hint="eastAsia"/>
        </w:rPr>
        <w:t>～65</w:t>
      </w:r>
      <w:r>
        <w:rPr>
          <w:rFonts w:hint="eastAsia"/>
          <w:lang w:eastAsia="zh-CN"/>
        </w:rPr>
        <w:t>%</w:t>
      </w:r>
      <w:r>
        <w:rPr>
          <w:rFonts w:hint="eastAsia"/>
        </w:rPr>
        <w:t>后存放。</w:t>
      </w:r>
    </w:p>
    <w:p>
      <w:pPr>
        <w:pStyle w:val="68"/>
      </w:pPr>
      <w:r>
        <w:rPr>
          <w:rFonts w:hint="eastAsia"/>
        </w:rPr>
        <w:t>对长期不使用的电池宜每隔2个月～3个月充放电一次，充电时应将电池和充电设备放置在周围无易燃物、可燃物的地面，充电应在10℃～30℃的温度下进行。</w:t>
      </w:r>
    </w:p>
    <w:p>
      <w:pPr>
        <w:pStyle w:val="68"/>
      </w:pPr>
      <w:r>
        <w:rPr>
          <w:rFonts w:hint="eastAsia"/>
        </w:rPr>
        <w:t>充电完毕后应断开充电器与电池间的连接，检查电池各个部件外观。</w:t>
      </w:r>
    </w:p>
    <w:p>
      <w:pPr>
        <w:pStyle w:val="65"/>
        <w:spacing w:before="156" w:after="156"/>
      </w:pPr>
      <w:bookmarkStart w:id="76" w:name="_Toc18816"/>
      <w:r>
        <w:rPr>
          <w:rFonts w:hint="eastAsia"/>
        </w:rPr>
        <w:t>挂载设备维护保养</w:t>
      </w:r>
      <w:bookmarkEnd w:id="76"/>
    </w:p>
    <w:p>
      <w:pPr>
        <w:pStyle w:val="68"/>
      </w:pPr>
      <w:r>
        <w:rPr>
          <w:rFonts w:hint="eastAsia"/>
        </w:rPr>
        <w:t>挂载设备连接部分应无松动、变形</w:t>
      </w:r>
      <w:r>
        <w:rPr>
          <w:rFonts w:hint="eastAsia"/>
          <w:lang w:val="en-US" w:eastAsia="zh-CN"/>
        </w:rPr>
        <w:t>和</w:t>
      </w:r>
      <w:r>
        <w:rPr>
          <w:rFonts w:hint="eastAsia"/>
        </w:rPr>
        <w:t>破损，转动部分无卡顿。</w:t>
      </w:r>
    </w:p>
    <w:p>
      <w:pPr>
        <w:pStyle w:val="68"/>
      </w:pPr>
      <w:r>
        <w:rPr>
          <w:rFonts w:hint="eastAsia"/>
        </w:rPr>
        <w:t>挂载设备外观应无破损变形。相机镜头应无刮花破损。</w:t>
      </w:r>
    </w:p>
    <w:p>
      <w:pPr>
        <w:pStyle w:val="68"/>
      </w:pPr>
      <w:r>
        <w:rPr>
          <w:rFonts w:hint="eastAsia"/>
        </w:rPr>
        <w:t>挂载设备应供电充足，与机体通信可靠。</w:t>
      </w:r>
    </w:p>
    <w:p>
      <w:pPr>
        <w:pStyle w:val="66"/>
        <w:spacing w:before="312" w:after="312"/>
      </w:pPr>
      <w:bookmarkStart w:id="77" w:name="_Toc19121"/>
      <w:bookmarkStart w:id="78" w:name="_Toc5923"/>
      <w:r>
        <w:rPr>
          <w:rFonts w:hint="eastAsia"/>
        </w:rPr>
        <w:t>安全要求</w:t>
      </w:r>
      <w:bookmarkEnd w:id="77"/>
      <w:bookmarkEnd w:id="78"/>
    </w:p>
    <w:p>
      <w:pPr>
        <w:pStyle w:val="65"/>
        <w:spacing w:before="156" w:after="156"/>
      </w:pPr>
      <w:bookmarkStart w:id="79" w:name="_Toc26402"/>
      <w:r>
        <w:rPr>
          <w:rFonts w:hint="eastAsia"/>
        </w:rPr>
        <w:t>人员安全</w:t>
      </w:r>
      <w:bookmarkEnd w:id="79"/>
    </w:p>
    <w:p>
      <w:pPr>
        <w:pStyle w:val="68"/>
      </w:pPr>
      <w:r>
        <w:rPr>
          <w:rFonts w:hint="eastAsia"/>
        </w:rPr>
        <w:t>起飞和降落时，现场所有人员应与无人机保持≥6</w:t>
      </w:r>
      <w:r>
        <w:rPr>
          <w:rFonts w:hint="eastAsia"/>
          <w:lang w:val="en-US" w:eastAsia="zh-CN"/>
        </w:rPr>
        <w:t xml:space="preserve"> </w:t>
      </w:r>
      <w:r>
        <w:rPr>
          <w:rFonts w:hint="eastAsia"/>
        </w:rPr>
        <w:t>m的安全距离，作业人员不应位于起飞和降落航线下。</w:t>
      </w:r>
    </w:p>
    <w:p>
      <w:pPr>
        <w:pStyle w:val="68"/>
      </w:pPr>
      <w:r>
        <w:rPr>
          <w:rFonts w:hint="eastAsia"/>
        </w:rPr>
        <w:t>现场人员应正确穿戴安全帽等个人劳动防护用品。</w:t>
      </w:r>
    </w:p>
    <w:p>
      <w:pPr>
        <w:pStyle w:val="68"/>
      </w:pPr>
      <w:r>
        <w:rPr>
          <w:rFonts w:hint="eastAsia"/>
        </w:rPr>
        <w:t>作业前12</w:t>
      </w:r>
      <w:r>
        <w:rPr>
          <w:rFonts w:hint="eastAsia"/>
          <w:lang w:val="en-US" w:eastAsia="zh-CN"/>
        </w:rPr>
        <w:t xml:space="preserve"> </w:t>
      </w:r>
      <w:r>
        <w:rPr>
          <w:rFonts w:hint="eastAsia"/>
        </w:rPr>
        <w:t>h及作业过程中不应服用含酒精、麻醉剂、神经镇静类或助眠类药物。</w:t>
      </w:r>
    </w:p>
    <w:p>
      <w:pPr>
        <w:pStyle w:val="65"/>
        <w:spacing w:before="156" w:after="156"/>
      </w:pPr>
      <w:bookmarkStart w:id="80" w:name="_Toc21728"/>
      <w:r>
        <w:rPr>
          <w:rFonts w:hint="eastAsia"/>
        </w:rPr>
        <w:t>无人机飞行安全</w:t>
      </w:r>
      <w:bookmarkEnd w:id="80"/>
    </w:p>
    <w:p>
      <w:pPr>
        <w:pStyle w:val="68"/>
      </w:pPr>
      <w:r>
        <w:rPr>
          <w:rFonts w:hint="eastAsia"/>
        </w:rPr>
        <w:t>巡检作业时，无人机若需要跨越杆（塔），必须将无人机升高至安全跨越高度，从杆（塔）上方通过后下降进行作业。</w:t>
      </w:r>
    </w:p>
    <w:p>
      <w:pPr>
        <w:pStyle w:val="68"/>
      </w:pPr>
      <w:r>
        <w:rPr>
          <w:rFonts w:hint="eastAsia"/>
        </w:rPr>
        <w:t>无人机不应在强磁场区域上空飞行。</w:t>
      </w:r>
    </w:p>
    <w:p>
      <w:pPr>
        <w:pStyle w:val="68"/>
      </w:pPr>
      <w:r>
        <w:rPr>
          <w:rFonts w:hint="eastAsia"/>
        </w:rPr>
        <w:t>当无人机悬停巡视时，应顶风悬停。</w:t>
      </w:r>
    </w:p>
    <w:p>
      <w:pPr>
        <w:pStyle w:val="68"/>
      </w:pPr>
      <w:r>
        <w:rPr>
          <w:rFonts w:hint="eastAsia"/>
        </w:rPr>
        <w:t>若对无人机姿态进行调整时，辅助人员应提醒操作人员注意线路周围的障碍物。</w:t>
      </w:r>
    </w:p>
    <w:p>
      <w:pPr>
        <w:pStyle w:val="68"/>
      </w:pPr>
      <w:r>
        <w:rPr>
          <w:rFonts w:hint="eastAsia"/>
        </w:rPr>
        <w:t>操作人员、辅助人员应同时监控飞机姿态，判断离带电设备的距离及附近的干扰源。</w:t>
      </w:r>
    </w:p>
    <w:p>
      <w:pPr>
        <w:pStyle w:val="68"/>
      </w:pPr>
      <w:r>
        <w:t>在无人机进行桥梁巡检时，</w:t>
      </w:r>
      <w:r>
        <w:rPr>
          <w:rFonts w:hint="eastAsia"/>
        </w:rPr>
        <w:t>应</w:t>
      </w:r>
      <w:r>
        <w:t>评估环境风险、合理规划飞行策略</w:t>
      </w:r>
      <w:r>
        <w:rPr>
          <w:rFonts w:hint="eastAsia"/>
        </w:rPr>
        <w:t>，</w:t>
      </w:r>
      <w:r>
        <w:t>采取预防措施</w:t>
      </w:r>
      <w:r>
        <w:rPr>
          <w:rFonts w:hint="eastAsia"/>
        </w:rPr>
        <w:t>确保飞行安全。</w:t>
      </w:r>
    </w:p>
    <w:p>
      <w:pPr>
        <w:pStyle w:val="68"/>
      </w:pPr>
      <w:r>
        <w:rPr>
          <w:rFonts w:hint="eastAsia"/>
        </w:rPr>
        <w:t>夜间和低能见度条件下，无人机巡检作业时应搭载红外热成像镜头以保证无人机和周边人员的安全。</w:t>
      </w:r>
    </w:p>
    <w:p>
      <w:pPr>
        <w:pStyle w:val="66"/>
        <w:spacing w:before="312" w:after="312"/>
      </w:pPr>
      <w:bookmarkStart w:id="81" w:name="_Toc21173"/>
      <w:bookmarkStart w:id="82" w:name="_Toc6439"/>
      <w:r>
        <w:rPr>
          <w:rFonts w:hint="eastAsia"/>
        </w:rPr>
        <w:t>飞行作业</w:t>
      </w:r>
      <w:bookmarkEnd w:id="81"/>
      <w:bookmarkEnd w:id="82"/>
    </w:p>
    <w:p>
      <w:pPr>
        <w:pStyle w:val="65"/>
        <w:spacing w:before="156" w:after="156"/>
      </w:pPr>
      <w:bookmarkStart w:id="83" w:name="_Toc28605"/>
      <w:r>
        <w:rPr>
          <w:rFonts w:hint="eastAsia"/>
        </w:rPr>
        <w:t>飞前准备</w:t>
      </w:r>
      <w:bookmarkEnd w:id="83"/>
    </w:p>
    <w:p>
      <w:pPr>
        <w:pStyle w:val="68"/>
      </w:pPr>
      <w:r>
        <w:rPr>
          <w:rFonts w:hint="eastAsia"/>
        </w:rPr>
        <w:t>无人机桥梁首次巡检之前应对待检桥梁进行三维建模。三维模型应包含桥梁的所有关键结构，不应有缺失的部分。三维模型应准确反映桥梁的实际几何形态与表面纹理。</w:t>
      </w:r>
    </w:p>
    <w:p>
      <w:pPr>
        <w:pStyle w:val="68"/>
      </w:pPr>
      <w:r>
        <w:rPr>
          <w:rFonts w:hint="eastAsia"/>
        </w:rPr>
        <w:t>应根据不同桥型、待巡检部位结构特点、地理环境等制定巡检方案，包括设备选型、航迹规划、巡检方式、试验方案、现场安全管理办法、应急预案等，并制定特殊情况下停飞、避让等应对措施。</w:t>
      </w:r>
    </w:p>
    <w:p>
      <w:pPr>
        <w:pStyle w:val="68"/>
      </w:pPr>
      <w:r>
        <w:rPr>
          <w:rFonts w:hint="eastAsia"/>
        </w:rPr>
        <w:t>了解待巡检桥梁的作业环境，确定信号分布状态。</w:t>
      </w:r>
    </w:p>
    <w:p>
      <w:pPr>
        <w:pStyle w:val="68"/>
      </w:pPr>
      <w:r>
        <w:rPr>
          <w:rFonts w:hint="eastAsia"/>
        </w:rPr>
        <w:t>应检查确认无人机各项数据及功能正常，包括：无人机及遥控器电量、卫星数目、图传及拍照测试、地磁校对等。</w:t>
      </w:r>
    </w:p>
    <w:p>
      <w:pPr>
        <w:pStyle w:val="68"/>
      </w:pPr>
      <w:r>
        <w:rPr>
          <w:rFonts w:hint="eastAsia"/>
        </w:rPr>
        <w:t>应检查确认相机存储空间≥32</w:t>
      </w:r>
      <w:r>
        <w:rPr>
          <w:rFonts w:hint="eastAsia"/>
          <w:lang w:val="en-US" w:eastAsia="zh-CN"/>
        </w:rPr>
        <w:t xml:space="preserve"> </w:t>
      </w:r>
      <w:r>
        <w:rPr>
          <w:rFonts w:hint="eastAsia"/>
        </w:rPr>
        <w:t>GB。</w:t>
      </w:r>
    </w:p>
    <w:p>
      <w:pPr>
        <w:pStyle w:val="68"/>
      </w:pPr>
      <w:r>
        <w:rPr>
          <w:rFonts w:hint="eastAsia"/>
        </w:rPr>
        <w:t>应检查确认遥控器操作手方式，避免因遥控器操作手方式差异引发事故。</w:t>
      </w:r>
    </w:p>
    <w:p>
      <w:pPr>
        <w:pStyle w:val="68"/>
      </w:pPr>
      <w:r>
        <w:rPr>
          <w:rFonts w:hint="eastAsia"/>
        </w:rPr>
        <w:t>操作人员宜在待巡检结构周围100</w:t>
      </w:r>
      <w:r>
        <w:rPr>
          <w:rFonts w:hint="eastAsia"/>
          <w:lang w:val="en-US" w:eastAsia="zh-CN"/>
        </w:rPr>
        <w:t xml:space="preserve"> </w:t>
      </w:r>
      <w:r>
        <w:rPr>
          <w:rFonts w:hint="eastAsia"/>
        </w:rPr>
        <w:t>m范围内，持遥控器控制无人机进行试飞，试飞时间≥10</w:t>
      </w:r>
      <w:r>
        <w:rPr>
          <w:rFonts w:hint="eastAsia"/>
          <w:lang w:val="en-US" w:eastAsia="zh-CN"/>
        </w:rPr>
        <w:t xml:space="preserve"> </w:t>
      </w:r>
      <w:r>
        <w:rPr>
          <w:rFonts w:hint="eastAsia"/>
        </w:rPr>
        <w:t>min。</w:t>
      </w:r>
    </w:p>
    <w:p>
      <w:pPr>
        <w:pStyle w:val="65"/>
        <w:spacing w:before="156" w:after="156"/>
      </w:pPr>
      <w:bookmarkStart w:id="84" w:name="_Toc24046"/>
      <w:r>
        <w:rPr>
          <w:rFonts w:hint="eastAsia"/>
        </w:rPr>
        <w:t>飞行要求</w:t>
      </w:r>
      <w:bookmarkEnd w:id="84"/>
    </w:p>
    <w:p>
      <w:pPr>
        <w:pStyle w:val="68"/>
      </w:pPr>
      <w:r>
        <w:rPr>
          <w:rFonts w:hint="eastAsia"/>
        </w:rPr>
        <w:t>无人机与飞手之间应保持通信。</w:t>
      </w:r>
    </w:p>
    <w:p>
      <w:pPr>
        <w:pStyle w:val="68"/>
      </w:pPr>
      <w:r>
        <w:rPr>
          <w:rFonts w:hint="eastAsia"/>
        </w:rPr>
        <w:t>无人机靠近桥梁待检测部位时，提升及平移速度宜＜0.5</w:t>
      </w:r>
      <w:r>
        <w:rPr>
          <w:rFonts w:hint="eastAsia"/>
          <w:lang w:val="en-US" w:eastAsia="zh-CN"/>
        </w:rPr>
        <w:t xml:space="preserve"> </w:t>
      </w:r>
      <w:r>
        <w:rPr>
          <w:rFonts w:hint="eastAsia"/>
        </w:rPr>
        <w:t>m/s。</w:t>
      </w:r>
    </w:p>
    <w:p>
      <w:pPr>
        <w:pStyle w:val="68"/>
      </w:pPr>
      <w:r>
        <w:rPr>
          <w:rFonts w:hint="eastAsia"/>
        </w:rPr>
        <w:t>巡检时无人机与桥面间的距离应≥80</w:t>
      </w:r>
      <w:r>
        <w:rPr>
          <w:rFonts w:hint="eastAsia"/>
          <w:lang w:val="en-US" w:eastAsia="zh-CN"/>
        </w:rPr>
        <w:t xml:space="preserve"> </w:t>
      </w:r>
      <w:r>
        <w:rPr>
          <w:rFonts w:hint="eastAsia"/>
        </w:rPr>
        <w:t>cm。</w:t>
      </w:r>
    </w:p>
    <w:p>
      <w:pPr>
        <w:pStyle w:val="68"/>
      </w:pPr>
      <w:r>
        <w:rPr>
          <w:rFonts w:hint="eastAsia"/>
        </w:rPr>
        <w:t>无人机电量低于30</w:t>
      </w:r>
      <w:r>
        <w:rPr>
          <w:rFonts w:hint="eastAsia"/>
          <w:lang w:eastAsia="zh-CN"/>
        </w:rPr>
        <w:t>%</w:t>
      </w:r>
      <w:r>
        <w:rPr>
          <w:rFonts w:hint="eastAsia"/>
        </w:rPr>
        <w:t>时，飞手应收回无人机。</w:t>
      </w:r>
    </w:p>
    <w:p>
      <w:pPr>
        <w:pStyle w:val="68"/>
      </w:pPr>
      <w:r>
        <w:rPr>
          <w:rFonts w:hint="eastAsia"/>
        </w:rPr>
        <w:t>无人机与地面控制系统之间的通信链路中断超过5</w:t>
      </w:r>
      <w:r>
        <w:rPr>
          <w:rFonts w:hint="eastAsia"/>
          <w:lang w:val="en-US" w:eastAsia="zh-CN"/>
        </w:rPr>
        <w:t xml:space="preserve"> </w:t>
      </w:r>
      <w:r>
        <w:rPr>
          <w:rFonts w:hint="eastAsia"/>
        </w:rPr>
        <w:t>s，无人机应就近安全迫降。</w:t>
      </w:r>
    </w:p>
    <w:p>
      <w:pPr>
        <w:pStyle w:val="65"/>
        <w:spacing w:before="156" w:after="156"/>
      </w:pPr>
      <w:bookmarkStart w:id="85" w:name="_Toc26862"/>
      <w:r>
        <w:t>数据采集</w:t>
      </w:r>
      <w:bookmarkEnd w:id="85"/>
    </w:p>
    <w:p>
      <w:pPr>
        <w:pStyle w:val="68"/>
        <w:rPr>
          <w:rFonts w:hint="eastAsia" w:asciiTheme="minorEastAsia" w:hAnsiTheme="minorEastAsia" w:eastAsiaTheme="minorEastAsia" w:cstheme="minorEastAsia"/>
        </w:rPr>
      </w:pPr>
      <w:r>
        <w:rPr>
          <w:rFonts w:hint="eastAsia" w:asciiTheme="minorEastAsia" w:hAnsiTheme="minorEastAsia" w:eastAsiaTheme="minorEastAsia" w:cstheme="minorEastAsia"/>
        </w:rPr>
        <w:t>数据采集应包括图像采集与信号传输，信号传输包括图像传输和数据传输。</w:t>
      </w:r>
    </w:p>
    <w:p>
      <w:pPr>
        <w:pStyle w:val="68"/>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接收卫星信号弱时，可增设移动信号基站，进行无人机辅助定</w:t>
      </w:r>
      <w:r>
        <w:rPr>
          <w:rFonts w:hint="eastAsia" w:asciiTheme="minorEastAsia" w:hAnsiTheme="minorEastAsia" w:eastAsiaTheme="minorEastAsia" w:cstheme="minorEastAsia"/>
          <w:spacing w:val="1"/>
        </w:rPr>
        <w:t>位。</w:t>
      </w:r>
    </w:p>
    <w:p>
      <w:pPr>
        <w:pStyle w:val="68"/>
        <w:rPr>
          <w:rFonts w:hint="eastAsia" w:asciiTheme="minorEastAsia" w:hAnsiTheme="minorEastAsia" w:eastAsiaTheme="minorEastAsia" w:cstheme="minorEastAsia"/>
        </w:rPr>
      </w:pPr>
      <w:r>
        <w:rPr>
          <w:rFonts w:hint="eastAsia" w:asciiTheme="minorEastAsia" w:hAnsiTheme="minorEastAsia" w:eastAsiaTheme="minorEastAsia" w:cstheme="minorEastAsia"/>
        </w:rPr>
        <w:t>数据采集方式可分为无人机自动巡检采集和无人机手动巡检采集，采用自动巡检方式时应在地面站控制系统中规划巡检任务及路线，保证无人机起飞后</w:t>
      </w:r>
      <w:r>
        <w:rPr>
          <w:rFonts w:hint="eastAsia" w:asciiTheme="minorEastAsia" w:hAnsiTheme="minorEastAsia" w:eastAsiaTheme="minorEastAsia" w:cstheme="minorEastAsia"/>
          <w:spacing w:val="-4"/>
        </w:rPr>
        <w:t>按照巡检任务规划及路线自动巡检。</w:t>
      </w:r>
    </w:p>
    <w:p>
      <w:pPr>
        <w:pStyle w:val="68"/>
        <w:rPr>
          <w:rFonts w:hint="eastAsia" w:asciiTheme="minorEastAsia" w:hAnsiTheme="minorEastAsia" w:eastAsiaTheme="minorEastAsia" w:cstheme="minorEastAsia"/>
        </w:rPr>
      </w:pPr>
      <w:r>
        <w:rPr>
          <w:rFonts w:hint="eastAsia" w:asciiTheme="minorEastAsia" w:hAnsiTheme="minorEastAsia" w:eastAsiaTheme="minorEastAsia" w:cstheme="minorEastAsia"/>
        </w:rPr>
        <w:t>应根据不同巡检需求，分别采用粗飞和精飞两种方法采集桥梁缺陷数据，具体情况如下：</w:t>
      </w:r>
    </w:p>
    <w:p>
      <w:pPr>
        <w:pStyle w:val="78"/>
        <w:numPr>
          <w:ilvl w:val="0"/>
          <w:numId w:val="18"/>
        </w:numPr>
        <w:rPr>
          <w:rFonts w:hint="eastAsia" w:asciiTheme="minorEastAsia" w:hAnsiTheme="minorEastAsia" w:eastAsiaTheme="minorEastAsia" w:cstheme="minorEastAsia"/>
        </w:rPr>
      </w:pPr>
      <w:r>
        <w:rPr>
          <w:rFonts w:hint="eastAsia" w:asciiTheme="minorEastAsia" w:hAnsiTheme="minorEastAsia" w:eastAsiaTheme="minorEastAsia" w:cstheme="minorEastAsia"/>
        </w:rPr>
        <w:t>粗飞方法适用于桥梁巡检部位表观三维模型建立、明显缺陷以及缺陷集中区域发现。航向重叠率和旁向重叠率均不宜低于50</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，可根据巡检现场实际情况，适当提高重叠率。精飞方法适用于缺陷精细化检测。其图像分辨率不宜低于0.1</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mm/px；</w:t>
      </w:r>
    </w:p>
    <w:p>
      <w:pPr>
        <w:pStyle w:val="78"/>
        <w:rPr>
          <w:rFonts w:hint="eastAsia" w:asciiTheme="minorEastAsia" w:hAnsiTheme="minorEastAsia" w:eastAsiaTheme="minorEastAsia" w:cstheme="minorEastAsia"/>
        </w:rPr>
      </w:pPr>
      <w:r>
        <w:rPr>
          <w:rFonts w:hint="eastAsia" w:asciiTheme="minorEastAsia" w:hAnsiTheme="minorEastAsia" w:eastAsiaTheme="minorEastAsia" w:cstheme="minorEastAsia"/>
        </w:rPr>
        <w:t>定期巡检采用精飞和粗飞相结合的方法采集桥梁缺陷数据，日常巡检、经常巡检宜</w:t>
      </w:r>
      <w:r>
        <w:rPr>
          <w:rFonts w:hint="eastAsia" w:asciiTheme="minorEastAsia" w:hAnsiTheme="minorEastAsia" w:eastAsiaTheme="minorEastAsia" w:cstheme="minorEastAsia"/>
          <w:spacing w:val="-4"/>
        </w:rPr>
        <w:t>采用粗飞方</w:t>
      </w:r>
      <w:r>
        <w:rPr>
          <w:rFonts w:hint="eastAsia" w:asciiTheme="minorEastAsia" w:hAnsiTheme="minorEastAsia" w:eastAsiaTheme="minorEastAsia" w:cstheme="minorEastAsia"/>
          <w:spacing w:val="-5"/>
        </w:rPr>
        <w:t>法采集桥梁缺陷数据。</w:t>
      </w:r>
    </w:p>
    <w:p>
      <w:pPr>
        <w:pStyle w:val="65"/>
        <w:spacing w:before="156" w:after="156"/>
      </w:pPr>
      <w:bookmarkStart w:id="86" w:name="_Toc1250"/>
      <w:r>
        <w:rPr>
          <w:rFonts w:hint="eastAsia"/>
        </w:rPr>
        <w:t>设备故障处置</w:t>
      </w:r>
      <w:bookmarkEnd w:id="86"/>
    </w:p>
    <w:p>
      <w:pPr>
        <w:pStyle w:val="68"/>
      </w:pPr>
      <w:r>
        <w:rPr>
          <w:rFonts w:hint="eastAsia"/>
        </w:rPr>
        <w:t>无人机在预定时间内未返航，应根据无人机失去联系前的地理坐标和机载追踪器发送的报文信息进行搜寻。</w:t>
      </w:r>
    </w:p>
    <w:p>
      <w:pPr>
        <w:pStyle w:val="68"/>
      </w:pPr>
      <w:r>
        <w:rPr>
          <w:rFonts w:hint="eastAsia"/>
        </w:rPr>
        <w:t>设备出现报警故障无法恢复，应立即停止巡检作业，操作无人机返航。</w:t>
      </w:r>
    </w:p>
    <w:p>
      <w:pPr>
        <w:pStyle w:val="68"/>
      </w:pPr>
      <w:r>
        <w:rPr>
          <w:rFonts w:hint="eastAsia"/>
        </w:rPr>
        <w:t>设备卫星信号丢失时，应采用姿态模式，无人机就近降落。</w:t>
      </w:r>
    </w:p>
    <w:p>
      <w:pPr>
        <w:pStyle w:val="68"/>
      </w:pPr>
      <w:r>
        <w:rPr>
          <w:rFonts w:hint="eastAsia"/>
        </w:rPr>
        <w:t>无人机坠落，应立即上报并妥善处置，避免发生次生事故。</w:t>
      </w:r>
    </w:p>
    <w:p>
      <w:pPr>
        <w:pStyle w:val="68"/>
      </w:pPr>
      <w:r>
        <w:rPr>
          <w:rFonts w:hint="eastAsia"/>
        </w:rPr>
        <w:t>遇天气突变等不可抗力情况时，不再满足飞行条件，应立即停止作业，操作无人机返航或就近降落。</w:t>
      </w:r>
    </w:p>
    <w:p>
      <w:pPr>
        <w:pStyle w:val="68"/>
      </w:pPr>
      <w:r>
        <w:rPr>
          <w:rFonts w:hint="eastAsia"/>
        </w:rPr>
        <w:t>遇操作人员身体不适，应由辅助人员协助操作无人机返航或就近降落。</w:t>
      </w:r>
    </w:p>
    <w:p>
      <w:pPr>
        <w:pStyle w:val="68"/>
      </w:pPr>
      <w:r>
        <w:rPr>
          <w:rFonts w:hint="eastAsia"/>
        </w:rPr>
        <w:t>遇空中交通管制部门发布空域管制要求，应立即停止作业，待管制结束</w:t>
      </w:r>
      <w:r>
        <w:rPr>
          <w:rFonts w:hint="eastAsia"/>
          <w:lang w:val="en-US" w:eastAsia="zh-CN"/>
        </w:rPr>
        <w:t>后</w:t>
      </w:r>
      <w:r>
        <w:rPr>
          <w:rFonts w:hint="eastAsia"/>
        </w:rPr>
        <w:t>重新申请。</w:t>
      </w:r>
    </w:p>
    <w:p>
      <w:pPr>
        <w:pStyle w:val="66"/>
        <w:spacing w:before="312" w:after="312"/>
      </w:pPr>
      <w:bookmarkStart w:id="87" w:name="_Toc280"/>
      <w:bookmarkStart w:id="88" w:name="_Toc27187"/>
      <w:r>
        <w:rPr>
          <w:rFonts w:hint="eastAsia"/>
        </w:rPr>
        <w:t>巡检内容及要求</w:t>
      </w:r>
      <w:bookmarkEnd w:id="87"/>
      <w:bookmarkEnd w:id="88"/>
    </w:p>
    <w:p>
      <w:pPr>
        <w:pStyle w:val="65"/>
        <w:spacing w:before="156" w:after="156"/>
      </w:pPr>
      <w:bookmarkStart w:id="89" w:name="_Toc18292"/>
      <w:r>
        <w:rPr>
          <w:rFonts w:hint="eastAsia"/>
        </w:rPr>
        <w:t>一般要求</w:t>
      </w:r>
      <w:bookmarkEnd w:id="89"/>
    </w:p>
    <w:p>
      <w:pPr>
        <w:pStyle w:val="68"/>
      </w:pPr>
      <w:r>
        <w:rPr>
          <w:rFonts w:hint="eastAsia"/>
        </w:rPr>
        <w:t>城市桥梁养护等级根据CJJ 99的要求进行划分。</w:t>
      </w:r>
    </w:p>
    <w:p>
      <w:pPr>
        <w:pStyle w:val="68"/>
      </w:pPr>
      <w:r>
        <w:rPr>
          <w:rFonts w:hint="eastAsia"/>
        </w:rPr>
        <w:t>无人机可对城市桥梁进行日常巡查、经常检查和定期检查。</w:t>
      </w:r>
    </w:p>
    <w:p>
      <w:pPr>
        <w:pStyle w:val="65"/>
        <w:spacing w:before="156" w:after="156"/>
      </w:pPr>
      <w:bookmarkStart w:id="90" w:name="_Toc473"/>
      <w:r>
        <w:rPr>
          <w:rFonts w:hint="eastAsia"/>
        </w:rPr>
        <w:t>日常巡检</w:t>
      </w:r>
      <w:bookmarkEnd w:id="90"/>
    </w:p>
    <w:p>
      <w:pPr>
        <w:pStyle w:val="68"/>
      </w:pPr>
      <w:r>
        <w:rPr>
          <w:rFonts w:hint="eastAsia"/>
        </w:rPr>
        <w:t>日常巡检频次应符合以下要求：</w:t>
      </w:r>
    </w:p>
    <w:p>
      <w:pPr>
        <w:pStyle w:val="78"/>
        <w:numPr>
          <w:ilvl w:val="0"/>
          <w:numId w:val="19"/>
        </w:numPr>
      </w:pPr>
      <w:r>
        <w:rPr>
          <w:rFonts w:hint="eastAsia"/>
        </w:rPr>
        <w:t>养护等级为I</w:t>
      </w:r>
      <w:r>
        <w:rPr>
          <w:rFonts w:hint="eastAsia"/>
          <w:lang w:eastAsia="zh-CN"/>
        </w:rPr>
        <w:t>、Ⅱ</w:t>
      </w:r>
      <w:r>
        <w:rPr>
          <w:rFonts w:hint="eastAsia"/>
        </w:rPr>
        <w:t>级的桥梁，日常巡查每天不应少于1次；</w:t>
      </w:r>
    </w:p>
    <w:p>
      <w:pPr>
        <w:pStyle w:val="78"/>
      </w:pPr>
      <w:r>
        <w:rPr>
          <w:rFonts w:hint="eastAsia"/>
        </w:rPr>
        <w:t>对有特殊照明需求(功能性及装饰性照明、航空航道指示灯等)的桥梁，应适当开展夜间巡查；</w:t>
      </w:r>
    </w:p>
    <w:p>
      <w:pPr>
        <w:pStyle w:val="78"/>
      </w:pPr>
      <w:r>
        <w:rPr>
          <w:rFonts w:hint="eastAsia"/>
        </w:rPr>
        <w:t>养护等级为Ⅲ级的桥梁，日常巡查每周不应少于1次；</w:t>
      </w:r>
    </w:p>
    <w:p>
      <w:pPr>
        <w:pStyle w:val="78"/>
      </w:pPr>
      <w:r>
        <w:rPr>
          <w:rFonts w:hint="eastAsia"/>
        </w:rPr>
        <w:t>遇地震、地质灾害或极端气象时应增加检查频率。</w:t>
      </w:r>
    </w:p>
    <w:p>
      <w:pPr>
        <w:pStyle w:val="68"/>
      </w:pPr>
      <w:r>
        <w:rPr>
          <w:rFonts w:hint="eastAsia"/>
        </w:rPr>
        <w:t>日常巡检采用自动或手动的方式，粗飞方法。</w:t>
      </w:r>
    </w:p>
    <w:p>
      <w:pPr>
        <w:pStyle w:val="68"/>
      </w:pPr>
      <w:r>
        <w:rPr>
          <w:rFonts w:hint="eastAsia"/>
        </w:rPr>
        <w:t>日常巡检应包括下列内容，城市桥梁日常巡检报表见附录表A.1：</w:t>
      </w:r>
    </w:p>
    <w:p>
      <w:pPr>
        <w:pStyle w:val="78"/>
        <w:numPr>
          <w:ilvl w:val="0"/>
          <w:numId w:val="20"/>
        </w:numPr>
      </w:pPr>
      <w:r>
        <w:rPr>
          <w:rFonts w:hint="eastAsia"/>
        </w:rPr>
        <w:t>桥路连接处是否异常；</w:t>
      </w:r>
    </w:p>
    <w:p>
      <w:pPr>
        <w:pStyle w:val="78"/>
      </w:pPr>
      <w:r>
        <w:rPr>
          <w:rFonts w:hint="eastAsia"/>
        </w:rPr>
        <w:t>桥面铺装、伸缩缝是否有明显破损；</w:t>
      </w:r>
    </w:p>
    <w:p>
      <w:pPr>
        <w:pStyle w:val="78"/>
      </w:pPr>
      <w:r>
        <w:rPr>
          <w:rFonts w:hint="eastAsia"/>
        </w:rPr>
        <w:t>伸缩缝位置的桥面系是否存在异常；</w:t>
      </w:r>
    </w:p>
    <w:p>
      <w:pPr>
        <w:pStyle w:val="78"/>
      </w:pPr>
      <w:r>
        <w:rPr>
          <w:rFonts w:hint="eastAsia"/>
        </w:rPr>
        <w:t>护栏有无明显缺损；</w:t>
      </w:r>
    </w:p>
    <w:p>
      <w:pPr>
        <w:pStyle w:val="78"/>
      </w:pPr>
      <w:r>
        <w:rPr>
          <w:rFonts w:hint="eastAsia"/>
        </w:rPr>
        <w:t>标志标牌是否完好；</w:t>
      </w:r>
    </w:p>
    <w:p>
      <w:pPr>
        <w:pStyle w:val="78"/>
      </w:pPr>
      <w:r>
        <w:rPr>
          <w:rFonts w:hint="eastAsia"/>
        </w:rPr>
        <w:t>桥梁线形是否存在明显异常；</w:t>
      </w:r>
    </w:p>
    <w:p>
      <w:pPr>
        <w:pStyle w:val="78"/>
      </w:pPr>
      <w:r>
        <w:rPr>
          <w:rFonts w:hint="eastAsia"/>
        </w:rPr>
        <w:t>桥梁安全保护区是否存在侵害桥梁安全的情况。</w:t>
      </w:r>
    </w:p>
    <w:p>
      <w:pPr>
        <w:pStyle w:val="65"/>
        <w:spacing w:before="156" w:after="156"/>
      </w:pPr>
      <w:bookmarkStart w:id="91" w:name="_Toc12015"/>
      <w:r>
        <w:rPr>
          <w:rFonts w:hint="eastAsia"/>
        </w:rPr>
        <w:t>经常巡检</w:t>
      </w:r>
      <w:bookmarkEnd w:id="91"/>
    </w:p>
    <w:p>
      <w:pPr>
        <w:pStyle w:val="68"/>
      </w:pPr>
      <w:r>
        <w:rPr>
          <w:rFonts w:hint="eastAsia"/>
        </w:rPr>
        <w:t>经常巡检频次应符合下列规定：</w:t>
      </w:r>
    </w:p>
    <w:p>
      <w:pPr>
        <w:pStyle w:val="78"/>
        <w:numPr>
          <w:ilvl w:val="0"/>
          <w:numId w:val="21"/>
        </w:numPr>
      </w:pPr>
      <w:r>
        <w:rPr>
          <w:rFonts w:hint="eastAsia"/>
        </w:rPr>
        <w:t>养护等级为I级的桥梁，经常巡检每个月不应少于1次；</w:t>
      </w:r>
    </w:p>
    <w:p>
      <w:pPr>
        <w:pStyle w:val="78"/>
      </w:pPr>
      <w:r>
        <w:rPr>
          <w:rFonts w:hint="eastAsia"/>
        </w:rPr>
        <w:t>养护等级为Ⅱ级的桥梁，经常巡检每两个月不应少于1次；</w:t>
      </w:r>
    </w:p>
    <w:p>
      <w:pPr>
        <w:pStyle w:val="78"/>
      </w:pPr>
      <w:r>
        <w:rPr>
          <w:rFonts w:hint="eastAsia"/>
        </w:rPr>
        <w:t>养护等级为Ⅲ级的桥梁，经常巡检每季度不应少于1次；</w:t>
      </w:r>
    </w:p>
    <w:p>
      <w:pPr>
        <w:pStyle w:val="78"/>
      </w:pPr>
      <w:r>
        <w:rPr>
          <w:rFonts w:hint="eastAsia"/>
        </w:rPr>
        <w:t>在汛期、台风、冰冻等自然灾害频发期，应提高经常巡检频率；</w:t>
      </w:r>
    </w:p>
    <w:p>
      <w:pPr>
        <w:pStyle w:val="78"/>
      </w:pPr>
      <w:r>
        <w:rPr>
          <w:rFonts w:hint="eastAsia"/>
        </w:rPr>
        <w:t>养护巡检等级为Ⅱ、Ⅲ级的桥梁，在定期巡检中发现存在4类构件时，加固处置前应提高经常检查频率；</w:t>
      </w:r>
    </w:p>
    <w:p>
      <w:pPr>
        <w:pStyle w:val="78"/>
      </w:pPr>
      <w:r>
        <w:rPr>
          <w:rFonts w:hint="eastAsia"/>
        </w:rPr>
        <w:t>对支座的经常巡检每季度不应少于1次。</w:t>
      </w:r>
    </w:p>
    <w:p>
      <w:pPr>
        <w:pStyle w:val="68"/>
      </w:pPr>
      <w:r>
        <w:rPr>
          <w:rFonts w:hint="eastAsia"/>
        </w:rPr>
        <w:t>经常巡检采用自动或手动的方式，粗飞方法。</w:t>
      </w:r>
    </w:p>
    <w:p>
      <w:pPr>
        <w:pStyle w:val="68"/>
      </w:pPr>
      <w:r>
        <w:rPr>
          <w:rFonts w:hint="eastAsia"/>
        </w:rPr>
        <w:t>经常巡检应包括以下内容：</w:t>
      </w:r>
    </w:p>
    <w:p>
      <w:pPr>
        <w:pStyle w:val="78"/>
        <w:numPr>
          <w:ilvl w:val="0"/>
          <w:numId w:val="22"/>
        </w:numPr>
      </w:pPr>
      <w:r>
        <w:rPr>
          <w:rFonts w:hint="eastAsia"/>
        </w:rPr>
        <w:t>桥梁结构有无异常的变形及其他异常状况；</w:t>
      </w:r>
    </w:p>
    <w:p>
      <w:pPr>
        <w:pStyle w:val="78"/>
      </w:pPr>
      <w:r>
        <w:rPr>
          <w:rFonts w:hint="eastAsia"/>
        </w:rPr>
        <w:t>外观是否整洁，构件表面是否完好，有无损坏、开裂、剥落、起皮</w:t>
      </w:r>
      <w:r>
        <w:rPr>
          <w:rFonts w:hint="eastAsia"/>
          <w:lang w:val="en-US" w:eastAsia="zh-CN"/>
        </w:rPr>
        <w:t>和</w:t>
      </w:r>
      <w:r>
        <w:rPr>
          <w:rFonts w:hint="eastAsia"/>
        </w:rPr>
        <w:t>锈迹等</w:t>
      </w:r>
      <w:r>
        <w:rPr>
          <w:rFonts w:hint="eastAsia"/>
          <w:lang w:eastAsia="zh-CN"/>
        </w:rPr>
        <w:t>，</w:t>
      </w:r>
      <w:r>
        <w:rPr>
          <w:rFonts w:hint="eastAsia"/>
        </w:rPr>
        <w:t>混凝土主梁裂缝是否有发展，箱梁内是否有积水；</w:t>
      </w:r>
    </w:p>
    <w:p>
      <w:pPr>
        <w:pStyle w:val="78"/>
      </w:pPr>
      <w:r>
        <w:rPr>
          <w:rFonts w:hint="eastAsia"/>
        </w:rPr>
        <w:t>钢结构主梁抽查焊缝有无开裂，螺栓有无松动或缺失；</w:t>
      </w:r>
    </w:p>
    <w:p>
      <w:pPr>
        <w:pStyle w:val="78"/>
      </w:pPr>
      <w:r>
        <w:rPr>
          <w:rFonts w:hint="eastAsia"/>
        </w:rPr>
        <w:t>斜拉索、吊杆(索)、系杆等索结构锚固区的密封设施是否完好，有无积水或渗水痕迹，密封材料等有无老化和开裂；</w:t>
      </w:r>
    </w:p>
    <w:p>
      <w:pPr>
        <w:pStyle w:val="78"/>
      </w:pPr>
      <w:r>
        <w:rPr>
          <w:rFonts w:hint="eastAsia"/>
        </w:rPr>
        <w:t>主缆最低点是否渗水；</w:t>
      </w:r>
    </w:p>
    <w:p>
      <w:pPr>
        <w:pStyle w:val="78"/>
      </w:pPr>
      <w:r>
        <w:rPr>
          <w:rFonts w:hint="eastAsia"/>
        </w:rPr>
        <w:t>索鞍是否有异常的位移、卡死、辊轴歪斜以及构件锈蚀、破损;鞍座混凝土是否开裂;鞍室是否渗水、积水；</w:t>
      </w:r>
    </w:p>
    <w:p>
      <w:pPr>
        <w:pStyle w:val="78"/>
      </w:pPr>
      <w:r>
        <w:rPr>
          <w:rFonts w:hint="eastAsia"/>
        </w:rPr>
        <w:t>支座是否有明显缺陷，使用功能是否正常；</w:t>
      </w:r>
    </w:p>
    <w:p>
      <w:pPr>
        <w:pStyle w:val="78"/>
      </w:pPr>
      <w:r>
        <w:rPr>
          <w:rFonts w:hint="eastAsia"/>
        </w:rPr>
        <w:t>桥面铺装是否存在缺陷；</w:t>
      </w:r>
    </w:p>
    <w:p>
      <w:pPr>
        <w:pStyle w:val="78"/>
      </w:pPr>
      <w:r>
        <w:rPr>
          <w:rFonts w:hint="eastAsia"/>
        </w:rPr>
        <w:t>伸缩缝是否堵塞、卡死，连接部件有无松动、脱落、局部破损；</w:t>
      </w:r>
    </w:p>
    <w:p>
      <w:pPr>
        <w:pStyle w:val="78"/>
      </w:pPr>
      <w:r>
        <w:rPr>
          <w:rFonts w:hint="eastAsia"/>
        </w:rPr>
        <w:t>人行道、缘石有无破损、剥落、裂缝、缺损和松动；</w:t>
      </w:r>
    </w:p>
    <w:p>
      <w:pPr>
        <w:pStyle w:val="78"/>
      </w:pPr>
      <w:r>
        <w:rPr>
          <w:rFonts w:hint="eastAsia"/>
        </w:rPr>
        <w:t>栏杆、护栏有无破损、缺失、锈蚀、移动或错位；</w:t>
      </w:r>
    </w:p>
    <w:p>
      <w:pPr>
        <w:pStyle w:val="78"/>
      </w:pPr>
      <w:r>
        <w:rPr>
          <w:rFonts w:hint="eastAsia"/>
        </w:rPr>
        <w:t>排水设施有无堵塞和破损；</w:t>
      </w:r>
    </w:p>
    <w:p>
      <w:pPr>
        <w:pStyle w:val="78"/>
      </w:pPr>
      <w:r>
        <w:rPr>
          <w:rFonts w:hint="eastAsia"/>
        </w:rPr>
        <w:t>墩台有无明显的倾斜、损伤、开裂及是否受到车、船或漂流物撞击而受损</w:t>
      </w:r>
      <w:r>
        <w:rPr>
          <w:rFonts w:hint="eastAsia"/>
          <w:lang w:eastAsia="zh-CN"/>
        </w:rPr>
        <w:t>；</w:t>
      </w:r>
      <w:r>
        <w:rPr>
          <w:rFonts w:hint="eastAsia"/>
        </w:rPr>
        <w:t>基础有无冲刷、损坏、悬空</w:t>
      </w:r>
      <w:r>
        <w:rPr>
          <w:rFonts w:hint="eastAsia"/>
          <w:lang w:eastAsia="zh-CN"/>
        </w:rPr>
        <w:t>；</w:t>
      </w:r>
      <w:r>
        <w:rPr>
          <w:rFonts w:hint="eastAsia"/>
        </w:rPr>
        <w:t>台与基础是否受到生物腐蚀；</w:t>
      </w:r>
    </w:p>
    <w:p>
      <w:pPr>
        <w:pStyle w:val="78"/>
      </w:pPr>
      <w:r>
        <w:rPr>
          <w:rFonts w:hint="eastAsia"/>
        </w:rPr>
        <w:t>翼墙(侧墙、耳墙)、锥坡、护坡、调治构造物有无缺损、开裂、沉降和塌陷；</w:t>
      </w:r>
    </w:p>
    <w:p>
      <w:pPr>
        <w:pStyle w:val="78"/>
      </w:pPr>
      <w:r>
        <w:rPr>
          <w:rFonts w:hint="eastAsia"/>
        </w:rPr>
        <w:t>悬索桥锚碇是否存在渗水、积水；</w:t>
      </w:r>
    </w:p>
    <w:p>
      <w:pPr>
        <w:pStyle w:val="78"/>
      </w:pPr>
      <w:r>
        <w:rPr>
          <w:rFonts w:hint="eastAsia"/>
        </w:rPr>
        <w:t>交通信号、标志、标线、照明设施以及桥梁其他附属设施是否完好、正常工作；</w:t>
      </w:r>
    </w:p>
    <w:p>
      <w:pPr>
        <w:pStyle w:val="78"/>
      </w:pPr>
      <w:r>
        <w:rPr>
          <w:rFonts w:hint="eastAsia"/>
        </w:rPr>
        <w:t>永久观测点及标志点是否完好。</w:t>
      </w:r>
    </w:p>
    <w:p>
      <w:pPr>
        <w:pStyle w:val="65"/>
        <w:spacing w:before="156" w:after="156"/>
      </w:pPr>
      <w:bookmarkStart w:id="92" w:name="_Toc17616"/>
      <w:r>
        <w:rPr>
          <w:rFonts w:hint="eastAsia"/>
        </w:rPr>
        <w:t>定期巡检</w:t>
      </w:r>
      <w:bookmarkEnd w:id="92"/>
    </w:p>
    <w:p>
      <w:pPr>
        <w:pStyle w:val="68"/>
      </w:pPr>
      <w:r>
        <w:rPr>
          <w:rFonts w:hint="eastAsia"/>
        </w:rPr>
        <w:t>定期巡检频次应符合以下规定：</w:t>
      </w:r>
    </w:p>
    <w:p>
      <w:pPr>
        <w:pStyle w:val="78"/>
        <w:numPr>
          <w:ilvl w:val="0"/>
          <w:numId w:val="23"/>
        </w:numPr>
      </w:pPr>
      <w:r>
        <w:rPr>
          <w:rFonts w:hint="eastAsia"/>
        </w:rPr>
        <w:t>养护等级为I级的桥梁，定期检查周期不得超过1年；</w:t>
      </w:r>
    </w:p>
    <w:p>
      <w:pPr>
        <w:pStyle w:val="78"/>
      </w:pPr>
      <w:r>
        <w:rPr>
          <w:rFonts w:hint="eastAsia"/>
        </w:rPr>
        <w:t>养护等级为Ⅱ、Ⅲ级的桥梁，定期检查周期不得超过3年。</w:t>
      </w:r>
    </w:p>
    <w:p>
      <w:pPr>
        <w:pStyle w:val="68"/>
      </w:pPr>
      <w:r>
        <w:rPr>
          <w:rFonts w:hint="eastAsia"/>
        </w:rPr>
        <w:t>定期巡检采用无人机自动或手动方式与人工巡检共同完成的方式，粗飞和精飞结合的方法。</w:t>
      </w:r>
    </w:p>
    <w:p>
      <w:pPr>
        <w:pStyle w:val="68"/>
      </w:pPr>
      <w:r>
        <w:rPr>
          <w:rFonts w:hint="eastAsia"/>
        </w:rPr>
        <w:t>定期检查上部结构巡检内容要求见附录表B.1，桥面系巡检内容见附录表B.2，下部结构巡检内容见附录表B.3，附属设施巡检内容及要求见附录表B.4。</w:t>
      </w:r>
    </w:p>
    <w:p>
      <w:pPr>
        <w:pStyle w:val="66"/>
        <w:spacing w:before="312" w:after="312"/>
      </w:pPr>
      <w:bookmarkStart w:id="93" w:name="_Toc21998"/>
      <w:bookmarkStart w:id="94" w:name="_Toc4294"/>
      <w:r>
        <w:rPr>
          <w:rFonts w:hint="eastAsia"/>
        </w:rPr>
        <w:t>巡检成果</w:t>
      </w:r>
      <w:bookmarkEnd w:id="93"/>
      <w:bookmarkEnd w:id="94"/>
    </w:p>
    <w:p>
      <w:pPr>
        <w:pStyle w:val="65"/>
        <w:spacing w:before="156" w:after="156"/>
      </w:pPr>
      <w:bookmarkStart w:id="95" w:name="_Toc27583"/>
      <w:r>
        <w:rPr>
          <w:rFonts w:hint="eastAsia"/>
        </w:rPr>
        <w:t>巡检报告</w:t>
      </w:r>
      <w:bookmarkEnd w:id="95"/>
    </w:p>
    <w:p>
      <w:pPr>
        <w:pStyle w:val="67"/>
        <w:ind w:firstLine="420"/>
      </w:pPr>
      <w:r>
        <w:rPr>
          <w:rFonts w:hint="eastAsia"/>
        </w:rPr>
        <w:t>巡检报告应包括但不限于以下内容：</w:t>
      </w:r>
    </w:p>
    <w:p>
      <w:pPr>
        <w:pStyle w:val="78"/>
        <w:numPr>
          <w:ilvl w:val="0"/>
          <w:numId w:val="24"/>
        </w:numPr>
      </w:pPr>
      <w:r>
        <w:rPr>
          <w:rFonts w:hint="eastAsia"/>
        </w:rPr>
        <w:t>任务概况；</w:t>
      </w:r>
    </w:p>
    <w:p>
      <w:pPr>
        <w:pStyle w:val="78"/>
      </w:pPr>
      <w:r>
        <w:rPr>
          <w:rFonts w:hint="eastAsia"/>
        </w:rPr>
        <w:t>检测目的；</w:t>
      </w:r>
    </w:p>
    <w:p>
      <w:pPr>
        <w:pStyle w:val="78"/>
      </w:pPr>
      <w:r>
        <w:rPr>
          <w:rFonts w:hint="eastAsia"/>
        </w:rPr>
        <w:t>检测依据；</w:t>
      </w:r>
    </w:p>
    <w:p>
      <w:pPr>
        <w:pStyle w:val="78"/>
      </w:pPr>
      <w:r>
        <w:rPr>
          <w:rFonts w:hint="eastAsia"/>
        </w:rPr>
        <w:t>检测内容与方法：包括所检查的内容、范围及无人机检测方案（硬件设备型号、巡检路线规划、数据处理方法等）；</w:t>
      </w:r>
    </w:p>
    <w:p>
      <w:pPr>
        <w:pStyle w:val="78"/>
      </w:pPr>
      <w:r>
        <w:rPr>
          <w:rFonts w:hint="eastAsia"/>
        </w:rPr>
        <w:t>桥梁的三维数字模型；</w:t>
      </w:r>
    </w:p>
    <w:p>
      <w:pPr>
        <w:pStyle w:val="78"/>
      </w:pPr>
      <w:r>
        <w:rPr>
          <w:rFonts w:hint="eastAsia"/>
        </w:rPr>
        <w:t>构件编号及缺陷描述规则：对应构件、缺陷位置描述的编号规则；</w:t>
      </w:r>
    </w:p>
    <w:p>
      <w:pPr>
        <w:pStyle w:val="78"/>
      </w:pPr>
      <w:r>
        <w:rPr>
          <w:rFonts w:hint="eastAsia"/>
        </w:rPr>
        <w:t>桥梁缺陷检查结果及缺陷可视化定位；</w:t>
      </w:r>
    </w:p>
    <w:p>
      <w:pPr>
        <w:pStyle w:val="78"/>
      </w:pPr>
      <w:r>
        <w:rPr>
          <w:rFonts w:hint="eastAsia"/>
        </w:rPr>
        <w:t>结论及建议。</w:t>
      </w:r>
    </w:p>
    <w:p>
      <w:pPr>
        <w:pStyle w:val="65"/>
        <w:spacing w:before="156" w:after="156"/>
      </w:pPr>
      <w:bookmarkStart w:id="96" w:name="_Toc19067"/>
      <w:r>
        <w:rPr>
          <w:rFonts w:hint="eastAsia"/>
        </w:rPr>
        <w:t>影像资料</w:t>
      </w:r>
      <w:bookmarkEnd w:id="96"/>
    </w:p>
    <w:p>
      <w:pPr>
        <w:pStyle w:val="67"/>
        <w:ind w:left="210" w:leftChars="100" w:firstLine="210" w:firstLineChars="100"/>
      </w:pPr>
      <w:r>
        <w:rPr>
          <w:rFonts w:hint="eastAsia"/>
        </w:rPr>
        <w:t>需记录的影像资料内容如下：</w:t>
      </w:r>
    </w:p>
    <w:p>
      <w:pPr>
        <w:pStyle w:val="78"/>
        <w:numPr>
          <w:ilvl w:val="0"/>
          <w:numId w:val="25"/>
        </w:numPr>
      </w:pPr>
      <w:r>
        <w:rPr>
          <w:rFonts w:hint="eastAsia"/>
        </w:rPr>
        <w:t>操作人员、飞行辅助人员现场操作无人机采集数据的工作照；</w:t>
      </w:r>
    </w:p>
    <w:p>
      <w:pPr>
        <w:pStyle w:val="78"/>
        <w:numPr>
          <w:ilvl w:val="0"/>
          <w:numId w:val="25"/>
        </w:numPr>
      </w:pPr>
      <w:r>
        <w:rPr>
          <w:rFonts w:hint="eastAsia"/>
        </w:rPr>
        <w:t>采集的有效原始缺陷图片、视频等；</w:t>
      </w:r>
    </w:p>
    <w:p>
      <w:pPr>
        <w:pStyle w:val="78"/>
        <w:numPr>
          <w:ilvl w:val="0"/>
          <w:numId w:val="25"/>
        </w:numPr>
      </w:pPr>
      <w:r>
        <w:rPr>
          <w:rFonts w:hint="eastAsia"/>
        </w:rPr>
        <w:t>缺陷识别结果图片等。</w:t>
      </w:r>
    </w:p>
    <w:p>
      <w:pPr>
        <w:pStyle w:val="51"/>
      </w:pPr>
    </w:p>
    <w:p>
      <w:pPr>
        <w:pStyle w:val="51"/>
        <w:sectPr>
          <w:headerReference r:id="rId16" w:type="default"/>
          <w:footerReference r:id="rId18" w:type="default"/>
          <w:headerReference r:id="rId17" w:type="even"/>
          <w:footerReference r:id="rId19" w:type="even"/>
          <w:pgSz w:w="11906" w:h="16838"/>
          <w:pgMar w:top="1417" w:right="1134" w:bottom="1134" w:left="1418" w:header="1417" w:footer="1134" w:gutter="0"/>
          <w:pgNumType w:start="1"/>
          <w:cols w:space="425" w:num="1"/>
          <w:docGrid w:type="lines" w:linePitch="312" w:charSpace="0"/>
        </w:sectPr>
      </w:pPr>
    </w:p>
    <w:p>
      <w:pPr>
        <w:pStyle w:val="5"/>
        <w:adjustRightInd w:val="0"/>
        <w:snapToGrid w:val="0"/>
        <w:spacing w:before="567"/>
        <w:ind w:firstLine="0"/>
        <w:jc w:val="center"/>
        <w:outlineLvl w:val="0"/>
        <w:rPr>
          <w:rFonts w:hint="eastAsia" w:ascii="黑体" w:hAnsi="黑体" w:eastAsia="黑体" w:cs="黑体"/>
          <w:szCs w:val="21"/>
        </w:rPr>
      </w:pPr>
      <w:bookmarkStart w:id="97" w:name="_Toc6828"/>
      <w:bookmarkStart w:id="98" w:name="_Toc27120"/>
      <w:r>
        <w:rPr>
          <w:rFonts w:hint="eastAsia" w:ascii="黑体" w:hAnsi="黑体" w:eastAsia="黑体" w:cs="黑体"/>
          <w:szCs w:val="21"/>
        </w:rPr>
        <w:t>附  录  A</w:t>
      </w:r>
      <w:bookmarkEnd w:id="97"/>
      <w:bookmarkEnd w:id="98"/>
    </w:p>
    <w:p>
      <w:pPr>
        <w:pStyle w:val="6"/>
        <w:jc w:val="center"/>
        <w:outlineLvl w:val="0"/>
        <w:rPr>
          <w:rFonts w:hint="eastAsia" w:ascii="黑体" w:hAnsi="黑体" w:eastAsia="黑体" w:cs="黑体"/>
          <w:sz w:val="21"/>
          <w:szCs w:val="21"/>
        </w:rPr>
      </w:pPr>
      <w:bookmarkStart w:id="99" w:name="_Toc23324"/>
      <w:bookmarkStart w:id="100" w:name="_Toc15899"/>
      <w:bookmarkStart w:id="101" w:name="_Toc21414"/>
      <w:r>
        <w:rPr>
          <w:rFonts w:hint="eastAsia" w:ascii="黑体" w:hAnsi="黑体" w:eastAsia="黑体" w:cs="黑体"/>
          <w:sz w:val="21"/>
          <w:szCs w:val="21"/>
        </w:rPr>
        <w:t>（资料性）</w:t>
      </w:r>
      <w:bookmarkEnd w:id="99"/>
      <w:bookmarkEnd w:id="100"/>
      <w:bookmarkEnd w:id="101"/>
    </w:p>
    <w:p>
      <w:pPr>
        <w:pStyle w:val="6"/>
        <w:adjustRightInd w:val="0"/>
        <w:spacing w:after="283"/>
        <w:jc w:val="center"/>
        <w:outlineLvl w:val="0"/>
        <w:rPr>
          <w:rFonts w:hint="eastAsia" w:ascii="黑体" w:hAnsi="黑体" w:eastAsia="黑体"/>
          <w:color w:val="000000"/>
          <w:sz w:val="21"/>
          <w:szCs w:val="21"/>
        </w:rPr>
      </w:pPr>
      <w:bookmarkStart w:id="102" w:name="_Toc19510"/>
      <w:bookmarkStart w:id="103" w:name="_Toc13971"/>
      <w:r>
        <w:rPr>
          <w:rFonts w:hint="eastAsia" w:ascii="黑体" w:hAnsi="黑体" w:eastAsia="黑体"/>
          <w:color w:val="000000"/>
          <w:sz w:val="21"/>
          <w:szCs w:val="21"/>
        </w:rPr>
        <w:t>城市桥梁日常巡检报表</w:t>
      </w:r>
      <w:bookmarkEnd w:id="102"/>
      <w:bookmarkEnd w:id="103"/>
    </w:p>
    <w:p>
      <w:pPr>
        <w:pStyle w:val="67"/>
        <w:ind w:firstLine="420"/>
      </w:pPr>
      <w:r>
        <w:rPr>
          <w:rFonts w:hint="eastAsia"/>
        </w:rPr>
        <w:t>城市桥梁日常巡检报表见表A.1。</w:t>
      </w:r>
    </w:p>
    <w:p>
      <w:pPr>
        <w:pStyle w:val="80"/>
        <w:spacing w:before="156" w:after="156"/>
      </w:pPr>
      <w:r>
        <w:rPr>
          <w:rFonts w:hint="eastAsia"/>
          <w:lang w:val="en-US" w:eastAsia="zh-CN"/>
        </w:rPr>
        <w:t xml:space="preserve"> </w:t>
      </w:r>
      <w:r>
        <w:rPr>
          <w:rFonts w:hint="eastAsia"/>
        </w:rPr>
        <w:t>城市桥梁日常巡检报表</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555"/>
        <w:gridCol w:w="1556"/>
        <w:gridCol w:w="1556"/>
        <w:gridCol w:w="1555"/>
        <w:gridCol w:w="1556"/>
        <w:gridCol w:w="1556"/>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1555" w:type="dxa"/>
            <w:tcBorders>
              <w:bottom w:val="single" w:color="auto" w:sz="8" w:space="0"/>
            </w:tcBorders>
            <w:shd w:val="clear" w:color="auto" w:fill="auto"/>
            <w:vAlign w:val="center"/>
          </w:tcPr>
          <w:p>
            <w:pPr>
              <w:pStyle w:val="76"/>
              <w:widowControl w:val="0"/>
            </w:pPr>
            <w:r>
              <w:rPr>
                <w:rFonts w:hint="eastAsia"/>
              </w:rPr>
              <w:t>桥梁名称</w:t>
            </w:r>
          </w:p>
        </w:tc>
        <w:tc>
          <w:tcPr>
            <w:tcW w:w="3112" w:type="dxa"/>
            <w:gridSpan w:val="2"/>
            <w:tcBorders>
              <w:bottom w:val="single" w:color="auto" w:sz="8" w:space="0"/>
            </w:tcBorders>
            <w:shd w:val="clear" w:color="auto" w:fill="auto"/>
            <w:vAlign w:val="center"/>
          </w:tcPr>
          <w:p>
            <w:pPr>
              <w:pStyle w:val="76"/>
              <w:widowControl w:val="0"/>
            </w:pPr>
          </w:p>
        </w:tc>
        <w:tc>
          <w:tcPr>
            <w:tcW w:w="1555" w:type="dxa"/>
            <w:tcBorders>
              <w:bottom w:val="single" w:color="auto" w:sz="8" w:space="0"/>
            </w:tcBorders>
            <w:shd w:val="clear" w:color="auto" w:fill="auto"/>
            <w:vAlign w:val="center"/>
          </w:tcPr>
          <w:p>
            <w:pPr>
              <w:pStyle w:val="76"/>
              <w:widowControl w:val="0"/>
            </w:pPr>
            <w:r>
              <w:rPr>
                <w:rFonts w:hint="eastAsia"/>
              </w:rPr>
              <w:t>巡查单位</w:t>
            </w:r>
          </w:p>
        </w:tc>
        <w:tc>
          <w:tcPr>
            <w:tcW w:w="3112" w:type="dxa"/>
            <w:gridSpan w:val="2"/>
            <w:tcBorders>
              <w:bottom w:val="single" w:color="auto" w:sz="8" w:space="0"/>
            </w:tcBorders>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1555" w:type="dxa"/>
            <w:tcBorders>
              <w:top w:val="single" w:color="auto" w:sz="8" w:space="0"/>
              <w:bottom w:val="single" w:color="auto" w:sz="8" w:space="0"/>
            </w:tcBorders>
            <w:shd w:val="clear" w:color="auto" w:fill="auto"/>
            <w:vAlign w:val="center"/>
          </w:tcPr>
          <w:p>
            <w:pPr>
              <w:pStyle w:val="76"/>
              <w:widowControl w:val="0"/>
            </w:pPr>
            <w:r>
              <w:rPr>
                <w:rFonts w:hint="eastAsia"/>
              </w:rPr>
              <w:t>巡检设备</w:t>
            </w:r>
          </w:p>
        </w:tc>
        <w:tc>
          <w:tcPr>
            <w:tcW w:w="3112" w:type="dxa"/>
            <w:gridSpan w:val="2"/>
            <w:tcBorders>
              <w:top w:val="single" w:color="auto" w:sz="8" w:space="0"/>
              <w:bottom w:val="single" w:color="auto" w:sz="8" w:space="0"/>
            </w:tcBorders>
            <w:shd w:val="clear" w:color="auto" w:fill="auto"/>
            <w:vAlign w:val="center"/>
          </w:tcPr>
          <w:p>
            <w:pPr>
              <w:pStyle w:val="76"/>
              <w:widowControl w:val="0"/>
            </w:pPr>
          </w:p>
        </w:tc>
        <w:tc>
          <w:tcPr>
            <w:tcW w:w="1555" w:type="dxa"/>
            <w:tcBorders>
              <w:top w:val="single" w:color="auto" w:sz="8" w:space="0"/>
              <w:bottom w:val="single" w:color="auto" w:sz="8" w:space="0"/>
            </w:tcBorders>
            <w:shd w:val="clear" w:color="auto" w:fill="auto"/>
            <w:vAlign w:val="center"/>
          </w:tcPr>
          <w:p>
            <w:pPr>
              <w:pStyle w:val="76"/>
              <w:widowControl w:val="0"/>
            </w:pPr>
          </w:p>
        </w:tc>
        <w:tc>
          <w:tcPr>
            <w:tcW w:w="3112" w:type="dxa"/>
            <w:gridSpan w:val="2"/>
            <w:tcBorders>
              <w:top w:val="single" w:color="auto" w:sz="8" w:space="0"/>
              <w:bottom w:val="single" w:color="auto" w:sz="8" w:space="0"/>
            </w:tcBorders>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tcBorders>
              <w:top w:val="single" w:color="auto" w:sz="8" w:space="0"/>
            </w:tcBorders>
            <w:shd w:val="clear" w:color="auto" w:fill="auto"/>
            <w:vAlign w:val="center"/>
          </w:tcPr>
          <w:p>
            <w:pPr>
              <w:pStyle w:val="76"/>
              <w:widowControl w:val="0"/>
            </w:pPr>
            <w:r>
              <w:rPr>
                <w:rFonts w:hint="eastAsia"/>
              </w:rPr>
              <w:t>巡检项目</w:t>
            </w:r>
          </w:p>
        </w:tc>
        <w:tc>
          <w:tcPr>
            <w:tcW w:w="1556" w:type="dxa"/>
            <w:tcBorders>
              <w:top w:val="single" w:color="auto" w:sz="8" w:space="0"/>
            </w:tcBorders>
            <w:shd w:val="clear" w:color="auto" w:fill="auto"/>
            <w:vAlign w:val="center"/>
          </w:tcPr>
          <w:p>
            <w:pPr>
              <w:pStyle w:val="76"/>
              <w:widowControl w:val="0"/>
            </w:pPr>
            <w:r>
              <w:rPr>
                <w:rFonts w:hint="eastAsia"/>
              </w:rPr>
              <w:t>完好</w:t>
            </w:r>
          </w:p>
        </w:tc>
        <w:tc>
          <w:tcPr>
            <w:tcW w:w="1556" w:type="dxa"/>
            <w:tcBorders>
              <w:top w:val="single" w:color="auto" w:sz="8" w:space="0"/>
            </w:tcBorders>
            <w:shd w:val="clear" w:color="auto" w:fill="auto"/>
            <w:vAlign w:val="center"/>
          </w:tcPr>
          <w:p>
            <w:pPr>
              <w:pStyle w:val="76"/>
              <w:widowControl w:val="0"/>
            </w:pPr>
            <w:r>
              <w:rPr>
                <w:rFonts w:hint="eastAsia"/>
              </w:rPr>
              <w:t>损坏类型</w:t>
            </w:r>
          </w:p>
        </w:tc>
        <w:tc>
          <w:tcPr>
            <w:tcW w:w="1555" w:type="dxa"/>
            <w:tcBorders>
              <w:top w:val="single" w:color="auto" w:sz="8" w:space="0"/>
            </w:tcBorders>
            <w:shd w:val="clear" w:color="auto" w:fill="auto"/>
            <w:vAlign w:val="center"/>
          </w:tcPr>
          <w:p>
            <w:pPr>
              <w:pStyle w:val="76"/>
              <w:widowControl w:val="0"/>
            </w:pPr>
            <w:r>
              <w:rPr>
                <w:rFonts w:hint="eastAsia"/>
              </w:rPr>
              <w:t>损坏程度</w:t>
            </w:r>
          </w:p>
        </w:tc>
        <w:tc>
          <w:tcPr>
            <w:tcW w:w="1556" w:type="dxa"/>
            <w:tcBorders>
              <w:top w:val="single" w:color="auto" w:sz="8" w:space="0"/>
            </w:tcBorders>
            <w:shd w:val="clear" w:color="auto" w:fill="auto"/>
            <w:vAlign w:val="center"/>
          </w:tcPr>
          <w:p>
            <w:pPr>
              <w:pStyle w:val="76"/>
              <w:widowControl w:val="0"/>
            </w:pPr>
            <w:r>
              <w:rPr>
                <w:rFonts w:hint="eastAsia"/>
              </w:rPr>
              <w:t>损坏位置</w:t>
            </w:r>
          </w:p>
        </w:tc>
        <w:tc>
          <w:tcPr>
            <w:tcW w:w="1556" w:type="dxa"/>
            <w:tcBorders>
              <w:top w:val="single" w:color="auto" w:sz="8" w:space="0"/>
            </w:tcBorders>
            <w:shd w:val="clear" w:color="auto" w:fill="auto"/>
            <w:vAlign w:val="center"/>
          </w:tcPr>
          <w:p>
            <w:pPr>
              <w:pStyle w:val="76"/>
              <w:widowControl w:val="0"/>
            </w:pPr>
            <w:r>
              <w:rPr>
                <w:rFonts w:hint="eastAsia"/>
              </w:rPr>
              <w:t>备注</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555" w:type="dxa"/>
            <w:shd w:val="clear" w:color="auto" w:fill="auto"/>
            <w:vAlign w:val="center"/>
          </w:tcPr>
          <w:p>
            <w:pPr>
              <w:pStyle w:val="76"/>
              <w:widowControl w:val="0"/>
            </w:pPr>
            <w:r>
              <w:rPr>
                <w:rFonts w:hint="eastAsia"/>
              </w:rPr>
              <w:t>桥铭牌</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限高牌、限载牌</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车行道</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人行道</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555" w:type="dxa"/>
            <w:shd w:val="clear" w:color="auto" w:fill="auto"/>
            <w:vAlign w:val="center"/>
          </w:tcPr>
          <w:p>
            <w:pPr>
              <w:pStyle w:val="76"/>
              <w:widowControl w:val="0"/>
            </w:pPr>
            <w:r>
              <w:rPr>
                <w:rFonts w:hint="eastAsia"/>
              </w:rPr>
              <w:t>伸缩缝</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栏杆</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排水设施</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桥路链接位置</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555" w:type="dxa"/>
            <w:shd w:val="clear" w:color="auto" w:fill="auto"/>
            <w:vAlign w:val="center"/>
          </w:tcPr>
          <w:p>
            <w:pPr>
              <w:pStyle w:val="76"/>
              <w:widowControl w:val="0"/>
            </w:pPr>
            <w:r>
              <w:rPr>
                <w:rFonts w:hint="eastAsia"/>
              </w:rPr>
              <w:t>上部结构</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支座</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下部结构</w:t>
            </w: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5" w:type="dxa"/>
            <w:shd w:val="clear" w:color="auto" w:fill="auto"/>
            <w:vAlign w:val="center"/>
          </w:tcPr>
          <w:p>
            <w:pPr>
              <w:pStyle w:val="76"/>
              <w:widowControl w:val="0"/>
            </w:pPr>
          </w:p>
        </w:tc>
        <w:tc>
          <w:tcPr>
            <w:tcW w:w="1556" w:type="dxa"/>
            <w:shd w:val="clear" w:color="auto" w:fill="auto"/>
            <w:vAlign w:val="center"/>
          </w:tcPr>
          <w:p>
            <w:pPr>
              <w:pStyle w:val="76"/>
              <w:widowControl w:val="0"/>
            </w:pPr>
          </w:p>
        </w:tc>
        <w:tc>
          <w:tcPr>
            <w:tcW w:w="1556" w:type="dxa"/>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3111" w:type="dxa"/>
            <w:gridSpan w:val="2"/>
            <w:shd w:val="clear" w:color="auto" w:fill="auto"/>
            <w:vAlign w:val="center"/>
          </w:tcPr>
          <w:p>
            <w:pPr>
              <w:pStyle w:val="76"/>
              <w:widowControl w:val="0"/>
            </w:pPr>
            <w:r>
              <w:rPr>
                <w:rFonts w:hint="eastAsia"/>
              </w:rPr>
              <w:t>桥梁保护区域内施工</w:t>
            </w:r>
          </w:p>
        </w:tc>
        <w:tc>
          <w:tcPr>
            <w:tcW w:w="6223" w:type="dxa"/>
            <w:gridSpan w:val="4"/>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3111" w:type="dxa"/>
            <w:gridSpan w:val="2"/>
            <w:shd w:val="clear" w:color="auto" w:fill="auto"/>
            <w:vAlign w:val="center"/>
          </w:tcPr>
          <w:p>
            <w:pPr>
              <w:pStyle w:val="76"/>
              <w:widowControl w:val="0"/>
            </w:pPr>
            <w:r>
              <w:rPr>
                <w:rFonts w:hint="eastAsia"/>
              </w:rPr>
              <w:t>其他危及行人行船行车安全的缺陷</w:t>
            </w:r>
          </w:p>
        </w:tc>
        <w:tc>
          <w:tcPr>
            <w:tcW w:w="6223" w:type="dxa"/>
            <w:gridSpan w:val="4"/>
            <w:shd w:val="clear" w:color="auto" w:fill="auto"/>
            <w:vAlign w:val="center"/>
          </w:tcPr>
          <w:p>
            <w:pPr>
              <w:pStyle w:val="76"/>
              <w:widowControl w:val="0"/>
            </w:pP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76"/>
              <w:widowControl w:val="0"/>
            </w:pPr>
            <w:r>
              <w:rPr>
                <w:rFonts w:hint="eastAsia"/>
              </w:rPr>
              <w:t>巡检人</w:t>
            </w:r>
          </w:p>
        </w:tc>
        <w:tc>
          <w:tcPr>
            <w:tcW w:w="3112" w:type="dxa"/>
            <w:gridSpan w:val="2"/>
            <w:shd w:val="clear" w:color="auto" w:fill="auto"/>
            <w:vAlign w:val="center"/>
          </w:tcPr>
          <w:p>
            <w:pPr>
              <w:pStyle w:val="76"/>
              <w:widowControl w:val="0"/>
            </w:pPr>
          </w:p>
        </w:tc>
        <w:tc>
          <w:tcPr>
            <w:tcW w:w="1555" w:type="dxa"/>
            <w:shd w:val="clear" w:color="auto" w:fill="auto"/>
            <w:vAlign w:val="center"/>
          </w:tcPr>
          <w:p>
            <w:pPr>
              <w:pStyle w:val="76"/>
              <w:widowControl w:val="0"/>
            </w:pPr>
            <w:r>
              <w:rPr>
                <w:rFonts w:hint="eastAsia"/>
              </w:rPr>
              <w:t>巡检日期</w:t>
            </w:r>
          </w:p>
        </w:tc>
        <w:tc>
          <w:tcPr>
            <w:tcW w:w="3112" w:type="dxa"/>
            <w:gridSpan w:val="2"/>
            <w:shd w:val="clear" w:color="auto" w:fill="auto"/>
            <w:vAlign w:val="center"/>
          </w:tcPr>
          <w:p>
            <w:pPr>
              <w:pStyle w:val="76"/>
              <w:widowControl w:val="0"/>
            </w:pPr>
          </w:p>
        </w:tc>
      </w:tr>
    </w:tbl>
    <w:p>
      <w:pPr>
        <w:pStyle w:val="67"/>
        <w:ind w:firstLine="420"/>
      </w:pPr>
    </w:p>
    <w:p>
      <w:pPr>
        <w:pStyle w:val="51"/>
      </w:pPr>
    </w:p>
    <w:p>
      <w:pPr>
        <w:pStyle w:val="51"/>
        <w:sectPr>
          <w:pgSz w:w="11906" w:h="16838"/>
          <w:pgMar w:top="1417" w:right="1134" w:bottom="1134" w:left="1418" w:header="1417" w:footer="1134" w:gutter="0"/>
          <w:cols w:space="425" w:num="1"/>
          <w:docGrid w:type="lines" w:linePitch="312" w:charSpace="0"/>
        </w:sectPr>
      </w:pPr>
    </w:p>
    <w:p>
      <w:pPr>
        <w:pStyle w:val="5"/>
        <w:adjustRightInd w:val="0"/>
        <w:snapToGrid w:val="0"/>
        <w:spacing w:before="567"/>
        <w:ind w:firstLine="0"/>
        <w:jc w:val="center"/>
        <w:outlineLvl w:val="0"/>
        <w:rPr>
          <w:rFonts w:hint="eastAsia" w:ascii="黑体" w:hAnsi="黑体" w:eastAsia="黑体" w:cs="黑体"/>
          <w:szCs w:val="21"/>
        </w:rPr>
      </w:pPr>
      <w:bookmarkStart w:id="104" w:name="_Toc22910"/>
      <w:r>
        <w:rPr>
          <w:rFonts w:hint="eastAsia" w:ascii="黑体" w:hAnsi="黑体" w:eastAsia="黑体" w:cs="黑体"/>
          <w:szCs w:val="21"/>
        </w:rPr>
        <w:t>附  录  B</w:t>
      </w:r>
      <w:bookmarkEnd w:id="104"/>
    </w:p>
    <w:p>
      <w:pPr>
        <w:pStyle w:val="6"/>
        <w:jc w:val="center"/>
        <w:outlineLvl w:val="0"/>
        <w:rPr>
          <w:rFonts w:hint="eastAsia" w:ascii="黑体" w:hAnsi="黑体" w:eastAsia="黑体" w:cs="黑体"/>
          <w:sz w:val="21"/>
          <w:szCs w:val="21"/>
        </w:rPr>
      </w:pPr>
      <w:bookmarkStart w:id="105" w:name="_Toc5266"/>
      <w:bookmarkStart w:id="106" w:name="_Toc12726"/>
      <w:r>
        <w:rPr>
          <w:rFonts w:hint="eastAsia" w:ascii="黑体" w:hAnsi="黑体" w:eastAsia="黑体" w:cs="黑体"/>
          <w:sz w:val="21"/>
          <w:szCs w:val="21"/>
        </w:rPr>
        <w:t>（规范性）</w:t>
      </w:r>
      <w:bookmarkEnd w:id="105"/>
      <w:bookmarkEnd w:id="106"/>
    </w:p>
    <w:p>
      <w:pPr>
        <w:pStyle w:val="6"/>
        <w:adjustRightInd w:val="0"/>
        <w:spacing w:after="283"/>
        <w:jc w:val="center"/>
        <w:outlineLvl w:val="0"/>
        <w:rPr>
          <w:rFonts w:hint="eastAsia" w:ascii="黑体" w:hAnsi="黑体" w:eastAsia="黑体"/>
          <w:color w:val="000000"/>
          <w:sz w:val="21"/>
          <w:szCs w:val="21"/>
        </w:rPr>
      </w:pPr>
      <w:bookmarkStart w:id="107" w:name="_Toc16237"/>
      <w:bookmarkStart w:id="108" w:name="_Toc23113"/>
      <w:bookmarkStart w:id="109" w:name="_Toc1592"/>
      <w:r>
        <w:rPr>
          <w:rFonts w:hint="eastAsia" w:ascii="黑体" w:hAnsi="黑体" w:eastAsia="黑体"/>
          <w:color w:val="000000"/>
          <w:sz w:val="21"/>
          <w:szCs w:val="21"/>
        </w:rPr>
        <w:t>定期巡检内容</w:t>
      </w:r>
      <w:bookmarkEnd w:id="107"/>
      <w:bookmarkEnd w:id="108"/>
      <w:bookmarkEnd w:id="109"/>
    </w:p>
    <w:p>
      <w:pPr>
        <w:pStyle w:val="73"/>
        <w:numPr>
          <w:ilvl w:val="1"/>
          <w:numId w:val="0"/>
        </w:numPr>
        <w:bidi w:val="0"/>
        <w:ind w:leftChars="0"/>
        <w:rPr>
          <w:rFonts w:hint="eastAsia"/>
        </w:rPr>
      </w:pPr>
      <w:r>
        <w:rPr>
          <w:rFonts w:hint="eastAsia"/>
          <w:lang w:val="en-US" w:eastAsia="zh-CN"/>
        </w:rPr>
        <w:t xml:space="preserve">B.1  </w:t>
      </w:r>
      <w:r>
        <w:rPr>
          <w:rFonts w:hint="eastAsia"/>
        </w:rPr>
        <w:t>上部结构巡检内容</w:t>
      </w:r>
    </w:p>
    <w:p>
      <w:pPr>
        <w:pStyle w:val="67"/>
        <w:rPr>
          <w:rFonts w:hint="eastAsia"/>
        </w:rPr>
      </w:pPr>
      <w:r>
        <w:rPr>
          <w:rFonts w:hint="eastAsia"/>
          <w:lang w:val="en-US" w:eastAsia="zh-CN"/>
        </w:rPr>
        <w:t>上部结构巡检内容</w:t>
      </w:r>
      <w:r>
        <w:rPr>
          <w:rFonts w:hint="eastAsia"/>
        </w:rPr>
        <w:t>见表B.1。</w:t>
      </w:r>
    </w:p>
    <w:p>
      <w:pPr>
        <w:pStyle w:val="60"/>
        <w:numPr>
          <w:ilvl w:val="0"/>
          <w:numId w:val="0"/>
        </w:numPr>
      </w:pPr>
      <w:r>
        <w:rPr>
          <w:rFonts w:hint="eastAsia"/>
        </w:rPr>
        <w:t>表B.1  上部结构巡检内容</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490"/>
        <w:gridCol w:w="2510"/>
        <w:gridCol w:w="1310"/>
        <w:gridCol w:w="1270"/>
        <w:gridCol w:w="275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blHeader/>
          <w:jc w:val="center"/>
        </w:trPr>
        <w:tc>
          <w:tcPr>
            <w:tcW w:w="1490" w:type="dxa"/>
            <w:tcBorders>
              <w:bottom w:val="single" w:color="auto" w:sz="8" w:space="0"/>
            </w:tcBorders>
            <w:shd w:val="clear" w:color="auto" w:fill="auto"/>
            <w:vAlign w:val="center"/>
          </w:tcPr>
          <w:p>
            <w:pPr>
              <w:pStyle w:val="76"/>
              <w:widowControl w:val="0"/>
            </w:pPr>
            <w:r>
              <w:rPr>
                <w:rFonts w:hint="eastAsia" w:hAnsi="宋体" w:cs="宋体"/>
                <w:spacing w:val="3"/>
              </w:rPr>
              <w:t>巡检结构</w:t>
            </w:r>
          </w:p>
        </w:tc>
        <w:tc>
          <w:tcPr>
            <w:tcW w:w="2510" w:type="dxa"/>
            <w:tcBorders>
              <w:bottom w:val="single" w:color="auto" w:sz="8" w:space="0"/>
            </w:tcBorders>
            <w:shd w:val="clear" w:color="auto" w:fill="auto"/>
            <w:vAlign w:val="center"/>
          </w:tcPr>
          <w:p>
            <w:pPr>
              <w:pStyle w:val="76"/>
              <w:widowControl w:val="0"/>
            </w:pPr>
            <w:r>
              <w:rPr>
                <w:rFonts w:hint="eastAsia" w:hAnsi="宋体" w:cs="宋体"/>
                <w:spacing w:val="5"/>
              </w:rPr>
              <w:t>内容</w:t>
            </w:r>
          </w:p>
        </w:tc>
        <w:tc>
          <w:tcPr>
            <w:tcW w:w="1310" w:type="dxa"/>
            <w:tcBorders>
              <w:bottom w:val="single" w:color="auto" w:sz="8" w:space="0"/>
            </w:tcBorders>
            <w:shd w:val="clear" w:color="auto" w:fill="auto"/>
            <w:vAlign w:val="center"/>
          </w:tcPr>
          <w:p>
            <w:pPr>
              <w:pStyle w:val="76"/>
              <w:widowControl w:val="0"/>
            </w:pPr>
            <w:r>
              <w:rPr>
                <w:rFonts w:hint="eastAsia" w:hAnsi="宋体" w:cs="宋体"/>
                <w:spacing w:val="-3"/>
              </w:rPr>
              <w:t>方式</w:t>
            </w:r>
          </w:p>
        </w:tc>
        <w:tc>
          <w:tcPr>
            <w:tcW w:w="1270" w:type="dxa"/>
            <w:tcBorders>
              <w:bottom w:val="single" w:color="auto" w:sz="8" w:space="0"/>
            </w:tcBorders>
            <w:shd w:val="clear" w:color="auto" w:fill="auto"/>
            <w:vAlign w:val="center"/>
          </w:tcPr>
          <w:p>
            <w:pPr>
              <w:pStyle w:val="76"/>
              <w:widowControl w:val="0"/>
            </w:pPr>
            <w:r>
              <w:rPr>
                <w:rFonts w:hint="eastAsia" w:hAnsi="宋体" w:cs="宋体"/>
                <w:spacing w:val="-3"/>
              </w:rPr>
              <w:t>方法</w:t>
            </w:r>
          </w:p>
        </w:tc>
        <w:tc>
          <w:tcPr>
            <w:tcW w:w="2754" w:type="dxa"/>
            <w:tcBorders>
              <w:bottom w:val="single" w:color="auto" w:sz="8" w:space="0"/>
            </w:tcBorders>
            <w:shd w:val="clear" w:color="auto" w:fill="auto"/>
            <w:vAlign w:val="center"/>
          </w:tcPr>
          <w:p>
            <w:pPr>
              <w:pStyle w:val="76"/>
              <w:widowControl w:val="0"/>
            </w:pPr>
            <w:r>
              <w:rPr>
                <w:rFonts w:hint="eastAsia"/>
                <w:spacing w:val="2"/>
              </w:rPr>
              <w:t>缺陷</w:t>
            </w:r>
            <w:r>
              <w:rPr>
                <w:rFonts w:hint="eastAsia" w:hAnsi="宋体" w:cs="宋体"/>
                <w:spacing w:val="2"/>
              </w:rPr>
              <w:t>监测信息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tcBorders>
              <w:top w:val="single" w:color="auto" w:sz="8" w:space="0"/>
            </w:tcBorders>
            <w:shd w:val="clear" w:color="auto" w:fill="auto"/>
            <w:vAlign w:val="center"/>
          </w:tcPr>
          <w:p>
            <w:pPr>
              <w:pStyle w:val="76"/>
              <w:widowControl w:val="0"/>
            </w:pPr>
            <w:r>
              <w:rPr>
                <w:rFonts w:hint="eastAsia"/>
              </w:rPr>
              <w:t>塔柱</w:t>
            </w:r>
          </w:p>
        </w:tc>
        <w:tc>
          <w:tcPr>
            <w:tcW w:w="2510" w:type="dxa"/>
            <w:tcBorders>
              <w:top w:val="single" w:color="auto" w:sz="8" w:space="0"/>
            </w:tcBorders>
            <w:shd w:val="clear" w:color="auto" w:fill="auto"/>
            <w:vAlign w:val="center"/>
          </w:tcPr>
          <w:p>
            <w:pPr>
              <w:pStyle w:val="76"/>
              <w:widowControl w:val="0"/>
            </w:pPr>
            <w:r>
              <w:rPr>
                <w:rFonts w:hint="eastAsia" w:hAnsi="宋体" w:cs="宋体"/>
                <w:spacing w:val="-3"/>
              </w:rPr>
              <w:t>裂缝</w:t>
            </w:r>
          </w:p>
        </w:tc>
        <w:tc>
          <w:tcPr>
            <w:tcW w:w="1310" w:type="dxa"/>
            <w:vMerge w:val="restart"/>
            <w:tcBorders>
              <w:top w:val="single" w:color="auto" w:sz="8" w:space="0"/>
            </w:tcBorders>
            <w:shd w:val="clear" w:color="auto" w:fill="auto"/>
            <w:vAlign w:val="center"/>
          </w:tcPr>
          <w:p>
            <w:pPr>
              <w:pStyle w:val="76"/>
              <w:widowControl w:val="0"/>
            </w:pPr>
            <w:r>
              <w:rPr>
                <w:rFonts w:hint="eastAsia"/>
              </w:rPr>
              <w:t>自动/手动</w:t>
            </w:r>
          </w:p>
        </w:tc>
        <w:tc>
          <w:tcPr>
            <w:tcW w:w="1270" w:type="dxa"/>
            <w:vMerge w:val="restart"/>
            <w:tcBorders>
              <w:top w:val="single" w:color="auto" w:sz="8" w:space="0"/>
            </w:tcBorders>
            <w:shd w:val="clear" w:color="auto" w:fill="auto"/>
            <w:vAlign w:val="center"/>
          </w:tcPr>
          <w:p>
            <w:pPr>
              <w:pStyle w:val="76"/>
              <w:widowControl w:val="0"/>
            </w:pPr>
            <w:r>
              <w:rPr>
                <w:rFonts w:hint="eastAsia"/>
              </w:rPr>
              <w:t>精飞</w:t>
            </w:r>
          </w:p>
        </w:tc>
        <w:tc>
          <w:tcPr>
            <w:tcW w:w="2754" w:type="dxa"/>
            <w:tcBorders>
              <w:top w:val="single" w:color="auto" w:sz="8" w:space="0"/>
            </w:tcBorders>
            <w:shd w:val="clear" w:color="auto" w:fill="auto"/>
            <w:vAlign w:val="center"/>
          </w:tcPr>
          <w:p>
            <w:pPr>
              <w:pStyle w:val="76"/>
              <w:widowControl w:val="0"/>
            </w:pPr>
            <w:r>
              <w:rPr>
                <w:rFonts w:hint="eastAsia" w:hAnsi="宋体" w:cs="宋体"/>
                <w:spacing w:val="1"/>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1"/>
              </w:rPr>
              <w:t>剥落、掉漆、锈蚀</w:t>
            </w:r>
          </w:p>
        </w:tc>
        <w:tc>
          <w:tcPr>
            <w:tcW w:w="1310" w:type="dxa"/>
            <w:vMerge w:val="continue"/>
            <w:shd w:val="clear" w:color="auto" w:fill="auto"/>
            <w:vAlign w:val="center"/>
          </w:tcPr>
          <w:p>
            <w:pPr>
              <w:pStyle w:val="76"/>
              <w:widowControl w:val="0"/>
            </w:pPr>
          </w:p>
        </w:tc>
        <w:tc>
          <w:tcPr>
            <w:tcW w:w="1270" w:type="dxa"/>
            <w:vMerge w:val="continue"/>
            <w:shd w:val="clear" w:color="auto" w:fill="auto"/>
            <w:vAlign w:val="center"/>
          </w:tcPr>
          <w:p>
            <w:pPr>
              <w:pStyle w:val="76"/>
              <w:widowControl w:val="0"/>
            </w:pPr>
          </w:p>
        </w:tc>
        <w:tc>
          <w:tcPr>
            <w:tcW w:w="2754" w:type="dxa"/>
            <w:shd w:val="clear" w:color="auto" w:fill="auto"/>
            <w:vAlign w:val="center"/>
          </w:tcPr>
          <w:p>
            <w:pPr>
              <w:pStyle w:val="76"/>
              <w:widowControl w:val="0"/>
            </w:pPr>
            <w:r>
              <w:rPr>
                <w:rFonts w:hint="eastAsia" w:hAnsi="宋体" w:cs="宋体"/>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1"/>
              </w:rPr>
              <w:t>裂缝、剥落、掉漆、锈蚀</w:t>
            </w: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hint="eastAsia"/>
              </w:rPr>
              <w:t>粗飞</w:t>
            </w:r>
          </w:p>
        </w:tc>
        <w:tc>
          <w:tcPr>
            <w:tcW w:w="2754" w:type="dxa"/>
            <w:shd w:val="clear" w:color="auto" w:fill="auto"/>
            <w:vAlign w:val="center"/>
          </w:tcPr>
          <w:p>
            <w:pPr>
              <w:pStyle w:val="76"/>
              <w:widowControl w:val="0"/>
            </w:pPr>
            <w:r>
              <w:rPr>
                <w:rFonts w:hint="eastAsia" w:hAnsi="宋体" w:cs="宋体"/>
                <w:spacing w:val="-2"/>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shd w:val="clear" w:color="auto" w:fill="auto"/>
            <w:vAlign w:val="center"/>
          </w:tcPr>
          <w:p>
            <w:pPr>
              <w:pStyle w:val="76"/>
              <w:widowControl w:val="0"/>
            </w:pPr>
            <w:r>
              <w:t>斜拉索、吊索</w:t>
            </w:r>
          </w:p>
        </w:tc>
        <w:tc>
          <w:tcPr>
            <w:tcW w:w="2510" w:type="dxa"/>
            <w:vMerge w:val="restart"/>
            <w:shd w:val="clear" w:color="auto" w:fill="auto"/>
            <w:vAlign w:val="center"/>
          </w:tcPr>
          <w:p>
            <w:pPr>
              <w:pStyle w:val="76"/>
              <w:widowControl w:val="0"/>
            </w:pPr>
            <w:r>
              <w:rPr>
                <w:rFonts w:hint="eastAsia" w:hAnsi="宋体" w:cs="宋体"/>
                <w:spacing w:val="-2"/>
              </w:rPr>
              <w:t>护套破损、脱落</w:t>
            </w:r>
          </w:p>
        </w:tc>
        <w:tc>
          <w:tcPr>
            <w:tcW w:w="1310" w:type="dxa"/>
            <w:vMerge w:val="restart"/>
            <w:shd w:val="clear" w:color="auto" w:fill="auto"/>
            <w:vAlign w:val="center"/>
          </w:tcPr>
          <w:p>
            <w:pPr>
              <w:pStyle w:val="76"/>
              <w:widowControl w:val="0"/>
            </w:pPr>
            <w:r>
              <w:rPr>
                <w:rFonts w:hint="eastAsia"/>
              </w:rPr>
              <w:t>自动/手动</w:t>
            </w:r>
          </w:p>
        </w:tc>
        <w:tc>
          <w:tcPr>
            <w:tcW w:w="1270" w:type="dxa"/>
            <w:shd w:val="clear" w:color="auto" w:fill="auto"/>
            <w:vAlign w:val="center"/>
          </w:tcPr>
          <w:p>
            <w:pPr>
              <w:pStyle w:val="76"/>
              <w:widowControl w:val="0"/>
            </w:pPr>
            <w:r>
              <w:rPr>
                <w:rFonts w:hint="eastAsia"/>
              </w:rPr>
              <w:t>精飞</w:t>
            </w:r>
          </w:p>
        </w:tc>
        <w:tc>
          <w:tcPr>
            <w:tcW w:w="2754" w:type="dxa"/>
            <w:shd w:val="clear" w:color="auto" w:fill="auto"/>
            <w:vAlign w:val="center"/>
          </w:tcPr>
          <w:p>
            <w:pPr>
              <w:pStyle w:val="76"/>
              <w:widowControl w:val="0"/>
            </w:pPr>
            <w:r>
              <w:rPr>
                <w:rFonts w:ascii="Times New Roman"/>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vMerge w:val="continue"/>
            <w:shd w:val="clear" w:color="auto" w:fill="auto"/>
            <w:vAlign w:val="center"/>
          </w:tcPr>
          <w:p>
            <w:pPr>
              <w:pStyle w:val="76"/>
              <w:widowControl w:val="0"/>
            </w:pP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hint="eastAsia"/>
              </w:rPr>
              <w:t>粗飞</w:t>
            </w:r>
          </w:p>
        </w:tc>
        <w:tc>
          <w:tcPr>
            <w:tcW w:w="2754" w:type="dxa"/>
            <w:shd w:val="clear" w:color="auto" w:fill="auto"/>
            <w:vAlign w:val="center"/>
          </w:tcPr>
          <w:p>
            <w:pPr>
              <w:pStyle w:val="76"/>
              <w:widowControl w:val="0"/>
            </w:pPr>
            <w:r>
              <w:rPr>
                <w:rFonts w:ascii="Times New Roman"/>
                <w:spacing w:val="-2"/>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shd w:val="clear" w:color="auto" w:fill="auto"/>
            <w:vAlign w:val="center"/>
          </w:tcPr>
          <w:p>
            <w:pPr>
              <w:pStyle w:val="76"/>
              <w:widowControl w:val="0"/>
            </w:pPr>
            <w:r>
              <w:rPr>
                <w:rFonts w:hint="eastAsia"/>
              </w:rPr>
              <w:t>主拱圈</w:t>
            </w:r>
          </w:p>
        </w:tc>
        <w:tc>
          <w:tcPr>
            <w:tcW w:w="2510" w:type="dxa"/>
            <w:shd w:val="clear" w:color="auto" w:fill="auto"/>
            <w:vAlign w:val="center"/>
          </w:tcPr>
          <w:p>
            <w:pPr>
              <w:pStyle w:val="76"/>
              <w:widowControl w:val="0"/>
            </w:pPr>
            <w:r>
              <w:rPr>
                <w:rFonts w:hint="eastAsia" w:hAnsi="宋体" w:cs="宋体"/>
                <w:spacing w:val="-3"/>
              </w:rPr>
              <w:t>裂缝</w:t>
            </w:r>
          </w:p>
        </w:tc>
        <w:tc>
          <w:tcPr>
            <w:tcW w:w="1310" w:type="dxa"/>
            <w:vMerge w:val="restart"/>
            <w:shd w:val="clear" w:color="auto" w:fill="auto"/>
            <w:vAlign w:val="center"/>
          </w:tcPr>
          <w:p>
            <w:pPr>
              <w:pStyle w:val="76"/>
              <w:widowControl w:val="0"/>
            </w:pPr>
            <w:r>
              <w:rPr>
                <w:rFonts w:hint="eastAsia"/>
              </w:rPr>
              <w:t>手动</w:t>
            </w:r>
          </w:p>
        </w:tc>
        <w:tc>
          <w:tcPr>
            <w:tcW w:w="1270" w:type="dxa"/>
            <w:vMerge w:val="restart"/>
            <w:shd w:val="clear" w:color="auto" w:fill="auto"/>
            <w:vAlign w:val="center"/>
          </w:tcPr>
          <w:p>
            <w:pPr>
              <w:pStyle w:val="76"/>
              <w:widowControl w:val="0"/>
            </w:pPr>
            <w:r>
              <w:rPr>
                <w:rFonts w:hint="eastAsia"/>
              </w:rPr>
              <w:t>精飞</w:t>
            </w:r>
          </w:p>
        </w:tc>
        <w:tc>
          <w:tcPr>
            <w:tcW w:w="2754" w:type="dxa"/>
            <w:shd w:val="clear" w:color="auto" w:fill="auto"/>
            <w:vAlign w:val="center"/>
          </w:tcPr>
          <w:p>
            <w:pPr>
              <w:pStyle w:val="76"/>
              <w:widowControl w:val="0"/>
            </w:pPr>
            <w:r>
              <w:rPr>
                <w:rFonts w:ascii="Times New Roman"/>
                <w:spacing w:val="1"/>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1"/>
              </w:rPr>
              <w:t>剥落、掉漆、锈蚀</w:t>
            </w:r>
          </w:p>
        </w:tc>
        <w:tc>
          <w:tcPr>
            <w:tcW w:w="1310" w:type="dxa"/>
            <w:vMerge w:val="continue"/>
            <w:shd w:val="clear" w:color="auto" w:fill="auto"/>
            <w:vAlign w:val="center"/>
          </w:tcPr>
          <w:p>
            <w:pPr>
              <w:pStyle w:val="76"/>
              <w:widowControl w:val="0"/>
            </w:pPr>
          </w:p>
        </w:tc>
        <w:tc>
          <w:tcPr>
            <w:tcW w:w="1270" w:type="dxa"/>
            <w:vMerge w:val="continue"/>
            <w:shd w:val="clear" w:color="auto" w:fill="auto"/>
            <w:vAlign w:val="center"/>
          </w:tcPr>
          <w:p>
            <w:pPr>
              <w:pStyle w:val="76"/>
              <w:widowControl w:val="0"/>
            </w:pPr>
          </w:p>
        </w:tc>
        <w:tc>
          <w:tcPr>
            <w:tcW w:w="2754" w:type="dxa"/>
            <w:shd w:val="clear" w:color="auto" w:fill="auto"/>
            <w:vAlign w:val="center"/>
          </w:tcPr>
          <w:p>
            <w:pPr>
              <w:pStyle w:val="76"/>
              <w:widowControl w:val="0"/>
            </w:pPr>
            <w:r>
              <w:rPr>
                <w:rFonts w:ascii="Times New Roman"/>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1"/>
              </w:rPr>
              <w:t>裂缝、剥落、掉漆、锈蚀</w:t>
            </w: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hint="eastAsia"/>
              </w:rPr>
              <w:t>粗飞</w:t>
            </w:r>
          </w:p>
        </w:tc>
        <w:tc>
          <w:tcPr>
            <w:tcW w:w="2754" w:type="dxa"/>
            <w:shd w:val="clear" w:color="auto" w:fill="auto"/>
            <w:vAlign w:val="center"/>
          </w:tcPr>
          <w:p>
            <w:pPr>
              <w:pStyle w:val="76"/>
              <w:widowControl w:val="0"/>
            </w:pPr>
            <w:r>
              <w:rPr>
                <w:rFonts w:ascii="Times New Roman"/>
                <w:spacing w:val="-2"/>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shd w:val="clear" w:color="auto" w:fill="auto"/>
            <w:vAlign w:val="center"/>
          </w:tcPr>
          <w:p>
            <w:pPr>
              <w:pStyle w:val="76"/>
              <w:widowControl w:val="0"/>
            </w:pPr>
            <w:r>
              <w:rPr>
                <w:rFonts w:hint="eastAsia"/>
              </w:rPr>
              <w:t>主缆</w:t>
            </w:r>
          </w:p>
        </w:tc>
        <w:tc>
          <w:tcPr>
            <w:tcW w:w="2510" w:type="dxa"/>
            <w:vMerge w:val="restart"/>
            <w:shd w:val="clear" w:color="auto" w:fill="auto"/>
            <w:vAlign w:val="center"/>
          </w:tcPr>
          <w:p>
            <w:pPr>
              <w:pStyle w:val="76"/>
              <w:widowControl w:val="0"/>
            </w:pPr>
            <w:r>
              <w:rPr>
                <w:rFonts w:hint="eastAsia" w:hAnsi="宋体" w:cs="宋体"/>
                <w:spacing w:val="2"/>
              </w:rPr>
              <w:t>主缆防护损坏</w:t>
            </w:r>
          </w:p>
        </w:tc>
        <w:tc>
          <w:tcPr>
            <w:tcW w:w="1310" w:type="dxa"/>
            <w:vMerge w:val="restart"/>
            <w:shd w:val="clear" w:color="auto" w:fill="auto"/>
            <w:vAlign w:val="center"/>
          </w:tcPr>
          <w:p>
            <w:pPr>
              <w:pStyle w:val="76"/>
              <w:widowControl w:val="0"/>
            </w:pPr>
            <w:r>
              <w:rPr>
                <w:rFonts w:hint="eastAsia"/>
              </w:rPr>
              <w:t>自动/手动</w:t>
            </w:r>
          </w:p>
        </w:tc>
        <w:tc>
          <w:tcPr>
            <w:tcW w:w="1270" w:type="dxa"/>
            <w:shd w:val="clear" w:color="auto" w:fill="auto"/>
            <w:vAlign w:val="center"/>
          </w:tcPr>
          <w:p>
            <w:pPr>
              <w:pStyle w:val="76"/>
              <w:widowControl w:val="0"/>
            </w:pPr>
            <w:r>
              <w:rPr>
                <w:rFonts w:hint="eastAsia"/>
              </w:rPr>
              <w:t>精飞</w:t>
            </w:r>
          </w:p>
        </w:tc>
        <w:tc>
          <w:tcPr>
            <w:tcW w:w="2754" w:type="dxa"/>
            <w:shd w:val="clear" w:color="auto" w:fill="auto"/>
            <w:vAlign w:val="center"/>
          </w:tcPr>
          <w:p>
            <w:pPr>
              <w:pStyle w:val="76"/>
              <w:widowControl w:val="0"/>
            </w:pPr>
            <w:r>
              <w:rPr>
                <w:rFonts w:ascii="Times New Roman"/>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vMerge w:val="continue"/>
            <w:shd w:val="clear" w:color="auto" w:fill="auto"/>
            <w:vAlign w:val="center"/>
          </w:tcPr>
          <w:p>
            <w:pPr>
              <w:pStyle w:val="76"/>
              <w:widowControl w:val="0"/>
            </w:pP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hint="eastAsia"/>
              </w:rPr>
              <w:t>粗飞</w:t>
            </w:r>
          </w:p>
        </w:tc>
        <w:tc>
          <w:tcPr>
            <w:tcW w:w="2754" w:type="dxa"/>
            <w:shd w:val="clear" w:color="auto" w:fill="auto"/>
            <w:vAlign w:val="center"/>
          </w:tcPr>
          <w:p>
            <w:pPr>
              <w:pStyle w:val="76"/>
              <w:widowControl w:val="0"/>
            </w:pPr>
            <w:r>
              <w:rPr>
                <w:rFonts w:ascii="Times New Roman"/>
                <w:spacing w:val="-1"/>
              </w:rPr>
              <w:t>缺陷类型、位置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shd w:val="clear" w:color="auto" w:fill="auto"/>
            <w:vAlign w:val="center"/>
          </w:tcPr>
          <w:p>
            <w:pPr>
              <w:pStyle w:val="76"/>
              <w:widowControl w:val="0"/>
            </w:pPr>
            <w:r>
              <w:rPr>
                <w:rFonts w:hint="eastAsia"/>
              </w:rPr>
              <w:t>主梁</w:t>
            </w:r>
          </w:p>
        </w:tc>
        <w:tc>
          <w:tcPr>
            <w:tcW w:w="2510" w:type="dxa"/>
            <w:shd w:val="clear" w:color="auto" w:fill="auto"/>
            <w:vAlign w:val="center"/>
          </w:tcPr>
          <w:p>
            <w:pPr>
              <w:pStyle w:val="76"/>
              <w:widowControl w:val="0"/>
            </w:pPr>
            <w:r>
              <w:rPr>
                <w:rFonts w:hint="eastAsia" w:hAnsi="宋体" w:cs="宋体"/>
                <w:spacing w:val="-3"/>
              </w:rPr>
              <w:t>裂缝</w:t>
            </w:r>
          </w:p>
        </w:tc>
        <w:tc>
          <w:tcPr>
            <w:tcW w:w="1310" w:type="dxa"/>
            <w:vMerge w:val="restart"/>
            <w:shd w:val="clear" w:color="auto" w:fill="auto"/>
            <w:vAlign w:val="center"/>
          </w:tcPr>
          <w:p>
            <w:pPr>
              <w:pStyle w:val="76"/>
              <w:widowControl w:val="0"/>
            </w:pPr>
            <w:r>
              <w:rPr>
                <w:rFonts w:hint="eastAsia"/>
              </w:rPr>
              <w:t>手动</w:t>
            </w:r>
          </w:p>
        </w:tc>
        <w:tc>
          <w:tcPr>
            <w:tcW w:w="1270" w:type="dxa"/>
            <w:vMerge w:val="restart"/>
            <w:shd w:val="clear" w:color="auto" w:fill="auto"/>
            <w:vAlign w:val="center"/>
          </w:tcPr>
          <w:p>
            <w:pPr>
              <w:pStyle w:val="76"/>
              <w:widowControl w:val="0"/>
            </w:pPr>
            <w:r>
              <w:rPr>
                <w:rFonts w:hint="eastAsia"/>
              </w:rPr>
              <w:t>精飞</w:t>
            </w:r>
          </w:p>
        </w:tc>
        <w:tc>
          <w:tcPr>
            <w:tcW w:w="2754" w:type="dxa"/>
            <w:shd w:val="clear" w:color="auto" w:fill="auto"/>
            <w:vAlign w:val="center"/>
          </w:tcPr>
          <w:p>
            <w:pPr>
              <w:pStyle w:val="76"/>
              <w:widowControl w:val="0"/>
            </w:pPr>
            <w:r>
              <w:rPr>
                <w:rFonts w:ascii="Times New Roman"/>
                <w:spacing w:val="1"/>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2"/>
              </w:rPr>
              <w:t>蜂窝、麻面、剥落、露筋、空洞、</w:t>
            </w:r>
            <w:r>
              <w:rPr>
                <w:rFonts w:hint="eastAsia" w:hAnsi="宋体" w:cs="宋体"/>
                <w:spacing w:val="-6"/>
              </w:rPr>
              <w:t>孔洞、锈蚀</w:t>
            </w:r>
          </w:p>
        </w:tc>
        <w:tc>
          <w:tcPr>
            <w:tcW w:w="1310" w:type="dxa"/>
            <w:vMerge w:val="continue"/>
            <w:shd w:val="clear" w:color="auto" w:fill="auto"/>
            <w:vAlign w:val="center"/>
          </w:tcPr>
          <w:p>
            <w:pPr>
              <w:pStyle w:val="76"/>
              <w:widowControl w:val="0"/>
            </w:pPr>
          </w:p>
        </w:tc>
        <w:tc>
          <w:tcPr>
            <w:tcW w:w="1270" w:type="dxa"/>
            <w:vMerge w:val="continue"/>
            <w:shd w:val="clear" w:color="auto" w:fill="auto"/>
            <w:vAlign w:val="center"/>
          </w:tcPr>
          <w:p>
            <w:pPr>
              <w:pStyle w:val="76"/>
              <w:widowControl w:val="0"/>
            </w:pPr>
          </w:p>
        </w:tc>
        <w:tc>
          <w:tcPr>
            <w:tcW w:w="2754" w:type="dxa"/>
            <w:shd w:val="clear" w:color="auto" w:fill="auto"/>
            <w:vAlign w:val="center"/>
          </w:tcPr>
          <w:p>
            <w:pPr>
              <w:pStyle w:val="76"/>
              <w:widowControl w:val="0"/>
            </w:pPr>
            <w:r>
              <w:rPr>
                <w:rFonts w:ascii="Times New Roman"/>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2"/>
              </w:rPr>
              <w:t>裂缝、蜂窝、麻面、剥落、露筋、</w:t>
            </w:r>
            <w:r>
              <w:rPr>
                <w:rFonts w:hint="eastAsia" w:hAnsi="宋体" w:cs="宋体"/>
                <w:spacing w:val="-4"/>
              </w:rPr>
              <w:t>空洞、孔洞、锈蚀</w:t>
            </w: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hint="eastAsia"/>
              </w:rPr>
              <w:t>粗飞</w:t>
            </w:r>
          </w:p>
        </w:tc>
        <w:tc>
          <w:tcPr>
            <w:tcW w:w="2754" w:type="dxa"/>
            <w:shd w:val="clear" w:color="auto" w:fill="auto"/>
            <w:vAlign w:val="center"/>
          </w:tcPr>
          <w:p>
            <w:pPr>
              <w:pStyle w:val="76"/>
              <w:widowControl w:val="0"/>
            </w:pPr>
            <w:r>
              <w:rPr>
                <w:rFonts w:ascii="Times New Roman"/>
                <w:spacing w:val="-2"/>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restart"/>
            <w:shd w:val="clear" w:color="auto" w:fill="auto"/>
            <w:vAlign w:val="center"/>
          </w:tcPr>
          <w:p>
            <w:pPr>
              <w:pStyle w:val="76"/>
              <w:widowControl w:val="0"/>
            </w:pPr>
            <w:r>
              <w:rPr>
                <w:rFonts w:hint="eastAsia"/>
              </w:rPr>
              <w:t>支座</w:t>
            </w:r>
          </w:p>
        </w:tc>
        <w:tc>
          <w:tcPr>
            <w:tcW w:w="2510" w:type="dxa"/>
            <w:shd w:val="clear" w:color="auto" w:fill="auto"/>
            <w:vAlign w:val="center"/>
          </w:tcPr>
          <w:p>
            <w:pPr>
              <w:pStyle w:val="76"/>
              <w:widowControl w:val="0"/>
            </w:pPr>
            <w:r>
              <w:rPr>
                <w:rFonts w:hint="eastAsia" w:hAnsi="宋体" w:cs="宋体"/>
                <w:spacing w:val="-3"/>
              </w:rPr>
              <w:t>开裂</w:t>
            </w:r>
          </w:p>
        </w:tc>
        <w:tc>
          <w:tcPr>
            <w:tcW w:w="1310" w:type="dxa"/>
            <w:vMerge w:val="restart"/>
            <w:shd w:val="clear" w:color="auto" w:fill="auto"/>
            <w:vAlign w:val="center"/>
          </w:tcPr>
          <w:p>
            <w:pPr>
              <w:pStyle w:val="76"/>
              <w:widowControl w:val="0"/>
            </w:pPr>
            <w:r>
              <w:rPr>
                <w:rFonts w:ascii="Times New Roman"/>
                <w:spacing w:val="7"/>
              </w:rPr>
              <w:t>手动</w:t>
            </w:r>
          </w:p>
        </w:tc>
        <w:tc>
          <w:tcPr>
            <w:tcW w:w="1270" w:type="dxa"/>
            <w:vMerge w:val="restart"/>
            <w:shd w:val="clear" w:color="auto" w:fill="auto"/>
            <w:vAlign w:val="center"/>
          </w:tcPr>
          <w:p>
            <w:pPr>
              <w:pStyle w:val="76"/>
              <w:widowControl w:val="0"/>
            </w:pPr>
            <w:r>
              <w:rPr>
                <w:rFonts w:ascii="Times New Roman"/>
                <w:spacing w:val="6"/>
              </w:rPr>
              <w:t>精飞</w:t>
            </w:r>
          </w:p>
        </w:tc>
        <w:tc>
          <w:tcPr>
            <w:tcW w:w="2754" w:type="dxa"/>
            <w:shd w:val="clear" w:color="auto" w:fill="auto"/>
            <w:vAlign w:val="center"/>
          </w:tcPr>
          <w:p>
            <w:pPr>
              <w:pStyle w:val="76"/>
              <w:widowControl w:val="0"/>
            </w:pPr>
            <w:r>
              <w:rPr>
                <w:rFonts w:ascii="Times New Roman"/>
                <w:spacing w:val="1"/>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pPr>
            <w:r>
              <w:rPr>
                <w:rFonts w:hint="eastAsia" w:hAnsi="宋体" w:cs="宋体"/>
                <w:spacing w:val="-3"/>
              </w:rPr>
              <w:t>锈蚀</w:t>
            </w:r>
          </w:p>
        </w:tc>
        <w:tc>
          <w:tcPr>
            <w:tcW w:w="1310" w:type="dxa"/>
            <w:vMerge w:val="continue"/>
            <w:shd w:val="clear" w:color="auto" w:fill="auto"/>
            <w:vAlign w:val="center"/>
          </w:tcPr>
          <w:p>
            <w:pPr>
              <w:pStyle w:val="76"/>
              <w:widowControl w:val="0"/>
            </w:pPr>
          </w:p>
        </w:tc>
        <w:tc>
          <w:tcPr>
            <w:tcW w:w="1270" w:type="dxa"/>
            <w:vMerge w:val="continue"/>
            <w:shd w:val="clear" w:color="auto" w:fill="auto"/>
            <w:vAlign w:val="center"/>
          </w:tcPr>
          <w:p>
            <w:pPr>
              <w:pStyle w:val="76"/>
              <w:widowControl w:val="0"/>
            </w:pPr>
          </w:p>
        </w:tc>
        <w:tc>
          <w:tcPr>
            <w:tcW w:w="2754" w:type="dxa"/>
            <w:shd w:val="clear" w:color="auto" w:fill="auto"/>
            <w:vAlign w:val="center"/>
          </w:tcPr>
          <w:p>
            <w:pPr>
              <w:pStyle w:val="76"/>
              <w:widowControl w:val="0"/>
            </w:pPr>
            <w:r>
              <w:rPr>
                <w:rFonts w:ascii="Times New Roman"/>
                <w:spacing w:val="1"/>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90" w:type="dxa"/>
            <w:vMerge w:val="continue"/>
            <w:shd w:val="clear" w:color="auto" w:fill="auto"/>
            <w:vAlign w:val="center"/>
          </w:tcPr>
          <w:p>
            <w:pPr>
              <w:pStyle w:val="76"/>
              <w:widowControl w:val="0"/>
            </w:pPr>
          </w:p>
        </w:tc>
        <w:tc>
          <w:tcPr>
            <w:tcW w:w="2510" w:type="dxa"/>
            <w:shd w:val="clear" w:color="auto" w:fill="auto"/>
            <w:vAlign w:val="center"/>
          </w:tcPr>
          <w:p>
            <w:pPr>
              <w:pStyle w:val="76"/>
              <w:widowControl w:val="0"/>
              <w:rPr>
                <w:rFonts w:eastAsia="Times New Roman"/>
                <w:spacing w:val="-3"/>
              </w:rPr>
            </w:pPr>
            <w:r>
              <w:rPr>
                <w:rFonts w:hint="eastAsia" w:hAnsi="宋体" w:cs="宋体"/>
                <w:spacing w:val="-2"/>
              </w:rPr>
              <w:t>开裂、锈蚀</w:t>
            </w:r>
          </w:p>
        </w:tc>
        <w:tc>
          <w:tcPr>
            <w:tcW w:w="1310" w:type="dxa"/>
            <w:vMerge w:val="continue"/>
            <w:shd w:val="clear" w:color="auto" w:fill="auto"/>
            <w:vAlign w:val="center"/>
          </w:tcPr>
          <w:p>
            <w:pPr>
              <w:pStyle w:val="76"/>
              <w:widowControl w:val="0"/>
            </w:pPr>
          </w:p>
        </w:tc>
        <w:tc>
          <w:tcPr>
            <w:tcW w:w="1270" w:type="dxa"/>
            <w:shd w:val="clear" w:color="auto" w:fill="auto"/>
            <w:vAlign w:val="center"/>
          </w:tcPr>
          <w:p>
            <w:pPr>
              <w:pStyle w:val="76"/>
              <w:widowControl w:val="0"/>
            </w:pPr>
            <w:r>
              <w:rPr>
                <w:rFonts w:ascii="Times New Roman"/>
                <w:spacing w:val="6"/>
              </w:rPr>
              <w:t>粗飞</w:t>
            </w:r>
          </w:p>
        </w:tc>
        <w:tc>
          <w:tcPr>
            <w:tcW w:w="2754" w:type="dxa"/>
            <w:shd w:val="clear" w:color="auto" w:fill="auto"/>
            <w:vAlign w:val="center"/>
          </w:tcPr>
          <w:p>
            <w:pPr>
              <w:pStyle w:val="76"/>
              <w:widowControl w:val="0"/>
            </w:pPr>
            <w:r>
              <w:rPr>
                <w:rFonts w:ascii="Times New Roman"/>
                <w:spacing w:val="-2"/>
              </w:rPr>
              <w:t>类型、位置</w:t>
            </w:r>
          </w:p>
        </w:tc>
      </w:tr>
    </w:tbl>
    <w:p>
      <w:pPr>
        <w:pStyle w:val="73"/>
        <w:numPr>
          <w:ilvl w:val="1"/>
          <w:numId w:val="0"/>
        </w:numPr>
        <w:bidi w:val="0"/>
        <w:ind w:leftChars="0"/>
        <w:rPr>
          <w:rFonts w:hint="eastAsia"/>
        </w:rPr>
      </w:pPr>
      <w:r>
        <w:rPr>
          <w:rFonts w:hint="eastAsia"/>
          <w:lang w:val="en-US" w:eastAsia="zh-CN"/>
        </w:rPr>
        <w:t>B.2  桥面系</w:t>
      </w:r>
      <w:r>
        <w:rPr>
          <w:rFonts w:hint="eastAsia"/>
        </w:rPr>
        <w:t>巡检内容</w:t>
      </w:r>
    </w:p>
    <w:p>
      <w:pPr>
        <w:pStyle w:val="51"/>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pPr>
      <w:r>
        <w:rPr>
          <w:rFonts w:hint="eastAsia"/>
        </w:rPr>
        <w:t>桥面系巡检内容见表B.2</w:t>
      </w:r>
    </w:p>
    <w:p>
      <w:pPr>
        <w:pStyle w:val="60"/>
        <w:numPr>
          <w:ilvl w:val="0"/>
          <w:numId w:val="0"/>
        </w:numPr>
      </w:pPr>
      <w:r>
        <w:rPr>
          <w:rFonts w:hint="eastAsia"/>
        </w:rPr>
        <w:t>表B.2  桥面系巡检内容</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866"/>
        <w:gridCol w:w="1867"/>
        <w:gridCol w:w="1360"/>
        <w:gridCol w:w="1560"/>
        <w:gridCol w:w="2681"/>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1866" w:type="dxa"/>
            <w:tcBorders>
              <w:bottom w:val="single" w:color="auto" w:sz="8" w:space="0"/>
            </w:tcBorders>
            <w:shd w:val="clear" w:color="auto" w:fill="auto"/>
            <w:vAlign w:val="center"/>
          </w:tcPr>
          <w:p>
            <w:pPr>
              <w:pStyle w:val="76"/>
              <w:widowControl w:val="0"/>
            </w:pPr>
            <w:r>
              <w:rPr>
                <w:rFonts w:hint="eastAsia"/>
              </w:rPr>
              <w:t>巡检结构</w:t>
            </w:r>
          </w:p>
        </w:tc>
        <w:tc>
          <w:tcPr>
            <w:tcW w:w="1867" w:type="dxa"/>
            <w:tcBorders>
              <w:bottom w:val="single" w:color="auto" w:sz="8" w:space="0"/>
            </w:tcBorders>
            <w:shd w:val="clear" w:color="auto" w:fill="auto"/>
            <w:vAlign w:val="center"/>
          </w:tcPr>
          <w:p>
            <w:pPr>
              <w:pStyle w:val="76"/>
              <w:widowControl w:val="0"/>
            </w:pPr>
            <w:r>
              <w:rPr>
                <w:rFonts w:hint="eastAsia"/>
              </w:rPr>
              <w:t>内容</w:t>
            </w:r>
          </w:p>
        </w:tc>
        <w:tc>
          <w:tcPr>
            <w:tcW w:w="1360" w:type="dxa"/>
            <w:tcBorders>
              <w:bottom w:val="single" w:color="auto" w:sz="8" w:space="0"/>
            </w:tcBorders>
            <w:shd w:val="clear" w:color="auto" w:fill="auto"/>
            <w:vAlign w:val="center"/>
          </w:tcPr>
          <w:p>
            <w:pPr>
              <w:pStyle w:val="76"/>
              <w:widowControl w:val="0"/>
            </w:pPr>
            <w:r>
              <w:rPr>
                <w:rFonts w:hint="eastAsia"/>
              </w:rPr>
              <w:t>方式</w:t>
            </w:r>
          </w:p>
        </w:tc>
        <w:tc>
          <w:tcPr>
            <w:tcW w:w="1560" w:type="dxa"/>
            <w:tcBorders>
              <w:bottom w:val="single" w:color="auto" w:sz="8" w:space="0"/>
            </w:tcBorders>
            <w:shd w:val="clear" w:color="auto" w:fill="auto"/>
            <w:vAlign w:val="center"/>
          </w:tcPr>
          <w:p>
            <w:pPr>
              <w:pStyle w:val="76"/>
              <w:widowControl w:val="0"/>
            </w:pPr>
            <w:r>
              <w:rPr>
                <w:rFonts w:hint="eastAsia"/>
              </w:rPr>
              <w:t>方法</w:t>
            </w:r>
          </w:p>
        </w:tc>
        <w:tc>
          <w:tcPr>
            <w:tcW w:w="2681" w:type="dxa"/>
            <w:tcBorders>
              <w:bottom w:val="single" w:color="auto" w:sz="8" w:space="0"/>
            </w:tcBorders>
            <w:shd w:val="clear" w:color="auto" w:fill="auto"/>
            <w:vAlign w:val="center"/>
          </w:tcPr>
          <w:p>
            <w:pPr>
              <w:pStyle w:val="76"/>
              <w:widowControl w:val="0"/>
            </w:pPr>
            <w:r>
              <w:rPr>
                <w:rFonts w:hint="eastAsia"/>
              </w:rPr>
              <w:t>缺陷监测信息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restart"/>
            <w:tcBorders>
              <w:top w:val="single" w:color="auto" w:sz="8" w:space="0"/>
            </w:tcBorders>
            <w:shd w:val="clear" w:color="auto" w:fill="auto"/>
            <w:vAlign w:val="center"/>
          </w:tcPr>
          <w:p>
            <w:pPr>
              <w:pStyle w:val="76"/>
              <w:widowControl w:val="0"/>
            </w:pPr>
            <w:r>
              <w:rPr>
                <w:rFonts w:hint="eastAsia"/>
              </w:rPr>
              <w:t>桥面铺装</w:t>
            </w:r>
          </w:p>
        </w:tc>
        <w:tc>
          <w:tcPr>
            <w:tcW w:w="1867" w:type="dxa"/>
            <w:tcBorders>
              <w:top w:val="single" w:color="auto" w:sz="8" w:space="0"/>
            </w:tcBorders>
            <w:shd w:val="clear" w:color="auto" w:fill="auto"/>
            <w:vAlign w:val="center"/>
          </w:tcPr>
          <w:p>
            <w:pPr>
              <w:pStyle w:val="76"/>
              <w:widowControl w:val="0"/>
            </w:pPr>
            <w:r>
              <w:rPr>
                <w:rFonts w:hint="eastAsia"/>
              </w:rPr>
              <w:t>裂缝</w:t>
            </w:r>
          </w:p>
        </w:tc>
        <w:tc>
          <w:tcPr>
            <w:tcW w:w="1360" w:type="dxa"/>
            <w:vMerge w:val="restart"/>
            <w:tcBorders>
              <w:top w:val="single" w:color="auto" w:sz="8" w:space="0"/>
            </w:tcBorders>
            <w:shd w:val="clear" w:color="auto" w:fill="auto"/>
            <w:vAlign w:val="center"/>
          </w:tcPr>
          <w:p>
            <w:pPr>
              <w:pStyle w:val="76"/>
              <w:widowControl w:val="0"/>
            </w:pPr>
            <w:r>
              <w:rPr>
                <w:rFonts w:hint="eastAsia"/>
              </w:rPr>
              <w:t>自动/手动</w:t>
            </w:r>
          </w:p>
        </w:tc>
        <w:tc>
          <w:tcPr>
            <w:tcW w:w="1560" w:type="dxa"/>
            <w:vMerge w:val="restart"/>
            <w:tcBorders>
              <w:top w:val="single" w:color="auto" w:sz="8" w:space="0"/>
            </w:tcBorders>
            <w:shd w:val="clear" w:color="auto" w:fill="auto"/>
            <w:vAlign w:val="center"/>
          </w:tcPr>
          <w:p>
            <w:pPr>
              <w:pStyle w:val="76"/>
              <w:widowControl w:val="0"/>
            </w:pPr>
            <w:r>
              <w:rPr>
                <w:rFonts w:hint="eastAsia"/>
              </w:rPr>
              <w:t>精飞</w:t>
            </w:r>
          </w:p>
        </w:tc>
        <w:tc>
          <w:tcPr>
            <w:tcW w:w="2681" w:type="dxa"/>
            <w:tcBorders>
              <w:top w:val="single" w:color="auto" w:sz="8" w:space="0"/>
            </w:tcBorders>
            <w:shd w:val="clear" w:color="auto" w:fill="auto"/>
            <w:vAlign w:val="center"/>
          </w:tcPr>
          <w:p>
            <w:pPr>
              <w:pStyle w:val="76"/>
              <w:widowControl w:val="0"/>
            </w:pPr>
            <w:r>
              <w:rPr>
                <w:rFonts w:hint="eastAsia"/>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continue"/>
            <w:shd w:val="clear" w:color="auto" w:fill="auto"/>
            <w:vAlign w:val="center"/>
          </w:tcPr>
          <w:p>
            <w:pPr>
              <w:pStyle w:val="76"/>
              <w:widowControl w:val="0"/>
            </w:pPr>
          </w:p>
        </w:tc>
        <w:tc>
          <w:tcPr>
            <w:tcW w:w="1867" w:type="dxa"/>
            <w:shd w:val="clear" w:color="auto" w:fill="auto"/>
            <w:vAlign w:val="center"/>
          </w:tcPr>
          <w:p>
            <w:pPr>
              <w:pStyle w:val="76"/>
              <w:widowControl w:val="0"/>
            </w:pPr>
            <w:r>
              <w:rPr>
                <w:rFonts w:hint="eastAsia"/>
              </w:rPr>
              <w:t>破损、坑洞、凹凸不平</w:t>
            </w:r>
          </w:p>
        </w:tc>
        <w:tc>
          <w:tcPr>
            <w:tcW w:w="1360" w:type="dxa"/>
            <w:vMerge w:val="continue"/>
            <w:shd w:val="clear" w:color="auto" w:fill="auto"/>
            <w:vAlign w:val="center"/>
          </w:tcPr>
          <w:p>
            <w:pPr>
              <w:pStyle w:val="76"/>
              <w:widowControl w:val="0"/>
            </w:pPr>
          </w:p>
        </w:tc>
        <w:tc>
          <w:tcPr>
            <w:tcW w:w="1560" w:type="dxa"/>
            <w:vMerge w:val="continue"/>
            <w:shd w:val="clear" w:color="auto" w:fill="auto"/>
            <w:vAlign w:val="center"/>
          </w:tcPr>
          <w:p>
            <w:pPr>
              <w:pStyle w:val="76"/>
              <w:widowControl w:val="0"/>
            </w:pPr>
          </w:p>
        </w:tc>
        <w:tc>
          <w:tcPr>
            <w:tcW w:w="2681" w:type="dxa"/>
            <w:shd w:val="clear" w:color="auto" w:fill="auto"/>
            <w:vAlign w:val="center"/>
          </w:tcPr>
          <w:p>
            <w:pPr>
              <w:pStyle w:val="76"/>
              <w:widowControl w:val="0"/>
            </w:pPr>
            <w:r>
              <w:rPr>
                <w:rFonts w:hint="eastAsia"/>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866" w:type="dxa"/>
            <w:vMerge w:val="continue"/>
            <w:shd w:val="clear" w:color="auto" w:fill="auto"/>
            <w:vAlign w:val="center"/>
          </w:tcPr>
          <w:p>
            <w:pPr>
              <w:pStyle w:val="76"/>
              <w:widowControl w:val="0"/>
            </w:pPr>
          </w:p>
        </w:tc>
        <w:tc>
          <w:tcPr>
            <w:tcW w:w="1867" w:type="dxa"/>
            <w:shd w:val="clear" w:color="auto" w:fill="auto"/>
            <w:vAlign w:val="center"/>
          </w:tcPr>
          <w:p>
            <w:pPr>
              <w:pStyle w:val="76"/>
              <w:widowControl w:val="0"/>
            </w:pPr>
            <w:r>
              <w:rPr>
                <w:rFonts w:hint="eastAsia"/>
              </w:rPr>
              <w:t>裂缝、破损、坑洞、凹凸不平</w:t>
            </w:r>
          </w:p>
        </w:tc>
        <w:tc>
          <w:tcPr>
            <w:tcW w:w="1360" w:type="dxa"/>
            <w:vMerge w:val="continue"/>
            <w:shd w:val="clear" w:color="auto" w:fill="auto"/>
            <w:vAlign w:val="center"/>
          </w:tcPr>
          <w:p>
            <w:pPr>
              <w:pStyle w:val="76"/>
              <w:widowControl w:val="0"/>
            </w:pPr>
          </w:p>
        </w:tc>
        <w:tc>
          <w:tcPr>
            <w:tcW w:w="1560" w:type="dxa"/>
            <w:shd w:val="clear" w:color="auto" w:fill="auto"/>
            <w:vAlign w:val="center"/>
          </w:tcPr>
          <w:p>
            <w:pPr>
              <w:pStyle w:val="76"/>
              <w:widowControl w:val="0"/>
            </w:pPr>
            <w:r>
              <w:rPr>
                <w:rFonts w:hint="eastAsia"/>
              </w:rPr>
              <w:t>粗飞</w:t>
            </w:r>
          </w:p>
        </w:tc>
        <w:tc>
          <w:tcPr>
            <w:tcW w:w="2681" w:type="dxa"/>
            <w:shd w:val="clear" w:color="auto" w:fill="auto"/>
            <w:vAlign w:val="center"/>
          </w:tcPr>
          <w:p>
            <w:pPr>
              <w:pStyle w:val="76"/>
              <w:widowControl w:val="0"/>
            </w:pPr>
            <w:r>
              <w:rPr>
                <w:rFonts w:hint="eastAsia"/>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restart"/>
            <w:shd w:val="clear" w:color="auto" w:fill="auto"/>
            <w:vAlign w:val="center"/>
          </w:tcPr>
          <w:p>
            <w:pPr>
              <w:pStyle w:val="76"/>
              <w:widowControl w:val="0"/>
            </w:pPr>
            <w:r>
              <w:rPr>
                <w:rFonts w:hint="eastAsia"/>
              </w:rPr>
              <w:t>伸缩缝</w:t>
            </w:r>
          </w:p>
        </w:tc>
        <w:tc>
          <w:tcPr>
            <w:tcW w:w="1867" w:type="dxa"/>
            <w:vMerge w:val="restart"/>
            <w:shd w:val="clear" w:color="auto" w:fill="auto"/>
            <w:vAlign w:val="center"/>
          </w:tcPr>
          <w:p>
            <w:pPr>
              <w:pStyle w:val="76"/>
              <w:widowControl w:val="0"/>
            </w:pPr>
            <w:r>
              <w:rPr>
                <w:rFonts w:hint="eastAsia"/>
              </w:rPr>
              <w:t>错台、堵塞、渗水、破损</w:t>
            </w:r>
          </w:p>
        </w:tc>
        <w:tc>
          <w:tcPr>
            <w:tcW w:w="1360" w:type="dxa"/>
            <w:vMerge w:val="continue"/>
            <w:shd w:val="clear" w:color="auto" w:fill="auto"/>
            <w:vAlign w:val="center"/>
          </w:tcPr>
          <w:p>
            <w:pPr>
              <w:pStyle w:val="76"/>
              <w:widowControl w:val="0"/>
            </w:pPr>
          </w:p>
        </w:tc>
        <w:tc>
          <w:tcPr>
            <w:tcW w:w="1560" w:type="dxa"/>
            <w:shd w:val="clear" w:color="auto" w:fill="auto"/>
            <w:vAlign w:val="center"/>
          </w:tcPr>
          <w:p>
            <w:pPr>
              <w:pStyle w:val="76"/>
              <w:widowControl w:val="0"/>
            </w:pPr>
            <w:r>
              <w:rPr>
                <w:rFonts w:hint="eastAsia"/>
              </w:rPr>
              <w:t>精飞</w:t>
            </w:r>
          </w:p>
        </w:tc>
        <w:tc>
          <w:tcPr>
            <w:tcW w:w="2681" w:type="dxa"/>
            <w:shd w:val="clear" w:color="auto" w:fill="auto"/>
            <w:vAlign w:val="center"/>
          </w:tcPr>
          <w:p>
            <w:pPr>
              <w:pStyle w:val="76"/>
              <w:widowControl w:val="0"/>
            </w:pPr>
            <w:r>
              <w:rPr>
                <w:rFonts w:hint="eastAsia"/>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jc w:val="center"/>
        </w:trPr>
        <w:tc>
          <w:tcPr>
            <w:tcW w:w="1866" w:type="dxa"/>
            <w:vMerge w:val="continue"/>
            <w:shd w:val="clear" w:color="auto" w:fill="auto"/>
            <w:vAlign w:val="center"/>
          </w:tcPr>
          <w:p>
            <w:pPr>
              <w:pStyle w:val="76"/>
              <w:widowControl w:val="0"/>
            </w:pPr>
          </w:p>
        </w:tc>
        <w:tc>
          <w:tcPr>
            <w:tcW w:w="1867" w:type="dxa"/>
            <w:vMerge w:val="continue"/>
            <w:shd w:val="clear" w:color="auto" w:fill="auto"/>
            <w:vAlign w:val="center"/>
          </w:tcPr>
          <w:p>
            <w:pPr>
              <w:pStyle w:val="76"/>
              <w:widowControl w:val="0"/>
            </w:pPr>
          </w:p>
        </w:tc>
        <w:tc>
          <w:tcPr>
            <w:tcW w:w="1360" w:type="dxa"/>
            <w:vMerge w:val="continue"/>
            <w:shd w:val="clear" w:color="auto" w:fill="auto"/>
            <w:vAlign w:val="center"/>
          </w:tcPr>
          <w:p>
            <w:pPr>
              <w:pStyle w:val="76"/>
              <w:widowControl w:val="0"/>
            </w:pPr>
          </w:p>
        </w:tc>
        <w:tc>
          <w:tcPr>
            <w:tcW w:w="1560" w:type="dxa"/>
            <w:shd w:val="clear" w:color="auto" w:fill="auto"/>
            <w:vAlign w:val="center"/>
          </w:tcPr>
          <w:p>
            <w:pPr>
              <w:pStyle w:val="76"/>
              <w:widowControl w:val="0"/>
            </w:pPr>
            <w:r>
              <w:rPr>
                <w:rFonts w:hint="eastAsia"/>
              </w:rPr>
              <w:t>粗飞</w:t>
            </w:r>
          </w:p>
        </w:tc>
        <w:tc>
          <w:tcPr>
            <w:tcW w:w="2681" w:type="dxa"/>
            <w:shd w:val="clear" w:color="auto" w:fill="auto"/>
            <w:vAlign w:val="center"/>
          </w:tcPr>
          <w:p>
            <w:pPr>
              <w:pStyle w:val="76"/>
              <w:widowControl w:val="0"/>
            </w:pPr>
            <w:r>
              <w:rPr>
                <w:rFonts w:hint="eastAsia"/>
              </w:rPr>
              <w:t>类型、位置</w:t>
            </w:r>
          </w:p>
        </w:tc>
      </w:tr>
    </w:tbl>
    <w:p>
      <w:pPr>
        <w:pStyle w:val="51"/>
        <w:ind w:firstLine="0" w:firstLineChars="0"/>
      </w:pPr>
    </w:p>
    <w:p>
      <w:pPr>
        <w:pStyle w:val="73"/>
        <w:numPr>
          <w:ilvl w:val="1"/>
          <w:numId w:val="0"/>
        </w:numPr>
        <w:bidi w:val="0"/>
        <w:ind w:leftChars="0"/>
        <w:rPr>
          <w:rFonts w:hint="eastAsia"/>
        </w:rPr>
      </w:pPr>
      <w:r>
        <w:rPr>
          <w:rFonts w:hint="eastAsia"/>
          <w:lang w:val="en-US" w:eastAsia="zh-CN"/>
        </w:rPr>
        <w:t>B.3  下</w:t>
      </w:r>
      <w:r>
        <w:rPr>
          <w:rFonts w:hint="eastAsia"/>
        </w:rPr>
        <w:t>部结构巡检内容</w:t>
      </w:r>
    </w:p>
    <w:p>
      <w:pPr>
        <w:pStyle w:val="51"/>
        <w:keepNext w:val="0"/>
        <w:keepLines w:val="0"/>
        <w:pageBreakBefore w:val="0"/>
        <w:widowControl/>
        <w:kinsoku/>
        <w:wordWrap/>
        <w:overflowPunct/>
        <w:topLinePunct w:val="0"/>
        <w:autoSpaceDE w:val="0"/>
        <w:autoSpaceDN w:val="0"/>
        <w:bidi w:val="0"/>
        <w:adjustRightInd/>
        <w:snapToGrid/>
        <w:spacing w:before="157" w:beforeLines="50" w:after="157" w:afterLines="50"/>
        <w:textAlignment w:val="auto"/>
      </w:pPr>
      <w:r>
        <w:rPr>
          <w:rFonts w:hint="eastAsia"/>
        </w:rPr>
        <w:t>下部结构巡检内容及要求见表B.3</w:t>
      </w:r>
    </w:p>
    <w:tbl>
      <w:tblPr>
        <w:tblStyle w:val="21"/>
        <w:tblpPr w:leftFromText="180" w:rightFromText="180" w:vertAnchor="text" w:horzAnchor="page" w:tblpX="1146" w:tblpY="469"/>
        <w:tblOverlap w:val="never"/>
        <w:tblW w:w="0" w:type="auto"/>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266"/>
        <w:gridCol w:w="3402"/>
        <w:gridCol w:w="932"/>
        <w:gridCol w:w="911"/>
        <w:gridCol w:w="2823"/>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blHeader/>
        </w:trPr>
        <w:tc>
          <w:tcPr>
            <w:tcW w:w="1266" w:type="dxa"/>
            <w:tcBorders>
              <w:bottom w:val="single" w:color="auto" w:sz="8" w:space="0"/>
            </w:tcBorders>
            <w:shd w:val="clear" w:color="auto" w:fill="auto"/>
            <w:vAlign w:val="center"/>
          </w:tcPr>
          <w:p>
            <w:pPr>
              <w:pStyle w:val="76"/>
              <w:widowControl w:val="0"/>
            </w:pPr>
            <w:r>
              <w:rPr>
                <w:rFonts w:hint="eastAsia"/>
              </w:rPr>
              <w:t>巡检结构</w:t>
            </w:r>
          </w:p>
        </w:tc>
        <w:tc>
          <w:tcPr>
            <w:tcW w:w="3402" w:type="dxa"/>
            <w:tcBorders>
              <w:bottom w:val="single" w:color="auto" w:sz="8" w:space="0"/>
            </w:tcBorders>
            <w:shd w:val="clear" w:color="auto" w:fill="auto"/>
            <w:vAlign w:val="center"/>
          </w:tcPr>
          <w:p>
            <w:pPr>
              <w:pStyle w:val="76"/>
              <w:widowControl w:val="0"/>
            </w:pPr>
            <w:r>
              <w:rPr>
                <w:rFonts w:hint="eastAsia"/>
              </w:rPr>
              <w:t>内容</w:t>
            </w:r>
          </w:p>
        </w:tc>
        <w:tc>
          <w:tcPr>
            <w:tcW w:w="932" w:type="dxa"/>
            <w:tcBorders>
              <w:bottom w:val="single" w:color="auto" w:sz="8" w:space="0"/>
            </w:tcBorders>
            <w:shd w:val="clear" w:color="auto" w:fill="auto"/>
            <w:vAlign w:val="center"/>
          </w:tcPr>
          <w:p>
            <w:pPr>
              <w:pStyle w:val="76"/>
              <w:widowControl w:val="0"/>
            </w:pPr>
            <w:r>
              <w:rPr>
                <w:rFonts w:hint="eastAsia"/>
              </w:rPr>
              <w:t>方式</w:t>
            </w:r>
          </w:p>
        </w:tc>
        <w:tc>
          <w:tcPr>
            <w:tcW w:w="911" w:type="dxa"/>
            <w:tcBorders>
              <w:bottom w:val="single" w:color="auto" w:sz="8" w:space="0"/>
            </w:tcBorders>
            <w:shd w:val="clear" w:color="auto" w:fill="auto"/>
            <w:vAlign w:val="center"/>
          </w:tcPr>
          <w:p>
            <w:pPr>
              <w:pStyle w:val="76"/>
              <w:widowControl w:val="0"/>
            </w:pPr>
            <w:r>
              <w:rPr>
                <w:rFonts w:hint="eastAsia"/>
              </w:rPr>
              <w:t>方法</w:t>
            </w:r>
          </w:p>
        </w:tc>
        <w:tc>
          <w:tcPr>
            <w:tcW w:w="2823" w:type="dxa"/>
            <w:tcBorders>
              <w:bottom w:val="single" w:color="auto" w:sz="8" w:space="0"/>
            </w:tcBorders>
            <w:shd w:val="clear" w:color="auto" w:fill="auto"/>
            <w:vAlign w:val="center"/>
          </w:tcPr>
          <w:p>
            <w:pPr>
              <w:pStyle w:val="76"/>
              <w:widowControl w:val="0"/>
            </w:pPr>
            <w:r>
              <w:rPr>
                <w:rFonts w:hint="eastAsia"/>
              </w:rPr>
              <w:t>缺陷监测信息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restart"/>
            <w:tcBorders>
              <w:top w:val="single" w:color="auto" w:sz="8" w:space="0"/>
            </w:tcBorders>
            <w:shd w:val="clear" w:color="auto" w:fill="auto"/>
            <w:vAlign w:val="center"/>
          </w:tcPr>
          <w:p>
            <w:pPr>
              <w:pStyle w:val="76"/>
              <w:widowControl w:val="0"/>
            </w:pPr>
            <w:r>
              <w:rPr>
                <w:rFonts w:hint="eastAsia"/>
              </w:rPr>
              <w:t>桥墩</w:t>
            </w:r>
          </w:p>
        </w:tc>
        <w:tc>
          <w:tcPr>
            <w:tcW w:w="3402" w:type="dxa"/>
            <w:tcBorders>
              <w:top w:val="single" w:color="auto" w:sz="8" w:space="0"/>
            </w:tcBorders>
            <w:shd w:val="clear" w:color="auto" w:fill="auto"/>
            <w:vAlign w:val="center"/>
          </w:tcPr>
          <w:p>
            <w:pPr>
              <w:pStyle w:val="76"/>
              <w:widowControl w:val="0"/>
            </w:pPr>
            <w:r>
              <w:rPr>
                <w:rFonts w:hint="eastAsia"/>
              </w:rPr>
              <w:t>裂缝</w:t>
            </w:r>
          </w:p>
        </w:tc>
        <w:tc>
          <w:tcPr>
            <w:tcW w:w="932" w:type="dxa"/>
            <w:vMerge w:val="restart"/>
            <w:tcBorders>
              <w:top w:val="single" w:color="auto" w:sz="8" w:space="0"/>
            </w:tcBorders>
            <w:shd w:val="clear" w:color="auto" w:fill="auto"/>
            <w:vAlign w:val="center"/>
          </w:tcPr>
          <w:p>
            <w:pPr>
              <w:pStyle w:val="76"/>
              <w:widowControl w:val="0"/>
            </w:pPr>
            <w:r>
              <w:rPr>
                <w:rFonts w:hint="eastAsia" w:hAnsi="宋体"/>
              </w:rPr>
              <w:t>手动</w:t>
            </w:r>
          </w:p>
          <w:p>
            <w:pPr>
              <w:pStyle w:val="76"/>
              <w:widowControl w:val="0"/>
            </w:pPr>
          </w:p>
        </w:tc>
        <w:tc>
          <w:tcPr>
            <w:tcW w:w="911" w:type="dxa"/>
            <w:vMerge w:val="restart"/>
            <w:tcBorders>
              <w:top w:val="single" w:color="auto" w:sz="8" w:space="0"/>
            </w:tcBorders>
            <w:shd w:val="clear" w:color="auto" w:fill="auto"/>
            <w:vAlign w:val="center"/>
          </w:tcPr>
          <w:p>
            <w:pPr>
              <w:pStyle w:val="76"/>
              <w:widowControl w:val="0"/>
            </w:pPr>
            <w:r>
              <w:rPr>
                <w:rFonts w:hint="eastAsia" w:hAnsi="宋体"/>
              </w:rPr>
              <w:t>精飞</w:t>
            </w:r>
          </w:p>
          <w:p>
            <w:pPr>
              <w:pStyle w:val="76"/>
              <w:widowControl w:val="0"/>
            </w:pPr>
          </w:p>
        </w:tc>
        <w:tc>
          <w:tcPr>
            <w:tcW w:w="2823" w:type="dxa"/>
            <w:tcBorders>
              <w:top w:val="single" w:color="auto" w:sz="8" w:space="0"/>
            </w:tcBorders>
            <w:shd w:val="clear" w:color="auto" w:fill="auto"/>
            <w:vAlign w:val="center"/>
          </w:tcPr>
          <w:p>
            <w:pPr>
              <w:pStyle w:val="76"/>
              <w:widowControl w:val="0"/>
            </w:pPr>
            <w:r>
              <w:rPr>
                <w:rFonts w:hint="eastAsia" w:hAnsi="宋体"/>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蜂窝、麻面、剥落、露筋、空洞、孔洞、钢筋锈蚀</w:t>
            </w:r>
          </w:p>
        </w:tc>
        <w:tc>
          <w:tcPr>
            <w:tcW w:w="932" w:type="dxa"/>
            <w:vMerge w:val="continue"/>
            <w:shd w:val="clear" w:color="auto" w:fill="auto"/>
            <w:vAlign w:val="center"/>
          </w:tcPr>
          <w:p>
            <w:pPr>
              <w:pStyle w:val="76"/>
              <w:widowControl w:val="0"/>
            </w:pPr>
          </w:p>
        </w:tc>
        <w:tc>
          <w:tcPr>
            <w:tcW w:w="911" w:type="dxa"/>
            <w:vMerge w:val="continue"/>
            <w:shd w:val="clear" w:color="auto" w:fill="auto"/>
            <w:vAlign w:val="center"/>
          </w:tcPr>
          <w:p>
            <w:pPr>
              <w:pStyle w:val="76"/>
              <w:widowControl w:val="0"/>
            </w:pPr>
          </w:p>
        </w:tc>
        <w:tc>
          <w:tcPr>
            <w:tcW w:w="2823" w:type="dxa"/>
            <w:shd w:val="clear" w:color="auto" w:fill="auto"/>
            <w:vAlign w:val="center"/>
          </w:tcPr>
          <w:p>
            <w:pPr>
              <w:pStyle w:val="76"/>
              <w:widowControl w:val="0"/>
            </w:pPr>
            <w:r>
              <w:rPr>
                <w:rFonts w:hint="eastAsia" w:hAnsi="宋体"/>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裂缝、蜂窝、麻面、剥落、露筋、空洞、孔洞、钢筋锈蚀</w:t>
            </w:r>
          </w:p>
        </w:tc>
        <w:tc>
          <w:tcPr>
            <w:tcW w:w="932" w:type="dxa"/>
            <w:vMerge w:val="continue"/>
            <w:shd w:val="clear" w:color="auto" w:fill="auto"/>
            <w:vAlign w:val="center"/>
          </w:tcPr>
          <w:p>
            <w:pPr>
              <w:pStyle w:val="76"/>
              <w:widowControl w:val="0"/>
            </w:pPr>
          </w:p>
        </w:tc>
        <w:tc>
          <w:tcPr>
            <w:tcW w:w="911" w:type="dxa"/>
            <w:shd w:val="clear" w:color="auto" w:fill="auto"/>
            <w:vAlign w:val="center"/>
          </w:tcPr>
          <w:p>
            <w:pPr>
              <w:pStyle w:val="76"/>
              <w:widowControl w:val="0"/>
            </w:pPr>
            <w:r>
              <w:rPr>
                <w:rFonts w:hint="eastAsia" w:hAnsi="宋体"/>
              </w:rPr>
              <w:t>粗飞</w:t>
            </w:r>
          </w:p>
        </w:tc>
        <w:tc>
          <w:tcPr>
            <w:tcW w:w="2823" w:type="dxa"/>
            <w:shd w:val="clear" w:color="auto" w:fill="auto"/>
            <w:vAlign w:val="center"/>
          </w:tcPr>
          <w:p>
            <w:pPr>
              <w:pStyle w:val="76"/>
              <w:widowControl w:val="0"/>
            </w:pPr>
            <w:r>
              <w:rPr>
                <w:rFonts w:hint="eastAsia" w:hAnsi="宋体"/>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restart"/>
            <w:shd w:val="clear" w:color="auto" w:fill="auto"/>
            <w:vAlign w:val="center"/>
          </w:tcPr>
          <w:p>
            <w:pPr>
              <w:pStyle w:val="76"/>
              <w:widowControl w:val="0"/>
            </w:pPr>
            <w:r>
              <w:rPr>
                <w:rFonts w:hint="eastAsia" w:hAnsi="宋体"/>
              </w:rPr>
              <w:t>桥台</w:t>
            </w:r>
          </w:p>
        </w:tc>
        <w:tc>
          <w:tcPr>
            <w:tcW w:w="3402" w:type="dxa"/>
            <w:shd w:val="clear" w:color="auto" w:fill="auto"/>
            <w:vAlign w:val="center"/>
          </w:tcPr>
          <w:p>
            <w:pPr>
              <w:pStyle w:val="76"/>
              <w:widowControl w:val="0"/>
            </w:pPr>
            <w:r>
              <w:rPr>
                <w:rFonts w:hint="eastAsia"/>
              </w:rPr>
              <w:t>裂缝</w:t>
            </w:r>
          </w:p>
        </w:tc>
        <w:tc>
          <w:tcPr>
            <w:tcW w:w="932" w:type="dxa"/>
            <w:vMerge w:val="restart"/>
            <w:shd w:val="clear" w:color="auto" w:fill="auto"/>
            <w:vAlign w:val="center"/>
          </w:tcPr>
          <w:p>
            <w:pPr>
              <w:pStyle w:val="76"/>
              <w:widowControl w:val="0"/>
            </w:pPr>
            <w:r>
              <w:rPr>
                <w:rFonts w:hint="eastAsia" w:hAnsi="宋体"/>
              </w:rPr>
              <w:t>手动</w:t>
            </w:r>
          </w:p>
          <w:p>
            <w:pPr>
              <w:pStyle w:val="76"/>
              <w:widowControl w:val="0"/>
            </w:pPr>
          </w:p>
        </w:tc>
        <w:tc>
          <w:tcPr>
            <w:tcW w:w="911" w:type="dxa"/>
            <w:vMerge w:val="restart"/>
            <w:shd w:val="clear" w:color="auto" w:fill="auto"/>
            <w:vAlign w:val="center"/>
          </w:tcPr>
          <w:p>
            <w:pPr>
              <w:pStyle w:val="76"/>
              <w:widowControl w:val="0"/>
            </w:pPr>
            <w:r>
              <w:rPr>
                <w:rFonts w:hint="eastAsia" w:hAnsi="宋体"/>
              </w:rPr>
              <w:t>精飞</w:t>
            </w:r>
          </w:p>
          <w:p>
            <w:pPr>
              <w:pStyle w:val="76"/>
              <w:widowControl w:val="0"/>
            </w:pPr>
          </w:p>
        </w:tc>
        <w:tc>
          <w:tcPr>
            <w:tcW w:w="2823" w:type="dxa"/>
            <w:shd w:val="clear" w:color="auto" w:fill="auto"/>
            <w:vAlign w:val="center"/>
          </w:tcPr>
          <w:p>
            <w:pPr>
              <w:pStyle w:val="76"/>
              <w:widowControl w:val="0"/>
            </w:pPr>
            <w:r>
              <w:rPr>
                <w:rFonts w:hint="eastAsia" w:hAnsi="宋体"/>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蜂窝、麻面、剥落、露筋、空洞、孔洞、钢筋锈蚀</w:t>
            </w:r>
          </w:p>
        </w:tc>
        <w:tc>
          <w:tcPr>
            <w:tcW w:w="932" w:type="dxa"/>
            <w:vMerge w:val="continue"/>
            <w:shd w:val="clear" w:color="auto" w:fill="auto"/>
            <w:vAlign w:val="center"/>
          </w:tcPr>
          <w:p>
            <w:pPr>
              <w:pStyle w:val="76"/>
              <w:widowControl w:val="0"/>
            </w:pPr>
          </w:p>
        </w:tc>
        <w:tc>
          <w:tcPr>
            <w:tcW w:w="911" w:type="dxa"/>
            <w:vMerge w:val="continue"/>
            <w:shd w:val="clear" w:color="auto" w:fill="auto"/>
            <w:vAlign w:val="center"/>
          </w:tcPr>
          <w:p>
            <w:pPr>
              <w:pStyle w:val="76"/>
              <w:widowControl w:val="0"/>
            </w:pPr>
          </w:p>
        </w:tc>
        <w:tc>
          <w:tcPr>
            <w:tcW w:w="2823" w:type="dxa"/>
            <w:shd w:val="clear" w:color="auto" w:fill="auto"/>
            <w:vAlign w:val="center"/>
          </w:tcPr>
          <w:p>
            <w:pPr>
              <w:pStyle w:val="76"/>
              <w:widowControl w:val="0"/>
            </w:pPr>
            <w:r>
              <w:rPr>
                <w:rFonts w:hint="eastAsia" w:hAnsi="宋体"/>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裂缝、蜂窝、麻面、剥落、露筋、空洞、孔洞、钢筋锈蚀</w:t>
            </w:r>
          </w:p>
        </w:tc>
        <w:tc>
          <w:tcPr>
            <w:tcW w:w="932" w:type="dxa"/>
            <w:vMerge w:val="continue"/>
            <w:shd w:val="clear" w:color="auto" w:fill="auto"/>
            <w:vAlign w:val="center"/>
          </w:tcPr>
          <w:p>
            <w:pPr>
              <w:pStyle w:val="76"/>
              <w:widowControl w:val="0"/>
            </w:pPr>
          </w:p>
        </w:tc>
        <w:tc>
          <w:tcPr>
            <w:tcW w:w="911" w:type="dxa"/>
            <w:shd w:val="clear" w:color="auto" w:fill="auto"/>
            <w:vAlign w:val="center"/>
          </w:tcPr>
          <w:p>
            <w:pPr>
              <w:pStyle w:val="76"/>
              <w:widowControl w:val="0"/>
            </w:pPr>
            <w:r>
              <w:rPr>
                <w:rFonts w:hint="eastAsia" w:hAnsi="宋体"/>
              </w:rPr>
              <w:t>粗飞</w:t>
            </w:r>
          </w:p>
        </w:tc>
        <w:tc>
          <w:tcPr>
            <w:tcW w:w="2823" w:type="dxa"/>
            <w:shd w:val="clear" w:color="auto" w:fill="auto"/>
            <w:vAlign w:val="center"/>
          </w:tcPr>
          <w:p>
            <w:pPr>
              <w:pStyle w:val="76"/>
              <w:widowControl w:val="0"/>
            </w:pPr>
            <w:r>
              <w:rPr>
                <w:rFonts w:hint="eastAsia" w:hAnsi="宋体"/>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c>
          <w:tcPr>
            <w:tcW w:w="1266" w:type="dxa"/>
            <w:vMerge w:val="restart"/>
            <w:shd w:val="clear" w:color="auto" w:fill="auto"/>
            <w:vAlign w:val="center"/>
          </w:tcPr>
          <w:p>
            <w:pPr>
              <w:pStyle w:val="76"/>
              <w:widowControl w:val="0"/>
            </w:pPr>
            <w:r>
              <w:rPr>
                <w:rFonts w:hint="eastAsia" w:hAnsi="宋体"/>
              </w:rPr>
              <w:t>锚室</w:t>
            </w:r>
          </w:p>
        </w:tc>
        <w:tc>
          <w:tcPr>
            <w:tcW w:w="3402" w:type="dxa"/>
            <w:shd w:val="clear" w:color="auto" w:fill="auto"/>
            <w:vAlign w:val="center"/>
          </w:tcPr>
          <w:p>
            <w:pPr>
              <w:pStyle w:val="76"/>
              <w:widowControl w:val="0"/>
            </w:pPr>
            <w:r>
              <w:rPr>
                <w:rFonts w:hint="eastAsia"/>
              </w:rPr>
              <w:t>裂缝</w:t>
            </w:r>
          </w:p>
        </w:tc>
        <w:tc>
          <w:tcPr>
            <w:tcW w:w="932" w:type="dxa"/>
            <w:vMerge w:val="restart"/>
            <w:shd w:val="clear" w:color="auto" w:fill="auto"/>
            <w:vAlign w:val="center"/>
          </w:tcPr>
          <w:p>
            <w:pPr>
              <w:pStyle w:val="76"/>
              <w:widowControl w:val="0"/>
            </w:pPr>
            <w:r>
              <w:rPr>
                <w:rFonts w:hint="eastAsia" w:hAnsi="宋体"/>
              </w:rPr>
              <w:t>手动</w:t>
            </w:r>
          </w:p>
          <w:p>
            <w:pPr>
              <w:pStyle w:val="76"/>
              <w:widowControl w:val="0"/>
            </w:pPr>
          </w:p>
        </w:tc>
        <w:tc>
          <w:tcPr>
            <w:tcW w:w="911" w:type="dxa"/>
            <w:vMerge w:val="restart"/>
            <w:shd w:val="clear" w:color="auto" w:fill="auto"/>
            <w:vAlign w:val="center"/>
          </w:tcPr>
          <w:p>
            <w:pPr>
              <w:pStyle w:val="76"/>
              <w:widowControl w:val="0"/>
            </w:pPr>
            <w:r>
              <w:rPr>
                <w:rFonts w:hint="eastAsia" w:hAnsi="宋体"/>
              </w:rPr>
              <w:t>精飞</w:t>
            </w:r>
          </w:p>
          <w:p>
            <w:pPr>
              <w:pStyle w:val="76"/>
              <w:widowControl w:val="0"/>
            </w:pPr>
          </w:p>
        </w:tc>
        <w:tc>
          <w:tcPr>
            <w:tcW w:w="2823" w:type="dxa"/>
            <w:shd w:val="clear" w:color="auto" w:fill="auto"/>
            <w:vAlign w:val="center"/>
          </w:tcPr>
          <w:p>
            <w:pPr>
              <w:pStyle w:val="76"/>
              <w:widowControl w:val="0"/>
            </w:pPr>
            <w:r>
              <w:rPr>
                <w:rFonts w:hint="eastAsia" w:hAnsi="宋体"/>
              </w:rPr>
              <w:t>数量、类型、位置、走势、长、宽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剥落、露筋、锈蚀、空洞</w:t>
            </w:r>
          </w:p>
        </w:tc>
        <w:tc>
          <w:tcPr>
            <w:tcW w:w="932" w:type="dxa"/>
            <w:vMerge w:val="continue"/>
            <w:shd w:val="clear" w:color="auto" w:fill="auto"/>
            <w:vAlign w:val="center"/>
          </w:tcPr>
          <w:p>
            <w:pPr>
              <w:pStyle w:val="76"/>
              <w:widowControl w:val="0"/>
            </w:pPr>
          </w:p>
        </w:tc>
        <w:tc>
          <w:tcPr>
            <w:tcW w:w="911" w:type="dxa"/>
            <w:vMerge w:val="continue"/>
            <w:shd w:val="clear" w:color="auto" w:fill="auto"/>
            <w:vAlign w:val="center"/>
          </w:tcPr>
          <w:p>
            <w:pPr>
              <w:pStyle w:val="76"/>
              <w:widowControl w:val="0"/>
            </w:pPr>
          </w:p>
        </w:tc>
        <w:tc>
          <w:tcPr>
            <w:tcW w:w="2823" w:type="dxa"/>
            <w:shd w:val="clear" w:color="auto" w:fill="auto"/>
            <w:vAlign w:val="center"/>
          </w:tcPr>
          <w:p>
            <w:pPr>
              <w:pStyle w:val="76"/>
              <w:widowControl w:val="0"/>
            </w:pPr>
            <w:r>
              <w:rPr>
                <w:rFonts w:hint="eastAsia" w:hAnsi="宋体"/>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1266" w:type="dxa"/>
            <w:vMerge w:val="continue"/>
            <w:shd w:val="clear" w:color="auto" w:fill="auto"/>
            <w:vAlign w:val="center"/>
          </w:tcPr>
          <w:p>
            <w:pPr>
              <w:pStyle w:val="76"/>
              <w:widowControl w:val="0"/>
            </w:pPr>
          </w:p>
        </w:tc>
        <w:tc>
          <w:tcPr>
            <w:tcW w:w="3402" w:type="dxa"/>
            <w:shd w:val="clear" w:color="auto" w:fill="auto"/>
            <w:vAlign w:val="center"/>
          </w:tcPr>
          <w:p>
            <w:pPr>
              <w:pStyle w:val="76"/>
              <w:widowControl w:val="0"/>
            </w:pPr>
            <w:r>
              <w:rPr>
                <w:rFonts w:hint="eastAsia"/>
              </w:rPr>
              <w:t>裂缝、剥落、露筋、锈蚀、空洞</w:t>
            </w:r>
          </w:p>
        </w:tc>
        <w:tc>
          <w:tcPr>
            <w:tcW w:w="932" w:type="dxa"/>
            <w:vMerge w:val="continue"/>
            <w:shd w:val="clear" w:color="auto" w:fill="auto"/>
            <w:vAlign w:val="center"/>
          </w:tcPr>
          <w:p>
            <w:pPr>
              <w:pStyle w:val="76"/>
              <w:widowControl w:val="0"/>
            </w:pPr>
          </w:p>
        </w:tc>
        <w:tc>
          <w:tcPr>
            <w:tcW w:w="911" w:type="dxa"/>
            <w:shd w:val="clear" w:color="auto" w:fill="auto"/>
            <w:vAlign w:val="center"/>
          </w:tcPr>
          <w:p>
            <w:pPr>
              <w:pStyle w:val="76"/>
              <w:widowControl w:val="0"/>
            </w:pPr>
            <w:r>
              <w:rPr>
                <w:rFonts w:hint="eastAsia" w:hAnsi="宋体"/>
              </w:rPr>
              <w:t>粗飞</w:t>
            </w:r>
          </w:p>
        </w:tc>
        <w:tc>
          <w:tcPr>
            <w:tcW w:w="2823" w:type="dxa"/>
            <w:shd w:val="clear" w:color="auto" w:fill="auto"/>
            <w:vAlign w:val="center"/>
          </w:tcPr>
          <w:p>
            <w:pPr>
              <w:pStyle w:val="76"/>
              <w:widowControl w:val="0"/>
            </w:pPr>
            <w:r>
              <w:rPr>
                <w:rFonts w:hint="eastAsia" w:hAnsi="宋体"/>
              </w:rPr>
              <w:t>类型、位置</w:t>
            </w:r>
          </w:p>
        </w:tc>
      </w:tr>
    </w:tbl>
    <w:p>
      <w:pPr>
        <w:pStyle w:val="60"/>
        <w:numPr>
          <w:ilvl w:val="0"/>
          <w:numId w:val="0"/>
        </w:numPr>
      </w:pPr>
      <w:r>
        <w:rPr>
          <w:rFonts w:hint="eastAsia"/>
        </w:rPr>
        <w:t>表B.3  下部结构巡检内容及要求</w:t>
      </w:r>
    </w:p>
    <w:p>
      <w:pPr>
        <w:pStyle w:val="73"/>
        <w:numPr>
          <w:ilvl w:val="1"/>
          <w:numId w:val="0"/>
        </w:numPr>
        <w:bidi w:val="0"/>
        <w:ind w:leftChars="0"/>
        <w:rPr>
          <w:rFonts w:hint="eastAsia"/>
        </w:rPr>
      </w:pPr>
      <w:r>
        <w:rPr>
          <w:rFonts w:hint="eastAsia"/>
          <w:lang w:val="en-US" w:eastAsia="zh-CN"/>
        </w:rPr>
        <w:t>B.4  附属设施</w:t>
      </w:r>
      <w:r>
        <w:rPr>
          <w:rFonts w:hint="eastAsia"/>
        </w:rPr>
        <w:t>巡检内容</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20" w:firstLineChars="200"/>
        <w:textAlignment w:val="auto"/>
        <w:rPr>
          <w:rFonts w:hint="eastAsia" w:ascii="宋体" w:hAnsi="宋体" w:eastAsia="宋体" w:cs="宋体"/>
        </w:rPr>
      </w:pPr>
      <w:r>
        <w:rPr>
          <w:rFonts w:hint="eastAsia"/>
        </w:rPr>
        <w:t>附属设施巡检内容及要求</w:t>
      </w:r>
      <w:r>
        <w:rPr>
          <w:rFonts w:hint="eastAsia" w:ascii="宋体" w:hAnsi="宋体" w:eastAsia="宋体" w:cs="宋体"/>
        </w:rPr>
        <w:t>见表B.4</w:t>
      </w:r>
    </w:p>
    <w:p>
      <w:pPr>
        <w:pStyle w:val="60"/>
        <w:numPr>
          <w:ilvl w:val="0"/>
          <w:numId w:val="0"/>
        </w:numPr>
      </w:pPr>
      <w:r>
        <w:rPr>
          <w:rFonts w:hint="eastAsia"/>
        </w:rPr>
        <w:t>表B.4  附属设施巡检内容及要求</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0" w:type="dxa"/>
          <w:bottom w:w="0" w:type="dxa"/>
          <w:right w:w="0" w:type="dxa"/>
        </w:tblCellMar>
      </w:tblPr>
      <w:tblGrid>
        <w:gridCol w:w="1440"/>
        <w:gridCol w:w="2510"/>
        <w:gridCol w:w="1230"/>
        <w:gridCol w:w="1830"/>
        <w:gridCol w:w="232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blHeader/>
          <w:jc w:val="center"/>
        </w:trPr>
        <w:tc>
          <w:tcPr>
            <w:tcW w:w="1440" w:type="dxa"/>
            <w:tcBorders>
              <w:bottom w:val="single" w:color="auto" w:sz="8" w:space="0"/>
            </w:tcBorders>
            <w:shd w:val="clear" w:color="auto" w:fill="auto"/>
            <w:vAlign w:val="center"/>
          </w:tcPr>
          <w:p>
            <w:pPr>
              <w:pStyle w:val="76"/>
              <w:widowControl w:val="0"/>
            </w:pPr>
            <w:r>
              <w:rPr>
                <w:rFonts w:hint="eastAsia"/>
              </w:rPr>
              <w:t>巡检结构</w:t>
            </w:r>
          </w:p>
        </w:tc>
        <w:tc>
          <w:tcPr>
            <w:tcW w:w="2510" w:type="dxa"/>
            <w:tcBorders>
              <w:bottom w:val="single" w:color="auto" w:sz="8" w:space="0"/>
            </w:tcBorders>
            <w:shd w:val="clear" w:color="auto" w:fill="auto"/>
            <w:vAlign w:val="center"/>
          </w:tcPr>
          <w:p>
            <w:pPr>
              <w:pStyle w:val="76"/>
              <w:widowControl w:val="0"/>
            </w:pPr>
            <w:r>
              <w:rPr>
                <w:rFonts w:hint="eastAsia"/>
              </w:rPr>
              <w:t>内容</w:t>
            </w:r>
          </w:p>
        </w:tc>
        <w:tc>
          <w:tcPr>
            <w:tcW w:w="1230" w:type="dxa"/>
            <w:tcBorders>
              <w:bottom w:val="single" w:color="auto" w:sz="8" w:space="0"/>
            </w:tcBorders>
            <w:shd w:val="clear" w:color="auto" w:fill="auto"/>
            <w:vAlign w:val="center"/>
          </w:tcPr>
          <w:p>
            <w:pPr>
              <w:pStyle w:val="76"/>
              <w:widowControl w:val="0"/>
            </w:pPr>
            <w:r>
              <w:rPr>
                <w:rFonts w:hint="eastAsia"/>
              </w:rPr>
              <w:t>方式</w:t>
            </w:r>
          </w:p>
        </w:tc>
        <w:tc>
          <w:tcPr>
            <w:tcW w:w="1830" w:type="dxa"/>
            <w:tcBorders>
              <w:bottom w:val="single" w:color="auto" w:sz="8" w:space="0"/>
            </w:tcBorders>
            <w:shd w:val="clear" w:color="auto" w:fill="auto"/>
            <w:vAlign w:val="center"/>
          </w:tcPr>
          <w:p>
            <w:pPr>
              <w:pStyle w:val="76"/>
              <w:widowControl w:val="0"/>
            </w:pPr>
            <w:r>
              <w:rPr>
                <w:rFonts w:hint="eastAsia"/>
              </w:rPr>
              <w:t>方法</w:t>
            </w:r>
          </w:p>
        </w:tc>
        <w:tc>
          <w:tcPr>
            <w:tcW w:w="2324" w:type="dxa"/>
            <w:tcBorders>
              <w:bottom w:val="single" w:color="auto" w:sz="8" w:space="0"/>
            </w:tcBorders>
            <w:shd w:val="clear" w:color="auto" w:fill="auto"/>
            <w:vAlign w:val="center"/>
          </w:tcPr>
          <w:p>
            <w:pPr>
              <w:pStyle w:val="76"/>
              <w:widowControl w:val="0"/>
            </w:pPr>
            <w:r>
              <w:rPr>
                <w:rFonts w:hint="eastAsia"/>
              </w:rPr>
              <w:t>缺陷监测信息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restart"/>
            <w:tcBorders>
              <w:top w:val="single" w:color="auto" w:sz="8" w:space="0"/>
            </w:tcBorders>
            <w:shd w:val="clear" w:color="auto" w:fill="auto"/>
            <w:vAlign w:val="center"/>
          </w:tcPr>
          <w:p>
            <w:pPr>
              <w:pStyle w:val="76"/>
              <w:widowControl w:val="0"/>
            </w:pPr>
            <w:r>
              <w:rPr>
                <w:rFonts w:hint="eastAsia"/>
              </w:rPr>
              <w:t>栏杆、护栏</w:t>
            </w:r>
          </w:p>
        </w:tc>
        <w:tc>
          <w:tcPr>
            <w:tcW w:w="2510" w:type="dxa"/>
            <w:vMerge w:val="restart"/>
            <w:tcBorders>
              <w:top w:val="single" w:color="auto" w:sz="8" w:space="0"/>
            </w:tcBorders>
            <w:shd w:val="clear" w:color="auto" w:fill="auto"/>
            <w:vAlign w:val="center"/>
          </w:tcPr>
          <w:p>
            <w:pPr>
              <w:pStyle w:val="76"/>
              <w:widowControl w:val="0"/>
            </w:pPr>
            <w:r>
              <w:rPr>
                <w:rFonts w:hint="eastAsia"/>
              </w:rPr>
              <w:t>缺失、破损</w:t>
            </w:r>
          </w:p>
        </w:tc>
        <w:tc>
          <w:tcPr>
            <w:tcW w:w="1230" w:type="dxa"/>
            <w:vMerge w:val="restart"/>
            <w:tcBorders>
              <w:top w:val="single" w:color="auto" w:sz="8" w:space="0"/>
            </w:tcBorders>
            <w:shd w:val="clear" w:color="auto" w:fill="auto"/>
            <w:vAlign w:val="center"/>
          </w:tcPr>
          <w:p>
            <w:pPr>
              <w:pStyle w:val="76"/>
              <w:widowControl w:val="0"/>
            </w:pPr>
            <w:r>
              <w:rPr>
                <w:rFonts w:hint="eastAsia"/>
              </w:rPr>
              <w:t>自动/手动</w:t>
            </w:r>
          </w:p>
        </w:tc>
        <w:tc>
          <w:tcPr>
            <w:tcW w:w="1830" w:type="dxa"/>
            <w:tcBorders>
              <w:top w:val="single" w:color="auto" w:sz="8" w:space="0"/>
            </w:tcBorders>
            <w:shd w:val="clear" w:color="auto" w:fill="auto"/>
            <w:vAlign w:val="center"/>
          </w:tcPr>
          <w:p>
            <w:pPr>
              <w:pStyle w:val="76"/>
              <w:widowControl w:val="0"/>
            </w:pPr>
            <w:r>
              <w:rPr>
                <w:rFonts w:hint="eastAsia"/>
              </w:rPr>
              <w:t>精飞</w:t>
            </w:r>
          </w:p>
        </w:tc>
        <w:tc>
          <w:tcPr>
            <w:tcW w:w="2324" w:type="dxa"/>
            <w:tcBorders>
              <w:top w:val="single" w:color="auto" w:sz="8" w:space="0"/>
            </w:tcBorders>
            <w:shd w:val="clear" w:color="auto" w:fill="auto"/>
            <w:vAlign w:val="center"/>
          </w:tcPr>
          <w:p>
            <w:pPr>
              <w:pStyle w:val="76"/>
              <w:widowControl w:val="0"/>
            </w:pPr>
            <w:r>
              <w:rPr>
                <w:rFonts w:hint="eastAsia"/>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continue"/>
            <w:shd w:val="clear" w:color="auto" w:fill="auto"/>
            <w:vAlign w:val="center"/>
          </w:tcPr>
          <w:p>
            <w:pPr>
              <w:pStyle w:val="76"/>
              <w:widowControl w:val="0"/>
            </w:pPr>
          </w:p>
        </w:tc>
        <w:tc>
          <w:tcPr>
            <w:tcW w:w="2510" w:type="dxa"/>
            <w:vMerge w:val="continue"/>
            <w:shd w:val="clear" w:color="auto" w:fill="auto"/>
            <w:vAlign w:val="center"/>
          </w:tcPr>
          <w:p>
            <w:pPr>
              <w:pStyle w:val="76"/>
              <w:widowControl w:val="0"/>
            </w:pPr>
          </w:p>
        </w:tc>
        <w:tc>
          <w:tcPr>
            <w:tcW w:w="1230" w:type="dxa"/>
            <w:vMerge w:val="continue"/>
            <w:shd w:val="clear" w:color="auto" w:fill="auto"/>
            <w:vAlign w:val="center"/>
          </w:tcPr>
          <w:p>
            <w:pPr>
              <w:pStyle w:val="76"/>
              <w:widowControl w:val="0"/>
            </w:pPr>
          </w:p>
        </w:tc>
        <w:tc>
          <w:tcPr>
            <w:tcW w:w="1830" w:type="dxa"/>
            <w:shd w:val="clear" w:color="auto" w:fill="auto"/>
            <w:vAlign w:val="center"/>
          </w:tcPr>
          <w:p>
            <w:pPr>
              <w:pStyle w:val="76"/>
              <w:widowControl w:val="0"/>
            </w:pPr>
            <w:r>
              <w:rPr>
                <w:rFonts w:hint="eastAsia"/>
              </w:rPr>
              <w:t>粗飞</w:t>
            </w:r>
          </w:p>
        </w:tc>
        <w:tc>
          <w:tcPr>
            <w:tcW w:w="2324" w:type="dxa"/>
            <w:shd w:val="clear" w:color="auto" w:fill="auto"/>
            <w:vAlign w:val="center"/>
          </w:tcPr>
          <w:p>
            <w:pPr>
              <w:pStyle w:val="76"/>
              <w:widowControl w:val="0"/>
            </w:pPr>
            <w:r>
              <w:rPr>
                <w:rFonts w:hint="eastAsia"/>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restart"/>
            <w:shd w:val="clear" w:color="auto" w:fill="auto"/>
            <w:vAlign w:val="center"/>
          </w:tcPr>
          <w:p>
            <w:pPr>
              <w:pStyle w:val="76"/>
              <w:widowControl w:val="0"/>
            </w:pPr>
            <w:r>
              <w:rPr>
                <w:rFonts w:hint="eastAsia"/>
              </w:rPr>
              <w:t>照明、标志</w:t>
            </w:r>
          </w:p>
        </w:tc>
        <w:tc>
          <w:tcPr>
            <w:tcW w:w="2510" w:type="dxa"/>
            <w:vMerge w:val="restart"/>
            <w:shd w:val="clear" w:color="auto" w:fill="auto"/>
            <w:vAlign w:val="center"/>
          </w:tcPr>
          <w:p>
            <w:pPr>
              <w:pStyle w:val="76"/>
              <w:widowControl w:val="0"/>
            </w:pPr>
            <w:r>
              <w:rPr>
                <w:rFonts w:hint="eastAsia"/>
              </w:rPr>
              <w:t>脱落、缺失、锈蚀、损坏</w:t>
            </w:r>
          </w:p>
        </w:tc>
        <w:tc>
          <w:tcPr>
            <w:tcW w:w="1230" w:type="dxa"/>
            <w:vMerge w:val="restart"/>
            <w:shd w:val="clear" w:color="auto" w:fill="auto"/>
            <w:vAlign w:val="center"/>
          </w:tcPr>
          <w:p>
            <w:pPr>
              <w:pStyle w:val="76"/>
              <w:widowControl w:val="0"/>
            </w:pPr>
            <w:r>
              <w:rPr>
                <w:rFonts w:hint="eastAsia"/>
              </w:rPr>
              <w:t>自动/手动</w:t>
            </w:r>
          </w:p>
        </w:tc>
        <w:tc>
          <w:tcPr>
            <w:tcW w:w="1830" w:type="dxa"/>
            <w:shd w:val="clear" w:color="auto" w:fill="auto"/>
            <w:vAlign w:val="center"/>
          </w:tcPr>
          <w:p>
            <w:pPr>
              <w:pStyle w:val="76"/>
              <w:widowControl w:val="0"/>
            </w:pPr>
            <w:r>
              <w:rPr>
                <w:rFonts w:hint="eastAsia"/>
              </w:rPr>
              <w:t>精飞</w:t>
            </w:r>
          </w:p>
        </w:tc>
        <w:tc>
          <w:tcPr>
            <w:tcW w:w="2324" w:type="dxa"/>
            <w:shd w:val="clear" w:color="auto" w:fill="auto"/>
            <w:vAlign w:val="center"/>
          </w:tcPr>
          <w:p>
            <w:pPr>
              <w:pStyle w:val="76"/>
              <w:widowControl w:val="0"/>
            </w:pPr>
            <w:r>
              <w:rPr>
                <w:rFonts w:hint="eastAsia"/>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continue"/>
            <w:shd w:val="clear" w:color="auto" w:fill="auto"/>
            <w:vAlign w:val="center"/>
          </w:tcPr>
          <w:p>
            <w:pPr>
              <w:pStyle w:val="76"/>
              <w:widowControl w:val="0"/>
            </w:pPr>
          </w:p>
        </w:tc>
        <w:tc>
          <w:tcPr>
            <w:tcW w:w="2510" w:type="dxa"/>
            <w:vMerge w:val="continue"/>
            <w:shd w:val="clear" w:color="auto" w:fill="auto"/>
            <w:vAlign w:val="center"/>
          </w:tcPr>
          <w:p>
            <w:pPr>
              <w:pStyle w:val="76"/>
              <w:widowControl w:val="0"/>
            </w:pPr>
          </w:p>
        </w:tc>
        <w:tc>
          <w:tcPr>
            <w:tcW w:w="1230" w:type="dxa"/>
            <w:vMerge w:val="continue"/>
            <w:shd w:val="clear" w:color="auto" w:fill="auto"/>
            <w:vAlign w:val="center"/>
          </w:tcPr>
          <w:p>
            <w:pPr>
              <w:pStyle w:val="76"/>
              <w:widowControl w:val="0"/>
            </w:pPr>
          </w:p>
        </w:tc>
        <w:tc>
          <w:tcPr>
            <w:tcW w:w="1830" w:type="dxa"/>
            <w:shd w:val="clear" w:color="auto" w:fill="auto"/>
            <w:vAlign w:val="center"/>
          </w:tcPr>
          <w:p>
            <w:pPr>
              <w:pStyle w:val="76"/>
              <w:widowControl w:val="0"/>
            </w:pPr>
            <w:r>
              <w:rPr>
                <w:rFonts w:hint="eastAsia"/>
              </w:rPr>
              <w:t>粗飞</w:t>
            </w:r>
          </w:p>
        </w:tc>
        <w:tc>
          <w:tcPr>
            <w:tcW w:w="2324" w:type="dxa"/>
            <w:shd w:val="clear" w:color="auto" w:fill="auto"/>
            <w:vAlign w:val="center"/>
          </w:tcPr>
          <w:p>
            <w:pPr>
              <w:pStyle w:val="76"/>
              <w:widowControl w:val="0"/>
            </w:pPr>
            <w:r>
              <w:rPr>
                <w:rFonts w:hint="eastAsia"/>
              </w:rPr>
              <w:t>类型、位置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restart"/>
            <w:shd w:val="clear" w:color="auto" w:fill="auto"/>
            <w:vAlign w:val="center"/>
          </w:tcPr>
          <w:p>
            <w:pPr>
              <w:pStyle w:val="76"/>
              <w:widowControl w:val="0"/>
            </w:pPr>
            <w:r>
              <w:rPr>
                <w:rFonts w:hint="eastAsia"/>
              </w:rPr>
              <w:t>防排水系统</w:t>
            </w:r>
          </w:p>
        </w:tc>
        <w:tc>
          <w:tcPr>
            <w:tcW w:w="2510" w:type="dxa"/>
            <w:vMerge w:val="restart"/>
            <w:shd w:val="clear" w:color="auto" w:fill="auto"/>
            <w:vAlign w:val="center"/>
          </w:tcPr>
          <w:p>
            <w:pPr>
              <w:pStyle w:val="76"/>
              <w:widowControl w:val="0"/>
            </w:pPr>
            <w:r>
              <w:rPr>
                <w:rFonts w:hint="eastAsia"/>
              </w:rPr>
              <w:t>破损、缺件、管体脱落、漏水</w:t>
            </w:r>
          </w:p>
        </w:tc>
        <w:tc>
          <w:tcPr>
            <w:tcW w:w="1230" w:type="dxa"/>
            <w:vMerge w:val="restart"/>
            <w:shd w:val="clear" w:color="auto" w:fill="auto"/>
            <w:vAlign w:val="center"/>
          </w:tcPr>
          <w:p>
            <w:pPr>
              <w:pStyle w:val="76"/>
              <w:widowControl w:val="0"/>
            </w:pPr>
            <w:r>
              <w:rPr>
                <w:rFonts w:hint="eastAsia"/>
              </w:rPr>
              <w:t>手动</w:t>
            </w:r>
          </w:p>
        </w:tc>
        <w:tc>
          <w:tcPr>
            <w:tcW w:w="1830" w:type="dxa"/>
            <w:shd w:val="clear" w:color="auto" w:fill="auto"/>
            <w:vAlign w:val="center"/>
          </w:tcPr>
          <w:p>
            <w:pPr>
              <w:pStyle w:val="76"/>
              <w:widowControl w:val="0"/>
            </w:pPr>
            <w:r>
              <w:rPr>
                <w:rFonts w:hint="eastAsia"/>
              </w:rPr>
              <w:t>精飞</w:t>
            </w:r>
          </w:p>
        </w:tc>
        <w:tc>
          <w:tcPr>
            <w:tcW w:w="2324" w:type="dxa"/>
            <w:shd w:val="clear" w:color="auto" w:fill="auto"/>
            <w:vAlign w:val="center"/>
          </w:tcPr>
          <w:p>
            <w:pPr>
              <w:pStyle w:val="76"/>
              <w:widowControl w:val="0"/>
            </w:pPr>
            <w:r>
              <w:rPr>
                <w:rFonts w:hint="eastAsia"/>
              </w:rPr>
              <w:t>数量、类型、位置、面积</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1440" w:type="dxa"/>
            <w:vMerge w:val="continue"/>
            <w:shd w:val="clear" w:color="auto" w:fill="auto"/>
            <w:vAlign w:val="center"/>
          </w:tcPr>
          <w:p>
            <w:pPr>
              <w:pStyle w:val="76"/>
              <w:widowControl w:val="0"/>
            </w:pPr>
          </w:p>
        </w:tc>
        <w:tc>
          <w:tcPr>
            <w:tcW w:w="2510" w:type="dxa"/>
            <w:vMerge w:val="continue"/>
            <w:shd w:val="clear" w:color="auto" w:fill="auto"/>
            <w:vAlign w:val="center"/>
          </w:tcPr>
          <w:p>
            <w:pPr>
              <w:pStyle w:val="76"/>
              <w:widowControl w:val="0"/>
            </w:pPr>
          </w:p>
        </w:tc>
        <w:tc>
          <w:tcPr>
            <w:tcW w:w="1230" w:type="dxa"/>
            <w:vMerge w:val="continue"/>
            <w:shd w:val="clear" w:color="auto" w:fill="auto"/>
            <w:vAlign w:val="center"/>
          </w:tcPr>
          <w:p>
            <w:pPr>
              <w:pStyle w:val="76"/>
              <w:widowControl w:val="0"/>
            </w:pPr>
          </w:p>
        </w:tc>
        <w:tc>
          <w:tcPr>
            <w:tcW w:w="1830" w:type="dxa"/>
            <w:shd w:val="clear" w:color="auto" w:fill="auto"/>
            <w:vAlign w:val="center"/>
          </w:tcPr>
          <w:p>
            <w:pPr>
              <w:pStyle w:val="76"/>
              <w:widowControl w:val="0"/>
            </w:pPr>
            <w:r>
              <w:rPr>
                <w:rFonts w:hint="eastAsia"/>
              </w:rPr>
              <w:t>粗飞</w:t>
            </w:r>
          </w:p>
        </w:tc>
        <w:tc>
          <w:tcPr>
            <w:tcW w:w="2324" w:type="dxa"/>
            <w:shd w:val="clear" w:color="auto" w:fill="auto"/>
            <w:vAlign w:val="center"/>
          </w:tcPr>
          <w:p>
            <w:pPr>
              <w:pStyle w:val="76"/>
              <w:widowControl w:val="0"/>
            </w:pPr>
            <w:r>
              <w:rPr>
                <w:rFonts w:hint="eastAsia"/>
              </w:rPr>
              <w:t>类型、位置</w:t>
            </w:r>
          </w:p>
        </w:tc>
      </w:tr>
    </w:tbl>
    <w:p>
      <w:pPr>
        <w:tabs>
          <w:tab w:val="left" w:pos="2574"/>
        </w:tabs>
        <w:jc w:val="left"/>
        <w:sectPr>
          <w:footerReference r:id="rId20" w:type="default"/>
          <w:footerReference r:id="rId21" w:type="even"/>
          <w:pgSz w:w="11906" w:h="16838"/>
          <w:pgMar w:top="1417" w:right="1134" w:bottom="1134" w:left="1418" w:header="1417" w:footer="1134" w:gutter="0"/>
          <w:cols w:space="425" w:num="1"/>
          <w:docGrid w:type="lines" w:linePitch="312" w:charSpace="0"/>
        </w:sectPr>
      </w:pPr>
    </w:p>
    <w:p>
      <w:pPr>
        <w:pStyle w:val="75"/>
        <w:spacing w:before="567" w:after="283" w:afterLines="0"/>
        <w:rPr>
          <w:spacing w:val="105"/>
        </w:rPr>
      </w:pPr>
      <w:bookmarkStart w:id="110" w:name="_Toc120179958"/>
      <w:bookmarkStart w:id="111" w:name="_Toc7676"/>
      <w:bookmarkStart w:id="112" w:name="_Toc8436"/>
      <w:r>
        <w:rPr>
          <w:rFonts w:hint="eastAsia"/>
          <w:spacing w:val="105"/>
        </w:rPr>
        <w:t>参考文献</w:t>
      </w:r>
      <w:bookmarkEnd w:id="110"/>
      <w:bookmarkEnd w:id="111"/>
      <w:bookmarkEnd w:id="112"/>
    </w:p>
    <w:p>
      <w:pPr>
        <w:pStyle w:val="67"/>
        <w:numPr>
          <w:ilvl w:val="0"/>
          <w:numId w:val="26"/>
        </w:numPr>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JTG 5110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公路养护技术规范</w:t>
      </w:r>
    </w:p>
    <w:p>
      <w:pPr>
        <w:pStyle w:val="67"/>
        <w:numPr>
          <w:ilvl w:val="0"/>
          <w:numId w:val="26"/>
        </w:numPr>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JTG/T 5120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公路桥涵养护规</w:t>
      </w:r>
    </w:p>
    <w:p>
      <w:pPr>
        <w:pStyle w:val="67"/>
        <w:numPr>
          <w:ilvl w:val="0"/>
          <w:numId w:val="26"/>
        </w:numPr>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JTG/T 5214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在用公路桥梁现场检测技术规程</w:t>
      </w:r>
    </w:p>
    <w:p>
      <w:pPr>
        <w:pStyle w:val="67"/>
        <w:numPr>
          <w:ilvl w:val="0"/>
          <w:numId w:val="26"/>
        </w:numPr>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JTG/T H21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公路桥梁技术状况评定标准</w:t>
      </w:r>
    </w:p>
    <w:p>
      <w:pPr>
        <w:pStyle w:val="67"/>
        <w:numPr>
          <w:ilvl w:val="0"/>
          <w:numId w:val="26"/>
        </w:numPr>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mc:AlternateContent>
          <mc:Choice Requires="wps">
            <w:drawing>
              <wp:anchor distT="0" distB="0" distL="114300" distR="114300" simplePos="0" relativeHeight="251667456" behindDoc="0" locked="0" layoutInCell="1" allowOverlap="1">
                <wp:simplePos x="0" y="0"/>
                <wp:positionH relativeFrom="column">
                  <wp:posOffset>1736725</wp:posOffset>
                </wp:positionH>
                <wp:positionV relativeFrom="paragraph">
                  <wp:posOffset>506095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36.75pt;margin-top:39.85pt;height:0pt;width:141.75pt;z-index:251667456;mso-width-relative:page;mso-height-relative:page;" filled="f" stroked="t" coordsize="21600,21600" o:gfxdata="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hD8q2tcAAAAJAQAADwAAAAAAAAABACAAAAA4AAAAZHJzL2Rv&#10;d25yZXYueG1sUEsBAhQAFAAAAAgAh07iQIj6j6nsAQAAjgMAAA4AAAAAAAAAAQAgAAAAPAEAAGRy&#10;cy9lMm9Eb2MueG1sUEsFBgAAAAAGAAYAWQEAAJoFA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无人驾驶航空器飞行管理暂行条例</w:t>
      </w:r>
    </w:p>
    <w:sectPr>
      <w:headerReference r:id="rId22" w:type="default"/>
      <w:footerReference r:id="rId24" w:type="default"/>
      <w:headerReference r:id="rId23" w:type="even"/>
      <w:footerReference r:id="rId25"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i8L5FQIAABsEAAAOAAAAZHJz&#10;L2Uyb0RvYy54bWytU8uO0zAU3SPxD5b3NGnR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eu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fi8L5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eastAsia"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hint="eastAsia"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eastAsia"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rPr>
        <w:rFonts w:hint="eastAsia" w:eastAsiaTheme="minorEastAsia"/>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eastAsia" w:ascii="黑体" w:hAnsi="黑体" w:eastAsia="黑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8ECC23"/>
    <w:multiLevelType w:val="singleLevel"/>
    <w:tmpl w:val="1D8ECC23"/>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4C50F90"/>
    <w:multiLevelType w:val="multilevel"/>
    <w:tmpl w:val="44C50F90"/>
    <w:lvl w:ilvl="0" w:tentative="0">
      <w:start w:val="1"/>
      <w:numFmt w:val="lowerLetter"/>
      <w:pStyle w:val="78"/>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80"/>
      <w:suff w:val="space"/>
      <w:lvlText w:val="表%1.%2"/>
      <w:lvlJc w:val="center"/>
      <w:pPr>
        <w:ind w:left="312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2"/>
  </w:num>
  <w:num w:numId="6">
    <w:abstractNumId w:val="10"/>
  </w:num>
  <w:num w:numId="7">
    <w:abstractNumId w:val="9"/>
  </w:num>
  <w:num w:numId="8">
    <w:abstractNumId w:val="11"/>
  </w:num>
  <w:num w:numId="9">
    <w:abstractNumId w:val="7"/>
  </w:num>
  <w:num w:numId="10">
    <w:abstractNumId w:val="0"/>
  </w:num>
  <w:num w:numId="11">
    <w:abstractNumId w:val="6"/>
  </w:num>
  <w:num w:numId="12">
    <w:abstractNumId w:va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66BE2"/>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A7787"/>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4A3E"/>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D7466"/>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35C04"/>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1D2AE8"/>
    <w:rsid w:val="043164D2"/>
    <w:rsid w:val="04DB69C7"/>
    <w:rsid w:val="051D3CE7"/>
    <w:rsid w:val="056C2AC8"/>
    <w:rsid w:val="078D3A1F"/>
    <w:rsid w:val="08D94A4A"/>
    <w:rsid w:val="09332050"/>
    <w:rsid w:val="09652865"/>
    <w:rsid w:val="097D3D26"/>
    <w:rsid w:val="0ADA2F69"/>
    <w:rsid w:val="0AE10BBF"/>
    <w:rsid w:val="0AF4041E"/>
    <w:rsid w:val="0B4B7E79"/>
    <w:rsid w:val="0BBA5614"/>
    <w:rsid w:val="0BBD0185"/>
    <w:rsid w:val="0BC71F3A"/>
    <w:rsid w:val="0D011260"/>
    <w:rsid w:val="0E572FD9"/>
    <w:rsid w:val="0F5D4929"/>
    <w:rsid w:val="0FB5747F"/>
    <w:rsid w:val="10F22B45"/>
    <w:rsid w:val="11EA4A5D"/>
    <w:rsid w:val="123426ED"/>
    <w:rsid w:val="1330335A"/>
    <w:rsid w:val="13492913"/>
    <w:rsid w:val="140915D6"/>
    <w:rsid w:val="14AB42D7"/>
    <w:rsid w:val="15912AB1"/>
    <w:rsid w:val="159863B1"/>
    <w:rsid w:val="1614131D"/>
    <w:rsid w:val="16585639"/>
    <w:rsid w:val="16B6476F"/>
    <w:rsid w:val="18104A8B"/>
    <w:rsid w:val="1986454E"/>
    <w:rsid w:val="19BD2F50"/>
    <w:rsid w:val="19D653D3"/>
    <w:rsid w:val="19E576EB"/>
    <w:rsid w:val="1A9F3EA8"/>
    <w:rsid w:val="1AE557D7"/>
    <w:rsid w:val="1AF62448"/>
    <w:rsid w:val="1B431B48"/>
    <w:rsid w:val="1B5468D6"/>
    <w:rsid w:val="1CE617B0"/>
    <w:rsid w:val="1D475092"/>
    <w:rsid w:val="1E901E0D"/>
    <w:rsid w:val="1EFC4C0E"/>
    <w:rsid w:val="1F3709E9"/>
    <w:rsid w:val="1F5511FE"/>
    <w:rsid w:val="1F791B4A"/>
    <w:rsid w:val="1FF922F7"/>
    <w:rsid w:val="203A6C9D"/>
    <w:rsid w:val="213D7067"/>
    <w:rsid w:val="23282A50"/>
    <w:rsid w:val="235D1A58"/>
    <w:rsid w:val="23607492"/>
    <w:rsid w:val="23893375"/>
    <w:rsid w:val="23D049E7"/>
    <w:rsid w:val="244A737B"/>
    <w:rsid w:val="24F31A54"/>
    <w:rsid w:val="262E49A9"/>
    <w:rsid w:val="26564CBA"/>
    <w:rsid w:val="26567805"/>
    <w:rsid w:val="288D3427"/>
    <w:rsid w:val="291C47AB"/>
    <w:rsid w:val="295126A7"/>
    <w:rsid w:val="299E589B"/>
    <w:rsid w:val="29DD2289"/>
    <w:rsid w:val="2A0674B9"/>
    <w:rsid w:val="2A19342E"/>
    <w:rsid w:val="2A9514CE"/>
    <w:rsid w:val="2A9E6EDA"/>
    <w:rsid w:val="2AA0434A"/>
    <w:rsid w:val="2AC259E9"/>
    <w:rsid w:val="2B525DEB"/>
    <w:rsid w:val="2B5F5209"/>
    <w:rsid w:val="2B86097C"/>
    <w:rsid w:val="2BEF00BA"/>
    <w:rsid w:val="2E6A0BA9"/>
    <w:rsid w:val="2F033AB7"/>
    <w:rsid w:val="2FAB1CAE"/>
    <w:rsid w:val="2FC604F2"/>
    <w:rsid w:val="30512DC8"/>
    <w:rsid w:val="305807BF"/>
    <w:rsid w:val="30BA0FA5"/>
    <w:rsid w:val="32697E49"/>
    <w:rsid w:val="328D3884"/>
    <w:rsid w:val="33116C37"/>
    <w:rsid w:val="34D50E7D"/>
    <w:rsid w:val="35444468"/>
    <w:rsid w:val="355276CD"/>
    <w:rsid w:val="35591EEA"/>
    <w:rsid w:val="377834F5"/>
    <w:rsid w:val="37875802"/>
    <w:rsid w:val="37AA040E"/>
    <w:rsid w:val="391138BB"/>
    <w:rsid w:val="397A5D84"/>
    <w:rsid w:val="3A38257A"/>
    <w:rsid w:val="3A773D1D"/>
    <w:rsid w:val="3AA47EC1"/>
    <w:rsid w:val="3B337E5E"/>
    <w:rsid w:val="3C0C2E90"/>
    <w:rsid w:val="3C153A08"/>
    <w:rsid w:val="3D6F398A"/>
    <w:rsid w:val="3D9E1027"/>
    <w:rsid w:val="3E6447D3"/>
    <w:rsid w:val="3E914FDF"/>
    <w:rsid w:val="3EC47705"/>
    <w:rsid w:val="3FCB4391"/>
    <w:rsid w:val="407103DB"/>
    <w:rsid w:val="413E41AB"/>
    <w:rsid w:val="41DD26A1"/>
    <w:rsid w:val="43205A36"/>
    <w:rsid w:val="432D5ADB"/>
    <w:rsid w:val="439028B5"/>
    <w:rsid w:val="455B5C08"/>
    <w:rsid w:val="459E4A6E"/>
    <w:rsid w:val="45E5444B"/>
    <w:rsid w:val="45F10943"/>
    <w:rsid w:val="46024881"/>
    <w:rsid w:val="46432AD9"/>
    <w:rsid w:val="478D604D"/>
    <w:rsid w:val="48C6265B"/>
    <w:rsid w:val="491679AE"/>
    <w:rsid w:val="4B3E29B2"/>
    <w:rsid w:val="4CC8541E"/>
    <w:rsid w:val="4D244B35"/>
    <w:rsid w:val="4D333749"/>
    <w:rsid w:val="4D7C7F66"/>
    <w:rsid w:val="4E497F1B"/>
    <w:rsid w:val="4E72372F"/>
    <w:rsid w:val="4E826BA1"/>
    <w:rsid w:val="4F7C19D7"/>
    <w:rsid w:val="4FB262DF"/>
    <w:rsid w:val="502913D8"/>
    <w:rsid w:val="506A1CDA"/>
    <w:rsid w:val="513145D7"/>
    <w:rsid w:val="51DB264E"/>
    <w:rsid w:val="52013E99"/>
    <w:rsid w:val="52884ADC"/>
    <w:rsid w:val="53287D17"/>
    <w:rsid w:val="53507136"/>
    <w:rsid w:val="53C90E62"/>
    <w:rsid w:val="54EF45B2"/>
    <w:rsid w:val="561C68FE"/>
    <w:rsid w:val="56FA05E0"/>
    <w:rsid w:val="57205312"/>
    <w:rsid w:val="575B4970"/>
    <w:rsid w:val="58953240"/>
    <w:rsid w:val="58E932E7"/>
    <w:rsid w:val="58EA0B58"/>
    <w:rsid w:val="597102CD"/>
    <w:rsid w:val="5A4665A2"/>
    <w:rsid w:val="5A782E0E"/>
    <w:rsid w:val="5AA42EE1"/>
    <w:rsid w:val="5AB20E18"/>
    <w:rsid w:val="5ADD04B0"/>
    <w:rsid w:val="5B6068E3"/>
    <w:rsid w:val="5C582FA8"/>
    <w:rsid w:val="5E127A94"/>
    <w:rsid w:val="5E293703"/>
    <w:rsid w:val="5EC2103E"/>
    <w:rsid w:val="5F3651D2"/>
    <w:rsid w:val="612E72BF"/>
    <w:rsid w:val="61E0223F"/>
    <w:rsid w:val="62275A9D"/>
    <w:rsid w:val="62616C01"/>
    <w:rsid w:val="62A274F4"/>
    <w:rsid w:val="63473BF7"/>
    <w:rsid w:val="64490C49"/>
    <w:rsid w:val="64652083"/>
    <w:rsid w:val="663F48D4"/>
    <w:rsid w:val="667016B7"/>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667503"/>
    <w:rsid w:val="6DAD049D"/>
    <w:rsid w:val="6ECD387A"/>
    <w:rsid w:val="6F2A1DC7"/>
    <w:rsid w:val="6F2F03DB"/>
    <w:rsid w:val="6FF139B8"/>
    <w:rsid w:val="70064409"/>
    <w:rsid w:val="72127AC6"/>
    <w:rsid w:val="72D50275"/>
    <w:rsid w:val="73765CE2"/>
    <w:rsid w:val="7383295D"/>
    <w:rsid w:val="743442CC"/>
    <w:rsid w:val="748E5C99"/>
    <w:rsid w:val="74BF2C7A"/>
    <w:rsid w:val="75682D8E"/>
    <w:rsid w:val="75A31161"/>
    <w:rsid w:val="75D25B10"/>
    <w:rsid w:val="76442929"/>
    <w:rsid w:val="76C27A63"/>
    <w:rsid w:val="77BB1E89"/>
    <w:rsid w:val="77F52CFA"/>
    <w:rsid w:val="795409C4"/>
    <w:rsid w:val="7ACE7F1F"/>
    <w:rsid w:val="7AF60F49"/>
    <w:rsid w:val="7BBE3424"/>
    <w:rsid w:val="7E0328BC"/>
    <w:rsid w:val="7E4855B6"/>
    <w:rsid w:val="7E5D3F34"/>
    <w:rsid w:val="7EE002C8"/>
    <w:rsid w:val="7FAC1FBF"/>
    <w:rsid w:val="7FF57E3F"/>
    <w:rsid w:val="7FF90700"/>
    <w:rsid w:val="FF6CB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字符"/>
    <w:basedOn w:val="22"/>
    <w:link w:val="14"/>
    <w:qFormat/>
    <w:uiPriority w:val="99"/>
    <w:rPr>
      <w:sz w:val="18"/>
      <w:szCs w:val="18"/>
    </w:rPr>
  </w:style>
  <w:style w:type="character" w:customStyle="1" w:styleId="26">
    <w:name w:val="页脚 字符"/>
    <w:basedOn w:val="22"/>
    <w:link w:val="13"/>
    <w:qFormat/>
    <w:uiPriority w:val="99"/>
    <w:rPr>
      <w:sz w:val="18"/>
      <w:szCs w:val="18"/>
    </w:rPr>
  </w:style>
  <w:style w:type="character" w:customStyle="1" w:styleId="27">
    <w:name w:val="批注框文本 字符"/>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字符"/>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字符"/>
    <w:basedOn w:val="22"/>
    <w:link w:val="16"/>
    <w:qFormat/>
    <w:uiPriority w:val="11"/>
    <w:rPr>
      <w:rFonts w:eastAsia="宋体" w:asciiTheme="majorHAnsi" w:hAnsiTheme="majorHAnsi" w:cstheme="majorBidi"/>
      <w:b/>
      <w:bCs/>
      <w:kern w:val="28"/>
      <w:sz w:val="32"/>
      <w:szCs w:val="32"/>
    </w:rPr>
  </w:style>
  <w:style w:type="character" w:customStyle="1" w:styleId="36">
    <w:name w:val="标题 字符"/>
    <w:basedOn w:val="22"/>
    <w:link w:val="19"/>
    <w:qFormat/>
    <w:uiPriority w:val="10"/>
    <w:rPr>
      <w:rFonts w:eastAsia="宋体" w:asciiTheme="majorHAnsi" w:hAnsiTheme="majorHAnsi" w:cstheme="majorBidi"/>
      <w:b/>
      <w:bCs/>
      <w:sz w:val="32"/>
      <w:szCs w:val="32"/>
    </w:rPr>
  </w:style>
  <w:style w:type="character" w:customStyle="1" w:styleId="37">
    <w:name w:val="标题 2 字符"/>
    <w:basedOn w:val="22"/>
    <w:link w:val="3"/>
    <w:qFormat/>
    <w:uiPriority w:val="9"/>
    <w:rPr>
      <w:rFonts w:asciiTheme="majorHAnsi" w:hAnsiTheme="majorHAnsi" w:eastAsiaTheme="majorEastAsia" w:cstheme="majorBidi"/>
      <w:b/>
      <w:bCs/>
      <w:sz w:val="32"/>
      <w:szCs w:val="32"/>
    </w:rPr>
  </w:style>
  <w:style w:type="character" w:customStyle="1" w:styleId="38">
    <w:name w:val="标题 3 字符"/>
    <w:basedOn w:val="22"/>
    <w:link w:val="4"/>
    <w:semiHidden/>
    <w:qFormat/>
    <w:uiPriority w:val="9"/>
    <w:rPr>
      <w:b/>
      <w:bCs/>
      <w:sz w:val="32"/>
      <w:szCs w:val="32"/>
    </w:rPr>
  </w:style>
  <w:style w:type="character" w:customStyle="1" w:styleId="39">
    <w:name w:val="正文文本缩进 2 字符"/>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字符"/>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字母编号列项（一级）"/>
    <w:qFormat/>
    <w:uiPriority w:val="0"/>
    <w:pPr>
      <w:numPr>
        <w:ilvl w:val="0"/>
        <w:numId w:val="11"/>
      </w:numPr>
      <w:jc w:val="both"/>
    </w:pPr>
    <w:rPr>
      <w:rFonts w:ascii="宋体" w:hAnsi="Times New Roman" w:eastAsia="宋体" w:cs="Times New Roman"/>
      <w:sz w:val="21"/>
      <w:lang w:val="en-US" w:eastAsia="zh-CN" w:bidi="ar-SA"/>
    </w:rPr>
  </w:style>
  <w:style w:type="character" w:customStyle="1" w:styleId="79">
    <w:name w:val="15"/>
    <w:basedOn w:val="22"/>
    <w:qFormat/>
    <w:uiPriority w:val="0"/>
    <w:rPr>
      <w:rFonts w:hint="default" w:ascii="Times New Roman" w:hAnsi="Times New Roman" w:cs="Times New Roman"/>
      <w:color w:val="467886"/>
      <w:u w:val="single"/>
    </w:rPr>
  </w:style>
  <w:style w:type="paragraph" w:customStyle="1" w:styleId="80">
    <w:name w:val="标准文件_附录表标题"/>
    <w:next w:val="67"/>
    <w:qFormat/>
    <w:uiPriority w:val="0"/>
    <w:pPr>
      <w:numPr>
        <w:ilvl w:val="1"/>
        <w:numId w:val="12"/>
      </w:numPr>
      <w:adjustRightInd w:val="0"/>
      <w:snapToGrid w:val="0"/>
      <w:spacing w:before="50" w:beforeLines="50" w:after="50" w:afterLines="50"/>
      <w:ind w:left="0"/>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19</Pages>
  <Words>5778</Words>
  <Characters>6149</Characters>
  <Lines>486</Lines>
  <Paragraphs>562</Paragraphs>
  <TotalTime>40</TotalTime>
  <ScaleCrop>false</ScaleCrop>
  <LinksUpToDate>false</LinksUpToDate>
  <CharactersWithSpaces>6554</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2025-05-22T10:07:48Z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0064052AD8FC43BD962A70AB563CE639_13</vt:lpwstr>
  </property>
  <property fmtid="{D5CDD505-2E9C-101B-9397-08002B2CF9AE}" pid="4" name="KSOTemplateDocerSaveRecord">
    <vt:lpwstr>eyJoZGlkIjoiMjIxMDg2ZDVmODAxZDIyMjVlZjY0Zjk3MTNiYWIwMTciLCJ1c2VySWQiOiIxMzM4NDc1MDkxIn0=</vt:lpwstr>
  </property>
</Properties>
</file>