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Times New Roman"/>
        </w:rPr>
      </w:pPr>
      <w:r>
        <w:rPr>
          <w:rFonts w:ascii="黑体" w:hAnsi="黑体" w:eastAsia="黑体" w:cs="Times New Roman"/>
        </w:rPr>
        <mc:AlternateContent>
          <mc:Choice Requires="wps">
            <w:drawing>
              <wp:anchor distT="0" distB="0" distL="114300" distR="114300" simplePos="0" relativeHeight="251659264" behindDoc="0" locked="0" layoutInCell="1" allowOverlap="1">
                <wp:simplePos x="0" y="0"/>
                <wp:positionH relativeFrom="column">
                  <wp:posOffset>2859405</wp:posOffset>
                </wp:positionH>
                <wp:positionV relativeFrom="topMargin">
                  <wp:posOffset>465455</wp:posOffset>
                </wp:positionV>
                <wp:extent cx="3696970" cy="792480"/>
                <wp:effectExtent l="0" t="0" r="0" b="0"/>
                <wp:wrapNone/>
                <wp:docPr id="7" name="Text Box 2"/>
                <wp:cNvGraphicFramePr/>
                <a:graphic xmlns:a="http://schemas.openxmlformats.org/drawingml/2006/main">
                  <a:graphicData uri="http://schemas.microsoft.com/office/word/2010/wordprocessingShape">
                    <wps:wsp>
                      <wps:cNvSpPr txBox="true">
                        <a:spLocks noChangeArrowheads="true"/>
                      </wps:cNvSpPr>
                      <wps:spPr bwMode="auto">
                        <a:xfrm>
                          <a:off x="0" y="0"/>
                          <a:ext cx="3696970" cy="792480"/>
                        </a:xfrm>
                        <a:prstGeom prst="rect">
                          <a:avLst/>
                        </a:prstGeom>
                        <a:noFill/>
                        <a:ln>
                          <a:noFill/>
                        </a:ln>
                      </wps:spPr>
                      <wps:txbx>
                        <w:txbxContent>
                          <w:p>
                            <w:pPr>
                              <w:pStyle w:val="30"/>
                              <w:shd w:val="clear" w:color="auto" w:fill="auto"/>
                              <w:wordWrap w:val="0"/>
                              <w:ind w:right="471" w:firstLine="625" w:firstLineChars="50"/>
                              <w:jc w:val="both"/>
                              <w:rPr>
                                <w:rFonts w:eastAsia="方正小标宋_GBK"/>
                                <w:sz w:val="84"/>
                                <w:szCs w:val="84"/>
                              </w:rPr>
                            </w:pPr>
                            <w:r>
                              <w:rPr>
                                <w:rFonts w:eastAsia="方正小标宋_GBK"/>
                                <w:szCs w:val="84"/>
                              </w:rPr>
                              <w:t>DB3205</w:t>
                            </w:r>
                          </w:p>
                        </w:txbxContent>
                      </wps:txbx>
                      <wps:bodyPr rot="0" vert="horz" wrap="square" lIns="91440" tIns="45720" rIns="91440" bIns="45720" anchor="t" anchorCtr="false" upright="true">
                        <a:spAutoFit/>
                      </wps:bodyPr>
                    </wps:wsp>
                  </a:graphicData>
                </a:graphic>
              </wp:anchor>
            </w:drawing>
          </mc:Choice>
          <mc:Fallback>
            <w:pict>
              <v:shape id="Text Box 2" o:spid="_x0000_s1026" o:spt="202" type="#_x0000_t202" style="position:absolute;left:0pt;margin-left:296.05pt;margin-top:36.65pt;height:62.4pt;width:291.1pt;mso-position-horizontal-relative:page;mso-position-vertical-relative:page;z-index:251659264;mso-width-relative:page;mso-height-relative:page;" filled="f" stroked="f" coordsize="21600,21600" o:gfxdata="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Hp1+O7YAAAACwEAAA8AAAAAAAAAAQAgAAAAOAAA&#10;AGRycy9kb3ducmV2LnhtbFBLAQIUABQAAAAIAIdO4kDM3w308gEAANMDAAAOAAAAAAAAAAEAIAAA&#10;AD0BAABkcnMvZTJvRG9jLnhtbFBLBQYAAAAABgAGAFkBAAChBQAAAAA=&#10;">
                <v:fill on="f" focussize="0,0"/>
                <v:stroke on="f"/>
                <v:imagedata o:title=""/>
                <o:lock v:ext="edit" aspectratio="f"/>
                <v:textbox style="mso-fit-shape-to-text:t;">
                  <w:txbxContent>
                    <w:p>
                      <w:pPr>
                        <w:pStyle w:val="30"/>
                        <w:shd w:val="clear" w:color="auto" w:fill="auto"/>
                        <w:wordWrap w:val="0"/>
                        <w:ind w:right="471" w:firstLine="625" w:firstLineChars="50"/>
                        <w:jc w:val="both"/>
                        <w:rPr>
                          <w:rFonts w:eastAsia="方正小标宋_GBK"/>
                          <w:sz w:val="84"/>
                          <w:szCs w:val="84"/>
                        </w:rPr>
                      </w:pPr>
                      <w:r>
                        <w:rPr>
                          <w:rFonts w:eastAsia="方正小标宋_GBK"/>
                          <w:szCs w:val="84"/>
                        </w:rPr>
                        <w:t>DB3205</w:t>
                      </w:r>
                    </w:p>
                  </w:txbxContent>
                </v:textbox>
              </v:shape>
            </w:pict>
          </mc:Fallback>
        </mc:AlternateContent>
      </w:r>
      <w:r>
        <w:rPr>
          <w:rFonts w:ascii="黑体" w:hAnsi="黑体" w:eastAsia="黑体" w:cs="Times New Roman"/>
        </w:rPr>
        <w:t xml:space="preserve">ICS </w:t>
      </w:r>
      <w:r>
        <w:rPr>
          <w:rFonts w:hint="eastAsia" w:ascii="黑体" w:hAnsi="黑体" w:eastAsia="黑体" w:cs="Times New Roman"/>
        </w:rPr>
        <w:t>91.140.90</w:t>
      </w:r>
    </w:p>
    <w:p>
      <w:pPr>
        <w:rPr>
          <w:rFonts w:hint="eastAsia" w:ascii="黑体" w:hAnsi="黑体" w:eastAsia="黑体" w:cs="Times New Roman"/>
        </w:rPr>
      </w:pPr>
      <w:r>
        <w:rPr>
          <w:rFonts w:ascii="黑体" w:hAnsi="黑体" w:eastAsia="黑体" w:cs="Times New Roman"/>
        </w:rPr>
        <w:t xml:space="preserve">CCS </w:t>
      </w:r>
      <w:r>
        <w:rPr>
          <w:rFonts w:hint="eastAsia" w:ascii="黑体" w:hAnsi="黑体" w:eastAsia="黑体" w:cs="Times New Roman"/>
        </w:rPr>
        <w:t>Q 78</w:t>
      </w:r>
      <w:r>
        <w:rPr>
          <w:rFonts w:ascii="黑体" w:hAnsi="黑体" w:eastAsia="黑体" w:cs="Times New Roman"/>
        </w:rPr>
        <w:t xml:space="preserve"> </w:t>
      </w:r>
    </w:p>
    <w:p>
      <w:pPr>
        <w:rPr>
          <w:rFonts w:hint="eastAsia" w:ascii="黑体" w:hAnsi="黑体" w:eastAsia="黑体"/>
        </w:rPr>
      </w:pPr>
    </w:p>
    <w:p>
      <w:pPr>
        <w:autoSpaceDE w:val="0"/>
        <w:autoSpaceDN w:val="0"/>
        <w:adjustRightInd w:val="0"/>
        <w:jc w:val="distribute"/>
        <w:rPr>
          <w:rFonts w:ascii="方正小标宋_GBK" w:eastAsia="方正小标宋_GBK" w:cs="Dotum,Bold"/>
          <w:bCs/>
          <w:snapToGrid w:val="0"/>
          <w:kern w:val="0"/>
          <w:sz w:val="52"/>
          <w:szCs w:val="52"/>
        </w:rPr>
      </w:pPr>
      <w:r>
        <w:rPr>
          <w:rFonts w:ascii="黑体" w:hAnsi="黑体" w:eastAsia="黑体"/>
        </w:rPr>
        <mc:AlternateContent>
          <mc:Choice Requires="wps">
            <w:drawing>
              <wp:anchor distT="0" distB="0" distL="114300" distR="114300" simplePos="0" relativeHeight="251662336" behindDoc="0" locked="0" layoutInCell="1" allowOverlap="1">
                <wp:simplePos x="0" y="0"/>
                <wp:positionH relativeFrom="column">
                  <wp:posOffset>80645</wp:posOffset>
                </wp:positionH>
                <wp:positionV relativeFrom="topMargin">
                  <wp:posOffset>1181100</wp:posOffset>
                </wp:positionV>
                <wp:extent cx="6120130" cy="615950"/>
                <wp:effectExtent l="0" t="0" r="0" b="0"/>
                <wp:wrapNone/>
                <wp:docPr id="3" name="Text Box 18"/>
                <wp:cNvGraphicFramePr/>
                <a:graphic xmlns:a="http://schemas.openxmlformats.org/drawingml/2006/main">
                  <a:graphicData uri="http://schemas.microsoft.com/office/word/2010/wordprocessingShape">
                    <wps:wsp>
                      <wps:cNvSpPr txBox="true">
                        <a:spLocks noChangeArrowheads="true"/>
                      </wps:cNvSpPr>
                      <wps:spPr bwMode="auto">
                        <a:xfrm>
                          <a:off x="0" y="0"/>
                          <a:ext cx="6120130" cy="615950"/>
                        </a:xfrm>
                        <a:prstGeom prst="rect">
                          <a:avLst/>
                        </a:prstGeom>
                        <a:noFill/>
                        <a:ln w="0">
                          <a:noFill/>
                          <a:miter lim="800000"/>
                        </a:ln>
                      </wps:spPr>
                      <wps:txbx>
                        <w:txbxContent>
                          <w:p>
                            <w:pPr>
                              <w:jc w:val="distribute"/>
                            </w:pPr>
                            <w:r>
                              <w:rPr>
                                <w:rFonts w:hint="eastAsia" w:ascii="方正小标宋_GBK" w:hAnsi="宋体" w:eastAsia="方正小标宋_GBK" w:cs="SimSun,Bold"/>
                                <w:bCs/>
                                <w:snapToGrid w:val="0"/>
                                <w:kern w:val="0"/>
                                <w:sz w:val="52"/>
                                <w:szCs w:val="52"/>
                              </w:rPr>
                              <w:t>苏州市地方标准</w:t>
                            </w:r>
                          </w:p>
                        </w:txbxContent>
                      </wps:txbx>
                      <wps:bodyPr rot="0" vert="horz" wrap="square" lIns="91440" tIns="45720" rIns="91440" bIns="45720" anchor="t" anchorCtr="false" upright="true">
                        <a:noAutofit/>
                      </wps:bodyPr>
                    </wps:wsp>
                  </a:graphicData>
                </a:graphic>
              </wp:anchor>
            </w:drawing>
          </mc:Choice>
          <mc:Fallback>
            <w:pict>
              <v:shape id="Text Box 18" o:spid="_x0000_s1026" o:spt="202" type="#_x0000_t202" style="position:absolute;left:0pt;margin-left:77.25pt;margin-top:93pt;height:48.5pt;width:481.9pt;mso-position-horizontal-relative:page;mso-position-vertical-relative:page;z-index:251662336;mso-width-relative:page;mso-height-relative:page;" filled="f" stroked="f" coordsize="21600,21600" o:gfxdata="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p6icQ9gAAAAKAQAA&#10;DwAAAAAAAAABACAAAAA4AAAAZHJzL2Rvd25yZXYueG1sUEsBAhQAFAAAAAgAh07iQGuVgo4DAgAA&#10;8QMAAA4AAAAAAAAAAQAgAAAAPQEAAGRycy9lMm9Eb2MueG1sUEsFBgAAAAAGAAYAWQEAALIFAAAA&#10;AA==&#10;">
                <v:fill on="f" focussize="0,0"/>
                <v:stroke on="f" weight="0pt" miterlimit="8" joinstyle="miter"/>
                <v:imagedata o:title=""/>
                <o:lock v:ext="edit" aspectratio="f"/>
                <v:textbox>
                  <w:txbxContent>
                    <w:p>
                      <w:pPr>
                        <w:jc w:val="distribute"/>
                      </w:pPr>
                      <w:r>
                        <w:rPr>
                          <w:rFonts w:hint="eastAsia" w:ascii="方正小标宋_GBK" w:hAnsi="宋体" w:eastAsia="方正小标宋_GBK" w:cs="SimSun,Bold"/>
                          <w:bCs/>
                          <w:snapToGrid w:val="0"/>
                          <w:kern w:val="0"/>
                          <w:sz w:val="52"/>
                          <w:szCs w:val="52"/>
                        </w:rPr>
                        <w:t>苏州市地方标准</w:t>
                      </w:r>
                    </w:p>
                  </w:txbxContent>
                </v:textbox>
              </v:shape>
            </w:pict>
          </mc:Fallback>
        </mc:AlternateContent>
      </w:r>
    </w:p>
    <w:p>
      <w:pPr>
        <w:spacing w:line="510" w:lineRule="exact"/>
        <w:rPr>
          <w:rFonts w:hint="eastAsia" w:ascii="黑体" w:hAnsi="黑体" w:eastAsia="黑体"/>
          <w:kern w:val="0"/>
          <w:sz w:val="28"/>
          <w:szCs w:val="28"/>
        </w:rPr>
      </w:pPr>
      <w:r>
        <w:rPr>
          <w:rFonts w:hint="eastAsia" w:ascii="黑体" w:hAnsi="黑体" w:eastAsia="黑体"/>
        </w:rPr>
        <w:t xml:space="preserve">                                                                   </w:t>
      </w:r>
      <w:r>
        <w:rPr>
          <w:rFonts w:hint="eastAsia" w:ascii="黑体" w:hAnsi="黑体" w:eastAsia="黑体"/>
          <w:kern w:val="0"/>
          <w:sz w:val="28"/>
          <w:szCs w:val="28"/>
        </w:rPr>
        <w:t xml:space="preserve">  </w:t>
      </w:r>
    </w:p>
    <w:p>
      <w:pPr>
        <w:autoSpaceDE w:val="0"/>
        <w:autoSpaceDN w:val="0"/>
        <w:adjustRightInd w:val="0"/>
        <w:spacing w:line="3686" w:lineRule="exact"/>
        <w:jc w:val="center"/>
        <w:rPr>
          <w:rFonts w:hint="eastAsia" w:ascii="黑体" w:hAnsi="黑体" w:eastAsia="黑体"/>
        </w:rPr>
      </w:pPr>
      <w:r>
        <w:rPr>
          <w:rFonts w:ascii="黑体" w:hAnsi="黑体" w:eastAsia="黑体"/>
        </w:rPr>
        <mc:AlternateContent>
          <mc:Choice Requires="wps">
            <w:drawing>
              <wp:anchor distT="0" distB="0" distL="114300" distR="114300" simplePos="0" relativeHeight="251663360" behindDoc="0" locked="0" layoutInCell="1" allowOverlap="1">
                <wp:simplePos x="0" y="0"/>
                <wp:positionH relativeFrom="rightMargin">
                  <wp:posOffset>-1779270</wp:posOffset>
                </wp:positionH>
                <wp:positionV relativeFrom="topMargin">
                  <wp:posOffset>2238375</wp:posOffset>
                </wp:positionV>
                <wp:extent cx="1927225" cy="304800"/>
                <wp:effectExtent l="0" t="0" r="0" b="0"/>
                <wp:wrapNone/>
                <wp:docPr id="6" name="Text Box 19"/>
                <wp:cNvGraphicFramePr/>
                <a:graphic xmlns:a="http://schemas.openxmlformats.org/drawingml/2006/main">
                  <a:graphicData uri="http://schemas.microsoft.com/office/word/2010/wordprocessingShape">
                    <wps:wsp>
                      <wps:cNvSpPr txBox="true">
                        <a:spLocks noChangeArrowheads="true"/>
                      </wps:cNvSpPr>
                      <wps:spPr bwMode="auto">
                        <a:xfrm>
                          <a:off x="0" y="0"/>
                          <a:ext cx="1927344" cy="304800"/>
                        </a:xfrm>
                        <a:prstGeom prst="rect">
                          <a:avLst/>
                        </a:prstGeom>
                        <a:noFill/>
                        <a:ln w="0">
                          <a:noFill/>
                          <a:miter lim="800000"/>
                        </a:ln>
                      </wps:spPr>
                      <wps:txbx>
                        <w:txbxContent>
                          <w:p>
                            <w:pPr>
                              <w:spacing w:line="400" w:lineRule="exact"/>
                              <w:jc w:val="left"/>
                              <w:rPr>
                                <w:rFonts w:hint="default" w:ascii="黑体" w:hAnsi="黑体" w:eastAsia="黑体"/>
                                <w:kern w:val="0"/>
                                <w:sz w:val="28"/>
                                <w:szCs w:val="28"/>
                                <w:lang w:val="en-US" w:eastAsia="zh-CN"/>
                              </w:rPr>
                            </w:pPr>
                            <w:r>
                              <w:rPr>
                                <w:rFonts w:ascii="黑体" w:hAnsi="黑体" w:eastAsia="黑体"/>
                                <w:kern w:val="0"/>
                                <w:sz w:val="28"/>
                                <w:szCs w:val="28"/>
                              </w:rPr>
                              <w:t>DB3205/T XXX</w:t>
                            </w:r>
                            <w:r>
                              <w:rPr>
                                <w:rFonts w:hint="eastAsia" w:ascii="黑体" w:hAnsi="黑体" w:eastAsia="黑体"/>
                                <w:kern w:val="0"/>
                                <w:sz w:val="28"/>
                                <w:szCs w:val="28"/>
                              </w:rPr>
                              <w:t>—</w:t>
                            </w:r>
                            <w:r>
                              <w:rPr>
                                <w:rFonts w:hint="eastAsia" w:ascii="黑体" w:hAnsi="黑体" w:eastAsia="黑体"/>
                                <w:kern w:val="0"/>
                                <w:sz w:val="28"/>
                                <w:szCs w:val="28"/>
                                <w:lang w:val="en-US" w:eastAsia="zh-CN"/>
                              </w:rPr>
                              <w:t>2025</w:t>
                            </w:r>
                          </w:p>
                        </w:txbxContent>
                      </wps:txbx>
                      <wps:bodyPr rot="0" vert="horz" wrap="square" lIns="91440" tIns="45720" rIns="91440" bIns="45720" anchor="t" anchorCtr="false" upright="true">
                        <a:noAutofit/>
                      </wps:bodyPr>
                    </wps:wsp>
                  </a:graphicData>
                </a:graphic>
              </wp:anchor>
            </w:drawing>
          </mc:Choice>
          <mc:Fallback>
            <w:pict>
              <v:shape id="Text Box 19" o:spid="_x0000_s1026" o:spt="202" type="#_x0000_t202" style="position:absolute;left:0pt;margin-left:412.65pt;margin-top:176.25pt;height:24pt;width:151.75pt;mso-position-horizontal-relative:page;mso-position-vertical-relative:page;z-index:251663360;mso-width-relative:page;mso-height-relative:page;" filled="f" stroked="f" coordsize="21600,21600" o:gfxdata="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FgAAAGRycy9QSwECFAAUAAAACACHTuJA7lexa9oAAAAL&#10;AQAADwAAAAAAAAABACAAAAA4AAAAZHJzL2Rvd25yZXYueG1sUEsBAhQAFAAAAAgAh07iQHyvKe0E&#10;AgAA8QMAAA4AAAAAAAAAAQAgAAAAPwEAAGRycy9lMm9Eb2MueG1sUEsFBgAAAAAGAAYAWQEAALUF&#10;AAAAAA==&#10;">
                <v:fill on="f" focussize="0,0"/>
                <v:stroke on="f" weight="0pt" miterlimit="8" joinstyle="miter"/>
                <v:imagedata o:title=""/>
                <o:lock v:ext="edit" aspectratio="f"/>
                <v:textbox>
                  <w:txbxContent>
                    <w:p>
                      <w:pPr>
                        <w:spacing w:line="400" w:lineRule="exact"/>
                        <w:jc w:val="left"/>
                        <w:rPr>
                          <w:rFonts w:hint="default" w:ascii="黑体" w:hAnsi="黑体" w:eastAsia="黑体"/>
                          <w:kern w:val="0"/>
                          <w:sz w:val="28"/>
                          <w:szCs w:val="28"/>
                          <w:lang w:val="en-US" w:eastAsia="zh-CN"/>
                        </w:rPr>
                      </w:pPr>
                      <w:r>
                        <w:rPr>
                          <w:rFonts w:ascii="黑体" w:hAnsi="黑体" w:eastAsia="黑体"/>
                          <w:kern w:val="0"/>
                          <w:sz w:val="28"/>
                          <w:szCs w:val="28"/>
                        </w:rPr>
                        <w:t>DB3205/T XXX</w:t>
                      </w:r>
                      <w:r>
                        <w:rPr>
                          <w:rFonts w:hint="eastAsia" w:ascii="黑体" w:hAnsi="黑体" w:eastAsia="黑体"/>
                          <w:kern w:val="0"/>
                          <w:sz w:val="28"/>
                          <w:szCs w:val="28"/>
                        </w:rPr>
                        <w:t>—</w:t>
                      </w:r>
                      <w:r>
                        <w:rPr>
                          <w:rFonts w:hint="eastAsia" w:ascii="黑体" w:hAnsi="黑体" w:eastAsia="黑体"/>
                          <w:kern w:val="0"/>
                          <w:sz w:val="28"/>
                          <w:szCs w:val="28"/>
                          <w:lang w:val="en-US" w:eastAsia="zh-CN"/>
                        </w:rPr>
                        <w:t>2025</w:t>
                      </w:r>
                    </w:p>
                  </w:txbxContent>
                </v:textbox>
              </v:shape>
            </w:pict>
          </mc:Fallback>
        </mc:AlternateContent>
      </w:r>
      <w:r>
        <w:rPr>
          <w:rFonts w:ascii="黑体" w:hAnsi="黑体" w:eastAsia="黑体"/>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topMargin">
                  <wp:posOffset>2708910</wp:posOffset>
                </wp:positionV>
                <wp:extent cx="6115050" cy="0"/>
                <wp:effectExtent l="14605" t="13335" r="13970" b="15240"/>
                <wp:wrapNone/>
                <wp:docPr id="5"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70.9pt;margin-top:213.3pt;height:0pt;width:481.5pt;mso-position-horizontal-relative:page;mso-position-vertical-relative:page;z-index:251660288;mso-width-relative:page;mso-height-relative:page;" filled="f" stroked="t" coordsize="21600,21600" o:gfxdata="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CIy4Wx0wAAAAgBAAAPAAAAAAAAAAEAIAAAADgAAABk&#10;cnMvZG93bnJldi54bWxQSwECFAAUAAAACACHTuJAOWU6U7wBAABpAwAADgAAAAAAAAABACAAAAA4&#10;AQAAZHJzL2Uyb0RvYy54bWxQSwUGAAAAAAYABgBZAQAAZgUAAAAA&#10;">
                <v:fill on="f" focussize="0,0"/>
                <v:stroke weight="1pt" color="#000000" joinstyle="round"/>
                <v:imagedata o:title=""/>
                <o:lock v:ext="edit" aspectratio="f"/>
              </v:shape>
            </w:pict>
          </mc:Fallback>
        </mc:AlternateContent>
      </w:r>
      <w:r>
        <w:rPr>
          <w:rFonts w:ascii="黑体" w:hAnsi="黑体" w:eastAsia="黑体"/>
        </w:rPr>
        <mc:AlternateContent>
          <mc:Choice Requires="wps">
            <w:drawing>
              <wp:anchor distT="0" distB="0" distL="114300" distR="114300" simplePos="0" relativeHeight="251661312" behindDoc="0" locked="0" layoutInCell="1" allowOverlap="1">
                <wp:simplePos x="0" y="0"/>
                <wp:positionH relativeFrom="column">
                  <wp:posOffset>80645</wp:posOffset>
                </wp:positionH>
                <wp:positionV relativeFrom="topMargin">
                  <wp:posOffset>4140835</wp:posOffset>
                </wp:positionV>
                <wp:extent cx="5924550" cy="3248025"/>
                <wp:effectExtent l="0" t="0" r="0" b="0"/>
                <wp:wrapNone/>
                <wp:docPr id="4" name="Text Box 17"/>
                <wp:cNvGraphicFramePr/>
                <a:graphic xmlns:a="http://schemas.openxmlformats.org/drawingml/2006/main">
                  <a:graphicData uri="http://schemas.microsoft.com/office/word/2010/wordprocessingShape">
                    <wps:wsp>
                      <wps:cNvSpPr txBox="true">
                        <a:spLocks noChangeArrowheads="true"/>
                      </wps:cNvSpPr>
                      <wps:spPr bwMode="auto">
                        <a:xfrm>
                          <a:off x="0" y="0"/>
                          <a:ext cx="5924550" cy="3248025"/>
                        </a:xfrm>
                        <a:prstGeom prst="rect">
                          <a:avLst/>
                        </a:prstGeom>
                        <a:noFill/>
                        <a:ln w="0">
                          <a:noFill/>
                          <a:miter lim="800000"/>
                        </a:ln>
                      </wps:spPr>
                      <wps:txbx>
                        <w:txbxContent>
                          <w:p>
                            <w:pPr>
                              <w:pStyle w:val="79"/>
                              <w:rPr>
                                <w:rFonts w:hint="eastAsia"/>
                                <w:color w:val="000000" w:themeColor="text1"/>
                                <w:szCs w:val="28"/>
                                <w14:textFill>
                                  <w14:solidFill>
                                    <w14:schemeClr w14:val="tx1"/>
                                  </w14:solidFill>
                                </w14:textFill>
                              </w:rPr>
                            </w:pPr>
                            <w:r>
                              <w:rPr>
                                <w:rFonts w:hint="eastAsia"/>
                                <w:color w:val="000000" w:themeColor="text1"/>
                                <w:szCs w:val="28"/>
                                <w14:textFill>
                                  <w14:solidFill>
                                    <w14:schemeClr w14:val="tx1"/>
                                  </w14:solidFill>
                                </w14:textFill>
                              </w:rPr>
                              <w:t>城市电梯智慧安全服务平台</w:t>
                            </w:r>
                          </w:p>
                          <w:p>
                            <w:pPr>
                              <w:pStyle w:val="79"/>
                              <w:rPr>
                                <w:rFonts w:hint="eastAsia"/>
                                <w:color w:val="000000" w:themeColor="text1"/>
                                <w14:textFill>
                                  <w14:solidFill>
                                    <w14:schemeClr w14:val="tx1"/>
                                  </w14:solidFill>
                                </w14:textFill>
                              </w:rPr>
                            </w:pPr>
                            <w:r>
                              <w:rPr>
                                <w:rFonts w:hint="eastAsia"/>
                                <w:color w:val="000000" w:themeColor="text1"/>
                                <w:szCs w:val="28"/>
                                <w14:textFill>
                                  <w14:solidFill>
                                    <w14:schemeClr w14:val="tx1"/>
                                  </w14:solidFill>
                                </w14:textFill>
                              </w:rPr>
                              <w:t>建设运行规范</w:t>
                            </w:r>
                          </w:p>
                          <w:p>
                            <w:pPr>
                              <w:jc w:val="center"/>
                              <w:rPr>
                                <w:rFonts w:hint="eastAsia" w:ascii="黑体" w:hAnsi="黑体" w:eastAsia="黑体"/>
                                <w:kern w:val="0"/>
                                <w:sz w:val="28"/>
                                <w:szCs w:val="21"/>
                                <w:lang w:val="en-US" w:eastAsia="zh-CN"/>
                              </w:rPr>
                            </w:pPr>
                            <w:r>
                              <w:rPr>
                                <w:rFonts w:hint="eastAsia" w:ascii="黑体" w:hAnsi="黑体" w:eastAsia="黑体"/>
                                <w:kern w:val="0"/>
                                <w:sz w:val="28"/>
                                <w:szCs w:val="21"/>
                                <w:lang w:val="en-US" w:eastAsia="zh-CN"/>
                              </w:rPr>
                              <w:t>Specification of the construction and operation of urban elevator intelligent safety service platform</w:t>
                            </w:r>
                          </w:p>
                          <w:p>
                            <w:pPr>
                              <w:jc w:val="center"/>
                              <w:rPr>
                                <w:rFonts w:hint="eastAsia" w:asciiTheme="minorEastAsia" w:hAnsiTheme="minorEastAsia"/>
                                <w:sz w:val="24"/>
                              </w:rPr>
                            </w:pPr>
                            <w:r>
                              <w:rPr>
                                <w:rFonts w:hint="eastAsia" w:asciiTheme="minorEastAsia" w:hAnsiTheme="minorEastAsia"/>
                                <w:sz w:val="24"/>
                              </w:rPr>
                              <w:t>（报批稿）</w:t>
                            </w:r>
                          </w:p>
                        </w:txbxContent>
                      </wps:txbx>
                      <wps:bodyPr rot="0" vert="horz" wrap="square" lIns="91440" tIns="45720" rIns="91440" bIns="45720" anchor="t" anchorCtr="false" upright="true">
                        <a:noAutofit/>
                      </wps:bodyPr>
                    </wps:wsp>
                  </a:graphicData>
                </a:graphic>
              </wp:anchor>
            </w:drawing>
          </mc:Choice>
          <mc:Fallback>
            <w:pict>
              <v:shape id="Text Box 17" o:spid="_x0000_s1026" o:spt="202" type="#_x0000_t202" style="position:absolute;left:0pt;margin-left:77.25pt;margin-top:326.05pt;height:255.75pt;width:466.5pt;mso-position-horizontal-relative:page;mso-position-vertical-relative:page;z-index:251661312;mso-width-relative:page;mso-height-relative:page;" filled="f" stroked="f" coordsize="21600,21600" o:gfxdata="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hzBuOtkAAAALAQAA&#10;DwAAAAAAAAABACAAAAA4AAAAZHJzL2Rvd25yZXYueG1sUEsBAhQAFAAAAAgAh07iQJkxDzQCAgAA&#10;8gMAAA4AAAAAAAAAAQAgAAAAPgEAAGRycy9lMm9Eb2MueG1sUEsFBgAAAAAGAAYAWQEAALIFAAAA&#10;AA==&#10;">
                <v:fill on="f" focussize="0,0"/>
                <v:stroke on="f" weight="0pt" miterlimit="8" joinstyle="miter"/>
                <v:imagedata o:title=""/>
                <o:lock v:ext="edit" aspectratio="f"/>
                <v:textbox>
                  <w:txbxContent>
                    <w:p>
                      <w:pPr>
                        <w:pStyle w:val="79"/>
                        <w:rPr>
                          <w:rFonts w:hint="eastAsia"/>
                          <w:color w:val="000000" w:themeColor="text1"/>
                          <w:szCs w:val="28"/>
                          <w14:textFill>
                            <w14:solidFill>
                              <w14:schemeClr w14:val="tx1"/>
                            </w14:solidFill>
                          </w14:textFill>
                        </w:rPr>
                      </w:pPr>
                      <w:r>
                        <w:rPr>
                          <w:rFonts w:hint="eastAsia"/>
                          <w:color w:val="000000" w:themeColor="text1"/>
                          <w:szCs w:val="28"/>
                          <w14:textFill>
                            <w14:solidFill>
                              <w14:schemeClr w14:val="tx1"/>
                            </w14:solidFill>
                          </w14:textFill>
                        </w:rPr>
                        <w:t>城市电梯智慧安全服务平台</w:t>
                      </w:r>
                    </w:p>
                    <w:p>
                      <w:pPr>
                        <w:pStyle w:val="79"/>
                        <w:rPr>
                          <w:rFonts w:hint="eastAsia"/>
                          <w:color w:val="000000" w:themeColor="text1"/>
                          <w14:textFill>
                            <w14:solidFill>
                              <w14:schemeClr w14:val="tx1"/>
                            </w14:solidFill>
                          </w14:textFill>
                        </w:rPr>
                      </w:pPr>
                      <w:r>
                        <w:rPr>
                          <w:rFonts w:hint="eastAsia"/>
                          <w:color w:val="000000" w:themeColor="text1"/>
                          <w:szCs w:val="28"/>
                          <w14:textFill>
                            <w14:solidFill>
                              <w14:schemeClr w14:val="tx1"/>
                            </w14:solidFill>
                          </w14:textFill>
                        </w:rPr>
                        <w:t>建设运行规范</w:t>
                      </w:r>
                    </w:p>
                    <w:p>
                      <w:pPr>
                        <w:jc w:val="center"/>
                        <w:rPr>
                          <w:rFonts w:hint="eastAsia" w:ascii="黑体" w:hAnsi="黑体" w:eastAsia="黑体"/>
                          <w:kern w:val="0"/>
                          <w:sz w:val="28"/>
                          <w:szCs w:val="21"/>
                          <w:lang w:val="en-US" w:eastAsia="zh-CN"/>
                        </w:rPr>
                      </w:pPr>
                      <w:r>
                        <w:rPr>
                          <w:rFonts w:hint="eastAsia" w:ascii="黑体" w:hAnsi="黑体" w:eastAsia="黑体"/>
                          <w:kern w:val="0"/>
                          <w:sz w:val="28"/>
                          <w:szCs w:val="21"/>
                          <w:lang w:val="en-US" w:eastAsia="zh-CN"/>
                        </w:rPr>
                        <w:t>Specification of the construction and operation of urban elevator intelligent safety service platform</w:t>
                      </w:r>
                    </w:p>
                    <w:p>
                      <w:pPr>
                        <w:jc w:val="center"/>
                        <w:rPr>
                          <w:rFonts w:hint="eastAsia" w:asciiTheme="minorEastAsia" w:hAnsiTheme="minorEastAsia"/>
                          <w:sz w:val="24"/>
                        </w:rPr>
                      </w:pPr>
                      <w:r>
                        <w:rPr>
                          <w:rFonts w:hint="eastAsia" w:asciiTheme="minorEastAsia" w:hAnsiTheme="minorEastAsia"/>
                          <w:sz w:val="24"/>
                        </w:rPr>
                        <w:t>（报批稿）</w:t>
                      </w:r>
                    </w:p>
                  </w:txbxContent>
                </v:textbox>
              </v:shape>
            </w:pict>
          </mc:Fallback>
        </mc:AlternateContent>
      </w: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r>
        <w:rPr>
          <w:rFonts w:hint="eastAsia" w:ascii="黑体" w:hAnsi="黑体" w:eastAsia="黑体"/>
        </w:rPr>
        <w:t xml:space="preserve">                                                                                          </w:t>
      </w:r>
    </w:p>
    <w:p>
      <w:pPr>
        <w:pStyle w:val="2"/>
      </w:pPr>
    </w:p>
    <w:p>
      <w:pPr>
        <w:pStyle w:val="2"/>
      </w:pPr>
    </w:p>
    <w:p>
      <w:pPr>
        <w:pStyle w:val="2"/>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sz w:val="28"/>
          <w:szCs w:val="28"/>
        </w:rPr>
      </w:pPr>
      <w:r>
        <w:rPr>
          <w:rFonts w:ascii="黑体" w:hAnsi="黑体" w:eastAsia="黑体"/>
          <w:sz w:val="28"/>
          <w:szCs w:val="28"/>
        </w:rPr>
        <mc:AlternateContent>
          <mc:Choice Requires="wps">
            <w:drawing>
              <wp:anchor distT="0" distB="0" distL="114300" distR="114300" simplePos="0" relativeHeight="251664384" behindDoc="0" locked="0" layoutInCell="1" allowOverlap="1">
                <wp:simplePos x="0" y="0"/>
                <wp:positionH relativeFrom="margin">
                  <wp:posOffset>-14605</wp:posOffset>
                </wp:positionH>
                <wp:positionV relativeFrom="topMargin">
                  <wp:posOffset>9133205</wp:posOffset>
                </wp:positionV>
                <wp:extent cx="6115050" cy="0"/>
                <wp:effectExtent l="0" t="0" r="19050" b="19050"/>
                <wp:wrapNone/>
                <wp:docPr id="8"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69.75pt;margin-top:719.15pt;height:0pt;width:481.5pt;mso-position-horizontal-relative:page;mso-position-vertical-relative:page;z-index:251664384;mso-width-relative:page;mso-height-relative:page;" filled="f" stroked="t" coordsize="21600,21600" o:gfxdata="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CvMgXH1gAAAAwBAAAPAAAAAAAAAAEAIAAAADgA&#10;AABkcnMvZG93bnJldi54bWxQSwECFAAUAAAACACHTuJAbdKPlLwBAABpAwAADgAAAAAAAAABACAA&#10;AAA7AQAAZHJzL2Uyb0RvYy54bWxQSwUGAAAAAAYABgBZAQAAaQUAAAAA&#10;">
                <v:fill on="f" focussize="0,0"/>
                <v:stroke weight="1pt" color="#000000" joinstyle="round"/>
                <v:imagedata o:title=""/>
                <o:lock v:ext="edit" aspectratio="f"/>
              </v:shape>
            </w:pict>
          </mc:Fallback>
        </mc:AlternateContent>
      </w:r>
      <w:r>
        <w:rPr>
          <w:rFonts w:hint="eastAsia" w:ascii="黑体" w:hAnsi="黑体" w:eastAsia="黑体"/>
          <w:sz w:val="28"/>
          <w:szCs w:val="28"/>
        </w:rPr>
        <w:t>2025-XX-XX发布                                       2025-XX-XX实施</w:t>
      </w:r>
    </w:p>
    <w:p>
      <w:pPr>
        <w:spacing w:line="1247" w:lineRule="exact"/>
        <w:jc w:val="center"/>
        <w:rPr>
          <w:rFonts w:hint="eastAsia" w:ascii="黑体" w:hAnsi="黑体" w:eastAsia="黑体"/>
          <w:sz w:val="28"/>
          <w:szCs w:val="28"/>
        </w:rPr>
      </w:pPr>
      <w:bookmarkStart w:id="0" w:name="_Toc3547"/>
      <w:bookmarkStart w:id="1" w:name="_Toc18385"/>
      <w:r>
        <w:rPr>
          <w:rFonts w:hint="eastAsia" w:ascii="方正小标宋_GBK" w:eastAsia="方正小标宋_GBK"/>
          <w:sz w:val="44"/>
          <w:szCs w:val="44"/>
        </w:rPr>
        <w:t>苏州市市场监督管理局</w:t>
      </w:r>
      <w:r>
        <w:rPr>
          <w:rFonts w:hint="eastAsia" w:ascii="方正小标宋_GBK" w:hAnsi="宋体" w:eastAsia="方正小标宋_GBK" w:cs="SimSun,Bold"/>
          <w:bCs/>
          <w:snapToGrid w:val="0"/>
          <w:kern w:val="0"/>
          <w:sz w:val="44"/>
          <w:szCs w:val="52"/>
        </w:rPr>
        <w:t xml:space="preserve">  </w:t>
      </w:r>
      <w:r>
        <w:rPr>
          <w:rFonts w:hint="eastAsia" w:ascii="黑体" w:hAnsi="黑体" w:eastAsia="黑体"/>
          <w:sz w:val="28"/>
          <w:szCs w:val="28"/>
        </w:rPr>
        <w:t>发 布</w:t>
      </w:r>
      <w:bookmarkEnd w:id="0"/>
      <w:bookmarkEnd w:id="1"/>
    </w:p>
    <w:p>
      <w:pPr>
        <w:pStyle w:val="2"/>
      </w:pPr>
    </w:p>
    <w:p>
      <w:pPr>
        <w:rPr>
          <w:rFonts w:hint="eastAsia" w:ascii="黑体" w:hAnsi="黑体" w:eastAsia="黑体"/>
          <w:sz w:val="28"/>
          <w:szCs w:val="28"/>
        </w:rPr>
        <w:sectPr>
          <w:headerReference r:id="rId3" w:type="default"/>
          <w:pgSz w:w="11906" w:h="16838"/>
          <w:pgMar w:top="567" w:right="851" w:bottom="1134" w:left="1418" w:header="0" w:footer="0" w:gutter="0"/>
          <w:cols w:space="425" w:num="1"/>
          <w:docGrid w:type="lines" w:linePitch="312" w:charSpace="0"/>
        </w:sectPr>
      </w:pPr>
    </w:p>
    <w:p>
      <w:pPr>
        <w:snapToGrid w:val="0"/>
        <w:spacing w:before="567" w:after="680"/>
        <w:jc w:val="center"/>
        <w:rPr>
          <w:rFonts w:hint="eastAsia" w:ascii="黑体" w:hAnsi="黑体" w:eastAsia="黑体"/>
          <w:sz w:val="32"/>
          <w:szCs w:val="32"/>
        </w:rPr>
      </w:pPr>
      <w:r>
        <w:rPr>
          <w:rFonts w:hint="eastAsia" w:ascii="黑体" w:hAnsi="黑体" w:eastAsia="黑体"/>
          <w:sz w:val="32"/>
          <w:szCs w:val="32"/>
        </w:rPr>
        <w:t>目</w:t>
      </w:r>
      <w:r>
        <w:rPr>
          <w:rFonts w:hint="eastAsia" w:ascii="黑体" w:hAnsi="黑体" w:eastAsia="黑体"/>
          <w:bCs/>
          <w:sz w:val="32"/>
          <w:szCs w:val="32"/>
        </w:rPr>
        <w:t xml:space="preserve">    </w:t>
      </w:r>
      <w:r>
        <w:rPr>
          <w:rFonts w:hint="eastAsia" w:ascii="黑体" w:hAnsi="黑体" w:eastAsia="黑体"/>
          <w:sz w:val="32"/>
          <w:szCs w:val="32"/>
        </w:rPr>
        <w:t>次</w:t>
      </w:r>
    </w:p>
    <w:p>
      <w:pPr>
        <w:pStyle w:val="15"/>
        <w:tabs>
          <w:tab w:val="right" w:leader="dot" w:pos="9354"/>
        </w:tabs>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TOC \o "1-3" \h \z \u </w:instrText>
      </w:r>
      <w:r>
        <w:rPr>
          <w:rFonts w:hint="eastAsia" w:ascii="宋体" w:hAnsi="宋体" w:eastAsia="宋体" w:cs="宋体"/>
          <w:szCs w:val="21"/>
        </w:rPr>
        <w:fldChar w:fldCharType="separate"/>
      </w:r>
      <w:r>
        <w:fldChar w:fldCharType="begin"/>
      </w:r>
      <w:r>
        <w:instrText xml:space="preserve"> HYPERLINK \l "_Toc17176" </w:instrText>
      </w:r>
      <w:r>
        <w:fldChar w:fldCharType="separate"/>
      </w:r>
      <w:r>
        <w:rPr>
          <w:rFonts w:hint="eastAsia" w:ascii="宋体" w:hAnsi="宋体" w:eastAsia="宋体" w:cs="宋体"/>
          <w:szCs w:val="21"/>
        </w:rPr>
        <w:t>前言</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_Toc17176 \h </w:instrText>
      </w:r>
      <w:r>
        <w:rPr>
          <w:rFonts w:hint="eastAsia" w:ascii="宋体" w:hAnsi="宋体" w:eastAsia="宋体" w:cs="宋体"/>
          <w:szCs w:val="21"/>
        </w:rPr>
        <w:fldChar w:fldCharType="separate"/>
      </w:r>
      <w:r>
        <w:rPr>
          <w:rFonts w:hint="eastAsia" w:ascii="宋体" w:hAnsi="宋体" w:eastAsia="宋体" w:cs="宋体"/>
          <w:szCs w:val="21"/>
        </w:rPr>
        <w:t>II</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szCs w:val="21"/>
        </w:rPr>
      </w:pPr>
      <w:r>
        <w:fldChar w:fldCharType="begin"/>
      </w:r>
      <w:r>
        <w:instrText xml:space="preserve"> HYPERLINK \l "_Toc30293" </w:instrText>
      </w:r>
      <w:r>
        <w:fldChar w:fldCharType="separate"/>
      </w:r>
      <w:r>
        <w:rPr>
          <w:rFonts w:hint="eastAsia" w:ascii="宋体" w:hAnsi="宋体" w:eastAsia="宋体" w:cs="宋体"/>
          <w:szCs w:val="21"/>
        </w:rPr>
        <w:t>引言</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_Toc30293 \h </w:instrText>
      </w:r>
      <w:r>
        <w:rPr>
          <w:rFonts w:hint="eastAsia" w:ascii="宋体" w:hAnsi="宋体" w:eastAsia="宋体" w:cs="宋体"/>
          <w:szCs w:val="21"/>
        </w:rPr>
        <w:fldChar w:fldCharType="separate"/>
      </w:r>
      <w:r>
        <w:rPr>
          <w:rFonts w:hint="eastAsia" w:ascii="宋体" w:hAnsi="宋体" w:eastAsia="宋体" w:cs="宋体"/>
          <w:szCs w:val="21"/>
        </w:rPr>
        <w:t>III</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szCs w:val="21"/>
        </w:rPr>
      </w:pPr>
      <w:r>
        <w:fldChar w:fldCharType="begin"/>
      </w:r>
      <w:r>
        <w:instrText xml:space="preserve"> HYPERLINK \l "_Toc20502" </w:instrText>
      </w:r>
      <w:r>
        <w:fldChar w:fldCharType="separate"/>
      </w:r>
      <w:r>
        <w:rPr>
          <w:rFonts w:hint="eastAsia" w:ascii="宋体" w:hAnsi="宋体" w:eastAsia="宋体" w:cs="宋体"/>
          <w:szCs w:val="21"/>
        </w:rPr>
        <w:t>1  范围</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_Toc20502 \h </w:instrText>
      </w:r>
      <w:r>
        <w:rPr>
          <w:rFonts w:hint="eastAsia" w:ascii="宋体" w:hAnsi="宋体" w:eastAsia="宋体" w:cs="宋体"/>
          <w:szCs w:val="21"/>
        </w:rPr>
        <w:fldChar w:fldCharType="separate"/>
      </w:r>
      <w:r>
        <w:rPr>
          <w:rFonts w:hint="eastAsia" w:ascii="宋体" w:hAnsi="宋体" w:eastAsia="宋体" w:cs="宋体"/>
          <w:szCs w:val="21"/>
        </w:rPr>
        <w:t>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szCs w:val="21"/>
        </w:rPr>
      </w:pPr>
      <w:r>
        <w:fldChar w:fldCharType="begin"/>
      </w:r>
      <w:r>
        <w:instrText xml:space="preserve"> HYPERLINK \l "_Toc1818" </w:instrText>
      </w:r>
      <w:r>
        <w:fldChar w:fldCharType="separate"/>
      </w:r>
      <w:r>
        <w:rPr>
          <w:rFonts w:hint="eastAsia" w:ascii="宋体" w:hAnsi="宋体" w:eastAsia="宋体" w:cs="宋体"/>
          <w:szCs w:val="21"/>
        </w:rPr>
        <w:t>2  规范性引用文件</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_Toc1818 \h </w:instrText>
      </w:r>
      <w:r>
        <w:rPr>
          <w:rFonts w:hint="eastAsia" w:ascii="宋体" w:hAnsi="宋体" w:eastAsia="宋体" w:cs="宋体"/>
          <w:szCs w:val="21"/>
        </w:rPr>
        <w:fldChar w:fldCharType="separate"/>
      </w:r>
      <w:r>
        <w:rPr>
          <w:rFonts w:hint="eastAsia" w:ascii="宋体" w:hAnsi="宋体" w:eastAsia="宋体" w:cs="宋体"/>
          <w:szCs w:val="21"/>
        </w:rPr>
        <w:t>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szCs w:val="21"/>
        </w:rPr>
      </w:pPr>
      <w:r>
        <w:fldChar w:fldCharType="begin"/>
      </w:r>
      <w:r>
        <w:instrText xml:space="preserve"> HYPERLINK \l "_Toc31015" </w:instrText>
      </w:r>
      <w:r>
        <w:fldChar w:fldCharType="separate"/>
      </w:r>
      <w:r>
        <w:rPr>
          <w:rFonts w:hint="eastAsia" w:ascii="宋体" w:hAnsi="宋体" w:eastAsia="宋体" w:cs="宋体"/>
          <w:szCs w:val="21"/>
        </w:rPr>
        <w:t>3  术语和定义</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_Toc31015 \h </w:instrText>
      </w:r>
      <w:r>
        <w:rPr>
          <w:rFonts w:hint="eastAsia" w:ascii="宋体" w:hAnsi="宋体" w:eastAsia="宋体" w:cs="宋体"/>
          <w:szCs w:val="21"/>
        </w:rPr>
        <w:fldChar w:fldCharType="separate"/>
      </w:r>
      <w:r>
        <w:rPr>
          <w:rFonts w:hint="eastAsia" w:ascii="宋体" w:hAnsi="宋体" w:eastAsia="宋体" w:cs="宋体"/>
          <w:szCs w:val="21"/>
        </w:rPr>
        <w:t>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szCs w:val="21"/>
        </w:rPr>
      </w:pPr>
      <w:r>
        <w:fldChar w:fldCharType="begin"/>
      </w:r>
      <w:r>
        <w:instrText xml:space="preserve"> HYPERLINK \l "_Toc29161" </w:instrText>
      </w:r>
      <w:r>
        <w:fldChar w:fldCharType="separate"/>
      </w:r>
      <w:r>
        <w:rPr>
          <w:rFonts w:hint="eastAsia" w:ascii="宋体" w:hAnsi="宋体" w:eastAsia="宋体" w:cs="宋体"/>
          <w:szCs w:val="21"/>
        </w:rPr>
        <w:t>4  总体要求</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_Toc29161 \h </w:instrText>
      </w:r>
      <w:r>
        <w:rPr>
          <w:rFonts w:hint="eastAsia" w:ascii="宋体" w:hAnsi="宋体" w:eastAsia="宋体" w:cs="宋体"/>
          <w:szCs w:val="21"/>
        </w:rPr>
        <w:fldChar w:fldCharType="separate"/>
      </w:r>
      <w:r>
        <w:rPr>
          <w:rFonts w:hint="eastAsia" w:ascii="宋体" w:hAnsi="宋体" w:eastAsia="宋体" w:cs="宋体"/>
          <w:szCs w:val="21"/>
        </w:rPr>
        <w:t>4</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ind w:firstLine="420" w:firstLineChars="200"/>
        <w:rPr>
          <w:rFonts w:hint="eastAsia" w:ascii="宋体" w:hAnsi="宋体" w:eastAsia="宋体" w:cs="宋体"/>
          <w:szCs w:val="21"/>
        </w:rPr>
      </w:pPr>
      <w:r>
        <w:fldChar w:fldCharType="begin"/>
      </w:r>
      <w:r>
        <w:instrText xml:space="preserve"> HYPERLINK \l "_Toc7763" </w:instrText>
      </w:r>
      <w:r>
        <w:fldChar w:fldCharType="separate"/>
      </w:r>
      <w:r>
        <w:rPr>
          <w:rFonts w:hint="eastAsia" w:ascii="宋体" w:hAnsi="宋体" w:eastAsia="宋体" w:cs="宋体"/>
          <w:szCs w:val="21"/>
        </w:rPr>
        <w:t>4.1  机构要求</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_Toc7763 \h </w:instrText>
      </w:r>
      <w:r>
        <w:rPr>
          <w:rFonts w:hint="eastAsia" w:ascii="宋体" w:hAnsi="宋体" w:eastAsia="宋体" w:cs="宋体"/>
          <w:szCs w:val="21"/>
        </w:rPr>
        <w:fldChar w:fldCharType="separate"/>
      </w:r>
      <w:r>
        <w:rPr>
          <w:rFonts w:hint="eastAsia" w:ascii="宋体" w:hAnsi="宋体" w:eastAsia="宋体" w:cs="宋体"/>
          <w:szCs w:val="21"/>
        </w:rPr>
        <w:t>4</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ind w:firstLine="420" w:firstLineChars="200"/>
        <w:rPr>
          <w:rFonts w:hint="eastAsia" w:ascii="宋体" w:hAnsi="宋体" w:eastAsia="宋体" w:cs="宋体"/>
          <w:szCs w:val="21"/>
        </w:rPr>
      </w:pPr>
      <w:r>
        <w:fldChar w:fldCharType="begin"/>
      </w:r>
      <w:r>
        <w:instrText xml:space="preserve"> HYPERLINK \l "_Toc11281" </w:instrText>
      </w:r>
      <w:r>
        <w:fldChar w:fldCharType="separate"/>
      </w:r>
      <w:r>
        <w:rPr>
          <w:rFonts w:hint="eastAsia" w:ascii="宋体" w:hAnsi="宋体" w:eastAsia="宋体" w:cs="宋体"/>
          <w:szCs w:val="21"/>
        </w:rPr>
        <w:t>4.2  建设与运维要求</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_Toc11281 \h </w:instrText>
      </w:r>
      <w:r>
        <w:rPr>
          <w:rFonts w:hint="eastAsia" w:ascii="宋体" w:hAnsi="宋体" w:eastAsia="宋体" w:cs="宋体"/>
          <w:szCs w:val="21"/>
        </w:rPr>
        <w:fldChar w:fldCharType="separate"/>
      </w:r>
      <w:r>
        <w:rPr>
          <w:rFonts w:hint="eastAsia" w:ascii="宋体" w:hAnsi="宋体" w:eastAsia="宋体" w:cs="宋体"/>
          <w:szCs w:val="21"/>
        </w:rPr>
        <w:t>4</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ind w:firstLine="420" w:firstLineChars="200"/>
        <w:rPr>
          <w:rFonts w:hint="eastAsia" w:ascii="宋体" w:hAnsi="宋体" w:eastAsia="宋体" w:cs="宋体"/>
          <w:szCs w:val="21"/>
        </w:rPr>
      </w:pPr>
      <w:r>
        <w:fldChar w:fldCharType="begin"/>
      </w:r>
      <w:r>
        <w:instrText xml:space="preserve"> HYPERLINK \l "_Toc7465" </w:instrText>
      </w:r>
      <w:r>
        <w:fldChar w:fldCharType="separate"/>
      </w:r>
      <w:r>
        <w:rPr>
          <w:rFonts w:hint="eastAsia" w:ascii="宋体" w:hAnsi="宋体" w:eastAsia="宋体" w:cs="宋体"/>
          <w:szCs w:val="21"/>
        </w:rPr>
        <w:t>4.3  安全要求</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_Toc7465 \h </w:instrText>
      </w:r>
      <w:r>
        <w:rPr>
          <w:rFonts w:hint="eastAsia" w:ascii="宋体" w:hAnsi="宋体" w:eastAsia="宋体" w:cs="宋体"/>
          <w:szCs w:val="21"/>
        </w:rPr>
        <w:fldChar w:fldCharType="separate"/>
      </w:r>
      <w:r>
        <w:rPr>
          <w:rFonts w:hint="eastAsia" w:ascii="宋体" w:hAnsi="宋体" w:eastAsia="宋体" w:cs="宋体"/>
          <w:szCs w:val="21"/>
        </w:rPr>
        <w:t>4</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szCs w:val="21"/>
        </w:rPr>
      </w:pPr>
      <w:r>
        <w:fldChar w:fldCharType="begin"/>
      </w:r>
      <w:r>
        <w:instrText xml:space="preserve"> HYPERLINK \l "_Toc25974" </w:instrText>
      </w:r>
      <w:r>
        <w:fldChar w:fldCharType="separate"/>
      </w:r>
      <w:r>
        <w:rPr>
          <w:rFonts w:hint="eastAsia" w:ascii="宋体" w:hAnsi="宋体" w:eastAsia="宋体" w:cs="宋体"/>
          <w:szCs w:val="21"/>
        </w:rPr>
        <w:t>5  平台建设</w:t>
      </w:r>
      <w:r>
        <w:rPr>
          <w:rFonts w:hint="eastAsia" w:ascii="宋体" w:hAnsi="宋体" w:eastAsia="宋体" w:cs="宋体"/>
          <w:szCs w:val="21"/>
        </w:rPr>
        <w:tab/>
      </w:r>
      <w:bookmarkStart w:id="255" w:name="_GoBack"/>
      <w:bookmarkEnd w:id="255"/>
      <w:r>
        <w:rPr>
          <w:rFonts w:hint="eastAsia" w:ascii="宋体" w:hAnsi="宋体" w:eastAsia="宋体" w:cs="宋体"/>
          <w:szCs w:val="21"/>
        </w:rPr>
        <w:fldChar w:fldCharType="begin"/>
      </w:r>
      <w:r>
        <w:rPr>
          <w:rFonts w:hint="eastAsia" w:ascii="宋体" w:hAnsi="宋体" w:eastAsia="宋体" w:cs="宋体"/>
          <w:szCs w:val="21"/>
        </w:rPr>
        <w:instrText xml:space="preserve"> PAGEREF _Toc25974 \h </w:instrText>
      </w:r>
      <w:r>
        <w:rPr>
          <w:rFonts w:hint="eastAsia" w:ascii="宋体" w:hAnsi="宋体" w:eastAsia="宋体" w:cs="宋体"/>
          <w:szCs w:val="21"/>
        </w:rPr>
        <w:fldChar w:fldCharType="separate"/>
      </w:r>
      <w:r>
        <w:rPr>
          <w:rFonts w:hint="eastAsia" w:ascii="宋体" w:hAnsi="宋体" w:eastAsia="宋体" w:cs="宋体"/>
          <w:szCs w:val="21"/>
        </w:rPr>
        <w:t>5</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ind w:firstLine="420" w:firstLineChars="200"/>
        <w:rPr>
          <w:rFonts w:hint="eastAsia" w:ascii="宋体" w:hAnsi="宋体" w:eastAsia="宋体" w:cs="宋体"/>
          <w:szCs w:val="21"/>
        </w:rPr>
      </w:pPr>
      <w:r>
        <w:fldChar w:fldCharType="begin"/>
      </w:r>
      <w:r>
        <w:instrText xml:space="preserve"> HYPERLINK \l "_Toc7175" </w:instrText>
      </w:r>
      <w:r>
        <w:fldChar w:fldCharType="separate"/>
      </w:r>
      <w:r>
        <w:rPr>
          <w:rFonts w:hint="eastAsia" w:ascii="宋体" w:hAnsi="宋体" w:eastAsia="宋体" w:cs="宋体"/>
          <w:szCs w:val="21"/>
        </w:rPr>
        <w:t>5.1  平台界限</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_Toc7175 \h </w:instrText>
      </w:r>
      <w:r>
        <w:rPr>
          <w:rFonts w:hint="eastAsia" w:ascii="宋体" w:hAnsi="宋体" w:eastAsia="宋体" w:cs="宋体"/>
          <w:szCs w:val="21"/>
        </w:rPr>
        <w:fldChar w:fldCharType="separate"/>
      </w:r>
      <w:r>
        <w:rPr>
          <w:rFonts w:hint="eastAsia" w:ascii="宋体" w:hAnsi="宋体" w:eastAsia="宋体" w:cs="宋体"/>
          <w:szCs w:val="21"/>
        </w:rPr>
        <w:t>5</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ind w:firstLine="420" w:firstLineChars="200"/>
        <w:rPr>
          <w:rFonts w:hint="eastAsia" w:ascii="宋体" w:hAnsi="宋体" w:eastAsia="宋体" w:cs="宋体"/>
          <w:szCs w:val="21"/>
        </w:rPr>
      </w:pPr>
      <w:r>
        <w:fldChar w:fldCharType="begin"/>
      </w:r>
      <w:r>
        <w:instrText xml:space="preserve"> HYPERLINK \l "_Toc25437" </w:instrText>
      </w:r>
      <w:r>
        <w:fldChar w:fldCharType="separate"/>
      </w:r>
      <w:r>
        <w:rPr>
          <w:rFonts w:hint="eastAsia" w:ascii="宋体" w:hAnsi="宋体" w:eastAsia="宋体" w:cs="宋体"/>
          <w:szCs w:val="21"/>
        </w:rPr>
        <w:t>5.2  平台建设</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_Toc25437 \h </w:instrText>
      </w:r>
      <w:r>
        <w:rPr>
          <w:rFonts w:hint="eastAsia" w:ascii="宋体" w:hAnsi="宋体" w:eastAsia="宋体" w:cs="宋体"/>
          <w:szCs w:val="21"/>
        </w:rPr>
        <w:fldChar w:fldCharType="separate"/>
      </w:r>
      <w:r>
        <w:rPr>
          <w:rFonts w:hint="eastAsia" w:ascii="宋体" w:hAnsi="宋体" w:eastAsia="宋体" w:cs="宋体"/>
          <w:szCs w:val="21"/>
        </w:rPr>
        <w:t>5</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ind w:firstLine="420" w:firstLineChars="200"/>
        <w:rPr>
          <w:rFonts w:hint="eastAsia" w:ascii="宋体" w:hAnsi="宋体" w:eastAsia="宋体" w:cs="宋体"/>
          <w:szCs w:val="21"/>
        </w:rPr>
      </w:pPr>
      <w:r>
        <w:fldChar w:fldCharType="begin"/>
      </w:r>
      <w:r>
        <w:instrText xml:space="preserve"> HYPERLINK \l "_Toc31372" </w:instrText>
      </w:r>
      <w:r>
        <w:fldChar w:fldCharType="separate"/>
      </w:r>
      <w:r>
        <w:rPr>
          <w:rFonts w:hint="eastAsia" w:ascii="宋体" w:hAnsi="宋体" w:eastAsia="宋体" w:cs="宋体"/>
          <w:szCs w:val="21"/>
        </w:rPr>
        <w:t>5.3  设施设备</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_Toc31372 \h </w:instrText>
      </w:r>
      <w:r>
        <w:rPr>
          <w:rFonts w:hint="eastAsia" w:ascii="宋体" w:hAnsi="宋体" w:eastAsia="宋体" w:cs="宋体"/>
          <w:szCs w:val="21"/>
        </w:rPr>
        <w:fldChar w:fldCharType="separate"/>
      </w:r>
      <w:r>
        <w:rPr>
          <w:rFonts w:hint="eastAsia" w:ascii="宋体" w:hAnsi="宋体" w:eastAsia="宋体" w:cs="宋体"/>
          <w:szCs w:val="21"/>
        </w:rPr>
        <w:t>7</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szCs w:val="21"/>
        </w:rPr>
      </w:pPr>
      <w:r>
        <w:fldChar w:fldCharType="begin"/>
      </w:r>
      <w:r>
        <w:instrText xml:space="preserve"> HYPERLINK \l "_Toc211" </w:instrText>
      </w:r>
      <w:r>
        <w:fldChar w:fldCharType="separate"/>
      </w:r>
      <w:r>
        <w:rPr>
          <w:rFonts w:hint="eastAsia" w:ascii="宋体" w:hAnsi="宋体" w:eastAsia="宋体" w:cs="宋体"/>
          <w:szCs w:val="21"/>
        </w:rPr>
        <w:t>6  平台使用与维护</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_Toc211 \h </w:instrText>
      </w:r>
      <w:r>
        <w:rPr>
          <w:rFonts w:hint="eastAsia" w:ascii="宋体" w:hAnsi="宋体" w:eastAsia="宋体" w:cs="宋体"/>
          <w:szCs w:val="21"/>
        </w:rPr>
        <w:fldChar w:fldCharType="separate"/>
      </w:r>
      <w:r>
        <w:rPr>
          <w:rFonts w:hint="eastAsia" w:ascii="宋体" w:hAnsi="宋体" w:eastAsia="宋体" w:cs="宋体"/>
          <w:szCs w:val="21"/>
        </w:rPr>
        <w:t>7</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ind w:firstLine="420" w:firstLineChars="200"/>
        <w:rPr>
          <w:rFonts w:hint="eastAsia" w:ascii="宋体" w:hAnsi="宋体" w:eastAsia="宋体" w:cs="宋体"/>
          <w:szCs w:val="21"/>
        </w:rPr>
      </w:pPr>
      <w:r>
        <w:fldChar w:fldCharType="begin"/>
      </w:r>
      <w:r>
        <w:instrText xml:space="preserve"> HYPERLINK \l "_Toc22970" </w:instrText>
      </w:r>
      <w:r>
        <w:fldChar w:fldCharType="separate"/>
      </w:r>
      <w:r>
        <w:rPr>
          <w:rFonts w:hint="eastAsia" w:ascii="宋体" w:hAnsi="宋体" w:eastAsia="宋体" w:cs="宋体"/>
          <w:szCs w:val="21"/>
        </w:rPr>
        <w:t>6.1  日常监控与巡检</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_Toc22970 \h </w:instrText>
      </w:r>
      <w:r>
        <w:rPr>
          <w:rFonts w:hint="eastAsia" w:ascii="宋体" w:hAnsi="宋体" w:eastAsia="宋体" w:cs="宋体"/>
          <w:szCs w:val="21"/>
        </w:rPr>
        <w:fldChar w:fldCharType="separate"/>
      </w:r>
      <w:r>
        <w:rPr>
          <w:rFonts w:hint="eastAsia" w:ascii="宋体" w:hAnsi="宋体" w:eastAsia="宋体" w:cs="宋体"/>
          <w:szCs w:val="21"/>
        </w:rPr>
        <w:t>7</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ind w:firstLine="420" w:firstLineChars="200"/>
        <w:rPr>
          <w:rFonts w:hint="eastAsia" w:ascii="宋体" w:hAnsi="宋体" w:eastAsia="宋体" w:cs="宋体"/>
          <w:szCs w:val="21"/>
        </w:rPr>
      </w:pPr>
      <w:r>
        <w:fldChar w:fldCharType="begin"/>
      </w:r>
      <w:r>
        <w:instrText xml:space="preserve"> HYPERLINK \l "_Toc31684" </w:instrText>
      </w:r>
      <w:r>
        <w:fldChar w:fldCharType="separate"/>
      </w:r>
      <w:r>
        <w:rPr>
          <w:rFonts w:hint="eastAsia" w:ascii="宋体" w:hAnsi="宋体" w:eastAsia="宋体" w:cs="宋体"/>
          <w:szCs w:val="21"/>
        </w:rPr>
        <w:t>6.2  应急响应</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_Toc31684 \h </w:instrText>
      </w:r>
      <w:r>
        <w:rPr>
          <w:rFonts w:hint="eastAsia" w:ascii="宋体" w:hAnsi="宋体" w:eastAsia="宋体" w:cs="宋体"/>
          <w:szCs w:val="21"/>
        </w:rPr>
        <w:fldChar w:fldCharType="separate"/>
      </w:r>
      <w:r>
        <w:rPr>
          <w:rFonts w:hint="eastAsia" w:ascii="宋体" w:hAnsi="宋体" w:eastAsia="宋体" w:cs="宋体"/>
          <w:szCs w:val="21"/>
        </w:rPr>
        <w:t>7</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ind w:firstLine="420" w:firstLineChars="200"/>
        <w:rPr>
          <w:rFonts w:hint="eastAsia" w:ascii="宋体" w:hAnsi="宋体" w:eastAsia="宋体" w:cs="宋体"/>
          <w:szCs w:val="21"/>
        </w:rPr>
      </w:pPr>
      <w:r>
        <w:fldChar w:fldCharType="begin"/>
      </w:r>
      <w:r>
        <w:instrText xml:space="preserve"> HYPERLINK \l "_Toc4218" </w:instrText>
      </w:r>
      <w:r>
        <w:fldChar w:fldCharType="separate"/>
      </w:r>
      <w:r>
        <w:rPr>
          <w:rFonts w:hint="eastAsia" w:ascii="宋体" w:hAnsi="宋体" w:eastAsia="宋体" w:cs="宋体"/>
          <w:szCs w:val="21"/>
        </w:rPr>
        <w:t>6.3  数据管理</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_Toc4218 \h </w:instrText>
      </w:r>
      <w:r>
        <w:rPr>
          <w:rFonts w:hint="eastAsia" w:ascii="宋体" w:hAnsi="宋体" w:eastAsia="宋体" w:cs="宋体"/>
          <w:szCs w:val="21"/>
        </w:rPr>
        <w:fldChar w:fldCharType="separate"/>
      </w:r>
      <w:r>
        <w:rPr>
          <w:rFonts w:hint="eastAsia" w:ascii="宋体" w:hAnsi="宋体" w:eastAsia="宋体" w:cs="宋体"/>
          <w:szCs w:val="21"/>
        </w:rPr>
        <w:t>8</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ind w:firstLine="420" w:firstLineChars="200"/>
        <w:rPr>
          <w:rFonts w:hint="eastAsia" w:ascii="宋体" w:hAnsi="宋体" w:eastAsia="宋体" w:cs="宋体"/>
          <w:szCs w:val="21"/>
        </w:rPr>
      </w:pPr>
      <w:r>
        <w:fldChar w:fldCharType="begin"/>
      </w:r>
      <w:r>
        <w:instrText xml:space="preserve"> HYPERLINK \l "_Toc28292" </w:instrText>
      </w:r>
      <w:r>
        <w:fldChar w:fldCharType="separate"/>
      </w:r>
      <w:r>
        <w:rPr>
          <w:rFonts w:hint="eastAsia" w:ascii="宋体" w:hAnsi="宋体" w:eastAsia="宋体" w:cs="宋体"/>
          <w:szCs w:val="21"/>
        </w:rPr>
        <w:t>6.4  平台运维</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_Toc28292 \h </w:instrText>
      </w:r>
      <w:r>
        <w:rPr>
          <w:rFonts w:hint="eastAsia" w:ascii="宋体" w:hAnsi="宋体" w:eastAsia="宋体" w:cs="宋体"/>
          <w:szCs w:val="21"/>
        </w:rPr>
        <w:fldChar w:fldCharType="separate"/>
      </w:r>
      <w:r>
        <w:rPr>
          <w:rFonts w:hint="eastAsia" w:ascii="宋体" w:hAnsi="宋体" w:eastAsia="宋体" w:cs="宋体"/>
          <w:szCs w:val="21"/>
        </w:rPr>
        <w:t>9</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ind w:firstLine="420" w:firstLineChars="200"/>
        <w:rPr>
          <w:rFonts w:hint="eastAsia" w:ascii="宋体" w:hAnsi="宋体" w:eastAsia="宋体" w:cs="宋体"/>
          <w:szCs w:val="21"/>
        </w:rPr>
      </w:pPr>
      <w:r>
        <w:fldChar w:fldCharType="begin"/>
      </w:r>
      <w:r>
        <w:instrText xml:space="preserve"> HYPERLINK \l "_Toc31252" </w:instrText>
      </w:r>
      <w:r>
        <w:fldChar w:fldCharType="separate"/>
      </w:r>
      <w:r>
        <w:rPr>
          <w:rFonts w:hint="eastAsia" w:ascii="宋体" w:hAnsi="宋体" w:eastAsia="宋体" w:cs="宋体"/>
          <w:szCs w:val="21"/>
        </w:rPr>
        <w:t>6.5  档案管理</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_Toc31252 \h </w:instrText>
      </w:r>
      <w:r>
        <w:rPr>
          <w:rFonts w:hint="eastAsia" w:ascii="宋体" w:hAnsi="宋体" w:eastAsia="宋体" w:cs="宋体"/>
          <w:szCs w:val="21"/>
        </w:rPr>
        <w:fldChar w:fldCharType="separate"/>
      </w:r>
      <w:r>
        <w:rPr>
          <w:rFonts w:hint="eastAsia" w:ascii="宋体" w:hAnsi="宋体" w:eastAsia="宋体" w:cs="宋体"/>
          <w:szCs w:val="21"/>
        </w:rPr>
        <w:t>9</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szCs w:val="21"/>
        </w:rPr>
      </w:pPr>
      <w:r>
        <w:fldChar w:fldCharType="begin"/>
      </w:r>
      <w:r>
        <w:instrText xml:space="preserve"> HYPERLINK \l "_Toc7738" </w:instrText>
      </w:r>
      <w:r>
        <w:fldChar w:fldCharType="separate"/>
      </w:r>
      <w:r>
        <w:rPr>
          <w:rFonts w:hint="eastAsia" w:ascii="宋体" w:hAnsi="宋体" w:eastAsia="宋体" w:cs="宋体"/>
          <w:szCs w:val="21"/>
        </w:rPr>
        <w:t>附录A</w:t>
      </w:r>
      <w:r>
        <w:rPr>
          <w:rFonts w:hint="eastAsia" w:ascii="宋体" w:hAnsi="宋体" w:eastAsia="宋体" w:cs="宋体"/>
          <w:szCs w:val="21"/>
        </w:rPr>
        <w:fldChar w:fldCharType="end"/>
      </w:r>
      <w:r>
        <w:fldChar w:fldCharType="begin"/>
      </w:r>
      <w:r>
        <w:instrText xml:space="preserve"> HYPERLINK \l "_Toc3634" </w:instrText>
      </w:r>
      <w:r>
        <w:fldChar w:fldCharType="separate"/>
      </w:r>
      <w:r>
        <w:rPr>
          <w:rFonts w:hint="eastAsia" w:ascii="宋体" w:hAnsi="宋体" w:eastAsia="宋体" w:cs="宋体"/>
          <w:szCs w:val="21"/>
        </w:rPr>
        <w:t xml:space="preserve">（资料性） </w:t>
      </w:r>
      <w:r>
        <w:rPr>
          <w:rFonts w:hint="eastAsia" w:ascii="宋体" w:hAnsi="宋体" w:eastAsia="宋体" w:cs="宋体"/>
          <w:szCs w:val="21"/>
        </w:rPr>
        <w:fldChar w:fldCharType="end"/>
      </w:r>
      <w:r>
        <w:rPr>
          <w:rFonts w:hint="eastAsia" w:ascii="宋体" w:hAnsi="宋体" w:eastAsia="宋体" w:cs="宋体"/>
          <w:szCs w:val="21"/>
        </w:rPr>
        <w:t xml:space="preserve"> </w:t>
      </w:r>
      <w:r>
        <w:fldChar w:fldCharType="begin"/>
      </w:r>
      <w:r>
        <w:instrText xml:space="preserve"> HYPERLINK \l "_Toc22079" </w:instrText>
      </w:r>
      <w:r>
        <w:fldChar w:fldCharType="separate"/>
      </w:r>
      <w:r>
        <w:rPr>
          <w:rFonts w:hint="eastAsia" w:ascii="宋体" w:hAnsi="宋体" w:eastAsia="宋体" w:cs="宋体"/>
          <w:szCs w:val="21"/>
        </w:rPr>
        <w:t>系统功能参数</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_Toc22079 \h </w:instrText>
      </w:r>
      <w:r>
        <w:rPr>
          <w:rFonts w:hint="eastAsia" w:ascii="宋体" w:hAnsi="宋体" w:eastAsia="宋体" w:cs="宋体"/>
          <w:szCs w:val="21"/>
        </w:rPr>
        <w:fldChar w:fldCharType="separate"/>
      </w:r>
      <w:r>
        <w:rPr>
          <w:rFonts w:hint="eastAsia" w:ascii="宋体" w:hAnsi="宋体" w:eastAsia="宋体" w:cs="宋体"/>
          <w:szCs w:val="21"/>
        </w:rPr>
        <w:t>10</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szCs w:val="21"/>
        </w:rPr>
      </w:pPr>
      <w:r>
        <w:fldChar w:fldCharType="begin"/>
      </w:r>
      <w:r>
        <w:instrText xml:space="preserve"> HYPERLINK \l "_Toc24846" </w:instrText>
      </w:r>
      <w:r>
        <w:fldChar w:fldCharType="separate"/>
      </w:r>
      <w:r>
        <w:rPr>
          <w:rFonts w:hint="eastAsia" w:ascii="宋体" w:hAnsi="宋体" w:eastAsia="宋体" w:cs="宋体"/>
          <w:szCs w:val="21"/>
        </w:rPr>
        <w:t>参考文献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_Toc24846 \h </w:instrText>
      </w:r>
      <w:r>
        <w:rPr>
          <w:rFonts w:hint="eastAsia" w:ascii="宋体" w:hAnsi="宋体" w:eastAsia="宋体" w:cs="宋体"/>
          <w:szCs w:val="21"/>
        </w:rPr>
        <w:fldChar w:fldCharType="separate"/>
      </w:r>
      <w:r>
        <w:rPr>
          <w:rFonts w:hint="eastAsia" w:ascii="宋体" w:hAnsi="宋体" w:eastAsia="宋体" w:cs="宋体"/>
          <w:szCs w:val="21"/>
        </w:rPr>
        <w:t>12</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szCs w:val="21"/>
        </w:rPr>
      </w:pPr>
      <w:r>
        <w:rPr>
          <w:rFonts w:hint="eastAsia" w:ascii="宋体" w:hAnsi="宋体" w:eastAsia="宋体" w:cs="宋体"/>
          <w:szCs w:val="21"/>
        </w:rPr>
        <w:fldChar w:fldCharType="end"/>
      </w:r>
    </w:p>
    <w:p>
      <w:pPr>
        <w:pStyle w:val="2"/>
        <w:rPr>
          <w:rFonts w:hint="eastAsia" w:ascii="宋体" w:hAnsi="宋体" w:eastAsia="宋体" w:cs="宋体"/>
          <w:szCs w:val="21"/>
        </w:rPr>
      </w:pPr>
    </w:p>
    <w:p>
      <w:pPr>
        <w:pStyle w:val="50"/>
        <w:shd w:val="clear" w:color="auto" w:fill="auto"/>
        <w:spacing w:before="567" w:after="680" w:afterLines="0"/>
        <w:rPr>
          <w:spacing w:val="320"/>
        </w:rPr>
        <w:sectPr>
          <w:headerReference r:id="rId4" w:type="default"/>
          <w:footerReference r:id="rId6" w:type="default"/>
          <w:headerReference r:id="rId5" w:type="even"/>
          <w:footerReference r:id="rId7" w:type="even"/>
          <w:pgSz w:w="11906" w:h="16838"/>
          <w:pgMar w:top="1417" w:right="1134" w:bottom="1134" w:left="1418" w:header="1417" w:footer="1134" w:gutter="0"/>
          <w:pgNumType w:fmt="upperRoman" w:start="1"/>
          <w:cols w:space="425" w:num="1"/>
          <w:docGrid w:type="lines" w:linePitch="312" w:charSpace="0"/>
        </w:sectPr>
      </w:pPr>
    </w:p>
    <w:p>
      <w:pPr>
        <w:pStyle w:val="2"/>
        <w:sectPr>
          <w:footerReference r:id="rId8" w:type="default"/>
          <w:footerReference r:id="rId9" w:type="even"/>
          <w:pgSz w:w="11906" w:h="16838"/>
          <w:pgMar w:top="1417" w:right="1134" w:bottom="1134" w:left="1418" w:header="1417" w:footer="1134" w:gutter="0"/>
          <w:pgNumType w:fmt="upperRoman" w:start="2"/>
          <w:cols w:space="425" w:num="1"/>
          <w:docGrid w:type="lines" w:linePitch="312" w:charSpace="0"/>
        </w:sectPr>
      </w:pPr>
    </w:p>
    <w:p>
      <w:pPr>
        <w:snapToGrid w:val="0"/>
        <w:spacing w:before="567" w:after="680"/>
        <w:jc w:val="center"/>
        <w:outlineLvl w:val="0"/>
        <w:rPr>
          <w:rFonts w:hint="eastAsia" w:ascii="黑体" w:hAnsi="黑体" w:eastAsia="黑体" w:cs="黑体"/>
          <w:kern w:val="0"/>
          <w:sz w:val="32"/>
          <w:szCs w:val="32"/>
        </w:rPr>
      </w:pPr>
      <w:bookmarkStart w:id="2" w:name="_Toc17176"/>
      <w:bookmarkStart w:id="3" w:name="_Toc15638"/>
      <w:r>
        <w:rPr>
          <w:rFonts w:hint="eastAsia" w:ascii="黑体" w:hAnsi="黑体" w:eastAsia="黑体" w:cs="黑体"/>
          <w:kern w:val="0"/>
          <w:sz w:val="32"/>
          <w:szCs w:val="32"/>
        </w:rPr>
        <w:t>前    言</w:t>
      </w:r>
      <w:bookmarkEnd w:id="2"/>
      <w:bookmarkEnd w:id="3"/>
    </w:p>
    <w:p>
      <w:pP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rPr>
        <w:t>本文件按照</w:t>
      </w:r>
      <w:r>
        <w:rPr>
          <w:rFonts w:ascii="宋体" w:hAnsi="宋体" w:eastAsia="宋体" w:cs="宋体"/>
          <w:kern w:val="0"/>
          <w:szCs w:val="21"/>
        </w:rPr>
        <w:t>GB</w:t>
      </w:r>
      <w:r>
        <w:rPr>
          <w:rFonts w:hint="eastAsia" w:ascii="宋体" w:hAnsi="宋体" w:eastAsia="宋体" w:cs="宋体"/>
          <w:kern w:val="0"/>
          <w:szCs w:val="21"/>
        </w:rPr>
        <w:t>/</w:t>
      </w:r>
      <w:r>
        <w:rPr>
          <w:rFonts w:ascii="宋体" w:hAnsi="宋体" w:eastAsia="宋体" w:cs="宋体"/>
          <w:kern w:val="0"/>
          <w:szCs w:val="21"/>
        </w:rPr>
        <w:t>T</w:t>
      </w:r>
      <w:r>
        <w:rPr>
          <w:rFonts w:hint="eastAsia" w:ascii="宋体" w:hAnsi="宋体" w:eastAsia="宋体" w:cs="宋体"/>
          <w:kern w:val="0"/>
          <w:szCs w:val="21"/>
        </w:rPr>
        <w:t xml:space="preserve"> </w:t>
      </w:r>
      <w:r>
        <w:rPr>
          <w:rFonts w:ascii="宋体" w:hAnsi="宋体" w:eastAsia="宋体" w:cs="宋体"/>
          <w:kern w:val="0"/>
          <w:szCs w:val="21"/>
        </w:rPr>
        <w:t>1.1—2020</w:t>
      </w:r>
      <w:r>
        <w:rPr>
          <w:rFonts w:hint="eastAsia" w:ascii="宋体" w:hAnsi="宋体" w:eastAsia="宋体" w:cs="宋体"/>
          <w:kern w:val="0"/>
          <w:szCs w:val="21"/>
        </w:rPr>
        <w:t>《标准</w:t>
      </w:r>
      <w:r>
        <w:rPr>
          <w:rFonts w:ascii="宋体" w:hAnsi="宋体" w:eastAsia="宋体" w:cs="宋体"/>
          <w:kern w:val="0"/>
          <w:szCs w:val="21"/>
        </w:rPr>
        <w:t>化工作导则</w:t>
      </w:r>
      <w:r>
        <w:rPr>
          <w:rFonts w:hint="eastAsia" w:ascii="宋体" w:hAnsi="宋体" w:eastAsia="宋体" w:cs="宋体"/>
          <w:kern w:val="0"/>
          <w:szCs w:val="21"/>
        </w:rPr>
        <w:t xml:space="preserve">  第1部分：</w:t>
      </w:r>
      <w:r>
        <w:rPr>
          <w:rFonts w:ascii="宋体" w:hAnsi="宋体" w:eastAsia="宋体" w:cs="宋体"/>
          <w:kern w:val="0"/>
          <w:szCs w:val="21"/>
        </w:rPr>
        <w:t>标准化文件的</w:t>
      </w:r>
      <w:r>
        <w:rPr>
          <w:rFonts w:hint="eastAsia" w:ascii="宋体" w:hAnsi="宋体" w:eastAsia="宋体" w:cs="宋体"/>
          <w:kern w:val="0"/>
          <w:szCs w:val="21"/>
        </w:rPr>
        <w:t>结构</w:t>
      </w:r>
      <w:r>
        <w:rPr>
          <w:rFonts w:ascii="宋体" w:hAnsi="宋体" w:eastAsia="宋体" w:cs="宋体"/>
          <w:kern w:val="0"/>
          <w:szCs w:val="21"/>
        </w:rPr>
        <w:t>和起草规则</w:t>
      </w:r>
      <w:r>
        <w:rPr>
          <w:rFonts w:hint="eastAsia" w:ascii="宋体" w:hAnsi="宋体" w:eastAsia="宋体" w:cs="宋体"/>
          <w:kern w:val="0"/>
          <w:szCs w:val="21"/>
        </w:rPr>
        <w:t>》的</w:t>
      </w:r>
      <w:r>
        <w:rPr>
          <w:rFonts w:ascii="宋体" w:hAnsi="宋体" w:eastAsia="宋体" w:cs="宋体"/>
          <w:kern w:val="0"/>
          <w:szCs w:val="21"/>
        </w:rPr>
        <w:t>规定</w:t>
      </w:r>
      <w:r>
        <w:rPr>
          <w:rFonts w:hint="eastAsia" w:ascii="宋体" w:hAnsi="宋体" w:eastAsia="宋体" w:cs="宋体"/>
          <w:kern w:val="0"/>
          <w:szCs w:val="21"/>
        </w:rPr>
        <w:t>起草。</w:t>
      </w:r>
    </w:p>
    <w:p>
      <w:pP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rPr>
        <w:t>请注意本文件</w:t>
      </w:r>
      <w:r>
        <w:rPr>
          <w:rFonts w:ascii="宋体" w:hAnsi="宋体" w:eastAsia="宋体" w:cs="宋体"/>
          <w:kern w:val="0"/>
          <w:szCs w:val="21"/>
        </w:rPr>
        <w:t>的某些内容可能涉及专利</w:t>
      </w:r>
      <w:r>
        <w:rPr>
          <w:rFonts w:hint="eastAsia" w:ascii="宋体" w:hAnsi="宋体" w:eastAsia="宋体" w:cs="宋体"/>
          <w:kern w:val="0"/>
          <w:szCs w:val="21"/>
        </w:rPr>
        <w:t>。</w:t>
      </w:r>
      <w:r>
        <w:rPr>
          <w:rFonts w:ascii="宋体" w:hAnsi="宋体" w:eastAsia="宋体" w:cs="宋体"/>
          <w:kern w:val="0"/>
          <w:szCs w:val="21"/>
        </w:rPr>
        <w:t>本文件的</w:t>
      </w:r>
      <w:r>
        <w:rPr>
          <w:rFonts w:hint="eastAsia" w:ascii="宋体" w:hAnsi="宋体" w:eastAsia="宋体" w:cs="宋体"/>
          <w:kern w:val="0"/>
          <w:szCs w:val="21"/>
        </w:rPr>
        <w:t>发布</w:t>
      </w:r>
      <w:r>
        <w:rPr>
          <w:rFonts w:ascii="宋体" w:hAnsi="宋体" w:eastAsia="宋体" w:cs="宋体"/>
          <w:kern w:val="0"/>
          <w:szCs w:val="21"/>
        </w:rPr>
        <w:t>机构不承担识别专利的责任。</w:t>
      </w:r>
    </w:p>
    <w:p>
      <w:pPr>
        <w:snapToGrid w:val="0"/>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本文件由苏州市市场监督管理局</w:t>
      </w:r>
      <w:r>
        <w:rPr>
          <w:rFonts w:hint="eastAsia"/>
          <w:lang w:bidi="ar"/>
        </w:rPr>
        <w:t>提出、归口并组织实施</w:t>
      </w:r>
      <w:r>
        <w:rPr>
          <w:rFonts w:hint="eastAsia" w:ascii="宋体" w:hAnsi="宋体" w:eastAsia="宋体" w:cs="宋体"/>
          <w:kern w:val="0"/>
          <w:szCs w:val="21"/>
        </w:rPr>
        <w:t>。</w:t>
      </w:r>
    </w:p>
    <w:p>
      <w:pP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rPr>
        <w:t>本文件起草单位：</w:t>
      </w:r>
      <w:r>
        <w:rPr>
          <w:rFonts w:hint="eastAsia"/>
          <w:color w:val="000000" w:themeColor="text1"/>
          <w14:textFill>
            <w14:solidFill>
              <w14:schemeClr w14:val="tx1"/>
            </w14:solidFill>
          </w14:textFill>
        </w:rPr>
        <w:t>苏州东方金汇通智能科技有限公司、苏州慧眼通物联网科技有限公司、沙洲职业工学院、苏州嘉昌物业集团有限公司、苏州中菱电梯有限公司、江苏省特种设备安全监督检验研究院苏州分院、浙江大华技术股份有限公司、苏州苏大教育服务投资发展（集团）有限公司、前石标准技术服务（苏州）有限公司</w:t>
      </w:r>
      <w:r>
        <w:rPr>
          <w:rFonts w:hint="eastAsia" w:ascii="宋体" w:hAnsi="宋体" w:eastAsia="宋体" w:cs="宋体"/>
          <w:kern w:val="0"/>
          <w:szCs w:val="21"/>
        </w:rPr>
        <w:t>。</w:t>
      </w:r>
    </w:p>
    <w:p>
      <w:pP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rPr>
        <w:t>本文件主要起草人：</w:t>
      </w:r>
      <w:r>
        <w:rPr>
          <w:rFonts w:hint="eastAsia"/>
          <w:color w:val="000000" w:themeColor="text1"/>
          <w14:textFill>
            <w14:solidFill>
              <w14:schemeClr w14:val="tx1"/>
            </w14:solidFill>
          </w14:textFill>
        </w:rPr>
        <w:t>孙浩元、杨力、章雯、李亚军、陆明锋、王飞、何舒服、李普育、李金尧、卢宁。</w:t>
      </w:r>
    </w:p>
    <w:p>
      <w:pPr>
        <w:pStyle w:val="2"/>
      </w:pPr>
    </w:p>
    <w:p>
      <w:pPr>
        <w:pStyle w:val="2"/>
      </w:pPr>
    </w:p>
    <w:p>
      <w:pPr>
        <w:pStyle w:val="2"/>
      </w:pPr>
    </w:p>
    <w:p>
      <w:pPr>
        <w:pStyle w:val="2"/>
      </w:pPr>
    </w:p>
    <w:p>
      <w:pPr>
        <w:snapToGrid w:val="0"/>
        <w:ind w:firstLine="420" w:firstLineChars="200"/>
        <w:rPr>
          <w:rFonts w:hint="eastAsia" w:ascii="宋体" w:hAnsi="宋体" w:eastAsia="宋体" w:cs="宋体"/>
          <w:kern w:val="0"/>
          <w:szCs w:val="21"/>
        </w:rPr>
        <w:sectPr>
          <w:footerReference r:id="rId11" w:type="default"/>
          <w:headerReference r:id="rId10" w:type="even"/>
          <w:footerReference r:id="rId12" w:type="even"/>
          <w:pgSz w:w="11906" w:h="16838"/>
          <w:pgMar w:top="1417" w:right="1134" w:bottom="1134" w:left="1418" w:header="1417" w:footer="1134" w:gutter="0"/>
          <w:pgNumType w:fmt="upperRoman" w:start="2"/>
          <w:cols w:space="425" w:num="1"/>
          <w:docGrid w:type="lines" w:linePitch="312" w:charSpace="0"/>
        </w:sectPr>
      </w:pPr>
    </w:p>
    <w:p>
      <w:pPr>
        <w:pStyle w:val="2"/>
      </w:pPr>
      <w:r>
        <w:br w:type="page"/>
      </w:r>
    </w:p>
    <w:p>
      <w:pPr>
        <w:snapToGrid w:val="0"/>
        <w:spacing w:before="567" w:after="680"/>
        <w:jc w:val="center"/>
        <w:outlineLvl w:val="0"/>
        <w:rPr>
          <w:rFonts w:hint="eastAsia" w:ascii="黑体" w:hAnsi="黑体" w:eastAsia="黑体" w:cs="黑体"/>
          <w:kern w:val="0"/>
          <w:sz w:val="32"/>
          <w:szCs w:val="32"/>
        </w:rPr>
      </w:pPr>
      <w:bookmarkStart w:id="4" w:name="_Toc30293"/>
      <w:r>
        <w:rPr>
          <w:rFonts w:hint="eastAsia" w:ascii="黑体" w:hAnsi="黑体" w:eastAsia="黑体" w:cs="黑体"/>
          <w:kern w:val="0"/>
          <w:sz w:val="32"/>
          <w:szCs w:val="32"/>
        </w:rPr>
        <w:t>引    言</w:t>
      </w:r>
      <w:bookmarkEnd w:id="4"/>
    </w:p>
    <w:p>
      <w:pPr>
        <w:pStyle w:val="68"/>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城市电梯智慧安全服务平台，广泛运用物联网、大数据、人工智能等技术，可通过带有语音和视频通话功能的应急呼叫装置，由后台运营单位2</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小时通过视讯通话知悉电梯内环境和人员状况，确认报警信息的真实性和准确性。一方面可提升救援任务的准确性，另一方面，可缩短报警时间，大大提升了效率。</w:t>
      </w:r>
    </w:p>
    <w:p>
      <w:pPr>
        <w:pStyle w:val="68"/>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电梯智慧安全服务平台的应用，是实现“数字住建”、实现“数字中国”的重要环节，具有重大的民生和社会效益。本文件旨在通过规范电梯智慧服务平台的建设和运行，推动完善电梯安全全链条建设。</w:t>
      </w:r>
    </w:p>
    <w:p>
      <w:pPr>
        <w:pStyle w:val="2"/>
      </w:pPr>
    </w:p>
    <w:p>
      <w:pPr>
        <w:pStyle w:val="2"/>
      </w:pPr>
    </w:p>
    <w:p>
      <w:pPr>
        <w:pStyle w:val="2"/>
      </w:pPr>
    </w:p>
    <w:p>
      <w:pPr>
        <w:pStyle w:val="2"/>
      </w:pPr>
    </w:p>
    <w:p>
      <w:pPr>
        <w:pStyle w:val="2"/>
      </w:pPr>
    </w:p>
    <w:p>
      <w:pPr>
        <w:pStyle w:val="2"/>
        <w:sectPr>
          <w:headerReference r:id="rId13" w:type="even"/>
          <w:footerReference r:id="rId14" w:type="even"/>
          <w:pgSz w:w="11906" w:h="16838"/>
          <w:pgMar w:top="1417" w:right="1134" w:bottom="1134" w:left="1418" w:header="1417" w:footer="1134" w:gutter="0"/>
          <w:pgNumType w:fmt="upperRoman" w:start="2"/>
          <w:cols w:space="425" w:num="1"/>
          <w:docGrid w:type="lines" w:linePitch="312" w:charSpace="0"/>
        </w:sectPr>
      </w:pPr>
    </w:p>
    <w:p>
      <w:pPr>
        <w:pStyle w:val="2"/>
      </w:pPr>
    </w:p>
    <w:p>
      <w:pPr>
        <w:pStyle w:val="2"/>
      </w:pPr>
    </w:p>
    <w:p>
      <w:pPr>
        <w:pStyle w:val="2"/>
      </w:pPr>
    </w:p>
    <w:p>
      <w:pPr>
        <w:widowControl/>
        <w:rPr>
          <w:rFonts w:hint="eastAsia" w:ascii="黑体" w:hAnsi="黑体" w:eastAsia="黑体"/>
          <w:bCs/>
          <w:sz w:val="32"/>
          <w:szCs w:val="32"/>
        </w:rPr>
        <w:sectPr>
          <w:pgSz w:w="11906" w:h="16838"/>
          <w:pgMar w:top="1417" w:right="1134" w:bottom="1134" w:left="1418" w:header="1417" w:footer="1134" w:gutter="0"/>
          <w:pgNumType w:fmt="upperRoman" w:start="2"/>
          <w:cols w:space="425" w:num="1"/>
          <w:docGrid w:type="lines" w:linePitch="312" w:charSpace="0"/>
        </w:sectPr>
      </w:pPr>
      <w:bookmarkStart w:id="5" w:name="SectionMark4"/>
    </w:p>
    <w:p>
      <w:pPr>
        <w:widowControl/>
        <w:spacing w:before="567" w:after="680"/>
        <w:jc w:val="center"/>
        <w:rPr>
          <w:rFonts w:hint="eastAsia" w:ascii="黑体" w:hAnsi="黑体" w:eastAsia="黑体"/>
          <w:bCs/>
          <w:sz w:val="32"/>
          <w:szCs w:val="32"/>
        </w:rPr>
      </w:pPr>
      <w:r>
        <w:rPr>
          <w:rFonts w:hint="eastAsia" w:ascii="黑体" w:hAnsi="宋体" w:eastAsia="黑体"/>
          <w:sz w:val="32"/>
          <w:szCs w:val="32"/>
        </w:rPr>
        <w:t>城市电梯智慧安全服务平台建设运行规范</w:t>
      </w:r>
    </w:p>
    <w:bookmarkEnd w:id="5"/>
    <w:p>
      <w:pPr>
        <w:pStyle w:val="67"/>
        <w:spacing w:before="312" w:after="312"/>
      </w:pPr>
      <w:bookmarkStart w:id="6" w:name="_Toc115339701"/>
      <w:bookmarkStart w:id="7" w:name="_Toc67401897"/>
      <w:bookmarkStart w:id="8" w:name="_Toc10375"/>
      <w:bookmarkStart w:id="9" w:name="_Toc40454690"/>
      <w:bookmarkStart w:id="10" w:name="_Toc48028397"/>
      <w:bookmarkStart w:id="11" w:name="_Toc48569571"/>
      <w:bookmarkStart w:id="12" w:name="_Toc87811368"/>
      <w:bookmarkStart w:id="13" w:name="_Toc47964470"/>
      <w:bookmarkStart w:id="14" w:name="_Toc48572088"/>
      <w:bookmarkStart w:id="15" w:name="_Toc122448156"/>
      <w:bookmarkStart w:id="16" w:name="_Toc4672"/>
      <w:bookmarkStart w:id="17" w:name="_Toc20502"/>
      <w:bookmarkStart w:id="18" w:name="_Toc66965087"/>
      <w:bookmarkStart w:id="19" w:name="_Toc48050151"/>
      <w:bookmarkStart w:id="20" w:name="_Toc48028304"/>
      <w:bookmarkStart w:id="21" w:name="_Toc67393169"/>
      <w:bookmarkStart w:id="22" w:name="_Toc21213"/>
      <w:bookmarkStart w:id="23" w:name="_Toc15741"/>
      <w:bookmarkStart w:id="24" w:name="_Toc51147912"/>
      <w:bookmarkStart w:id="25" w:name="_Toc48049835"/>
      <w:bookmarkStart w:id="26" w:name="_Toc30515"/>
      <w:bookmarkStart w:id="27" w:name="_Toc51663569"/>
      <w:bookmarkStart w:id="28" w:name="_Toc47973642"/>
      <w:bookmarkStart w:id="29" w:name="_Toc87811223"/>
      <w:bookmarkStart w:id="30" w:name="_Toc47964512"/>
      <w:bookmarkStart w:id="31" w:name="_Toc46494722"/>
      <w:bookmarkStart w:id="32" w:name="_Toc47973431"/>
      <w:r>
        <w:rPr>
          <w:rFonts w:hint="eastAsia"/>
        </w:rPr>
        <w:t>范围</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68"/>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本文件规定了城市电梯智慧安全服务平台（以下简称“智慧平台”）建设运行的总体要求、平台建设、平台使用与维护的要求。</w:t>
      </w:r>
    </w:p>
    <w:p>
      <w:pPr>
        <w:pStyle w:val="68"/>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本文件适用于智慧平台建设和运行管理工作。</w:t>
      </w:r>
    </w:p>
    <w:p>
      <w:pPr>
        <w:pStyle w:val="67"/>
        <w:spacing w:before="312" w:after="312"/>
      </w:pPr>
      <w:bookmarkStart w:id="33" w:name="_Toc48028305"/>
      <w:bookmarkStart w:id="34" w:name="_Toc66965088"/>
      <w:bookmarkStart w:id="35" w:name="_Toc1818"/>
      <w:bookmarkStart w:id="36" w:name="_Toc87811369"/>
      <w:bookmarkStart w:id="37" w:name="_Toc27351"/>
      <w:bookmarkStart w:id="38" w:name="_Toc47964513"/>
      <w:bookmarkStart w:id="39" w:name="_Toc48050152"/>
      <w:bookmarkStart w:id="40" w:name="_Toc48028398"/>
      <w:bookmarkStart w:id="41" w:name="_Toc48569572"/>
      <w:bookmarkStart w:id="42" w:name="_Toc48572089"/>
      <w:bookmarkStart w:id="43" w:name="_Toc47973643"/>
      <w:bookmarkStart w:id="44" w:name="_Toc67393170"/>
      <w:bookmarkStart w:id="45" w:name="_Toc29099"/>
      <w:bookmarkStart w:id="46" w:name="_Toc115339702"/>
      <w:bookmarkStart w:id="47" w:name="_Toc87811224"/>
      <w:bookmarkStart w:id="48" w:name="_Toc122448157"/>
      <w:bookmarkStart w:id="49" w:name="_Toc51663570"/>
      <w:bookmarkStart w:id="50" w:name="_Toc40454691"/>
      <w:bookmarkStart w:id="51" w:name="_Toc67401898"/>
      <w:bookmarkStart w:id="52" w:name="_Toc47964471"/>
      <w:bookmarkStart w:id="53" w:name="_Toc48049836"/>
      <w:bookmarkStart w:id="54" w:name="_Toc47973432"/>
      <w:bookmarkStart w:id="55" w:name="_Toc27904"/>
      <w:bookmarkStart w:id="56" w:name="_Toc25682"/>
      <w:bookmarkStart w:id="57" w:name="_Toc51147913"/>
      <w:bookmarkStart w:id="58" w:name="_Toc5397"/>
      <w:bookmarkStart w:id="59" w:name="_Toc46494723"/>
      <w:r>
        <w:rPr>
          <w:rFonts w:hint="eastAsia"/>
        </w:rPr>
        <w:t>规范性引用文件</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52"/>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pPr>
        <w:pStyle w:val="68"/>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GB/T 7024</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电梯、自动扶梯、自动人行道术语</w:t>
      </w:r>
    </w:p>
    <w:p>
      <w:pPr>
        <w:pStyle w:val="68"/>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GB/T 7588.1</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电梯制造与安装安全规范  第1部分：乘客电梯和载货电梯</w:t>
      </w:r>
    </w:p>
    <w:p>
      <w:pPr>
        <w:pStyle w:val="68"/>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G</w:t>
      </w:r>
      <w:r>
        <w:rPr>
          <w:color w:val="000000" w:themeColor="text1"/>
          <w14:textFill>
            <w14:solidFill>
              <w14:schemeClr w14:val="tx1"/>
            </w14:solidFill>
          </w14:textFill>
        </w:rPr>
        <w:t xml:space="preserve">B/T 22239  </w:t>
      </w:r>
      <w:r>
        <w:rPr>
          <w:rFonts w:hint="eastAsia"/>
          <w:color w:val="000000" w:themeColor="text1"/>
          <w14:textFill>
            <w14:solidFill>
              <w14:schemeClr w14:val="tx1"/>
            </w14:solidFill>
          </w14:textFill>
        </w:rPr>
        <w:t>信息安全技术</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网络安全等级保护基本要求</w:t>
      </w:r>
    </w:p>
    <w:p>
      <w:pPr>
        <w:pStyle w:val="68"/>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G</w:t>
      </w:r>
      <w:r>
        <w:rPr>
          <w:color w:val="000000" w:themeColor="text1"/>
          <w14:textFill>
            <w14:solidFill>
              <w14:schemeClr w14:val="tx1"/>
            </w14:solidFill>
          </w14:textFill>
        </w:rPr>
        <w:t xml:space="preserve">B/T 24476  </w:t>
      </w:r>
      <w:r>
        <w:rPr>
          <w:rFonts w:hint="eastAsia"/>
          <w:color w:val="000000" w:themeColor="text1"/>
          <w14:textFill>
            <w14:solidFill>
              <w14:schemeClr w14:val="tx1"/>
            </w14:solidFill>
          </w14:textFill>
        </w:rPr>
        <w:t>电梯物联网</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企业应用平台基本要求</w:t>
      </w:r>
    </w:p>
    <w:p>
      <w:pPr>
        <w:pStyle w:val="68"/>
        <w:ind w:firstLine="420"/>
        <w:rPr>
          <w:color w:val="000000" w:themeColor="text1"/>
          <w14:textFill>
            <w14:solidFill>
              <w14:schemeClr w14:val="tx1"/>
            </w14:solidFill>
          </w14:textFill>
        </w:rPr>
      </w:pPr>
      <w:r>
        <w:rPr>
          <w:color w:val="000000" w:themeColor="text1"/>
          <w14:textFill>
            <w14:solidFill>
              <w14:schemeClr w14:val="tx1"/>
            </w14:solidFill>
          </w14:textFill>
        </w:rPr>
        <w:t xml:space="preserve">GB/T 42616  </w:t>
      </w:r>
      <w:r>
        <w:rPr>
          <w:rFonts w:hint="eastAsia"/>
          <w:color w:val="000000" w:themeColor="text1"/>
          <w14:textFill>
            <w14:solidFill>
              <w14:schemeClr w14:val="tx1"/>
            </w14:solidFill>
          </w14:textFill>
        </w:rPr>
        <w:t xml:space="preserve">电梯物联网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监测终端技术规范</w:t>
      </w:r>
    </w:p>
    <w:p>
      <w:pPr>
        <w:pStyle w:val="68"/>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D</w:t>
      </w:r>
      <w:r>
        <w:rPr>
          <w:color w:val="000000" w:themeColor="text1"/>
          <w14:textFill>
            <w14:solidFill>
              <w14:schemeClr w14:val="tx1"/>
            </w14:solidFill>
          </w14:textFill>
        </w:rPr>
        <w:t xml:space="preserve">B32/T 4130  </w:t>
      </w:r>
      <w:r>
        <w:rPr>
          <w:rFonts w:hint="eastAsia"/>
          <w:color w:val="000000" w:themeColor="text1"/>
          <w14:textFill>
            <w14:solidFill>
              <w14:schemeClr w14:val="tx1"/>
            </w14:solidFill>
          </w14:textFill>
        </w:rPr>
        <w:t>电梯应急处置服务工作规范</w:t>
      </w:r>
    </w:p>
    <w:p>
      <w:pPr>
        <w:pStyle w:val="68"/>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D</w:t>
      </w:r>
      <w:r>
        <w:rPr>
          <w:color w:val="000000" w:themeColor="text1"/>
          <w14:textFill>
            <w14:solidFill>
              <w14:schemeClr w14:val="tx1"/>
            </w14:solidFill>
          </w14:textFill>
        </w:rPr>
        <w:t xml:space="preserve">B32/T 4131  </w:t>
      </w:r>
      <w:r>
        <w:rPr>
          <w:rFonts w:hint="eastAsia"/>
          <w:color w:val="000000" w:themeColor="text1"/>
          <w14:textFill>
            <w14:solidFill>
              <w14:schemeClr w14:val="tx1"/>
            </w14:solidFill>
          </w14:textFill>
        </w:rPr>
        <w:t>电梯应急处置服务数据归集规则</w:t>
      </w:r>
    </w:p>
    <w:p>
      <w:pPr>
        <w:pStyle w:val="68"/>
        <w:ind w:firstLine="420"/>
        <w:rPr>
          <w:color w:val="000000" w:themeColor="text1"/>
          <w14:textFill>
            <w14:solidFill>
              <w14:schemeClr w14:val="tx1"/>
            </w14:solidFill>
          </w14:textFill>
        </w:rPr>
      </w:pPr>
      <w:r>
        <w:rPr>
          <w:color w:val="000000" w:themeColor="text1"/>
          <w14:textFill>
            <w14:solidFill>
              <w14:schemeClr w14:val="tx1"/>
            </w14:solidFill>
          </w14:textFill>
        </w:rPr>
        <w:t xml:space="preserve">DB3205/T 1037  </w:t>
      </w:r>
      <w:r>
        <w:rPr>
          <w:rFonts w:hint="eastAsia"/>
          <w:color w:val="000000" w:themeColor="text1"/>
          <w14:textFill>
            <w14:solidFill>
              <w14:schemeClr w14:val="tx1"/>
            </w14:solidFill>
          </w14:textFill>
        </w:rPr>
        <w:t>电梯应急处置智慧调度工作规范</w:t>
      </w:r>
    </w:p>
    <w:p>
      <w:pPr>
        <w:pStyle w:val="67"/>
        <w:spacing w:before="312" w:after="312"/>
        <w:rPr>
          <w:szCs w:val="21"/>
        </w:rPr>
      </w:pPr>
      <w:bookmarkStart w:id="60" w:name="_Toc87811370"/>
      <w:bookmarkStart w:id="61" w:name="_Toc67393171"/>
      <w:bookmarkStart w:id="62" w:name="_Toc16728"/>
      <w:bookmarkStart w:id="63" w:name="_Toc87811225"/>
      <w:bookmarkStart w:id="64" w:name="_Toc122448158"/>
      <w:bookmarkStart w:id="65" w:name="_Toc31015"/>
      <w:bookmarkStart w:id="66" w:name="_Toc67401899"/>
      <w:bookmarkStart w:id="67" w:name="_Toc115339703"/>
      <w:r>
        <w:rPr>
          <w:rFonts w:hint="eastAsia"/>
          <w:szCs w:val="21"/>
        </w:rPr>
        <w:t>术语和定义</w:t>
      </w:r>
      <w:bookmarkEnd w:id="60"/>
      <w:bookmarkEnd w:id="61"/>
      <w:bookmarkEnd w:id="62"/>
      <w:bookmarkEnd w:id="63"/>
      <w:bookmarkEnd w:id="64"/>
      <w:bookmarkEnd w:id="65"/>
      <w:bookmarkEnd w:id="66"/>
      <w:bookmarkEnd w:id="67"/>
    </w:p>
    <w:p>
      <w:pPr>
        <w:pStyle w:val="52"/>
      </w:pPr>
      <w:r>
        <w:rPr>
          <w:rFonts w:hint="eastAsia"/>
          <w:color w:val="000000" w:themeColor="text1"/>
          <w14:textFill>
            <w14:solidFill>
              <w14:schemeClr w14:val="tx1"/>
            </w14:solidFill>
          </w14:textFill>
        </w:rPr>
        <w:t>GB/T 7024、GB/T 7588.1、G</w:t>
      </w:r>
      <w:r>
        <w:rPr>
          <w:color w:val="000000" w:themeColor="text1"/>
          <w14:textFill>
            <w14:solidFill>
              <w14:schemeClr w14:val="tx1"/>
            </w14:solidFill>
          </w14:textFill>
        </w:rPr>
        <w:t>B/T 24476</w:t>
      </w:r>
      <w:r>
        <w:rPr>
          <w:rFonts w:hint="eastAsia"/>
          <w:color w:val="000000" w:themeColor="text1"/>
          <w14:textFill>
            <w14:solidFill>
              <w14:schemeClr w14:val="tx1"/>
            </w14:solidFill>
          </w14:textFill>
        </w:rPr>
        <w:t>界定的以及下列术语和定义适用于本文件</w:t>
      </w:r>
      <w:r>
        <w:rPr>
          <w:rFonts w:hint="eastAsia"/>
        </w:rPr>
        <w:t>。</w:t>
      </w:r>
    </w:p>
    <w:p>
      <w:pPr>
        <w:pStyle w:val="64"/>
        <w:ind w:left="420" w:hanging="420" w:hangingChars="200"/>
        <w:rPr>
          <w:rFonts w:hint="eastAsia" w:ascii="黑体" w:hAnsi="黑体" w:eastAsia="黑体"/>
          <w:color w:val="000000" w:themeColor="text1"/>
          <w14:textFill>
            <w14:solidFill>
              <w14:schemeClr w14:val="tx1"/>
            </w14:solidFill>
          </w14:textFill>
        </w:rPr>
      </w:pPr>
      <w:bookmarkStart w:id="68" w:name="_Hlk187933880"/>
      <w:bookmarkStart w:id="69" w:name="_Toc6338"/>
    </w:p>
    <w:p>
      <w:pPr>
        <w:pStyle w:val="64"/>
        <w:numPr>
          <w:ilvl w:val="0"/>
          <w:numId w:val="0"/>
        </w:numPr>
        <w:ind w:left="42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城市电梯智慧安全服务平台</w:t>
      </w:r>
      <w:bookmarkEnd w:id="68"/>
      <w:r>
        <w:rPr>
          <w:rFonts w:hint="eastAsia" w:ascii="黑体" w:hAnsi="黑体" w:eastAsia="黑体"/>
          <w:color w:val="000000" w:themeColor="text1"/>
          <w14:textFill>
            <w14:solidFill>
              <w14:schemeClr w14:val="tx1"/>
            </w14:solidFill>
          </w14:textFill>
        </w:rPr>
        <w:t xml:space="preserve">  </w:t>
      </w:r>
      <w:r>
        <w:rPr>
          <w:rFonts w:hint="eastAsia" w:ascii="黑体" w:hAnsi="黑体" w:eastAsia="黑体"/>
          <w:color w:val="000000" w:themeColor="text1"/>
          <w:szCs w:val="28"/>
          <w14:textFill>
            <w14:solidFill>
              <w14:schemeClr w14:val="tx1"/>
            </w14:solidFill>
          </w14:textFill>
        </w:rPr>
        <w:t>u</w:t>
      </w:r>
      <w:r>
        <w:rPr>
          <w:rFonts w:ascii="黑体" w:hAnsi="黑体" w:eastAsia="黑体"/>
          <w:color w:val="000000" w:themeColor="text1"/>
          <w:szCs w:val="28"/>
          <w14:textFill>
            <w14:solidFill>
              <w14:schemeClr w14:val="tx1"/>
            </w14:solidFill>
          </w14:textFill>
        </w:rPr>
        <w:t xml:space="preserve">rban </w:t>
      </w:r>
      <w:r>
        <w:rPr>
          <w:rFonts w:hint="eastAsia" w:ascii="黑体" w:hAnsi="黑体" w:eastAsia="黑体"/>
          <w:color w:val="000000" w:themeColor="text1"/>
          <w:szCs w:val="28"/>
          <w14:textFill>
            <w14:solidFill>
              <w14:schemeClr w14:val="tx1"/>
            </w14:solidFill>
          </w14:textFill>
        </w:rPr>
        <w:t>e</w:t>
      </w:r>
      <w:r>
        <w:rPr>
          <w:rFonts w:ascii="黑体" w:hAnsi="黑体" w:eastAsia="黑体"/>
          <w:color w:val="000000" w:themeColor="text1"/>
          <w:szCs w:val="28"/>
          <w14:textFill>
            <w14:solidFill>
              <w14:schemeClr w14:val="tx1"/>
            </w14:solidFill>
          </w14:textFill>
        </w:rPr>
        <w:t xml:space="preserve">levator </w:t>
      </w:r>
      <w:r>
        <w:rPr>
          <w:rFonts w:hint="eastAsia" w:ascii="黑体" w:hAnsi="黑体" w:eastAsia="黑体"/>
          <w:color w:val="000000" w:themeColor="text1"/>
          <w:szCs w:val="28"/>
          <w14:textFill>
            <w14:solidFill>
              <w14:schemeClr w14:val="tx1"/>
            </w14:solidFill>
          </w14:textFill>
        </w:rPr>
        <w:t>i</w:t>
      </w:r>
      <w:r>
        <w:rPr>
          <w:rFonts w:ascii="黑体" w:hAnsi="黑体" w:eastAsia="黑体"/>
          <w:color w:val="000000" w:themeColor="text1"/>
          <w:szCs w:val="28"/>
          <w14:textFill>
            <w14:solidFill>
              <w14:schemeClr w14:val="tx1"/>
            </w14:solidFill>
          </w14:textFill>
        </w:rPr>
        <w:t xml:space="preserve">ntelligent </w:t>
      </w:r>
      <w:r>
        <w:rPr>
          <w:rFonts w:hint="eastAsia" w:ascii="黑体" w:hAnsi="黑体" w:eastAsia="黑体"/>
          <w:color w:val="000000" w:themeColor="text1"/>
          <w:szCs w:val="28"/>
          <w14:textFill>
            <w14:solidFill>
              <w14:schemeClr w14:val="tx1"/>
            </w14:solidFill>
          </w14:textFill>
        </w:rPr>
        <w:t>s</w:t>
      </w:r>
      <w:r>
        <w:rPr>
          <w:rFonts w:ascii="黑体" w:hAnsi="黑体" w:eastAsia="黑体"/>
          <w:color w:val="000000" w:themeColor="text1"/>
          <w:szCs w:val="28"/>
          <w14:textFill>
            <w14:solidFill>
              <w14:schemeClr w14:val="tx1"/>
            </w14:solidFill>
          </w14:textFill>
        </w:rPr>
        <w:t xml:space="preserve">afety </w:t>
      </w:r>
      <w:r>
        <w:rPr>
          <w:rFonts w:hint="eastAsia" w:ascii="黑体" w:hAnsi="黑体" w:eastAsia="黑体"/>
          <w:color w:val="000000" w:themeColor="text1"/>
          <w:szCs w:val="28"/>
          <w14:textFill>
            <w14:solidFill>
              <w14:schemeClr w14:val="tx1"/>
            </w14:solidFill>
          </w14:textFill>
        </w:rPr>
        <w:t>service</w:t>
      </w:r>
      <w:r>
        <w:rPr>
          <w:rFonts w:ascii="黑体" w:hAnsi="黑体" w:eastAsia="黑体"/>
          <w:color w:val="000000" w:themeColor="text1"/>
          <w:szCs w:val="28"/>
          <w14:textFill>
            <w14:solidFill>
              <w14:schemeClr w14:val="tx1"/>
            </w14:solidFill>
          </w14:textFill>
        </w:rPr>
        <w:t xml:space="preserve"> </w:t>
      </w:r>
      <w:r>
        <w:rPr>
          <w:rFonts w:hint="eastAsia" w:ascii="黑体" w:hAnsi="黑体" w:eastAsia="黑体"/>
          <w:color w:val="000000" w:themeColor="text1"/>
          <w:szCs w:val="28"/>
          <w14:textFill>
            <w14:solidFill>
              <w14:schemeClr w14:val="tx1"/>
            </w14:solidFill>
          </w14:textFill>
        </w:rPr>
        <w:t>p</w:t>
      </w:r>
      <w:r>
        <w:rPr>
          <w:rFonts w:ascii="黑体" w:hAnsi="黑体" w:eastAsia="黑体"/>
          <w:color w:val="000000" w:themeColor="text1"/>
          <w:szCs w:val="28"/>
          <w14:textFill>
            <w14:solidFill>
              <w14:schemeClr w14:val="tx1"/>
            </w14:solidFill>
          </w14:textFill>
        </w:rPr>
        <w:t>latform</w:t>
      </w:r>
    </w:p>
    <w:p>
      <w:pPr>
        <w:pStyle w:val="68"/>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运用物联网、大数据、5</w:t>
      </w:r>
      <w:r>
        <w:rPr>
          <w:color w:val="000000" w:themeColor="text1"/>
          <w14:textFill>
            <w14:solidFill>
              <w14:schemeClr w14:val="tx1"/>
            </w14:solidFill>
          </w14:textFill>
        </w:rPr>
        <w:t>G</w:t>
      </w:r>
      <w:r>
        <w:rPr>
          <w:rFonts w:hint="eastAsia"/>
          <w:color w:val="000000" w:themeColor="text1"/>
          <w14:textFill>
            <w14:solidFill>
              <w14:schemeClr w14:val="tx1"/>
            </w14:solidFill>
          </w14:textFill>
        </w:rPr>
        <w:t>、人工智能等技术，接收电梯困人等故障报警、识别电动自行车进入电梯等信息，并对接收的信息进行处理，联动“96333”电梯应急救援平台提供后续服务的智慧平台。</w:t>
      </w:r>
    </w:p>
    <w:p>
      <w:pPr>
        <w:pStyle w:val="64"/>
        <w:ind w:left="420" w:hanging="420" w:hangingChars="200"/>
        <w:rPr>
          <w:rFonts w:hint="eastAsia" w:ascii="黑体" w:hAnsi="黑体" w:eastAsia="黑体"/>
          <w:color w:val="000000" w:themeColor="text1"/>
          <w14:textFill>
            <w14:solidFill>
              <w14:schemeClr w14:val="tx1"/>
            </w14:solidFill>
          </w14:textFill>
        </w:rPr>
      </w:pPr>
    </w:p>
    <w:p>
      <w:pPr>
        <w:pStyle w:val="64"/>
        <w:numPr>
          <w:ilvl w:val="0"/>
          <w:numId w:val="0"/>
        </w:numPr>
        <w:ind w:left="42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困人  people trapped</w:t>
      </w:r>
    </w:p>
    <w:p>
      <w:pPr>
        <w:pStyle w:val="68"/>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由于电梯故障或事件的原因导致乘客被困在轿厢内的现象。</w:t>
      </w:r>
    </w:p>
    <w:p>
      <w:pPr>
        <w:pStyle w:val="68"/>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[来源：G</w:t>
      </w:r>
      <w:r>
        <w:rPr>
          <w:color w:val="000000" w:themeColor="text1"/>
          <w14:textFill>
            <w14:solidFill>
              <w14:schemeClr w14:val="tx1"/>
            </w14:solidFill>
          </w14:textFill>
        </w:rPr>
        <w:t>B/T 24476</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2023</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3.2]</w:t>
      </w:r>
    </w:p>
    <w:p>
      <w:pPr>
        <w:pStyle w:val="64"/>
        <w:ind w:left="420" w:hanging="420" w:hangingChars="200"/>
        <w:rPr>
          <w:rFonts w:hint="eastAsia" w:ascii="黑体" w:hAnsi="黑体" w:eastAsia="黑体"/>
          <w:color w:val="000000" w:themeColor="text1"/>
          <w14:textFill>
            <w14:solidFill>
              <w14:schemeClr w14:val="tx1"/>
            </w14:solidFill>
          </w14:textFill>
        </w:rPr>
      </w:pPr>
    </w:p>
    <w:p>
      <w:pPr>
        <w:pStyle w:val="64"/>
        <w:numPr>
          <w:ilvl w:val="0"/>
          <w:numId w:val="0"/>
        </w:numPr>
        <w:ind w:left="42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报警  alarm</w:t>
      </w:r>
    </w:p>
    <w:p>
      <w:pPr>
        <w:pStyle w:val="68"/>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发生困人（3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2）事件后，被困乘客通过G</w:t>
      </w:r>
      <w:r>
        <w:rPr>
          <w:color w:val="000000" w:themeColor="text1"/>
          <w14:textFill>
            <w14:solidFill>
              <w14:schemeClr w14:val="tx1"/>
            </w14:solidFill>
          </w14:textFill>
        </w:rPr>
        <w:t>B/T 7588.1</w:t>
      </w:r>
      <w:r>
        <w:rPr>
          <w:rFonts w:hint="eastAsia"/>
          <w:color w:val="000000" w:themeColor="text1"/>
          <w14:textFill>
            <w14:solidFill>
              <w14:schemeClr w14:val="tx1"/>
            </w14:solidFill>
          </w14:textFill>
        </w:rPr>
        <w:t>、G</w:t>
      </w:r>
      <w:r>
        <w:rPr>
          <w:color w:val="000000" w:themeColor="text1"/>
          <w14:textFill>
            <w14:solidFill>
              <w14:schemeClr w14:val="tx1"/>
            </w14:solidFill>
          </w14:textFill>
        </w:rPr>
        <w:t>B/T 24475</w:t>
      </w:r>
      <w:r>
        <w:rPr>
          <w:rFonts w:hint="eastAsia"/>
          <w:color w:val="000000" w:themeColor="text1"/>
          <w14:textFill>
            <w14:solidFill>
              <w14:schemeClr w14:val="tx1"/>
            </w14:solidFill>
          </w14:textFill>
        </w:rPr>
        <w:t>等文件规定的紧急报警装置、登录手机App、一键式报警装置、拨打“9</w:t>
      </w:r>
      <w:r>
        <w:rPr>
          <w:color w:val="000000" w:themeColor="text1"/>
          <w14:textFill>
            <w14:solidFill>
              <w14:schemeClr w14:val="tx1"/>
            </w14:solidFill>
          </w14:textFill>
        </w:rPr>
        <w:t>6333</w:t>
      </w:r>
      <w:r>
        <w:rPr>
          <w:rFonts w:hint="eastAsia"/>
          <w:color w:val="000000" w:themeColor="text1"/>
          <w14:textFill>
            <w14:solidFill>
              <w14:schemeClr w14:val="tx1"/>
            </w14:solidFill>
          </w14:textFill>
        </w:rPr>
        <w:t>”电梯应急救援专线等方式发出求救信号或监测终端（3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4）监测到困人信息自动发出求助信号。</w:t>
      </w:r>
    </w:p>
    <w:p>
      <w:pPr>
        <w:pStyle w:val="64"/>
        <w:ind w:left="420" w:hanging="420" w:hangingChars="200"/>
        <w:rPr>
          <w:rFonts w:hint="eastAsia" w:ascii="黑体" w:hAnsi="黑体" w:eastAsia="黑体"/>
          <w:color w:val="000000" w:themeColor="text1"/>
          <w14:textFill>
            <w14:solidFill>
              <w14:schemeClr w14:val="tx1"/>
            </w14:solidFill>
          </w14:textFill>
        </w:rPr>
      </w:pPr>
    </w:p>
    <w:p>
      <w:pPr>
        <w:pStyle w:val="64"/>
        <w:numPr>
          <w:ilvl w:val="0"/>
          <w:numId w:val="0"/>
        </w:numPr>
        <w:ind w:left="420"/>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监测终端  monitoring terminal</w:t>
      </w:r>
    </w:p>
    <w:p>
      <w:pPr>
        <w:pStyle w:val="68"/>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协议转换装置、采集传输装置、外加的传感器、图像采集装置、轿厢内加装的显示装置、报警装置、语音安抚装置和备用电源等的统称。</w:t>
      </w:r>
    </w:p>
    <w:p>
      <w:pPr>
        <w:pStyle w:val="68"/>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[来源：G</w:t>
      </w:r>
      <w:r>
        <w:rPr>
          <w:color w:val="000000" w:themeColor="text1"/>
          <w14:textFill>
            <w14:solidFill>
              <w14:schemeClr w14:val="tx1"/>
            </w14:solidFill>
          </w14:textFill>
        </w:rPr>
        <w:t>B/T 24476</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023</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7，有修改</w:t>
      </w:r>
      <w:r>
        <w:rPr>
          <w:color w:val="000000" w:themeColor="text1"/>
          <w14:textFill>
            <w14:solidFill>
              <w14:schemeClr w14:val="tx1"/>
            </w14:solidFill>
          </w14:textFill>
        </w:rPr>
        <w:t>]</w:t>
      </w:r>
    </w:p>
    <w:bookmarkEnd w:id="69"/>
    <w:p>
      <w:pPr>
        <w:pStyle w:val="67"/>
        <w:spacing w:before="312" w:after="312"/>
        <w:rPr>
          <w:color w:val="000000" w:themeColor="text1"/>
          <w14:textFill>
            <w14:solidFill>
              <w14:schemeClr w14:val="tx1"/>
            </w14:solidFill>
          </w14:textFill>
        </w:rPr>
      </w:pPr>
      <w:bookmarkStart w:id="70" w:name="_Toc188348681"/>
      <w:bookmarkStart w:id="71" w:name="_Toc29161"/>
      <w:bookmarkStart w:id="72" w:name="_Toc192252423"/>
      <w:bookmarkStart w:id="73" w:name="_Toc167631912"/>
      <w:bookmarkStart w:id="74" w:name="_Toc166834014"/>
      <w:bookmarkStart w:id="75" w:name="_Toc167954445"/>
      <w:bookmarkStart w:id="76" w:name="_Toc160093748"/>
      <w:bookmarkStart w:id="77" w:name="_Toc160029542"/>
      <w:bookmarkStart w:id="78" w:name="_Toc146722386"/>
      <w:bookmarkStart w:id="79" w:name="_Toc148014114"/>
      <w:r>
        <w:rPr>
          <w:rFonts w:hint="eastAsia"/>
          <w:color w:val="000000" w:themeColor="text1"/>
          <w14:textFill>
            <w14:solidFill>
              <w14:schemeClr w14:val="tx1"/>
            </w14:solidFill>
          </w14:textFill>
        </w:rPr>
        <w:t>总体要求</w:t>
      </w:r>
      <w:bookmarkEnd w:id="70"/>
      <w:bookmarkEnd w:id="71"/>
      <w:bookmarkEnd w:id="72"/>
    </w:p>
    <w:p>
      <w:pPr>
        <w:pStyle w:val="66"/>
        <w:spacing w:before="156" w:after="156"/>
        <w:rPr>
          <w:color w:val="000000" w:themeColor="text1"/>
          <w14:textFill>
            <w14:solidFill>
              <w14:schemeClr w14:val="tx1"/>
            </w14:solidFill>
          </w14:textFill>
        </w:rPr>
      </w:pPr>
      <w:bookmarkStart w:id="80" w:name="_Toc7763"/>
      <w:bookmarkStart w:id="81" w:name="_Toc188348682"/>
      <w:bookmarkStart w:id="82" w:name="_Toc192252424"/>
      <w:r>
        <w:rPr>
          <w:rFonts w:hint="eastAsia"/>
          <w:color w:val="000000" w:themeColor="text1"/>
          <w14:textFill>
            <w14:solidFill>
              <w14:schemeClr w14:val="tx1"/>
            </w14:solidFill>
          </w14:textFill>
        </w:rPr>
        <w:t>机构要求</w:t>
      </w:r>
      <w:bookmarkEnd w:id="80"/>
      <w:bookmarkEnd w:id="81"/>
      <w:bookmarkEnd w:id="82"/>
    </w:p>
    <w:p>
      <w:pPr>
        <w:pStyle w:val="70"/>
        <w:spacing w:before="156" w:after="156"/>
        <w:rPr>
          <w:color w:val="000000" w:themeColor="text1"/>
          <w14:textFill>
            <w14:solidFill>
              <w14:schemeClr w14:val="tx1"/>
            </w14:solidFill>
          </w14:textFill>
        </w:rPr>
      </w:pPr>
      <w:bookmarkStart w:id="83" w:name="_Toc169871974"/>
      <w:bookmarkStart w:id="84" w:name="_Toc169793495"/>
      <w:bookmarkStart w:id="85" w:name="_Toc2738"/>
      <w:bookmarkStart w:id="86" w:name="_Toc170674258"/>
      <w:r>
        <w:rPr>
          <w:rFonts w:hint="eastAsia"/>
          <w:color w:val="000000" w:themeColor="text1"/>
          <w14:textFill>
            <w14:solidFill>
              <w14:schemeClr w14:val="tx1"/>
            </w14:solidFill>
          </w14:textFill>
        </w:rPr>
        <w:t>使用单位</w:t>
      </w:r>
      <w:bookmarkEnd w:id="83"/>
      <w:bookmarkEnd w:id="84"/>
      <w:bookmarkEnd w:id="85"/>
      <w:bookmarkEnd w:id="86"/>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使用单位一般为受业主委托的物业服务企业，应根据本文件要求做好日常监控和巡检工作</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及时响应应急处置需求</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安排好智慧平台运维工作等。</w:t>
      </w:r>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应明确智慧平台管理的责任部门和责任人，细化内部使用管理职责、权限、流程等，及时向管理部门、建设与运维单位反映使用过程中出现的问题。</w:t>
      </w:r>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应根据DB32/T 4130和DB3205/T 1037的要求，做好应急响应工作。</w:t>
      </w:r>
    </w:p>
    <w:p>
      <w:pPr>
        <w:pStyle w:val="70"/>
        <w:spacing w:before="156" w:after="156"/>
        <w:rPr>
          <w:color w:val="000000" w:themeColor="text1"/>
          <w14:textFill>
            <w14:solidFill>
              <w14:schemeClr w14:val="tx1"/>
            </w14:solidFill>
          </w14:textFill>
        </w:rPr>
      </w:pPr>
      <w:bookmarkStart w:id="87" w:name="_Toc169793496"/>
      <w:bookmarkStart w:id="88" w:name="_Toc168485751"/>
      <w:bookmarkStart w:id="89" w:name="_Toc170674259"/>
      <w:bookmarkStart w:id="90" w:name="_Toc4020"/>
      <w:bookmarkStart w:id="91" w:name="_Toc169871975"/>
      <w:r>
        <w:rPr>
          <w:rFonts w:hint="eastAsia"/>
          <w:color w:val="000000" w:themeColor="text1"/>
          <w14:textFill>
            <w14:solidFill>
              <w14:schemeClr w14:val="tx1"/>
            </w14:solidFill>
          </w14:textFill>
        </w:rPr>
        <w:t>建设单位</w:t>
      </w:r>
      <w:bookmarkEnd w:id="87"/>
      <w:bookmarkEnd w:id="88"/>
      <w:bookmarkEnd w:id="89"/>
      <w:bookmarkEnd w:id="90"/>
      <w:bookmarkEnd w:id="91"/>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应根据本文件要求，设计和建设符合要求的智慧平台，并指导使用单位和运营单位熟悉运用。</w:t>
      </w:r>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应负责智慧平台的建设、应用实施、优化更新和信息安全。</w:t>
      </w:r>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应对智慧平台性能、应用管理、运行监测等进行规范，制定智慧平台使用说明、工作规范等内容，切实保障功能完备、运行稳定、体验良好。</w:t>
      </w:r>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应做好相关档案的管理和归档工作。</w:t>
      </w:r>
    </w:p>
    <w:p>
      <w:pPr>
        <w:pStyle w:val="70"/>
        <w:spacing w:before="156" w:after="156"/>
        <w:rPr>
          <w:color w:val="000000" w:themeColor="text1"/>
          <w14:textFill>
            <w14:solidFill>
              <w14:schemeClr w14:val="tx1"/>
            </w14:solidFill>
          </w14:textFill>
        </w:rPr>
      </w:pPr>
      <w:bookmarkStart w:id="92" w:name="_Toc169793497"/>
      <w:bookmarkStart w:id="93" w:name="_Toc169871976"/>
      <w:bookmarkStart w:id="94" w:name="_Toc170674260"/>
      <w:bookmarkStart w:id="95" w:name="_Toc1409"/>
      <w:r>
        <w:rPr>
          <w:rFonts w:hint="eastAsia"/>
          <w:color w:val="000000" w:themeColor="text1"/>
          <w14:textFill>
            <w14:solidFill>
              <w14:schemeClr w14:val="tx1"/>
            </w14:solidFill>
          </w14:textFill>
        </w:rPr>
        <w:t>运维单位</w:t>
      </w:r>
      <w:bookmarkEnd w:id="92"/>
      <w:bookmarkEnd w:id="93"/>
      <w:bookmarkEnd w:id="94"/>
      <w:bookmarkEnd w:id="95"/>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智慧平台运维单位可与建设单位为同一家单位。</w:t>
      </w:r>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应做好专业人员队伍建设，确保为智慧平台的正常运营提供组织和人员保障。</w:t>
      </w:r>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应做好内部培训，配置客服团队进行实时接通信息，与“96333”电梯应急救援平台做好对接工作。</w:t>
      </w:r>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应做好相关档案的管理和归档工作。</w:t>
      </w:r>
    </w:p>
    <w:p>
      <w:pPr>
        <w:pStyle w:val="66"/>
        <w:spacing w:before="156" w:after="156"/>
        <w:rPr>
          <w:color w:val="000000" w:themeColor="text1"/>
          <w14:textFill>
            <w14:solidFill>
              <w14:schemeClr w14:val="tx1"/>
            </w14:solidFill>
          </w14:textFill>
        </w:rPr>
      </w:pPr>
      <w:bookmarkStart w:id="96" w:name="_Toc188348683"/>
      <w:bookmarkStart w:id="97" w:name="_Toc11281"/>
      <w:bookmarkStart w:id="98" w:name="_Toc192252425"/>
      <w:r>
        <w:rPr>
          <w:rFonts w:hint="eastAsia"/>
          <w:color w:val="000000" w:themeColor="text1"/>
          <w14:textFill>
            <w14:solidFill>
              <w14:schemeClr w14:val="tx1"/>
            </w14:solidFill>
          </w14:textFill>
        </w:rPr>
        <w:t>建设与运维要求</w:t>
      </w:r>
      <w:bookmarkEnd w:id="96"/>
      <w:bookmarkEnd w:id="97"/>
      <w:bookmarkEnd w:id="98"/>
    </w:p>
    <w:p>
      <w:pPr>
        <w:pStyle w:val="69"/>
        <w:rPr>
          <w:color w:val="000000" w:themeColor="text1"/>
          <w14:textFill>
            <w14:solidFill>
              <w14:schemeClr w14:val="tx1"/>
            </w14:solidFill>
          </w14:textFill>
        </w:rPr>
      </w:pPr>
      <w:r>
        <w:rPr>
          <w:rFonts w:hint="eastAsia"/>
          <w:color w:val="000000" w:themeColor="text1"/>
          <w14:textFill>
            <w14:solidFill>
              <w14:schemeClr w14:val="tx1"/>
            </w14:solidFill>
          </w14:textFill>
        </w:rPr>
        <w:t>智慧平台应按照“同步设计、同步施工、同步验收、同步投入使用”的原则进行设计，多部门联合，共同推动和完善电梯安全全链条建设、管理与应用。</w:t>
      </w:r>
    </w:p>
    <w:p>
      <w:pPr>
        <w:pStyle w:val="69"/>
        <w:rPr>
          <w:color w:val="000000" w:themeColor="text1"/>
          <w14:textFill>
            <w14:solidFill>
              <w14:schemeClr w14:val="tx1"/>
            </w14:solidFill>
          </w14:textFill>
        </w:rPr>
      </w:pPr>
      <w:r>
        <w:rPr>
          <w:rFonts w:hint="eastAsia"/>
          <w:color w:val="000000" w:themeColor="text1"/>
          <w14:textFill>
            <w14:solidFill>
              <w14:schemeClr w14:val="tx1"/>
            </w14:solidFill>
          </w14:textFill>
        </w:rPr>
        <w:t>智慧平台的设计应统筹规划,充分考虑与电梯安全公共信息服务平台间数据资源共享及互联互通。</w:t>
      </w:r>
    </w:p>
    <w:p>
      <w:pPr>
        <w:pStyle w:val="69"/>
        <w:rPr>
          <w:color w:val="000000" w:themeColor="text1"/>
          <w14:textFill>
            <w14:solidFill>
              <w14:schemeClr w14:val="tx1"/>
            </w14:solidFill>
          </w14:textFill>
        </w:rPr>
      </w:pPr>
      <w:r>
        <w:rPr>
          <w:rFonts w:hint="eastAsia"/>
          <w:color w:val="000000" w:themeColor="text1"/>
          <w14:textFill>
            <w14:solidFill>
              <w14:schemeClr w14:val="tx1"/>
            </w14:solidFill>
          </w14:textFill>
        </w:rPr>
        <w:t>智慧平台应通过验收后方可投入使用，且识别电梯困人准确率应在99%以上。</w:t>
      </w:r>
    </w:p>
    <w:p>
      <w:pPr>
        <w:pStyle w:val="66"/>
        <w:spacing w:before="156" w:after="156"/>
        <w:rPr>
          <w:color w:val="000000" w:themeColor="text1"/>
          <w14:textFill>
            <w14:solidFill>
              <w14:schemeClr w14:val="tx1"/>
            </w14:solidFill>
          </w14:textFill>
        </w:rPr>
      </w:pPr>
      <w:bookmarkStart w:id="99" w:name="_Toc192252426"/>
      <w:bookmarkStart w:id="100" w:name="_Toc188348684"/>
      <w:bookmarkStart w:id="101" w:name="_Toc7465"/>
      <w:r>
        <w:rPr>
          <w:rFonts w:hint="eastAsia"/>
          <w:color w:val="000000" w:themeColor="text1"/>
          <w14:textFill>
            <w14:solidFill>
              <w14:schemeClr w14:val="tx1"/>
            </w14:solidFill>
          </w14:textFill>
        </w:rPr>
        <w:t>安全要求</w:t>
      </w:r>
      <w:bookmarkEnd w:id="99"/>
      <w:bookmarkEnd w:id="100"/>
      <w:bookmarkEnd w:id="101"/>
    </w:p>
    <w:p>
      <w:pPr>
        <w:pStyle w:val="69"/>
        <w:rPr>
          <w:color w:val="000000" w:themeColor="text1"/>
          <w14:textFill>
            <w14:solidFill>
              <w14:schemeClr w14:val="tx1"/>
            </w14:solidFill>
          </w14:textFill>
        </w:rPr>
      </w:pPr>
      <w:r>
        <w:rPr>
          <w:rFonts w:hint="eastAsia"/>
          <w:color w:val="000000" w:themeColor="text1"/>
          <w14:textFill>
            <w14:solidFill>
              <w14:schemeClr w14:val="tx1"/>
            </w14:solidFill>
          </w14:textFill>
        </w:rPr>
        <w:t>应采取措施保障智慧平台免受干扰、破坏，防止数据泄露或被窃取、篡改等，加强智慧平台安全防护与管理。</w:t>
      </w:r>
    </w:p>
    <w:p>
      <w:pPr>
        <w:pStyle w:val="69"/>
        <w:rPr>
          <w:color w:val="000000" w:themeColor="text1"/>
          <w14:textFill>
            <w14:solidFill>
              <w14:schemeClr w14:val="tx1"/>
            </w14:solidFill>
          </w14:textFill>
        </w:rPr>
      </w:pPr>
      <w:r>
        <w:rPr>
          <w:rFonts w:hint="eastAsia"/>
          <w:color w:val="000000" w:themeColor="text1"/>
          <w14:textFill>
            <w14:solidFill>
              <w14:schemeClr w14:val="tx1"/>
            </w14:solidFill>
          </w14:textFill>
        </w:rPr>
        <w:t>应按照GB/T 22239等标准的要求做好网络安全等级保护工作。</w:t>
      </w:r>
    </w:p>
    <w:p>
      <w:pPr>
        <w:pStyle w:val="69"/>
        <w:rPr>
          <w:color w:val="000000" w:themeColor="text1"/>
          <w14:textFill>
            <w14:solidFill>
              <w14:schemeClr w14:val="tx1"/>
            </w14:solidFill>
          </w14:textFill>
        </w:rPr>
      </w:pPr>
      <w:r>
        <w:rPr>
          <w:rFonts w:hint="eastAsia"/>
          <w:color w:val="000000" w:themeColor="text1"/>
          <w14:textFill>
            <w14:solidFill>
              <w14:schemeClr w14:val="tx1"/>
            </w14:solidFill>
          </w14:textFill>
        </w:rPr>
        <w:t>数据安全管理应按照6.3的要求执行。</w:t>
      </w:r>
    </w:p>
    <w:bookmarkEnd w:id="73"/>
    <w:bookmarkEnd w:id="74"/>
    <w:bookmarkEnd w:id="75"/>
    <w:bookmarkEnd w:id="76"/>
    <w:bookmarkEnd w:id="77"/>
    <w:bookmarkEnd w:id="78"/>
    <w:bookmarkEnd w:id="79"/>
    <w:p>
      <w:pPr>
        <w:pStyle w:val="67"/>
        <w:spacing w:before="312" w:after="312"/>
        <w:rPr>
          <w:color w:val="000000" w:themeColor="text1"/>
          <w14:textFill>
            <w14:solidFill>
              <w14:schemeClr w14:val="tx1"/>
            </w14:solidFill>
          </w14:textFill>
        </w:rPr>
      </w:pPr>
      <w:bookmarkStart w:id="102" w:name="_Toc166834025"/>
      <w:bookmarkStart w:id="103" w:name="_Toc148014124"/>
      <w:bookmarkStart w:id="104" w:name="_Toc188348685"/>
      <w:bookmarkStart w:id="105" w:name="_Toc170674261"/>
      <w:bookmarkStart w:id="106" w:name="_Toc168485752"/>
      <w:bookmarkStart w:id="107" w:name="_Toc146722396"/>
      <w:bookmarkStart w:id="108" w:name="_Toc169793498"/>
      <w:bookmarkStart w:id="109" w:name="_Toc167631924"/>
      <w:bookmarkStart w:id="110" w:name="_Toc192252427"/>
      <w:bookmarkStart w:id="111" w:name="_Toc167954458"/>
      <w:bookmarkStart w:id="112" w:name="_Toc160093759"/>
      <w:bookmarkStart w:id="113" w:name="_Toc169871977"/>
      <w:bookmarkStart w:id="114" w:name="_Toc25974"/>
      <w:bookmarkStart w:id="115" w:name="_Toc160029553"/>
      <w:bookmarkStart w:id="116" w:name="_Toc142316423"/>
      <w:r>
        <w:rPr>
          <w:rFonts w:hint="eastAsia"/>
          <w:color w:val="000000" w:themeColor="text1"/>
          <w14:textFill>
            <w14:solidFill>
              <w14:schemeClr w14:val="tx1"/>
            </w14:solidFill>
          </w14:textFill>
        </w:rPr>
        <w:t>平台建设</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66"/>
        <w:spacing w:before="156" w:after="156"/>
        <w:rPr>
          <w:color w:val="000000" w:themeColor="text1"/>
          <w14:textFill>
            <w14:solidFill>
              <w14:schemeClr w14:val="tx1"/>
            </w14:solidFill>
          </w14:textFill>
        </w:rPr>
      </w:pPr>
      <w:bookmarkStart w:id="117" w:name="_Toc188348686"/>
      <w:bookmarkStart w:id="118" w:name="_Toc7175"/>
      <w:bookmarkStart w:id="119" w:name="_Toc192252428"/>
      <w:r>
        <w:rPr>
          <w:rFonts w:hint="eastAsia"/>
          <w:color w:val="000000" w:themeColor="text1"/>
          <w14:textFill>
            <w14:solidFill>
              <w14:schemeClr w14:val="tx1"/>
            </w14:solidFill>
          </w14:textFill>
        </w:rPr>
        <w:t>平台界限</w:t>
      </w:r>
      <w:bookmarkEnd w:id="117"/>
      <w:bookmarkEnd w:id="118"/>
      <w:bookmarkEnd w:id="119"/>
    </w:p>
    <w:p>
      <w:pPr>
        <w:pStyle w:val="69"/>
        <w:rPr>
          <w:color w:val="000000" w:themeColor="text1"/>
          <w14:textFill>
            <w14:solidFill>
              <w14:schemeClr w14:val="tx1"/>
            </w14:solidFill>
          </w14:textFill>
        </w:rPr>
      </w:pPr>
      <w:r>
        <w:rPr>
          <w:rFonts w:hint="eastAsia"/>
          <w:color w:val="000000" w:themeColor="text1"/>
          <w14:textFill>
            <w14:solidFill>
              <w14:schemeClr w14:val="tx1"/>
            </w14:solidFill>
          </w14:textFill>
        </w:rPr>
        <w:t>智慧平台的界限见图1。</w:t>
      </w:r>
    </w:p>
    <w:p>
      <w:pPr>
        <w:pStyle w:val="68"/>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1649095" cy="2853690"/>
            <wp:effectExtent l="0" t="0" r="8255" b="3810"/>
            <wp:docPr id="1705557378"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05557378" name="图片 4"/>
                    <pic:cNvPicPr>
                      <a:picLocks noChangeAspect="true" noChangeArrowheads="true"/>
                    </pic:cNvPicPr>
                  </pic:nvPicPr>
                  <pic:blipFill>
                    <a:blip r:embed="rId22" cstate="print">
                      <a:extLst>
                        <a:ext uri="{28A0092B-C50C-407E-A947-70E740481C1C}">
                          <a14:useLocalDpi xmlns:a14="http://schemas.microsoft.com/office/drawing/2010/main" val="false"/>
                        </a:ext>
                      </a:extLst>
                    </a:blip>
                    <a:srcRect/>
                    <a:stretch>
                      <a:fillRect/>
                    </a:stretch>
                  </pic:blipFill>
                  <pic:spPr>
                    <a:xfrm>
                      <a:off x="0" y="0"/>
                      <a:ext cx="1666867" cy="2884515"/>
                    </a:xfrm>
                    <a:prstGeom prst="rect">
                      <a:avLst/>
                    </a:prstGeom>
                    <a:noFill/>
                  </pic:spPr>
                </pic:pic>
              </a:graphicData>
            </a:graphic>
          </wp:inline>
        </w:drawing>
      </w:r>
    </w:p>
    <w:p>
      <w:pPr>
        <w:pStyle w:val="8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智慧平台界限示意图</w:t>
      </w:r>
    </w:p>
    <w:p>
      <w:pPr>
        <w:pStyle w:val="69"/>
        <w:rPr>
          <w:color w:val="000000" w:themeColor="text1"/>
          <w14:textFill>
            <w14:solidFill>
              <w14:schemeClr w14:val="tx1"/>
            </w14:solidFill>
          </w14:textFill>
        </w:rPr>
      </w:pPr>
      <w:r>
        <w:rPr>
          <w:rFonts w:hint="eastAsia"/>
          <w:color w:val="000000" w:themeColor="text1"/>
          <w14:textFill>
            <w14:solidFill>
              <w14:schemeClr w14:val="tx1"/>
            </w14:solidFill>
          </w14:textFill>
        </w:rPr>
        <w:t>智慧平台与其他平台之间的关系如图2所示。</w:t>
      </w:r>
    </w:p>
    <w:p>
      <w:pPr>
        <w:pStyle w:val="68"/>
        <w:ind w:firstLine="0" w:firstLineChars="0"/>
        <w:jc w:val="center"/>
        <w:rPr>
          <w:color w:val="000000" w:themeColor="text1"/>
          <w14:textFill>
            <w14:solidFill>
              <w14:schemeClr w14:val="tx1"/>
            </w14:solidFill>
          </w14:textFill>
        </w:rPr>
      </w:pPr>
    </w:p>
    <w:p>
      <w:pPr>
        <w:pStyle w:val="68"/>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3588385" cy="2493645"/>
            <wp:effectExtent l="0" t="0" r="0" b="1905"/>
            <wp:docPr id="2083709735"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83709735" name="图片 3"/>
                    <pic:cNvPicPr>
                      <a:picLocks noChangeAspect="true" noChangeArrowheads="true"/>
                    </pic:cNvPicPr>
                  </pic:nvPicPr>
                  <pic:blipFill>
                    <a:blip r:embed="rId23" cstate="print">
                      <a:extLst>
                        <a:ext uri="{28A0092B-C50C-407E-A947-70E740481C1C}">
                          <a14:useLocalDpi xmlns:a14="http://schemas.microsoft.com/office/drawing/2010/main" val="false"/>
                        </a:ext>
                      </a:extLst>
                    </a:blip>
                    <a:srcRect/>
                    <a:stretch>
                      <a:fillRect/>
                    </a:stretch>
                  </pic:blipFill>
                  <pic:spPr>
                    <a:xfrm>
                      <a:off x="0" y="0"/>
                      <a:ext cx="3591725" cy="2495739"/>
                    </a:xfrm>
                    <a:prstGeom prst="rect">
                      <a:avLst/>
                    </a:prstGeom>
                    <a:noFill/>
                  </pic:spPr>
                </pic:pic>
              </a:graphicData>
            </a:graphic>
          </wp:inline>
        </w:drawing>
      </w:r>
    </w:p>
    <w:p>
      <w:pPr>
        <w:pStyle w:val="8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平台间关系</w:t>
      </w:r>
    </w:p>
    <w:p>
      <w:pPr>
        <w:pStyle w:val="66"/>
        <w:spacing w:before="156" w:after="156"/>
        <w:rPr>
          <w:color w:val="000000" w:themeColor="text1"/>
          <w14:textFill>
            <w14:solidFill>
              <w14:schemeClr w14:val="tx1"/>
            </w14:solidFill>
          </w14:textFill>
        </w:rPr>
      </w:pPr>
      <w:bookmarkStart w:id="120" w:name="_Toc169871978"/>
      <w:bookmarkStart w:id="121" w:name="_Toc170674262"/>
      <w:bookmarkStart w:id="122" w:name="_Toc192252429"/>
      <w:bookmarkStart w:id="123" w:name="_Toc169793499"/>
      <w:bookmarkStart w:id="124" w:name="_Toc168485753"/>
      <w:bookmarkStart w:id="125" w:name="_Toc25437"/>
      <w:bookmarkStart w:id="126" w:name="_Toc188348687"/>
      <w:bookmarkStart w:id="127" w:name="_Toc146722397"/>
      <w:bookmarkStart w:id="128" w:name="_Toc160029554"/>
      <w:bookmarkStart w:id="129" w:name="_Toc167631925"/>
      <w:bookmarkStart w:id="130" w:name="_Toc167954459"/>
      <w:bookmarkStart w:id="131" w:name="_Toc148014125"/>
      <w:bookmarkStart w:id="132" w:name="_Toc160093760"/>
      <w:bookmarkStart w:id="133" w:name="_Toc166834026"/>
      <w:r>
        <w:rPr>
          <w:rFonts w:hint="eastAsia"/>
          <w:color w:val="000000" w:themeColor="text1"/>
          <w14:textFill>
            <w14:solidFill>
              <w14:schemeClr w14:val="tx1"/>
            </w14:solidFill>
          </w14:textFill>
        </w:rPr>
        <w:t>平台建设</w:t>
      </w:r>
      <w:bookmarkEnd w:id="120"/>
      <w:bookmarkEnd w:id="121"/>
      <w:bookmarkEnd w:id="122"/>
      <w:bookmarkEnd w:id="123"/>
      <w:bookmarkEnd w:id="124"/>
      <w:bookmarkEnd w:id="125"/>
      <w:bookmarkEnd w:id="126"/>
    </w:p>
    <w:p>
      <w:pPr>
        <w:pStyle w:val="70"/>
        <w:spacing w:before="156" w:after="156"/>
        <w:rPr>
          <w:color w:val="000000" w:themeColor="text1"/>
          <w14:textFill>
            <w14:solidFill>
              <w14:schemeClr w14:val="tx1"/>
            </w14:solidFill>
          </w14:textFill>
        </w:rPr>
      </w:pPr>
      <w:bookmarkStart w:id="134" w:name="_Toc16367"/>
      <w:r>
        <w:rPr>
          <w:rFonts w:hint="eastAsia"/>
          <w:color w:val="000000" w:themeColor="text1"/>
          <w14:textFill>
            <w14:solidFill>
              <w14:schemeClr w14:val="tx1"/>
            </w14:solidFill>
          </w14:textFill>
        </w:rPr>
        <w:t>平台架构</w:t>
      </w:r>
      <w:bookmarkEnd w:id="134"/>
    </w:p>
    <w:p>
      <w:pPr>
        <w:pStyle w:val="68"/>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智慧平台可参考图3所示的架构进行研发，宜与上级平台互联互通。</w:t>
      </w:r>
    </w:p>
    <w:p>
      <w:pPr>
        <w:pStyle w:val="68"/>
        <w:ind w:left="-105" w:leftChars="-50"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6217285" cy="3959860"/>
            <wp:effectExtent l="0" t="0" r="0" b="2540"/>
            <wp:docPr id="188782617" name="图片 18878261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8782617" name="图片 188782617"/>
                    <pic:cNvPicPr>
                      <a:picLocks noChangeAspect="true" noChangeArrowheads="true"/>
                    </pic:cNvPicPr>
                  </pic:nvPicPr>
                  <pic:blipFill>
                    <a:blip r:embed="rId24" cstate="print">
                      <a:extLst>
                        <a:ext uri="{28A0092B-C50C-407E-A947-70E740481C1C}">
                          <a14:useLocalDpi xmlns:a14="http://schemas.microsoft.com/office/drawing/2010/main" val="false"/>
                        </a:ext>
                      </a:extLst>
                    </a:blip>
                    <a:srcRect/>
                    <a:stretch>
                      <a:fillRect/>
                    </a:stretch>
                  </pic:blipFill>
                  <pic:spPr>
                    <a:xfrm>
                      <a:off x="0" y="0"/>
                      <a:ext cx="6226513" cy="3965958"/>
                    </a:xfrm>
                    <a:prstGeom prst="rect">
                      <a:avLst/>
                    </a:prstGeom>
                    <a:noFill/>
                    <a:ln>
                      <a:noFill/>
                    </a:ln>
                  </pic:spPr>
                </pic:pic>
              </a:graphicData>
            </a:graphic>
          </wp:inline>
        </w:drawing>
      </w:r>
    </w:p>
    <w:p>
      <w:pPr>
        <w:pStyle w:val="8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智慧平台架构图示例</w:t>
      </w:r>
    </w:p>
    <w:p>
      <w:pPr>
        <w:pStyle w:val="70"/>
        <w:spacing w:before="156" w:after="156"/>
        <w:rPr>
          <w:color w:val="000000" w:themeColor="text1"/>
          <w14:textFill>
            <w14:solidFill>
              <w14:schemeClr w14:val="tx1"/>
            </w14:solidFill>
          </w14:textFill>
        </w:rPr>
      </w:pPr>
      <w:bookmarkStart w:id="135" w:name="_Toc30572"/>
      <w:r>
        <w:rPr>
          <w:rFonts w:hint="eastAsia"/>
          <w:color w:val="000000" w:themeColor="text1"/>
          <w14:textFill>
            <w14:solidFill>
              <w14:schemeClr w14:val="tx1"/>
            </w14:solidFill>
          </w14:textFill>
        </w:rPr>
        <w:t>平台功能</w:t>
      </w:r>
      <w:bookmarkEnd w:id="135"/>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应具备以下基础功能，相关功能的具体参数参见附录A的内容：</w:t>
      </w:r>
    </w:p>
    <w:p>
      <w:pPr>
        <w:pStyle w:val="90"/>
        <w:numPr>
          <w:ilvl w:val="0"/>
          <w:numId w:val="13"/>
        </w:numPr>
        <w:rPr>
          <w:color w:val="000000" w:themeColor="text1"/>
          <w14:textFill>
            <w14:solidFill>
              <w14:schemeClr w14:val="tx1"/>
            </w14:solidFill>
          </w14:textFill>
        </w:rPr>
      </w:pPr>
      <w:r>
        <w:rPr>
          <w:rFonts w:hint="eastAsia"/>
          <w:color w:val="000000" w:themeColor="text1"/>
          <w14:textFill>
            <w14:solidFill>
              <w14:schemeClr w14:val="tx1"/>
            </w14:solidFill>
          </w14:textFill>
        </w:rPr>
        <w:t>应急呼叫功能；</w:t>
      </w:r>
    </w:p>
    <w:p>
      <w:pPr>
        <w:pStyle w:val="90"/>
        <w:numPr>
          <w:ilvl w:val="0"/>
          <w:numId w:val="13"/>
        </w:numPr>
        <w:rPr>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电动自行车智能识别与管控：应能识别出电动自行车进出电梯，并有语音播报预警功能；</w:t>
      </w:r>
    </w:p>
    <w:p>
      <w:pPr>
        <w:pStyle w:val="90"/>
        <w:numPr>
          <w:ilvl w:val="0"/>
          <w:numId w:val="13"/>
        </w:numPr>
        <w:rPr>
          <w:color w:val="000000" w:themeColor="text1"/>
          <w14:textFill>
            <w14:solidFill>
              <w14:schemeClr w14:val="tx1"/>
            </w14:solidFill>
          </w14:textFill>
        </w:rPr>
      </w:pPr>
      <w:r>
        <w:rPr>
          <w:rFonts w:hint="eastAsia"/>
          <w:color w:val="000000" w:themeColor="text1"/>
          <w14:textFill>
            <w14:solidFill>
              <w14:schemeClr w14:val="tx1"/>
            </w14:solidFill>
          </w14:textFill>
        </w:rPr>
        <w:t>视讯通话功能：应能进行语音和视频通话；</w:t>
      </w:r>
      <w:r>
        <w:rPr>
          <w:color w:val="000000" w:themeColor="text1"/>
          <w14:textFill>
            <w14:solidFill>
              <w14:schemeClr w14:val="tx1"/>
            </w14:solidFill>
          </w14:textFill>
        </w:rPr>
        <w:t xml:space="preserve"> </w:t>
      </w:r>
    </w:p>
    <w:p>
      <w:pPr>
        <w:pStyle w:val="90"/>
        <w:rPr>
          <w:color w:val="000000" w:themeColor="text1"/>
          <w14:textFill>
            <w14:solidFill>
              <w14:schemeClr w14:val="tx1"/>
            </w14:solidFill>
          </w14:textFill>
        </w:rPr>
      </w:pPr>
      <w:r>
        <w:rPr>
          <w:rFonts w:hint="eastAsia"/>
          <w:color w:val="000000" w:themeColor="text1"/>
          <w14:textFill>
            <w14:solidFill>
              <w14:schemeClr w14:val="tx1"/>
            </w14:solidFill>
          </w14:textFill>
        </w:rPr>
        <w:t>安全照明功能</w:t>
      </w:r>
      <w:r>
        <w:rPr>
          <w:rFonts w:hint="eastAsia"/>
          <w:snapToGrid w:val="0"/>
          <w:color w:val="000000" w:themeColor="text1"/>
          <w14:textFill>
            <w14:solidFill>
              <w14:schemeClr w14:val="tx1"/>
            </w14:solidFill>
          </w14:textFill>
        </w:rPr>
        <w:t>；</w:t>
      </w:r>
    </w:p>
    <w:p>
      <w:pPr>
        <w:pStyle w:val="90"/>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任务流转功能：能将应急救援任务发送给“9</w:t>
      </w:r>
      <w:r>
        <w:rPr>
          <w:snapToGrid w:val="0"/>
          <w:color w:val="000000" w:themeColor="text1"/>
          <w14:textFill>
            <w14:solidFill>
              <w14:schemeClr w14:val="tx1"/>
            </w14:solidFill>
          </w14:textFill>
        </w:rPr>
        <w:t>6333</w:t>
      </w:r>
      <w:r>
        <w:rPr>
          <w:rFonts w:hint="eastAsia"/>
          <w:snapToGrid w:val="0"/>
          <w:color w:val="000000" w:themeColor="text1"/>
          <w14:textFill>
            <w14:solidFill>
              <w14:schemeClr w14:val="tx1"/>
            </w14:solidFill>
          </w14:textFill>
        </w:rPr>
        <w:t>”应急救援平台、使用单位管理员，必要时可发送至维保单位救援人员和社会救援人员等；</w:t>
      </w:r>
    </w:p>
    <w:p>
      <w:pPr>
        <w:pStyle w:val="90"/>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精准定位功能：提供准确的位置信息；</w:t>
      </w:r>
    </w:p>
    <w:p>
      <w:pPr>
        <w:pStyle w:val="90"/>
        <w:rPr>
          <w:snapToGrid w:val="0"/>
          <w:color w:val="000000" w:themeColor="text1"/>
          <w14:textFill>
            <w14:solidFill>
              <w14:schemeClr w14:val="tx1"/>
            </w14:solidFill>
          </w14:textFill>
        </w:rPr>
      </w:pPr>
      <w:r>
        <w:rPr>
          <w:rFonts w:hint="eastAsia"/>
          <w:color w:val="000000" w:themeColor="text1"/>
          <w14:textFill>
            <w14:solidFill>
              <w14:schemeClr w14:val="tx1"/>
            </w14:solidFill>
          </w14:textFill>
        </w:rPr>
        <w:t>全流程追溯功能；</w:t>
      </w:r>
    </w:p>
    <w:p>
      <w:pPr>
        <w:pStyle w:val="90"/>
        <w:rPr>
          <w:snapToGrid w:val="0"/>
          <w:color w:val="000000" w:themeColor="text1"/>
          <w14:textFill>
            <w14:solidFill>
              <w14:schemeClr w14:val="tx1"/>
            </w14:solidFill>
          </w14:textFill>
        </w:rPr>
      </w:pPr>
      <w:r>
        <w:rPr>
          <w:rFonts w:hint="eastAsia"/>
          <w:color w:val="000000" w:themeColor="text1"/>
          <w14:textFill>
            <w14:solidFill>
              <w14:schemeClr w14:val="tx1"/>
            </w14:solidFill>
          </w14:textFill>
        </w:rPr>
        <w:t>数据分析汇总功能：对各类数据进行分析汇总，包括但不限于电梯设备信息、困人信息和预警信息等；</w:t>
      </w:r>
    </w:p>
    <w:p>
      <w:pPr>
        <w:pStyle w:val="90"/>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报警联动9</w:t>
      </w:r>
      <w:r>
        <w:rPr>
          <w:snapToGrid w:val="0"/>
          <w:color w:val="000000" w:themeColor="text1"/>
          <w14:textFill>
            <w14:solidFill>
              <w14:schemeClr w14:val="tx1"/>
            </w14:solidFill>
          </w14:textFill>
        </w:rPr>
        <w:t>6333</w:t>
      </w:r>
      <w:r>
        <w:rPr>
          <w:rFonts w:hint="eastAsia"/>
          <w:snapToGrid w:val="0"/>
          <w:color w:val="000000" w:themeColor="text1"/>
          <w14:textFill>
            <w14:solidFill>
              <w14:schemeClr w14:val="tx1"/>
            </w14:solidFill>
          </w14:textFill>
        </w:rPr>
        <w:t>等平台的功能，可与其他平台互联互通。</w:t>
      </w:r>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宜具备以下拓展功能：</w:t>
      </w:r>
    </w:p>
    <w:p>
      <w:pPr>
        <w:pStyle w:val="90"/>
        <w:numPr>
          <w:ilvl w:val="0"/>
          <w:numId w:val="14"/>
        </w:numPr>
        <w:rPr>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空气质量监测功能：可监测电梯内的空气质量；</w:t>
      </w:r>
    </w:p>
    <w:p>
      <w:pPr>
        <w:pStyle w:val="90"/>
        <w:numPr>
          <w:ilvl w:val="0"/>
          <w:numId w:val="14"/>
        </w:numPr>
        <w:rPr>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空气净化与消毒功能；</w:t>
      </w:r>
    </w:p>
    <w:p>
      <w:pPr>
        <w:pStyle w:val="90"/>
        <w:rPr>
          <w:color w:val="000000" w:themeColor="text1"/>
          <w14:textFill>
            <w14:solidFill>
              <w14:schemeClr w14:val="tx1"/>
            </w14:solidFill>
          </w14:textFill>
        </w:rPr>
      </w:pPr>
      <w:r>
        <w:rPr>
          <w:rFonts w:hint="eastAsia"/>
          <w:color w:val="000000" w:themeColor="text1"/>
          <w14:textFill>
            <w14:solidFill>
              <w14:schemeClr w14:val="tx1"/>
            </w14:solidFill>
          </w14:textFill>
        </w:rPr>
        <w:t>实时画面传输功能；</w:t>
      </w:r>
    </w:p>
    <w:p>
      <w:pPr>
        <w:pStyle w:val="90"/>
        <w:rPr>
          <w:color w:val="000000" w:themeColor="text1"/>
          <w14:textFill>
            <w14:solidFill>
              <w14:schemeClr w14:val="tx1"/>
            </w14:solidFill>
          </w14:textFill>
        </w:rPr>
      </w:pPr>
      <w:r>
        <w:rPr>
          <w:rFonts w:hint="eastAsia"/>
          <w:color w:val="000000" w:themeColor="text1"/>
          <w14:textFill>
            <w14:solidFill>
              <w14:schemeClr w14:val="tx1"/>
            </w14:solidFill>
          </w14:textFill>
        </w:rPr>
        <w:t>安全预警功能；</w:t>
      </w:r>
    </w:p>
    <w:p>
      <w:pPr>
        <w:pStyle w:val="90"/>
        <w:rPr>
          <w:color w:val="000000" w:themeColor="text1"/>
          <w14:textFill>
            <w14:solidFill>
              <w14:schemeClr w14:val="tx1"/>
            </w14:solidFill>
          </w14:textFill>
        </w:rPr>
      </w:pPr>
      <w:r>
        <w:rPr>
          <w:rFonts w:hint="eastAsia"/>
          <w:color w:val="000000" w:themeColor="text1"/>
          <w14:textFill>
            <w14:solidFill>
              <w14:schemeClr w14:val="tx1"/>
            </w14:solidFill>
          </w14:textFill>
        </w:rPr>
        <w:t>救援任务推送功能：按就近原则进行推送，包括赶往现场任务、协助救援任务、救援结果确认等模块；</w:t>
      </w:r>
    </w:p>
    <w:p>
      <w:pPr>
        <w:pStyle w:val="90"/>
        <w:rPr>
          <w:color w:val="000000" w:themeColor="text1"/>
          <w14:textFill>
            <w14:solidFill>
              <w14:schemeClr w14:val="tx1"/>
            </w14:solidFill>
          </w14:textFill>
        </w:rPr>
      </w:pPr>
      <w:r>
        <w:rPr>
          <w:rFonts w:hint="eastAsia"/>
          <w:color w:val="000000" w:themeColor="text1"/>
          <w14:textFill>
            <w14:solidFill>
              <w14:schemeClr w14:val="tx1"/>
            </w14:solidFill>
          </w14:textFill>
        </w:rPr>
        <w:t>智能路径规划功能，节约救援队伍的到场时间。</w:t>
      </w:r>
    </w:p>
    <w:p>
      <w:pPr>
        <w:pStyle w:val="66"/>
        <w:spacing w:before="156" w:after="156"/>
        <w:rPr>
          <w:color w:val="000000" w:themeColor="text1"/>
          <w14:textFill>
            <w14:solidFill>
              <w14:schemeClr w14:val="tx1"/>
            </w14:solidFill>
          </w14:textFill>
        </w:rPr>
      </w:pPr>
      <w:bookmarkStart w:id="136" w:name="_Toc188348688"/>
      <w:bookmarkStart w:id="137" w:name="_Toc31372"/>
      <w:bookmarkStart w:id="138" w:name="_Toc192252430"/>
      <w:r>
        <w:rPr>
          <w:rFonts w:hint="eastAsia"/>
          <w:color w:val="000000" w:themeColor="text1"/>
          <w14:textFill>
            <w14:solidFill>
              <w14:schemeClr w14:val="tx1"/>
            </w14:solidFill>
          </w14:textFill>
        </w:rPr>
        <w:t>设施设备</w:t>
      </w:r>
      <w:bookmarkEnd w:id="136"/>
      <w:bookmarkEnd w:id="137"/>
      <w:bookmarkEnd w:id="138"/>
    </w:p>
    <w:p>
      <w:pPr>
        <w:pStyle w:val="69"/>
        <w:rPr>
          <w:color w:val="000000" w:themeColor="text1"/>
          <w14:textFill>
            <w14:solidFill>
              <w14:schemeClr w14:val="tx1"/>
            </w14:solidFill>
          </w14:textFill>
        </w:rPr>
      </w:pPr>
      <w:r>
        <w:rPr>
          <w:rFonts w:hint="eastAsia"/>
          <w:color w:val="000000" w:themeColor="text1"/>
          <w14:textFill>
            <w14:solidFill>
              <w14:schemeClr w14:val="tx1"/>
            </w14:solidFill>
          </w14:textFill>
        </w:rPr>
        <w:t>智慧平台涉及的监测终端，应符合</w:t>
      </w:r>
      <w:r>
        <w:rPr>
          <w:color w:val="000000" w:themeColor="text1"/>
          <w14:textFill>
            <w14:solidFill>
              <w14:schemeClr w14:val="tx1"/>
            </w14:solidFill>
          </w14:textFill>
        </w:rPr>
        <w:t>GB/T 42616</w:t>
      </w:r>
      <w:r>
        <w:rPr>
          <w:rFonts w:hint="eastAsia"/>
          <w:color w:val="000000" w:themeColor="text1"/>
          <w14:textFill>
            <w14:solidFill>
              <w14:schemeClr w14:val="tx1"/>
            </w14:solidFill>
          </w14:textFill>
        </w:rPr>
        <w:t>、G</w:t>
      </w:r>
      <w:r>
        <w:rPr>
          <w:color w:val="000000" w:themeColor="text1"/>
          <w14:textFill>
            <w14:solidFill>
              <w14:schemeClr w14:val="tx1"/>
            </w14:solidFill>
          </w14:textFill>
        </w:rPr>
        <w:t>B/T 24476</w:t>
      </w:r>
      <w:r>
        <w:rPr>
          <w:rFonts w:hint="eastAsia"/>
          <w:color w:val="000000" w:themeColor="text1"/>
          <w14:textFill>
            <w14:solidFill>
              <w14:schemeClr w14:val="tx1"/>
            </w14:solidFill>
          </w14:textFill>
        </w:rPr>
        <w:t>等文件的要求。</w:t>
      </w:r>
    </w:p>
    <w:p>
      <w:pPr>
        <w:pStyle w:val="69"/>
        <w:rPr>
          <w:color w:val="000000" w:themeColor="text1"/>
          <w14:textFill>
            <w14:solidFill>
              <w14:schemeClr w14:val="tx1"/>
            </w14:solidFill>
          </w14:textFill>
        </w:rPr>
      </w:pPr>
      <w:r>
        <w:rPr>
          <w:rFonts w:hint="eastAsia"/>
          <w:color w:val="000000" w:themeColor="text1"/>
          <w14:textFill>
            <w14:solidFill>
              <w14:schemeClr w14:val="tx1"/>
            </w14:solidFill>
          </w14:textFill>
        </w:rPr>
        <w:t>监测终端可接入电梯面板，但应符合电梯安全要求，并做好安全监管工作。</w:t>
      </w:r>
    </w:p>
    <w:p>
      <w:pPr>
        <w:pStyle w:val="69"/>
        <w:rPr>
          <w:color w:val="000000" w:themeColor="text1"/>
          <w14:textFill>
            <w14:solidFill>
              <w14:schemeClr w14:val="tx1"/>
            </w14:solidFill>
          </w14:textFill>
        </w:rPr>
      </w:pPr>
      <w:r>
        <w:rPr>
          <w:rFonts w:hint="eastAsia"/>
          <w:color w:val="000000" w:themeColor="text1"/>
          <w14:textFill>
            <w14:solidFill>
              <w14:schemeClr w14:val="tx1"/>
            </w14:solidFill>
          </w14:textFill>
        </w:rPr>
        <w:t>宜通过加装后独立运行的方式，安装各类监测终端，当识别电动自行车或电瓶进入轿厢后，通过信号或指令的方式向电梯输出保持开门。</w:t>
      </w:r>
    </w:p>
    <w:p>
      <w:pPr>
        <w:pStyle w:val="69"/>
        <w:rPr>
          <w:color w:val="000000" w:themeColor="text1"/>
          <w14:textFill>
            <w14:solidFill>
              <w14:schemeClr w14:val="tx1"/>
            </w14:solidFill>
          </w14:textFill>
        </w:rPr>
      </w:pPr>
      <w:r>
        <w:rPr>
          <w:rFonts w:hint="eastAsia"/>
          <w:color w:val="000000" w:themeColor="text1"/>
          <w14:textFill>
            <w14:solidFill>
              <w14:schemeClr w14:val="tx1"/>
            </w14:solidFill>
          </w14:textFill>
        </w:rPr>
        <w:t>监测终端应能在任意楼层识别。</w:t>
      </w:r>
    </w:p>
    <w:p>
      <w:pPr>
        <w:pStyle w:val="69"/>
        <w:rPr>
          <w:color w:val="000000" w:themeColor="text1"/>
          <w14:textFill>
            <w14:solidFill>
              <w14:schemeClr w14:val="tx1"/>
            </w14:solidFill>
          </w14:textFill>
        </w:rPr>
      </w:pPr>
      <w:r>
        <w:rPr>
          <w:rFonts w:hint="eastAsia"/>
          <w:color w:val="000000" w:themeColor="text1"/>
          <w14:textFill>
            <w14:solidFill>
              <w14:schemeClr w14:val="tx1"/>
            </w14:solidFill>
          </w14:textFill>
        </w:rPr>
        <w:t>监测终端拆除、故障或处于关机状态时不应影响电梯的正常运行。</w:t>
      </w:r>
    </w:p>
    <w:p>
      <w:pPr>
        <w:pStyle w:val="69"/>
        <w:rPr>
          <w:color w:val="000000" w:themeColor="text1"/>
          <w14:textFill>
            <w14:solidFill>
              <w14:schemeClr w14:val="tx1"/>
            </w14:solidFill>
          </w14:textFill>
        </w:rPr>
      </w:pPr>
      <w:r>
        <w:rPr>
          <w:rFonts w:hint="eastAsia"/>
          <w:color w:val="000000" w:themeColor="text1"/>
          <w14:textFill>
            <w14:solidFill>
              <w14:schemeClr w14:val="tx1"/>
            </w14:solidFill>
          </w14:textFill>
        </w:rPr>
        <w:t>监测终端应能适应现场的照明条件，水平清晰度应不低于4</w:t>
      </w:r>
      <w:r>
        <w:rPr>
          <w:color w:val="000000" w:themeColor="text1"/>
          <w14:textFill>
            <w14:solidFill>
              <w14:schemeClr w14:val="tx1"/>
            </w14:solidFill>
          </w14:textFill>
        </w:rPr>
        <w:t>80</w:t>
      </w:r>
      <w:r>
        <w:rPr>
          <w:rFonts w:hint="eastAsia"/>
          <w:color w:val="000000" w:themeColor="text1"/>
          <w:w w:val="50"/>
          <w14:textFill>
            <w14:solidFill>
              <w14:schemeClr w14:val="tx1"/>
            </w14:solidFill>
          </w14:textFill>
        </w:rPr>
        <w:t xml:space="preserve"> </w:t>
      </w:r>
      <w:r>
        <w:rPr>
          <w:color w:val="000000" w:themeColor="text1"/>
          <w14:textFill>
            <w14:solidFill>
              <w14:schemeClr w14:val="tx1"/>
            </w14:solidFill>
          </w14:textFill>
        </w:rPr>
        <w:t>TVL</w:t>
      </w:r>
      <w:r>
        <w:rPr>
          <w:rFonts w:hint="eastAsia"/>
          <w:color w:val="000000" w:themeColor="text1"/>
          <w14:textFill>
            <w14:solidFill>
              <w14:schemeClr w14:val="tx1"/>
            </w14:solidFill>
          </w14:textFill>
        </w:rPr>
        <w:t>。</w:t>
      </w:r>
    </w:p>
    <w:p>
      <w:pPr>
        <w:pStyle w:val="69"/>
        <w:rPr>
          <w:color w:val="000000" w:themeColor="text1"/>
          <w14:textFill>
            <w14:solidFill>
              <w14:schemeClr w14:val="tx1"/>
            </w14:solidFill>
          </w14:textFill>
        </w:rPr>
      </w:pPr>
      <w:r>
        <w:rPr>
          <w:rFonts w:hint="eastAsia"/>
          <w:color w:val="000000" w:themeColor="text1"/>
          <w14:textFill>
            <w14:solidFill>
              <w14:schemeClr w14:val="tx1"/>
            </w14:solidFill>
          </w14:textFill>
        </w:rPr>
        <w:t>事件图像信息应能按照G</w:t>
      </w:r>
      <w:r>
        <w:rPr>
          <w:color w:val="000000" w:themeColor="text1"/>
          <w14:textFill>
            <w14:solidFill>
              <w14:schemeClr w14:val="tx1"/>
            </w14:solidFill>
          </w14:textFill>
        </w:rPr>
        <w:t>B/T 42616</w:t>
      </w:r>
      <w:r>
        <w:rPr>
          <w:rFonts w:hint="eastAsia"/>
          <w:color w:val="000000" w:themeColor="text1"/>
          <w14:textFill>
            <w14:solidFill>
              <w14:schemeClr w14:val="tx1"/>
            </w14:solidFill>
          </w14:textFill>
        </w:rPr>
        <w:t>的要求进行存储。</w:t>
      </w:r>
    </w:p>
    <w:bookmarkEnd w:id="127"/>
    <w:bookmarkEnd w:id="128"/>
    <w:bookmarkEnd w:id="129"/>
    <w:bookmarkEnd w:id="130"/>
    <w:bookmarkEnd w:id="131"/>
    <w:bookmarkEnd w:id="132"/>
    <w:bookmarkEnd w:id="133"/>
    <w:p>
      <w:pPr>
        <w:pStyle w:val="67"/>
        <w:keepNext w:val="0"/>
        <w:keepLines w:val="0"/>
        <w:pageBreakBefore w:val="0"/>
        <w:widowControl/>
        <w:kinsoku/>
        <w:wordWrap/>
        <w:overflowPunct/>
        <w:topLinePunct w:val="0"/>
        <w:autoSpaceDE/>
        <w:autoSpaceDN/>
        <w:bidi w:val="0"/>
        <w:adjustRightInd/>
        <w:snapToGrid/>
        <w:spacing w:before="312" w:after="312"/>
        <w:textAlignment w:val="auto"/>
        <w:rPr>
          <w:color w:val="000000" w:themeColor="text1"/>
          <w14:textFill>
            <w14:solidFill>
              <w14:schemeClr w14:val="tx1"/>
            </w14:solidFill>
          </w14:textFill>
        </w:rPr>
      </w:pPr>
      <w:bookmarkStart w:id="139" w:name="_Toc169793501"/>
      <w:bookmarkStart w:id="140" w:name="_Toc169871980"/>
      <w:bookmarkStart w:id="141" w:name="_Toc188348689"/>
      <w:bookmarkStart w:id="142" w:name="_Toc192252431"/>
      <w:bookmarkStart w:id="143" w:name="_Toc170674264"/>
      <w:bookmarkStart w:id="144" w:name="_Toc211"/>
      <w:r>
        <w:rPr>
          <w:rFonts w:hint="eastAsia"/>
          <w:color w:val="000000" w:themeColor="text1"/>
          <w14:textFill>
            <w14:solidFill>
              <w14:schemeClr w14:val="tx1"/>
            </w14:solidFill>
          </w14:textFill>
        </w:rPr>
        <w:t>平台使用与维护</w:t>
      </w:r>
      <w:bookmarkEnd w:id="139"/>
      <w:bookmarkEnd w:id="140"/>
      <w:bookmarkEnd w:id="141"/>
      <w:bookmarkEnd w:id="142"/>
      <w:bookmarkEnd w:id="143"/>
      <w:bookmarkEnd w:id="144"/>
    </w:p>
    <w:p>
      <w:pPr>
        <w:pStyle w:val="66"/>
        <w:spacing w:before="156" w:after="156"/>
        <w:rPr>
          <w:color w:val="000000" w:themeColor="text1"/>
          <w14:textFill>
            <w14:solidFill>
              <w14:schemeClr w14:val="tx1"/>
            </w14:solidFill>
          </w14:textFill>
        </w:rPr>
      </w:pPr>
      <w:bookmarkStart w:id="145" w:name="_Toc170674265"/>
      <w:bookmarkStart w:id="146" w:name="_Toc192252432"/>
      <w:bookmarkStart w:id="147" w:name="_Toc188348690"/>
      <w:bookmarkStart w:id="148" w:name="_Toc169793502"/>
      <w:bookmarkStart w:id="149" w:name="_Toc169871981"/>
      <w:bookmarkStart w:id="150" w:name="_Toc22970"/>
      <w:bookmarkStart w:id="151" w:name="_Toc160029558"/>
      <w:bookmarkStart w:id="152" w:name="_Toc167954463"/>
      <w:bookmarkStart w:id="153" w:name="_Toc167631929"/>
      <w:bookmarkStart w:id="154" w:name="_Toc160093764"/>
      <w:bookmarkStart w:id="155" w:name="_Toc168485759"/>
      <w:bookmarkStart w:id="156" w:name="_Toc166834030"/>
      <w:bookmarkStart w:id="157" w:name="_Toc146722401"/>
      <w:bookmarkStart w:id="158" w:name="_Toc148014129"/>
      <w:r>
        <w:rPr>
          <w:rFonts w:hint="eastAsia"/>
          <w:color w:val="000000" w:themeColor="text1"/>
          <w14:textFill>
            <w14:solidFill>
              <w14:schemeClr w14:val="tx1"/>
            </w14:solidFill>
          </w14:textFill>
        </w:rPr>
        <w:t>日常监控与巡检</w:t>
      </w:r>
      <w:bookmarkEnd w:id="145"/>
      <w:bookmarkEnd w:id="146"/>
      <w:bookmarkEnd w:id="147"/>
      <w:bookmarkEnd w:id="148"/>
      <w:bookmarkEnd w:id="149"/>
      <w:bookmarkEnd w:id="150"/>
    </w:p>
    <w:p>
      <w:pPr>
        <w:pStyle w:val="69"/>
        <w:rPr>
          <w:color w:val="000000" w:themeColor="text1"/>
          <w14:textFill>
            <w14:solidFill>
              <w14:schemeClr w14:val="tx1"/>
            </w14:solidFill>
          </w14:textFill>
        </w:rPr>
      </w:pPr>
      <w:r>
        <w:rPr>
          <w:rFonts w:hint="eastAsia"/>
          <w:color w:val="000000" w:themeColor="text1"/>
          <w14:textFill>
            <w14:solidFill>
              <w14:schemeClr w14:val="tx1"/>
            </w14:solidFill>
          </w14:textFill>
        </w:rPr>
        <w:t>使用单位应落实监控室2</w:t>
      </w:r>
      <w:r>
        <w:rPr>
          <w:color w:val="000000" w:themeColor="text1"/>
          <w14:textFill>
            <w14:solidFill>
              <w14:schemeClr w14:val="tx1"/>
            </w14:solidFill>
          </w14:textFill>
        </w:rPr>
        <w:t>4</w:t>
      </w:r>
      <w:r>
        <w:rPr>
          <w:rFonts w:hint="eastAsia"/>
          <w:color w:val="000000" w:themeColor="text1"/>
          <w:w w:val="50"/>
          <w14:textFill>
            <w14:solidFill>
              <w14:schemeClr w14:val="tx1"/>
            </w14:solidFill>
          </w14:textFill>
        </w:rPr>
        <w:t xml:space="preserve"> </w:t>
      </w:r>
      <w:r>
        <w:rPr>
          <w:rFonts w:hint="eastAsia"/>
          <w:color w:val="000000" w:themeColor="text1"/>
          <w14:textFill>
            <w14:solidFill>
              <w14:schemeClr w14:val="tx1"/>
            </w14:solidFill>
          </w14:textFill>
        </w:rPr>
        <w:t>h值班制度。</w:t>
      </w:r>
    </w:p>
    <w:p>
      <w:pPr>
        <w:pStyle w:val="69"/>
        <w:rPr>
          <w:color w:val="000000" w:themeColor="text1"/>
          <w14:textFill>
            <w14:solidFill>
              <w14:schemeClr w14:val="tx1"/>
            </w14:solidFill>
          </w14:textFill>
        </w:rPr>
      </w:pPr>
      <w:r>
        <w:rPr>
          <w:rFonts w:hint="eastAsia"/>
          <w:color w:val="000000" w:themeColor="text1"/>
          <w14:textFill>
            <w14:solidFill>
              <w14:schemeClr w14:val="tx1"/>
            </w14:solidFill>
          </w14:textFill>
        </w:rPr>
        <w:t>应做好日常巡检工作，巡检内容包括但不限于以下内容：</w:t>
      </w:r>
    </w:p>
    <w:p>
      <w:pPr>
        <w:pStyle w:val="90"/>
        <w:numPr>
          <w:ilvl w:val="0"/>
          <w:numId w:val="15"/>
        </w:numPr>
        <w:rPr>
          <w:color w:val="000000" w:themeColor="text1"/>
          <w14:textFill>
            <w14:solidFill>
              <w14:schemeClr w14:val="tx1"/>
            </w14:solidFill>
          </w14:textFill>
        </w:rPr>
      </w:pPr>
      <w:r>
        <w:rPr>
          <w:rFonts w:hint="eastAsia"/>
          <w:color w:val="000000" w:themeColor="text1"/>
          <w14:textFill>
            <w14:solidFill>
              <w14:schemeClr w14:val="tx1"/>
            </w14:solidFill>
          </w14:textFill>
        </w:rPr>
        <w:t>每日检查</w:t>
      </w:r>
      <w:bookmarkStart w:id="159" w:name="OLE_LINK1"/>
      <w:r>
        <w:rPr>
          <w:rFonts w:hint="eastAsia"/>
          <w:color w:val="000000" w:themeColor="text1"/>
          <w14:textFill>
            <w14:solidFill>
              <w14:schemeClr w14:val="tx1"/>
            </w14:solidFill>
          </w14:textFill>
        </w:rPr>
        <w:t>智慧平台</w:t>
      </w:r>
      <w:bookmarkEnd w:id="159"/>
      <w:r>
        <w:rPr>
          <w:rFonts w:hint="eastAsia"/>
          <w:color w:val="000000" w:themeColor="text1"/>
          <w14:textFill>
            <w14:solidFill>
              <w14:schemeClr w14:val="tx1"/>
            </w14:solidFill>
          </w14:textFill>
        </w:rPr>
        <w:t>运作是否良好；</w:t>
      </w:r>
    </w:p>
    <w:p>
      <w:pPr>
        <w:pStyle w:val="90"/>
        <w:numPr>
          <w:ilvl w:val="0"/>
          <w:numId w:val="15"/>
        </w:numPr>
        <w:rPr>
          <w:color w:val="000000" w:themeColor="text1"/>
          <w14:textFill>
            <w14:solidFill>
              <w14:schemeClr w14:val="tx1"/>
            </w14:solidFill>
          </w14:textFill>
        </w:rPr>
      </w:pPr>
      <w:r>
        <w:rPr>
          <w:rFonts w:hint="eastAsia"/>
          <w:color w:val="000000" w:themeColor="text1"/>
          <w14:textFill>
            <w14:solidFill>
              <w14:schemeClr w14:val="tx1"/>
            </w14:solidFill>
          </w14:textFill>
        </w:rPr>
        <w:t>检查与电梯应急救援时所需的相关设施设备是否齐全、有效；</w:t>
      </w:r>
    </w:p>
    <w:p>
      <w:pPr>
        <w:pStyle w:val="90"/>
        <w:numPr>
          <w:ilvl w:val="0"/>
          <w:numId w:val="15"/>
        </w:numPr>
        <w:rPr>
          <w:color w:val="000000" w:themeColor="text1"/>
          <w14:textFill>
            <w14:solidFill>
              <w14:schemeClr w14:val="tx1"/>
            </w14:solidFill>
          </w14:textFill>
        </w:rPr>
      </w:pPr>
      <w:r>
        <w:rPr>
          <w:rFonts w:hint="eastAsia"/>
          <w:color w:val="000000" w:themeColor="text1"/>
          <w14:textFill>
            <w14:solidFill>
              <w14:schemeClr w14:val="tx1"/>
            </w14:solidFill>
          </w14:textFill>
        </w:rPr>
        <w:t>抽查电梯内的通讯设施是否有效，应每月全覆盖检查，确保设施设备功能完好；</w:t>
      </w:r>
    </w:p>
    <w:p>
      <w:pPr>
        <w:pStyle w:val="90"/>
        <w:numPr>
          <w:ilvl w:val="0"/>
          <w:numId w:val="15"/>
        </w:numPr>
        <w:rPr>
          <w:color w:val="000000" w:themeColor="text1"/>
          <w14:textFill>
            <w14:solidFill>
              <w14:schemeClr w14:val="tx1"/>
            </w14:solidFill>
          </w14:textFill>
        </w:rPr>
      </w:pPr>
      <w:r>
        <w:rPr>
          <w:rFonts w:hint="eastAsia"/>
          <w:color w:val="000000" w:themeColor="text1"/>
          <w14:textFill>
            <w14:solidFill>
              <w14:schemeClr w14:val="tx1"/>
            </w14:solidFill>
          </w14:textFill>
        </w:rPr>
        <w:t>测试监测终端的各项功能是否正常运行，应确保在每季度或半年内实现全覆盖。</w:t>
      </w:r>
    </w:p>
    <w:p>
      <w:pPr>
        <w:pStyle w:val="66"/>
        <w:spacing w:before="156" w:after="156"/>
        <w:rPr>
          <w:color w:val="000000" w:themeColor="text1"/>
          <w14:textFill>
            <w14:solidFill>
              <w14:schemeClr w14:val="tx1"/>
            </w14:solidFill>
          </w14:textFill>
        </w:rPr>
      </w:pPr>
      <w:bookmarkStart w:id="160" w:name="_Toc31684"/>
      <w:bookmarkStart w:id="161" w:name="_Toc192252433"/>
      <w:bookmarkStart w:id="162" w:name="_Toc188348691"/>
      <w:bookmarkStart w:id="163" w:name="_Toc169793506"/>
      <w:bookmarkStart w:id="164" w:name="_Toc169871985"/>
      <w:bookmarkStart w:id="165" w:name="_Toc170674269"/>
      <w:r>
        <w:rPr>
          <w:rFonts w:hint="eastAsia"/>
          <w:color w:val="000000" w:themeColor="text1"/>
          <w14:textFill>
            <w14:solidFill>
              <w14:schemeClr w14:val="tx1"/>
            </w14:solidFill>
          </w14:textFill>
        </w:rPr>
        <w:t>应急响应</w:t>
      </w:r>
      <w:bookmarkEnd w:id="160"/>
      <w:bookmarkEnd w:id="161"/>
      <w:bookmarkEnd w:id="162"/>
    </w:p>
    <w:p>
      <w:pPr>
        <w:pStyle w:val="70"/>
        <w:spacing w:before="156" w:after="156"/>
        <w:rPr>
          <w:color w:val="000000" w:themeColor="text1"/>
          <w14:textFill>
            <w14:solidFill>
              <w14:schemeClr w14:val="tx1"/>
            </w14:solidFill>
          </w14:textFill>
        </w:rPr>
      </w:pPr>
      <w:bookmarkStart w:id="166" w:name="_Toc32666"/>
      <w:r>
        <w:rPr>
          <w:rFonts w:hint="eastAsia"/>
          <w:color w:val="000000" w:themeColor="text1"/>
          <w14:textFill>
            <w14:solidFill>
              <w14:schemeClr w14:val="tx1"/>
            </w14:solidFill>
          </w14:textFill>
        </w:rPr>
        <w:t>困人事件</w:t>
      </w:r>
      <w:bookmarkEnd w:id="163"/>
      <w:bookmarkEnd w:id="164"/>
      <w:bookmarkEnd w:id="165"/>
      <w:bookmarkEnd w:id="166"/>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当发生困人事件时，应按照图4要求开展相关工作。</w:t>
      </w:r>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当接到应急救援报警时，应在第一时间确定困人地点、事故经过、现场现状等内容；安装智能交互设施设备的，应通过视频通讯，查看电梯内的环境，并进行初步判断。</w:t>
      </w:r>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确认发生困人事件时，应立即形成电子工单，推送至9</w:t>
      </w:r>
      <w:r>
        <w:rPr>
          <w:color w:val="000000" w:themeColor="text1"/>
          <w14:textFill>
            <w14:solidFill>
              <w14:schemeClr w14:val="tx1"/>
            </w14:solidFill>
          </w14:textFill>
        </w:rPr>
        <w:t>6333</w:t>
      </w:r>
      <w:r>
        <w:rPr>
          <w:rFonts w:hint="eastAsia"/>
          <w:color w:val="000000" w:themeColor="text1"/>
          <w14:textFill>
            <w14:solidFill>
              <w14:schemeClr w14:val="tx1"/>
            </w14:solidFill>
          </w14:textFill>
        </w:rPr>
        <w:t>平台与使用单位，开展后续救援工作。</w:t>
      </w:r>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过程中，应通过语音播报或视频对被困人员进行安抚和指导。</w:t>
      </w:r>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当确认没发生困人事件时，应生成确认为无效工单，并推送至使用单位。</w:t>
      </w:r>
    </w:p>
    <w:p>
      <w:pPr>
        <w:pStyle w:val="70"/>
        <w:spacing w:before="156" w:after="156"/>
        <w:rPr>
          <w:color w:val="000000" w:themeColor="text1"/>
          <w14:textFill>
            <w14:solidFill>
              <w14:schemeClr w14:val="tx1"/>
            </w14:solidFill>
          </w14:textFill>
        </w:rPr>
      </w:pPr>
      <w:bookmarkStart w:id="167" w:name="_Toc9641"/>
      <w:bookmarkStart w:id="168" w:name="_Toc169793507"/>
      <w:bookmarkStart w:id="169" w:name="_Toc170674270"/>
      <w:bookmarkStart w:id="170" w:name="_Toc169871986"/>
      <w:r>
        <w:rPr>
          <w:rFonts w:hint="eastAsia"/>
          <w:color w:val="000000" w:themeColor="text1"/>
          <w14:textFill>
            <w14:solidFill>
              <w14:schemeClr w14:val="tx1"/>
            </w14:solidFill>
          </w14:textFill>
        </w:rPr>
        <w:t>电动自行车进入电梯</w:t>
      </w:r>
      <w:bookmarkEnd w:id="167"/>
      <w:bookmarkEnd w:id="168"/>
      <w:bookmarkEnd w:id="169"/>
      <w:bookmarkEnd w:id="170"/>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当智慧平台检测到疑似电动自行车进入电梯时，应发出声光预警，可控制电梯门不关，并通过移动终端将预警信息推送至使用单位相关责任人及值班室。</w:t>
      </w:r>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使用单位相关责任人及值班室调取实时画面，确认预警信息。若确认为误报，应远程解除预警并填写完结工单。</w:t>
      </w:r>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确认预警有效时，应通过远程通话，劝导车辆驶出电梯。劝导无效时，通知巡查人员赶往现场处置。</w:t>
      </w:r>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劝导无效或出现多次违规进入电梯时，应将情况反馈至社区、相关职能部门。</w:t>
      </w:r>
    </w:p>
    <w:p>
      <w:pPr>
        <w:pStyle w:val="89"/>
        <w:numPr>
          <w:ilvl w:val="4"/>
          <w:numId w:val="0"/>
        </w:numPr>
        <w:ind w:leftChars="0"/>
        <w:rPr>
          <w:color w:val="000000" w:themeColor="text1"/>
          <w14:textFill>
            <w14:solidFill>
              <w14:schemeClr w14:val="tx1"/>
            </w14:solidFill>
          </w14:textFill>
        </w:rPr>
      </w:pPr>
    </w:p>
    <w:p>
      <w:pPr>
        <w:pStyle w:val="65"/>
        <w:numPr>
          <w:ilvl w:val="0"/>
          <w:numId w:val="0"/>
        </w:numPr>
        <w:jc w:val="center"/>
        <w:rPr>
          <w:color w:val="000000" w:themeColor="text1"/>
          <w14:textFill>
            <w14:solidFill>
              <w14:schemeClr w14:val="tx1"/>
            </w14:solidFill>
          </w14:textFill>
        </w:rPr>
      </w:pPr>
      <w:r>
        <w:rPr>
          <w:color w:val="000000" w:themeColor="text1"/>
          <w14:textFill>
            <w14:solidFill>
              <w14:schemeClr w14:val="tx1"/>
            </w14:solidFill>
          </w14:textFill>
        </w:rPr>
        <w:object>
          <v:shape id="_x0000_i1025" o:spt="75" type="#_x0000_t75" style="height:348.35pt;width:176.95pt;" o:ole="t" filled="f" o:preferrelative="t" stroked="f" coordsize="21600,21600">
            <v:path/>
            <v:fill on="f" focussize="0,0"/>
            <v:stroke on="f"/>
            <v:imagedata r:id="rId26" o:title=""/>
            <o:lock v:ext="edit" aspectratio="t"/>
            <w10:wrap type="none"/>
            <w10:anchorlock/>
          </v:shape>
          <o:OLEObject Type="Embed" ProgID="Visio.Drawing.15" ShapeID="_x0000_i1025" DrawAspect="Content" ObjectID="_1468075725" r:id="rId25">
            <o:LockedField>false</o:LockedField>
          </o:OLEObject>
        </w:object>
      </w:r>
    </w:p>
    <w:p>
      <w:pPr>
        <w:pStyle w:val="8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智慧平台的服务流程</w:t>
      </w:r>
    </w:p>
    <w:p>
      <w:pPr>
        <w:pStyle w:val="66"/>
        <w:spacing w:before="156" w:after="156"/>
        <w:rPr>
          <w:color w:val="000000" w:themeColor="text1"/>
          <w14:textFill>
            <w14:solidFill>
              <w14:schemeClr w14:val="tx1"/>
            </w14:solidFill>
          </w14:textFill>
        </w:rPr>
      </w:pPr>
      <w:bookmarkStart w:id="171" w:name="_Toc169793503"/>
      <w:bookmarkStart w:id="172" w:name="_Toc4218"/>
      <w:bookmarkStart w:id="173" w:name="_Toc192252434"/>
      <w:bookmarkStart w:id="174" w:name="_Toc170674266"/>
      <w:bookmarkStart w:id="175" w:name="_Toc188348692"/>
      <w:bookmarkStart w:id="176" w:name="_Toc169871982"/>
      <w:r>
        <w:rPr>
          <w:rFonts w:hint="eastAsia"/>
          <w:color w:val="000000" w:themeColor="text1"/>
          <w14:textFill>
            <w14:solidFill>
              <w14:schemeClr w14:val="tx1"/>
            </w14:solidFill>
          </w14:textFill>
        </w:rPr>
        <w:t>数据管理</w:t>
      </w:r>
      <w:bookmarkEnd w:id="151"/>
      <w:bookmarkEnd w:id="152"/>
      <w:bookmarkEnd w:id="153"/>
      <w:bookmarkEnd w:id="154"/>
      <w:bookmarkEnd w:id="155"/>
      <w:bookmarkEnd w:id="156"/>
      <w:bookmarkEnd w:id="157"/>
      <w:bookmarkEnd w:id="158"/>
      <w:bookmarkEnd w:id="171"/>
      <w:bookmarkEnd w:id="172"/>
      <w:bookmarkEnd w:id="173"/>
      <w:bookmarkEnd w:id="174"/>
      <w:bookmarkEnd w:id="175"/>
      <w:bookmarkEnd w:id="176"/>
    </w:p>
    <w:p>
      <w:pPr>
        <w:pStyle w:val="70"/>
        <w:spacing w:before="156" w:after="156"/>
        <w:rPr>
          <w:color w:val="000000" w:themeColor="text1"/>
          <w14:textFill>
            <w14:solidFill>
              <w14:schemeClr w14:val="tx1"/>
            </w14:solidFill>
          </w14:textFill>
        </w:rPr>
      </w:pPr>
      <w:bookmarkStart w:id="177" w:name="_Toc9212"/>
      <w:r>
        <w:rPr>
          <w:rFonts w:hint="eastAsia"/>
          <w:color w:val="000000" w:themeColor="text1"/>
          <w14:textFill>
            <w14:solidFill>
              <w14:schemeClr w14:val="tx1"/>
            </w14:solidFill>
          </w14:textFill>
        </w:rPr>
        <w:t>数据采集</w:t>
      </w:r>
      <w:bookmarkEnd w:id="177"/>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应根据数据更新的频率和实时性要求制定相应的采集策略。</w:t>
      </w:r>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应通过数据库同步进行采集。</w:t>
      </w:r>
    </w:p>
    <w:p>
      <w:pPr>
        <w:pStyle w:val="70"/>
        <w:spacing w:before="156" w:after="156"/>
        <w:rPr>
          <w:color w:val="000000" w:themeColor="text1"/>
          <w14:textFill>
            <w14:solidFill>
              <w14:schemeClr w14:val="tx1"/>
            </w14:solidFill>
          </w14:textFill>
        </w:rPr>
      </w:pPr>
      <w:bookmarkStart w:id="178" w:name="_Toc27845"/>
      <w:r>
        <w:rPr>
          <w:rFonts w:hint="eastAsia"/>
          <w:color w:val="000000" w:themeColor="text1"/>
          <w14:textFill>
            <w14:solidFill>
              <w14:schemeClr w14:val="tx1"/>
            </w14:solidFill>
          </w14:textFill>
        </w:rPr>
        <w:t>数据存储</w:t>
      </w:r>
      <w:bookmarkEnd w:id="178"/>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应定期对存储的数据进行备份。</w:t>
      </w:r>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视频图像的存储，应不少于15</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d。</w:t>
      </w:r>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当发生报警或困人事件时，图像记录应不少于4年。宜按图像的来源、记录时间、报警类别等多种方式对存储的图像数据进行检索。</w:t>
      </w:r>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应采取相关措施确保文件完整性和防止图像文件被篡改。</w:t>
      </w:r>
    </w:p>
    <w:p>
      <w:pPr>
        <w:pStyle w:val="70"/>
        <w:spacing w:before="156" w:after="156"/>
        <w:rPr>
          <w:color w:val="000000" w:themeColor="text1"/>
          <w14:textFill>
            <w14:solidFill>
              <w14:schemeClr w14:val="tx1"/>
            </w14:solidFill>
          </w14:textFill>
        </w:rPr>
      </w:pPr>
      <w:bookmarkStart w:id="179" w:name="_Toc19183"/>
      <w:r>
        <w:rPr>
          <w:rFonts w:hint="eastAsia"/>
          <w:color w:val="000000" w:themeColor="text1"/>
          <w14:textFill>
            <w14:solidFill>
              <w14:schemeClr w14:val="tx1"/>
            </w14:solidFill>
          </w14:textFill>
        </w:rPr>
        <w:t>数据归集与记录</w:t>
      </w:r>
      <w:bookmarkEnd w:id="179"/>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智慧平台运行中的数据归集应按照D</w:t>
      </w:r>
      <w:r>
        <w:rPr>
          <w:color w:val="000000" w:themeColor="text1"/>
          <w14:textFill>
            <w14:solidFill>
              <w14:schemeClr w14:val="tx1"/>
            </w14:solidFill>
          </w14:textFill>
        </w:rPr>
        <w:t>B32/T 4131</w:t>
      </w:r>
      <w:r>
        <w:rPr>
          <w:rFonts w:hint="eastAsia"/>
          <w:color w:val="000000" w:themeColor="text1"/>
          <w14:textFill>
            <w14:solidFill>
              <w14:schemeClr w14:val="tx1"/>
            </w14:solidFill>
          </w14:textFill>
        </w:rPr>
        <w:t>的要求执行。</w:t>
      </w:r>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应对智慧平台所涉及的数据进行汇总和统计分析，相关数据包括但不限于以下内容：</w:t>
      </w:r>
    </w:p>
    <w:p>
      <w:pPr>
        <w:pStyle w:val="90"/>
        <w:numPr>
          <w:ilvl w:val="0"/>
          <w:numId w:val="16"/>
        </w:numPr>
        <w:rPr>
          <w:color w:val="000000" w:themeColor="text1"/>
          <w14:textFill>
            <w14:solidFill>
              <w14:schemeClr w14:val="tx1"/>
            </w14:solidFill>
          </w14:textFill>
        </w:rPr>
      </w:pPr>
      <w:r>
        <w:rPr>
          <w:rFonts w:hint="eastAsia"/>
          <w:color w:val="000000" w:themeColor="text1"/>
          <w14:textFill>
            <w14:solidFill>
              <w14:schemeClr w14:val="tx1"/>
            </w14:solidFill>
          </w14:textFill>
        </w:rPr>
        <w:t>设备数据：与平台相关联和管理的设备铺设范围，包括覆盖区域、电梯应用和服务用户的数量等数据；</w:t>
      </w:r>
    </w:p>
    <w:p>
      <w:pPr>
        <w:pStyle w:val="90"/>
        <w:numPr>
          <w:ilvl w:val="0"/>
          <w:numId w:val="16"/>
        </w:numPr>
        <w:rPr>
          <w:color w:val="000000" w:themeColor="text1"/>
          <w14:textFill>
            <w14:solidFill>
              <w14:schemeClr w14:val="tx1"/>
            </w14:solidFill>
          </w14:textFill>
        </w:rPr>
      </w:pPr>
      <w:r>
        <w:rPr>
          <w:rFonts w:hint="eastAsia"/>
          <w:color w:val="000000" w:themeColor="text1"/>
          <w14:textFill>
            <w14:solidFill>
              <w14:schemeClr w14:val="tx1"/>
            </w14:solidFill>
          </w14:textFill>
        </w:rPr>
        <w:t>功能模块数据：包括但不限于应急救援、信息发布、电动自行车管控等数据：</w:t>
      </w:r>
    </w:p>
    <w:p>
      <w:pPr>
        <w:pStyle w:val="86"/>
        <w:numPr>
          <w:ilvl w:val="1"/>
          <w:numId w:val="17"/>
        </w:num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应急救援数据：包括呼叫量统计、呼叫时间段数据、困人电梯分布数据等；</w:t>
      </w:r>
    </w:p>
    <w:p>
      <w:pPr>
        <w:pStyle w:val="86"/>
        <w:numPr>
          <w:ilvl w:val="1"/>
          <w:numId w:val="17"/>
        </w:numPr>
        <w:rPr>
          <w:color w:val="000000" w:themeColor="text1"/>
          <w14:textFill>
            <w14:solidFill>
              <w14:schemeClr w14:val="tx1"/>
            </w14:solidFill>
          </w14:textFill>
        </w:rPr>
      </w:pPr>
      <w:r>
        <w:rPr>
          <w:rFonts w:hint="eastAsia"/>
          <w:color w:val="000000" w:themeColor="text1"/>
          <w14:textFill>
            <w14:solidFill>
              <w14:schemeClr w14:val="tx1"/>
            </w14:solidFill>
          </w14:textFill>
        </w:rPr>
        <w:t>风险预警管控：设备分布数据、识别数据、预警数据、高发预警分析等。</w:t>
      </w:r>
    </w:p>
    <w:p>
      <w:pPr>
        <w:pStyle w:val="70"/>
        <w:spacing w:before="156" w:after="156"/>
        <w:rPr>
          <w:color w:val="000000" w:themeColor="text1"/>
          <w14:textFill>
            <w14:solidFill>
              <w14:schemeClr w14:val="tx1"/>
            </w14:solidFill>
          </w14:textFill>
        </w:rPr>
      </w:pPr>
      <w:bookmarkStart w:id="180" w:name="_Toc32656"/>
      <w:r>
        <w:rPr>
          <w:rFonts w:hint="eastAsia"/>
          <w:color w:val="000000" w:themeColor="text1"/>
          <w14:textFill>
            <w14:solidFill>
              <w14:schemeClr w14:val="tx1"/>
            </w14:solidFill>
          </w14:textFill>
        </w:rPr>
        <w:t>数据安全</w:t>
      </w:r>
      <w:bookmarkEnd w:id="180"/>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应采用密码技术保障数据在传输过程中的机密性、采用安全协议等保障在传输过程中的安全性。</w:t>
      </w:r>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应部署相关设备对网络可用性及数据泄露风险进行防范。</w:t>
      </w:r>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应建立各类数据存储的安全配置规则，提供工具支撑存储介质及逻辑存储空间的安全管理，具备多用户数据存储安全隔离能力。</w:t>
      </w:r>
    </w:p>
    <w:p>
      <w:pPr>
        <w:pStyle w:val="70"/>
        <w:spacing w:before="156" w:after="156"/>
        <w:rPr>
          <w:color w:val="000000" w:themeColor="text1"/>
          <w14:textFill>
            <w14:solidFill>
              <w14:schemeClr w14:val="tx1"/>
            </w14:solidFill>
          </w14:textFill>
        </w:rPr>
      </w:pPr>
      <w:bookmarkStart w:id="181" w:name="_Toc19015"/>
      <w:r>
        <w:rPr>
          <w:rFonts w:hint="eastAsia"/>
          <w:color w:val="000000" w:themeColor="text1"/>
          <w14:textFill>
            <w14:solidFill>
              <w14:schemeClr w14:val="tx1"/>
            </w14:solidFill>
          </w14:textFill>
        </w:rPr>
        <w:t>数据备份和恢复</w:t>
      </w:r>
      <w:bookmarkEnd w:id="181"/>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应建立数据备份和恢复的技术工具。</w:t>
      </w:r>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应定期检查数据备份存储介质，确保进行数据修复时备份可用。</w:t>
      </w:r>
    </w:p>
    <w:p>
      <w:pPr>
        <w:pStyle w:val="89"/>
        <w:numPr>
          <w:ilvl w:val="4"/>
          <w:numId w:val="8"/>
        </w:numPr>
        <w:rPr>
          <w:color w:val="000000" w:themeColor="text1"/>
          <w14:textFill>
            <w14:solidFill>
              <w14:schemeClr w14:val="tx1"/>
            </w14:solidFill>
          </w14:textFill>
        </w:rPr>
      </w:pPr>
      <w:r>
        <w:rPr>
          <w:rFonts w:hint="eastAsia"/>
          <w:color w:val="000000" w:themeColor="text1"/>
          <w14:textFill>
            <w14:solidFill>
              <w14:schemeClr w14:val="tx1"/>
            </w14:solidFill>
          </w14:textFill>
        </w:rPr>
        <w:t>应定期清理无用数据，并进行数据恢复测试，确保备份数据能进行正常的恢复，数据恢复后应进行数据完整性校验。</w:t>
      </w:r>
    </w:p>
    <w:p>
      <w:pPr>
        <w:pStyle w:val="66"/>
        <w:spacing w:before="156" w:after="156"/>
        <w:rPr>
          <w:color w:val="000000" w:themeColor="text1"/>
          <w14:textFill>
            <w14:solidFill>
              <w14:schemeClr w14:val="tx1"/>
            </w14:solidFill>
          </w14:textFill>
        </w:rPr>
      </w:pPr>
      <w:bookmarkStart w:id="182" w:name="_Toc169871983"/>
      <w:bookmarkStart w:id="183" w:name="_Toc28292"/>
      <w:bookmarkStart w:id="184" w:name="_Toc188348693"/>
      <w:bookmarkStart w:id="185" w:name="_Toc169793504"/>
      <w:bookmarkStart w:id="186" w:name="_Toc170674267"/>
      <w:bookmarkStart w:id="187" w:name="_Toc192252435"/>
      <w:r>
        <w:rPr>
          <w:rFonts w:hint="eastAsia"/>
          <w:color w:val="000000" w:themeColor="text1"/>
          <w14:textFill>
            <w14:solidFill>
              <w14:schemeClr w14:val="tx1"/>
            </w14:solidFill>
          </w14:textFill>
        </w:rPr>
        <w:t>平台运维</w:t>
      </w:r>
      <w:bookmarkEnd w:id="182"/>
      <w:bookmarkEnd w:id="183"/>
      <w:bookmarkEnd w:id="184"/>
      <w:bookmarkEnd w:id="185"/>
      <w:bookmarkEnd w:id="186"/>
      <w:bookmarkEnd w:id="187"/>
    </w:p>
    <w:p>
      <w:pPr>
        <w:pStyle w:val="69"/>
        <w:rPr>
          <w:color w:val="000000" w:themeColor="text1"/>
          <w14:textFill>
            <w14:solidFill>
              <w14:schemeClr w14:val="tx1"/>
            </w14:solidFill>
          </w14:textFill>
        </w:rPr>
      </w:pPr>
      <w:r>
        <w:rPr>
          <w:rFonts w:hint="eastAsia"/>
          <w:color w:val="000000" w:themeColor="text1"/>
          <w14:textFill>
            <w14:solidFill>
              <w14:schemeClr w14:val="tx1"/>
            </w14:solidFill>
          </w14:textFill>
        </w:rPr>
        <w:t>应具备良好的应用安全保障机制，能对登录用户的身份进行认证，并记录用户的操作（如数据的录入、修改等）。</w:t>
      </w:r>
    </w:p>
    <w:p>
      <w:pPr>
        <w:pStyle w:val="69"/>
        <w:rPr>
          <w:color w:val="000000" w:themeColor="text1"/>
          <w14:textFill>
            <w14:solidFill>
              <w14:schemeClr w14:val="tx1"/>
            </w14:solidFill>
          </w14:textFill>
        </w:rPr>
      </w:pPr>
      <w:r>
        <w:rPr>
          <w:rFonts w:hint="eastAsia"/>
          <w:color w:val="000000" w:themeColor="text1"/>
          <w14:textFill>
            <w14:solidFill>
              <w14:schemeClr w14:val="tx1"/>
            </w14:solidFill>
          </w14:textFill>
        </w:rPr>
        <w:t>平台应至少满足G</w:t>
      </w:r>
      <w:r>
        <w:rPr>
          <w:color w:val="000000" w:themeColor="text1"/>
          <w14:textFill>
            <w14:solidFill>
              <w14:schemeClr w14:val="tx1"/>
            </w14:solidFill>
          </w14:textFill>
        </w:rPr>
        <w:t>B/T 22239</w:t>
      </w:r>
      <w:r>
        <w:rPr>
          <w:rFonts w:hint="eastAsia"/>
          <w:color w:val="000000" w:themeColor="text1"/>
          <w14:textFill>
            <w14:solidFill>
              <w14:schemeClr w14:val="tx1"/>
            </w14:solidFill>
          </w14:textFill>
        </w:rPr>
        <w:t>中第二级安全保护等级的要求。</w:t>
      </w:r>
    </w:p>
    <w:p>
      <w:pPr>
        <w:pStyle w:val="69"/>
        <w:rPr>
          <w:color w:val="000000" w:themeColor="text1"/>
          <w14:textFill>
            <w14:solidFill>
              <w14:schemeClr w14:val="tx1"/>
            </w14:solidFill>
          </w14:textFill>
        </w:rPr>
      </w:pPr>
      <w:r>
        <w:rPr>
          <w:rFonts w:hint="eastAsia"/>
          <w:color w:val="000000" w:themeColor="text1"/>
          <w14:textFill>
            <w14:solidFill>
              <w14:schemeClr w14:val="tx1"/>
            </w14:solidFill>
          </w14:textFill>
        </w:rPr>
        <w:t>应对用户信息的处理采取监视和记录的技术措施，留存相关事件的网络日志不应少于4年。</w:t>
      </w:r>
    </w:p>
    <w:p>
      <w:pPr>
        <w:pStyle w:val="69"/>
        <w:rPr>
          <w:color w:val="000000" w:themeColor="text1"/>
          <w14:textFill>
            <w14:solidFill>
              <w14:schemeClr w14:val="tx1"/>
            </w14:solidFill>
          </w14:textFill>
        </w:rPr>
      </w:pPr>
      <w:r>
        <w:rPr>
          <w:rFonts w:hint="eastAsia"/>
          <w:color w:val="000000" w:themeColor="text1"/>
          <w14:textFill>
            <w14:solidFill>
              <w14:schemeClr w14:val="tx1"/>
            </w14:solidFill>
          </w14:textFill>
        </w:rPr>
        <w:t>运维应至少包括软件运维、数据运维、网络运维、主机运维、机房运维等。</w:t>
      </w:r>
    </w:p>
    <w:p>
      <w:pPr>
        <w:pStyle w:val="66"/>
        <w:spacing w:before="156" w:after="156"/>
        <w:rPr>
          <w:color w:val="000000" w:themeColor="text1"/>
          <w14:textFill>
            <w14:solidFill>
              <w14:schemeClr w14:val="tx1"/>
            </w14:solidFill>
          </w14:textFill>
        </w:rPr>
      </w:pPr>
      <w:bookmarkStart w:id="188" w:name="_Toc146722402"/>
      <w:bookmarkStart w:id="189" w:name="_Toc169793508"/>
      <w:bookmarkStart w:id="190" w:name="_Toc192252436"/>
      <w:bookmarkStart w:id="191" w:name="_Toc168485760"/>
      <w:bookmarkStart w:id="192" w:name="_Toc160093765"/>
      <w:bookmarkStart w:id="193" w:name="_Toc188348694"/>
      <w:bookmarkStart w:id="194" w:name="_Toc169871987"/>
      <w:bookmarkStart w:id="195" w:name="_Toc166834031"/>
      <w:bookmarkStart w:id="196" w:name="_Toc160029559"/>
      <w:bookmarkStart w:id="197" w:name="_Toc170674271"/>
      <w:bookmarkStart w:id="198" w:name="_Toc167954464"/>
      <w:bookmarkStart w:id="199" w:name="_Toc31252"/>
      <w:bookmarkStart w:id="200" w:name="_Toc148014130"/>
      <w:bookmarkStart w:id="201" w:name="_Toc167631930"/>
      <w:r>
        <w:rPr>
          <w:rFonts w:hint="eastAsia"/>
          <w:color w:val="000000" w:themeColor="text1"/>
          <w14:textFill>
            <w14:solidFill>
              <w14:schemeClr w14:val="tx1"/>
            </w14:solidFill>
          </w14:textFill>
        </w:rPr>
        <w:t>档案管理</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69"/>
        <w:rPr>
          <w:color w:val="000000" w:themeColor="text1"/>
          <w14:textFill>
            <w14:solidFill>
              <w14:schemeClr w14:val="tx1"/>
            </w14:solidFill>
          </w14:textFill>
        </w:rPr>
      </w:pPr>
      <w:r>
        <w:rPr>
          <w:rFonts w:hint="eastAsia"/>
          <w:color w:val="000000" w:themeColor="text1"/>
          <w14:textFill>
            <w14:solidFill>
              <w14:schemeClr w14:val="tx1"/>
            </w14:solidFill>
          </w14:textFill>
        </w:rPr>
        <w:t>使用单位和平台运营单位应做好相关档案的归档和整理工作。</w:t>
      </w:r>
    </w:p>
    <w:p>
      <w:pPr>
        <w:pStyle w:val="69"/>
        <w:rPr>
          <w:color w:val="000000" w:themeColor="text1"/>
          <w14:textFill>
            <w14:solidFill>
              <w14:schemeClr w14:val="tx1"/>
            </w14:solidFill>
          </w14:textFill>
        </w:rPr>
      </w:pPr>
      <w:r>
        <w:rPr>
          <w:rFonts w:hint="eastAsia"/>
          <w:color w:val="000000" w:themeColor="text1"/>
          <w14:textFill>
            <w14:solidFill>
              <w14:schemeClr w14:val="tx1"/>
            </w14:solidFill>
          </w14:textFill>
        </w:rPr>
        <w:t>宜按照</w:t>
      </w:r>
      <w:r>
        <w:rPr>
          <w:color w:val="000000" w:themeColor="text1"/>
          <w14:textFill>
            <w14:solidFill>
              <w14:schemeClr w14:val="tx1"/>
            </w14:solidFill>
          </w14:textFill>
        </w:rPr>
        <w:t>DA/T 42</w:t>
      </w:r>
      <w:r>
        <w:rPr>
          <w:rFonts w:hint="eastAsia"/>
          <w:color w:val="000000" w:themeColor="text1"/>
          <w14:textFill>
            <w14:solidFill>
              <w14:schemeClr w14:val="tx1"/>
            </w14:solidFill>
          </w14:textFill>
        </w:rPr>
        <w:t>的要求开展档案的整理和归档工作。</w:t>
      </w:r>
    </w:p>
    <w:p>
      <w:pPr>
        <w:pStyle w:val="69"/>
        <w:rPr>
          <w:color w:val="000000" w:themeColor="text1"/>
          <w14:textFill>
            <w14:solidFill>
              <w14:schemeClr w14:val="tx1"/>
            </w14:solidFill>
          </w14:textFill>
        </w:rPr>
        <w:sectPr>
          <w:headerReference r:id="rId15" w:type="default"/>
          <w:footerReference r:id="rId17" w:type="default"/>
          <w:headerReference r:id="rId16" w:type="even"/>
          <w:footerReference r:id="rId18" w:type="even"/>
          <w:pgSz w:w="11906" w:h="16838"/>
          <w:pgMar w:top="1417" w:right="1134" w:bottom="1134" w:left="1418" w:header="1417" w:footer="1134" w:gutter="0"/>
          <w:cols w:space="425" w:num="1"/>
          <w:docGrid w:type="lines" w:linePitch="312" w:charSpace="0"/>
        </w:sectPr>
      </w:pPr>
      <w:r>
        <w:rPr>
          <w:rFonts w:hint="eastAsia"/>
          <w:color w:val="000000" w:themeColor="text1"/>
          <w14:textFill>
            <w14:solidFill>
              <w14:schemeClr w14:val="tx1"/>
            </w14:solidFill>
          </w14:textFill>
        </w:rPr>
        <w:t>纸质档案应定期提交并制作成电子档案；电子档案应定期归档至服务器中</w:t>
      </w:r>
      <w:r>
        <w:rPr>
          <w:rFonts w:hint="eastAsia"/>
          <w:color w:val="000000" w:themeColor="text1"/>
          <w:lang w:eastAsia="zh-CN"/>
          <w14:textFill>
            <w14:solidFill>
              <w14:schemeClr w14:val="tx1"/>
            </w14:solidFill>
          </w14:textFill>
        </w:rPr>
        <w:t>。</w:t>
      </w:r>
    </w:p>
    <w:p>
      <w:pPr>
        <w:pStyle w:val="69"/>
        <w:numPr>
          <w:ilvl w:val="3"/>
          <w:numId w:val="0"/>
        </w:numPr>
        <w:ind w:leftChars="0"/>
        <w:rPr>
          <w:color w:val="000000" w:themeColor="text1"/>
          <w14:textFill>
            <w14:solidFill>
              <w14:schemeClr w14:val="tx1"/>
            </w14:solidFill>
          </w14:textFill>
        </w:rPr>
      </w:pPr>
    </w:p>
    <w:bookmarkEnd w:id="116"/>
    <w:p>
      <w:pPr>
        <w:pStyle w:val="6"/>
        <w:adjustRightInd w:val="0"/>
        <w:snapToGrid w:val="0"/>
        <w:spacing w:before="567"/>
        <w:ind w:firstLine="0"/>
        <w:jc w:val="center"/>
        <w:outlineLvl w:val="0"/>
        <w:rPr>
          <w:rFonts w:hint="eastAsia" w:ascii="黑体" w:hAnsi="黑体" w:eastAsia="黑体" w:cs="黑体"/>
          <w:szCs w:val="21"/>
        </w:rPr>
      </w:pPr>
      <w:bookmarkStart w:id="202" w:name="_Toc7738"/>
      <w:bookmarkStart w:id="203" w:name="_Toc9352"/>
      <w:bookmarkStart w:id="204" w:name="_Toc27120"/>
      <w:r>
        <w:rPr>
          <w:rFonts w:hint="eastAsia" w:ascii="黑体" w:hAnsi="黑体" w:eastAsia="黑体" w:cs="黑体"/>
          <w:szCs w:val="21"/>
        </w:rPr>
        <w:t>附  录  A</w:t>
      </w:r>
      <w:bookmarkEnd w:id="202"/>
      <w:bookmarkEnd w:id="203"/>
      <w:bookmarkEnd w:id="204"/>
    </w:p>
    <w:p>
      <w:pPr>
        <w:pStyle w:val="7"/>
        <w:jc w:val="center"/>
        <w:outlineLvl w:val="0"/>
        <w:rPr>
          <w:rFonts w:hint="eastAsia" w:ascii="黑体" w:hAnsi="黑体" w:eastAsia="黑体" w:cs="黑体"/>
          <w:sz w:val="21"/>
          <w:szCs w:val="21"/>
        </w:rPr>
      </w:pPr>
      <w:bookmarkStart w:id="205" w:name="_Toc14964"/>
      <w:bookmarkStart w:id="206" w:name="_Toc23324"/>
      <w:bookmarkStart w:id="207" w:name="_Toc21414"/>
      <w:bookmarkStart w:id="208" w:name="_Toc3634"/>
      <w:r>
        <w:rPr>
          <w:rFonts w:hint="eastAsia" w:ascii="黑体" w:hAnsi="黑体" w:eastAsia="黑体" w:cs="黑体"/>
          <w:sz w:val="21"/>
          <w:szCs w:val="21"/>
        </w:rPr>
        <w:t>（资料性）</w:t>
      </w:r>
      <w:bookmarkEnd w:id="205"/>
      <w:bookmarkEnd w:id="206"/>
      <w:bookmarkEnd w:id="207"/>
      <w:bookmarkEnd w:id="208"/>
    </w:p>
    <w:p>
      <w:pPr>
        <w:pStyle w:val="7"/>
        <w:adjustRightInd w:val="0"/>
        <w:spacing w:after="283"/>
        <w:jc w:val="center"/>
        <w:outlineLvl w:val="0"/>
        <w:rPr>
          <w:rFonts w:hint="eastAsia" w:ascii="黑体" w:hAnsi="黑体" w:eastAsia="黑体"/>
          <w:color w:val="000000"/>
          <w:sz w:val="21"/>
          <w:szCs w:val="21"/>
        </w:rPr>
      </w:pPr>
      <w:bookmarkStart w:id="209" w:name="_Toc22079"/>
      <w:r>
        <w:rPr>
          <w:rFonts w:hint="eastAsia" w:ascii="黑体" w:hAnsi="黑体" w:eastAsia="黑体"/>
          <w:color w:val="000000"/>
          <w:sz w:val="21"/>
          <w:szCs w:val="21"/>
        </w:rPr>
        <w:t>系统功能参数</w:t>
      </w:r>
      <w:bookmarkEnd w:id="209"/>
    </w:p>
    <w:p>
      <w:pPr>
        <w:pStyle w:val="74"/>
        <w:keepNext w:val="0"/>
        <w:keepLines w:val="0"/>
        <w:pageBreakBefore w:val="0"/>
        <w:widowControl w:val="0"/>
        <w:kinsoku/>
        <w:wordWrap/>
        <w:overflowPunct/>
        <w:topLinePunct w:val="0"/>
        <w:autoSpaceDE/>
        <w:autoSpaceDN/>
        <w:bidi w:val="0"/>
        <w:adjustRightInd/>
        <w:snapToGrid/>
        <w:spacing w:before="313" w:beforeLines="100" w:after="313" w:afterLines="100"/>
        <w:ind w:left="0"/>
        <w:textAlignment w:val="auto"/>
        <w:rPr>
          <w:color w:val="000000" w:themeColor="text1"/>
          <w14:textFill>
            <w14:solidFill>
              <w14:schemeClr w14:val="tx1"/>
            </w14:solidFill>
          </w14:textFill>
        </w:rPr>
      </w:pPr>
      <w:bookmarkStart w:id="210" w:name="_Toc188348696"/>
      <w:bookmarkStart w:id="211" w:name="_Toc169871989"/>
      <w:bookmarkStart w:id="212" w:name="_Toc192252438"/>
      <w:bookmarkStart w:id="213" w:name="_Toc28333"/>
      <w:bookmarkStart w:id="214" w:name="_Toc170674273"/>
      <w:r>
        <w:rPr>
          <w:rFonts w:hint="eastAsia"/>
          <w:color w:val="000000" w:themeColor="text1"/>
          <w14:textFill>
            <w14:solidFill>
              <w14:schemeClr w14:val="tx1"/>
            </w14:solidFill>
          </w14:textFill>
        </w:rPr>
        <w:t>应急呼叫功能</w:t>
      </w:r>
      <w:bookmarkEnd w:id="210"/>
      <w:bookmarkEnd w:id="211"/>
      <w:bookmarkEnd w:id="212"/>
      <w:bookmarkEnd w:id="213"/>
      <w:bookmarkEnd w:id="214"/>
    </w:p>
    <w:p>
      <w:pPr>
        <w:pStyle w:val="98"/>
        <w:numPr>
          <w:ilvl w:val="2"/>
          <w:numId w:val="6"/>
        </w:numPr>
        <w:spacing w:line="240" w:lineRule="auto"/>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宜设置一键呼叫按钮，并有醒目的标识或使用说明。</w:t>
      </w:r>
    </w:p>
    <w:p>
      <w:pPr>
        <w:pStyle w:val="98"/>
        <w:numPr>
          <w:ilvl w:val="2"/>
          <w:numId w:val="6"/>
        </w:numPr>
        <w:spacing w:line="240" w:lineRule="auto"/>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宜对应急呼叫进行二次确认，当确认发生困人或其他事件时，形成工单并反馈至96333平台与使用单位。</w:t>
      </w:r>
    </w:p>
    <w:p>
      <w:pPr>
        <w:pStyle w:val="98"/>
        <w:numPr>
          <w:ilvl w:val="2"/>
          <w:numId w:val="6"/>
        </w:numPr>
        <w:spacing w:line="240" w:lineRule="auto"/>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当发生困人事件时，可在2</w:t>
      </w:r>
      <w:r>
        <w:rPr>
          <w:rFonts w:hint="eastAsia"/>
          <w:color w:val="000000" w:themeColor="text1"/>
          <w:w w:val="50"/>
          <w:kern w:val="0"/>
          <w14:textFill>
            <w14:solidFill>
              <w14:schemeClr w14:val="tx1"/>
            </w14:solidFill>
          </w14:textFill>
        </w:rPr>
        <w:t xml:space="preserve"> </w:t>
      </w:r>
      <w:r>
        <w:rPr>
          <w:rFonts w:hint="eastAsia"/>
          <w:color w:val="000000" w:themeColor="text1"/>
          <w14:textFill>
            <w14:solidFill>
              <w14:schemeClr w14:val="tx1"/>
            </w14:solidFill>
          </w14:textFill>
        </w:rPr>
        <w:t>min以内获得接听回应。</w:t>
      </w:r>
    </w:p>
    <w:p>
      <w:pPr>
        <w:pStyle w:val="74"/>
        <w:keepNext w:val="0"/>
        <w:keepLines w:val="0"/>
        <w:pageBreakBefore w:val="0"/>
        <w:widowControl w:val="0"/>
        <w:kinsoku/>
        <w:wordWrap/>
        <w:overflowPunct/>
        <w:topLinePunct w:val="0"/>
        <w:autoSpaceDE/>
        <w:autoSpaceDN/>
        <w:bidi w:val="0"/>
        <w:adjustRightInd/>
        <w:snapToGrid/>
        <w:spacing w:before="313" w:beforeLines="100" w:after="313" w:afterLines="100"/>
        <w:ind w:left="0"/>
        <w:textAlignment w:val="auto"/>
        <w:rPr>
          <w:rFonts w:hint="eastAsia"/>
          <w:color w:val="000000" w:themeColor="text1"/>
          <w14:textFill>
            <w14:solidFill>
              <w14:schemeClr w14:val="tx1"/>
            </w14:solidFill>
          </w14:textFill>
        </w:rPr>
      </w:pPr>
      <w:bookmarkStart w:id="215" w:name="_Toc188348697"/>
      <w:bookmarkStart w:id="216" w:name="_Toc169871990"/>
      <w:bookmarkStart w:id="217" w:name="_Toc170674274"/>
      <w:bookmarkStart w:id="218" w:name="_Toc192252439"/>
      <w:bookmarkStart w:id="219" w:name="_Toc27218"/>
      <w:r>
        <w:rPr>
          <w:rFonts w:hint="eastAsia"/>
          <w:color w:val="000000" w:themeColor="text1"/>
          <w14:textFill>
            <w14:solidFill>
              <w14:schemeClr w14:val="tx1"/>
            </w14:solidFill>
          </w14:textFill>
        </w:rPr>
        <w:t>电动自行车智能识别与管控</w:t>
      </w:r>
      <w:bookmarkEnd w:id="215"/>
      <w:bookmarkEnd w:id="216"/>
      <w:bookmarkEnd w:id="217"/>
      <w:bookmarkEnd w:id="218"/>
      <w:bookmarkEnd w:id="219"/>
    </w:p>
    <w:p>
      <w:pPr>
        <w:pStyle w:val="94"/>
        <w:numPr>
          <w:ilvl w:val="2"/>
          <w:numId w:val="6"/>
        </w:numPr>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总体要求</w:t>
      </w:r>
    </w:p>
    <w:p>
      <w:pPr>
        <w:pStyle w:val="68"/>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符合《关于印发苏州市电梯智慧监管建设实施方案的通知》中的文件要求。</w:t>
      </w:r>
    </w:p>
    <w:p>
      <w:pPr>
        <w:pStyle w:val="94"/>
        <w:numPr>
          <w:ilvl w:val="2"/>
          <w:numId w:val="6"/>
        </w:numPr>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接入电梯面板</w:t>
      </w:r>
    </w:p>
    <w:p>
      <w:pPr>
        <w:pStyle w:val="99"/>
        <w:numPr>
          <w:ilvl w:val="3"/>
          <w:numId w:val="6"/>
        </w:numPr>
        <w:spacing w:line="240" w:lineRule="auto"/>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基于图像采集系统，通过算法模型等识别出电动自行车进入电梯的情况，并按照GB/T</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42616中表A.3的要求输出电梯事件信息代码：55。</w:t>
      </w:r>
    </w:p>
    <w:p>
      <w:pPr>
        <w:pStyle w:val="99"/>
        <w:numPr>
          <w:ilvl w:val="3"/>
          <w:numId w:val="6"/>
        </w:numPr>
        <w:spacing w:line="240" w:lineRule="auto"/>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当检测出电梯内有电动自行车时，可保持电梯门打开的状态，并进行语音提示。长时间未驶出电梯时，将相关信息推送至使用单位，通过语音对话进行人工干预；必要时可推送至管理部门。</w:t>
      </w:r>
    </w:p>
    <w:p>
      <w:pPr>
        <w:pStyle w:val="99"/>
        <w:numPr>
          <w:ilvl w:val="3"/>
          <w:numId w:val="6"/>
        </w:numPr>
        <w:spacing w:line="240" w:lineRule="auto"/>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电动自行车在1</w:t>
      </w:r>
      <w:r>
        <w:rPr>
          <w:rFonts w:hint="eastAsia"/>
          <w:color w:val="000000" w:themeColor="text1"/>
          <w:w w:val="50"/>
          <w:kern w:val="0"/>
          <w14:textFill>
            <w14:solidFill>
              <w14:schemeClr w14:val="tx1"/>
            </w14:solidFill>
          </w14:textFill>
        </w:rPr>
        <w:t xml:space="preserve"> </w:t>
      </w:r>
      <w:r>
        <w:rPr>
          <w:rFonts w:hint="eastAsia"/>
          <w:color w:val="000000" w:themeColor="text1"/>
          <w14:textFill>
            <w14:solidFill>
              <w14:schemeClr w14:val="tx1"/>
            </w14:solidFill>
          </w14:textFill>
        </w:rPr>
        <w:t>min中内仍未驶出时，电梯门自动关闭，并将电动自行车所到楼层等信息推送至使用单位，由使用单位进行人工干预，督促并规范电动自行车的使用。</w:t>
      </w:r>
    </w:p>
    <w:p>
      <w:pPr>
        <w:pStyle w:val="99"/>
        <w:numPr>
          <w:ilvl w:val="3"/>
          <w:numId w:val="6"/>
        </w:numPr>
        <w:spacing w:line="240" w:lineRule="auto"/>
        <w:ind w:left="0"/>
        <w:rPr>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当识别出电动自行车退出轿厢后，电梯恢复正常运行，输出事件代码40。</w:t>
      </w:r>
    </w:p>
    <w:p>
      <w:pPr>
        <w:pStyle w:val="94"/>
        <w:numPr>
          <w:ilvl w:val="2"/>
          <w:numId w:val="6"/>
        </w:numPr>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加装方式</w:t>
      </w:r>
    </w:p>
    <w:p>
      <w:pPr>
        <w:pStyle w:val="99"/>
        <w:numPr>
          <w:ilvl w:val="3"/>
          <w:numId w:val="6"/>
        </w:numPr>
        <w:spacing w:line="240" w:lineRule="auto"/>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符合A</w:t>
      </w:r>
      <w:r>
        <w:rPr>
          <w:color w:val="000000" w:themeColor="text1"/>
          <w14:textFill>
            <w14:solidFill>
              <w14:schemeClr w14:val="tx1"/>
            </w14:solidFill>
          </w14:textFill>
        </w:rPr>
        <w:t>.2.2.1</w:t>
      </w:r>
      <w:r>
        <w:rPr>
          <w:rFonts w:hint="eastAsia"/>
          <w:color w:val="000000" w:themeColor="text1"/>
          <w14:textFill>
            <w14:solidFill>
              <w14:schemeClr w14:val="tx1"/>
            </w14:solidFill>
          </w14:textFill>
        </w:rPr>
        <w:t>和A</w:t>
      </w:r>
      <w:r>
        <w:rPr>
          <w:color w:val="000000" w:themeColor="text1"/>
          <w14:textFill>
            <w14:solidFill>
              <w14:schemeClr w14:val="tx1"/>
            </w14:solidFill>
          </w14:textFill>
        </w:rPr>
        <w:t>.2.2.4</w:t>
      </w:r>
      <w:r>
        <w:rPr>
          <w:rFonts w:hint="eastAsia"/>
          <w:color w:val="000000" w:themeColor="text1"/>
          <w14:textFill>
            <w14:solidFill>
              <w14:schemeClr w14:val="tx1"/>
            </w14:solidFill>
          </w14:textFill>
        </w:rPr>
        <w:t>的要求。</w:t>
      </w:r>
    </w:p>
    <w:p>
      <w:pPr>
        <w:pStyle w:val="99"/>
        <w:numPr>
          <w:ilvl w:val="3"/>
          <w:numId w:val="6"/>
        </w:numPr>
        <w:spacing w:line="240" w:lineRule="auto"/>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当检测到电梯轿厢内有电动自行车时，主动对用户进行语音提醒。</w:t>
      </w:r>
    </w:p>
    <w:p>
      <w:pPr>
        <w:pStyle w:val="99"/>
        <w:numPr>
          <w:ilvl w:val="3"/>
          <w:numId w:val="6"/>
        </w:numPr>
        <w:spacing w:line="240" w:lineRule="auto"/>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短时间内（如3</w:t>
      </w:r>
      <w:r>
        <w:rPr>
          <w:color w:val="000000" w:themeColor="text1"/>
          <w14:textFill>
            <w14:solidFill>
              <w14:schemeClr w14:val="tx1"/>
            </w14:solidFill>
          </w14:textFill>
        </w:rPr>
        <w:t>0</w:t>
      </w:r>
      <w:r>
        <w:rPr>
          <w:rFonts w:hint="eastAsia"/>
          <w:color w:val="000000" w:themeColor="text1"/>
          <w14:textFill>
            <w14:solidFill>
              <w14:schemeClr w14:val="tx1"/>
            </w14:solidFill>
          </w14:textFill>
        </w:rPr>
        <w:t>s）未驶出电梯时，将相关信息推送至使用单位。</w:t>
      </w:r>
    </w:p>
    <w:p>
      <w:pPr>
        <w:pStyle w:val="99"/>
        <w:numPr>
          <w:ilvl w:val="3"/>
          <w:numId w:val="6"/>
        </w:numPr>
        <w:spacing w:line="240" w:lineRule="auto"/>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使用单位通过视讯通话，对电梯内人员进行视频或语音提醒通话。</w:t>
      </w:r>
    </w:p>
    <w:p>
      <w:pPr>
        <w:pStyle w:val="74"/>
        <w:keepNext w:val="0"/>
        <w:keepLines w:val="0"/>
        <w:pageBreakBefore w:val="0"/>
        <w:widowControl w:val="0"/>
        <w:kinsoku/>
        <w:wordWrap/>
        <w:overflowPunct/>
        <w:topLinePunct w:val="0"/>
        <w:autoSpaceDE/>
        <w:autoSpaceDN/>
        <w:bidi w:val="0"/>
        <w:adjustRightInd/>
        <w:snapToGrid/>
        <w:spacing w:before="313" w:beforeLines="100" w:after="313" w:afterLines="100"/>
        <w:ind w:left="0"/>
        <w:textAlignment w:val="auto"/>
        <w:rPr>
          <w:rFonts w:hint="eastAsia"/>
          <w:color w:val="000000" w:themeColor="text1"/>
          <w14:textFill>
            <w14:solidFill>
              <w14:schemeClr w14:val="tx1"/>
            </w14:solidFill>
          </w14:textFill>
        </w:rPr>
      </w:pPr>
      <w:bookmarkStart w:id="220" w:name="_Toc170674275"/>
      <w:bookmarkStart w:id="221" w:name="_Toc188348698"/>
      <w:bookmarkStart w:id="222" w:name="_Toc192252440"/>
      <w:bookmarkStart w:id="223" w:name="_Toc9351"/>
      <w:bookmarkStart w:id="224" w:name="_Toc169871991"/>
      <w:r>
        <w:rPr>
          <w:rFonts w:hint="eastAsia"/>
          <w:color w:val="000000" w:themeColor="text1"/>
          <w14:textFill>
            <w14:solidFill>
              <w14:schemeClr w14:val="tx1"/>
            </w14:solidFill>
          </w14:textFill>
        </w:rPr>
        <w:t>视讯通话功能</w:t>
      </w:r>
      <w:bookmarkEnd w:id="220"/>
      <w:bookmarkEnd w:id="221"/>
      <w:bookmarkEnd w:id="222"/>
      <w:bookmarkEnd w:id="223"/>
      <w:bookmarkEnd w:id="224"/>
    </w:p>
    <w:p>
      <w:pPr>
        <w:pStyle w:val="68"/>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通过安装的设备进行语音和视频通话，由运营单位对呼救情况进行二次确认，确认报警呼救信息的准确性，并登记到软件系统。</w:t>
      </w:r>
    </w:p>
    <w:p>
      <w:pPr>
        <w:pStyle w:val="74"/>
        <w:keepNext w:val="0"/>
        <w:keepLines w:val="0"/>
        <w:pageBreakBefore w:val="0"/>
        <w:widowControl w:val="0"/>
        <w:kinsoku/>
        <w:wordWrap/>
        <w:overflowPunct/>
        <w:topLinePunct w:val="0"/>
        <w:autoSpaceDE/>
        <w:autoSpaceDN/>
        <w:bidi w:val="0"/>
        <w:adjustRightInd/>
        <w:snapToGrid/>
        <w:spacing w:before="313" w:beforeLines="100" w:after="313" w:afterLines="100"/>
        <w:ind w:left="0"/>
        <w:textAlignment w:val="auto"/>
        <w:rPr>
          <w:rFonts w:hint="eastAsia"/>
          <w:color w:val="000000" w:themeColor="text1"/>
          <w14:textFill>
            <w14:solidFill>
              <w14:schemeClr w14:val="tx1"/>
            </w14:solidFill>
          </w14:textFill>
        </w:rPr>
      </w:pPr>
      <w:bookmarkStart w:id="225" w:name="_Toc170674276"/>
      <w:bookmarkStart w:id="226" w:name="_Toc192252441"/>
      <w:bookmarkStart w:id="227" w:name="_Toc15017"/>
      <w:bookmarkStart w:id="228" w:name="_Toc169871992"/>
      <w:bookmarkStart w:id="229" w:name="_Toc188348699"/>
      <w:r>
        <w:rPr>
          <w:rFonts w:hint="eastAsia"/>
          <w:color w:val="000000" w:themeColor="text1"/>
          <w14:textFill>
            <w14:solidFill>
              <w14:schemeClr w14:val="tx1"/>
            </w14:solidFill>
          </w14:textFill>
        </w:rPr>
        <w:t>安全照明功能</w:t>
      </w:r>
      <w:bookmarkEnd w:id="225"/>
      <w:bookmarkEnd w:id="226"/>
      <w:bookmarkEnd w:id="227"/>
      <w:bookmarkEnd w:id="228"/>
      <w:bookmarkEnd w:id="229"/>
    </w:p>
    <w:p>
      <w:pPr>
        <w:pStyle w:val="68"/>
        <w:ind w:firstLine="420"/>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当发生困人事件并造成电梯内失去照明时，能自动启动应急弱光照明，至少可维持1</w:t>
      </w:r>
      <w:r>
        <w:rPr>
          <w:color w:val="000000" w:themeColor="text1"/>
          <w:w w:val="50"/>
          <w14:textFill>
            <w14:solidFill>
              <w14:schemeClr w14:val="tx1"/>
            </w14:solidFill>
          </w14:textFill>
        </w:rPr>
        <w:t xml:space="preserve"> </w:t>
      </w:r>
      <w:r>
        <w:rPr>
          <w:rFonts w:hint="eastAsia"/>
          <w:snapToGrid w:val="0"/>
          <w:color w:val="000000" w:themeColor="text1"/>
          <w14:textFill>
            <w14:solidFill>
              <w14:schemeClr w14:val="tx1"/>
            </w14:solidFill>
          </w14:textFill>
        </w:rPr>
        <w:t>h以上。</w:t>
      </w:r>
    </w:p>
    <w:p>
      <w:pPr>
        <w:pStyle w:val="74"/>
        <w:keepNext w:val="0"/>
        <w:keepLines w:val="0"/>
        <w:pageBreakBefore w:val="0"/>
        <w:widowControl w:val="0"/>
        <w:kinsoku/>
        <w:wordWrap/>
        <w:overflowPunct/>
        <w:topLinePunct w:val="0"/>
        <w:autoSpaceDE/>
        <w:autoSpaceDN/>
        <w:bidi w:val="0"/>
        <w:adjustRightInd/>
        <w:snapToGrid/>
        <w:spacing w:before="313" w:beforeLines="100" w:after="313" w:afterLines="100"/>
        <w:ind w:left="0"/>
        <w:textAlignment w:val="auto"/>
        <w:rPr>
          <w:rFonts w:hint="eastAsia"/>
          <w:color w:val="000000" w:themeColor="text1"/>
          <w14:textFill>
            <w14:solidFill>
              <w14:schemeClr w14:val="tx1"/>
            </w14:solidFill>
          </w14:textFill>
        </w:rPr>
      </w:pPr>
      <w:bookmarkStart w:id="230" w:name="_Toc188348700"/>
      <w:bookmarkStart w:id="231" w:name="_Toc170674277"/>
      <w:bookmarkStart w:id="232" w:name="_Toc169871993"/>
      <w:bookmarkStart w:id="233" w:name="_Toc1394"/>
      <w:bookmarkStart w:id="234" w:name="_Toc192252442"/>
      <w:r>
        <w:rPr>
          <w:rFonts w:hint="eastAsia"/>
          <w:color w:val="000000" w:themeColor="text1"/>
          <w14:textFill>
            <w14:solidFill>
              <w14:schemeClr w14:val="tx1"/>
            </w14:solidFill>
          </w14:textFill>
        </w:rPr>
        <w:t>任务流转</w:t>
      </w:r>
      <w:bookmarkEnd w:id="230"/>
      <w:bookmarkEnd w:id="231"/>
      <w:bookmarkEnd w:id="232"/>
      <w:r>
        <w:rPr>
          <w:rFonts w:hint="eastAsia"/>
          <w:color w:val="000000" w:themeColor="text1"/>
          <w14:textFill>
            <w14:solidFill>
              <w14:schemeClr w14:val="tx1"/>
            </w14:solidFill>
          </w14:textFill>
        </w:rPr>
        <w:t>功能</w:t>
      </w:r>
      <w:bookmarkEnd w:id="233"/>
      <w:bookmarkEnd w:id="234"/>
    </w:p>
    <w:p>
      <w:pPr>
        <w:pStyle w:val="98"/>
        <w:numPr>
          <w:ilvl w:val="2"/>
          <w:numId w:val="6"/>
        </w:numPr>
        <w:spacing w:line="240" w:lineRule="auto"/>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当运营单位对呼救情况进行二次确认后，形成救援任务工单。</w:t>
      </w:r>
    </w:p>
    <w:p>
      <w:pPr>
        <w:pStyle w:val="98"/>
        <w:numPr>
          <w:ilvl w:val="2"/>
          <w:numId w:val="6"/>
        </w:numPr>
        <w:spacing w:line="240" w:lineRule="auto"/>
        <w:ind w:left="0"/>
        <w:rPr>
          <w:snapToGrid w:val="0"/>
          <w:color w:val="000000" w:themeColor="text1"/>
          <w14:textFill>
            <w14:solidFill>
              <w14:schemeClr w14:val="tx1"/>
            </w14:solidFill>
          </w14:textFill>
        </w:rPr>
      </w:pPr>
      <w:r>
        <w:rPr>
          <w:rFonts w:hint="eastAsia"/>
          <w:color w:val="000000" w:themeColor="text1"/>
          <w14:textFill>
            <w14:solidFill>
              <w14:schemeClr w14:val="tx1"/>
            </w14:solidFill>
          </w14:textFill>
        </w:rPr>
        <w:t>救援任务工单在第一时间发送至</w:t>
      </w:r>
      <w:r>
        <w:rPr>
          <w:rFonts w:hint="eastAsia"/>
          <w:snapToGrid w:val="0"/>
          <w:color w:val="000000" w:themeColor="text1"/>
          <w14:textFill>
            <w14:solidFill>
              <w14:schemeClr w14:val="tx1"/>
            </w14:solidFill>
          </w14:textFill>
        </w:rPr>
        <w:t>“9</w:t>
      </w:r>
      <w:r>
        <w:rPr>
          <w:snapToGrid w:val="0"/>
          <w:color w:val="000000" w:themeColor="text1"/>
          <w14:textFill>
            <w14:solidFill>
              <w14:schemeClr w14:val="tx1"/>
            </w14:solidFill>
          </w14:textFill>
        </w:rPr>
        <w:t>6333</w:t>
      </w:r>
      <w:r>
        <w:rPr>
          <w:rFonts w:hint="eastAsia"/>
          <w:snapToGrid w:val="0"/>
          <w:color w:val="000000" w:themeColor="text1"/>
          <w14:textFill>
            <w14:solidFill>
              <w14:schemeClr w14:val="tx1"/>
            </w14:solidFill>
          </w14:textFill>
        </w:rPr>
        <w:t>”应急救援平台，也可同步发送给使用单位管理员、维保单位救援人员和社会救援人员；如遇呼救人生命体征指标异常，及时联动120。</w:t>
      </w:r>
    </w:p>
    <w:p>
      <w:pPr>
        <w:pStyle w:val="98"/>
        <w:numPr>
          <w:ilvl w:val="2"/>
          <w:numId w:val="6"/>
        </w:numPr>
        <w:spacing w:line="240" w:lineRule="auto"/>
        <w:ind w:left="0"/>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运营单位对工单进行闭环处理。</w:t>
      </w:r>
    </w:p>
    <w:p>
      <w:pPr>
        <w:pStyle w:val="74"/>
        <w:keepNext w:val="0"/>
        <w:keepLines w:val="0"/>
        <w:pageBreakBefore w:val="0"/>
        <w:widowControl w:val="0"/>
        <w:kinsoku/>
        <w:wordWrap/>
        <w:overflowPunct/>
        <w:topLinePunct w:val="0"/>
        <w:autoSpaceDE/>
        <w:autoSpaceDN/>
        <w:bidi w:val="0"/>
        <w:adjustRightInd/>
        <w:snapToGrid/>
        <w:spacing w:before="313" w:beforeLines="100" w:after="313" w:afterLines="100"/>
        <w:ind w:left="0"/>
        <w:textAlignment w:val="auto"/>
        <w:rPr>
          <w:rFonts w:hint="eastAsia"/>
          <w:color w:val="000000" w:themeColor="text1"/>
          <w14:textFill>
            <w14:solidFill>
              <w14:schemeClr w14:val="tx1"/>
            </w14:solidFill>
          </w14:textFill>
        </w:rPr>
      </w:pPr>
      <w:bookmarkStart w:id="235" w:name="_Toc11065"/>
      <w:bookmarkStart w:id="236" w:name="_Toc188348701"/>
      <w:bookmarkStart w:id="237" w:name="_Toc169871994"/>
      <w:bookmarkStart w:id="238" w:name="_Toc170674278"/>
      <w:bookmarkStart w:id="239" w:name="_Toc192252443"/>
      <w:r>
        <w:rPr>
          <w:rFonts w:hint="eastAsia"/>
          <w:color w:val="000000" w:themeColor="text1"/>
          <w14:textFill>
            <w14:solidFill>
              <w14:schemeClr w14:val="tx1"/>
            </w14:solidFill>
          </w14:textFill>
        </w:rPr>
        <w:t>精准定位功能</w:t>
      </w:r>
      <w:bookmarkEnd w:id="235"/>
      <w:bookmarkEnd w:id="236"/>
      <w:bookmarkEnd w:id="237"/>
      <w:bookmarkEnd w:id="238"/>
      <w:bookmarkEnd w:id="239"/>
    </w:p>
    <w:p>
      <w:pPr>
        <w:pStyle w:val="68"/>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宜接入电梯物联网，获取</w:t>
      </w:r>
      <w:r>
        <w:rPr>
          <w:rFonts w:hint="eastAsia"/>
          <w:snapToGrid w:val="0"/>
          <w:color w:val="000000" w:themeColor="text1"/>
          <w14:textFill>
            <w14:solidFill>
              <w14:schemeClr w14:val="tx1"/>
            </w14:solidFill>
          </w14:textFill>
        </w:rPr>
        <w:t>电梯编号、生产单位、维保单位、电梯所在小区及单元等信息，当发生困人事件时，可提供精准的电梯位置信息。</w:t>
      </w:r>
    </w:p>
    <w:p>
      <w:pPr>
        <w:pStyle w:val="74"/>
        <w:keepNext w:val="0"/>
        <w:keepLines w:val="0"/>
        <w:pageBreakBefore w:val="0"/>
        <w:widowControl w:val="0"/>
        <w:kinsoku/>
        <w:wordWrap/>
        <w:overflowPunct/>
        <w:topLinePunct w:val="0"/>
        <w:autoSpaceDE/>
        <w:autoSpaceDN/>
        <w:bidi w:val="0"/>
        <w:adjustRightInd/>
        <w:snapToGrid/>
        <w:spacing w:before="313" w:beforeLines="100" w:after="313" w:afterLines="100"/>
        <w:ind w:left="0"/>
        <w:textAlignment w:val="auto"/>
        <w:rPr>
          <w:rFonts w:hint="eastAsia"/>
          <w:color w:val="000000" w:themeColor="text1"/>
          <w14:textFill>
            <w14:solidFill>
              <w14:schemeClr w14:val="tx1"/>
            </w14:solidFill>
          </w14:textFill>
        </w:rPr>
      </w:pPr>
      <w:bookmarkStart w:id="240" w:name="_Toc169871995"/>
      <w:bookmarkStart w:id="241" w:name="_Toc192252444"/>
      <w:bookmarkStart w:id="242" w:name="_Toc24177"/>
      <w:bookmarkStart w:id="243" w:name="_Toc170674279"/>
      <w:bookmarkStart w:id="244" w:name="_Toc188348702"/>
      <w:r>
        <w:rPr>
          <w:rFonts w:hint="eastAsia"/>
          <w:color w:val="000000" w:themeColor="text1"/>
          <w14:textFill>
            <w14:solidFill>
              <w14:schemeClr w14:val="tx1"/>
            </w14:solidFill>
          </w14:textFill>
        </w:rPr>
        <w:t>全流程追溯功能</w:t>
      </w:r>
      <w:bookmarkEnd w:id="240"/>
      <w:bookmarkEnd w:id="241"/>
      <w:bookmarkEnd w:id="242"/>
      <w:bookmarkEnd w:id="243"/>
      <w:bookmarkEnd w:id="244"/>
    </w:p>
    <w:p>
      <w:pPr>
        <w:pStyle w:val="68"/>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使用期间的各项信息，应通过图像、视频、文字等信息进行留存，留存时间不少于4年。</w:t>
      </w:r>
    </w:p>
    <w:p>
      <w:pPr>
        <w:pStyle w:val="74"/>
        <w:keepNext w:val="0"/>
        <w:keepLines w:val="0"/>
        <w:pageBreakBefore w:val="0"/>
        <w:widowControl w:val="0"/>
        <w:kinsoku/>
        <w:wordWrap/>
        <w:overflowPunct/>
        <w:topLinePunct w:val="0"/>
        <w:autoSpaceDE/>
        <w:autoSpaceDN/>
        <w:bidi w:val="0"/>
        <w:adjustRightInd/>
        <w:snapToGrid/>
        <w:spacing w:before="313" w:beforeLines="100" w:after="313" w:afterLines="100"/>
        <w:ind w:left="0"/>
        <w:textAlignment w:val="auto"/>
        <w:rPr>
          <w:rFonts w:hint="eastAsia"/>
          <w:color w:val="000000" w:themeColor="text1"/>
          <w14:textFill>
            <w14:solidFill>
              <w14:schemeClr w14:val="tx1"/>
            </w14:solidFill>
          </w14:textFill>
        </w:rPr>
      </w:pPr>
      <w:bookmarkStart w:id="245" w:name="_Toc192252445"/>
      <w:bookmarkStart w:id="246" w:name="_Toc29264"/>
      <w:r>
        <w:rPr>
          <w:rFonts w:hint="eastAsia"/>
          <w:color w:val="000000" w:themeColor="text1"/>
          <w14:textFill>
            <w14:solidFill>
              <w14:schemeClr w14:val="tx1"/>
            </w14:solidFill>
          </w14:textFill>
        </w:rPr>
        <w:t>数据分析汇总功能</w:t>
      </w:r>
      <w:bookmarkEnd w:id="245"/>
      <w:bookmarkEnd w:id="246"/>
    </w:p>
    <w:p>
      <w:pPr>
        <w:pStyle w:val="68"/>
        <w:ind w:firstLine="420"/>
        <w:rPr>
          <w:color w:val="000000" w:themeColor="text1"/>
          <w14:textFill>
            <w14:solidFill>
              <w14:schemeClr w14:val="tx1"/>
            </w14:solidFill>
          </w14:textFill>
        </w:rPr>
      </w:pPr>
      <w:r>
        <w:rPr>
          <w:color w:val="000000" w:themeColor="text1"/>
          <w14:textFill>
            <w14:solidFill>
              <w14:schemeClr w14:val="tx1"/>
            </w14:solidFill>
          </w14:textFill>
        </w:rPr>
        <w:t>可将收集到的电梯设备信息、困人信息、预警信息的进行汇总统计。</w:t>
      </w:r>
    </w:p>
    <w:p>
      <w:pPr>
        <w:pStyle w:val="74"/>
        <w:keepNext w:val="0"/>
        <w:keepLines w:val="0"/>
        <w:pageBreakBefore w:val="0"/>
        <w:widowControl w:val="0"/>
        <w:kinsoku/>
        <w:wordWrap/>
        <w:overflowPunct/>
        <w:topLinePunct w:val="0"/>
        <w:autoSpaceDE/>
        <w:autoSpaceDN/>
        <w:bidi w:val="0"/>
        <w:adjustRightInd/>
        <w:snapToGrid/>
        <w:spacing w:before="313" w:beforeLines="100" w:after="313" w:afterLines="100"/>
        <w:ind w:left="0"/>
        <w:textAlignment w:val="auto"/>
        <w:rPr>
          <w:rFonts w:hint="eastAsia"/>
          <w:color w:val="000000" w:themeColor="text1"/>
          <w14:textFill>
            <w14:solidFill>
              <w14:schemeClr w14:val="tx1"/>
            </w14:solidFill>
          </w14:textFill>
        </w:rPr>
      </w:pPr>
      <w:bookmarkStart w:id="247" w:name="_Toc170674280"/>
      <w:bookmarkStart w:id="248" w:name="_Toc169871996"/>
      <w:bookmarkStart w:id="249" w:name="_Toc7305"/>
      <w:bookmarkStart w:id="250" w:name="_Toc192252446"/>
      <w:bookmarkStart w:id="251" w:name="_Toc188348703"/>
      <w:r>
        <w:rPr>
          <w:rFonts w:hint="eastAsia"/>
          <w:color w:val="000000" w:themeColor="text1"/>
          <w14:textFill>
            <w14:solidFill>
              <w14:schemeClr w14:val="tx1"/>
            </w14:solidFill>
          </w14:textFill>
        </w:rPr>
        <w:t>联动功能</w:t>
      </w:r>
      <w:bookmarkEnd w:id="247"/>
      <w:bookmarkEnd w:id="248"/>
      <w:bookmarkEnd w:id="249"/>
      <w:bookmarkEnd w:id="250"/>
      <w:bookmarkEnd w:id="251"/>
    </w:p>
    <w:p>
      <w:pPr>
        <w:pStyle w:val="52"/>
      </w:pPr>
      <w:r>
        <w:rPr>
          <w:rFonts w:hint="eastAsia"/>
          <w:snapToGrid w:val="0"/>
          <w:color w:val="000000" w:themeColor="text1"/>
          <w14:textFill>
            <w14:solidFill>
              <w14:schemeClr w14:val="tx1"/>
            </w14:solidFill>
          </w14:textFill>
        </w:rPr>
        <w:t>联动9</w:t>
      </w:r>
      <w:r>
        <w:rPr>
          <w:snapToGrid w:val="0"/>
          <w:color w:val="000000" w:themeColor="text1"/>
          <w14:textFill>
            <w14:solidFill>
              <w14:schemeClr w14:val="tx1"/>
            </w14:solidFill>
          </w14:textFill>
        </w:rPr>
        <w:t>6333</w:t>
      </w:r>
      <w:r>
        <w:rPr>
          <w:rFonts w:hint="eastAsia"/>
          <w:snapToGrid w:val="0"/>
          <w:color w:val="000000" w:themeColor="text1"/>
          <w14:textFill>
            <w14:solidFill>
              <w14:schemeClr w14:val="tx1"/>
            </w14:solidFill>
          </w14:textFill>
        </w:rPr>
        <w:t>等平台，可将困人事件的工单直接发送至9</w:t>
      </w:r>
      <w:r>
        <w:rPr>
          <w:snapToGrid w:val="0"/>
          <w:color w:val="000000" w:themeColor="text1"/>
          <w14:textFill>
            <w14:solidFill>
              <w14:schemeClr w14:val="tx1"/>
            </w14:solidFill>
          </w14:textFill>
        </w:rPr>
        <w:t>6333</w:t>
      </w:r>
      <w:r>
        <w:rPr>
          <w:rFonts w:hint="eastAsia"/>
          <w:snapToGrid w:val="0"/>
          <w:color w:val="000000" w:themeColor="text1"/>
          <w14:textFill>
            <w14:solidFill>
              <w14:schemeClr w14:val="tx1"/>
            </w14:solidFill>
          </w14:textFill>
        </w:rPr>
        <w:t>平台。</w:t>
      </w:r>
    </w:p>
    <w:p>
      <w:pPr>
        <w:pStyle w:val="52"/>
      </w:pPr>
    </w:p>
    <w:p>
      <w:pPr>
        <w:pStyle w:val="52"/>
      </w:pPr>
    </w:p>
    <w:p>
      <w:pPr>
        <w:pStyle w:val="52"/>
      </w:pPr>
    </w:p>
    <w:p>
      <w:pPr>
        <w:pStyle w:val="52"/>
        <w:sectPr>
          <w:pgSz w:w="11906" w:h="16838"/>
          <w:pgMar w:top="1417" w:right="1134" w:bottom="1134" w:left="1418" w:header="1417" w:footer="1134" w:gutter="0"/>
          <w:cols w:space="425" w:num="1"/>
          <w:docGrid w:type="lines" w:linePitch="312" w:charSpace="0"/>
        </w:sectPr>
      </w:pPr>
    </w:p>
    <w:p>
      <w:pPr>
        <w:pStyle w:val="76"/>
        <w:spacing w:before="567" w:after="283" w:afterLines="0"/>
        <w:rPr>
          <w:spacing w:val="105"/>
        </w:rPr>
      </w:pPr>
      <w:bookmarkStart w:id="252" w:name="_Toc120179958"/>
      <w:bookmarkStart w:id="253" w:name="_Toc8436"/>
      <w:bookmarkStart w:id="254" w:name="_Toc24846"/>
      <w:r>
        <w:rPr>
          <w:rFonts w:hint="eastAsia"/>
          <w:spacing w:val="105"/>
        </w:rPr>
        <w:t>参考文献</w:t>
      </w:r>
      <w:bookmarkEnd w:id="252"/>
      <w:bookmarkEnd w:id="253"/>
      <w:bookmarkEnd w:id="254"/>
    </w:p>
    <w:p>
      <w:pPr>
        <w:pStyle w:val="68"/>
        <w:numPr>
          <w:ilvl w:val="0"/>
          <w:numId w:val="18"/>
        </w:numPr>
        <w:ind w:firstLine="420"/>
      </w:pPr>
      <w:r>
        <w:rPr>
          <w:rFonts w:hint="eastAsia"/>
          <w:color w:val="000000" w:themeColor="text1"/>
          <w14:textFill>
            <w14:solidFill>
              <w14:schemeClr w14:val="tx1"/>
            </w14:solidFill>
          </w14:textFill>
        </w:rPr>
        <w:t xml:space="preserve"> G</w:t>
      </w:r>
      <w:r>
        <w:rPr>
          <w:color w:val="000000" w:themeColor="text1"/>
          <w14:textFill>
            <w14:solidFill>
              <w14:schemeClr w14:val="tx1"/>
            </w14:solidFill>
          </w14:textFill>
        </w:rPr>
        <w:t xml:space="preserve">B/T 24475  </w:t>
      </w:r>
      <w:r>
        <w:rPr>
          <w:rFonts w:hint="eastAsia"/>
          <w:color w:val="000000" w:themeColor="text1"/>
          <w14:textFill>
            <w14:solidFill>
              <w14:schemeClr w14:val="tx1"/>
            </w14:solidFill>
          </w14:textFill>
        </w:rPr>
        <w:t>电梯远程报警系统</w:t>
      </w:r>
    </w:p>
    <w:p>
      <w:pPr>
        <w:pStyle w:val="68"/>
        <w:numPr>
          <w:ilvl w:val="0"/>
          <w:numId w:val="18"/>
        </w:numPr>
        <w:ind w:firstLine="420"/>
      </w:pPr>
      <w:r>
        <w:rPr>
          <w:rFonts w:hint="eastAsia"/>
        </w:rPr>
        <w:t xml:space="preserve"> </w:t>
      </w:r>
      <w:r>
        <w:rPr>
          <w:color w:val="000000" w:themeColor="text1"/>
          <w14:textFill>
            <w14:solidFill>
              <w14:schemeClr w14:val="tx1"/>
            </w14:solidFill>
          </w14:textFill>
        </w:rPr>
        <w:t>DA/T 42</w:t>
      </w:r>
      <w:r>
        <w:rPr>
          <w:rFonts w:hint="eastAsia"/>
          <w:color w:val="000000" w:themeColor="text1"/>
          <w14:textFill>
            <w14:solidFill>
              <w14:schemeClr w14:val="tx1"/>
            </w14:solidFill>
          </w14:textFill>
        </w:rPr>
        <w:t xml:space="preserve">  企业档案工作规范</w:t>
      </w:r>
    </w:p>
    <w:p>
      <w:pPr>
        <w:pStyle w:val="68"/>
        <w:numPr>
          <w:ilvl w:val="0"/>
          <w:numId w:val="18"/>
        </w:numPr>
        <w:ind w:firstLine="420"/>
      </w:pPr>
      <w:r>
        <w:rPr>
          <w:rFonts w:hint="eastAsia"/>
        </w:rPr>
        <w:t xml:space="preserve"> </w:t>
      </w:r>
      <w:r>
        <w:rPr>
          <w:rFonts w:hint="eastAsia"/>
          <w:color w:val="000000" w:themeColor="text1"/>
          <w14:textFill>
            <w14:solidFill>
              <w14:schemeClr w14:val="tx1"/>
            </w14:solidFill>
          </w14:textFill>
        </w:rPr>
        <w:t>关于印发苏州市电梯智慧监管建设实施方案的通知（苏特安委办发〔2024〕3号）</w:t>
      </w:r>
    </w:p>
    <w:p>
      <w:pPr>
        <w:tabs>
          <w:tab w:val="left" w:pos="6335"/>
        </w:tabs>
        <w:jc w:val="left"/>
        <w:rPr>
          <w:rFonts w:hint="eastAsia" w:ascii="黑体" w:hAnsi="黑体" w:eastAsia="黑体" w:cs="黑体"/>
          <w:sz w:val="18"/>
          <w:szCs w:val="18"/>
        </w:rPr>
      </w:pPr>
      <w:r>
        <w:rPr>
          <w:rFonts w:ascii="黑体" w:hAnsi="黑体" w:eastAsia="黑体"/>
        </w:rPr>
        <mc:AlternateContent>
          <mc:Choice Requires="wps">
            <w:drawing>
              <wp:anchor distT="0" distB="0" distL="114300" distR="114300" simplePos="0" relativeHeight="251665408" behindDoc="0" locked="0" layoutInCell="1" allowOverlap="1">
                <wp:simplePos x="0" y="0"/>
                <wp:positionH relativeFrom="column">
                  <wp:posOffset>2111375</wp:posOffset>
                </wp:positionH>
                <wp:positionV relativeFrom="paragraph">
                  <wp:posOffset>174625</wp:posOffset>
                </wp:positionV>
                <wp:extent cx="1800225" cy="0"/>
                <wp:effectExtent l="0" t="0" r="0" b="0"/>
                <wp:wrapNone/>
                <wp:docPr id="25" name="直接箭头连接符 5"/>
                <wp:cNvGraphicFramePr/>
                <a:graphic xmlns:a="http://schemas.openxmlformats.org/drawingml/2006/main">
                  <a:graphicData uri="http://schemas.microsoft.com/office/word/2010/wordprocessingShape">
                    <wps:wsp>
                      <wps:cNvCnPr>
                        <a:cxnSpLocks noChangeShapeType="true"/>
                      </wps:cNvCnPr>
                      <wps:spPr bwMode="auto">
                        <a:xfrm>
                          <a:off x="2970530" y="3605530"/>
                          <a:ext cx="1800225" cy="0"/>
                        </a:xfrm>
                        <a:prstGeom prst="straightConnector1">
                          <a:avLst/>
                        </a:prstGeom>
                        <a:noFill/>
                        <a:ln w="9525">
                          <a:solidFill>
                            <a:srgbClr val="000000"/>
                          </a:solidFill>
                          <a:round/>
                        </a:ln>
                        <a:effectLst/>
                      </wps:spPr>
                      <wps:bodyPr/>
                    </wps:wsp>
                  </a:graphicData>
                </a:graphic>
              </wp:anchor>
            </w:drawing>
          </mc:Choice>
          <mc:Fallback>
            <w:pict>
              <v:shape id="直接箭头连接符 5" o:spid="_x0000_s1026" o:spt="32" type="#_x0000_t32" style="position:absolute;left:0pt;margin-left:166.25pt;margin-top:13.75pt;height:0pt;width:141.75pt;z-index:251665408;mso-width-relative:page;mso-height-relative:page;" filled="f" stroked="t" coordsize="21600,21600" o:gfxdata="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t4S4nYAAAACQEAAA8AAAAAAAAAAQAgAAAAOAAAAGRycy9k&#10;b3ducmV2LnhtbFBLAQIUABQAAAAIAIdO4kCI+o+p7AEAAI4DAAAOAAAAAAAAAAEAIAAAAD0BAABk&#10;cnMvZTJvRG9jLnhtbFBLBQYAAAAABgAGAFkBAACbBQAAAAA=&#10;">
                <v:fill on="f" focussize="0,0"/>
                <v:stroke color="#000000" joinstyle="round"/>
                <v:imagedata o:title=""/>
                <o:lock v:ext="edit" aspectratio="f"/>
              </v:shape>
            </w:pict>
          </mc:Fallback>
        </mc:AlternateContent>
      </w:r>
      <w:r>
        <w:rPr>
          <w:rFonts w:hint="eastAsia"/>
        </w:rPr>
        <w:tab/>
      </w:r>
    </w:p>
    <w:sectPr>
      <w:headerReference r:id="rId19" w:type="default"/>
      <w:footerReference r:id="rId20" w:type="default"/>
      <w:pgSz w:w="11906" w:h="16838"/>
      <w:pgMar w:top="1417" w:right="1134" w:bottom="1134" w:left="1418" w:header="1417" w:footer="113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Verdana">
    <w:altName w:val="Ubuntu"/>
    <w:panose1 w:val="020B0604030504040204"/>
    <w:charset w:val="00"/>
    <w:family w:val="swiss"/>
    <w:pitch w:val="default"/>
    <w:sig w:usb0="00000000" w:usb1="00000000" w:usb2="00000010" w:usb3="00000000" w:csb0="2000019F" w:csb1="00000000"/>
  </w:font>
  <w:font w:name="方正小标宋_GBK">
    <w:panose1 w:val="02000000000000000000"/>
    <w:charset w:val="86"/>
    <w:family w:val="script"/>
    <w:pitch w:val="default"/>
    <w:sig w:usb0="00000001" w:usb1="08000000" w:usb2="00000000" w:usb3="00000000" w:csb0="00040000" w:csb1="00000000"/>
  </w:font>
  <w:font w:name="Dotum,Bold">
    <w:altName w:val="黑体"/>
    <w:panose1 w:val="00000000000000000000"/>
    <w:charset w:val="86"/>
    <w:family w:val="auto"/>
    <w:pitch w:val="default"/>
    <w:sig w:usb0="00000000" w:usb1="00000000" w:usb2="00000010" w:usb3="00000000" w:csb0="00040000" w:csb1="00000000"/>
  </w:font>
  <w:font w:name="SimSun,Bold">
    <w:altName w:val="黑体"/>
    <w:panose1 w:val="00000000000000000000"/>
    <w:charset w:val="86"/>
    <w:family w:val="auto"/>
    <w:pitch w:val="default"/>
    <w:sig w:usb0="00000000" w:usb1="00000000" w:usb2="0000001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asciiTheme="minorEastAsia" w:hAnsiTheme="minorEastAsia"/>
      </w:rPr>
    </w:pPr>
    <w: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hint="eastAsia" w:asciiTheme="minorEastAsia" w:hAnsiTheme="minorEastAsia" w:cstheme="minorEastAsia"/>
                            </w:rPr>
                            <w:t>1</w:t>
                          </w:r>
                          <w:r>
                            <w:rPr>
                              <w:rFonts w:hint="eastAsia" w:asciiTheme="minorEastAsia" w:hAnsi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848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gF26zFQIAABkEAAAOAAAAAAAAAAEAIAAAADUBAABkcnMvZTJvRG9jLnhtbFBLBQYAAAAABgAG&#10;AFkBAAC8BQAAAAA=&#10;">
              <v:fill on="f" focussize="0,0"/>
              <v:stroke on="f" weight="0.5pt"/>
              <v:imagedata o:title=""/>
              <o:lock v:ext="edit" aspectratio="f"/>
              <v:textbox inset="0mm,0mm,0mm,0mm" style="mso-fit-shape-to-text:t;">
                <w:txbxContent>
                  <w:p>
                    <w:pPr>
                      <w:pStyle w:val="13"/>
                      <w:rPr>
                        <w:rFonts w:hint="eastAsia"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hint="eastAsia" w:asciiTheme="minorEastAsia" w:hAnsiTheme="minorEastAsia" w:cstheme="minorEastAsia"/>
                      </w:rPr>
                      <w:t>1</w:t>
                    </w:r>
                    <w:r>
                      <w:rPr>
                        <w:rFonts w:hint="eastAsia" w:asciiTheme="minorEastAsia" w:hAnsiTheme="minorEastAsia" w:cstheme="minor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hint="eastAsia" w:asciiTheme="minorEastAsia" w:hAnsiTheme="minorEastAsia"/>
      </w:rPr>
    </w:pPr>
    <w: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95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A0Tqs0UAgAAGwQAAA4AAAAAAAAAAQAgAAAANQEAAGRycy9lMm9Eb2MueG1sUEsFBgAAAAAGAAYA&#10;WQEAALs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asciiTheme="minorEastAsia" w:hAnsiTheme="minor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hint="eastAsia" w:asciiTheme="minorEastAsia" w:hAnsiTheme="minor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asciiTheme="minorEastAsia" w:hAnsiTheme="minorEastAsia"/>
      </w:rPr>
    </w:pPr>
    <w: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Avuix5FQIAABsEAAAOAAAAAAAAAAEAIAAAADUBAABkcnMvZTJvRG9jLnhtbFBLBQYAAAAABgAG&#10;AFkBAAC8BQAAAAA=&#10;">
              <v:fill on="f" focussize="0,0"/>
              <v:stroke on="f" weight="0.5pt"/>
              <v:imagedata o:title=""/>
              <o:lock v:ext="edit" aspectratio="f"/>
              <v:textbox inset="0mm,0mm,0mm,0mm" style="mso-fit-shape-to-text:t;">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hint="eastAsia" w:asciiTheme="minorEastAsia" w:hAnsiTheme="minorEastAsia"/>
      </w:rPr>
    </w:pPr>
    <w: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hint="eastAsia" w:asciiTheme="minorEastAsia" w:hAnsiTheme="minorEastAsia" w:cstheme="minorEastAsia"/>
                            </w:rPr>
                            <w:t>2</w:t>
                          </w:r>
                          <w:r>
                            <w:rPr>
                              <w:rFonts w:hint="eastAsia" w:asciiTheme="minorEastAsia" w:hAnsi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CruUMsUAgAAGwQAAA4AAAAAAAAAAQAgAAAANQEAAGRycy9lMm9Eb2MueG1sUEsFBgAAAAAGAAYA&#10;WQEAALsFAAAAAA==&#10;">
              <v:fill on="f" focussize="0,0"/>
              <v:stroke on="f" weight="0.5pt"/>
              <v:imagedata o:title=""/>
              <o:lock v:ext="edit" aspectratio="f"/>
              <v:textbox inset="0mm,0mm,0mm,0mm" style="mso-fit-shape-to-text:t;">
                <w:txbxContent>
                  <w:p>
                    <w:pPr>
                      <w:pStyle w:val="13"/>
                      <w:rPr>
                        <w:rFonts w:hint="eastAsia"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hint="eastAsia" w:asciiTheme="minorEastAsia" w:hAnsiTheme="minorEastAsia" w:cstheme="minorEastAsia"/>
                      </w:rPr>
                      <w:t>2</w:t>
                    </w:r>
                    <w:r>
                      <w:rPr>
                        <w:rFonts w:hint="eastAsia" w:asciiTheme="minorEastAsia" w:hAnsiTheme="minorEastAsia" w:cstheme="minor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hint="eastAsia" w:asciiTheme="minorEastAsia" w:hAnsiTheme="minorEastAsia"/>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asciiTheme="minorEastAsia" w:hAnsiTheme="minorEastAsia"/>
      </w:rPr>
    </w:pPr>
    <w: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Cx2BxcUAgAAGwQAAA4AAAAAAAAAAQAgAAAANQEAAGRycy9lMm9Eb2MueG1sUEsFBgAAAAAGAAYA&#10;WQEAALsFAAAAAA==&#10;">
              <v:fill on="f" focussize="0,0"/>
              <v:stroke on="f" weight="0.5pt"/>
              <v:imagedata o:title=""/>
              <o:lock v:ext="edit" aspectratio="f"/>
              <v:textbox inset="0mm,0mm,0mm,0mm" style="mso-fit-shape-to-text:t;">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w:t>
                    </w:r>
                    <w:r>
                      <w:rPr>
                        <w:rFonts w:asciiTheme="minorEastAsia" w:hAnsiTheme="minor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hint="eastAsia" w:asciiTheme="minorEastAsia" w:hAnsiTheme="minorEastAsia"/>
      </w:rPr>
    </w:pPr>
    <w:r>
      <mc:AlternateContent>
        <mc:Choice Requires="wps">
          <w:drawing>
            <wp:anchor distT="0" distB="0" distL="114300" distR="114300" simplePos="0" relativeHeight="251662336" behindDoc="0" locked="0" layoutInCell="1" allowOverlap="1">
              <wp:simplePos x="0" y="0"/>
              <wp:positionH relativeFrom="margin">
                <wp:posOffset>19050</wp:posOffset>
              </wp:positionH>
              <wp:positionV relativeFrom="paragraph">
                <wp:posOffset>0</wp:posOffset>
              </wp:positionV>
              <wp:extent cx="180340" cy="1828800"/>
              <wp:effectExtent l="0" t="0" r="10795" b="0"/>
              <wp:wrapNone/>
              <wp:docPr id="11" name="文本框 11"/>
              <wp:cNvGraphicFramePr/>
              <a:graphic xmlns:a="http://schemas.openxmlformats.org/drawingml/2006/main">
                <a:graphicData uri="http://schemas.microsoft.com/office/word/2010/wordprocessingShape">
                  <wps:wsp>
                    <wps:cNvSpPr txBox="true"/>
                    <wps:spPr>
                      <a:xfrm>
                        <a:off x="0" y="0"/>
                        <a:ext cx="180109"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10</w:t>
                          </w:r>
                          <w:r>
                            <w:rPr>
                              <w:rFonts w:asciiTheme="minorEastAsia" w:hAnsiTheme="minorEastAsia"/>
                            </w:rPr>
                            <w:fldChar w:fldCharType="end"/>
                          </w:r>
                        </w:p>
                      </w:txbxContent>
                    </wps:txbx>
                    <wps:bodyPr rot="0" spcFirstLastPara="0" vertOverflow="overflow" horzOverflow="overflow" vert="horz" wrap="squar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left:1.5pt;margin-top:0pt;height:144pt;width:14.2pt;mso-position-horizontal-relative:margin;z-index:251662336;mso-width-relative:page;mso-height-relative:page;" filled="f" stroked="f" coordsize="21600,21600" o:gfxdata="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WAAAAZHJzL1BLAQIUABQA&#10;AAAIAIdO4kD6OSnb1QAAAAUBAAAPAAAAAAAAAAEAIAAAADgAAABkcnMvZG93bnJldi54bWxQSwEC&#10;FAAUAAAACACHTuJAe63o7hoCAAAcBAAADgAAAAAAAAABACAAAAA6AQAAZHJzL2Uyb0RvYy54bWxQ&#10;SwUGAAAAAAYABgBZAQAAxgUAAAAA&#10;">
              <v:fill on="f" focussize="0,0"/>
              <v:stroke on="f" weight="0.5pt"/>
              <v:imagedata o:title=""/>
              <o:lock v:ext="edit" aspectratio="f"/>
              <v:textbox inset="0mm,0mm,0mm,0mm" style="mso-fit-shape-to-text:t;">
                <w:txbxContent>
                  <w:p>
                    <w:pPr>
                      <w:pStyle w:val="13"/>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10</w:t>
                    </w:r>
                    <w:r>
                      <w:rPr>
                        <w:rFonts w:asciiTheme="minorEastAsia" w:hAnsiTheme="minor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asciiTheme="minorEastAsia" w:hAnsiTheme="minor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bidi w:val="0"/>
      <w:adjustRightInd/>
      <w:snapToGrid/>
      <w:spacing w:after="283"/>
      <w:jc w:val="right"/>
      <w:textAlignment w:val="auto"/>
      <w:rPr>
        <w:rStyle w:val="35"/>
        <w:rFonts w:hint="eastAsia" w:ascii="黑体" w:hAnsi="黑体" w:eastAsia="黑体"/>
        <w:i w:val="0"/>
        <w:color w:val="808080" w:themeColor="text1" w:themeTint="80"/>
        <w14:textFill>
          <w14:solidFill>
            <w14:schemeClr w14:val="tx1">
              <w14:lumMod w14:val="50000"/>
              <w14:lumOff w14:val="50000"/>
            </w14:schemeClr>
          </w14:solidFill>
        </w14:textFill>
      </w:rPr>
    </w:pPr>
    <w:r>
      <w:rPr>
        <w:rFonts w:hint="eastAsia" w:ascii="黑体" w:hAnsi="黑体" w:eastAsia="黑体"/>
      </w:rPr>
      <w:t>DB32</w:t>
    </w:r>
    <w:r>
      <w:rPr>
        <w:rFonts w:ascii="黑体" w:hAnsi="黑体" w:eastAsia="黑体"/>
      </w:rPr>
      <w:t>05</w:t>
    </w:r>
    <w:r>
      <w:rPr>
        <w:rFonts w:hint="eastAsia" w:ascii="黑体" w:hAnsi="黑体" w:eastAsia="黑体"/>
      </w:rPr>
      <w:t>/T XXX—2025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hint="eastAsia" w:ascii="黑体" w:hAnsi="黑体" w:eastAsia="黑体"/>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bidi w:val="0"/>
      <w:adjustRightInd/>
      <w:snapToGrid/>
      <w:spacing w:after="283"/>
      <w:jc w:val="right"/>
      <w:textAlignment w:val="auto"/>
      <w:rPr>
        <w:rFonts w:hint="eastAsia" w:ascii="黑体" w:hAnsi="黑体" w:eastAsia="黑体"/>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rPr>
      <w:t>5</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hint="eastAsia" w:ascii="黑体" w:hAnsi="黑体" w:eastAsia="黑体"/>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adjustRightInd w:val="0"/>
      <w:snapToGrid w:val="0"/>
      <w:spacing w:after="283"/>
      <w:rPr>
        <w:rStyle w:val="35"/>
        <w:rFonts w:hint="eastAsia" w:ascii="黑体" w:hAnsi="黑体" w:eastAsia="黑体"/>
        <w:i w:val="0"/>
        <w:color w:val="808080" w:themeColor="text1" w:themeTint="80"/>
        <w14:textFill>
          <w14:solidFill>
            <w14:schemeClr w14:val="tx1">
              <w14:lumMod w14:val="50000"/>
              <w14:lumOff w14:val="50000"/>
            </w14:schemeClr>
          </w14:solidFill>
        </w14:textFill>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rPr>
      <w:t>5</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napToGrid w:val="0"/>
      <w:spacing w:after="283"/>
      <w:rPr>
        <w:rFonts w:hint="eastAsia" w:ascii="黑体" w:hAnsi="黑体" w:eastAsia="黑体"/>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XXX—2025</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9102AD"/>
    <w:multiLevelType w:val="multilevel"/>
    <w:tmpl w:val="079102AD"/>
    <w:lvl w:ilvl="0" w:tentative="0">
      <w:start w:val="1"/>
      <w:numFmt w:val="decimal"/>
      <w:pStyle w:val="78"/>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
    <w:nsid w:val="07ED3FEA"/>
    <w:multiLevelType w:val="multilevel"/>
    <w:tmpl w:val="07ED3FEA"/>
    <w:lvl w:ilvl="0" w:tentative="0">
      <w:start w:val="1"/>
      <w:numFmt w:val="none"/>
      <w:pStyle w:val="50"/>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15EF0C26"/>
    <w:multiLevelType w:val="multilevel"/>
    <w:tmpl w:val="15EF0C26"/>
    <w:lvl w:ilvl="0" w:tentative="0">
      <w:start w:val="1"/>
      <w:numFmt w:val="lowerLetter"/>
      <w:pStyle w:val="56"/>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
    <w:nsid w:val="1DF197E5"/>
    <w:multiLevelType w:val="singleLevel"/>
    <w:tmpl w:val="1DF197E5"/>
    <w:lvl w:ilvl="0" w:tentative="0">
      <w:start w:val="1"/>
      <w:numFmt w:val="decimal"/>
      <w:suff w:val="space"/>
      <w:lvlText w:val="[%1]"/>
      <w:lvlJc w:val="left"/>
      <w:rPr>
        <w:rFonts w:hint="default" w:ascii="宋体" w:hAnsi="宋体" w:eastAsia="宋体" w:cstheme="minorEastAsia"/>
        <w:sz w:val="21"/>
        <w:szCs w:val="21"/>
      </w:rPr>
    </w:lvl>
  </w:abstractNum>
  <w:abstractNum w:abstractNumId="4">
    <w:nsid w:val="1FC91163"/>
    <w:multiLevelType w:val="multilevel"/>
    <w:tmpl w:val="1FC91163"/>
    <w:lvl w:ilvl="0" w:tentative="0">
      <w:start w:val="1"/>
      <w:numFmt w:val="decimal"/>
      <w:pStyle w:val="51"/>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3"/>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55"/>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pStyle w:val="89"/>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5">
    <w:nsid w:val="2C5917C3"/>
    <w:multiLevelType w:val="multilevel"/>
    <w:tmpl w:val="2C5917C3"/>
    <w:lvl w:ilvl="0" w:tentative="0">
      <w:start w:val="1"/>
      <w:numFmt w:val="none"/>
      <w:suff w:val="nothing"/>
      <w:lvlText w:val="%1——"/>
      <w:lvlJc w:val="left"/>
      <w:pPr>
        <w:ind w:left="833" w:hanging="408"/>
      </w:pPr>
      <w:rPr>
        <w:rFonts w:hint="eastAsia"/>
        <w:lang w:val="en-US"/>
      </w:rPr>
    </w:lvl>
    <w:lvl w:ilvl="1" w:tentative="0">
      <w:start w:val="1"/>
      <w:numFmt w:val="bullet"/>
      <w:pStyle w:val="57"/>
      <w:lvlText w:val=""/>
      <w:lvlJc w:val="left"/>
      <w:pPr>
        <w:tabs>
          <w:tab w:val="left" w:pos="760"/>
        </w:tabs>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6">
    <w:nsid w:val="44C50F90"/>
    <w:multiLevelType w:val="multilevel"/>
    <w:tmpl w:val="44C50F90"/>
    <w:lvl w:ilvl="0" w:tentative="0">
      <w:start w:val="1"/>
      <w:numFmt w:val="lowerLetter"/>
      <w:pStyle w:val="90"/>
      <w:lvlText w:val="%1)"/>
      <w:lvlJc w:val="left"/>
      <w:pPr>
        <w:tabs>
          <w:tab w:val="left" w:pos="851"/>
        </w:tabs>
        <w:ind w:left="851" w:hanging="426"/>
      </w:pPr>
      <w:rPr>
        <w:rFonts w:hint="eastAsia" w:ascii="宋体" w:hAnsi="Times New Roman" w:eastAsia="宋体"/>
        <w:sz w:val="21"/>
      </w:rPr>
    </w:lvl>
    <w:lvl w:ilvl="1" w:tentative="0">
      <w:start w:val="1"/>
      <w:numFmt w:val="decimal"/>
      <w:pStyle w:val="86"/>
      <w:lvlText w:val="%2)"/>
      <w:lvlJc w:val="left"/>
      <w:pPr>
        <w:tabs>
          <w:tab w:val="left" w:pos="1276"/>
        </w:tabs>
        <w:ind w:left="1276" w:hanging="425"/>
      </w:pPr>
      <w:rPr>
        <w:rFonts w:hint="eastAsia" w:ascii="宋体" w:hAnsi="Times New Roman" w:eastAsia="宋体"/>
        <w:sz w:val="21"/>
      </w:rPr>
    </w:lvl>
    <w:lvl w:ilvl="2" w:tentative="0">
      <w:start w:val="1"/>
      <w:numFmt w:val="decimal"/>
      <w:pStyle w:val="88"/>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7">
    <w:nsid w:val="48802D1C"/>
    <w:multiLevelType w:val="multilevel"/>
    <w:tmpl w:val="48802D1C"/>
    <w:lvl w:ilvl="0" w:tentative="0">
      <w:start w:val="1"/>
      <w:numFmt w:val="upperLetter"/>
      <w:lvlText w:val="%1"/>
      <w:lvlJc w:val="left"/>
      <w:pPr>
        <w:ind w:left="420" w:hanging="420"/>
      </w:pPr>
      <w:rPr>
        <w:rFonts w:hint="eastAsia"/>
      </w:rPr>
    </w:lvl>
    <w:lvl w:ilvl="1" w:tentative="0">
      <w:start w:val="1"/>
      <w:numFmt w:val="decimal"/>
      <w:pStyle w:val="75"/>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8">
    <w:nsid w:val="557C2AF5"/>
    <w:multiLevelType w:val="multilevel"/>
    <w:tmpl w:val="557C2AF5"/>
    <w:lvl w:ilvl="0" w:tentative="0">
      <w:start w:val="1"/>
      <w:numFmt w:val="decimal"/>
      <w:pStyle w:val="87"/>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9">
    <w:nsid w:val="646260FA"/>
    <w:multiLevelType w:val="multilevel"/>
    <w:tmpl w:val="646260FA"/>
    <w:lvl w:ilvl="0" w:tentative="0">
      <w:start w:val="1"/>
      <w:numFmt w:val="decimal"/>
      <w:pStyle w:val="61"/>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0">
    <w:nsid w:val="657D3FBC"/>
    <w:multiLevelType w:val="multilevel"/>
    <w:tmpl w:val="657D3FBC"/>
    <w:lvl w:ilvl="0" w:tentative="0">
      <w:start w:val="1"/>
      <w:numFmt w:val="upperLetter"/>
      <w:pStyle w:val="60"/>
      <w:suff w:val="nothing"/>
      <w:lvlText w:val="附　录　%1"/>
      <w:lvlJc w:val="left"/>
      <w:pPr>
        <w:ind w:left="4410" w:firstLine="0"/>
      </w:pPr>
      <w:rPr>
        <w:rFonts w:hint="eastAsia" w:ascii="黑体" w:hAnsi="Times New Roman" w:eastAsia="黑体"/>
        <w:b w:val="0"/>
        <w:i w:val="0"/>
        <w:spacing w:val="0"/>
        <w:w w:val="100"/>
        <w:sz w:val="21"/>
      </w:rPr>
    </w:lvl>
    <w:lvl w:ilvl="1" w:tentative="0">
      <w:start w:val="1"/>
      <w:numFmt w:val="decimal"/>
      <w:pStyle w:val="74"/>
      <w:suff w:val="nothing"/>
      <w:lvlText w:val="%1.%2　"/>
      <w:lvlJc w:val="left"/>
      <w:pPr>
        <w:ind w:left="44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4410" w:firstLine="0"/>
      </w:pPr>
      <w:rPr>
        <w:rFonts w:hint="eastAsia" w:ascii="黑体" w:hAnsi="Times New Roman" w:eastAsia="黑体"/>
        <w:b w:val="0"/>
        <w:i w:val="0"/>
        <w:sz w:val="21"/>
      </w:rPr>
    </w:lvl>
    <w:lvl w:ilvl="3" w:tentative="0">
      <w:start w:val="1"/>
      <w:numFmt w:val="decimal"/>
      <w:suff w:val="nothing"/>
      <w:lvlText w:val="%1.%2.%3.%4　"/>
      <w:lvlJc w:val="left"/>
      <w:pPr>
        <w:ind w:left="4410" w:firstLine="0"/>
      </w:pPr>
      <w:rPr>
        <w:rFonts w:hint="eastAsia" w:ascii="黑体" w:hAnsi="Times New Roman" w:eastAsia="黑体"/>
        <w:b w:val="0"/>
        <w:i w:val="0"/>
        <w:sz w:val="21"/>
      </w:rPr>
    </w:lvl>
    <w:lvl w:ilvl="4" w:tentative="0">
      <w:start w:val="1"/>
      <w:numFmt w:val="decimal"/>
      <w:suff w:val="nothing"/>
      <w:lvlText w:val="%1.%2.%3.%4.%5　"/>
      <w:lvlJc w:val="left"/>
      <w:pPr>
        <w:ind w:left="4410" w:firstLine="0"/>
      </w:pPr>
      <w:rPr>
        <w:rFonts w:hint="eastAsia" w:ascii="黑体" w:hAnsi="Times New Roman" w:eastAsia="黑体"/>
        <w:b w:val="0"/>
        <w:i w:val="0"/>
        <w:sz w:val="21"/>
      </w:rPr>
    </w:lvl>
    <w:lvl w:ilvl="5" w:tentative="0">
      <w:start w:val="1"/>
      <w:numFmt w:val="decimal"/>
      <w:suff w:val="nothing"/>
      <w:lvlText w:val="%1.%2.%3.%4.%5.%6　"/>
      <w:lvlJc w:val="left"/>
      <w:pPr>
        <w:ind w:left="4410" w:firstLine="0"/>
      </w:pPr>
      <w:rPr>
        <w:rFonts w:hint="eastAsia" w:ascii="黑体" w:hAnsi="Times New Roman" w:eastAsia="黑体"/>
        <w:b w:val="0"/>
        <w:i w:val="0"/>
        <w:sz w:val="21"/>
      </w:rPr>
    </w:lvl>
    <w:lvl w:ilvl="6" w:tentative="0">
      <w:start w:val="1"/>
      <w:numFmt w:val="decimal"/>
      <w:suff w:val="nothing"/>
      <w:lvlText w:val="%1.%2.%3.%4.%5.%6.%7　"/>
      <w:lvlJc w:val="left"/>
      <w:pPr>
        <w:ind w:left="441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8804" w:hanging="1418"/>
      </w:pPr>
      <w:rPr>
        <w:rFonts w:hint="eastAsia"/>
      </w:rPr>
    </w:lvl>
    <w:lvl w:ilvl="8" w:tentative="0">
      <w:start w:val="1"/>
      <w:numFmt w:val="decimal"/>
      <w:lvlText w:val="%1.%2.%3.%4.%5.%6.%7.%8.%9"/>
      <w:lvlJc w:val="left"/>
      <w:pPr>
        <w:tabs>
          <w:tab w:val="left" w:pos="5102"/>
        </w:tabs>
        <w:ind w:left="9512" w:hanging="1700"/>
      </w:pPr>
      <w:rPr>
        <w:rFonts w:hint="eastAsia"/>
      </w:rPr>
    </w:lvl>
  </w:abstractNum>
  <w:abstractNum w:abstractNumId="11">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67"/>
      <w:suff w:val="nothing"/>
      <w:lvlText w:val="%1%2　"/>
      <w:lvlJc w:val="left"/>
      <w:pPr>
        <w:ind w:left="0" w:firstLine="0"/>
      </w:pPr>
      <w:rPr>
        <w:rFonts w:hint="eastAsia" w:ascii="黑体" w:eastAsia="黑体"/>
        <w:b w:val="0"/>
        <w:i w:val="0"/>
        <w:sz w:val="21"/>
      </w:rPr>
    </w:lvl>
    <w:lvl w:ilvl="2" w:tentative="0">
      <w:start w:val="1"/>
      <w:numFmt w:val="decimal"/>
      <w:pStyle w:val="66"/>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70"/>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2">
    <w:nsid w:val="6DBF04F4"/>
    <w:multiLevelType w:val="multilevel"/>
    <w:tmpl w:val="6DBF04F4"/>
    <w:lvl w:ilvl="0" w:tentative="0">
      <w:start w:val="1"/>
      <w:numFmt w:val="none"/>
      <w:pStyle w:val="59"/>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1"/>
  </w:num>
  <w:num w:numId="2">
    <w:abstractNumId w:val="4"/>
  </w:num>
  <w:num w:numId="3">
    <w:abstractNumId w:val="2"/>
  </w:num>
  <w:num w:numId="4">
    <w:abstractNumId w:val="5"/>
  </w:num>
  <w:num w:numId="5">
    <w:abstractNumId w:val="12"/>
  </w:num>
  <w:num w:numId="6">
    <w:abstractNumId w:val="10"/>
  </w:num>
  <w:num w:numId="7">
    <w:abstractNumId w:val="9"/>
  </w:num>
  <w:num w:numId="8">
    <w:abstractNumId w:val="11"/>
  </w:num>
  <w:num w:numId="9">
    <w:abstractNumId w:val="7"/>
  </w:num>
  <w:num w:numId="10">
    <w:abstractNumId w:val="0"/>
  </w:num>
  <w:num w:numId="11">
    <w:abstractNumId w:val="6"/>
  </w:num>
  <w:num w:numId="12">
    <w:abstractNumId w:val="8"/>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mirrorMargins w:val="true"/>
  <w:bordersDoNotSurroundHeader w:val="true"/>
  <w:bordersDoNotSurroundFooter w:val="true"/>
  <w:documentProtection w:edit="trackedChanges" w:enforcement="0"/>
  <w:defaultTabStop w:val="420"/>
  <w:evenAndOddHeaders w:val="true"/>
  <w:drawingGridHorizontalSpacing w:val="105"/>
  <w:drawingGridVerticalSpacing w:val="156"/>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JjOTdkMDk2ZTI1OWZiYzFjYTFjZDJlOTYxYjQ5ZTIifQ=="/>
    <w:docVar w:name="KSO_WPS_MARK_KEY" w:val="52548aae-2002-4139-9182-7b8689647ee4"/>
  </w:docVars>
  <w:rsids>
    <w:rsidRoot w:val="002C4A7A"/>
    <w:rsid w:val="00000C6F"/>
    <w:rsid w:val="00002D7A"/>
    <w:rsid w:val="00005817"/>
    <w:rsid w:val="00013861"/>
    <w:rsid w:val="000173A8"/>
    <w:rsid w:val="0001746B"/>
    <w:rsid w:val="00031630"/>
    <w:rsid w:val="0003782B"/>
    <w:rsid w:val="000505F8"/>
    <w:rsid w:val="000511AD"/>
    <w:rsid w:val="0005686E"/>
    <w:rsid w:val="00056E11"/>
    <w:rsid w:val="00061044"/>
    <w:rsid w:val="0006343E"/>
    <w:rsid w:val="00065304"/>
    <w:rsid w:val="00071463"/>
    <w:rsid w:val="00074CE1"/>
    <w:rsid w:val="00075ADA"/>
    <w:rsid w:val="00081105"/>
    <w:rsid w:val="000814DC"/>
    <w:rsid w:val="0009093B"/>
    <w:rsid w:val="0009104A"/>
    <w:rsid w:val="00092A3E"/>
    <w:rsid w:val="000944B1"/>
    <w:rsid w:val="000946C9"/>
    <w:rsid w:val="0009741B"/>
    <w:rsid w:val="000A05E2"/>
    <w:rsid w:val="000B1AD2"/>
    <w:rsid w:val="000B5222"/>
    <w:rsid w:val="000C1F9F"/>
    <w:rsid w:val="000D3EF6"/>
    <w:rsid w:val="000D5C84"/>
    <w:rsid w:val="000E084D"/>
    <w:rsid w:val="000E4AD1"/>
    <w:rsid w:val="000F2CB4"/>
    <w:rsid w:val="000F3CAF"/>
    <w:rsid w:val="001103A2"/>
    <w:rsid w:val="00110D5E"/>
    <w:rsid w:val="00110EC6"/>
    <w:rsid w:val="00112AF7"/>
    <w:rsid w:val="00113409"/>
    <w:rsid w:val="001202C0"/>
    <w:rsid w:val="00120961"/>
    <w:rsid w:val="0012099B"/>
    <w:rsid w:val="00133094"/>
    <w:rsid w:val="00136ACF"/>
    <w:rsid w:val="0014534C"/>
    <w:rsid w:val="001462B7"/>
    <w:rsid w:val="00147278"/>
    <w:rsid w:val="00147564"/>
    <w:rsid w:val="00147A7E"/>
    <w:rsid w:val="00147F7E"/>
    <w:rsid w:val="001516E1"/>
    <w:rsid w:val="0015700F"/>
    <w:rsid w:val="0016095C"/>
    <w:rsid w:val="0016154E"/>
    <w:rsid w:val="001720FB"/>
    <w:rsid w:val="00173651"/>
    <w:rsid w:val="0017564C"/>
    <w:rsid w:val="00175A7C"/>
    <w:rsid w:val="001760F7"/>
    <w:rsid w:val="00176E61"/>
    <w:rsid w:val="00195C90"/>
    <w:rsid w:val="0019613E"/>
    <w:rsid w:val="001A1683"/>
    <w:rsid w:val="001A2848"/>
    <w:rsid w:val="001A2A72"/>
    <w:rsid w:val="001A2CD6"/>
    <w:rsid w:val="001B007D"/>
    <w:rsid w:val="001B0CF3"/>
    <w:rsid w:val="001B3AC1"/>
    <w:rsid w:val="001C0F5C"/>
    <w:rsid w:val="001C10DE"/>
    <w:rsid w:val="001C3415"/>
    <w:rsid w:val="001C4DED"/>
    <w:rsid w:val="001C7FB4"/>
    <w:rsid w:val="001D0910"/>
    <w:rsid w:val="001D2F2F"/>
    <w:rsid w:val="001D2F99"/>
    <w:rsid w:val="001D48D0"/>
    <w:rsid w:val="001D70CD"/>
    <w:rsid w:val="001E0871"/>
    <w:rsid w:val="001E3D11"/>
    <w:rsid w:val="001E4804"/>
    <w:rsid w:val="001E7BD6"/>
    <w:rsid w:val="001F47C8"/>
    <w:rsid w:val="00211953"/>
    <w:rsid w:val="002209AC"/>
    <w:rsid w:val="00220A99"/>
    <w:rsid w:val="00222A27"/>
    <w:rsid w:val="00223A5B"/>
    <w:rsid w:val="00223BD4"/>
    <w:rsid w:val="00230CF6"/>
    <w:rsid w:val="00230F2F"/>
    <w:rsid w:val="00247720"/>
    <w:rsid w:val="00251127"/>
    <w:rsid w:val="00251537"/>
    <w:rsid w:val="00251550"/>
    <w:rsid w:val="002517ED"/>
    <w:rsid w:val="00262444"/>
    <w:rsid w:val="002742D3"/>
    <w:rsid w:val="00276A28"/>
    <w:rsid w:val="002829F1"/>
    <w:rsid w:val="0028337F"/>
    <w:rsid w:val="00285357"/>
    <w:rsid w:val="00286986"/>
    <w:rsid w:val="00290F18"/>
    <w:rsid w:val="00293BD3"/>
    <w:rsid w:val="002950A9"/>
    <w:rsid w:val="00296094"/>
    <w:rsid w:val="002A2A23"/>
    <w:rsid w:val="002A4D51"/>
    <w:rsid w:val="002A5A01"/>
    <w:rsid w:val="002A5BCE"/>
    <w:rsid w:val="002B3E52"/>
    <w:rsid w:val="002B5800"/>
    <w:rsid w:val="002C253D"/>
    <w:rsid w:val="002C3A09"/>
    <w:rsid w:val="002C4A7A"/>
    <w:rsid w:val="002C57A0"/>
    <w:rsid w:val="002C639A"/>
    <w:rsid w:val="002D2351"/>
    <w:rsid w:val="002D38F3"/>
    <w:rsid w:val="002D49DC"/>
    <w:rsid w:val="002D54BC"/>
    <w:rsid w:val="002E5B5C"/>
    <w:rsid w:val="002F2052"/>
    <w:rsid w:val="002F2C23"/>
    <w:rsid w:val="002F3CCA"/>
    <w:rsid w:val="002F7DB9"/>
    <w:rsid w:val="00301D6E"/>
    <w:rsid w:val="0030224A"/>
    <w:rsid w:val="00302D0D"/>
    <w:rsid w:val="00304C82"/>
    <w:rsid w:val="00311B67"/>
    <w:rsid w:val="0031322E"/>
    <w:rsid w:val="00317DB9"/>
    <w:rsid w:val="00327834"/>
    <w:rsid w:val="00330DE3"/>
    <w:rsid w:val="00334B35"/>
    <w:rsid w:val="00334DA4"/>
    <w:rsid w:val="00335ABA"/>
    <w:rsid w:val="00340030"/>
    <w:rsid w:val="00340CAC"/>
    <w:rsid w:val="003422C6"/>
    <w:rsid w:val="003438AA"/>
    <w:rsid w:val="00344E14"/>
    <w:rsid w:val="0034543B"/>
    <w:rsid w:val="00346C04"/>
    <w:rsid w:val="00354DAE"/>
    <w:rsid w:val="00355096"/>
    <w:rsid w:val="003568F1"/>
    <w:rsid w:val="00362FF0"/>
    <w:rsid w:val="003662BC"/>
    <w:rsid w:val="00366DB7"/>
    <w:rsid w:val="00367200"/>
    <w:rsid w:val="0037136A"/>
    <w:rsid w:val="003720DC"/>
    <w:rsid w:val="00375FCF"/>
    <w:rsid w:val="003765CD"/>
    <w:rsid w:val="00387FF8"/>
    <w:rsid w:val="00393266"/>
    <w:rsid w:val="003A0DBB"/>
    <w:rsid w:val="003A238B"/>
    <w:rsid w:val="003B6878"/>
    <w:rsid w:val="003C0E5B"/>
    <w:rsid w:val="003C2C65"/>
    <w:rsid w:val="003C31B0"/>
    <w:rsid w:val="003D0151"/>
    <w:rsid w:val="003D13FA"/>
    <w:rsid w:val="003D1497"/>
    <w:rsid w:val="003E0580"/>
    <w:rsid w:val="003E28CE"/>
    <w:rsid w:val="003F714F"/>
    <w:rsid w:val="00407B9E"/>
    <w:rsid w:val="00417738"/>
    <w:rsid w:val="0042003E"/>
    <w:rsid w:val="004212D3"/>
    <w:rsid w:val="00422051"/>
    <w:rsid w:val="0042333A"/>
    <w:rsid w:val="00426BC8"/>
    <w:rsid w:val="00427B4C"/>
    <w:rsid w:val="00430DD2"/>
    <w:rsid w:val="004426FC"/>
    <w:rsid w:val="0044581A"/>
    <w:rsid w:val="00451407"/>
    <w:rsid w:val="00451847"/>
    <w:rsid w:val="00454031"/>
    <w:rsid w:val="0045451F"/>
    <w:rsid w:val="004574AE"/>
    <w:rsid w:val="004610BF"/>
    <w:rsid w:val="00471508"/>
    <w:rsid w:val="004926A0"/>
    <w:rsid w:val="00495E4E"/>
    <w:rsid w:val="004A0644"/>
    <w:rsid w:val="004A132F"/>
    <w:rsid w:val="004A6AB6"/>
    <w:rsid w:val="004B01AE"/>
    <w:rsid w:val="004B12F5"/>
    <w:rsid w:val="004B2D06"/>
    <w:rsid w:val="004B540D"/>
    <w:rsid w:val="004C2F70"/>
    <w:rsid w:val="004C5E71"/>
    <w:rsid w:val="004C78D0"/>
    <w:rsid w:val="004D09E4"/>
    <w:rsid w:val="004D424C"/>
    <w:rsid w:val="004D5B9A"/>
    <w:rsid w:val="004E01DA"/>
    <w:rsid w:val="004E10F1"/>
    <w:rsid w:val="004E3E2D"/>
    <w:rsid w:val="004E4186"/>
    <w:rsid w:val="004E4DE6"/>
    <w:rsid w:val="004F0C75"/>
    <w:rsid w:val="004F3DCC"/>
    <w:rsid w:val="00506EF4"/>
    <w:rsid w:val="005102EF"/>
    <w:rsid w:val="00510EBE"/>
    <w:rsid w:val="005122CD"/>
    <w:rsid w:val="00520237"/>
    <w:rsid w:val="00523728"/>
    <w:rsid w:val="00524CE2"/>
    <w:rsid w:val="0053086A"/>
    <w:rsid w:val="00534D92"/>
    <w:rsid w:val="00536AD1"/>
    <w:rsid w:val="00540818"/>
    <w:rsid w:val="00542910"/>
    <w:rsid w:val="00546657"/>
    <w:rsid w:val="00554600"/>
    <w:rsid w:val="0055478B"/>
    <w:rsid w:val="005606B4"/>
    <w:rsid w:val="00563D0F"/>
    <w:rsid w:val="0056665B"/>
    <w:rsid w:val="005701EA"/>
    <w:rsid w:val="00574179"/>
    <w:rsid w:val="00575480"/>
    <w:rsid w:val="00591331"/>
    <w:rsid w:val="005928C2"/>
    <w:rsid w:val="00596070"/>
    <w:rsid w:val="005A2C7F"/>
    <w:rsid w:val="005A4975"/>
    <w:rsid w:val="005A60AC"/>
    <w:rsid w:val="005B6D29"/>
    <w:rsid w:val="005C370B"/>
    <w:rsid w:val="005E015F"/>
    <w:rsid w:val="005E1CA7"/>
    <w:rsid w:val="005F2DCC"/>
    <w:rsid w:val="005F5CFF"/>
    <w:rsid w:val="00600F7C"/>
    <w:rsid w:val="006045C0"/>
    <w:rsid w:val="00610AF4"/>
    <w:rsid w:val="00613357"/>
    <w:rsid w:val="00616AFA"/>
    <w:rsid w:val="00621AD2"/>
    <w:rsid w:val="00626507"/>
    <w:rsid w:val="0062656D"/>
    <w:rsid w:val="00633884"/>
    <w:rsid w:val="00635FE2"/>
    <w:rsid w:val="00637850"/>
    <w:rsid w:val="00640CD9"/>
    <w:rsid w:val="00646C9D"/>
    <w:rsid w:val="006476F3"/>
    <w:rsid w:val="0065660B"/>
    <w:rsid w:val="00662568"/>
    <w:rsid w:val="006738FB"/>
    <w:rsid w:val="00673C24"/>
    <w:rsid w:val="006763FD"/>
    <w:rsid w:val="006839CD"/>
    <w:rsid w:val="006867E4"/>
    <w:rsid w:val="00686AB4"/>
    <w:rsid w:val="00687FF9"/>
    <w:rsid w:val="00694817"/>
    <w:rsid w:val="00695FD6"/>
    <w:rsid w:val="006965B2"/>
    <w:rsid w:val="00697323"/>
    <w:rsid w:val="006A3A00"/>
    <w:rsid w:val="006A587D"/>
    <w:rsid w:val="006B00F8"/>
    <w:rsid w:val="006B0EDD"/>
    <w:rsid w:val="006B4E4A"/>
    <w:rsid w:val="006D1713"/>
    <w:rsid w:val="006D3593"/>
    <w:rsid w:val="006D384B"/>
    <w:rsid w:val="006D7F23"/>
    <w:rsid w:val="006E42DF"/>
    <w:rsid w:val="006E6B90"/>
    <w:rsid w:val="00705B6D"/>
    <w:rsid w:val="0070744F"/>
    <w:rsid w:val="007078CB"/>
    <w:rsid w:val="00711444"/>
    <w:rsid w:val="00716D47"/>
    <w:rsid w:val="00717C25"/>
    <w:rsid w:val="00720335"/>
    <w:rsid w:val="00721D42"/>
    <w:rsid w:val="00723CE8"/>
    <w:rsid w:val="00724CC3"/>
    <w:rsid w:val="00732CFF"/>
    <w:rsid w:val="00732DD3"/>
    <w:rsid w:val="00733FAB"/>
    <w:rsid w:val="00734A6B"/>
    <w:rsid w:val="00736BCB"/>
    <w:rsid w:val="007373F7"/>
    <w:rsid w:val="007404DC"/>
    <w:rsid w:val="0074159C"/>
    <w:rsid w:val="0074173E"/>
    <w:rsid w:val="00741CBE"/>
    <w:rsid w:val="00743636"/>
    <w:rsid w:val="00751B91"/>
    <w:rsid w:val="00754A67"/>
    <w:rsid w:val="007569D0"/>
    <w:rsid w:val="00762676"/>
    <w:rsid w:val="007667E9"/>
    <w:rsid w:val="007747B0"/>
    <w:rsid w:val="00775703"/>
    <w:rsid w:val="0077630C"/>
    <w:rsid w:val="00777F91"/>
    <w:rsid w:val="00784961"/>
    <w:rsid w:val="007906E7"/>
    <w:rsid w:val="00790CFC"/>
    <w:rsid w:val="00793C9B"/>
    <w:rsid w:val="007A262B"/>
    <w:rsid w:val="007A325E"/>
    <w:rsid w:val="007B71FE"/>
    <w:rsid w:val="007B7740"/>
    <w:rsid w:val="007C5205"/>
    <w:rsid w:val="007C6FAF"/>
    <w:rsid w:val="007C72D7"/>
    <w:rsid w:val="007D209B"/>
    <w:rsid w:val="007D6D20"/>
    <w:rsid w:val="007D77B7"/>
    <w:rsid w:val="007E1F24"/>
    <w:rsid w:val="007E451F"/>
    <w:rsid w:val="007F0AD4"/>
    <w:rsid w:val="007F0CE2"/>
    <w:rsid w:val="007F3D33"/>
    <w:rsid w:val="007F7E53"/>
    <w:rsid w:val="008029D3"/>
    <w:rsid w:val="008034D8"/>
    <w:rsid w:val="00803B33"/>
    <w:rsid w:val="0080474D"/>
    <w:rsid w:val="00804961"/>
    <w:rsid w:val="008062A9"/>
    <w:rsid w:val="0081659D"/>
    <w:rsid w:val="008204BD"/>
    <w:rsid w:val="00820C60"/>
    <w:rsid w:val="00822BEB"/>
    <w:rsid w:val="008237E6"/>
    <w:rsid w:val="00823FD0"/>
    <w:rsid w:val="008338C4"/>
    <w:rsid w:val="00842185"/>
    <w:rsid w:val="008423AD"/>
    <w:rsid w:val="00844C83"/>
    <w:rsid w:val="0084707B"/>
    <w:rsid w:val="0085002F"/>
    <w:rsid w:val="0085316A"/>
    <w:rsid w:val="008570AF"/>
    <w:rsid w:val="008601C4"/>
    <w:rsid w:val="0086279F"/>
    <w:rsid w:val="00864F8B"/>
    <w:rsid w:val="00866D54"/>
    <w:rsid w:val="00867DB6"/>
    <w:rsid w:val="00870D21"/>
    <w:rsid w:val="0087171A"/>
    <w:rsid w:val="00871E5F"/>
    <w:rsid w:val="00874360"/>
    <w:rsid w:val="00874E16"/>
    <w:rsid w:val="008778D8"/>
    <w:rsid w:val="008823C4"/>
    <w:rsid w:val="00885586"/>
    <w:rsid w:val="00886D2A"/>
    <w:rsid w:val="00892FE8"/>
    <w:rsid w:val="008A525F"/>
    <w:rsid w:val="008A778B"/>
    <w:rsid w:val="008A7A04"/>
    <w:rsid w:val="008B2AA1"/>
    <w:rsid w:val="008B4744"/>
    <w:rsid w:val="008B4CD3"/>
    <w:rsid w:val="008C1198"/>
    <w:rsid w:val="008C23EA"/>
    <w:rsid w:val="008C6DE2"/>
    <w:rsid w:val="008C754A"/>
    <w:rsid w:val="008D32D9"/>
    <w:rsid w:val="008D50F3"/>
    <w:rsid w:val="008D6AC9"/>
    <w:rsid w:val="008D7D21"/>
    <w:rsid w:val="008E1D3D"/>
    <w:rsid w:val="008E73CE"/>
    <w:rsid w:val="008F7846"/>
    <w:rsid w:val="00900625"/>
    <w:rsid w:val="00900D6C"/>
    <w:rsid w:val="00902C03"/>
    <w:rsid w:val="009056B3"/>
    <w:rsid w:val="00905EC8"/>
    <w:rsid w:val="00906EE2"/>
    <w:rsid w:val="00912AA0"/>
    <w:rsid w:val="00914E1E"/>
    <w:rsid w:val="0092183B"/>
    <w:rsid w:val="00922FAC"/>
    <w:rsid w:val="009304BF"/>
    <w:rsid w:val="00932FD3"/>
    <w:rsid w:val="00936CD1"/>
    <w:rsid w:val="00940E5F"/>
    <w:rsid w:val="00941A12"/>
    <w:rsid w:val="00941B18"/>
    <w:rsid w:val="009449CC"/>
    <w:rsid w:val="00945592"/>
    <w:rsid w:val="00953360"/>
    <w:rsid w:val="009534B7"/>
    <w:rsid w:val="0095703E"/>
    <w:rsid w:val="0096181B"/>
    <w:rsid w:val="00961EC7"/>
    <w:rsid w:val="00970C6E"/>
    <w:rsid w:val="00975728"/>
    <w:rsid w:val="00992159"/>
    <w:rsid w:val="0099488E"/>
    <w:rsid w:val="009956AD"/>
    <w:rsid w:val="00996CA4"/>
    <w:rsid w:val="009A18CB"/>
    <w:rsid w:val="009A67D7"/>
    <w:rsid w:val="009A7D1D"/>
    <w:rsid w:val="009B2735"/>
    <w:rsid w:val="009B5AFA"/>
    <w:rsid w:val="009B6DC7"/>
    <w:rsid w:val="009B7156"/>
    <w:rsid w:val="009C15D7"/>
    <w:rsid w:val="009C71D1"/>
    <w:rsid w:val="009D11D8"/>
    <w:rsid w:val="009D27A6"/>
    <w:rsid w:val="009D5852"/>
    <w:rsid w:val="009E229D"/>
    <w:rsid w:val="009E4501"/>
    <w:rsid w:val="009F022A"/>
    <w:rsid w:val="009F25EB"/>
    <w:rsid w:val="009F4144"/>
    <w:rsid w:val="009F655E"/>
    <w:rsid w:val="00A0144F"/>
    <w:rsid w:val="00A0565D"/>
    <w:rsid w:val="00A0685D"/>
    <w:rsid w:val="00A06B8F"/>
    <w:rsid w:val="00A129D5"/>
    <w:rsid w:val="00A13868"/>
    <w:rsid w:val="00A25BFF"/>
    <w:rsid w:val="00A26884"/>
    <w:rsid w:val="00A27283"/>
    <w:rsid w:val="00A2795C"/>
    <w:rsid w:val="00A31209"/>
    <w:rsid w:val="00A32E92"/>
    <w:rsid w:val="00A35EAE"/>
    <w:rsid w:val="00A415A9"/>
    <w:rsid w:val="00A421AD"/>
    <w:rsid w:val="00A516F3"/>
    <w:rsid w:val="00A52074"/>
    <w:rsid w:val="00A561C6"/>
    <w:rsid w:val="00A62CE9"/>
    <w:rsid w:val="00A634E6"/>
    <w:rsid w:val="00A66329"/>
    <w:rsid w:val="00A7056C"/>
    <w:rsid w:val="00A713B5"/>
    <w:rsid w:val="00A72B72"/>
    <w:rsid w:val="00A73768"/>
    <w:rsid w:val="00A87B13"/>
    <w:rsid w:val="00A92BF9"/>
    <w:rsid w:val="00A96125"/>
    <w:rsid w:val="00AA0DC4"/>
    <w:rsid w:val="00AA377C"/>
    <w:rsid w:val="00AA425D"/>
    <w:rsid w:val="00AB2CAF"/>
    <w:rsid w:val="00AB64F6"/>
    <w:rsid w:val="00AD00A8"/>
    <w:rsid w:val="00AD428E"/>
    <w:rsid w:val="00AD74A7"/>
    <w:rsid w:val="00AE49BE"/>
    <w:rsid w:val="00AE55AC"/>
    <w:rsid w:val="00AE5F8A"/>
    <w:rsid w:val="00AF53DB"/>
    <w:rsid w:val="00AF7AFE"/>
    <w:rsid w:val="00B01237"/>
    <w:rsid w:val="00B02086"/>
    <w:rsid w:val="00B06017"/>
    <w:rsid w:val="00B10919"/>
    <w:rsid w:val="00B1286A"/>
    <w:rsid w:val="00B1318E"/>
    <w:rsid w:val="00B17747"/>
    <w:rsid w:val="00B17E3E"/>
    <w:rsid w:val="00B21CF9"/>
    <w:rsid w:val="00B309C2"/>
    <w:rsid w:val="00B319F3"/>
    <w:rsid w:val="00B33754"/>
    <w:rsid w:val="00B36BE0"/>
    <w:rsid w:val="00B37391"/>
    <w:rsid w:val="00B42D11"/>
    <w:rsid w:val="00B42FF5"/>
    <w:rsid w:val="00B450A3"/>
    <w:rsid w:val="00B61230"/>
    <w:rsid w:val="00B61250"/>
    <w:rsid w:val="00B618E8"/>
    <w:rsid w:val="00B634DB"/>
    <w:rsid w:val="00B64FF7"/>
    <w:rsid w:val="00B66014"/>
    <w:rsid w:val="00B67E96"/>
    <w:rsid w:val="00B759FB"/>
    <w:rsid w:val="00B857D0"/>
    <w:rsid w:val="00B97265"/>
    <w:rsid w:val="00BA4CDD"/>
    <w:rsid w:val="00BA70BA"/>
    <w:rsid w:val="00BA7E3E"/>
    <w:rsid w:val="00BB0517"/>
    <w:rsid w:val="00BC34A7"/>
    <w:rsid w:val="00BC6585"/>
    <w:rsid w:val="00BC76F2"/>
    <w:rsid w:val="00BC79C6"/>
    <w:rsid w:val="00BD3F71"/>
    <w:rsid w:val="00BD44B5"/>
    <w:rsid w:val="00BE3C8C"/>
    <w:rsid w:val="00BE537A"/>
    <w:rsid w:val="00BE6581"/>
    <w:rsid w:val="00BF4AEF"/>
    <w:rsid w:val="00C042FA"/>
    <w:rsid w:val="00C1161C"/>
    <w:rsid w:val="00C16AD7"/>
    <w:rsid w:val="00C20320"/>
    <w:rsid w:val="00C2384C"/>
    <w:rsid w:val="00C245B1"/>
    <w:rsid w:val="00C27A7C"/>
    <w:rsid w:val="00C30043"/>
    <w:rsid w:val="00C33755"/>
    <w:rsid w:val="00C34933"/>
    <w:rsid w:val="00C40C1D"/>
    <w:rsid w:val="00C40E79"/>
    <w:rsid w:val="00C42E3C"/>
    <w:rsid w:val="00C45C14"/>
    <w:rsid w:val="00C462F3"/>
    <w:rsid w:val="00C46ADD"/>
    <w:rsid w:val="00C477F2"/>
    <w:rsid w:val="00C47CFD"/>
    <w:rsid w:val="00C50974"/>
    <w:rsid w:val="00C51190"/>
    <w:rsid w:val="00C624AE"/>
    <w:rsid w:val="00C654A4"/>
    <w:rsid w:val="00C657CE"/>
    <w:rsid w:val="00C65B45"/>
    <w:rsid w:val="00C672AB"/>
    <w:rsid w:val="00C67BC0"/>
    <w:rsid w:val="00C7008A"/>
    <w:rsid w:val="00C72B93"/>
    <w:rsid w:val="00C7460A"/>
    <w:rsid w:val="00C774B2"/>
    <w:rsid w:val="00C83947"/>
    <w:rsid w:val="00C84D5C"/>
    <w:rsid w:val="00C91A53"/>
    <w:rsid w:val="00C93A0F"/>
    <w:rsid w:val="00C93CF3"/>
    <w:rsid w:val="00C97222"/>
    <w:rsid w:val="00CA2979"/>
    <w:rsid w:val="00CA3ECD"/>
    <w:rsid w:val="00CA5E90"/>
    <w:rsid w:val="00CB084A"/>
    <w:rsid w:val="00CB251A"/>
    <w:rsid w:val="00CB69C0"/>
    <w:rsid w:val="00CB6A26"/>
    <w:rsid w:val="00CC212B"/>
    <w:rsid w:val="00CE0575"/>
    <w:rsid w:val="00CE1209"/>
    <w:rsid w:val="00CE274E"/>
    <w:rsid w:val="00CE5A6D"/>
    <w:rsid w:val="00CF2291"/>
    <w:rsid w:val="00D069E0"/>
    <w:rsid w:val="00D137EA"/>
    <w:rsid w:val="00D169F2"/>
    <w:rsid w:val="00D20D83"/>
    <w:rsid w:val="00D2420F"/>
    <w:rsid w:val="00D256C0"/>
    <w:rsid w:val="00D32A80"/>
    <w:rsid w:val="00D403C5"/>
    <w:rsid w:val="00D4585F"/>
    <w:rsid w:val="00D47CAE"/>
    <w:rsid w:val="00D50BA3"/>
    <w:rsid w:val="00D53255"/>
    <w:rsid w:val="00D6138F"/>
    <w:rsid w:val="00D624B9"/>
    <w:rsid w:val="00D6371B"/>
    <w:rsid w:val="00D642F5"/>
    <w:rsid w:val="00D7138D"/>
    <w:rsid w:val="00D7526C"/>
    <w:rsid w:val="00D77234"/>
    <w:rsid w:val="00D80501"/>
    <w:rsid w:val="00D81394"/>
    <w:rsid w:val="00D85470"/>
    <w:rsid w:val="00D86D72"/>
    <w:rsid w:val="00D914B1"/>
    <w:rsid w:val="00D91668"/>
    <w:rsid w:val="00D965AB"/>
    <w:rsid w:val="00D965BD"/>
    <w:rsid w:val="00DA7326"/>
    <w:rsid w:val="00DB3696"/>
    <w:rsid w:val="00DC418F"/>
    <w:rsid w:val="00DD4EC4"/>
    <w:rsid w:val="00DD5468"/>
    <w:rsid w:val="00DD6F40"/>
    <w:rsid w:val="00DE201D"/>
    <w:rsid w:val="00DF1EBF"/>
    <w:rsid w:val="00DF29FB"/>
    <w:rsid w:val="00DF3B2F"/>
    <w:rsid w:val="00DF48F2"/>
    <w:rsid w:val="00DF4BB1"/>
    <w:rsid w:val="00DF54E3"/>
    <w:rsid w:val="00E0028F"/>
    <w:rsid w:val="00E0383F"/>
    <w:rsid w:val="00E03A13"/>
    <w:rsid w:val="00E03C54"/>
    <w:rsid w:val="00E0525C"/>
    <w:rsid w:val="00E1059E"/>
    <w:rsid w:val="00E120F0"/>
    <w:rsid w:val="00E14F1D"/>
    <w:rsid w:val="00E20A7B"/>
    <w:rsid w:val="00E22829"/>
    <w:rsid w:val="00E3004D"/>
    <w:rsid w:val="00E31B6C"/>
    <w:rsid w:val="00E3509B"/>
    <w:rsid w:val="00E3537D"/>
    <w:rsid w:val="00E36C78"/>
    <w:rsid w:val="00E401C4"/>
    <w:rsid w:val="00E42F0F"/>
    <w:rsid w:val="00E45044"/>
    <w:rsid w:val="00E504BD"/>
    <w:rsid w:val="00E537D1"/>
    <w:rsid w:val="00E55655"/>
    <w:rsid w:val="00E621A8"/>
    <w:rsid w:val="00E72AA8"/>
    <w:rsid w:val="00E72BBB"/>
    <w:rsid w:val="00E81B66"/>
    <w:rsid w:val="00E8389F"/>
    <w:rsid w:val="00E84983"/>
    <w:rsid w:val="00E90FDD"/>
    <w:rsid w:val="00E91C59"/>
    <w:rsid w:val="00E96805"/>
    <w:rsid w:val="00EA115D"/>
    <w:rsid w:val="00EB1109"/>
    <w:rsid w:val="00EB2C29"/>
    <w:rsid w:val="00EB2DBC"/>
    <w:rsid w:val="00EB3505"/>
    <w:rsid w:val="00EB3E6D"/>
    <w:rsid w:val="00EB474D"/>
    <w:rsid w:val="00EB5D5A"/>
    <w:rsid w:val="00EB6A2C"/>
    <w:rsid w:val="00EC1078"/>
    <w:rsid w:val="00EC6E3E"/>
    <w:rsid w:val="00ED3E70"/>
    <w:rsid w:val="00ED4091"/>
    <w:rsid w:val="00ED5E11"/>
    <w:rsid w:val="00EE07BC"/>
    <w:rsid w:val="00EE2AFA"/>
    <w:rsid w:val="00EE4615"/>
    <w:rsid w:val="00EE4642"/>
    <w:rsid w:val="00EF0721"/>
    <w:rsid w:val="00EF20A1"/>
    <w:rsid w:val="00F12CCA"/>
    <w:rsid w:val="00F16A12"/>
    <w:rsid w:val="00F16BA1"/>
    <w:rsid w:val="00F200FB"/>
    <w:rsid w:val="00F233DA"/>
    <w:rsid w:val="00F26471"/>
    <w:rsid w:val="00F31218"/>
    <w:rsid w:val="00F435EB"/>
    <w:rsid w:val="00F535DE"/>
    <w:rsid w:val="00F55043"/>
    <w:rsid w:val="00F57198"/>
    <w:rsid w:val="00F63CB5"/>
    <w:rsid w:val="00F65D80"/>
    <w:rsid w:val="00F7039A"/>
    <w:rsid w:val="00F71261"/>
    <w:rsid w:val="00F74A9C"/>
    <w:rsid w:val="00F770EC"/>
    <w:rsid w:val="00F7776A"/>
    <w:rsid w:val="00F86029"/>
    <w:rsid w:val="00F87873"/>
    <w:rsid w:val="00F936A8"/>
    <w:rsid w:val="00F9473B"/>
    <w:rsid w:val="00F95647"/>
    <w:rsid w:val="00FA7729"/>
    <w:rsid w:val="00FB2A20"/>
    <w:rsid w:val="00FB2C86"/>
    <w:rsid w:val="00FB5098"/>
    <w:rsid w:val="00FB5530"/>
    <w:rsid w:val="00FC4373"/>
    <w:rsid w:val="00FC741B"/>
    <w:rsid w:val="00FC7C26"/>
    <w:rsid w:val="00FD0995"/>
    <w:rsid w:val="00FD4916"/>
    <w:rsid w:val="00FD6E30"/>
    <w:rsid w:val="00FE06BE"/>
    <w:rsid w:val="00FE26D3"/>
    <w:rsid w:val="00FE6BAA"/>
    <w:rsid w:val="00FE7CB2"/>
    <w:rsid w:val="00FF2E8A"/>
    <w:rsid w:val="00FF47E6"/>
    <w:rsid w:val="01B97F5E"/>
    <w:rsid w:val="02670DCF"/>
    <w:rsid w:val="034D2939"/>
    <w:rsid w:val="043164D2"/>
    <w:rsid w:val="0480609C"/>
    <w:rsid w:val="04DB69C7"/>
    <w:rsid w:val="056C2AC8"/>
    <w:rsid w:val="078D3A1F"/>
    <w:rsid w:val="08D94A4A"/>
    <w:rsid w:val="09332050"/>
    <w:rsid w:val="09652865"/>
    <w:rsid w:val="097D3D26"/>
    <w:rsid w:val="0ADA2F69"/>
    <w:rsid w:val="0AE10BBF"/>
    <w:rsid w:val="0AF4041E"/>
    <w:rsid w:val="0B4B7E79"/>
    <w:rsid w:val="0BBA5614"/>
    <w:rsid w:val="0BBD0185"/>
    <w:rsid w:val="0D011260"/>
    <w:rsid w:val="0E572FD9"/>
    <w:rsid w:val="0F5D4929"/>
    <w:rsid w:val="0FB5747F"/>
    <w:rsid w:val="10CB51DB"/>
    <w:rsid w:val="10F22B45"/>
    <w:rsid w:val="11EA4A5D"/>
    <w:rsid w:val="123426ED"/>
    <w:rsid w:val="1330335A"/>
    <w:rsid w:val="13492913"/>
    <w:rsid w:val="140915D6"/>
    <w:rsid w:val="14AB42D7"/>
    <w:rsid w:val="15912AB1"/>
    <w:rsid w:val="159863B1"/>
    <w:rsid w:val="1614131D"/>
    <w:rsid w:val="16585639"/>
    <w:rsid w:val="16B6476F"/>
    <w:rsid w:val="1986454E"/>
    <w:rsid w:val="19BD2F50"/>
    <w:rsid w:val="19D653D3"/>
    <w:rsid w:val="19E576EB"/>
    <w:rsid w:val="1A9F3EA8"/>
    <w:rsid w:val="1AE557D7"/>
    <w:rsid w:val="1AF62448"/>
    <w:rsid w:val="1CE617B0"/>
    <w:rsid w:val="1D475092"/>
    <w:rsid w:val="1E901E0D"/>
    <w:rsid w:val="1EFC4C0E"/>
    <w:rsid w:val="1F3709E9"/>
    <w:rsid w:val="1F5511FE"/>
    <w:rsid w:val="1F791B4A"/>
    <w:rsid w:val="1FF922F7"/>
    <w:rsid w:val="203A6C9D"/>
    <w:rsid w:val="213D7067"/>
    <w:rsid w:val="23282A50"/>
    <w:rsid w:val="235D1A58"/>
    <w:rsid w:val="23607492"/>
    <w:rsid w:val="23893375"/>
    <w:rsid w:val="23D049E7"/>
    <w:rsid w:val="24F31A54"/>
    <w:rsid w:val="262E49A9"/>
    <w:rsid w:val="291C47AB"/>
    <w:rsid w:val="295126A7"/>
    <w:rsid w:val="29930DAF"/>
    <w:rsid w:val="299E589B"/>
    <w:rsid w:val="29DD2289"/>
    <w:rsid w:val="2A0674B9"/>
    <w:rsid w:val="2A19342E"/>
    <w:rsid w:val="2A9E6EDA"/>
    <w:rsid w:val="2AC259E9"/>
    <w:rsid w:val="2B5F5209"/>
    <w:rsid w:val="2B86097C"/>
    <w:rsid w:val="2BEF00BA"/>
    <w:rsid w:val="2E6A0BA9"/>
    <w:rsid w:val="2F033AB7"/>
    <w:rsid w:val="2FC604F2"/>
    <w:rsid w:val="30512DC8"/>
    <w:rsid w:val="305807BF"/>
    <w:rsid w:val="30BA0FA5"/>
    <w:rsid w:val="32697E49"/>
    <w:rsid w:val="33116C37"/>
    <w:rsid w:val="355276CD"/>
    <w:rsid w:val="37875802"/>
    <w:rsid w:val="37AA040E"/>
    <w:rsid w:val="392C1112"/>
    <w:rsid w:val="397A5D84"/>
    <w:rsid w:val="3A38257A"/>
    <w:rsid w:val="3A773D1D"/>
    <w:rsid w:val="3AA47EC1"/>
    <w:rsid w:val="3B337E5E"/>
    <w:rsid w:val="3C0C2E90"/>
    <w:rsid w:val="3C153A08"/>
    <w:rsid w:val="3D6F398A"/>
    <w:rsid w:val="3D9E1027"/>
    <w:rsid w:val="3DF7C608"/>
    <w:rsid w:val="3E6447D3"/>
    <w:rsid w:val="3E914FDF"/>
    <w:rsid w:val="3FC73140"/>
    <w:rsid w:val="3FCB4391"/>
    <w:rsid w:val="407103DB"/>
    <w:rsid w:val="413E41AB"/>
    <w:rsid w:val="41DD26A1"/>
    <w:rsid w:val="432D5ADB"/>
    <w:rsid w:val="455B5C08"/>
    <w:rsid w:val="459E4A6E"/>
    <w:rsid w:val="45E5444B"/>
    <w:rsid w:val="45F10943"/>
    <w:rsid w:val="46024881"/>
    <w:rsid w:val="46432AD9"/>
    <w:rsid w:val="48C6265B"/>
    <w:rsid w:val="491679AE"/>
    <w:rsid w:val="4CC8541E"/>
    <w:rsid w:val="4D244B35"/>
    <w:rsid w:val="4D7C7F66"/>
    <w:rsid w:val="4E497F1B"/>
    <w:rsid w:val="4E72372F"/>
    <w:rsid w:val="4E826BA1"/>
    <w:rsid w:val="4FB262DF"/>
    <w:rsid w:val="502913D8"/>
    <w:rsid w:val="506A1CDA"/>
    <w:rsid w:val="513145D7"/>
    <w:rsid w:val="51DB264E"/>
    <w:rsid w:val="52013E99"/>
    <w:rsid w:val="52884ADC"/>
    <w:rsid w:val="54EF45B2"/>
    <w:rsid w:val="561C68FE"/>
    <w:rsid w:val="56FA05E0"/>
    <w:rsid w:val="57205312"/>
    <w:rsid w:val="575B4970"/>
    <w:rsid w:val="58953240"/>
    <w:rsid w:val="58EA0B58"/>
    <w:rsid w:val="597102CD"/>
    <w:rsid w:val="5A782E0E"/>
    <w:rsid w:val="5AA42EE1"/>
    <w:rsid w:val="5AB20E18"/>
    <w:rsid w:val="5ADD04B0"/>
    <w:rsid w:val="5B6068E3"/>
    <w:rsid w:val="5E127A94"/>
    <w:rsid w:val="5EC2103E"/>
    <w:rsid w:val="5F3651D2"/>
    <w:rsid w:val="60DF14DF"/>
    <w:rsid w:val="612E72BF"/>
    <w:rsid w:val="61E0223F"/>
    <w:rsid w:val="62275A9D"/>
    <w:rsid w:val="62A274F4"/>
    <w:rsid w:val="63473BF7"/>
    <w:rsid w:val="64490C49"/>
    <w:rsid w:val="663F48D4"/>
    <w:rsid w:val="66832C22"/>
    <w:rsid w:val="66910CA5"/>
    <w:rsid w:val="67451519"/>
    <w:rsid w:val="68706054"/>
    <w:rsid w:val="688A0DE6"/>
    <w:rsid w:val="68917B90"/>
    <w:rsid w:val="68F02F9E"/>
    <w:rsid w:val="691D1DC4"/>
    <w:rsid w:val="69CF4947"/>
    <w:rsid w:val="6A4626EF"/>
    <w:rsid w:val="6A7C706D"/>
    <w:rsid w:val="6ADF74D7"/>
    <w:rsid w:val="6BCA186A"/>
    <w:rsid w:val="6C0563E5"/>
    <w:rsid w:val="6C6C0C3F"/>
    <w:rsid w:val="6C89702F"/>
    <w:rsid w:val="6C917B8F"/>
    <w:rsid w:val="6DAD049D"/>
    <w:rsid w:val="6ECD387A"/>
    <w:rsid w:val="6F2F03DB"/>
    <w:rsid w:val="6FF139B8"/>
    <w:rsid w:val="70064409"/>
    <w:rsid w:val="72127AC6"/>
    <w:rsid w:val="73765CE2"/>
    <w:rsid w:val="7383295D"/>
    <w:rsid w:val="743442CC"/>
    <w:rsid w:val="748E5C99"/>
    <w:rsid w:val="74BF2C7A"/>
    <w:rsid w:val="75682D8E"/>
    <w:rsid w:val="75A31161"/>
    <w:rsid w:val="75D25B10"/>
    <w:rsid w:val="76442929"/>
    <w:rsid w:val="76C27A63"/>
    <w:rsid w:val="795409C4"/>
    <w:rsid w:val="7AF60F49"/>
    <w:rsid w:val="7BBE3424"/>
    <w:rsid w:val="7BFF8DE9"/>
    <w:rsid w:val="7E0328BC"/>
    <w:rsid w:val="7E5D3F34"/>
    <w:rsid w:val="7FAC1FBF"/>
    <w:rsid w:val="7FF57E3F"/>
    <w:rsid w:val="7FF90700"/>
    <w:rsid w:val="7FFD0E4D"/>
    <w:rsid w:val="BBEF8B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32"/>
    <w:qFormat/>
    <w:uiPriority w:val="99"/>
    <w:pPr>
      <w:keepNext/>
      <w:keepLines/>
      <w:spacing w:before="340" w:after="330" w:line="578" w:lineRule="auto"/>
      <w:outlineLvl w:val="0"/>
    </w:pPr>
    <w:rPr>
      <w:rFonts w:ascii="Calibri" w:hAnsi="Calibri" w:eastAsia="宋体" w:cs="Times New Roman"/>
      <w:b/>
      <w:bCs/>
      <w:kern w:val="44"/>
      <w:sz w:val="44"/>
      <w:szCs w:val="44"/>
    </w:rPr>
  </w:style>
  <w:style w:type="paragraph" w:styleId="4">
    <w:name w:val="heading 2"/>
    <w:basedOn w:val="1"/>
    <w:next w:val="1"/>
    <w:link w:val="3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9"/>
    <w:semiHidden/>
    <w:unhideWhenUsed/>
    <w:qFormat/>
    <w:uiPriority w:val="9"/>
    <w:pPr>
      <w:keepNext/>
      <w:keepLines/>
      <w:spacing w:before="260" w:after="260" w:line="416" w:lineRule="auto"/>
      <w:outlineLvl w:val="2"/>
    </w:pPr>
    <w:rPr>
      <w:b/>
      <w:bCs/>
      <w:sz w:val="32"/>
      <w:szCs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style>
  <w:style w:type="paragraph" w:styleId="6">
    <w:name w:val="Normal Indent"/>
    <w:basedOn w:val="1"/>
    <w:next w:val="7"/>
    <w:qFormat/>
    <w:uiPriority w:val="0"/>
    <w:pPr>
      <w:ind w:firstLine="420"/>
    </w:pPr>
  </w:style>
  <w:style w:type="paragraph" w:styleId="7">
    <w:name w:val="envelope return"/>
    <w:basedOn w:val="1"/>
    <w:qFormat/>
    <w:uiPriority w:val="0"/>
    <w:pPr>
      <w:snapToGrid w:val="0"/>
    </w:pPr>
    <w:rPr>
      <w:rFonts w:ascii="Arial" w:hAnsi="Arial" w:eastAsia="仿宋_GB2312"/>
      <w:sz w:val="32"/>
    </w:rPr>
  </w:style>
  <w:style w:type="paragraph" w:styleId="8">
    <w:name w:val="annotation text"/>
    <w:basedOn w:val="1"/>
    <w:semiHidden/>
    <w:unhideWhenUsed/>
    <w:qFormat/>
    <w:uiPriority w:val="99"/>
    <w:pPr>
      <w:jc w:val="left"/>
    </w:pPr>
  </w:style>
  <w:style w:type="paragraph" w:styleId="9">
    <w:name w:val="toc 3"/>
    <w:basedOn w:val="1"/>
    <w:next w:val="1"/>
    <w:semiHidden/>
    <w:unhideWhenUsed/>
    <w:qFormat/>
    <w:uiPriority w:val="39"/>
    <w:pPr>
      <w:ind w:left="840" w:leftChars="400"/>
    </w:pPr>
  </w:style>
  <w:style w:type="paragraph" w:styleId="10">
    <w:name w:val="Date"/>
    <w:basedOn w:val="1"/>
    <w:next w:val="1"/>
    <w:link w:val="47"/>
    <w:semiHidden/>
    <w:unhideWhenUsed/>
    <w:qFormat/>
    <w:uiPriority w:val="99"/>
    <w:pPr>
      <w:ind w:left="100" w:leftChars="2500"/>
    </w:pPr>
  </w:style>
  <w:style w:type="paragraph" w:styleId="11">
    <w:name w:val="Body Text Indent 2"/>
    <w:basedOn w:val="1"/>
    <w:link w:val="40"/>
    <w:qFormat/>
    <w:uiPriority w:val="0"/>
    <w:pPr>
      <w:spacing w:line="276" w:lineRule="auto"/>
      <w:ind w:firstLine="420" w:firstLineChars="200"/>
    </w:pPr>
    <w:rPr>
      <w:rFonts w:ascii="宋体" w:hAnsi="宋体" w:eastAsia="宋体" w:cs="Times New Roman"/>
      <w:snapToGrid w:val="0"/>
      <w:kern w:val="0"/>
      <w:szCs w:val="24"/>
    </w:rPr>
  </w:style>
  <w:style w:type="paragraph" w:styleId="12">
    <w:name w:val="Balloon Text"/>
    <w:basedOn w:val="1"/>
    <w:link w:val="28"/>
    <w:semiHidden/>
    <w:unhideWhenUsed/>
    <w:qFormat/>
    <w:uiPriority w:val="99"/>
    <w:rPr>
      <w:sz w:val="18"/>
      <w:szCs w:val="18"/>
    </w:rPr>
  </w:style>
  <w:style w:type="paragraph" w:styleId="13">
    <w:name w:val="footer"/>
    <w:basedOn w:val="1"/>
    <w:link w:val="27"/>
    <w:unhideWhenUsed/>
    <w:qFormat/>
    <w:uiPriority w:val="99"/>
    <w:pPr>
      <w:tabs>
        <w:tab w:val="center" w:pos="4153"/>
        <w:tab w:val="right" w:pos="8306"/>
      </w:tabs>
      <w:snapToGrid w:val="0"/>
      <w:jc w:val="left"/>
    </w:pPr>
    <w:rPr>
      <w:sz w:val="18"/>
      <w:szCs w:val="18"/>
    </w:rPr>
  </w:style>
  <w:style w:type="paragraph" w:styleId="14">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style>
  <w:style w:type="paragraph" w:styleId="16">
    <w:name w:val="Subtitle"/>
    <w:basedOn w:val="1"/>
    <w:next w:val="1"/>
    <w:link w:val="36"/>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7">
    <w:name w:val="footnote text"/>
    <w:basedOn w:val="1"/>
    <w:link w:val="100"/>
    <w:semiHidden/>
    <w:unhideWhenUsed/>
    <w:qFormat/>
    <w:uiPriority w:val="99"/>
    <w:pPr>
      <w:snapToGrid w:val="0"/>
      <w:jc w:val="left"/>
    </w:pPr>
    <w:rPr>
      <w:sz w:val="18"/>
      <w:szCs w:val="18"/>
    </w:rPr>
  </w:style>
  <w:style w:type="paragraph" w:styleId="18">
    <w:name w:val="toc 2"/>
    <w:basedOn w:val="1"/>
    <w:next w:val="1"/>
    <w:unhideWhenUsed/>
    <w:qFormat/>
    <w:uiPriority w:val="39"/>
    <w:pPr>
      <w:tabs>
        <w:tab w:val="right" w:leader="dot" w:pos="9344"/>
      </w:tabs>
      <w:ind w:left="420" w:leftChars="200"/>
    </w:pPr>
  </w:style>
  <w:style w:type="paragraph" w:styleId="19">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20">
    <w:name w:val="Title"/>
    <w:basedOn w:val="1"/>
    <w:next w:val="1"/>
    <w:link w:val="37"/>
    <w:qFormat/>
    <w:uiPriority w:val="10"/>
    <w:pPr>
      <w:spacing w:before="240" w:after="60"/>
      <w:jc w:val="center"/>
      <w:outlineLvl w:val="0"/>
    </w:pPr>
    <w:rPr>
      <w:rFonts w:eastAsia="宋体" w:asciiTheme="majorHAnsi" w:hAnsiTheme="majorHAnsi" w:cstheme="majorBidi"/>
      <w:b/>
      <w:bCs/>
      <w:sz w:val="32"/>
      <w:szCs w:val="32"/>
    </w:rPr>
  </w:style>
  <w:style w:type="table" w:styleId="22">
    <w:name w:val="Table Grid"/>
    <w:basedOn w:val="2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Hyperlink"/>
    <w:basedOn w:val="23"/>
    <w:unhideWhenUsed/>
    <w:qFormat/>
    <w:uiPriority w:val="99"/>
    <w:rPr>
      <w:color w:val="0000FF" w:themeColor="hyperlink"/>
      <w:u w:val="single"/>
      <w14:textFill>
        <w14:solidFill>
          <w14:schemeClr w14:val="hlink"/>
        </w14:solidFill>
      </w14:textFill>
    </w:rPr>
  </w:style>
  <w:style w:type="character" w:styleId="25">
    <w:name w:val="annotation reference"/>
    <w:basedOn w:val="23"/>
    <w:semiHidden/>
    <w:unhideWhenUsed/>
    <w:qFormat/>
    <w:uiPriority w:val="99"/>
    <w:rPr>
      <w:sz w:val="21"/>
      <w:szCs w:val="21"/>
    </w:rPr>
  </w:style>
  <w:style w:type="character" w:customStyle="1" w:styleId="26">
    <w:name w:val="页眉 字符"/>
    <w:basedOn w:val="23"/>
    <w:link w:val="14"/>
    <w:qFormat/>
    <w:uiPriority w:val="99"/>
    <w:rPr>
      <w:sz w:val="18"/>
      <w:szCs w:val="18"/>
    </w:rPr>
  </w:style>
  <w:style w:type="character" w:customStyle="1" w:styleId="27">
    <w:name w:val="页脚 字符"/>
    <w:basedOn w:val="23"/>
    <w:link w:val="13"/>
    <w:qFormat/>
    <w:uiPriority w:val="99"/>
    <w:rPr>
      <w:sz w:val="18"/>
      <w:szCs w:val="18"/>
    </w:rPr>
  </w:style>
  <w:style w:type="character" w:customStyle="1" w:styleId="28">
    <w:name w:val="批注框文本 字符"/>
    <w:basedOn w:val="23"/>
    <w:link w:val="12"/>
    <w:semiHidden/>
    <w:qFormat/>
    <w:uiPriority w:val="99"/>
    <w:rPr>
      <w:sz w:val="18"/>
      <w:szCs w:val="18"/>
    </w:rPr>
  </w:style>
  <w:style w:type="paragraph" w:styleId="29">
    <w:name w:val="List Paragraph"/>
    <w:basedOn w:val="1"/>
    <w:qFormat/>
    <w:uiPriority w:val="34"/>
    <w:pPr>
      <w:ind w:firstLine="420" w:firstLineChars="200"/>
    </w:pPr>
  </w:style>
  <w:style w:type="paragraph" w:customStyle="1" w:styleId="30">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1">
    <w:name w:val="Char Char Char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2">
    <w:name w:val="标题 1 字符"/>
    <w:basedOn w:val="23"/>
    <w:link w:val="3"/>
    <w:qFormat/>
    <w:uiPriority w:val="99"/>
    <w:rPr>
      <w:rFonts w:ascii="Calibri" w:hAnsi="Calibri" w:eastAsia="宋体" w:cs="Times New Roman"/>
      <w:b/>
      <w:bCs/>
      <w:kern w:val="44"/>
      <w:sz w:val="44"/>
      <w:szCs w:val="44"/>
    </w:rPr>
  </w:style>
  <w:style w:type="paragraph" w:styleId="33">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34">
    <w:name w:val="封面标准号1"/>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character" w:customStyle="1" w:styleId="35">
    <w:name w:val="不明显强调1"/>
    <w:basedOn w:val="23"/>
    <w:qFormat/>
    <w:uiPriority w:val="19"/>
    <w:rPr>
      <w:i/>
      <w:iCs/>
      <w:color w:val="808080" w:themeColor="text1" w:themeTint="80"/>
      <w14:textFill>
        <w14:solidFill>
          <w14:schemeClr w14:val="tx1">
            <w14:lumMod w14:val="50000"/>
            <w14:lumOff w14:val="50000"/>
          </w14:schemeClr>
        </w14:solidFill>
      </w14:textFill>
    </w:rPr>
  </w:style>
  <w:style w:type="character" w:customStyle="1" w:styleId="36">
    <w:name w:val="副标题 字符"/>
    <w:basedOn w:val="23"/>
    <w:link w:val="16"/>
    <w:qFormat/>
    <w:uiPriority w:val="11"/>
    <w:rPr>
      <w:rFonts w:eastAsia="宋体" w:asciiTheme="majorHAnsi" w:hAnsiTheme="majorHAnsi" w:cstheme="majorBidi"/>
      <w:b/>
      <w:bCs/>
      <w:kern w:val="28"/>
      <w:sz w:val="32"/>
      <w:szCs w:val="32"/>
    </w:rPr>
  </w:style>
  <w:style w:type="character" w:customStyle="1" w:styleId="37">
    <w:name w:val="标题 字符"/>
    <w:basedOn w:val="23"/>
    <w:link w:val="20"/>
    <w:qFormat/>
    <w:uiPriority w:val="10"/>
    <w:rPr>
      <w:rFonts w:eastAsia="宋体" w:asciiTheme="majorHAnsi" w:hAnsiTheme="majorHAnsi" w:cstheme="majorBidi"/>
      <w:b/>
      <w:bCs/>
      <w:sz w:val="32"/>
      <w:szCs w:val="32"/>
    </w:rPr>
  </w:style>
  <w:style w:type="character" w:customStyle="1" w:styleId="38">
    <w:name w:val="标题 2 字符"/>
    <w:basedOn w:val="23"/>
    <w:link w:val="4"/>
    <w:qFormat/>
    <w:uiPriority w:val="9"/>
    <w:rPr>
      <w:rFonts w:asciiTheme="majorHAnsi" w:hAnsiTheme="majorHAnsi" w:eastAsiaTheme="majorEastAsia" w:cstheme="majorBidi"/>
      <w:b/>
      <w:bCs/>
      <w:sz w:val="32"/>
      <w:szCs w:val="32"/>
    </w:rPr>
  </w:style>
  <w:style w:type="character" w:customStyle="1" w:styleId="39">
    <w:name w:val="标题 3 字符"/>
    <w:basedOn w:val="23"/>
    <w:link w:val="5"/>
    <w:semiHidden/>
    <w:qFormat/>
    <w:uiPriority w:val="9"/>
    <w:rPr>
      <w:b/>
      <w:bCs/>
      <w:sz w:val="32"/>
      <w:szCs w:val="32"/>
    </w:rPr>
  </w:style>
  <w:style w:type="character" w:customStyle="1" w:styleId="40">
    <w:name w:val="正文文本缩进 2 字符"/>
    <w:basedOn w:val="23"/>
    <w:link w:val="11"/>
    <w:qFormat/>
    <w:uiPriority w:val="0"/>
    <w:rPr>
      <w:rFonts w:ascii="宋体" w:hAnsi="宋体" w:eastAsia="宋体" w:cs="Times New Roman"/>
      <w:snapToGrid w:val="0"/>
      <w:kern w:val="0"/>
      <w:szCs w:val="24"/>
    </w:rPr>
  </w:style>
  <w:style w:type="paragraph" w:customStyle="1" w:styleId="41">
    <w:name w:val="三级条标题"/>
    <w:basedOn w:val="1"/>
    <w:next w:val="1"/>
    <w:qFormat/>
    <w:uiPriority w:val="0"/>
    <w:pPr>
      <w:widowControl/>
      <w:ind w:left="855"/>
      <w:outlineLvl w:val="4"/>
    </w:pPr>
    <w:rPr>
      <w:rFonts w:ascii="黑体" w:hAnsi="Times New Roman" w:eastAsia="黑体" w:cs="Times New Roman"/>
      <w:kern w:val="0"/>
      <w:szCs w:val="20"/>
    </w:rPr>
  </w:style>
  <w:style w:type="paragraph" w:customStyle="1" w:styleId="42">
    <w:name w:val="附录章标题"/>
    <w:next w:val="1"/>
    <w:qFormat/>
    <w:uiPriority w:val="0"/>
    <w:pPr>
      <w:wordWrap w:val="0"/>
      <w:overflowPunct w:val="0"/>
      <w:autoSpaceDE w:val="0"/>
      <w:spacing w:beforeLines="50" w:afterLines="50"/>
      <w:ind w:left="4047"/>
      <w:jc w:val="both"/>
      <w:textAlignment w:val="baseline"/>
      <w:outlineLvl w:val="1"/>
    </w:pPr>
    <w:rPr>
      <w:rFonts w:ascii="黑体" w:hAnsi="Times New Roman" w:eastAsia="黑体" w:cs="Times New Roman"/>
      <w:kern w:val="21"/>
      <w:sz w:val="21"/>
      <w:lang w:val="en-US" w:eastAsia="zh-CN" w:bidi="ar-SA"/>
    </w:rPr>
  </w:style>
  <w:style w:type="paragraph" w:customStyle="1" w:styleId="43">
    <w:name w:val="附录表标题"/>
    <w:next w:val="1"/>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44">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45">
    <w:name w:val="high-light-bg4"/>
    <w:basedOn w:val="23"/>
    <w:qFormat/>
    <w:uiPriority w:val="0"/>
  </w:style>
  <w:style w:type="character" w:customStyle="1" w:styleId="46">
    <w:name w:val="ordinary-span-edit2"/>
    <w:basedOn w:val="23"/>
    <w:qFormat/>
    <w:uiPriority w:val="0"/>
  </w:style>
  <w:style w:type="character" w:customStyle="1" w:styleId="47">
    <w:name w:val="日期 字符"/>
    <w:basedOn w:val="23"/>
    <w:link w:val="10"/>
    <w:semiHidden/>
    <w:qFormat/>
    <w:uiPriority w:val="99"/>
  </w:style>
  <w:style w:type="paragraph" w:customStyle="1" w:styleId="48">
    <w:name w:val="正文1"/>
    <w:qFormat/>
    <w:uiPriority w:val="0"/>
    <w:pPr>
      <w:jc w:val="both"/>
    </w:pPr>
    <w:rPr>
      <w:rFonts w:ascii="Calibri" w:hAnsi="Calibri" w:eastAsia="宋体" w:cs="宋体"/>
      <w:kern w:val="2"/>
      <w:sz w:val="21"/>
      <w:szCs w:val="21"/>
      <w:lang w:val="en-US" w:eastAsia="zh-CN" w:bidi="ar-SA"/>
    </w:rPr>
  </w:style>
  <w:style w:type="character" w:customStyle="1" w:styleId="49">
    <w:name w:val="dash6b63_6587__char1"/>
    <w:qFormat/>
    <w:uiPriority w:val="0"/>
    <w:rPr>
      <w:rFonts w:hint="default" w:ascii="Times New Roman" w:hAnsi="Times New Roman" w:cs="Times New Roman"/>
      <w:sz w:val="20"/>
      <w:szCs w:val="20"/>
      <w:u w:val="none"/>
    </w:rPr>
  </w:style>
  <w:style w:type="paragraph" w:customStyle="1" w:styleId="50">
    <w:name w:val="标准文件_前言、引言标题"/>
    <w:next w:val="1"/>
    <w:qFormat/>
    <w:uiPriority w:val="0"/>
    <w:pPr>
      <w:numPr>
        <w:ilvl w:val="0"/>
        <w:numId w:val="1"/>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51">
    <w:name w:val="章标题"/>
    <w:next w:val="52"/>
    <w:qFormat/>
    <w:uiPriority w:val="0"/>
    <w:pPr>
      <w:numPr>
        <w:ilvl w:val="0"/>
        <w:numId w:val="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52">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53">
    <w:name w:val="一级条标题"/>
    <w:next w:val="52"/>
    <w:qFormat/>
    <w:uiPriority w:val="0"/>
    <w:pPr>
      <w:numPr>
        <w:ilvl w:val="1"/>
        <w:numId w:val="2"/>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54">
    <w:name w:val="二级无"/>
    <w:basedOn w:val="55"/>
    <w:qFormat/>
    <w:uiPriority w:val="0"/>
    <w:pPr>
      <w:spacing w:before="0" w:beforeLines="0" w:after="0" w:afterLines="0"/>
    </w:pPr>
    <w:rPr>
      <w:rFonts w:ascii="宋体" w:eastAsia="宋体"/>
    </w:rPr>
  </w:style>
  <w:style w:type="paragraph" w:customStyle="1" w:styleId="55">
    <w:name w:val="二级条标题"/>
    <w:basedOn w:val="53"/>
    <w:next w:val="52"/>
    <w:qFormat/>
    <w:uiPriority w:val="0"/>
    <w:pPr>
      <w:numPr>
        <w:ilvl w:val="2"/>
      </w:numPr>
      <w:spacing w:before="50" w:after="50"/>
      <w:outlineLvl w:val="3"/>
    </w:pPr>
  </w:style>
  <w:style w:type="paragraph" w:customStyle="1" w:styleId="56">
    <w:name w:val="字母编号列项（一级）"/>
    <w:qFormat/>
    <w:uiPriority w:val="0"/>
    <w:pPr>
      <w:numPr>
        <w:ilvl w:val="0"/>
        <w:numId w:val="3"/>
      </w:numPr>
      <w:jc w:val="both"/>
    </w:pPr>
    <w:rPr>
      <w:rFonts w:ascii="宋体" w:hAnsi="Times New Roman" w:eastAsia="宋体" w:cs="Times New Roman"/>
      <w:sz w:val="21"/>
      <w:lang w:val="en-US" w:eastAsia="zh-CN" w:bidi="ar-SA"/>
    </w:rPr>
  </w:style>
  <w:style w:type="paragraph" w:customStyle="1" w:styleId="57">
    <w:name w:val="列项●（二级）"/>
    <w:qFormat/>
    <w:uiPriority w:val="0"/>
    <w:pPr>
      <w:numPr>
        <w:ilvl w:val="1"/>
        <w:numId w:val="4"/>
      </w:numPr>
      <w:tabs>
        <w:tab w:val="left" w:pos="840"/>
      </w:tabs>
      <w:jc w:val="both"/>
    </w:pPr>
    <w:rPr>
      <w:rFonts w:ascii="宋体" w:hAnsi="Times New Roman" w:eastAsia="宋体" w:cs="Times New Roman"/>
      <w:sz w:val="21"/>
      <w:lang w:val="en-US" w:eastAsia="zh-CN" w:bidi="ar-SA"/>
    </w:rPr>
  </w:style>
  <w:style w:type="paragraph" w:customStyle="1" w:styleId="58">
    <w:name w:val="注：（正文）"/>
    <w:basedOn w:val="59"/>
    <w:next w:val="52"/>
    <w:qFormat/>
    <w:uiPriority w:val="0"/>
  </w:style>
  <w:style w:type="paragraph" w:customStyle="1" w:styleId="59">
    <w:name w:val="注："/>
    <w:next w:val="52"/>
    <w:qFormat/>
    <w:uiPriority w:val="0"/>
    <w:pPr>
      <w:widowControl w:val="0"/>
      <w:numPr>
        <w:ilvl w:val="0"/>
        <w:numId w:val="5"/>
      </w:numPr>
      <w:autoSpaceDE w:val="0"/>
      <w:autoSpaceDN w:val="0"/>
      <w:jc w:val="both"/>
    </w:pPr>
    <w:rPr>
      <w:rFonts w:ascii="宋体" w:hAnsi="Times New Roman" w:eastAsia="宋体" w:cs="Times New Roman"/>
      <w:sz w:val="18"/>
      <w:szCs w:val="18"/>
      <w:lang w:val="en-US" w:eastAsia="zh-CN" w:bidi="ar-SA"/>
    </w:rPr>
  </w:style>
  <w:style w:type="paragraph" w:customStyle="1" w:styleId="60">
    <w:name w:val="附录标识"/>
    <w:basedOn w:val="1"/>
    <w:next w:val="52"/>
    <w:qFormat/>
    <w:uiPriority w:val="0"/>
    <w:pPr>
      <w:keepNext/>
      <w:widowControl/>
      <w:numPr>
        <w:ilvl w:val="0"/>
        <w:numId w:val="6"/>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61">
    <w:name w:val="正文表标题"/>
    <w:next w:val="52"/>
    <w:qFormat/>
    <w:uiPriority w:val="0"/>
    <w:pPr>
      <w:numPr>
        <w:ilvl w:val="0"/>
        <w:numId w:val="7"/>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62">
    <w:name w:val="Other|1"/>
    <w:basedOn w:val="1"/>
    <w:qFormat/>
    <w:uiPriority w:val="0"/>
    <w:rPr>
      <w:rFonts w:ascii="宋体" w:hAnsi="宋体" w:cs="宋体"/>
      <w:sz w:val="19"/>
      <w:szCs w:val="19"/>
      <w:lang w:val="zh-CN" w:bidi="zh-CN"/>
    </w:rPr>
  </w:style>
  <w:style w:type="paragraph" w:customStyle="1" w:styleId="63">
    <w:name w:val="终结线"/>
    <w:basedOn w:val="1"/>
    <w:qFormat/>
    <w:uiPriority w:val="0"/>
    <w:pPr>
      <w:framePr w:hSpace="181" w:vSpace="181" w:wrap="around" w:vAnchor="text" w:hAnchor="margin" w:xAlign="center" w:y="285"/>
    </w:pPr>
  </w:style>
  <w:style w:type="paragraph" w:customStyle="1" w:styleId="64">
    <w:name w:val="标准文件_术语条一"/>
    <w:basedOn w:val="65"/>
    <w:next w:val="68"/>
    <w:qFormat/>
    <w:uiPriority w:val="0"/>
  </w:style>
  <w:style w:type="paragraph" w:customStyle="1" w:styleId="65">
    <w:name w:val="标准文件_一级无标题"/>
    <w:basedOn w:val="66"/>
    <w:qFormat/>
    <w:uiPriority w:val="0"/>
    <w:pPr>
      <w:spacing w:before="0" w:beforeLines="0" w:after="0" w:afterLines="0"/>
      <w:outlineLvl w:val="9"/>
    </w:pPr>
    <w:rPr>
      <w:rFonts w:ascii="宋体" w:eastAsia="宋体"/>
    </w:rPr>
  </w:style>
  <w:style w:type="paragraph" w:customStyle="1" w:styleId="66">
    <w:name w:val="标准文件_一级条标题"/>
    <w:basedOn w:val="67"/>
    <w:next w:val="68"/>
    <w:qFormat/>
    <w:uiPriority w:val="0"/>
    <w:pPr>
      <w:numPr>
        <w:ilvl w:val="2"/>
      </w:numPr>
      <w:spacing w:before="50" w:beforeLines="50" w:after="50" w:afterLines="50"/>
      <w:outlineLvl w:val="1"/>
    </w:pPr>
  </w:style>
  <w:style w:type="paragraph" w:customStyle="1" w:styleId="67">
    <w:name w:val="标准文件_章标题"/>
    <w:next w:val="68"/>
    <w:qFormat/>
    <w:uiPriority w:val="0"/>
    <w:pPr>
      <w:numPr>
        <w:ilvl w:val="1"/>
        <w:numId w:val="8"/>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68">
    <w:name w:val="标准文件_段"/>
    <w:link w:val="85"/>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9">
    <w:name w:val="标准文件_二级无标题"/>
    <w:basedOn w:val="70"/>
    <w:qFormat/>
    <w:uiPriority w:val="0"/>
    <w:pPr>
      <w:spacing w:before="0" w:beforeLines="0" w:after="0" w:afterLines="0"/>
      <w:outlineLvl w:val="9"/>
    </w:pPr>
    <w:rPr>
      <w:rFonts w:ascii="宋体" w:eastAsia="宋体"/>
    </w:rPr>
  </w:style>
  <w:style w:type="paragraph" w:customStyle="1" w:styleId="70">
    <w:name w:val="标准文件_二级条标题"/>
    <w:next w:val="68"/>
    <w:qFormat/>
    <w:uiPriority w:val="0"/>
    <w:pPr>
      <w:widowControl w:val="0"/>
      <w:numPr>
        <w:ilvl w:val="3"/>
        <w:numId w:val="8"/>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71">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72">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73">
    <w:name w:val="说明文字"/>
    <w:basedOn w:val="1"/>
    <w:qFormat/>
    <w:uiPriority w:val="0"/>
  </w:style>
  <w:style w:type="paragraph" w:customStyle="1" w:styleId="74">
    <w:name w:val="标准文件_附录一级条标题"/>
    <w:next w:val="68"/>
    <w:qFormat/>
    <w:uiPriority w:val="0"/>
    <w:pPr>
      <w:widowControl w:val="0"/>
      <w:numPr>
        <w:ilvl w:val="1"/>
        <w:numId w:val="6"/>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5">
    <w:name w:val="标准文件_附录图标题"/>
    <w:next w:val="68"/>
    <w:qFormat/>
    <w:uiPriority w:val="0"/>
    <w:pPr>
      <w:numPr>
        <w:ilvl w:val="1"/>
        <w:numId w:val="9"/>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76">
    <w:name w:val="标准文件_参考文献标题"/>
    <w:basedOn w:val="1"/>
    <w:next w:val="1"/>
    <w:qFormat/>
    <w:uiPriority w:val="0"/>
    <w:pPr>
      <w:widowControl/>
      <w:shd w:val="clear" w:color="FFFFFF" w:fill="FFFFFF"/>
      <w:spacing w:before="580" w:after="50" w:afterLines="50"/>
      <w:jc w:val="center"/>
      <w:outlineLvl w:val="0"/>
    </w:pPr>
    <w:rPr>
      <w:rFonts w:ascii="黑体" w:eastAsia="黑体"/>
      <w:kern w:val="0"/>
    </w:rPr>
  </w:style>
  <w:style w:type="paragraph" w:customStyle="1" w:styleId="77">
    <w:name w:val="标准文件_表格"/>
    <w:basedOn w:val="68"/>
    <w:qFormat/>
    <w:uiPriority w:val="0"/>
    <w:pPr>
      <w:ind w:firstLine="0" w:firstLineChars="0"/>
      <w:jc w:val="center"/>
    </w:pPr>
    <w:rPr>
      <w:sz w:val="18"/>
    </w:rPr>
  </w:style>
  <w:style w:type="paragraph" w:customStyle="1" w:styleId="78">
    <w:name w:val="标准文件_注×："/>
    <w:qFormat/>
    <w:uiPriority w:val="0"/>
    <w:pPr>
      <w:widowControl w:val="0"/>
      <w:numPr>
        <w:ilvl w:val="0"/>
        <w:numId w:val="10"/>
      </w:numPr>
      <w:autoSpaceDE w:val="0"/>
      <w:autoSpaceDN w:val="0"/>
      <w:jc w:val="both"/>
    </w:pPr>
    <w:rPr>
      <w:rFonts w:ascii="宋体" w:hAnsi="Times New Roman" w:eastAsia="宋体" w:cs="Times New Roman"/>
      <w:sz w:val="18"/>
      <w:szCs w:val="18"/>
      <w:lang w:val="en-US" w:eastAsia="zh-CN" w:bidi="ar-SA"/>
    </w:rPr>
  </w:style>
  <w:style w:type="paragraph" w:customStyle="1" w:styleId="79">
    <w:name w:val="标准文件_文件名称"/>
    <w:basedOn w:val="68"/>
    <w:next w:val="68"/>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80">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81">
    <w:name w:val="标准文件_三级条标题"/>
    <w:basedOn w:val="70"/>
    <w:next w:val="68"/>
    <w:qFormat/>
    <w:uiPriority w:val="0"/>
    <w:pPr>
      <w:widowControl/>
      <w:numPr>
        <w:ilvl w:val="0"/>
        <w:numId w:val="0"/>
      </w:numPr>
      <w:outlineLvl w:val="3"/>
    </w:pPr>
  </w:style>
  <w:style w:type="paragraph" w:customStyle="1" w:styleId="82">
    <w:name w:val="标准文件_四级条标题"/>
    <w:next w:val="68"/>
    <w:qFormat/>
    <w:uiPriority w:val="0"/>
    <w:pPr>
      <w:widowControl w:val="0"/>
      <w:spacing w:before="50" w:beforeLines="50" w:after="50" w:afterLines="50"/>
      <w:jc w:val="both"/>
      <w:outlineLvl w:val="4"/>
    </w:pPr>
    <w:rPr>
      <w:rFonts w:ascii="黑体" w:hAnsi="Times New Roman" w:eastAsia="黑体" w:cs="Times New Roman"/>
      <w:sz w:val="21"/>
      <w:lang w:val="en-US" w:eastAsia="zh-CN" w:bidi="ar-SA"/>
    </w:rPr>
  </w:style>
  <w:style w:type="paragraph" w:customStyle="1" w:styleId="83">
    <w:name w:val="标准文件_五级条标题"/>
    <w:next w:val="68"/>
    <w:qFormat/>
    <w:uiPriority w:val="0"/>
    <w:pPr>
      <w:widowControl w:val="0"/>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84">
    <w:name w:val="前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character" w:customStyle="1" w:styleId="85">
    <w:name w:val="标准文件_段 Char"/>
    <w:link w:val="68"/>
    <w:qFormat/>
    <w:uiPriority w:val="0"/>
    <w:rPr>
      <w:rFonts w:ascii="宋体"/>
      <w:sz w:val="21"/>
    </w:rPr>
  </w:style>
  <w:style w:type="paragraph" w:customStyle="1" w:styleId="86">
    <w:name w:val="标准文件_数字编号列项（二级）"/>
    <w:qFormat/>
    <w:uiPriority w:val="0"/>
    <w:pPr>
      <w:numPr>
        <w:ilvl w:val="1"/>
        <w:numId w:val="11"/>
      </w:numPr>
      <w:jc w:val="both"/>
    </w:pPr>
    <w:rPr>
      <w:rFonts w:ascii="宋体" w:hAnsi="Times New Roman" w:eastAsia="宋体" w:cs="Times New Roman"/>
      <w:sz w:val="21"/>
      <w:lang w:val="en-US" w:eastAsia="zh-CN" w:bidi="ar-SA"/>
    </w:rPr>
  </w:style>
  <w:style w:type="paragraph" w:customStyle="1" w:styleId="87">
    <w:name w:val="标准文件_正文图标题"/>
    <w:next w:val="68"/>
    <w:qFormat/>
    <w:uiPriority w:val="0"/>
    <w:pPr>
      <w:numPr>
        <w:ilvl w:val="0"/>
        <w:numId w:val="12"/>
      </w:numPr>
      <w:spacing w:before="50" w:beforeLines="50" w:after="50" w:afterLines="50"/>
      <w:jc w:val="center"/>
    </w:pPr>
    <w:rPr>
      <w:rFonts w:ascii="黑体" w:hAnsi="Times New Roman" w:eastAsia="黑体" w:cs="Times New Roman"/>
      <w:sz w:val="21"/>
      <w:lang w:val="en-US" w:eastAsia="zh-CN" w:bidi="ar-SA"/>
    </w:rPr>
  </w:style>
  <w:style w:type="paragraph" w:customStyle="1" w:styleId="88">
    <w:name w:val="标准文件_编号列项（三级）"/>
    <w:qFormat/>
    <w:uiPriority w:val="0"/>
    <w:pPr>
      <w:numPr>
        <w:ilvl w:val="2"/>
        <w:numId w:val="11"/>
      </w:numPr>
    </w:pPr>
    <w:rPr>
      <w:rFonts w:ascii="宋体" w:hAnsi="Times New Roman" w:eastAsia="宋体" w:cs="Times New Roman"/>
      <w:sz w:val="21"/>
      <w:lang w:val="en-US" w:eastAsia="zh-CN" w:bidi="ar-SA"/>
    </w:rPr>
  </w:style>
  <w:style w:type="paragraph" w:customStyle="1" w:styleId="89">
    <w:name w:val="标准文件_三级无标题"/>
    <w:basedOn w:val="81"/>
    <w:qFormat/>
    <w:uiPriority w:val="0"/>
    <w:pPr>
      <w:numPr>
        <w:ilvl w:val="4"/>
        <w:numId w:val="2"/>
      </w:numPr>
      <w:spacing w:before="0" w:beforeLines="0" w:after="0" w:afterLines="0"/>
      <w:outlineLvl w:val="9"/>
    </w:pPr>
    <w:rPr>
      <w:rFonts w:ascii="宋体" w:eastAsia="宋体"/>
    </w:rPr>
  </w:style>
  <w:style w:type="paragraph" w:customStyle="1" w:styleId="90">
    <w:name w:val="标准文件_字母编号列项（一级）"/>
    <w:qFormat/>
    <w:uiPriority w:val="0"/>
    <w:pPr>
      <w:numPr>
        <w:ilvl w:val="0"/>
        <w:numId w:val="11"/>
      </w:numPr>
      <w:jc w:val="both"/>
    </w:pPr>
    <w:rPr>
      <w:rFonts w:ascii="宋体" w:hAnsi="Times New Roman" w:eastAsia="宋体" w:cs="Times New Roman"/>
      <w:sz w:val="21"/>
      <w:lang w:val="en-US" w:eastAsia="zh-CN" w:bidi="ar-SA"/>
    </w:rPr>
  </w:style>
  <w:style w:type="paragraph" w:customStyle="1" w:styleId="91">
    <w:name w:val="标准文件_附录图标号"/>
    <w:basedOn w:val="68"/>
    <w:next w:val="68"/>
    <w:qFormat/>
    <w:uiPriority w:val="0"/>
    <w:pPr>
      <w:spacing w:line="14" w:lineRule="exact"/>
      <w:ind w:left="420" w:firstLine="0" w:firstLineChars="0"/>
      <w:jc w:val="center"/>
    </w:pPr>
    <w:rPr>
      <w:rFonts w:ascii="黑体" w:hAnsi="黑体" w:eastAsia="黑体"/>
      <w:vanish/>
      <w:sz w:val="2"/>
      <w:szCs w:val="21"/>
    </w:rPr>
  </w:style>
  <w:style w:type="paragraph" w:customStyle="1" w:styleId="92">
    <w:name w:val="标准文件_版本"/>
    <w:basedOn w:val="1"/>
    <w:qFormat/>
    <w:uiPriority w:val="0"/>
    <w:pPr>
      <w:spacing w:line="400" w:lineRule="exact"/>
    </w:pPr>
    <w:rPr>
      <w:rFonts w:ascii="宋体" w:hAnsi="宋体" w:eastAsia="宋体" w:cs="Times New Roman"/>
      <w:szCs w:val="21"/>
    </w:rPr>
  </w:style>
  <w:style w:type="paragraph" w:customStyle="1" w:styleId="93">
    <w:name w:val="标准文件_附录标识"/>
    <w:next w:val="68"/>
    <w:qFormat/>
    <w:uiPriority w:val="0"/>
    <w:p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94">
    <w:name w:val="标准文件_附录二级条标题"/>
    <w:basedOn w:val="74"/>
    <w:next w:val="68"/>
    <w:qFormat/>
    <w:uiPriority w:val="0"/>
    <w:pPr>
      <w:widowControl/>
      <w:numPr>
        <w:ilvl w:val="0"/>
        <w:numId w:val="0"/>
      </w:numPr>
      <w:wordWrap w:val="0"/>
      <w:overflowPunct w:val="0"/>
      <w:autoSpaceDE w:val="0"/>
      <w:autoSpaceDN w:val="0"/>
      <w:textAlignment w:val="baseline"/>
      <w:outlineLvl w:val="3"/>
    </w:pPr>
  </w:style>
  <w:style w:type="paragraph" w:customStyle="1" w:styleId="95">
    <w:name w:val="标准文件_附录三级条标题"/>
    <w:next w:val="68"/>
    <w:qFormat/>
    <w:uiPriority w:val="0"/>
    <w:pPr>
      <w:widowControl w:val="0"/>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96">
    <w:name w:val="标准文件_附录四级条标题"/>
    <w:next w:val="68"/>
    <w:qFormat/>
    <w:uiPriority w:val="0"/>
    <w:pPr>
      <w:widowControl w:val="0"/>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97">
    <w:name w:val="标准文件_附录五级条标题"/>
    <w:next w:val="68"/>
    <w:qFormat/>
    <w:uiPriority w:val="0"/>
    <w:pPr>
      <w:widowControl w:val="0"/>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98">
    <w:name w:val="标准文件_附录二级无标题"/>
    <w:basedOn w:val="94"/>
    <w:qFormat/>
    <w:uiPriority w:val="0"/>
    <w:pPr>
      <w:spacing w:before="0" w:beforeLines="0" w:after="0" w:afterLines="0" w:line="276" w:lineRule="auto"/>
      <w:outlineLvl w:val="9"/>
    </w:pPr>
    <w:rPr>
      <w:rFonts w:ascii="宋体" w:eastAsia="宋体"/>
    </w:rPr>
  </w:style>
  <w:style w:type="paragraph" w:customStyle="1" w:styleId="99">
    <w:name w:val="标准文件_附录三级无标题"/>
    <w:basedOn w:val="95"/>
    <w:qFormat/>
    <w:uiPriority w:val="0"/>
    <w:pPr>
      <w:spacing w:before="0" w:beforeLines="0" w:after="0" w:afterLines="0" w:line="276" w:lineRule="auto"/>
      <w:outlineLvl w:val="9"/>
    </w:pPr>
    <w:rPr>
      <w:rFonts w:ascii="宋体" w:eastAsia="宋体"/>
    </w:rPr>
  </w:style>
  <w:style w:type="character" w:customStyle="1" w:styleId="100">
    <w:name w:val="脚注文本 字符"/>
    <w:basedOn w:val="23"/>
    <w:link w:val="17"/>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4.emf"/><Relationship Id="rId25" Type="http://schemas.openxmlformats.org/officeDocument/2006/relationships/oleObject" Target="embeddings/oleObject1.bin"/><Relationship Id="rId24" Type="http://schemas.openxmlformats.org/officeDocument/2006/relationships/image" Target="media/image3.jpeg"/><Relationship Id="rId23" Type="http://schemas.openxmlformats.org/officeDocument/2006/relationships/image" Target="media/image2.png"/><Relationship Id="rId22" Type="http://schemas.openxmlformats.org/officeDocument/2006/relationships/image" Target="media/image1.png"/><Relationship Id="rId21" Type="http://schemas.openxmlformats.org/officeDocument/2006/relationships/theme" Target="theme/theme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20</Pages>
  <Words>4170</Words>
  <Characters>4534</Characters>
  <Lines>566</Lines>
  <Paragraphs>572</Paragraphs>
  <TotalTime>17</TotalTime>
  <ScaleCrop>false</ScaleCrop>
  <LinksUpToDate>false</LinksUpToDate>
  <CharactersWithSpaces>4882</CharactersWithSpaces>
  <Application>WPS Office_11.8.2.9793_F1E327BC-269C-435d-A152-05C5408002CA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2025-04-01T18:13:00Z</dcterms:created>
  <dc:creator>wy</dc:creator>
  <cp:lastModifiedBy>sugou</cp:lastModifiedBy>
  <cp:lastPrinted>2022-09-06T17:26:00Z</cp:lastPrinted>
  <dcterms:modified xsi:type="dcterms:W3CDTF">2025-05-08T10:05:30Z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2052-11.8.2.9793</vt:lpwstr>
  </property>
  <property fmtid="{D5CDD505-2E9C-101B-9397-08002B2CF9AE}" pid="3" name="ICV">
    <vt:lpwstr>2D391516055844F695F153CAFD5B753F</vt:lpwstr>
  </property>
  <property fmtid="{D5CDD505-2E9C-101B-9397-08002B2CF9AE}" pid="4" name="KSOTemplateDocerSaveRecord">
    <vt:lpwstr>eyJoZGlkIjoiMjIxMDg2ZDVmODAxZDIyMjVlZjY0Zjk3MTNiYWIwMTciLCJ1c2VySWQiOiIxMzM4NDc1MDkxIn0=</vt:lpwstr>
  </property>
</Properties>
</file>