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61312"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1312;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rPr>
        <w:t>11.100</w:t>
      </w:r>
    </w:p>
    <w:p>
      <w:pPr>
        <w:rPr>
          <w:rFonts w:ascii="黑体" w:hAnsi="黑体" w:eastAsia="黑体" w:cs="Times New Roman"/>
        </w:rPr>
      </w:pPr>
      <w:r>
        <w:rPr>
          <w:rFonts w:ascii="黑体" w:hAnsi="黑体" w:eastAsia="黑体" w:cs="Times New Roman"/>
        </w:rPr>
        <w:t xml:space="preserve">CCS </w:t>
      </w:r>
      <w:r>
        <w:rPr>
          <w:rFonts w:ascii="黑体" w:hAnsi="黑体" w:eastAsia="黑体"/>
        </w:rPr>
        <w:t>C 00</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4384"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rPr>
                                <w:rFonts w:ascii="黑体" w:hAnsi="黑体" w:eastAsia="黑体"/>
                              </w:rPr>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4384;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rPr>
                          <w:rFonts w:ascii="黑体" w:hAnsi="黑体" w:eastAsia="黑体"/>
                        </w:rPr>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rightMargin">
                  <wp:posOffset>-1760220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15pt;margin-top:176.25pt;height:24pt;width:151.75pt;mso-position-horizontal-relative:page;mso-position-vertical-relative:page;z-index:251665408;mso-width-relative:page;mso-height-relative:page;" filled="f" stroked="f" coordsize="21600,21600" o:gfxdata="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NJ4cP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2336;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ascii="黑体" w:hAnsi="宋体" w:eastAsia="黑体"/>
                                <w:sz w:val="52"/>
                                <w:szCs w:val="52"/>
                              </w:rPr>
                            </w:pPr>
                            <w:r>
                              <w:rPr>
                                <w:rFonts w:hint="eastAsia" w:ascii="黑体" w:hAnsi="宋体" w:eastAsia="黑体"/>
                                <w:sz w:val="52"/>
                                <w:szCs w:val="52"/>
                              </w:rPr>
                              <w:t>血站核酸集中化检测管理规范</w:t>
                            </w:r>
                          </w:p>
                          <w:p>
                            <w:pPr>
                              <w:jc w:val="center"/>
                              <w:rPr>
                                <w:rFonts w:ascii="黑体" w:hAnsi="黑体" w:eastAsia="黑体"/>
                                <w:kern w:val="0"/>
                                <w:sz w:val="28"/>
                                <w:szCs w:val="21"/>
                              </w:rPr>
                            </w:pPr>
                            <w:r>
                              <w:rPr>
                                <w:rFonts w:ascii="黑体" w:hAnsi="黑体" w:eastAsia="黑体"/>
                                <w:kern w:val="0"/>
                                <w:sz w:val="28"/>
                                <w:szCs w:val="21"/>
                              </w:rPr>
                              <w:t xml:space="preserve">Management specification for centralized nucleic acid testing </w:t>
                            </w:r>
                          </w:p>
                          <w:p>
                            <w:pPr>
                              <w:jc w:val="center"/>
                              <w:rPr>
                                <w:rStyle w:val="44"/>
                                <w:rFonts w:ascii="黑体" w:hAnsi="黑体" w:eastAsia="黑体"/>
                                <w:kern w:val="0"/>
                                <w:sz w:val="28"/>
                                <w:szCs w:val="21"/>
                              </w:rPr>
                            </w:pPr>
                            <w:r>
                              <w:rPr>
                                <w:rFonts w:ascii="黑体" w:hAnsi="黑体" w:eastAsia="黑体"/>
                                <w:kern w:val="0"/>
                                <w:sz w:val="28"/>
                                <w:szCs w:val="21"/>
                              </w:rPr>
                              <w:t>at blood station</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3360;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血站核酸集中化检测管理规范</w:t>
                      </w:r>
                    </w:p>
                    <w:p>
                      <w:pPr>
                        <w:jc w:val="center"/>
                        <w:rPr>
                          <w:rFonts w:ascii="黑体" w:hAnsi="黑体" w:eastAsia="黑体"/>
                          <w:kern w:val="0"/>
                          <w:sz w:val="28"/>
                          <w:szCs w:val="21"/>
                        </w:rPr>
                      </w:pPr>
                      <w:r>
                        <w:rPr>
                          <w:rFonts w:ascii="黑体" w:hAnsi="黑体" w:eastAsia="黑体"/>
                          <w:kern w:val="0"/>
                          <w:sz w:val="28"/>
                          <w:szCs w:val="21"/>
                        </w:rPr>
                        <w:t xml:space="preserve">Management specification for centralized nucleic acid testing </w:t>
                      </w:r>
                    </w:p>
                    <w:p>
                      <w:pPr>
                        <w:jc w:val="center"/>
                        <w:rPr>
                          <w:rStyle w:val="44"/>
                          <w:rFonts w:ascii="黑体" w:hAnsi="黑体" w:eastAsia="黑体"/>
                          <w:kern w:val="0"/>
                          <w:sz w:val="28"/>
                          <w:szCs w:val="21"/>
                        </w:rPr>
                      </w:pPr>
                      <w:r>
                        <w:rPr>
                          <w:rFonts w:ascii="黑体" w:hAnsi="黑体" w:eastAsia="黑体"/>
                          <w:kern w:val="0"/>
                          <w:sz w:val="28"/>
                          <w:szCs w:val="21"/>
                        </w:rPr>
                        <w:t>at blood station</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6432"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6432;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XXXX-XX-XX发布                                       XXXX-XX-XX实施</w:t>
      </w:r>
    </w:p>
    <w:p>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黑体" w:hAnsi="黑体" w:eastAsia="黑体" w:cs="SimSun,Bold"/>
          <w:bCs/>
          <w:snapToGrid w:val="0"/>
          <w:kern w:val="0"/>
          <w:sz w:val="44"/>
          <w:szCs w:val="52"/>
        </w:rPr>
        <w:t xml:space="preserve"> </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44"/>
        </w:tabs>
        <w:rPr>
          <w:rFonts w:asciiTheme="minorEastAsia" w:hAnsiTheme="minorEastAsia"/>
        </w:rPr>
      </w:pPr>
      <w:r>
        <w:rPr>
          <w:rFonts w:hint="eastAsia" w:cs="宋体" w:asciiTheme="minorEastAsia" w:hAnsiTheme="minorEastAsia"/>
          <w:szCs w:val="21"/>
        </w:rPr>
        <w:fldChar w:fldCharType="begin"/>
      </w:r>
      <w:r>
        <w:rPr>
          <w:rFonts w:hint="eastAsia" w:cs="宋体" w:asciiTheme="minorEastAsia" w:hAnsiTheme="minorEastAsia"/>
          <w:szCs w:val="21"/>
        </w:rPr>
        <w:instrText xml:space="preserve"> TOC \o "1-3" \h \z \u </w:instrText>
      </w:r>
      <w:r>
        <w:rPr>
          <w:rFonts w:hint="eastAsia" w:cs="宋体" w:asciiTheme="minorEastAsia" w:hAnsiTheme="minorEastAsia"/>
          <w:szCs w:val="21"/>
        </w:rPr>
        <w:fldChar w:fldCharType="separate"/>
      </w:r>
      <w:r>
        <w:fldChar w:fldCharType="begin"/>
      </w:r>
      <w:r>
        <w:instrText xml:space="preserve"> HYPERLINK \l "_Toc188607744" </w:instrText>
      </w:r>
      <w:r>
        <w:fldChar w:fldCharType="separate"/>
      </w:r>
      <w:r>
        <w:rPr>
          <w:rStyle w:val="23"/>
          <w:rFonts w:hint="eastAsia" w:cs="黑体" w:asciiTheme="minorEastAsia" w:hAnsiTheme="minorEastAsia"/>
          <w:kern w:val="0"/>
        </w:rPr>
        <w:t>前言</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_Toc188607744 \h </w:instrText>
      </w:r>
      <w:r>
        <w:rPr>
          <w:rFonts w:asciiTheme="minorEastAsia" w:hAnsiTheme="minorEastAsia"/>
        </w:rPr>
        <w:fldChar w:fldCharType="separate"/>
      </w:r>
      <w:r>
        <w:rPr>
          <w:rFonts w:asciiTheme="minorEastAsia" w:hAnsiTheme="minorEastAsia"/>
        </w:rPr>
        <w:t>II</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"_Toc188607745" </w:instrText>
      </w:r>
      <w:r>
        <w:fldChar w:fldCharType="separate"/>
      </w:r>
      <w:r>
        <w:rPr>
          <w:rStyle w:val="23"/>
          <w:rFonts w:asciiTheme="minorEastAsia" w:hAnsiTheme="minorEastAsia"/>
        </w:rPr>
        <w:t>1</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范围</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_Toc188607745 \h </w:instrText>
      </w:r>
      <w:r>
        <w:rPr>
          <w:rFonts w:asciiTheme="minorEastAsia" w:hAnsiTheme="minorEastAsia"/>
        </w:rPr>
        <w:fldChar w:fldCharType="separate"/>
      </w:r>
      <w:r>
        <w:rPr>
          <w:rFonts w:asciiTheme="minorEastAsia" w:hAnsiTheme="minorEastAsia"/>
        </w:rPr>
        <w:t>1</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"_Toc188607746" </w:instrText>
      </w:r>
      <w:r>
        <w:fldChar w:fldCharType="separate"/>
      </w:r>
      <w:r>
        <w:rPr>
          <w:rStyle w:val="23"/>
          <w:rFonts w:asciiTheme="minorEastAsia" w:hAnsiTheme="minorEastAsia"/>
        </w:rPr>
        <w:t>2</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规范性引用文件</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_Toc188607746 \h </w:instrText>
      </w:r>
      <w:r>
        <w:rPr>
          <w:rFonts w:asciiTheme="minorEastAsia" w:hAnsiTheme="minorEastAsia"/>
        </w:rPr>
        <w:fldChar w:fldCharType="separate"/>
      </w:r>
      <w:r>
        <w:rPr>
          <w:rFonts w:asciiTheme="minorEastAsia" w:hAnsiTheme="minorEastAsia"/>
        </w:rPr>
        <w:t>1</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"_Toc188607747" </w:instrText>
      </w:r>
      <w:r>
        <w:fldChar w:fldCharType="separate"/>
      </w:r>
      <w:r>
        <w:rPr>
          <w:rStyle w:val="23"/>
          <w:rFonts w:asciiTheme="minorEastAsia" w:hAnsiTheme="minorEastAsia"/>
        </w:rPr>
        <w:t>3</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术语和定义</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_Toc188607747 \h </w:instrText>
      </w:r>
      <w:r>
        <w:rPr>
          <w:rFonts w:asciiTheme="minorEastAsia" w:hAnsiTheme="minorEastAsia"/>
        </w:rPr>
        <w:fldChar w:fldCharType="separate"/>
      </w:r>
      <w:r>
        <w:rPr>
          <w:rFonts w:asciiTheme="minorEastAsia" w:hAnsiTheme="minorEastAsia"/>
        </w:rPr>
        <w:t>1</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"_Toc188607748" </w:instrText>
      </w:r>
      <w:r>
        <w:fldChar w:fldCharType="separate"/>
      </w:r>
      <w:r>
        <w:rPr>
          <w:rStyle w:val="23"/>
          <w:rFonts w:asciiTheme="minorEastAsia" w:hAnsiTheme="minorEastAsia"/>
        </w:rPr>
        <w:t>4</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检测方要求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_Toc188607748 \h </w:instrText>
      </w:r>
      <w:r>
        <w:rPr>
          <w:rFonts w:asciiTheme="minorEastAsia" w:hAnsiTheme="minorEastAsia"/>
        </w:rPr>
        <w:fldChar w:fldCharType="separate"/>
      </w:r>
      <w:r>
        <w:rPr>
          <w:rFonts w:asciiTheme="minorEastAsia" w:hAnsiTheme="minorEastAsia"/>
        </w:rPr>
        <w:t>2</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"_Toc188607749" </w:instrText>
      </w:r>
      <w:r>
        <w:fldChar w:fldCharType="separate"/>
      </w:r>
      <w:r>
        <w:rPr>
          <w:rStyle w:val="23"/>
          <w:rFonts w:asciiTheme="minorEastAsia" w:hAnsiTheme="minorEastAsia"/>
        </w:rPr>
        <w:t xml:space="preserve">4.1  </w:t>
      </w:r>
      <w:r>
        <w:rPr>
          <w:rStyle w:val="23"/>
          <w:rFonts w:hint="eastAsia" w:asciiTheme="minorEastAsia" w:hAnsiTheme="minorEastAsia"/>
        </w:rPr>
        <w:t>人员要求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_Toc188607749 \h </w:instrText>
      </w:r>
      <w:r>
        <w:rPr>
          <w:rFonts w:asciiTheme="minorEastAsia" w:hAnsiTheme="minorEastAsia"/>
        </w:rPr>
        <w:fldChar w:fldCharType="separate"/>
      </w:r>
      <w:r>
        <w:rPr>
          <w:rFonts w:asciiTheme="minorEastAsia" w:hAnsiTheme="minorEastAsia"/>
        </w:rPr>
        <w:t>2</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"_Toc188607750" </w:instrText>
      </w:r>
      <w:r>
        <w:fldChar w:fldCharType="separate"/>
      </w:r>
      <w:r>
        <w:rPr>
          <w:rStyle w:val="23"/>
          <w:rFonts w:asciiTheme="minorEastAsia" w:hAnsiTheme="minorEastAsia"/>
        </w:rPr>
        <w:t xml:space="preserve">4.2  </w:t>
      </w:r>
      <w:r>
        <w:rPr>
          <w:rStyle w:val="23"/>
          <w:rFonts w:hint="eastAsia" w:asciiTheme="minorEastAsia" w:hAnsiTheme="minorEastAsia"/>
        </w:rPr>
        <w:t>设备要求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_Toc188607750 \h </w:instrText>
      </w:r>
      <w:r>
        <w:rPr>
          <w:rFonts w:asciiTheme="minorEastAsia" w:hAnsiTheme="minorEastAsia"/>
        </w:rPr>
        <w:fldChar w:fldCharType="separate"/>
      </w:r>
      <w:r>
        <w:rPr>
          <w:rFonts w:asciiTheme="minorEastAsia" w:hAnsiTheme="minorEastAsia"/>
        </w:rPr>
        <w:t>2</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"_Toc188607751" </w:instrText>
      </w:r>
      <w:r>
        <w:fldChar w:fldCharType="separate"/>
      </w:r>
      <w:r>
        <w:rPr>
          <w:rStyle w:val="23"/>
          <w:rFonts w:asciiTheme="minorEastAsia" w:hAnsiTheme="minorEastAsia"/>
        </w:rPr>
        <w:t xml:space="preserve">4.3  </w:t>
      </w:r>
      <w:r>
        <w:rPr>
          <w:rStyle w:val="23"/>
          <w:rFonts w:hint="eastAsia" w:asciiTheme="minorEastAsia" w:hAnsiTheme="minorEastAsia"/>
        </w:rPr>
        <w:t>标本要求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_Toc188607751 \h </w:instrText>
      </w:r>
      <w:r>
        <w:rPr>
          <w:rFonts w:asciiTheme="minorEastAsia" w:hAnsiTheme="minorEastAsia"/>
        </w:rPr>
        <w:fldChar w:fldCharType="separate"/>
      </w:r>
      <w:r>
        <w:rPr>
          <w:rFonts w:asciiTheme="minorEastAsia" w:hAnsiTheme="minorEastAsia"/>
        </w:rPr>
        <w:t>2</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"_Toc188607752" </w:instrText>
      </w:r>
      <w:r>
        <w:fldChar w:fldCharType="separate"/>
      </w:r>
      <w:r>
        <w:rPr>
          <w:rStyle w:val="23"/>
          <w:rFonts w:asciiTheme="minorEastAsia" w:hAnsiTheme="minorEastAsia"/>
        </w:rPr>
        <w:t xml:space="preserve">4.4  </w:t>
      </w:r>
      <w:r>
        <w:rPr>
          <w:rStyle w:val="23"/>
          <w:rFonts w:hint="eastAsia" w:asciiTheme="minorEastAsia" w:hAnsiTheme="minorEastAsia"/>
        </w:rPr>
        <w:t>技术要求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_Toc188607752 \h </w:instrText>
      </w:r>
      <w:r>
        <w:rPr>
          <w:rFonts w:asciiTheme="minorEastAsia" w:hAnsiTheme="minorEastAsia"/>
        </w:rPr>
        <w:fldChar w:fldCharType="separate"/>
      </w:r>
      <w:r>
        <w:rPr>
          <w:rFonts w:asciiTheme="minorEastAsia" w:hAnsiTheme="minorEastAsia"/>
        </w:rPr>
        <w:t>3</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"_Toc188607753" </w:instrText>
      </w:r>
      <w:r>
        <w:fldChar w:fldCharType="separate"/>
      </w:r>
      <w:r>
        <w:rPr>
          <w:rStyle w:val="23"/>
          <w:rFonts w:asciiTheme="minorEastAsia" w:hAnsiTheme="minorEastAsia"/>
        </w:rPr>
        <w:t xml:space="preserve">4.5  </w:t>
      </w:r>
      <w:r>
        <w:rPr>
          <w:rStyle w:val="23"/>
          <w:rFonts w:hint="eastAsia" w:asciiTheme="minorEastAsia" w:hAnsiTheme="minorEastAsia"/>
        </w:rPr>
        <w:t>生物安全</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_Toc188607753 \h </w:instrText>
      </w:r>
      <w:r>
        <w:rPr>
          <w:rFonts w:asciiTheme="minorEastAsia" w:hAnsiTheme="minorEastAsia"/>
        </w:rPr>
        <w:fldChar w:fldCharType="separate"/>
      </w:r>
      <w:r>
        <w:rPr>
          <w:rFonts w:asciiTheme="minorEastAsia" w:hAnsiTheme="minorEastAsia"/>
        </w:rPr>
        <w:t>3</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"_Toc188607754" </w:instrText>
      </w:r>
      <w:r>
        <w:fldChar w:fldCharType="separate"/>
      </w:r>
      <w:r>
        <w:rPr>
          <w:rStyle w:val="23"/>
          <w:rFonts w:asciiTheme="minorEastAsia" w:hAnsiTheme="minorEastAsia"/>
        </w:rPr>
        <w:t xml:space="preserve">4.6  </w:t>
      </w:r>
      <w:r>
        <w:rPr>
          <w:rStyle w:val="23"/>
          <w:rFonts w:hint="eastAsia" w:asciiTheme="minorEastAsia" w:hAnsiTheme="minorEastAsia"/>
        </w:rPr>
        <w:t>建筑、环境与设施要求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_Toc188607754 \h </w:instrText>
      </w:r>
      <w:r>
        <w:rPr>
          <w:rFonts w:asciiTheme="minorEastAsia" w:hAnsiTheme="minorEastAsia"/>
        </w:rPr>
        <w:fldChar w:fldCharType="separate"/>
      </w:r>
      <w:r>
        <w:rPr>
          <w:rFonts w:asciiTheme="minorEastAsia" w:hAnsiTheme="minorEastAsia"/>
        </w:rPr>
        <w:t>3</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"_Toc188607755" </w:instrText>
      </w:r>
      <w:r>
        <w:fldChar w:fldCharType="separate"/>
      </w:r>
      <w:r>
        <w:rPr>
          <w:rStyle w:val="23"/>
          <w:rFonts w:asciiTheme="minorEastAsia" w:hAnsiTheme="minorEastAsia"/>
        </w:rPr>
        <w:t>5</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委托方要求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_Toc188607755 \h </w:instrText>
      </w:r>
      <w:r>
        <w:rPr>
          <w:rFonts w:asciiTheme="minorEastAsia" w:hAnsiTheme="minorEastAsia"/>
        </w:rPr>
        <w:fldChar w:fldCharType="separate"/>
      </w:r>
      <w:r>
        <w:rPr>
          <w:rFonts w:asciiTheme="minorEastAsia" w:hAnsiTheme="minorEastAsia"/>
        </w:rPr>
        <w:t>3</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"_Toc188607756" </w:instrText>
      </w:r>
      <w:r>
        <w:fldChar w:fldCharType="separate"/>
      </w:r>
      <w:r>
        <w:rPr>
          <w:rStyle w:val="23"/>
          <w:rFonts w:asciiTheme="minorEastAsia" w:hAnsiTheme="minorEastAsia"/>
        </w:rPr>
        <w:t xml:space="preserve">5.1  </w:t>
      </w:r>
      <w:r>
        <w:rPr>
          <w:rStyle w:val="23"/>
          <w:rFonts w:hint="eastAsia" w:asciiTheme="minorEastAsia" w:hAnsiTheme="minorEastAsia"/>
        </w:rPr>
        <w:t>人员要求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_Toc188607756 \h </w:instrText>
      </w:r>
      <w:r>
        <w:rPr>
          <w:rFonts w:asciiTheme="minorEastAsia" w:hAnsiTheme="minorEastAsia"/>
        </w:rPr>
        <w:fldChar w:fldCharType="separate"/>
      </w:r>
      <w:r>
        <w:rPr>
          <w:rFonts w:asciiTheme="minorEastAsia" w:hAnsiTheme="minorEastAsia"/>
        </w:rPr>
        <w:t>3</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"_Toc188607757" </w:instrText>
      </w:r>
      <w:r>
        <w:fldChar w:fldCharType="separate"/>
      </w:r>
      <w:r>
        <w:rPr>
          <w:rStyle w:val="23"/>
          <w:rFonts w:asciiTheme="minorEastAsia" w:hAnsiTheme="minorEastAsia"/>
        </w:rPr>
        <w:t xml:space="preserve">5.2  </w:t>
      </w:r>
      <w:r>
        <w:rPr>
          <w:rStyle w:val="23"/>
          <w:rFonts w:hint="eastAsia" w:asciiTheme="minorEastAsia" w:hAnsiTheme="minorEastAsia"/>
        </w:rPr>
        <w:t>标本要求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_Toc188607757 \h </w:instrText>
      </w:r>
      <w:r>
        <w:rPr>
          <w:rFonts w:asciiTheme="minorEastAsia" w:hAnsiTheme="minorEastAsia"/>
        </w:rPr>
        <w:fldChar w:fldCharType="separate"/>
      </w:r>
      <w:r>
        <w:rPr>
          <w:rFonts w:asciiTheme="minorEastAsia" w:hAnsiTheme="minorEastAsia"/>
        </w:rPr>
        <w:t>4</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"_Toc188607758" </w:instrText>
      </w:r>
      <w:r>
        <w:fldChar w:fldCharType="separate"/>
      </w:r>
      <w:r>
        <w:rPr>
          <w:rStyle w:val="23"/>
          <w:rFonts w:asciiTheme="minorEastAsia" w:hAnsiTheme="minorEastAsia"/>
        </w:rPr>
        <w:t>6</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核酸集中化检测要求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_Toc188607758 \h </w:instrText>
      </w:r>
      <w:r>
        <w:rPr>
          <w:rFonts w:asciiTheme="minorEastAsia" w:hAnsiTheme="minorEastAsia"/>
        </w:rPr>
        <w:fldChar w:fldCharType="separate"/>
      </w:r>
      <w:r>
        <w:rPr>
          <w:rFonts w:asciiTheme="minorEastAsia" w:hAnsiTheme="minorEastAsia"/>
        </w:rPr>
        <w:t>4</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"_Toc188607759" </w:instrText>
      </w:r>
      <w:r>
        <w:fldChar w:fldCharType="separate"/>
      </w:r>
      <w:r>
        <w:rPr>
          <w:rStyle w:val="23"/>
          <w:rFonts w:asciiTheme="minorEastAsia" w:hAnsiTheme="minorEastAsia"/>
        </w:rPr>
        <w:t xml:space="preserve">6.1  </w:t>
      </w:r>
      <w:r>
        <w:rPr>
          <w:rStyle w:val="23"/>
          <w:rFonts w:hint="eastAsia" w:asciiTheme="minorEastAsia" w:hAnsiTheme="minorEastAsia"/>
        </w:rPr>
        <w:t>信息管理系统</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_Toc188607759 \h </w:instrText>
      </w:r>
      <w:r>
        <w:rPr>
          <w:rFonts w:asciiTheme="minorEastAsia" w:hAnsiTheme="minorEastAsia"/>
        </w:rPr>
        <w:fldChar w:fldCharType="separate"/>
      </w:r>
      <w:r>
        <w:rPr>
          <w:rFonts w:asciiTheme="minorEastAsia" w:hAnsiTheme="minorEastAsia"/>
        </w:rPr>
        <w:t>4</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"_Toc188607760" </w:instrText>
      </w:r>
      <w:r>
        <w:fldChar w:fldCharType="separate"/>
      </w:r>
      <w:r>
        <w:rPr>
          <w:rStyle w:val="23"/>
          <w:rFonts w:asciiTheme="minorEastAsia" w:hAnsiTheme="minorEastAsia"/>
        </w:rPr>
        <w:t xml:space="preserve">6.2  </w:t>
      </w:r>
      <w:r>
        <w:rPr>
          <w:rStyle w:val="23"/>
          <w:rFonts w:hint="eastAsia" w:asciiTheme="minorEastAsia" w:hAnsiTheme="minorEastAsia"/>
        </w:rPr>
        <w:t>交接规范</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_Toc188607760 \h </w:instrText>
      </w:r>
      <w:r>
        <w:rPr>
          <w:rFonts w:asciiTheme="minorEastAsia" w:hAnsiTheme="minorEastAsia"/>
        </w:rPr>
        <w:fldChar w:fldCharType="separate"/>
      </w:r>
      <w:r>
        <w:rPr>
          <w:rFonts w:asciiTheme="minorEastAsia" w:hAnsiTheme="minorEastAsia"/>
        </w:rPr>
        <w:t>4</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"_Toc188607761" </w:instrText>
      </w:r>
      <w:r>
        <w:fldChar w:fldCharType="separate"/>
      </w:r>
      <w:r>
        <w:rPr>
          <w:rStyle w:val="23"/>
          <w:rFonts w:asciiTheme="minorEastAsia" w:hAnsiTheme="minorEastAsia"/>
        </w:rPr>
        <w:t xml:space="preserve">6.3  </w:t>
      </w:r>
      <w:r>
        <w:rPr>
          <w:rStyle w:val="23"/>
          <w:rFonts w:hint="eastAsia" w:asciiTheme="minorEastAsia" w:hAnsiTheme="minorEastAsia"/>
        </w:rPr>
        <w:t>委托检测要求</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_Toc188607761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"_Toc188607762" </w:instrText>
      </w:r>
      <w:r>
        <w:fldChar w:fldCharType="separate"/>
      </w:r>
      <w:r>
        <w:rPr>
          <w:rStyle w:val="23"/>
          <w:rFonts w:asciiTheme="minorEastAsia" w:hAnsiTheme="minorEastAsia"/>
        </w:rPr>
        <w:t xml:space="preserve">6.4  </w:t>
      </w:r>
      <w:r>
        <w:rPr>
          <w:rStyle w:val="23"/>
          <w:rFonts w:hint="eastAsia" w:asciiTheme="minorEastAsia" w:hAnsiTheme="minorEastAsia"/>
        </w:rPr>
        <w:t>核酸检测报告</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_Toc188607762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"_Toc188607763" </w:instrText>
      </w:r>
      <w:r>
        <w:fldChar w:fldCharType="separate"/>
      </w:r>
      <w:r>
        <w:rPr>
          <w:rStyle w:val="23"/>
          <w:rFonts w:asciiTheme="minorEastAsia" w:hAnsiTheme="minorEastAsia"/>
        </w:rPr>
        <w:t>7</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质量控制</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_Toc188607763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"_Toc188607764" </w:instrText>
      </w:r>
      <w:r>
        <w:fldChar w:fldCharType="separate"/>
      </w:r>
      <w:r>
        <w:rPr>
          <w:rStyle w:val="23"/>
          <w:rFonts w:asciiTheme="minorEastAsia" w:hAnsiTheme="minorEastAsia"/>
        </w:rPr>
        <w:t>8</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应急处理</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_Toc188607764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"_Toc188607765" </w:instrText>
      </w:r>
      <w:r>
        <w:fldChar w:fldCharType="separate"/>
      </w:r>
      <w:r>
        <w:rPr>
          <w:rStyle w:val="23"/>
          <w:rFonts w:asciiTheme="minorEastAsia" w:hAnsiTheme="minorEastAsia"/>
        </w:rPr>
        <w:t xml:space="preserve">8.1  </w:t>
      </w:r>
      <w:r>
        <w:rPr>
          <w:rStyle w:val="23"/>
          <w:rFonts w:hint="eastAsia" w:asciiTheme="minorEastAsia" w:hAnsiTheme="minorEastAsia"/>
        </w:rPr>
        <w:t>备份实验室</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_Toc188607765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7"/>
        <w:rPr>
          <w:rFonts w:asciiTheme="minorEastAsia" w:hAnsiTheme="minorEastAsia"/>
        </w:rPr>
      </w:pPr>
      <w:r>
        <w:fldChar w:fldCharType="begin"/>
      </w:r>
      <w:r>
        <w:instrText xml:space="preserve"> HYPERLINK \l "_Toc188607766" </w:instrText>
      </w:r>
      <w:r>
        <w:fldChar w:fldCharType="separate"/>
      </w:r>
      <w:r>
        <w:rPr>
          <w:rStyle w:val="23"/>
          <w:rFonts w:asciiTheme="minorEastAsia" w:hAnsiTheme="minorEastAsia"/>
        </w:rPr>
        <w:t xml:space="preserve">8.2  </w:t>
      </w:r>
      <w:r>
        <w:rPr>
          <w:rStyle w:val="23"/>
          <w:rFonts w:hint="eastAsia" w:asciiTheme="minorEastAsia" w:hAnsiTheme="minorEastAsia"/>
        </w:rPr>
        <w:t>应急预案</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_Toc188607766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"_Toc188607767" </w:instrText>
      </w:r>
      <w:r>
        <w:fldChar w:fldCharType="separate"/>
      </w:r>
      <w:r>
        <w:rPr>
          <w:rStyle w:val="23"/>
          <w:rFonts w:asciiTheme="minorEastAsia" w:hAnsiTheme="minorEastAsia"/>
        </w:rPr>
        <w:t>9</w:t>
      </w:r>
      <w:r>
        <w:rPr>
          <w:rStyle w:val="23"/>
          <w:rFonts w:hint="eastAsia" w:asciiTheme="minorEastAsia" w:hAnsiTheme="minorEastAsia"/>
        </w:rPr>
        <w:t xml:space="preserve"> </w:t>
      </w:r>
      <w:r>
        <w:rPr>
          <w:rStyle w:val="23"/>
          <w:rFonts w:asciiTheme="minorEastAsia" w:hAnsiTheme="minorEastAsia"/>
        </w:rPr>
        <w:t xml:space="preserve"> </w:t>
      </w:r>
      <w:r>
        <w:rPr>
          <w:rStyle w:val="23"/>
          <w:rFonts w:hint="eastAsia" w:asciiTheme="minorEastAsia" w:hAnsiTheme="minorEastAsia"/>
        </w:rPr>
        <w:t>监督管理</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_Toc188607767 \h </w:instrText>
      </w:r>
      <w:r>
        <w:rPr>
          <w:rFonts w:asciiTheme="minorEastAsia" w:hAnsiTheme="minorEastAsia"/>
        </w:rPr>
        <w:fldChar w:fldCharType="separate"/>
      </w:r>
      <w:r>
        <w:rPr>
          <w:rFonts w:asciiTheme="minorEastAsia" w:hAnsiTheme="minorEastAsia"/>
        </w:rPr>
        <w:t>5</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"_Toc188607768" </w:instrText>
      </w:r>
      <w:r>
        <w:fldChar w:fldCharType="separate"/>
      </w:r>
      <w:r>
        <w:rPr>
          <w:rStyle w:val="23"/>
          <w:rFonts w:hint="eastAsia" w:asciiTheme="minorEastAsia" w:hAnsiTheme="minorEastAsia"/>
        </w:rPr>
        <w:t>附录</w:t>
      </w:r>
      <w:r>
        <w:rPr>
          <w:rStyle w:val="23"/>
          <w:rFonts w:asciiTheme="minorEastAsia" w:hAnsiTheme="minorEastAsia"/>
        </w:rPr>
        <w:t>A</w:t>
      </w:r>
      <w:r>
        <w:rPr>
          <w:rStyle w:val="23"/>
          <w:rFonts w:hint="eastAsia" w:asciiTheme="minorEastAsia" w:hAnsiTheme="minorEastAsia"/>
        </w:rPr>
        <w:t xml:space="preserve">（资料性） </w:t>
      </w:r>
      <w:r>
        <w:rPr>
          <w:rStyle w:val="23"/>
          <w:rFonts w:asciiTheme="minorEastAsia" w:hAnsiTheme="minorEastAsia"/>
        </w:rPr>
        <w:t xml:space="preserve"> </w:t>
      </w:r>
      <w:r>
        <w:rPr>
          <w:rStyle w:val="23"/>
          <w:rFonts w:hint="eastAsia" w:asciiTheme="minorEastAsia" w:hAnsiTheme="minorEastAsia"/>
        </w:rPr>
        <w:t>血液核酸集中化筛查检测委托协议</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_Toc188607768 \h </w:instrText>
      </w:r>
      <w:r>
        <w:rPr>
          <w:rFonts w:asciiTheme="minorEastAsia" w:hAnsiTheme="minorEastAsia"/>
        </w:rPr>
        <w:fldChar w:fldCharType="separate"/>
      </w:r>
      <w:r>
        <w:rPr>
          <w:rFonts w:asciiTheme="minorEastAsia" w:hAnsiTheme="minorEastAsia"/>
        </w:rPr>
        <w:t>6</w:t>
      </w:r>
      <w:r>
        <w:rPr>
          <w:rFonts w:asciiTheme="minorEastAsia" w:hAnsiTheme="minorEastAsia"/>
        </w:rPr>
        <w:fldChar w:fldCharType="end"/>
      </w:r>
      <w:r>
        <w:rPr>
          <w:rFonts w:asciiTheme="minorEastAsia" w:hAnsiTheme="minorEastAsia"/>
        </w:rPr>
        <w:fldChar w:fldCharType="end"/>
      </w:r>
    </w:p>
    <w:p>
      <w:pPr>
        <w:pStyle w:val="15"/>
        <w:tabs>
          <w:tab w:val="right" w:leader="dot" w:pos="9344"/>
        </w:tabs>
        <w:rPr>
          <w:rFonts w:asciiTheme="minorEastAsia" w:hAnsiTheme="minorEastAsia"/>
        </w:rPr>
      </w:pPr>
      <w:r>
        <w:fldChar w:fldCharType="begin"/>
      </w:r>
      <w:r>
        <w:instrText xml:space="preserve"> HYPERLINK \l "_Toc188607769" </w:instrText>
      </w:r>
      <w:r>
        <w:fldChar w:fldCharType="separate"/>
      </w:r>
      <w:r>
        <w:rPr>
          <w:rStyle w:val="23"/>
          <w:rFonts w:hint="eastAsia" w:cs="黑体" w:asciiTheme="minorEastAsia" w:hAnsiTheme="minorEastAsia"/>
          <w:kern w:val="0"/>
        </w:rPr>
        <w:t>参考文献</w:t>
      </w:r>
      <w:r>
        <w:rPr>
          <w:rFonts w:asciiTheme="minorEastAsia" w:hAnsiTheme="minorEastAsia"/>
        </w:rPr>
        <w:tab/>
      </w:r>
      <w:r>
        <w:rPr>
          <w:rFonts w:asciiTheme="minorEastAsia" w:hAnsiTheme="minorEastAsia"/>
        </w:rPr>
        <w:fldChar w:fldCharType="begin"/>
      </w:r>
      <w:r>
        <w:rPr>
          <w:rFonts w:asciiTheme="minorEastAsia" w:hAnsiTheme="minorEastAsia"/>
        </w:rPr>
        <w:instrText xml:space="preserve"> PAGEREF _Toc188607769 \h </w:instrText>
      </w:r>
      <w:r>
        <w:rPr>
          <w:rFonts w:asciiTheme="minorEastAsia" w:hAnsiTheme="minorEastAsia"/>
        </w:rPr>
        <w:fldChar w:fldCharType="separate"/>
      </w:r>
      <w:r>
        <w:rPr>
          <w:rFonts w:asciiTheme="minorEastAsia" w:hAnsiTheme="minorEastAsia"/>
        </w:rPr>
        <w:t>8</w:t>
      </w:r>
      <w:r>
        <w:rPr>
          <w:rFonts w:asciiTheme="minorEastAsia" w:hAnsiTheme="minorEastAsia"/>
        </w:rPr>
        <w:fldChar w:fldCharType="end"/>
      </w:r>
      <w:r>
        <w:rPr>
          <w:rFonts w:asciiTheme="minorEastAsia" w:hAnsiTheme="minorEastAsia"/>
        </w:rPr>
        <w:fldChar w:fldCharType="end"/>
      </w:r>
    </w:p>
    <w:p>
      <w:pPr>
        <w:snapToGrid w:val="0"/>
        <w:jc w:val="left"/>
        <w:rPr>
          <w:rFonts w:ascii="宋体" w:hAnsi="宋体" w:eastAsia="宋体" w:cs="宋体"/>
          <w:szCs w:val="21"/>
        </w:rPr>
      </w:pPr>
      <w:r>
        <w:rPr>
          <w:rFonts w:hint="eastAsia" w:cs="宋体" w:asciiTheme="minorEastAsia" w:hAnsiTheme="minorEastAsia"/>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pPr>
        <w:sectPr>
          <w:headerReference r:id="rId7" w:type="default"/>
          <w:footerReference r:id="rId8" w:type="default"/>
          <w:pgSz w:w="11906" w:h="16838"/>
          <w:pgMar w:top="1417" w:right="1134" w:bottom="1134" w:left="1418" w:header="1417" w:footer="1134" w:gutter="0"/>
          <w:pgNumType w:fmt="upperRoman" w:start="1"/>
          <w:cols w:space="425" w:num="1"/>
          <w:docGrid w:type="lines" w:linePitch="312" w:charSpace="0"/>
        </w:sectPr>
      </w:pPr>
      <w:r>
        <w:br w:type="page"/>
      </w:r>
    </w:p>
    <w:p>
      <w:pPr>
        <w:snapToGrid w:val="0"/>
        <w:spacing w:before="567" w:after="680"/>
        <w:jc w:val="center"/>
        <w:outlineLvl w:val="0"/>
        <w:rPr>
          <w:rFonts w:ascii="黑体" w:hAnsi="黑体" w:eastAsia="黑体" w:cs="黑体"/>
          <w:kern w:val="0"/>
          <w:sz w:val="32"/>
          <w:szCs w:val="32"/>
        </w:rPr>
      </w:pPr>
      <w:bookmarkStart w:id="2" w:name="_Toc188607744"/>
      <w:r>
        <w:rPr>
          <w:rFonts w:hint="eastAsia" w:ascii="黑体" w:hAnsi="黑体" w:eastAsia="黑体" w:cs="黑体"/>
          <w:kern w:val="0"/>
          <w:sz w:val="32"/>
          <w:szCs w:val="32"/>
        </w:rPr>
        <w:t>前    言</w:t>
      </w:r>
      <w:bookmarkEnd w:id="2"/>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pPr>
      <w:r>
        <w:rPr>
          <w:rFonts w:hint="eastAsia" w:hAnsi="宋体"/>
        </w:rPr>
        <w:t>本文件由苏州市卫生健康委员会提出、归口并组织实施。</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w:t>
      </w:r>
      <w:bookmarkStart w:id="3" w:name="_Hlk183608119"/>
      <w:r>
        <w:rPr>
          <w:rFonts w:hint="eastAsia" w:ascii="宋体" w:hAnsi="宋体" w:eastAsia="宋体" w:cs="宋体"/>
          <w:kern w:val="0"/>
          <w:szCs w:val="21"/>
        </w:rPr>
        <w:t>苏州市中心血站、苏州市中心血站张家港分站、苏州市中心血站常熟分站、苏州</w:t>
      </w:r>
      <w:bookmarkStart w:id="61" w:name="_GoBack"/>
      <w:bookmarkEnd w:id="61"/>
      <w:r>
        <w:rPr>
          <w:rFonts w:hint="eastAsia" w:ascii="宋体" w:hAnsi="宋体" w:eastAsia="宋体" w:cs="宋体"/>
          <w:kern w:val="0"/>
          <w:szCs w:val="21"/>
        </w:rPr>
        <w:t>市中心血站昆山分站、苏州市中心血站太仓分站、苏州市质量和标准化院。</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本文件主要起草人：金一鸣、王明元、谢淑红、王玲玲、江妮娜、陆荣、董丽、汤龙海、方敏、张辉、高薇、严伟斌、薛旸。</w:t>
      </w:r>
      <w:bookmarkEnd w:id="3"/>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sectPr>
          <w:headerReference r:id="rId9" w:type="even"/>
          <w:pgSz w:w="11906" w:h="16838"/>
          <w:pgMar w:top="1417" w:right="1134" w:bottom="1134" w:left="1418" w:header="1417" w:footer="1134" w:gutter="0"/>
          <w:pgNumType w:fmt="upperRoman" w:start="2"/>
          <w:cols w:space="425" w:num="1"/>
          <w:docGrid w:type="lines" w:linePitch="312" w:charSpace="0"/>
        </w:sectPr>
      </w:pPr>
    </w:p>
    <w:p>
      <w:pPr>
        <w:widowControl/>
        <w:spacing w:before="567" w:after="680"/>
        <w:jc w:val="center"/>
        <w:rPr>
          <w:rFonts w:ascii="黑体" w:hAnsi="黑体" w:eastAsia="黑体"/>
          <w:bCs/>
          <w:sz w:val="32"/>
          <w:szCs w:val="32"/>
        </w:rPr>
      </w:pPr>
      <w:bookmarkStart w:id="4" w:name="SectionMark4"/>
      <w:r>
        <w:rPr>
          <w:rFonts w:hint="eastAsia" w:ascii="黑体" w:hAnsi="宋体" w:eastAsia="黑体"/>
          <w:sz w:val="32"/>
          <w:szCs w:val="32"/>
        </w:rPr>
        <w:t>血站核酸集中化检测</w:t>
      </w:r>
      <w:r>
        <w:rPr>
          <w:rFonts w:hint="eastAsia" w:ascii="黑体" w:hAnsi="黑体" w:eastAsia="黑体" w:cs="Times New Roman"/>
          <w:sz w:val="32"/>
        </w:rPr>
        <w:t>管理规范</w:t>
      </w:r>
    </w:p>
    <w:bookmarkEnd w:id="4"/>
    <w:p>
      <w:pPr>
        <w:pStyle w:val="50"/>
      </w:pPr>
      <w:bookmarkStart w:id="5" w:name="_Toc188607745"/>
      <w:bookmarkStart w:id="6" w:name="_Toc117604648"/>
      <w:r>
        <w:rPr>
          <w:rFonts w:hint="eastAsia"/>
        </w:rPr>
        <w:t>范围</w:t>
      </w:r>
      <w:bookmarkEnd w:id="5"/>
      <w:bookmarkEnd w:id="6"/>
    </w:p>
    <w:p>
      <w:pPr>
        <w:pStyle w:val="51"/>
      </w:pPr>
      <w:r>
        <w:rPr>
          <w:rFonts w:hint="eastAsia"/>
        </w:rPr>
        <w:t>本文件规定了血站核酸集中化检测工作的检测方要求、委托方要求、检测要求、质量控制、应急处理和监督管理。</w:t>
      </w:r>
    </w:p>
    <w:p>
      <w:pPr>
        <w:pStyle w:val="51"/>
      </w:pPr>
      <w:r>
        <w:rPr>
          <w:rFonts w:hint="eastAsia"/>
        </w:rPr>
        <w:t>本文件适用于血站开展的核酸集中化检测工作。</w:t>
      </w:r>
    </w:p>
    <w:p>
      <w:pPr>
        <w:pStyle w:val="50"/>
      </w:pPr>
      <w:bookmarkStart w:id="7" w:name="_Toc188607746"/>
      <w:bookmarkStart w:id="8" w:name="_Toc117604649"/>
      <w:r>
        <w:rPr>
          <w:rFonts w:hint="eastAsia"/>
        </w:rPr>
        <w:t>规范性引用文件</w:t>
      </w:r>
      <w:bookmarkEnd w:id="7"/>
      <w:bookmarkEnd w:id="8"/>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pPr>
      <w:r>
        <w:t>GB 19489</w:t>
      </w:r>
      <w:r>
        <w:rPr>
          <w:rFonts w:hint="eastAsia"/>
        </w:rPr>
        <w:t xml:space="preserve">  实验室 </w:t>
      </w:r>
      <w:r>
        <w:t xml:space="preserve"> </w:t>
      </w:r>
      <w:r>
        <w:rPr>
          <w:rFonts w:hint="eastAsia"/>
        </w:rPr>
        <w:t>生物安全通用要求</w:t>
      </w:r>
    </w:p>
    <w:p>
      <w:pPr>
        <w:pStyle w:val="51"/>
      </w:pPr>
      <w:r>
        <w:rPr>
          <w:rFonts w:hint="eastAsia"/>
        </w:rPr>
        <w:t>DB32/T 3546  血站消毒卫生规范</w:t>
      </w:r>
    </w:p>
    <w:p>
      <w:pPr>
        <w:pStyle w:val="51"/>
      </w:pPr>
      <w:r>
        <w:rPr>
          <w:rFonts w:hint="eastAsia"/>
        </w:rPr>
        <w:t>卫医发〔2006〕167号  血站质量管理规范</w:t>
      </w:r>
    </w:p>
    <w:p>
      <w:pPr>
        <w:pStyle w:val="51"/>
      </w:pPr>
      <w:r>
        <w:rPr>
          <w:rFonts w:hint="eastAsia"/>
        </w:rPr>
        <w:t>卫医发〔2006〕183号  血站实验室质量管理规范</w:t>
      </w:r>
    </w:p>
    <w:p>
      <w:pPr>
        <w:pStyle w:val="51"/>
      </w:pPr>
      <w:r>
        <w:rPr>
          <w:rFonts w:hint="eastAsia"/>
        </w:rPr>
        <w:t xml:space="preserve">国卫医函〔2006〕98号 </w:t>
      </w:r>
      <w:r>
        <w:t xml:space="preserve"> </w:t>
      </w:r>
      <w:r>
        <w:rPr>
          <w:rFonts w:hint="eastAsia"/>
        </w:rPr>
        <w:t>血站技术操作规程</w:t>
      </w:r>
    </w:p>
    <w:p>
      <w:pPr>
        <w:pStyle w:val="50"/>
      </w:pPr>
      <w:bookmarkStart w:id="9" w:name="_Toc188455695"/>
      <w:bookmarkEnd w:id="9"/>
      <w:bookmarkStart w:id="10" w:name="_Toc188455650"/>
      <w:bookmarkEnd w:id="10"/>
      <w:bookmarkStart w:id="11" w:name="_Toc117604650"/>
      <w:bookmarkStart w:id="12" w:name="_Toc188607747"/>
      <w:r>
        <w:rPr>
          <w:rFonts w:hint="eastAsia"/>
        </w:rPr>
        <w:t>术语和定义</w:t>
      </w:r>
      <w:bookmarkEnd w:id="11"/>
      <w:bookmarkEnd w:id="12"/>
    </w:p>
    <w:p>
      <w:pPr>
        <w:pStyle w:val="51"/>
      </w:pPr>
      <w:r>
        <w:t>下列术语和定义适用于本文件。</w:t>
      </w:r>
    </w:p>
    <w:p>
      <w:pPr>
        <w:keepNext w:val="0"/>
        <w:keepLines w:val="0"/>
        <w:pageBreakBefore w:val="0"/>
        <w:widowControl w:val="0"/>
        <w:kinsoku/>
        <w:wordWrap/>
        <w:overflowPunct/>
        <w:topLinePunct w:val="0"/>
        <w:autoSpaceDE/>
        <w:autoSpaceDN/>
        <w:bidi w:val="0"/>
        <w:adjustRightInd/>
        <w:snapToGrid/>
        <w:ind w:left="420" w:hanging="420" w:hangingChars="200"/>
        <w:jc w:val="left"/>
        <w:textAlignment w:val="auto"/>
        <w:rPr>
          <w:rFonts w:ascii="黑体" w:hAnsi="黑体" w:eastAsia="黑体"/>
        </w:rPr>
      </w:pPr>
      <w:r>
        <w:rPr>
          <w:rFonts w:ascii="黑体" w:hAnsi="黑体" w:eastAsia="黑体"/>
        </w:rPr>
        <w:t>3.</w:t>
      </w:r>
      <w:r>
        <w:rPr>
          <w:rFonts w:hint="eastAsia" w:ascii="黑体" w:hAnsi="黑体" w:eastAsia="黑体"/>
        </w:rPr>
        <w:t>1</w:t>
      </w:r>
    </w:p>
    <w:p>
      <w:pPr>
        <w:pStyle w:val="63"/>
        <w:numPr>
          <w:ilvl w:val="0"/>
          <w:numId w:val="0"/>
        </w:numPr>
        <w:ind w:left="420"/>
        <w:rPr>
          <w:rFonts w:hint="eastAsia" w:ascii="黑体" w:hAnsi="黑体" w:eastAsia="黑体" w:cs="Times New Roman"/>
          <w:highlight w:val="none"/>
          <w:lang w:val="en-US" w:eastAsia="zh-CN"/>
        </w:rPr>
      </w:pPr>
      <w:r>
        <w:rPr>
          <w:rFonts w:hint="eastAsia" w:ascii="黑体" w:hAnsi="黑体" w:eastAsia="黑体" w:cs="Times New Roman"/>
          <w:highlight w:val="none"/>
          <w:lang w:val="en-US" w:eastAsia="zh-CN"/>
        </w:rPr>
        <w:t>血液检测实验室  blood testing laboratory</w:t>
      </w:r>
    </w:p>
    <w:p>
      <w:pPr>
        <w:pStyle w:val="51"/>
      </w:pPr>
      <w:r>
        <w:rPr>
          <w:rFonts w:hint="eastAsia"/>
        </w:rPr>
        <w:t>承担血液检测任务的实验室，</w:t>
      </w:r>
      <w:r>
        <w:t>通常执行一系列</w:t>
      </w:r>
      <w:r>
        <w:rPr>
          <w:rFonts w:hint="eastAsia"/>
        </w:rPr>
        <w:t>检测实验</w:t>
      </w:r>
      <w:r>
        <w:t>，包括但不限于</w:t>
      </w:r>
      <w:r>
        <w:rPr>
          <w:rFonts w:hint="eastAsia"/>
        </w:rPr>
        <w:t>血常规检测</w:t>
      </w:r>
      <w:r>
        <w:t>、生化</w:t>
      </w:r>
      <w:r>
        <w:rPr>
          <w:rFonts w:hint="eastAsia"/>
        </w:rPr>
        <w:t>检测</w:t>
      </w:r>
      <w:r>
        <w:t>、</w:t>
      </w:r>
      <w:r>
        <w:rPr>
          <w:rFonts w:hint="eastAsia"/>
        </w:rPr>
        <w:t>免疫</w:t>
      </w:r>
      <w:r>
        <w:t>标志物</w:t>
      </w:r>
      <w:r>
        <w:rPr>
          <w:rFonts w:hint="eastAsia"/>
        </w:rPr>
        <w:t>检测</w:t>
      </w:r>
      <w:r>
        <w:t>、</w:t>
      </w:r>
      <w:r>
        <w:rPr>
          <w:rFonts w:hint="eastAsia"/>
        </w:rPr>
        <w:t>分子生物检测、微生物检测等</w:t>
      </w:r>
      <w:r>
        <w:t>其他特殊</w:t>
      </w:r>
      <w:r>
        <w:rPr>
          <w:rFonts w:hint="eastAsia"/>
        </w:rPr>
        <w:t>检测</w:t>
      </w:r>
      <w:r>
        <w:t>。</w:t>
      </w:r>
    </w:p>
    <w:p>
      <w:pPr>
        <w:jc w:val="left"/>
        <w:rPr>
          <w:rFonts w:ascii="黑体" w:hAnsi="黑体" w:eastAsia="黑体"/>
        </w:rPr>
      </w:pPr>
      <w:r>
        <w:rPr>
          <w:rFonts w:ascii="黑体" w:hAnsi="黑体" w:eastAsia="黑体"/>
        </w:rPr>
        <w:t>3.</w:t>
      </w:r>
      <w:r>
        <w:rPr>
          <w:rFonts w:hint="eastAsia" w:ascii="黑体" w:hAnsi="黑体" w:eastAsia="黑体"/>
        </w:rPr>
        <w:t>2</w:t>
      </w:r>
    </w:p>
    <w:p>
      <w:pPr>
        <w:pStyle w:val="63"/>
        <w:numPr>
          <w:ilvl w:val="0"/>
          <w:numId w:val="0"/>
        </w:numPr>
        <w:ind w:left="420"/>
        <w:rPr>
          <w:rFonts w:hint="eastAsia" w:ascii="黑体" w:hAnsi="黑体" w:eastAsia="黑体" w:cs="Times New Roman"/>
          <w:highlight w:val="none"/>
          <w:lang w:val="en-US" w:eastAsia="zh-CN"/>
        </w:rPr>
      </w:pPr>
      <w:r>
        <w:rPr>
          <w:rFonts w:hint="eastAsia" w:ascii="黑体" w:hAnsi="黑体" w:eastAsia="黑体" w:cs="Times New Roman"/>
          <w:highlight w:val="none"/>
          <w:lang w:val="en-US" w:eastAsia="zh-CN"/>
        </w:rPr>
        <w:t>集中化检测  centralized blood screening</w:t>
      </w:r>
    </w:p>
    <w:p>
      <w:pPr>
        <w:pStyle w:val="51"/>
      </w:pPr>
      <w:r>
        <w:rPr>
          <w:rFonts w:hint="eastAsia"/>
        </w:rPr>
        <w:t>血液检测实验室承担特定区域内采供血活动中相应的血液检测活动。</w:t>
      </w:r>
    </w:p>
    <w:p>
      <w:pPr>
        <w:jc w:val="left"/>
        <w:rPr>
          <w:rFonts w:ascii="黑体" w:hAnsi="黑体" w:eastAsia="黑体"/>
        </w:rPr>
      </w:pPr>
      <w:r>
        <w:rPr>
          <w:rFonts w:hint="eastAsia" w:ascii="黑体" w:hAnsi="黑体" w:eastAsia="黑体"/>
        </w:rPr>
        <w:t>3.3</w:t>
      </w:r>
    </w:p>
    <w:p>
      <w:pPr>
        <w:pStyle w:val="63"/>
        <w:numPr>
          <w:ilvl w:val="0"/>
          <w:numId w:val="0"/>
        </w:numPr>
        <w:ind w:left="420"/>
        <w:rPr>
          <w:rFonts w:ascii="黑体" w:hAnsi="黑体" w:eastAsia="黑体"/>
          <w:kern w:val="2"/>
          <w:szCs w:val="22"/>
        </w:rPr>
      </w:pPr>
      <w:r>
        <w:rPr>
          <w:rFonts w:hint="eastAsia" w:ascii="黑体" w:hAnsi="黑体" w:eastAsia="黑体"/>
          <w:kern w:val="2"/>
          <w:szCs w:val="22"/>
        </w:rPr>
        <w:t xml:space="preserve">血液标本  </w:t>
      </w:r>
      <w:r>
        <w:rPr>
          <w:rFonts w:ascii="黑体" w:hAnsi="黑体" w:eastAsia="黑体"/>
          <w:kern w:val="2"/>
          <w:szCs w:val="22"/>
        </w:rPr>
        <w:t>b</w:t>
      </w:r>
      <w:r>
        <w:rPr>
          <w:rFonts w:hint="eastAsia" w:ascii="黑体" w:hAnsi="黑体" w:eastAsia="黑体"/>
          <w:kern w:val="2"/>
          <w:szCs w:val="22"/>
        </w:rPr>
        <w:t>lood specimens</w:t>
      </w:r>
    </w:p>
    <w:p>
      <w:pPr>
        <w:pStyle w:val="51"/>
        <w:ind w:firstLineChars="0"/>
      </w:pPr>
      <w:r>
        <w:rPr>
          <w:rFonts w:hint="eastAsia"/>
        </w:rPr>
        <w:t>为完成检验项目而采集的一定量的血液。</w:t>
      </w:r>
    </w:p>
    <w:p>
      <w:pPr>
        <w:jc w:val="left"/>
        <w:rPr>
          <w:rFonts w:ascii="黑体" w:hAnsi="黑体" w:eastAsia="黑体"/>
        </w:rPr>
      </w:pPr>
      <w:r>
        <w:rPr>
          <w:rFonts w:ascii="黑体" w:hAnsi="黑体" w:eastAsia="黑体"/>
        </w:rPr>
        <w:t>3.</w:t>
      </w:r>
      <w:r>
        <w:rPr>
          <w:rFonts w:hint="eastAsia" w:ascii="黑体" w:hAnsi="黑体" w:eastAsia="黑体"/>
        </w:rPr>
        <w:t>4</w:t>
      </w:r>
    </w:p>
    <w:p>
      <w:pPr>
        <w:pStyle w:val="63"/>
        <w:numPr>
          <w:ilvl w:val="0"/>
          <w:numId w:val="0"/>
        </w:numPr>
        <w:ind w:left="420"/>
        <w:rPr>
          <w:rFonts w:ascii="黑体" w:hAnsi="黑体" w:eastAsia="黑体"/>
          <w:kern w:val="2"/>
          <w:szCs w:val="22"/>
        </w:rPr>
      </w:pPr>
      <w:r>
        <w:rPr>
          <w:rFonts w:hint="eastAsia" w:ascii="黑体" w:hAnsi="黑体" w:eastAsia="黑体"/>
          <w:kern w:val="2"/>
          <w:szCs w:val="22"/>
        </w:rPr>
        <w:t xml:space="preserve">血液管理信息系统 </w:t>
      </w:r>
      <w:r>
        <w:rPr>
          <w:rFonts w:ascii="黑体" w:hAnsi="黑体" w:eastAsia="黑体"/>
          <w:kern w:val="2"/>
          <w:szCs w:val="22"/>
        </w:rPr>
        <w:t xml:space="preserve"> </w:t>
      </w:r>
      <w:r>
        <w:rPr>
          <w:rFonts w:hint="eastAsia" w:ascii="黑体" w:hAnsi="黑体" w:eastAsia="黑体"/>
          <w:kern w:val="2"/>
          <w:szCs w:val="22"/>
        </w:rPr>
        <w:t>blood establishment information system，BIS</w:t>
      </w:r>
    </w:p>
    <w:p>
      <w:pPr>
        <w:pStyle w:val="51"/>
      </w:pPr>
      <w:r>
        <w:rPr>
          <w:rFonts w:hint="eastAsia"/>
        </w:rPr>
        <w:t>采用计算机、网络通信等技术，实现采供血信息的采集、处理、存储、传输与交换、分析与利用，</w:t>
      </w:r>
    </w:p>
    <w:p>
      <w:pPr>
        <w:pStyle w:val="51"/>
        <w:ind w:firstLine="0" w:firstLineChars="0"/>
      </w:pPr>
      <w:r>
        <w:rPr>
          <w:rFonts w:hint="eastAsia"/>
        </w:rPr>
        <w:t>为血站和相关机构在献血者服务与健康检查、血液采集、血液成分制备、血液检测、血液储存、发放与运输等业务过程提供管理及服务的信息系统。</w:t>
      </w:r>
    </w:p>
    <w:p>
      <w:pPr>
        <w:jc w:val="left"/>
        <w:rPr>
          <w:rFonts w:ascii="黑体" w:hAnsi="黑体" w:eastAsia="黑体"/>
        </w:rPr>
      </w:pPr>
      <w:r>
        <w:rPr>
          <w:rFonts w:hint="eastAsia" w:ascii="黑体" w:hAnsi="黑体" w:eastAsia="黑体"/>
        </w:rPr>
        <w:t>3</w:t>
      </w:r>
      <w:r>
        <w:rPr>
          <w:rFonts w:ascii="黑体" w:hAnsi="黑体" w:eastAsia="黑体"/>
        </w:rPr>
        <w:t>.</w:t>
      </w:r>
      <w:r>
        <w:rPr>
          <w:rFonts w:hint="eastAsia" w:ascii="黑体" w:hAnsi="黑体" w:eastAsia="黑体"/>
        </w:rPr>
        <w:t>5</w:t>
      </w:r>
    </w:p>
    <w:p>
      <w:pPr>
        <w:pStyle w:val="63"/>
        <w:numPr>
          <w:ilvl w:val="0"/>
          <w:numId w:val="0"/>
        </w:numPr>
        <w:ind w:left="420"/>
        <w:rPr>
          <w:rFonts w:ascii="黑体" w:hAnsi="黑体" w:eastAsia="黑体"/>
        </w:rPr>
      </w:pPr>
      <w:r>
        <w:rPr>
          <w:rFonts w:hint="eastAsia" w:ascii="黑体" w:hAnsi="黑体" w:eastAsia="黑体"/>
        </w:rPr>
        <w:t xml:space="preserve">委托方  </w:t>
      </w:r>
      <w:r>
        <w:rPr>
          <w:rFonts w:ascii="黑体" w:hAnsi="黑体" w:eastAsia="黑体"/>
        </w:rPr>
        <w:t>c</w:t>
      </w:r>
      <w:r>
        <w:rPr>
          <w:rFonts w:hint="eastAsia" w:ascii="黑体" w:hAnsi="黑体" w:eastAsia="黑体"/>
        </w:rPr>
        <w:t>ontract giver</w:t>
      </w:r>
    </w:p>
    <w:p>
      <w:pPr>
        <w:ind w:firstLine="420" w:firstLineChars="200"/>
        <w:jc w:val="left"/>
        <w:rPr>
          <w:rFonts w:ascii="宋体" w:hAnsi="Times New Roman"/>
          <w:kern w:val="0"/>
          <w:szCs w:val="20"/>
        </w:rPr>
      </w:pPr>
      <w:r>
        <w:rPr>
          <w:rFonts w:hint="eastAsia" w:ascii="宋体" w:hAnsi="Times New Roman"/>
          <w:kern w:val="0"/>
          <w:szCs w:val="20"/>
        </w:rPr>
        <w:t>将特定工作任务外包给其他机构，通过订立合同确定各方的职责和责任的机构。</w:t>
      </w:r>
    </w:p>
    <w:p>
      <w:pPr>
        <w:pStyle w:val="50"/>
      </w:pPr>
      <w:bookmarkStart w:id="13" w:name="_Toc188607748"/>
      <w:r>
        <w:rPr>
          <w:rFonts w:hint="eastAsia"/>
        </w:rPr>
        <w:t>检测方要求</w:t>
      </w:r>
      <w:bookmarkEnd w:id="13"/>
    </w:p>
    <w:p>
      <w:pPr>
        <w:pStyle w:val="54"/>
        <w:numPr>
          <w:ilvl w:val="0"/>
          <w:numId w:val="0"/>
        </w:numPr>
        <w:spacing w:before="156" w:after="156"/>
        <w:jc w:val="both"/>
        <w:textAlignment w:val="baseline"/>
        <w:outlineLvl w:val="1"/>
      </w:pPr>
      <w:bookmarkStart w:id="14" w:name="_Toc188607749"/>
      <w:bookmarkStart w:id="15" w:name="_Toc117604652"/>
      <w:r>
        <w:rPr>
          <w:rFonts w:hint="eastAsia"/>
        </w:rPr>
        <w:t>4</w:t>
      </w:r>
      <w:r>
        <w:t xml:space="preserve">.1  </w:t>
      </w:r>
      <w:r>
        <w:rPr>
          <w:rFonts w:hint="eastAsia"/>
        </w:rPr>
        <w:t>人员要求</w:t>
      </w:r>
      <w:bookmarkEnd w:id="14"/>
      <w:bookmarkEnd w:id="15"/>
    </w:p>
    <w:p>
      <w:pPr>
        <w:spacing w:before="156" w:beforeLines="50" w:after="156" w:afterLines="50"/>
        <w:jc w:val="left"/>
        <w:textAlignment w:val="baseline"/>
        <w:rPr>
          <w:rFonts w:ascii="黑体" w:hAnsi="黑体" w:eastAsia="黑体"/>
        </w:rPr>
      </w:pPr>
      <w:r>
        <w:rPr>
          <w:rFonts w:hint="eastAsia" w:ascii="黑体" w:hAnsi="黑体" w:eastAsia="黑体"/>
        </w:rPr>
        <w:t>4</w:t>
      </w:r>
      <w:r>
        <w:rPr>
          <w:rFonts w:ascii="黑体" w:hAnsi="黑体" w:eastAsia="黑体"/>
        </w:rPr>
        <w:t xml:space="preserve">.1.1  </w:t>
      </w:r>
      <w:r>
        <w:rPr>
          <w:rFonts w:hint="eastAsia" w:ascii="黑体" w:hAnsi="黑体" w:eastAsia="黑体"/>
        </w:rPr>
        <w:t>交接人员</w:t>
      </w:r>
    </w:p>
    <w:p>
      <w:pPr>
        <w:rPr>
          <w:rFonts w:ascii="宋体" w:hAnsi="宋体"/>
          <w:szCs w:val="21"/>
        </w:rPr>
      </w:pPr>
      <w:bookmarkStart w:id="16" w:name="_Hlk117517884"/>
      <w:r>
        <w:rPr>
          <w:rFonts w:hint="eastAsia" w:ascii="黑体" w:hAnsi="黑体" w:eastAsia="黑体"/>
        </w:rPr>
        <w:t>4</w:t>
      </w:r>
      <w:r>
        <w:rPr>
          <w:rFonts w:ascii="黑体" w:hAnsi="黑体" w:eastAsia="黑体"/>
        </w:rPr>
        <w:t>.1</w:t>
      </w:r>
      <w:r>
        <w:rPr>
          <w:rFonts w:hint="eastAsia" w:ascii="黑体" w:hAnsi="黑体" w:eastAsia="黑体"/>
        </w:rPr>
        <w:t>.1</w:t>
      </w:r>
      <w:r>
        <w:rPr>
          <w:rFonts w:ascii="黑体" w:hAnsi="黑体" w:eastAsia="黑体"/>
        </w:rPr>
        <w:t>.</w:t>
      </w:r>
      <w:r>
        <w:rPr>
          <w:rFonts w:hint="eastAsia" w:ascii="黑体" w:hAnsi="黑体" w:eastAsia="黑体"/>
        </w:rPr>
        <w:t>1</w:t>
      </w:r>
      <w:r>
        <w:rPr>
          <w:rFonts w:ascii="黑体" w:hAnsi="黑体" w:eastAsia="黑体"/>
        </w:rPr>
        <w:t xml:space="preserve">  </w:t>
      </w:r>
      <w:r>
        <w:rPr>
          <w:rFonts w:hint="eastAsia" w:ascii="宋体" w:hAnsi="宋体"/>
          <w:szCs w:val="21"/>
        </w:rPr>
        <w:t>交接人员应具备以下资质并满足交接工作过程要求：</w:t>
      </w:r>
    </w:p>
    <w:p>
      <w:pPr>
        <w:ind w:left="840" w:leftChars="200" w:hanging="420" w:hangingChars="200"/>
        <w:rPr>
          <w:rFonts w:ascii="宋体" w:hAnsi="宋体"/>
          <w:szCs w:val="21"/>
        </w:rPr>
      </w:pPr>
      <w:r>
        <w:rPr>
          <w:rFonts w:hint="eastAsia" w:asciiTheme="minorEastAsia" w:hAnsiTheme="minorEastAsia"/>
        </w:rPr>
        <w:t xml:space="preserve">a） </w:t>
      </w:r>
      <w:r>
        <w:rPr>
          <w:rFonts w:hint="eastAsia" w:ascii="宋体" w:hAnsi="宋体"/>
          <w:szCs w:val="21"/>
        </w:rPr>
        <w:t>相关专业高等专科学校毕业及以上学历；</w:t>
      </w:r>
    </w:p>
    <w:p>
      <w:pPr>
        <w:ind w:left="840" w:leftChars="200" w:hanging="420" w:hangingChars="200"/>
        <w:rPr>
          <w:rFonts w:ascii="宋体" w:hAnsi="宋体"/>
          <w:szCs w:val="21"/>
        </w:rPr>
      </w:pPr>
      <w:r>
        <w:rPr>
          <w:rFonts w:ascii="宋体" w:hAnsi="宋体"/>
          <w:szCs w:val="21"/>
        </w:rPr>
        <w:t>b）</w:t>
      </w:r>
      <w:r>
        <w:rPr>
          <w:rFonts w:hint="eastAsia" w:ascii="宋体" w:hAnsi="宋体"/>
          <w:szCs w:val="21"/>
        </w:rPr>
        <w:t xml:space="preserve"> 初级及以上职称。</w:t>
      </w:r>
    </w:p>
    <w:p>
      <w:pPr>
        <w:rPr>
          <w:rFonts w:ascii="宋体" w:hAnsi="宋体"/>
          <w:szCs w:val="21"/>
        </w:rPr>
      </w:pPr>
      <w:r>
        <w:rPr>
          <w:rFonts w:hint="eastAsia" w:ascii="黑体" w:hAnsi="黑体" w:eastAsia="黑体"/>
        </w:rPr>
        <w:t>4</w:t>
      </w:r>
      <w:r>
        <w:rPr>
          <w:rFonts w:ascii="黑体" w:hAnsi="黑体" w:eastAsia="黑体"/>
        </w:rPr>
        <w:t>.1.1.</w:t>
      </w:r>
      <w:r>
        <w:rPr>
          <w:rFonts w:hint="eastAsia" w:ascii="黑体" w:hAnsi="黑体" w:eastAsia="黑体"/>
        </w:rPr>
        <w:t>2</w:t>
      </w:r>
      <w:r>
        <w:rPr>
          <w:rFonts w:ascii="黑体" w:hAnsi="黑体" w:eastAsia="黑体"/>
        </w:rPr>
        <w:t xml:space="preserve"> </w:t>
      </w:r>
      <w:r>
        <w:rPr>
          <w:rFonts w:ascii="宋体" w:hAnsi="宋体"/>
          <w:szCs w:val="21"/>
        </w:rPr>
        <w:t xml:space="preserve"> </w:t>
      </w:r>
      <w:r>
        <w:rPr>
          <w:rFonts w:hint="eastAsia" w:ascii="宋体" w:hAnsi="宋体"/>
          <w:szCs w:val="21"/>
        </w:rPr>
        <w:t>交接人员</w:t>
      </w:r>
      <w:bookmarkStart w:id="17" w:name="_Hlk117585863"/>
      <w:r>
        <w:rPr>
          <w:rFonts w:hint="eastAsia" w:ascii="宋体" w:hAnsi="宋体"/>
          <w:szCs w:val="21"/>
        </w:rPr>
        <w:t>应参加血液安全、上岗、生物安全、运输及交接等</w:t>
      </w:r>
      <w:bookmarkEnd w:id="17"/>
      <w:r>
        <w:rPr>
          <w:rFonts w:hint="eastAsia" w:ascii="宋体" w:hAnsi="宋体"/>
          <w:szCs w:val="21"/>
        </w:rPr>
        <w:t>培训，培训考核评估合格后方可上岗。</w:t>
      </w:r>
    </w:p>
    <w:bookmarkEnd w:id="16"/>
    <w:p>
      <w:pPr>
        <w:spacing w:before="156" w:beforeLines="50" w:after="156" w:afterLines="50"/>
        <w:jc w:val="left"/>
        <w:textAlignment w:val="baseline"/>
        <w:rPr>
          <w:rFonts w:ascii="黑体" w:hAnsi="黑体" w:eastAsia="黑体"/>
        </w:rPr>
      </w:pPr>
      <w:r>
        <w:rPr>
          <w:rFonts w:hint="eastAsia" w:ascii="黑体" w:hAnsi="黑体" w:eastAsia="黑体"/>
        </w:rPr>
        <w:t>4</w:t>
      </w:r>
      <w:r>
        <w:rPr>
          <w:rFonts w:ascii="黑体" w:hAnsi="黑体" w:eastAsia="黑体"/>
        </w:rPr>
        <w:t xml:space="preserve">.1.2  </w:t>
      </w:r>
      <w:r>
        <w:rPr>
          <w:rFonts w:hint="eastAsia" w:ascii="黑体" w:hAnsi="黑体" w:eastAsia="黑体"/>
        </w:rPr>
        <w:t>检测人员</w:t>
      </w:r>
    </w:p>
    <w:p>
      <w:r>
        <w:rPr>
          <w:rFonts w:ascii="黑体" w:hAnsi="黑体" w:eastAsia="黑体"/>
        </w:rPr>
        <w:t xml:space="preserve">4.1.2.1 </w:t>
      </w:r>
      <w:r>
        <w:t xml:space="preserve"> </w:t>
      </w:r>
      <w:r>
        <w:rPr>
          <w:rFonts w:hint="eastAsia"/>
        </w:rPr>
        <w:t>检测人员的配备应满足实验室核酸检测前</w:t>
      </w:r>
      <w:r>
        <w:rPr>
          <w:rFonts w:hint="eastAsia" w:ascii="宋体" w:hAnsi="宋体"/>
          <w:szCs w:val="21"/>
        </w:rPr>
        <w:t>、</w:t>
      </w:r>
      <w:r>
        <w:rPr>
          <w:rFonts w:hint="eastAsia"/>
        </w:rPr>
        <w:t>中</w:t>
      </w:r>
      <w:r>
        <w:rPr>
          <w:rFonts w:hint="eastAsia" w:ascii="宋体" w:hAnsi="宋体"/>
          <w:szCs w:val="21"/>
        </w:rPr>
        <w:t>、</w:t>
      </w:r>
      <w:r>
        <w:rPr>
          <w:rFonts w:hint="eastAsia"/>
        </w:rPr>
        <w:t>后全流程及相关保障工作需求。</w:t>
      </w:r>
    </w:p>
    <w:p>
      <w:r>
        <w:rPr>
          <w:rFonts w:ascii="黑体" w:hAnsi="黑体" w:eastAsia="黑体"/>
        </w:rPr>
        <w:t xml:space="preserve">4.1.2.2  </w:t>
      </w:r>
      <w:r>
        <w:rPr>
          <w:rFonts w:hint="eastAsia"/>
        </w:rPr>
        <w:t>检测人员的资质应满足《血站质量管理规范》和《血站实验室质量管理规范》中的人员要求，并经过省级以上卫生健康行政部门组织或认可的核酸检测相关的理论和技术培训考核合格，取得核酸检测上岗证。</w:t>
      </w:r>
    </w:p>
    <w:p>
      <w:r>
        <w:rPr>
          <w:rFonts w:hint="eastAsia" w:ascii="黑体" w:hAnsi="黑体" w:eastAsia="黑体"/>
        </w:rPr>
        <w:t>4</w:t>
      </w:r>
      <w:r>
        <w:rPr>
          <w:rFonts w:ascii="黑体" w:hAnsi="黑体" w:eastAsia="黑体"/>
        </w:rPr>
        <w:t>.1.</w:t>
      </w:r>
      <w:r>
        <w:rPr>
          <w:rFonts w:hint="eastAsia" w:ascii="黑体" w:hAnsi="黑体" w:eastAsia="黑体"/>
        </w:rPr>
        <w:t>2</w:t>
      </w:r>
      <w:r>
        <w:rPr>
          <w:rFonts w:ascii="黑体" w:hAnsi="黑体" w:eastAsia="黑体"/>
        </w:rPr>
        <w:t xml:space="preserve">.3  </w:t>
      </w:r>
      <w:r>
        <w:rPr>
          <w:rFonts w:hint="eastAsia"/>
        </w:rPr>
        <w:t>检测人员应进行血液安全培训、生物安全培训，取得相关证书后，经实验室负责人评估授权方可进行工作，并定期进行考核。</w:t>
      </w:r>
    </w:p>
    <w:p>
      <w:pPr>
        <w:pStyle w:val="54"/>
        <w:numPr>
          <w:ilvl w:val="0"/>
          <w:numId w:val="0"/>
        </w:numPr>
        <w:spacing w:before="156" w:after="156"/>
        <w:jc w:val="both"/>
        <w:textAlignment w:val="baseline"/>
        <w:outlineLvl w:val="1"/>
      </w:pPr>
      <w:bookmarkStart w:id="18" w:name="_Toc117604653"/>
      <w:bookmarkStart w:id="19" w:name="_Toc188607750"/>
      <w:r>
        <w:rPr>
          <w:rFonts w:hint="eastAsia"/>
        </w:rPr>
        <w:t>4</w:t>
      </w:r>
      <w:r>
        <w:t xml:space="preserve">.2  </w:t>
      </w:r>
      <w:r>
        <w:rPr>
          <w:rFonts w:hint="eastAsia"/>
        </w:rPr>
        <w:t>设备要求</w:t>
      </w:r>
      <w:bookmarkEnd w:id="18"/>
      <w:bookmarkEnd w:id="19"/>
    </w:p>
    <w:p>
      <w:r>
        <w:rPr>
          <w:rFonts w:hint="eastAsia" w:ascii="黑体" w:hAnsi="黑体" w:eastAsia="黑体"/>
        </w:rPr>
        <w:t>4</w:t>
      </w:r>
      <w:r>
        <w:rPr>
          <w:rFonts w:ascii="黑体" w:hAnsi="黑体" w:eastAsia="黑体"/>
        </w:rPr>
        <w:t xml:space="preserve">.2.1  </w:t>
      </w:r>
      <w:r>
        <w:rPr>
          <w:rFonts w:hint="eastAsia"/>
        </w:rPr>
        <w:t>实验室应配备核酸集中化检测基本设备，宜包括：</w:t>
      </w:r>
    </w:p>
    <w:p>
      <w:pPr>
        <w:ind w:left="840" w:leftChars="200" w:hanging="420" w:hangingChars="200"/>
        <w:rPr>
          <w:rFonts w:asciiTheme="minorEastAsia" w:hAnsiTheme="minorEastAsia"/>
        </w:rPr>
      </w:pPr>
      <w:r>
        <w:rPr>
          <w:rFonts w:hint="eastAsia" w:asciiTheme="minorEastAsia" w:hAnsiTheme="minorEastAsia"/>
        </w:rPr>
        <w:t>a） 全自动核酸检测设备：含标本混合（混样检测模式）、核酸纯化、核酸扩增检测设备及配套的操控及数据处理设备；</w:t>
      </w:r>
    </w:p>
    <w:p>
      <w:pPr>
        <w:pStyle w:val="2"/>
        <w:ind w:left="840" w:leftChars="200" w:hanging="420" w:hangingChars="200"/>
        <w:rPr>
          <w:rFonts w:asciiTheme="minorEastAsia" w:hAnsiTheme="minorEastAsia"/>
        </w:rPr>
      </w:pPr>
      <w:r>
        <w:rPr>
          <w:rFonts w:hint="eastAsia" w:asciiTheme="minorEastAsia" w:hAnsiTheme="minorEastAsia"/>
        </w:rPr>
        <w:t>b） 生物安全柜；</w:t>
      </w:r>
    </w:p>
    <w:p>
      <w:pPr>
        <w:pStyle w:val="2"/>
        <w:ind w:left="840" w:leftChars="200" w:hanging="420" w:hangingChars="200"/>
        <w:rPr>
          <w:rFonts w:asciiTheme="minorEastAsia" w:hAnsiTheme="minorEastAsia"/>
        </w:rPr>
      </w:pPr>
      <w:r>
        <w:rPr>
          <w:rFonts w:hint="eastAsia" w:asciiTheme="minorEastAsia" w:hAnsiTheme="minorEastAsia"/>
        </w:rPr>
        <w:t>c） 水平低温离心机；</w:t>
      </w:r>
    </w:p>
    <w:p>
      <w:pPr>
        <w:pStyle w:val="2"/>
        <w:ind w:left="840" w:leftChars="200" w:hanging="420" w:hangingChars="200"/>
        <w:rPr>
          <w:rFonts w:asciiTheme="minorEastAsia" w:hAnsiTheme="minorEastAsia"/>
        </w:rPr>
      </w:pPr>
      <w:r>
        <w:rPr>
          <w:rFonts w:hint="eastAsia" w:asciiTheme="minorEastAsia" w:hAnsiTheme="minorEastAsia"/>
        </w:rPr>
        <w:t>d） 全自动或半自动开盖机；</w:t>
      </w:r>
    </w:p>
    <w:p>
      <w:pPr>
        <w:pStyle w:val="2"/>
        <w:ind w:left="840" w:leftChars="200" w:hanging="420" w:hangingChars="200"/>
        <w:rPr>
          <w:rFonts w:asciiTheme="minorEastAsia" w:hAnsiTheme="minorEastAsia"/>
        </w:rPr>
      </w:pPr>
      <w:r>
        <w:rPr>
          <w:rFonts w:hint="eastAsia" w:asciiTheme="minorEastAsia" w:hAnsiTheme="minorEastAsia"/>
        </w:rPr>
        <w:t>e） 试剂储存冰箱；</w:t>
      </w:r>
    </w:p>
    <w:p>
      <w:pPr>
        <w:pStyle w:val="2"/>
        <w:ind w:left="840" w:leftChars="200" w:hanging="420" w:hangingChars="200"/>
        <w:rPr>
          <w:rFonts w:asciiTheme="minorEastAsia" w:hAnsiTheme="minorEastAsia"/>
        </w:rPr>
      </w:pPr>
      <w:r>
        <w:rPr>
          <w:rFonts w:hint="eastAsia" w:asciiTheme="minorEastAsia" w:hAnsiTheme="minorEastAsia"/>
        </w:rPr>
        <w:t>f） 血液标本储存冰箱；</w:t>
      </w:r>
    </w:p>
    <w:p>
      <w:pPr>
        <w:pStyle w:val="2"/>
        <w:ind w:left="840" w:leftChars="200" w:hanging="420" w:hangingChars="200"/>
        <w:rPr>
          <w:rFonts w:asciiTheme="minorEastAsia" w:hAnsiTheme="minorEastAsia"/>
        </w:rPr>
      </w:pPr>
      <w:r>
        <w:rPr>
          <w:rFonts w:hint="eastAsia" w:asciiTheme="minorEastAsia" w:hAnsiTheme="minorEastAsia"/>
        </w:rPr>
        <w:t>g） 纯水仪；</w:t>
      </w:r>
    </w:p>
    <w:p>
      <w:pPr>
        <w:pStyle w:val="2"/>
        <w:ind w:left="840" w:leftChars="200" w:hanging="420" w:hangingChars="200"/>
        <w:rPr>
          <w:rFonts w:asciiTheme="minorEastAsia" w:hAnsiTheme="minorEastAsia"/>
        </w:rPr>
      </w:pPr>
      <w:r>
        <w:rPr>
          <w:rFonts w:hint="eastAsia" w:asciiTheme="minorEastAsia" w:hAnsiTheme="minorEastAsia"/>
        </w:rPr>
        <w:t>h） 空气净化、消毒、防污染设备；</w:t>
      </w:r>
    </w:p>
    <w:p>
      <w:pPr>
        <w:pStyle w:val="2"/>
        <w:ind w:left="840" w:leftChars="200" w:hanging="420" w:hangingChars="200"/>
        <w:rPr>
          <w:rFonts w:asciiTheme="minorEastAsia" w:hAnsiTheme="minorEastAsia"/>
        </w:rPr>
      </w:pPr>
      <w:r>
        <w:rPr>
          <w:rFonts w:hint="eastAsia" w:asciiTheme="minorEastAsia" w:hAnsiTheme="minorEastAsia"/>
        </w:rPr>
        <w:t>i） 加样器；</w:t>
      </w:r>
    </w:p>
    <w:p>
      <w:pPr>
        <w:pStyle w:val="2"/>
        <w:ind w:left="840" w:leftChars="200" w:hanging="420" w:hangingChars="200"/>
        <w:rPr>
          <w:rFonts w:asciiTheme="minorEastAsia" w:hAnsiTheme="minorEastAsia"/>
        </w:rPr>
      </w:pPr>
      <w:r>
        <w:rPr>
          <w:rFonts w:hint="eastAsia" w:asciiTheme="minorEastAsia" w:hAnsiTheme="minorEastAsia"/>
        </w:rPr>
        <w:t>j） 标本封口机。</w:t>
      </w:r>
    </w:p>
    <w:p>
      <w:pPr>
        <w:rPr>
          <w:rFonts w:ascii="宋体" w:hAnsi="Times New Roman"/>
          <w:kern w:val="0"/>
          <w:szCs w:val="20"/>
        </w:rPr>
      </w:pPr>
      <w:r>
        <w:rPr>
          <w:rFonts w:hint="eastAsia" w:ascii="黑体" w:hAnsi="黑体" w:eastAsia="黑体"/>
        </w:rPr>
        <w:t>4.</w:t>
      </w:r>
      <w:r>
        <w:rPr>
          <w:rFonts w:ascii="黑体" w:hAnsi="黑体" w:eastAsia="黑体"/>
        </w:rPr>
        <w:t xml:space="preserve">2.2  </w:t>
      </w:r>
      <w:r>
        <w:rPr>
          <w:rFonts w:hint="eastAsia" w:ascii="宋体" w:hAnsi="Times New Roman"/>
          <w:kern w:val="0"/>
          <w:szCs w:val="20"/>
        </w:rPr>
        <w:t>核酸检测系统在使用前应进行校准和性能验证确认，正式使用后应启动维护保养程序并定期校准，建立检测系统回顾性评价指标（诊断灵敏度、诊断特异性、诊断符合率、重复性、抗干扰能力）。</w:t>
      </w:r>
    </w:p>
    <w:p>
      <w:pPr>
        <w:spacing w:after="120"/>
      </w:pPr>
      <w:r>
        <w:rPr>
          <w:rFonts w:hint="eastAsia" w:ascii="黑体" w:hAnsi="黑体" w:eastAsia="黑体"/>
        </w:rPr>
        <w:t xml:space="preserve">4.2.3  </w:t>
      </w:r>
      <w:r>
        <w:rPr>
          <w:rFonts w:hint="eastAsia"/>
        </w:rPr>
        <w:t>核酸检测系统设备关键部位故障修复后应经过性能验证，满足要求才能投入使用。</w:t>
      </w:r>
    </w:p>
    <w:p>
      <w:pPr>
        <w:pStyle w:val="54"/>
        <w:numPr>
          <w:ilvl w:val="0"/>
          <w:numId w:val="0"/>
        </w:numPr>
        <w:spacing w:before="156" w:after="156"/>
        <w:jc w:val="both"/>
        <w:textAlignment w:val="baseline"/>
        <w:outlineLvl w:val="1"/>
        <w:rPr>
          <w:rFonts w:ascii="宋体"/>
          <w:szCs w:val="20"/>
        </w:rPr>
      </w:pPr>
      <w:bookmarkStart w:id="20" w:name="_Toc117604654"/>
      <w:bookmarkStart w:id="21" w:name="_Toc188607751"/>
      <w:r>
        <w:rPr>
          <w:rFonts w:hint="eastAsia"/>
        </w:rPr>
        <w:t>4</w:t>
      </w:r>
      <w:r>
        <w:t xml:space="preserve">.3  </w:t>
      </w:r>
      <w:r>
        <w:rPr>
          <w:rFonts w:hint="eastAsia"/>
        </w:rPr>
        <w:t>标本要求</w:t>
      </w:r>
      <w:bookmarkEnd w:id="20"/>
      <w:bookmarkEnd w:id="21"/>
    </w:p>
    <w:p>
      <w:pPr>
        <w:spacing w:before="156" w:beforeLines="50" w:after="156" w:afterLines="50"/>
        <w:jc w:val="left"/>
        <w:textAlignment w:val="baseline"/>
        <w:rPr>
          <w:rFonts w:ascii="黑体" w:hAnsi="黑体" w:eastAsia="黑体"/>
        </w:rPr>
      </w:pPr>
      <w:r>
        <w:rPr>
          <w:rFonts w:ascii="黑体" w:hAnsi="黑体" w:eastAsia="黑体"/>
        </w:rPr>
        <w:t xml:space="preserve">4.3.1  </w:t>
      </w:r>
      <w:r>
        <w:rPr>
          <w:rFonts w:hint="eastAsia" w:ascii="黑体" w:hAnsi="黑体" w:eastAsia="黑体"/>
        </w:rPr>
        <w:t>交接要求</w:t>
      </w:r>
    </w:p>
    <w:p>
      <w:r>
        <w:rPr>
          <w:rFonts w:hint="eastAsia" w:ascii="黑体" w:hAnsi="黑体" w:eastAsia="黑体"/>
        </w:rPr>
        <w:t>4</w:t>
      </w:r>
      <w:r>
        <w:rPr>
          <w:rFonts w:ascii="黑体" w:hAnsi="黑体" w:eastAsia="黑体"/>
        </w:rPr>
        <w:t xml:space="preserve">.3.1.1  </w:t>
      </w:r>
      <w:r>
        <w:rPr>
          <w:rFonts w:hint="eastAsia"/>
        </w:rPr>
        <w:t>实验室交接人员应与委托方交接人员当面交接，核对血液标本（简称“标本”）数量并检查标本质量，仔细检查献血者标本交接记录，无误后签字确认，标本实物交接后应在信息管理系统中进行电子交接。</w:t>
      </w:r>
    </w:p>
    <w:p>
      <w:pPr>
        <w:rPr>
          <w:rFonts w:ascii="宋体" w:hAnsi="宋体"/>
          <w:szCs w:val="21"/>
        </w:rPr>
      </w:pPr>
      <w:r>
        <w:rPr>
          <w:rFonts w:ascii="黑体" w:hAnsi="黑体" w:eastAsia="黑体"/>
        </w:rPr>
        <w:t>4.3.</w:t>
      </w:r>
      <w:r>
        <w:rPr>
          <w:rFonts w:hint="eastAsia" w:ascii="黑体" w:hAnsi="黑体" w:eastAsia="黑体"/>
        </w:rPr>
        <w:t>1</w:t>
      </w:r>
      <w:r>
        <w:rPr>
          <w:rFonts w:ascii="黑体" w:hAnsi="黑体" w:eastAsia="黑体"/>
        </w:rPr>
        <w:t xml:space="preserve">.2  </w:t>
      </w:r>
      <w:r>
        <w:rPr>
          <w:rFonts w:hint="eastAsia"/>
        </w:rPr>
        <w:t>标本经核查不符合检测要求的，应标明不符合原因后拒收标本，并对标本进行闭环处理，</w:t>
      </w:r>
      <w:r>
        <w:rPr>
          <w:rFonts w:hint="eastAsia" w:ascii="宋体" w:hAnsi="宋体"/>
          <w:szCs w:val="21"/>
        </w:rPr>
        <w:t>后续应指导委托方做好整改工作。标本的拒收情况包括但不限于：</w:t>
      </w:r>
    </w:p>
    <w:p>
      <w:pPr>
        <w:ind w:left="840" w:leftChars="200" w:hanging="420" w:hangingChars="200"/>
        <w:rPr>
          <w:rFonts w:asciiTheme="minorEastAsia" w:hAnsiTheme="minorEastAsia"/>
        </w:rPr>
      </w:pPr>
      <w:r>
        <w:rPr>
          <w:rFonts w:asciiTheme="minorEastAsia" w:hAnsiTheme="minorEastAsia"/>
        </w:rPr>
        <w:t>a</w:t>
      </w:r>
      <w:r>
        <w:rPr>
          <w:rFonts w:hint="eastAsia" w:asciiTheme="minorEastAsia" w:hAnsiTheme="minorEastAsia"/>
        </w:rPr>
        <w:t>） 检测申请关键信息缺失或不符；</w:t>
      </w:r>
    </w:p>
    <w:p>
      <w:pPr>
        <w:ind w:left="840" w:leftChars="200" w:hanging="420" w:hangingChars="200"/>
        <w:rPr>
          <w:rFonts w:asciiTheme="minorEastAsia" w:hAnsiTheme="minorEastAsia"/>
        </w:rPr>
      </w:pPr>
      <w:r>
        <w:rPr>
          <w:rFonts w:hint="eastAsia" w:asciiTheme="minorEastAsia" w:hAnsiTheme="minorEastAsia"/>
        </w:rPr>
        <w:t>b） 标本管上无标识或标识不清、不正确；</w:t>
      </w:r>
    </w:p>
    <w:p>
      <w:pPr>
        <w:ind w:left="840" w:leftChars="200" w:hanging="420" w:hangingChars="200"/>
        <w:rPr>
          <w:rFonts w:asciiTheme="minorEastAsia" w:hAnsiTheme="minorEastAsia"/>
        </w:rPr>
      </w:pPr>
      <w:r>
        <w:rPr>
          <w:rFonts w:hint="eastAsia" w:asciiTheme="minorEastAsia" w:hAnsiTheme="minorEastAsia"/>
        </w:rPr>
        <w:t>c） 标本管选用错误；</w:t>
      </w:r>
    </w:p>
    <w:p>
      <w:pPr>
        <w:ind w:left="840" w:leftChars="200" w:hanging="420" w:hangingChars="200"/>
        <w:rPr>
          <w:rFonts w:asciiTheme="minorEastAsia" w:hAnsiTheme="minorEastAsia"/>
        </w:rPr>
      </w:pPr>
      <w:r>
        <w:rPr>
          <w:rFonts w:hint="eastAsia" w:asciiTheme="minorEastAsia" w:hAnsiTheme="minorEastAsia"/>
        </w:rPr>
        <w:t>d） 标本管采集量不足</w:t>
      </w:r>
      <w:r>
        <w:rPr>
          <w:rFonts w:asciiTheme="minorEastAsia" w:hAnsiTheme="minorEastAsia"/>
        </w:rPr>
        <w:t>,</w:t>
      </w:r>
      <w:r>
        <w:rPr>
          <w:rFonts w:hint="eastAsia" w:asciiTheme="minorEastAsia" w:hAnsiTheme="minorEastAsia"/>
        </w:rPr>
        <w:t>不能满足检测需要；血浆与血细胞比例严重失调或标本被稀释；</w:t>
      </w:r>
    </w:p>
    <w:p>
      <w:pPr>
        <w:ind w:left="840" w:leftChars="200" w:hanging="420" w:hangingChars="200"/>
        <w:rPr>
          <w:rFonts w:asciiTheme="minorEastAsia" w:hAnsiTheme="minorEastAsia"/>
        </w:rPr>
      </w:pPr>
      <w:r>
        <w:rPr>
          <w:rFonts w:hint="eastAsia" w:asciiTheme="minorEastAsia" w:hAnsiTheme="minorEastAsia"/>
        </w:rPr>
        <w:t>e） 标本数量与交接记录数量不符；</w:t>
      </w:r>
    </w:p>
    <w:p>
      <w:pPr>
        <w:ind w:left="840" w:leftChars="200" w:hanging="420" w:hangingChars="200"/>
        <w:rPr>
          <w:rFonts w:asciiTheme="minorEastAsia" w:hAnsiTheme="minorEastAsia"/>
        </w:rPr>
      </w:pPr>
      <w:r>
        <w:rPr>
          <w:rFonts w:hint="eastAsia" w:asciiTheme="minorEastAsia" w:hAnsiTheme="minorEastAsia"/>
        </w:rPr>
        <w:t>f） 未离心的委托方血液标本；</w:t>
      </w:r>
    </w:p>
    <w:p>
      <w:pPr>
        <w:ind w:left="840" w:leftChars="200" w:hanging="420" w:hangingChars="200"/>
        <w:rPr>
          <w:rFonts w:asciiTheme="minorEastAsia" w:hAnsiTheme="minorEastAsia"/>
        </w:rPr>
      </w:pPr>
      <w:r>
        <w:rPr>
          <w:rFonts w:hint="eastAsia" w:asciiTheme="minorEastAsia" w:hAnsiTheme="minorEastAsia"/>
        </w:rPr>
        <w:t>g） 标本保存或运输方式不符合冷链要求；</w:t>
      </w:r>
    </w:p>
    <w:p>
      <w:pPr>
        <w:ind w:left="840" w:leftChars="200" w:hanging="420" w:hangingChars="200"/>
        <w:rPr>
          <w:rFonts w:asciiTheme="minorEastAsia" w:hAnsiTheme="minorEastAsia"/>
        </w:rPr>
      </w:pPr>
      <w:r>
        <w:rPr>
          <w:rFonts w:hint="eastAsia" w:asciiTheme="minorEastAsia" w:hAnsiTheme="minorEastAsia"/>
        </w:rPr>
        <w:t>h） 不符合试剂说明书要求的情形；</w:t>
      </w:r>
    </w:p>
    <w:p>
      <w:pPr>
        <w:ind w:left="840" w:leftChars="200" w:hanging="420" w:hangingChars="200"/>
        <w:rPr>
          <w:rFonts w:asciiTheme="minorEastAsia" w:hAnsiTheme="minorEastAsia"/>
        </w:rPr>
      </w:pPr>
      <w:r>
        <w:rPr>
          <w:rFonts w:hint="eastAsia" w:asciiTheme="minorEastAsia" w:hAnsiTheme="minorEastAsia"/>
        </w:rPr>
        <w:t>i） 标本交接记录缺少交接双方签名。</w:t>
      </w:r>
    </w:p>
    <w:p>
      <w:pPr>
        <w:spacing w:before="156" w:beforeLines="50" w:after="156" w:afterLines="50"/>
        <w:jc w:val="left"/>
        <w:textAlignment w:val="baseline"/>
      </w:pPr>
      <w:r>
        <w:rPr>
          <w:rFonts w:hint="eastAsia" w:ascii="黑体" w:hAnsi="黑体" w:eastAsia="黑体"/>
        </w:rPr>
        <w:t>4</w:t>
      </w:r>
      <w:r>
        <w:rPr>
          <w:rFonts w:ascii="黑体" w:hAnsi="黑体" w:eastAsia="黑体"/>
        </w:rPr>
        <w:t xml:space="preserve">.3.2  </w:t>
      </w:r>
      <w:r>
        <w:rPr>
          <w:rFonts w:hint="eastAsia" w:ascii="黑体" w:hAnsi="黑体" w:eastAsia="黑体"/>
        </w:rPr>
        <w:t>保存及处理要求</w:t>
      </w:r>
    </w:p>
    <w:p>
      <w:r>
        <w:rPr>
          <w:rFonts w:hint="eastAsia" w:ascii="黑体" w:hAnsi="黑体" w:eastAsia="黑体"/>
        </w:rPr>
        <w:t>4</w:t>
      </w:r>
      <w:r>
        <w:rPr>
          <w:rFonts w:ascii="黑体" w:hAnsi="黑体" w:eastAsia="黑体"/>
        </w:rPr>
        <w:t>.3.2.</w:t>
      </w:r>
      <w:r>
        <w:rPr>
          <w:rFonts w:hint="eastAsia" w:ascii="黑体" w:hAnsi="黑体" w:eastAsia="黑体"/>
        </w:rPr>
        <w:t xml:space="preserve">1 </w:t>
      </w:r>
      <w:r>
        <w:rPr>
          <w:rFonts w:ascii="黑体" w:hAnsi="黑体" w:eastAsia="黑体"/>
        </w:rPr>
        <w:t xml:space="preserve"> </w:t>
      </w:r>
      <w:r>
        <w:rPr>
          <w:rFonts w:hint="eastAsia" w:asciiTheme="minorEastAsia" w:hAnsiTheme="minorEastAsia"/>
        </w:rPr>
        <w:t>标本接收后应在2℃～8℃的环境中保存</w:t>
      </w:r>
      <w:r>
        <w:rPr>
          <w:rFonts w:hint="eastAsia"/>
        </w:rPr>
        <w:t>。</w:t>
      </w:r>
    </w:p>
    <w:p>
      <w:r>
        <w:rPr>
          <w:rFonts w:ascii="黑体" w:hAnsi="黑体" w:eastAsia="黑体"/>
        </w:rPr>
        <w:t>4.3.2.</w:t>
      </w:r>
      <w:r>
        <w:rPr>
          <w:rFonts w:hint="eastAsia" w:ascii="黑体" w:hAnsi="黑体" w:eastAsia="黑体"/>
        </w:rPr>
        <w:t>2</w:t>
      </w:r>
      <w:r>
        <w:rPr>
          <w:rFonts w:ascii="黑体" w:hAnsi="黑体" w:eastAsia="黑体"/>
        </w:rPr>
        <w:t xml:space="preserve">  </w:t>
      </w:r>
      <w:r>
        <w:rPr>
          <w:rFonts w:hint="eastAsia" w:asciiTheme="minorEastAsia" w:hAnsiTheme="minorEastAsia"/>
        </w:rPr>
        <w:t>标本应于采样后72h内完成核酸检测；因特殊状况72h以内不能完成检测的标本应在离心后24h内-18℃以下冻存血浆，一周内尽快检测。</w:t>
      </w:r>
    </w:p>
    <w:p>
      <w:pPr>
        <w:widowControl/>
        <w:jc w:val="left"/>
      </w:pPr>
      <w:r>
        <w:rPr>
          <w:rFonts w:ascii="黑体" w:hAnsi="黑体" w:eastAsia="黑体"/>
        </w:rPr>
        <w:t>4.3.2.</w:t>
      </w:r>
      <w:r>
        <w:rPr>
          <w:rFonts w:hint="eastAsia" w:ascii="黑体" w:hAnsi="黑体" w:eastAsia="黑体"/>
        </w:rPr>
        <w:t>3</w:t>
      </w:r>
      <w:r>
        <w:rPr>
          <w:rFonts w:ascii="黑体" w:hAnsi="黑体" w:eastAsia="黑体"/>
        </w:rPr>
        <w:t xml:space="preserve">  </w:t>
      </w:r>
      <w:r>
        <w:rPr>
          <w:rFonts w:hint="eastAsia" w:asciiTheme="minorEastAsia" w:hAnsiTheme="minorEastAsia"/>
        </w:rPr>
        <w:t>接收后的冻存标本应在18℃～25℃下复融，完全复融后标本应颠倒混匀至完全均匀状态，如有纤维蛋白原析出，应在标本采集时的离心条件下进行再次离心，同时检查标本条码是否破损。</w:t>
      </w:r>
    </w:p>
    <w:p>
      <w:pPr>
        <w:widowControl/>
        <w:jc w:val="left"/>
      </w:pPr>
      <w:r>
        <w:rPr>
          <w:rFonts w:ascii="黑体" w:hAnsi="黑体" w:eastAsia="黑体"/>
        </w:rPr>
        <w:t>4.3.2.</w:t>
      </w:r>
      <w:r>
        <w:rPr>
          <w:rFonts w:hint="eastAsia" w:ascii="黑体" w:hAnsi="黑体" w:eastAsia="黑体"/>
        </w:rPr>
        <w:t xml:space="preserve">4  </w:t>
      </w:r>
      <w:r>
        <w:rPr>
          <w:rFonts w:asciiTheme="minorEastAsia" w:hAnsiTheme="minorEastAsia"/>
        </w:rPr>
        <w:t>冻存标本从采集到完成检测处于冷藏状态（</w:t>
      </w:r>
      <w:r>
        <w:rPr>
          <w:rFonts w:hint="eastAsia" w:asciiTheme="minorEastAsia" w:hAnsiTheme="minorEastAsia"/>
        </w:rPr>
        <w:t>2℃～8℃</w:t>
      </w:r>
      <w:r>
        <w:rPr>
          <w:rFonts w:asciiTheme="minorEastAsia" w:hAnsiTheme="minorEastAsia"/>
        </w:rPr>
        <w:t>）的时间不应超过72</w:t>
      </w:r>
      <w:r>
        <w:rPr>
          <w:rFonts w:hint="eastAsia" w:asciiTheme="minorEastAsia" w:hAnsiTheme="minorEastAsia"/>
        </w:rPr>
        <w:t>h</w:t>
      </w:r>
      <w:r>
        <w:rPr>
          <w:rFonts w:asciiTheme="minorEastAsia" w:hAnsiTheme="minorEastAsia"/>
        </w:rPr>
        <w:t>，冻存标本不可再次冻融。</w:t>
      </w:r>
    </w:p>
    <w:p>
      <w:r>
        <w:rPr>
          <w:rFonts w:ascii="黑体" w:hAnsi="黑体" w:eastAsia="黑体"/>
        </w:rPr>
        <w:t>4.3.2.</w:t>
      </w:r>
      <w:r>
        <w:rPr>
          <w:rFonts w:hint="eastAsia" w:ascii="黑体" w:hAnsi="黑体" w:eastAsia="黑体"/>
        </w:rPr>
        <w:t>5</w:t>
      </w:r>
      <w:r>
        <w:rPr>
          <w:rFonts w:ascii="黑体" w:hAnsi="黑体" w:eastAsia="黑体"/>
        </w:rPr>
        <w:t xml:space="preserve">  </w:t>
      </w:r>
      <w:r>
        <w:rPr>
          <w:rFonts w:hint="eastAsia"/>
        </w:rPr>
        <w:t>标本检测完毕后由检测人员将标本密封后移至医疗废物暂存点，做好保存登记，交医废处理人员核对后按感染性医疗废物进行处理。</w:t>
      </w:r>
    </w:p>
    <w:p>
      <w:pPr>
        <w:pStyle w:val="54"/>
        <w:numPr>
          <w:ilvl w:val="0"/>
          <w:numId w:val="0"/>
        </w:numPr>
        <w:spacing w:before="156" w:after="156"/>
        <w:jc w:val="both"/>
        <w:textAlignment w:val="baseline"/>
        <w:outlineLvl w:val="1"/>
      </w:pPr>
      <w:bookmarkStart w:id="22" w:name="_Toc188607752"/>
      <w:bookmarkStart w:id="23" w:name="_Toc117604655"/>
      <w:r>
        <w:t xml:space="preserve">4.4  </w:t>
      </w:r>
      <w:r>
        <w:rPr>
          <w:rFonts w:hint="eastAsia"/>
        </w:rPr>
        <w:t>技术要求</w:t>
      </w:r>
      <w:bookmarkEnd w:id="22"/>
      <w:bookmarkEnd w:id="23"/>
    </w:p>
    <w:p>
      <w:r>
        <w:rPr>
          <w:rFonts w:ascii="黑体" w:hAnsi="黑体" w:eastAsia="黑体"/>
        </w:rPr>
        <w:t>4.4.</w:t>
      </w:r>
      <w:r>
        <w:rPr>
          <w:rFonts w:hint="eastAsia" w:ascii="黑体" w:hAnsi="黑体" w:eastAsia="黑体"/>
        </w:rPr>
        <w:t>1</w:t>
      </w:r>
      <w:r>
        <w:rPr>
          <w:rFonts w:ascii="黑体" w:hAnsi="黑体" w:eastAsia="黑体"/>
        </w:rPr>
        <w:t xml:space="preserve"> </w:t>
      </w:r>
      <w:r>
        <w:rPr>
          <w:rFonts w:hint="eastAsia" w:ascii="黑体" w:hAnsi="黑体" w:eastAsia="黑体"/>
        </w:rPr>
        <w:t xml:space="preserve"> </w:t>
      </w:r>
      <w:r>
        <w:rPr>
          <w:rFonts w:hint="eastAsia"/>
        </w:rPr>
        <w:t>核酸集中化检测实验室应满足国家二级生物安全实验室要求，并通过备案。</w:t>
      </w:r>
    </w:p>
    <w:p>
      <w:pPr>
        <w:rPr>
          <w:rFonts w:ascii="宋体" w:hAnsi="宋体"/>
          <w:szCs w:val="21"/>
        </w:rPr>
      </w:pPr>
      <w:r>
        <w:rPr>
          <w:rFonts w:hint="eastAsia" w:ascii="黑体" w:hAnsi="黑体" w:eastAsia="黑体"/>
        </w:rPr>
        <w:t>4</w:t>
      </w:r>
      <w:r>
        <w:rPr>
          <w:rFonts w:ascii="黑体" w:hAnsi="黑体" w:eastAsia="黑体"/>
        </w:rPr>
        <w:t>.4.</w:t>
      </w:r>
      <w:r>
        <w:rPr>
          <w:rFonts w:hint="eastAsia" w:ascii="黑体" w:hAnsi="黑体" w:eastAsia="黑体"/>
        </w:rPr>
        <w:t>2</w:t>
      </w:r>
      <w:r>
        <w:rPr>
          <w:rFonts w:ascii="黑体" w:hAnsi="黑体" w:eastAsia="黑体"/>
        </w:rPr>
        <w:t xml:space="preserve">  </w:t>
      </w:r>
      <w:r>
        <w:rPr>
          <w:rFonts w:hint="eastAsia"/>
        </w:rPr>
        <w:t>核酸</w:t>
      </w:r>
      <w:r>
        <w:rPr>
          <w:rFonts w:hint="eastAsia" w:ascii="宋体" w:hAnsi="宋体"/>
          <w:szCs w:val="21"/>
        </w:rPr>
        <w:t>检测项目及方法应符合《血站技术操作规程》相关要求。</w:t>
      </w:r>
    </w:p>
    <w:p>
      <w:pPr>
        <w:pStyle w:val="54"/>
        <w:numPr>
          <w:ilvl w:val="0"/>
          <w:numId w:val="0"/>
        </w:numPr>
        <w:spacing w:before="156" w:after="156"/>
        <w:jc w:val="both"/>
        <w:textAlignment w:val="baseline"/>
        <w:outlineLvl w:val="1"/>
      </w:pPr>
      <w:bookmarkStart w:id="24" w:name="_Toc117604667"/>
      <w:bookmarkStart w:id="25" w:name="_Toc188607753"/>
      <w:r>
        <w:rPr>
          <w:rFonts w:hint="eastAsia"/>
        </w:rPr>
        <w:t>4</w:t>
      </w:r>
      <w:r>
        <w:t>.</w:t>
      </w:r>
      <w:r>
        <w:rPr>
          <w:rFonts w:hint="eastAsia"/>
        </w:rPr>
        <w:t>5</w:t>
      </w:r>
      <w:r>
        <w:t xml:space="preserve">  </w:t>
      </w:r>
      <w:r>
        <w:rPr>
          <w:rFonts w:hint="eastAsia"/>
        </w:rPr>
        <w:t>生物安全</w:t>
      </w:r>
      <w:bookmarkEnd w:id="24"/>
      <w:bookmarkEnd w:id="25"/>
    </w:p>
    <w:p>
      <w:r>
        <w:rPr>
          <w:rFonts w:hint="eastAsia" w:ascii="黑体" w:hAnsi="黑体" w:eastAsia="黑体"/>
        </w:rPr>
        <w:t>4</w:t>
      </w:r>
      <w:r>
        <w:rPr>
          <w:rFonts w:ascii="黑体" w:hAnsi="黑体" w:eastAsia="黑体"/>
        </w:rPr>
        <w:t>.</w:t>
      </w:r>
      <w:r>
        <w:rPr>
          <w:rFonts w:hint="eastAsia" w:ascii="黑体" w:hAnsi="黑体" w:eastAsia="黑体"/>
        </w:rPr>
        <w:t>5</w:t>
      </w:r>
      <w:r>
        <w:rPr>
          <w:rFonts w:ascii="黑体" w:hAnsi="黑体" w:eastAsia="黑体"/>
        </w:rPr>
        <w:t xml:space="preserve">.1  </w:t>
      </w:r>
      <w:r>
        <w:rPr>
          <w:rFonts w:hint="eastAsia"/>
        </w:rPr>
        <w:t>应采取有效的控制措施，预防实验室存在的生物和化学因素对实验人员产生危害、对周围环境及检测标本造成污染。</w:t>
      </w:r>
    </w:p>
    <w:p>
      <w:r>
        <w:rPr>
          <w:rFonts w:hint="eastAsia" w:ascii="黑体" w:hAnsi="黑体" w:eastAsia="黑体"/>
        </w:rPr>
        <w:t>4</w:t>
      </w:r>
      <w:r>
        <w:rPr>
          <w:rFonts w:ascii="黑体" w:hAnsi="黑体" w:eastAsia="黑体"/>
        </w:rPr>
        <w:t>.</w:t>
      </w:r>
      <w:r>
        <w:rPr>
          <w:rFonts w:hint="eastAsia" w:ascii="黑体" w:hAnsi="黑体" w:eastAsia="黑体"/>
        </w:rPr>
        <w:t>5.2</w:t>
      </w:r>
      <w:r>
        <w:rPr>
          <w:rFonts w:ascii="黑体" w:hAnsi="黑体" w:eastAsia="黑体"/>
        </w:rPr>
        <w:t xml:space="preserve"> </w:t>
      </w:r>
      <w:r>
        <w:rPr>
          <w:rFonts w:hint="eastAsia" w:ascii="黑体" w:hAnsi="黑体" w:eastAsia="黑体"/>
        </w:rPr>
        <w:t xml:space="preserve"> </w:t>
      </w:r>
      <w:r>
        <w:rPr>
          <w:rFonts w:hint="eastAsia"/>
        </w:rPr>
        <w:t>进入实验室的操作人员必须穿核酸检测专用的工作服、工作鞋和戴一次性手套。必要时配戴口罩、防护眼镜或面部防护罩。</w:t>
      </w:r>
    </w:p>
    <w:p>
      <w:pPr>
        <w:pStyle w:val="2"/>
        <w:rPr>
          <w:rFonts w:ascii="黑体" w:hAnsi="黑体" w:eastAsia="黑体"/>
        </w:rPr>
      </w:pPr>
      <w:r>
        <w:rPr>
          <w:rFonts w:hint="eastAsia" w:ascii="黑体" w:hAnsi="黑体" w:eastAsia="黑体"/>
        </w:rPr>
        <w:t xml:space="preserve">4.5.3  </w:t>
      </w:r>
      <w:r>
        <w:rPr>
          <w:rFonts w:hint="eastAsia" w:ascii="宋体" w:hAnsi="Times New Roman"/>
          <w:kern w:val="0"/>
          <w:szCs w:val="20"/>
        </w:rPr>
        <w:t>非授权人员不得进入核酸集中化检测实验室。</w:t>
      </w:r>
    </w:p>
    <w:p>
      <w:pPr>
        <w:pStyle w:val="54"/>
        <w:numPr>
          <w:ilvl w:val="0"/>
          <w:numId w:val="0"/>
        </w:numPr>
        <w:spacing w:before="156" w:after="156"/>
        <w:jc w:val="both"/>
        <w:textAlignment w:val="baseline"/>
        <w:outlineLvl w:val="1"/>
      </w:pPr>
      <w:bookmarkStart w:id="26" w:name="_Toc188607754"/>
      <w:bookmarkStart w:id="27" w:name="_Toc117604656"/>
      <w:r>
        <w:rPr>
          <w:rFonts w:hint="eastAsia"/>
        </w:rPr>
        <w:t>4</w:t>
      </w:r>
      <w:r>
        <w:t>.</w:t>
      </w:r>
      <w:r>
        <w:rPr>
          <w:rFonts w:hint="eastAsia"/>
        </w:rPr>
        <w:t>6</w:t>
      </w:r>
      <w:r>
        <w:t xml:space="preserve">  </w:t>
      </w:r>
      <w:r>
        <w:rPr>
          <w:rFonts w:hint="eastAsia"/>
        </w:rPr>
        <w:t>建筑、环境与设施要求</w:t>
      </w:r>
      <w:bookmarkEnd w:id="26"/>
      <w:bookmarkEnd w:id="27"/>
    </w:p>
    <w:p>
      <w:pPr>
        <w:ind w:firstLine="420" w:firstLineChars="200"/>
        <w:rPr>
          <w:rFonts w:ascii="宋体" w:hAnsi="宋体"/>
          <w:szCs w:val="21"/>
        </w:rPr>
      </w:pPr>
      <w:r>
        <w:rPr>
          <w:rFonts w:hint="eastAsia" w:ascii="宋体" w:hAnsi="宋体"/>
          <w:szCs w:val="21"/>
        </w:rPr>
        <w:t>应符合</w:t>
      </w:r>
      <w:r>
        <w:rPr>
          <w:rFonts w:asciiTheme="minorEastAsia" w:hAnsiTheme="minorEastAsia"/>
        </w:rPr>
        <w:t>GB 19489、</w:t>
      </w:r>
      <w:r>
        <w:rPr>
          <w:rFonts w:hint="eastAsia" w:asciiTheme="minorEastAsia" w:hAnsiTheme="minorEastAsia"/>
        </w:rPr>
        <w:t>DB32/T 3546、</w:t>
      </w:r>
      <w:r>
        <w:rPr>
          <w:rFonts w:hint="eastAsia" w:ascii="宋体" w:hAnsi="宋体"/>
          <w:szCs w:val="21"/>
        </w:rPr>
        <w:t>《血站质量管理规范》、《血站实验室质量管理规范》和《血站技术操作规程》中对实验室建筑、环境与设施的相关要求。</w:t>
      </w:r>
    </w:p>
    <w:p>
      <w:pPr>
        <w:pStyle w:val="50"/>
      </w:pPr>
      <w:bookmarkStart w:id="28" w:name="_Toc117604657"/>
      <w:bookmarkStart w:id="29" w:name="_Toc188607755"/>
      <w:r>
        <w:rPr>
          <w:rFonts w:hint="eastAsia"/>
        </w:rPr>
        <w:t>委托方要求</w:t>
      </w:r>
      <w:bookmarkEnd w:id="28"/>
      <w:bookmarkEnd w:id="29"/>
    </w:p>
    <w:p>
      <w:pPr>
        <w:pStyle w:val="54"/>
        <w:numPr>
          <w:ilvl w:val="0"/>
          <w:numId w:val="0"/>
        </w:numPr>
        <w:spacing w:before="156" w:after="156"/>
        <w:jc w:val="both"/>
        <w:textAlignment w:val="baseline"/>
        <w:outlineLvl w:val="1"/>
      </w:pPr>
      <w:bookmarkStart w:id="30" w:name="_Toc188607756"/>
      <w:bookmarkStart w:id="31" w:name="_Toc117604658"/>
      <w:r>
        <w:rPr>
          <w:rFonts w:hint="eastAsia"/>
        </w:rPr>
        <w:t>5.1</w:t>
      </w:r>
      <w:r>
        <w:t xml:space="preserve"> </w:t>
      </w:r>
      <w:r>
        <w:rPr>
          <w:rFonts w:hint="eastAsia"/>
        </w:rPr>
        <w:t xml:space="preserve"> 人员要求</w:t>
      </w:r>
      <w:bookmarkEnd w:id="30"/>
      <w:bookmarkEnd w:id="31"/>
    </w:p>
    <w:p>
      <w:r>
        <w:rPr>
          <w:rFonts w:hint="eastAsia" w:ascii="黑体" w:hAnsi="黑体" w:eastAsia="黑体"/>
        </w:rPr>
        <w:t>5</w:t>
      </w:r>
      <w:r>
        <w:rPr>
          <w:rFonts w:ascii="黑体" w:hAnsi="黑体" w:eastAsia="黑体"/>
        </w:rPr>
        <w:t xml:space="preserve">.1.1  </w:t>
      </w:r>
      <w:r>
        <w:rPr>
          <w:rFonts w:hint="eastAsia"/>
        </w:rPr>
        <w:t>采集、处理、运输、交接人员的数量应满足标本采集、处理、运输、交接过程相关工作要求。</w:t>
      </w:r>
    </w:p>
    <w:p>
      <w:r>
        <w:rPr>
          <w:rFonts w:hint="eastAsia" w:ascii="黑体" w:hAnsi="黑体" w:eastAsia="黑体"/>
        </w:rPr>
        <w:t>5</w:t>
      </w:r>
      <w:r>
        <w:rPr>
          <w:rFonts w:ascii="黑体" w:hAnsi="黑体" w:eastAsia="黑体"/>
        </w:rPr>
        <w:t xml:space="preserve">.1.2 </w:t>
      </w:r>
      <w:r>
        <w:t xml:space="preserve"> </w:t>
      </w:r>
      <w:r>
        <w:rPr>
          <w:rFonts w:hint="eastAsia"/>
        </w:rPr>
        <w:t>采集、处理、运输、交接人员资质应满足《血站质量管理规范》和《血站实验室质量管理规范》相关人员要求。</w:t>
      </w:r>
    </w:p>
    <w:p>
      <w:r>
        <w:rPr>
          <w:rFonts w:ascii="黑体" w:hAnsi="黑体" w:eastAsia="黑体"/>
        </w:rPr>
        <w:t>5</w:t>
      </w:r>
      <w:r>
        <w:rPr>
          <w:rFonts w:hint="eastAsia" w:ascii="黑体" w:hAnsi="黑体" w:eastAsia="黑体"/>
        </w:rPr>
        <w:t>.1.3</w:t>
      </w:r>
      <w:r>
        <w:rPr>
          <w:rFonts w:ascii="黑体" w:hAnsi="黑体" w:eastAsia="黑体"/>
        </w:rPr>
        <w:t xml:space="preserve"> </w:t>
      </w:r>
      <w:r>
        <w:rPr>
          <w:rFonts w:hint="eastAsia" w:ascii="黑体" w:hAnsi="黑体" w:eastAsia="黑体"/>
        </w:rPr>
        <w:t xml:space="preserve"> </w:t>
      </w:r>
      <w:r>
        <w:rPr>
          <w:rFonts w:hint="eastAsia"/>
        </w:rPr>
        <w:t>应对采集、处理、运输、交接人员针对标本采集、处理、包装、运输、交接等相关工作内容进行培训、考核并验证培训效果，成绩合格后方可上岗。</w:t>
      </w:r>
    </w:p>
    <w:p>
      <w:pPr>
        <w:pStyle w:val="54"/>
        <w:numPr>
          <w:ilvl w:val="0"/>
          <w:numId w:val="0"/>
        </w:numPr>
        <w:spacing w:before="156" w:after="156"/>
        <w:jc w:val="both"/>
        <w:textAlignment w:val="baseline"/>
        <w:outlineLvl w:val="1"/>
      </w:pPr>
      <w:bookmarkStart w:id="32" w:name="_Toc117604659"/>
      <w:bookmarkStart w:id="33" w:name="_Toc188607757"/>
      <w:r>
        <w:t xml:space="preserve">5.2  </w:t>
      </w:r>
      <w:r>
        <w:rPr>
          <w:rFonts w:hint="eastAsia"/>
        </w:rPr>
        <w:t>标本要求</w:t>
      </w:r>
      <w:bookmarkEnd w:id="32"/>
      <w:bookmarkEnd w:id="33"/>
    </w:p>
    <w:p>
      <w:pPr>
        <w:spacing w:before="156" w:beforeLines="50" w:after="156" w:afterLines="50"/>
        <w:jc w:val="left"/>
        <w:textAlignment w:val="baseline"/>
        <w:rPr>
          <w:rFonts w:ascii="黑体" w:hAnsi="黑体" w:eastAsia="黑体"/>
        </w:rPr>
      </w:pPr>
      <w:r>
        <w:rPr>
          <w:rFonts w:ascii="黑体" w:hAnsi="黑体" w:eastAsia="黑体"/>
        </w:rPr>
        <w:t xml:space="preserve">5.2.1  </w:t>
      </w:r>
      <w:r>
        <w:rPr>
          <w:rFonts w:hint="eastAsia" w:ascii="黑体" w:hAnsi="黑体" w:eastAsia="黑体"/>
        </w:rPr>
        <w:t>采集、处理要求</w:t>
      </w:r>
    </w:p>
    <w:p>
      <w:pPr>
        <w:rPr>
          <w:rFonts w:ascii="宋体" w:hAnsi="宋体"/>
          <w:szCs w:val="21"/>
        </w:rPr>
      </w:pPr>
      <w:r>
        <w:rPr>
          <w:rFonts w:ascii="黑体" w:hAnsi="黑体" w:eastAsia="黑体"/>
        </w:rPr>
        <w:t>5.2.1.1</w:t>
      </w:r>
      <w:r>
        <w:rPr>
          <w:rFonts w:hint="eastAsia" w:ascii="黑体" w:hAnsi="黑体" w:eastAsia="黑体"/>
        </w:rPr>
        <w:t xml:space="preserve"> </w:t>
      </w:r>
      <w:r>
        <w:rPr>
          <w:rFonts w:ascii="黑体" w:hAnsi="黑体" w:eastAsia="黑体"/>
        </w:rPr>
        <w:t xml:space="preserve"> </w:t>
      </w:r>
      <w:r>
        <w:rPr>
          <w:rFonts w:hint="eastAsia" w:ascii="宋体" w:hAnsi="宋体"/>
          <w:szCs w:val="21"/>
        </w:rPr>
        <w:t>标本采集应符合《血站技术操作规程》中血液标本采集相关要求。</w:t>
      </w:r>
    </w:p>
    <w:p>
      <w:pPr>
        <w:rPr>
          <w:rFonts w:ascii="宋体" w:hAnsi="宋体"/>
          <w:szCs w:val="21"/>
        </w:rPr>
      </w:pPr>
      <w:r>
        <w:rPr>
          <w:rFonts w:ascii="黑体" w:hAnsi="黑体" w:eastAsia="黑体"/>
        </w:rPr>
        <w:t>5.2.1.</w:t>
      </w:r>
      <w:r>
        <w:rPr>
          <w:rFonts w:hint="eastAsia" w:ascii="黑体" w:hAnsi="黑体" w:eastAsia="黑体"/>
        </w:rPr>
        <w:t xml:space="preserve">2 </w:t>
      </w:r>
      <w:r>
        <w:rPr>
          <w:rFonts w:ascii="黑体" w:hAnsi="黑体" w:eastAsia="黑体"/>
        </w:rPr>
        <w:t xml:space="preserve"> </w:t>
      </w:r>
      <w:r>
        <w:rPr>
          <w:rFonts w:hint="eastAsia" w:ascii="宋体" w:hAnsi="宋体"/>
          <w:szCs w:val="21"/>
        </w:rPr>
        <w:t>标本质量符合检测项目技术要求，与血液、献血者一一对应，标本信息具有可追溯性。</w:t>
      </w:r>
    </w:p>
    <w:p>
      <w:pPr>
        <w:rPr>
          <w:rFonts w:ascii="宋体" w:hAnsi="宋体"/>
          <w:szCs w:val="21"/>
        </w:rPr>
      </w:pPr>
      <w:r>
        <w:rPr>
          <w:rFonts w:ascii="黑体" w:hAnsi="黑体" w:eastAsia="黑体"/>
        </w:rPr>
        <w:t>5.2.1.</w:t>
      </w:r>
      <w:r>
        <w:rPr>
          <w:rFonts w:hint="eastAsia" w:ascii="黑体" w:hAnsi="黑体" w:eastAsia="黑体"/>
        </w:rPr>
        <w:t xml:space="preserve">3 </w:t>
      </w:r>
      <w:r>
        <w:rPr>
          <w:rFonts w:ascii="黑体" w:hAnsi="黑体" w:eastAsia="黑体"/>
        </w:rPr>
        <w:t xml:space="preserve"> </w:t>
      </w:r>
      <w:r>
        <w:rPr>
          <w:rFonts w:hint="eastAsia" w:ascii="宋体" w:hAnsi="宋体"/>
          <w:szCs w:val="21"/>
        </w:rPr>
        <w:t>标本采集后，应按照采血管说明书或经过验证的离心条件进行离心，分离细胞和血浆。或4h内采用离心力1500g～1800g，离心时间20min，离心应在采血管说明书要求或经过验证的温度下进行。</w:t>
      </w:r>
    </w:p>
    <w:p>
      <w:pPr>
        <w:spacing w:before="156" w:beforeLines="50" w:after="156" w:afterLines="50"/>
        <w:jc w:val="left"/>
        <w:textAlignment w:val="baseline"/>
        <w:rPr>
          <w:rFonts w:ascii="黑体" w:hAnsi="黑体" w:eastAsia="黑体"/>
        </w:rPr>
      </w:pPr>
      <w:r>
        <w:rPr>
          <w:rFonts w:hint="eastAsia" w:ascii="黑体" w:hAnsi="黑体" w:eastAsia="黑体"/>
        </w:rPr>
        <w:t>5</w:t>
      </w:r>
      <w:r>
        <w:rPr>
          <w:rFonts w:ascii="黑体" w:hAnsi="黑体" w:eastAsia="黑体"/>
        </w:rPr>
        <w:t xml:space="preserve">.2.2  </w:t>
      </w:r>
      <w:r>
        <w:rPr>
          <w:rFonts w:hint="eastAsia" w:ascii="黑体" w:hAnsi="黑体" w:eastAsia="黑体"/>
        </w:rPr>
        <w:t>包装运输要求</w:t>
      </w:r>
    </w:p>
    <w:p>
      <w:pPr>
        <w:rPr>
          <w:rFonts w:ascii="宋体" w:hAnsi="宋体"/>
          <w:szCs w:val="21"/>
        </w:rPr>
      </w:pPr>
      <w:r>
        <w:rPr>
          <w:rFonts w:hint="eastAsia" w:ascii="黑体" w:hAnsi="黑体" w:eastAsia="黑体"/>
        </w:rPr>
        <w:t>5</w:t>
      </w:r>
      <w:r>
        <w:rPr>
          <w:rFonts w:ascii="黑体" w:hAnsi="黑体" w:eastAsia="黑体"/>
        </w:rPr>
        <w:t xml:space="preserve">.2.2.1  </w:t>
      </w:r>
      <w:r>
        <w:rPr>
          <w:rFonts w:hint="eastAsia" w:ascii="宋体" w:hAnsi="宋体"/>
          <w:szCs w:val="21"/>
        </w:rPr>
        <w:t>标本包装运输应符合《血站技术操作规程》中标本运送的相关要求。</w:t>
      </w:r>
    </w:p>
    <w:p>
      <w:pPr>
        <w:rPr>
          <w:rFonts w:ascii="宋体" w:hAnsi="宋体"/>
          <w:szCs w:val="21"/>
        </w:rPr>
      </w:pPr>
      <w:r>
        <w:rPr>
          <w:rFonts w:ascii="黑体" w:hAnsi="黑体" w:eastAsia="黑体"/>
        </w:rPr>
        <w:t xml:space="preserve">5.2.2.2  </w:t>
      </w:r>
      <w:r>
        <w:rPr>
          <w:rFonts w:hint="eastAsia"/>
        </w:rPr>
        <w:t>标本应隔离密封包装，包装材料应满足防水、防破损、防外泄、保持温度、易于消毒处理。装箱时应保持标本管口向上；运输包装应有标本固定的装置，保证标本管在运输过程中不破损。</w:t>
      </w:r>
    </w:p>
    <w:p>
      <w:r>
        <w:rPr>
          <w:rFonts w:hint="eastAsia" w:ascii="黑体" w:hAnsi="黑体" w:eastAsia="黑体"/>
        </w:rPr>
        <w:t>5</w:t>
      </w:r>
      <w:r>
        <w:rPr>
          <w:rFonts w:ascii="黑体" w:hAnsi="黑体" w:eastAsia="黑体"/>
        </w:rPr>
        <w:t xml:space="preserve">.2.2.3  </w:t>
      </w:r>
      <w:r>
        <w:rPr>
          <w:rFonts w:hint="eastAsia"/>
        </w:rPr>
        <w:t>冰冻标本运输温度应在</w:t>
      </w:r>
      <w:r>
        <w:rPr>
          <w:rFonts w:hint="eastAsia" w:asciiTheme="minorEastAsia" w:hAnsiTheme="minorEastAsia"/>
        </w:rPr>
        <w:t>-40℃～-10℃</w:t>
      </w:r>
      <w:r>
        <w:rPr>
          <w:rFonts w:hint="eastAsia"/>
        </w:rPr>
        <w:t>，如果运输时间不超</w:t>
      </w:r>
      <w:r>
        <w:rPr>
          <w:rFonts w:hint="eastAsia" w:asciiTheme="minorEastAsia" w:hAnsiTheme="minorEastAsia"/>
        </w:rPr>
        <w:t>过8h</w:t>
      </w:r>
      <w:r>
        <w:rPr>
          <w:rFonts w:hint="eastAsia"/>
        </w:rPr>
        <w:t>的，可采用</w:t>
      </w:r>
      <w:r>
        <w:rPr>
          <w:rFonts w:hint="eastAsia" w:asciiTheme="minorEastAsia" w:hAnsiTheme="minorEastAsia"/>
        </w:rPr>
        <w:t>2℃～10℃</w:t>
      </w:r>
      <w:r>
        <w:rPr>
          <w:rFonts w:hint="eastAsia"/>
        </w:rPr>
        <w:t>运输。应对运输过程的冷链效果进行确认并定期监测。</w:t>
      </w:r>
    </w:p>
    <w:p>
      <w:r>
        <w:rPr>
          <w:rFonts w:ascii="黑体" w:hAnsi="黑体" w:eastAsia="黑体"/>
        </w:rPr>
        <w:t xml:space="preserve">5.2.2.4  </w:t>
      </w:r>
      <w:r>
        <w:rPr>
          <w:rFonts w:hint="eastAsia"/>
        </w:rPr>
        <w:t>标本送检时应附标本运输交接单，送检单应注明检测委托方单位名称、联系方式、标本类型、标本数量、采集时间和接收时间、检测的缓急状态，检测结果送达地点等内容。</w:t>
      </w:r>
      <w:r>
        <w:t>运输时间2</w:t>
      </w:r>
      <w:r>
        <w:rPr>
          <w:rFonts w:hint="eastAsia" w:asciiTheme="minorEastAsia" w:hAnsiTheme="minorEastAsia"/>
        </w:rPr>
        <w:t>h</w:t>
      </w:r>
      <w:r>
        <w:t>以上的应记录箱内温度</w:t>
      </w:r>
      <w:r>
        <w:rPr>
          <w:rFonts w:hint="eastAsia"/>
        </w:rPr>
        <w:t>。</w:t>
      </w:r>
    </w:p>
    <w:p>
      <w:r>
        <w:rPr>
          <w:rFonts w:ascii="黑体" w:hAnsi="黑体" w:eastAsia="黑体"/>
        </w:rPr>
        <w:t>5.</w:t>
      </w:r>
      <w:r>
        <w:rPr>
          <w:rFonts w:hint="eastAsia" w:ascii="黑体" w:hAnsi="黑体" w:eastAsia="黑体"/>
        </w:rPr>
        <w:t>2</w:t>
      </w:r>
      <w:r>
        <w:rPr>
          <w:rFonts w:ascii="黑体" w:hAnsi="黑体" w:eastAsia="黑体"/>
        </w:rPr>
        <w:t>.2</w:t>
      </w:r>
      <w:r>
        <w:rPr>
          <w:rFonts w:hint="eastAsia" w:ascii="黑体" w:hAnsi="黑体" w:eastAsia="黑体"/>
        </w:rPr>
        <w:t>.5</w:t>
      </w:r>
      <w:r>
        <w:rPr>
          <w:rFonts w:ascii="黑体" w:hAnsi="黑体" w:eastAsia="黑体"/>
        </w:rPr>
        <w:t xml:space="preserve">  </w:t>
      </w:r>
      <w:r>
        <w:t>定期对</w:t>
      </w:r>
      <w:r>
        <w:rPr>
          <w:rFonts w:hint="eastAsia"/>
        </w:rPr>
        <w:t>标本运输箱</w:t>
      </w:r>
      <w:r>
        <w:t>进行清洁与消毒。</w:t>
      </w:r>
    </w:p>
    <w:p>
      <w:pPr>
        <w:spacing w:before="156" w:beforeLines="50" w:after="156" w:afterLines="50"/>
        <w:jc w:val="left"/>
        <w:textAlignment w:val="baseline"/>
        <w:rPr>
          <w:rFonts w:ascii="黑体" w:hAnsi="黑体" w:eastAsia="黑体"/>
        </w:rPr>
      </w:pPr>
      <w:r>
        <w:rPr>
          <w:rFonts w:hint="eastAsia" w:ascii="黑体" w:hAnsi="黑体" w:eastAsia="黑体"/>
        </w:rPr>
        <w:t>5</w:t>
      </w:r>
      <w:r>
        <w:rPr>
          <w:rFonts w:ascii="黑体" w:hAnsi="黑体" w:eastAsia="黑体"/>
        </w:rPr>
        <w:t xml:space="preserve">.2.3  </w:t>
      </w:r>
      <w:r>
        <w:rPr>
          <w:rFonts w:hint="eastAsia" w:ascii="黑体" w:hAnsi="黑体" w:eastAsia="黑体"/>
        </w:rPr>
        <w:t>交接要求</w:t>
      </w:r>
    </w:p>
    <w:p>
      <w:pPr>
        <w:rPr>
          <w:rFonts w:ascii="宋体" w:hAnsi="宋体"/>
          <w:szCs w:val="21"/>
        </w:rPr>
      </w:pPr>
      <w:r>
        <w:rPr>
          <w:rFonts w:ascii="黑体" w:hAnsi="黑体" w:eastAsia="黑体"/>
          <w:szCs w:val="21"/>
        </w:rPr>
        <w:t xml:space="preserve">5.2.3.1  </w:t>
      </w:r>
      <w:r>
        <w:rPr>
          <w:rFonts w:hint="eastAsia" w:ascii="宋体" w:hAnsi="宋体"/>
          <w:szCs w:val="21"/>
        </w:rPr>
        <w:t>应按要求将标本送达集中化检测实验室。</w:t>
      </w:r>
    </w:p>
    <w:p>
      <w:pPr>
        <w:rPr>
          <w:rFonts w:ascii="宋体" w:hAnsi="宋体"/>
          <w:szCs w:val="21"/>
        </w:rPr>
      </w:pPr>
      <w:r>
        <w:rPr>
          <w:rFonts w:ascii="黑体" w:hAnsi="黑体" w:eastAsia="黑体"/>
        </w:rPr>
        <w:t xml:space="preserve">5.2.3.2  </w:t>
      </w:r>
      <w:r>
        <w:rPr>
          <w:rFonts w:hint="eastAsia" w:ascii="宋体" w:hAnsi="宋体"/>
          <w:szCs w:val="21"/>
        </w:rPr>
        <w:t>委托方交接人员应核对并认真填写献血者标本交接记录，将标本、交接记录与实验室交接人员当面交接，双方核对标本数量、检查标本质量，确认无误后签字。</w:t>
      </w:r>
    </w:p>
    <w:p>
      <w:pPr>
        <w:pStyle w:val="50"/>
      </w:pPr>
      <w:bookmarkStart w:id="34" w:name="_Toc188455709"/>
      <w:bookmarkEnd w:id="34"/>
      <w:bookmarkStart w:id="35" w:name="_Toc188455664"/>
      <w:bookmarkEnd w:id="35"/>
      <w:bookmarkStart w:id="36" w:name="_Toc188455708"/>
      <w:bookmarkEnd w:id="36"/>
      <w:bookmarkStart w:id="37" w:name="_Toc188455662"/>
      <w:bookmarkEnd w:id="37"/>
      <w:bookmarkStart w:id="38" w:name="_Toc188455663"/>
      <w:bookmarkEnd w:id="38"/>
      <w:bookmarkStart w:id="39" w:name="_Toc188455707"/>
      <w:bookmarkEnd w:id="39"/>
      <w:bookmarkStart w:id="40" w:name="_Toc117604661"/>
      <w:bookmarkStart w:id="41" w:name="_Toc188607758"/>
      <w:r>
        <w:rPr>
          <w:rFonts w:hint="eastAsia"/>
        </w:rPr>
        <w:t>核酸集中化检测要求</w:t>
      </w:r>
      <w:bookmarkEnd w:id="40"/>
      <w:bookmarkEnd w:id="41"/>
    </w:p>
    <w:p>
      <w:pPr>
        <w:pStyle w:val="54"/>
        <w:numPr>
          <w:ilvl w:val="0"/>
          <w:numId w:val="0"/>
        </w:numPr>
        <w:spacing w:before="156" w:after="156"/>
        <w:jc w:val="both"/>
        <w:textAlignment w:val="baseline"/>
        <w:outlineLvl w:val="1"/>
      </w:pPr>
      <w:bookmarkStart w:id="42" w:name="_Toc188607759"/>
      <w:bookmarkStart w:id="43" w:name="_Toc117604662"/>
      <w:r>
        <w:t xml:space="preserve">6.1  </w:t>
      </w:r>
      <w:r>
        <w:rPr>
          <w:rFonts w:hint="eastAsia"/>
        </w:rPr>
        <w:t>信息管理系统</w:t>
      </w:r>
      <w:bookmarkEnd w:id="42"/>
      <w:bookmarkEnd w:id="43"/>
    </w:p>
    <w:p>
      <w:pPr>
        <w:rPr>
          <w:rFonts w:ascii="宋体" w:hAnsi="宋体"/>
          <w:szCs w:val="21"/>
        </w:rPr>
      </w:pPr>
      <w:r>
        <w:rPr>
          <w:rFonts w:ascii="黑体" w:hAnsi="黑体" w:eastAsia="黑体"/>
        </w:rPr>
        <w:t>6</w:t>
      </w:r>
      <w:r>
        <w:rPr>
          <w:rFonts w:hint="eastAsia" w:ascii="黑体" w:hAnsi="黑体" w:eastAsia="黑体"/>
        </w:rPr>
        <w:t>.1</w:t>
      </w:r>
      <w:r>
        <w:rPr>
          <w:rFonts w:ascii="黑体" w:hAnsi="黑体" w:eastAsia="黑体"/>
        </w:rPr>
        <w:t>.1</w:t>
      </w:r>
      <w:r>
        <w:rPr>
          <w:rFonts w:hint="eastAsia" w:ascii="黑体" w:hAnsi="黑体" w:eastAsia="黑体"/>
        </w:rPr>
        <w:t xml:space="preserve"> </w:t>
      </w:r>
      <w:r>
        <w:rPr>
          <w:rFonts w:ascii="黑体" w:hAnsi="黑体" w:eastAsia="黑体"/>
        </w:rPr>
        <w:t xml:space="preserve"> </w:t>
      </w:r>
      <w:r>
        <w:rPr>
          <w:rFonts w:hint="eastAsia" w:ascii="宋体" w:hAnsi="宋体"/>
          <w:szCs w:val="21"/>
        </w:rPr>
        <w:t>具有实时联网数据交换能力，采用联网技术共享检验数据资源，符合国家信创项目标准与网络信息安全要求。</w:t>
      </w:r>
    </w:p>
    <w:p>
      <w:r>
        <w:rPr>
          <w:rFonts w:ascii="黑体" w:hAnsi="黑体" w:eastAsia="黑体"/>
        </w:rPr>
        <w:t>6</w:t>
      </w:r>
      <w:r>
        <w:rPr>
          <w:rFonts w:hint="eastAsia" w:ascii="黑体" w:hAnsi="黑体" w:eastAsia="黑体"/>
        </w:rPr>
        <w:t>.</w:t>
      </w:r>
      <w:r>
        <w:rPr>
          <w:rFonts w:ascii="黑体" w:hAnsi="黑体" w:eastAsia="黑体"/>
        </w:rPr>
        <w:t>1</w:t>
      </w:r>
      <w:r>
        <w:rPr>
          <w:rFonts w:hint="eastAsia" w:ascii="黑体" w:hAnsi="黑体" w:eastAsia="黑体"/>
        </w:rPr>
        <w:t>.2</w:t>
      </w:r>
      <w:r>
        <w:rPr>
          <w:rFonts w:ascii="黑体" w:hAnsi="黑体" w:eastAsia="黑体"/>
        </w:rPr>
        <w:t xml:space="preserve">  </w:t>
      </w:r>
      <w:r>
        <w:rPr>
          <w:rFonts w:hint="eastAsia" w:ascii="宋体" w:hAnsi="宋体"/>
          <w:szCs w:val="21"/>
        </w:rPr>
        <w:t>能够与核酸检测系统实现全自动对接，具备完善的标本挑选、交接、追踪数据对接功能，并保存标本实施所有检测的原始数据。</w:t>
      </w:r>
    </w:p>
    <w:p>
      <w:r>
        <w:rPr>
          <w:rFonts w:ascii="黑体" w:hAnsi="黑体" w:eastAsia="黑体"/>
        </w:rPr>
        <w:t>6</w:t>
      </w:r>
      <w:r>
        <w:rPr>
          <w:rFonts w:hint="eastAsia" w:ascii="黑体" w:hAnsi="黑体" w:eastAsia="黑体"/>
        </w:rPr>
        <w:t>.</w:t>
      </w:r>
      <w:r>
        <w:rPr>
          <w:rFonts w:ascii="黑体" w:hAnsi="黑体" w:eastAsia="黑体"/>
        </w:rPr>
        <w:t>1</w:t>
      </w:r>
      <w:r>
        <w:rPr>
          <w:rFonts w:hint="eastAsia" w:ascii="黑体" w:hAnsi="黑体" w:eastAsia="黑体"/>
        </w:rPr>
        <w:t>.3</w:t>
      </w:r>
      <w:r>
        <w:rPr>
          <w:rFonts w:ascii="黑体" w:hAnsi="黑体" w:eastAsia="黑体"/>
        </w:rPr>
        <w:t xml:space="preserve">  </w:t>
      </w:r>
      <w:r>
        <w:rPr>
          <w:rFonts w:hint="eastAsia" w:ascii="宋体" w:hAnsi="宋体"/>
          <w:szCs w:val="21"/>
        </w:rPr>
        <w:t>具备安全、严谨的检验发布规则，能够实现对标本结果综合判定的检验结论，对核酸不合格的血液制品，能够实现计算机锁定、控制和管理。</w:t>
      </w:r>
    </w:p>
    <w:p>
      <w:pPr>
        <w:pStyle w:val="54"/>
        <w:numPr>
          <w:ilvl w:val="0"/>
          <w:numId w:val="0"/>
        </w:numPr>
        <w:spacing w:before="156" w:after="156"/>
        <w:jc w:val="both"/>
        <w:textAlignment w:val="baseline"/>
        <w:outlineLvl w:val="1"/>
      </w:pPr>
      <w:bookmarkStart w:id="44" w:name="_Toc188607760"/>
      <w:bookmarkStart w:id="45" w:name="_Toc117604663"/>
      <w:r>
        <w:t xml:space="preserve">6.2  </w:t>
      </w:r>
      <w:r>
        <w:rPr>
          <w:rFonts w:hint="eastAsia"/>
        </w:rPr>
        <w:t>交接规范</w:t>
      </w:r>
      <w:bookmarkEnd w:id="44"/>
      <w:bookmarkEnd w:id="45"/>
    </w:p>
    <w:p>
      <w:pPr>
        <w:ind w:firstLine="420" w:firstLineChars="200"/>
        <w:rPr>
          <w:rFonts w:ascii="宋体" w:hAnsi="宋体"/>
          <w:szCs w:val="21"/>
        </w:rPr>
      </w:pPr>
      <w:r>
        <w:rPr>
          <w:rFonts w:hint="eastAsia" w:ascii="宋体" w:hAnsi="宋体"/>
          <w:szCs w:val="21"/>
        </w:rPr>
        <w:t>应建立和实施标本的接收程序，包括标本的质量要求、时间要求、处理要求、标识信息核对和拒收等相关要求。</w:t>
      </w:r>
    </w:p>
    <w:p>
      <w:pPr>
        <w:pStyle w:val="54"/>
        <w:numPr>
          <w:ilvl w:val="0"/>
          <w:numId w:val="0"/>
        </w:numPr>
        <w:spacing w:before="156" w:after="156"/>
        <w:jc w:val="both"/>
        <w:textAlignment w:val="baseline"/>
        <w:outlineLvl w:val="1"/>
      </w:pPr>
      <w:bookmarkStart w:id="46" w:name="_Toc117604664"/>
      <w:bookmarkStart w:id="47" w:name="_Toc188607761"/>
      <w:r>
        <w:t xml:space="preserve">6.3  </w:t>
      </w:r>
      <w:r>
        <w:rPr>
          <w:rFonts w:hint="eastAsia"/>
        </w:rPr>
        <w:t>委托检测要求</w:t>
      </w:r>
      <w:bookmarkEnd w:id="46"/>
      <w:bookmarkEnd w:id="47"/>
    </w:p>
    <w:p>
      <w:r>
        <w:rPr>
          <w:rFonts w:ascii="黑体" w:hAnsi="黑体" w:eastAsia="黑体"/>
        </w:rPr>
        <w:t xml:space="preserve">6.3.1  </w:t>
      </w:r>
      <w:r>
        <w:rPr>
          <w:rFonts w:hint="eastAsia"/>
        </w:rPr>
        <w:t>集中化检测实验室和委托方应签订协议书，明确各方在该项目中所承担的工作任务、责任和权利。</w:t>
      </w:r>
    </w:p>
    <w:p>
      <w:pPr>
        <w:rPr>
          <w:rFonts w:asciiTheme="minorEastAsia" w:hAnsiTheme="minorEastAsia"/>
        </w:rPr>
      </w:pPr>
      <w:r>
        <w:rPr>
          <w:rFonts w:ascii="黑体" w:hAnsi="黑体" w:eastAsia="黑体"/>
        </w:rPr>
        <w:t xml:space="preserve">6.3.2  </w:t>
      </w:r>
      <w:r>
        <w:rPr>
          <w:rFonts w:hint="eastAsia"/>
        </w:rPr>
        <w:t>委托检测协议书保存期应不少于</w:t>
      </w:r>
      <w:r>
        <w:rPr>
          <w:rFonts w:hint="eastAsia" w:asciiTheme="minorEastAsia" w:hAnsiTheme="minorEastAsia"/>
        </w:rPr>
        <w:t>10年</w:t>
      </w:r>
      <w:r>
        <w:rPr>
          <w:rFonts w:hint="eastAsia"/>
        </w:rPr>
        <w:t>，格式参考附录</w:t>
      </w:r>
      <w:r>
        <w:rPr>
          <w:rFonts w:hint="eastAsia" w:asciiTheme="minorEastAsia" w:hAnsiTheme="minorEastAsia"/>
        </w:rPr>
        <w:t>A。</w:t>
      </w:r>
    </w:p>
    <w:p>
      <w:pPr>
        <w:pStyle w:val="54"/>
        <w:numPr>
          <w:ilvl w:val="0"/>
          <w:numId w:val="0"/>
        </w:numPr>
        <w:spacing w:before="156" w:after="156"/>
        <w:jc w:val="both"/>
        <w:textAlignment w:val="baseline"/>
        <w:outlineLvl w:val="1"/>
      </w:pPr>
      <w:bookmarkStart w:id="48" w:name="_Toc188607762"/>
      <w:r>
        <w:rPr>
          <w:rFonts w:hint="eastAsia"/>
        </w:rPr>
        <w:t>6.4  核酸检测报告</w:t>
      </w:r>
      <w:bookmarkEnd w:id="48"/>
    </w:p>
    <w:p>
      <w:pPr>
        <w:pStyle w:val="2"/>
      </w:pPr>
      <w:r>
        <w:rPr>
          <w:rFonts w:hint="eastAsia" w:ascii="黑体" w:hAnsi="黑体" w:eastAsia="黑体"/>
        </w:rPr>
        <w:t xml:space="preserve">6.4.1 </w:t>
      </w:r>
      <w:r>
        <w:rPr>
          <w:rFonts w:ascii="黑体" w:hAnsi="黑体" w:eastAsia="黑体"/>
        </w:rPr>
        <w:t xml:space="preserve"> </w:t>
      </w:r>
      <w:r>
        <w:rPr>
          <w:rFonts w:hint="eastAsia"/>
        </w:rPr>
        <w:t>核酸检测结果为无反应性的，判定为核酸检测合格；检测结果为反应性的，判定为核酸检测不合格。对核酸检测不合格的标本，应明确给出具体阳性的项目。</w:t>
      </w:r>
    </w:p>
    <w:p>
      <w:pPr>
        <w:pStyle w:val="2"/>
      </w:pPr>
      <w:r>
        <w:rPr>
          <w:rFonts w:hint="eastAsia" w:ascii="黑体" w:hAnsi="黑体" w:eastAsia="黑体"/>
        </w:rPr>
        <w:t xml:space="preserve">6.4.2 </w:t>
      </w:r>
      <w:r>
        <w:rPr>
          <w:rFonts w:ascii="黑体" w:hAnsi="黑体" w:eastAsia="黑体"/>
        </w:rPr>
        <w:t xml:space="preserve"> </w:t>
      </w:r>
      <w:r>
        <w:rPr>
          <w:rFonts w:hint="eastAsia"/>
        </w:rPr>
        <w:t>核酸检测结果应以电子数据传输，并为计算机血液放行控制程序直接利用。</w:t>
      </w:r>
    </w:p>
    <w:p>
      <w:pPr>
        <w:pStyle w:val="2"/>
      </w:pPr>
      <w:r>
        <w:rPr>
          <w:rFonts w:hint="eastAsia" w:ascii="黑体" w:hAnsi="黑体" w:eastAsia="黑体"/>
        </w:rPr>
        <w:t xml:space="preserve">6.4.3 </w:t>
      </w:r>
      <w:r>
        <w:rPr>
          <w:rFonts w:ascii="黑体" w:hAnsi="黑体" w:eastAsia="黑体"/>
        </w:rPr>
        <w:t xml:space="preserve"> </w:t>
      </w:r>
      <w:r>
        <w:rPr>
          <w:rFonts w:hint="eastAsia"/>
        </w:rPr>
        <w:t>集中化检测的检测方和委托方应明确核酸检测报告的利用方式、职责与分工。</w:t>
      </w:r>
    </w:p>
    <w:p>
      <w:pPr>
        <w:pStyle w:val="50"/>
      </w:pPr>
      <w:bookmarkStart w:id="49" w:name="_Toc117604665"/>
      <w:bookmarkStart w:id="50" w:name="_Toc188607763"/>
      <w:r>
        <w:rPr>
          <w:rFonts w:hint="eastAsia"/>
        </w:rPr>
        <w:t>质量控制</w:t>
      </w:r>
      <w:bookmarkEnd w:id="49"/>
      <w:bookmarkEnd w:id="50"/>
    </w:p>
    <w:p>
      <w:pPr>
        <w:rPr>
          <w:rFonts w:ascii="宋体" w:hAnsi="宋体"/>
          <w:szCs w:val="21"/>
        </w:rPr>
      </w:pPr>
      <w:r>
        <w:rPr>
          <w:rFonts w:ascii="黑体" w:hAnsi="Times New Roman" w:eastAsia="黑体"/>
          <w:kern w:val="0"/>
          <w:szCs w:val="21"/>
        </w:rPr>
        <w:t xml:space="preserve">7.1  </w:t>
      </w:r>
      <w:r>
        <w:rPr>
          <w:rFonts w:hint="eastAsia" w:ascii="宋体" w:hAnsi="宋体"/>
          <w:szCs w:val="21"/>
        </w:rPr>
        <w:t>检测方应对委托方及标本的采集、处理、运输、交接等关键环节进行监督检查。</w:t>
      </w:r>
    </w:p>
    <w:p>
      <w:pPr>
        <w:rPr>
          <w:rFonts w:ascii="宋体" w:hAnsi="宋体"/>
          <w:szCs w:val="21"/>
        </w:rPr>
      </w:pPr>
      <w:r>
        <w:rPr>
          <w:rFonts w:ascii="黑体" w:hAnsi="Times New Roman" w:eastAsia="黑体"/>
          <w:kern w:val="0"/>
          <w:szCs w:val="21"/>
        </w:rPr>
        <w:t xml:space="preserve">7.2 </w:t>
      </w:r>
      <w:r>
        <w:rPr>
          <w:rFonts w:ascii="黑体" w:hAnsi="黑体" w:eastAsia="黑体"/>
        </w:rPr>
        <w:t xml:space="preserve"> </w:t>
      </w:r>
      <w:r>
        <w:rPr>
          <w:rFonts w:hint="eastAsia" w:ascii="宋体" w:hAnsi="宋体"/>
          <w:szCs w:val="21"/>
        </w:rPr>
        <w:t>检测方应按协议要求完成检测并通过信息管理系统向委托方传送检测结果报告，对出具的检测结果报告负责并具有解释权。</w:t>
      </w:r>
    </w:p>
    <w:p>
      <w:pPr>
        <w:rPr>
          <w:rFonts w:ascii="宋体" w:hAnsi="宋体"/>
          <w:szCs w:val="21"/>
        </w:rPr>
      </w:pPr>
      <w:r>
        <w:rPr>
          <w:rFonts w:hint="eastAsia" w:ascii="黑体" w:hAnsi="Times New Roman" w:eastAsia="黑体"/>
          <w:kern w:val="0"/>
          <w:szCs w:val="21"/>
        </w:rPr>
        <w:t>7</w:t>
      </w:r>
      <w:r>
        <w:rPr>
          <w:rFonts w:ascii="黑体" w:hAnsi="Times New Roman" w:eastAsia="黑体"/>
          <w:kern w:val="0"/>
          <w:szCs w:val="21"/>
        </w:rPr>
        <w:t>.</w:t>
      </w:r>
      <w:r>
        <w:rPr>
          <w:rFonts w:hint="eastAsia" w:ascii="黑体" w:hAnsi="Times New Roman" w:eastAsia="黑体"/>
          <w:kern w:val="0"/>
          <w:szCs w:val="21"/>
        </w:rPr>
        <w:t xml:space="preserve">3 </w:t>
      </w:r>
      <w:r>
        <w:rPr>
          <w:rFonts w:hint="eastAsia" w:ascii="黑体" w:hAnsi="黑体" w:eastAsia="黑体"/>
        </w:rPr>
        <w:t xml:space="preserve"> </w:t>
      </w:r>
      <w:r>
        <w:rPr>
          <w:rFonts w:hint="eastAsia" w:ascii="宋体" w:hAnsi="宋体"/>
          <w:szCs w:val="21"/>
        </w:rPr>
        <w:t>检测方应做好试剂确认、室内质控、室间质评、环境监控检测等质量监测工作。</w:t>
      </w:r>
    </w:p>
    <w:p>
      <w:pPr>
        <w:pStyle w:val="50"/>
      </w:pPr>
      <w:bookmarkStart w:id="51" w:name="_Toc188607764"/>
      <w:r>
        <w:rPr>
          <w:rFonts w:hint="eastAsia"/>
        </w:rPr>
        <w:t>应急处理</w:t>
      </w:r>
      <w:bookmarkEnd w:id="51"/>
    </w:p>
    <w:p>
      <w:pPr>
        <w:pStyle w:val="54"/>
        <w:numPr>
          <w:ilvl w:val="0"/>
          <w:numId w:val="0"/>
        </w:numPr>
        <w:spacing w:before="156" w:after="156"/>
        <w:jc w:val="both"/>
        <w:textAlignment w:val="baseline"/>
        <w:outlineLvl w:val="1"/>
      </w:pPr>
      <w:bookmarkStart w:id="52" w:name="_Toc117604668"/>
      <w:bookmarkStart w:id="53" w:name="_Toc188607765"/>
      <w:r>
        <w:rPr>
          <w:rFonts w:hint="eastAsia"/>
        </w:rPr>
        <w:t>8</w:t>
      </w:r>
      <w:r>
        <w:t>.</w:t>
      </w:r>
      <w:r>
        <w:rPr>
          <w:rFonts w:hint="eastAsia"/>
        </w:rPr>
        <w:t>1</w:t>
      </w:r>
      <w:r>
        <w:t xml:space="preserve">  </w:t>
      </w:r>
      <w:r>
        <w:rPr>
          <w:rFonts w:hint="eastAsia"/>
        </w:rPr>
        <w:t>备份实验室</w:t>
      </w:r>
      <w:bookmarkEnd w:id="52"/>
      <w:bookmarkEnd w:id="53"/>
    </w:p>
    <w:p>
      <w:pPr>
        <w:ind w:firstLine="420" w:firstLineChars="200"/>
      </w:pPr>
      <w:r>
        <w:rPr>
          <w:rFonts w:hint="eastAsia"/>
        </w:rPr>
        <w:t>集中化检测实验室应与邻近集中化检测实验室互为备份并做应急储备需要，在实验室污染、仪器故障无法及时修复、试剂短缺、受到疫情等不可抗因素导致检测方实验室无法维持运转时，启用应急备份实验室。</w:t>
      </w:r>
    </w:p>
    <w:p>
      <w:pPr>
        <w:pStyle w:val="54"/>
        <w:numPr>
          <w:ilvl w:val="0"/>
          <w:numId w:val="0"/>
        </w:numPr>
        <w:spacing w:before="156" w:after="156"/>
        <w:jc w:val="both"/>
        <w:textAlignment w:val="baseline"/>
        <w:outlineLvl w:val="1"/>
      </w:pPr>
      <w:bookmarkStart w:id="54" w:name="_Toc117604669"/>
      <w:bookmarkStart w:id="55" w:name="_Toc188607766"/>
      <w:r>
        <w:rPr>
          <w:rFonts w:hint="eastAsia"/>
        </w:rPr>
        <w:t>8</w:t>
      </w:r>
      <w:r>
        <w:t>.</w:t>
      </w:r>
      <w:r>
        <w:rPr>
          <w:rFonts w:hint="eastAsia"/>
        </w:rPr>
        <w:t>2</w:t>
      </w:r>
      <w:r>
        <w:t xml:space="preserve">  </w:t>
      </w:r>
      <w:r>
        <w:rPr>
          <w:rFonts w:hint="eastAsia"/>
        </w:rPr>
        <w:t>应急</w:t>
      </w:r>
      <w:bookmarkEnd w:id="54"/>
      <w:r>
        <w:rPr>
          <w:rFonts w:hint="eastAsia"/>
        </w:rPr>
        <w:t>预案</w:t>
      </w:r>
      <w:bookmarkEnd w:id="55"/>
    </w:p>
    <w:p>
      <w:pPr>
        <w:rPr>
          <w:rFonts w:ascii="宋体" w:hAnsi="宋体"/>
          <w:szCs w:val="21"/>
        </w:rPr>
      </w:pPr>
      <w:r>
        <w:rPr>
          <w:rFonts w:hint="eastAsia" w:ascii="黑体" w:hAnsi="黑体" w:eastAsia="黑体"/>
        </w:rPr>
        <w:t>8</w:t>
      </w:r>
      <w:r>
        <w:rPr>
          <w:rFonts w:ascii="黑体" w:hAnsi="黑体" w:eastAsia="黑体"/>
        </w:rPr>
        <w:t>.</w:t>
      </w:r>
      <w:r>
        <w:rPr>
          <w:rFonts w:hint="eastAsia" w:ascii="黑体" w:hAnsi="黑体" w:eastAsia="黑体"/>
        </w:rPr>
        <w:t>2</w:t>
      </w:r>
      <w:r>
        <w:rPr>
          <w:rFonts w:ascii="黑体" w:hAnsi="黑体" w:eastAsia="黑体"/>
        </w:rPr>
        <w:t xml:space="preserve">.1  </w:t>
      </w:r>
      <w:r>
        <w:rPr>
          <w:rFonts w:hint="eastAsia" w:ascii="宋体" w:hAnsi="宋体"/>
          <w:szCs w:val="21"/>
        </w:rPr>
        <w:t>检测方与委托方应协同制定运输过程应急预案。</w:t>
      </w:r>
    </w:p>
    <w:p>
      <w:pPr>
        <w:pStyle w:val="51"/>
        <w:ind w:firstLine="0" w:firstLineChars="0"/>
        <w:rPr>
          <w:rFonts w:hAnsi="宋体"/>
          <w:szCs w:val="21"/>
        </w:rPr>
      </w:pPr>
      <w:r>
        <w:rPr>
          <w:rFonts w:hint="eastAsia" w:ascii="黑体" w:hAnsi="黑体" w:eastAsia="黑体" w:cstheme="minorBidi"/>
        </w:rPr>
        <w:t>8</w:t>
      </w:r>
      <w:r>
        <w:rPr>
          <w:rFonts w:ascii="黑体" w:hAnsi="黑体" w:eastAsia="黑体" w:cstheme="minorBidi"/>
        </w:rPr>
        <w:t>.</w:t>
      </w:r>
      <w:r>
        <w:rPr>
          <w:rFonts w:hint="eastAsia" w:ascii="黑体" w:hAnsi="黑体" w:eastAsia="黑体" w:cstheme="minorBidi"/>
        </w:rPr>
        <w:t>2</w:t>
      </w:r>
      <w:r>
        <w:rPr>
          <w:rFonts w:ascii="黑体" w:hAnsi="黑体" w:eastAsia="黑体" w:cstheme="minorBidi"/>
        </w:rPr>
        <w:t xml:space="preserve">.2  </w:t>
      </w:r>
      <w:r>
        <w:rPr>
          <w:rFonts w:hint="eastAsia" w:hAnsi="宋体"/>
          <w:szCs w:val="21"/>
        </w:rPr>
        <w:t>应建立和实施针对信息管理系统瘫痪等意外事件的应急预案和恢复程序。</w:t>
      </w:r>
    </w:p>
    <w:p>
      <w:pPr>
        <w:pStyle w:val="50"/>
      </w:pPr>
      <w:bookmarkStart w:id="56" w:name="_Toc188607767"/>
      <w:r>
        <w:rPr>
          <w:rFonts w:hint="eastAsia"/>
        </w:rPr>
        <w:t>监督管理</w:t>
      </w:r>
      <w:bookmarkEnd w:id="56"/>
    </w:p>
    <w:p>
      <w:pPr>
        <w:pStyle w:val="51"/>
        <w:sectPr>
          <w:headerReference r:id="rId10" w:type="default"/>
          <w:footerReference r:id="rId12" w:type="default"/>
          <w:headerReference r:id="rId11" w:type="even"/>
          <w:footerReference r:id="rId13" w:type="even"/>
          <w:pgSz w:w="11906" w:h="16838"/>
          <w:pgMar w:top="1417" w:right="1134" w:bottom="1134" w:left="1418" w:header="1417" w:footer="1134" w:gutter="0"/>
          <w:pgNumType w:start="1"/>
          <w:cols w:space="425" w:num="1"/>
          <w:docGrid w:type="lines" w:linePitch="312" w:charSpace="0"/>
        </w:sectPr>
      </w:pPr>
      <w:r>
        <w:rPr>
          <w:rFonts w:hint="eastAsia"/>
        </w:rPr>
        <w:t>血站应对核酸集中化检测工作进行安全管理和监测评价，强化检测目标、检测任务、重点工作的分解落实，建立定期监测分析和评估的监测评估机制,将评估结果作为改进血站检测工作的重要依据。</w:t>
      </w:r>
    </w:p>
    <w:p>
      <w:pPr>
        <w:pStyle w:val="6"/>
      </w:pPr>
      <w:bookmarkStart w:id="57" w:name="_Toc188607768"/>
      <w:r>
        <w:rPr>
          <w:rFonts w:hint="eastAsia"/>
        </w:rPr>
        <w:t>附  录  A</w:t>
      </w:r>
      <w:bookmarkEnd w:id="57"/>
    </w:p>
    <w:p>
      <w:pPr>
        <w:pStyle w:val="7"/>
        <w:jc w:val="center"/>
        <w:rPr>
          <w:rFonts w:ascii="黑体" w:hAnsi="黑体" w:eastAsia="黑体" w:cs="黑体"/>
          <w:sz w:val="21"/>
          <w:szCs w:val="21"/>
        </w:rPr>
      </w:pPr>
      <w:r>
        <w:rPr>
          <w:rFonts w:hint="eastAsia" w:ascii="黑体" w:hAnsi="黑体" w:eastAsia="黑体" w:cs="黑体"/>
          <w:sz w:val="21"/>
          <w:szCs w:val="21"/>
        </w:rPr>
        <w:t>（资料性）</w:t>
      </w:r>
    </w:p>
    <w:p>
      <w:pPr>
        <w:pStyle w:val="7"/>
        <w:adjustRightInd w:val="0"/>
        <w:spacing w:after="283"/>
        <w:jc w:val="center"/>
        <w:rPr>
          <w:rFonts w:ascii="黑体" w:hAnsi="黑体" w:eastAsia="黑体"/>
          <w:sz w:val="21"/>
          <w:szCs w:val="21"/>
        </w:rPr>
      </w:pPr>
      <w:r>
        <w:rPr>
          <w:rFonts w:hint="eastAsia" w:ascii="黑体" w:hAnsi="黑体" w:eastAsia="黑体"/>
          <w:sz w:val="21"/>
          <w:szCs w:val="21"/>
        </w:rPr>
        <w:t>血液核酸集中化筛查检测委托协议</w:t>
      </w:r>
    </w:p>
    <w:p>
      <w:pPr>
        <w:rPr>
          <w:rFonts w:asciiTheme="minorEastAsia" w:hAnsiTheme="minorEastAsia"/>
        </w:rPr>
      </w:pPr>
      <w:r>
        <w:rPr>
          <w:rFonts w:hint="eastAsia" w:asciiTheme="minorEastAsia" w:hAnsiTheme="minorEastAsia"/>
        </w:rPr>
        <w:t>甲方：（委托方）</w:t>
      </w:r>
    </w:p>
    <w:p>
      <w:pPr>
        <w:rPr>
          <w:rFonts w:asciiTheme="minorEastAsia" w:hAnsiTheme="minorEastAsia"/>
        </w:rPr>
      </w:pPr>
      <w:r>
        <w:rPr>
          <w:rFonts w:hint="eastAsia" w:asciiTheme="minorEastAsia" w:hAnsiTheme="minorEastAsia"/>
        </w:rPr>
        <w:t>乙方：（检测方）</w:t>
      </w:r>
    </w:p>
    <w:p>
      <w:pPr>
        <w:ind w:firstLine="420" w:firstLineChars="200"/>
        <w:rPr>
          <w:rFonts w:asciiTheme="minorEastAsia" w:hAnsiTheme="minorEastAsia"/>
        </w:rPr>
      </w:pPr>
      <w:r>
        <w:rPr>
          <w:rFonts w:hint="eastAsia" w:asciiTheme="minorEastAsia" w:hAnsiTheme="minorEastAsia"/>
        </w:rPr>
        <w:t>为做好血液标本集中化核酸检测工作，确保血液安全，根据有关法律、法规和上级主管部门对血液核酸集中化筛查检测等工作要求，按照《血站管理办法》、《血站质量管理规范》、《血站实验室质量管理规范》等相关规定，在自愿、平等、协商一致的基础上，经甲、乙双方协商订立本协议。</w:t>
      </w:r>
    </w:p>
    <w:p>
      <w:pPr>
        <w:ind w:firstLine="420" w:firstLineChars="200"/>
        <w:rPr>
          <w:rFonts w:asciiTheme="minorEastAsia" w:hAnsiTheme="minorEastAsia"/>
        </w:rPr>
      </w:pPr>
      <w:r>
        <w:rPr>
          <w:rFonts w:hint="eastAsia" w:asciiTheme="minorEastAsia" w:hAnsiTheme="minorEastAsia"/>
        </w:rPr>
        <w:t>一、委托内容</w:t>
      </w:r>
    </w:p>
    <w:p>
      <w:pPr>
        <w:ind w:firstLine="420" w:firstLineChars="200"/>
        <w:rPr>
          <w:rFonts w:asciiTheme="minorEastAsia" w:hAnsiTheme="minorEastAsia"/>
        </w:rPr>
      </w:pPr>
      <w:r>
        <w:rPr>
          <w:rFonts w:hint="eastAsia" w:asciiTheme="minorEastAsia" w:hAnsiTheme="minorEastAsia"/>
        </w:rPr>
        <w:t>甲方委托乙方对甲方送检的献血者血液标本按照国家对输血相关传染病的强制性检测项目及检测方法对人类免疫缺陷病毒、乙型肝炎病毒、丙型肝炎病毒三个项目进行核酸筛查检测，并报告检测结果。</w:t>
      </w:r>
    </w:p>
    <w:p>
      <w:pPr>
        <w:ind w:firstLine="420" w:firstLineChars="200"/>
        <w:rPr>
          <w:rFonts w:asciiTheme="minorEastAsia" w:hAnsiTheme="minorEastAsia"/>
        </w:rPr>
      </w:pPr>
      <w:r>
        <w:rPr>
          <w:rFonts w:hint="eastAsia" w:asciiTheme="minorEastAsia" w:hAnsiTheme="minorEastAsia"/>
        </w:rPr>
        <w:t>二、甲方承担的责任和义务</w:t>
      </w:r>
    </w:p>
    <w:p>
      <w:pPr>
        <w:ind w:firstLine="420" w:firstLineChars="200"/>
        <w:rPr>
          <w:rFonts w:asciiTheme="minorEastAsia" w:hAnsiTheme="minorEastAsia"/>
        </w:rPr>
      </w:pPr>
      <w:r>
        <w:rPr>
          <w:rFonts w:hint="eastAsia" w:asciiTheme="minorEastAsia" w:hAnsiTheme="minorEastAsia"/>
        </w:rPr>
        <w:t>甲方对血液标本的整体质量负责并对此承担责任，同时：</w:t>
      </w:r>
    </w:p>
    <w:p>
      <w:pPr>
        <w:ind w:firstLine="420" w:firstLineChars="200"/>
        <w:rPr>
          <w:rFonts w:asciiTheme="minorEastAsia" w:hAnsiTheme="minorEastAsia"/>
        </w:rPr>
      </w:pPr>
      <w:r>
        <w:rPr>
          <w:rFonts w:hint="eastAsia" w:asciiTheme="minorEastAsia" w:hAnsiTheme="minorEastAsia"/>
        </w:rPr>
        <w:t>1.甲方应保证血液标本的质量，并对血液标本的采集、处理、保存、包装、运输、交接等过程与血袋血液的一致性承担责任。</w:t>
      </w:r>
    </w:p>
    <w:p>
      <w:pPr>
        <w:ind w:firstLine="420" w:firstLineChars="200"/>
        <w:rPr>
          <w:rFonts w:asciiTheme="minorEastAsia" w:hAnsiTheme="minorEastAsia"/>
        </w:rPr>
      </w:pPr>
      <w:r>
        <w:rPr>
          <w:rFonts w:hint="eastAsia" w:asciiTheme="minorEastAsia" w:hAnsiTheme="minorEastAsia"/>
        </w:rPr>
        <w:t>2.甲方负责定期向乙方运送委托检测的血液标本，标本应符合乙方规定的要求，于48h内送达乙方实验室。</w:t>
      </w:r>
    </w:p>
    <w:p>
      <w:pPr>
        <w:ind w:firstLine="420" w:firstLineChars="200"/>
        <w:rPr>
          <w:rFonts w:asciiTheme="minorEastAsia" w:hAnsiTheme="minorEastAsia"/>
        </w:rPr>
      </w:pPr>
      <w:r>
        <w:rPr>
          <w:rFonts w:hint="eastAsia" w:asciiTheme="minorEastAsia" w:hAnsiTheme="minorEastAsia"/>
        </w:rPr>
        <w:t>3.甲方对向乙方交接之前血液标本的质量承担责任。</w:t>
      </w:r>
    </w:p>
    <w:p>
      <w:pPr>
        <w:ind w:firstLine="420" w:firstLineChars="200"/>
        <w:rPr>
          <w:rFonts w:asciiTheme="minorEastAsia" w:hAnsiTheme="minorEastAsia"/>
        </w:rPr>
      </w:pPr>
      <w:r>
        <w:rPr>
          <w:rFonts w:hint="eastAsia" w:asciiTheme="minorEastAsia" w:hAnsiTheme="minorEastAsia"/>
        </w:rPr>
        <w:t>4.甲方按规定样式提供集中检测血液标本的交接记录（委托函），并与血液标本一起向乙方交接。</w:t>
      </w:r>
    </w:p>
    <w:p>
      <w:pPr>
        <w:ind w:left="420" w:leftChars="200"/>
        <w:rPr>
          <w:rFonts w:asciiTheme="minorEastAsia" w:hAnsiTheme="minorEastAsia"/>
        </w:rPr>
      </w:pPr>
      <w:r>
        <w:rPr>
          <w:rFonts w:hint="eastAsia" w:asciiTheme="minorEastAsia" w:hAnsiTheme="minorEastAsia"/>
        </w:rPr>
        <w:t>5.甲方对核酸检测报告结果的使用负责，由乙方提供核酸检测报告的血液，甲方应按照国家、省的有关规定使用。</w:t>
      </w:r>
    </w:p>
    <w:p>
      <w:pPr>
        <w:ind w:firstLine="420" w:firstLineChars="200"/>
        <w:rPr>
          <w:rFonts w:asciiTheme="minorEastAsia" w:hAnsiTheme="minorEastAsia"/>
        </w:rPr>
      </w:pPr>
      <w:r>
        <w:rPr>
          <w:rFonts w:hint="eastAsia" w:asciiTheme="minorEastAsia" w:hAnsiTheme="minorEastAsia"/>
        </w:rPr>
        <w:t>三、乙方承担的责任和义务</w:t>
      </w:r>
    </w:p>
    <w:p>
      <w:pPr>
        <w:ind w:firstLine="420" w:firstLineChars="200"/>
        <w:rPr>
          <w:rFonts w:asciiTheme="minorEastAsia" w:hAnsiTheme="minorEastAsia"/>
        </w:rPr>
      </w:pPr>
      <w:r>
        <w:rPr>
          <w:rFonts w:hint="eastAsia" w:asciiTheme="minorEastAsia" w:hAnsiTheme="minorEastAsia"/>
        </w:rPr>
        <w:t>乙方保证对血液标本相关项目的核酸检测程序和过程符合规定并对此承担责任，同时：</w:t>
      </w:r>
    </w:p>
    <w:p>
      <w:pPr>
        <w:ind w:firstLine="420" w:firstLineChars="200"/>
        <w:rPr>
          <w:rFonts w:asciiTheme="minorEastAsia" w:hAnsiTheme="minorEastAsia"/>
        </w:rPr>
      </w:pPr>
      <w:r>
        <w:rPr>
          <w:rFonts w:hint="eastAsia" w:asciiTheme="minorEastAsia" w:hAnsiTheme="minorEastAsia"/>
        </w:rPr>
        <w:t>1.乙方接收血液标本后，对血液标本的质量承担责任。乙方在标本接收以及处理过程中发现标本不符合要求，通知并退回甲方。</w:t>
      </w:r>
    </w:p>
    <w:p>
      <w:pPr>
        <w:ind w:firstLine="420" w:firstLineChars="200"/>
        <w:rPr>
          <w:rFonts w:asciiTheme="minorEastAsia" w:hAnsiTheme="minorEastAsia"/>
        </w:rPr>
      </w:pPr>
      <w:r>
        <w:rPr>
          <w:rFonts w:hint="eastAsia" w:asciiTheme="minorEastAsia" w:hAnsiTheme="minorEastAsia"/>
        </w:rPr>
        <w:t>2.乙方按规定的项目和程序对甲方委托的受检标本进行核酸检测，并对受检血液标本的核酸检测项目和程序承担责任。</w:t>
      </w:r>
    </w:p>
    <w:p>
      <w:pPr>
        <w:ind w:firstLine="420" w:firstLineChars="200"/>
        <w:rPr>
          <w:rFonts w:asciiTheme="minorEastAsia" w:hAnsiTheme="minorEastAsia"/>
        </w:rPr>
      </w:pPr>
      <w:r>
        <w:rPr>
          <w:rFonts w:hint="eastAsia" w:asciiTheme="minorEastAsia" w:hAnsiTheme="minorEastAsia"/>
        </w:rPr>
        <w:t>3.乙方保证对受委托检测血液采取的核酸检测项目和程序符合国家相关要求，对受检血液使用造成一切后果不承担任何责任。</w:t>
      </w:r>
    </w:p>
    <w:p>
      <w:pPr>
        <w:ind w:firstLine="420" w:firstLineChars="200"/>
        <w:rPr>
          <w:rFonts w:asciiTheme="minorEastAsia" w:hAnsiTheme="minorEastAsia"/>
        </w:rPr>
      </w:pPr>
      <w:r>
        <w:rPr>
          <w:rFonts w:hint="eastAsia" w:asciiTheme="minorEastAsia" w:hAnsiTheme="minorEastAsia"/>
        </w:rPr>
        <w:t>四、甲、乙双方共同承担的责任和义务</w:t>
      </w:r>
    </w:p>
    <w:p>
      <w:pPr>
        <w:ind w:firstLine="420" w:firstLineChars="200"/>
        <w:rPr>
          <w:rFonts w:asciiTheme="minorEastAsia" w:hAnsiTheme="minorEastAsia"/>
        </w:rPr>
      </w:pPr>
      <w:r>
        <w:rPr>
          <w:rFonts w:hint="eastAsia" w:asciiTheme="minorEastAsia" w:hAnsiTheme="minorEastAsia"/>
        </w:rPr>
        <w:t>1.甲、乙双方都应遵守国家保证血液安全的法律、法规和相关规定，执行相关程序文件和操作规程，保证各自工作环节的质量并承担责任。</w:t>
      </w:r>
    </w:p>
    <w:p>
      <w:pPr>
        <w:ind w:firstLine="420" w:firstLineChars="200"/>
        <w:rPr>
          <w:rFonts w:asciiTheme="minorEastAsia" w:hAnsiTheme="minorEastAsia"/>
        </w:rPr>
      </w:pPr>
      <w:r>
        <w:rPr>
          <w:rFonts w:hint="eastAsia" w:asciiTheme="minorEastAsia" w:hAnsiTheme="minorEastAsia"/>
        </w:rPr>
        <w:t>2.甲、乙双方在血液标本交接时，应相互核对、签字，确保交接无误。涉及标本的采集、运输、交接、保存以及报告发送、接收等具体要求另行约定。</w:t>
      </w:r>
    </w:p>
    <w:p>
      <w:pPr>
        <w:ind w:firstLine="420" w:firstLineChars="200"/>
        <w:rPr>
          <w:rFonts w:asciiTheme="minorEastAsia" w:hAnsiTheme="minorEastAsia"/>
        </w:rPr>
      </w:pPr>
      <w:r>
        <w:rPr>
          <w:rFonts w:hint="eastAsia" w:asciiTheme="minorEastAsia" w:hAnsiTheme="minorEastAsia"/>
        </w:rPr>
        <w:t>3.甲、乙双方分别与信息系统提供商商议解决管理系统软件接口问题，保持信息系统畅通，确保标本信息、报告信息准确无误。</w:t>
      </w:r>
    </w:p>
    <w:p>
      <w:pPr>
        <w:ind w:firstLine="420" w:firstLineChars="200"/>
        <w:rPr>
          <w:rFonts w:asciiTheme="minorEastAsia" w:hAnsiTheme="minorEastAsia"/>
        </w:rPr>
      </w:pPr>
      <w:r>
        <w:rPr>
          <w:rFonts w:hint="eastAsia" w:asciiTheme="minorEastAsia" w:hAnsiTheme="minorEastAsia"/>
        </w:rPr>
        <w:t>4.若因血液质量问题发生纠纷，甲、乙双方应相互配合，积极处理，其赔偿责任按照相关法律法规规定执行。</w:t>
      </w:r>
    </w:p>
    <w:p>
      <w:pPr>
        <w:ind w:firstLine="420" w:firstLineChars="200"/>
        <w:rPr>
          <w:rFonts w:asciiTheme="minorEastAsia" w:hAnsiTheme="minorEastAsia"/>
        </w:rPr>
      </w:pPr>
      <w:r>
        <w:rPr>
          <w:rFonts w:hint="eastAsia" w:asciiTheme="minorEastAsia" w:hAnsiTheme="minorEastAsia"/>
        </w:rPr>
        <w:t>五、检测费用</w:t>
      </w:r>
    </w:p>
    <w:p>
      <w:pPr>
        <w:ind w:firstLine="420" w:firstLineChars="200"/>
        <w:rPr>
          <w:rFonts w:asciiTheme="minorEastAsia" w:hAnsiTheme="minorEastAsia"/>
        </w:rPr>
      </w:pPr>
      <w:r>
        <w:rPr>
          <w:rFonts w:hint="eastAsia" w:asciiTheme="minorEastAsia" w:hAnsiTheme="minorEastAsia"/>
        </w:rPr>
        <w:t>1.每份标本检测费用**元，按双方确认的交接记录（委托函）的标本数量每月集中结算。</w:t>
      </w:r>
    </w:p>
    <w:p>
      <w:pPr>
        <w:ind w:firstLine="420" w:firstLineChars="200"/>
        <w:rPr>
          <w:rFonts w:asciiTheme="minorEastAsia" w:hAnsiTheme="minorEastAsia"/>
        </w:rPr>
      </w:pPr>
      <w:r>
        <w:rPr>
          <w:rFonts w:hint="eastAsia" w:asciiTheme="minorEastAsia" w:hAnsiTheme="minorEastAsia"/>
        </w:rPr>
        <w:t>2.协议期间如若政府主管部门对收费有文件明确或调整的，则按照最新的有效文件执行。</w:t>
      </w:r>
    </w:p>
    <w:p>
      <w:pPr>
        <w:ind w:firstLine="420" w:firstLineChars="200"/>
        <w:rPr>
          <w:rFonts w:asciiTheme="minorEastAsia" w:hAnsiTheme="minorEastAsia"/>
        </w:rPr>
      </w:pPr>
      <w:r>
        <w:rPr>
          <w:rFonts w:hint="eastAsia" w:asciiTheme="minorEastAsia" w:hAnsiTheme="minorEastAsia"/>
        </w:rPr>
        <w:t>六、委托期限</w:t>
      </w:r>
    </w:p>
    <w:p>
      <w:pPr>
        <w:ind w:firstLine="420" w:firstLineChars="200"/>
        <w:rPr>
          <w:rFonts w:asciiTheme="minorEastAsia" w:hAnsiTheme="minorEastAsia"/>
        </w:rPr>
      </w:pPr>
      <w:r>
        <w:rPr>
          <w:rFonts w:hint="eastAsia" w:asciiTheme="minorEastAsia" w:hAnsiTheme="minorEastAsia"/>
        </w:rPr>
        <w:t>1.自双方签字之日起至****年**月**日止。协议期满如双方未提出修改和终止的，自动延续1年。</w:t>
      </w:r>
    </w:p>
    <w:p>
      <w:pPr>
        <w:ind w:firstLine="420" w:firstLineChars="200"/>
        <w:rPr>
          <w:rFonts w:asciiTheme="minorEastAsia" w:hAnsiTheme="minorEastAsia"/>
        </w:rPr>
      </w:pPr>
      <w:r>
        <w:rPr>
          <w:rFonts w:hint="eastAsia" w:asciiTheme="minorEastAsia" w:hAnsiTheme="minorEastAsia"/>
        </w:rPr>
        <w:t>2.本协议执行期间，如遇不可抗力或上级有新规定、新要求，致使协议无法履行时，双方应按有关规定及时协商处理。</w:t>
      </w:r>
    </w:p>
    <w:p>
      <w:pPr>
        <w:ind w:firstLine="420" w:firstLineChars="200"/>
        <w:rPr>
          <w:rFonts w:asciiTheme="minorEastAsia" w:hAnsiTheme="minorEastAsia"/>
        </w:rPr>
      </w:pPr>
      <w:r>
        <w:rPr>
          <w:rFonts w:hint="eastAsia" w:asciiTheme="minorEastAsia" w:hAnsiTheme="minorEastAsia"/>
        </w:rPr>
        <w:t>七、附则</w:t>
      </w:r>
    </w:p>
    <w:p>
      <w:pPr>
        <w:ind w:firstLine="420" w:firstLineChars="200"/>
        <w:rPr>
          <w:rFonts w:asciiTheme="minorEastAsia" w:hAnsiTheme="minorEastAsia"/>
        </w:rPr>
      </w:pPr>
      <w:r>
        <w:rPr>
          <w:rFonts w:hint="eastAsia" w:asciiTheme="minorEastAsia" w:hAnsiTheme="minorEastAsia"/>
        </w:rPr>
        <w:t>1.本协议签订后，协议期内如一方要求修改或终止协议，应以书面提出，经甲、乙双方同意后另行商签有关文件或协议，未经双方协商一致，终止协议方应承担对方的经济损失。甲乙双方任何一方违反本协议的约定，守约方均有权选择要求违约方承担违约责任，或单方解除本协议。</w:t>
      </w:r>
    </w:p>
    <w:p>
      <w:pPr>
        <w:ind w:firstLine="420" w:firstLineChars="200"/>
        <w:rPr>
          <w:rFonts w:asciiTheme="minorEastAsia" w:hAnsiTheme="minorEastAsia"/>
        </w:rPr>
      </w:pPr>
      <w:r>
        <w:rPr>
          <w:rFonts w:hint="eastAsia" w:asciiTheme="minorEastAsia" w:hAnsiTheme="minorEastAsia"/>
        </w:rPr>
        <w:t>2.本协议正本一式两份，甲、乙双方各执一份。</w:t>
      </w:r>
    </w:p>
    <w:p>
      <w:pPr>
        <w:rPr>
          <w:rFonts w:asciiTheme="minorEastAsia" w:hAnsiTheme="minorEastAsia"/>
        </w:rPr>
      </w:pPr>
    </w:p>
    <w:p>
      <w:pPr>
        <w:ind w:firstLine="420" w:firstLineChars="200"/>
        <w:jc w:val="left"/>
        <w:rPr>
          <w:rFonts w:asciiTheme="minorEastAsia" w:hAnsiTheme="minorEastAsia"/>
        </w:rPr>
      </w:pPr>
      <w:r>
        <w:rPr>
          <w:rFonts w:hint="eastAsia" w:asciiTheme="minorEastAsia" w:hAnsiTheme="minorEastAsia"/>
        </w:rPr>
        <w:t>甲方(盖章)：</w:t>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 xml:space="preserve">         </w:t>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 xml:space="preserve">      乙方(盖章)：</w:t>
      </w:r>
    </w:p>
    <w:p>
      <w:pPr>
        <w:jc w:val="left"/>
        <w:rPr>
          <w:rFonts w:asciiTheme="minorEastAsia" w:hAnsiTheme="minorEastAsia"/>
        </w:rPr>
      </w:pPr>
    </w:p>
    <w:p>
      <w:pPr>
        <w:ind w:firstLine="420" w:firstLineChars="200"/>
        <w:jc w:val="left"/>
        <w:rPr>
          <w:rFonts w:asciiTheme="minorEastAsia" w:hAnsiTheme="minorEastAsia"/>
        </w:rPr>
      </w:pPr>
      <w:r>
        <w:rPr>
          <w:rFonts w:hint="eastAsia" w:asciiTheme="minorEastAsia" w:hAnsiTheme="minorEastAsia"/>
        </w:rPr>
        <w:t>代表人：</w:t>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 xml:space="preserve">        </w:t>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 xml:space="preserve">  代表人：</w:t>
      </w:r>
    </w:p>
    <w:p>
      <w:pPr>
        <w:rPr>
          <w:rFonts w:asciiTheme="minorEastAsia" w:hAnsiTheme="minorEastAsia"/>
        </w:rPr>
      </w:pPr>
    </w:p>
    <w:p>
      <w:pPr>
        <w:ind w:firstLine="420" w:firstLineChars="200"/>
        <w:rPr>
          <w:rFonts w:asciiTheme="minorEastAsia" w:hAnsiTheme="minorEastAsia"/>
        </w:rPr>
      </w:pPr>
      <w:r>
        <w:rPr>
          <w:rFonts w:hint="eastAsia" w:asciiTheme="minorEastAsia" w:hAnsiTheme="minorEastAsia"/>
        </w:rPr>
        <w:t>年  月  日</w:t>
      </w:r>
      <w:r>
        <w:rPr>
          <w:rFonts w:hint="eastAsia" w:asciiTheme="minorEastAsia" w:hAnsiTheme="minorEastAsia"/>
        </w:rPr>
        <w:tab/>
      </w:r>
      <w:r>
        <w:rPr>
          <w:rFonts w:hint="eastAsia" w:asciiTheme="minorEastAsia" w:hAnsiTheme="minorEastAsia"/>
        </w:rPr>
        <w:tab/>
      </w:r>
      <w:r>
        <w:rPr>
          <w:rFonts w:hint="eastAsia" w:asciiTheme="minorEastAsia" w:hAnsiTheme="minorEastAsia"/>
        </w:rPr>
        <w:t xml:space="preserve">  </w:t>
      </w:r>
      <w:r>
        <w:rPr>
          <w:rFonts w:hint="eastAsia" w:asciiTheme="minorEastAsia" w:hAnsiTheme="minorEastAsia"/>
        </w:rPr>
        <w:tab/>
      </w:r>
      <w:r>
        <w:rPr>
          <w:rFonts w:hint="eastAsia" w:asciiTheme="minorEastAsia" w:hAnsiTheme="minorEastAsia"/>
        </w:rPr>
        <w:t xml:space="preserve">                        </w:t>
      </w:r>
      <w:r>
        <w:rPr>
          <w:rFonts w:asciiTheme="minorEastAsia" w:hAnsiTheme="minorEastAsia"/>
        </w:rPr>
        <w:t xml:space="preserve">         </w:t>
      </w:r>
      <w:r>
        <w:rPr>
          <w:rFonts w:hint="eastAsia" w:asciiTheme="minorEastAsia" w:hAnsiTheme="minorEastAsia"/>
        </w:rPr>
        <w:t xml:space="preserve"> 年  月  日</w:t>
      </w:r>
    </w:p>
    <w:p/>
    <w:p/>
    <w:p/>
    <w:p/>
    <w:p/>
    <w:p/>
    <w:p/>
    <w:p/>
    <w:p/>
    <w:p/>
    <w:p>
      <w:pPr>
        <w:tabs>
          <w:tab w:val="left" w:pos="2574"/>
        </w:tabs>
        <w:jc w:val="left"/>
        <w:sectPr>
          <w:footerReference r:id="rId14" w:type="default"/>
          <w:footerReference r:id="rId15" w:type="even"/>
          <w:pgSz w:w="11906" w:h="16838"/>
          <w:pgMar w:top="1417" w:right="1134" w:bottom="1134" w:left="1418" w:header="1417" w:footer="1134" w:gutter="0"/>
          <w:cols w:space="425" w:num="1"/>
          <w:docGrid w:type="lines" w:linePitch="312" w:charSpace="0"/>
        </w:sectPr>
      </w:pPr>
      <w:r>
        <w:rPr>
          <w:rFonts w:hint="eastAsia"/>
        </w:rPr>
        <w:tab/>
      </w:r>
    </w:p>
    <w:p>
      <w:pPr>
        <w:pStyle w:val="75"/>
        <w:spacing w:before="567" w:after="283" w:afterLines="0"/>
        <w:rPr>
          <w:spacing w:val="105"/>
        </w:rPr>
      </w:pPr>
      <w:bookmarkStart w:id="58" w:name="_Toc188607769"/>
      <w:bookmarkStart w:id="59" w:name="_Toc8436"/>
      <w:bookmarkStart w:id="60" w:name="_Toc120179958"/>
      <w:r>
        <w:rPr>
          <w:rFonts w:hint="eastAsia"/>
          <w:spacing w:val="105"/>
        </w:rPr>
        <w:t>参考文献</w:t>
      </w:r>
      <w:bookmarkEnd w:id="58"/>
      <w:bookmarkEnd w:id="59"/>
      <w:bookmarkEnd w:id="60"/>
    </w:p>
    <w:p>
      <w:pPr>
        <w:widowControl/>
        <w:tabs>
          <w:tab w:val="center" w:pos="4201"/>
          <w:tab w:val="right" w:leader="dot" w:pos="9298"/>
        </w:tabs>
        <w:autoSpaceDE w:val="0"/>
        <w:autoSpaceDN w:val="0"/>
        <w:ind w:firstLine="420" w:firstLineChars="200"/>
        <w:jc w:val="left"/>
        <w:rPr>
          <w:rFonts w:ascii="宋体" w:hAnsi="Times New Roman"/>
          <w:kern w:val="0"/>
          <w:szCs w:val="20"/>
        </w:rPr>
      </w:pPr>
      <w:r>
        <w:rPr>
          <w:rFonts w:ascii="宋体" w:hAnsi="Times New Roman"/>
          <w:kern w:val="0"/>
          <w:szCs w:val="20"/>
        </w:rPr>
        <w:t>[1]</w:t>
      </w:r>
      <w:r>
        <w:rPr>
          <w:rFonts w:hint="eastAsia" w:ascii="宋体" w:hAnsi="Times New Roman"/>
          <w:kern w:val="0"/>
          <w:szCs w:val="20"/>
        </w:rPr>
        <w:t xml:space="preserve"> </w:t>
      </w:r>
      <w:r>
        <w:rPr>
          <w:rFonts w:ascii="宋体" w:hAnsi="Times New Roman"/>
          <w:kern w:val="0"/>
          <w:szCs w:val="20"/>
        </w:rPr>
        <w:t xml:space="preserve"> </w:t>
      </w:r>
      <w:r>
        <w:rPr>
          <w:rFonts w:hint="eastAsia" w:ascii="宋体" w:hAnsi="Times New Roman"/>
          <w:kern w:val="0"/>
          <w:szCs w:val="20"/>
        </w:rPr>
        <w:t>WS/T 203</w:t>
      </w:r>
      <w:r>
        <w:rPr>
          <w:rFonts w:ascii="宋体" w:hAnsi="Times New Roman"/>
          <w:kern w:val="0"/>
          <w:szCs w:val="20"/>
        </w:rPr>
        <w:t xml:space="preserve">  </w:t>
      </w:r>
      <w:r>
        <w:rPr>
          <w:rFonts w:hint="eastAsia" w:ascii="宋体" w:hAnsi="Times New Roman"/>
          <w:kern w:val="0"/>
          <w:szCs w:val="20"/>
        </w:rPr>
        <w:t>输血医学常用术语</w:t>
      </w:r>
    </w:p>
    <w:p>
      <w:pPr>
        <w:widowControl/>
        <w:tabs>
          <w:tab w:val="center" w:pos="4201"/>
          <w:tab w:val="right" w:leader="dot" w:pos="9298"/>
        </w:tabs>
        <w:autoSpaceDE w:val="0"/>
        <w:autoSpaceDN w:val="0"/>
        <w:ind w:firstLine="420" w:firstLineChars="200"/>
        <w:jc w:val="left"/>
        <w:rPr>
          <w:rFonts w:ascii="宋体" w:hAnsi="Times New Roman"/>
          <w:kern w:val="0"/>
          <w:szCs w:val="20"/>
        </w:rPr>
      </w:pPr>
      <w:r>
        <w:rPr>
          <w:rFonts w:ascii="宋体" w:hAnsi="Times New Roman"/>
          <w:kern w:val="0"/>
          <w:szCs w:val="20"/>
        </w:rPr>
        <w:t xml:space="preserve">[2]  </w:t>
      </w:r>
      <w:r>
        <w:rPr>
          <w:rFonts w:hint="eastAsia" w:ascii="宋体" w:hAnsi="Times New Roman"/>
          <w:kern w:val="0"/>
          <w:szCs w:val="20"/>
        </w:rPr>
        <w:t>WS/T 224</w:t>
      </w:r>
      <w:r>
        <w:rPr>
          <w:rFonts w:ascii="宋体" w:hAnsi="Times New Roman"/>
          <w:kern w:val="0"/>
          <w:szCs w:val="20"/>
        </w:rPr>
        <w:t xml:space="preserve">  </w:t>
      </w:r>
      <w:r>
        <w:rPr>
          <w:rFonts w:hint="eastAsia" w:ascii="宋体" w:hAnsi="Times New Roman"/>
          <w:kern w:val="0"/>
          <w:szCs w:val="20"/>
        </w:rPr>
        <w:t>真空采血管的性能验证</w:t>
      </w:r>
    </w:p>
    <w:p>
      <w:pPr>
        <w:widowControl/>
        <w:tabs>
          <w:tab w:val="center" w:pos="4201"/>
          <w:tab w:val="right" w:leader="dot" w:pos="9298"/>
        </w:tabs>
        <w:autoSpaceDE w:val="0"/>
        <w:autoSpaceDN w:val="0"/>
        <w:ind w:firstLine="420" w:firstLineChars="200"/>
        <w:jc w:val="left"/>
        <w:rPr>
          <w:rFonts w:ascii="宋体" w:hAnsi="Times New Roman"/>
          <w:kern w:val="0"/>
          <w:szCs w:val="20"/>
        </w:rPr>
      </w:pPr>
      <w:r>
        <w:rPr>
          <w:rFonts w:ascii="宋体" w:hAnsi="Times New Roman"/>
          <w:kern w:val="0"/>
          <w:szCs w:val="20"/>
        </w:rPr>
        <w:t>[</w:t>
      </w:r>
      <w:r>
        <w:rPr>
          <w:rFonts w:hint="eastAsia" w:ascii="宋体" w:hAnsi="Times New Roman"/>
          <w:kern w:val="0"/>
          <w:szCs w:val="20"/>
        </w:rPr>
        <w:t>3</w:t>
      </w:r>
      <w:r>
        <w:rPr>
          <w:rFonts w:ascii="宋体" w:hAnsi="Times New Roman"/>
          <w:kern w:val="0"/>
          <w:szCs w:val="20"/>
        </w:rPr>
        <w:t xml:space="preserve">]  </w:t>
      </w:r>
      <w:r>
        <w:rPr>
          <w:rFonts w:hint="eastAsia" w:ascii="宋体" w:hAnsi="Times New Roman"/>
          <w:kern w:val="0"/>
          <w:szCs w:val="20"/>
        </w:rPr>
        <w:t>WS/T 644</w:t>
      </w:r>
      <w:r>
        <w:rPr>
          <w:rFonts w:ascii="宋体" w:hAnsi="Times New Roman"/>
          <w:kern w:val="0"/>
          <w:szCs w:val="20"/>
        </w:rPr>
        <w:t xml:space="preserve">  </w:t>
      </w:r>
      <w:r>
        <w:rPr>
          <w:rFonts w:hint="eastAsia" w:ascii="宋体" w:hAnsi="Times New Roman"/>
          <w:kern w:val="0"/>
          <w:szCs w:val="20"/>
        </w:rPr>
        <w:t>临床检验室间质量评价</w:t>
      </w:r>
    </w:p>
    <w:p>
      <w:pPr>
        <w:pStyle w:val="67"/>
        <w:ind w:left="420" w:firstLine="0" w:firstLineChars="0"/>
        <w:rPr>
          <w:rFonts w:ascii="黑体" w:hAnsi="黑体" w:eastAsia="黑体" w:cs="黑体"/>
          <w:sz w:val="18"/>
          <w:szCs w:val="18"/>
        </w:rPr>
      </w:pPr>
    </w:p>
    <w:p>
      <w:pPr>
        <w:pStyle w:val="67"/>
        <w:ind w:left="420" w:firstLine="0" w:firstLineChars="0"/>
        <w:rPr>
          <w:rFonts w:ascii="黑体" w:hAnsi="黑体" w:eastAsia="黑体" w:cs="黑体"/>
          <w:sz w:val="18"/>
          <w:szCs w:val="18"/>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sectPr>
      <w:headerReference r:id="rId16" w:type="default"/>
      <w:footerReference r:id="rId17" w:type="default"/>
      <w:footerReference r:id="rId18" w:type="even"/>
      <w:pgSz w:w="11906" w:h="16838"/>
      <w:pgMar w:top="1417" w:right="1134" w:bottom="1134" w:left="1418" w:header="1417"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6329213"/>
      <w:docPartObj>
        <w:docPartGallery w:val="autotext"/>
      </w:docPartObj>
    </w:sdtPr>
    <w:sdtEndPr>
      <w:rPr>
        <w:rFonts w:hint="eastAsia" w:asciiTheme="minorEastAsia" w:hAnsiTheme="minorEastAsia" w:eastAsiaTheme="minorEastAsia" w:cstheme="minorEastAsia"/>
      </w:rPr>
    </w:sdtEndPr>
    <w:sdt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PAGE   \* MERGEFORMAT</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I</w:t>
        </w:r>
        <w:r>
          <w:rPr>
            <w:rFonts w:hint="eastAsia" w:asciiTheme="minorEastAsia" w:hAnsiTheme="minorEastAsia" w:eastAsiaTheme="minorEastAsia" w:cstheme="minorEastAsia"/>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3917564"/>
      <w:docPartObj>
        <w:docPartGallery w:val="autotext"/>
      </w:docPartObj>
    </w:sdtPr>
    <w:sdt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PAGE   \* MERGEFORMAT</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II</w:t>
        </w:r>
        <w:r>
          <w:rPr>
            <w:rFonts w:hint="eastAsia" w:asciiTheme="minorEastAsia" w:hAnsiTheme="minorEastAsia" w:eastAsiaTheme="minorEastAsia" w:cstheme="minorEastAsia"/>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7770"/>
      </w:tabs>
      <w:rPr>
        <w:rFonts w:asciiTheme="minorEastAsia" w:hAnsiTheme="minorEastAsia"/>
      </w:rPr>
    </w:pPr>
    <w: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ptab w:relativeTo="margin" w:alignment="right" w:leader="non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5</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ptab w:relativeTo="margin" w:alignment="right" w:leader="non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5</w:t>
                    </w:r>
                    <w:r>
                      <w:rPr>
                        <w:rFonts w:hint="eastAsia" w:asciiTheme="minorEastAsia" w:hAnsiTheme="minorEastAsia" w:eastAsiaTheme="minorEastAsia" w:cstheme="minor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posOffset>19050</wp:posOffset>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4</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1.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Eq/XwfTAAAABgEAAA8AAAAAAAAAAQAgAAAAOAAAAGRycy9kb3ducmV2LnhtbFBLAQIUABQAAAAI&#10;AIdO4kCcR+mXFQIAABsEAAAOAAAAAAAAAAEAIAAAADgBAABkcnMvZTJvRG9jLnhtbFBLBQYAAAAA&#10;BgAGAFkBAAC/BQ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lang w:val="zh-CN"/>
                      </w:rPr>
                      <w:t>4</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i8L5FQIAABsEAAAOAAAAZHJz&#10;L2Uyb0RvYy54bWytU8uO0zAU3SPxD5b3NGnR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eu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fi8L5FQIAABsEAAAOAAAAAAAAAAEAIAAAADUBAABkcnMvZTJvRG9jLnhtbFBLBQYAAAAABgAG&#10;AFkBAAC8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posOffset>19050</wp:posOffset>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1.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Sr9fB9MAAAAGAQAADwAAAAAAAAABACAAAAA4AAAAZHJzL2Rvd25yZXYueG1sUEsBAhQAFAAAAAgA&#10;h07iQA7fgaMUAgAAGwQAAA4AAAAAAAAAAQAgAAAAOAEAAGRycy9lMm9Eb2MueG1sUEsFBgAAAAAG&#10;AAYAWQEAAL4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5992092"/>
      <w:docPartObj>
        <w:docPartGallery w:val="autotext"/>
      </w:docPartObj>
    </w:sdtPr>
    <w:sdtContent>
      <w:p>
        <w:pPr>
          <w:pStyle w:val="13"/>
          <w:keepNext w:val="0"/>
          <w:keepLines w:val="0"/>
          <w:pageBreakBefore w:val="0"/>
          <w:widowControl w:val="0"/>
          <w:kinsoku/>
          <w:wordWrap/>
          <w:overflowPunct/>
          <w:topLinePunct w:val="0"/>
          <w:bidi w:val="0"/>
          <w:adjustRightInd/>
          <w:snapToGrid w:val="0"/>
          <w:ind w:right="0"/>
          <w:jc w:val="both"/>
          <w:textAlignment w:val="auto"/>
        </w:pPr>
        <w:r>
          <w:rPr>
            <w:rFonts w:hint="eastAsia"/>
            <w:lang w:val="en-US" w:eastAsia="zh-CN"/>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PAGE   \* MERGEFORMAT</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8</w:t>
        </w:r>
        <w:r>
          <w:rPr>
            <w:rFonts w:hint="eastAsia" w:asciiTheme="minorEastAsia" w:hAnsiTheme="minorEastAsia" w:eastAsiaTheme="minorEastAsia" w:cstheme="minorEastAsia"/>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hint="default" w:ascii="黑体" w:hAnsi="黑体" w:eastAsia="黑体"/>
        <w:i w:val="0"/>
        <w:lang w:val="en-US"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rPr>
    </w:pPr>
    <w:r>
      <w:ptab w:relativeTo="margin" w:alignment="right" w:leader="non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2025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hint="default" w:ascii="黑体" w:hAnsi="黑体" w:eastAsia="黑体"/>
        <w:i w:val="0"/>
        <w:lang w:val="en-US"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2025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1"/>
  </w:num>
  <w:num w:numId="4">
    <w:abstractNumId w:val="3"/>
  </w:num>
  <w:num w:numId="5">
    <w:abstractNumId w:val="8"/>
  </w:num>
  <w:num w:numId="6">
    <w:abstractNumId w:val="6"/>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jOTdkMDk2ZTI1OWZiYzFjYTFjZDJlOTYxYjQ5ZTIifQ=="/>
    <w:docVar w:name="KSO_WPS_MARK_KEY" w:val="52548aae-2002-4139-9182-7b8689647ee4"/>
  </w:docVars>
  <w:rsids>
    <w:rsidRoot w:val="002C4A7A"/>
    <w:rsid w:val="000008D8"/>
    <w:rsid w:val="00000C6F"/>
    <w:rsid w:val="00002D7A"/>
    <w:rsid w:val="00005817"/>
    <w:rsid w:val="0000599D"/>
    <w:rsid w:val="00013861"/>
    <w:rsid w:val="00013D68"/>
    <w:rsid w:val="000173A8"/>
    <w:rsid w:val="0001746B"/>
    <w:rsid w:val="0002250E"/>
    <w:rsid w:val="00031630"/>
    <w:rsid w:val="000363EB"/>
    <w:rsid w:val="0003782B"/>
    <w:rsid w:val="000500C2"/>
    <w:rsid w:val="000505F8"/>
    <w:rsid w:val="000511AD"/>
    <w:rsid w:val="0005686E"/>
    <w:rsid w:val="00056E11"/>
    <w:rsid w:val="0006187C"/>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C7192"/>
    <w:rsid w:val="000D3EF6"/>
    <w:rsid w:val="000D5C84"/>
    <w:rsid w:val="000E084D"/>
    <w:rsid w:val="000E4AD1"/>
    <w:rsid w:val="000E7F8C"/>
    <w:rsid w:val="000F2486"/>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82D6D"/>
    <w:rsid w:val="00195C90"/>
    <w:rsid w:val="0019613E"/>
    <w:rsid w:val="001963D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68FC"/>
    <w:rsid w:val="001D70CD"/>
    <w:rsid w:val="001E0871"/>
    <w:rsid w:val="001E3D11"/>
    <w:rsid w:val="001E4804"/>
    <w:rsid w:val="001E7BD6"/>
    <w:rsid w:val="001F47C8"/>
    <w:rsid w:val="00203C32"/>
    <w:rsid w:val="002042AD"/>
    <w:rsid w:val="00211953"/>
    <w:rsid w:val="0021320B"/>
    <w:rsid w:val="002209AC"/>
    <w:rsid w:val="00220A99"/>
    <w:rsid w:val="00222A27"/>
    <w:rsid w:val="00223A5B"/>
    <w:rsid w:val="00223BD4"/>
    <w:rsid w:val="00230CF6"/>
    <w:rsid w:val="00230F2F"/>
    <w:rsid w:val="002337BA"/>
    <w:rsid w:val="00233DFF"/>
    <w:rsid w:val="00247720"/>
    <w:rsid w:val="00251127"/>
    <w:rsid w:val="00251550"/>
    <w:rsid w:val="002517ED"/>
    <w:rsid w:val="0025259E"/>
    <w:rsid w:val="00262444"/>
    <w:rsid w:val="002750E1"/>
    <w:rsid w:val="00276A28"/>
    <w:rsid w:val="002829F1"/>
    <w:rsid w:val="0028337F"/>
    <w:rsid w:val="00284936"/>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0F0"/>
    <w:rsid w:val="002C4A7A"/>
    <w:rsid w:val="002C52F4"/>
    <w:rsid w:val="002C57A0"/>
    <w:rsid w:val="002C639A"/>
    <w:rsid w:val="002D2351"/>
    <w:rsid w:val="002D38F3"/>
    <w:rsid w:val="002D49DC"/>
    <w:rsid w:val="002D54BC"/>
    <w:rsid w:val="002E5B5C"/>
    <w:rsid w:val="002F2052"/>
    <w:rsid w:val="002F2C23"/>
    <w:rsid w:val="002F3CCA"/>
    <w:rsid w:val="00301D6E"/>
    <w:rsid w:val="0030224A"/>
    <w:rsid w:val="00302501"/>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23FE"/>
    <w:rsid w:val="00354DAE"/>
    <w:rsid w:val="00355096"/>
    <w:rsid w:val="003568F1"/>
    <w:rsid w:val="00362FF0"/>
    <w:rsid w:val="003662BC"/>
    <w:rsid w:val="00366DB7"/>
    <w:rsid w:val="00367200"/>
    <w:rsid w:val="0037079F"/>
    <w:rsid w:val="0037136A"/>
    <w:rsid w:val="003720DC"/>
    <w:rsid w:val="00375FCF"/>
    <w:rsid w:val="003850E9"/>
    <w:rsid w:val="00387FF8"/>
    <w:rsid w:val="00393266"/>
    <w:rsid w:val="003A0DBB"/>
    <w:rsid w:val="003A238B"/>
    <w:rsid w:val="003A504F"/>
    <w:rsid w:val="003B6878"/>
    <w:rsid w:val="003C0E5B"/>
    <w:rsid w:val="003C2C65"/>
    <w:rsid w:val="003C31B0"/>
    <w:rsid w:val="003D0151"/>
    <w:rsid w:val="003D13FA"/>
    <w:rsid w:val="003D1497"/>
    <w:rsid w:val="003D477C"/>
    <w:rsid w:val="003E0580"/>
    <w:rsid w:val="003E28CE"/>
    <w:rsid w:val="003F714F"/>
    <w:rsid w:val="00407B9E"/>
    <w:rsid w:val="00417738"/>
    <w:rsid w:val="0042003E"/>
    <w:rsid w:val="004212D3"/>
    <w:rsid w:val="00422051"/>
    <w:rsid w:val="0042333A"/>
    <w:rsid w:val="00426BC8"/>
    <w:rsid w:val="00430DD2"/>
    <w:rsid w:val="00432124"/>
    <w:rsid w:val="00432699"/>
    <w:rsid w:val="004426FC"/>
    <w:rsid w:val="0044581A"/>
    <w:rsid w:val="00451407"/>
    <w:rsid w:val="00451847"/>
    <w:rsid w:val="00451D7E"/>
    <w:rsid w:val="00454031"/>
    <w:rsid w:val="0045451F"/>
    <w:rsid w:val="004574AE"/>
    <w:rsid w:val="004610BF"/>
    <w:rsid w:val="00465F22"/>
    <w:rsid w:val="00471508"/>
    <w:rsid w:val="004926A0"/>
    <w:rsid w:val="00495E4E"/>
    <w:rsid w:val="004A0644"/>
    <w:rsid w:val="004A132F"/>
    <w:rsid w:val="004A6AB6"/>
    <w:rsid w:val="004B01AE"/>
    <w:rsid w:val="004B12F5"/>
    <w:rsid w:val="004B2D06"/>
    <w:rsid w:val="004B4971"/>
    <w:rsid w:val="004B540D"/>
    <w:rsid w:val="004C2F70"/>
    <w:rsid w:val="004C5E71"/>
    <w:rsid w:val="004D09E4"/>
    <w:rsid w:val="004D424C"/>
    <w:rsid w:val="004D5B9A"/>
    <w:rsid w:val="004E01DA"/>
    <w:rsid w:val="004E3E2D"/>
    <w:rsid w:val="004E4186"/>
    <w:rsid w:val="004E4DE6"/>
    <w:rsid w:val="004E527D"/>
    <w:rsid w:val="004F0C75"/>
    <w:rsid w:val="004F3DCC"/>
    <w:rsid w:val="00506EF4"/>
    <w:rsid w:val="005102EF"/>
    <w:rsid w:val="00510EBE"/>
    <w:rsid w:val="005122CD"/>
    <w:rsid w:val="0051753A"/>
    <w:rsid w:val="00520237"/>
    <w:rsid w:val="00523728"/>
    <w:rsid w:val="00524CE2"/>
    <w:rsid w:val="0053086A"/>
    <w:rsid w:val="00534D92"/>
    <w:rsid w:val="00536AD1"/>
    <w:rsid w:val="00540818"/>
    <w:rsid w:val="00542910"/>
    <w:rsid w:val="00546657"/>
    <w:rsid w:val="00552978"/>
    <w:rsid w:val="0055455D"/>
    <w:rsid w:val="00554600"/>
    <w:rsid w:val="0055478B"/>
    <w:rsid w:val="005606B4"/>
    <w:rsid w:val="00563D0F"/>
    <w:rsid w:val="005701EA"/>
    <w:rsid w:val="00575480"/>
    <w:rsid w:val="00575F9D"/>
    <w:rsid w:val="00591331"/>
    <w:rsid w:val="005928C2"/>
    <w:rsid w:val="00596070"/>
    <w:rsid w:val="00597B7D"/>
    <w:rsid w:val="005A2C7F"/>
    <w:rsid w:val="005A4975"/>
    <w:rsid w:val="005A60AC"/>
    <w:rsid w:val="005B1996"/>
    <w:rsid w:val="005B4E0F"/>
    <w:rsid w:val="005B6D29"/>
    <w:rsid w:val="005C370B"/>
    <w:rsid w:val="005E015F"/>
    <w:rsid w:val="005E1CA7"/>
    <w:rsid w:val="005E7D02"/>
    <w:rsid w:val="005F2DCC"/>
    <w:rsid w:val="005F2E20"/>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08AD"/>
    <w:rsid w:val="006738FB"/>
    <w:rsid w:val="00673C24"/>
    <w:rsid w:val="0067544D"/>
    <w:rsid w:val="006763FD"/>
    <w:rsid w:val="006839CD"/>
    <w:rsid w:val="006867E4"/>
    <w:rsid w:val="00686AB4"/>
    <w:rsid w:val="00687FF9"/>
    <w:rsid w:val="00694817"/>
    <w:rsid w:val="00695FD6"/>
    <w:rsid w:val="006965B2"/>
    <w:rsid w:val="00697323"/>
    <w:rsid w:val="006A3A00"/>
    <w:rsid w:val="006A587D"/>
    <w:rsid w:val="006B00F8"/>
    <w:rsid w:val="006B0EDD"/>
    <w:rsid w:val="006B38D9"/>
    <w:rsid w:val="006B4E4A"/>
    <w:rsid w:val="006D1713"/>
    <w:rsid w:val="006D3593"/>
    <w:rsid w:val="006D384B"/>
    <w:rsid w:val="006D7F23"/>
    <w:rsid w:val="006E42DF"/>
    <w:rsid w:val="006E6B90"/>
    <w:rsid w:val="006F4E56"/>
    <w:rsid w:val="007042A9"/>
    <w:rsid w:val="00704672"/>
    <w:rsid w:val="00705B6D"/>
    <w:rsid w:val="0070744F"/>
    <w:rsid w:val="007078CB"/>
    <w:rsid w:val="00711444"/>
    <w:rsid w:val="00716A35"/>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D2D"/>
    <w:rsid w:val="007C6FAF"/>
    <w:rsid w:val="007C72D7"/>
    <w:rsid w:val="007D209B"/>
    <w:rsid w:val="007D5844"/>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4E"/>
    <w:rsid w:val="00871E5F"/>
    <w:rsid w:val="00874360"/>
    <w:rsid w:val="00874CEC"/>
    <w:rsid w:val="00874E16"/>
    <w:rsid w:val="00876494"/>
    <w:rsid w:val="008778D8"/>
    <w:rsid w:val="008823C4"/>
    <w:rsid w:val="00885586"/>
    <w:rsid w:val="00886D2A"/>
    <w:rsid w:val="0088740D"/>
    <w:rsid w:val="00892FE8"/>
    <w:rsid w:val="008A525F"/>
    <w:rsid w:val="008A6BA4"/>
    <w:rsid w:val="008A778B"/>
    <w:rsid w:val="008A7A04"/>
    <w:rsid w:val="008B2AA1"/>
    <w:rsid w:val="008B4744"/>
    <w:rsid w:val="008B4CD3"/>
    <w:rsid w:val="008C1198"/>
    <w:rsid w:val="008C23EA"/>
    <w:rsid w:val="008C6DE2"/>
    <w:rsid w:val="008C754A"/>
    <w:rsid w:val="008D32D9"/>
    <w:rsid w:val="008D50F3"/>
    <w:rsid w:val="008D6AC9"/>
    <w:rsid w:val="008E1D3D"/>
    <w:rsid w:val="008E35A7"/>
    <w:rsid w:val="008E554D"/>
    <w:rsid w:val="008E73CE"/>
    <w:rsid w:val="008F3DBB"/>
    <w:rsid w:val="008F7846"/>
    <w:rsid w:val="00900625"/>
    <w:rsid w:val="00900D6C"/>
    <w:rsid w:val="00902C03"/>
    <w:rsid w:val="009056B3"/>
    <w:rsid w:val="00905D42"/>
    <w:rsid w:val="00905EC8"/>
    <w:rsid w:val="00906EE2"/>
    <w:rsid w:val="00912AA0"/>
    <w:rsid w:val="009131EE"/>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1B99"/>
    <w:rsid w:val="009A67D7"/>
    <w:rsid w:val="009A7D1D"/>
    <w:rsid w:val="009B2735"/>
    <w:rsid w:val="009B5AFA"/>
    <w:rsid w:val="009B6DC7"/>
    <w:rsid w:val="009B7156"/>
    <w:rsid w:val="009C15D7"/>
    <w:rsid w:val="009C71D1"/>
    <w:rsid w:val="009D11D8"/>
    <w:rsid w:val="009D27A6"/>
    <w:rsid w:val="009D5852"/>
    <w:rsid w:val="009E0360"/>
    <w:rsid w:val="009E229D"/>
    <w:rsid w:val="009E4501"/>
    <w:rsid w:val="009F022A"/>
    <w:rsid w:val="009F070E"/>
    <w:rsid w:val="009F25EB"/>
    <w:rsid w:val="009F4144"/>
    <w:rsid w:val="009F655E"/>
    <w:rsid w:val="00A0144F"/>
    <w:rsid w:val="00A0565D"/>
    <w:rsid w:val="00A0685D"/>
    <w:rsid w:val="00A06B8F"/>
    <w:rsid w:val="00A129D5"/>
    <w:rsid w:val="00A24188"/>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74E2F"/>
    <w:rsid w:val="00A87B13"/>
    <w:rsid w:val="00A927BB"/>
    <w:rsid w:val="00A92BF9"/>
    <w:rsid w:val="00A96125"/>
    <w:rsid w:val="00AA0DC4"/>
    <w:rsid w:val="00AA24EF"/>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5D8"/>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6D5C"/>
    <w:rsid w:val="00B97265"/>
    <w:rsid w:val="00BA2126"/>
    <w:rsid w:val="00BA4CDD"/>
    <w:rsid w:val="00BA70BA"/>
    <w:rsid w:val="00BA7E3E"/>
    <w:rsid w:val="00BB0517"/>
    <w:rsid w:val="00BB3456"/>
    <w:rsid w:val="00BC34A7"/>
    <w:rsid w:val="00BC6585"/>
    <w:rsid w:val="00BC76F2"/>
    <w:rsid w:val="00BD3F71"/>
    <w:rsid w:val="00BD44B5"/>
    <w:rsid w:val="00BE3C8C"/>
    <w:rsid w:val="00BE537A"/>
    <w:rsid w:val="00BE6581"/>
    <w:rsid w:val="00BF4AEF"/>
    <w:rsid w:val="00C042FA"/>
    <w:rsid w:val="00C0443A"/>
    <w:rsid w:val="00C1161C"/>
    <w:rsid w:val="00C16AD7"/>
    <w:rsid w:val="00C20320"/>
    <w:rsid w:val="00C20658"/>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0B88"/>
    <w:rsid w:val="00C83947"/>
    <w:rsid w:val="00C84D5C"/>
    <w:rsid w:val="00C85DCF"/>
    <w:rsid w:val="00C91A53"/>
    <w:rsid w:val="00C93A0F"/>
    <w:rsid w:val="00C93CF3"/>
    <w:rsid w:val="00C964B7"/>
    <w:rsid w:val="00CA1946"/>
    <w:rsid w:val="00CA2979"/>
    <w:rsid w:val="00CA3ECD"/>
    <w:rsid w:val="00CA5E90"/>
    <w:rsid w:val="00CB084A"/>
    <w:rsid w:val="00CB251A"/>
    <w:rsid w:val="00CB3C71"/>
    <w:rsid w:val="00CB69C0"/>
    <w:rsid w:val="00CB6A26"/>
    <w:rsid w:val="00CC212B"/>
    <w:rsid w:val="00CE0575"/>
    <w:rsid w:val="00CE1209"/>
    <w:rsid w:val="00CE274E"/>
    <w:rsid w:val="00CE34F7"/>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3989"/>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B646F"/>
    <w:rsid w:val="00DC418F"/>
    <w:rsid w:val="00DD06D5"/>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1CF1"/>
    <w:rsid w:val="00E120F0"/>
    <w:rsid w:val="00E14F1D"/>
    <w:rsid w:val="00E15B5F"/>
    <w:rsid w:val="00E15BB0"/>
    <w:rsid w:val="00E20A7B"/>
    <w:rsid w:val="00E22829"/>
    <w:rsid w:val="00E25FA8"/>
    <w:rsid w:val="00E3004D"/>
    <w:rsid w:val="00E31B6C"/>
    <w:rsid w:val="00E3509B"/>
    <w:rsid w:val="00E3537D"/>
    <w:rsid w:val="00E36C78"/>
    <w:rsid w:val="00E401C4"/>
    <w:rsid w:val="00E42F0F"/>
    <w:rsid w:val="00E45044"/>
    <w:rsid w:val="00E504BD"/>
    <w:rsid w:val="00E537D1"/>
    <w:rsid w:val="00E54648"/>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0466"/>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4440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B74"/>
    <w:rsid w:val="00FC7C26"/>
    <w:rsid w:val="00FD0995"/>
    <w:rsid w:val="00FD4916"/>
    <w:rsid w:val="00FD6E30"/>
    <w:rsid w:val="00FE06BE"/>
    <w:rsid w:val="00FE26D3"/>
    <w:rsid w:val="00FE6BAA"/>
    <w:rsid w:val="00FE7CB2"/>
    <w:rsid w:val="00FF2E8A"/>
    <w:rsid w:val="00FF3052"/>
    <w:rsid w:val="00FF47E6"/>
    <w:rsid w:val="01B97F5E"/>
    <w:rsid w:val="02670DCF"/>
    <w:rsid w:val="034D2939"/>
    <w:rsid w:val="043164D2"/>
    <w:rsid w:val="04DB69C7"/>
    <w:rsid w:val="056C2AC8"/>
    <w:rsid w:val="078D3A1F"/>
    <w:rsid w:val="08D94A4A"/>
    <w:rsid w:val="09332050"/>
    <w:rsid w:val="09652865"/>
    <w:rsid w:val="097D3D26"/>
    <w:rsid w:val="0ADA2F69"/>
    <w:rsid w:val="0AE10BBF"/>
    <w:rsid w:val="0B4B7E79"/>
    <w:rsid w:val="0BBA5614"/>
    <w:rsid w:val="0BBD0185"/>
    <w:rsid w:val="0D011260"/>
    <w:rsid w:val="0F5D4929"/>
    <w:rsid w:val="10F22B45"/>
    <w:rsid w:val="11EA4A5D"/>
    <w:rsid w:val="123426ED"/>
    <w:rsid w:val="1330335A"/>
    <w:rsid w:val="13492913"/>
    <w:rsid w:val="140915D6"/>
    <w:rsid w:val="14AB42D7"/>
    <w:rsid w:val="159863B1"/>
    <w:rsid w:val="1614131D"/>
    <w:rsid w:val="16B6476F"/>
    <w:rsid w:val="1986454E"/>
    <w:rsid w:val="19BD2F50"/>
    <w:rsid w:val="19D653D3"/>
    <w:rsid w:val="19E576EB"/>
    <w:rsid w:val="1A9F3EA8"/>
    <w:rsid w:val="1AF62448"/>
    <w:rsid w:val="1CE617B0"/>
    <w:rsid w:val="1D475092"/>
    <w:rsid w:val="1E901E0D"/>
    <w:rsid w:val="1EFC4C0E"/>
    <w:rsid w:val="1F3709E9"/>
    <w:rsid w:val="1F5511FE"/>
    <w:rsid w:val="1F791B4A"/>
    <w:rsid w:val="1FF922F7"/>
    <w:rsid w:val="203A6C9D"/>
    <w:rsid w:val="235D1A58"/>
    <w:rsid w:val="23893375"/>
    <w:rsid w:val="23D049E7"/>
    <w:rsid w:val="24F31A54"/>
    <w:rsid w:val="262E49A9"/>
    <w:rsid w:val="291C47AB"/>
    <w:rsid w:val="299E589B"/>
    <w:rsid w:val="29DD2289"/>
    <w:rsid w:val="2A0674B9"/>
    <w:rsid w:val="2A19342E"/>
    <w:rsid w:val="2A9E6EDA"/>
    <w:rsid w:val="2AC259E9"/>
    <w:rsid w:val="2F033AB7"/>
    <w:rsid w:val="2FC604F2"/>
    <w:rsid w:val="30512DC8"/>
    <w:rsid w:val="305807BF"/>
    <w:rsid w:val="30BA0FA5"/>
    <w:rsid w:val="32697E49"/>
    <w:rsid w:val="339D6B41"/>
    <w:rsid w:val="355276CD"/>
    <w:rsid w:val="37875802"/>
    <w:rsid w:val="397A5D84"/>
    <w:rsid w:val="3A38257A"/>
    <w:rsid w:val="3A773D1D"/>
    <w:rsid w:val="3B337E5E"/>
    <w:rsid w:val="3C0C2E90"/>
    <w:rsid w:val="3C153A08"/>
    <w:rsid w:val="3D6F398A"/>
    <w:rsid w:val="3D9E1027"/>
    <w:rsid w:val="3E6447D3"/>
    <w:rsid w:val="3FCB4391"/>
    <w:rsid w:val="407103DB"/>
    <w:rsid w:val="41DD26A1"/>
    <w:rsid w:val="432D5ADB"/>
    <w:rsid w:val="455B5C08"/>
    <w:rsid w:val="459E4A6E"/>
    <w:rsid w:val="45E5444B"/>
    <w:rsid w:val="46024881"/>
    <w:rsid w:val="46432AD9"/>
    <w:rsid w:val="48C6265B"/>
    <w:rsid w:val="491679AE"/>
    <w:rsid w:val="4CC8541E"/>
    <w:rsid w:val="4D7C7F66"/>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8EA0B58"/>
    <w:rsid w:val="597102CD"/>
    <w:rsid w:val="5AA42EE1"/>
    <w:rsid w:val="5AB20E18"/>
    <w:rsid w:val="5ADD04B0"/>
    <w:rsid w:val="5E127A94"/>
    <w:rsid w:val="5EC2103E"/>
    <w:rsid w:val="5F3651D2"/>
    <w:rsid w:val="618347A4"/>
    <w:rsid w:val="61E0223F"/>
    <w:rsid w:val="62275A9D"/>
    <w:rsid w:val="62A274F4"/>
    <w:rsid w:val="63473BF7"/>
    <w:rsid w:val="64490C49"/>
    <w:rsid w:val="652F3A53"/>
    <w:rsid w:val="66832C22"/>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48E5C99"/>
    <w:rsid w:val="74BF2C7A"/>
    <w:rsid w:val="75682D8E"/>
    <w:rsid w:val="75A31161"/>
    <w:rsid w:val="75D25B10"/>
    <w:rsid w:val="76442929"/>
    <w:rsid w:val="76C27A63"/>
    <w:rsid w:val="77FE8673"/>
    <w:rsid w:val="795409C4"/>
    <w:rsid w:val="7AF60F49"/>
    <w:rsid w:val="7BBE3424"/>
    <w:rsid w:val="7E0328BC"/>
    <w:rsid w:val="7E104A8A"/>
    <w:rsid w:val="7FAC1FBF"/>
    <w:rsid w:val="7FF57E3F"/>
    <w:rsid w:val="F71F9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adjustRightInd w:val="0"/>
      <w:snapToGrid w:val="0"/>
      <w:spacing w:before="567"/>
      <w:jc w:val="center"/>
      <w:outlineLvl w:val="0"/>
    </w:pPr>
    <w:rPr>
      <w:rFonts w:ascii="黑体" w:hAnsi="黑体" w:eastAsia="黑体"/>
    </w:r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righ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rFonts w:asciiTheme="minorHAnsi" w:hAnsiTheme="minorHAnsi" w:eastAsiaTheme="minorEastAsia" w:cstheme="minorBidi"/>
      <w:kern w:val="2"/>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4"/>
    <w:qFormat/>
    <w:uiPriority w:val="9"/>
    <w:rPr>
      <w:rFonts w:asciiTheme="majorHAnsi" w:hAnsiTheme="majorHAnsi" w:eastAsiaTheme="majorEastAsia" w:cstheme="majorBidi"/>
      <w:b/>
      <w:bCs/>
      <w:sz w:val="32"/>
      <w:szCs w:val="32"/>
    </w:rPr>
  </w:style>
  <w:style w:type="character" w:customStyle="1" w:styleId="38">
    <w:name w:val="标题 3 Char"/>
    <w:basedOn w:val="22"/>
    <w:link w:val="5"/>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0"/>
    </w:pPr>
    <w:rPr>
      <w:rFonts w:ascii="黑体" w:hAnsi="Times New Roman" w:eastAsia="黑体" w:cs="Times New Roman"/>
      <w:sz w:val="21"/>
      <w:lang w:val="en-US" w:eastAsia="zh-CN" w:bidi="ar-SA"/>
    </w:rPr>
  </w:style>
  <w:style w:type="paragraph" w:customStyle="1" w:styleId="51">
    <w:name w:val="段"/>
    <w:link w:val="76"/>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76">
    <w:name w:val="段 Char"/>
    <w:link w:val="51"/>
    <w:qFormat/>
    <w:uiPriority w:val="0"/>
    <w:rPr>
      <w:rFonts w:ascii="宋体"/>
      <w:sz w:val="21"/>
    </w:rPr>
  </w:style>
  <w:style w:type="paragraph" w:customStyle="1" w:styleId="77">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14</Pages>
  <Words>1498</Words>
  <Characters>1743</Characters>
  <Lines>61</Lines>
  <Paragraphs>17</Paragraphs>
  <TotalTime>151</TotalTime>
  <ScaleCrop>false</ScaleCrop>
  <LinksUpToDate>false</LinksUpToDate>
  <CharactersWithSpaces>2105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2025-02-19T19:13:00Z</dcterms:created>
  <dc:creator>wy</dc:creator>
  <cp:lastModifiedBy>sugou</cp:lastModifiedBy>
  <cp:lastPrinted>2024-07-11T21:41:00Z</cp:lastPrinted>
  <dcterms:modified xsi:type="dcterms:W3CDTF">2025-05-19T10:17:51Z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