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Times New Roman"/>
        </w:rPr>
      </w:pPr>
      <w:r>
        <w:rPr>
          <w:rFonts w:ascii="黑体" w:hAnsi="黑体" w:eastAsia="黑体" w:cs="Times New Roman"/>
        </w:rPr>
        <mc:AlternateContent>
          <mc:Choice Requires="wps">
            <w:drawing>
              <wp:anchor distT="0" distB="0" distL="114300" distR="114300" simplePos="0" relativeHeight="251671552" behindDoc="0" locked="0" layoutInCell="1" allowOverlap="1">
                <wp:simplePos x="0" y="0"/>
                <wp:positionH relativeFrom="page">
                  <wp:posOffset>3759835</wp:posOffset>
                </wp:positionH>
                <wp:positionV relativeFrom="page">
                  <wp:posOffset>465455</wp:posOffset>
                </wp:positionV>
                <wp:extent cx="3696970" cy="792480"/>
                <wp:effectExtent l="0" t="0" r="0" b="0"/>
                <wp:wrapNone/>
                <wp:docPr id="7" name="文本框 7"/>
                <wp:cNvGraphicFramePr/>
                <a:graphic xmlns:a="http://schemas.openxmlformats.org/drawingml/2006/main">
                  <a:graphicData uri="http://schemas.microsoft.com/office/word/2010/wordprocessingShape">
                    <wps:wsp>
                      <wps:cNvSpPr txBox="true">
                        <a:spLocks noChangeArrowheads="true"/>
                      </wps:cNvSpPr>
                      <wps:spPr bwMode="auto">
                        <a:xfrm>
                          <a:off x="0" y="0"/>
                          <a:ext cx="3696970" cy="792480"/>
                        </a:xfrm>
                        <a:prstGeom prst="rect">
                          <a:avLst/>
                        </a:prstGeom>
                        <a:noFill/>
                        <a:ln>
                          <a:noFill/>
                        </a:ln>
                        <a:effectLst/>
                      </wps:spPr>
                      <wps:txbx>
                        <w:txbxContent>
                          <w:p>
                            <w:pPr>
                              <w:pStyle w:val="29"/>
                              <w:shd w:val="clear" w:color="auto" w:fill="auto"/>
                              <w:wordWrap w:val="0"/>
                              <w:ind w:right="471" w:firstLine="625"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false" upright="true">
                        <a:spAutoFit/>
                      </wps:bodyPr>
                    </wps:wsp>
                  </a:graphicData>
                </a:graphic>
              </wp:anchor>
            </w:drawing>
          </mc:Choice>
          <mc:Fallback>
            <w:pict>
              <v:shape id="_x0000_s1026" o:spid="_x0000_s1026" o:spt="202" type="#_x0000_t202" style="position:absolute;left:0pt;margin-left:296.05pt;margin-top:36.65pt;height:62.4pt;width:291.1pt;mso-position-horizontal-relative:page;mso-position-vertical-relative:page;z-index:251671552;mso-width-relative:page;mso-height-relative:page;" filled="f" stroked="f" coordsize="21600,21600" o:gfxdata="UEsFBgAAAAAAAAAAAAAAAAAAAAAAAFBLAwQKAAAAAACHTuJAAAAAAAAAAAAAAAAABAAAAGRycy9Q&#10;SwMEFAAAAAgAh07iQHISQefYAAAACwEAAA8AAABkcnMvZG93bnJldi54bWxNj01PwzAMhu9I/IfI&#10;SNxYko2xrTSdEB8Sh10Y5e41oa1onKrJ1u7f453g9lp+9Ppxvp18J05uiG0gA3qmQDiqgm2pNlB+&#10;vt2tQcSEZLEL5AycXYRtcX2VY2bDSB/utE+14BKKGRpoUuozKWPVOI9xFnpHvPsOg8fE41BLO+DI&#10;5b6Tc6UepMeW+EKDvXtuXPWzP3oDKdknfS5ffXz/mnYvY6OqJZbG3N5o9QgiuSn9wXDRZ3Uo2OkQ&#10;jmSj6AwsN3PNqIHVYgHiAujVPacDp81agyxy+f+H4hdQSwMEFAAAAAgAh07iQLF0HOoHAgAA4gMA&#10;AA4AAABkcnMvZTJvRG9jLnhtbK1TzY7TMBC+I/EOlu80bSntNmq6WnZVhLTASgsPMHWcJiLxmLHb&#10;pDwAvAEnLtz3ufocjJ1uKXBDXCzPj7/5Zubz4rJrarHT5Co0mRwNhlJoozCvzCaTH96vnl1I4TyY&#10;HGo0OpN77eTl8umTRWtTPcYS61yTYBDj0tZmsvTepkniVKkbcAO02nCwQGrAs0mbJCdoGb2pk/Fw&#10;OE1apNwSKu0ce2/6oFxG/KLQyr8rCqe9qDPJ3Hw8KZ7rcCbLBaQbAltW6kgD/oFFA5XhoieoG/Ag&#10;tlT9BdVUitBh4QcKmwSLolI69sDdjIZ/dHNfgtWxFx6Os6cxuf8Hq97u7khUeSZnUhhoeEWHb18P&#10;3x8OP76IWRhPa13KWfeW83z3ErtMetoGWpA6e4vqoxMGr0swG31FhG2pIWeGMYnfJ2cAPZoLUOv2&#10;DeZcDbYeI1ZXUBMweSaCa/Cy9qcF6c4Lxc7n0/l0PuOQ4thsPp5cxA0mkD6+tuT8K42NCJdMEgsg&#10;osPu1vnABtLHlFDM4Kqq6yiC2vzm4MTeo6OKjq9DL4F+34jv1t1xQmvM99wVYa8w/hF8KZE+S9Gy&#10;ujLpPm2BtBT1a8PDmY8mkyDHaExezMZs0HlkfR4BoxiKRypFf732bBVQOwbcWqo2JVc728oVD3VV&#10;xX4D457ccRUspDiGo+iDUs/tmPXray5/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HISQefYAAAA&#10;CwEAAA8AAAAAAAAAAQAgAAAAOAAAAGRycy9kb3ducmV2LnhtbFBLAQIUABQAAAAIAIdO4kCxdBzq&#10;BwIAAOIDAAAOAAAAAAAAAAEAIAAAAD0BAABkcnMvZTJvRG9jLnhtbFBLBQYAAAAABgAGAFkBAAC2&#10;BQAAAAA=&#10;">
                <v:fill on="f" focussize="0,0"/>
                <v:stroke on="f"/>
                <v:imagedata o:title=""/>
                <o:lock v:ext="edit" aspectratio="f"/>
                <v:textbox style="mso-fit-shape-to-text:t;">
                  <w:txbxContent>
                    <w:p>
                      <w:pPr>
                        <w:pStyle w:val="29"/>
                        <w:shd w:val="clear" w:color="auto" w:fill="auto"/>
                        <w:wordWrap w:val="0"/>
                        <w:ind w:right="471" w:firstLine="625"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rPr>
        <w:t xml:space="preserve">ICS </w:t>
      </w:r>
      <w:r>
        <w:rPr>
          <w:rFonts w:hint="eastAsia" w:ascii="黑体" w:hAnsi="黑体" w:eastAsia="黑体" w:cs="Times New Roman"/>
        </w:rPr>
        <w:t>65</w:t>
      </w:r>
      <w:r>
        <w:rPr>
          <w:rFonts w:ascii="黑体" w:hAnsi="黑体" w:eastAsia="黑体" w:cs="Times New Roman"/>
        </w:rPr>
        <w:t>.</w:t>
      </w:r>
      <w:r>
        <w:rPr>
          <w:rFonts w:hint="eastAsia" w:ascii="黑体" w:hAnsi="黑体" w:eastAsia="黑体" w:cs="Times New Roman"/>
        </w:rPr>
        <w:t>020</w:t>
      </w:r>
      <w:r>
        <w:rPr>
          <w:rFonts w:ascii="黑体" w:hAnsi="黑体" w:eastAsia="黑体" w:cs="Times New Roman"/>
        </w:rPr>
        <w:t>.</w:t>
      </w:r>
      <w:r>
        <w:rPr>
          <w:rFonts w:hint="eastAsia" w:ascii="黑体" w:hAnsi="黑体" w:eastAsia="黑体" w:cs="Times New Roman"/>
        </w:rPr>
        <w:t>01</w:t>
      </w:r>
    </w:p>
    <w:p>
      <w:pPr>
        <w:rPr>
          <w:rFonts w:ascii="黑体" w:hAnsi="黑体" w:eastAsia="黑体" w:cs="Times New Roman"/>
        </w:rPr>
      </w:pPr>
      <w:r>
        <w:rPr>
          <w:rFonts w:ascii="黑体" w:hAnsi="黑体" w:eastAsia="黑体" w:cs="Times New Roman"/>
        </w:rPr>
        <w:t xml:space="preserve">CCS </w:t>
      </w:r>
      <w:r>
        <w:rPr>
          <w:rFonts w:hint="eastAsia" w:ascii="黑体" w:hAnsi="黑体" w:eastAsia="黑体" w:cs="Times New Roman"/>
        </w:rPr>
        <w:t>B</w:t>
      </w:r>
      <w:r>
        <w:rPr>
          <w:rFonts w:ascii="黑体" w:hAnsi="黑体" w:eastAsia="黑体" w:cs="Times New Roman"/>
        </w:rPr>
        <w:t xml:space="preserve"> </w:t>
      </w:r>
      <w:r>
        <w:rPr>
          <w:rFonts w:hint="eastAsia" w:ascii="黑体" w:hAnsi="黑体" w:eastAsia="黑体" w:cs="Times New Roman"/>
        </w:rPr>
        <w:t>90</w:t>
      </w:r>
      <w:r>
        <w:rPr>
          <w:rFonts w:ascii="黑体" w:hAnsi="黑体" w:eastAsia="黑体" w:cs="Times New Roman"/>
        </w:rPr>
        <w:t xml:space="preserve"> </w:t>
      </w:r>
    </w:p>
    <w:p>
      <w:pPr>
        <w:rPr>
          <w:rFonts w:ascii="黑体" w:hAnsi="黑体" w:eastAsia="黑体"/>
        </w:rPr>
      </w:pPr>
    </w:p>
    <w:p>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topMargin">
                  <wp:posOffset>1181100</wp:posOffset>
                </wp:positionV>
                <wp:extent cx="6120130" cy="615950"/>
                <wp:effectExtent l="0" t="0" r="0" b="0"/>
                <wp:wrapNone/>
                <wp:docPr id="3" name="Text Box 18"/>
                <wp:cNvGraphicFramePr/>
                <a:graphic xmlns:a="http://schemas.openxmlformats.org/drawingml/2006/main">
                  <a:graphicData uri="http://schemas.microsoft.com/office/word/2010/wordprocessingShape">
                    <wps:wsp>
                      <wps:cNvSpPr txBox="true">
                        <a:spLocks noChangeArrowheads="true"/>
                      </wps:cNvSpPr>
                      <wps:spPr bwMode="auto">
                        <a:xfrm>
                          <a:off x="0" y="0"/>
                          <a:ext cx="6120130" cy="615950"/>
                        </a:xfrm>
                        <a:prstGeom prst="rect">
                          <a:avLst/>
                        </a:prstGeom>
                        <a:noFill/>
                        <a:ln w="0">
                          <a:noFill/>
                          <a:miter lim="800000"/>
                        </a:ln>
                      </wps:spPr>
                      <wps:txbx>
                        <w:txbxContent>
                          <w:p>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false" upright="true">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1312;mso-width-relative:page;mso-height-relative:page;" filled="f" stroked="f" coordsize="21600,21600" o:gfxdata="UEsFBgAAAAAAAAAAAAAAAAAAAAAAAFBLAwQKAAAAAACHTuJAAAAAAAAAAAAAAAAABAAAAGRycy9Q&#10;SwMEFAAAAAgAh07iQKeonEPYAAAACgEAAA8AAABkcnMvZG93bnJldi54bWxNj01Pg0AQhu8m/ofN&#10;mHizCzRSpCw9NGpi6sFWfsDCTgFlZwm79OPfO570NHkzT96PYnOxgzjh5HtHCuJFBAKpcaanVkH1&#10;+fKQgfBBk9GDI1RwRQ+b8vam0LlxZ9rj6RBawSbkc62gC2HMpfRNh1b7hRuR+Hd0k9WB5dRKM+kz&#10;m9tBJlGUSqt74oROj7jtsPk+zFbBvHy71rvX3T59f6avLv6osN9WSt3fxdEaRMBL+IPhtz5Xh5I7&#10;1W4m48XAOlkxyTdLeRMDT6v0EUStIMmWEciykP8nlD9QSwMEFAAAAAgAh07iQGuVgo4DAgAA8QMA&#10;AA4AAABkcnMvZTJvRG9jLnhtbK1T227bMAx9H7B/EPS+OE6TLDXiFF2LDgO6bkDbD2BkORYmiZqk&#10;xM6+fpSSpkH3NtQPgnjx4TkktbwajGY76YNCW/NyNOZMWoGNspuaPz/dfVpwFiLYBjRaWfO9DPxq&#10;9fHDsneVnGCHupGeEYgNVe9q3sXoqqIIopMGwgidtBRs0RuIZPpN0XjoCd3oYjIez4sefeM8ChkC&#10;eW8PQb7K+G0rRfzRtkFGpmtO3GI+fT7X6SxWS6g2HlynxJEG/AcLA8pS0RPULURgW6/+gTJKeAzY&#10;xpFAU2DbKiGzBlJTjt+oeezAyayFmhPcqU3h/WDFw+6nZ6qp+QVnFgyN6EkOkX3BgZWL1J7ehYqy&#10;Hh3lxYH8NY9+m2hBFdw9il+BWbzpwG7ktffYdxIaYpiT6P/iDOCAFhLUuv+ODVWDbcSMNbTeJEzq&#10;CaMaNKz9aUCJkSDnvKQuXVBIUGxezi5neYIFVC9/Ox/iV4mGpUvNPS1ARofdfYiJDVQvKamYxTul&#10;dV4CbVmfCr5xGxVpQbUyNV+M05d6QijaHqUlNQddcVgPFEx619jsSaTHw8LRA6FLh/4PZz0tW83D&#10;7y14yZn+ZqlXl+V0mrYzG9PZ5wkZ/jyyPo+AFQRFHebscL2JZLWgAwFunVebjqqdhmTxmnrcqiz/&#10;ldyRPu1V1nN8A2lxz+2c9fpSV3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p6icQ9gAAAAKAQAA&#10;DwAAAAAAAAABACAAAAA4AAAAZHJzL2Rvd25yZXYueG1sUEsBAhQAFAAAAAgAh07iQGuVgo4DAgAA&#10;8QMAAA4AAAAAAAAAAQAgAAAAPQEAAGRycy9lMm9Eb2MueG1sUEsFBgAAAAAGAAYAWQEAALIFAAAA&#10;AA==&#10;">
                <v:fill on="f" focussize="0,0"/>
                <v:stroke on="f" weight="0pt" miterlimit="8" joinstyle="miter"/>
                <v:imagedata o:title=""/>
                <o:lock v:ext="edit" aspectratio="f"/>
                <v:textbox>
                  <w:txbxContent>
                    <w:p>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rPr>
          <w:rFonts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pPr>
        <w:autoSpaceDE w:val="0"/>
        <w:autoSpaceDN w:val="0"/>
        <w:adjustRightInd w:val="0"/>
        <w:spacing w:line="3686" w:lineRule="exact"/>
        <w:jc w:val="center"/>
        <w:rPr>
          <w:rFonts w:ascii="黑体" w:hAnsi="黑体" w:eastAsia="黑体"/>
        </w:rPr>
      </w:pPr>
      <w:bookmarkStart w:id="288" w:name="_GoBack"/>
      <w:bookmarkEnd w:id="288"/>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rightMargin">
                  <wp:posOffset>-1741170</wp:posOffset>
                </wp:positionH>
                <wp:positionV relativeFrom="topMargin">
                  <wp:posOffset>2238375</wp:posOffset>
                </wp:positionV>
                <wp:extent cx="1927225" cy="304800"/>
                <wp:effectExtent l="0" t="0" r="0" b="0"/>
                <wp:wrapNone/>
                <wp:docPr id="6" name="Text Box 19"/>
                <wp:cNvGraphicFramePr/>
                <a:graphic xmlns:a="http://schemas.openxmlformats.org/drawingml/2006/main">
                  <a:graphicData uri="http://schemas.microsoft.com/office/word/2010/wordprocessingShape">
                    <wps:wsp>
                      <wps:cNvSpPr txBox="true">
                        <a:spLocks noChangeArrowheads="true"/>
                      </wps:cNvSpPr>
                      <wps:spPr bwMode="auto">
                        <a:xfrm>
                          <a:off x="0" y="0"/>
                          <a:ext cx="1927344" cy="304800"/>
                        </a:xfrm>
                        <a:prstGeom prst="rect">
                          <a:avLst/>
                        </a:prstGeom>
                        <a:noFill/>
                        <a:ln w="0">
                          <a:noFill/>
                          <a:miter lim="800000"/>
                        </a:ln>
                      </wps:spPr>
                      <wps:txb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wps:txbx>
                      <wps:bodyPr rot="0" vert="horz" wrap="square" lIns="91440" tIns="45720" rIns="91440" bIns="45720" anchor="t" anchorCtr="false" upright="true">
                        <a:noAutofit/>
                      </wps:bodyPr>
                    </wps:wsp>
                  </a:graphicData>
                </a:graphic>
              </wp:anchor>
            </w:drawing>
          </mc:Choice>
          <mc:Fallback>
            <w:pict>
              <v:shape id="Text Box 19" o:spid="_x0000_s1026" o:spt="202" type="#_x0000_t202" style="position:absolute;left:0pt;margin-left:415.65pt;margin-top:176.25pt;height:24pt;width:151.75pt;mso-position-horizontal-relative:page;mso-position-vertical-relative:page;z-index:251662336;mso-width-relative:page;mso-height-relative:page;" filled="f" stroked="f" coordsize="21600,21600" o:gfxdata="UEsFBgAAAAAAAAAAAAAAAAAAAAAAAFBLAwQKAAAAAACHTuJAAAAAAAAAAAAAAAAABAAAAGRycy9Q&#10;SwMEFAAAAAgAh07iQNkpAR/bAAAACwEAAA8AAABkcnMvZG93bnJldi54bWxNj8tOwzAQRfdI/IM1&#10;SOxaO0lTIMTpogIkVBa05AOceIgD8TiKnT7+HrOC5ege3Xum3JztwI44+d6RhGQpgCG1TvfUSag/&#10;nhf3wHxQpNXgCCVc0MOmur4qVaHdifZ4PISOxRLyhZJgQhgLzn1r0Cq/dCNSzD7dZFWI59RxPalT&#10;LLcDT4VYc6t6igtGjbg12H4fZithzl4vze5lt1+/PdGXSd5r7Le1lLc3iXgEFvAc/mD41Y/qUEWn&#10;xs2kPRskLNK7VRpZCVme5sAikj5kwBoJKyFy4FXJ//9Q/QBQSwMEFAAAAAgAh07iQHyvKe0EAgAA&#10;8QMAAA4AAABkcnMvZTJvRG9jLnhtbK1T227bMAx9H7B/EPS+2Em9tjHiFF2LDgO6bkDbD2BkORYm&#10;iZqkxM6+fpSSpkH3NtQPgnjx4TkktbgajWZb6YNC2/DppORMWoGtsuuGPz/dfbrkLESwLWi0suE7&#10;GfjV8uOHxeBqOcMedSs9IxAb6sE1vI/R1UURRC8NhAk6aSnYoTcQyfTrovUwELrRxawsz4sBfes8&#10;ChkCeW/3Qb7M+F0nRfzRdUFGphtO3GI+fT5X6SyWC6jXHlyvxIEG/AcLA8pS0SPULURgG6/+gTJK&#10;eAzYxYlAU2DXKSGzBlIzLd+oeezByayFmhPcsU3h/WDFw/anZ6pt+DlnFgyN6EmOkX3BkU3nqT2D&#10;CzVlPTrKiyP5Gx79JtGCOrh7FL8Cs3jTg13La+9x6CW0xDAn0f/FCcAeLSSo1fAdW6oGm4gZa+y8&#10;SZjUE0Y1aFi744ASI0HO6Xx2cVZVnAmKnZXVZZknWED98rfzIX6VaFi6NNzTAmR02N6HmNhA/ZKS&#10;ilm8U1rnJdCWDangG7dRkRZUK9NwqkZf6gmhaHuQltTsdcVxNVIw6V1huyORHvcLRw+ELj36P5wN&#10;tGwND7834CVn+pulXs2nVZW2MxvV54sZGf40sjqNgBUERR3mbH+9iWR1oAMBbpxX656qHYdk8Zp6&#10;3Kks/5XcgT7tVdZzeANpcU/tnPX6Upd/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NkpAR/bAAAA&#10;CwEAAA8AAAAAAAAAAQAgAAAAOAAAAGRycy9kb3ducmV2LnhtbFBLAQIUABQAAAAIAIdO4kB8rynt&#10;BAIAAPEDAAAOAAAAAAAAAAEAIAAAAEABAABkcnMvZTJvRG9jLnhtbFBLBQYAAAAABgAGAFkBAAC2&#10;BQAAAAA=&#10;">
                <v:fill on="f" focussize="0,0"/>
                <v:stroke on="f" weight="0pt" miterlimit="8" joinstyle="miter"/>
                <v:imagedata o:title=""/>
                <o:lock v:ext="edit" aspectratio="f"/>
                <v:textbo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v:textbox>
              </v:shape>
            </w:pict>
          </mc:Fallback>
        </mc:AlternateContent>
      </w:r>
      <w:r>
        <w:rPr>
          <w:rFonts w:ascii="黑体" w:hAnsi="黑体" w:eastAsia="黑体"/>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59264;mso-width-relative:page;mso-height-relative:page;" filled="f" stroked="t" coordsize="21600,21600" o:gfxdata="UEsFBgAAAAAAAAAAAAAAAAAAAAAAAFBLAwQKAAAAAACHTuJAAAAAAAAAAAAAAAAABAAAAGRycy9Q&#10;SwMEFAAAAAgAh07iQIjLhbHTAAAACAEAAA8AAABkcnMvZG93bnJldi54bWxNj8FOwzAQRO9I/IO1&#10;SNyo09KaksapBBLnipQLNyfexlHjdRS7Tfh7FgkJjjszmn1T7GffiyuOsQukYbnIQCA1wXbUavg4&#10;vj1sQcRkyJo+EGr4wgj78vamMLkNE73jtUqt4BKKudHgUhpyKWPj0Ju4CAMSe6cwepP4HFtpRzNx&#10;ue/lKsuU9KYj/uDMgK8Om3N18Rqe1vYzGPWyqTfT4Zjw5KrtYdb6/m6Z7UAknNNfGH7wGR1KZqrD&#10;hWwUvQYekjSsV0qBYPtZPbJS/yqyLOT/AeU3UEsDBBQAAAAIAIdO4kA5ZTpTvAEAAGkDAAAOAAAA&#10;ZHJzL2Uyb0RvYy54bWytU02P0zAQvSPxHyzfaZKiLihqukJdLZcFKu3yA1zbSSxsjzV2m/TfM3Y/&#10;WOCGyMGKM/Pem3kzWd/PzrKjxmjAd7xZ1JxpL0EZP3T8+8vju4+cxSS8Eha87vhJR36/eftmPYVW&#10;L2EEqzQyIvGxnULHx5RCW1VRjtqJuICgPQV7QCcSXXGoFIqJ2J2tlnV9V02AKiBIHSN9fTgH+abw&#10;972W6VvfR52Y7TjVlsqJ5dzns9qsRTugCKORlzLEP1ThhPEkeqN6EEmwA5q/qJyRCBH6tJDgKuh7&#10;I3Xpgbpp6j+6eR5F0KUXMieGm03x/9HKr8cdMqM6vuLMC0cj+nRIUJRZ8z77M4XYUtrW7zB3KGf/&#10;HJ5A/ojMw3YUftAl++UUCJzwoDOo+g2VLzGQ0H76AorSBGkUv+YeXWYlJ9hcxnK6jUXPiUn6eNc0&#10;q3pF05PXWCXaKzBgTJ81OJZfOh4TCjOMaQve0/ABmyIjjk8x5bJEewVkVQ+PxtqyA9aziRZ4+aGu&#10;CyKCNSpHc17EYb+1yI4ir1F5SpMUeZ2GcPDqrGL9xYPc9tnDPajTDq/e0DxLOZfdywvz+l7Qv/6Q&#10;z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CIy4Wx0wAAAAgBAAAPAAAAAAAAAAEAIAAAADgAAABk&#10;cnMvZG93bnJldi54bWxQSwECFAAUAAAACACHTuJAOWU6U7wBAABpAwAADgAAAAAAAAABACAAAAA4&#10;AQAAZHJzL2Uyb0RvYy54bWxQSwUGAAAAAAYABgBZAQAAZgUAAAAA&#10;">
                <v:fill on="f" focussize="0,0"/>
                <v:stroke weight="1pt" color="#000000" joinstyle="round"/>
                <v:imagedata o:title=""/>
                <o:lock v:ext="edit" aspectratio="f"/>
              </v:shape>
            </w:pict>
          </mc:Fallback>
        </mc:AlternateContent>
      </w:r>
      <w:r>
        <w:rPr>
          <w:rFonts w:ascii="黑体" w:hAnsi="黑体" w:eastAsia="黑体"/>
        </w:rPr>
        <mc:AlternateContent>
          <mc:Choice Requires="wps">
            <w:drawing>
              <wp:anchor distT="0" distB="0" distL="114300" distR="114300" simplePos="0" relativeHeight="251660288" behindDoc="0" locked="0" layoutInCell="1" allowOverlap="1">
                <wp:simplePos x="0" y="0"/>
                <wp:positionH relativeFrom="column">
                  <wp:posOffset>80645</wp:posOffset>
                </wp:positionH>
                <wp:positionV relativeFrom="topMargin">
                  <wp:posOffset>4140835</wp:posOffset>
                </wp:positionV>
                <wp:extent cx="5924550" cy="3248025"/>
                <wp:effectExtent l="0" t="0" r="0" b="0"/>
                <wp:wrapNone/>
                <wp:docPr id="4" name="Text Box 17"/>
                <wp:cNvGraphicFramePr/>
                <a:graphic xmlns:a="http://schemas.openxmlformats.org/drawingml/2006/main">
                  <a:graphicData uri="http://schemas.microsoft.com/office/word/2010/wordprocessingShape">
                    <wps:wsp>
                      <wps:cNvSpPr txBox="true">
                        <a:spLocks noChangeArrowheads="true"/>
                      </wps:cNvSpPr>
                      <wps:spPr bwMode="auto">
                        <a:xfrm>
                          <a:off x="0" y="0"/>
                          <a:ext cx="5924550" cy="3248025"/>
                        </a:xfrm>
                        <a:prstGeom prst="rect">
                          <a:avLst/>
                        </a:prstGeom>
                        <a:noFill/>
                        <a:ln w="0">
                          <a:noFill/>
                          <a:miter lim="800000"/>
                        </a:ln>
                      </wps:spPr>
                      <wps:txbx>
                        <w:txbxContent>
                          <w:p>
                            <w:pPr>
                              <w:jc w:val="center"/>
                              <w:rPr>
                                <w:rFonts w:ascii="黑体" w:hAnsi="宋体" w:eastAsia="黑体"/>
                                <w:sz w:val="52"/>
                                <w:szCs w:val="52"/>
                              </w:rPr>
                            </w:pPr>
                            <w:r>
                              <w:rPr>
                                <w:rFonts w:hint="eastAsia" w:ascii="黑体" w:hAnsi="宋体" w:eastAsia="黑体"/>
                                <w:sz w:val="52"/>
                                <w:szCs w:val="52"/>
                              </w:rPr>
                              <w:t>农田信息无人机采集应用规范</w:t>
                            </w:r>
                          </w:p>
                          <w:p>
                            <w:pPr>
                              <w:jc w:val="center"/>
                              <w:rPr>
                                <w:rStyle w:val="44"/>
                                <w:rFonts w:ascii="黑体" w:hAnsi="黑体" w:eastAsia="黑体"/>
                                <w:kern w:val="0"/>
                                <w:sz w:val="28"/>
                                <w:szCs w:val="21"/>
                              </w:rPr>
                            </w:pPr>
                            <w:r>
                              <w:rPr>
                                <w:rStyle w:val="44"/>
                                <w:rFonts w:ascii="黑体" w:hAnsi="黑体" w:eastAsia="黑体"/>
                                <w:kern w:val="0"/>
                                <w:sz w:val="28"/>
                                <w:szCs w:val="21"/>
                              </w:rPr>
                              <w:t>Application specification for unmanned aerial vehicle collection of farmland information</w:t>
                            </w:r>
                          </w:p>
                          <w:p>
                            <w:pPr>
                              <w:jc w:val="center"/>
                              <w:rPr>
                                <w:rFonts w:ascii="宋体" w:hAnsi="宋体"/>
                                <w:sz w:val="24"/>
                              </w:rPr>
                            </w:pPr>
                            <w:r>
                              <w:rPr>
                                <w:rFonts w:hint="eastAsia" w:ascii="宋体" w:hAnsi="宋体"/>
                                <w:sz w:val="24"/>
                              </w:rPr>
                              <w:t>（报批稿）</w:t>
                            </w:r>
                          </w:p>
                          <w:p/>
                        </w:txbxContent>
                      </wps:txbx>
                      <wps:bodyPr rot="0" vert="horz" wrap="square" lIns="91440" tIns="45720" rIns="91440" bIns="45720" anchor="t" anchorCtr="false" upright="true">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0288;mso-width-relative:page;mso-height-relative:page;" filled="f" stroked="f" coordsize="21600,21600" o:gfxdata="UEsFBgAAAAAAAAAAAAAAAAAAAAAAAFBLAwQKAAAAAACHTuJAAAAAAAAAAAAAAAAABAAAAGRycy9Q&#10;SwMEFAAAAAgAh07iQIcwbjrZAAAACwEAAA8AAABkcnMvZG93bnJldi54bWxNj81OwzAQhO9IvIO1&#10;SNyo45QaCHF6qAAJlQMteQAnWZJAvI5ipz9vz3KC4+x8mp3J1yc3iANOofdkQC0SEEi1b3pqDZQf&#10;zzf3IEK01NjBExo4Y4B1cXmR26zxR9rhYR9bwSEUMmugi3HMpAx1h86GhR+R2Pv0k7OR5dTKZrJH&#10;DneDTJNES2d74g+dHXHTYf29n52Befl6rrYv251+e6KvTr2X2G9KY66vVPIIIuIp/sHwW5+rQ8Gd&#10;Kj9TE8TAOr1j0oBepQoEAw+3K75U7Ci91CCLXP7fUPwAUEsDBBQAAAAIAIdO4kCZMQ80AgIAAPID&#10;AAAOAAAAZHJzL2Uyb0RvYy54bWytU9tu2zAMfR+wfxD0vtjxkjU14hRdiw4DugvQ7gMYWY6FSaIm&#10;KbG7rx8lp2nQvQ3zgyBefHgOSa2vRqPZQfqg0DZ8Pis5k1Zgq+yu4T8e796tOAsRbAsarWz4kwz8&#10;avP2zXpwtaywR91KzwjEhnpwDe9jdHVRBNFLA2GGTloKdugNRDL9rmg9DIRudFGV5YdiQN86j0KG&#10;QN7bKcg3Gb/rpIjfui7IyHTDiVvMp8/nNp3FZg31zoPrlTjSgH9gYUBZKnqCuoUIbO/VX1BGCY8B&#10;uzgTaArsOiVk1kBq5uUrNQ89OJm1UHOCO7Up/D9Y8fXw3TPVNnzBmQVDI3qUY2QfcWTzi9SewYWa&#10;sh4c5cWR/A2Pfp9oQR3cPYqfgVm86cHu5LX3OPQSWmKYk+j/4gxgQgsJajt8wZaqwT5ixho7bxIm&#10;9YRRDRrW02lAiZEg5/KyWiyXFBIUe18tVmW1TBwLqJ9/dz7ETxINS5eGe9qADA+H+xCn1OeUVM3i&#10;ndKa/FBry4ZU8ZXbqEgbqpVp+KpM37GgtkdtSc4kLI7bkaCS4C22T6TS47Rx9ELo0qP/zdlA29bw&#10;8GsPXnKmP1tq1uV8sUjrmY3F8qIiw59HtucRsIKgqMWcTdebSFYHOhDg3nm166naaUoWr6nJncry&#10;X8gd6dNi5QYeH0Ha3HM7Z7081c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hzBuOtkAAAALAQAA&#10;DwAAAAAAAAABACAAAAA4AAAAZHJzL2Rvd25yZXYueG1sUEsBAhQAFAAAAAgAh07iQJkxDzQCAgAA&#10;8gMAAA4AAAAAAAAAAQAgAAAAPgEAAGRycy9lMm9Eb2MueG1sUEsFBgAAAAAGAAYAWQEAALIFAAAA&#10;AA==&#10;">
                <v:fill on="f" focussize="0,0"/>
                <v:stroke on="f" weight="0pt" miterlimit="8" joinstyle="miter"/>
                <v:imagedata o:title=""/>
                <o:lock v:ext="edit" aspectratio="f"/>
                <v:textbox>
                  <w:txbxContent>
                    <w:p>
                      <w:pPr>
                        <w:jc w:val="center"/>
                        <w:rPr>
                          <w:rFonts w:ascii="黑体" w:hAnsi="宋体" w:eastAsia="黑体"/>
                          <w:sz w:val="52"/>
                          <w:szCs w:val="52"/>
                        </w:rPr>
                      </w:pPr>
                      <w:r>
                        <w:rPr>
                          <w:rFonts w:hint="eastAsia" w:ascii="黑体" w:hAnsi="宋体" w:eastAsia="黑体"/>
                          <w:sz w:val="52"/>
                          <w:szCs w:val="52"/>
                        </w:rPr>
                        <w:t>农田信息无人机采集应用规范</w:t>
                      </w:r>
                    </w:p>
                    <w:p>
                      <w:pPr>
                        <w:jc w:val="center"/>
                        <w:rPr>
                          <w:rStyle w:val="44"/>
                          <w:rFonts w:ascii="黑体" w:hAnsi="黑体" w:eastAsia="黑体"/>
                          <w:kern w:val="0"/>
                          <w:sz w:val="28"/>
                          <w:szCs w:val="21"/>
                        </w:rPr>
                      </w:pPr>
                      <w:r>
                        <w:rPr>
                          <w:rStyle w:val="44"/>
                          <w:rFonts w:ascii="黑体" w:hAnsi="黑体" w:eastAsia="黑体"/>
                          <w:kern w:val="0"/>
                          <w:sz w:val="28"/>
                          <w:szCs w:val="21"/>
                        </w:rPr>
                        <w:t>Application specification for unmanned aerial vehicle collection of farmland information</w:t>
                      </w:r>
                    </w:p>
                    <w:p>
                      <w:pPr>
                        <w:jc w:val="center"/>
                        <w:rPr>
                          <w:rFonts w:ascii="宋体" w:hAnsi="宋体"/>
                          <w:sz w:val="24"/>
                        </w:rPr>
                      </w:pPr>
                      <w:r>
                        <w:rPr>
                          <w:rFonts w:hint="eastAsia" w:ascii="宋体" w:hAnsi="宋体"/>
                          <w:sz w:val="24"/>
                        </w:rPr>
                        <w:t>（报批稿）</w:t>
                      </w:r>
                    </w:p>
                    <w:p/>
                  </w:txbxContent>
                </v:textbox>
              </v:shape>
            </w:pict>
          </mc:Fallback>
        </mc:AlternateContent>
      </w: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r>
        <w:rPr>
          <w:rFonts w:hint="eastAsia" w:ascii="黑体" w:hAnsi="黑体" w:eastAsia="黑体"/>
        </w:rPr>
        <w:t xml:space="preserve">                                                                                          </w:t>
      </w:r>
    </w:p>
    <w:p>
      <w:pPr>
        <w:pStyle w:val="8"/>
      </w:pPr>
    </w:p>
    <w:p>
      <w:pPr>
        <w:pStyle w:val="8"/>
      </w:pPr>
    </w:p>
    <w:p>
      <w:pPr>
        <w:pStyle w:val="8"/>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sz w:val="28"/>
          <w:szCs w:val="28"/>
        </w:rPr>
      </w:pPr>
      <w:r>
        <w:rPr>
          <w:rFonts w:ascii="黑体" w:hAnsi="黑体" w:eastAsia="黑体"/>
          <w:sz w:val="28"/>
          <w:szCs w:val="28"/>
        </w:rPr>
        <mc:AlternateContent>
          <mc:Choice Requires="wps">
            <w:drawing>
              <wp:anchor distT="0" distB="0" distL="114300" distR="114300" simplePos="0" relativeHeight="251663360"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3360;mso-width-relative:page;mso-height-relative:page;" filled="f" stroked="t" coordsize="21600,21600" o:gfxdata="UEsFBgAAAAAAAAAAAAAAAAAAAAAAAFBLAwQKAAAAAACHTuJAAAAAAAAAAAAAAAAABAAAAGRycy9Q&#10;SwMEFAAAAAgAh07iQK8yBcfWAAAADAEAAA8AAABkcnMvZG93bnJldi54bWxNj81OwzAQhO9IvIO1&#10;SNxau39pCHEqgcS5Iu2FmxNvk4h4HcVuE96e5YDgtjszmv02P8yuFzccQ+dJw2qpQCDV3nbUaDif&#10;3hYpiBANWdN7Qg1fGOBQ3N/lJrN+one8lbERXEIhMxraGIdMylC36ExY+gGJvYsfnYm8jo20o5m4&#10;3PVyrVQinemIL7RmwNcW68/y6jTst/bDm+RlV+2m4ynipS3T46z148NKPYOIOMe/MPzgMzoUzFT5&#10;K9kgeg2L9YaTrG83KU+ceErUHkT1K8kil/+fKL4BUEsDBBQAAAAIAIdO4kBt0o+UvAEAAGkDAAAO&#10;AAAAZHJzL2Uyb0RvYy54bWytU01v2zAMvQ/YfxB0X2xnaDcYcYohRXfptgDtfoAiybZQSRQoJXb+&#10;/SjlY912G+qDYJl8JN979OpudpYdNEYDvuPNouZMewnK+KHjP58fPnzmLCbhlbDgdcePOvK79ft3&#10;qym0egkjWKWRUREf2yl0fEwptFUV5aidiAsI2lOwB3Qi0RWHSqGYqLqz1bKub6sJUAUEqWOkr/en&#10;IF+X+n2vZfrR91EnZjtOs6VyYjl3+azWK9EOKMJo5HkM8R9TOGE8Nb2WuhdJsD2af0o5IxEi9Gkh&#10;wVXQ90bqwoHYNPVfbJ5GEXThQuLEcJUpvl1Z+f2wRWZUx8koLxxZ9GWfoHRmzceszxRiS2kbv8XM&#10;UM7+KTyCfInMw2YUftAl+/kYCJxwrzOo+gOVLzFQo930DRSlCepR9Jp7dLkqKcHmYsvxaoueE5P0&#10;8bZpbuobck9eYpVoL8CAMX3V4Fh+6XhMKMwwpg14T+YDNqWNODzGlMcS7QWQu3p4MNaWHbCeTbTA&#10;y091XRARrFE5mvMiDruNRXYQeY3KU0hS5HUawt6rUxfrzxpk2icNd6COW7xoQ36Wcc67lxfm9b2g&#10;f/8h6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CvMgXH1gAAAAwBAAAPAAAAAAAAAAEAIAAAADgA&#10;AABkcnMvZG93bnJldi54bWxQSwECFAAUAAAACACHTuJAbdKPlLwBAABpAwAADgAAAAAAAAABACAA&#10;AAA7AQAAZHJzL2Uyb0RvYy54bWxQSwUGAAAAAAYABgBZAQAAaQUAAAAA&#10;">
                <v:fill on="f" focussize="0,0"/>
                <v:stroke weight="1pt" color="#000000" joinstyle="round"/>
                <v:imagedata o:title=""/>
                <o:lock v:ext="edit" aspectratio="f"/>
              </v:shape>
            </w:pict>
          </mc:Fallback>
        </mc:AlternateContent>
      </w:r>
      <w:r>
        <w:rPr>
          <w:rFonts w:hint="eastAsia" w:ascii="黑体" w:hAnsi="黑体" w:eastAsia="黑体"/>
          <w:sz w:val="28"/>
          <w:szCs w:val="28"/>
        </w:rPr>
        <w:t>2025-XX-XX发布                                       2025-XX-XX实施</w:t>
      </w:r>
    </w:p>
    <w:p>
      <w:pPr>
        <w:spacing w:line="1247" w:lineRule="exact"/>
        <w:jc w:val="center"/>
        <w:rPr>
          <w:rFonts w:ascii="黑体" w:hAnsi="黑体" w:eastAsia="黑体"/>
          <w:sz w:val="28"/>
          <w:szCs w:val="28"/>
        </w:rPr>
      </w:pPr>
      <w:bookmarkStart w:id="0" w:name="_Toc3547"/>
      <w:bookmarkStart w:id="1" w:name="_Toc18385"/>
      <w:r>
        <w:rPr>
          <w:rFonts w:hint="eastAsia" w:ascii="方正小标宋_GBK" w:eastAsia="方正小标宋_GBK"/>
          <w:sz w:val="44"/>
          <w:szCs w:val="44"/>
        </w:rPr>
        <w:t>苏州市市场监督管理局</w:t>
      </w:r>
      <w:r>
        <w:rPr>
          <w:rFonts w:hint="eastAsia"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bookmarkEnd w:id="0"/>
      <w:bookmarkEnd w:id="1"/>
    </w:p>
    <w:p>
      <w:pPr>
        <w:pStyle w:val="8"/>
      </w:pPr>
    </w:p>
    <w:p>
      <w:pPr>
        <w:rPr>
          <w:rFonts w:ascii="黑体" w:hAnsi="黑体" w:eastAsia="黑体"/>
          <w:sz w:val="28"/>
          <w:szCs w:val="28"/>
        </w:rPr>
        <w:sectPr>
          <w:headerReference r:id="rId3" w:type="default"/>
          <w:pgSz w:w="11906" w:h="16838"/>
          <w:pgMar w:top="567" w:right="851" w:bottom="1134" w:left="1418" w:header="0" w:footer="0" w:gutter="0"/>
          <w:cols w:space="425" w:num="1"/>
          <w:docGrid w:type="lines" w:linePitch="312" w:charSpace="0"/>
        </w:sectPr>
      </w:pPr>
    </w:p>
    <w:p>
      <w:pPr>
        <w:snapToGrid w:val="0"/>
        <w:spacing w:before="567" w:after="680"/>
        <w:jc w:val="center"/>
        <w:rPr>
          <w:rFonts w:ascii="黑体" w:hAnsi="黑体" w:eastAsia="黑体"/>
          <w:sz w:val="32"/>
          <w:szCs w:val="32"/>
        </w:rPr>
      </w:pPr>
      <w:r>
        <w:rPr>
          <w:rFonts w:hint="eastAsia" w:ascii="黑体" w:hAnsi="黑体" w:eastAsia="黑体"/>
          <w:sz w:val="32"/>
          <w:szCs w:val="32"/>
        </w:rPr>
        <w:t>目</w:t>
      </w:r>
      <w:r>
        <w:rPr>
          <w:rFonts w:hint="eastAsia" w:ascii="黑体" w:hAnsi="黑体" w:eastAsia="黑体"/>
          <w:bCs/>
          <w:sz w:val="32"/>
          <w:szCs w:val="32"/>
        </w:rPr>
        <w:t xml:space="preserve">    </w:t>
      </w:r>
      <w:r>
        <w:rPr>
          <w:rFonts w:hint="eastAsia" w:ascii="黑体" w:hAnsi="黑体" w:eastAsia="黑体"/>
          <w:sz w:val="32"/>
          <w:szCs w:val="32"/>
        </w:rPr>
        <w:t>次</w:t>
      </w:r>
    </w:p>
    <w:p>
      <w:pPr>
        <w:pStyle w:val="15"/>
        <w:tabs>
          <w:tab w:val="right" w:leader="dot" w:pos="9354"/>
        </w:tabs>
        <w:rPr>
          <w:rFonts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TOC \o "1-3" \h \z \u </w:instrText>
      </w:r>
      <w:r>
        <w:rPr>
          <w:rFonts w:hint="eastAsia" w:ascii="宋体" w:hAnsi="宋体" w:eastAsia="宋体" w:cs="宋体"/>
          <w:szCs w:val="21"/>
        </w:rPr>
        <w:fldChar w:fldCharType="separate"/>
      </w:r>
      <w:r>
        <w:fldChar w:fldCharType="begin"/>
      </w:r>
      <w:r>
        <w:instrText xml:space="preserve"> HYPERLINK \l "_Toc25403" </w:instrText>
      </w:r>
      <w:r>
        <w:fldChar w:fldCharType="separate"/>
      </w:r>
      <w:r>
        <w:rPr>
          <w:rFonts w:hint="eastAsia" w:ascii="宋体" w:hAnsi="宋体" w:eastAsia="宋体" w:cs="宋体"/>
          <w:szCs w:val="21"/>
        </w:rPr>
        <w:t>前言</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_Toc25403 \h </w:instrText>
      </w:r>
      <w:r>
        <w:rPr>
          <w:rFonts w:hint="eastAsia" w:ascii="宋体" w:hAnsi="宋体" w:eastAsia="宋体" w:cs="宋体"/>
          <w:szCs w:val="21"/>
        </w:rPr>
        <w:fldChar w:fldCharType="separate"/>
      </w:r>
      <w:r>
        <w:rPr>
          <w:rFonts w:hint="eastAsia" w:ascii="宋体" w:hAnsi="宋体" w:eastAsia="宋体" w:cs="宋体"/>
          <w:szCs w:val="21"/>
        </w:rPr>
        <w:t>II</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ascii="宋体" w:hAnsi="宋体" w:eastAsia="宋体" w:cs="宋体"/>
          <w:szCs w:val="21"/>
        </w:rPr>
      </w:pPr>
      <w:r>
        <w:fldChar w:fldCharType="begin"/>
      </w:r>
      <w:r>
        <w:instrText xml:space="preserve"> HYPERLINK \l "_Toc17832" </w:instrText>
      </w:r>
      <w:r>
        <w:fldChar w:fldCharType="separate"/>
      </w:r>
      <w:r>
        <w:rPr>
          <w:rFonts w:hint="eastAsia" w:ascii="宋体" w:hAnsi="宋体" w:eastAsia="宋体" w:cs="宋体"/>
          <w:szCs w:val="21"/>
        </w:rPr>
        <w:t>1  范围</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_Toc17832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ascii="宋体" w:hAnsi="宋体" w:eastAsia="宋体" w:cs="宋体"/>
          <w:szCs w:val="21"/>
        </w:rPr>
      </w:pPr>
      <w:r>
        <w:fldChar w:fldCharType="begin"/>
      </w:r>
      <w:r>
        <w:instrText xml:space="preserve"> HYPERLINK \l "_Toc20514" </w:instrText>
      </w:r>
      <w:r>
        <w:fldChar w:fldCharType="separate"/>
      </w:r>
      <w:r>
        <w:rPr>
          <w:rFonts w:hint="eastAsia" w:ascii="宋体" w:hAnsi="宋体" w:eastAsia="宋体" w:cs="宋体"/>
          <w:szCs w:val="21"/>
        </w:rPr>
        <w:t>2  规范性引用文件</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_Toc20514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ascii="宋体" w:hAnsi="宋体" w:eastAsia="宋体" w:cs="宋体"/>
          <w:szCs w:val="21"/>
        </w:rPr>
      </w:pPr>
      <w:r>
        <w:fldChar w:fldCharType="begin"/>
      </w:r>
      <w:r>
        <w:instrText xml:space="preserve"> HYPERLINK \l "_Toc17703" </w:instrText>
      </w:r>
      <w:r>
        <w:fldChar w:fldCharType="separate"/>
      </w:r>
      <w:r>
        <w:rPr>
          <w:rFonts w:hint="eastAsia" w:ascii="宋体" w:hAnsi="宋体" w:eastAsia="宋体" w:cs="宋体"/>
          <w:szCs w:val="21"/>
        </w:rPr>
        <w:t>3  术语和定义</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_Toc17703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ascii="宋体" w:hAnsi="宋体" w:eastAsia="宋体" w:cs="宋体"/>
          <w:szCs w:val="21"/>
        </w:rPr>
      </w:pPr>
      <w:r>
        <w:fldChar w:fldCharType="begin"/>
      </w:r>
      <w:r>
        <w:instrText xml:space="preserve"> HYPERLINK \l "_Toc24211" </w:instrText>
      </w:r>
      <w:r>
        <w:fldChar w:fldCharType="separate"/>
      </w:r>
      <w:r>
        <w:rPr>
          <w:rFonts w:hint="eastAsia" w:ascii="宋体" w:hAnsi="宋体" w:eastAsia="宋体" w:cs="宋体"/>
          <w:szCs w:val="21"/>
        </w:rPr>
        <w:t>4  基本要求</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_Toc24211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tabs>
          <w:tab w:val="right" w:leader="dot" w:pos="9354"/>
          <w:tab w:val="clear" w:pos="9344"/>
        </w:tabs>
        <w:rPr>
          <w:rFonts w:ascii="宋体" w:hAnsi="宋体" w:eastAsia="宋体" w:cs="宋体"/>
          <w:szCs w:val="21"/>
        </w:rPr>
      </w:pPr>
      <w:r>
        <w:fldChar w:fldCharType="begin"/>
      </w:r>
      <w:r>
        <w:instrText xml:space="preserve"> HYPERLINK \l "_Toc11504" </w:instrText>
      </w:r>
      <w:r>
        <w:fldChar w:fldCharType="separate"/>
      </w:r>
      <w:r>
        <w:rPr>
          <w:rFonts w:hint="eastAsia" w:ascii="宋体" w:hAnsi="宋体" w:eastAsia="宋体" w:cs="宋体"/>
          <w:szCs w:val="21"/>
        </w:rPr>
        <w:t>4.1  作业条件</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_Toc11504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tabs>
          <w:tab w:val="right" w:leader="dot" w:pos="9354"/>
          <w:tab w:val="clear" w:pos="9344"/>
        </w:tabs>
        <w:rPr>
          <w:rFonts w:ascii="宋体" w:hAnsi="宋体" w:eastAsia="宋体" w:cs="宋体"/>
          <w:szCs w:val="21"/>
        </w:rPr>
      </w:pPr>
      <w:r>
        <w:fldChar w:fldCharType="begin"/>
      </w:r>
      <w:r>
        <w:instrText xml:space="preserve"> HYPERLINK \l "_Toc19163" </w:instrText>
      </w:r>
      <w:r>
        <w:fldChar w:fldCharType="separate"/>
      </w:r>
      <w:r>
        <w:rPr>
          <w:rFonts w:hint="eastAsia" w:ascii="宋体" w:hAnsi="宋体" w:eastAsia="宋体" w:cs="宋体"/>
          <w:szCs w:val="21"/>
        </w:rPr>
        <w:t>4.2  作业人员</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_Toc19163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tabs>
          <w:tab w:val="right" w:leader="dot" w:pos="9354"/>
          <w:tab w:val="clear" w:pos="9344"/>
        </w:tabs>
        <w:rPr>
          <w:rFonts w:ascii="宋体" w:hAnsi="宋体" w:eastAsia="宋体" w:cs="宋体"/>
          <w:szCs w:val="21"/>
        </w:rPr>
      </w:pPr>
      <w:r>
        <w:fldChar w:fldCharType="begin"/>
      </w:r>
      <w:r>
        <w:instrText xml:space="preserve"> HYPERLINK \l "_Toc25238" </w:instrText>
      </w:r>
      <w:r>
        <w:fldChar w:fldCharType="separate"/>
      </w:r>
      <w:r>
        <w:rPr>
          <w:rFonts w:hint="eastAsia" w:ascii="宋体" w:hAnsi="宋体" w:eastAsia="宋体" w:cs="宋体"/>
          <w:szCs w:val="21"/>
        </w:rPr>
        <w:t>4.3  设备要求</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_Toc25238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tabs>
          <w:tab w:val="right" w:leader="dot" w:pos="9354"/>
          <w:tab w:val="clear" w:pos="9344"/>
        </w:tabs>
        <w:rPr>
          <w:rFonts w:ascii="宋体" w:hAnsi="宋体" w:eastAsia="宋体" w:cs="宋体"/>
          <w:szCs w:val="21"/>
        </w:rPr>
      </w:pPr>
      <w:r>
        <w:fldChar w:fldCharType="begin"/>
      </w:r>
      <w:r>
        <w:instrText xml:space="preserve"> HYPERLINK \l "_Toc12155" </w:instrText>
      </w:r>
      <w:r>
        <w:fldChar w:fldCharType="separate"/>
      </w:r>
      <w:r>
        <w:rPr>
          <w:rFonts w:hint="eastAsia" w:ascii="宋体" w:hAnsi="宋体" w:eastAsia="宋体" w:cs="宋体"/>
          <w:szCs w:val="21"/>
        </w:rPr>
        <w:t>4.4  安全要求</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_Toc12155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pPr>
      <w:r>
        <w:fldChar w:fldCharType="begin"/>
      </w:r>
      <w:r>
        <w:instrText xml:space="preserve"> HYPERLINK \l "_Toc27563" </w:instrText>
      </w:r>
      <w:r>
        <w:fldChar w:fldCharType="separate"/>
      </w:r>
      <w:r>
        <w:rPr>
          <w:rFonts w:hint="eastAsia" w:ascii="宋体" w:hAnsi="宋体" w:eastAsia="宋体" w:cs="宋体"/>
          <w:szCs w:val="21"/>
        </w:rPr>
        <w:t>5  应用场景</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_Toc27563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ascii="宋体" w:hAnsi="宋体" w:eastAsia="宋体" w:cs="宋体"/>
          <w:szCs w:val="21"/>
        </w:rPr>
      </w:pPr>
      <w:r>
        <w:fldChar w:fldCharType="begin"/>
      </w:r>
      <w:r>
        <w:instrText xml:space="preserve"> HYPERLINK \l "_Toc27995" </w:instrText>
      </w:r>
      <w:r>
        <w:fldChar w:fldCharType="separate"/>
      </w:r>
      <w:r>
        <w:rPr>
          <w:rFonts w:hint="eastAsia" w:ascii="宋体" w:hAnsi="宋体" w:eastAsia="宋体" w:cs="宋体"/>
          <w:szCs w:val="21"/>
        </w:rPr>
        <w:t>6  采集前准备</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_Toc27995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tabs>
          <w:tab w:val="right" w:leader="dot" w:pos="9354"/>
          <w:tab w:val="clear" w:pos="9344"/>
        </w:tabs>
        <w:rPr>
          <w:rFonts w:ascii="宋体" w:hAnsi="宋体" w:eastAsia="宋体" w:cs="宋体"/>
          <w:szCs w:val="21"/>
        </w:rPr>
      </w:pPr>
      <w:r>
        <w:fldChar w:fldCharType="begin"/>
      </w:r>
      <w:r>
        <w:instrText xml:space="preserve"> HYPERLINK \l "_Toc28993" </w:instrText>
      </w:r>
      <w:r>
        <w:fldChar w:fldCharType="separate"/>
      </w:r>
      <w:r>
        <w:rPr>
          <w:rFonts w:hint="eastAsia" w:ascii="宋体" w:hAnsi="宋体" w:eastAsia="宋体" w:cs="宋体"/>
          <w:szCs w:val="21"/>
        </w:rPr>
        <w:t>6.1  任务前准备</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_Toc28993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tabs>
          <w:tab w:val="right" w:leader="dot" w:pos="9354"/>
          <w:tab w:val="clear" w:pos="9344"/>
        </w:tabs>
        <w:rPr>
          <w:rFonts w:ascii="宋体" w:hAnsi="宋体" w:eastAsia="宋体" w:cs="宋体"/>
          <w:szCs w:val="21"/>
        </w:rPr>
      </w:pPr>
      <w:r>
        <w:fldChar w:fldCharType="begin"/>
      </w:r>
      <w:r>
        <w:instrText xml:space="preserve"> HYPERLINK \l "_Toc15772" </w:instrText>
      </w:r>
      <w:r>
        <w:fldChar w:fldCharType="separate"/>
      </w:r>
      <w:r>
        <w:rPr>
          <w:rFonts w:hint="eastAsia" w:ascii="宋体" w:hAnsi="宋体" w:eastAsia="宋体" w:cs="宋体"/>
          <w:szCs w:val="21"/>
        </w:rPr>
        <w:t>6.2  现场勘查</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_Toc15772 \h </w:instrText>
      </w:r>
      <w:r>
        <w:rPr>
          <w:rFonts w:hint="eastAsia" w:ascii="宋体" w:hAnsi="宋体" w:eastAsia="宋体" w:cs="宋体"/>
          <w:szCs w:val="21"/>
        </w:rPr>
        <w:fldChar w:fldCharType="separate"/>
      </w:r>
      <w:r>
        <w:rPr>
          <w:rFonts w:hint="eastAsia"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tabs>
          <w:tab w:val="right" w:leader="dot" w:pos="9354"/>
          <w:tab w:val="clear" w:pos="9344"/>
        </w:tabs>
        <w:rPr>
          <w:rFonts w:ascii="宋体" w:hAnsi="宋体" w:eastAsia="宋体" w:cs="宋体"/>
          <w:szCs w:val="21"/>
        </w:rPr>
      </w:pPr>
      <w:r>
        <w:fldChar w:fldCharType="begin"/>
      </w:r>
      <w:r>
        <w:instrText xml:space="preserve"> HYPERLINK \l "_Toc22355" </w:instrText>
      </w:r>
      <w:r>
        <w:fldChar w:fldCharType="separate"/>
      </w:r>
      <w:r>
        <w:rPr>
          <w:rFonts w:hint="eastAsia" w:ascii="宋体" w:hAnsi="宋体" w:eastAsia="宋体" w:cs="宋体"/>
          <w:szCs w:val="21"/>
        </w:rPr>
        <w:t>6.3  无人机系统检查</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_Toc22355 \h </w:instrText>
      </w:r>
      <w:r>
        <w:rPr>
          <w:rFonts w:hint="eastAsia" w:ascii="宋体" w:hAnsi="宋体" w:eastAsia="宋体" w:cs="宋体"/>
          <w:szCs w:val="21"/>
        </w:rPr>
        <w:fldChar w:fldCharType="separate"/>
      </w:r>
      <w:r>
        <w:rPr>
          <w:rFonts w:hint="eastAsia"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tabs>
          <w:tab w:val="right" w:leader="dot" w:pos="9354"/>
          <w:tab w:val="clear" w:pos="9344"/>
        </w:tabs>
        <w:rPr>
          <w:rFonts w:ascii="宋体" w:hAnsi="宋体" w:eastAsia="宋体" w:cs="宋体"/>
          <w:szCs w:val="21"/>
        </w:rPr>
      </w:pPr>
      <w:r>
        <w:fldChar w:fldCharType="begin"/>
      </w:r>
      <w:r>
        <w:instrText xml:space="preserve"> HYPERLINK \l "_Toc9951" </w:instrText>
      </w:r>
      <w:r>
        <w:fldChar w:fldCharType="separate"/>
      </w:r>
      <w:r>
        <w:rPr>
          <w:rFonts w:hint="eastAsia" w:ascii="宋体" w:hAnsi="宋体" w:eastAsia="宋体" w:cs="宋体"/>
          <w:szCs w:val="21"/>
        </w:rPr>
        <w:t>6.4  信息采集系统检查</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_Toc9951 \h </w:instrText>
      </w:r>
      <w:r>
        <w:rPr>
          <w:rFonts w:hint="eastAsia" w:ascii="宋体" w:hAnsi="宋体" w:eastAsia="宋体" w:cs="宋体"/>
          <w:szCs w:val="21"/>
        </w:rPr>
        <w:fldChar w:fldCharType="separate"/>
      </w:r>
      <w:r>
        <w:rPr>
          <w:rFonts w:hint="eastAsia" w:ascii="宋体" w:hAnsi="宋体" w:eastAsia="宋体" w:cs="宋体"/>
          <w:szCs w:val="21"/>
        </w:rPr>
        <w:t>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tabs>
          <w:tab w:val="right" w:leader="dot" w:pos="9354"/>
          <w:tab w:val="clear" w:pos="9344"/>
        </w:tabs>
        <w:rPr>
          <w:rFonts w:ascii="宋体" w:hAnsi="宋体" w:eastAsia="宋体" w:cs="宋体"/>
          <w:szCs w:val="21"/>
        </w:rPr>
      </w:pPr>
      <w:r>
        <w:fldChar w:fldCharType="begin"/>
      </w:r>
      <w:r>
        <w:instrText xml:space="preserve"> HYPERLINK \l "_Toc11194" </w:instrText>
      </w:r>
      <w:r>
        <w:fldChar w:fldCharType="separate"/>
      </w:r>
      <w:r>
        <w:rPr>
          <w:rFonts w:hint="eastAsia" w:ascii="宋体" w:hAnsi="宋体" w:eastAsia="宋体" w:cs="宋体"/>
          <w:szCs w:val="21"/>
        </w:rPr>
        <w:t>6.5  应急预案</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_Toc11194 \h </w:instrText>
      </w:r>
      <w:r>
        <w:rPr>
          <w:rFonts w:hint="eastAsia" w:ascii="宋体" w:hAnsi="宋体" w:eastAsia="宋体" w:cs="宋体"/>
          <w:szCs w:val="21"/>
        </w:rPr>
        <w:fldChar w:fldCharType="separate"/>
      </w:r>
      <w:r>
        <w:rPr>
          <w:rFonts w:hint="eastAsia"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ascii="宋体" w:hAnsi="宋体" w:eastAsia="宋体" w:cs="宋体"/>
          <w:szCs w:val="21"/>
        </w:rPr>
      </w:pPr>
      <w:r>
        <w:fldChar w:fldCharType="begin"/>
      </w:r>
      <w:r>
        <w:instrText xml:space="preserve"> HYPERLINK \l "_Toc2073" </w:instrText>
      </w:r>
      <w:r>
        <w:fldChar w:fldCharType="separate"/>
      </w:r>
      <w:r>
        <w:rPr>
          <w:rFonts w:hint="eastAsia" w:ascii="宋体" w:hAnsi="宋体" w:eastAsia="宋体" w:cs="宋体"/>
          <w:szCs w:val="21"/>
        </w:rPr>
        <w:t>7  信息采集作业</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_Toc2073 \h </w:instrText>
      </w:r>
      <w:r>
        <w:rPr>
          <w:rFonts w:hint="eastAsia" w:ascii="宋体" w:hAnsi="宋体" w:eastAsia="宋体" w:cs="宋体"/>
          <w:szCs w:val="21"/>
        </w:rPr>
        <w:fldChar w:fldCharType="separate"/>
      </w:r>
      <w:r>
        <w:rPr>
          <w:rFonts w:hint="eastAsia"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tabs>
          <w:tab w:val="right" w:leader="dot" w:pos="9354"/>
          <w:tab w:val="clear" w:pos="9344"/>
        </w:tabs>
        <w:rPr>
          <w:rFonts w:ascii="宋体" w:hAnsi="宋体" w:eastAsia="宋体" w:cs="宋体"/>
          <w:szCs w:val="21"/>
        </w:rPr>
      </w:pPr>
      <w:r>
        <w:fldChar w:fldCharType="begin"/>
      </w:r>
      <w:r>
        <w:instrText xml:space="preserve"> HYPERLINK \l "_Toc9187" </w:instrText>
      </w:r>
      <w:r>
        <w:fldChar w:fldCharType="separate"/>
      </w:r>
      <w:r>
        <w:rPr>
          <w:rFonts w:hint="eastAsia" w:ascii="宋体" w:hAnsi="宋体" w:eastAsia="宋体" w:cs="宋体"/>
          <w:szCs w:val="21"/>
        </w:rPr>
        <w:t>7.1  飞行作业</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_Toc9187 \h </w:instrText>
      </w:r>
      <w:r>
        <w:rPr>
          <w:rFonts w:hint="eastAsia" w:ascii="宋体" w:hAnsi="宋体" w:eastAsia="宋体" w:cs="宋体"/>
          <w:szCs w:val="21"/>
        </w:rPr>
        <w:fldChar w:fldCharType="separate"/>
      </w:r>
      <w:r>
        <w:rPr>
          <w:rFonts w:hint="eastAsia"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tabs>
          <w:tab w:val="right" w:leader="dot" w:pos="9354"/>
          <w:tab w:val="clear" w:pos="9344"/>
        </w:tabs>
        <w:rPr>
          <w:rFonts w:ascii="宋体" w:hAnsi="宋体" w:eastAsia="宋体" w:cs="宋体"/>
          <w:szCs w:val="21"/>
        </w:rPr>
      </w:pPr>
      <w:r>
        <w:fldChar w:fldCharType="begin"/>
      </w:r>
      <w:r>
        <w:instrText xml:space="preserve"> HYPERLINK \l "_Toc12652" </w:instrText>
      </w:r>
      <w:r>
        <w:fldChar w:fldCharType="separate"/>
      </w:r>
      <w:r>
        <w:rPr>
          <w:rFonts w:hint="eastAsia" w:ascii="宋体" w:hAnsi="宋体" w:eastAsia="宋体" w:cs="宋体"/>
          <w:szCs w:val="21"/>
        </w:rPr>
        <w:t>7.2  数据采集</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_Toc12652 \h </w:instrText>
      </w:r>
      <w:r>
        <w:rPr>
          <w:rFonts w:hint="eastAsia" w:ascii="宋体" w:hAnsi="宋体" w:eastAsia="宋体" w:cs="宋体"/>
          <w:szCs w:val="21"/>
        </w:rPr>
        <w:fldChar w:fldCharType="separate"/>
      </w:r>
      <w:r>
        <w:rPr>
          <w:rFonts w:hint="eastAsia"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ascii="宋体" w:hAnsi="宋体" w:eastAsia="宋体" w:cs="宋体"/>
          <w:szCs w:val="21"/>
        </w:rPr>
      </w:pPr>
      <w:r>
        <w:fldChar w:fldCharType="begin"/>
      </w:r>
      <w:r>
        <w:instrText xml:space="preserve"> HYPERLINK \l "_Toc27668" </w:instrText>
      </w:r>
      <w:r>
        <w:fldChar w:fldCharType="separate"/>
      </w:r>
      <w:r>
        <w:rPr>
          <w:rFonts w:hint="eastAsia" w:ascii="宋体" w:hAnsi="宋体" w:eastAsia="宋体" w:cs="宋体"/>
          <w:szCs w:val="21"/>
        </w:rPr>
        <w:t>8  作业完毕</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_Toc27668 \h </w:instrText>
      </w:r>
      <w:r>
        <w:rPr>
          <w:rFonts w:hint="eastAsia" w:ascii="宋体" w:hAnsi="宋体" w:eastAsia="宋体" w:cs="宋体"/>
          <w:szCs w:val="21"/>
        </w:rPr>
        <w:fldChar w:fldCharType="separate"/>
      </w:r>
      <w:r>
        <w:rPr>
          <w:rFonts w:hint="eastAsia" w:ascii="宋体" w:hAnsi="宋体" w:eastAsia="宋体" w:cs="宋体"/>
          <w:szCs w:val="21"/>
        </w:rPr>
        <w:t>7</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tabs>
          <w:tab w:val="right" w:leader="dot" w:pos="9354"/>
          <w:tab w:val="clear" w:pos="9344"/>
        </w:tabs>
        <w:rPr>
          <w:rFonts w:ascii="宋体" w:hAnsi="宋体" w:eastAsia="宋体" w:cs="宋体"/>
          <w:szCs w:val="21"/>
        </w:rPr>
      </w:pPr>
      <w:r>
        <w:fldChar w:fldCharType="begin"/>
      </w:r>
      <w:r>
        <w:instrText xml:space="preserve"> HYPERLINK \l "_Toc27246" </w:instrText>
      </w:r>
      <w:r>
        <w:fldChar w:fldCharType="separate"/>
      </w:r>
      <w:r>
        <w:rPr>
          <w:rFonts w:hint="eastAsia" w:ascii="宋体" w:hAnsi="宋体" w:eastAsia="宋体" w:cs="宋体"/>
          <w:szCs w:val="21"/>
        </w:rPr>
        <w:t>8.1  现场清点</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_Toc27246 \h </w:instrText>
      </w:r>
      <w:r>
        <w:rPr>
          <w:rFonts w:hint="eastAsia" w:ascii="宋体" w:hAnsi="宋体" w:eastAsia="宋体" w:cs="宋体"/>
          <w:szCs w:val="21"/>
        </w:rPr>
        <w:fldChar w:fldCharType="separate"/>
      </w:r>
      <w:r>
        <w:rPr>
          <w:rFonts w:hint="eastAsia" w:ascii="宋体" w:hAnsi="宋体" w:eastAsia="宋体" w:cs="宋体"/>
          <w:szCs w:val="21"/>
        </w:rPr>
        <w:t>7</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7"/>
        <w:tabs>
          <w:tab w:val="right" w:leader="dot" w:pos="9354"/>
          <w:tab w:val="clear" w:pos="9344"/>
        </w:tabs>
        <w:rPr>
          <w:rFonts w:ascii="宋体" w:hAnsi="宋体" w:eastAsia="宋体" w:cs="宋体"/>
          <w:szCs w:val="21"/>
        </w:rPr>
      </w:pPr>
      <w:r>
        <w:fldChar w:fldCharType="begin"/>
      </w:r>
      <w:r>
        <w:instrText xml:space="preserve"> HYPERLINK \l "_Toc9506" </w:instrText>
      </w:r>
      <w:r>
        <w:fldChar w:fldCharType="separate"/>
      </w:r>
      <w:r>
        <w:rPr>
          <w:rFonts w:hint="eastAsia" w:ascii="宋体" w:hAnsi="宋体" w:eastAsia="宋体" w:cs="宋体"/>
          <w:szCs w:val="21"/>
        </w:rPr>
        <w:t>8.2  入库交接</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_Toc9506 \h </w:instrText>
      </w:r>
      <w:r>
        <w:rPr>
          <w:rFonts w:hint="eastAsia" w:ascii="宋体" w:hAnsi="宋体" w:eastAsia="宋体" w:cs="宋体"/>
          <w:szCs w:val="21"/>
        </w:rPr>
        <w:fldChar w:fldCharType="separate"/>
      </w:r>
      <w:r>
        <w:rPr>
          <w:rFonts w:hint="eastAsia" w:ascii="宋体" w:hAnsi="宋体" w:eastAsia="宋体" w:cs="宋体"/>
          <w:szCs w:val="21"/>
        </w:rPr>
        <w:t>7</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ascii="宋体" w:hAnsi="宋体" w:eastAsia="宋体" w:cs="宋体"/>
          <w:szCs w:val="21"/>
        </w:rPr>
      </w:pPr>
      <w:r>
        <w:fldChar w:fldCharType="begin"/>
      </w:r>
      <w:r>
        <w:instrText xml:space="preserve"> HYPERLINK \l "_Toc30833" </w:instrText>
      </w:r>
      <w:r>
        <w:fldChar w:fldCharType="separate"/>
      </w:r>
      <w:r>
        <w:rPr>
          <w:rFonts w:hint="eastAsia" w:ascii="宋体" w:hAnsi="宋体" w:eastAsia="宋体" w:cs="宋体"/>
          <w:szCs w:val="21"/>
        </w:rPr>
        <w:t>参考文献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_Toc30833 \h </w:instrText>
      </w:r>
      <w:r>
        <w:rPr>
          <w:rFonts w:hint="eastAsia" w:ascii="宋体" w:hAnsi="宋体" w:eastAsia="宋体" w:cs="宋体"/>
          <w:szCs w:val="21"/>
        </w:rPr>
        <w:fldChar w:fldCharType="separate"/>
      </w:r>
      <w:r>
        <w:rPr>
          <w:rFonts w:hint="eastAsia" w:ascii="宋体" w:hAnsi="宋体" w:eastAsia="宋体" w:cs="宋体"/>
          <w:szCs w:val="21"/>
        </w:rPr>
        <w:t>8</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ascii="宋体" w:hAnsi="宋体" w:eastAsia="宋体" w:cs="宋体"/>
          <w:szCs w:val="21"/>
        </w:rPr>
      </w:pPr>
      <w:r>
        <w:rPr>
          <w:rFonts w:hint="eastAsia" w:ascii="宋体" w:hAnsi="宋体" w:eastAsia="宋体" w:cs="宋体"/>
          <w:szCs w:val="21"/>
        </w:rPr>
        <w:fldChar w:fldCharType="end"/>
      </w:r>
    </w:p>
    <w:p>
      <w:pPr>
        <w:pStyle w:val="8"/>
        <w:rPr>
          <w:rFonts w:ascii="宋体" w:hAnsi="宋体" w:eastAsia="宋体" w:cs="宋体"/>
          <w:szCs w:val="21"/>
        </w:rPr>
      </w:pPr>
    </w:p>
    <w:p>
      <w:pPr>
        <w:pStyle w:val="8"/>
        <w:rPr>
          <w:rFonts w:ascii="宋体" w:hAnsi="宋体" w:eastAsia="宋体" w:cs="宋体"/>
          <w:szCs w:val="21"/>
        </w:rPr>
      </w:pPr>
    </w:p>
    <w:p>
      <w:pPr>
        <w:pStyle w:val="8"/>
        <w:rPr>
          <w:rFonts w:ascii="宋体" w:hAnsi="宋体" w:eastAsia="宋体" w:cs="宋体"/>
          <w:szCs w:val="21"/>
        </w:rPr>
      </w:pPr>
    </w:p>
    <w:p>
      <w:pPr>
        <w:pStyle w:val="49"/>
        <w:shd w:val="clear" w:color="auto" w:fill="auto"/>
        <w:spacing w:before="567" w:after="680" w:afterLines="0"/>
        <w:rPr>
          <w:spacing w:val="320"/>
        </w:rPr>
        <w:sectPr>
          <w:headerReference r:id="rId4" w:type="default"/>
          <w:footerReference r:id="rId6" w:type="default"/>
          <w:headerReference r:id="rId5" w:type="even"/>
          <w:footerReference r:id="rId7" w:type="even"/>
          <w:pgSz w:w="11906" w:h="16838"/>
          <w:pgMar w:top="1417" w:right="1134" w:bottom="1134" w:left="1418" w:header="1417" w:footer="1134" w:gutter="0"/>
          <w:pgNumType w:fmt="upperRoman" w:start="1"/>
          <w:cols w:space="425" w:num="1"/>
          <w:docGrid w:type="lines" w:linePitch="312" w:charSpace="0"/>
        </w:sectPr>
      </w:pPr>
    </w:p>
    <w:p>
      <w:pPr>
        <w:pStyle w:val="8"/>
        <w:sectPr>
          <w:footerReference r:id="rId8" w:type="default"/>
          <w:footerReference r:id="rId9" w:type="even"/>
          <w:pgSz w:w="11906" w:h="16838"/>
          <w:pgMar w:top="1417" w:right="1134" w:bottom="1134" w:left="1418" w:header="1417" w:footer="1134" w:gutter="0"/>
          <w:pgNumType w:fmt="upperRoman" w:start="2"/>
          <w:cols w:space="425" w:num="1"/>
          <w:docGrid w:type="lines" w:linePitch="312" w:charSpace="0"/>
        </w:sectPr>
      </w:pPr>
    </w:p>
    <w:p>
      <w:pPr>
        <w:snapToGrid w:val="0"/>
        <w:spacing w:before="567" w:after="680"/>
        <w:jc w:val="center"/>
        <w:outlineLvl w:val="0"/>
        <w:rPr>
          <w:rFonts w:ascii="黑体" w:hAnsi="黑体" w:eastAsia="黑体" w:cs="黑体"/>
          <w:kern w:val="0"/>
          <w:sz w:val="32"/>
          <w:szCs w:val="32"/>
        </w:rPr>
      </w:pPr>
      <w:bookmarkStart w:id="2" w:name="_Toc25403"/>
      <w:r>
        <w:rPr>
          <w:rFonts w:hint="eastAsia" w:ascii="黑体" w:hAnsi="黑体" w:eastAsia="黑体" w:cs="黑体"/>
          <w:kern w:val="0"/>
          <w:sz w:val="32"/>
          <w:szCs w:val="32"/>
        </w:rPr>
        <w:t>前    言</w:t>
      </w:r>
      <w:bookmarkEnd w:id="2"/>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本文件按照</w:t>
      </w:r>
      <w:r>
        <w:rPr>
          <w:rFonts w:ascii="宋体" w:hAnsi="宋体" w:eastAsia="宋体" w:cs="宋体"/>
          <w:kern w:val="0"/>
          <w:szCs w:val="21"/>
        </w:rPr>
        <w:t>GB</w:t>
      </w:r>
      <w:r>
        <w:rPr>
          <w:rFonts w:hint="eastAsia" w:ascii="宋体" w:hAnsi="宋体" w:eastAsia="宋体" w:cs="宋体"/>
          <w:kern w:val="0"/>
          <w:szCs w:val="21"/>
        </w:rPr>
        <w:t>/</w:t>
      </w:r>
      <w:r>
        <w:rPr>
          <w:rFonts w:ascii="宋体" w:hAnsi="宋体" w:eastAsia="宋体" w:cs="宋体"/>
          <w:kern w:val="0"/>
          <w:szCs w:val="21"/>
        </w:rPr>
        <w:t>T</w:t>
      </w:r>
      <w:r>
        <w:rPr>
          <w:rFonts w:hint="eastAsia" w:ascii="宋体" w:hAnsi="宋体" w:eastAsia="宋体" w:cs="宋体"/>
          <w:kern w:val="0"/>
          <w:szCs w:val="21"/>
        </w:rPr>
        <w:t xml:space="preserve"> </w:t>
      </w:r>
      <w:r>
        <w:rPr>
          <w:rFonts w:ascii="宋体" w:hAnsi="宋体" w:eastAsia="宋体" w:cs="宋体"/>
          <w:kern w:val="0"/>
          <w:szCs w:val="21"/>
        </w:rPr>
        <w:t>1.1—2020</w:t>
      </w:r>
      <w:r>
        <w:rPr>
          <w:rFonts w:hint="eastAsia" w:ascii="宋体" w:hAnsi="宋体" w:eastAsia="宋体" w:cs="宋体"/>
          <w:kern w:val="0"/>
          <w:szCs w:val="21"/>
        </w:rPr>
        <w:t>《标准</w:t>
      </w:r>
      <w:r>
        <w:rPr>
          <w:rFonts w:ascii="宋体" w:hAnsi="宋体" w:eastAsia="宋体" w:cs="宋体"/>
          <w:kern w:val="0"/>
          <w:szCs w:val="21"/>
        </w:rPr>
        <w:t>化工作导则</w:t>
      </w:r>
      <w:r>
        <w:rPr>
          <w:rFonts w:hint="eastAsia" w:ascii="宋体" w:hAnsi="宋体" w:eastAsia="宋体" w:cs="宋体"/>
          <w:kern w:val="0"/>
          <w:szCs w:val="21"/>
        </w:rPr>
        <w:t xml:space="preserve">  第1部分：</w:t>
      </w:r>
      <w:r>
        <w:rPr>
          <w:rFonts w:ascii="宋体" w:hAnsi="宋体" w:eastAsia="宋体" w:cs="宋体"/>
          <w:kern w:val="0"/>
          <w:szCs w:val="21"/>
        </w:rPr>
        <w:t>标准化文件的</w:t>
      </w:r>
      <w:r>
        <w:rPr>
          <w:rFonts w:hint="eastAsia" w:ascii="宋体" w:hAnsi="宋体" w:eastAsia="宋体" w:cs="宋体"/>
          <w:kern w:val="0"/>
          <w:szCs w:val="21"/>
        </w:rPr>
        <w:t>结构</w:t>
      </w:r>
      <w:r>
        <w:rPr>
          <w:rFonts w:ascii="宋体" w:hAnsi="宋体" w:eastAsia="宋体" w:cs="宋体"/>
          <w:kern w:val="0"/>
          <w:szCs w:val="21"/>
        </w:rPr>
        <w:t>和起草规则</w:t>
      </w:r>
      <w:r>
        <w:rPr>
          <w:rFonts w:hint="eastAsia" w:ascii="宋体" w:hAnsi="宋体" w:eastAsia="宋体" w:cs="宋体"/>
          <w:kern w:val="0"/>
          <w:szCs w:val="21"/>
        </w:rPr>
        <w:t>》的</w:t>
      </w:r>
      <w:r>
        <w:rPr>
          <w:rFonts w:ascii="宋体" w:hAnsi="宋体" w:eastAsia="宋体" w:cs="宋体"/>
          <w:kern w:val="0"/>
          <w:szCs w:val="21"/>
        </w:rPr>
        <w:t>规定</w:t>
      </w:r>
      <w:r>
        <w:rPr>
          <w:rFonts w:hint="eastAsia" w:ascii="宋体" w:hAnsi="宋体" w:eastAsia="宋体" w:cs="宋体"/>
          <w:kern w:val="0"/>
          <w:szCs w:val="21"/>
        </w:rPr>
        <w:t>起草。</w:t>
      </w:r>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请注意本文件</w:t>
      </w:r>
      <w:r>
        <w:rPr>
          <w:rFonts w:ascii="宋体" w:hAnsi="宋体" w:eastAsia="宋体" w:cs="宋体"/>
          <w:kern w:val="0"/>
          <w:szCs w:val="21"/>
        </w:rPr>
        <w:t>的某些内容可能涉及专利</w:t>
      </w:r>
      <w:r>
        <w:rPr>
          <w:rFonts w:hint="eastAsia" w:ascii="宋体" w:hAnsi="宋体" w:eastAsia="宋体" w:cs="宋体"/>
          <w:kern w:val="0"/>
          <w:szCs w:val="21"/>
        </w:rPr>
        <w:t>。</w:t>
      </w:r>
      <w:r>
        <w:rPr>
          <w:rFonts w:ascii="宋体" w:hAnsi="宋体" w:eastAsia="宋体" w:cs="宋体"/>
          <w:kern w:val="0"/>
          <w:szCs w:val="21"/>
        </w:rPr>
        <w:t>本文件的</w:t>
      </w:r>
      <w:r>
        <w:rPr>
          <w:rFonts w:hint="eastAsia" w:ascii="宋体" w:hAnsi="宋体" w:eastAsia="宋体" w:cs="宋体"/>
          <w:kern w:val="0"/>
          <w:szCs w:val="21"/>
        </w:rPr>
        <w:t>发布</w:t>
      </w:r>
      <w:r>
        <w:rPr>
          <w:rFonts w:ascii="宋体" w:hAnsi="宋体" w:eastAsia="宋体" w:cs="宋体"/>
          <w:kern w:val="0"/>
          <w:szCs w:val="21"/>
        </w:rPr>
        <w:t>机构不承担识别专利的责任。</w:t>
      </w:r>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本文件由苏州市农业农村局提出</w:t>
      </w:r>
      <w:r>
        <w:rPr>
          <w:rFonts w:hint="eastAsia" w:ascii="宋体" w:hAnsi="宋体" w:eastAsia="宋体" w:cs="宋体"/>
          <w:kern w:val="0"/>
          <w:szCs w:val="21"/>
          <w:lang w:eastAsia="zh-CN"/>
        </w:rPr>
        <w:t>、</w:t>
      </w:r>
      <w:r>
        <w:rPr>
          <w:rFonts w:hint="eastAsia" w:ascii="宋体" w:hAnsi="宋体" w:eastAsia="宋体" w:cs="宋体"/>
          <w:kern w:val="0"/>
          <w:szCs w:val="21"/>
        </w:rPr>
        <w:t>归口</w:t>
      </w:r>
      <w:r>
        <w:rPr>
          <w:rFonts w:hint="eastAsia" w:ascii="宋体" w:hAnsi="宋体" w:eastAsia="宋体" w:cs="宋体"/>
          <w:kern w:val="0"/>
          <w:szCs w:val="21"/>
          <w:lang w:val="en-US" w:eastAsia="zh-CN"/>
        </w:rPr>
        <w:t>并组织实施</w:t>
      </w:r>
      <w:r>
        <w:rPr>
          <w:rFonts w:hint="eastAsia" w:ascii="宋体" w:hAnsi="宋体" w:eastAsia="宋体" w:cs="宋体"/>
          <w:kern w:val="0"/>
          <w:szCs w:val="21"/>
        </w:rPr>
        <w:t>。</w:t>
      </w:r>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本文件起草单位：苏州太湖现代农业发展有限公司、苏州毕惠标准技术服务有限公司、苏州市农业科学院、太仓市东林农场专业合作社、苏州天空之镜智能科技有限公司。</w:t>
      </w:r>
    </w:p>
    <w:p>
      <w:pPr>
        <w:snapToGrid w:val="0"/>
        <w:ind w:firstLine="420" w:firstLineChars="200"/>
        <w:rPr>
          <w:rFonts w:ascii="宋体" w:hAnsi="宋体" w:eastAsia="宋体" w:cs="宋体"/>
          <w:kern w:val="0"/>
          <w:szCs w:val="21"/>
        </w:rPr>
        <w:sectPr>
          <w:footerReference r:id="rId11" w:type="default"/>
          <w:headerReference r:id="rId10" w:type="even"/>
          <w:footerReference r:id="rId12" w:type="even"/>
          <w:pgSz w:w="11906" w:h="16838"/>
          <w:pgMar w:top="1417" w:right="1134" w:bottom="1134" w:left="1418" w:header="1417" w:footer="1134" w:gutter="0"/>
          <w:pgNumType w:fmt="upperRoman" w:start="2"/>
          <w:cols w:space="425" w:num="1"/>
          <w:docGrid w:type="lines" w:linePitch="312" w:charSpace="0"/>
        </w:sectPr>
      </w:pPr>
      <w:r>
        <w:rPr>
          <w:rFonts w:hint="eastAsia" w:ascii="宋体" w:hAnsi="宋体" w:eastAsia="宋体" w:cs="宋体"/>
          <w:kern w:val="0"/>
          <w:szCs w:val="21"/>
        </w:rPr>
        <w:t>本文件主要起草人：张雪洪、田婷、徐亚婷、何其全、王敦亮、张青、季方芳、李瑞、朱琳、陶玥玥、朱波、周奕馨、陈果、杨智岚。</w:t>
      </w:r>
    </w:p>
    <w:p>
      <w:pPr>
        <w:pStyle w:val="8"/>
      </w:pPr>
    </w:p>
    <w:p>
      <w:pPr>
        <w:widowControl/>
        <w:rPr>
          <w:rFonts w:ascii="黑体" w:hAnsi="黑体" w:eastAsia="黑体"/>
          <w:bCs/>
          <w:sz w:val="32"/>
          <w:szCs w:val="32"/>
        </w:rPr>
        <w:sectPr>
          <w:footerReference r:id="rId14" w:type="default"/>
          <w:headerReference r:id="rId13" w:type="even"/>
          <w:footerReference r:id="rId15" w:type="even"/>
          <w:pgSz w:w="11906" w:h="16838"/>
          <w:pgMar w:top="1417" w:right="1134" w:bottom="1134" w:left="1418" w:header="1417" w:footer="1134" w:gutter="0"/>
          <w:pgNumType w:fmt="upperRoman" w:start="2"/>
          <w:cols w:space="425" w:num="1"/>
          <w:docGrid w:type="lines" w:linePitch="312" w:charSpace="0"/>
        </w:sectPr>
      </w:pPr>
      <w:bookmarkStart w:id="3" w:name="SectionMark4"/>
    </w:p>
    <w:p>
      <w:pPr>
        <w:widowControl/>
        <w:spacing w:before="567" w:after="680"/>
        <w:jc w:val="center"/>
        <w:rPr>
          <w:rFonts w:ascii="黑体" w:hAnsi="黑体" w:eastAsia="黑体"/>
          <w:bCs/>
          <w:sz w:val="32"/>
          <w:szCs w:val="32"/>
        </w:rPr>
      </w:pPr>
      <w:r>
        <w:rPr>
          <w:rFonts w:ascii="黑体" w:hAnsi="黑体" w:eastAsia="黑体"/>
          <w:bCs/>
          <w:sz w:val="32"/>
          <w:szCs w:val="32"/>
        </w:rPr>
        <w:t>农田信息无人机采集应用规范</w:t>
      </w:r>
    </w:p>
    <w:bookmarkEnd w:id="3"/>
    <w:p>
      <w:pPr>
        <w:pStyle w:val="66"/>
        <w:spacing w:before="312" w:after="312"/>
      </w:pPr>
      <w:bookmarkStart w:id="4" w:name="_Toc115339701"/>
      <w:bookmarkStart w:id="5" w:name="_Toc67401897"/>
      <w:bookmarkStart w:id="6" w:name="_Toc48028397"/>
      <w:bookmarkStart w:id="7" w:name="_Toc47964512"/>
      <w:bookmarkStart w:id="8" w:name="_Toc87811368"/>
      <w:bookmarkStart w:id="9" w:name="_Toc46494722"/>
      <w:bookmarkStart w:id="10" w:name="_Toc48572088"/>
      <w:bookmarkStart w:id="11" w:name="_Toc47964470"/>
      <w:bookmarkStart w:id="12" w:name="_Toc21213"/>
      <w:bookmarkStart w:id="13" w:name="_Toc48049835"/>
      <w:bookmarkStart w:id="14" w:name="_Toc47973642"/>
      <w:bookmarkStart w:id="15" w:name="_Toc122448156"/>
      <w:bookmarkStart w:id="16" w:name="_Toc10375"/>
      <w:bookmarkStart w:id="17" w:name="_Toc40454690"/>
      <w:bookmarkStart w:id="18" w:name="_Toc51147912"/>
      <w:bookmarkStart w:id="19" w:name="_Toc30515"/>
      <w:bookmarkStart w:id="20" w:name="_Toc67393169"/>
      <w:bookmarkStart w:id="21" w:name="_Toc15741"/>
      <w:bookmarkStart w:id="22" w:name="_Toc87811223"/>
      <w:bookmarkStart w:id="23" w:name="_Toc47973431"/>
      <w:bookmarkStart w:id="24" w:name="_Toc48050151"/>
      <w:bookmarkStart w:id="25" w:name="_Toc17832"/>
      <w:bookmarkStart w:id="26" w:name="_Toc48028304"/>
      <w:bookmarkStart w:id="27" w:name="_Toc48569571"/>
      <w:bookmarkStart w:id="28" w:name="_Toc66965087"/>
      <w:bookmarkStart w:id="29" w:name="_Toc51663569"/>
      <w:r>
        <w:rPr>
          <w:rFonts w:hint="eastAsia"/>
        </w:rPr>
        <w:t>范围</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51"/>
      </w:pPr>
      <w:r>
        <w:rPr>
          <w:rFonts w:hint="eastAsia"/>
        </w:rPr>
        <w:t>本文件规定了农田信息无人机采集作业的基本要求、应用场景、采集前准备、信息采集作业、作业完毕等的要求。</w:t>
      </w:r>
    </w:p>
    <w:p>
      <w:pPr>
        <w:pStyle w:val="51"/>
      </w:pPr>
      <w:r>
        <w:rPr>
          <w:rFonts w:hint="eastAsia"/>
        </w:rPr>
        <w:t>本文件适用于基于多旋翼无人机低空遥感技术农田信息采集作业。</w:t>
      </w:r>
    </w:p>
    <w:p>
      <w:pPr>
        <w:pStyle w:val="66"/>
        <w:spacing w:before="312" w:after="312"/>
      </w:pPr>
      <w:bookmarkStart w:id="30" w:name="_Toc87811224"/>
      <w:bookmarkStart w:id="31" w:name="_Toc40454691"/>
      <w:bookmarkStart w:id="32" w:name="_Toc48028305"/>
      <w:bookmarkStart w:id="33" w:name="_Toc48050152"/>
      <w:bookmarkStart w:id="34" w:name="_Toc48572089"/>
      <w:bookmarkStart w:id="35" w:name="_Toc20514"/>
      <w:bookmarkStart w:id="36" w:name="_Toc46494723"/>
      <w:bookmarkStart w:id="37" w:name="_Toc67401898"/>
      <w:bookmarkStart w:id="38" w:name="_Toc67393170"/>
      <w:bookmarkStart w:id="39" w:name="_Toc29099"/>
      <w:bookmarkStart w:id="40" w:name="_Toc115339702"/>
      <w:bookmarkStart w:id="41" w:name="_Toc47973643"/>
      <w:bookmarkStart w:id="42" w:name="_Toc47964471"/>
      <w:bookmarkStart w:id="43" w:name="_Toc51663570"/>
      <w:bookmarkStart w:id="44" w:name="_Toc27351"/>
      <w:bookmarkStart w:id="45" w:name="_Toc47973432"/>
      <w:bookmarkStart w:id="46" w:name="_Toc48569572"/>
      <w:bookmarkStart w:id="47" w:name="_Toc66965088"/>
      <w:bookmarkStart w:id="48" w:name="_Toc27904"/>
      <w:bookmarkStart w:id="49" w:name="_Toc51147913"/>
      <w:bookmarkStart w:id="50" w:name="_Toc87811369"/>
      <w:bookmarkStart w:id="51" w:name="_Toc122448157"/>
      <w:bookmarkStart w:id="52" w:name="_Toc5397"/>
      <w:bookmarkStart w:id="53" w:name="_Toc48028398"/>
      <w:bookmarkStart w:id="54" w:name="_Toc48049836"/>
      <w:bookmarkStart w:id="55" w:name="_Toc47964513"/>
      <w:r>
        <w:rPr>
          <w:rFonts w:hint="eastAsia"/>
        </w:rPr>
        <w:t>规范性引用文件</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51"/>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51"/>
      </w:pPr>
      <w:r>
        <w:rPr>
          <w:rFonts w:hint="eastAsia"/>
        </w:rPr>
        <w:t xml:space="preserve">GB/T 38152 </w:t>
      </w:r>
      <w:r>
        <w:rPr>
          <w:rFonts w:hint="eastAsia"/>
          <w:lang w:val="en-US" w:eastAsia="zh-CN"/>
        </w:rPr>
        <w:t xml:space="preserve"> </w:t>
      </w:r>
      <w:r>
        <w:rPr>
          <w:rFonts w:hint="eastAsia"/>
        </w:rPr>
        <w:t>无人驾驶航空器系统术语</w:t>
      </w:r>
    </w:p>
    <w:p>
      <w:pPr>
        <w:pStyle w:val="51"/>
      </w:pPr>
      <w:r>
        <w:rPr>
          <w:rFonts w:hint="eastAsia"/>
        </w:rPr>
        <w:t xml:space="preserve">GB/T 39612 </w:t>
      </w:r>
      <w:r>
        <w:rPr>
          <w:rFonts w:hint="eastAsia"/>
          <w:lang w:val="en-US" w:eastAsia="zh-CN"/>
        </w:rPr>
        <w:t xml:space="preserve"> </w:t>
      </w:r>
      <w:r>
        <w:rPr>
          <w:rFonts w:hint="eastAsia"/>
        </w:rPr>
        <w:t>低空数字航摄与数据处理规范</w:t>
      </w:r>
    </w:p>
    <w:p>
      <w:pPr>
        <w:pStyle w:val="51"/>
      </w:pPr>
      <w:r>
        <w:rPr>
          <w:rFonts w:hint="eastAsia"/>
        </w:rPr>
        <w:t xml:space="preserve">GB 42590—2023 </w:t>
      </w:r>
      <w:r>
        <w:rPr>
          <w:rFonts w:hint="eastAsia"/>
          <w:lang w:val="en-US" w:eastAsia="zh-CN"/>
        </w:rPr>
        <w:t xml:space="preserve"> </w:t>
      </w:r>
      <w:r>
        <w:rPr>
          <w:rFonts w:hint="eastAsia"/>
        </w:rPr>
        <w:t>民用无人驾驶航空器系统安全要求</w:t>
      </w:r>
    </w:p>
    <w:p>
      <w:pPr>
        <w:pStyle w:val="51"/>
      </w:pPr>
      <w:r>
        <w:rPr>
          <w:rFonts w:hint="eastAsia"/>
        </w:rPr>
        <w:t xml:space="preserve">MH/T 1069—2018 </w:t>
      </w:r>
      <w:r>
        <w:rPr>
          <w:rFonts w:hint="eastAsia"/>
          <w:lang w:val="en-US" w:eastAsia="zh-CN"/>
        </w:rPr>
        <w:t xml:space="preserve"> </w:t>
      </w:r>
      <w:r>
        <w:rPr>
          <w:rFonts w:hint="eastAsia"/>
        </w:rPr>
        <w:t>无人驾驶航空器系统作业飞行技术规范</w:t>
      </w:r>
    </w:p>
    <w:p>
      <w:pPr>
        <w:pStyle w:val="66"/>
        <w:spacing w:before="312" w:after="312"/>
        <w:rPr>
          <w:szCs w:val="21"/>
        </w:rPr>
      </w:pPr>
      <w:bookmarkStart w:id="56" w:name="_Toc87811225"/>
      <w:bookmarkStart w:id="57" w:name="_Toc67401899"/>
      <w:bookmarkStart w:id="58" w:name="_Toc17703"/>
      <w:bookmarkStart w:id="59" w:name="_Toc115339703"/>
      <w:bookmarkStart w:id="60" w:name="_Toc67393171"/>
      <w:bookmarkStart w:id="61" w:name="_Toc87811370"/>
      <w:bookmarkStart w:id="62" w:name="_Toc122448158"/>
      <w:r>
        <w:rPr>
          <w:rFonts w:hint="eastAsia"/>
          <w:szCs w:val="21"/>
        </w:rPr>
        <w:t>术语和定义</w:t>
      </w:r>
      <w:bookmarkEnd w:id="56"/>
      <w:bookmarkEnd w:id="57"/>
      <w:bookmarkEnd w:id="58"/>
      <w:bookmarkEnd w:id="59"/>
      <w:bookmarkEnd w:id="60"/>
      <w:bookmarkEnd w:id="61"/>
      <w:bookmarkEnd w:id="62"/>
    </w:p>
    <w:p>
      <w:pPr>
        <w:pStyle w:val="51"/>
      </w:pPr>
      <w:r>
        <w:rPr>
          <w:rFonts w:hint="eastAsia"/>
        </w:rPr>
        <w:t>GB∕T 38152和MH/T 1069界定的以及下列术语和定义适用于本文件。</w:t>
      </w:r>
    </w:p>
    <w:p>
      <w:pPr>
        <w:pStyle w:val="18"/>
        <w:numPr>
          <w:ilvl w:val="2"/>
          <w:numId w:val="8"/>
        </w:numPr>
        <w:tabs>
          <w:tab w:val="left" w:pos="420"/>
        </w:tabs>
        <w:spacing w:before="0" w:beforeAutospacing="0" w:after="0" w:afterAutospacing="0"/>
        <w:ind w:left="420" w:hanging="480" w:hangingChars="200"/>
        <w:jc w:val="both"/>
        <w:rPr>
          <w:rFonts w:ascii="黑体" w:eastAsia="黑体" w:cs="黑体"/>
        </w:rPr>
      </w:pPr>
    </w:p>
    <w:p>
      <w:pPr>
        <w:pStyle w:val="63"/>
        <w:numPr>
          <w:ilvl w:val="0"/>
          <w:numId w:val="0"/>
        </w:numPr>
        <w:ind w:left="420"/>
        <w:rPr>
          <w:rFonts w:ascii="黑体" w:eastAsia="黑体" w:cs="黑体"/>
        </w:rPr>
      </w:pPr>
      <w:r>
        <w:rPr>
          <w:rFonts w:hint="eastAsia" w:ascii="黑体" w:eastAsia="黑体" w:cs="黑体"/>
          <w:sz w:val="21"/>
          <w:szCs w:val="20"/>
          <w:lang w:bidi="ar"/>
        </w:rPr>
        <w:t xml:space="preserve">无人驾驶航空器 </w:t>
      </w:r>
      <w:r>
        <w:rPr>
          <w:rFonts w:hint="eastAsia" w:ascii="黑体" w:eastAsia="黑体" w:cs="黑体"/>
          <w:sz w:val="21"/>
          <w:szCs w:val="20"/>
          <w:lang w:val="en-US" w:eastAsia="zh-CN" w:bidi="ar"/>
        </w:rPr>
        <w:t xml:space="preserve"> </w:t>
      </w:r>
      <w:r>
        <w:rPr>
          <w:rFonts w:hint="eastAsia" w:ascii="黑体" w:eastAsia="黑体" w:cs="黑体"/>
          <w:sz w:val="21"/>
          <w:szCs w:val="20"/>
          <w:lang w:bidi="ar"/>
        </w:rPr>
        <w:t>unmanned aircraft vehicle</w:t>
      </w:r>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由遥控设备或自备程序控制装置操纵，机上无人驾驶的航空器，也称为远程驾驶航空器或无人机。</w:t>
      </w:r>
    </w:p>
    <w:p>
      <w:pPr>
        <w:pStyle w:val="78"/>
        <w:widowControl/>
        <w:rPr>
          <w:rFonts w:hint="default"/>
        </w:rPr>
      </w:pPr>
      <w:r>
        <w:t>按照结构形式分类，无人机可分为固定翼无人机、无人直升机、多旋翼无人机与其他类无人机。</w:t>
      </w:r>
    </w:p>
    <w:p>
      <w:pPr>
        <w:pStyle w:val="51"/>
      </w:pPr>
      <w:r>
        <w:rPr>
          <w:rFonts w:hint="eastAsia"/>
        </w:rPr>
        <w:t>［来源：GB/T 38152—2019，2.1.1，有修改］</w:t>
      </w:r>
    </w:p>
    <w:p>
      <w:pPr>
        <w:pStyle w:val="18"/>
        <w:numPr>
          <w:ilvl w:val="2"/>
          <w:numId w:val="8"/>
        </w:numPr>
        <w:tabs>
          <w:tab w:val="left" w:pos="420"/>
        </w:tabs>
        <w:spacing w:before="0" w:beforeAutospacing="0" w:after="0" w:afterAutospacing="0"/>
        <w:ind w:left="420" w:hanging="480" w:hangingChars="200"/>
        <w:jc w:val="both"/>
        <w:rPr>
          <w:rFonts w:ascii="黑体" w:eastAsia="黑体" w:cs="黑体"/>
        </w:rPr>
      </w:pPr>
    </w:p>
    <w:p>
      <w:pPr>
        <w:pStyle w:val="63"/>
        <w:numPr>
          <w:ilvl w:val="0"/>
          <w:numId w:val="0"/>
        </w:numPr>
        <w:ind w:left="420"/>
        <w:rPr>
          <w:rFonts w:ascii="黑体" w:eastAsia="黑体" w:cs="黑体"/>
        </w:rPr>
      </w:pPr>
      <w:r>
        <w:rPr>
          <w:rFonts w:hint="eastAsia" w:ascii="黑体" w:eastAsia="黑体" w:cs="黑体"/>
          <w:sz w:val="21"/>
          <w:szCs w:val="20"/>
          <w:lang w:bidi="ar"/>
        </w:rPr>
        <w:t>无人机信息采集系统</w:t>
      </w:r>
      <w:r>
        <w:rPr>
          <w:rFonts w:hint="eastAsia" w:ascii="黑体" w:eastAsia="黑体" w:cs="黑体"/>
          <w:sz w:val="21"/>
          <w:szCs w:val="20"/>
          <w:lang w:val="en-US" w:eastAsia="zh-CN" w:bidi="ar"/>
        </w:rPr>
        <w:t xml:space="preserve"> </w:t>
      </w:r>
      <w:r>
        <w:rPr>
          <w:rFonts w:hint="eastAsia" w:ascii="黑体" w:eastAsia="黑体" w:cs="黑体"/>
          <w:sz w:val="21"/>
          <w:szCs w:val="20"/>
          <w:lang w:bidi="ar"/>
        </w:rPr>
        <w:t xml:space="preserve"> unmanned aerial vehicle (UAV) information acquisition system</w:t>
      </w:r>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以无人机为飞行平台、以传感器为任务设备的遥感影像获取系统。</w:t>
      </w:r>
    </w:p>
    <w:p>
      <w:pPr>
        <w:pStyle w:val="78"/>
        <w:widowControl/>
        <w:rPr>
          <w:rFonts w:hint="default"/>
        </w:rPr>
      </w:pPr>
      <w:r>
        <w:t>传感器包括高清相机、光谱相机、热成像仪和雷达等，以图像采集为主。</w:t>
      </w:r>
    </w:p>
    <w:p>
      <w:pPr>
        <w:pStyle w:val="18"/>
        <w:numPr>
          <w:ilvl w:val="2"/>
          <w:numId w:val="8"/>
        </w:numPr>
        <w:tabs>
          <w:tab w:val="left" w:pos="420"/>
        </w:tabs>
        <w:spacing w:before="0" w:beforeAutospacing="0" w:after="0" w:afterAutospacing="0"/>
        <w:ind w:left="420" w:hanging="480" w:hangingChars="200"/>
        <w:jc w:val="both"/>
        <w:rPr>
          <w:rFonts w:ascii="黑体" w:eastAsia="黑体" w:cs="黑体"/>
        </w:rPr>
      </w:pPr>
    </w:p>
    <w:p>
      <w:pPr>
        <w:pStyle w:val="63"/>
        <w:numPr>
          <w:ilvl w:val="0"/>
          <w:numId w:val="0"/>
        </w:numPr>
        <w:ind w:left="420"/>
        <w:rPr>
          <w:rFonts w:ascii="黑体" w:eastAsia="黑体" w:cs="黑体"/>
        </w:rPr>
      </w:pPr>
      <w:r>
        <w:rPr>
          <w:rFonts w:hint="eastAsia" w:ascii="黑体" w:eastAsia="黑体" w:cs="黑体"/>
          <w:sz w:val="21"/>
          <w:szCs w:val="20"/>
          <w:lang w:bidi="ar"/>
        </w:rPr>
        <w:t xml:space="preserve">作业区域 </w:t>
      </w:r>
      <w:r>
        <w:rPr>
          <w:rFonts w:hint="eastAsia" w:ascii="黑体" w:eastAsia="黑体" w:cs="黑体"/>
          <w:sz w:val="21"/>
          <w:szCs w:val="20"/>
          <w:lang w:val="en-US" w:eastAsia="zh-CN" w:bidi="ar"/>
        </w:rPr>
        <w:t xml:space="preserve"> </w:t>
      </w:r>
      <w:r>
        <w:rPr>
          <w:rFonts w:hint="eastAsia" w:ascii="黑体" w:eastAsia="黑体" w:cs="黑体"/>
          <w:sz w:val="21"/>
          <w:szCs w:val="20"/>
          <w:lang w:bidi="ar"/>
        </w:rPr>
        <w:t>operational area</w:t>
      </w:r>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无人机在农田信息采集中，基于信息采集目标、传感器性能、飞行参数及地形条件综合划定的地理范围，用于高效、精准地完成特定数据采集任务。</w:t>
      </w:r>
    </w:p>
    <w:p>
      <w:pPr>
        <w:pStyle w:val="18"/>
        <w:numPr>
          <w:ilvl w:val="2"/>
          <w:numId w:val="8"/>
        </w:numPr>
        <w:tabs>
          <w:tab w:val="left" w:pos="420"/>
        </w:tabs>
        <w:spacing w:before="0" w:beforeAutospacing="0" w:after="0" w:afterAutospacing="0"/>
        <w:ind w:left="420" w:hanging="480" w:hangingChars="200"/>
        <w:jc w:val="both"/>
        <w:rPr>
          <w:rFonts w:ascii="黑体" w:eastAsia="黑体" w:cs="黑体"/>
        </w:rPr>
      </w:pPr>
    </w:p>
    <w:p>
      <w:pPr>
        <w:pStyle w:val="63"/>
        <w:numPr>
          <w:ilvl w:val="0"/>
          <w:numId w:val="0"/>
        </w:numPr>
        <w:ind w:left="420"/>
        <w:rPr>
          <w:rFonts w:ascii="黑体" w:eastAsia="黑体" w:cs="黑体"/>
        </w:rPr>
      </w:pPr>
      <w:r>
        <w:rPr>
          <w:rFonts w:hint="eastAsia" w:ascii="黑体" w:eastAsia="黑体" w:cs="黑体"/>
          <w:sz w:val="21"/>
          <w:szCs w:val="20"/>
          <w:lang w:bidi="ar"/>
        </w:rPr>
        <w:t xml:space="preserve">农田信息 </w:t>
      </w:r>
      <w:r>
        <w:rPr>
          <w:rFonts w:hint="eastAsia" w:ascii="黑体" w:eastAsia="黑体" w:cs="黑体"/>
          <w:sz w:val="21"/>
          <w:szCs w:val="20"/>
          <w:lang w:val="en-US" w:eastAsia="zh-CN" w:bidi="ar"/>
        </w:rPr>
        <w:t xml:space="preserve"> </w:t>
      </w:r>
      <w:r>
        <w:rPr>
          <w:rFonts w:hint="eastAsia" w:ascii="黑体" w:eastAsia="黑体" w:cs="黑体"/>
          <w:sz w:val="21"/>
          <w:szCs w:val="20"/>
          <w:lang w:bidi="ar"/>
        </w:rPr>
        <w:t>farmland Information</w:t>
      </w:r>
    </w:p>
    <w:p>
      <w:pPr>
        <w:pStyle w:val="18"/>
        <w:autoSpaceDE w:val="0"/>
        <w:autoSpaceDN w:val="0"/>
        <w:spacing w:before="0" w:beforeAutospacing="0" w:after="0" w:afterAutospacing="0"/>
        <w:ind w:firstLine="420" w:firstLineChars="200"/>
        <w:jc w:val="both"/>
        <w:rPr>
          <w:rFonts w:hAnsi="Times New Roman" w:cs="Times New Roman"/>
          <w:sz w:val="21"/>
          <w:szCs w:val="20"/>
          <w:lang w:bidi="ar"/>
        </w:rPr>
      </w:pPr>
      <w:r>
        <w:rPr>
          <w:rFonts w:hint="eastAsia" w:hAnsi="Times New Roman" w:cs="Times New Roman"/>
          <w:sz w:val="21"/>
          <w:szCs w:val="20"/>
          <w:lang w:bidi="ar"/>
        </w:rPr>
        <w:t>通过技术手段采集、分析和应用与农田相关的各类数据，涵盖农田环境、作物状态、土壤特性、管理措施等综合信息。</w:t>
      </w:r>
    </w:p>
    <w:p>
      <w:pPr>
        <w:pStyle w:val="66"/>
        <w:spacing w:before="312" w:after="312"/>
      </w:pPr>
      <w:bookmarkStart w:id="63" w:name="_Toc24211"/>
      <w:bookmarkStart w:id="64" w:name="_Toc19791"/>
      <w:r>
        <w:rPr>
          <w:rFonts w:hint="eastAsia"/>
        </w:rPr>
        <w:t>基本要求</w:t>
      </w:r>
      <w:bookmarkEnd w:id="63"/>
      <w:bookmarkEnd w:id="64"/>
    </w:p>
    <w:p>
      <w:pPr>
        <w:pStyle w:val="65"/>
        <w:spacing w:before="156" w:after="156"/>
      </w:pPr>
      <w:bookmarkStart w:id="65" w:name="_Toc11504"/>
      <w:bookmarkStart w:id="66" w:name="_Toc3124"/>
      <w:r>
        <w:rPr>
          <w:rFonts w:hint="eastAsia"/>
        </w:rPr>
        <w:t>作业条件</w:t>
      </w:r>
      <w:bookmarkEnd w:id="65"/>
      <w:bookmarkEnd w:id="66"/>
    </w:p>
    <w:p>
      <w:pPr>
        <w:pStyle w:val="18"/>
        <w:widowControl w:val="0"/>
        <w:numPr>
          <w:ilvl w:val="3"/>
          <w:numId w:val="8"/>
        </w:numPr>
        <w:spacing w:before="156" w:beforeLines="50" w:beforeAutospacing="0" w:after="156" w:afterLines="50" w:afterAutospacing="0"/>
        <w:jc w:val="both"/>
        <w:outlineLvl w:val="2"/>
      </w:pPr>
      <w:bookmarkStart w:id="67" w:name="_Toc31120"/>
      <w:bookmarkStart w:id="68" w:name="_Toc32077"/>
      <w:bookmarkStart w:id="69" w:name="_Toc15626"/>
      <w:r>
        <w:rPr>
          <w:rFonts w:hint="eastAsia" w:ascii="黑体" w:hAnsi="Times New Roman" w:eastAsia="黑体" w:cs="Times New Roman"/>
          <w:sz w:val="21"/>
          <w:szCs w:val="20"/>
          <w:lang w:bidi="ar"/>
        </w:rPr>
        <w:t>气象条件</w:t>
      </w:r>
      <w:bookmarkEnd w:id="67"/>
      <w:bookmarkEnd w:id="68"/>
      <w:bookmarkEnd w:id="69"/>
    </w:p>
    <w:p>
      <w:pPr>
        <w:pStyle w:val="80"/>
        <w:numPr>
          <w:ilvl w:val="4"/>
          <w:numId w:val="8"/>
        </w:numPr>
        <w:rPr>
          <w:rFonts w:hint="default"/>
        </w:rPr>
      </w:pPr>
      <w:r>
        <w:t>风速：最大可承受5级风力，无强阵风。</w:t>
      </w:r>
    </w:p>
    <w:p>
      <w:pPr>
        <w:pStyle w:val="80"/>
        <w:numPr>
          <w:ilvl w:val="4"/>
          <w:numId w:val="8"/>
        </w:numPr>
        <w:rPr>
          <w:rFonts w:hint="default"/>
        </w:rPr>
      </w:pPr>
      <w:r>
        <w:t>降水：禁止雨雪天作业（防水机型除外），湿度＜80%。</w:t>
      </w:r>
    </w:p>
    <w:p>
      <w:pPr>
        <w:pStyle w:val="80"/>
        <w:numPr>
          <w:ilvl w:val="4"/>
          <w:numId w:val="8"/>
        </w:numPr>
        <w:rPr>
          <w:rFonts w:hint="default"/>
        </w:rPr>
      </w:pPr>
      <w:r>
        <w:t>能见度：目视飞行≥5</w:t>
      </w:r>
      <w:r>
        <w:rPr>
          <w:rFonts w:hint="eastAsia"/>
          <w:lang w:val="en-US" w:eastAsia="zh-CN"/>
        </w:rPr>
        <w:t xml:space="preserve"> </w:t>
      </w:r>
      <w:r>
        <w:t>km，超视距≥8</w:t>
      </w:r>
      <w:r>
        <w:rPr>
          <w:rFonts w:hint="eastAsia"/>
          <w:lang w:val="en-US" w:eastAsia="zh-CN"/>
        </w:rPr>
        <w:t xml:space="preserve"> </w:t>
      </w:r>
      <w:r>
        <w:t>km。</w:t>
      </w:r>
    </w:p>
    <w:p>
      <w:pPr>
        <w:pStyle w:val="80"/>
        <w:numPr>
          <w:ilvl w:val="4"/>
          <w:numId w:val="8"/>
        </w:numPr>
        <w:rPr>
          <w:rFonts w:hint="default"/>
        </w:rPr>
      </w:pPr>
      <w:r>
        <w:t>温度：-10℃～40℃（电池需预热或散热）。</w:t>
      </w:r>
    </w:p>
    <w:p>
      <w:pPr>
        <w:pStyle w:val="18"/>
        <w:widowControl w:val="0"/>
        <w:numPr>
          <w:ilvl w:val="3"/>
          <w:numId w:val="8"/>
        </w:numPr>
        <w:spacing w:before="156" w:beforeLines="50" w:beforeAutospacing="0" w:after="156" w:afterLines="50" w:afterAutospacing="0"/>
        <w:jc w:val="both"/>
        <w:outlineLvl w:val="2"/>
      </w:pPr>
      <w:bookmarkStart w:id="70" w:name="_Toc7126"/>
      <w:bookmarkStart w:id="71" w:name="_Toc1996"/>
      <w:bookmarkStart w:id="72" w:name="_Toc20518"/>
      <w:r>
        <w:rPr>
          <w:rFonts w:hint="eastAsia" w:ascii="黑体" w:hAnsi="Times New Roman" w:eastAsia="黑体" w:cs="Times New Roman"/>
          <w:sz w:val="21"/>
          <w:szCs w:val="20"/>
          <w:lang w:bidi="ar"/>
        </w:rPr>
        <w:t>地理环境</w:t>
      </w:r>
      <w:bookmarkEnd w:id="70"/>
      <w:bookmarkEnd w:id="71"/>
      <w:bookmarkEnd w:id="72"/>
    </w:p>
    <w:p>
      <w:pPr>
        <w:pStyle w:val="80"/>
        <w:numPr>
          <w:ilvl w:val="0"/>
          <w:numId w:val="0"/>
        </w:numPr>
        <w:ind w:firstLine="420" w:firstLineChars="200"/>
        <w:rPr>
          <w:rFonts w:hint="default"/>
        </w:rPr>
      </w:pPr>
      <w:r>
        <w:t>作业区域海拔不高于4500</w:t>
      </w:r>
      <w:r>
        <w:rPr>
          <w:rFonts w:hint="eastAsia"/>
          <w:lang w:val="en-US" w:eastAsia="zh-CN"/>
        </w:rPr>
        <w:t xml:space="preserve"> </w:t>
      </w:r>
      <w:r>
        <w:t>m，山地坡度小于30°。</w:t>
      </w:r>
    </w:p>
    <w:p>
      <w:pPr>
        <w:pStyle w:val="18"/>
        <w:widowControl w:val="0"/>
        <w:numPr>
          <w:ilvl w:val="3"/>
          <w:numId w:val="8"/>
        </w:numPr>
        <w:spacing w:before="156" w:beforeLines="50" w:beforeAutospacing="0" w:after="156" w:afterLines="50" w:afterAutospacing="0"/>
        <w:jc w:val="both"/>
        <w:outlineLvl w:val="2"/>
      </w:pPr>
      <w:bookmarkStart w:id="73" w:name="_Toc16164"/>
      <w:bookmarkStart w:id="74" w:name="_Toc11191"/>
      <w:bookmarkStart w:id="75" w:name="_Toc7015"/>
      <w:r>
        <w:rPr>
          <w:rFonts w:hint="eastAsia" w:ascii="黑体" w:hAnsi="Times New Roman" w:eastAsia="黑体" w:cs="Times New Roman"/>
          <w:sz w:val="21"/>
          <w:szCs w:val="20"/>
          <w:lang w:bidi="ar"/>
        </w:rPr>
        <w:t>障碍物与建筑</w:t>
      </w:r>
      <w:bookmarkEnd w:id="73"/>
      <w:bookmarkEnd w:id="74"/>
      <w:bookmarkEnd w:id="75"/>
    </w:p>
    <w:p>
      <w:pPr>
        <w:pStyle w:val="80"/>
        <w:numPr>
          <w:ilvl w:val="4"/>
          <w:numId w:val="8"/>
        </w:numPr>
        <w:rPr>
          <w:rFonts w:hint="default"/>
        </w:rPr>
      </w:pPr>
      <w:r>
        <w:t>静态障碍：飞行高度高于建筑物/树木20</w:t>
      </w:r>
      <w:r>
        <w:rPr>
          <w:rFonts w:hint="eastAsia"/>
          <w:lang w:val="en-US" w:eastAsia="zh-CN"/>
        </w:rPr>
        <w:t xml:space="preserve"> </w:t>
      </w:r>
      <w:r>
        <w:t>m，识别高压线/玻璃幕墙。</w:t>
      </w:r>
    </w:p>
    <w:p>
      <w:pPr>
        <w:pStyle w:val="80"/>
        <w:numPr>
          <w:ilvl w:val="4"/>
          <w:numId w:val="8"/>
        </w:numPr>
        <w:rPr>
          <w:rFonts w:hint="default"/>
        </w:rPr>
      </w:pPr>
      <w:r>
        <w:t>动态障碍：远离鸟群活动区≥100</w:t>
      </w:r>
      <w:r>
        <w:rPr>
          <w:rFonts w:hint="eastAsia"/>
          <w:lang w:val="en-US" w:eastAsia="zh-CN"/>
        </w:rPr>
        <w:t xml:space="preserve"> </w:t>
      </w:r>
      <w:r>
        <w:t>m，避开人群≥50</w:t>
      </w:r>
      <w:r>
        <w:rPr>
          <w:rFonts w:hint="eastAsia"/>
          <w:lang w:val="en-US" w:eastAsia="zh-CN"/>
        </w:rPr>
        <w:t xml:space="preserve"> </w:t>
      </w:r>
      <w:r>
        <w:t>m。</w:t>
      </w:r>
    </w:p>
    <w:p>
      <w:pPr>
        <w:pStyle w:val="80"/>
        <w:numPr>
          <w:ilvl w:val="4"/>
          <w:numId w:val="8"/>
        </w:numPr>
        <w:rPr>
          <w:rFonts w:hint="default"/>
        </w:rPr>
      </w:pPr>
      <w:r>
        <w:t>避障系统：需配备前后下视避障（探测距离≥30</w:t>
      </w:r>
      <w:r>
        <w:rPr>
          <w:rFonts w:hint="eastAsia"/>
          <w:lang w:val="en-US" w:eastAsia="zh-CN"/>
        </w:rPr>
        <w:t xml:space="preserve"> </w:t>
      </w:r>
      <w:r>
        <w:t>m）。</w:t>
      </w:r>
    </w:p>
    <w:p>
      <w:pPr>
        <w:pStyle w:val="18"/>
        <w:widowControl w:val="0"/>
        <w:numPr>
          <w:ilvl w:val="3"/>
          <w:numId w:val="8"/>
        </w:numPr>
        <w:spacing w:before="156" w:beforeLines="50" w:beforeAutospacing="0" w:after="156" w:afterLines="50" w:afterAutospacing="0"/>
        <w:jc w:val="both"/>
        <w:outlineLvl w:val="2"/>
      </w:pPr>
      <w:bookmarkStart w:id="76" w:name="_Toc4908"/>
      <w:bookmarkStart w:id="77" w:name="_Toc11341"/>
      <w:bookmarkStart w:id="78" w:name="_Toc2968"/>
      <w:r>
        <w:rPr>
          <w:rFonts w:hint="eastAsia" w:ascii="黑体" w:hAnsi="Times New Roman" w:eastAsia="黑体" w:cs="Times New Roman"/>
          <w:sz w:val="21"/>
          <w:szCs w:val="20"/>
          <w:lang w:bidi="ar"/>
        </w:rPr>
        <w:t>电磁环境</w:t>
      </w:r>
      <w:bookmarkEnd w:id="76"/>
      <w:bookmarkEnd w:id="77"/>
      <w:bookmarkEnd w:id="78"/>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作业区域电磁环境应满足GB 42590的要求。</w:t>
      </w:r>
    </w:p>
    <w:p>
      <w:pPr>
        <w:pStyle w:val="18"/>
        <w:numPr>
          <w:ilvl w:val="2"/>
          <w:numId w:val="8"/>
        </w:numPr>
        <w:spacing w:before="156" w:beforeLines="50" w:beforeAutospacing="0" w:after="156" w:afterLines="50" w:afterAutospacing="0"/>
        <w:jc w:val="both"/>
        <w:outlineLvl w:val="1"/>
      </w:pPr>
      <w:bookmarkStart w:id="79" w:name="_Toc169003066"/>
      <w:bookmarkStart w:id="80" w:name="_Toc179380755"/>
      <w:bookmarkStart w:id="81" w:name="_Toc169002932"/>
      <w:bookmarkStart w:id="82" w:name="_Toc169002730"/>
      <w:bookmarkStart w:id="83" w:name="_Toc178323631"/>
      <w:bookmarkStart w:id="84" w:name="_Toc179460020"/>
      <w:bookmarkStart w:id="85" w:name="_Toc26137"/>
      <w:bookmarkStart w:id="86" w:name="_Toc193742979"/>
      <w:bookmarkStart w:id="87" w:name="_Toc19163"/>
      <w:bookmarkStart w:id="88" w:name="_Toc169006112"/>
      <w:bookmarkStart w:id="89" w:name="_Toc412"/>
      <w:bookmarkStart w:id="90" w:name="_Toc188366868"/>
      <w:bookmarkStart w:id="91" w:name="_Toc169002659"/>
      <w:r>
        <w:rPr>
          <w:rFonts w:hint="eastAsia" w:ascii="黑体" w:hAnsi="Times New Roman" w:eastAsia="黑体" w:cs="Times New Roman"/>
          <w:sz w:val="21"/>
          <w:szCs w:val="20"/>
          <w:lang w:bidi="ar"/>
        </w:rPr>
        <w:t>作业人员</w:t>
      </w:r>
      <w:bookmarkEnd w:id="79"/>
      <w:bookmarkEnd w:id="80"/>
      <w:bookmarkEnd w:id="81"/>
      <w:bookmarkEnd w:id="82"/>
      <w:bookmarkEnd w:id="83"/>
      <w:bookmarkEnd w:id="84"/>
      <w:bookmarkEnd w:id="85"/>
      <w:bookmarkEnd w:id="86"/>
      <w:bookmarkEnd w:id="87"/>
      <w:bookmarkEnd w:id="88"/>
      <w:bookmarkEnd w:id="89"/>
      <w:bookmarkEnd w:id="90"/>
      <w:bookmarkEnd w:id="91"/>
    </w:p>
    <w:p>
      <w:pPr>
        <w:pStyle w:val="18"/>
        <w:widowControl w:val="0"/>
        <w:numPr>
          <w:ilvl w:val="3"/>
          <w:numId w:val="8"/>
        </w:numPr>
        <w:spacing w:before="0" w:beforeAutospacing="0" w:after="0" w:afterAutospacing="0"/>
        <w:jc w:val="both"/>
      </w:pPr>
      <w:r>
        <w:rPr>
          <w:rFonts w:hint="eastAsia" w:hAnsi="Times New Roman" w:cs="Times New Roman"/>
          <w:sz w:val="21"/>
          <w:szCs w:val="20"/>
          <w:lang w:bidi="ar"/>
        </w:rPr>
        <w:t>作业人员包括无人机驾驶员和辅助作业人员。</w:t>
      </w:r>
    </w:p>
    <w:p>
      <w:pPr>
        <w:pStyle w:val="18"/>
        <w:widowControl w:val="0"/>
        <w:numPr>
          <w:ilvl w:val="0"/>
          <w:numId w:val="15"/>
        </w:numPr>
        <w:autoSpaceDE w:val="0"/>
        <w:autoSpaceDN w:val="0"/>
        <w:spacing w:before="0" w:beforeAutospacing="0" w:after="0" w:afterAutospacing="0"/>
        <w:jc w:val="both"/>
      </w:pPr>
      <w:r>
        <w:rPr>
          <w:rFonts w:hint="eastAsia" w:hAnsi="Times New Roman" w:cs="Times New Roman"/>
          <w:sz w:val="18"/>
          <w:szCs w:val="18"/>
          <w:lang w:bidi="ar"/>
        </w:rPr>
        <w:t>无人机驾驶人员也称为“飞控手”。</w:t>
      </w:r>
    </w:p>
    <w:p>
      <w:pPr>
        <w:pStyle w:val="18"/>
        <w:widowControl w:val="0"/>
        <w:numPr>
          <w:ilvl w:val="3"/>
          <w:numId w:val="8"/>
        </w:numPr>
        <w:spacing w:before="0" w:beforeAutospacing="0" w:after="0" w:afterAutospacing="0"/>
        <w:jc w:val="both"/>
      </w:pPr>
      <w:r>
        <w:rPr>
          <w:rFonts w:hint="eastAsia" w:hAnsi="Times New Roman" w:cs="Times New Roman"/>
          <w:sz w:val="21"/>
          <w:szCs w:val="20"/>
          <w:lang w:bidi="ar"/>
        </w:rPr>
        <w:t>无人机驾驶员应熟悉无人机作业方法和流程，掌握无人机作业运行维护与安全生产相关知识，并通过相应机型的操作培训，符合MH/T 1069-2018 第3章的要求。</w:t>
      </w:r>
    </w:p>
    <w:p>
      <w:pPr>
        <w:pStyle w:val="18"/>
        <w:widowControl w:val="0"/>
        <w:numPr>
          <w:ilvl w:val="3"/>
          <w:numId w:val="8"/>
        </w:numPr>
        <w:spacing w:before="0" w:beforeAutospacing="0" w:after="0" w:afterAutospacing="0"/>
        <w:jc w:val="both"/>
      </w:pPr>
      <w:r>
        <w:rPr>
          <w:rFonts w:hint="eastAsia" w:hAnsi="Times New Roman" w:cs="Times New Roman"/>
          <w:sz w:val="21"/>
          <w:szCs w:val="20"/>
          <w:lang w:bidi="ar"/>
        </w:rPr>
        <w:t>作业人员应身体健康、经过专业培训。</w:t>
      </w:r>
    </w:p>
    <w:p>
      <w:pPr>
        <w:pStyle w:val="18"/>
        <w:widowControl w:val="0"/>
        <w:numPr>
          <w:ilvl w:val="3"/>
          <w:numId w:val="8"/>
        </w:numPr>
        <w:spacing w:before="0" w:beforeAutospacing="0" w:after="0" w:afterAutospacing="0"/>
        <w:jc w:val="both"/>
      </w:pPr>
      <w:r>
        <w:rPr>
          <w:rFonts w:hint="eastAsia" w:hAnsi="Times New Roman" w:cs="Times New Roman"/>
          <w:sz w:val="21"/>
          <w:szCs w:val="20"/>
          <w:lang w:bidi="ar"/>
        </w:rPr>
        <w:t>无人机驾驶员应以规范的作业方法和流程操作无人机，以免对他人的人身或财产构成威胁。</w:t>
      </w:r>
    </w:p>
    <w:p>
      <w:pPr>
        <w:pStyle w:val="18"/>
        <w:numPr>
          <w:ilvl w:val="2"/>
          <w:numId w:val="8"/>
        </w:numPr>
        <w:spacing w:before="156" w:beforeLines="50" w:beforeAutospacing="0" w:after="156" w:afterLines="50" w:afterAutospacing="0"/>
        <w:jc w:val="both"/>
        <w:outlineLvl w:val="1"/>
      </w:pPr>
      <w:bookmarkStart w:id="92" w:name="_Toc17538"/>
      <w:bookmarkStart w:id="93" w:name="_Toc193742980"/>
      <w:bookmarkStart w:id="94" w:name="_Toc25238"/>
      <w:bookmarkStart w:id="95" w:name="_Toc12936"/>
      <w:r>
        <w:rPr>
          <w:rFonts w:hint="eastAsia" w:ascii="黑体" w:hAnsi="Times New Roman" w:eastAsia="黑体" w:cs="Times New Roman"/>
          <w:sz w:val="21"/>
          <w:szCs w:val="20"/>
          <w:lang w:bidi="ar"/>
        </w:rPr>
        <w:t>设备要求</w:t>
      </w:r>
      <w:bookmarkEnd w:id="92"/>
      <w:bookmarkEnd w:id="93"/>
      <w:bookmarkEnd w:id="94"/>
      <w:bookmarkEnd w:id="95"/>
    </w:p>
    <w:p>
      <w:pPr>
        <w:pStyle w:val="18"/>
        <w:widowControl w:val="0"/>
        <w:numPr>
          <w:ilvl w:val="3"/>
          <w:numId w:val="8"/>
        </w:numPr>
        <w:spacing w:before="156" w:beforeLines="50" w:beforeAutospacing="0" w:after="156" w:afterLines="50" w:afterAutospacing="0"/>
        <w:jc w:val="both"/>
        <w:outlineLvl w:val="2"/>
      </w:pPr>
      <w:bookmarkStart w:id="96" w:name="_Toc13923"/>
      <w:bookmarkStart w:id="97" w:name="_Toc4368"/>
      <w:bookmarkStart w:id="98" w:name="_Toc25052"/>
      <w:bookmarkStart w:id="99" w:name="_Toc1088"/>
      <w:r>
        <w:rPr>
          <w:rFonts w:hint="eastAsia" w:ascii="黑体" w:hAnsi="Times New Roman" w:eastAsia="黑体" w:cs="Times New Roman"/>
          <w:sz w:val="21"/>
          <w:szCs w:val="20"/>
          <w:lang w:bidi="ar"/>
        </w:rPr>
        <w:t>无人机设备性能要求</w:t>
      </w:r>
      <w:bookmarkEnd w:id="96"/>
      <w:bookmarkEnd w:id="97"/>
      <w:bookmarkEnd w:id="98"/>
      <w:bookmarkEnd w:id="99"/>
    </w:p>
    <w:p>
      <w:pPr>
        <w:pStyle w:val="80"/>
        <w:numPr>
          <w:ilvl w:val="4"/>
          <w:numId w:val="8"/>
        </w:numPr>
        <w:rPr>
          <w:rFonts w:hint="default"/>
        </w:rPr>
      </w:pPr>
      <w:r>
        <w:t>宜选择空机重量不超过15</w:t>
      </w:r>
      <w:r>
        <w:rPr>
          <w:rFonts w:hint="eastAsia"/>
          <w:lang w:val="en-US" w:eastAsia="zh-CN"/>
        </w:rPr>
        <w:t xml:space="preserve"> </w:t>
      </w:r>
      <w:r>
        <w:t>kg且最大起飞重量不超过25</w:t>
      </w:r>
      <w:r>
        <w:rPr>
          <w:rFonts w:hint="eastAsia"/>
          <w:lang w:val="en-US" w:eastAsia="zh-CN"/>
        </w:rPr>
        <w:t xml:space="preserve"> </w:t>
      </w:r>
      <w:r>
        <w:t>kg，最大平飞速度不超过100</w:t>
      </w:r>
      <w:r>
        <w:rPr>
          <w:rFonts w:hint="eastAsia"/>
          <w:lang w:val="en-US" w:eastAsia="zh-CN"/>
        </w:rPr>
        <w:t xml:space="preserve"> </w:t>
      </w:r>
      <w:r>
        <w:t>km/</w:t>
      </w:r>
      <w:r>
        <w:rPr>
          <w:rFonts w:hint="eastAsia"/>
          <w:lang w:val="en-US" w:eastAsia="zh-CN"/>
        </w:rPr>
        <w:t>h</w:t>
      </w:r>
      <w:r>
        <w:t>的多旋翼轻型或小型无人机。</w:t>
      </w:r>
    </w:p>
    <w:p>
      <w:pPr>
        <w:pStyle w:val="77"/>
        <w:widowControl/>
      </w:pPr>
      <w:r>
        <w:t>轻型无人机是指空机重量不超过4</w:t>
      </w:r>
      <w:r>
        <w:rPr>
          <w:rFonts w:hint="eastAsia"/>
          <w:lang w:val="en-US" w:eastAsia="zh-CN"/>
        </w:rPr>
        <w:t xml:space="preserve"> </w:t>
      </w:r>
      <w:r>
        <w:t>kg且最大起飞重量不超过7</w:t>
      </w:r>
      <w:r>
        <w:rPr>
          <w:rFonts w:hint="eastAsia"/>
          <w:lang w:val="en-US" w:eastAsia="zh-CN"/>
        </w:rPr>
        <w:t xml:space="preserve"> </w:t>
      </w:r>
      <w:r>
        <w:t>kg，最大平飞速度不超过100</w:t>
      </w:r>
      <w:r>
        <w:rPr>
          <w:rFonts w:hint="eastAsia"/>
          <w:lang w:val="en-US" w:eastAsia="zh-CN"/>
        </w:rPr>
        <w:t xml:space="preserve"> </w:t>
      </w:r>
      <w:r>
        <w:rPr>
          <w:rFonts w:hint="eastAsia"/>
          <w:lang w:eastAsia="zh-CN"/>
        </w:rPr>
        <w:t>km/h</w:t>
      </w:r>
      <w:r>
        <w:t>，具备符合空域管理要求的空域保持能力和可靠被监视能力，全程可以随时人工介入操控的无人驾驶航空器，但不包括微型无人驾驶航空器。</w:t>
      </w:r>
    </w:p>
    <w:p>
      <w:pPr>
        <w:pStyle w:val="77"/>
        <w:widowControl/>
      </w:pPr>
      <w:r>
        <w:t>小型无人机是指空机重量不超过15</w:t>
      </w:r>
      <w:r>
        <w:rPr>
          <w:rFonts w:hint="eastAsia"/>
          <w:lang w:val="en-US" w:eastAsia="zh-CN"/>
        </w:rPr>
        <w:t xml:space="preserve"> </w:t>
      </w:r>
      <w:r>
        <w:t>kg且最大起飞重量不超过25</w:t>
      </w:r>
      <w:r>
        <w:rPr>
          <w:rFonts w:hint="eastAsia"/>
          <w:lang w:val="en-US" w:eastAsia="zh-CN"/>
        </w:rPr>
        <w:t xml:space="preserve"> </w:t>
      </w:r>
      <w:r>
        <w:t>kg，具备符合空域管理要求的空域保持能力和可靠被监视能力，全程可以随时人工介入操控的无人驾驶航空器，但不包括微型、轻型无人驾驶航空器。</w:t>
      </w:r>
    </w:p>
    <w:p>
      <w:pPr>
        <w:pStyle w:val="80"/>
        <w:numPr>
          <w:ilvl w:val="4"/>
          <w:numId w:val="8"/>
        </w:numPr>
        <w:rPr>
          <w:rFonts w:hint="default"/>
        </w:rPr>
      </w:pPr>
      <w:r>
        <w:t>在适飞空域飞行，飞行高度不超过真高120</w:t>
      </w:r>
      <w:r>
        <w:rPr>
          <w:rFonts w:hint="eastAsia"/>
          <w:lang w:val="en-US" w:eastAsia="zh-CN"/>
        </w:rPr>
        <w:t xml:space="preserve"> </w:t>
      </w:r>
      <w:r>
        <w:t>m，</w:t>
      </w:r>
      <w:r>
        <w:rPr>
          <w:lang w:bidi="ar"/>
        </w:rPr>
        <w:t>采用野外临时起降场时，应做好安全警戒</w:t>
      </w:r>
      <w:r>
        <w:t>。</w:t>
      </w:r>
    </w:p>
    <w:p>
      <w:pPr>
        <w:pStyle w:val="80"/>
        <w:numPr>
          <w:ilvl w:val="4"/>
          <w:numId w:val="8"/>
        </w:numPr>
        <w:rPr>
          <w:rFonts w:hint="default"/>
        </w:rPr>
      </w:pPr>
      <w:r>
        <w:t>应具备一般气象条件下安全飞行和不依赖机场进行起降的能力，抗风能力一般不低于4级，符合GB 42590—2023第4章的要求。</w:t>
      </w:r>
    </w:p>
    <w:p>
      <w:pPr>
        <w:pStyle w:val="80"/>
        <w:numPr>
          <w:ilvl w:val="4"/>
          <w:numId w:val="8"/>
        </w:numPr>
        <w:rPr>
          <w:rFonts w:hint="default"/>
        </w:rPr>
      </w:pPr>
      <w:r>
        <w:t>应具备符合空域管理要求的空域保持能力和可靠被监视能力，全程可以随时人工介入操控。</w:t>
      </w:r>
    </w:p>
    <w:p>
      <w:pPr>
        <w:pStyle w:val="80"/>
        <w:numPr>
          <w:ilvl w:val="4"/>
          <w:numId w:val="8"/>
        </w:numPr>
        <w:rPr>
          <w:rFonts w:hint="default"/>
        </w:rPr>
      </w:pPr>
      <w:r>
        <w:t>续航时间应不低于30 min。</w:t>
      </w:r>
    </w:p>
    <w:p>
      <w:pPr>
        <w:pStyle w:val="18"/>
        <w:widowControl w:val="0"/>
        <w:numPr>
          <w:ilvl w:val="3"/>
          <w:numId w:val="8"/>
        </w:numPr>
        <w:spacing w:before="156" w:beforeLines="50" w:beforeAutospacing="0" w:after="156" w:afterLines="50" w:afterAutospacing="0"/>
        <w:jc w:val="both"/>
        <w:outlineLvl w:val="2"/>
      </w:pPr>
      <w:bookmarkStart w:id="100" w:name="_Toc13605"/>
      <w:bookmarkStart w:id="101" w:name="_Toc23720"/>
      <w:bookmarkStart w:id="102" w:name="_Toc2602"/>
      <w:r>
        <w:rPr>
          <w:rFonts w:hint="eastAsia" w:ascii="黑体" w:hAnsi="Times New Roman" w:eastAsia="黑体" w:cs="Times New Roman"/>
          <w:sz w:val="21"/>
          <w:szCs w:val="20"/>
          <w:lang w:bidi="ar"/>
        </w:rPr>
        <w:t>搭载遥感影像设备的要求</w:t>
      </w:r>
      <w:bookmarkEnd w:id="100"/>
      <w:bookmarkEnd w:id="101"/>
      <w:bookmarkEnd w:id="102"/>
    </w:p>
    <w:p>
      <w:pPr>
        <w:pStyle w:val="80"/>
        <w:numPr>
          <w:ilvl w:val="4"/>
          <w:numId w:val="8"/>
        </w:numPr>
        <w:rPr>
          <w:rFonts w:hint="default"/>
        </w:rPr>
      </w:pPr>
      <w:r>
        <w:t>传感器选择：常用多光谱相机（分析作物健康）、热红外相机（监测灌溉）和高分辨率RGB相机（测绘地块），高光谱设备可用于精细的病虫害或土壤分析。</w:t>
      </w:r>
    </w:p>
    <w:p>
      <w:pPr>
        <w:pStyle w:val="80"/>
        <w:numPr>
          <w:ilvl w:val="4"/>
          <w:numId w:val="8"/>
        </w:numPr>
        <w:rPr>
          <w:rFonts w:hint="default"/>
        </w:rPr>
      </w:pPr>
      <w:r>
        <w:t>分辨率与飞行：根据任务需求，分辨率通常需达到1</w:t>
      </w:r>
      <w:r>
        <w:rPr>
          <w:rFonts w:hint="eastAsia"/>
          <w:lang w:val="en-US" w:eastAsia="zh-CN"/>
        </w:rPr>
        <w:t xml:space="preserve"> </w:t>
      </w:r>
      <w:r>
        <w:t>cm～5</w:t>
      </w:r>
      <w:r>
        <w:rPr>
          <w:rFonts w:hint="eastAsia"/>
          <w:lang w:val="en-US" w:eastAsia="zh-CN"/>
        </w:rPr>
        <w:t xml:space="preserve"> </w:t>
      </w:r>
      <w:r>
        <w:t>cm/像素，飞行高度旱田50</w:t>
      </w:r>
      <w:r>
        <w:rPr>
          <w:rFonts w:hint="eastAsia"/>
          <w:lang w:val="en-US" w:eastAsia="zh-CN"/>
        </w:rPr>
        <w:t xml:space="preserve"> </w:t>
      </w:r>
      <w:r>
        <w:t>m～100</w:t>
      </w:r>
      <w:r>
        <w:rPr>
          <w:rFonts w:hint="eastAsia"/>
          <w:lang w:val="en-US" w:eastAsia="zh-CN"/>
        </w:rPr>
        <w:t xml:space="preserve"> </w:t>
      </w:r>
      <w:r>
        <w:t>m、水田30</w:t>
      </w:r>
      <w:r>
        <w:rPr>
          <w:rFonts w:hint="eastAsia"/>
          <w:lang w:val="en-US" w:eastAsia="zh-CN"/>
        </w:rPr>
        <w:t xml:space="preserve"> </w:t>
      </w:r>
      <w:r>
        <w:t>m～50</w:t>
      </w:r>
      <w:r>
        <w:rPr>
          <w:rFonts w:hint="eastAsia"/>
          <w:lang w:val="en-US" w:eastAsia="zh-CN"/>
        </w:rPr>
        <w:t xml:space="preserve"> </w:t>
      </w:r>
      <w:r>
        <w:t>m，航向重叠率与旁向重叠率应符合GB/T 39612的要求。</w:t>
      </w:r>
    </w:p>
    <w:p>
      <w:pPr>
        <w:pStyle w:val="80"/>
        <w:numPr>
          <w:ilvl w:val="4"/>
          <w:numId w:val="8"/>
        </w:numPr>
        <w:rPr>
          <w:rFonts w:hint="default"/>
        </w:rPr>
      </w:pPr>
      <w:r>
        <w:t>环境适应性：设备需防尘、耐农药腐蚀，适应-10℃～40℃温度，避免强电磁干扰（如远离高压线200米以上）。</w:t>
      </w:r>
    </w:p>
    <w:p>
      <w:pPr>
        <w:pStyle w:val="80"/>
        <w:numPr>
          <w:ilvl w:val="4"/>
          <w:numId w:val="8"/>
        </w:numPr>
        <w:rPr>
          <w:rFonts w:hint="default"/>
        </w:rPr>
      </w:pPr>
      <w:r>
        <w:t>数据处理：需辐射校正和几何校准，结合NDVI、CWSI等农业算法分析数据，配套专业软件。</w:t>
      </w:r>
    </w:p>
    <w:p>
      <w:pPr>
        <w:pStyle w:val="18"/>
        <w:numPr>
          <w:ilvl w:val="2"/>
          <w:numId w:val="8"/>
        </w:numPr>
        <w:spacing w:before="156" w:beforeLines="50" w:beforeAutospacing="0" w:after="156" w:afterLines="50" w:afterAutospacing="0"/>
        <w:jc w:val="both"/>
        <w:outlineLvl w:val="1"/>
      </w:pPr>
      <w:bookmarkStart w:id="103" w:name="_Toc169006114"/>
      <w:bookmarkStart w:id="104" w:name="_Toc12155"/>
      <w:bookmarkStart w:id="105" w:name="_Toc179380757"/>
      <w:bookmarkStart w:id="106" w:name="_Toc169002732"/>
      <w:bookmarkStart w:id="107" w:name="_Toc15830"/>
      <w:bookmarkStart w:id="108" w:name="_Toc169002934"/>
      <w:bookmarkStart w:id="109" w:name="_Toc169003068"/>
      <w:bookmarkStart w:id="110" w:name="_Toc179460022"/>
      <w:bookmarkStart w:id="111" w:name="_Toc188366870"/>
      <w:bookmarkStart w:id="112" w:name="_Toc178323633"/>
      <w:bookmarkStart w:id="113" w:name="_Toc193742981"/>
      <w:bookmarkStart w:id="114" w:name="_Toc13288"/>
      <w:bookmarkStart w:id="115" w:name="_Toc169002661"/>
      <w:r>
        <w:rPr>
          <w:rFonts w:hint="eastAsia" w:ascii="黑体" w:hAnsi="Times New Roman" w:eastAsia="黑体" w:cs="Times New Roman"/>
          <w:sz w:val="21"/>
          <w:szCs w:val="20"/>
          <w:lang w:bidi="ar"/>
        </w:rPr>
        <w:t>安全要求</w:t>
      </w:r>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18"/>
        <w:autoSpaceDE w:val="0"/>
        <w:autoSpaceDN w:val="0"/>
        <w:spacing w:before="0" w:beforeAutospacing="0" w:after="0" w:afterAutospacing="0"/>
        <w:ind w:firstLine="420" w:firstLineChars="200"/>
        <w:jc w:val="both"/>
        <w:rPr>
          <w:rFonts w:hAnsi="Times New Roman" w:cs="Times New Roman"/>
          <w:sz w:val="21"/>
          <w:szCs w:val="20"/>
          <w:lang w:bidi="ar"/>
        </w:rPr>
      </w:pPr>
      <w:r>
        <w:rPr>
          <w:rFonts w:hint="eastAsia" w:hAnsi="Times New Roman" w:cs="Times New Roman"/>
          <w:sz w:val="21"/>
          <w:szCs w:val="20"/>
          <w:lang w:bidi="ar"/>
        </w:rPr>
        <w:t>无人机飞行作业时，无关人员不应进入，非执行任务人员不应靠近无人机。</w:t>
      </w:r>
    </w:p>
    <w:p>
      <w:pPr>
        <w:pStyle w:val="18"/>
        <w:numPr>
          <w:ilvl w:val="1"/>
          <w:numId w:val="8"/>
        </w:numPr>
        <w:spacing w:before="312" w:beforeLines="100" w:beforeAutospacing="0" w:after="312" w:afterLines="100" w:afterAutospacing="0"/>
        <w:jc w:val="both"/>
        <w:outlineLvl w:val="0"/>
      </w:pPr>
      <w:bookmarkStart w:id="116" w:name="_Toc798"/>
      <w:bookmarkStart w:id="117" w:name="_Toc27563"/>
      <w:bookmarkStart w:id="118" w:name="_Toc193742992"/>
      <w:bookmarkStart w:id="119" w:name="_Toc16556"/>
      <w:r>
        <w:rPr>
          <w:rFonts w:hint="eastAsia" w:ascii="黑体" w:hAnsi="Times New Roman" w:eastAsia="黑体" w:cs="Times New Roman"/>
          <w:sz w:val="21"/>
          <w:szCs w:val="20"/>
          <w:lang w:bidi="ar"/>
        </w:rPr>
        <w:t>应用场景</w:t>
      </w:r>
      <w:bookmarkEnd w:id="116"/>
      <w:bookmarkEnd w:id="117"/>
      <w:bookmarkEnd w:id="118"/>
      <w:bookmarkEnd w:id="119"/>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农田信息无人机采集应用的场景包括但不限于：</w:t>
      </w:r>
    </w:p>
    <w:p>
      <w:pPr>
        <w:pStyle w:val="79"/>
        <w:numPr>
          <w:ilvl w:val="0"/>
          <w:numId w:val="0"/>
        </w:numPr>
        <w:ind w:left="425"/>
        <w:rPr>
          <w:rFonts w:hint="default"/>
        </w:rPr>
      </w:pPr>
      <w:r>
        <w:rPr>
          <w:rFonts w:ascii="黑体" w:hAnsi="黑体" w:eastAsia="黑体" w:cs="黑体"/>
        </w:rPr>
        <w:t>——</w:t>
      </w:r>
      <w:r>
        <w:t>作物长势监测；</w:t>
      </w:r>
    </w:p>
    <w:p>
      <w:pPr>
        <w:pStyle w:val="79"/>
        <w:numPr>
          <w:ilvl w:val="0"/>
          <w:numId w:val="0"/>
        </w:numPr>
        <w:ind w:left="425"/>
        <w:rPr>
          <w:rFonts w:hint="default"/>
        </w:rPr>
      </w:pPr>
      <w:r>
        <w:rPr>
          <w:rFonts w:ascii="黑体" w:hAnsi="黑体" w:eastAsia="黑体" w:cs="黑体"/>
        </w:rPr>
        <w:t>——</w:t>
      </w:r>
      <w:r>
        <w:t>产量预估；</w:t>
      </w:r>
    </w:p>
    <w:p>
      <w:pPr>
        <w:pStyle w:val="79"/>
        <w:numPr>
          <w:ilvl w:val="0"/>
          <w:numId w:val="0"/>
        </w:numPr>
        <w:ind w:left="425"/>
        <w:rPr>
          <w:rFonts w:hint="default"/>
        </w:rPr>
      </w:pPr>
      <w:r>
        <w:rPr>
          <w:rFonts w:ascii="黑体" w:hAnsi="黑体" w:eastAsia="黑体" w:cs="黑体"/>
        </w:rPr>
        <w:t>——</w:t>
      </w:r>
      <w:r>
        <w:t>病虫害监测预警；</w:t>
      </w:r>
    </w:p>
    <w:p>
      <w:pPr>
        <w:pStyle w:val="79"/>
        <w:numPr>
          <w:ilvl w:val="0"/>
          <w:numId w:val="0"/>
        </w:numPr>
        <w:ind w:left="425"/>
        <w:rPr>
          <w:rFonts w:hint="default"/>
        </w:rPr>
      </w:pPr>
      <w:r>
        <w:rPr>
          <w:rFonts w:ascii="黑体" w:hAnsi="黑体" w:eastAsia="黑体" w:cs="黑体"/>
        </w:rPr>
        <w:t>——</w:t>
      </w:r>
      <w:r>
        <w:t>土壤墒情监测；</w:t>
      </w:r>
    </w:p>
    <w:p>
      <w:pPr>
        <w:pStyle w:val="79"/>
        <w:numPr>
          <w:ilvl w:val="0"/>
          <w:numId w:val="0"/>
        </w:numPr>
        <w:ind w:left="425"/>
        <w:rPr>
          <w:rFonts w:hint="default"/>
        </w:rPr>
      </w:pPr>
      <w:r>
        <w:rPr>
          <w:rFonts w:ascii="黑体" w:hAnsi="黑体" w:eastAsia="黑体" w:cs="黑体"/>
        </w:rPr>
        <w:t>——</w:t>
      </w:r>
      <w:r>
        <w:t>盐碱化监测；</w:t>
      </w:r>
    </w:p>
    <w:p>
      <w:pPr>
        <w:pStyle w:val="79"/>
        <w:numPr>
          <w:ilvl w:val="0"/>
          <w:numId w:val="0"/>
        </w:numPr>
        <w:ind w:left="425"/>
        <w:rPr>
          <w:rFonts w:hint="default"/>
        </w:rPr>
      </w:pPr>
      <w:r>
        <w:rPr>
          <w:rFonts w:ascii="黑体" w:hAnsi="黑体" w:eastAsia="黑体" w:cs="黑体"/>
        </w:rPr>
        <w:t>——</w:t>
      </w:r>
      <w:r>
        <w:t>灾害评估；</w:t>
      </w:r>
    </w:p>
    <w:p>
      <w:pPr>
        <w:pStyle w:val="79"/>
        <w:numPr>
          <w:ilvl w:val="0"/>
          <w:numId w:val="0"/>
        </w:numPr>
        <w:ind w:left="425"/>
        <w:rPr>
          <w:rFonts w:hint="default"/>
        </w:rPr>
      </w:pPr>
      <w:r>
        <w:rPr>
          <w:rFonts w:ascii="黑体" w:hAnsi="黑体" w:eastAsia="黑体" w:cs="黑体"/>
        </w:rPr>
        <w:t>——</w:t>
      </w:r>
      <w:r>
        <w:t>保险定损；</w:t>
      </w:r>
    </w:p>
    <w:p>
      <w:pPr>
        <w:pStyle w:val="79"/>
        <w:numPr>
          <w:ilvl w:val="0"/>
          <w:numId w:val="0"/>
        </w:numPr>
        <w:ind w:left="425"/>
        <w:rPr>
          <w:rFonts w:hint="default"/>
        </w:rPr>
      </w:pPr>
      <w:r>
        <w:rPr>
          <w:rFonts w:ascii="黑体" w:hAnsi="黑体" w:eastAsia="黑体" w:cs="黑体"/>
        </w:rPr>
        <w:t>——</w:t>
      </w:r>
      <w:r>
        <w:t>精准施肥施药；</w:t>
      </w:r>
    </w:p>
    <w:p>
      <w:pPr>
        <w:pStyle w:val="79"/>
        <w:numPr>
          <w:ilvl w:val="0"/>
          <w:numId w:val="0"/>
        </w:numPr>
        <w:ind w:left="425"/>
        <w:rPr>
          <w:rFonts w:hint="default"/>
          <w:lang w:bidi="ar"/>
        </w:rPr>
      </w:pPr>
      <w:r>
        <w:rPr>
          <w:rFonts w:ascii="黑体" w:hAnsi="黑体" w:eastAsia="黑体" w:cs="黑体"/>
        </w:rPr>
        <w:t>——</w:t>
      </w:r>
      <w:r>
        <w:t>农田环境监测。</w:t>
      </w:r>
    </w:p>
    <w:p>
      <w:pPr>
        <w:pStyle w:val="18"/>
        <w:numPr>
          <w:ilvl w:val="1"/>
          <w:numId w:val="8"/>
        </w:numPr>
        <w:spacing w:before="312" w:beforeLines="100" w:beforeAutospacing="0" w:after="312" w:afterLines="100" w:afterAutospacing="0"/>
        <w:jc w:val="both"/>
        <w:outlineLvl w:val="0"/>
      </w:pPr>
      <w:bookmarkStart w:id="120" w:name="_Toc179460023"/>
      <w:bookmarkStart w:id="121" w:name="_Toc188366871"/>
      <w:bookmarkStart w:id="122" w:name="_Toc179380758"/>
      <w:bookmarkStart w:id="123" w:name="_Toc27995"/>
      <w:bookmarkStart w:id="124" w:name="_Toc9415"/>
      <w:bookmarkStart w:id="125" w:name="_Toc193742982"/>
      <w:bookmarkStart w:id="126" w:name="_Toc8648"/>
      <w:r>
        <w:rPr>
          <w:rFonts w:hint="eastAsia" w:ascii="黑体" w:hAnsi="Times New Roman" w:eastAsia="黑体" w:cs="Times New Roman"/>
          <w:sz w:val="21"/>
          <w:szCs w:val="20"/>
          <w:lang w:bidi="ar"/>
        </w:rPr>
        <w:t>采集前准备</w:t>
      </w:r>
      <w:bookmarkEnd w:id="120"/>
      <w:bookmarkEnd w:id="121"/>
      <w:bookmarkEnd w:id="122"/>
      <w:bookmarkEnd w:id="123"/>
      <w:bookmarkEnd w:id="124"/>
      <w:bookmarkEnd w:id="125"/>
      <w:bookmarkEnd w:id="126"/>
    </w:p>
    <w:p>
      <w:pPr>
        <w:pStyle w:val="18"/>
        <w:numPr>
          <w:ilvl w:val="2"/>
          <w:numId w:val="8"/>
        </w:numPr>
        <w:spacing w:before="156" w:beforeLines="50" w:beforeAutospacing="0" w:after="156" w:afterLines="50" w:afterAutospacing="0"/>
        <w:jc w:val="both"/>
        <w:outlineLvl w:val="1"/>
      </w:pPr>
      <w:bookmarkStart w:id="127" w:name="_Toc23697"/>
      <w:bookmarkStart w:id="128" w:name="_Toc179460024"/>
      <w:bookmarkStart w:id="129" w:name="_Toc169003070"/>
      <w:bookmarkStart w:id="130" w:name="_Toc169002936"/>
      <w:bookmarkStart w:id="131" w:name="_Toc193742983"/>
      <w:bookmarkStart w:id="132" w:name="_Toc169002663"/>
      <w:bookmarkStart w:id="133" w:name="_Toc169002734"/>
      <w:bookmarkStart w:id="134" w:name="_Toc10990"/>
      <w:bookmarkStart w:id="135" w:name="_Toc169006116"/>
      <w:bookmarkStart w:id="136" w:name="_Toc178323635"/>
      <w:bookmarkStart w:id="137" w:name="_Toc28993"/>
      <w:bookmarkStart w:id="138" w:name="_Toc179380759"/>
      <w:bookmarkStart w:id="139" w:name="_Toc188366872"/>
      <w:r>
        <w:rPr>
          <w:rFonts w:hint="eastAsia" w:ascii="黑体" w:hAnsi="Times New Roman" w:eastAsia="黑体" w:cs="Times New Roman"/>
          <w:sz w:val="21"/>
          <w:szCs w:val="20"/>
          <w:lang w:bidi="ar"/>
        </w:rPr>
        <w:t>任务前准备</w:t>
      </w:r>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18"/>
        <w:widowControl w:val="0"/>
        <w:numPr>
          <w:ilvl w:val="3"/>
          <w:numId w:val="8"/>
        </w:numPr>
        <w:spacing w:before="156" w:beforeLines="50" w:beforeAutospacing="0" w:after="156" w:afterLines="50" w:afterAutospacing="0"/>
        <w:jc w:val="both"/>
        <w:outlineLvl w:val="2"/>
      </w:pPr>
      <w:bookmarkStart w:id="140" w:name="_Toc4859"/>
      <w:bookmarkStart w:id="141" w:name="_Toc20025"/>
      <w:bookmarkStart w:id="142" w:name="_Toc8301"/>
      <w:r>
        <w:rPr>
          <w:rFonts w:hint="eastAsia" w:ascii="黑体" w:hAnsi="Times New Roman" w:eastAsia="黑体" w:cs="Times New Roman"/>
          <w:sz w:val="21"/>
          <w:szCs w:val="20"/>
          <w:lang w:bidi="ar"/>
        </w:rPr>
        <w:t>飞行计划</w:t>
      </w:r>
      <w:bookmarkEnd w:id="140"/>
      <w:bookmarkEnd w:id="141"/>
      <w:bookmarkEnd w:id="142"/>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根据农田信息采集需要，结合卫星地图制定飞行计划（起降、飞行区域、周边有无重要敏感设施、密集人群区域），按照《无人驾驶航空器飞行管理暂行条例》要求确认是否需要进行飞行计划报备；</w:t>
      </w:r>
      <w:r>
        <w:rPr>
          <w:rFonts w:hint="eastAsia" w:hAnsi="Times New Roman" w:cs="Times New Roman"/>
          <w:color w:val="333333"/>
          <w:sz w:val="21"/>
          <w:szCs w:val="20"/>
          <w:shd w:val="clear" w:color="auto" w:fill="FFFFFF"/>
          <w:lang w:bidi="ar"/>
        </w:rPr>
        <w:t>需要报备的，</w:t>
      </w:r>
      <w:r>
        <w:rPr>
          <w:rFonts w:hint="eastAsia" w:hAnsi="Times New Roman" w:cs="Times New Roman"/>
          <w:sz w:val="21"/>
          <w:szCs w:val="20"/>
          <w:shd w:val="clear" w:color="auto" w:fill="FFFFFF"/>
          <w:lang w:bidi="ar"/>
        </w:rPr>
        <w:t>应当在拟飞行前1日12时前向空中交通管理机构提出飞行活动申请。</w:t>
      </w:r>
    </w:p>
    <w:p>
      <w:pPr>
        <w:pStyle w:val="18"/>
        <w:widowControl w:val="0"/>
        <w:numPr>
          <w:ilvl w:val="3"/>
          <w:numId w:val="8"/>
        </w:numPr>
        <w:spacing w:before="156" w:beforeLines="50" w:beforeAutospacing="0" w:after="156" w:afterLines="50" w:afterAutospacing="0"/>
        <w:jc w:val="both"/>
        <w:outlineLvl w:val="2"/>
      </w:pPr>
      <w:bookmarkStart w:id="143" w:name="_Toc18432"/>
      <w:bookmarkStart w:id="144" w:name="_Toc20243"/>
      <w:bookmarkStart w:id="145" w:name="_Toc22641"/>
      <w:r>
        <w:rPr>
          <w:rFonts w:hint="eastAsia" w:ascii="黑体" w:hAnsi="Times New Roman" w:eastAsia="黑体" w:cs="Times New Roman"/>
          <w:sz w:val="21"/>
          <w:szCs w:val="20"/>
          <w:lang w:bidi="ar"/>
        </w:rPr>
        <w:t>环境检查</w:t>
      </w:r>
      <w:bookmarkEnd w:id="143"/>
      <w:bookmarkEnd w:id="144"/>
      <w:bookmarkEnd w:id="145"/>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无人机在飞行前应对飞行区域天气情况进行检查，天气条件应符合本文件4.1的要求。</w:t>
      </w:r>
    </w:p>
    <w:p>
      <w:pPr>
        <w:pStyle w:val="18"/>
        <w:widowControl w:val="0"/>
        <w:numPr>
          <w:ilvl w:val="0"/>
          <w:numId w:val="16"/>
        </w:numPr>
        <w:autoSpaceDE w:val="0"/>
        <w:autoSpaceDN w:val="0"/>
        <w:spacing w:before="0" w:beforeAutospacing="0" w:after="0" w:afterAutospacing="0"/>
        <w:jc w:val="both"/>
      </w:pPr>
      <w:r>
        <w:rPr>
          <w:rFonts w:hint="eastAsia" w:hAnsi="Times New Roman" w:cs="Times New Roman"/>
          <w:sz w:val="18"/>
          <w:szCs w:val="18"/>
          <w:lang w:bidi="ar"/>
        </w:rPr>
        <w:t>如遇雷暴雨、雾、台风、冰雹等恶劣天气，或风速超过四级的天气条件应延后飞行计划。</w:t>
      </w:r>
    </w:p>
    <w:p>
      <w:pPr>
        <w:pStyle w:val="18"/>
        <w:widowControl w:val="0"/>
        <w:numPr>
          <w:ilvl w:val="3"/>
          <w:numId w:val="8"/>
        </w:numPr>
        <w:spacing w:before="156" w:beforeLines="50" w:beforeAutospacing="0" w:after="156" w:afterLines="50" w:afterAutospacing="0"/>
        <w:jc w:val="both"/>
        <w:outlineLvl w:val="2"/>
        <w:rPr>
          <w:rFonts w:ascii="黑体" w:hAnsi="Times New Roman" w:eastAsia="黑体" w:cs="Times New Roman"/>
          <w:sz w:val="21"/>
          <w:szCs w:val="20"/>
          <w:lang w:bidi="ar"/>
        </w:rPr>
      </w:pPr>
      <w:bookmarkStart w:id="146" w:name="_Toc16626"/>
      <w:bookmarkStart w:id="147" w:name="_Toc22410"/>
      <w:r>
        <w:rPr>
          <w:rFonts w:hint="eastAsia" w:ascii="黑体" w:hAnsi="Times New Roman" w:eastAsia="黑体" w:cs="Times New Roman"/>
          <w:sz w:val="21"/>
          <w:szCs w:val="20"/>
          <w:lang w:bidi="ar"/>
        </w:rPr>
        <w:t>出库检查</w:t>
      </w:r>
      <w:bookmarkEnd w:id="146"/>
      <w:bookmarkEnd w:id="147"/>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无人机经出库登记清点，电池电量应充足，工具齐全无损坏。应及时更新飞行软件、数据库、遥控器、飞行器固件。</w:t>
      </w:r>
    </w:p>
    <w:p>
      <w:pPr>
        <w:pStyle w:val="18"/>
        <w:widowControl w:val="0"/>
        <w:numPr>
          <w:ilvl w:val="3"/>
          <w:numId w:val="8"/>
        </w:numPr>
        <w:spacing w:before="156" w:beforeLines="50" w:beforeAutospacing="0" w:after="156" w:afterLines="50" w:afterAutospacing="0"/>
        <w:jc w:val="both"/>
        <w:outlineLvl w:val="2"/>
      </w:pPr>
      <w:bookmarkStart w:id="148" w:name="_Toc31622"/>
      <w:bookmarkStart w:id="149" w:name="_Toc6731"/>
      <w:bookmarkStart w:id="150" w:name="_Toc24136"/>
      <w:r>
        <w:rPr>
          <w:rFonts w:hint="eastAsia" w:ascii="黑体" w:hAnsi="Times New Roman" w:eastAsia="黑体" w:cs="Times New Roman"/>
          <w:sz w:val="21"/>
          <w:szCs w:val="20"/>
          <w:lang w:bidi="ar"/>
        </w:rPr>
        <w:t>设备装车</w:t>
      </w:r>
      <w:bookmarkEnd w:id="148"/>
      <w:bookmarkEnd w:id="149"/>
      <w:bookmarkEnd w:id="150"/>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装车时合理运用车内空间摆放、固定无人机、设备和工具，在运输途中做好防护工作，避免设备挤压、碰撞，造成损坏。</w:t>
      </w:r>
    </w:p>
    <w:p>
      <w:pPr>
        <w:pStyle w:val="18"/>
        <w:widowControl w:val="0"/>
        <w:numPr>
          <w:ilvl w:val="3"/>
          <w:numId w:val="8"/>
        </w:numPr>
        <w:spacing w:before="156" w:beforeLines="50" w:beforeAutospacing="0" w:after="156" w:afterLines="50" w:afterAutospacing="0"/>
        <w:jc w:val="both"/>
        <w:outlineLvl w:val="2"/>
      </w:pPr>
      <w:bookmarkStart w:id="151" w:name="_Toc18469"/>
      <w:bookmarkStart w:id="152" w:name="_Toc26410"/>
      <w:bookmarkStart w:id="153" w:name="_Toc31774"/>
      <w:r>
        <w:rPr>
          <w:rFonts w:hint="eastAsia" w:ascii="黑体" w:hAnsi="Times New Roman" w:eastAsia="黑体" w:cs="Times New Roman"/>
          <w:sz w:val="21"/>
          <w:szCs w:val="20"/>
          <w:lang w:bidi="ar"/>
        </w:rPr>
        <w:t>人员</w:t>
      </w:r>
      <w:bookmarkEnd w:id="151"/>
      <w:bookmarkEnd w:id="152"/>
      <w:bookmarkEnd w:id="153"/>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参与作业任务的飞控手、辅助作业人员等人员应做好防护，穿戴反光背心等防护工具，随时待命准备出发。</w:t>
      </w:r>
    </w:p>
    <w:p>
      <w:pPr>
        <w:pStyle w:val="18"/>
        <w:numPr>
          <w:ilvl w:val="2"/>
          <w:numId w:val="8"/>
        </w:numPr>
        <w:spacing w:before="156" w:beforeLines="50" w:beforeAutospacing="0" w:after="156" w:afterLines="50" w:afterAutospacing="0"/>
        <w:jc w:val="both"/>
        <w:outlineLvl w:val="1"/>
      </w:pPr>
      <w:bookmarkStart w:id="154" w:name="_Toc15772"/>
      <w:bookmarkStart w:id="155" w:name="_Toc169003071"/>
      <w:bookmarkStart w:id="156" w:name="_Toc179460025"/>
      <w:bookmarkStart w:id="157" w:name="_Toc19124"/>
      <w:bookmarkStart w:id="158" w:name="_Toc178323636"/>
      <w:bookmarkStart w:id="159" w:name="_Toc169006117"/>
      <w:bookmarkStart w:id="160" w:name="_Toc169002735"/>
      <w:bookmarkStart w:id="161" w:name="_Toc169002937"/>
      <w:bookmarkStart w:id="162" w:name="_Toc169002664"/>
      <w:bookmarkStart w:id="163" w:name="_Toc193742984"/>
      <w:bookmarkStart w:id="164" w:name="_Toc179380760"/>
      <w:bookmarkStart w:id="165" w:name="_Toc1698"/>
      <w:bookmarkStart w:id="166" w:name="_Toc188366873"/>
      <w:r>
        <w:rPr>
          <w:rFonts w:hint="eastAsia" w:ascii="黑体" w:hAnsi="Times New Roman" w:eastAsia="黑体" w:cs="Times New Roman"/>
          <w:sz w:val="21"/>
          <w:szCs w:val="20"/>
          <w:lang w:bidi="ar"/>
        </w:rPr>
        <w:t>现场勘查</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18"/>
        <w:widowControl w:val="0"/>
        <w:numPr>
          <w:ilvl w:val="3"/>
          <w:numId w:val="8"/>
        </w:numPr>
        <w:spacing w:before="156" w:beforeLines="50" w:beforeAutospacing="0" w:after="156" w:afterLines="50" w:afterAutospacing="0"/>
        <w:jc w:val="both"/>
        <w:outlineLvl w:val="2"/>
      </w:pPr>
      <w:bookmarkStart w:id="167" w:name="_Toc3167"/>
      <w:bookmarkStart w:id="168" w:name="_Toc6677"/>
      <w:bookmarkStart w:id="169" w:name="_Toc19755"/>
      <w:r>
        <w:rPr>
          <w:rFonts w:hint="eastAsia" w:ascii="黑体" w:hAnsi="Times New Roman" w:eastAsia="黑体" w:cs="Times New Roman"/>
          <w:sz w:val="21"/>
          <w:szCs w:val="20"/>
          <w:lang w:bidi="ar"/>
        </w:rPr>
        <w:t>地形勘查</w:t>
      </w:r>
      <w:bookmarkEnd w:id="167"/>
      <w:bookmarkEnd w:id="168"/>
      <w:bookmarkEnd w:id="169"/>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到达场地后，应观察地形，察看起飞降落场地、行进路线，排除障碍物以及信号磁场的干扰，进行拉距测试检查，确定起降点及备降点，确认返航高度。</w:t>
      </w:r>
    </w:p>
    <w:p>
      <w:pPr>
        <w:pStyle w:val="18"/>
        <w:widowControl w:val="0"/>
        <w:numPr>
          <w:ilvl w:val="3"/>
          <w:numId w:val="8"/>
        </w:numPr>
        <w:spacing w:before="156" w:beforeLines="50" w:beforeAutospacing="0" w:after="156" w:afterLines="50" w:afterAutospacing="0"/>
        <w:jc w:val="both"/>
        <w:outlineLvl w:val="2"/>
      </w:pPr>
      <w:bookmarkStart w:id="170" w:name="_Toc15395"/>
      <w:bookmarkStart w:id="171" w:name="_Toc27835"/>
      <w:bookmarkStart w:id="172" w:name="_Toc24637"/>
      <w:r>
        <w:rPr>
          <w:rFonts w:hint="eastAsia" w:ascii="黑体" w:hAnsi="Times New Roman" w:eastAsia="黑体" w:cs="Times New Roman"/>
          <w:sz w:val="21"/>
          <w:szCs w:val="20"/>
          <w:lang w:bidi="ar"/>
        </w:rPr>
        <w:t>飞行路线设计</w:t>
      </w:r>
      <w:bookmarkEnd w:id="170"/>
      <w:bookmarkEnd w:id="171"/>
      <w:bookmarkEnd w:id="172"/>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确认规划信息，观察风向、风力、场地形状，在飞行前应对飞行地点的田间情况进行了解，设定好飞行路线及飞行方式。</w:t>
      </w:r>
    </w:p>
    <w:p>
      <w:pPr>
        <w:pStyle w:val="18"/>
        <w:widowControl w:val="0"/>
        <w:numPr>
          <w:ilvl w:val="3"/>
          <w:numId w:val="8"/>
        </w:numPr>
        <w:spacing w:before="156" w:beforeLines="50" w:beforeAutospacing="0" w:after="156" w:afterLines="50" w:afterAutospacing="0"/>
        <w:jc w:val="both"/>
        <w:outlineLvl w:val="2"/>
      </w:pPr>
      <w:bookmarkStart w:id="173" w:name="_Toc1146"/>
      <w:bookmarkStart w:id="174" w:name="_Toc21327"/>
      <w:bookmarkStart w:id="175" w:name="_Toc4766"/>
      <w:r>
        <w:rPr>
          <w:rFonts w:hint="eastAsia" w:ascii="黑体" w:hAnsi="Times New Roman" w:eastAsia="黑体" w:cs="Times New Roman"/>
          <w:sz w:val="21"/>
          <w:szCs w:val="20"/>
          <w:lang w:bidi="ar"/>
        </w:rPr>
        <w:t>像控点布设</w:t>
      </w:r>
      <w:bookmarkEnd w:id="173"/>
      <w:bookmarkEnd w:id="174"/>
      <w:bookmarkEnd w:id="175"/>
    </w:p>
    <w:p>
      <w:pPr>
        <w:pStyle w:val="18"/>
        <w:autoSpaceDE w:val="0"/>
        <w:autoSpaceDN w:val="0"/>
        <w:spacing w:before="0" w:beforeAutospacing="0" w:after="0" w:afterAutospacing="0"/>
        <w:ind w:firstLine="420" w:firstLineChars="20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bidi="ar"/>
        </w:rPr>
        <w:t>根据农田采集范围大小，均匀布设5个以上地面像控点。像控点的选点和布设应符合</w:t>
      </w:r>
      <w:r>
        <w:rPr>
          <w:rFonts w:hint="eastAsia" w:asciiTheme="minorEastAsia" w:hAnsiTheme="minorEastAsia" w:eastAsiaTheme="minorEastAsia" w:cstheme="minorEastAsia"/>
          <w:sz w:val="21"/>
          <w:szCs w:val="21"/>
          <w:lang w:bidi="ar"/>
        </w:rPr>
        <w:t>GB/T 39612</w:t>
      </w:r>
      <w:r>
        <w:rPr>
          <w:rFonts w:hint="eastAsia" w:asciiTheme="minorEastAsia" w:hAnsiTheme="minorEastAsia" w:eastAsiaTheme="minorEastAsia" w:cstheme="minorEastAsia"/>
          <w:color w:val="000000"/>
          <w:sz w:val="21"/>
          <w:szCs w:val="21"/>
          <w:lang w:bidi="ar"/>
        </w:rPr>
        <w:t>的要求。</w:t>
      </w:r>
    </w:p>
    <w:p>
      <w:pPr>
        <w:pStyle w:val="18"/>
        <w:numPr>
          <w:ilvl w:val="2"/>
          <w:numId w:val="8"/>
        </w:numPr>
        <w:spacing w:before="156" w:beforeLines="50" w:beforeAutospacing="0" w:after="156" w:afterLines="50" w:afterAutospacing="0"/>
        <w:jc w:val="both"/>
        <w:outlineLvl w:val="1"/>
      </w:pPr>
      <w:bookmarkStart w:id="176" w:name="_Toc179380761"/>
      <w:bookmarkStart w:id="177" w:name="_Toc22355"/>
      <w:bookmarkStart w:id="178" w:name="_Toc14594"/>
      <w:bookmarkStart w:id="179" w:name="_Toc179460026"/>
      <w:bookmarkStart w:id="180" w:name="_Toc188366874"/>
      <w:bookmarkStart w:id="181" w:name="_Toc25019"/>
      <w:bookmarkStart w:id="182" w:name="_Toc193742985"/>
      <w:r>
        <w:rPr>
          <w:rFonts w:hint="eastAsia" w:ascii="黑体" w:hAnsi="Times New Roman" w:eastAsia="黑体" w:cs="Times New Roman"/>
          <w:sz w:val="21"/>
          <w:szCs w:val="20"/>
          <w:lang w:bidi="ar"/>
        </w:rPr>
        <w:t>无人机系统检查</w:t>
      </w:r>
      <w:bookmarkEnd w:id="176"/>
      <w:bookmarkEnd w:id="177"/>
      <w:bookmarkEnd w:id="178"/>
      <w:bookmarkEnd w:id="179"/>
      <w:bookmarkEnd w:id="180"/>
      <w:bookmarkEnd w:id="181"/>
      <w:bookmarkEnd w:id="182"/>
    </w:p>
    <w:p>
      <w:pPr>
        <w:pStyle w:val="18"/>
        <w:widowControl w:val="0"/>
        <w:numPr>
          <w:ilvl w:val="3"/>
          <w:numId w:val="8"/>
        </w:numPr>
        <w:spacing w:before="156" w:beforeLines="50" w:beforeAutospacing="0" w:after="156" w:afterLines="50" w:afterAutospacing="0"/>
        <w:jc w:val="both"/>
        <w:outlineLvl w:val="2"/>
      </w:pPr>
      <w:bookmarkStart w:id="183" w:name="_Toc7671"/>
      <w:bookmarkStart w:id="184" w:name="_Toc30431"/>
      <w:bookmarkStart w:id="185" w:name="_Toc29960"/>
      <w:r>
        <w:rPr>
          <w:rFonts w:hint="eastAsia" w:ascii="黑体" w:hAnsi="Times New Roman" w:eastAsia="黑体" w:cs="Times New Roman"/>
          <w:sz w:val="21"/>
          <w:szCs w:val="20"/>
          <w:lang w:bidi="ar"/>
        </w:rPr>
        <w:t>无人机系统构成</w:t>
      </w:r>
      <w:bookmarkEnd w:id="183"/>
      <w:bookmarkEnd w:id="184"/>
      <w:bookmarkEnd w:id="185"/>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无人机系统构成包括但不限于以下部分：</w:t>
      </w:r>
    </w:p>
    <w:p>
      <w:pPr>
        <w:pStyle w:val="79"/>
        <w:numPr>
          <w:ilvl w:val="0"/>
          <w:numId w:val="0"/>
        </w:numPr>
        <w:ind w:left="425"/>
        <w:rPr>
          <w:rFonts w:hint="default"/>
        </w:rPr>
      </w:pPr>
      <w:r>
        <w:rPr>
          <w:rFonts w:ascii="黑体" w:hAnsi="黑体" w:eastAsia="黑体" w:cs="黑体"/>
        </w:rPr>
        <w:t>——</w:t>
      </w:r>
      <w:r>
        <w:t>飞行控制系统；</w:t>
      </w:r>
    </w:p>
    <w:p>
      <w:pPr>
        <w:pStyle w:val="79"/>
        <w:numPr>
          <w:ilvl w:val="0"/>
          <w:numId w:val="0"/>
        </w:numPr>
        <w:ind w:left="425"/>
        <w:rPr>
          <w:rFonts w:hint="default"/>
        </w:rPr>
      </w:pPr>
      <w:r>
        <w:rPr>
          <w:rFonts w:ascii="黑体" w:hAnsi="黑体" w:eastAsia="黑体" w:cs="黑体"/>
        </w:rPr>
        <w:t>——</w:t>
      </w:r>
      <w:r>
        <w:t>动力系统；</w:t>
      </w:r>
    </w:p>
    <w:p>
      <w:pPr>
        <w:pStyle w:val="79"/>
        <w:numPr>
          <w:ilvl w:val="0"/>
          <w:numId w:val="0"/>
        </w:numPr>
        <w:ind w:left="425"/>
        <w:rPr>
          <w:rFonts w:hint="default"/>
        </w:rPr>
      </w:pPr>
      <w:r>
        <w:rPr>
          <w:rFonts w:ascii="黑体" w:hAnsi="黑体" w:eastAsia="黑体" w:cs="黑体"/>
        </w:rPr>
        <w:t>——</w:t>
      </w:r>
      <w:r>
        <w:t>控制站；</w:t>
      </w:r>
    </w:p>
    <w:p>
      <w:pPr>
        <w:pStyle w:val="79"/>
        <w:numPr>
          <w:ilvl w:val="0"/>
          <w:numId w:val="0"/>
        </w:numPr>
        <w:ind w:left="425"/>
        <w:rPr>
          <w:rFonts w:hint="default"/>
        </w:rPr>
      </w:pPr>
      <w:r>
        <w:rPr>
          <w:rFonts w:ascii="黑体" w:hAnsi="黑体" w:eastAsia="黑体" w:cs="黑体"/>
        </w:rPr>
        <w:t>——</w:t>
      </w:r>
      <w:r>
        <w:t>通信导航系统；</w:t>
      </w:r>
    </w:p>
    <w:p>
      <w:pPr>
        <w:pStyle w:val="79"/>
        <w:numPr>
          <w:ilvl w:val="0"/>
          <w:numId w:val="0"/>
        </w:numPr>
        <w:ind w:left="425"/>
        <w:rPr>
          <w:rFonts w:hint="default"/>
        </w:rPr>
      </w:pPr>
      <w:r>
        <w:rPr>
          <w:rFonts w:ascii="黑体" w:hAnsi="黑体" w:eastAsia="黑体" w:cs="黑体"/>
        </w:rPr>
        <w:t>——</w:t>
      </w:r>
      <w:r>
        <w:t>任务载荷系统。</w:t>
      </w:r>
    </w:p>
    <w:p>
      <w:pPr>
        <w:pStyle w:val="18"/>
        <w:widowControl w:val="0"/>
        <w:numPr>
          <w:ilvl w:val="3"/>
          <w:numId w:val="8"/>
        </w:numPr>
        <w:spacing w:before="156" w:beforeLines="50" w:beforeAutospacing="0" w:after="156" w:afterLines="50" w:afterAutospacing="0"/>
        <w:jc w:val="both"/>
        <w:outlineLvl w:val="2"/>
      </w:pPr>
      <w:bookmarkStart w:id="186" w:name="_Toc32410"/>
      <w:bookmarkStart w:id="187" w:name="_Toc22880"/>
      <w:bookmarkStart w:id="188" w:name="_Toc6749"/>
      <w:r>
        <w:rPr>
          <w:rFonts w:hint="eastAsia" w:ascii="黑体" w:hAnsi="Times New Roman" w:eastAsia="黑体" w:cs="Times New Roman"/>
          <w:sz w:val="21"/>
          <w:szCs w:val="20"/>
          <w:lang w:bidi="ar"/>
        </w:rPr>
        <w:t>飞行控制系统检查</w:t>
      </w:r>
      <w:bookmarkEnd w:id="186"/>
      <w:bookmarkEnd w:id="187"/>
      <w:bookmarkEnd w:id="188"/>
    </w:p>
    <w:p>
      <w:pPr>
        <w:pStyle w:val="81"/>
        <w:numPr>
          <w:ilvl w:val="4"/>
          <w:numId w:val="8"/>
        </w:numPr>
        <w:spacing w:before="156" w:after="156"/>
        <w:rPr>
          <w:rFonts w:hint="default"/>
        </w:rPr>
      </w:pPr>
      <w:r>
        <w:t>主机检查</w:t>
      </w:r>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主机主体支架及各零配件应牢固无损坏，连接处、螺丝不应有松动，若有松动应及时进行加固，若有损坏应及时维修或更换，若无法加固或维修更换则应取消飞行计划。</w:t>
      </w:r>
    </w:p>
    <w:p>
      <w:pPr>
        <w:pStyle w:val="81"/>
        <w:numPr>
          <w:ilvl w:val="4"/>
          <w:numId w:val="8"/>
        </w:numPr>
        <w:spacing w:before="156" w:after="156"/>
        <w:rPr>
          <w:rFonts w:hint="default"/>
        </w:rPr>
      </w:pPr>
      <w:r>
        <w:t>飞控模块</w:t>
      </w:r>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检查主控芯片散热是否正常，无物理损伤或腐蚀；确认IMU（惯性测量单元）安装牢固，减震海绵无老化。</w:t>
      </w:r>
    </w:p>
    <w:p>
      <w:pPr>
        <w:pStyle w:val="81"/>
        <w:numPr>
          <w:ilvl w:val="4"/>
          <w:numId w:val="8"/>
        </w:numPr>
        <w:spacing w:before="156" w:after="156"/>
        <w:rPr>
          <w:rFonts w:hint="default"/>
        </w:rPr>
      </w:pPr>
      <w:r>
        <w:t>传感器校准</w:t>
      </w:r>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飞行前应完成陀螺仪、加速度计、磁罗盘三轴校准。</w:t>
      </w:r>
    </w:p>
    <w:p>
      <w:pPr>
        <w:pStyle w:val="81"/>
        <w:numPr>
          <w:ilvl w:val="4"/>
          <w:numId w:val="8"/>
        </w:numPr>
        <w:spacing w:before="156" w:after="156"/>
        <w:rPr>
          <w:rFonts w:hint="default"/>
        </w:rPr>
      </w:pPr>
      <w:r>
        <w:t>固件版本</w:t>
      </w:r>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验证飞控固件为官方最新稳定版本，检查飞控日志中无历史故障代码。</w:t>
      </w:r>
    </w:p>
    <w:p>
      <w:pPr>
        <w:pStyle w:val="81"/>
        <w:numPr>
          <w:ilvl w:val="4"/>
          <w:numId w:val="8"/>
        </w:numPr>
        <w:spacing w:before="156" w:after="156"/>
        <w:rPr>
          <w:rFonts w:hint="default"/>
        </w:rPr>
      </w:pPr>
      <w:r>
        <w:t>电源接线检查</w:t>
      </w:r>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各部件电源接线应连接正确无损坏，连接错误应对其进行正确调整，损坏应进行更换。</w:t>
      </w:r>
    </w:p>
    <w:p>
      <w:pPr>
        <w:pStyle w:val="81"/>
        <w:numPr>
          <w:ilvl w:val="4"/>
          <w:numId w:val="8"/>
        </w:numPr>
        <w:spacing w:before="156" w:after="156"/>
        <w:rPr>
          <w:rFonts w:hint="default"/>
        </w:rPr>
      </w:pPr>
      <w:r>
        <w:t>遥控器检查</w:t>
      </w:r>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遥控器电池电量应充足，安装正确，遥控器功能正常。</w:t>
      </w:r>
    </w:p>
    <w:p>
      <w:pPr>
        <w:pStyle w:val="81"/>
        <w:numPr>
          <w:ilvl w:val="4"/>
          <w:numId w:val="8"/>
        </w:numPr>
        <w:spacing w:before="156" w:after="156"/>
        <w:rPr>
          <w:rFonts w:hint="default"/>
        </w:rPr>
      </w:pPr>
      <w:r>
        <w:t>信号检查</w:t>
      </w:r>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连接无人机电池后，无人机功能及信号灯闪烁应正常。</w:t>
      </w:r>
    </w:p>
    <w:p>
      <w:pPr>
        <w:pStyle w:val="18"/>
        <w:widowControl w:val="0"/>
        <w:numPr>
          <w:ilvl w:val="3"/>
          <w:numId w:val="8"/>
        </w:numPr>
        <w:spacing w:before="156" w:beforeLines="50" w:beforeAutospacing="0" w:after="156" w:afterLines="50" w:afterAutospacing="0"/>
        <w:jc w:val="both"/>
        <w:outlineLvl w:val="2"/>
      </w:pPr>
      <w:bookmarkStart w:id="189" w:name="_Toc11120"/>
      <w:bookmarkStart w:id="190" w:name="_Toc26149"/>
      <w:bookmarkStart w:id="191" w:name="_Toc8950"/>
      <w:r>
        <w:rPr>
          <w:rFonts w:hint="eastAsia" w:ascii="黑体" w:hAnsi="Times New Roman" w:eastAsia="黑体" w:cs="Times New Roman"/>
          <w:sz w:val="21"/>
          <w:szCs w:val="20"/>
          <w:lang w:bidi="ar"/>
        </w:rPr>
        <w:t>动力系统检查</w:t>
      </w:r>
      <w:bookmarkEnd w:id="189"/>
      <w:bookmarkEnd w:id="190"/>
      <w:bookmarkEnd w:id="191"/>
    </w:p>
    <w:p>
      <w:pPr>
        <w:pStyle w:val="81"/>
        <w:numPr>
          <w:ilvl w:val="4"/>
          <w:numId w:val="8"/>
        </w:numPr>
        <w:spacing w:before="156" w:after="156"/>
        <w:rPr>
          <w:rFonts w:hint="default"/>
        </w:rPr>
      </w:pPr>
      <w:r>
        <w:t>螺旋桨检查</w:t>
      </w:r>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浆翼应安装正确、没有损坏、安装牢固，桨叶表面无划痕，根部无裂纹，检查若出现错误或损坏现象应及时更换，不牢固应及时加固。</w:t>
      </w:r>
    </w:p>
    <w:p>
      <w:pPr>
        <w:pStyle w:val="81"/>
        <w:numPr>
          <w:ilvl w:val="4"/>
          <w:numId w:val="8"/>
        </w:numPr>
        <w:spacing w:before="156" w:after="156"/>
        <w:rPr>
          <w:rFonts w:hint="default"/>
        </w:rPr>
      </w:pPr>
      <w:r>
        <w:t>电机检查</w:t>
      </w:r>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电机应牢固无损坏，若损坏应及时维修、更换，松动应进行加固。</w:t>
      </w:r>
    </w:p>
    <w:p>
      <w:pPr>
        <w:pStyle w:val="81"/>
        <w:numPr>
          <w:ilvl w:val="4"/>
          <w:numId w:val="8"/>
        </w:numPr>
        <w:spacing w:before="156" w:after="156"/>
        <w:rPr>
          <w:rFonts w:hint="default"/>
        </w:rPr>
      </w:pPr>
      <w:r>
        <w:t>电调检查</w:t>
      </w:r>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电调应完好无损，若有损坏应进行更换。</w:t>
      </w:r>
    </w:p>
    <w:p>
      <w:pPr>
        <w:pStyle w:val="81"/>
        <w:numPr>
          <w:ilvl w:val="4"/>
          <w:numId w:val="8"/>
        </w:numPr>
        <w:spacing w:before="156" w:after="156"/>
        <w:rPr>
          <w:rFonts w:hint="default"/>
        </w:rPr>
      </w:pPr>
      <w:r>
        <w:t>电池电量检查</w:t>
      </w:r>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无人机的电池电量应充足无异常，保证飞行顺利进行。</w:t>
      </w:r>
    </w:p>
    <w:p>
      <w:pPr>
        <w:pStyle w:val="18"/>
        <w:widowControl w:val="0"/>
        <w:numPr>
          <w:ilvl w:val="3"/>
          <w:numId w:val="8"/>
        </w:numPr>
        <w:spacing w:before="156" w:beforeLines="50" w:beforeAutospacing="0" w:after="156" w:afterLines="50" w:afterAutospacing="0"/>
        <w:jc w:val="both"/>
        <w:outlineLvl w:val="2"/>
      </w:pPr>
      <w:bookmarkStart w:id="192" w:name="_Toc5490"/>
      <w:bookmarkStart w:id="193" w:name="_Toc16303"/>
      <w:bookmarkStart w:id="194" w:name="_Toc11071"/>
      <w:r>
        <w:rPr>
          <w:rFonts w:hint="eastAsia" w:ascii="黑体" w:hAnsi="Times New Roman" w:eastAsia="黑体" w:cs="Times New Roman"/>
          <w:sz w:val="21"/>
          <w:szCs w:val="20"/>
          <w:lang w:bidi="ar"/>
        </w:rPr>
        <w:t>控制站检查</w:t>
      </w:r>
      <w:bookmarkEnd w:id="192"/>
      <w:bookmarkEnd w:id="193"/>
      <w:bookmarkEnd w:id="194"/>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地面控制软件正常运行，指令响应延迟＜500</w:t>
      </w:r>
      <w:r>
        <w:rPr>
          <w:rFonts w:hint="eastAsia" w:hAnsi="Times New Roman" w:cs="Times New Roman"/>
          <w:sz w:val="21"/>
          <w:szCs w:val="20"/>
          <w:lang w:val="en-US" w:eastAsia="zh-CN" w:bidi="ar"/>
        </w:rPr>
        <w:t xml:space="preserve"> </w:t>
      </w:r>
      <w:r>
        <w:rPr>
          <w:rFonts w:hint="eastAsia" w:hAnsi="Times New Roman" w:cs="Times New Roman"/>
          <w:sz w:val="21"/>
          <w:szCs w:val="20"/>
          <w:lang w:bidi="ar"/>
        </w:rPr>
        <w:t>ms；遥控器硬件功能正常；数据传输链路稳定。</w:t>
      </w:r>
    </w:p>
    <w:p>
      <w:pPr>
        <w:pStyle w:val="18"/>
        <w:widowControl w:val="0"/>
        <w:numPr>
          <w:ilvl w:val="3"/>
          <w:numId w:val="8"/>
        </w:numPr>
        <w:spacing w:before="156" w:beforeLines="50" w:beforeAutospacing="0" w:after="156" w:afterLines="50" w:afterAutospacing="0"/>
        <w:jc w:val="both"/>
        <w:outlineLvl w:val="2"/>
      </w:pPr>
      <w:bookmarkStart w:id="195" w:name="_Toc16632"/>
      <w:bookmarkStart w:id="196" w:name="_Toc3195"/>
      <w:bookmarkStart w:id="197" w:name="_Toc18487"/>
      <w:r>
        <w:rPr>
          <w:rFonts w:hint="eastAsia" w:ascii="黑体" w:hAnsi="Times New Roman" w:eastAsia="黑体" w:cs="Times New Roman"/>
          <w:sz w:val="21"/>
          <w:szCs w:val="20"/>
          <w:lang w:bidi="ar"/>
        </w:rPr>
        <w:t>通信导航系统检查</w:t>
      </w:r>
      <w:bookmarkEnd w:id="195"/>
      <w:bookmarkEnd w:id="196"/>
      <w:bookmarkEnd w:id="197"/>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确保定位系统正常运行，通信链路接收稳定。</w:t>
      </w:r>
    </w:p>
    <w:p>
      <w:pPr>
        <w:pStyle w:val="18"/>
        <w:widowControl w:val="0"/>
        <w:numPr>
          <w:ilvl w:val="3"/>
          <w:numId w:val="8"/>
        </w:numPr>
        <w:spacing w:before="156" w:beforeLines="50" w:beforeAutospacing="0" w:after="156" w:afterLines="50" w:afterAutospacing="0"/>
        <w:jc w:val="both"/>
        <w:outlineLvl w:val="2"/>
      </w:pPr>
      <w:bookmarkStart w:id="198" w:name="_Toc26991"/>
      <w:bookmarkStart w:id="199" w:name="_Toc10664"/>
      <w:bookmarkStart w:id="200" w:name="_Toc2087"/>
      <w:r>
        <w:rPr>
          <w:rFonts w:hint="eastAsia" w:ascii="黑体" w:hAnsi="Times New Roman" w:eastAsia="黑体" w:cs="Times New Roman"/>
          <w:sz w:val="21"/>
          <w:szCs w:val="20"/>
          <w:lang w:bidi="ar"/>
        </w:rPr>
        <w:t>任务载荷系统检查</w:t>
      </w:r>
      <w:bookmarkEnd w:id="198"/>
      <w:bookmarkEnd w:id="199"/>
      <w:bookmarkEnd w:id="200"/>
    </w:p>
    <w:p>
      <w:pPr>
        <w:pStyle w:val="18"/>
        <w:autoSpaceDE w:val="0"/>
        <w:autoSpaceDN w:val="0"/>
        <w:spacing w:before="0" w:beforeAutospacing="0" w:after="0" w:afterAutospacing="0"/>
        <w:ind w:firstLine="420" w:firstLineChars="200"/>
        <w:jc w:val="both"/>
        <w:rPr>
          <w:rFonts w:hAnsi="Times New Roman" w:cs="Times New Roman"/>
          <w:sz w:val="21"/>
          <w:szCs w:val="20"/>
          <w:lang w:bidi="ar"/>
        </w:rPr>
      </w:pPr>
      <w:r>
        <w:rPr>
          <w:rFonts w:hint="eastAsia" w:hAnsi="Times New Roman" w:cs="Times New Roman"/>
          <w:sz w:val="21"/>
          <w:szCs w:val="20"/>
          <w:lang w:bidi="ar"/>
        </w:rPr>
        <w:t>确保传感器单元与云台系统等均运行正常。</w:t>
      </w:r>
    </w:p>
    <w:p>
      <w:pPr>
        <w:pStyle w:val="18"/>
        <w:numPr>
          <w:ilvl w:val="2"/>
          <w:numId w:val="8"/>
        </w:numPr>
        <w:spacing w:before="156" w:beforeLines="50" w:beforeAutospacing="0" w:after="156" w:afterLines="50" w:afterAutospacing="0"/>
        <w:jc w:val="both"/>
        <w:outlineLvl w:val="1"/>
        <w:rPr>
          <w:rFonts w:ascii="黑体" w:hAnsi="Times New Roman" w:eastAsia="黑体" w:cs="Times New Roman"/>
          <w:sz w:val="21"/>
          <w:szCs w:val="20"/>
          <w:lang w:bidi="ar"/>
        </w:rPr>
      </w:pPr>
      <w:bookmarkStart w:id="201" w:name="_Toc13113"/>
      <w:bookmarkStart w:id="202" w:name="_Toc9951"/>
      <w:r>
        <w:rPr>
          <w:rFonts w:hint="eastAsia" w:ascii="黑体" w:hAnsi="Times New Roman" w:eastAsia="黑体" w:cs="Times New Roman"/>
          <w:sz w:val="21"/>
          <w:szCs w:val="20"/>
          <w:lang w:bidi="ar"/>
        </w:rPr>
        <w:t>信息采集系统检查</w:t>
      </w:r>
      <w:bookmarkEnd w:id="201"/>
      <w:bookmarkEnd w:id="202"/>
    </w:p>
    <w:p>
      <w:pPr>
        <w:pStyle w:val="18"/>
        <w:widowControl w:val="0"/>
        <w:numPr>
          <w:ilvl w:val="3"/>
          <w:numId w:val="8"/>
        </w:numPr>
        <w:spacing w:before="156" w:beforeLines="50" w:beforeAutospacing="0" w:after="156" w:afterLines="50" w:afterAutospacing="0"/>
        <w:jc w:val="both"/>
        <w:outlineLvl w:val="2"/>
        <w:rPr>
          <w:rFonts w:ascii="黑体" w:hAnsi="Times New Roman" w:eastAsia="黑体" w:cs="Times New Roman"/>
          <w:sz w:val="21"/>
          <w:szCs w:val="20"/>
          <w:lang w:bidi="ar"/>
        </w:rPr>
      </w:pPr>
      <w:bookmarkStart w:id="203" w:name="_Toc8979"/>
      <w:bookmarkStart w:id="204" w:name="_Toc21174"/>
      <w:r>
        <w:rPr>
          <w:rFonts w:hint="eastAsia" w:ascii="黑体" w:hAnsi="Times New Roman" w:eastAsia="黑体" w:cs="Times New Roman"/>
          <w:sz w:val="21"/>
          <w:szCs w:val="20"/>
          <w:lang w:bidi="ar"/>
        </w:rPr>
        <w:t>设备安装</w:t>
      </w:r>
      <w:bookmarkEnd w:id="203"/>
      <w:bookmarkEnd w:id="204"/>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根据不同的飞行任务，在无人机云台上安装高清相机、光谱相机、热成像仪或者雷达等。</w:t>
      </w:r>
    </w:p>
    <w:p>
      <w:pPr>
        <w:pStyle w:val="18"/>
        <w:widowControl w:val="0"/>
        <w:numPr>
          <w:ilvl w:val="0"/>
          <w:numId w:val="16"/>
        </w:numPr>
        <w:autoSpaceDE w:val="0"/>
        <w:autoSpaceDN w:val="0"/>
        <w:spacing w:before="0" w:beforeAutospacing="0" w:after="0" w:afterAutospacing="0"/>
        <w:jc w:val="both"/>
      </w:pPr>
      <w:r>
        <w:rPr>
          <w:rFonts w:hint="eastAsia" w:hAnsi="Times New Roman" w:cs="Times New Roman"/>
          <w:sz w:val="18"/>
          <w:szCs w:val="18"/>
          <w:lang w:bidi="ar"/>
        </w:rPr>
        <w:t>光谱相机安装完成后应进行白板校正。</w:t>
      </w:r>
    </w:p>
    <w:p>
      <w:pPr>
        <w:pStyle w:val="18"/>
        <w:widowControl w:val="0"/>
        <w:numPr>
          <w:ilvl w:val="3"/>
          <w:numId w:val="8"/>
        </w:numPr>
        <w:spacing w:before="156" w:beforeLines="50" w:beforeAutospacing="0" w:after="156" w:afterLines="50" w:afterAutospacing="0"/>
        <w:jc w:val="both"/>
        <w:outlineLvl w:val="2"/>
        <w:rPr>
          <w:rFonts w:ascii="黑体" w:hAnsi="Times New Roman" w:eastAsia="黑体" w:cs="Times New Roman"/>
          <w:sz w:val="21"/>
          <w:szCs w:val="20"/>
          <w:lang w:bidi="ar"/>
        </w:rPr>
      </w:pPr>
      <w:bookmarkStart w:id="205" w:name="_Toc26501"/>
      <w:bookmarkStart w:id="206" w:name="_Toc16306"/>
      <w:r>
        <w:rPr>
          <w:rFonts w:hint="eastAsia" w:ascii="黑体" w:hAnsi="Times New Roman" w:eastAsia="黑体" w:cs="Times New Roman"/>
          <w:sz w:val="21"/>
          <w:szCs w:val="20"/>
          <w:lang w:bidi="ar"/>
        </w:rPr>
        <w:t>配件检查</w:t>
      </w:r>
      <w:bookmarkEnd w:id="205"/>
      <w:bookmarkEnd w:id="206"/>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设备、云台应连接准确，数据传输正常，无人机飞行状况正常。</w:t>
      </w:r>
    </w:p>
    <w:p>
      <w:pPr>
        <w:pStyle w:val="18"/>
        <w:widowControl w:val="0"/>
        <w:numPr>
          <w:ilvl w:val="3"/>
          <w:numId w:val="8"/>
        </w:numPr>
        <w:spacing w:before="156" w:beforeLines="50" w:beforeAutospacing="0" w:after="156" w:afterLines="50" w:afterAutospacing="0"/>
        <w:jc w:val="both"/>
        <w:outlineLvl w:val="2"/>
        <w:rPr>
          <w:rFonts w:ascii="黑体" w:hAnsi="Times New Roman" w:eastAsia="黑体" w:cs="Times New Roman"/>
          <w:sz w:val="21"/>
          <w:szCs w:val="20"/>
          <w:lang w:bidi="ar"/>
        </w:rPr>
      </w:pPr>
      <w:bookmarkStart w:id="207" w:name="_Toc26783"/>
      <w:bookmarkStart w:id="208" w:name="_Toc22119"/>
      <w:r>
        <w:rPr>
          <w:rFonts w:hint="eastAsia" w:ascii="黑体" w:hAnsi="Times New Roman" w:eastAsia="黑体" w:cs="Times New Roman"/>
          <w:sz w:val="21"/>
          <w:szCs w:val="20"/>
          <w:lang w:bidi="ar"/>
        </w:rPr>
        <w:t>设备调试</w:t>
      </w:r>
      <w:bookmarkEnd w:id="207"/>
      <w:bookmarkEnd w:id="208"/>
    </w:p>
    <w:p>
      <w:pPr>
        <w:pStyle w:val="18"/>
        <w:autoSpaceDE w:val="0"/>
        <w:autoSpaceDN w:val="0"/>
        <w:spacing w:before="0" w:beforeAutospacing="0" w:after="0" w:afterAutospacing="0"/>
        <w:ind w:firstLine="420" w:firstLineChars="200"/>
        <w:jc w:val="both"/>
        <w:rPr>
          <w:rFonts w:hAnsi="Times New Roman" w:cs="Times New Roman"/>
          <w:sz w:val="21"/>
          <w:szCs w:val="20"/>
          <w:lang w:bidi="ar"/>
        </w:rPr>
      </w:pPr>
      <w:r>
        <w:rPr>
          <w:rFonts w:hint="eastAsia" w:hAnsi="Times New Roman" w:cs="Times New Roman"/>
          <w:sz w:val="21"/>
          <w:szCs w:val="20"/>
          <w:lang w:bidi="ar"/>
        </w:rPr>
        <w:t>对无人机及无人机信息采集系统进行采集工作前调试。若出现异常情况，应及时进行调整，调试正常后投入使用。</w:t>
      </w:r>
    </w:p>
    <w:p>
      <w:pPr>
        <w:pStyle w:val="18"/>
        <w:numPr>
          <w:ilvl w:val="2"/>
          <w:numId w:val="8"/>
        </w:numPr>
        <w:spacing w:before="156" w:beforeLines="50" w:beforeAutospacing="0" w:after="156" w:afterLines="50" w:afterAutospacing="0"/>
        <w:jc w:val="both"/>
        <w:outlineLvl w:val="1"/>
        <w:rPr>
          <w:rFonts w:ascii="黑体" w:hAnsi="Times New Roman" w:eastAsia="黑体" w:cs="Times New Roman"/>
          <w:sz w:val="21"/>
          <w:szCs w:val="20"/>
          <w:lang w:bidi="ar"/>
        </w:rPr>
      </w:pPr>
      <w:bookmarkStart w:id="209" w:name="_Toc11194"/>
      <w:bookmarkStart w:id="210" w:name="_Toc6832"/>
      <w:r>
        <w:rPr>
          <w:rFonts w:hint="eastAsia" w:ascii="黑体" w:hAnsi="Times New Roman" w:eastAsia="黑体" w:cs="Times New Roman"/>
          <w:sz w:val="21"/>
          <w:szCs w:val="20"/>
          <w:lang w:bidi="ar"/>
        </w:rPr>
        <w:t>应急预案</w:t>
      </w:r>
      <w:bookmarkEnd w:id="209"/>
      <w:bookmarkEnd w:id="210"/>
    </w:p>
    <w:p>
      <w:pPr>
        <w:pStyle w:val="18"/>
        <w:autoSpaceDE w:val="0"/>
        <w:autoSpaceDN w:val="0"/>
        <w:spacing w:before="0" w:beforeAutospacing="0" w:after="0" w:afterAutospacing="0"/>
        <w:ind w:firstLine="420" w:firstLineChars="200"/>
        <w:jc w:val="both"/>
        <w:rPr>
          <w:rFonts w:hAnsi="Times New Roman" w:cs="Times New Roman"/>
          <w:sz w:val="21"/>
          <w:szCs w:val="20"/>
          <w:lang w:bidi="ar"/>
        </w:rPr>
      </w:pPr>
      <w:r>
        <w:rPr>
          <w:rFonts w:hAnsi="Times New Roman" w:cs="Times New Roman"/>
          <w:sz w:val="21"/>
          <w:szCs w:val="20"/>
          <w:lang w:bidi="ar"/>
        </w:rPr>
        <w:t>针对环境突变、设备损坏等突发情况，作业前应制定应急预案，保证作业人员及设备的安全。应急预案包括无人机故障、人员伤亡等相关应对措施。</w:t>
      </w:r>
    </w:p>
    <w:p>
      <w:pPr>
        <w:pStyle w:val="18"/>
        <w:numPr>
          <w:ilvl w:val="1"/>
          <w:numId w:val="8"/>
        </w:numPr>
        <w:spacing w:before="312" w:beforeLines="100" w:beforeAutospacing="0" w:after="312" w:afterLines="100" w:afterAutospacing="0"/>
        <w:jc w:val="both"/>
        <w:outlineLvl w:val="0"/>
      </w:pPr>
      <w:bookmarkStart w:id="211" w:name="_Toc16977"/>
      <w:bookmarkStart w:id="212" w:name="_Toc169002741"/>
      <w:bookmarkStart w:id="213" w:name="_Toc169003077"/>
      <w:bookmarkStart w:id="214" w:name="_Toc179460028"/>
      <w:bookmarkStart w:id="215" w:name="_Toc178323642"/>
      <w:bookmarkStart w:id="216" w:name="_Toc169002943"/>
      <w:bookmarkStart w:id="217" w:name="_Toc193742986"/>
      <w:bookmarkStart w:id="218" w:name="_Toc179380763"/>
      <w:bookmarkStart w:id="219" w:name="_Toc21123"/>
      <w:bookmarkStart w:id="220" w:name="_Toc188366876"/>
      <w:bookmarkStart w:id="221" w:name="_Toc169002670"/>
      <w:bookmarkStart w:id="222" w:name="_Toc169006123"/>
      <w:bookmarkStart w:id="223" w:name="_Toc2073"/>
      <w:r>
        <w:rPr>
          <w:rFonts w:hint="eastAsia" w:ascii="黑体" w:hAnsi="Times New Roman" w:eastAsia="黑体" w:cs="Times New Roman"/>
          <w:sz w:val="21"/>
          <w:szCs w:val="20"/>
          <w:lang w:bidi="ar"/>
        </w:rPr>
        <w:t>信息采集作业</w:t>
      </w:r>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18"/>
        <w:numPr>
          <w:ilvl w:val="2"/>
          <w:numId w:val="8"/>
        </w:numPr>
        <w:spacing w:before="156" w:beforeLines="50" w:beforeAutospacing="0" w:after="156" w:afterLines="50" w:afterAutospacing="0"/>
        <w:jc w:val="both"/>
        <w:outlineLvl w:val="1"/>
      </w:pPr>
      <w:bookmarkStart w:id="224" w:name="_Toc4099"/>
      <w:bookmarkStart w:id="225" w:name="_Toc188366877"/>
      <w:bookmarkStart w:id="226" w:name="_Toc179460029"/>
      <w:bookmarkStart w:id="227" w:name="_Toc14370"/>
      <w:bookmarkStart w:id="228" w:name="_Toc9187"/>
      <w:bookmarkStart w:id="229" w:name="_Toc193742987"/>
      <w:r>
        <w:rPr>
          <w:rFonts w:hint="eastAsia" w:ascii="黑体" w:hAnsi="Times New Roman" w:eastAsia="黑体" w:cs="Times New Roman"/>
          <w:sz w:val="21"/>
          <w:szCs w:val="20"/>
          <w:lang w:bidi="ar"/>
        </w:rPr>
        <w:t>飞行作业</w:t>
      </w:r>
      <w:bookmarkEnd w:id="224"/>
      <w:bookmarkEnd w:id="225"/>
      <w:bookmarkEnd w:id="226"/>
      <w:bookmarkEnd w:id="227"/>
      <w:bookmarkEnd w:id="228"/>
      <w:bookmarkEnd w:id="229"/>
    </w:p>
    <w:p>
      <w:pPr>
        <w:pStyle w:val="18"/>
        <w:widowControl w:val="0"/>
        <w:numPr>
          <w:ilvl w:val="3"/>
          <w:numId w:val="8"/>
        </w:numPr>
        <w:spacing w:before="156" w:beforeLines="50" w:beforeAutospacing="0" w:after="156" w:afterLines="50" w:afterAutospacing="0"/>
        <w:jc w:val="both"/>
        <w:outlineLvl w:val="2"/>
      </w:pPr>
      <w:bookmarkStart w:id="230" w:name="_Toc4391"/>
      <w:bookmarkStart w:id="231" w:name="_Toc11267"/>
      <w:bookmarkStart w:id="232" w:name="_Toc24064"/>
      <w:r>
        <w:rPr>
          <w:rFonts w:hint="eastAsia" w:ascii="黑体" w:hAnsi="Times New Roman" w:eastAsia="黑体" w:cs="Times New Roman"/>
          <w:sz w:val="21"/>
          <w:szCs w:val="20"/>
          <w:lang w:bidi="ar"/>
        </w:rPr>
        <w:t>起飞</w:t>
      </w:r>
      <w:bookmarkEnd w:id="230"/>
      <w:bookmarkEnd w:id="231"/>
      <w:bookmarkEnd w:id="232"/>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保持摇杆在正确位置，观察遥控器电量，检查无人机电池电量（每次起飞前都要检测电池电量），确认无人机飞行模式，进行内八或外八解锁，推油门起飞。</w:t>
      </w:r>
    </w:p>
    <w:p>
      <w:pPr>
        <w:pStyle w:val="18"/>
        <w:widowControl w:val="0"/>
        <w:numPr>
          <w:ilvl w:val="3"/>
          <w:numId w:val="8"/>
        </w:numPr>
        <w:spacing w:before="156" w:beforeLines="50" w:beforeAutospacing="0" w:after="156" w:afterLines="50" w:afterAutospacing="0"/>
        <w:jc w:val="both"/>
        <w:outlineLvl w:val="2"/>
      </w:pPr>
      <w:bookmarkStart w:id="233" w:name="_Toc30359"/>
      <w:bookmarkStart w:id="234" w:name="_Toc27306"/>
      <w:bookmarkStart w:id="235" w:name="_Toc11808"/>
      <w:r>
        <w:rPr>
          <w:rFonts w:hint="eastAsia" w:ascii="黑体" w:hAnsi="Times New Roman" w:eastAsia="黑体" w:cs="Times New Roman"/>
          <w:sz w:val="21"/>
          <w:szCs w:val="20"/>
          <w:lang w:bidi="ar"/>
        </w:rPr>
        <w:t>航线飞行</w:t>
      </w:r>
      <w:bookmarkEnd w:id="233"/>
      <w:bookmarkEnd w:id="234"/>
      <w:bookmarkEnd w:id="235"/>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利用地面站画航线飞行，航线覆盖要测量的田块。航向重叠率与旁向重叠率应符合GB/T 39612的要求。</w:t>
      </w:r>
    </w:p>
    <w:p>
      <w:pPr>
        <w:pStyle w:val="18"/>
        <w:widowControl w:val="0"/>
        <w:numPr>
          <w:ilvl w:val="3"/>
          <w:numId w:val="8"/>
        </w:numPr>
        <w:spacing w:before="156" w:beforeLines="50" w:beforeAutospacing="0" w:after="156" w:afterLines="50" w:afterAutospacing="0"/>
        <w:jc w:val="both"/>
        <w:outlineLvl w:val="2"/>
      </w:pPr>
      <w:bookmarkStart w:id="236" w:name="_Toc12675"/>
      <w:bookmarkStart w:id="237" w:name="_Toc19886"/>
      <w:bookmarkStart w:id="238" w:name="_Toc30482"/>
      <w:r>
        <w:rPr>
          <w:rFonts w:hint="eastAsia" w:ascii="黑体" w:hAnsi="Times New Roman" w:eastAsia="黑体" w:cs="Times New Roman"/>
          <w:sz w:val="21"/>
          <w:szCs w:val="20"/>
          <w:lang w:bidi="ar"/>
        </w:rPr>
        <w:t>手动飞行</w:t>
      </w:r>
      <w:bookmarkEnd w:id="236"/>
      <w:bookmarkEnd w:id="237"/>
      <w:bookmarkEnd w:id="238"/>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由于环境限制（如障碍物、险恶地形等复杂地理环境），无法实现画航线飞行，改为手动飞行；由作业人员手动操控无人机飞行和摄影系统。</w:t>
      </w:r>
    </w:p>
    <w:p>
      <w:pPr>
        <w:pStyle w:val="18"/>
        <w:widowControl w:val="0"/>
        <w:numPr>
          <w:ilvl w:val="3"/>
          <w:numId w:val="8"/>
        </w:numPr>
        <w:spacing w:before="156" w:beforeLines="50" w:beforeAutospacing="0" w:after="156" w:afterLines="50" w:afterAutospacing="0"/>
        <w:jc w:val="both"/>
        <w:outlineLvl w:val="2"/>
      </w:pPr>
      <w:bookmarkStart w:id="239" w:name="_Toc17632"/>
      <w:bookmarkStart w:id="240" w:name="_Toc10168"/>
      <w:bookmarkStart w:id="241" w:name="_Toc24895"/>
      <w:r>
        <w:rPr>
          <w:rFonts w:hint="eastAsia" w:ascii="黑体" w:hAnsi="Times New Roman" w:eastAsia="黑体" w:cs="Times New Roman"/>
          <w:sz w:val="21"/>
          <w:szCs w:val="20"/>
          <w:lang w:bidi="ar"/>
        </w:rPr>
        <w:t>飞行监测</w:t>
      </w:r>
      <w:bookmarkEnd w:id="239"/>
      <w:bookmarkEnd w:id="240"/>
      <w:bookmarkEnd w:id="241"/>
    </w:p>
    <w:p>
      <w:pPr>
        <w:pStyle w:val="81"/>
        <w:numPr>
          <w:ilvl w:val="4"/>
          <w:numId w:val="8"/>
        </w:numPr>
        <w:spacing w:before="156" w:after="156"/>
        <w:rPr>
          <w:rFonts w:hint="default" w:ascii="宋体" w:eastAsia="宋体"/>
          <w:lang w:bidi="ar"/>
        </w:rPr>
      </w:pPr>
      <w:r>
        <w:rPr>
          <w:rFonts w:ascii="宋体" w:eastAsia="宋体"/>
          <w:lang w:bidi="ar"/>
        </w:rPr>
        <w:t>飞行过程中传感器角度应垂直向下，应时刻保持对航高、航速、飞行轨迹的监测、记录，及时检查照片拍摄数量。</w:t>
      </w:r>
    </w:p>
    <w:p>
      <w:pPr>
        <w:pStyle w:val="81"/>
        <w:numPr>
          <w:ilvl w:val="4"/>
          <w:numId w:val="8"/>
        </w:numPr>
        <w:spacing w:before="156" w:after="156"/>
        <w:rPr>
          <w:rFonts w:hint="default" w:ascii="宋体" w:eastAsia="宋体"/>
          <w:lang w:bidi="ar"/>
        </w:rPr>
      </w:pPr>
      <w:r>
        <w:rPr>
          <w:rFonts w:ascii="宋体" w:eastAsia="宋体"/>
          <w:lang w:bidi="ar"/>
        </w:rPr>
        <w:t>无人机出现异常时应立即停止飞行，及时进行异常处理。解决故障后，进行全面检测并低空进行试飞，无异常后进行复飞作业。</w:t>
      </w:r>
    </w:p>
    <w:p>
      <w:pPr>
        <w:pStyle w:val="18"/>
        <w:widowControl w:val="0"/>
        <w:numPr>
          <w:ilvl w:val="3"/>
          <w:numId w:val="8"/>
        </w:numPr>
        <w:spacing w:before="156" w:beforeLines="50" w:beforeAutospacing="0" w:after="156" w:afterLines="50" w:afterAutospacing="0"/>
        <w:jc w:val="both"/>
        <w:outlineLvl w:val="2"/>
      </w:pPr>
      <w:bookmarkStart w:id="242" w:name="_Toc18202"/>
      <w:bookmarkStart w:id="243" w:name="_Toc9419"/>
      <w:bookmarkStart w:id="244" w:name="_Toc29208"/>
      <w:r>
        <w:rPr>
          <w:rFonts w:hint="eastAsia" w:ascii="黑体" w:hAnsi="Times New Roman" w:eastAsia="黑体" w:cs="Times New Roman"/>
          <w:sz w:val="21"/>
          <w:szCs w:val="20"/>
          <w:lang w:bidi="ar"/>
        </w:rPr>
        <w:t>降落</w:t>
      </w:r>
      <w:bookmarkEnd w:id="242"/>
      <w:bookmarkEnd w:id="243"/>
      <w:bookmarkEnd w:id="244"/>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信息采集作业完毕后，确认无人机已锁定，断开动力电源，取下电池，带回充电。</w:t>
      </w:r>
    </w:p>
    <w:p>
      <w:pPr>
        <w:pStyle w:val="18"/>
        <w:numPr>
          <w:ilvl w:val="2"/>
          <w:numId w:val="8"/>
        </w:numPr>
        <w:spacing w:before="156" w:beforeLines="50" w:beforeAutospacing="0" w:after="156" w:afterLines="50" w:afterAutospacing="0"/>
        <w:jc w:val="both"/>
        <w:outlineLvl w:val="1"/>
      </w:pPr>
      <w:bookmarkStart w:id="245" w:name="_Toc8344"/>
      <w:bookmarkStart w:id="246" w:name="_Toc179460030"/>
      <w:bookmarkStart w:id="247" w:name="_Toc12652"/>
      <w:bookmarkStart w:id="248" w:name="_Toc21422"/>
      <w:bookmarkStart w:id="249" w:name="_Toc193742988"/>
      <w:bookmarkStart w:id="250" w:name="_Toc188366878"/>
      <w:r>
        <w:rPr>
          <w:rFonts w:hint="eastAsia" w:ascii="黑体" w:hAnsi="Times New Roman" w:eastAsia="黑体" w:cs="Times New Roman"/>
          <w:sz w:val="21"/>
          <w:szCs w:val="20"/>
          <w:lang w:bidi="ar"/>
        </w:rPr>
        <w:t>数据采集</w:t>
      </w:r>
      <w:bookmarkEnd w:id="245"/>
      <w:bookmarkEnd w:id="246"/>
      <w:bookmarkEnd w:id="247"/>
      <w:bookmarkEnd w:id="248"/>
      <w:bookmarkEnd w:id="249"/>
      <w:bookmarkEnd w:id="250"/>
    </w:p>
    <w:p>
      <w:pPr>
        <w:pStyle w:val="18"/>
        <w:widowControl w:val="0"/>
        <w:numPr>
          <w:ilvl w:val="3"/>
          <w:numId w:val="8"/>
        </w:numPr>
        <w:spacing w:before="156" w:beforeLines="50" w:beforeAutospacing="0" w:after="156" w:afterLines="50" w:afterAutospacing="0"/>
        <w:jc w:val="both"/>
        <w:outlineLvl w:val="2"/>
      </w:pPr>
      <w:bookmarkStart w:id="251" w:name="_Toc24018"/>
      <w:bookmarkStart w:id="252" w:name="_Toc10178"/>
      <w:bookmarkStart w:id="253" w:name="_Toc26144"/>
      <w:r>
        <w:rPr>
          <w:rFonts w:hint="eastAsia" w:ascii="黑体" w:hAnsi="Times New Roman" w:eastAsia="黑体" w:cs="Times New Roman"/>
          <w:sz w:val="21"/>
          <w:szCs w:val="20"/>
          <w:lang w:bidi="ar"/>
        </w:rPr>
        <w:t>无人机数据采集</w:t>
      </w:r>
      <w:bookmarkEnd w:id="251"/>
      <w:bookmarkEnd w:id="252"/>
      <w:bookmarkEnd w:id="253"/>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无人机按照既定要求对农田进行信息采集，利用信息采集系统对农田进行数据采集，采集数据种类包括可见光图像、热成像图像、光谱数据、激光雷达点云数据等。</w:t>
      </w:r>
    </w:p>
    <w:p>
      <w:pPr>
        <w:pStyle w:val="18"/>
        <w:widowControl w:val="0"/>
        <w:numPr>
          <w:ilvl w:val="3"/>
          <w:numId w:val="8"/>
        </w:numPr>
        <w:spacing w:before="156" w:beforeLines="50" w:beforeAutospacing="0" w:after="156" w:afterLines="50" w:afterAutospacing="0"/>
        <w:jc w:val="both"/>
        <w:outlineLvl w:val="2"/>
      </w:pPr>
      <w:bookmarkStart w:id="254" w:name="_Toc22773"/>
      <w:bookmarkStart w:id="255" w:name="_Toc10042"/>
      <w:bookmarkStart w:id="256" w:name="_Toc18548"/>
      <w:r>
        <w:rPr>
          <w:rFonts w:hint="eastAsia" w:ascii="黑体" w:hAnsi="Times New Roman" w:eastAsia="黑体" w:cs="Times New Roman"/>
          <w:sz w:val="21"/>
          <w:szCs w:val="20"/>
          <w:lang w:bidi="ar"/>
        </w:rPr>
        <w:t>无人机数据质量检查</w:t>
      </w:r>
      <w:bookmarkEnd w:id="254"/>
      <w:bookmarkEnd w:id="255"/>
      <w:bookmarkEnd w:id="256"/>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无人机采集的数据导入电脑进行质量检查，判断是否需要复飞。</w:t>
      </w:r>
    </w:p>
    <w:p>
      <w:pPr>
        <w:pStyle w:val="18"/>
        <w:widowControl w:val="0"/>
        <w:numPr>
          <w:ilvl w:val="3"/>
          <w:numId w:val="8"/>
        </w:numPr>
        <w:spacing w:before="156" w:beforeLines="50" w:beforeAutospacing="0" w:after="156" w:afterLines="50" w:afterAutospacing="0"/>
        <w:jc w:val="both"/>
        <w:outlineLvl w:val="2"/>
      </w:pPr>
      <w:bookmarkStart w:id="257" w:name="_Toc17174"/>
      <w:bookmarkStart w:id="258" w:name="_Toc17673"/>
      <w:bookmarkStart w:id="259" w:name="_Toc18898"/>
      <w:r>
        <w:rPr>
          <w:rFonts w:hint="eastAsia" w:ascii="黑体" w:hAnsi="Times New Roman" w:eastAsia="黑体" w:cs="Times New Roman"/>
          <w:sz w:val="21"/>
          <w:szCs w:val="20"/>
          <w:lang w:bidi="ar"/>
        </w:rPr>
        <w:t>无人机数据下载和备份</w:t>
      </w:r>
      <w:bookmarkEnd w:id="257"/>
      <w:bookmarkEnd w:id="258"/>
      <w:bookmarkEnd w:id="259"/>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及时下载和备份无人机采集的数据，防止数据丢失。</w:t>
      </w:r>
    </w:p>
    <w:p>
      <w:pPr>
        <w:pStyle w:val="18"/>
        <w:widowControl w:val="0"/>
        <w:numPr>
          <w:ilvl w:val="3"/>
          <w:numId w:val="8"/>
        </w:numPr>
        <w:spacing w:before="156" w:beforeLines="50" w:beforeAutospacing="0" w:after="156" w:afterLines="50" w:afterAutospacing="0"/>
        <w:jc w:val="both"/>
        <w:outlineLvl w:val="2"/>
      </w:pPr>
      <w:bookmarkStart w:id="260" w:name="_Toc13799"/>
      <w:bookmarkStart w:id="261" w:name="_Toc26263"/>
      <w:bookmarkStart w:id="262" w:name="_Toc28557"/>
      <w:r>
        <w:rPr>
          <w:rFonts w:hint="eastAsia" w:ascii="黑体" w:hAnsi="Times New Roman" w:eastAsia="黑体" w:cs="Times New Roman"/>
          <w:sz w:val="21"/>
          <w:szCs w:val="20"/>
          <w:lang w:bidi="ar"/>
        </w:rPr>
        <w:t>气象数据采集</w:t>
      </w:r>
      <w:bookmarkEnd w:id="260"/>
      <w:bookmarkEnd w:id="261"/>
      <w:bookmarkEnd w:id="262"/>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记录当天地面温度、湿度、风速等气象数据。</w:t>
      </w:r>
    </w:p>
    <w:p>
      <w:pPr>
        <w:pStyle w:val="18"/>
        <w:widowControl w:val="0"/>
        <w:numPr>
          <w:ilvl w:val="3"/>
          <w:numId w:val="8"/>
        </w:numPr>
        <w:spacing w:before="156" w:beforeLines="50" w:beforeAutospacing="0" w:after="156" w:afterLines="50" w:afterAutospacing="0"/>
        <w:jc w:val="both"/>
        <w:outlineLvl w:val="2"/>
      </w:pPr>
      <w:bookmarkStart w:id="263" w:name="_Toc2741"/>
      <w:bookmarkStart w:id="264" w:name="_Toc20007"/>
      <w:bookmarkStart w:id="265" w:name="_Toc8166"/>
      <w:bookmarkStart w:id="266" w:name="OLE_LINK5"/>
      <w:bookmarkStart w:id="267" w:name="_Toc188366879"/>
      <w:bookmarkStart w:id="268" w:name="_Toc179460031"/>
      <w:r>
        <w:rPr>
          <w:rFonts w:hint="eastAsia" w:ascii="黑体" w:hAnsi="Times New Roman" w:eastAsia="黑体" w:cs="Times New Roman"/>
          <w:sz w:val="21"/>
          <w:szCs w:val="20"/>
          <w:lang w:bidi="ar"/>
        </w:rPr>
        <w:t>作物生长数据采集</w:t>
      </w:r>
      <w:bookmarkEnd w:id="263"/>
      <w:bookmarkEnd w:id="264"/>
      <w:bookmarkEnd w:id="265"/>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作物生长数据采集与无人机数据采集同步，包括但不限于：</w:t>
      </w:r>
    </w:p>
    <w:p>
      <w:pPr>
        <w:pStyle w:val="79"/>
        <w:numPr>
          <w:ilvl w:val="0"/>
          <w:numId w:val="0"/>
        </w:numPr>
        <w:ind w:left="425"/>
        <w:rPr>
          <w:rFonts w:hint="default"/>
        </w:rPr>
      </w:pPr>
      <w:r>
        <w:rPr>
          <w:rFonts w:ascii="黑体" w:hAnsi="黑体" w:eastAsia="黑体" w:cs="黑体"/>
        </w:rPr>
        <w:t>——</w:t>
      </w:r>
      <w:r>
        <w:t>作物空间分布信息(农田定位、作物种类识别、面积估算及变化动态监测等)；</w:t>
      </w:r>
    </w:p>
    <w:p>
      <w:pPr>
        <w:pStyle w:val="79"/>
        <w:numPr>
          <w:ilvl w:val="0"/>
          <w:numId w:val="0"/>
        </w:numPr>
        <w:ind w:left="425"/>
        <w:rPr>
          <w:rFonts w:hint="default"/>
        </w:rPr>
      </w:pPr>
      <w:r>
        <w:rPr>
          <w:rFonts w:ascii="黑体" w:hAnsi="黑体" w:eastAsia="黑体" w:cs="黑体"/>
        </w:rPr>
        <w:t>——</w:t>
      </w:r>
      <w:r>
        <w:t>作物生长信息(作物表型参数、营养指标、产量等)；</w:t>
      </w:r>
    </w:p>
    <w:p>
      <w:pPr>
        <w:pStyle w:val="79"/>
        <w:numPr>
          <w:ilvl w:val="0"/>
          <w:numId w:val="0"/>
        </w:numPr>
        <w:ind w:left="425"/>
        <w:rPr>
          <w:rFonts w:hint="default"/>
        </w:rPr>
      </w:pPr>
      <w:r>
        <w:rPr>
          <w:rFonts w:ascii="黑体" w:hAnsi="黑体" w:eastAsia="黑体" w:cs="黑体"/>
        </w:rPr>
        <w:t>——</w:t>
      </w:r>
      <w:r>
        <w:t>作物生长胁迫因子(田间墒情、病虫害动态等)。</w:t>
      </w:r>
      <w:bookmarkEnd w:id="266"/>
      <w:r>
        <w:t xml:space="preserve"> </w:t>
      </w:r>
    </w:p>
    <w:p>
      <w:pPr>
        <w:pStyle w:val="18"/>
        <w:numPr>
          <w:ilvl w:val="1"/>
          <w:numId w:val="8"/>
        </w:numPr>
        <w:spacing w:before="312" w:beforeLines="100" w:beforeAutospacing="0" w:after="312" w:afterLines="100" w:afterAutospacing="0"/>
        <w:jc w:val="both"/>
        <w:outlineLvl w:val="0"/>
      </w:pPr>
      <w:bookmarkStart w:id="269" w:name="_Toc6932"/>
      <w:bookmarkStart w:id="270" w:name="_Toc27668"/>
      <w:bookmarkStart w:id="271" w:name="_Toc20764"/>
      <w:bookmarkStart w:id="272" w:name="_Toc193742989"/>
      <w:r>
        <w:rPr>
          <w:rFonts w:hint="eastAsia" w:ascii="黑体" w:hAnsi="Times New Roman" w:eastAsia="黑体" w:cs="Times New Roman"/>
          <w:sz w:val="21"/>
          <w:szCs w:val="20"/>
          <w:lang w:bidi="ar"/>
        </w:rPr>
        <w:t>作业完毕</w:t>
      </w:r>
      <w:bookmarkEnd w:id="267"/>
      <w:bookmarkEnd w:id="268"/>
      <w:bookmarkEnd w:id="269"/>
      <w:bookmarkEnd w:id="270"/>
      <w:bookmarkEnd w:id="271"/>
      <w:bookmarkEnd w:id="272"/>
    </w:p>
    <w:p>
      <w:pPr>
        <w:pStyle w:val="18"/>
        <w:numPr>
          <w:ilvl w:val="2"/>
          <w:numId w:val="8"/>
        </w:numPr>
        <w:spacing w:before="156" w:beforeLines="50" w:beforeAutospacing="0" w:after="156" w:afterLines="50" w:afterAutospacing="0"/>
        <w:jc w:val="both"/>
        <w:outlineLvl w:val="1"/>
      </w:pPr>
      <w:bookmarkStart w:id="273" w:name="_Toc193742990"/>
      <w:bookmarkStart w:id="274" w:name="_Toc12428"/>
      <w:bookmarkStart w:id="275" w:name="_Toc27246"/>
      <w:bookmarkStart w:id="276" w:name="_Toc179460032"/>
      <w:bookmarkStart w:id="277" w:name="_Toc188366880"/>
      <w:bookmarkStart w:id="278" w:name="_Toc2224"/>
      <w:r>
        <w:rPr>
          <w:rFonts w:hint="eastAsia" w:ascii="黑体" w:hAnsi="Times New Roman" w:eastAsia="黑体" w:cs="Times New Roman"/>
          <w:sz w:val="21"/>
          <w:szCs w:val="20"/>
          <w:lang w:bidi="ar"/>
        </w:rPr>
        <w:t>现场清点</w:t>
      </w:r>
      <w:bookmarkEnd w:id="273"/>
      <w:bookmarkEnd w:id="274"/>
      <w:bookmarkEnd w:id="275"/>
      <w:bookmarkEnd w:id="276"/>
      <w:bookmarkEnd w:id="277"/>
      <w:bookmarkEnd w:id="278"/>
    </w:p>
    <w:p>
      <w:pPr>
        <w:pStyle w:val="18"/>
        <w:autoSpaceDE w:val="0"/>
        <w:autoSpaceDN w:val="0"/>
        <w:spacing w:before="0" w:beforeAutospacing="0" w:after="0" w:afterAutospacing="0"/>
        <w:ind w:firstLine="420" w:firstLineChars="200"/>
        <w:jc w:val="both"/>
      </w:pPr>
      <w:r>
        <w:rPr>
          <w:rFonts w:hint="eastAsia" w:hAnsi="Times New Roman" w:cs="Times New Roman"/>
          <w:sz w:val="21"/>
          <w:szCs w:val="20"/>
          <w:lang w:bidi="ar"/>
        </w:rPr>
        <w:t>清理现场、清点工具，检查设备物品的返回情况，清理无人机，装车返回驻地，保证人员及设备安全。</w:t>
      </w:r>
    </w:p>
    <w:p>
      <w:pPr>
        <w:pStyle w:val="18"/>
        <w:numPr>
          <w:ilvl w:val="2"/>
          <w:numId w:val="8"/>
        </w:numPr>
        <w:spacing w:before="156" w:beforeLines="50" w:beforeAutospacing="0" w:after="156" w:afterLines="50" w:afterAutospacing="0"/>
        <w:jc w:val="both"/>
        <w:outlineLvl w:val="1"/>
      </w:pPr>
      <w:bookmarkStart w:id="279" w:name="_Toc9506"/>
      <w:bookmarkStart w:id="280" w:name="_Toc179460033"/>
      <w:bookmarkStart w:id="281" w:name="_Toc188366881"/>
      <w:bookmarkStart w:id="282" w:name="_Toc193742991"/>
      <w:bookmarkStart w:id="283" w:name="_Toc6167"/>
      <w:bookmarkStart w:id="284" w:name="_Toc30410"/>
      <w:r>
        <w:rPr>
          <w:rFonts w:hint="eastAsia" w:ascii="黑体" w:hAnsi="Times New Roman" w:eastAsia="黑体" w:cs="Times New Roman"/>
          <w:sz w:val="21"/>
          <w:szCs w:val="20"/>
          <w:lang w:bidi="ar"/>
        </w:rPr>
        <w:t>入库交接</w:t>
      </w:r>
      <w:bookmarkEnd w:id="279"/>
      <w:bookmarkEnd w:id="280"/>
      <w:bookmarkEnd w:id="281"/>
      <w:bookmarkEnd w:id="282"/>
      <w:bookmarkEnd w:id="283"/>
      <w:bookmarkEnd w:id="284"/>
    </w:p>
    <w:p>
      <w:pPr>
        <w:pStyle w:val="18"/>
        <w:autoSpaceDE w:val="0"/>
        <w:autoSpaceDN w:val="0"/>
        <w:spacing w:before="0" w:beforeAutospacing="0" w:after="0" w:afterAutospacing="0"/>
        <w:ind w:firstLine="420" w:firstLineChars="200"/>
        <w:jc w:val="both"/>
        <w:rPr>
          <w:spacing w:val="105"/>
        </w:rPr>
        <w:sectPr>
          <w:headerReference r:id="rId16" w:type="default"/>
          <w:footerReference r:id="rId18" w:type="default"/>
          <w:headerReference r:id="rId17" w:type="even"/>
          <w:footerReference r:id="rId19" w:type="even"/>
          <w:pgSz w:w="11906" w:h="16838"/>
          <w:pgMar w:top="1417" w:right="1134" w:bottom="1134" w:left="1418" w:header="1417" w:footer="1134" w:gutter="0"/>
          <w:pgNumType w:fmt="decimal" w:start="1"/>
          <w:cols w:space="425" w:num="1"/>
          <w:docGrid w:type="lines" w:linePitch="312" w:charSpace="0"/>
        </w:sectPr>
      </w:pPr>
      <w:r>
        <w:rPr>
          <w:rFonts w:hint="eastAsia" w:hAnsi="Times New Roman" w:cs="Times New Roman"/>
          <w:sz w:val="21"/>
          <w:szCs w:val="20"/>
          <w:lang w:bidi="ar"/>
        </w:rPr>
        <w:t>返回驻地后，做入库交接程序，清点设备器材的使用情况。如有损坏需要更换或修复的部件及时处理，以备下次任务的顺利执行。</w:t>
      </w:r>
      <w:bookmarkStart w:id="285" w:name="_Toc120179958"/>
      <w:bookmarkStart w:id="286" w:name="_Toc8436"/>
    </w:p>
    <w:p>
      <w:pPr>
        <w:pStyle w:val="75"/>
        <w:spacing w:before="567" w:after="283" w:afterLines="0"/>
        <w:rPr>
          <w:spacing w:val="105"/>
        </w:rPr>
      </w:pPr>
      <w:bookmarkStart w:id="287" w:name="_Toc30833"/>
      <w:r>
        <w:rPr>
          <w:rFonts w:hint="eastAsia"/>
          <w:spacing w:val="105"/>
        </w:rPr>
        <w:t>参考文献</w:t>
      </w:r>
      <w:bookmarkEnd w:id="285"/>
      <w:bookmarkEnd w:id="286"/>
      <w:bookmarkEnd w:id="287"/>
    </w:p>
    <w:p>
      <w:pPr>
        <w:pStyle w:val="67"/>
        <w:numPr>
          <w:ilvl w:val="0"/>
          <w:numId w:val="17"/>
        </w:numPr>
        <w:ind w:firstLine="420"/>
      </w:pPr>
      <w:r>
        <w:rPr>
          <w:rFonts w:hint="eastAsia"/>
          <w:lang w:val="en-US" w:eastAsia="zh-CN"/>
        </w:rPr>
        <w:t xml:space="preserve"> </w:t>
      </w:r>
      <w:r>
        <w:rPr>
          <w:rFonts w:hint="eastAsia"/>
        </w:rPr>
        <w:t>GB/T 38930—2020  民用轻小型无人机系统抗风性要求及试验方法</w:t>
      </w:r>
    </w:p>
    <w:p>
      <w:pPr>
        <w:pStyle w:val="67"/>
        <w:numPr>
          <w:ilvl w:val="0"/>
          <w:numId w:val="17"/>
        </w:numPr>
        <w:ind w:firstLine="420"/>
      </w:pPr>
      <w:r>
        <w:rPr>
          <w:rFonts w:hint="eastAsia"/>
          <w:lang w:val="en-US" w:eastAsia="zh-CN"/>
        </w:rPr>
        <w:t xml:space="preserve"> </w:t>
      </w:r>
      <w:r>
        <w:rPr>
          <w:rFonts w:hint="eastAsia"/>
        </w:rPr>
        <w:t>GB/T 44091—2024  民用无人驾驶航空器产品标识要求</w:t>
      </w:r>
    </w:p>
    <w:p>
      <w:pPr>
        <w:pStyle w:val="67"/>
        <w:numPr>
          <w:ilvl w:val="0"/>
          <w:numId w:val="17"/>
        </w:numPr>
        <w:ind w:firstLine="420"/>
      </w:pPr>
      <w:r>
        <w:rPr>
          <w:rFonts w:hint="eastAsia"/>
          <w:lang w:val="en-US" w:eastAsia="zh-CN"/>
        </w:rPr>
        <w:t xml:space="preserve"> </w:t>
      </w:r>
      <w:r>
        <w:rPr>
          <w:rFonts w:hint="eastAsia"/>
        </w:rPr>
        <w:t>GB/T 44717—2024  民用无人机可靠性飞行试验要求与方法</w:t>
      </w:r>
    </w:p>
    <w:p>
      <w:pPr>
        <w:pStyle w:val="67"/>
        <w:numPr>
          <w:ilvl w:val="0"/>
          <w:numId w:val="17"/>
        </w:numPr>
        <w:ind w:firstLine="420"/>
      </w:pPr>
      <w:r>
        <w:rPr>
          <w:rFonts w:hint="eastAsia"/>
          <w:lang w:val="en-US" w:eastAsia="zh-CN"/>
        </w:rPr>
        <w:t xml:space="preserve"> </w:t>
      </w:r>
      <w:r>
        <w:rPr>
          <w:rFonts w:hint="eastAsia"/>
        </w:rPr>
        <w:t>《无人驾驶航空器飞行管理暂行条例》（中华人民共和国国务院、中华人民共和国中央军事委员会第761号令，2023年5月31日）</w:t>
      </w:r>
    </w:p>
    <w:p>
      <w:pPr>
        <w:pStyle w:val="67"/>
        <w:numPr>
          <w:ilvl w:val="0"/>
          <w:numId w:val="17"/>
        </w:numPr>
        <w:ind w:firstLine="420"/>
        <w:rPr>
          <w:rFonts w:ascii="黑体" w:hAnsi="黑体" w:eastAsia="黑体" w:cs="黑体"/>
          <w:sz w:val="18"/>
          <w:szCs w:val="18"/>
        </w:rPr>
      </w:pPr>
      <w:r>
        <w:rPr>
          <w:rFonts w:ascii="黑体" w:hAnsi="黑体" w:eastAsia="黑体"/>
        </w:rPr>
        <mc:AlternateContent>
          <mc:Choice Requires="wps">
            <w:drawing>
              <wp:anchor distT="0" distB="0" distL="114300" distR="114300" simplePos="0" relativeHeight="251664384" behindDoc="0" locked="0" layoutInCell="1" allowOverlap="1">
                <wp:simplePos x="0" y="0"/>
                <wp:positionH relativeFrom="column">
                  <wp:posOffset>2133600</wp:posOffset>
                </wp:positionH>
                <wp:positionV relativeFrom="paragraph">
                  <wp:posOffset>549910</wp:posOffset>
                </wp:positionV>
                <wp:extent cx="1800225" cy="0"/>
                <wp:effectExtent l="0" t="0" r="0" b="0"/>
                <wp:wrapNone/>
                <wp:docPr id="25" name="直接箭头连接符 5"/>
                <wp:cNvGraphicFramePr/>
                <a:graphic xmlns:a="http://schemas.openxmlformats.org/drawingml/2006/main">
                  <a:graphicData uri="http://schemas.microsoft.com/office/word/2010/wordprocessingShape">
                    <wps:wsp>
                      <wps:cNvCnPr>
                        <a:cxnSpLocks noChangeShapeType="true"/>
                      </wps:cNvCnPr>
                      <wps:spPr bwMode="auto">
                        <a:xfrm>
                          <a:off x="2970530" y="360553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68pt;margin-top:43.3pt;height:0pt;width:141.75pt;z-index:251664384;mso-width-relative:page;mso-height-relative:page;" filled="f" stroked="t" coordsize="21600,21600" o:gfxdata="UEsFBgAAAAAAAAAAAAAAAAAAAAAAAFBLAwQKAAAAAACHTuJAAAAAAAAAAAAAAAAABAAAAGRycy9Q&#10;SwMEFAAAAAgAh07iQAu/dXrXAAAACQEAAA8AAABkcnMvZG93bnJldi54bWxNj8FOwzAQRO+V+Adr&#10;kbhU1E6rWm3IpkJIHDjSVuLqxksSiNdR7DSlX48RBzjOzmj2TbG7uE6caQitZ4RsoUAQV962XCMc&#10;D8/3GxAhGram80wIXxRgV97MCpNbP/ErnfexFqmEQ24Qmhj7XMpQNeRMWPieOHnvfnAmJjnU0g5m&#10;SuWuk0ultHSm5fShMT09NVR97keHQGFcZ+px6+rjy3Wavy2vH1N/QLy7zdQDiEiX+BeGH/yEDmVi&#10;OvmRbRAdwmql05aIsNEaRArobLsGcfo9yLKQ/xeU31BLAwQUAAAACACHTuJAiPqPqewBAACOAwAA&#10;DgAAAGRycy9lMm9Eb2MueG1srVPBbhMxEL0j8Q+W72Q3qba0q2x6SFUuBSK1fIDj9e5aeD3W2Mkm&#10;P8EPIHECTsCpd74G2s/o2EkKlBtiD5bHM/PmzZvZ6dmmN2yt0GuwFR+Pcs6UlVBr21b8zfXFsxPO&#10;fBC2FgasqvhWeX42e/pkOrhSTaADUytkBGJ9ObiKdyG4Msu87FQv/AicsuRsAHsRyMQ2q1EMhN6b&#10;bJLnx9kAWDsEqbyn1/Odk88SftMoGV43jVeBmYoTt5BOTOcyntlsKsoWheu03NMQ/8CiF9pS0Qeo&#10;cxEEW6H+C6rXEsFDE0YS+gyaRkuVeqBuxvmjbq464VTqhcTx7kEm//9g5av1ApmuKz4pOLOipxnd&#10;vr/5+e7T7bevPz7e3H3/EO9fPrMiajU4X1LK3C4wdis39spdgnzrmYV5J2yrEufrrSOcgCsVk7I/&#10;sqLhHRVdDi+hpjCxCpC02zTYR1RShW2I0OnzvDiioW0rfnScF/GexqU2gUkKGJ/k+STSlhSRfJko&#10;DyAOfXihoGfxUnEfUOi2C3OwlpYCcJxKivWlD5GiKA8JkYGFC21MKmYsGyp+WlCd6PFgdB2dycB2&#10;OTfI1iJuV/pSv4/CEFa23hUxNuaptJj7ygc9duIuod4uMAbHdxp64rZf0LhVv9sp6tdvNLs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C791etcAAAAJAQAADwAAAAAAAAABACAAAAA4AAAAZHJzL2Rv&#10;d25yZXYueG1sUEsBAhQAFAAAAAgAh07iQIj6j6nsAQAAjgMAAA4AAAAAAAAAAQAgAAAAPAEAAGRy&#10;cy9lMm9Eb2MueG1sUEsFBgAAAAAGAAYAWQEAAJoFAAAAAA==&#10;">
                <v:fill on="f" focussize="0,0"/>
                <v:stroke color="#000000" joinstyle="round"/>
                <v:imagedata o:title=""/>
                <o:lock v:ext="edit" aspectratio="f"/>
              </v:shape>
            </w:pict>
          </mc:Fallback>
        </mc:AlternateContent>
      </w:r>
      <w:r>
        <w:rPr>
          <w:rFonts w:hint="eastAsia"/>
          <w:lang w:val="en-US" w:eastAsia="zh-CN"/>
        </w:rPr>
        <w:t xml:space="preserve"> </w:t>
      </w:r>
      <w:r>
        <w:rPr>
          <w:rFonts w:hint="eastAsia"/>
        </w:rPr>
        <w:t>《民用无人驾驶航空器运行安全管理规则》（中国民用航空局2024年第1号，2024年1月1日）</w:t>
      </w:r>
    </w:p>
    <w:sectPr>
      <w:headerReference r:id="rId20" w:type="default"/>
      <w:footerReference r:id="rId22" w:type="default"/>
      <w:headerReference r:id="rId21" w:type="even"/>
      <w:footerReference r:id="rId23" w:type="even"/>
      <w:pgSz w:w="11906" w:h="16838"/>
      <w:pgMar w:top="1417" w:right="1134" w:bottom="1134" w:left="1418" w:header="1417" w:footer="113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altName w:val="Ubuntu"/>
    <w:panose1 w:val="020B0604030504040204"/>
    <w:charset w:val="00"/>
    <w:family w:val="swiss"/>
    <w:pitch w:val="default"/>
    <w:sig w:usb0="00000000" w:usb1="00000000" w:usb2="00000010" w:usb3="00000000" w:csb0="2000019F" w:csb1="00000000"/>
  </w:font>
  <w:font w:name="方正小标宋_GBK">
    <w:panose1 w:val="02000000000000000000"/>
    <w:charset w:val="86"/>
    <w:family w:val="script"/>
    <w:pitch w:val="default"/>
    <w:sig w:usb0="00000001" w:usb1="08000000" w:usb2="00000000" w:usb3="00000000" w:csb0="00040000" w:csb1="00000000"/>
  </w:font>
  <w:font w:name="Dotum,Bold">
    <w:altName w:val="黑体"/>
    <w:panose1 w:val="00000000000000000000"/>
    <w:charset w:val="86"/>
    <w:family w:val="auto"/>
    <w:pitch w:val="default"/>
    <w:sig w:usb0="00000000" w:usb1="00000000" w:usb2="00000010" w:usb3="00000000" w:csb0="00040000" w:csb1="00000000"/>
  </w:font>
  <w:font w:name="SimSun,Bold">
    <w:altName w:val="黑体"/>
    <w:panose1 w:val="00000000000000000000"/>
    <w:charset w:val="86"/>
    <w:family w:val="auto"/>
    <w:pitch w:val="default"/>
    <w:sig w:usb0="00000000" w:usb1="00000000" w:usb2="0000001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FreeSerif">
    <w:panose1 w:val="02020603050405020304"/>
    <w:charset w:val="00"/>
    <w:family w:val="auto"/>
    <w:pitch w:val="default"/>
    <w:sig w:usb0="E59FAFFF" w:usb1="C200FDFF" w:usb2="43501B29" w:usb3="04000043" w:csb0="600101FF" w:csb1="FFFF0000"/>
  </w:font>
  <w:font w:name="方正宋体S-超大字符集(SIP)">
    <w:panose1 w:val="03000509000000000000"/>
    <w:charset w:val="86"/>
    <w:family w:val="auto"/>
    <w:pitch w:val="default"/>
    <w:sig w:usb0="00000003" w:usb1="0A0E0800" w:usb2="00000006" w:usb3="00000000" w:csb0="00040001" w:csb1="00000000"/>
  </w:font>
  <w:font w:name="Ubuntu">
    <w:panose1 w:val="020B0604030602030204"/>
    <w:charset w:val="00"/>
    <w:family w:val="auto"/>
    <w:pitch w:val="default"/>
    <w:sig w:usb0="E00002FF" w:usb1="5000205B" w:usb2="00000000" w:usb3="00000000" w:csb0="2000009F" w:csb1="56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gF26zFQIAABkEAAAOAAAAZHJz&#10;L2Uyb0RvYy54bWytU8uO0zAU3SPxD5b3NGkRo6pqOiozKkKqmJEKYu06dhvJL9luk/IB8Aes2LDn&#10;u/odHLtJBwErxMY51/fmPs49nt92WpGj8KGxpqLjUUmJMNzWjdlV9MP71YspJSEyUzNljajoSQR6&#10;u3j+bN66mZjYvVW18ARJTJi1rqL7GN2sKALfC83CyDph4JTWaxZh+l1Re9Yiu1bFpCxvitb62nnL&#10;RQi4vb846SLnl1Lw+CBlEJGoiqK3mE+fz206i8WczXaeuX3D+zbYP3ShWWNQ9JrqnkVGDr75I5Vu&#10;uLfByjjiVhdWyoaLPAOmGZe/TbPZMyfyLCAnuCtN4f+l5e+Oj540dUUnlBimsaLz1y/nbz/O3z+T&#10;SaKndWGGqI1DXOxe266i0R/E4Aq4T4N30uv0xUgEIeD6dOVXdJFwXI6nk+m0hIvDNxgoUTz97nyI&#10;b4TVJIGKeiww88qO6xAvoUNIqmbsqlEqL1EZ0lb05uWrMv9w9SC5MqiR5rg0m1Dstl0/3NbWJ8zm&#10;7UUcwfFVg+JrFuIj81ADGobC4wMOqSyK2B5Rsrf+09/uUzyWBC8lLdRVUQP5U6LeGiwvCXEAfgDb&#10;AZiDvrOQ6xgvx/EM8YOPaoDSW/0Rsl+mGpKpgMTMcFTDagZ4F2H1TjwfLpbLqw3pORbXZuN4v8zE&#10;ZXDLQwSfmebE0YWYnjroLy+qfytJ4L/aOer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gF26zFQIAABkEAAAOAAAAAAAAAAEAIAAAADUBAABkcnMvZTJvRG9jLnhtbFBLBQYAAAAABgAG&#10;AFkBAAC8BQAAAAA=&#10;">
              <v:fill on="f" focussize="0,0"/>
              <v:stroke on="f" weight="0.5pt"/>
              <v:imagedata o:title=""/>
              <o:lock v:ext="edit" aspectratio="f"/>
              <v:textbox inset="0mm,0mm,0mm,0mm" style="mso-fit-shape-to-text:t;">
                <w:txbxContent>
                  <w:p>
                    <w:pPr>
                      <w:pStyle w:val="13"/>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w:t>
                    </w:r>
                    <w:r>
                      <w:rPr>
                        <w:rFonts w:hint="eastAsia" w:asciiTheme="minorEastAsia" w:hAnsiTheme="minorEastAsia" w:cstheme="minor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mc:AlternateContent>
        <mc:Choice Requires="wps">
          <w:drawing>
            <wp:anchor distT="0" distB="0" distL="114300" distR="114300" simplePos="0" relativeHeight="251670528"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05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NE6rNFAIAABsEAAAOAAAAZHJz&#10;L2Uyb0RvYy54bWytU8uO0zAU3SPxD5b3NGkRo6pqOiozKkKqmJEKYu06dhvJL9luk/IB8Aes2LDn&#10;u/odHLtJBwErxMa5r9zHuefObzutyFH40FhT0fGopEQYbuvG7Cr64f3qxZSSEJmpmbJGVPQkAr1d&#10;PH82b91MTOzeqlp4giQmzFpX0X2MblYUge+FZmFknTBwSus1i1D9rqg9a5Fdq2JSljdFa33tvOUi&#10;BFjvL066yPmlFDw+SBlEJKqi6C3m1+d3m95iMWeznWdu3/C+DfYPXWjWGBS9prpnkZGDb/5IpRvu&#10;bbAyjrjVhZWy4SLPgGnG5W/TbPbMiTwLwAnuClP4f2n5u+OjJ02N3U0oMUxjR+evX87ffpy/fyaw&#10;AaDWhRniNg6RsXttu4pGfxCDK8CeRu+k1+mLoQhCgPbpirDoIuEwjqeT6bSEi8M3KChRPP3ufIhv&#10;hNUkCRX1WGFGlh3XIV5Ch5BUzdhVo1ReozKkrejNy1dl/uHqQXJlUCPNcWk2SbHbdv1wW1ufMJu3&#10;F3oEx1cNiq9ZiI/Mgw9oGByPD3iksihie4mSvfWf/mZP8VgTvJS04FdFDQ6AEvXWYH2JioPgB2E7&#10;COag7ywIO8btOJ5F/OCjGkTprf4I4i9TDclUQGJmOKphNYN4F6H1ThwQF8vlVQf5HItrs3G8X2bC&#10;MrjlIQLPDHPC6AJMDx0YmBfVX0ui+K96jnq66cV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A0Tqs0UAgAAGwQAAA4AAAAAAAAAAQAgAAAANQEAAGRycy9lMm9Eb2MueG1sUEsFBgAAAAAGAAYA&#10;WQEAALs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vuix5FQIAABsEAAAOAAAAZHJz&#10;L2Uyb0RvYy54bWytU8uO0zAU3SPxD5b3NGmBUVU1HZUZFSGNmJEKYu06dhvJL9luk/IB8Aes2LCf&#10;7+p3cOwmHQSsEBvnvnIf5547v+60IgfhQ2NNRcejkhJhuK0bs63oxw+rF1NKQmSmZsoaUdGjCPR6&#10;8fzZvHUzMbE7q2rhCZKYMGtdRXcxullRBL4TmoWRdcLAKa3XLEL126L2rEV2rYpJWV4VrfW185aL&#10;EGC9PTvpIueXUvB4L2UQkaiKoreYX5/fTXqLxZzNtp65XcP7Ntg/dKFZY1D0kuqWRUb2vvkjlW64&#10;t8HKOOJWF1bKhos8A6YZl79Ns94xJ/IsACe4C0zh/6Xl7w8PnjQ1dveKEsM0dnT69vX0/fH04wuB&#10;DQC1LswQt3aIjN0b21U0+r0YXAH2NHonvU5fDEUQArSPF4RFFwmHcTydTKclXBy+QUGJ4ul350N8&#10;K6wmSaioxwozsuxwF+I5dAhJ1YxdNUrlNSpD2opevXxd5h8uHiRXBjXSHOdmkxS7TdcPt7H1EbN5&#10;e6ZHcHzVoPgdC/GBefABDYPj8R6PVBZFbC9RsrP+89/sKR5rgpeSFvyqqMEBUKLeGawvUXEQ/CBs&#10;BsHs9Y0FYce4HceziB98VIMovdWfQPxlqiGZCkjMDEc1rGYQbyK03okD4mK5vOggn2Pxzqwd75eZ&#10;sAxuuY/AM8OcMDoD00MHBuZF9deSKP6rnqOebnrx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vuix5FQIAABsEAAAOAAAAAAAAAAEAIAAAADUBAABkcnMvZTJvRG9jLnhtbFBLBQYAAAAABgAG&#10;AFkBAAC8BQAAAAA=&#10;">
              <v:fill on="f" focussize="0,0"/>
              <v:stroke on="f" weight="0.5pt"/>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II</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q7lDLFAIAABsEAAAOAAAAZHJz&#10;L2Uyb0RvYy54bWytU8uO0zAU3SPxD5b3NGkRo6pqOiozKkKqmJEKYu06dhvJL9luk/IB8Aes2LDn&#10;u/odHLtJBwErxMa5r9zHOffObzutyFH40FhT0fGopEQYbuvG7Cr64f3qxZSSEJmpmbJGVPQkAr1d&#10;PH82b91MTOzeqlp4giQmzFpX0X2MblYUge+FZmFknTBwSus1i1D9rqg9a5Fdq2JSljdFa33tvOUi&#10;BFjvL066yPmlFDw+SBlEJKqi6C3m1+d3m95iMWeznWdu3/C+DfYPXWjWGBS9prpnkZGDb/5IpRvu&#10;bbAyjrjVhZWy4SLPgGnG5W/TbPbMiTwLwAnuClP4f2n5u+OjJ00N7sCUYRocnb9+OX/7cf7+mcAG&#10;gFoXZojbOETG7rXtKhr9QQyuAHsavZNepy+GIggB2qcrwqKLhMM4nk6m0xIuDt+goETx9LvzIb4R&#10;VpMkVNSDwowsO65DvIQOIamasatGqUyjMqSt6M3LV2X+4epBcmVQI81xaTZJsdt2/XBbW58wm7eX&#10;9QiOrxoUX7MQH5nHPqBh7Hh8wCOVRRHbS5Tsrf/0N3uKB03wUtJivypqcACUqLcG9KVVHAQ/CNtB&#10;MAd9Z7GwY9yO41nEDz6qQZTe6o9Y/GWqIZkKSMwMRzVQM4h3EVrvxAFxsVxedSyfY3FtNo73ZCYs&#10;g1seIvDMMCeMLsD00GEDM1H9taQV/1XPUU83vfgJ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CruUMsUAgAAGwQAAA4AAAAAAAAAAQAgAAAANQEAAGRycy9lMm9Eb2MueG1sUEsFBgAAAAAGAAYA&#10;WQEAALsFAAAAAA==&#10;">
              <v:fill on="f" focussize="0,0"/>
              <v:stroke on="f" weight="0.5pt"/>
              <v:imagedata o:title=""/>
              <o:lock v:ext="edit" aspectratio="f"/>
              <v:textbox inset="0mm,0mm,0mm,0mm" style="mso-fit-shape-to-text:t;">
                <w:txbxContent>
                  <w:p>
                    <w:pPr>
                      <w:pStyle w:val="13"/>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II</w:t>
                    </w:r>
                    <w:r>
                      <w:rPr>
                        <w:rFonts w:hint="eastAsia" w:asciiTheme="minorEastAsia" w:hAnsiTheme="minorEastAsia" w:cstheme="minor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1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3</w:t>
                          </w:r>
                          <w:r>
                            <w:rPr>
                              <w:rFonts w:asciiTheme="minorEastAsia" w:hAnsiTheme="minorEastAsia"/>
                            </w:rPr>
                            <w:fldChar w:fldCharType="end"/>
                          </w:r>
                        </w:p>
                      </w:txbxContent>
                    </wps:txbx>
                    <wps:bodyPr wrap="none" lIns="0" tIns="0" rIns="0" bIns="0">
                      <a:spAutoFit/>
                    </wps:bodyPr>
                  </wps:wsp>
                </a:graphicData>
              </a:graphic>
            </wp:anchor>
          </w:drawing>
        </mc:Choice>
        <mc:Fallback>
          <w:pict>
            <v:shape id="文本框 17"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Bv1wypAQAARAMAAA4AAABkcnMv&#10;ZTJvRG9jLnhtbK1SS44TMRDdI3EHy3viTkaCqBVnBBoNQkKANHAAx22nLfknl5PuXABuwIoNe86V&#10;c1B2ujN8doiNu379qt6r2tyOzpKjSmCC53S5aChRXobO+D2nnz7eP1tTAln4TtjgFacnBfR2+/TJ&#10;ZoitWoU+2E4lgiAe2iFy2uccW8ZA9soJWISoPCZ1SE5kdNOedUkMiO4sWzXNczaE1MUUpALA6N0l&#10;SbcVX2sl83utQWViOcXZcn1TfXflZduNaPdJxN7IaQzxD1M4YTw2vULdiSzIIZm/oJyRKUDQeSGD&#10;Y0FrI1XlgGyWzR9sHnoRVeWC4kC8ygT/D1a+O35IxHSc3txQ4oXDHZ2/fjl/+3H+/pksXxSBhggt&#10;1j1ErMzjqzBymtNBzSnAeKE+6uTKF0kRLEG1T1eF1ZiJxOByvVqvG0xJzM0OtmCPv8cE+bUKjhSD&#10;04QrrMqK41vIl9K5pHTz4d5YW9do/W8BxCwRVsa/zFisPO7GidMudCekNOD2OfV4npTYNx7FLYcy&#10;G2k2dpNRekB8ecjYuM5TUC9QUzNcVWU0nVW5hV/9WvV4/N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zql5uc8AAAAFAQAADwAAAAAAAAABACAAAAA4AAAAZHJzL2Rvd25yZXYueG1sUEsBAhQAFAAA&#10;AAgAh07iQABv1wypAQAARAMAAA4AAAAAAAAAAQAgAAAANAEAAGRycy9lMm9Eb2MueG1sUEsFBgAA&#10;AAAGAAYAWQEAAE8FAAAAAA==&#10;">
              <v:fill on="f" focussize="0,0"/>
              <v:stroke on="f"/>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3</w:t>
                    </w:r>
                    <w:r>
                      <w:rPr>
                        <w:rFonts w:asciiTheme="minorEastAsia" w:hAnsiTheme="minor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rFonts w:asciiTheme="minorEastAsia" w:hAnsiTheme="minorEastAsia"/>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4" name="文本框 1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3"/>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4</w:t>
                          </w:r>
                          <w:r>
                            <w:rPr>
                              <w:rFonts w:hint="eastAsia" w:asciiTheme="minorEastAsia" w:hAnsiTheme="minorEastAsia" w:cstheme="minorEastAsia"/>
                            </w:rPr>
                            <w:fldChar w:fldCharType="end"/>
                          </w:r>
                        </w:p>
                      </w:txbxContent>
                    </wps:txbx>
                    <wps:bodyPr wrap="none" lIns="0" tIns="0" rIns="0" bIns="0">
                      <a:spAutoFit/>
                    </wps:bodyPr>
                  </wps:wsp>
                </a:graphicData>
              </a:graphic>
            </wp:anchor>
          </w:drawing>
        </mc:Choice>
        <mc:Fallback>
          <w:pict>
            <v:shape id="文本框 18"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Bj4pSrAQAARAMAAA4AAABkcnMv&#10;ZTJvRG9jLnhtbK1SS27bMBDdF+gdCO5rym4QCILpoEWQokCQBkhzAJoiLQL8gaQt+QLJDbLqJvuc&#10;y+fIkJacpt0V3VDz05t5b2Z5MRiNdiJE5SzF81mFkbDctcpuKL7/efWpxigmZlumnRUU70XEF6uP&#10;H5a9b8TCdU63IiAAsbHpPcVdSr4hJPJOGBZnzgsLSemCYQncsCFtYD2gG00WVXVOehdaHxwXMUL0&#10;8pjEq4IvpeDph5RRJKQphtlSeUN51/klqyVrNoH5TvFxDPYPUximLDQ9QV2yxNA2qL+gjOLBRSfT&#10;jDtDnJSKi8IB2MyrP9jcdcyLwgXEif4kU/x/sPxmdxuQain+fIaRZQZ2dHh6PPx6OTw/oHmdBep9&#10;bKDuzkNlGr66geIUtmJKRYhn6oMMJn+BFIISUHt/UlgMCXEIzutFXVeQ4pCbHGhB3n73IaZvwhmU&#10;DYoDrLAoy3bXMR1Lp5LczborpXVZo7bvAoCZIySPf5wxW2lYDyOntWv3QKmH7VNs4Twx0t8tiJsP&#10;ZTLCZKxHI/eI/ss2QeMyT0Y9Qo3NYFWF0XhW+RZ+90vV2/GvX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DOqXm5zwAAAAUBAAAPAAAAAAAAAAEAIAAAADgAAABkcnMvZG93bnJldi54bWxQSwECFAAU&#10;AAAACACHTuJAQGPilKsBAABEAwAADgAAAAAAAAABACAAAAA0AQAAZHJzL2Uyb0RvYy54bWxQSwUG&#10;AAAAAAYABgBZAQAAUQUAAAAA&#10;">
              <v:fill on="f" focussize="0,0"/>
              <v:stroke on="f"/>
              <v:imagedata o:title=""/>
              <o:lock v:ext="edit" aspectratio="f"/>
              <v:textbox inset="0mm,0mm,0mm,0mm" style="mso-fit-shape-to-text:t;">
                <w:txbxContent>
                  <w:p>
                    <w:pPr>
                      <w:pStyle w:val="13"/>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4</w:t>
                    </w:r>
                    <w:r>
                      <w:rPr>
                        <w:rFonts w:hint="eastAsia" w:asciiTheme="minorEastAsia" w:hAnsiTheme="minorEastAsia" w:cstheme="minor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left" w:pos="7559"/>
      </w:tabs>
      <w:jc w:val="left"/>
      <w:rPr>
        <w:rFonts w:hint="eastAsia" w:asciiTheme="minorEastAsia" w:hAnsiTheme="minorEastAsia" w:eastAsiaTheme="minorEastAsia"/>
        <w:lang w:eastAsia="zh-CN"/>
      </w:rPr>
    </w:pPr>
    <w:r>
      <w:rPr>
        <w:sz w:val="18"/>
      </w:rP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y2DMHAIAACkEAAAOAAAAZHJz&#10;L2Uyb0RvYy54bWytU82O0zAQviPxDpbvNGkRq27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K8tgzBwCAAApBAAADgAAAAAAAAABACAAAAA1AQAAZHJzL2Uyb0RvYy54bWxQSwUG&#10;AAAAAAYABgBZAQAAwwUAAAAA&#10;">
              <v:fill on="f" focussize="0,0"/>
              <v:stroke on="f" weight="0.5pt"/>
              <v:imagedata o:title=""/>
              <o:lock v:ext="edit" aspectratio="f"/>
              <v:textbox inset="0mm,0mm,0mm,0mm" style="mso-fit-shape-to-text:t;">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v:textbox>
            </v:shape>
          </w:pict>
        </mc:Fallback>
      </mc:AlternateContent>
    </w:r>
    <w:r>
      <w:rPr>
        <w:rFonts w:hint="eastAsia" w:asciiTheme="minorEastAsia" w:hAnsiTheme="minorEastAsia"/>
        <w:lang w:eastAsia="zh-CN"/>
      </w:rPr>
      <w:tab/>
    </w:r>
    <w:r>
      <w:rPr>
        <w:rFonts w:hint="eastAsia" w:asciiTheme="minorEastAsia" w:hAnsiTheme="minor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4"/>
        <w:rFonts w:ascii="黑体" w:hAnsi="黑体" w:eastAsia="黑体"/>
        <w:i w:val="0"/>
        <w:color w:val="808080" w:themeColor="text1" w:themeTint="80"/>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XXX—2025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ascii="黑体" w:hAnsi="黑体" w:eastAsia="黑体"/>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ascii="黑体" w:hAnsi="黑体" w:eastAsia="黑体"/>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ascii="黑体" w:hAnsi="黑体" w:eastAsia="黑体"/>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adjustRightInd w:val="0"/>
      <w:snapToGrid w:val="0"/>
      <w:spacing w:after="283"/>
      <w:rPr>
        <w:rStyle w:val="34"/>
        <w:rFonts w:ascii="黑体" w:hAnsi="黑体" w:eastAsia="黑体"/>
        <w:i w:val="0"/>
        <w:color w:val="808080" w:themeColor="text1" w:themeTint="80"/>
        <w14:textFill>
          <w14:solidFill>
            <w14:schemeClr w14:val="tx1">
              <w14:lumMod w14:val="50000"/>
              <w14:lumOff w14:val="50000"/>
            </w14:schemeClr>
          </w14:solidFill>
        </w14:textFill>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5</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rPr>
        <w:rFonts w:ascii="黑体" w:hAnsi="黑体" w:eastAsia="黑体"/>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XXX—2025</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rPr>
        <w:rFonts w:ascii="黑体" w:hAnsi="黑体" w:eastAsia="黑体"/>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1D0A65"/>
    <w:multiLevelType w:val="multilevel"/>
    <w:tmpl w:val="961D0A65"/>
    <w:lvl w:ilvl="0" w:tentative="0">
      <w:start w:val="1"/>
      <w:numFmt w:val="none"/>
      <w:pStyle w:val="78"/>
      <w:lvlText w:val="%1注："/>
      <w:lvlJc w:val="left"/>
      <w:pPr>
        <w:ind w:left="737" w:hanging="374"/>
      </w:pPr>
      <w:rPr>
        <w:rFonts w:hint="eastAsia" w:ascii="黑体" w:hAnsi="Times New Roman" w:eastAsia="黑体" w:cs="黑体"/>
        <w:b w:val="0"/>
        <w:i w:val="0"/>
        <w:sz w:val="18"/>
      </w:rPr>
    </w:lvl>
    <w:lvl w:ilvl="1" w:tentative="0">
      <w:start w:val="1"/>
      <w:numFmt w:val="lowerLetter"/>
      <w:lvlText w:val="%2)"/>
      <w:lvlJc w:val="left"/>
      <w:pPr>
        <w:tabs>
          <w:tab w:val="left" w:pos="1140"/>
        </w:tabs>
        <w:ind w:left="726" w:hanging="363"/>
      </w:pPr>
    </w:lvl>
    <w:lvl w:ilvl="2" w:tentative="0">
      <w:start w:val="1"/>
      <w:numFmt w:val="lowerRoman"/>
      <w:lvlText w:val="%3."/>
      <w:lvlJc w:val="right"/>
      <w:pPr>
        <w:tabs>
          <w:tab w:val="left" w:pos="1140"/>
        </w:tabs>
        <w:ind w:left="726" w:hanging="363"/>
      </w:pPr>
    </w:lvl>
    <w:lvl w:ilvl="3" w:tentative="0">
      <w:start w:val="1"/>
      <w:numFmt w:val="decimal"/>
      <w:lvlText w:val="%4."/>
      <w:lvlJc w:val="left"/>
      <w:pPr>
        <w:tabs>
          <w:tab w:val="left" w:pos="1140"/>
        </w:tabs>
        <w:ind w:left="726" w:hanging="363"/>
      </w:pPr>
    </w:lvl>
    <w:lvl w:ilvl="4" w:tentative="0">
      <w:start w:val="1"/>
      <w:numFmt w:val="lowerLetter"/>
      <w:lvlText w:val="%5)"/>
      <w:lvlJc w:val="left"/>
      <w:pPr>
        <w:tabs>
          <w:tab w:val="left" w:pos="1140"/>
        </w:tabs>
        <w:ind w:left="726" w:hanging="363"/>
      </w:pPr>
    </w:lvl>
    <w:lvl w:ilvl="5" w:tentative="0">
      <w:start w:val="1"/>
      <w:numFmt w:val="lowerRoman"/>
      <w:lvlText w:val="%6."/>
      <w:lvlJc w:val="right"/>
      <w:pPr>
        <w:tabs>
          <w:tab w:val="left" w:pos="1140"/>
        </w:tabs>
        <w:ind w:left="726" w:hanging="363"/>
      </w:pPr>
    </w:lvl>
    <w:lvl w:ilvl="6" w:tentative="0">
      <w:start w:val="1"/>
      <w:numFmt w:val="decimal"/>
      <w:lvlText w:val="%7."/>
      <w:lvlJc w:val="left"/>
      <w:pPr>
        <w:tabs>
          <w:tab w:val="left" w:pos="1140"/>
        </w:tabs>
        <w:ind w:left="726" w:hanging="363"/>
      </w:pPr>
    </w:lvl>
    <w:lvl w:ilvl="7" w:tentative="0">
      <w:start w:val="1"/>
      <w:numFmt w:val="lowerLetter"/>
      <w:lvlText w:val="%8)"/>
      <w:lvlJc w:val="left"/>
      <w:pPr>
        <w:tabs>
          <w:tab w:val="left" w:pos="1140"/>
        </w:tabs>
        <w:ind w:left="726" w:hanging="363"/>
      </w:pPr>
    </w:lvl>
    <w:lvl w:ilvl="8" w:tentative="0">
      <w:start w:val="1"/>
      <w:numFmt w:val="lowerRoman"/>
      <w:lvlText w:val="%9."/>
      <w:lvlJc w:val="right"/>
      <w:pPr>
        <w:tabs>
          <w:tab w:val="left" w:pos="1140"/>
        </w:tabs>
        <w:ind w:left="726" w:hanging="363"/>
      </w:pPr>
    </w:lvl>
  </w:abstractNum>
  <w:abstractNum w:abstractNumId="1">
    <w:nsid w:val="A595A272"/>
    <w:multiLevelType w:val="multilevel"/>
    <w:tmpl w:val="A595A272"/>
    <w:lvl w:ilvl="0" w:tentative="0">
      <w:start w:val="1"/>
      <w:numFmt w:val="none"/>
      <w:suff w:val="nothing"/>
      <w:lvlText w:val="%1"/>
      <w:lvlJc w:val="left"/>
      <w:pPr>
        <w:ind w:left="0" w:firstLine="0"/>
      </w:pPr>
    </w:lvl>
    <w:lvl w:ilvl="1" w:tentative="0">
      <w:start w:val="1"/>
      <w:numFmt w:val="decimal"/>
      <w:suff w:val="nothing"/>
      <w:lvlText w:val="%1%2　"/>
      <w:lvlJc w:val="left"/>
      <w:pPr>
        <w:ind w:left="0" w:firstLine="0"/>
      </w:pPr>
      <w:rPr>
        <w:rFonts w:hint="eastAsia" w:ascii="黑体" w:hAnsi="Times New Roman" w:eastAsia="黑体" w:cs="黑体"/>
        <w:b w:val="0"/>
        <w:i w:val="0"/>
        <w:sz w:val="21"/>
      </w:rPr>
    </w:lvl>
    <w:lvl w:ilvl="2" w:tentative="0">
      <w:start w:val="1"/>
      <w:numFmt w:val="decimal"/>
      <w:suff w:val="nothing"/>
      <w:lvlText w:val="%1%2.%3　"/>
      <w:lvlJc w:val="left"/>
      <w:pPr>
        <w:ind w:left="0" w:firstLine="0"/>
        <w:textAlignment w:val="baseline"/>
      </w:pPr>
      <w:rPr>
        <w:rFonts w:hint="eastAsia" w:ascii="黑体" w:hAnsi="Times New Roman" w:eastAsia="黑体" w:cs="Times New Roman"/>
        <w:b w:val="0"/>
        <w:bCs w:val="0"/>
        <w:i w:val="0"/>
        <w:iCs w:val="0"/>
        <w:caps w:val="0"/>
        <w:strike w:val="0"/>
        <w:dstrike w:val="0"/>
        <w:vanish w:val="0"/>
        <w:color w:val="000000"/>
        <w:spacing w:val="0"/>
        <w:kern w:val="0"/>
        <w:position w:val="0"/>
        <w:sz w:val="21"/>
        <w:u w:val="none"/>
      </w:rPr>
    </w:lvl>
    <w:lvl w:ilvl="3" w:tentative="0">
      <w:start w:val="1"/>
      <w:numFmt w:val="decimal"/>
      <w:suff w:val="nothing"/>
      <w:lvlText w:val="%1%2.%3.%4　"/>
      <w:lvlJc w:val="left"/>
      <w:pPr>
        <w:ind w:left="0" w:firstLine="0"/>
      </w:pPr>
      <w:rPr>
        <w:rFonts w:hint="eastAsia" w:ascii="黑体" w:hAnsi="Times New Roman" w:eastAsia="黑体" w:cs="黑体"/>
        <w:b w:val="0"/>
        <w:i w:val="0"/>
        <w:sz w:val="21"/>
      </w:rPr>
    </w:lvl>
    <w:lvl w:ilvl="4" w:tentative="0">
      <w:start w:val="1"/>
      <w:numFmt w:val="decimal"/>
      <w:pStyle w:val="80"/>
      <w:suff w:val="nothing"/>
      <w:lvlText w:val="%1%2.%3.%4.%5　"/>
      <w:lvlJc w:val="left"/>
      <w:pPr>
        <w:ind w:left="0" w:firstLine="0"/>
      </w:pPr>
      <w:rPr>
        <w:rFonts w:hint="eastAsia" w:ascii="黑体" w:hAnsi="Times New Roman" w:eastAsia="黑体" w:cs="黑体"/>
        <w:b w:val="0"/>
        <w:i w:val="0"/>
        <w:sz w:val="21"/>
      </w:rPr>
    </w:lvl>
    <w:lvl w:ilvl="5" w:tentative="0">
      <w:start w:val="1"/>
      <w:numFmt w:val="decimal"/>
      <w:suff w:val="nothing"/>
      <w:lvlText w:val="%1%2.%3.%4.%5.%6　"/>
      <w:lvlJc w:val="left"/>
      <w:pPr>
        <w:ind w:left="0" w:firstLine="0"/>
      </w:pPr>
      <w:rPr>
        <w:rFonts w:hint="eastAsia" w:ascii="黑体" w:hAnsi="Times New Roman" w:eastAsia="黑体" w:cs="黑体"/>
        <w:b w:val="0"/>
        <w:i w:val="0"/>
        <w:sz w:val="21"/>
      </w:rPr>
    </w:lvl>
    <w:lvl w:ilvl="6" w:tentative="0">
      <w:start w:val="1"/>
      <w:numFmt w:val="decimal"/>
      <w:suff w:val="nothing"/>
      <w:lvlText w:val="%1%2.%3.%4.%5.%6.%7　"/>
      <w:lvlJc w:val="left"/>
      <w:pPr>
        <w:ind w:left="0" w:firstLine="0"/>
      </w:pPr>
      <w:rPr>
        <w:rFonts w:hint="eastAsia" w:ascii="黑体" w:hAnsi="Times New Roman" w:eastAsia="黑体" w:cs="黑体"/>
        <w:b w:val="0"/>
        <w:i w:val="0"/>
        <w:sz w:val="21"/>
      </w:rPr>
    </w:lvl>
    <w:lvl w:ilvl="7" w:tentative="0">
      <w:start w:val="1"/>
      <w:numFmt w:val="decimal"/>
      <w:lvlText w:val="%1.%2.%3.%4.%5.%6.%7.%8"/>
      <w:lvlJc w:val="left"/>
      <w:pPr>
        <w:tabs>
          <w:tab w:val="left" w:pos="4351"/>
        </w:tabs>
        <w:ind w:left="3972" w:hanging="1418"/>
      </w:pPr>
    </w:lvl>
    <w:lvl w:ilvl="8" w:tentative="0">
      <w:start w:val="1"/>
      <w:numFmt w:val="decimal"/>
      <w:lvlText w:val="%1.%2.%3.%4.%5.%6.%7.%8.%9"/>
      <w:lvlJc w:val="left"/>
      <w:pPr>
        <w:tabs>
          <w:tab w:val="left" w:pos="4777"/>
        </w:tabs>
        <w:ind w:left="4677" w:hanging="1700"/>
      </w:pPr>
    </w:lvl>
  </w:abstractNum>
  <w:abstractNum w:abstractNumId="2">
    <w:nsid w:val="CC27590F"/>
    <w:multiLevelType w:val="multilevel"/>
    <w:tmpl w:val="CC27590F"/>
    <w:lvl w:ilvl="0" w:tentative="0">
      <w:start w:val="1"/>
      <w:numFmt w:val="none"/>
      <w:suff w:val="nothing"/>
      <w:lvlText w:val="%1"/>
      <w:lvlJc w:val="left"/>
      <w:pPr>
        <w:ind w:left="0" w:firstLine="0"/>
      </w:pPr>
    </w:lvl>
    <w:lvl w:ilvl="1" w:tentative="0">
      <w:start w:val="1"/>
      <w:numFmt w:val="decimal"/>
      <w:suff w:val="nothing"/>
      <w:lvlText w:val="%1%2　"/>
      <w:lvlJc w:val="left"/>
      <w:pPr>
        <w:ind w:left="0" w:firstLine="0"/>
      </w:pPr>
      <w:rPr>
        <w:rFonts w:hint="eastAsia" w:ascii="黑体" w:hAnsi="Times New Roman" w:eastAsia="黑体" w:cs="黑体"/>
        <w:b w:val="0"/>
        <w:i w:val="0"/>
        <w:sz w:val="21"/>
      </w:rPr>
    </w:lvl>
    <w:lvl w:ilvl="2" w:tentative="0">
      <w:start w:val="1"/>
      <w:numFmt w:val="decimal"/>
      <w:suff w:val="nothing"/>
      <w:lvlText w:val="%1%2.%3　"/>
      <w:lvlJc w:val="left"/>
      <w:pPr>
        <w:ind w:left="0" w:firstLine="0"/>
        <w:textAlignment w:val="baseline"/>
      </w:pPr>
      <w:rPr>
        <w:rFonts w:hint="eastAsia" w:ascii="黑体" w:hAnsi="Times New Roman" w:eastAsia="黑体" w:cs="Times New Roman"/>
        <w:b w:val="0"/>
        <w:bCs w:val="0"/>
        <w:i w:val="0"/>
        <w:iCs w:val="0"/>
        <w:caps w:val="0"/>
        <w:strike w:val="0"/>
        <w:dstrike w:val="0"/>
        <w:vanish w:val="0"/>
        <w:color w:val="000000"/>
        <w:spacing w:val="0"/>
        <w:kern w:val="0"/>
        <w:position w:val="0"/>
        <w:sz w:val="21"/>
        <w:u w:val="none"/>
      </w:rPr>
    </w:lvl>
    <w:lvl w:ilvl="3" w:tentative="0">
      <w:start w:val="1"/>
      <w:numFmt w:val="decimal"/>
      <w:suff w:val="nothing"/>
      <w:lvlText w:val="%1%2.%3.%4　"/>
      <w:lvlJc w:val="left"/>
      <w:pPr>
        <w:ind w:left="0" w:firstLine="0"/>
      </w:pPr>
      <w:rPr>
        <w:rFonts w:hint="eastAsia" w:ascii="黑体" w:hAnsi="Times New Roman" w:eastAsia="黑体" w:cs="黑体"/>
        <w:b w:val="0"/>
        <w:i w:val="0"/>
        <w:sz w:val="21"/>
      </w:rPr>
    </w:lvl>
    <w:lvl w:ilvl="4" w:tentative="0">
      <w:start w:val="1"/>
      <w:numFmt w:val="decimal"/>
      <w:pStyle w:val="81"/>
      <w:suff w:val="nothing"/>
      <w:lvlText w:val="%1%2.%3.%4.%5　"/>
      <w:lvlJc w:val="left"/>
      <w:pPr>
        <w:ind w:left="0" w:firstLine="0"/>
      </w:pPr>
      <w:rPr>
        <w:rFonts w:hint="eastAsia" w:ascii="黑体" w:hAnsi="Times New Roman" w:eastAsia="黑体" w:cs="黑体"/>
        <w:b w:val="0"/>
        <w:i w:val="0"/>
        <w:sz w:val="21"/>
      </w:rPr>
    </w:lvl>
    <w:lvl w:ilvl="5" w:tentative="0">
      <w:start w:val="1"/>
      <w:numFmt w:val="decimal"/>
      <w:suff w:val="nothing"/>
      <w:lvlText w:val="%1%2.%3.%4.%5.%6　"/>
      <w:lvlJc w:val="left"/>
      <w:pPr>
        <w:ind w:left="0" w:firstLine="0"/>
      </w:pPr>
      <w:rPr>
        <w:rFonts w:hint="eastAsia" w:ascii="黑体" w:hAnsi="Times New Roman" w:eastAsia="黑体" w:cs="黑体"/>
        <w:b w:val="0"/>
        <w:i w:val="0"/>
        <w:sz w:val="21"/>
      </w:rPr>
    </w:lvl>
    <w:lvl w:ilvl="6" w:tentative="0">
      <w:start w:val="1"/>
      <w:numFmt w:val="decimal"/>
      <w:suff w:val="nothing"/>
      <w:lvlText w:val="%1%2.%3.%4.%5.%6.%7　"/>
      <w:lvlJc w:val="left"/>
      <w:pPr>
        <w:ind w:left="0" w:firstLine="0"/>
      </w:pPr>
      <w:rPr>
        <w:rFonts w:hint="eastAsia" w:ascii="黑体" w:hAnsi="Times New Roman" w:eastAsia="黑体" w:cs="黑体"/>
        <w:b w:val="0"/>
        <w:i w:val="0"/>
        <w:sz w:val="21"/>
      </w:rPr>
    </w:lvl>
    <w:lvl w:ilvl="7" w:tentative="0">
      <w:start w:val="1"/>
      <w:numFmt w:val="decimal"/>
      <w:lvlText w:val="%1.%2.%3.%4.%5.%6.%7.%8"/>
      <w:lvlJc w:val="left"/>
      <w:pPr>
        <w:tabs>
          <w:tab w:val="left" w:pos="4351"/>
        </w:tabs>
        <w:ind w:left="3972" w:hanging="1418"/>
      </w:pPr>
    </w:lvl>
    <w:lvl w:ilvl="8" w:tentative="0">
      <w:start w:val="1"/>
      <w:numFmt w:val="decimal"/>
      <w:lvlText w:val="%1.%2.%3.%4.%5.%6.%7.%8.%9"/>
      <w:lvlJc w:val="left"/>
      <w:pPr>
        <w:tabs>
          <w:tab w:val="left" w:pos="4777"/>
        </w:tabs>
        <w:ind w:left="4677" w:hanging="1700"/>
      </w:pPr>
    </w:lvl>
  </w:abstractNum>
  <w:abstractNum w:abstractNumId="3">
    <w:nsid w:val="DA31A623"/>
    <w:multiLevelType w:val="multilevel"/>
    <w:tmpl w:val="DA31A623"/>
    <w:lvl w:ilvl="0" w:tentative="0">
      <w:start w:val="1"/>
      <w:numFmt w:val="none"/>
      <w:pStyle w:val="79"/>
      <w:lvlText w:val="%1——"/>
      <w:lvlJc w:val="left"/>
      <w:pPr>
        <w:tabs>
          <w:tab w:val="left" w:pos="851"/>
        </w:tabs>
        <w:ind w:left="851" w:hanging="426"/>
      </w:pPr>
      <w:rPr>
        <w:rFonts w:hint="eastAsia" w:ascii="宋体" w:hAnsi="Times New Roman" w:eastAsia="宋体" w:cs="宋体"/>
        <w:b w:val="0"/>
        <w:i w:val="0"/>
        <w:sz w:val="21"/>
      </w:rPr>
    </w:lvl>
    <w:lvl w:ilvl="1" w:tentative="0">
      <w:start w:val="1"/>
      <w:numFmt w:val="none"/>
      <w:lvlText w:val=""/>
      <w:lvlJc w:val="left"/>
      <w:pPr>
        <w:ind w:left="851" w:hanging="431"/>
      </w:pPr>
      <w:rPr>
        <w:rFonts w:ascii="Symbol" w:hAnsi="Symbol" w:cs="Symbol"/>
        <w:sz w:val="21"/>
      </w:rPr>
    </w:lvl>
    <w:lvl w:ilvl="2" w:tentative="0">
      <w:start w:val="1"/>
      <w:numFmt w:val="bullet"/>
      <w:lvlText w:val=""/>
      <w:lvlJc w:val="left"/>
      <w:pPr>
        <w:ind w:left="851" w:hanging="426"/>
      </w:pPr>
      <w:rPr>
        <w:rFonts w:hint="default" w:ascii="Wingdings" w:hAnsi="Wingdings" w:cs="Wingdings"/>
        <w:sz w:val="21"/>
      </w:rPr>
    </w:lvl>
    <w:lvl w:ilvl="3" w:tentative="0">
      <w:start w:val="1"/>
      <w:numFmt w:val="decimal"/>
      <w:lvlText w:val="%4."/>
      <w:lvlJc w:val="left"/>
      <w:pPr>
        <w:tabs>
          <w:tab w:val="left" w:pos="2071"/>
        </w:tabs>
        <w:ind w:left="1884" w:hanging="528"/>
      </w:pPr>
    </w:lvl>
    <w:lvl w:ilvl="4" w:tentative="0">
      <w:start w:val="1"/>
      <w:numFmt w:val="lowerLetter"/>
      <w:lvlText w:val="%5)"/>
      <w:lvlJc w:val="left"/>
      <w:pPr>
        <w:tabs>
          <w:tab w:val="left" w:pos="2383"/>
        </w:tabs>
        <w:ind w:left="2196" w:hanging="528"/>
      </w:pPr>
    </w:lvl>
    <w:lvl w:ilvl="5" w:tentative="0">
      <w:start w:val="1"/>
      <w:numFmt w:val="lowerRoman"/>
      <w:lvlText w:val="%6."/>
      <w:lvlJc w:val="right"/>
      <w:pPr>
        <w:tabs>
          <w:tab w:val="left" w:pos="2695"/>
        </w:tabs>
        <w:ind w:left="2508" w:hanging="528"/>
      </w:pPr>
    </w:lvl>
    <w:lvl w:ilvl="6" w:tentative="0">
      <w:start w:val="1"/>
      <w:numFmt w:val="decimal"/>
      <w:lvlText w:val="%7."/>
      <w:lvlJc w:val="left"/>
      <w:pPr>
        <w:tabs>
          <w:tab w:val="left" w:pos="3007"/>
        </w:tabs>
        <w:ind w:left="2820" w:hanging="528"/>
      </w:pPr>
    </w:lvl>
    <w:lvl w:ilvl="7" w:tentative="0">
      <w:start w:val="1"/>
      <w:numFmt w:val="lowerLetter"/>
      <w:lvlText w:val="%8)"/>
      <w:lvlJc w:val="left"/>
      <w:pPr>
        <w:tabs>
          <w:tab w:val="left" w:pos="3319"/>
        </w:tabs>
        <w:ind w:left="3132" w:hanging="528"/>
      </w:pPr>
    </w:lvl>
    <w:lvl w:ilvl="8" w:tentative="0">
      <w:start w:val="1"/>
      <w:numFmt w:val="lowerRoman"/>
      <w:lvlText w:val="%9."/>
      <w:lvlJc w:val="right"/>
      <w:pPr>
        <w:tabs>
          <w:tab w:val="left" w:pos="3631"/>
        </w:tabs>
        <w:ind w:left="3444" w:hanging="528"/>
      </w:pPr>
    </w:lvl>
  </w:abstractNum>
  <w:abstractNum w:abstractNumId="4">
    <w:nsid w:val="F0BF9061"/>
    <w:multiLevelType w:val="multilevel"/>
    <w:tmpl w:val="F0BF9061"/>
    <w:lvl w:ilvl="0" w:tentative="0">
      <w:start w:val="1"/>
      <w:numFmt w:val="none"/>
      <w:lvlText w:val="%1注："/>
      <w:lvlJc w:val="left"/>
      <w:pPr>
        <w:ind w:left="737" w:hanging="374"/>
      </w:pPr>
      <w:rPr>
        <w:rFonts w:hint="eastAsia" w:ascii="黑体" w:hAnsi="Times New Roman" w:eastAsia="黑体" w:cs="黑体"/>
        <w:b w:val="0"/>
        <w:i w:val="0"/>
        <w:sz w:val="18"/>
      </w:rPr>
    </w:lvl>
    <w:lvl w:ilvl="1" w:tentative="0">
      <w:start w:val="1"/>
      <w:numFmt w:val="lowerLetter"/>
      <w:lvlText w:val="%2)"/>
      <w:lvlJc w:val="left"/>
      <w:pPr>
        <w:tabs>
          <w:tab w:val="left" w:pos="1140"/>
        </w:tabs>
        <w:ind w:left="726" w:hanging="363"/>
      </w:pPr>
    </w:lvl>
    <w:lvl w:ilvl="2" w:tentative="0">
      <w:start w:val="1"/>
      <w:numFmt w:val="lowerRoman"/>
      <w:lvlText w:val="%3."/>
      <w:lvlJc w:val="right"/>
      <w:pPr>
        <w:tabs>
          <w:tab w:val="left" w:pos="1140"/>
        </w:tabs>
        <w:ind w:left="726" w:hanging="363"/>
      </w:pPr>
    </w:lvl>
    <w:lvl w:ilvl="3" w:tentative="0">
      <w:start w:val="1"/>
      <w:numFmt w:val="decimal"/>
      <w:lvlText w:val="%4."/>
      <w:lvlJc w:val="left"/>
      <w:pPr>
        <w:tabs>
          <w:tab w:val="left" w:pos="1140"/>
        </w:tabs>
        <w:ind w:left="726" w:hanging="363"/>
      </w:pPr>
    </w:lvl>
    <w:lvl w:ilvl="4" w:tentative="0">
      <w:start w:val="1"/>
      <w:numFmt w:val="lowerLetter"/>
      <w:lvlText w:val="%5)"/>
      <w:lvlJc w:val="left"/>
      <w:pPr>
        <w:tabs>
          <w:tab w:val="left" w:pos="1140"/>
        </w:tabs>
        <w:ind w:left="726" w:hanging="363"/>
      </w:pPr>
    </w:lvl>
    <w:lvl w:ilvl="5" w:tentative="0">
      <w:start w:val="1"/>
      <w:numFmt w:val="lowerRoman"/>
      <w:lvlText w:val="%6."/>
      <w:lvlJc w:val="right"/>
      <w:pPr>
        <w:tabs>
          <w:tab w:val="left" w:pos="1140"/>
        </w:tabs>
        <w:ind w:left="726" w:hanging="363"/>
      </w:pPr>
    </w:lvl>
    <w:lvl w:ilvl="6" w:tentative="0">
      <w:start w:val="1"/>
      <w:numFmt w:val="decimal"/>
      <w:lvlText w:val="%7."/>
      <w:lvlJc w:val="left"/>
      <w:pPr>
        <w:tabs>
          <w:tab w:val="left" w:pos="1140"/>
        </w:tabs>
        <w:ind w:left="726" w:hanging="363"/>
      </w:pPr>
    </w:lvl>
    <w:lvl w:ilvl="7" w:tentative="0">
      <w:start w:val="1"/>
      <w:numFmt w:val="lowerLetter"/>
      <w:lvlText w:val="%8)"/>
      <w:lvlJc w:val="left"/>
      <w:pPr>
        <w:tabs>
          <w:tab w:val="left" w:pos="1140"/>
        </w:tabs>
        <w:ind w:left="726" w:hanging="363"/>
      </w:pPr>
    </w:lvl>
    <w:lvl w:ilvl="8" w:tentative="0">
      <w:start w:val="1"/>
      <w:numFmt w:val="lowerRoman"/>
      <w:lvlText w:val="%9."/>
      <w:lvlJc w:val="right"/>
      <w:pPr>
        <w:tabs>
          <w:tab w:val="left" w:pos="1140"/>
        </w:tabs>
        <w:ind w:left="726" w:hanging="363"/>
      </w:pPr>
    </w:lvl>
  </w:abstractNum>
  <w:abstractNum w:abstractNumId="5">
    <w:nsid w:val="079102AD"/>
    <w:multiLevelType w:val="multilevel"/>
    <w:tmpl w:val="079102AD"/>
    <w:lvl w:ilvl="0" w:tentative="0">
      <w:start w:val="1"/>
      <w:numFmt w:val="decimal"/>
      <w:pStyle w:val="77"/>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6">
    <w:nsid w:val="07ED3FEA"/>
    <w:multiLevelType w:val="multilevel"/>
    <w:tmpl w:val="07ED3FEA"/>
    <w:lvl w:ilvl="0" w:tentative="0">
      <w:start w:val="1"/>
      <w:numFmt w:val="none"/>
      <w:pStyle w:val="49"/>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
    <w:nsid w:val="15EF0C26"/>
    <w:multiLevelType w:val="multilevel"/>
    <w:tmpl w:val="15EF0C26"/>
    <w:lvl w:ilvl="0" w:tentative="0">
      <w:start w:val="1"/>
      <w:numFmt w:val="lowerLetter"/>
      <w:pStyle w:val="55"/>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8">
    <w:nsid w:val="1DF197E5"/>
    <w:multiLevelType w:val="singleLevel"/>
    <w:tmpl w:val="1DF197E5"/>
    <w:lvl w:ilvl="0" w:tentative="0">
      <w:start w:val="1"/>
      <w:numFmt w:val="decimal"/>
      <w:suff w:val="space"/>
      <w:lvlText w:val="[%1]"/>
      <w:lvlJc w:val="left"/>
      <w:rPr>
        <w:rFonts w:hint="default" w:ascii="宋体" w:hAnsi="宋体" w:eastAsia="宋体" w:cstheme="minorEastAsia"/>
        <w:sz w:val="21"/>
        <w:szCs w:val="21"/>
      </w:rPr>
    </w:lvl>
  </w:abstractNum>
  <w:abstractNum w:abstractNumId="9">
    <w:nsid w:val="1FC91163"/>
    <w:multiLevelType w:val="multilevel"/>
    <w:tmpl w:val="1FC91163"/>
    <w:lvl w:ilvl="0" w:tentative="0">
      <w:start w:val="1"/>
      <w:numFmt w:val="decimal"/>
      <w:pStyle w:val="5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2"/>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4"/>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0">
    <w:nsid w:val="2C5917C3"/>
    <w:multiLevelType w:val="multilevel"/>
    <w:tmpl w:val="2C5917C3"/>
    <w:lvl w:ilvl="0" w:tentative="0">
      <w:start w:val="1"/>
      <w:numFmt w:val="none"/>
      <w:suff w:val="nothing"/>
      <w:lvlText w:val="%1——"/>
      <w:lvlJc w:val="left"/>
      <w:pPr>
        <w:ind w:left="833" w:hanging="408"/>
      </w:pPr>
      <w:rPr>
        <w:rFonts w:hint="eastAsia"/>
        <w:lang w:val="en-US"/>
      </w:rPr>
    </w:lvl>
    <w:lvl w:ilvl="1" w:tentative="0">
      <w:start w:val="1"/>
      <w:numFmt w:val="bullet"/>
      <w:pStyle w:val="56"/>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7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2">
    <w:nsid w:val="646260FA"/>
    <w:multiLevelType w:val="multilevel"/>
    <w:tmpl w:val="646260FA"/>
    <w:lvl w:ilvl="0" w:tentative="0">
      <w:start w:val="1"/>
      <w:numFmt w:val="decimal"/>
      <w:pStyle w:val="60"/>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3">
    <w:nsid w:val="657D3FBC"/>
    <w:multiLevelType w:val="multilevel"/>
    <w:tmpl w:val="657D3FBC"/>
    <w:lvl w:ilvl="0" w:tentative="0">
      <w:start w:val="1"/>
      <w:numFmt w:val="upperLetter"/>
      <w:pStyle w:val="59"/>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3"/>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14">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6"/>
      <w:suff w:val="nothing"/>
      <w:lvlText w:val="%1%2　"/>
      <w:lvlJc w:val="left"/>
      <w:pPr>
        <w:ind w:left="0" w:firstLine="0"/>
      </w:pPr>
      <w:rPr>
        <w:rFonts w:hint="eastAsia" w:ascii="黑体" w:eastAsia="黑体"/>
        <w:b w:val="0"/>
        <w:i w:val="0"/>
        <w:sz w:val="21"/>
      </w:rPr>
    </w:lvl>
    <w:lvl w:ilvl="2" w:tentative="0">
      <w:start w:val="1"/>
      <w:numFmt w:val="decimal"/>
      <w:pStyle w:val="6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5">
    <w:nsid w:val="6DBF04F4"/>
    <w:multiLevelType w:val="multilevel"/>
    <w:tmpl w:val="6DBF04F4"/>
    <w:lvl w:ilvl="0" w:tentative="0">
      <w:start w:val="1"/>
      <w:numFmt w:val="none"/>
      <w:pStyle w:val="58"/>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16">
    <w:nsid w:val="6EA8959F"/>
    <w:multiLevelType w:val="multilevel"/>
    <w:tmpl w:val="6EA8959F"/>
    <w:lvl w:ilvl="0" w:tentative="0">
      <w:start w:val="1"/>
      <w:numFmt w:val="none"/>
      <w:lvlText w:val="%1注："/>
      <w:lvlJc w:val="left"/>
      <w:pPr>
        <w:ind w:left="737" w:hanging="374"/>
      </w:pPr>
      <w:rPr>
        <w:rFonts w:hint="eastAsia" w:ascii="黑体" w:hAnsi="Times New Roman" w:eastAsia="黑体" w:cs="黑体"/>
        <w:b w:val="0"/>
        <w:i w:val="0"/>
        <w:sz w:val="18"/>
      </w:rPr>
    </w:lvl>
    <w:lvl w:ilvl="1" w:tentative="0">
      <w:start w:val="1"/>
      <w:numFmt w:val="lowerLetter"/>
      <w:lvlText w:val="%2)"/>
      <w:lvlJc w:val="left"/>
      <w:pPr>
        <w:tabs>
          <w:tab w:val="left" w:pos="1140"/>
        </w:tabs>
        <w:ind w:left="726" w:hanging="363"/>
      </w:pPr>
    </w:lvl>
    <w:lvl w:ilvl="2" w:tentative="0">
      <w:start w:val="1"/>
      <w:numFmt w:val="lowerRoman"/>
      <w:lvlText w:val="%3."/>
      <w:lvlJc w:val="right"/>
      <w:pPr>
        <w:tabs>
          <w:tab w:val="left" w:pos="1140"/>
        </w:tabs>
        <w:ind w:left="726" w:hanging="363"/>
      </w:pPr>
    </w:lvl>
    <w:lvl w:ilvl="3" w:tentative="0">
      <w:start w:val="1"/>
      <w:numFmt w:val="decimal"/>
      <w:lvlText w:val="%4."/>
      <w:lvlJc w:val="left"/>
      <w:pPr>
        <w:tabs>
          <w:tab w:val="left" w:pos="1140"/>
        </w:tabs>
        <w:ind w:left="726" w:hanging="363"/>
      </w:pPr>
    </w:lvl>
    <w:lvl w:ilvl="4" w:tentative="0">
      <w:start w:val="1"/>
      <w:numFmt w:val="lowerLetter"/>
      <w:lvlText w:val="%5)"/>
      <w:lvlJc w:val="left"/>
      <w:pPr>
        <w:tabs>
          <w:tab w:val="left" w:pos="1140"/>
        </w:tabs>
        <w:ind w:left="726" w:hanging="363"/>
      </w:pPr>
    </w:lvl>
    <w:lvl w:ilvl="5" w:tentative="0">
      <w:start w:val="1"/>
      <w:numFmt w:val="lowerRoman"/>
      <w:lvlText w:val="%6."/>
      <w:lvlJc w:val="right"/>
      <w:pPr>
        <w:tabs>
          <w:tab w:val="left" w:pos="1140"/>
        </w:tabs>
        <w:ind w:left="726" w:hanging="363"/>
      </w:pPr>
    </w:lvl>
    <w:lvl w:ilvl="6" w:tentative="0">
      <w:start w:val="1"/>
      <w:numFmt w:val="decimal"/>
      <w:lvlText w:val="%7."/>
      <w:lvlJc w:val="left"/>
      <w:pPr>
        <w:tabs>
          <w:tab w:val="left" w:pos="1140"/>
        </w:tabs>
        <w:ind w:left="726" w:hanging="363"/>
      </w:pPr>
    </w:lvl>
    <w:lvl w:ilvl="7" w:tentative="0">
      <w:start w:val="1"/>
      <w:numFmt w:val="lowerLetter"/>
      <w:lvlText w:val="%8)"/>
      <w:lvlJc w:val="left"/>
      <w:pPr>
        <w:tabs>
          <w:tab w:val="left" w:pos="1140"/>
        </w:tabs>
        <w:ind w:left="726" w:hanging="363"/>
      </w:pPr>
    </w:lvl>
    <w:lvl w:ilvl="8" w:tentative="0">
      <w:start w:val="1"/>
      <w:numFmt w:val="lowerRoman"/>
      <w:lvlText w:val="%9."/>
      <w:lvlJc w:val="right"/>
      <w:pPr>
        <w:tabs>
          <w:tab w:val="left" w:pos="1140"/>
        </w:tabs>
        <w:ind w:left="726" w:hanging="363"/>
      </w:pPr>
    </w:lvl>
  </w:abstractNum>
  <w:num w:numId="1">
    <w:abstractNumId w:val="6"/>
  </w:num>
  <w:num w:numId="2">
    <w:abstractNumId w:val="9"/>
  </w:num>
  <w:num w:numId="3">
    <w:abstractNumId w:val="7"/>
  </w:num>
  <w:num w:numId="4">
    <w:abstractNumId w:val="10"/>
  </w:num>
  <w:num w:numId="5">
    <w:abstractNumId w:val="15"/>
  </w:num>
  <w:num w:numId="6">
    <w:abstractNumId w:val="13"/>
  </w:num>
  <w:num w:numId="7">
    <w:abstractNumId w:val="12"/>
  </w:num>
  <w:num w:numId="8">
    <w:abstractNumId w:val="14"/>
  </w:num>
  <w:num w:numId="9">
    <w:abstractNumId w:val="11"/>
  </w:num>
  <w:num w:numId="10">
    <w:abstractNumId w:val="5"/>
  </w:num>
  <w:num w:numId="11">
    <w:abstractNumId w:val="0"/>
  </w:num>
  <w:num w:numId="12">
    <w:abstractNumId w:val="3"/>
  </w:num>
  <w:num w:numId="13">
    <w:abstractNumId w:val="1"/>
  </w:num>
  <w:num w:numId="14">
    <w:abstractNumId w:val="2"/>
  </w:num>
  <w:num w:numId="15">
    <w:abstractNumId w:val="4"/>
  </w:num>
  <w:num w:numId="16">
    <w:abstractNumId w:val="1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mirrorMargins w:val="true"/>
  <w:documentProtection w:edit="trackedChanges" w:enforcement="0"/>
  <w:defaultTabStop w:val="420"/>
  <w:evenAndOddHeaders w:val="true"/>
  <w:drawingGridHorizontalSpacing w:val="105"/>
  <w:drawingGridVerticalSpacing w:val="156"/>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jOTdkMDk2ZTI1OWZiYzFjYTFjZDJlOTYxYjQ5ZTIifQ=="/>
    <w:docVar w:name="KSO_WPS_MARK_KEY" w:val="52548aae-2002-4139-9182-7b8689647ee4"/>
  </w:docVars>
  <w:rsids>
    <w:rsidRoot w:val="002C4A7A"/>
    <w:rsid w:val="00000C6F"/>
    <w:rsid w:val="00002D7A"/>
    <w:rsid w:val="00005817"/>
    <w:rsid w:val="00013861"/>
    <w:rsid w:val="00013FB4"/>
    <w:rsid w:val="000173A8"/>
    <w:rsid w:val="0001746B"/>
    <w:rsid w:val="00031630"/>
    <w:rsid w:val="0003782B"/>
    <w:rsid w:val="000505F8"/>
    <w:rsid w:val="000511AD"/>
    <w:rsid w:val="0005686E"/>
    <w:rsid w:val="00056E11"/>
    <w:rsid w:val="0006343E"/>
    <w:rsid w:val="00065304"/>
    <w:rsid w:val="00071463"/>
    <w:rsid w:val="00074CE1"/>
    <w:rsid w:val="00075ADA"/>
    <w:rsid w:val="00081105"/>
    <w:rsid w:val="000814DC"/>
    <w:rsid w:val="0009093B"/>
    <w:rsid w:val="0009104A"/>
    <w:rsid w:val="00092A3E"/>
    <w:rsid w:val="000944B1"/>
    <w:rsid w:val="000946C9"/>
    <w:rsid w:val="0009741B"/>
    <w:rsid w:val="000A05E2"/>
    <w:rsid w:val="000B1AD2"/>
    <w:rsid w:val="000B5222"/>
    <w:rsid w:val="000C1F9F"/>
    <w:rsid w:val="000D3EF6"/>
    <w:rsid w:val="000D5C84"/>
    <w:rsid w:val="000E084D"/>
    <w:rsid w:val="000E4AD1"/>
    <w:rsid w:val="000F2CB4"/>
    <w:rsid w:val="001103A2"/>
    <w:rsid w:val="00110D5E"/>
    <w:rsid w:val="00110EC6"/>
    <w:rsid w:val="00112AF7"/>
    <w:rsid w:val="00113409"/>
    <w:rsid w:val="001202C0"/>
    <w:rsid w:val="00120961"/>
    <w:rsid w:val="0012099B"/>
    <w:rsid w:val="00133094"/>
    <w:rsid w:val="0014534C"/>
    <w:rsid w:val="001462B7"/>
    <w:rsid w:val="00147278"/>
    <w:rsid w:val="00147564"/>
    <w:rsid w:val="00147A7E"/>
    <w:rsid w:val="00147F7E"/>
    <w:rsid w:val="001516E1"/>
    <w:rsid w:val="0015700F"/>
    <w:rsid w:val="0016095C"/>
    <w:rsid w:val="0016154E"/>
    <w:rsid w:val="001720FB"/>
    <w:rsid w:val="00173651"/>
    <w:rsid w:val="0017564C"/>
    <w:rsid w:val="00175A7C"/>
    <w:rsid w:val="001760F7"/>
    <w:rsid w:val="00176E61"/>
    <w:rsid w:val="001906DB"/>
    <w:rsid w:val="00195C90"/>
    <w:rsid w:val="0019613E"/>
    <w:rsid w:val="001A1683"/>
    <w:rsid w:val="001A2848"/>
    <w:rsid w:val="001A2A72"/>
    <w:rsid w:val="001A2CD6"/>
    <w:rsid w:val="001B007D"/>
    <w:rsid w:val="001B0CF3"/>
    <w:rsid w:val="001B3AC1"/>
    <w:rsid w:val="001C0F5C"/>
    <w:rsid w:val="001C10DE"/>
    <w:rsid w:val="001C3415"/>
    <w:rsid w:val="001C4DED"/>
    <w:rsid w:val="001C7FB4"/>
    <w:rsid w:val="001D0910"/>
    <w:rsid w:val="001D2F2F"/>
    <w:rsid w:val="001D2F99"/>
    <w:rsid w:val="001D48D0"/>
    <w:rsid w:val="001D70CD"/>
    <w:rsid w:val="001E0871"/>
    <w:rsid w:val="001E3D11"/>
    <w:rsid w:val="001E4804"/>
    <w:rsid w:val="001E7BD6"/>
    <w:rsid w:val="001F47C8"/>
    <w:rsid w:val="00211953"/>
    <w:rsid w:val="002209AC"/>
    <w:rsid w:val="00220A99"/>
    <w:rsid w:val="00222A27"/>
    <w:rsid w:val="00223A5B"/>
    <w:rsid w:val="00223BD4"/>
    <w:rsid w:val="00230CF6"/>
    <w:rsid w:val="00230F2F"/>
    <w:rsid w:val="00247720"/>
    <w:rsid w:val="00251127"/>
    <w:rsid w:val="00251537"/>
    <w:rsid w:val="00251550"/>
    <w:rsid w:val="002517ED"/>
    <w:rsid w:val="00262444"/>
    <w:rsid w:val="00276A28"/>
    <w:rsid w:val="002829F1"/>
    <w:rsid w:val="0028337F"/>
    <w:rsid w:val="00285357"/>
    <w:rsid w:val="00286986"/>
    <w:rsid w:val="00290F18"/>
    <w:rsid w:val="00293BD3"/>
    <w:rsid w:val="002950A9"/>
    <w:rsid w:val="00296094"/>
    <w:rsid w:val="002A2A23"/>
    <w:rsid w:val="002A4D51"/>
    <w:rsid w:val="002A5A01"/>
    <w:rsid w:val="002A5BCE"/>
    <w:rsid w:val="002B3E52"/>
    <w:rsid w:val="002B5800"/>
    <w:rsid w:val="002C253D"/>
    <w:rsid w:val="002C3A09"/>
    <w:rsid w:val="002C4A7A"/>
    <w:rsid w:val="002C57A0"/>
    <w:rsid w:val="002C639A"/>
    <w:rsid w:val="002D2351"/>
    <w:rsid w:val="002D38F3"/>
    <w:rsid w:val="002D49DC"/>
    <w:rsid w:val="002D54BC"/>
    <w:rsid w:val="002E5B5C"/>
    <w:rsid w:val="002F2052"/>
    <w:rsid w:val="002F2C23"/>
    <w:rsid w:val="002F3CCA"/>
    <w:rsid w:val="00301D6E"/>
    <w:rsid w:val="0030224A"/>
    <w:rsid w:val="00302D0D"/>
    <w:rsid w:val="00304C82"/>
    <w:rsid w:val="00311B67"/>
    <w:rsid w:val="0031322E"/>
    <w:rsid w:val="00317DB9"/>
    <w:rsid w:val="00327834"/>
    <w:rsid w:val="00330DE3"/>
    <w:rsid w:val="00334B35"/>
    <w:rsid w:val="00334DA4"/>
    <w:rsid w:val="00335ABA"/>
    <w:rsid w:val="00340030"/>
    <w:rsid w:val="00340CAC"/>
    <w:rsid w:val="003422C6"/>
    <w:rsid w:val="003438AA"/>
    <w:rsid w:val="00344E14"/>
    <w:rsid w:val="0034543B"/>
    <w:rsid w:val="00346C04"/>
    <w:rsid w:val="00354DAE"/>
    <w:rsid w:val="00355096"/>
    <w:rsid w:val="003568F1"/>
    <w:rsid w:val="00362FF0"/>
    <w:rsid w:val="003662BC"/>
    <w:rsid w:val="00366DB7"/>
    <w:rsid w:val="00367200"/>
    <w:rsid w:val="0037136A"/>
    <w:rsid w:val="003720DC"/>
    <w:rsid w:val="00375FCF"/>
    <w:rsid w:val="00387FF8"/>
    <w:rsid w:val="00393266"/>
    <w:rsid w:val="003A0DBB"/>
    <w:rsid w:val="003A238B"/>
    <w:rsid w:val="003B6878"/>
    <w:rsid w:val="003C0E5B"/>
    <w:rsid w:val="003C2C65"/>
    <w:rsid w:val="003C31B0"/>
    <w:rsid w:val="003D0151"/>
    <w:rsid w:val="003D13FA"/>
    <w:rsid w:val="003D1497"/>
    <w:rsid w:val="003E0580"/>
    <w:rsid w:val="003E28CE"/>
    <w:rsid w:val="003F714F"/>
    <w:rsid w:val="00407B9E"/>
    <w:rsid w:val="00417738"/>
    <w:rsid w:val="0042003E"/>
    <w:rsid w:val="004212D3"/>
    <w:rsid w:val="00422051"/>
    <w:rsid w:val="0042333A"/>
    <w:rsid w:val="00426BC8"/>
    <w:rsid w:val="00430DD2"/>
    <w:rsid w:val="004426FC"/>
    <w:rsid w:val="0044581A"/>
    <w:rsid w:val="00451407"/>
    <w:rsid w:val="00451847"/>
    <w:rsid w:val="00454031"/>
    <w:rsid w:val="0045451F"/>
    <w:rsid w:val="004574AE"/>
    <w:rsid w:val="004610BF"/>
    <w:rsid w:val="00471508"/>
    <w:rsid w:val="004926A0"/>
    <w:rsid w:val="00495E4E"/>
    <w:rsid w:val="004A0644"/>
    <w:rsid w:val="004A132F"/>
    <w:rsid w:val="004A6AB6"/>
    <w:rsid w:val="004B01AE"/>
    <w:rsid w:val="004B12F5"/>
    <w:rsid w:val="004B2D06"/>
    <w:rsid w:val="004B540D"/>
    <w:rsid w:val="004C2F70"/>
    <w:rsid w:val="004C5E71"/>
    <w:rsid w:val="004D09E4"/>
    <w:rsid w:val="004D424C"/>
    <w:rsid w:val="004D5B9A"/>
    <w:rsid w:val="004E01DA"/>
    <w:rsid w:val="004E3E2D"/>
    <w:rsid w:val="004E4186"/>
    <w:rsid w:val="004E4DE6"/>
    <w:rsid w:val="004F0C75"/>
    <w:rsid w:val="004F3DCC"/>
    <w:rsid w:val="00506EF4"/>
    <w:rsid w:val="005102EF"/>
    <w:rsid w:val="00510EBE"/>
    <w:rsid w:val="005122CD"/>
    <w:rsid w:val="00520237"/>
    <w:rsid w:val="00523728"/>
    <w:rsid w:val="00524CE2"/>
    <w:rsid w:val="0053086A"/>
    <w:rsid w:val="00534D92"/>
    <w:rsid w:val="00536AD1"/>
    <w:rsid w:val="00540818"/>
    <w:rsid w:val="00542910"/>
    <w:rsid w:val="00546657"/>
    <w:rsid w:val="00554600"/>
    <w:rsid w:val="0055478B"/>
    <w:rsid w:val="005606B4"/>
    <w:rsid w:val="00563D0F"/>
    <w:rsid w:val="005701EA"/>
    <w:rsid w:val="00575480"/>
    <w:rsid w:val="00591331"/>
    <w:rsid w:val="005928C2"/>
    <w:rsid w:val="00596070"/>
    <w:rsid w:val="005A2C7F"/>
    <w:rsid w:val="005A4975"/>
    <w:rsid w:val="005A60AC"/>
    <w:rsid w:val="005B6D29"/>
    <w:rsid w:val="005C370B"/>
    <w:rsid w:val="005E015F"/>
    <w:rsid w:val="005E1CA7"/>
    <w:rsid w:val="005F2DCC"/>
    <w:rsid w:val="005F5CFF"/>
    <w:rsid w:val="00600F7C"/>
    <w:rsid w:val="006045C0"/>
    <w:rsid w:val="00610AF4"/>
    <w:rsid w:val="00613357"/>
    <w:rsid w:val="00616AFA"/>
    <w:rsid w:val="00621AD2"/>
    <w:rsid w:val="00626507"/>
    <w:rsid w:val="0062656D"/>
    <w:rsid w:val="00633884"/>
    <w:rsid w:val="00635FE2"/>
    <w:rsid w:val="00637850"/>
    <w:rsid w:val="00640CD9"/>
    <w:rsid w:val="00646C9D"/>
    <w:rsid w:val="006476F3"/>
    <w:rsid w:val="0065660B"/>
    <w:rsid w:val="00662568"/>
    <w:rsid w:val="006738FB"/>
    <w:rsid w:val="00673C24"/>
    <w:rsid w:val="006763FD"/>
    <w:rsid w:val="006839CD"/>
    <w:rsid w:val="006867E4"/>
    <w:rsid w:val="00686AB4"/>
    <w:rsid w:val="00687FF9"/>
    <w:rsid w:val="00694817"/>
    <w:rsid w:val="00695FD6"/>
    <w:rsid w:val="006965B2"/>
    <w:rsid w:val="00697323"/>
    <w:rsid w:val="006A3A00"/>
    <w:rsid w:val="006A587D"/>
    <w:rsid w:val="006B00F8"/>
    <w:rsid w:val="006B0EDD"/>
    <w:rsid w:val="006B4E4A"/>
    <w:rsid w:val="006D1713"/>
    <w:rsid w:val="006D3593"/>
    <w:rsid w:val="006D384B"/>
    <w:rsid w:val="006D7F23"/>
    <w:rsid w:val="006E42DF"/>
    <w:rsid w:val="006E6B90"/>
    <w:rsid w:val="00705B6D"/>
    <w:rsid w:val="0070744F"/>
    <w:rsid w:val="007078CB"/>
    <w:rsid w:val="00711444"/>
    <w:rsid w:val="00716D47"/>
    <w:rsid w:val="00717C25"/>
    <w:rsid w:val="00720335"/>
    <w:rsid w:val="00721D42"/>
    <w:rsid w:val="00723CE8"/>
    <w:rsid w:val="00724CC3"/>
    <w:rsid w:val="00732CFF"/>
    <w:rsid w:val="00732DD3"/>
    <w:rsid w:val="00733FAB"/>
    <w:rsid w:val="00734A6B"/>
    <w:rsid w:val="00736BCB"/>
    <w:rsid w:val="007373F7"/>
    <w:rsid w:val="007404DC"/>
    <w:rsid w:val="0074159C"/>
    <w:rsid w:val="0074173E"/>
    <w:rsid w:val="00741CBE"/>
    <w:rsid w:val="00743636"/>
    <w:rsid w:val="00751B91"/>
    <w:rsid w:val="00754A67"/>
    <w:rsid w:val="007569D0"/>
    <w:rsid w:val="00762676"/>
    <w:rsid w:val="007667E9"/>
    <w:rsid w:val="007747B0"/>
    <w:rsid w:val="00775703"/>
    <w:rsid w:val="0077630C"/>
    <w:rsid w:val="00777F91"/>
    <w:rsid w:val="00784961"/>
    <w:rsid w:val="007906E7"/>
    <w:rsid w:val="00790CFC"/>
    <w:rsid w:val="00793C9B"/>
    <w:rsid w:val="007A262B"/>
    <w:rsid w:val="007A325E"/>
    <w:rsid w:val="007B71FE"/>
    <w:rsid w:val="007B7740"/>
    <w:rsid w:val="007C5205"/>
    <w:rsid w:val="007C6FAF"/>
    <w:rsid w:val="007C72D7"/>
    <w:rsid w:val="007D209B"/>
    <w:rsid w:val="007D6D20"/>
    <w:rsid w:val="007D77B7"/>
    <w:rsid w:val="007E1F24"/>
    <w:rsid w:val="007E451F"/>
    <w:rsid w:val="007F0AD4"/>
    <w:rsid w:val="007F0CE2"/>
    <w:rsid w:val="007F3D33"/>
    <w:rsid w:val="007F7E53"/>
    <w:rsid w:val="008029D3"/>
    <w:rsid w:val="008034D8"/>
    <w:rsid w:val="00803B33"/>
    <w:rsid w:val="0080474D"/>
    <w:rsid w:val="00804961"/>
    <w:rsid w:val="008062A9"/>
    <w:rsid w:val="0081659D"/>
    <w:rsid w:val="008204BD"/>
    <w:rsid w:val="00820C60"/>
    <w:rsid w:val="00822BEB"/>
    <w:rsid w:val="008237E6"/>
    <w:rsid w:val="00823FD0"/>
    <w:rsid w:val="008338C4"/>
    <w:rsid w:val="00842185"/>
    <w:rsid w:val="008423AD"/>
    <w:rsid w:val="00844C83"/>
    <w:rsid w:val="0084707B"/>
    <w:rsid w:val="0085002F"/>
    <w:rsid w:val="0085316A"/>
    <w:rsid w:val="008570AF"/>
    <w:rsid w:val="008601C4"/>
    <w:rsid w:val="0086279F"/>
    <w:rsid w:val="00864F8B"/>
    <w:rsid w:val="00866D54"/>
    <w:rsid w:val="00867DB6"/>
    <w:rsid w:val="0087171A"/>
    <w:rsid w:val="00871E5F"/>
    <w:rsid w:val="00874360"/>
    <w:rsid w:val="00874E16"/>
    <w:rsid w:val="008778D8"/>
    <w:rsid w:val="008823C4"/>
    <w:rsid w:val="00885586"/>
    <w:rsid w:val="00886D2A"/>
    <w:rsid w:val="00892FE8"/>
    <w:rsid w:val="008A525F"/>
    <w:rsid w:val="008A778B"/>
    <w:rsid w:val="008A7A04"/>
    <w:rsid w:val="008B2AA1"/>
    <w:rsid w:val="008B4744"/>
    <w:rsid w:val="008B4CD3"/>
    <w:rsid w:val="008C1198"/>
    <w:rsid w:val="008C23EA"/>
    <w:rsid w:val="008C6DE2"/>
    <w:rsid w:val="008C754A"/>
    <w:rsid w:val="008D32D9"/>
    <w:rsid w:val="008D50F3"/>
    <w:rsid w:val="008D6AC9"/>
    <w:rsid w:val="008E1D3D"/>
    <w:rsid w:val="008E73CE"/>
    <w:rsid w:val="008F7846"/>
    <w:rsid w:val="00900625"/>
    <w:rsid w:val="00900D6C"/>
    <w:rsid w:val="00902C03"/>
    <w:rsid w:val="00903551"/>
    <w:rsid w:val="009056B3"/>
    <w:rsid w:val="00905EC8"/>
    <w:rsid w:val="00906EE2"/>
    <w:rsid w:val="00912AA0"/>
    <w:rsid w:val="00914E1E"/>
    <w:rsid w:val="0092183B"/>
    <w:rsid w:val="00922FAC"/>
    <w:rsid w:val="009304BF"/>
    <w:rsid w:val="00932FD3"/>
    <w:rsid w:val="00941A12"/>
    <w:rsid w:val="00941B18"/>
    <w:rsid w:val="009449CC"/>
    <w:rsid w:val="00945592"/>
    <w:rsid w:val="00953360"/>
    <w:rsid w:val="009534B7"/>
    <w:rsid w:val="0095703E"/>
    <w:rsid w:val="0096181B"/>
    <w:rsid w:val="00961EC7"/>
    <w:rsid w:val="00970C6E"/>
    <w:rsid w:val="00975728"/>
    <w:rsid w:val="00992159"/>
    <w:rsid w:val="0099488E"/>
    <w:rsid w:val="009956AD"/>
    <w:rsid w:val="00996CA4"/>
    <w:rsid w:val="009A18CB"/>
    <w:rsid w:val="009A67D7"/>
    <w:rsid w:val="009A7D1D"/>
    <w:rsid w:val="009B2735"/>
    <w:rsid w:val="009B5AFA"/>
    <w:rsid w:val="009B6DC7"/>
    <w:rsid w:val="009B7156"/>
    <w:rsid w:val="009C15D7"/>
    <w:rsid w:val="009C71D1"/>
    <w:rsid w:val="009D11D8"/>
    <w:rsid w:val="009D27A6"/>
    <w:rsid w:val="009D5852"/>
    <w:rsid w:val="009E229D"/>
    <w:rsid w:val="009E4501"/>
    <w:rsid w:val="009F022A"/>
    <w:rsid w:val="009F25EB"/>
    <w:rsid w:val="009F4144"/>
    <w:rsid w:val="009F655E"/>
    <w:rsid w:val="00A0144F"/>
    <w:rsid w:val="00A0565D"/>
    <w:rsid w:val="00A0685D"/>
    <w:rsid w:val="00A06B8F"/>
    <w:rsid w:val="00A129D5"/>
    <w:rsid w:val="00A25BFF"/>
    <w:rsid w:val="00A26884"/>
    <w:rsid w:val="00A27283"/>
    <w:rsid w:val="00A2795C"/>
    <w:rsid w:val="00A31209"/>
    <w:rsid w:val="00A32E92"/>
    <w:rsid w:val="00A35EAE"/>
    <w:rsid w:val="00A415A9"/>
    <w:rsid w:val="00A421AD"/>
    <w:rsid w:val="00A516F3"/>
    <w:rsid w:val="00A52074"/>
    <w:rsid w:val="00A561C6"/>
    <w:rsid w:val="00A62CE9"/>
    <w:rsid w:val="00A634E6"/>
    <w:rsid w:val="00A66329"/>
    <w:rsid w:val="00A7056C"/>
    <w:rsid w:val="00A713B5"/>
    <w:rsid w:val="00A72B72"/>
    <w:rsid w:val="00A73768"/>
    <w:rsid w:val="00A87B13"/>
    <w:rsid w:val="00A92BF9"/>
    <w:rsid w:val="00A96125"/>
    <w:rsid w:val="00AA0DC4"/>
    <w:rsid w:val="00AA377C"/>
    <w:rsid w:val="00AA425D"/>
    <w:rsid w:val="00AB2CAF"/>
    <w:rsid w:val="00AB64F6"/>
    <w:rsid w:val="00AD00A8"/>
    <w:rsid w:val="00AD0949"/>
    <w:rsid w:val="00AD428E"/>
    <w:rsid w:val="00AD74A7"/>
    <w:rsid w:val="00AE49BE"/>
    <w:rsid w:val="00AE55AC"/>
    <w:rsid w:val="00AE5F8A"/>
    <w:rsid w:val="00AF53DB"/>
    <w:rsid w:val="00AF7AFE"/>
    <w:rsid w:val="00B01237"/>
    <w:rsid w:val="00B02086"/>
    <w:rsid w:val="00B06017"/>
    <w:rsid w:val="00B10919"/>
    <w:rsid w:val="00B1286A"/>
    <w:rsid w:val="00B1318E"/>
    <w:rsid w:val="00B17747"/>
    <w:rsid w:val="00B21CF9"/>
    <w:rsid w:val="00B309C2"/>
    <w:rsid w:val="00B319F3"/>
    <w:rsid w:val="00B33754"/>
    <w:rsid w:val="00B36BE0"/>
    <w:rsid w:val="00B37391"/>
    <w:rsid w:val="00B42D11"/>
    <w:rsid w:val="00B42FF5"/>
    <w:rsid w:val="00B450A3"/>
    <w:rsid w:val="00B61230"/>
    <w:rsid w:val="00B61250"/>
    <w:rsid w:val="00B618E8"/>
    <w:rsid w:val="00B634DB"/>
    <w:rsid w:val="00B64FF7"/>
    <w:rsid w:val="00B66014"/>
    <w:rsid w:val="00B759FB"/>
    <w:rsid w:val="00B857D0"/>
    <w:rsid w:val="00B97265"/>
    <w:rsid w:val="00BA4CDD"/>
    <w:rsid w:val="00BA70BA"/>
    <w:rsid w:val="00BA7E3E"/>
    <w:rsid w:val="00BB0517"/>
    <w:rsid w:val="00BC34A7"/>
    <w:rsid w:val="00BC6585"/>
    <w:rsid w:val="00BC76F2"/>
    <w:rsid w:val="00BD3F71"/>
    <w:rsid w:val="00BD44B5"/>
    <w:rsid w:val="00BE3C8C"/>
    <w:rsid w:val="00BE537A"/>
    <w:rsid w:val="00BE6581"/>
    <w:rsid w:val="00BF4AEF"/>
    <w:rsid w:val="00C042FA"/>
    <w:rsid w:val="00C1161C"/>
    <w:rsid w:val="00C16AD7"/>
    <w:rsid w:val="00C20320"/>
    <w:rsid w:val="00C2384C"/>
    <w:rsid w:val="00C245B1"/>
    <w:rsid w:val="00C27A7C"/>
    <w:rsid w:val="00C30043"/>
    <w:rsid w:val="00C33755"/>
    <w:rsid w:val="00C34933"/>
    <w:rsid w:val="00C40C1D"/>
    <w:rsid w:val="00C40E79"/>
    <w:rsid w:val="00C42E3C"/>
    <w:rsid w:val="00C45C14"/>
    <w:rsid w:val="00C462F3"/>
    <w:rsid w:val="00C46ADD"/>
    <w:rsid w:val="00C477F2"/>
    <w:rsid w:val="00C47CFD"/>
    <w:rsid w:val="00C50974"/>
    <w:rsid w:val="00C51190"/>
    <w:rsid w:val="00C624AE"/>
    <w:rsid w:val="00C657CE"/>
    <w:rsid w:val="00C65B45"/>
    <w:rsid w:val="00C672AB"/>
    <w:rsid w:val="00C67BC0"/>
    <w:rsid w:val="00C7008A"/>
    <w:rsid w:val="00C72B93"/>
    <w:rsid w:val="00C7460A"/>
    <w:rsid w:val="00C753A6"/>
    <w:rsid w:val="00C774B2"/>
    <w:rsid w:val="00C83947"/>
    <w:rsid w:val="00C84D5C"/>
    <w:rsid w:val="00C91A53"/>
    <w:rsid w:val="00C93A0F"/>
    <w:rsid w:val="00C93CF3"/>
    <w:rsid w:val="00CA2979"/>
    <w:rsid w:val="00CA3ECD"/>
    <w:rsid w:val="00CA5E90"/>
    <w:rsid w:val="00CB084A"/>
    <w:rsid w:val="00CB251A"/>
    <w:rsid w:val="00CB69C0"/>
    <w:rsid w:val="00CB6A26"/>
    <w:rsid w:val="00CC212B"/>
    <w:rsid w:val="00CE0575"/>
    <w:rsid w:val="00CE1209"/>
    <w:rsid w:val="00CE274E"/>
    <w:rsid w:val="00CE5A6D"/>
    <w:rsid w:val="00CF2291"/>
    <w:rsid w:val="00D069E0"/>
    <w:rsid w:val="00D137EA"/>
    <w:rsid w:val="00D169F2"/>
    <w:rsid w:val="00D20D83"/>
    <w:rsid w:val="00D2420F"/>
    <w:rsid w:val="00D256C0"/>
    <w:rsid w:val="00D32A80"/>
    <w:rsid w:val="00D403C5"/>
    <w:rsid w:val="00D4585F"/>
    <w:rsid w:val="00D47CAE"/>
    <w:rsid w:val="00D50BA3"/>
    <w:rsid w:val="00D53255"/>
    <w:rsid w:val="00D6138F"/>
    <w:rsid w:val="00D624B9"/>
    <w:rsid w:val="00D6371B"/>
    <w:rsid w:val="00D642F5"/>
    <w:rsid w:val="00D7138D"/>
    <w:rsid w:val="00D7526C"/>
    <w:rsid w:val="00D77234"/>
    <w:rsid w:val="00D80501"/>
    <w:rsid w:val="00D81394"/>
    <w:rsid w:val="00D85470"/>
    <w:rsid w:val="00D86D72"/>
    <w:rsid w:val="00D914B1"/>
    <w:rsid w:val="00D91668"/>
    <w:rsid w:val="00D965AB"/>
    <w:rsid w:val="00D965BD"/>
    <w:rsid w:val="00DA7326"/>
    <w:rsid w:val="00DB3696"/>
    <w:rsid w:val="00DC418F"/>
    <w:rsid w:val="00DD4EC4"/>
    <w:rsid w:val="00DD5468"/>
    <w:rsid w:val="00DD6F40"/>
    <w:rsid w:val="00DE201D"/>
    <w:rsid w:val="00DF1EBF"/>
    <w:rsid w:val="00DF29FB"/>
    <w:rsid w:val="00DF3B2F"/>
    <w:rsid w:val="00DF48F2"/>
    <w:rsid w:val="00DF4BB1"/>
    <w:rsid w:val="00E0028F"/>
    <w:rsid w:val="00E0383F"/>
    <w:rsid w:val="00E03A13"/>
    <w:rsid w:val="00E03C54"/>
    <w:rsid w:val="00E0525C"/>
    <w:rsid w:val="00E1059E"/>
    <w:rsid w:val="00E120F0"/>
    <w:rsid w:val="00E14F1D"/>
    <w:rsid w:val="00E20A7B"/>
    <w:rsid w:val="00E22829"/>
    <w:rsid w:val="00E3004D"/>
    <w:rsid w:val="00E31B6C"/>
    <w:rsid w:val="00E3509B"/>
    <w:rsid w:val="00E3537D"/>
    <w:rsid w:val="00E36C78"/>
    <w:rsid w:val="00E401C4"/>
    <w:rsid w:val="00E42F0F"/>
    <w:rsid w:val="00E45044"/>
    <w:rsid w:val="00E504BD"/>
    <w:rsid w:val="00E537D1"/>
    <w:rsid w:val="00E55655"/>
    <w:rsid w:val="00E621A8"/>
    <w:rsid w:val="00E668F8"/>
    <w:rsid w:val="00E72AA8"/>
    <w:rsid w:val="00E72BBB"/>
    <w:rsid w:val="00E81B66"/>
    <w:rsid w:val="00E8389F"/>
    <w:rsid w:val="00E84983"/>
    <w:rsid w:val="00E90FDD"/>
    <w:rsid w:val="00E91C59"/>
    <w:rsid w:val="00E96805"/>
    <w:rsid w:val="00EA115D"/>
    <w:rsid w:val="00EB1109"/>
    <w:rsid w:val="00EB2C29"/>
    <w:rsid w:val="00EB2DBC"/>
    <w:rsid w:val="00EB3505"/>
    <w:rsid w:val="00EB3E6D"/>
    <w:rsid w:val="00EB474D"/>
    <w:rsid w:val="00EB5D5A"/>
    <w:rsid w:val="00EB6A2C"/>
    <w:rsid w:val="00EC1078"/>
    <w:rsid w:val="00EC6E3E"/>
    <w:rsid w:val="00ED3E70"/>
    <w:rsid w:val="00ED4091"/>
    <w:rsid w:val="00ED5E11"/>
    <w:rsid w:val="00EE07BC"/>
    <w:rsid w:val="00EE2AFA"/>
    <w:rsid w:val="00EE4615"/>
    <w:rsid w:val="00EE4642"/>
    <w:rsid w:val="00EF0721"/>
    <w:rsid w:val="00EF20A1"/>
    <w:rsid w:val="00F12CCA"/>
    <w:rsid w:val="00F16A12"/>
    <w:rsid w:val="00F16BA1"/>
    <w:rsid w:val="00F200FB"/>
    <w:rsid w:val="00F233DA"/>
    <w:rsid w:val="00F26471"/>
    <w:rsid w:val="00F31218"/>
    <w:rsid w:val="00F435EB"/>
    <w:rsid w:val="00F535DE"/>
    <w:rsid w:val="00F55043"/>
    <w:rsid w:val="00F57198"/>
    <w:rsid w:val="00F63CB5"/>
    <w:rsid w:val="00F65D80"/>
    <w:rsid w:val="00F7039A"/>
    <w:rsid w:val="00F71261"/>
    <w:rsid w:val="00F74A9C"/>
    <w:rsid w:val="00F770EC"/>
    <w:rsid w:val="00F7776A"/>
    <w:rsid w:val="00F86029"/>
    <w:rsid w:val="00F87873"/>
    <w:rsid w:val="00F936A8"/>
    <w:rsid w:val="00F9473B"/>
    <w:rsid w:val="00F95647"/>
    <w:rsid w:val="00FA7729"/>
    <w:rsid w:val="00FB2A20"/>
    <w:rsid w:val="00FB2C86"/>
    <w:rsid w:val="00FB5098"/>
    <w:rsid w:val="00FB5530"/>
    <w:rsid w:val="00FC4373"/>
    <w:rsid w:val="00FC741B"/>
    <w:rsid w:val="00FC7C26"/>
    <w:rsid w:val="00FD0995"/>
    <w:rsid w:val="00FD4916"/>
    <w:rsid w:val="00FD6E30"/>
    <w:rsid w:val="00FE06BE"/>
    <w:rsid w:val="00FE26D3"/>
    <w:rsid w:val="00FE6BAA"/>
    <w:rsid w:val="00FE7CB2"/>
    <w:rsid w:val="00FF2E8A"/>
    <w:rsid w:val="00FF47E6"/>
    <w:rsid w:val="01B97F5E"/>
    <w:rsid w:val="02670DCF"/>
    <w:rsid w:val="034D2939"/>
    <w:rsid w:val="043164D2"/>
    <w:rsid w:val="04DB69C7"/>
    <w:rsid w:val="056C2AC8"/>
    <w:rsid w:val="078D3A1F"/>
    <w:rsid w:val="08D94A4A"/>
    <w:rsid w:val="09332050"/>
    <w:rsid w:val="09652865"/>
    <w:rsid w:val="097D3D26"/>
    <w:rsid w:val="0ADA2F69"/>
    <w:rsid w:val="0AE10BBF"/>
    <w:rsid w:val="0B4B7E79"/>
    <w:rsid w:val="0BBA5614"/>
    <w:rsid w:val="0BBD0185"/>
    <w:rsid w:val="0D011260"/>
    <w:rsid w:val="0D01690F"/>
    <w:rsid w:val="0E572FD9"/>
    <w:rsid w:val="0F5D4929"/>
    <w:rsid w:val="0FB5747F"/>
    <w:rsid w:val="10F22B45"/>
    <w:rsid w:val="11EA4A5D"/>
    <w:rsid w:val="123426ED"/>
    <w:rsid w:val="1330335A"/>
    <w:rsid w:val="13492913"/>
    <w:rsid w:val="140915D6"/>
    <w:rsid w:val="14AB42D7"/>
    <w:rsid w:val="14AD5701"/>
    <w:rsid w:val="15912AB1"/>
    <w:rsid w:val="1595001A"/>
    <w:rsid w:val="159863B1"/>
    <w:rsid w:val="16111CBF"/>
    <w:rsid w:val="1614131D"/>
    <w:rsid w:val="16585639"/>
    <w:rsid w:val="16B6476F"/>
    <w:rsid w:val="1986454E"/>
    <w:rsid w:val="19BD2F50"/>
    <w:rsid w:val="19D653D3"/>
    <w:rsid w:val="19E576EB"/>
    <w:rsid w:val="1A9F3EA8"/>
    <w:rsid w:val="1AE557D7"/>
    <w:rsid w:val="1AF62448"/>
    <w:rsid w:val="1B012302"/>
    <w:rsid w:val="1BA61EFF"/>
    <w:rsid w:val="1C763EE1"/>
    <w:rsid w:val="1CE617B0"/>
    <w:rsid w:val="1D475092"/>
    <w:rsid w:val="1E901E0D"/>
    <w:rsid w:val="1EFC4C0E"/>
    <w:rsid w:val="1F3709E9"/>
    <w:rsid w:val="1F5511FE"/>
    <w:rsid w:val="1F791B4A"/>
    <w:rsid w:val="1FF922F7"/>
    <w:rsid w:val="203A6C9D"/>
    <w:rsid w:val="213D7067"/>
    <w:rsid w:val="23282A50"/>
    <w:rsid w:val="235D1A58"/>
    <w:rsid w:val="23607492"/>
    <w:rsid w:val="23893375"/>
    <w:rsid w:val="23D049E7"/>
    <w:rsid w:val="24F31A54"/>
    <w:rsid w:val="262E49A9"/>
    <w:rsid w:val="291C47AB"/>
    <w:rsid w:val="295126A7"/>
    <w:rsid w:val="299E589B"/>
    <w:rsid w:val="29DD2289"/>
    <w:rsid w:val="2A0674B9"/>
    <w:rsid w:val="2A19342E"/>
    <w:rsid w:val="2A9E6EDA"/>
    <w:rsid w:val="2AC259E9"/>
    <w:rsid w:val="2B5F5209"/>
    <w:rsid w:val="2B86097C"/>
    <w:rsid w:val="2BEF00BA"/>
    <w:rsid w:val="2E6A0BA9"/>
    <w:rsid w:val="2F033AB7"/>
    <w:rsid w:val="2FC604F2"/>
    <w:rsid w:val="30512DC8"/>
    <w:rsid w:val="305807BF"/>
    <w:rsid w:val="30BA0FA5"/>
    <w:rsid w:val="32697E49"/>
    <w:rsid w:val="33116C37"/>
    <w:rsid w:val="355276CD"/>
    <w:rsid w:val="37875802"/>
    <w:rsid w:val="397A5D84"/>
    <w:rsid w:val="3A38257A"/>
    <w:rsid w:val="3A773D1D"/>
    <w:rsid w:val="3AA47EC1"/>
    <w:rsid w:val="3B337E5E"/>
    <w:rsid w:val="3C0C2E90"/>
    <w:rsid w:val="3C153A08"/>
    <w:rsid w:val="3D6F398A"/>
    <w:rsid w:val="3D734E8A"/>
    <w:rsid w:val="3D9E1027"/>
    <w:rsid w:val="3E6447D3"/>
    <w:rsid w:val="3E7E48B3"/>
    <w:rsid w:val="3E914FDF"/>
    <w:rsid w:val="3FCB4391"/>
    <w:rsid w:val="407103DB"/>
    <w:rsid w:val="413E41AB"/>
    <w:rsid w:val="41DD26A1"/>
    <w:rsid w:val="432D5ADB"/>
    <w:rsid w:val="455B5C08"/>
    <w:rsid w:val="459E4A6E"/>
    <w:rsid w:val="45E5444B"/>
    <w:rsid w:val="45F10943"/>
    <w:rsid w:val="46024881"/>
    <w:rsid w:val="46432AD9"/>
    <w:rsid w:val="48C6265B"/>
    <w:rsid w:val="491679AE"/>
    <w:rsid w:val="4CC8541E"/>
    <w:rsid w:val="4D244B35"/>
    <w:rsid w:val="4D7C7F66"/>
    <w:rsid w:val="4E0256F8"/>
    <w:rsid w:val="4E497F1B"/>
    <w:rsid w:val="4E72372F"/>
    <w:rsid w:val="4E826BA1"/>
    <w:rsid w:val="4FB262DF"/>
    <w:rsid w:val="502913D8"/>
    <w:rsid w:val="506A1CDA"/>
    <w:rsid w:val="513145D7"/>
    <w:rsid w:val="51DB264E"/>
    <w:rsid w:val="52013E99"/>
    <w:rsid w:val="52884ADC"/>
    <w:rsid w:val="54EF45B2"/>
    <w:rsid w:val="561C68FE"/>
    <w:rsid w:val="56FA05E0"/>
    <w:rsid w:val="57205312"/>
    <w:rsid w:val="575B4970"/>
    <w:rsid w:val="58953240"/>
    <w:rsid w:val="58EA0B58"/>
    <w:rsid w:val="597102CD"/>
    <w:rsid w:val="5A160C1F"/>
    <w:rsid w:val="5A782E0E"/>
    <w:rsid w:val="5AA42EE1"/>
    <w:rsid w:val="5AB20E18"/>
    <w:rsid w:val="5ADD04B0"/>
    <w:rsid w:val="5B6068E3"/>
    <w:rsid w:val="5C926CB9"/>
    <w:rsid w:val="5D5E2276"/>
    <w:rsid w:val="5E127A94"/>
    <w:rsid w:val="5EC2103E"/>
    <w:rsid w:val="5F3651D2"/>
    <w:rsid w:val="607D37A6"/>
    <w:rsid w:val="612E72BF"/>
    <w:rsid w:val="61E0223F"/>
    <w:rsid w:val="62275A9D"/>
    <w:rsid w:val="62A274F4"/>
    <w:rsid w:val="63473BF7"/>
    <w:rsid w:val="64490C49"/>
    <w:rsid w:val="663F48D4"/>
    <w:rsid w:val="66832C22"/>
    <w:rsid w:val="66910CA5"/>
    <w:rsid w:val="67451519"/>
    <w:rsid w:val="68706054"/>
    <w:rsid w:val="688A0DE6"/>
    <w:rsid w:val="68917B90"/>
    <w:rsid w:val="68F02F9E"/>
    <w:rsid w:val="691D1DC4"/>
    <w:rsid w:val="69CF4947"/>
    <w:rsid w:val="6A4626EF"/>
    <w:rsid w:val="6A7C706D"/>
    <w:rsid w:val="6ADF74D7"/>
    <w:rsid w:val="6BCA186A"/>
    <w:rsid w:val="6C0563E5"/>
    <w:rsid w:val="6C6C0C3F"/>
    <w:rsid w:val="6C89702F"/>
    <w:rsid w:val="6C917B8F"/>
    <w:rsid w:val="6DAD049D"/>
    <w:rsid w:val="6ECD387A"/>
    <w:rsid w:val="6F2F03DB"/>
    <w:rsid w:val="6FF139B8"/>
    <w:rsid w:val="70064409"/>
    <w:rsid w:val="72127AC6"/>
    <w:rsid w:val="73765CE2"/>
    <w:rsid w:val="7383295D"/>
    <w:rsid w:val="743442CC"/>
    <w:rsid w:val="748E5C99"/>
    <w:rsid w:val="74BF2C7A"/>
    <w:rsid w:val="75682D8E"/>
    <w:rsid w:val="75A31161"/>
    <w:rsid w:val="75D25B10"/>
    <w:rsid w:val="76442929"/>
    <w:rsid w:val="76C27A63"/>
    <w:rsid w:val="795409C4"/>
    <w:rsid w:val="7AF60F49"/>
    <w:rsid w:val="7BBE3424"/>
    <w:rsid w:val="7CF44998"/>
    <w:rsid w:val="7E0328BC"/>
    <w:rsid w:val="7E5D3F34"/>
    <w:rsid w:val="7FAC1FBF"/>
    <w:rsid w:val="7FF57E3F"/>
    <w:rsid w:val="7FF90700"/>
    <w:rsid w:val="D7FC2C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1"/>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8"/>
    <w:semiHidden/>
    <w:unhideWhenUsed/>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0"/>
    <w:pPr>
      <w:ind w:firstLine="420"/>
    </w:pPr>
  </w:style>
  <w:style w:type="paragraph" w:styleId="6">
    <w:name w:val="envelope return"/>
    <w:basedOn w:val="1"/>
    <w:qFormat/>
    <w:uiPriority w:val="0"/>
    <w:pPr>
      <w:snapToGrid w:val="0"/>
    </w:pPr>
    <w:rPr>
      <w:rFonts w:ascii="Arial" w:hAnsi="Arial" w:eastAsia="仿宋_GB2312"/>
      <w:sz w:val="32"/>
    </w:rPr>
  </w:style>
  <w:style w:type="paragraph" w:styleId="7">
    <w:name w:val="annotation text"/>
    <w:basedOn w:val="1"/>
    <w:semiHidden/>
    <w:unhideWhenUsed/>
    <w:qFormat/>
    <w:uiPriority w:val="99"/>
    <w:pPr>
      <w:jc w:val="left"/>
    </w:pPr>
  </w:style>
  <w:style w:type="paragraph" w:styleId="8">
    <w:name w:val="Body Text"/>
    <w:basedOn w:val="1"/>
    <w:qFormat/>
    <w:uiPriority w:val="0"/>
  </w:style>
  <w:style w:type="paragraph" w:styleId="9">
    <w:name w:val="toc 3"/>
    <w:basedOn w:val="1"/>
    <w:next w:val="1"/>
    <w:semiHidden/>
    <w:unhideWhenUsed/>
    <w:qFormat/>
    <w:uiPriority w:val="39"/>
    <w:pPr>
      <w:ind w:left="840" w:leftChars="400"/>
    </w:pPr>
  </w:style>
  <w:style w:type="paragraph" w:styleId="10">
    <w:name w:val="Date"/>
    <w:basedOn w:val="1"/>
    <w:next w:val="1"/>
    <w:link w:val="46"/>
    <w:semiHidden/>
    <w:unhideWhenUsed/>
    <w:qFormat/>
    <w:uiPriority w:val="99"/>
    <w:pPr>
      <w:ind w:left="100" w:leftChars="2500"/>
    </w:pPr>
  </w:style>
  <w:style w:type="paragraph" w:styleId="11">
    <w:name w:val="Body Text Indent 2"/>
    <w:basedOn w:val="1"/>
    <w:link w:val="39"/>
    <w:qFormat/>
    <w:uiPriority w:val="0"/>
    <w:pPr>
      <w:spacing w:line="276" w:lineRule="auto"/>
      <w:ind w:firstLine="420" w:firstLineChars="200"/>
    </w:pPr>
    <w:rPr>
      <w:rFonts w:ascii="宋体" w:hAnsi="宋体" w:eastAsia="宋体" w:cs="Times New Roman"/>
      <w:snapToGrid w:val="0"/>
      <w:kern w:val="0"/>
      <w:szCs w:val="24"/>
    </w:rPr>
  </w:style>
  <w:style w:type="paragraph" w:styleId="12">
    <w:name w:val="Balloon Text"/>
    <w:basedOn w:val="1"/>
    <w:link w:val="27"/>
    <w:semiHidden/>
    <w:unhideWhenUsed/>
    <w:qFormat/>
    <w:uiPriority w:val="99"/>
    <w:rPr>
      <w:sz w:val="18"/>
      <w:szCs w:val="18"/>
    </w:rPr>
  </w:style>
  <w:style w:type="paragraph" w:styleId="13">
    <w:name w:val="footer"/>
    <w:basedOn w:val="1"/>
    <w:link w:val="26"/>
    <w:unhideWhenUsed/>
    <w:qFormat/>
    <w:uiPriority w:val="99"/>
    <w:pPr>
      <w:tabs>
        <w:tab w:val="center" w:pos="4153"/>
        <w:tab w:val="right" w:pos="8306"/>
      </w:tabs>
      <w:snapToGrid w:val="0"/>
      <w:jc w:val="left"/>
    </w:pPr>
    <w:rPr>
      <w:sz w:val="18"/>
      <w:szCs w:val="18"/>
    </w:rPr>
  </w:style>
  <w:style w:type="paragraph" w:styleId="14">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Subtitle"/>
    <w:basedOn w:val="1"/>
    <w:next w:val="1"/>
    <w:link w:val="35"/>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7">
    <w:name w:val="toc 2"/>
    <w:basedOn w:val="1"/>
    <w:next w:val="1"/>
    <w:unhideWhenUsed/>
    <w:qFormat/>
    <w:uiPriority w:val="39"/>
    <w:pPr>
      <w:tabs>
        <w:tab w:val="right" w:leader="dot" w:pos="9344"/>
      </w:tabs>
      <w:ind w:left="420" w:leftChars="200"/>
    </w:pPr>
  </w:style>
  <w:style w:type="paragraph" w:styleId="18">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6"/>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Hyperlink"/>
    <w:basedOn w:val="22"/>
    <w:unhideWhenUsed/>
    <w:qFormat/>
    <w:uiPriority w:val="99"/>
    <w:rPr>
      <w:color w:val="0000FF" w:themeColor="hyperlink"/>
      <w:u w:val="single"/>
      <w14:textFill>
        <w14:solidFill>
          <w14:schemeClr w14:val="hlink"/>
        </w14:solidFill>
      </w14:textFill>
    </w:rPr>
  </w:style>
  <w:style w:type="character" w:styleId="24">
    <w:name w:val="annotation reference"/>
    <w:basedOn w:val="22"/>
    <w:semiHidden/>
    <w:unhideWhenUsed/>
    <w:qFormat/>
    <w:uiPriority w:val="99"/>
    <w:rPr>
      <w:sz w:val="21"/>
      <w:szCs w:val="21"/>
    </w:rPr>
  </w:style>
  <w:style w:type="character" w:customStyle="1" w:styleId="25">
    <w:name w:val="页眉 Char"/>
    <w:basedOn w:val="22"/>
    <w:link w:val="14"/>
    <w:qFormat/>
    <w:uiPriority w:val="99"/>
    <w:rPr>
      <w:sz w:val="18"/>
      <w:szCs w:val="18"/>
    </w:rPr>
  </w:style>
  <w:style w:type="character" w:customStyle="1" w:styleId="26">
    <w:name w:val="页脚 Char"/>
    <w:basedOn w:val="22"/>
    <w:link w:val="13"/>
    <w:qFormat/>
    <w:uiPriority w:val="99"/>
    <w:rPr>
      <w:sz w:val="18"/>
      <w:szCs w:val="18"/>
    </w:rPr>
  </w:style>
  <w:style w:type="character" w:customStyle="1" w:styleId="27">
    <w:name w:val="批注框文本 Char"/>
    <w:basedOn w:val="22"/>
    <w:link w:val="12"/>
    <w:semiHidden/>
    <w:qFormat/>
    <w:uiPriority w:val="99"/>
    <w:rPr>
      <w:sz w:val="18"/>
      <w:szCs w:val="18"/>
    </w:rPr>
  </w:style>
  <w:style w:type="paragraph" w:styleId="28">
    <w:name w:val="List Paragraph"/>
    <w:basedOn w:val="1"/>
    <w:qFormat/>
    <w:uiPriority w:val="34"/>
    <w:pPr>
      <w:ind w:firstLine="420" w:firstLineChars="200"/>
    </w:pPr>
  </w:style>
  <w:style w:type="paragraph" w:customStyle="1" w:styleId="2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0">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1">
    <w:name w:val="标题 1 Char"/>
    <w:basedOn w:val="22"/>
    <w:link w:val="2"/>
    <w:qFormat/>
    <w:uiPriority w:val="99"/>
    <w:rPr>
      <w:rFonts w:ascii="Calibri" w:hAnsi="Calibri" w:eastAsia="宋体" w:cs="Times New Roman"/>
      <w:b/>
      <w:bCs/>
      <w:kern w:val="44"/>
      <w:sz w:val="44"/>
      <w:szCs w:val="44"/>
    </w:rPr>
  </w:style>
  <w:style w:type="paragraph" w:styleId="32">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3">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4">
    <w:name w:val="不明显强调1"/>
    <w:basedOn w:val="22"/>
    <w:qFormat/>
    <w:uiPriority w:val="19"/>
    <w:rPr>
      <w:i/>
      <w:iCs/>
      <w:color w:val="808080" w:themeColor="text1" w:themeTint="80"/>
      <w14:textFill>
        <w14:solidFill>
          <w14:schemeClr w14:val="tx1">
            <w14:lumMod w14:val="50000"/>
            <w14:lumOff w14:val="50000"/>
          </w14:schemeClr>
        </w14:solidFill>
      </w14:textFill>
    </w:rPr>
  </w:style>
  <w:style w:type="character" w:customStyle="1" w:styleId="35">
    <w:name w:val="副标题 Char"/>
    <w:basedOn w:val="22"/>
    <w:link w:val="16"/>
    <w:qFormat/>
    <w:uiPriority w:val="11"/>
    <w:rPr>
      <w:rFonts w:eastAsia="宋体" w:asciiTheme="majorHAnsi" w:hAnsiTheme="majorHAnsi" w:cstheme="majorBidi"/>
      <w:b/>
      <w:bCs/>
      <w:kern w:val="28"/>
      <w:sz w:val="32"/>
      <w:szCs w:val="32"/>
    </w:rPr>
  </w:style>
  <w:style w:type="character" w:customStyle="1" w:styleId="36">
    <w:name w:val="标题 Char"/>
    <w:basedOn w:val="22"/>
    <w:link w:val="19"/>
    <w:qFormat/>
    <w:uiPriority w:val="10"/>
    <w:rPr>
      <w:rFonts w:eastAsia="宋体" w:asciiTheme="majorHAnsi" w:hAnsiTheme="majorHAnsi" w:cstheme="majorBidi"/>
      <w:b/>
      <w:bCs/>
      <w:sz w:val="32"/>
      <w:szCs w:val="32"/>
    </w:rPr>
  </w:style>
  <w:style w:type="character" w:customStyle="1" w:styleId="37">
    <w:name w:val="标题 2 Char"/>
    <w:basedOn w:val="22"/>
    <w:link w:val="3"/>
    <w:qFormat/>
    <w:uiPriority w:val="9"/>
    <w:rPr>
      <w:rFonts w:asciiTheme="majorHAnsi" w:hAnsiTheme="majorHAnsi" w:eastAsiaTheme="majorEastAsia" w:cstheme="majorBidi"/>
      <w:b/>
      <w:bCs/>
      <w:sz w:val="32"/>
      <w:szCs w:val="32"/>
    </w:rPr>
  </w:style>
  <w:style w:type="character" w:customStyle="1" w:styleId="38">
    <w:name w:val="标题 3 Char"/>
    <w:basedOn w:val="22"/>
    <w:link w:val="4"/>
    <w:semiHidden/>
    <w:qFormat/>
    <w:uiPriority w:val="9"/>
    <w:rPr>
      <w:b/>
      <w:bCs/>
      <w:sz w:val="32"/>
      <w:szCs w:val="32"/>
    </w:rPr>
  </w:style>
  <w:style w:type="character" w:customStyle="1" w:styleId="39">
    <w:name w:val="正文文本缩进 2 Char"/>
    <w:basedOn w:val="22"/>
    <w:link w:val="11"/>
    <w:qFormat/>
    <w:uiPriority w:val="0"/>
    <w:rPr>
      <w:rFonts w:ascii="宋体" w:hAnsi="宋体" w:eastAsia="宋体" w:cs="Times New Roman"/>
      <w:snapToGrid w:val="0"/>
      <w:kern w:val="0"/>
      <w:szCs w:val="24"/>
    </w:rPr>
  </w:style>
  <w:style w:type="paragraph" w:customStyle="1" w:styleId="40">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41">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2">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4">
    <w:name w:val="high-light-bg4"/>
    <w:basedOn w:val="22"/>
    <w:qFormat/>
    <w:uiPriority w:val="0"/>
  </w:style>
  <w:style w:type="character" w:customStyle="1" w:styleId="45">
    <w:name w:val="ordinary-span-edit2"/>
    <w:basedOn w:val="22"/>
    <w:qFormat/>
    <w:uiPriority w:val="0"/>
  </w:style>
  <w:style w:type="character" w:customStyle="1" w:styleId="46">
    <w:name w:val="日期 Char"/>
    <w:basedOn w:val="22"/>
    <w:link w:val="10"/>
    <w:semiHidden/>
    <w:qFormat/>
    <w:uiPriority w:val="99"/>
  </w:style>
  <w:style w:type="paragraph" w:customStyle="1" w:styleId="47">
    <w:name w:val="正文1"/>
    <w:qFormat/>
    <w:uiPriority w:val="0"/>
    <w:pPr>
      <w:jc w:val="both"/>
    </w:pPr>
    <w:rPr>
      <w:rFonts w:ascii="Calibri" w:hAnsi="Calibri" w:eastAsia="宋体" w:cs="宋体"/>
      <w:kern w:val="2"/>
      <w:sz w:val="21"/>
      <w:szCs w:val="21"/>
      <w:lang w:val="en-US" w:eastAsia="zh-CN" w:bidi="ar-SA"/>
    </w:rPr>
  </w:style>
  <w:style w:type="character" w:customStyle="1" w:styleId="48">
    <w:name w:val="dash6b63_6587__char1"/>
    <w:qFormat/>
    <w:uiPriority w:val="0"/>
    <w:rPr>
      <w:rFonts w:hint="default" w:ascii="Times New Roman" w:hAnsi="Times New Roman" w:cs="Times New Roman"/>
      <w:sz w:val="20"/>
      <w:szCs w:val="20"/>
      <w:u w:val="none"/>
    </w:rPr>
  </w:style>
  <w:style w:type="paragraph" w:customStyle="1" w:styleId="49">
    <w:name w:val="标准文件_前言、引言标题"/>
    <w:next w:val="1"/>
    <w:qFormat/>
    <w:uiPriority w:val="0"/>
    <w:pPr>
      <w:numPr>
        <w:ilvl w:val="0"/>
        <w:numId w:val="1"/>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0">
    <w:name w:val="章标题"/>
    <w:next w:val="51"/>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1">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2">
    <w:name w:val="一级条标题"/>
    <w:next w:val="51"/>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3">
    <w:name w:val="二级无"/>
    <w:basedOn w:val="54"/>
    <w:qFormat/>
    <w:uiPriority w:val="0"/>
    <w:pPr>
      <w:spacing w:before="0" w:beforeLines="0" w:after="0" w:afterLines="0"/>
    </w:pPr>
    <w:rPr>
      <w:rFonts w:ascii="宋体" w:eastAsia="宋体"/>
    </w:rPr>
  </w:style>
  <w:style w:type="paragraph" w:customStyle="1" w:styleId="54">
    <w:name w:val="二级条标题"/>
    <w:basedOn w:val="52"/>
    <w:next w:val="51"/>
    <w:qFormat/>
    <w:uiPriority w:val="0"/>
    <w:pPr>
      <w:numPr>
        <w:ilvl w:val="2"/>
      </w:numPr>
      <w:spacing w:before="50" w:after="50"/>
      <w:outlineLvl w:val="3"/>
    </w:pPr>
  </w:style>
  <w:style w:type="paragraph" w:customStyle="1" w:styleId="55">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56">
    <w:name w:val="列项●（二级）"/>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57">
    <w:name w:val="注：（正文）"/>
    <w:basedOn w:val="58"/>
    <w:next w:val="51"/>
    <w:qFormat/>
    <w:uiPriority w:val="0"/>
  </w:style>
  <w:style w:type="paragraph" w:customStyle="1" w:styleId="58">
    <w:name w:val="注："/>
    <w:next w:val="51"/>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59">
    <w:name w:val="附录标识"/>
    <w:basedOn w:val="1"/>
    <w:next w:val="51"/>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0">
    <w:name w:val="正文表标题"/>
    <w:next w:val="51"/>
    <w:qFormat/>
    <w:uiPriority w:val="0"/>
    <w:pPr>
      <w:numPr>
        <w:ilvl w:val="0"/>
        <w:numId w:val="7"/>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61">
    <w:name w:val="Other|1"/>
    <w:basedOn w:val="1"/>
    <w:qFormat/>
    <w:uiPriority w:val="0"/>
    <w:rPr>
      <w:rFonts w:ascii="宋体" w:hAnsi="宋体" w:cs="宋体"/>
      <w:sz w:val="19"/>
      <w:szCs w:val="19"/>
      <w:lang w:val="zh-CN" w:bidi="zh-CN"/>
    </w:rPr>
  </w:style>
  <w:style w:type="paragraph" w:customStyle="1" w:styleId="62">
    <w:name w:val="终结线"/>
    <w:basedOn w:val="1"/>
    <w:qFormat/>
    <w:uiPriority w:val="0"/>
    <w:pPr>
      <w:framePr w:hSpace="181" w:vSpace="181" w:wrap="around" w:vAnchor="text" w:hAnchor="margin" w:xAlign="center" w:y="285"/>
    </w:pPr>
  </w:style>
  <w:style w:type="paragraph" w:customStyle="1" w:styleId="63">
    <w:name w:val="标准文件_术语条一"/>
    <w:basedOn w:val="64"/>
    <w:next w:val="67"/>
    <w:qFormat/>
    <w:uiPriority w:val="0"/>
  </w:style>
  <w:style w:type="paragraph" w:customStyle="1" w:styleId="64">
    <w:name w:val="标准文件_一级无标题"/>
    <w:basedOn w:val="65"/>
    <w:qFormat/>
    <w:uiPriority w:val="0"/>
    <w:pPr>
      <w:spacing w:before="0" w:beforeLines="0" w:after="0" w:afterLines="0"/>
      <w:outlineLvl w:val="9"/>
    </w:pPr>
    <w:rPr>
      <w:rFonts w:ascii="宋体" w:eastAsia="宋体"/>
    </w:rPr>
  </w:style>
  <w:style w:type="paragraph" w:customStyle="1" w:styleId="65">
    <w:name w:val="标准文件_一级条标题"/>
    <w:basedOn w:val="66"/>
    <w:next w:val="67"/>
    <w:qFormat/>
    <w:uiPriority w:val="0"/>
    <w:pPr>
      <w:numPr>
        <w:ilvl w:val="2"/>
      </w:numPr>
      <w:spacing w:before="50" w:beforeLines="50" w:after="50" w:afterLines="50"/>
      <w:outlineLvl w:val="1"/>
    </w:pPr>
  </w:style>
  <w:style w:type="paragraph" w:customStyle="1" w:styleId="66">
    <w:name w:val="标准文件_章标题"/>
    <w:next w:val="67"/>
    <w:qFormat/>
    <w:uiPriority w:val="0"/>
    <w:pPr>
      <w:numPr>
        <w:ilvl w:val="1"/>
        <w:numId w:val="8"/>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7">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8">
    <w:name w:val="标准文件_二级无标题"/>
    <w:basedOn w:val="69"/>
    <w:qFormat/>
    <w:uiPriority w:val="0"/>
    <w:pPr>
      <w:spacing w:before="0" w:beforeLines="0" w:after="0" w:afterLines="0"/>
      <w:outlineLvl w:val="9"/>
    </w:pPr>
    <w:rPr>
      <w:rFonts w:ascii="宋体" w:eastAsia="宋体"/>
    </w:rPr>
  </w:style>
  <w:style w:type="paragraph" w:customStyle="1" w:styleId="69">
    <w:name w:val="标准文件_二级条标题"/>
    <w:next w:val="67"/>
    <w:qFormat/>
    <w:uiPriority w:val="0"/>
    <w:pPr>
      <w:widowControl w:val="0"/>
      <w:numPr>
        <w:ilvl w:val="3"/>
        <w:numId w:val="8"/>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0">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72">
    <w:name w:val="说明文字"/>
    <w:basedOn w:val="1"/>
    <w:qFormat/>
    <w:uiPriority w:val="0"/>
  </w:style>
  <w:style w:type="paragraph" w:customStyle="1" w:styleId="73">
    <w:name w:val="标准文件_附录一级条标题"/>
    <w:next w:val="67"/>
    <w:qFormat/>
    <w:uiPriority w:val="0"/>
    <w:pPr>
      <w:widowControl w:val="0"/>
      <w:numPr>
        <w:ilvl w:val="1"/>
        <w:numId w:val="6"/>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4">
    <w:name w:val="标准文件_附录图标题"/>
    <w:next w:val="67"/>
    <w:qFormat/>
    <w:uiPriority w:val="0"/>
    <w:pPr>
      <w:numPr>
        <w:ilvl w:val="1"/>
        <w:numId w:val="9"/>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75">
    <w:name w:val="标准文件_参考文献标题"/>
    <w:basedOn w:val="1"/>
    <w:next w:val="1"/>
    <w:qFormat/>
    <w:uiPriority w:val="0"/>
    <w:pPr>
      <w:widowControl/>
      <w:shd w:val="clear" w:color="FFFFFF" w:fill="FFFFFF"/>
      <w:spacing w:before="580" w:after="50" w:afterLines="50"/>
      <w:jc w:val="center"/>
      <w:outlineLvl w:val="0"/>
    </w:pPr>
    <w:rPr>
      <w:rFonts w:ascii="黑体" w:eastAsia="黑体"/>
      <w:kern w:val="0"/>
    </w:rPr>
  </w:style>
  <w:style w:type="paragraph" w:customStyle="1" w:styleId="76">
    <w:name w:val="标准文件_表格"/>
    <w:basedOn w:val="67"/>
    <w:qFormat/>
    <w:uiPriority w:val="0"/>
    <w:pPr>
      <w:ind w:firstLine="0" w:firstLineChars="0"/>
      <w:jc w:val="center"/>
    </w:pPr>
    <w:rPr>
      <w:sz w:val="18"/>
    </w:rPr>
  </w:style>
  <w:style w:type="paragraph" w:customStyle="1" w:styleId="77">
    <w:name w:val="标准文件_注×："/>
    <w:qFormat/>
    <w:uiPriority w:val="0"/>
    <w:pPr>
      <w:widowControl w:val="0"/>
      <w:numPr>
        <w:ilvl w:val="0"/>
        <w:numId w:val="10"/>
      </w:numPr>
      <w:autoSpaceDE w:val="0"/>
      <w:autoSpaceDN w:val="0"/>
      <w:jc w:val="both"/>
    </w:pPr>
    <w:rPr>
      <w:rFonts w:ascii="宋体" w:hAnsi="Times New Roman" w:eastAsia="宋体" w:cs="Times New Roman"/>
      <w:sz w:val="18"/>
      <w:szCs w:val="18"/>
      <w:lang w:val="en-US" w:eastAsia="zh-CN" w:bidi="ar-SA"/>
    </w:rPr>
  </w:style>
  <w:style w:type="paragraph" w:customStyle="1" w:styleId="78">
    <w:name w:val="标准文件_注："/>
    <w:basedOn w:val="1"/>
    <w:qFormat/>
    <w:uiPriority w:val="0"/>
    <w:pPr>
      <w:numPr>
        <w:ilvl w:val="0"/>
        <w:numId w:val="11"/>
      </w:numPr>
      <w:autoSpaceDE w:val="0"/>
      <w:autoSpaceDN w:val="0"/>
    </w:pPr>
    <w:rPr>
      <w:rFonts w:hint="eastAsia" w:ascii="宋体" w:hAnsi="Times New Roman" w:eastAsia="宋体" w:cs="Times New Roman"/>
      <w:kern w:val="0"/>
      <w:sz w:val="18"/>
      <w:szCs w:val="18"/>
    </w:rPr>
  </w:style>
  <w:style w:type="paragraph" w:customStyle="1" w:styleId="79">
    <w:name w:val="标准文件_一级项"/>
    <w:basedOn w:val="1"/>
    <w:qFormat/>
    <w:uiPriority w:val="0"/>
    <w:pPr>
      <w:widowControl/>
      <w:numPr>
        <w:ilvl w:val="0"/>
        <w:numId w:val="12"/>
      </w:numPr>
      <w:jc w:val="left"/>
    </w:pPr>
    <w:rPr>
      <w:rFonts w:hint="eastAsia" w:ascii="宋体" w:hAnsi="Times New Roman" w:eastAsia="宋体" w:cs="Times New Roman"/>
      <w:kern w:val="0"/>
      <w:szCs w:val="20"/>
    </w:rPr>
  </w:style>
  <w:style w:type="paragraph" w:customStyle="1" w:styleId="80">
    <w:name w:val="标准文件_三级无标题"/>
    <w:qFormat/>
    <w:uiPriority w:val="0"/>
    <w:pPr>
      <w:numPr>
        <w:ilvl w:val="4"/>
        <w:numId w:val="13"/>
      </w:numPr>
      <w:jc w:val="both"/>
    </w:pPr>
    <w:rPr>
      <w:rFonts w:hint="eastAsia" w:ascii="宋体" w:hAnsi="Times New Roman" w:eastAsia="宋体" w:cs="Times New Roman"/>
      <w:sz w:val="21"/>
      <w:lang w:val="en-US" w:eastAsia="zh-CN" w:bidi="ar-SA"/>
    </w:rPr>
  </w:style>
  <w:style w:type="paragraph" w:customStyle="1" w:styleId="81">
    <w:name w:val="标准文件_三级条标题"/>
    <w:qFormat/>
    <w:uiPriority w:val="0"/>
    <w:pPr>
      <w:numPr>
        <w:ilvl w:val="4"/>
        <w:numId w:val="14"/>
      </w:numPr>
      <w:spacing w:before="50" w:beforeLines="50" w:after="50" w:afterLines="50"/>
      <w:jc w:val="both"/>
      <w:outlineLvl w:val="3"/>
    </w:pPr>
    <w:rPr>
      <w:rFonts w:hint="eastAsia" w:ascii="黑体" w:hAnsi="Times New Roman" w:eastAsia="黑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theme" Target="theme/theme1.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16</Pages>
  <Words>4505</Words>
  <Characters>4881</Characters>
  <Lines>47</Lines>
  <Paragraphs>13</Paragraphs>
  <TotalTime>14</TotalTime>
  <ScaleCrop>false</ScaleCrop>
  <LinksUpToDate>false</LinksUpToDate>
  <CharactersWithSpaces>5239</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2022-12-21T15:00:00Z</dcterms:created>
  <dc:creator>wy</dc:creator>
  <cp:lastModifiedBy>sugou</cp:lastModifiedBy>
  <cp:lastPrinted>2022-09-06T09:26:00Z</cp:lastPrinted>
  <dcterms:modified xsi:type="dcterms:W3CDTF">2025-05-22T10:25:30Z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E6B99735840448149087EDBE60B65CA3_13</vt:lpwstr>
  </property>
  <property fmtid="{D5CDD505-2E9C-101B-9397-08002B2CF9AE}" pid="4" name="KSOTemplateDocerSaveRecord">
    <vt:lpwstr>eyJoZGlkIjoiMjIxMDg2ZDVmODAxZDIyMjVlZjY0Zjk3MTNiYWIwMTciLCJ1c2VySWQiOiIxMzM4NDc1MDkxIn0=</vt:lpwstr>
  </property>
</Properties>
</file>