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rPr>
          <w:rFonts w:ascii="黑体" w:hAnsi="黑体" w:eastAsia="黑体" w:cs="Times New Roman"/>
        </w:rPr>
      </w:pPr>
      <w:r>
        <w:rPr>
          <w:rFonts w:ascii="黑体" w:hAnsi="黑体" w:eastAsia="黑体" w:cs="Times New Roman"/>
        </w:rPr>
        <mc:AlternateContent>
          <mc:Choice Requires="wps">
            <w:drawing>
              <wp:anchor distT="0" distB="0" distL="114300" distR="114300" simplePos="0" relativeHeight="251659264" behindDoc="0" locked="0" layoutInCell="1" allowOverlap="1">
                <wp:simplePos x="0" y="0"/>
                <wp:positionH relativeFrom="column">
                  <wp:posOffset>2859405</wp:posOffset>
                </wp:positionH>
                <wp:positionV relativeFrom="topMargin">
                  <wp:posOffset>465455</wp:posOffset>
                </wp:positionV>
                <wp:extent cx="3696970" cy="792480"/>
                <wp:effectExtent l="0" t="0" r="0" b="7620"/>
                <wp:wrapNone/>
                <wp:docPr id="7" name="Text Box 2"/>
                <wp:cNvGraphicFramePr/>
                <a:graphic xmlns:a="http://schemas.openxmlformats.org/drawingml/2006/main">
                  <a:graphicData uri="http://schemas.microsoft.com/office/word/2010/wordprocessingShape">
                    <wps:wsp>
                      <wps:cNvSpPr txBox="true">
                        <a:spLocks noChangeArrowheads="true"/>
                      </wps:cNvSpPr>
                      <wps:spPr bwMode="auto">
                        <a:xfrm>
                          <a:off x="0" y="0"/>
                          <a:ext cx="3696970" cy="792480"/>
                        </a:xfrm>
                        <a:prstGeom prst="rect">
                          <a:avLst/>
                        </a:prstGeom>
                        <a:noFill/>
                        <a:ln>
                          <a:noFill/>
                        </a:ln>
                      </wps:spPr>
                      <wps:txbx>
                        <w:txbxContent>
                          <w:p>
                            <w:pPr>
                              <w:pStyle w:val="32"/>
                              <w:shd w:val="clear" w:color="auto" w:fill="auto"/>
                              <w:wordWrap w:val="0"/>
                              <w:ind w:right="471" w:firstLine="625" w:firstLineChars="50"/>
                              <w:jc w:val="both"/>
                              <w:rPr>
                                <w:rFonts w:eastAsia="方正小标宋_GBK"/>
                                <w:sz w:val="84"/>
                                <w:szCs w:val="84"/>
                              </w:rPr>
                            </w:pPr>
                            <w:r>
                              <w:rPr>
                                <w:rFonts w:eastAsia="方正小标宋_GBK"/>
                                <w:szCs w:val="84"/>
                              </w:rPr>
                              <w:t>DB3205</w:t>
                            </w:r>
                          </w:p>
                        </w:txbxContent>
                      </wps:txbx>
                      <wps:bodyPr rot="0" vert="horz" wrap="square" lIns="91440" tIns="45720" rIns="91440" bIns="45720" anchor="t" anchorCtr="false" upright="true">
                        <a:spAutoFit/>
                      </wps:bodyPr>
                    </wps:wsp>
                  </a:graphicData>
                </a:graphic>
              </wp:anchor>
            </w:drawing>
          </mc:Choice>
          <mc:Fallback>
            <w:pict>
              <v:shape id="Text Box 2" o:spid="_x0000_s1026" o:spt="202" type="#_x0000_t202" style="position:absolute;left:0pt;margin-left:296.05pt;margin-top:36.65pt;height:62.4pt;width:291.1pt;mso-position-horizontal-relative:page;mso-position-vertical-relative:page;z-index:251659264;mso-width-relative:page;mso-height-relative:page;" filled="f" stroked="f" coordsize="21600,21600" o:gfxdata="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Hp1+O7YAAAACwEAAA8AAAAAAAAAAQAgAAAAOAAA&#10;AGRycy9kb3ducmV2LnhtbFBLAQIUABQAAAAIAIdO4kDM3w308gEAANMDAAAOAAAAAAAAAAEAIAAA&#10;AD0BAABkcnMvZTJvRG9jLnhtbFBLBQYAAAAABgAGAFkBAAChBQAAAAA=&#10;">
                <v:fill on="f" focussize="0,0"/>
                <v:stroke on="f"/>
                <v:imagedata o:title=""/>
                <o:lock v:ext="edit" aspectratio="f"/>
                <v:textbox style="mso-fit-shape-to-text:t;">
                  <w:txbxContent>
                    <w:p>
                      <w:pPr>
                        <w:pStyle w:val="32"/>
                        <w:shd w:val="clear" w:color="auto" w:fill="auto"/>
                        <w:wordWrap w:val="0"/>
                        <w:ind w:right="471" w:firstLine="625" w:firstLineChars="50"/>
                        <w:jc w:val="both"/>
                        <w:rPr>
                          <w:rFonts w:eastAsia="方正小标宋_GBK"/>
                          <w:sz w:val="84"/>
                          <w:szCs w:val="84"/>
                        </w:rPr>
                      </w:pPr>
                      <w:r>
                        <w:rPr>
                          <w:rFonts w:eastAsia="方正小标宋_GBK"/>
                          <w:szCs w:val="84"/>
                        </w:rPr>
                        <w:t>DB3205</w:t>
                      </w:r>
                    </w:p>
                  </w:txbxContent>
                </v:textbox>
              </v:shape>
            </w:pict>
          </mc:Fallback>
        </mc:AlternateContent>
      </w:r>
      <w:r>
        <w:rPr>
          <w:rFonts w:ascii="黑体" w:hAnsi="黑体" w:eastAsia="黑体" w:cs="Times New Roman"/>
        </w:rPr>
        <w:t>ICS 35.240</w:t>
      </w:r>
      <w:r>
        <w:rPr>
          <w:rFonts w:hint="eastAsia" w:ascii="黑体" w:hAnsi="黑体" w:eastAsia="黑体" w:cs="Times New Roman"/>
        </w:rPr>
        <w:t>.</w:t>
      </w:r>
      <w:r>
        <w:rPr>
          <w:rFonts w:ascii="黑体" w:hAnsi="黑体" w:eastAsia="黑体" w:cs="Times New Roman"/>
        </w:rPr>
        <w:t>01</w:t>
      </w:r>
    </w:p>
    <w:p>
      <w:pPr>
        <w:ind w:firstLine="0" w:firstLineChars="0"/>
        <w:rPr>
          <w:rFonts w:ascii="黑体" w:hAnsi="黑体" w:eastAsia="黑体" w:cs="Times New Roman"/>
        </w:rPr>
      </w:pPr>
      <w:r>
        <w:rPr>
          <w:rFonts w:ascii="黑体" w:hAnsi="黑体" w:eastAsia="黑体" w:cs="Times New Roman"/>
        </w:rPr>
        <w:t xml:space="preserve">CCS </w:t>
      </w:r>
      <w:r>
        <w:rPr>
          <w:rFonts w:hint="eastAsia" w:ascii="黑体" w:hAnsi="黑体" w:eastAsia="黑体" w:cs="Times New Roman"/>
        </w:rPr>
        <w:t>L</w:t>
      </w:r>
      <w:r>
        <w:rPr>
          <w:rFonts w:ascii="黑体" w:hAnsi="黑体" w:eastAsia="黑体" w:cs="Times New Roman"/>
        </w:rPr>
        <w:t xml:space="preserve"> 72 </w:t>
      </w:r>
    </w:p>
    <w:p>
      <w:pPr>
        <w:ind w:firstLine="0" w:firstLineChars="0"/>
        <w:rPr>
          <w:rFonts w:ascii="黑体" w:hAnsi="黑体" w:eastAsia="黑体"/>
        </w:rPr>
      </w:pPr>
    </w:p>
    <w:p>
      <w:pPr>
        <w:autoSpaceDE w:val="0"/>
        <w:autoSpaceDN w:val="0"/>
        <w:adjustRightInd w:val="0"/>
        <w:ind w:firstLine="0" w:firstLineChars="0"/>
        <w:jc w:val="distribute"/>
        <w:rPr>
          <w:rFonts w:ascii="方正小标宋_GBK" w:eastAsia="方正小标宋_GBK" w:cs="Dotum,Bold"/>
          <w:bCs/>
          <w:snapToGrid w:val="0"/>
          <w:kern w:val="0"/>
          <w:sz w:val="52"/>
          <w:szCs w:val="52"/>
        </w:rPr>
      </w:pPr>
      <w:r>
        <w:rPr>
          <w:rFonts w:ascii="黑体" w:hAnsi="黑体" w:eastAsia="黑体"/>
        </w:rPr>
        <mc:AlternateContent>
          <mc:Choice Requires="wps">
            <w:drawing>
              <wp:anchor distT="0" distB="0" distL="114300" distR="114300" simplePos="0" relativeHeight="251662336" behindDoc="0" locked="0" layoutInCell="1" allowOverlap="1">
                <wp:simplePos x="0" y="0"/>
                <wp:positionH relativeFrom="column">
                  <wp:posOffset>80645</wp:posOffset>
                </wp:positionH>
                <wp:positionV relativeFrom="topMargin">
                  <wp:posOffset>1181100</wp:posOffset>
                </wp:positionV>
                <wp:extent cx="6120130" cy="615950"/>
                <wp:effectExtent l="0" t="0" r="13970" b="12700"/>
                <wp:wrapNone/>
                <wp:docPr id="3" name="Text Box 18"/>
                <wp:cNvGraphicFramePr/>
                <a:graphic xmlns:a="http://schemas.openxmlformats.org/drawingml/2006/main">
                  <a:graphicData uri="http://schemas.microsoft.com/office/word/2010/wordprocessingShape">
                    <wps:wsp>
                      <wps:cNvSpPr txBox="true">
                        <a:spLocks noChangeArrowheads="true"/>
                      </wps:cNvSpPr>
                      <wps:spPr bwMode="auto">
                        <a:xfrm>
                          <a:off x="0" y="0"/>
                          <a:ext cx="6120130" cy="615950"/>
                        </a:xfrm>
                        <a:prstGeom prst="rect">
                          <a:avLst/>
                        </a:prstGeom>
                        <a:noFill/>
                        <a:ln w="0">
                          <a:solidFill>
                            <a:schemeClr val="bg1">
                              <a:lumMod val="100000"/>
                              <a:lumOff val="0"/>
                            </a:schemeClr>
                          </a:solidFill>
                          <a:miter lim="800000"/>
                        </a:ln>
                      </wps:spPr>
                      <wps:txbx>
                        <w:txbxContent>
                          <w:p>
                            <w:pPr>
                              <w:ind w:firstLine="0" w:firstLineChars="0"/>
                              <w:jc w:val="distribute"/>
                            </w:pPr>
                            <w:r>
                              <w:rPr>
                                <w:rFonts w:hint="eastAsia" w:ascii="方正小标宋_GBK" w:hAnsi="宋体" w:eastAsia="方正小标宋_GBK" w:cs="SimSun,Bold"/>
                                <w:bCs/>
                                <w:snapToGrid w:val="0"/>
                                <w:kern w:val="0"/>
                                <w:sz w:val="52"/>
                                <w:szCs w:val="52"/>
                              </w:rPr>
                              <w:t>苏州市地方标准</w:t>
                            </w:r>
                          </w:p>
                        </w:txbxContent>
                      </wps:txbx>
                      <wps:bodyPr rot="0" vert="horz" wrap="square" lIns="91440" tIns="45720" rIns="91440" bIns="45720" anchor="t" anchorCtr="false" upright="true">
                        <a:noAutofit/>
                      </wps:bodyPr>
                    </wps:wsp>
                  </a:graphicData>
                </a:graphic>
              </wp:anchor>
            </w:drawing>
          </mc:Choice>
          <mc:Fallback>
            <w:pict>
              <v:shape id="Text Box 18" o:spid="_x0000_s1026" o:spt="202" type="#_x0000_t202" style="position:absolute;left:0pt;margin-left:77.25pt;margin-top:93pt;height:48.5pt;width:481.9pt;mso-position-horizontal-relative:page;mso-position-vertical-relative:page;z-index:251662336;mso-width-relative:page;mso-height-relative:page;" filled="f" stroked="t" coordsize="21600,21600" o:gfxdata="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WAAAAZHJzL1BLAQIUABQAAAAIAIdO4kCfvVzw1wAAAAoBAAAPAAAAAAAAAAEAIAAAADgA&#10;AABkcnMvZG93bnJldi54bWxQSwECFAAUAAAACACHTuJAI3tgmi0CAABQBAAADgAAAAAAAAABACAA&#10;AAA8AQAAZHJzL2Uyb0RvYy54bWxQSwUGAAAAAAYABgBZAQAA2wUAAAAA&#10;">
                <v:fill on="f" focussize="0,0"/>
                <v:stroke weight="0pt" color="#FFFFFF [3228]" miterlimit="8" joinstyle="miter"/>
                <v:imagedata o:title=""/>
                <o:lock v:ext="edit" aspectratio="f"/>
                <v:textbox>
                  <w:txbxContent>
                    <w:p>
                      <w:pPr>
                        <w:ind w:firstLine="0" w:firstLineChars="0"/>
                        <w:jc w:val="distribute"/>
                      </w:pPr>
                      <w:r>
                        <w:rPr>
                          <w:rFonts w:hint="eastAsia" w:ascii="方正小标宋_GBK" w:hAnsi="宋体" w:eastAsia="方正小标宋_GBK" w:cs="SimSun,Bold"/>
                          <w:bCs/>
                          <w:snapToGrid w:val="0"/>
                          <w:kern w:val="0"/>
                          <w:sz w:val="52"/>
                          <w:szCs w:val="52"/>
                        </w:rPr>
                        <w:t>苏州市地方标准</w:t>
                      </w:r>
                    </w:p>
                  </w:txbxContent>
                </v:textbox>
              </v:shape>
            </w:pict>
          </mc:Fallback>
        </mc:AlternateContent>
      </w:r>
    </w:p>
    <w:p>
      <w:pPr>
        <w:spacing w:line="510" w:lineRule="exact"/>
        <w:ind w:firstLine="420"/>
        <w:rPr>
          <w:rFonts w:ascii="黑体" w:hAnsi="黑体" w:eastAsia="黑体"/>
          <w:kern w:val="0"/>
          <w:sz w:val="28"/>
          <w:szCs w:val="28"/>
        </w:rPr>
      </w:pPr>
      <w:r>
        <w:rPr>
          <w:rFonts w:hint="eastAsia" w:ascii="黑体" w:hAnsi="黑体" w:eastAsia="黑体"/>
        </w:rPr>
        <w:t xml:space="preserve">                                                                   </w:t>
      </w:r>
      <w:r>
        <w:rPr>
          <w:rFonts w:hint="eastAsia" w:ascii="黑体" w:hAnsi="黑体" w:eastAsia="黑体"/>
          <w:kern w:val="0"/>
          <w:sz w:val="28"/>
          <w:szCs w:val="28"/>
        </w:rPr>
        <w:t xml:space="preserve">  </w:t>
      </w:r>
    </w:p>
    <w:p>
      <w:pPr>
        <w:autoSpaceDE w:val="0"/>
        <w:autoSpaceDN w:val="0"/>
        <w:adjustRightInd w:val="0"/>
        <w:spacing w:line="3686" w:lineRule="exact"/>
        <w:ind w:firstLine="420"/>
        <w:jc w:val="center"/>
        <w:rPr>
          <w:rFonts w:ascii="黑体" w:hAnsi="黑体" w:eastAsia="黑体"/>
        </w:rPr>
      </w:pPr>
      <w:r>
        <w:rPr>
          <w:rFonts w:ascii="黑体" w:hAnsi="黑体" w:eastAsia="黑体"/>
        </w:rPr>
        <mc:AlternateContent>
          <mc:Choice Requires="wps">
            <w:drawing>
              <wp:anchor distT="0" distB="0" distL="114300" distR="114300" simplePos="0" relativeHeight="251663360" behindDoc="0" locked="0" layoutInCell="1" allowOverlap="1">
                <wp:simplePos x="0" y="0"/>
                <wp:positionH relativeFrom="rightMargin">
                  <wp:posOffset>-1875155</wp:posOffset>
                </wp:positionH>
                <wp:positionV relativeFrom="topMargin">
                  <wp:posOffset>2242185</wp:posOffset>
                </wp:positionV>
                <wp:extent cx="2067560" cy="304800"/>
                <wp:effectExtent l="0" t="0" r="28575" b="19050"/>
                <wp:wrapNone/>
                <wp:docPr id="6" name="Text Box 19"/>
                <wp:cNvGraphicFramePr/>
                <a:graphic xmlns:a="http://schemas.openxmlformats.org/drawingml/2006/main">
                  <a:graphicData uri="http://schemas.microsoft.com/office/word/2010/wordprocessingShape">
                    <wps:wsp>
                      <wps:cNvSpPr txBox="true">
                        <a:spLocks noChangeArrowheads="true"/>
                      </wps:cNvSpPr>
                      <wps:spPr bwMode="auto">
                        <a:xfrm>
                          <a:off x="0" y="0"/>
                          <a:ext cx="2067339" cy="304800"/>
                        </a:xfrm>
                        <a:prstGeom prst="rect">
                          <a:avLst/>
                        </a:prstGeom>
                        <a:noFill/>
                        <a:ln w="0">
                          <a:solidFill>
                            <a:schemeClr val="bg1">
                              <a:lumMod val="100000"/>
                              <a:lumOff val="0"/>
                            </a:schemeClr>
                          </a:solidFill>
                          <a:miter lim="800000"/>
                        </a:ln>
                      </wps:spPr>
                      <wps:txbx>
                        <w:txbxContent>
                          <w:p>
                            <w:pPr>
                              <w:spacing w:line="400" w:lineRule="exact"/>
                              <w:ind w:firstLine="0" w:firstLineChars="0"/>
                              <w:jc w:val="left"/>
                              <w:rPr>
                                <w:rFonts w:ascii="黑体" w:hAnsi="黑体" w:eastAsia="黑体"/>
                                <w:kern w:val="0"/>
                                <w:sz w:val="28"/>
                                <w:szCs w:val="28"/>
                              </w:rPr>
                            </w:pPr>
                            <w:r>
                              <w:rPr>
                                <w:rFonts w:ascii="黑体" w:hAnsi="黑体" w:eastAsia="黑体"/>
                                <w:kern w:val="0"/>
                                <w:sz w:val="28"/>
                                <w:szCs w:val="28"/>
                              </w:rPr>
                              <w:t>DB3205/T XXX</w:t>
                            </w:r>
                            <w:r>
                              <w:rPr>
                                <w:rFonts w:hint="eastAsia" w:ascii="黑体" w:hAnsi="黑体" w:eastAsia="黑体"/>
                                <w:kern w:val="0"/>
                                <w:sz w:val="28"/>
                                <w:szCs w:val="28"/>
                              </w:rPr>
                              <w:t>.</w:t>
                            </w:r>
                            <w:r>
                              <w:rPr>
                                <w:rFonts w:ascii="黑体" w:hAnsi="黑体" w:eastAsia="黑体"/>
                                <w:kern w:val="0"/>
                                <w:sz w:val="28"/>
                                <w:szCs w:val="28"/>
                              </w:rPr>
                              <w:t>1</w:t>
                            </w:r>
                            <w:r>
                              <w:rPr>
                                <w:rFonts w:hint="eastAsia" w:ascii="黑体" w:hAnsi="黑体" w:eastAsia="黑体"/>
                                <w:kern w:val="0"/>
                                <w:sz w:val="28"/>
                                <w:szCs w:val="28"/>
                              </w:rPr>
                              <w:t>—</w:t>
                            </w:r>
                            <w:r>
                              <w:rPr>
                                <w:rFonts w:ascii="黑体" w:hAnsi="黑体" w:eastAsia="黑体"/>
                                <w:kern w:val="0"/>
                                <w:sz w:val="28"/>
                                <w:szCs w:val="28"/>
                              </w:rPr>
                              <w:t>2025</w:t>
                            </w:r>
                          </w:p>
                        </w:txbxContent>
                      </wps:txbx>
                      <wps:bodyPr rot="0" vert="horz" wrap="square" lIns="91440" tIns="45720" rIns="91440" bIns="45720" anchor="t" anchorCtr="false" upright="true">
                        <a:noAutofit/>
                      </wps:bodyPr>
                    </wps:wsp>
                  </a:graphicData>
                </a:graphic>
              </wp:anchor>
            </w:drawing>
          </mc:Choice>
          <mc:Fallback>
            <w:pict>
              <v:shape id="Text Box 19" o:spid="_x0000_s1026" o:spt="202" type="#_x0000_t202" style="position:absolute;left:0pt;margin-left:405.1pt;margin-top:176.55pt;height:24pt;width:162.8pt;mso-position-horizontal-relative:page;mso-position-vertical-relative:page;z-index:251663360;mso-width-relative:page;mso-height-relative:page;" filled="f" stroked="t" coordsize="21600,21600" o:gfxdata="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FgAAAGRycy9QSwECFAAUAAAACACHTuJAmg62f9kAAAALAQAADwAAAAAAAAABACAA&#10;AAA4AAAAZHJzL2Rvd25yZXYueG1sUEsBAhQAFAAAAAgAh07iQEVqFNUvAgAAUAQAAA4AAAAAAAAA&#10;AQAgAAAAPgEAAGRycy9lMm9Eb2MueG1sUEsFBgAAAAAGAAYAWQEAAN8FAAAAAA==&#10;">
                <v:fill on="f" focussize="0,0"/>
                <v:stroke weight="0pt" color="#FFFFFF [3228]" miterlimit="8" joinstyle="miter"/>
                <v:imagedata o:title=""/>
                <o:lock v:ext="edit" aspectratio="f"/>
                <v:textbox>
                  <w:txbxContent>
                    <w:p>
                      <w:pPr>
                        <w:spacing w:line="400" w:lineRule="exact"/>
                        <w:ind w:firstLine="0" w:firstLineChars="0"/>
                        <w:jc w:val="left"/>
                        <w:rPr>
                          <w:rFonts w:ascii="黑体" w:hAnsi="黑体" w:eastAsia="黑体"/>
                          <w:kern w:val="0"/>
                          <w:sz w:val="28"/>
                          <w:szCs w:val="28"/>
                        </w:rPr>
                      </w:pPr>
                      <w:r>
                        <w:rPr>
                          <w:rFonts w:ascii="黑体" w:hAnsi="黑体" w:eastAsia="黑体"/>
                          <w:kern w:val="0"/>
                          <w:sz w:val="28"/>
                          <w:szCs w:val="28"/>
                        </w:rPr>
                        <w:t>DB3205/T XXX</w:t>
                      </w:r>
                      <w:r>
                        <w:rPr>
                          <w:rFonts w:hint="eastAsia" w:ascii="黑体" w:hAnsi="黑体" w:eastAsia="黑体"/>
                          <w:kern w:val="0"/>
                          <w:sz w:val="28"/>
                          <w:szCs w:val="28"/>
                        </w:rPr>
                        <w:t>.</w:t>
                      </w:r>
                      <w:r>
                        <w:rPr>
                          <w:rFonts w:ascii="黑体" w:hAnsi="黑体" w:eastAsia="黑体"/>
                          <w:kern w:val="0"/>
                          <w:sz w:val="28"/>
                          <w:szCs w:val="28"/>
                        </w:rPr>
                        <w:t>1</w:t>
                      </w:r>
                      <w:r>
                        <w:rPr>
                          <w:rFonts w:hint="eastAsia" w:ascii="黑体" w:hAnsi="黑体" w:eastAsia="黑体"/>
                          <w:kern w:val="0"/>
                          <w:sz w:val="28"/>
                          <w:szCs w:val="28"/>
                        </w:rPr>
                        <w:t>—</w:t>
                      </w:r>
                      <w:r>
                        <w:rPr>
                          <w:rFonts w:ascii="黑体" w:hAnsi="黑体" w:eastAsia="黑体"/>
                          <w:kern w:val="0"/>
                          <w:sz w:val="28"/>
                          <w:szCs w:val="28"/>
                        </w:rPr>
                        <w:t>2025</w:t>
                      </w:r>
                    </w:p>
                  </w:txbxContent>
                </v:textbox>
              </v:shape>
            </w:pict>
          </mc:Fallback>
        </mc:AlternateContent>
      </w:r>
      <w:r>
        <w:rPr>
          <w:rFonts w:ascii="黑体" w:hAnsi="黑体" w:eastAsia="黑体"/>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topMargin">
                  <wp:posOffset>2708910</wp:posOffset>
                </wp:positionV>
                <wp:extent cx="6115050" cy="0"/>
                <wp:effectExtent l="14605" t="13335" r="13970" b="15240"/>
                <wp:wrapNone/>
                <wp:docPr id="5"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70.9pt;margin-top:213.3pt;height:0pt;width:481.5pt;mso-position-horizontal-relative:page;mso-position-vertical-relative:page;z-index:251660288;mso-width-relative:page;mso-height-relative:page;" filled="f" stroked="t" coordsize="21600,21600" o:gfxdata="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CIy4Wx0wAAAAgBAAAPAAAAAAAAAAEAIAAAADgAAABk&#10;cnMvZG93bnJldi54bWxQSwECFAAUAAAACACHTuJAOWU6U7wBAABpAwAADgAAAAAAAAABACAAAAA4&#10;AQAAZHJzL2Uyb0RvYy54bWxQSwUGAAAAAAYABgBZAQAAZgUAAAAA&#10;">
                <v:fill on="f" focussize="0,0"/>
                <v:stroke weight="1pt" color="#000000" joinstyle="round"/>
                <v:imagedata o:title=""/>
                <o:lock v:ext="edit" aspectratio="f"/>
              </v:shape>
            </w:pict>
          </mc:Fallback>
        </mc:AlternateContent>
      </w:r>
    </w:p>
    <w:p>
      <w:pPr>
        <w:ind w:firstLine="420"/>
        <w:rPr>
          <w:rFonts w:ascii="黑体" w:hAnsi="黑体" w:eastAsia="黑体"/>
        </w:rPr>
      </w:pPr>
      <w:r>
        <w:rPr>
          <w:rFonts w:ascii="黑体" w:hAnsi="黑体" w:eastAsia="黑体"/>
        </w:rPr>
        <mc:AlternateContent>
          <mc:Choice Requires="wps">
            <w:drawing>
              <wp:anchor distT="0" distB="0" distL="114300" distR="114300" simplePos="0" relativeHeight="251661312" behindDoc="0" locked="0" layoutInCell="1" allowOverlap="1">
                <wp:simplePos x="0" y="0"/>
                <wp:positionH relativeFrom="column">
                  <wp:posOffset>-14605</wp:posOffset>
                </wp:positionH>
                <wp:positionV relativeFrom="topMargin">
                  <wp:posOffset>4245610</wp:posOffset>
                </wp:positionV>
                <wp:extent cx="5924550" cy="3248025"/>
                <wp:effectExtent l="9525" t="6985" r="9525" b="12065"/>
                <wp:wrapNone/>
                <wp:docPr id="4" name="Text Box 17"/>
                <wp:cNvGraphicFramePr/>
                <a:graphic xmlns:a="http://schemas.openxmlformats.org/drawingml/2006/main">
                  <a:graphicData uri="http://schemas.microsoft.com/office/word/2010/wordprocessingShape">
                    <wps:wsp>
                      <wps:cNvSpPr txBox="true">
                        <a:spLocks noChangeArrowheads="true"/>
                      </wps:cNvSpPr>
                      <wps:spPr bwMode="auto">
                        <a:xfrm>
                          <a:off x="0" y="0"/>
                          <a:ext cx="5924550" cy="3248025"/>
                        </a:xfrm>
                        <a:prstGeom prst="rect">
                          <a:avLst/>
                        </a:prstGeom>
                        <a:noFill/>
                        <a:ln w="0">
                          <a:solidFill>
                            <a:schemeClr val="bg1">
                              <a:lumMod val="100000"/>
                              <a:lumOff val="0"/>
                            </a:schemeClr>
                          </a:solidFill>
                          <a:miter lim="800000"/>
                        </a:ln>
                      </wps:spPr>
                      <wps:txbx>
                        <w:txbxContent>
                          <w:p>
                            <w:pPr>
                              <w:ind w:firstLine="0" w:firstLineChars="0"/>
                              <w:jc w:val="center"/>
                              <w:rPr>
                                <w:rFonts w:ascii="黑体" w:hAnsi="宋体" w:eastAsia="黑体"/>
                                <w:sz w:val="52"/>
                                <w:szCs w:val="52"/>
                              </w:rPr>
                            </w:pPr>
                            <w:r>
                              <w:rPr>
                                <w:rFonts w:hint="eastAsia" w:ascii="黑体" w:hAnsi="宋体" w:eastAsia="黑体"/>
                                <w:sz w:val="52"/>
                                <w:szCs w:val="52"/>
                              </w:rPr>
                              <w:t>政务数据资源级联规范</w:t>
                            </w:r>
                          </w:p>
                          <w:p>
                            <w:pPr>
                              <w:ind w:firstLine="0" w:firstLineChars="0"/>
                              <w:jc w:val="center"/>
                              <w:rPr>
                                <w:rFonts w:ascii="黑体" w:hAnsi="宋体" w:eastAsia="黑体"/>
                                <w:sz w:val="52"/>
                                <w:szCs w:val="52"/>
                              </w:rPr>
                            </w:pPr>
                            <w:r>
                              <w:rPr>
                                <w:rFonts w:hint="eastAsia" w:ascii="黑体" w:hAnsi="宋体" w:eastAsia="黑体"/>
                                <w:sz w:val="52"/>
                                <w:szCs w:val="52"/>
                              </w:rPr>
                              <w:t>第1部分：总体框架</w:t>
                            </w:r>
                          </w:p>
                          <w:p>
                            <w:pPr>
                              <w:ind w:firstLine="0" w:firstLineChars="0"/>
                              <w:jc w:val="center"/>
                              <w:rPr>
                                <w:rFonts w:ascii="黑体" w:hAnsi="黑体" w:eastAsia="黑体"/>
                                <w:kern w:val="0"/>
                                <w:sz w:val="28"/>
                                <w:szCs w:val="21"/>
                              </w:rPr>
                            </w:pPr>
                            <w:r>
                              <w:rPr>
                                <w:rFonts w:ascii="黑体" w:hAnsi="黑体" w:eastAsia="黑体"/>
                                <w:kern w:val="0"/>
                                <w:sz w:val="28"/>
                                <w:szCs w:val="21"/>
                              </w:rPr>
                              <w:t>Specification for cascade of government data resources—</w:t>
                            </w:r>
                          </w:p>
                          <w:p>
                            <w:pPr>
                              <w:ind w:firstLine="0" w:firstLineChars="0"/>
                              <w:jc w:val="center"/>
                            </w:pPr>
                            <w:r>
                              <w:rPr>
                                <w:rFonts w:ascii="黑体" w:hAnsi="黑体" w:eastAsia="黑体"/>
                                <w:kern w:val="0"/>
                                <w:sz w:val="28"/>
                                <w:szCs w:val="21"/>
                              </w:rPr>
                              <w:t>Part 1:Framework</w:t>
                            </w:r>
                          </w:p>
                          <w:p>
                            <w:pPr>
                              <w:ind w:firstLine="0" w:firstLineChars="0"/>
                              <w:jc w:val="center"/>
                              <w:rPr>
                                <w:rFonts w:hAnsiTheme="minorEastAsia"/>
                                <w:sz w:val="24"/>
                              </w:rPr>
                            </w:pPr>
                          </w:p>
                        </w:txbxContent>
                      </wps:txbx>
                      <wps:bodyPr rot="0" vert="horz" wrap="square" lIns="91440" tIns="45720" rIns="91440" bIns="45720" anchor="t" anchorCtr="false" upright="true">
                        <a:noAutofit/>
                      </wps:bodyPr>
                    </wps:wsp>
                  </a:graphicData>
                </a:graphic>
              </wp:anchor>
            </w:drawing>
          </mc:Choice>
          <mc:Fallback>
            <w:pict>
              <v:shape id="Text Box 17" o:spid="_x0000_s1026" o:spt="202" type="#_x0000_t202" style="position:absolute;left:0pt;margin-left:69.75pt;margin-top:334.3pt;height:255.75pt;width:466.5pt;mso-position-horizontal-relative:page;mso-position-vertical-relative:page;z-index:251661312;mso-width-relative:page;mso-height-relative:page;" filled="f" stroked="t" coordsize="21600,21600" o:gfxdata="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WAAAAZHJzL1BLAQIUABQAAAAIAIdO4kBmVsBu2QAAAAsBAAAPAAAAAAAAAAEAIAAA&#10;ADgAAABkcnMvZG93bnJldi54bWxQSwECFAAUAAAACACHTuJA2iZNOi4CAABRBAAADgAAAAAAAAAB&#10;ACAAAAA+AQAAZHJzL2Uyb0RvYy54bWxQSwUGAAAAAAYABgBZAQAA3gUAAAAA&#10;">
                <v:fill on="f" focussize="0,0"/>
                <v:stroke weight="0pt" color="#FFFFFF [3228]" miterlimit="8" joinstyle="miter"/>
                <v:imagedata o:title=""/>
                <o:lock v:ext="edit" aspectratio="f"/>
                <v:textbox>
                  <w:txbxContent>
                    <w:p>
                      <w:pPr>
                        <w:ind w:firstLine="0" w:firstLineChars="0"/>
                        <w:jc w:val="center"/>
                        <w:rPr>
                          <w:rFonts w:ascii="黑体" w:hAnsi="宋体" w:eastAsia="黑体"/>
                          <w:sz w:val="52"/>
                          <w:szCs w:val="52"/>
                        </w:rPr>
                      </w:pPr>
                      <w:r>
                        <w:rPr>
                          <w:rFonts w:hint="eastAsia" w:ascii="黑体" w:hAnsi="宋体" w:eastAsia="黑体"/>
                          <w:sz w:val="52"/>
                          <w:szCs w:val="52"/>
                        </w:rPr>
                        <w:t>政务数据资源级联规范</w:t>
                      </w:r>
                    </w:p>
                    <w:p>
                      <w:pPr>
                        <w:ind w:firstLine="0" w:firstLineChars="0"/>
                        <w:jc w:val="center"/>
                        <w:rPr>
                          <w:rFonts w:ascii="黑体" w:hAnsi="宋体" w:eastAsia="黑体"/>
                          <w:sz w:val="52"/>
                          <w:szCs w:val="52"/>
                        </w:rPr>
                      </w:pPr>
                      <w:r>
                        <w:rPr>
                          <w:rFonts w:hint="eastAsia" w:ascii="黑体" w:hAnsi="宋体" w:eastAsia="黑体"/>
                          <w:sz w:val="52"/>
                          <w:szCs w:val="52"/>
                        </w:rPr>
                        <w:t>第1部分：总体框架</w:t>
                      </w:r>
                    </w:p>
                    <w:p>
                      <w:pPr>
                        <w:ind w:firstLine="0" w:firstLineChars="0"/>
                        <w:jc w:val="center"/>
                        <w:rPr>
                          <w:rFonts w:ascii="黑体" w:hAnsi="黑体" w:eastAsia="黑体"/>
                          <w:kern w:val="0"/>
                          <w:sz w:val="28"/>
                          <w:szCs w:val="21"/>
                        </w:rPr>
                      </w:pPr>
                      <w:r>
                        <w:rPr>
                          <w:rFonts w:ascii="黑体" w:hAnsi="黑体" w:eastAsia="黑体"/>
                          <w:kern w:val="0"/>
                          <w:sz w:val="28"/>
                          <w:szCs w:val="21"/>
                        </w:rPr>
                        <w:t>Specification for cascade of government data resources—</w:t>
                      </w:r>
                    </w:p>
                    <w:p>
                      <w:pPr>
                        <w:ind w:firstLine="0" w:firstLineChars="0"/>
                        <w:jc w:val="center"/>
                      </w:pPr>
                      <w:r>
                        <w:rPr>
                          <w:rFonts w:ascii="黑体" w:hAnsi="黑体" w:eastAsia="黑体"/>
                          <w:kern w:val="0"/>
                          <w:sz w:val="28"/>
                          <w:szCs w:val="21"/>
                        </w:rPr>
                        <w:t>Part 1:Framework</w:t>
                      </w:r>
                    </w:p>
                    <w:p>
                      <w:pPr>
                        <w:ind w:firstLine="0" w:firstLineChars="0"/>
                        <w:jc w:val="center"/>
                        <w:rPr>
                          <w:rFonts w:hAnsiTheme="minorEastAsia"/>
                          <w:sz w:val="24"/>
                        </w:rPr>
                      </w:pPr>
                    </w:p>
                  </w:txbxContent>
                </v:textbox>
              </v:shape>
            </w:pict>
          </mc:Fallback>
        </mc:AlternateContent>
      </w:r>
    </w:p>
    <w:p>
      <w:pPr>
        <w:ind w:firstLine="420"/>
        <w:rPr>
          <w:rFonts w:ascii="黑体" w:hAnsi="黑体" w:eastAsia="黑体"/>
        </w:rPr>
      </w:pPr>
    </w:p>
    <w:p>
      <w:pPr>
        <w:ind w:firstLine="420"/>
        <w:rPr>
          <w:rFonts w:ascii="黑体" w:hAnsi="黑体" w:eastAsia="黑体"/>
        </w:rPr>
      </w:pPr>
    </w:p>
    <w:p>
      <w:pPr>
        <w:ind w:firstLine="420"/>
        <w:rPr>
          <w:rFonts w:ascii="黑体" w:hAnsi="黑体" w:eastAsia="黑体"/>
        </w:rPr>
      </w:pPr>
    </w:p>
    <w:p>
      <w:pPr>
        <w:ind w:firstLine="420"/>
        <w:rPr>
          <w:rFonts w:ascii="黑体" w:hAnsi="黑体" w:eastAsia="黑体"/>
        </w:rPr>
      </w:pPr>
    </w:p>
    <w:p>
      <w:pPr>
        <w:ind w:firstLine="420"/>
        <w:rPr>
          <w:rFonts w:ascii="黑体" w:hAnsi="黑体" w:eastAsia="黑体"/>
        </w:rPr>
      </w:pPr>
      <w:r>
        <w:rPr>
          <w:rFonts w:hint="eastAsia" w:ascii="黑体" w:hAnsi="黑体" w:eastAsia="黑体"/>
        </w:rPr>
        <w:t xml:space="preserve">                                                                                          </w:t>
      </w:r>
    </w:p>
    <w:p>
      <w:pPr>
        <w:pStyle w:val="2"/>
        <w:ind w:firstLine="420"/>
      </w:pPr>
    </w:p>
    <w:p>
      <w:pPr>
        <w:pStyle w:val="2"/>
        <w:ind w:firstLine="420"/>
      </w:pPr>
    </w:p>
    <w:p>
      <w:pPr>
        <w:pStyle w:val="2"/>
        <w:ind w:firstLine="420"/>
      </w:pPr>
    </w:p>
    <w:p>
      <w:pPr>
        <w:ind w:firstLine="420"/>
        <w:rPr>
          <w:rFonts w:ascii="黑体" w:hAnsi="黑体" w:eastAsia="黑体"/>
        </w:rPr>
      </w:pPr>
    </w:p>
    <w:p>
      <w:pPr>
        <w:ind w:firstLine="420"/>
        <w:rPr>
          <w:rFonts w:ascii="黑体" w:hAnsi="黑体" w:eastAsia="黑体"/>
        </w:rPr>
      </w:pPr>
    </w:p>
    <w:p>
      <w:pPr>
        <w:ind w:firstLine="420"/>
        <w:rPr>
          <w:rFonts w:ascii="黑体" w:hAnsi="黑体" w:eastAsia="黑体"/>
        </w:rPr>
      </w:pPr>
    </w:p>
    <w:p>
      <w:pPr>
        <w:ind w:firstLine="420"/>
        <w:rPr>
          <w:rFonts w:ascii="黑体" w:hAnsi="黑体" w:eastAsia="黑体"/>
        </w:rPr>
      </w:pPr>
    </w:p>
    <w:p>
      <w:pPr>
        <w:ind w:firstLine="420"/>
        <w:rPr>
          <w:rFonts w:ascii="黑体" w:hAnsi="黑体" w:eastAsia="黑体"/>
        </w:rPr>
      </w:pPr>
    </w:p>
    <w:p>
      <w:pPr>
        <w:ind w:firstLine="420"/>
        <w:rPr>
          <w:rFonts w:ascii="黑体" w:hAnsi="黑体" w:eastAsia="黑体"/>
        </w:rPr>
      </w:pPr>
    </w:p>
    <w:p>
      <w:pPr>
        <w:ind w:firstLine="420"/>
        <w:rPr>
          <w:rFonts w:ascii="黑体" w:hAnsi="黑体" w:eastAsia="黑体"/>
        </w:rPr>
      </w:pPr>
    </w:p>
    <w:p>
      <w:pPr>
        <w:ind w:firstLine="420"/>
        <w:rPr>
          <w:rFonts w:ascii="黑体" w:hAnsi="黑体" w:eastAsia="黑体"/>
        </w:rPr>
      </w:pPr>
    </w:p>
    <w:p>
      <w:pPr>
        <w:ind w:firstLine="420"/>
        <w:rPr>
          <w:rFonts w:ascii="黑体" w:hAnsi="黑体" w:eastAsia="黑体"/>
        </w:rPr>
      </w:pPr>
    </w:p>
    <w:p>
      <w:pPr>
        <w:ind w:firstLine="420"/>
        <w:rPr>
          <w:rFonts w:ascii="黑体" w:hAnsi="黑体" w:eastAsia="黑体"/>
        </w:rPr>
      </w:pPr>
    </w:p>
    <w:p>
      <w:pPr>
        <w:ind w:firstLine="420"/>
        <w:rPr>
          <w:rFonts w:ascii="黑体" w:hAnsi="黑体" w:eastAsia="黑体"/>
        </w:rPr>
      </w:pPr>
    </w:p>
    <w:p>
      <w:pPr>
        <w:ind w:firstLine="420"/>
        <w:rPr>
          <w:rFonts w:ascii="黑体" w:hAnsi="黑体" w:eastAsia="黑体"/>
        </w:rPr>
      </w:pPr>
    </w:p>
    <w:p>
      <w:pPr>
        <w:ind w:firstLine="420"/>
        <w:rPr>
          <w:rFonts w:ascii="黑体" w:hAnsi="黑体" w:eastAsia="黑体"/>
        </w:rPr>
      </w:pPr>
    </w:p>
    <w:p>
      <w:pPr>
        <w:ind w:firstLine="420"/>
        <w:rPr>
          <w:rFonts w:ascii="黑体" w:hAnsi="黑体" w:eastAsia="黑体"/>
        </w:rPr>
      </w:pPr>
    </w:p>
    <w:p>
      <w:pPr>
        <w:ind w:firstLine="0" w:firstLineChars="0"/>
        <w:rPr>
          <w:rFonts w:ascii="黑体" w:hAnsi="黑体" w:eastAsia="黑体"/>
          <w:sz w:val="28"/>
          <w:szCs w:val="28"/>
        </w:rPr>
      </w:pPr>
      <w:r>
        <w:rPr>
          <w:rFonts w:ascii="黑体" w:hAnsi="黑体" w:eastAsia="黑体"/>
          <w:sz w:val="28"/>
          <w:szCs w:val="28"/>
        </w:rPr>
        <mc:AlternateContent>
          <mc:Choice Requires="wps">
            <w:drawing>
              <wp:anchor distT="0" distB="0" distL="114300" distR="114300" simplePos="0" relativeHeight="251664384" behindDoc="0" locked="0" layoutInCell="1" allowOverlap="1">
                <wp:simplePos x="0" y="0"/>
                <wp:positionH relativeFrom="margin">
                  <wp:posOffset>-14605</wp:posOffset>
                </wp:positionH>
                <wp:positionV relativeFrom="topMargin">
                  <wp:posOffset>9133205</wp:posOffset>
                </wp:positionV>
                <wp:extent cx="6115050" cy="0"/>
                <wp:effectExtent l="0" t="0" r="19050" b="19050"/>
                <wp:wrapNone/>
                <wp:docPr id="8"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69.75pt;margin-top:719.15pt;height:0pt;width:481.5pt;mso-position-horizontal-relative:page;mso-position-vertical-relative:page;z-index:251664384;mso-width-relative:page;mso-height-relative:page;" filled="f" stroked="t" coordsize="21600,21600" o:gfxdata="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CvMgXH1gAAAAwBAAAPAAAAAAAAAAEAIAAAADgA&#10;AABkcnMvZG93bnJldi54bWxQSwECFAAUAAAACACHTuJAbdKPlLwBAABpAwAADgAAAAAAAAABACAA&#10;AAA7AQAAZHJzL2Uyb0RvYy54bWxQSwUGAAAAAAYABgBZAQAAaQUAAAAA&#10;">
                <v:fill on="f" focussize="0,0"/>
                <v:stroke weight="1pt" color="#000000" joinstyle="round"/>
                <v:imagedata o:title=""/>
                <o:lock v:ext="edit" aspectratio="f"/>
              </v:shape>
            </w:pict>
          </mc:Fallback>
        </mc:AlternateContent>
      </w:r>
      <w:r>
        <w:rPr>
          <w:rFonts w:hint="eastAsia" w:ascii="黑体" w:hAnsi="黑体" w:eastAsia="黑体"/>
          <w:sz w:val="28"/>
          <w:szCs w:val="28"/>
        </w:rPr>
        <w:t>202</w:t>
      </w:r>
      <w:r>
        <w:rPr>
          <w:rFonts w:ascii="黑体" w:hAnsi="黑体" w:eastAsia="黑体"/>
          <w:sz w:val="28"/>
          <w:szCs w:val="28"/>
        </w:rPr>
        <w:t>5</w:t>
      </w:r>
      <w:r>
        <w:rPr>
          <w:rFonts w:hint="eastAsia" w:ascii="黑体" w:hAnsi="黑体" w:eastAsia="黑体"/>
          <w:sz w:val="28"/>
          <w:szCs w:val="28"/>
        </w:rPr>
        <w:t>-XX-XX发布                                       202</w:t>
      </w:r>
      <w:r>
        <w:rPr>
          <w:rFonts w:ascii="黑体" w:hAnsi="黑体" w:eastAsia="黑体"/>
          <w:sz w:val="28"/>
          <w:szCs w:val="28"/>
        </w:rPr>
        <w:t>5</w:t>
      </w:r>
      <w:r>
        <w:rPr>
          <w:rFonts w:hint="eastAsia" w:ascii="黑体" w:hAnsi="黑体" w:eastAsia="黑体"/>
          <w:sz w:val="28"/>
          <w:szCs w:val="28"/>
        </w:rPr>
        <w:t>-XX-XX实施</w:t>
      </w:r>
    </w:p>
    <w:p>
      <w:pPr>
        <w:keepNext w:val="0"/>
        <w:keepLines w:val="0"/>
        <w:pageBreakBefore w:val="0"/>
        <w:widowControl w:val="0"/>
        <w:kinsoku/>
        <w:wordWrap/>
        <w:overflowPunct/>
        <w:topLinePunct w:val="0"/>
        <w:autoSpaceDE/>
        <w:autoSpaceDN/>
        <w:bidi w:val="0"/>
        <w:adjustRightInd/>
        <w:snapToGrid/>
        <w:spacing w:line="1247" w:lineRule="exact"/>
        <w:ind w:firstLine="0" w:firstLineChars="0"/>
        <w:jc w:val="center"/>
        <w:textAlignment w:val="auto"/>
        <w:outlineLvl w:val="9"/>
        <w:rPr>
          <w:rFonts w:hint="eastAsia" w:ascii="方正小标宋_GBK" w:eastAsia="方正小标宋_GBK"/>
          <w:sz w:val="44"/>
          <w:szCs w:val="44"/>
        </w:rPr>
        <w:sectPr>
          <w:headerReference r:id="rId7" w:type="first"/>
          <w:footerReference r:id="rId10" w:type="first"/>
          <w:headerReference r:id="rId5" w:type="default"/>
          <w:footerReference r:id="rId8" w:type="default"/>
          <w:headerReference r:id="rId6" w:type="even"/>
          <w:footerReference r:id="rId9" w:type="even"/>
          <w:pgSz w:w="11906" w:h="16838"/>
          <w:pgMar w:top="567" w:right="851" w:bottom="1134" w:left="1418" w:header="0" w:footer="0" w:gutter="0"/>
          <w:cols w:space="425" w:num="1"/>
          <w:docGrid w:type="lines" w:linePitch="312" w:charSpace="0"/>
        </w:sectPr>
      </w:pPr>
      <w:bookmarkStart w:id="0" w:name="_Toc18385"/>
      <w:bookmarkStart w:id="1" w:name="_Toc3547"/>
      <w:r>
        <w:rPr>
          <w:rFonts w:hint="eastAsia" w:ascii="方正小标宋_GBK" w:eastAsia="方正小标宋_GBK"/>
          <w:sz w:val="44"/>
          <w:szCs w:val="44"/>
        </w:rPr>
        <w:t xml:space="preserve">苏州市市场监督管理局  </w:t>
      </w:r>
      <w:r>
        <w:rPr>
          <w:rFonts w:hint="eastAsia" w:ascii="黑体" w:hAnsi="黑体" w:eastAsia="黑体"/>
          <w:sz w:val="28"/>
          <w:szCs w:val="28"/>
        </w:rPr>
        <w:t>发 布</w:t>
      </w:r>
      <w:bookmarkEnd w:id="0"/>
      <w:bookmarkEnd w:id="1"/>
    </w:p>
    <w:sdt>
      <w:sdtPr>
        <w:rPr>
          <w:rFonts w:ascii="黑体" w:hAnsi="黑体" w:eastAsia="黑体"/>
          <w:bCs/>
          <w:sz w:val="32"/>
          <w:szCs w:val="32"/>
        </w:rPr>
        <w:id w:val="-461579497"/>
        <w:docPartObj>
          <w:docPartGallery w:val="Table of Contents"/>
          <w:docPartUnique/>
        </w:docPartObj>
      </w:sdtPr>
      <w:sdtEndPr>
        <w:rPr>
          <w:rFonts w:asciiTheme="minorEastAsia" w:hAnsiTheme="minorHAnsi" w:eastAsiaTheme="minorEastAsia"/>
          <w:b/>
          <w:bCs/>
          <w:sz w:val="21"/>
          <w:szCs w:val="22"/>
          <w:lang w:val="zh-CN"/>
        </w:rPr>
      </w:sdtEndPr>
      <w:sdtContent>
        <w:p>
          <w:pPr>
            <w:snapToGrid w:val="0"/>
            <w:spacing w:before="567" w:after="680"/>
            <w:ind w:firstLine="640"/>
            <w:jc w:val="center"/>
            <w:rPr>
              <w:color w:val="auto"/>
              <w:sz w:val="32"/>
              <w:szCs w:val="32"/>
            </w:rPr>
          </w:pPr>
          <w:bookmarkStart w:id="2" w:name="SectionMark4"/>
          <w:r>
            <w:rPr>
              <w:rFonts w:ascii="黑体" w:hAnsi="黑体" w:eastAsia="黑体"/>
              <w:bCs/>
              <w:color w:val="auto"/>
              <w:sz w:val="32"/>
              <w:szCs w:val="32"/>
            </w:rPr>
            <w:t>目</w:t>
          </w:r>
          <w:r>
            <w:rPr>
              <w:rFonts w:hint="eastAsia" w:ascii="黑体" w:hAnsi="黑体" w:eastAsia="黑体"/>
              <w:bCs/>
              <w:color w:val="auto"/>
              <w:sz w:val="32"/>
              <w:szCs w:val="32"/>
            </w:rPr>
            <w:t xml:space="preserve"> </w:t>
          </w:r>
          <w:r>
            <w:rPr>
              <w:rFonts w:ascii="黑体" w:hAnsi="黑体" w:eastAsia="黑体"/>
              <w:bCs/>
              <w:color w:val="auto"/>
              <w:sz w:val="32"/>
              <w:szCs w:val="32"/>
            </w:rPr>
            <w:t xml:space="preserve">   </w:t>
          </w:r>
          <w:r>
            <w:rPr>
              <w:rFonts w:hint="eastAsia" w:ascii="黑体" w:hAnsi="黑体" w:eastAsia="黑体"/>
              <w:bCs/>
              <w:color w:val="auto"/>
              <w:sz w:val="32"/>
              <w:szCs w:val="32"/>
            </w:rPr>
            <w:t>次</w:t>
          </w:r>
        </w:p>
        <w:p>
          <w:pPr>
            <w:pStyle w:val="15"/>
            <w:tabs>
              <w:tab w:val="right" w:leader="dot" w:pos="9344"/>
            </w:tabs>
            <w:ind w:firstLine="420"/>
            <w:rPr>
              <w:rFonts w:hint="default" w:asciiTheme="minorHAnsi" w:eastAsiaTheme="minorEastAsia"/>
              <w:color w:val="auto"/>
              <w:lang w:val="en-US" w:eastAsia="zh-CN"/>
            </w:rPr>
          </w:pPr>
          <w:r>
            <w:rPr>
              <w:color w:val="auto"/>
            </w:rPr>
            <w:fldChar w:fldCharType="begin"/>
          </w:r>
          <w:r>
            <w:rPr>
              <w:color w:val="auto"/>
            </w:rPr>
            <w:instrText xml:space="preserve"> TOC \o "1-3" \h \z \u </w:instrText>
          </w:r>
          <w:r>
            <w:rPr>
              <w:color w:val="auto"/>
            </w:rPr>
            <w:fldChar w:fldCharType="separate"/>
          </w:r>
          <w:r>
            <w:rPr>
              <w:color w:val="auto"/>
            </w:rPr>
            <w:fldChar w:fldCharType="begin"/>
          </w:r>
          <w:r>
            <w:rPr>
              <w:color w:val="auto"/>
            </w:rPr>
            <w:instrText xml:space="preserve"> HYPERLINK \l "_Toc190698131" </w:instrText>
          </w:r>
          <w:r>
            <w:rPr>
              <w:color w:val="auto"/>
            </w:rPr>
            <w:fldChar w:fldCharType="separate"/>
          </w:r>
          <w:r>
            <w:rPr>
              <w:rStyle w:val="26"/>
              <w:color w:val="auto"/>
            </w:rPr>
            <w:t>前言</w:t>
          </w:r>
          <w:r>
            <w:rPr>
              <w:color w:val="auto"/>
            </w:rPr>
            <w:tab/>
          </w:r>
          <w:r>
            <w:rPr>
              <w:rFonts w:hint="eastAsia"/>
              <w:color w:val="auto"/>
              <w:lang w:val="en-US" w:eastAsia="zh-CN"/>
            </w:rPr>
            <w:t>I</w:t>
          </w:r>
          <w:r>
            <w:rPr>
              <w:color w:val="auto"/>
            </w:rPr>
            <w:fldChar w:fldCharType="end"/>
          </w:r>
          <w:r>
            <w:rPr>
              <w:rFonts w:hint="eastAsia"/>
              <w:color w:val="auto"/>
              <w:lang w:val="en-US" w:eastAsia="zh-CN"/>
            </w:rPr>
            <w:t>I</w:t>
          </w:r>
        </w:p>
        <w:p>
          <w:pPr>
            <w:pStyle w:val="15"/>
            <w:tabs>
              <w:tab w:val="right" w:leader="dot" w:pos="9344"/>
            </w:tabs>
            <w:ind w:firstLine="420"/>
            <w:rPr>
              <w:rFonts w:asciiTheme="minorHAnsi"/>
              <w:color w:val="auto"/>
            </w:rPr>
          </w:pPr>
          <w:r>
            <w:rPr>
              <w:color w:val="auto"/>
            </w:rPr>
            <w:fldChar w:fldCharType="begin"/>
          </w:r>
          <w:r>
            <w:rPr>
              <w:color w:val="auto"/>
            </w:rPr>
            <w:instrText xml:space="preserve"> HYPERLINK \l "_Toc190698132" </w:instrText>
          </w:r>
          <w:r>
            <w:rPr>
              <w:color w:val="auto"/>
            </w:rPr>
            <w:fldChar w:fldCharType="separate"/>
          </w:r>
          <w:r>
            <w:rPr>
              <w:rStyle w:val="26"/>
              <w:color w:val="auto"/>
            </w:rPr>
            <w:t>引言</w:t>
          </w:r>
          <w:r>
            <w:rPr>
              <w:color w:val="auto"/>
            </w:rPr>
            <w:tab/>
          </w:r>
          <w:r>
            <w:rPr>
              <w:color w:val="auto"/>
            </w:rPr>
            <w:fldChar w:fldCharType="begin"/>
          </w:r>
          <w:r>
            <w:rPr>
              <w:color w:val="auto"/>
            </w:rPr>
            <w:instrText xml:space="preserve"> PAGEREF _Toc190698132 \h </w:instrText>
          </w:r>
          <w:r>
            <w:rPr>
              <w:color w:val="auto"/>
            </w:rPr>
            <w:fldChar w:fldCharType="separate"/>
          </w:r>
          <w:r>
            <w:rPr>
              <w:color w:val="auto"/>
            </w:rPr>
            <w:t>III</w:t>
          </w:r>
          <w:r>
            <w:rPr>
              <w:color w:val="auto"/>
            </w:rPr>
            <w:fldChar w:fldCharType="end"/>
          </w:r>
          <w:r>
            <w:rPr>
              <w:color w:val="auto"/>
            </w:rPr>
            <w:fldChar w:fldCharType="end"/>
          </w:r>
        </w:p>
        <w:p>
          <w:pPr>
            <w:pStyle w:val="15"/>
            <w:tabs>
              <w:tab w:val="right" w:leader="dot" w:pos="9344"/>
            </w:tabs>
            <w:ind w:firstLine="420"/>
            <w:rPr>
              <w:rFonts w:asciiTheme="minorHAnsi"/>
              <w:color w:val="auto"/>
            </w:rPr>
          </w:pPr>
          <w:r>
            <w:rPr>
              <w:color w:val="auto"/>
            </w:rPr>
            <w:fldChar w:fldCharType="begin"/>
          </w:r>
          <w:r>
            <w:rPr>
              <w:color w:val="auto"/>
            </w:rPr>
            <w:instrText xml:space="preserve"> HYPERLINK \l "_Toc190698133" </w:instrText>
          </w:r>
          <w:r>
            <w:rPr>
              <w:color w:val="auto"/>
            </w:rPr>
            <w:fldChar w:fldCharType="separate"/>
          </w:r>
          <w:r>
            <w:rPr>
              <w:rStyle w:val="26"/>
              <w:color w:val="auto"/>
            </w:rPr>
            <w:t xml:space="preserve">1 </w:t>
          </w:r>
          <w:r>
            <w:rPr>
              <w:rStyle w:val="26"/>
              <w:rFonts w:hint="eastAsia"/>
              <w:color w:val="auto"/>
              <w:lang w:val="en-US" w:eastAsia="zh-CN"/>
            </w:rPr>
            <w:t xml:space="preserve"> </w:t>
          </w:r>
          <w:r>
            <w:rPr>
              <w:rStyle w:val="26"/>
              <w:color w:val="auto"/>
            </w:rPr>
            <w:t>范围</w:t>
          </w:r>
          <w:r>
            <w:rPr>
              <w:color w:val="auto"/>
            </w:rPr>
            <w:tab/>
          </w:r>
          <w:r>
            <w:rPr>
              <w:color w:val="auto"/>
            </w:rPr>
            <w:fldChar w:fldCharType="begin"/>
          </w:r>
          <w:r>
            <w:rPr>
              <w:color w:val="auto"/>
            </w:rPr>
            <w:instrText xml:space="preserve"> PAGEREF _Toc190698133 \h </w:instrText>
          </w:r>
          <w:r>
            <w:rPr>
              <w:color w:val="auto"/>
            </w:rPr>
            <w:fldChar w:fldCharType="separate"/>
          </w:r>
          <w:r>
            <w:rPr>
              <w:color w:val="auto"/>
            </w:rPr>
            <w:t>1</w:t>
          </w:r>
          <w:r>
            <w:rPr>
              <w:color w:val="auto"/>
            </w:rPr>
            <w:fldChar w:fldCharType="end"/>
          </w:r>
          <w:r>
            <w:rPr>
              <w:color w:val="auto"/>
            </w:rPr>
            <w:fldChar w:fldCharType="end"/>
          </w:r>
        </w:p>
        <w:p>
          <w:pPr>
            <w:pStyle w:val="15"/>
            <w:tabs>
              <w:tab w:val="right" w:leader="dot" w:pos="9344"/>
            </w:tabs>
            <w:ind w:firstLine="420"/>
            <w:rPr>
              <w:rFonts w:asciiTheme="minorHAnsi"/>
              <w:color w:val="auto"/>
            </w:rPr>
          </w:pPr>
          <w:r>
            <w:rPr>
              <w:color w:val="auto"/>
            </w:rPr>
            <w:fldChar w:fldCharType="begin"/>
          </w:r>
          <w:r>
            <w:rPr>
              <w:color w:val="auto"/>
            </w:rPr>
            <w:instrText xml:space="preserve"> HYPERLINK \l "_Toc190698134" </w:instrText>
          </w:r>
          <w:r>
            <w:rPr>
              <w:color w:val="auto"/>
            </w:rPr>
            <w:fldChar w:fldCharType="separate"/>
          </w:r>
          <w:r>
            <w:rPr>
              <w:rStyle w:val="26"/>
              <w:color w:val="auto"/>
            </w:rPr>
            <w:t xml:space="preserve">2 </w:t>
          </w:r>
          <w:r>
            <w:rPr>
              <w:rStyle w:val="26"/>
              <w:rFonts w:hint="eastAsia"/>
              <w:color w:val="auto"/>
              <w:lang w:val="en-US" w:eastAsia="zh-CN"/>
            </w:rPr>
            <w:t xml:space="preserve"> </w:t>
          </w:r>
          <w:r>
            <w:rPr>
              <w:rStyle w:val="26"/>
              <w:color w:val="auto"/>
            </w:rPr>
            <w:t>规范性引用文件</w:t>
          </w:r>
          <w:r>
            <w:rPr>
              <w:color w:val="auto"/>
            </w:rPr>
            <w:tab/>
          </w:r>
          <w:r>
            <w:rPr>
              <w:color w:val="auto"/>
            </w:rPr>
            <w:fldChar w:fldCharType="begin"/>
          </w:r>
          <w:r>
            <w:rPr>
              <w:color w:val="auto"/>
            </w:rPr>
            <w:instrText xml:space="preserve"> PAGEREF _Toc190698134 \h </w:instrText>
          </w:r>
          <w:r>
            <w:rPr>
              <w:color w:val="auto"/>
            </w:rPr>
            <w:fldChar w:fldCharType="separate"/>
          </w:r>
          <w:r>
            <w:rPr>
              <w:color w:val="auto"/>
            </w:rPr>
            <w:t>1</w:t>
          </w:r>
          <w:r>
            <w:rPr>
              <w:color w:val="auto"/>
            </w:rPr>
            <w:fldChar w:fldCharType="end"/>
          </w:r>
          <w:r>
            <w:rPr>
              <w:color w:val="auto"/>
            </w:rPr>
            <w:fldChar w:fldCharType="end"/>
          </w:r>
        </w:p>
        <w:p>
          <w:pPr>
            <w:pStyle w:val="15"/>
            <w:tabs>
              <w:tab w:val="right" w:leader="dot" w:pos="9344"/>
            </w:tabs>
            <w:ind w:firstLine="420"/>
            <w:rPr>
              <w:rFonts w:asciiTheme="minorHAnsi"/>
              <w:color w:val="auto"/>
            </w:rPr>
          </w:pPr>
          <w:r>
            <w:rPr>
              <w:color w:val="auto"/>
            </w:rPr>
            <w:fldChar w:fldCharType="begin"/>
          </w:r>
          <w:r>
            <w:rPr>
              <w:color w:val="auto"/>
            </w:rPr>
            <w:instrText xml:space="preserve"> HYPERLINK \l "_Toc190698135" </w:instrText>
          </w:r>
          <w:r>
            <w:rPr>
              <w:color w:val="auto"/>
            </w:rPr>
            <w:fldChar w:fldCharType="separate"/>
          </w:r>
          <w:r>
            <w:rPr>
              <w:rStyle w:val="26"/>
              <w:color w:val="auto"/>
            </w:rPr>
            <w:t xml:space="preserve">3 </w:t>
          </w:r>
          <w:r>
            <w:rPr>
              <w:rStyle w:val="26"/>
              <w:rFonts w:hint="eastAsia"/>
              <w:color w:val="auto"/>
              <w:lang w:val="en-US" w:eastAsia="zh-CN"/>
            </w:rPr>
            <w:t xml:space="preserve"> </w:t>
          </w:r>
          <w:r>
            <w:rPr>
              <w:rStyle w:val="26"/>
              <w:color w:val="auto"/>
            </w:rPr>
            <w:t>术语和定义</w:t>
          </w:r>
          <w:r>
            <w:rPr>
              <w:color w:val="auto"/>
            </w:rPr>
            <w:tab/>
          </w:r>
          <w:r>
            <w:rPr>
              <w:color w:val="auto"/>
            </w:rPr>
            <w:fldChar w:fldCharType="begin"/>
          </w:r>
          <w:r>
            <w:rPr>
              <w:color w:val="auto"/>
            </w:rPr>
            <w:instrText xml:space="preserve"> PAGEREF _Toc190698135 \h </w:instrText>
          </w:r>
          <w:r>
            <w:rPr>
              <w:color w:val="auto"/>
            </w:rPr>
            <w:fldChar w:fldCharType="separate"/>
          </w:r>
          <w:r>
            <w:rPr>
              <w:color w:val="auto"/>
            </w:rPr>
            <w:t>1</w:t>
          </w:r>
          <w:r>
            <w:rPr>
              <w:color w:val="auto"/>
            </w:rPr>
            <w:fldChar w:fldCharType="end"/>
          </w:r>
          <w:r>
            <w:rPr>
              <w:color w:val="auto"/>
            </w:rPr>
            <w:fldChar w:fldCharType="end"/>
          </w:r>
        </w:p>
        <w:p>
          <w:pPr>
            <w:pStyle w:val="15"/>
            <w:tabs>
              <w:tab w:val="right" w:leader="dot" w:pos="9344"/>
            </w:tabs>
            <w:ind w:firstLine="420"/>
            <w:rPr>
              <w:rFonts w:asciiTheme="minorHAnsi"/>
              <w:color w:val="auto"/>
            </w:rPr>
          </w:pPr>
          <w:r>
            <w:rPr>
              <w:color w:val="auto"/>
            </w:rPr>
            <w:fldChar w:fldCharType="begin"/>
          </w:r>
          <w:r>
            <w:rPr>
              <w:color w:val="auto"/>
            </w:rPr>
            <w:instrText xml:space="preserve"> HYPERLINK \l "_Toc190698136" </w:instrText>
          </w:r>
          <w:r>
            <w:rPr>
              <w:color w:val="auto"/>
            </w:rPr>
            <w:fldChar w:fldCharType="separate"/>
          </w:r>
          <w:r>
            <w:rPr>
              <w:rStyle w:val="26"/>
              <w:color w:val="auto"/>
            </w:rPr>
            <w:t xml:space="preserve">4 </w:t>
          </w:r>
          <w:r>
            <w:rPr>
              <w:rStyle w:val="26"/>
              <w:rFonts w:hint="eastAsia"/>
              <w:color w:val="auto"/>
              <w:lang w:val="en-US" w:eastAsia="zh-CN"/>
            </w:rPr>
            <w:t xml:space="preserve"> </w:t>
          </w:r>
          <w:r>
            <w:rPr>
              <w:rStyle w:val="26"/>
              <w:color w:val="auto"/>
            </w:rPr>
            <w:t>总体要求</w:t>
          </w:r>
          <w:r>
            <w:rPr>
              <w:color w:val="auto"/>
            </w:rPr>
            <w:tab/>
          </w:r>
          <w:r>
            <w:rPr>
              <w:color w:val="auto"/>
            </w:rPr>
            <w:fldChar w:fldCharType="begin"/>
          </w:r>
          <w:r>
            <w:rPr>
              <w:color w:val="auto"/>
            </w:rPr>
            <w:instrText xml:space="preserve"> PAGEREF _Toc190698136 \h </w:instrText>
          </w:r>
          <w:r>
            <w:rPr>
              <w:color w:val="auto"/>
            </w:rPr>
            <w:fldChar w:fldCharType="separate"/>
          </w:r>
          <w:r>
            <w:rPr>
              <w:color w:val="auto"/>
            </w:rPr>
            <w:t>2</w:t>
          </w:r>
          <w:r>
            <w:rPr>
              <w:color w:val="auto"/>
            </w:rPr>
            <w:fldChar w:fldCharType="end"/>
          </w:r>
          <w:r>
            <w:rPr>
              <w:color w:val="auto"/>
            </w:rPr>
            <w:fldChar w:fldCharType="end"/>
          </w:r>
        </w:p>
        <w:p>
          <w:pPr>
            <w:pStyle w:val="15"/>
            <w:tabs>
              <w:tab w:val="right" w:leader="dot" w:pos="9344"/>
            </w:tabs>
            <w:ind w:firstLine="420"/>
            <w:rPr>
              <w:rFonts w:asciiTheme="minorHAnsi"/>
              <w:color w:val="auto"/>
            </w:rPr>
          </w:pPr>
          <w:r>
            <w:rPr>
              <w:color w:val="auto"/>
            </w:rPr>
            <w:fldChar w:fldCharType="begin"/>
          </w:r>
          <w:r>
            <w:rPr>
              <w:color w:val="auto"/>
            </w:rPr>
            <w:instrText xml:space="preserve"> HYPERLINK \l "_Toc190698137" </w:instrText>
          </w:r>
          <w:r>
            <w:rPr>
              <w:color w:val="auto"/>
            </w:rPr>
            <w:fldChar w:fldCharType="separate"/>
          </w:r>
          <w:r>
            <w:rPr>
              <w:rStyle w:val="26"/>
              <w:color w:val="auto"/>
              <w:lang w:eastAsia="zh-Hans"/>
            </w:rPr>
            <w:t xml:space="preserve">5 </w:t>
          </w:r>
          <w:r>
            <w:rPr>
              <w:rStyle w:val="26"/>
              <w:rFonts w:hint="eastAsia"/>
              <w:color w:val="auto"/>
              <w:lang w:val="en-US" w:eastAsia="zh-CN"/>
            </w:rPr>
            <w:t xml:space="preserve"> </w:t>
          </w:r>
          <w:r>
            <w:rPr>
              <w:rStyle w:val="26"/>
              <w:color w:val="auto"/>
              <w:lang w:eastAsia="zh-Hans"/>
            </w:rPr>
            <w:t>级联架构</w:t>
          </w:r>
          <w:r>
            <w:rPr>
              <w:color w:val="auto"/>
            </w:rPr>
            <w:tab/>
          </w:r>
          <w:r>
            <w:rPr>
              <w:color w:val="auto"/>
            </w:rPr>
            <w:fldChar w:fldCharType="begin"/>
          </w:r>
          <w:r>
            <w:rPr>
              <w:color w:val="auto"/>
            </w:rPr>
            <w:instrText xml:space="preserve"> PAGEREF _Toc190698137 \h </w:instrText>
          </w:r>
          <w:r>
            <w:rPr>
              <w:color w:val="auto"/>
            </w:rPr>
            <w:fldChar w:fldCharType="separate"/>
          </w:r>
          <w:r>
            <w:rPr>
              <w:color w:val="auto"/>
            </w:rPr>
            <w:t>2</w:t>
          </w:r>
          <w:r>
            <w:rPr>
              <w:color w:val="auto"/>
            </w:rPr>
            <w:fldChar w:fldCharType="end"/>
          </w:r>
          <w:r>
            <w:rPr>
              <w:color w:val="auto"/>
            </w:rPr>
            <w:fldChar w:fldCharType="end"/>
          </w:r>
        </w:p>
        <w:p>
          <w:pPr>
            <w:pStyle w:val="17"/>
            <w:ind w:firstLine="420"/>
            <w:rPr>
              <w:rFonts w:asciiTheme="minorHAnsi"/>
              <w:color w:val="auto"/>
            </w:rPr>
          </w:pPr>
          <w:r>
            <w:rPr>
              <w:color w:val="auto"/>
            </w:rPr>
            <w:fldChar w:fldCharType="begin"/>
          </w:r>
          <w:r>
            <w:rPr>
              <w:color w:val="auto"/>
            </w:rPr>
            <w:instrText xml:space="preserve"> HYPERLINK \l "_Toc190698138" </w:instrText>
          </w:r>
          <w:r>
            <w:rPr>
              <w:color w:val="auto"/>
            </w:rPr>
            <w:fldChar w:fldCharType="separate"/>
          </w:r>
          <w:r>
            <w:rPr>
              <w:rStyle w:val="26"/>
              <w:color w:val="auto"/>
              <w:lang w:eastAsia="zh-Hans"/>
              <w14:scene3d>
                <w14:lightRig w14:rig="threePt" w14:dir="t">
                  <w14:rot w14:lat="0" w14:lon="0" w14:rev="0"/>
                </w14:lightRig>
              </w14:scene3d>
            </w:rPr>
            <w:t>5.1</w:t>
          </w:r>
          <w:r>
            <w:rPr>
              <w:rStyle w:val="26"/>
              <w:color w:val="auto"/>
              <w:lang w:eastAsia="zh-Hans"/>
            </w:rPr>
            <w:t xml:space="preserve"> </w:t>
          </w:r>
          <w:r>
            <w:rPr>
              <w:rStyle w:val="26"/>
              <w:rFonts w:hint="eastAsia"/>
              <w:color w:val="auto"/>
              <w:lang w:val="en-US" w:eastAsia="zh-CN"/>
            </w:rPr>
            <w:t xml:space="preserve"> </w:t>
          </w:r>
          <w:r>
            <w:rPr>
              <w:rStyle w:val="26"/>
              <w:color w:val="auto"/>
              <w:lang w:eastAsia="zh-Hans"/>
            </w:rPr>
            <w:t>总体架构</w:t>
          </w:r>
          <w:r>
            <w:rPr>
              <w:color w:val="auto"/>
            </w:rPr>
            <w:tab/>
          </w:r>
          <w:r>
            <w:rPr>
              <w:color w:val="auto"/>
            </w:rPr>
            <w:fldChar w:fldCharType="begin"/>
          </w:r>
          <w:r>
            <w:rPr>
              <w:color w:val="auto"/>
            </w:rPr>
            <w:instrText xml:space="preserve"> PAGEREF _Toc190698138 \h </w:instrText>
          </w:r>
          <w:r>
            <w:rPr>
              <w:color w:val="auto"/>
            </w:rPr>
            <w:fldChar w:fldCharType="separate"/>
          </w:r>
          <w:r>
            <w:rPr>
              <w:color w:val="auto"/>
            </w:rPr>
            <w:t>2</w:t>
          </w:r>
          <w:r>
            <w:rPr>
              <w:color w:val="auto"/>
            </w:rPr>
            <w:fldChar w:fldCharType="end"/>
          </w:r>
          <w:r>
            <w:rPr>
              <w:color w:val="auto"/>
            </w:rPr>
            <w:fldChar w:fldCharType="end"/>
          </w:r>
        </w:p>
        <w:p>
          <w:pPr>
            <w:pStyle w:val="17"/>
            <w:ind w:firstLine="420"/>
            <w:rPr>
              <w:rFonts w:asciiTheme="minorHAnsi"/>
              <w:color w:val="auto"/>
            </w:rPr>
          </w:pPr>
          <w:r>
            <w:rPr>
              <w:color w:val="auto"/>
            </w:rPr>
            <w:fldChar w:fldCharType="begin"/>
          </w:r>
          <w:r>
            <w:rPr>
              <w:color w:val="auto"/>
            </w:rPr>
            <w:instrText xml:space="preserve"> HYPERLINK \l "_Toc190698139" </w:instrText>
          </w:r>
          <w:r>
            <w:rPr>
              <w:color w:val="auto"/>
            </w:rPr>
            <w:fldChar w:fldCharType="separate"/>
          </w:r>
          <w:r>
            <w:rPr>
              <w:rStyle w:val="26"/>
              <w:color w:val="auto"/>
              <w:lang w:eastAsia="zh-Hans"/>
              <w14:scene3d>
                <w14:lightRig w14:rig="threePt" w14:dir="t">
                  <w14:rot w14:lat="0" w14:lon="0" w14:rev="0"/>
                </w14:lightRig>
              </w14:scene3d>
            </w:rPr>
            <w:t>5.2</w:t>
          </w:r>
          <w:r>
            <w:rPr>
              <w:rStyle w:val="26"/>
              <w:color w:val="auto"/>
              <w:lang w:eastAsia="zh-Hans"/>
            </w:rPr>
            <w:t xml:space="preserve"> </w:t>
          </w:r>
          <w:r>
            <w:rPr>
              <w:rStyle w:val="26"/>
              <w:rFonts w:hint="eastAsia"/>
              <w:color w:val="auto"/>
              <w:lang w:val="en-US" w:eastAsia="zh-CN"/>
            </w:rPr>
            <w:t xml:space="preserve"> </w:t>
          </w:r>
          <w:r>
            <w:rPr>
              <w:rStyle w:val="26"/>
              <w:color w:val="auto"/>
              <w:lang w:eastAsia="zh-Hans"/>
            </w:rPr>
            <w:t>技术架构</w:t>
          </w:r>
          <w:r>
            <w:rPr>
              <w:color w:val="auto"/>
            </w:rPr>
            <w:tab/>
          </w:r>
          <w:r>
            <w:rPr>
              <w:color w:val="auto"/>
            </w:rPr>
            <w:fldChar w:fldCharType="begin"/>
          </w:r>
          <w:r>
            <w:rPr>
              <w:color w:val="auto"/>
            </w:rPr>
            <w:instrText xml:space="preserve"> PAGEREF _Toc190698139 \h </w:instrText>
          </w:r>
          <w:r>
            <w:rPr>
              <w:color w:val="auto"/>
            </w:rPr>
            <w:fldChar w:fldCharType="separate"/>
          </w:r>
          <w:r>
            <w:rPr>
              <w:color w:val="auto"/>
            </w:rPr>
            <w:t>3</w:t>
          </w:r>
          <w:r>
            <w:rPr>
              <w:color w:val="auto"/>
            </w:rPr>
            <w:fldChar w:fldCharType="end"/>
          </w:r>
          <w:r>
            <w:rPr>
              <w:color w:val="auto"/>
            </w:rPr>
            <w:fldChar w:fldCharType="end"/>
          </w:r>
        </w:p>
        <w:p>
          <w:pPr>
            <w:pStyle w:val="15"/>
            <w:tabs>
              <w:tab w:val="right" w:leader="dot" w:pos="9344"/>
            </w:tabs>
            <w:ind w:firstLine="420"/>
            <w:rPr>
              <w:rFonts w:asciiTheme="minorHAnsi"/>
              <w:color w:val="auto"/>
            </w:rPr>
          </w:pPr>
          <w:r>
            <w:rPr>
              <w:color w:val="auto"/>
            </w:rPr>
            <w:fldChar w:fldCharType="begin"/>
          </w:r>
          <w:r>
            <w:rPr>
              <w:color w:val="auto"/>
            </w:rPr>
            <w:instrText xml:space="preserve"> HYPERLINK \l "_Toc190698140" </w:instrText>
          </w:r>
          <w:r>
            <w:rPr>
              <w:color w:val="auto"/>
            </w:rPr>
            <w:fldChar w:fldCharType="separate"/>
          </w:r>
          <w:r>
            <w:rPr>
              <w:rStyle w:val="26"/>
              <w:color w:val="auto"/>
            </w:rPr>
            <w:t xml:space="preserve">6 </w:t>
          </w:r>
          <w:r>
            <w:rPr>
              <w:rStyle w:val="26"/>
              <w:rFonts w:hint="eastAsia"/>
              <w:color w:val="auto"/>
              <w:lang w:val="en-US" w:eastAsia="zh-CN"/>
            </w:rPr>
            <w:t xml:space="preserve"> </w:t>
          </w:r>
          <w:r>
            <w:rPr>
              <w:rStyle w:val="26"/>
              <w:color w:val="auto"/>
            </w:rPr>
            <w:t>职责分工</w:t>
          </w:r>
          <w:r>
            <w:rPr>
              <w:color w:val="auto"/>
            </w:rPr>
            <w:tab/>
          </w:r>
          <w:r>
            <w:rPr>
              <w:color w:val="auto"/>
            </w:rPr>
            <w:fldChar w:fldCharType="begin"/>
          </w:r>
          <w:r>
            <w:rPr>
              <w:color w:val="auto"/>
            </w:rPr>
            <w:instrText xml:space="preserve"> PAGEREF _Toc190698140 \h </w:instrText>
          </w:r>
          <w:r>
            <w:rPr>
              <w:color w:val="auto"/>
            </w:rPr>
            <w:fldChar w:fldCharType="separate"/>
          </w:r>
          <w:r>
            <w:rPr>
              <w:color w:val="auto"/>
            </w:rPr>
            <w:t>4</w:t>
          </w:r>
          <w:r>
            <w:rPr>
              <w:color w:val="auto"/>
            </w:rPr>
            <w:fldChar w:fldCharType="end"/>
          </w:r>
          <w:r>
            <w:rPr>
              <w:color w:val="auto"/>
            </w:rPr>
            <w:fldChar w:fldCharType="end"/>
          </w:r>
        </w:p>
        <w:p>
          <w:pPr>
            <w:pStyle w:val="17"/>
            <w:ind w:firstLine="420"/>
            <w:rPr>
              <w:rFonts w:asciiTheme="minorHAnsi"/>
              <w:color w:val="auto"/>
            </w:rPr>
          </w:pPr>
          <w:r>
            <w:rPr>
              <w:color w:val="auto"/>
            </w:rPr>
            <w:fldChar w:fldCharType="begin"/>
          </w:r>
          <w:r>
            <w:rPr>
              <w:color w:val="auto"/>
            </w:rPr>
            <w:instrText xml:space="preserve"> HYPERLINK \l "_Toc190698141" </w:instrText>
          </w:r>
          <w:r>
            <w:rPr>
              <w:color w:val="auto"/>
            </w:rPr>
            <w:fldChar w:fldCharType="separate"/>
          </w:r>
          <w:r>
            <w:rPr>
              <w:rStyle w:val="26"/>
              <w:color w:val="auto"/>
              <w14:scene3d>
                <w14:lightRig w14:rig="threePt" w14:dir="t">
                  <w14:rot w14:lat="0" w14:lon="0" w14:rev="0"/>
                </w14:lightRig>
              </w14:scene3d>
            </w:rPr>
            <w:t>6.1</w:t>
          </w:r>
          <w:r>
            <w:rPr>
              <w:rStyle w:val="26"/>
              <w:color w:val="auto"/>
            </w:rPr>
            <w:t xml:space="preserve"> </w:t>
          </w:r>
          <w:r>
            <w:rPr>
              <w:rStyle w:val="26"/>
              <w:rFonts w:hint="eastAsia"/>
              <w:color w:val="auto"/>
              <w:lang w:val="en-US" w:eastAsia="zh-CN"/>
            </w:rPr>
            <w:t xml:space="preserve"> </w:t>
          </w:r>
          <w:r>
            <w:rPr>
              <w:rStyle w:val="26"/>
              <w:color w:val="auto"/>
            </w:rPr>
            <w:t>市级政务数据运行管理机构</w:t>
          </w:r>
          <w:r>
            <w:rPr>
              <w:color w:val="auto"/>
            </w:rPr>
            <w:tab/>
          </w:r>
          <w:r>
            <w:rPr>
              <w:color w:val="auto"/>
            </w:rPr>
            <w:fldChar w:fldCharType="begin"/>
          </w:r>
          <w:r>
            <w:rPr>
              <w:color w:val="auto"/>
            </w:rPr>
            <w:instrText xml:space="preserve"> PAGEREF _Toc190698141 \h </w:instrText>
          </w:r>
          <w:r>
            <w:rPr>
              <w:color w:val="auto"/>
            </w:rPr>
            <w:fldChar w:fldCharType="separate"/>
          </w:r>
          <w:r>
            <w:rPr>
              <w:color w:val="auto"/>
            </w:rPr>
            <w:t>4</w:t>
          </w:r>
          <w:r>
            <w:rPr>
              <w:color w:val="auto"/>
            </w:rPr>
            <w:fldChar w:fldCharType="end"/>
          </w:r>
          <w:r>
            <w:rPr>
              <w:color w:val="auto"/>
            </w:rPr>
            <w:fldChar w:fldCharType="end"/>
          </w:r>
        </w:p>
        <w:p>
          <w:pPr>
            <w:pStyle w:val="17"/>
            <w:ind w:firstLine="420"/>
            <w:rPr>
              <w:rFonts w:asciiTheme="minorHAnsi"/>
              <w:color w:val="auto"/>
            </w:rPr>
          </w:pPr>
          <w:r>
            <w:rPr>
              <w:color w:val="auto"/>
            </w:rPr>
            <w:fldChar w:fldCharType="begin"/>
          </w:r>
          <w:r>
            <w:rPr>
              <w:color w:val="auto"/>
            </w:rPr>
            <w:instrText xml:space="preserve"> HYPERLINK \l "_Toc190698142" </w:instrText>
          </w:r>
          <w:r>
            <w:rPr>
              <w:color w:val="auto"/>
            </w:rPr>
            <w:fldChar w:fldCharType="separate"/>
          </w:r>
          <w:r>
            <w:rPr>
              <w:rStyle w:val="26"/>
              <w:color w:val="auto"/>
              <w14:scene3d>
                <w14:lightRig w14:rig="threePt" w14:dir="t">
                  <w14:rot w14:lat="0" w14:lon="0" w14:rev="0"/>
                </w14:lightRig>
              </w14:scene3d>
            </w:rPr>
            <w:t>6.2</w:t>
          </w:r>
          <w:r>
            <w:rPr>
              <w:rStyle w:val="26"/>
              <w:color w:val="auto"/>
            </w:rPr>
            <w:t xml:space="preserve"> </w:t>
          </w:r>
          <w:r>
            <w:rPr>
              <w:rStyle w:val="26"/>
              <w:rFonts w:hint="eastAsia"/>
              <w:color w:val="auto"/>
              <w:lang w:val="en-US" w:eastAsia="zh-CN"/>
            </w:rPr>
            <w:t xml:space="preserve"> </w:t>
          </w:r>
          <w:r>
            <w:rPr>
              <w:rStyle w:val="26"/>
              <w:color w:val="auto"/>
            </w:rPr>
            <w:t>区县政务数据运行管理机构</w:t>
          </w:r>
          <w:r>
            <w:rPr>
              <w:color w:val="auto"/>
            </w:rPr>
            <w:tab/>
          </w:r>
          <w:r>
            <w:rPr>
              <w:color w:val="auto"/>
            </w:rPr>
            <w:fldChar w:fldCharType="begin"/>
          </w:r>
          <w:r>
            <w:rPr>
              <w:color w:val="auto"/>
            </w:rPr>
            <w:instrText xml:space="preserve"> PAGEREF _Toc190698142 \h </w:instrText>
          </w:r>
          <w:r>
            <w:rPr>
              <w:color w:val="auto"/>
            </w:rPr>
            <w:fldChar w:fldCharType="separate"/>
          </w:r>
          <w:r>
            <w:rPr>
              <w:color w:val="auto"/>
            </w:rPr>
            <w:t>5</w:t>
          </w:r>
          <w:r>
            <w:rPr>
              <w:color w:val="auto"/>
            </w:rPr>
            <w:fldChar w:fldCharType="end"/>
          </w:r>
          <w:r>
            <w:rPr>
              <w:color w:val="auto"/>
            </w:rPr>
            <w:fldChar w:fldCharType="end"/>
          </w:r>
        </w:p>
        <w:p>
          <w:pPr>
            <w:pStyle w:val="17"/>
            <w:ind w:firstLine="420"/>
            <w:rPr>
              <w:rFonts w:asciiTheme="minorHAnsi"/>
              <w:color w:val="auto"/>
            </w:rPr>
          </w:pPr>
          <w:r>
            <w:rPr>
              <w:color w:val="auto"/>
            </w:rPr>
            <w:fldChar w:fldCharType="begin"/>
          </w:r>
          <w:r>
            <w:rPr>
              <w:color w:val="auto"/>
            </w:rPr>
            <w:instrText xml:space="preserve"> HYPERLINK \l "_Toc190698143" </w:instrText>
          </w:r>
          <w:r>
            <w:rPr>
              <w:color w:val="auto"/>
            </w:rPr>
            <w:fldChar w:fldCharType="separate"/>
          </w:r>
          <w:r>
            <w:rPr>
              <w:rStyle w:val="26"/>
              <w:color w:val="auto"/>
              <w14:scene3d>
                <w14:lightRig w14:rig="threePt" w14:dir="t">
                  <w14:rot w14:lat="0" w14:lon="0" w14:rev="0"/>
                </w14:lightRig>
              </w14:scene3d>
            </w:rPr>
            <w:t>6.3</w:t>
          </w:r>
          <w:r>
            <w:rPr>
              <w:rStyle w:val="26"/>
              <w:color w:val="auto"/>
            </w:rPr>
            <w:t xml:space="preserve"> </w:t>
          </w:r>
          <w:r>
            <w:rPr>
              <w:rStyle w:val="26"/>
              <w:rFonts w:hint="eastAsia"/>
              <w:color w:val="auto"/>
              <w:lang w:val="en-US" w:eastAsia="zh-CN"/>
            </w:rPr>
            <w:t xml:space="preserve"> </w:t>
          </w:r>
          <w:r>
            <w:rPr>
              <w:rStyle w:val="26"/>
              <w:color w:val="auto"/>
            </w:rPr>
            <w:t>政务管理和服务机构</w:t>
          </w:r>
          <w:r>
            <w:rPr>
              <w:color w:val="auto"/>
            </w:rPr>
            <w:tab/>
          </w:r>
          <w:r>
            <w:rPr>
              <w:color w:val="auto"/>
            </w:rPr>
            <w:fldChar w:fldCharType="begin"/>
          </w:r>
          <w:r>
            <w:rPr>
              <w:color w:val="auto"/>
            </w:rPr>
            <w:instrText xml:space="preserve"> PAGEREF _Toc190698143 \h </w:instrText>
          </w:r>
          <w:r>
            <w:rPr>
              <w:color w:val="auto"/>
            </w:rPr>
            <w:fldChar w:fldCharType="separate"/>
          </w:r>
          <w:r>
            <w:rPr>
              <w:color w:val="auto"/>
            </w:rPr>
            <w:t>5</w:t>
          </w:r>
          <w:r>
            <w:rPr>
              <w:color w:val="auto"/>
            </w:rPr>
            <w:fldChar w:fldCharType="end"/>
          </w:r>
          <w:r>
            <w:rPr>
              <w:color w:val="auto"/>
            </w:rPr>
            <w:fldChar w:fldCharType="end"/>
          </w:r>
        </w:p>
        <w:p>
          <w:pPr>
            <w:pStyle w:val="15"/>
            <w:tabs>
              <w:tab w:val="right" w:leader="dot" w:pos="9344"/>
            </w:tabs>
            <w:ind w:firstLine="420"/>
            <w:rPr>
              <w:rFonts w:asciiTheme="minorHAnsi"/>
              <w:color w:val="auto"/>
            </w:rPr>
          </w:pPr>
          <w:r>
            <w:rPr>
              <w:color w:val="auto"/>
            </w:rPr>
            <w:fldChar w:fldCharType="begin"/>
          </w:r>
          <w:r>
            <w:rPr>
              <w:color w:val="auto"/>
            </w:rPr>
            <w:instrText xml:space="preserve"> HYPERLINK \l "_Toc190698144" </w:instrText>
          </w:r>
          <w:r>
            <w:rPr>
              <w:color w:val="auto"/>
            </w:rPr>
            <w:fldChar w:fldCharType="separate"/>
          </w:r>
          <w:r>
            <w:rPr>
              <w:rStyle w:val="26"/>
              <w:color w:val="auto"/>
            </w:rPr>
            <w:t xml:space="preserve">7 </w:t>
          </w:r>
          <w:r>
            <w:rPr>
              <w:rStyle w:val="26"/>
              <w:rFonts w:hint="eastAsia"/>
              <w:color w:val="auto"/>
              <w:lang w:val="en-US" w:eastAsia="zh-CN"/>
            </w:rPr>
            <w:t xml:space="preserve"> </w:t>
          </w:r>
          <w:r>
            <w:rPr>
              <w:rStyle w:val="26"/>
              <w:color w:val="auto"/>
            </w:rPr>
            <w:t>区县政务数据资源级联流程</w:t>
          </w:r>
          <w:r>
            <w:rPr>
              <w:color w:val="auto"/>
            </w:rPr>
            <w:tab/>
          </w:r>
          <w:r>
            <w:rPr>
              <w:color w:val="auto"/>
            </w:rPr>
            <w:fldChar w:fldCharType="begin"/>
          </w:r>
          <w:r>
            <w:rPr>
              <w:color w:val="auto"/>
            </w:rPr>
            <w:instrText xml:space="preserve"> PAGEREF _Toc190698144 \h </w:instrText>
          </w:r>
          <w:r>
            <w:rPr>
              <w:color w:val="auto"/>
            </w:rPr>
            <w:fldChar w:fldCharType="separate"/>
          </w:r>
          <w:r>
            <w:rPr>
              <w:color w:val="auto"/>
            </w:rPr>
            <w:t>5</w:t>
          </w:r>
          <w:r>
            <w:rPr>
              <w:color w:val="auto"/>
            </w:rPr>
            <w:fldChar w:fldCharType="end"/>
          </w:r>
          <w:r>
            <w:rPr>
              <w:color w:val="auto"/>
            </w:rPr>
            <w:fldChar w:fldCharType="end"/>
          </w:r>
        </w:p>
        <w:p>
          <w:pPr>
            <w:pStyle w:val="17"/>
            <w:ind w:firstLine="420"/>
            <w:rPr>
              <w:rFonts w:asciiTheme="minorHAnsi"/>
              <w:color w:val="auto"/>
            </w:rPr>
          </w:pPr>
          <w:r>
            <w:rPr>
              <w:color w:val="auto"/>
            </w:rPr>
            <w:fldChar w:fldCharType="begin"/>
          </w:r>
          <w:r>
            <w:rPr>
              <w:color w:val="auto"/>
            </w:rPr>
            <w:instrText xml:space="preserve"> HYPERLINK \l "_Toc190698145" </w:instrText>
          </w:r>
          <w:r>
            <w:rPr>
              <w:color w:val="auto"/>
            </w:rPr>
            <w:fldChar w:fldCharType="separate"/>
          </w:r>
          <w:r>
            <w:rPr>
              <w:rStyle w:val="26"/>
              <w:color w:val="auto"/>
              <w14:scene3d>
                <w14:lightRig w14:rig="threePt" w14:dir="t">
                  <w14:rot w14:lat="0" w14:lon="0" w14:rev="0"/>
                </w14:lightRig>
              </w14:scene3d>
            </w:rPr>
            <w:t>7.1</w:t>
          </w:r>
          <w:r>
            <w:rPr>
              <w:rStyle w:val="26"/>
              <w:color w:val="auto"/>
            </w:rPr>
            <w:t xml:space="preserve"> </w:t>
          </w:r>
          <w:r>
            <w:rPr>
              <w:rStyle w:val="26"/>
              <w:rFonts w:hint="eastAsia"/>
              <w:color w:val="auto"/>
              <w:lang w:val="en-US" w:eastAsia="zh-CN"/>
            </w:rPr>
            <w:t xml:space="preserve"> </w:t>
          </w:r>
          <w:r>
            <w:rPr>
              <w:rStyle w:val="26"/>
              <w:color w:val="auto"/>
            </w:rPr>
            <w:t>目录级联</w:t>
          </w:r>
          <w:r>
            <w:rPr>
              <w:color w:val="auto"/>
            </w:rPr>
            <w:tab/>
          </w:r>
          <w:r>
            <w:rPr>
              <w:color w:val="auto"/>
            </w:rPr>
            <w:fldChar w:fldCharType="begin"/>
          </w:r>
          <w:r>
            <w:rPr>
              <w:color w:val="auto"/>
            </w:rPr>
            <w:instrText xml:space="preserve"> PAGEREF _Toc190698145 \h </w:instrText>
          </w:r>
          <w:r>
            <w:rPr>
              <w:color w:val="auto"/>
            </w:rPr>
            <w:fldChar w:fldCharType="separate"/>
          </w:r>
          <w:r>
            <w:rPr>
              <w:color w:val="auto"/>
            </w:rPr>
            <w:t>5</w:t>
          </w:r>
          <w:r>
            <w:rPr>
              <w:color w:val="auto"/>
            </w:rPr>
            <w:fldChar w:fldCharType="end"/>
          </w:r>
          <w:r>
            <w:rPr>
              <w:color w:val="auto"/>
            </w:rPr>
            <w:fldChar w:fldCharType="end"/>
          </w:r>
        </w:p>
        <w:p>
          <w:pPr>
            <w:pStyle w:val="17"/>
            <w:ind w:firstLine="420"/>
            <w:rPr>
              <w:rFonts w:asciiTheme="minorHAnsi"/>
              <w:color w:val="auto"/>
            </w:rPr>
          </w:pPr>
          <w:r>
            <w:rPr>
              <w:color w:val="auto"/>
            </w:rPr>
            <w:fldChar w:fldCharType="begin"/>
          </w:r>
          <w:r>
            <w:rPr>
              <w:color w:val="auto"/>
            </w:rPr>
            <w:instrText xml:space="preserve"> HYPERLINK \l "_Toc190698146" </w:instrText>
          </w:r>
          <w:r>
            <w:rPr>
              <w:color w:val="auto"/>
            </w:rPr>
            <w:fldChar w:fldCharType="separate"/>
          </w:r>
          <w:r>
            <w:rPr>
              <w:rStyle w:val="26"/>
              <w:color w:val="auto"/>
              <w14:scene3d>
                <w14:lightRig w14:rig="threePt" w14:dir="t">
                  <w14:rot w14:lat="0" w14:lon="0" w14:rev="0"/>
                </w14:lightRig>
              </w14:scene3d>
            </w:rPr>
            <w:t>7.2</w:t>
          </w:r>
          <w:r>
            <w:rPr>
              <w:rStyle w:val="26"/>
              <w:color w:val="auto"/>
            </w:rPr>
            <w:t xml:space="preserve"> </w:t>
          </w:r>
          <w:r>
            <w:rPr>
              <w:rStyle w:val="26"/>
              <w:rFonts w:hint="eastAsia"/>
              <w:color w:val="auto"/>
              <w:lang w:val="en-US" w:eastAsia="zh-CN"/>
            </w:rPr>
            <w:t xml:space="preserve"> </w:t>
          </w:r>
          <w:r>
            <w:rPr>
              <w:rStyle w:val="26"/>
              <w:color w:val="auto"/>
            </w:rPr>
            <w:t>资源级联</w:t>
          </w:r>
          <w:r>
            <w:rPr>
              <w:color w:val="auto"/>
            </w:rPr>
            <w:tab/>
          </w:r>
          <w:r>
            <w:rPr>
              <w:color w:val="auto"/>
            </w:rPr>
            <w:fldChar w:fldCharType="begin"/>
          </w:r>
          <w:r>
            <w:rPr>
              <w:color w:val="auto"/>
            </w:rPr>
            <w:instrText xml:space="preserve"> PAGEREF _Toc190698146 \h </w:instrText>
          </w:r>
          <w:r>
            <w:rPr>
              <w:color w:val="auto"/>
            </w:rPr>
            <w:fldChar w:fldCharType="separate"/>
          </w:r>
          <w:r>
            <w:rPr>
              <w:color w:val="auto"/>
            </w:rPr>
            <w:t>5</w:t>
          </w:r>
          <w:r>
            <w:rPr>
              <w:color w:val="auto"/>
            </w:rPr>
            <w:fldChar w:fldCharType="end"/>
          </w:r>
          <w:r>
            <w:rPr>
              <w:color w:val="auto"/>
            </w:rPr>
            <w:fldChar w:fldCharType="end"/>
          </w:r>
        </w:p>
        <w:p>
          <w:pPr>
            <w:pStyle w:val="15"/>
            <w:tabs>
              <w:tab w:val="right" w:leader="dot" w:pos="9344"/>
            </w:tabs>
            <w:ind w:firstLine="420"/>
            <w:rPr>
              <w:rFonts w:asciiTheme="minorHAnsi"/>
              <w:color w:val="auto"/>
            </w:rPr>
          </w:pPr>
          <w:r>
            <w:rPr>
              <w:color w:val="auto"/>
            </w:rPr>
            <w:fldChar w:fldCharType="begin"/>
          </w:r>
          <w:r>
            <w:rPr>
              <w:color w:val="auto"/>
            </w:rPr>
            <w:instrText xml:space="preserve"> HYPERLINK \l "_Toc190698149" </w:instrText>
          </w:r>
          <w:r>
            <w:rPr>
              <w:color w:val="auto"/>
            </w:rPr>
            <w:fldChar w:fldCharType="separate"/>
          </w:r>
          <w:r>
            <w:rPr>
              <w:rStyle w:val="26"/>
              <w:color w:val="auto"/>
            </w:rPr>
            <w:t xml:space="preserve">8 </w:t>
          </w:r>
          <w:r>
            <w:rPr>
              <w:rStyle w:val="26"/>
              <w:rFonts w:hint="eastAsia"/>
              <w:color w:val="auto"/>
              <w:lang w:val="en-US" w:eastAsia="zh-CN"/>
            </w:rPr>
            <w:t xml:space="preserve"> </w:t>
          </w:r>
          <w:r>
            <w:rPr>
              <w:rStyle w:val="26"/>
              <w:color w:val="auto"/>
            </w:rPr>
            <w:t>市级政务数据资源级联流程</w:t>
          </w:r>
          <w:r>
            <w:rPr>
              <w:color w:val="auto"/>
            </w:rPr>
            <w:tab/>
          </w:r>
          <w:r>
            <w:rPr>
              <w:color w:val="auto"/>
            </w:rPr>
            <w:fldChar w:fldCharType="begin"/>
          </w:r>
          <w:r>
            <w:rPr>
              <w:color w:val="auto"/>
            </w:rPr>
            <w:instrText xml:space="preserve"> PAGEREF _Toc190698149 \h </w:instrText>
          </w:r>
          <w:r>
            <w:rPr>
              <w:color w:val="auto"/>
            </w:rPr>
            <w:fldChar w:fldCharType="separate"/>
          </w:r>
          <w:r>
            <w:rPr>
              <w:color w:val="auto"/>
            </w:rPr>
            <w:t>6</w:t>
          </w:r>
          <w:r>
            <w:rPr>
              <w:color w:val="auto"/>
            </w:rPr>
            <w:fldChar w:fldCharType="end"/>
          </w:r>
          <w:r>
            <w:rPr>
              <w:color w:val="auto"/>
            </w:rPr>
            <w:fldChar w:fldCharType="end"/>
          </w:r>
        </w:p>
        <w:p>
          <w:pPr>
            <w:pStyle w:val="17"/>
            <w:ind w:firstLine="420"/>
            <w:rPr>
              <w:rFonts w:asciiTheme="minorHAnsi"/>
              <w:color w:val="auto"/>
            </w:rPr>
          </w:pPr>
          <w:r>
            <w:rPr>
              <w:color w:val="auto"/>
            </w:rPr>
            <w:fldChar w:fldCharType="begin"/>
          </w:r>
          <w:r>
            <w:rPr>
              <w:color w:val="auto"/>
            </w:rPr>
            <w:instrText xml:space="preserve"> HYPERLINK \l "_Toc190698150" </w:instrText>
          </w:r>
          <w:r>
            <w:rPr>
              <w:color w:val="auto"/>
            </w:rPr>
            <w:fldChar w:fldCharType="separate"/>
          </w:r>
          <w:r>
            <w:rPr>
              <w:rStyle w:val="26"/>
              <w:color w:val="auto"/>
              <w14:scene3d>
                <w14:lightRig w14:rig="threePt" w14:dir="t">
                  <w14:rot w14:lat="0" w14:lon="0" w14:rev="0"/>
                </w14:lightRig>
              </w14:scene3d>
            </w:rPr>
            <w:t>8.1</w:t>
          </w:r>
          <w:r>
            <w:rPr>
              <w:rStyle w:val="26"/>
              <w:color w:val="auto"/>
            </w:rPr>
            <w:t xml:space="preserve"> </w:t>
          </w:r>
          <w:r>
            <w:rPr>
              <w:rStyle w:val="26"/>
              <w:rFonts w:hint="eastAsia"/>
              <w:color w:val="auto"/>
              <w:lang w:val="en-US" w:eastAsia="zh-CN"/>
            </w:rPr>
            <w:t xml:space="preserve"> </w:t>
          </w:r>
          <w:r>
            <w:rPr>
              <w:rStyle w:val="26"/>
              <w:color w:val="auto"/>
            </w:rPr>
            <w:t>目录级联</w:t>
          </w:r>
          <w:r>
            <w:rPr>
              <w:color w:val="auto"/>
            </w:rPr>
            <w:tab/>
          </w:r>
          <w:r>
            <w:rPr>
              <w:color w:val="auto"/>
            </w:rPr>
            <w:fldChar w:fldCharType="begin"/>
          </w:r>
          <w:r>
            <w:rPr>
              <w:color w:val="auto"/>
            </w:rPr>
            <w:instrText xml:space="preserve"> PAGEREF _Toc190698150 \h </w:instrText>
          </w:r>
          <w:r>
            <w:rPr>
              <w:color w:val="auto"/>
            </w:rPr>
            <w:fldChar w:fldCharType="separate"/>
          </w:r>
          <w:r>
            <w:rPr>
              <w:color w:val="auto"/>
            </w:rPr>
            <w:t>6</w:t>
          </w:r>
          <w:r>
            <w:rPr>
              <w:color w:val="auto"/>
            </w:rPr>
            <w:fldChar w:fldCharType="end"/>
          </w:r>
          <w:r>
            <w:rPr>
              <w:color w:val="auto"/>
            </w:rPr>
            <w:fldChar w:fldCharType="end"/>
          </w:r>
        </w:p>
        <w:p>
          <w:pPr>
            <w:pStyle w:val="17"/>
            <w:ind w:firstLine="420"/>
            <w:rPr>
              <w:rFonts w:asciiTheme="minorHAnsi"/>
              <w:color w:val="auto"/>
            </w:rPr>
          </w:pPr>
          <w:r>
            <w:rPr>
              <w:color w:val="auto"/>
            </w:rPr>
            <w:fldChar w:fldCharType="begin"/>
          </w:r>
          <w:r>
            <w:rPr>
              <w:color w:val="auto"/>
            </w:rPr>
            <w:instrText xml:space="preserve"> HYPERLINK \l "_Toc190698151" </w:instrText>
          </w:r>
          <w:r>
            <w:rPr>
              <w:color w:val="auto"/>
            </w:rPr>
            <w:fldChar w:fldCharType="separate"/>
          </w:r>
          <w:r>
            <w:rPr>
              <w:rStyle w:val="26"/>
              <w:color w:val="auto"/>
              <w14:scene3d>
                <w14:lightRig w14:rig="threePt" w14:dir="t">
                  <w14:rot w14:lat="0" w14:lon="0" w14:rev="0"/>
                </w14:lightRig>
              </w14:scene3d>
            </w:rPr>
            <w:t>8.2</w:t>
          </w:r>
          <w:r>
            <w:rPr>
              <w:rStyle w:val="26"/>
              <w:color w:val="auto"/>
            </w:rPr>
            <w:t xml:space="preserve"> </w:t>
          </w:r>
          <w:r>
            <w:rPr>
              <w:rStyle w:val="26"/>
              <w:rFonts w:hint="eastAsia"/>
              <w:color w:val="auto"/>
              <w:lang w:val="en-US" w:eastAsia="zh-CN"/>
            </w:rPr>
            <w:t xml:space="preserve"> </w:t>
          </w:r>
          <w:r>
            <w:rPr>
              <w:rStyle w:val="26"/>
              <w:color w:val="auto"/>
            </w:rPr>
            <w:t>资源级联</w:t>
          </w:r>
          <w:r>
            <w:rPr>
              <w:color w:val="auto"/>
            </w:rPr>
            <w:tab/>
          </w:r>
          <w:r>
            <w:rPr>
              <w:color w:val="auto"/>
            </w:rPr>
            <w:fldChar w:fldCharType="begin"/>
          </w:r>
          <w:r>
            <w:rPr>
              <w:color w:val="auto"/>
            </w:rPr>
            <w:instrText xml:space="preserve"> PAGEREF _Toc190698151 \h </w:instrText>
          </w:r>
          <w:r>
            <w:rPr>
              <w:color w:val="auto"/>
            </w:rPr>
            <w:fldChar w:fldCharType="separate"/>
          </w:r>
          <w:r>
            <w:rPr>
              <w:color w:val="auto"/>
            </w:rPr>
            <w:t>6</w:t>
          </w:r>
          <w:r>
            <w:rPr>
              <w:color w:val="auto"/>
            </w:rPr>
            <w:fldChar w:fldCharType="end"/>
          </w:r>
          <w:r>
            <w:rPr>
              <w:color w:val="auto"/>
            </w:rPr>
            <w:fldChar w:fldCharType="end"/>
          </w:r>
        </w:p>
        <w:p>
          <w:pPr>
            <w:pStyle w:val="15"/>
            <w:tabs>
              <w:tab w:val="right" w:leader="dot" w:pos="9344"/>
            </w:tabs>
            <w:ind w:firstLine="420"/>
            <w:rPr>
              <w:rFonts w:asciiTheme="minorHAnsi"/>
              <w:color w:val="auto"/>
            </w:rPr>
          </w:pPr>
          <w:r>
            <w:rPr>
              <w:color w:val="auto"/>
            </w:rPr>
            <w:fldChar w:fldCharType="begin"/>
          </w:r>
          <w:r>
            <w:rPr>
              <w:color w:val="auto"/>
            </w:rPr>
            <w:instrText xml:space="preserve"> HYPERLINK \l "_Toc190698154" </w:instrText>
          </w:r>
          <w:r>
            <w:rPr>
              <w:color w:val="auto"/>
            </w:rPr>
            <w:fldChar w:fldCharType="separate"/>
          </w:r>
          <w:r>
            <w:rPr>
              <w:rStyle w:val="26"/>
              <w:color w:val="auto"/>
            </w:rPr>
            <w:t xml:space="preserve">9 </w:t>
          </w:r>
          <w:r>
            <w:rPr>
              <w:rStyle w:val="26"/>
              <w:rFonts w:hint="eastAsia"/>
              <w:color w:val="auto"/>
              <w:lang w:val="en-US" w:eastAsia="zh-CN"/>
            </w:rPr>
            <w:t xml:space="preserve"> 政务数据资源</w:t>
          </w:r>
          <w:r>
            <w:rPr>
              <w:rStyle w:val="26"/>
              <w:color w:val="auto"/>
            </w:rPr>
            <w:t>共享交换流程</w:t>
          </w:r>
          <w:r>
            <w:rPr>
              <w:color w:val="auto"/>
            </w:rPr>
            <w:tab/>
          </w:r>
          <w:r>
            <w:rPr>
              <w:color w:val="auto"/>
            </w:rPr>
            <w:fldChar w:fldCharType="begin"/>
          </w:r>
          <w:r>
            <w:rPr>
              <w:color w:val="auto"/>
            </w:rPr>
            <w:instrText xml:space="preserve"> PAGEREF _Toc190698154 \h </w:instrText>
          </w:r>
          <w:r>
            <w:rPr>
              <w:color w:val="auto"/>
            </w:rPr>
            <w:fldChar w:fldCharType="separate"/>
          </w:r>
          <w:r>
            <w:rPr>
              <w:color w:val="auto"/>
            </w:rPr>
            <w:t>6</w:t>
          </w:r>
          <w:r>
            <w:rPr>
              <w:color w:val="auto"/>
            </w:rPr>
            <w:fldChar w:fldCharType="end"/>
          </w:r>
          <w:r>
            <w:rPr>
              <w:color w:val="auto"/>
            </w:rPr>
            <w:fldChar w:fldCharType="end"/>
          </w:r>
        </w:p>
        <w:p>
          <w:pPr>
            <w:pStyle w:val="17"/>
            <w:ind w:firstLine="420"/>
            <w:rPr>
              <w:rFonts w:asciiTheme="minorHAnsi"/>
              <w:color w:val="auto"/>
            </w:rPr>
          </w:pPr>
          <w:r>
            <w:rPr>
              <w:color w:val="auto"/>
            </w:rPr>
            <w:fldChar w:fldCharType="begin"/>
          </w:r>
          <w:r>
            <w:rPr>
              <w:color w:val="auto"/>
            </w:rPr>
            <w:instrText xml:space="preserve"> HYPERLINK \l "_Toc190698155" </w:instrText>
          </w:r>
          <w:r>
            <w:rPr>
              <w:color w:val="auto"/>
            </w:rPr>
            <w:fldChar w:fldCharType="separate"/>
          </w:r>
          <w:r>
            <w:rPr>
              <w:rStyle w:val="26"/>
              <w:color w:val="auto"/>
              <w14:scene3d>
                <w14:lightRig w14:rig="threePt" w14:dir="t">
                  <w14:rot w14:lat="0" w14:lon="0" w14:rev="0"/>
                </w14:lightRig>
              </w14:scene3d>
            </w:rPr>
            <w:t>9.1</w:t>
          </w:r>
          <w:r>
            <w:rPr>
              <w:rStyle w:val="26"/>
              <w:color w:val="auto"/>
            </w:rPr>
            <w:t xml:space="preserve"> </w:t>
          </w:r>
          <w:r>
            <w:rPr>
              <w:rStyle w:val="26"/>
              <w:rFonts w:hint="eastAsia"/>
              <w:color w:val="auto"/>
              <w:lang w:val="en-US" w:eastAsia="zh-CN"/>
            </w:rPr>
            <w:t xml:space="preserve"> </w:t>
          </w:r>
          <w:r>
            <w:rPr>
              <w:rStyle w:val="26"/>
              <w:color w:val="auto"/>
            </w:rPr>
            <w:t>跨部门共享交换</w:t>
          </w:r>
          <w:r>
            <w:rPr>
              <w:color w:val="auto"/>
            </w:rPr>
            <w:tab/>
          </w:r>
          <w:r>
            <w:rPr>
              <w:color w:val="auto"/>
            </w:rPr>
            <w:fldChar w:fldCharType="begin"/>
          </w:r>
          <w:r>
            <w:rPr>
              <w:color w:val="auto"/>
            </w:rPr>
            <w:instrText xml:space="preserve"> PAGEREF _Toc190698155 \h </w:instrText>
          </w:r>
          <w:r>
            <w:rPr>
              <w:color w:val="auto"/>
            </w:rPr>
            <w:fldChar w:fldCharType="separate"/>
          </w:r>
          <w:r>
            <w:rPr>
              <w:color w:val="auto"/>
            </w:rPr>
            <w:t>6</w:t>
          </w:r>
          <w:r>
            <w:rPr>
              <w:color w:val="auto"/>
            </w:rPr>
            <w:fldChar w:fldCharType="end"/>
          </w:r>
          <w:r>
            <w:rPr>
              <w:color w:val="auto"/>
            </w:rPr>
            <w:fldChar w:fldCharType="end"/>
          </w:r>
        </w:p>
        <w:p>
          <w:pPr>
            <w:pStyle w:val="17"/>
            <w:ind w:firstLine="420"/>
            <w:rPr>
              <w:rFonts w:asciiTheme="minorHAnsi"/>
              <w:color w:val="auto"/>
            </w:rPr>
          </w:pPr>
          <w:r>
            <w:rPr>
              <w:color w:val="auto"/>
            </w:rPr>
            <w:fldChar w:fldCharType="begin"/>
          </w:r>
          <w:r>
            <w:rPr>
              <w:color w:val="auto"/>
            </w:rPr>
            <w:instrText xml:space="preserve"> HYPERLINK \l "_Toc190698156" </w:instrText>
          </w:r>
          <w:r>
            <w:rPr>
              <w:color w:val="auto"/>
            </w:rPr>
            <w:fldChar w:fldCharType="separate"/>
          </w:r>
          <w:r>
            <w:rPr>
              <w:rStyle w:val="26"/>
              <w:color w:val="auto"/>
              <w14:scene3d>
                <w14:lightRig w14:rig="threePt" w14:dir="t">
                  <w14:rot w14:lat="0" w14:lon="0" w14:rev="0"/>
                </w14:lightRig>
              </w14:scene3d>
            </w:rPr>
            <w:t>9.2</w:t>
          </w:r>
          <w:r>
            <w:rPr>
              <w:rStyle w:val="26"/>
              <w:color w:val="auto"/>
            </w:rPr>
            <w:t xml:space="preserve"> </w:t>
          </w:r>
          <w:r>
            <w:rPr>
              <w:rStyle w:val="26"/>
              <w:rFonts w:hint="eastAsia"/>
              <w:color w:val="auto"/>
              <w:lang w:val="en-US" w:eastAsia="zh-CN"/>
            </w:rPr>
            <w:t xml:space="preserve"> </w:t>
          </w:r>
          <w:r>
            <w:rPr>
              <w:rStyle w:val="26"/>
              <w:color w:val="auto"/>
            </w:rPr>
            <w:t>跨层级共享交换</w:t>
          </w:r>
          <w:r>
            <w:rPr>
              <w:color w:val="auto"/>
            </w:rPr>
            <w:tab/>
          </w:r>
          <w:r>
            <w:rPr>
              <w:color w:val="auto"/>
            </w:rPr>
            <w:fldChar w:fldCharType="begin"/>
          </w:r>
          <w:r>
            <w:rPr>
              <w:color w:val="auto"/>
            </w:rPr>
            <w:instrText xml:space="preserve"> PAGEREF _Toc190698156 \h </w:instrText>
          </w:r>
          <w:r>
            <w:rPr>
              <w:color w:val="auto"/>
            </w:rPr>
            <w:fldChar w:fldCharType="separate"/>
          </w:r>
          <w:r>
            <w:rPr>
              <w:color w:val="auto"/>
            </w:rPr>
            <w:t>7</w:t>
          </w:r>
          <w:r>
            <w:rPr>
              <w:color w:val="auto"/>
            </w:rPr>
            <w:fldChar w:fldCharType="end"/>
          </w:r>
          <w:r>
            <w:rPr>
              <w:color w:val="auto"/>
            </w:rPr>
            <w:fldChar w:fldCharType="end"/>
          </w:r>
        </w:p>
        <w:p>
          <w:pPr>
            <w:pStyle w:val="17"/>
            <w:ind w:firstLine="420"/>
            <w:rPr>
              <w:rFonts w:asciiTheme="minorHAnsi"/>
              <w:color w:val="auto"/>
            </w:rPr>
          </w:pPr>
          <w:r>
            <w:rPr>
              <w:color w:val="auto"/>
            </w:rPr>
            <w:fldChar w:fldCharType="begin"/>
          </w:r>
          <w:r>
            <w:rPr>
              <w:color w:val="auto"/>
            </w:rPr>
            <w:instrText xml:space="preserve"> HYPERLINK \l "_Toc190698159" </w:instrText>
          </w:r>
          <w:r>
            <w:rPr>
              <w:color w:val="auto"/>
            </w:rPr>
            <w:fldChar w:fldCharType="separate"/>
          </w:r>
          <w:r>
            <w:rPr>
              <w:rStyle w:val="26"/>
              <w:color w:val="auto"/>
              <w14:scene3d>
                <w14:lightRig w14:rig="threePt" w14:dir="t">
                  <w14:rot w14:lat="0" w14:lon="0" w14:rev="0"/>
                </w14:lightRig>
              </w14:scene3d>
            </w:rPr>
            <w:t>9.3</w:t>
          </w:r>
          <w:r>
            <w:rPr>
              <w:rStyle w:val="26"/>
              <w:color w:val="auto"/>
            </w:rPr>
            <w:t xml:space="preserve"> </w:t>
          </w:r>
          <w:r>
            <w:rPr>
              <w:rStyle w:val="26"/>
              <w:rFonts w:hint="eastAsia"/>
              <w:color w:val="auto"/>
              <w:lang w:val="en-US" w:eastAsia="zh-CN"/>
            </w:rPr>
            <w:t xml:space="preserve"> </w:t>
          </w:r>
          <w:r>
            <w:rPr>
              <w:rStyle w:val="26"/>
              <w:color w:val="auto"/>
            </w:rPr>
            <w:t>跨区域共享交换</w:t>
          </w:r>
          <w:r>
            <w:rPr>
              <w:color w:val="auto"/>
            </w:rPr>
            <w:tab/>
          </w:r>
          <w:r>
            <w:rPr>
              <w:color w:val="auto"/>
            </w:rPr>
            <w:fldChar w:fldCharType="begin"/>
          </w:r>
          <w:r>
            <w:rPr>
              <w:color w:val="auto"/>
            </w:rPr>
            <w:instrText xml:space="preserve"> PAGEREF _Toc190698159 \h </w:instrText>
          </w:r>
          <w:r>
            <w:rPr>
              <w:color w:val="auto"/>
            </w:rPr>
            <w:fldChar w:fldCharType="separate"/>
          </w:r>
          <w:r>
            <w:rPr>
              <w:color w:val="auto"/>
            </w:rPr>
            <w:t>8</w:t>
          </w:r>
          <w:r>
            <w:rPr>
              <w:color w:val="auto"/>
            </w:rPr>
            <w:fldChar w:fldCharType="end"/>
          </w:r>
          <w:r>
            <w:rPr>
              <w:color w:val="auto"/>
            </w:rPr>
            <w:fldChar w:fldCharType="end"/>
          </w:r>
        </w:p>
        <w:p>
          <w:pPr>
            <w:pStyle w:val="15"/>
            <w:tabs>
              <w:tab w:val="right" w:leader="dot" w:pos="9344"/>
            </w:tabs>
            <w:ind w:firstLine="420"/>
            <w:rPr>
              <w:rFonts w:asciiTheme="minorHAnsi"/>
              <w:color w:val="auto"/>
            </w:rPr>
          </w:pPr>
          <w:r>
            <w:rPr>
              <w:color w:val="auto"/>
            </w:rPr>
            <w:fldChar w:fldCharType="begin"/>
          </w:r>
          <w:r>
            <w:rPr>
              <w:color w:val="auto"/>
            </w:rPr>
            <w:instrText xml:space="preserve"> HYPERLINK \l "_Toc190698160" </w:instrText>
          </w:r>
          <w:r>
            <w:rPr>
              <w:color w:val="auto"/>
            </w:rPr>
            <w:fldChar w:fldCharType="separate"/>
          </w:r>
          <w:r>
            <w:rPr>
              <w:rFonts w:hint="eastAsia" w:ascii="宋体" w:hAnsi="宋体" w:eastAsia="宋体" w:cs="宋体"/>
              <w:szCs w:val="21"/>
              <w:lang w:val="en-US" w:eastAsia="zh-CN"/>
            </w:rPr>
            <w:t>参考文献</w:t>
          </w:r>
          <w:r>
            <w:rPr>
              <w:color w:val="auto"/>
            </w:rPr>
            <w:tab/>
          </w:r>
          <w:r>
            <w:rPr>
              <w:color w:val="auto"/>
            </w:rPr>
            <w:fldChar w:fldCharType="begin"/>
          </w:r>
          <w:r>
            <w:rPr>
              <w:color w:val="auto"/>
            </w:rPr>
            <w:instrText xml:space="preserve"> PAGEREF _Toc190698160 \h </w:instrText>
          </w:r>
          <w:r>
            <w:rPr>
              <w:color w:val="auto"/>
            </w:rPr>
            <w:fldChar w:fldCharType="separate"/>
          </w:r>
          <w:r>
            <w:rPr>
              <w:color w:val="auto"/>
            </w:rPr>
            <w:t>9</w:t>
          </w:r>
          <w:r>
            <w:rPr>
              <w:color w:val="auto"/>
            </w:rPr>
            <w:fldChar w:fldCharType="end"/>
          </w:r>
          <w:r>
            <w:rPr>
              <w:color w:val="auto"/>
            </w:rPr>
            <w:fldChar w:fldCharType="end"/>
          </w:r>
        </w:p>
        <w:p>
          <w:pPr>
            <w:ind w:firstLine="0" w:firstLineChars="0"/>
            <w:sectPr>
              <w:headerReference r:id="rId11" w:type="default"/>
              <w:footerReference r:id="rId13" w:type="default"/>
              <w:headerReference r:id="rId12" w:type="even"/>
              <w:footerReference r:id="rId14" w:type="even"/>
              <w:type w:val="oddPage"/>
              <w:pgSz w:w="11906" w:h="16838"/>
              <w:pgMar w:top="1418" w:right="1134" w:bottom="1134" w:left="1418" w:header="1418" w:footer="1134" w:gutter="0"/>
              <w:pgNumType w:fmt="upperRoman" w:start="1"/>
              <w:cols w:space="425" w:num="1"/>
              <w:docGrid w:type="lines" w:linePitch="312" w:charSpace="0"/>
            </w:sectPr>
          </w:pPr>
          <w:r>
            <w:rPr>
              <w:b/>
              <w:bCs/>
              <w:color w:val="auto"/>
              <w:lang w:val="zh-CN"/>
            </w:rPr>
            <w:fldChar w:fldCharType="end"/>
          </w:r>
        </w:p>
      </w:sdtContent>
    </w:sdt>
    <w:p>
      <w:pPr>
        <w:keepNext w:val="0"/>
        <w:keepLines w:val="0"/>
        <w:pageBreakBefore w:val="0"/>
        <w:widowControl w:val="0"/>
        <w:shd w:val="clear"/>
        <w:kinsoku/>
        <w:wordWrap/>
        <w:overflowPunct/>
        <w:topLinePunct w:val="0"/>
        <w:autoSpaceDE/>
        <w:autoSpaceDN/>
        <w:bidi w:val="0"/>
        <w:adjustRightInd/>
        <w:snapToGrid w:val="0"/>
        <w:spacing w:before="567" w:after="680"/>
        <w:ind w:firstLine="0" w:firstLineChars="0"/>
        <w:jc w:val="center"/>
        <w:textAlignment w:val="auto"/>
        <w:outlineLvl w:val="0"/>
        <w:rPr>
          <w:rFonts w:hint="eastAsia" w:ascii="黑体" w:hAnsi="黑体" w:eastAsia="黑体" w:cs="黑体"/>
          <w:kern w:val="0"/>
          <w:sz w:val="32"/>
          <w:szCs w:val="32"/>
          <w:lang w:val="en-US" w:eastAsia="zh-CN"/>
        </w:rPr>
      </w:pPr>
      <w:bookmarkStart w:id="3" w:name="_Toc190698131"/>
      <w:bookmarkStart w:id="4" w:name="_Toc176427781"/>
      <w:r>
        <w:rPr>
          <w:rFonts w:hint="eastAsia" w:ascii="黑体" w:hAnsi="黑体" w:eastAsia="黑体" w:cs="黑体"/>
          <w:kern w:val="0"/>
          <w:sz w:val="32"/>
          <w:szCs w:val="32"/>
          <w:lang w:val="en-US" w:eastAsia="zh-CN"/>
        </w:rPr>
        <w:t>前    言</w:t>
      </w:r>
      <w:bookmarkEnd w:id="3"/>
    </w:p>
    <w:p>
      <w:pPr>
        <w:widowControl/>
        <w:ind w:firstLine="420"/>
        <w:jc w:val="left"/>
        <w:rPr>
          <w:rFonts w:ascii="宋体" w:hAnsi="宋体" w:eastAsia="宋体" w:cs="Times New Roman"/>
          <w:szCs w:val="24"/>
        </w:rPr>
      </w:pPr>
      <w:r>
        <w:rPr>
          <w:rFonts w:hint="eastAsia" w:ascii="宋体" w:hAnsi="宋体" w:eastAsia="宋体" w:cs="Times New Roman"/>
          <w:szCs w:val="24"/>
        </w:rPr>
        <w:t>本文件按照GB/T</w:t>
      </w:r>
      <w:r>
        <w:rPr>
          <w:rFonts w:ascii="宋体" w:hAnsi="宋体" w:eastAsia="宋体" w:cs="Times New Roman"/>
          <w:szCs w:val="24"/>
        </w:rPr>
        <w:t xml:space="preserve"> </w:t>
      </w:r>
      <w:r>
        <w:rPr>
          <w:rFonts w:hint="eastAsia" w:ascii="宋体" w:hAnsi="宋体" w:eastAsia="宋体" w:cs="Times New Roman"/>
          <w:szCs w:val="24"/>
        </w:rPr>
        <w:t>1.1—2020《标准化工作导则 第1部分：标准化文件的结构和起草规则》的规定起草。</w:t>
      </w:r>
    </w:p>
    <w:p>
      <w:pPr>
        <w:pStyle w:val="2"/>
        <w:ind w:firstLine="420"/>
        <w:rPr>
          <w:rFonts w:hint="eastAsia"/>
          <w:lang w:val="en-US" w:eastAsia="zh-CN"/>
        </w:rPr>
      </w:pPr>
      <w:r>
        <w:rPr>
          <w:rFonts w:hint="eastAsia"/>
        </w:rPr>
        <w:t>本文件</w:t>
      </w:r>
      <w:r>
        <w:rPr>
          <w:rFonts w:hint="eastAsia"/>
          <w:lang w:eastAsia="zh-CN"/>
        </w:rPr>
        <w:t>是</w:t>
      </w:r>
      <w:r>
        <w:rPr>
          <w:rFonts w:hint="eastAsia"/>
          <w:lang w:val="en-US" w:eastAsia="zh-CN"/>
        </w:rPr>
        <w:t>DB3205/T ***</w:t>
      </w:r>
      <w:r>
        <w:rPr>
          <w:rFonts w:hint="eastAsia" w:ascii="宋体" w:hAnsi="宋体" w:eastAsia="宋体" w:cs="Times New Roman"/>
          <w:szCs w:val="24"/>
        </w:rPr>
        <w:t>《政务数据资源级联规范》的第1部分。</w:t>
      </w:r>
      <w:r>
        <w:rPr>
          <w:rFonts w:hint="eastAsia"/>
          <w:lang w:val="en-US" w:eastAsia="zh-CN"/>
        </w:rPr>
        <w:t>DB3205/T ***已经发布了以下部分：</w:t>
      </w:r>
    </w:p>
    <w:p>
      <w:pPr>
        <w:widowControl/>
        <w:ind w:firstLine="409" w:firstLineChars="195"/>
        <w:jc w:val="left"/>
        <w:rPr>
          <w:rFonts w:hint="eastAsia" w:eastAsia="宋体"/>
          <w:lang w:val="en-US" w:eastAsia="zh-CN"/>
        </w:rPr>
      </w:pPr>
      <w:r>
        <w:rPr>
          <w:rFonts w:ascii="Times New Roman" w:hAnsi="Times New Roman" w:eastAsia="宋体" w:cs="Times New Roman"/>
          <w:szCs w:val="24"/>
        </w:rPr>
        <w:t>——</w:t>
      </w:r>
      <w:r>
        <w:rPr>
          <w:rFonts w:hint="eastAsia" w:ascii="宋体" w:hAnsi="宋体" w:eastAsia="宋体" w:cs="Times New Roman"/>
          <w:szCs w:val="24"/>
        </w:rPr>
        <w:t>第1部分：总体框架</w:t>
      </w:r>
      <w:r>
        <w:rPr>
          <w:rFonts w:hint="eastAsia" w:ascii="宋体" w:hAnsi="宋体" w:eastAsia="宋体" w:cs="Times New Roman"/>
          <w:szCs w:val="24"/>
          <w:lang w:eastAsia="zh-CN"/>
        </w:rPr>
        <w:t>。</w:t>
      </w:r>
    </w:p>
    <w:p>
      <w:pPr>
        <w:widowControl/>
        <w:ind w:firstLine="420"/>
        <w:jc w:val="left"/>
        <w:rPr>
          <w:rFonts w:hint="eastAsia" w:ascii="宋体" w:hAnsi="宋体" w:eastAsia="宋体" w:cs="Times New Roman"/>
          <w:szCs w:val="24"/>
          <w:lang w:eastAsia="zh-CN"/>
        </w:rPr>
      </w:pPr>
      <w:r>
        <w:rPr>
          <w:rFonts w:hint="eastAsia" w:ascii="宋体" w:hAnsi="宋体" w:eastAsia="宋体" w:cs="Times New Roman"/>
          <w:szCs w:val="24"/>
        </w:rPr>
        <w:t>请注意本文件的某些内容可能涉及专利。本文件的发布机构不承担识别专利的责任</w:t>
      </w:r>
      <w:r>
        <w:rPr>
          <w:rFonts w:hint="eastAsia" w:ascii="宋体" w:hAnsi="宋体" w:eastAsia="宋体" w:cs="Times New Roman"/>
          <w:szCs w:val="24"/>
          <w:lang w:eastAsia="zh-CN"/>
        </w:rPr>
        <w:t>。</w:t>
      </w:r>
    </w:p>
    <w:p>
      <w:pPr>
        <w:widowControl/>
        <w:ind w:firstLine="420"/>
        <w:jc w:val="left"/>
        <w:rPr>
          <w:rFonts w:ascii="宋体" w:hAnsi="宋体" w:eastAsia="宋体" w:cs="Times New Roman"/>
          <w:szCs w:val="24"/>
        </w:rPr>
      </w:pPr>
      <w:r>
        <w:rPr>
          <w:rFonts w:hint="eastAsia" w:ascii="宋体" w:hAnsi="宋体" w:eastAsia="宋体" w:cs="Times New Roman"/>
          <w:szCs w:val="24"/>
        </w:rPr>
        <w:t>本文件由苏州市</w:t>
      </w:r>
      <w:r>
        <w:rPr>
          <w:rFonts w:hint="eastAsia" w:ascii="宋体" w:hAnsi="宋体" w:eastAsia="宋体" w:cs="Times New Roman"/>
          <w:szCs w:val="24"/>
          <w:lang w:val="en-US" w:eastAsia="zh-CN"/>
        </w:rPr>
        <w:t>数据局</w:t>
      </w:r>
      <w:r>
        <w:rPr>
          <w:rFonts w:hint="eastAsia" w:ascii="宋体" w:hAnsi="宋体" w:eastAsia="宋体" w:cs="Times New Roman"/>
          <w:szCs w:val="24"/>
        </w:rPr>
        <w:t>提出</w:t>
      </w:r>
      <w:r>
        <w:rPr>
          <w:rFonts w:hint="eastAsia" w:ascii="宋体" w:hAnsi="宋体" w:eastAsia="宋体" w:cs="Times New Roman"/>
          <w:szCs w:val="24"/>
          <w:lang w:eastAsia="zh-CN"/>
        </w:rPr>
        <w:t>、</w:t>
      </w:r>
      <w:r>
        <w:rPr>
          <w:rFonts w:hint="eastAsia" w:ascii="宋体" w:hAnsi="宋体" w:eastAsia="宋体" w:cs="Times New Roman"/>
          <w:szCs w:val="24"/>
        </w:rPr>
        <w:t>归口</w:t>
      </w:r>
      <w:r>
        <w:rPr>
          <w:rFonts w:hint="eastAsia" w:ascii="宋体" w:hAnsi="宋体" w:eastAsia="宋体" w:cs="Times New Roman"/>
          <w:szCs w:val="24"/>
          <w:lang w:val="en-US" w:eastAsia="zh-CN"/>
        </w:rPr>
        <w:t>并组织实施</w:t>
      </w:r>
      <w:r>
        <w:rPr>
          <w:rFonts w:hint="eastAsia" w:ascii="宋体" w:hAnsi="宋体" w:eastAsia="宋体" w:cs="Times New Roman"/>
          <w:szCs w:val="24"/>
        </w:rPr>
        <w:t>。</w:t>
      </w:r>
    </w:p>
    <w:p>
      <w:pPr>
        <w:widowControl/>
        <w:ind w:firstLine="420"/>
        <w:jc w:val="left"/>
        <w:rPr>
          <w:rFonts w:ascii="宋体" w:hAnsi="宋体" w:eastAsia="宋体" w:cs="Times New Roman"/>
          <w:szCs w:val="24"/>
        </w:rPr>
      </w:pPr>
      <w:r>
        <w:rPr>
          <w:rFonts w:hint="eastAsia" w:ascii="宋体" w:hAnsi="宋体" w:eastAsia="宋体" w:cs="Times New Roman"/>
          <w:szCs w:val="24"/>
        </w:rPr>
        <w:t>本文件起草单位：苏州市相城区信息中心、苏州市相城数字科技有限公司。</w:t>
      </w:r>
    </w:p>
    <w:p>
      <w:pPr>
        <w:widowControl/>
        <w:ind w:firstLine="420"/>
        <w:jc w:val="left"/>
        <w:rPr>
          <w:rFonts w:ascii="宋体" w:hAnsi="宋体" w:eastAsia="宋体" w:cs="Times New Roman"/>
          <w:szCs w:val="24"/>
        </w:rPr>
        <w:sectPr>
          <w:headerReference r:id="rId15" w:type="default"/>
          <w:footerReference r:id="rId16" w:type="default"/>
          <w:footerReference r:id="rId17" w:type="even"/>
          <w:type w:val="oddPage"/>
          <w:pgSz w:w="11906" w:h="16838"/>
          <w:pgMar w:top="1418" w:right="1134" w:bottom="1134" w:left="1418" w:header="1418" w:footer="1134" w:gutter="0"/>
          <w:pgNumType w:fmt="upperRoman" w:start="2"/>
          <w:cols w:space="425" w:num="1"/>
          <w:docGrid w:type="lines" w:linePitch="312" w:charSpace="0"/>
        </w:sectPr>
      </w:pPr>
      <w:r>
        <w:rPr>
          <w:rFonts w:hint="eastAsia" w:ascii="宋体" w:hAnsi="宋体" w:eastAsia="宋体" w:cs="Times New Roman"/>
          <w:szCs w:val="24"/>
        </w:rPr>
        <w:t>本文件主要起草人：谢景超、陈征、欧阳阳、陈杰、单晗彧、高双、黄云。</w:t>
      </w:r>
    </w:p>
    <w:p>
      <w:pPr>
        <w:pStyle w:val="52"/>
        <w:spacing w:before="567" w:after="680" w:afterLines="0"/>
        <w:ind w:left="0" w:firstLine="0"/>
      </w:pPr>
      <w:bookmarkStart w:id="5" w:name="_Toc190698132"/>
      <w:r>
        <w:rPr>
          <w:rFonts w:hint="eastAsia"/>
        </w:rPr>
        <w:t>引    言</w:t>
      </w:r>
      <w:bookmarkEnd w:id="4"/>
      <w:bookmarkEnd w:id="5"/>
    </w:p>
    <w:p>
      <w:pPr>
        <w:widowControl/>
        <w:ind w:firstLine="420"/>
        <w:jc w:val="left"/>
        <w:rPr>
          <w:rFonts w:ascii="宋体" w:hAnsi="宋体" w:eastAsia="宋体" w:cs="Times New Roman"/>
          <w:szCs w:val="24"/>
        </w:rPr>
      </w:pPr>
      <w:r>
        <w:rPr>
          <w:rFonts w:ascii="Segoe UI" w:hAnsi="Segoe UI" w:cs="Segoe UI"/>
          <w:shd w:val="clear" w:color="auto" w:fill="FFFFFF"/>
        </w:rPr>
        <w:t>政务数据</w:t>
      </w:r>
      <w:r>
        <w:rPr>
          <w:rFonts w:hint="eastAsia" w:ascii="Segoe UI" w:hAnsi="Segoe UI" w:cs="Segoe UI"/>
          <w:shd w:val="clear" w:color="auto" w:fill="FFFFFF"/>
        </w:rPr>
        <w:t>资源</w:t>
      </w:r>
      <w:r>
        <w:rPr>
          <w:rFonts w:ascii="Segoe UI" w:hAnsi="Segoe UI" w:cs="Segoe UI"/>
          <w:shd w:val="clear" w:color="auto" w:fill="FFFFFF"/>
        </w:rPr>
        <w:t>是指</w:t>
      </w:r>
      <w:r>
        <w:rPr>
          <w:rFonts w:hint="eastAsia" w:ascii="Segoe UI" w:hAnsi="Segoe UI" w:cs="Segoe UI"/>
          <w:shd w:val="clear" w:color="auto" w:fill="FFFFFF"/>
        </w:rPr>
        <w:t>各级</w:t>
      </w:r>
      <w:r>
        <w:rPr>
          <w:rFonts w:ascii="Segoe UI" w:hAnsi="Segoe UI" w:cs="Segoe UI"/>
          <w:shd w:val="clear" w:color="auto" w:fill="FFFFFF"/>
        </w:rPr>
        <w:t>政务</w:t>
      </w:r>
      <w:r>
        <w:rPr>
          <w:rFonts w:hint="eastAsia" w:ascii="Segoe UI" w:hAnsi="Segoe UI" w:cs="Segoe UI"/>
          <w:shd w:val="clear" w:color="auto" w:fill="FFFFFF"/>
        </w:rPr>
        <w:t>部门在履行职责过程中依法采集、生成、存储、管理的各类数据集合</w:t>
      </w:r>
      <w:r>
        <w:rPr>
          <w:rFonts w:ascii="Segoe UI" w:hAnsi="Segoe UI" w:cs="Segoe UI"/>
          <w:shd w:val="clear" w:color="auto" w:fill="FFFFFF"/>
        </w:rPr>
        <w:t>。</w:t>
      </w:r>
      <w:r>
        <w:rPr>
          <w:rFonts w:hint="eastAsia" w:ascii="Segoe UI" w:hAnsi="Segoe UI" w:cs="Segoe UI"/>
          <w:shd w:val="clear" w:color="auto" w:fill="FFFFFF"/>
        </w:rPr>
        <w:t>规范政务数据资源级联过程，对推动数字政府建设、</w:t>
      </w:r>
      <w:r>
        <w:rPr>
          <w:rFonts w:hint="eastAsia" w:ascii="宋体" w:hAnsi="宋体" w:eastAsia="宋体" w:cs="Times New Roman"/>
          <w:szCs w:val="24"/>
        </w:rPr>
        <w:t>提高数据交换效率、简化部门之间的协作流程具有重要意义。</w:t>
      </w:r>
      <w:r>
        <w:rPr>
          <w:rFonts w:hint="eastAsia" w:ascii="宋体" w:hAnsi="宋体" w:eastAsia="宋体" w:cs="Times New Roman"/>
          <w:szCs w:val="24"/>
          <w:lang w:val="en-US" w:eastAsia="zh-CN"/>
        </w:rPr>
        <w:t>DB3205/T ***</w:t>
      </w:r>
      <w:r>
        <w:rPr>
          <w:rFonts w:hint="eastAsia" w:ascii="宋体" w:hAnsi="宋体" w:eastAsia="宋体" w:cs="Times New Roman"/>
          <w:szCs w:val="24"/>
        </w:rPr>
        <w:t>《政务数据资源级联规范》旨在确立政务数据资源级联的工作准则，拟由三个部分</w:t>
      </w:r>
      <w:r>
        <w:rPr>
          <w:rFonts w:hint="eastAsia" w:ascii="宋体" w:hAnsi="宋体" w:eastAsia="宋体" w:cs="Times New Roman"/>
          <w:szCs w:val="24"/>
          <w:lang w:eastAsia="zh-CN"/>
        </w:rPr>
        <w:t>组成</w:t>
      </w:r>
      <w:r>
        <w:rPr>
          <w:rFonts w:hint="eastAsia" w:ascii="宋体" w:hAnsi="宋体" w:eastAsia="宋体" w:cs="Times New Roman"/>
          <w:szCs w:val="24"/>
        </w:rPr>
        <w:t>。</w:t>
      </w:r>
    </w:p>
    <w:p>
      <w:pPr>
        <w:widowControl/>
        <w:ind w:left="840" w:leftChars="200" w:hanging="420" w:hangingChars="200"/>
        <w:jc w:val="left"/>
        <w:rPr>
          <w:rFonts w:ascii="宋体" w:hAnsi="宋体" w:eastAsia="宋体" w:cs="Times New Roman"/>
          <w:szCs w:val="24"/>
        </w:rPr>
      </w:pPr>
      <w:r>
        <w:rPr>
          <w:rFonts w:ascii="Times New Roman" w:hAnsi="Times New Roman" w:eastAsia="宋体" w:cs="Times New Roman"/>
          <w:szCs w:val="24"/>
        </w:rPr>
        <w:t>——</w:t>
      </w:r>
      <w:r>
        <w:rPr>
          <w:rFonts w:hint="eastAsia" w:ascii="宋体" w:hAnsi="宋体" w:eastAsia="宋体" w:cs="Times New Roman"/>
          <w:szCs w:val="24"/>
        </w:rPr>
        <w:t>第1部分：总体框架。目的在于确立级联架构信息、职责分工、市/区县两级政务数据资源级联的主要流程以及共享交换流程。</w:t>
      </w:r>
    </w:p>
    <w:p>
      <w:pPr>
        <w:widowControl/>
        <w:ind w:firstLine="420"/>
        <w:jc w:val="left"/>
        <w:rPr>
          <w:rFonts w:ascii="宋体" w:hAnsi="宋体" w:eastAsia="宋体" w:cs="Times New Roman"/>
          <w:szCs w:val="24"/>
        </w:rPr>
      </w:pPr>
      <w:r>
        <w:rPr>
          <w:rFonts w:ascii="Times New Roman" w:hAnsi="Times New Roman" w:eastAsia="宋体" w:cs="Times New Roman"/>
          <w:szCs w:val="24"/>
        </w:rPr>
        <w:t>——</w:t>
      </w:r>
      <w:r>
        <w:rPr>
          <w:rFonts w:hint="eastAsia" w:ascii="宋体" w:hAnsi="宋体" w:eastAsia="宋体" w:cs="Times New Roman"/>
          <w:szCs w:val="24"/>
        </w:rPr>
        <w:t>第2部分：级联对接流程。目的在于规范级联对接的细化流程。</w:t>
      </w:r>
    </w:p>
    <w:p>
      <w:pPr>
        <w:pStyle w:val="2"/>
        <w:ind w:firstLine="420"/>
      </w:pPr>
      <w:r>
        <w:rPr>
          <w:rFonts w:ascii="Times New Roman" w:hAnsi="Times New Roman" w:eastAsia="宋体" w:cs="Times New Roman"/>
          <w:szCs w:val="24"/>
        </w:rPr>
        <w:t>——</w:t>
      </w:r>
      <w:r>
        <w:rPr>
          <w:rFonts w:hint="eastAsia" w:ascii="宋体" w:hAnsi="宋体" w:eastAsia="宋体" w:cs="Times New Roman"/>
          <w:szCs w:val="24"/>
        </w:rPr>
        <w:t>第3部分：级联接口规范。目的在于确立级联上行和级联下行的具体接口标准。</w:t>
      </w:r>
    </w:p>
    <w:p>
      <w:pPr>
        <w:pStyle w:val="2"/>
        <w:ind w:firstLine="420"/>
      </w:pPr>
    </w:p>
    <w:p>
      <w:pPr>
        <w:pStyle w:val="2"/>
        <w:ind w:firstLine="0" w:firstLineChars="0"/>
        <w:sectPr>
          <w:footerReference r:id="rId18" w:type="default"/>
          <w:footerReference r:id="rId19" w:type="even"/>
          <w:type w:val="oddPage"/>
          <w:pgSz w:w="11906" w:h="16838"/>
          <w:pgMar w:top="1418" w:right="1134" w:bottom="1134" w:left="1418" w:header="1418" w:footer="1134" w:gutter="0"/>
          <w:pgNumType w:fmt="upperRoman" w:start="2"/>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567"/>
        <w:ind w:firstLine="0" w:firstLineChars="0"/>
        <w:jc w:val="center"/>
        <w:textAlignment w:val="auto"/>
        <w:rPr>
          <w:rFonts w:ascii="黑体" w:hAnsi="宋体" w:eastAsia="黑体"/>
          <w:sz w:val="32"/>
          <w:szCs w:val="32"/>
        </w:rPr>
      </w:pPr>
      <w:r>
        <w:rPr>
          <w:rFonts w:hint="eastAsia" w:ascii="黑体" w:hAnsi="宋体" w:eastAsia="黑体"/>
          <w:sz w:val="32"/>
          <w:szCs w:val="32"/>
        </w:rPr>
        <w:t>政务数据资源级联规范</w:t>
      </w:r>
      <w:r>
        <w:rPr>
          <w:rFonts w:hint="eastAsia" w:ascii="黑体" w:hAnsi="宋体" w:eastAsia="黑体"/>
          <w:sz w:val="32"/>
          <w:szCs w:val="32"/>
          <w:lang w:eastAsia="zh-CN"/>
        </w:rPr>
        <w:t>　</w:t>
      </w:r>
      <w:bookmarkStart w:id="80" w:name="_GoBack"/>
      <w:bookmarkEnd w:id="80"/>
      <w:r>
        <w:rPr>
          <w:rFonts w:hint="eastAsia" w:ascii="黑体" w:hAnsi="宋体" w:eastAsia="黑体"/>
          <w:sz w:val="32"/>
          <w:szCs w:val="32"/>
        </w:rPr>
        <w:t>第1部分：总体框架</w:t>
      </w:r>
    </w:p>
    <w:bookmarkEnd w:id="2"/>
    <w:p>
      <w:pPr>
        <w:pStyle w:val="71"/>
        <w:spacing w:before="312" w:after="312"/>
      </w:pPr>
      <w:bookmarkStart w:id="6" w:name="_Toc30515"/>
      <w:bookmarkStart w:id="7" w:name="_Toc48028397"/>
      <w:bookmarkStart w:id="8" w:name="_Toc51663569"/>
      <w:bookmarkStart w:id="9" w:name="_Toc51147912"/>
      <w:bookmarkStart w:id="10" w:name="_Toc115339701"/>
      <w:bookmarkStart w:id="11" w:name="_Toc87811223"/>
      <w:bookmarkStart w:id="12" w:name="_Toc15741"/>
      <w:bookmarkStart w:id="13" w:name="_Toc47964512"/>
      <w:bookmarkStart w:id="14" w:name="_Toc122448156"/>
      <w:bookmarkStart w:id="15" w:name="_Toc46494722"/>
      <w:bookmarkStart w:id="16" w:name="_Toc21213"/>
      <w:bookmarkStart w:id="17" w:name="_Toc48028304"/>
      <w:bookmarkStart w:id="18" w:name="_Toc47964470"/>
      <w:bookmarkStart w:id="19" w:name="_Toc48572088"/>
      <w:bookmarkStart w:id="20" w:name="_Toc40454690"/>
      <w:bookmarkStart w:id="21" w:name="_Toc66965087"/>
      <w:bookmarkStart w:id="22" w:name="_Toc48569571"/>
      <w:bookmarkStart w:id="23" w:name="_Toc47973642"/>
      <w:bookmarkStart w:id="24" w:name="_Toc48049835"/>
      <w:bookmarkStart w:id="25" w:name="_Toc67401897"/>
      <w:bookmarkStart w:id="26" w:name="_Toc10375"/>
      <w:bookmarkStart w:id="27" w:name="_Toc47973431"/>
      <w:bookmarkStart w:id="28" w:name="_Toc190698133"/>
      <w:bookmarkStart w:id="29" w:name="_Toc67393169"/>
      <w:bookmarkStart w:id="30" w:name="_Toc176427782"/>
      <w:bookmarkStart w:id="31" w:name="_Toc87811368"/>
      <w:bookmarkStart w:id="32" w:name="_Toc48050151"/>
      <w:r>
        <w:rPr>
          <w:rFonts w:hint="eastAsia"/>
        </w:rPr>
        <w:t>范围</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ind w:firstLine="420"/>
      </w:pPr>
      <w:r>
        <w:rPr>
          <w:rFonts w:hint="eastAsia"/>
        </w:rPr>
        <w:t>本文件规定了市级与各县级市（区）（以下简称“区县”）两级政务数据资源级联的总体框架，明确了政务数据资源级联过程中各参与方的职责分工、</w:t>
      </w:r>
      <w:r>
        <w:rPr>
          <w:rFonts w:hint="eastAsia" w:ascii="宋体" w:hAnsi="宋体" w:eastAsia="宋体" w:cs="Times New Roman"/>
          <w:szCs w:val="24"/>
        </w:rPr>
        <w:t>市/区县两级政务数据资源级联</w:t>
      </w:r>
      <w:r>
        <w:rPr>
          <w:rFonts w:hint="eastAsia"/>
        </w:rPr>
        <w:t>的主要流程以及共享交换流程。</w:t>
      </w:r>
    </w:p>
    <w:p>
      <w:pPr>
        <w:ind w:firstLine="420"/>
      </w:pPr>
      <w:bookmarkStart w:id="33" w:name="_Hlk171695870"/>
      <w:r>
        <w:rPr>
          <w:rFonts w:hint="eastAsia"/>
        </w:rPr>
        <w:t>本文件适用于指导政务数据资源级联的行为和过程，不适用于</w:t>
      </w:r>
      <w:r>
        <w:t>涉及国家秘密等受保护数据的交换和共享</w:t>
      </w:r>
      <w:r>
        <w:rPr>
          <w:rFonts w:hint="eastAsia"/>
        </w:rPr>
        <w:t>。</w:t>
      </w:r>
      <w:bookmarkEnd w:id="33"/>
    </w:p>
    <w:p>
      <w:pPr>
        <w:pStyle w:val="71"/>
        <w:spacing w:before="312" w:after="312"/>
      </w:pPr>
      <w:bookmarkStart w:id="34" w:name="_Toc190698134"/>
      <w:r>
        <w:rPr>
          <w:rFonts w:hint="eastAsia"/>
        </w:rPr>
        <w:t>规范性引用文件</w:t>
      </w:r>
      <w:bookmarkEnd w:id="34"/>
    </w:p>
    <w:p>
      <w:pPr>
        <w:ind w:firstLine="420"/>
      </w:pPr>
      <w:r>
        <w:t>下列文件中的内容通过文中的规范性引用而构成本文件必不可少的条款。其中，注日期的引用文件，仅该日期对应的版本适用于本文件；不注日期的引用文件，其最新版本（包括所有的修改单）适用于本文件。</w:t>
      </w:r>
    </w:p>
    <w:p>
      <w:pPr>
        <w:pStyle w:val="2"/>
        <w:ind w:firstLine="420"/>
      </w:pPr>
      <w:r>
        <w:rPr>
          <w:rFonts w:hint="eastAsia"/>
        </w:rPr>
        <w:t>GB/T</w:t>
      </w:r>
      <w:r>
        <w:t xml:space="preserve"> 39477 </w:t>
      </w:r>
      <w:r>
        <w:rPr>
          <w:rFonts w:hint="eastAsia"/>
          <w:lang w:val="en-US" w:eastAsia="zh-CN"/>
        </w:rPr>
        <w:t xml:space="preserve"> </w:t>
      </w:r>
      <w:r>
        <w:rPr>
          <w:rFonts w:hint="eastAsia"/>
        </w:rPr>
        <w:t>信息安全技术 政务信息共享 数据安全技术要求</w:t>
      </w:r>
    </w:p>
    <w:p>
      <w:pPr>
        <w:pStyle w:val="2"/>
        <w:ind w:firstLine="420"/>
      </w:pPr>
      <w:r>
        <w:rPr>
          <w:rFonts w:hint="eastAsia"/>
        </w:rPr>
        <w:t>DB</w:t>
      </w:r>
      <w:r>
        <w:t>32</w:t>
      </w:r>
      <w:r>
        <w:rPr>
          <w:rFonts w:hint="eastAsia"/>
        </w:rPr>
        <w:t>/</w:t>
      </w:r>
      <w:r>
        <w:t xml:space="preserve">T 4040.1 </w:t>
      </w:r>
      <w:r>
        <w:rPr>
          <w:rFonts w:hint="eastAsia"/>
          <w:lang w:val="en-US" w:eastAsia="zh-CN"/>
        </w:rPr>
        <w:t xml:space="preserve"> </w:t>
      </w:r>
      <w:r>
        <w:rPr>
          <w:rFonts w:hint="eastAsia"/>
        </w:rPr>
        <w:t>政务大数据 数据元标准 第1部分：总则</w:t>
      </w:r>
    </w:p>
    <w:p>
      <w:pPr>
        <w:pStyle w:val="2"/>
        <w:ind w:firstLine="420"/>
      </w:pPr>
      <w:r>
        <w:rPr>
          <w:rFonts w:hint="eastAsia"/>
        </w:rPr>
        <w:t>DB</w:t>
      </w:r>
      <w:r>
        <w:t>32</w:t>
      </w:r>
      <w:r>
        <w:rPr>
          <w:rFonts w:hint="eastAsia"/>
        </w:rPr>
        <w:t>/</w:t>
      </w:r>
      <w:r>
        <w:t xml:space="preserve">T 4040.2 </w:t>
      </w:r>
      <w:r>
        <w:rPr>
          <w:rFonts w:hint="eastAsia"/>
          <w:lang w:val="en-US" w:eastAsia="zh-CN"/>
        </w:rPr>
        <w:t xml:space="preserve"> </w:t>
      </w:r>
      <w:r>
        <w:rPr>
          <w:rFonts w:hint="eastAsia"/>
        </w:rPr>
        <w:t>政务大数据 数据元标准 第</w:t>
      </w:r>
      <w:r>
        <w:t>2</w:t>
      </w:r>
      <w:r>
        <w:rPr>
          <w:rFonts w:hint="eastAsia"/>
        </w:rPr>
        <w:t>部分：公共数据元</w:t>
      </w:r>
    </w:p>
    <w:p>
      <w:pPr>
        <w:ind w:firstLine="420"/>
      </w:pPr>
      <w:r>
        <w:rPr>
          <w:rFonts w:hint="eastAsia"/>
        </w:rPr>
        <w:t>DB32</w:t>
      </w:r>
      <w:r>
        <w:t>/</w:t>
      </w:r>
      <w:r>
        <w:rPr>
          <w:rFonts w:hint="eastAsia"/>
        </w:rPr>
        <w:t>T</w:t>
      </w:r>
      <w:r>
        <w:t xml:space="preserve"> </w:t>
      </w:r>
      <w:r>
        <w:rPr>
          <w:rFonts w:hint="eastAsia"/>
        </w:rPr>
        <w:t>4608.2</w:t>
      </w:r>
      <w:r>
        <w:t xml:space="preserve"> </w:t>
      </w:r>
      <w:r>
        <w:rPr>
          <w:rFonts w:hint="eastAsia"/>
          <w:lang w:val="en-US" w:eastAsia="zh-CN"/>
        </w:rPr>
        <w:t xml:space="preserve"> </w:t>
      </w:r>
      <w:r>
        <w:rPr>
          <w:rFonts w:hint="eastAsia"/>
        </w:rPr>
        <w:t>公共数据管理规范</w:t>
      </w:r>
      <w:r>
        <w:t xml:space="preserve"> </w:t>
      </w:r>
      <w:r>
        <w:rPr>
          <w:rFonts w:hint="eastAsia"/>
        </w:rPr>
        <w:t>第2部分：数据共享交换</w:t>
      </w:r>
    </w:p>
    <w:p>
      <w:pPr>
        <w:pStyle w:val="71"/>
        <w:spacing w:before="312" w:after="312"/>
        <w:rPr>
          <w:szCs w:val="21"/>
        </w:rPr>
      </w:pPr>
      <w:bookmarkStart w:id="35" w:name="_Toc87811225"/>
      <w:bookmarkStart w:id="36" w:name="_Toc67401899"/>
      <w:bookmarkStart w:id="37" w:name="_Toc190698135"/>
      <w:bookmarkStart w:id="38" w:name="_Toc176427784"/>
      <w:bookmarkStart w:id="39" w:name="_Toc115339703"/>
      <w:bookmarkStart w:id="40" w:name="_Toc122448158"/>
      <w:bookmarkStart w:id="41" w:name="_Toc87811370"/>
      <w:bookmarkStart w:id="42" w:name="_Toc67393171"/>
      <w:bookmarkStart w:id="43" w:name="_Hlk171697308"/>
      <w:r>
        <w:rPr>
          <w:rFonts w:hint="eastAsia"/>
          <w:szCs w:val="21"/>
        </w:rPr>
        <w:t>术语和定义</w:t>
      </w:r>
      <w:bookmarkEnd w:id="35"/>
      <w:bookmarkEnd w:id="36"/>
      <w:bookmarkEnd w:id="37"/>
      <w:bookmarkEnd w:id="38"/>
      <w:bookmarkEnd w:id="39"/>
      <w:bookmarkEnd w:id="40"/>
      <w:bookmarkEnd w:id="41"/>
      <w:bookmarkEnd w:id="42"/>
    </w:p>
    <w:p>
      <w:pPr>
        <w:ind w:firstLine="420"/>
      </w:pPr>
      <w:r>
        <w:rPr>
          <w:rFonts w:hint="eastAsia"/>
        </w:rPr>
        <w:t>下列术语和定义适用于本文件。</w:t>
      </w:r>
      <w:bookmarkStart w:id="44" w:name="_Toc73365748"/>
    </w:p>
    <w:bookmarkEnd w:id="44"/>
    <w:p>
      <w:pPr>
        <w:pStyle w:val="66"/>
        <w:spacing w:before="0" w:after="0" w:line="240" w:lineRule="auto"/>
        <w:ind w:left="420" w:hanging="420" w:hangingChars="200"/>
        <w:rPr>
          <w:rFonts w:ascii="黑体" w:hAnsi="黑体" w:eastAsia="黑体"/>
        </w:rPr>
      </w:pPr>
      <w:bookmarkStart w:id="45" w:name="_Toc73365749"/>
      <w:r>
        <w:rPr>
          <w:rFonts w:ascii="黑体" w:hAnsi="黑体" w:eastAsia="黑体"/>
        </w:rPr>
        <w:t>3.1</w:t>
      </w:r>
    </w:p>
    <w:p>
      <w:pPr>
        <w:pStyle w:val="66"/>
        <w:spacing w:before="0" w:after="0" w:line="240" w:lineRule="auto"/>
        <w:rPr>
          <w:rFonts w:ascii="黑体" w:hAnsi="黑体" w:eastAsia="黑体"/>
        </w:rPr>
      </w:pPr>
      <w:r>
        <w:rPr>
          <w:rFonts w:hint="eastAsia" w:ascii="黑体" w:hAnsi="黑体" w:eastAsia="黑体"/>
        </w:rPr>
        <w:t>政务数据资源共享</w:t>
      </w:r>
      <w:bookmarkEnd w:id="45"/>
      <w:r>
        <w:rPr>
          <w:rFonts w:hint="eastAsia" w:ascii="黑体" w:hAnsi="黑体" w:eastAsia="黑体"/>
        </w:rPr>
        <w:t>交换枢纽</w:t>
      </w:r>
      <w:r>
        <w:rPr>
          <w:rFonts w:hint="eastAsia" w:ascii="黑体" w:hAnsi="黑体" w:eastAsia="黑体"/>
          <w:lang w:val="en-US" w:eastAsia="zh-CN"/>
        </w:rPr>
        <w:t xml:space="preserve"> </w:t>
      </w:r>
      <w:r>
        <w:rPr>
          <w:rFonts w:hint="eastAsia" w:ascii="黑体" w:hAnsi="黑体" w:eastAsia="黑体"/>
        </w:rPr>
        <w:t xml:space="preserve"> </w:t>
      </w:r>
      <w:r>
        <w:rPr>
          <w:rFonts w:ascii="黑体" w:hAnsi="黑体" w:eastAsia="黑体"/>
        </w:rPr>
        <w:t xml:space="preserve">government </w:t>
      </w:r>
      <w:r>
        <w:rPr>
          <w:rFonts w:hint="eastAsia" w:ascii="黑体" w:hAnsi="黑体" w:eastAsia="黑体"/>
        </w:rPr>
        <w:t>data</w:t>
      </w:r>
      <w:r>
        <w:rPr>
          <w:rFonts w:ascii="黑体" w:hAnsi="黑体" w:eastAsia="黑体"/>
        </w:rPr>
        <w:t xml:space="preserve"> resource</w:t>
      </w:r>
      <w:r>
        <w:rPr>
          <w:rFonts w:hint="eastAsia" w:ascii="黑体" w:hAnsi="黑体" w:eastAsia="黑体"/>
        </w:rPr>
        <w:t>s</w:t>
      </w:r>
      <w:r>
        <w:rPr>
          <w:rFonts w:ascii="黑体" w:hAnsi="黑体" w:eastAsia="黑体"/>
        </w:rPr>
        <w:t xml:space="preserve"> sharing</w:t>
      </w:r>
      <w:r>
        <w:rPr>
          <w:rFonts w:hint="eastAsia" w:ascii="黑体" w:hAnsi="黑体" w:eastAsia="黑体"/>
        </w:rPr>
        <w:t xml:space="preserve"> </w:t>
      </w:r>
      <w:r>
        <w:rPr>
          <w:rFonts w:ascii="黑体" w:hAnsi="黑体" w:eastAsia="黑体"/>
        </w:rPr>
        <w:t>and exchange hub</w:t>
      </w:r>
    </w:p>
    <w:p>
      <w:pPr>
        <w:pStyle w:val="54"/>
        <w:ind w:firstLine="420"/>
      </w:pPr>
      <w:r>
        <w:rPr>
          <w:rFonts w:ascii="Segoe UI" w:hAnsi="Segoe UI" w:cs="Segoe UI"/>
          <w:color w:val="404040"/>
        </w:rPr>
        <w:t>依托电子政务外网构建的核心</w:t>
      </w:r>
      <w:r>
        <w:rPr>
          <w:rFonts w:hint="eastAsia" w:ascii="Segoe UI" w:hAnsi="Segoe UI" w:cs="Segoe UI"/>
          <w:color w:val="404040"/>
        </w:rPr>
        <w:t>枢纽</w:t>
      </w:r>
      <w:r>
        <w:rPr>
          <w:rFonts w:ascii="Segoe UI" w:hAnsi="Segoe UI" w:cs="Segoe UI"/>
          <w:color w:val="404040"/>
        </w:rPr>
        <w:t>，旨在满足各级政务管理和服务机构跨区域、跨部门、跨层级的数据共享需求。支持政务管理和服务机构发布资源，并实现资源的检索、申请和订阅功能，是开展非涉密政务数据资源共享交换的</w:t>
      </w:r>
      <w:r>
        <w:rPr>
          <w:rFonts w:hint="eastAsia" w:ascii="Segoe UI" w:hAnsi="Segoe UI" w:cs="Segoe UI"/>
          <w:color w:val="404040"/>
        </w:rPr>
        <w:t>枢纽。</w:t>
      </w:r>
    </w:p>
    <w:p>
      <w:pPr>
        <w:pStyle w:val="54"/>
        <w:ind w:firstLine="360"/>
        <w:jc w:val="left"/>
        <w:rPr>
          <w:sz w:val="18"/>
          <w:szCs w:val="18"/>
        </w:rPr>
      </w:pPr>
      <w:r>
        <w:rPr>
          <w:rFonts w:hint="eastAsia" w:ascii="黑体" w:hAnsi="黑体" w:eastAsia="黑体"/>
          <w:sz w:val="18"/>
          <w:szCs w:val="18"/>
        </w:rPr>
        <w:t>注：</w:t>
      </w:r>
      <w:r>
        <w:rPr>
          <w:rFonts w:hint="eastAsia"/>
          <w:sz w:val="18"/>
          <w:szCs w:val="18"/>
        </w:rPr>
        <w:t>以下简称“共享交换枢纽”。</w:t>
      </w:r>
    </w:p>
    <w:p>
      <w:pPr>
        <w:pStyle w:val="66"/>
        <w:spacing w:before="0" w:after="0" w:line="240" w:lineRule="auto"/>
        <w:ind w:left="420" w:hanging="420" w:hangingChars="200"/>
        <w:rPr>
          <w:rFonts w:ascii="黑体" w:hAnsi="黑体" w:eastAsia="黑体"/>
        </w:rPr>
      </w:pPr>
      <w:r>
        <w:rPr>
          <w:rFonts w:ascii="黑体" w:hAnsi="黑体" w:eastAsia="黑体"/>
        </w:rPr>
        <w:t>3.2</w:t>
      </w:r>
    </w:p>
    <w:p>
      <w:pPr>
        <w:pStyle w:val="66"/>
        <w:spacing w:before="0" w:after="0" w:line="240" w:lineRule="auto"/>
        <w:rPr>
          <w:rFonts w:ascii="黑体" w:hAnsi="黑体" w:eastAsia="黑体"/>
        </w:rPr>
      </w:pPr>
      <w:r>
        <w:rPr>
          <w:rFonts w:hint="eastAsia" w:ascii="黑体" w:hAnsi="黑体" w:eastAsia="黑体"/>
        </w:rPr>
        <w:t xml:space="preserve">级联 </w:t>
      </w:r>
      <w:r>
        <w:rPr>
          <w:rFonts w:hint="eastAsia" w:ascii="黑体" w:hAnsi="黑体" w:eastAsia="黑体"/>
          <w:lang w:val="en-US" w:eastAsia="zh-CN"/>
        </w:rPr>
        <w:t xml:space="preserve"> </w:t>
      </w:r>
      <w:r>
        <w:rPr>
          <w:rFonts w:hint="eastAsia" w:ascii="黑体" w:hAnsi="黑体" w:eastAsia="黑体"/>
        </w:rPr>
        <w:t>cascade</w:t>
      </w:r>
    </w:p>
    <w:p>
      <w:pPr>
        <w:pStyle w:val="54"/>
        <w:ind w:firstLine="420"/>
      </w:pPr>
      <w:r>
        <w:t>市、区县两级共享交换枢纽之间按照既定规则和流程，开展政务数据传递、关联及共享的过程</w:t>
      </w:r>
      <w:r>
        <w:rPr>
          <w:rFonts w:hint="eastAsia" w:ascii="Segoe UI" w:hAnsi="Segoe UI" w:cs="Segoe UI"/>
          <w:shd w:val="clear" w:color="auto" w:fill="FFFFFF"/>
        </w:rPr>
        <w:t>。</w:t>
      </w:r>
    </w:p>
    <w:p>
      <w:pPr>
        <w:pStyle w:val="66"/>
        <w:spacing w:before="0" w:after="0" w:line="240" w:lineRule="auto"/>
        <w:ind w:left="420" w:hanging="420" w:hangingChars="200"/>
        <w:rPr>
          <w:rFonts w:ascii="黑体" w:hAnsi="黑体" w:eastAsia="黑体"/>
        </w:rPr>
      </w:pPr>
      <w:r>
        <w:rPr>
          <w:rFonts w:ascii="黑体" w:hAnsi="黑体" w:eastAsia="黑体"/>
        </w:rPr>
        <w:t>3.3</w:t>
      </w:r>
    </w:p>
    <w:p>
      <w:pPr>
        <w:pStyle w:val="66"/>
        <w:spacing w:before="0" w:after="0" w:line="240" w:lineRule="auto"/>
        <w:rPr>
          <w:rFonts w:ascii="黑体" w:hAnsi="黑体" w:eastAsia="黑体"/>
        </w:rPr>
      </w:pPr>
      <w:r>
        <w:rPr>
          <w:rFonts w:hint="eastAsia" w:ascii="黑体" w:hAnsi="黑体" w:eastAsia="黑体"/>
        </w:rPr>
        <w:t xml:space="preserve">机构前置节点 </w:t>
      </w:r>
      <w:r>
        <w:rPr>
          <w:rFonts w:hint="eastAsia" w:ascii="黑体" w:hAnsi="黑体" w:eastAsia="黑体"/>
          <w:lang w:val="en-US" w:eastAsia="zh-CN"/>
        </w:rPr>
        <w:t xml:space="preserve"> </w:t>
      </w:r>
      <w:r>
        <w:rPr>
          <w:rFonts w:hint="eastAsia" w:ascii="黑体" w:hAnsi="黑体" w:eastAsia="黑体"/>
        </w:rPr>
        <w:t>ins</w:t>
      </w:r>
      <w:r>
        <w:rPr>
          <w:rFonts w:ascii="黑体" w:hAnsi="黑体" w:eastAsia="黑体"/>
        </w:rPr>
        <w:t>titution front node</w:t>
      </w:r>
    </w:p>
    <w:p>
      <w:pPr>
        <w:pStyle w:val="54"/>
        <w:ind w:firstLine="420"/>
      </w:pPr>
      <w:r>
        <w:rPr>
          <w:rFonts w:hint="eastAsia"/>
        </w:rPr>
        <w:t>部署在政务管理和服务机构侧，与本级共享交换枢纽对接</w:t>
      </w:r>
      <w:r>
        <w:rPr>
          <w:rFonts w:hint="eastAsia"/>
          <w:lang w:eastAsia="zh-CN"/>
        </w:rPr>
        <w:t>，</w:t>
      </w:r>
      <w:r>
        <w:rPr>
          <w:rFonts w:hint="eastAsia"/>
        </w:rPr>
        <w:t>用于交换和共享数据的软硬件设施。</w:t>
      </w:r>
    </w:p>
    <w:p>
      <w:pPr>
        <w:pStyle w:val="54"/>
        <w:ind w:firstLine="420"/>
      </w:pPr>
      <w:r>
        <w:rPr>
          <w:rFonts w:hint="eastAsia"/>
        </w:rPr>
        <w:t>[来源：DB32／T</w:t>
      </w:r>
      <w:r>
        <w:t xml:space="preserve"> </w:t>
      </w:r>
      <w:r>
        <w:rPr>
          <w:rFonts w:hint="eastAsia"/>
        </w:rPr>
        <w:t>4608.2，3</w:t>
      </w:r>
      <w:r>
        <w:t>.4]</w:t>
      </w:r>
    </w:p>
    <w:p>
      <w:pPr>
        <w:pStyle w:val="66"/>
        <w:spacing w:before="0" w:after="0" w:line="240" w:lineRule="auto"/>
        <w:ind w:left="420" w:hanging="420" w:hangingChars="200"/>
        <w:rPr>
          <w:rFonts w:ascii="黑体" w:hAnsi="黑体" w:eastAsia="黑体"/>
        </w:rPr>
      </w:pPr>
      <w:r>
        <w:rPr>
          <w:rFonts w:ascii="黑体" w:hAnsi="黑体" w:eastAsia="黑体"/>
        </w:rPr>
        <w:t>3.4</w:t>
      </w:r>
    </w:p>
    <w:p>
      <w:pPr>
        <w:pStyle w:val="66"/>
        <w:spacing w:before="0" w:after="0" w:line="240" w:lineRule="auto"/>
        <w:rPr>
          <w:rFonts w:ascii="黑体" w:hAnsi="黑体" w:eastAsia="黑体"/>
        </w:rPr>
      </w:pPr>
      <w:r>
        <w:rPr>
          <w:rFonts w:hint="eastAsia" w:ascii="黑体" w:hAnsi="黑体" w:eastAsia="黑体"/>
        </w:rPr>
        <w:t xml:space="preserve">机构前置库 </w:t>
      </w:r>
      <w:r>
        <w:rPr>
          <w:rFonts w:hint="eastAsia" w:ascii="黑体" w:hAnsi="黑体" w:eastAsia="黑体"/>
          <w:lang w:val="en-US" w:eastAsia="zh-CN"/>
        </w:rPr>
        <w:t xml:space="preserve"> </w:t>
      </w:r>
      <w:r>
        <w:rPr>
          <w:rFonts w:hint="eastAsia" w:ascii="黑体" w:hAnsi="黑体" w:eastAsia="黑体"/>
        </w:rPr>
        <w:t>ins</w:t>
      </w:r>
      <w:r>
        <w:rPr>
          <w:rFonts w:ascii="黑体" w:hAnsi="黑体" w:eastAsia="黑体"/>
        </w:rPr>
        <w:t>titution front database</w:t>
      </w:r>
    </w:p>
    <w:p>
      <w:pPr>
        <w:pStyle w:val="54"/>
        <w:ind w:firstLine="420"/>
      </w:pPr>
      <w:r>
        <w:rPr>
          <w:rFonts w:hint="eastAsia"/>
        </w:rPr>
        <w:t>部署在政务管理和服务机构侧</w:t>
      </w:r>
      <w:r>
        <w:rPr>
          <w:rFonts w:hint="eastAsia"/>
          <w:lang w:eastAsia="zh-CN"/>
        </w:rPr>
        <w:t>，</w:t>
      </w:r>
      <w:r>
        <w:rPr>
          <w:rFonts w:hint="eastAsia"/>
        </w:rPr>
        <w:t>连通机构前置节点</w:t>
      </w:r>
      <w:r>
        <w:rPr>
          <w:rFonts w:hint="eastAsia"/>
          <w:lang w:eastAsia="zh-CN"/>
        </w:rPr>
        <w:t>，</w:t>
      </w:r>
      <w:r>
        <w:rPr>
          <w:rFonts w:hint="eastAsia"/>
        </w:rPr>
        <w:t>与机构业务库桥接的独立数据库。</w:t>
      </w:r>
    </w:p>
    <w:p>
      <w:pPr>
        <w:pStyle w:val="54"/>
        <w:ind w:firstLine="420"/>
      </w:pPr>
      <w:r>
        <w:rPr>
          <w:rFonts w:hint="eastAsia"/>
        </w:rPr>
        <w:t>[来源：DB32／T</w:t>
      </w:r>
      <w:r>
        <w:t xml:space="preserve"> </w:t>
      </w:r>
      <w:r>
        <w:rPr>
          <w:rFonts w:hint="eastAsia"/>
        </w:rPr>
        <w:t>4608.2，3</w:t>
      </w:r>
      <w:r>
        <w:t>.5]</w:t>
      </w:r>
    </w:p>
    <w:p>
      <w:pPr>
        <w:pStyle w:val="66"/>
        <w:spacing w:before="0" w:after="0" w:line="240" w:lineRule="auto"/>
        <w:ind w:left="420" w:hanging="420" w:hangingChars="200"/>
        <w:rPr>
          <w:rFonts w:ascii="黑体" w:hAnsi="黑体" w:eastAsia="黑体"/>
        </w:rPr>
      </w:pPr>
      <w:r>
        <w:rPr>
          <w:rFonts w:ascii="黑体" w:hAnsi="黑体" w:eastAsia="黑体"/>
        </w:rPr>
        <w:t>3.5</w:t>
      </w:r>
    </w:p>
    <w:p>
      <w:pPr>
        <w:pStyle w:val="66"/>
        <w:spacing w:before="0" w:after="0" w:line="240" w:lineRule="auto"/>
        <w:rPr>
          <w:rFonts w:ascii="黑体" w:hAnsi="黑体" w:eastAsia="黑体"/>
        </w:rPr>
      </w:pPr>
      <w:r>
        <w:rPr>
          <w:rFonts w:hint="eastAsia" w:ascii="黑体" w:hAnsi="黑体" w:eastAsia="黑体"/>
        </w:rPr>
        <w:t xml:space="preserve">中心前置节点 </w:t>
      </w:r>
      <w:r>
        <w:rPr>
          <w:rFonts w:hint="eastAsia" w:ascii="黑体" w:hAnsi="黑体" w:eastAsia="黑体"/>
          <w:lang w:val="en-US" w:eastAsia="zh-CN"/>
        </w:rPr>
        <w:t xml:space="preserve"> </w:t>
      </w:r>
      <w:r>
        <w:rPr>
          <w:rFonts w:ascii="黑体" w:hAnsi="黑体" w:eastAsia="黑体"/>
        </w:rPr>
        <w:t>center front node</w:t>
      </w:r>
    </w:p>
    <w:p>
      <w:pPr>
        <w:pStyle w:val="54"/>
        <w:ind w:firstLine="420"/>
      </w:pPr>
      <w:r>
        <w:rPr>
          <w:rFonts w:hint="eastAsia"/>
        </w:rPr>
        <w:t>部署在市、区县两级共享交换枢纽侧</w:t>
      </w:r>
      <w:r>
        <w:rPr>
          <w:rFonts w:hint="eastAsia"/>
          <w:lang w:eastAsia="zh-CN"/>
        </w:rPr>
        <w:t>，</w:t>
      </w:r>
      <w:r>
        <w:rPr>
          <w:rFonts w:hint="eastAsia"/>
        </w:rPr>
        <w:t>用于接收和共享数据的软硬件设施。</w:t>
      </w:r>
    </w:p>
    <w:p>
      <w:pPr>
        <w:pStyle w:val="54"/>
        <w:ind w:firstLine="420"/>
      </w:pPr>
      <w:r>
        <w:rPr>
          <w:rFonts w:hint="eastAsia"/>
        </w:rPr>
        <w:t>[来源：DB32／T</w:t>
      </w:r>
      <w:r>
        <w:t xml:space="preserve"> </w:t>
      </w:r>
      <w:r>
        <w:rPr>
          <w:rFonts w:hint="eastAsia"/>
        </w:rPr>
        <w:t>4608.2，3</w:t>
      </w:r>
      <w:r>
        <w:t>.6]</w:t>
      </w:r>
    </w:p>
    <w:p>
      <w:pPr>
        <w:pStyle w:val="66"/>
        <w:spacing w:before="0" w:after="0" w:line="240" w:lineRule="auto"/>
        <w:ind w:left="420" w:hanging="420" w:hangingChars="200"/>
        <w:rPr>
          <w:rFonts w:ascii="黑体" w:hAnsi="黑体" w:eastAsia="黑体"/>
        </w:rPr>
      </w:pPr>
      <w:r>
        <w:rPr>
          <w:rFonts w:ascii="黑体" w:hAnsi="黑体" w:eastAsia="黑体"/>
        </w:rPr>
        <w:t>3.6</w:t>
      </w:r>
    </w:p>
    <w:p>
      <w:pPr>
        <w:pStyle w:val="66"/>
        <w:spacing w:before="0" w:after="0" w:line="240" w:lineRule="auto"/>
        <w:rPr>
          <w:rFonts w:ascii="黑体" w:hAnsi="黑体" w:eastAsia="黑体"/>
        </w:rPr>
      </w:pPr>
      <w:r>
        <w:rPr>
          <w:rFonts w:hint="eastAsia" w:ascii="黑体" w:hAnsi="黑体" w:eastAsia="黑体"/>
        </w:rPr>
        <w:t xml:space="preserve">中心前置库 </w:t>
      </w:r>
      <w:r>
        <w:rPr>
          <w:rFonts w:hint="eastAsia" w:ascii="黑体" w:hAnsi="黑体" w:eastAsia="黑体"/>
          <w:lang w:val="en-US" w:eastAsia="zh-CN"/>
        </w:rPr>
        <w:t xml:space="preserve"> </w:t>
      </w:r>
      <w:r>
        <w:rPr>
          <w:rFonts w:ascii="黑体" w:hAnsi="黑体" w:eastAsia="黑体"/>
        </w:rPr>
        <w:t>center front database</w:t>
      </w:r>
    </w:p>
    <w:p>
      <w:pPr>
        <w:pStyle w:val="54"/>
        <w:ind w:firstLine="420"/>
      </w:pPr>
      <w:r>
        <w:rPr>
          <w:rFonts w:hint="eastAsia"/>
        </w:rPr>
        <w:t>部署在市、区县两级共享交换枢纽侧</w:t>
      </w:r>
      <w:r>
        <w:rPr>
          <w:rFonts w:hint="eastAsia"/>
          <w:lang w:eastAsia="zh-CN"/>
        </w:rPr>
        <w:t>，</w:t>
      </w:r>
      <w:r>
        <w:rPr>
          <w:rFonts w:hint="eastAsia"/>
        </w:rPr>
        <w:t>连通中心前置节点</w:t>
      </w:r>
      <w:r>
        <w:rPr>
          <w:rFonts w:hint="eastAsia"/>
          <w:lang w:eastAsia="zh-CN"/>
        </w:rPr>
        <w:t>，</w:t>
      </w:r>
      <w:r>
        <w:rPr>
          <w:rFonts w:hint="eastAsia"/>
        </w:rPr>
        <w:t>用于接收和共享数据的独立数据库。</w:t>
      </w:r>
    </w:p>
    <w:p>
      <w:pPr>
        <w:pStyle w:val="54"/>
        <w:ind w:firstLine="420"/>
      </w:pPr>
      <w:r>
        <w:rPr>
          <w:rFonts w:hint="eastAsia"/>
        </w:rPr>
        <w:t>[来源：DB32／T</w:t>
      </w:r>
      <w:r>
        <w:t xml:space="preserve"> </w:t>
      </w:r>
      <w:r>
        <w:rPr>
          <w:rFonts w:hint="eastAsia"/>
        </w:rPr>
        <w:t>4608.2，3</w:t>
      </w:r>
      <w:r>
        <w:t>.7]</w:t>
      </w:r>
    </w:p>
    <w:bookmarkEnd w:id="43"/>
    <w:p>
      <w:pPr>
        <w:pStyle w:val="71"/>
        <w:spacing w:before="312" w:after="312"/>
        <w:rPr>
          <w:szCs w:val="21"/>
        </w:rPr>
      </w:pPr>
      <w:bookmarkStart w:id="46" w:name="_Toc190698136"/>
      <w:bookmarkStart w:id="47" w:name="_Toc176427785"/>
      <w:r>
        <w:rPr>
          <w:rFonts w:hint="eastAsia"/>
          <w:szCs w:val="21"/>
        </w:rPr>
        <w:t>总体要求</w:t>
      </w:r>
      <w:bookmarkEnd w:id="46"/>
    </w:p>
    <w:p>
      <w:pPr>
        <w:ind w:firstLine="420"/>
        <w:rPr>
          <w:rFonts w:hAnsiTheme="minorEastAsia" w:cstheme="minorEastAsia"/>
          <w:szCs w:val="21"/>
        </w:rPr>
      </w:pPr>
      <w:r>
        <w:rPr>
          <w:rFonts w:hAnsiTheme="minorEastAsia" w:cstheme="minorEastAsia"/>
          <w:szCs w:val="21"/>
        </w:rPr>
        <w:t>本</w:t>
      </w:r>
      <w:r>
        <w:rPr>
          <w:rFonts w:hint="eastAsia" w:hAnsiTheme="minorEastAsia" w:cstheme="minorEastAsia"/>
          <w:szCs w:val="21"/>
        </w:rPr>
        <w:t>文件</w:t>
      </w:r>
      <w:r>
        <w:rPr>
          <w:rFonts w:hAnsiTheme="minorEastAsia" w:cstheme="minorEastAsia"/>
          <w:szCs w:val="21"/>
        </w:rPr>
        <w:t>的总体要求是为政务数据资源的</w:t>
      </w:r>
      <w:r>
        <w:rPr>
          <w:rFonts w:hint="eastAsia" w:hAnsiTheme="minorEastAsia" w:cstheme="minorEastAsia"/>
          <w:szCs w:val="21"/>
        </w:rPr>
        <w:t>级联</w:t>
      </w:r>
      <w:r>
        <w:rPr>
          <w:rFonts w:hAnsiTheme="minorEastAsia" w:cstheme="minorEastAsia"/>
          <w:szCs w:val="21"/>
        </w:rPr>
        <w:t>提供统一的标准和框架。通过本</w:t>
      </w:r>
      <w:r>
        <w:rPr>
          <w:rFonts w:hint="eastAsia" w:hAnsiTheme="minorEastAsia" w:cstheme="minorEastAsia"/>
          <w:szCs w:val="21"/>
        </w:rPr>
        <w:t>文件</w:t>
      </w:r>
      <w:r>
        <w:rPr>
          <w:rFonts w:hAnsiTheme="minorEastAsia" w:cstheme="minorEastAsia"/>
          <w:szCs w:val="21"/>
        </w:rPr>
        <w:t>的实施，</w:t>
      </w:r>
      <w:r>
        <w:rPr>
          <w:rFonts w:hint="eastAsia" w:hAnsiTheme="minorEastAsia" w:cstheme="minorEastAsia"/>
          <w:szCs w:val="21"/>
        </w:rPr>
        <w:t>推动</w:t>
      </w:r>
      <w:r>
        <w:rPr>
          <w:rFonts w:hAnsiTheme="minorEastAsia" w:cstheme="minorEastAsia"/>
          <w:szCs w:val="21"/>
        </w:rPr>
        <w:t>市级及各</w:t>
      </w:r>
      <w:r>
        <w:rPr>
          <w:rFonts w:hint="eastAsia" w:hAnsiTheme="minorEastAsia" w:cstheme="minorEastAsia"/>
          <w:szCs w:val="21"/>
        </w:rPr>
        <w:t>区县</w:t>
      </w:r>
      <w:r>
        <w:rPr>
          <w:rFonts w:hAnsiTheme="minorEastAsia" w:cstheme="minorEastAsia"/>
          <w:szCs w:val="21"/>
        </w:rPr>
        <w:t>政务部门能够规范、高效、安全地进行数据资源的整合</w:t>
      </w:r>
      <w:r>
        <w:rPr>
          <w:rFonts w:hint="eastAsia" w:hAnsiTheme="minorEastAsia" w:cstheme="minorEastAsia"/>
          <w:szCs w:val="21"/>
        </w:rPr>
        <w:t>、</w:t>
      </w:r>
      <w:r>
        <w:rPr>
          <w:rFonts w:hAnsiTheme="minorEastAsia" w:cstheme="minorEastAsia"/>
          <w:szCs w:val="21"/>
        </w:rPr>
        <w:t>共享</w:t>
      </w:r>
      <w:r>
        <w:rPr>
          <w:rFonts w:hint="eastAsia" w:hAnsiTheme="minorEastAsia" w:cstheme="minorEastAsia"/>
          <w:szCs w:val="21"/>
        </w:rPr>
        <w:t>和交换</w:t>
      </w:r>
      <w:r>
        <w:rPr>
          <w:rFonts w:hAnsiTheme="minorEastAsia" w:cstheme="minorEastAsia"/>
          <w:szCs w:val="21"/>
        </w:rPr>
        <w:t>。具体要求如下：</w:t>
      </w:r>
    </w:p>
    <w:p>
      <w:pPr>
        <w:pStyle w:val="31"/>
        <w:numPr>
          <w:ilvl w:val="0"/>
          <w:numId w:val="11"/>
        </w:numPr>
      </w:pPr>
      <w:r>
        <w:t>数据整合与互联互通</w:t>
      </w:r>
      <w:r>
        <w:rPr>
          <w:rFonts w:hint="eastAsia"/>
        </w:rPr>
        <w:t>。</w:t>
      </w:r>
      <w:r>
        <w:t>各级政务部门按照统一的目录标准对数据进行整合，</w:t>
      </w:r>
      <w:r>
        <w:rPr>
          <w:rFonts w:hint="eastAsia"/>
        </w:rPr>
        <w:t>实现</w:t>
      </w:r>
      <w:r>
        <w:t>市级与</w:t>
      </w:r>
      <w:r>
        <w:rPr>
          <w:rFonts w:hint="eastAsia"/>
        </w:rPr>
        <w:t>区县</w:t>
      </w:r>
      <w:r>
        <w:t>级</w:t>
      </w:r>
      <w:r>
        <w:rPr>
          <w:rFonts w:hint="eastAsia"/>
        </w:rPr>
        <w:t>共享交换枢纽</w:t>
      </w:r>
      <w:r>
        <w:t>之间的互联互通，实现跨部门、跨层级、跨区域的数据共享</w:t>
      </w:r>
      <w:r>
        <w:rPr>
          <w:rFonts w:hint="eastAsia"/>
        </w:rPr>
        <w:t>；</w:t>
      </w:r>
    </w:p>
    <w:p>
      <w:pPr>
        <w:pStyle w:val="31"/>
        <w:numPr>
          <w:ilvl w:val="0"/>
          <w:numId w:val="11"/>
        </w:numPr>
      </w:pPr>
      <w:r>
        <w:t>数据目录和资源的标准化</w:t>
      </w:r>
      <w:r>
        <w:rPr>
          <w:rFonts w:hint="eastAsia"/>
        </w:rPr>
        <w:t>。</w:t>
      </w:r>
      <w:r>
        <w:t>共享和交换的数据符合统一的元数据标准，</w:t>
      </w:r>
      <w:r>
        <w:rPr>
          <w:rFonts w:hint="eastAsia"/>
        </w:rPr>
        <w:t>保障</w:t>
      </w:r>
      <w:r>
        <w:t>数据目录的完整性、准确性和一致性</w:t>
      </w:r>
      <w:r>
        <w:rPr>
          <w:rFonts w:hint="eastAsia"/>
        </w:rPr>
        <w:t>；</w:t>
      </w:r>
    </w:p>
    <w:p>
      <w:pPr>
        <w:pStyle w:val="31"/>
        <w:numPr>
          <w:ilvl w:val="0"/>
          <w:numId w:val="11"/>
        </w:numPr>
      </w:pPr>
      <w:r>
        <w:t>数据安全与合规管理</w:t>
      </w:r>
      <w:r>
        <w:rPr>
          <w:rFonts w:hint="eastAsia"/>
        </w:rPr>
        <w:t>。</w:t>
      </w:r>
      <w:r>
        <w:t>在数据交换过程中，各方严格遵守国家和地方政府的法律法规，特别是关于数据安全、个人隐私保护、信息加密与防篡改等方面的要求</w:t>
      </w:r>
      <w:r>
        <w:rPr>
          <w:rFonts w:hint="eastAsia"/>
        </w:rPr>
        <w:t>；</w:t>
      </w:r>
    </w:p>
    <w:p>
      <w:pPr>
        <w:pStyle w:val="31"/>
        <w:numPr>
          <w:ilvl w:val="0"/>
          <w:numId w:val="11"/>
        </w:numPr>
      </w:pPr>
      <w:r>
        <w:t>技术支持与</w:t>
      </w:r>
      <w:r>
        <w:rPr>
          <w:rFonts w:hint="eastAsia"/>
        </w:rPr>
        <w:t>枢纽</w:t>
      </w:r>
      <w:r>
        <w:t>建设</w:t>
      </w:r>
      <w:r>
        <w:rPr>
          <w:rFonts w:hint="eastAsia"/>
        </w:rPr>
        <w:t>。</w:t>
      </w:r>
      <w:r>
        <w:t>提供健全的技术支持和共享</w:t>
      </w:r>
      <w:r>
        <w:rPr>
          <w:rFonts w:hint="eastAsia"/>
        </w:rPr>
        <w:t>交换枢纽</w:t>
      </w:r>
      <w:r>
        <w:t>，确保各方能够顺利进行数据交换、更新与维护</w:t>
      </w:r>
      <w:r>
        <w:rPr>
          <w:rFonts w:hint="eastAsia"/>
        </w:rPr>
        <w:t>；</w:t>
      </w:r>
    </w:p>
    <w:p>
      <w:pPr>
        <w:pStyle w:val="31"/>
        <w:numPr>
          <w:ilvl w:val="0"/>
          <w:numId w:val="11"/>
        </w:numPr>
      </w:pPr>
      <w:r>
        <w:t>持续更新与动态优化</w:t>
      </w:r>
      <w:r>
        <w:rPr>
          <w:rFonts w:hint="eastAsia"/>
        </w:rPr>
        <w:t>。</w:t>
      </w:r>
      <w:r>
        <w:t>本</w:t>
      </w:r>
      <w:r>
        <w:rPr>
          <w:rFonts w:hint="eastAsia"/>
        </w:rPr>
        <w:t>文件</w:t>
      </w:r>
      <w:r>
        <w:t>应根据技术发展、政策变化及实际需求进行定期更新，确保标准的先进性与适应性。</w:t>
      </w:r>
    </w:p>
    <w:bookmarkEnd w:id="47"/>
    <w:p>
      <w:pPr>
        <w:pStyle w:val="71"/>
        <w:spacing w:before="312" w:after="312"/>
        <w:rPr>
          <w:lang w:eastAsia="zh-Hans"/>
        </w:rPr>
      </w:pPr>
      <w:bookmarkStart w:id="48" w:name="_Toc190698137"/>
      <w:r>
        <w:rPr>
          <w:rFonts w:hint="eastAsia"/>
          <w:lang w:eastAsia="zh-Hans"/>
        </w:rPr>
        <w:t>级联架构</w:t>
      </w:r>
      <w:bookmarkEnd w:id="48"/>
    </w:p>
    <w:p>
      <w:pPr>
        <w:pStyle w:val="70"/>
        <w:spacing w:before="156" w:after="156"/>
        <w:rPr>
          <w:lang w:eastAsia="zh-Hans"/>
        </w:rPr>
      </w:pPr>
      <w:bookmarkStart w:id="49" w:name="_Toc190698138"/>
      <w:r>
        <w:rPr>
          <w:rFonts w:hint="eastAsia"/>
          <w:lang w:eastAsia="zh-Hans"/>
        </w:rPr>
        <w:t>总体架构</w:t>
      </w:r>
      <w:bookmarkEnd w:id="49"/>
    </w:p>
    <w:p>
      <w:pPr>
        <w:ind w:firstLine="420"/>
        <w:rPr>
          <w:rFonts w:hAnsiTheme="minorEastAsia" w:cstheme="minorEastAsia"/>
          <w:szCs w:val="21"/>
        </w:rPr>
      </w:pPr>
      <w:r>
        <w:rPr>
          <w:rFonts w:hint="eastAsia"/>
        </w:rPr>
        <w:t>共享交换枢纽</w:t>
      </w:r>
      <w:r>
        <w:rPr>
          <w:rFonts w:hint="eastAsia" w:hAnsiTheme="minorEastAsia" w:cstheme="minorEastAsia"/>
          <w:szCs w:val="21"/>
        </w:rPr>
        <w:t>体系由市共享交换枢纽、区县共享交换枢纽两级平台组成，并且满足GB/</w:t>
      </w:r>
      <w:r>
        <w:rPr>
          <w:rFonts w:hAnsiTheme="minorEastAsia" w:cstheme="minorEastAsia"/>
          <w:szCs w:val="21"/>
        </w:rPr>
        <w:t>T 39477</w:t>
      </w:r>
      <w:r>
        <w:rPr>
          <w:rFonts w:hint="eastAsia" w:hAnsiTheme="minorEastAsia" w:cstheme="minorEastAsia"/>
          <w:szCs w:val="21"/>
        </w:rPr>
        <w:t>中共享数据交换安全要求。两级共享交换枢纽横向连通所辖区域政务部门的政务数据资源，通过级联实现纵向两级平台对接，整体形成横向联动、纵向贯通的数据共享交换体系。</w:t>
      </w:r>
      <w:bookmarkStart w:id="50" w:name="_Toc148373357"/>
      <w:r>
        <w:rPr>
          <w:rFonts w:hint="eastAsia" w:hAnsiTheme="minorEastAsia" w:cstheme="minorEastAsia"/>
          <w:szCs w:val="21"/>
        </w:rPr>
        <w:t>总体框架图见图1。</w:t>
      </w:r>
    </w:p>
    <w:p>
      <w:pPr>
        <w:ind w:firstLine="420"/>
      </w:pPr>
      <w:r>
        <w:rPr>
          <w:rFonts w:hint="eastAsia"/>
        </w:rPr>
        <w:t>政务数据资源共享交换场景说明如下：</w:t>
      </w:r>
    </w:p>
    <w:p>
      <w:pPr>
        <w:pStyle w:val="31"/>
        <w:numPr>
          <w:ilvl w:val="0"/>
          <w:numId w:val="12"/>
        </w:numPr>
      </w:pPr>
      <w:r>
        <w:rPr>
          <w:rFonts w:hint="eastAsia"/>
        </w:rPr>
        <w:t>市/区县本级跨部门共享交换，实现市/区县各部门之间资源申请、数据共享交换。例如：市公安局申请市民政局的资源；</w:t>
      </w:r>
    </w:p>
    <w:p>
      <w:pPr>
        <w:pStyle w:val="31"/>
        <w:numPr>
          <w:ilvl w:val="0"/>
          <w:numId w:val="12"/>
        </w:numPr>
      </w:pPr>
      <w:r>
        <w:t>跨层级共享交换，实现</w:t>
      </w:r>
      <w:r>
        <w:rPr>
          <w:rFonts w:hint="eastAsia"/>
        </w:rPr>
        <w:t>市、区县</w:t>
      </w:r>
      <w:r>
        <w:t>两级部门资源申请、数据共享交换。例如：</w:t>
      </w:r>
      <w:r>
        <w:rPr>
          <w:rFonts w:hint="eastAsia"/>
        </w:rPr>
        <w:t>区县民政局</w:t>
      </w:r>
      <w:r>
        <w:t>申请</w:t>
      </w:r>
      <w:r>
        <w:rPr>
          <w:rFonts w:hint="eastAsia"/>
        </w:rPr>
        <w:t>市</w:t>
      </w:r>
      <w:r>
        <w:t>公安</w:t>
      </w:r>
      <w:r>
        <w:rPr>
          <w:rFonts w:hint="eastAsia"/>
        </w:rPr>
        <w:t>局</w:t>
      </w:r>
      <w:r>
        <w:t>的资源；</w:t>
      </w:r>
    </w:p>
    <w:p>
      <w:pPr>
        <w:pStyle w:val="31"/>
        <w:numPr>
          <w:ilvl w:val="0"/>
          <w:numId w:val="12"/>
        </w:numPr>
      </w:pPr>
      <w:r>
        <w:t>跨区域共享交换，实现跨</w:t>
      </w:r>
      <w:r>
        <w:rPr>
          <w:rFonts w:hint="eastAsia"/>
        </w:rPr>
        <w:t>区县</w:t>
      </w:r>
      <w:r>
        <w:t>间的资源申请、数据共享交换。例如：</w:t>
      </w:r>
      <w:r>
        <w:rPr>
          <w:rFonts w:hint="eastAsia"/>
        </w:rPr>
        <w:t>区县民政局</w:t>
      </w:r>
      <w:r>
        <w:t>申请</w:t>
      </w:r>
      <w:r>
        <w:rPr>
          <w:rFonts w:hint="eastAsia"/>
        </w:rPr>
        <w:t>其他区县民政局</w:t>
      </w:r>
      <w:r>
        <w:t>的资源。</w:t>
      </w:r>
    </w:p>
    <w:p>
      <w:pPr>
        <w:widowControl/>
        <w:spacing w:before="100" w:beforeAutospacing="1" w:after="100" w:afterAutospacing="1"/>
        <w:ind w:firstLine="0" w:firstLineChars="0"/>
        <w:jc w:val="left"/>
      </w:pPr>
      <w:r>
        <w:drawing>
          <wp:inline distT="0" distB="0" distL="0" distR="0">
            <wp:extent cx="5676265" cy="2307590"/>
            <wp:effectExtent l="0" t="0" r="635" b="0"/>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noChangeArrowheads="true"/>
                    </pic:cNvPicPr>
                  </pic:nvPicPr>
                  <pic:blipFill>
                    <a:blip r:embed="rId24">
                      <a:extLst>
                        <a:ext uri="{28A0092B-C50C-407E-A947-70E740481C1C}">
                          <a14:useLocalDpi xmlns:a14="http://schemas.microsoft.com/office/drawing/2010/main" val="false"/>
                        </a:ext>
                      </a:extLst>
                    </a:blip>
                    <a:srcRect/>
                    <a:stretch>
                      <a:fillRect/>
                    </a:stretch>
                  </pic:blipFill>
                  <pic:spPr>
                    <a:xfrm>
                      <a:off x="0" y="0"/>
                      <a:ext cx="5679887" cy="2309238"/>
                    </a:xfrm>
                    <a:prstGeom prst="rect">
                      <a:avLst/>
                    </a:prstGeom>
                    <a:noFill/>
                    <a:ln>
                      <a:noFill/>
                    </a:ln>
                  </pic:spPr>
                </pic:pic>
              </a:graphicData>
            </a:graphic>
          </wp:inline>
        </w:drawing>
      </w:r>
    </w:p>
    <w:p>
      <w:pPr>
        <w:pStyle w:val="2"/>
        <w:ind w:firstLine="0" w:firstLineChars="0"/>
        <w:jc w:val="center"/>
        <w:rPr>
          <w:rFonts w:ascii="黑体" w:hAnsi="黑体" w:eastAsia="黑体"/>
        </w:rPr>
      </w:pPr>
      <w:r>
        <w:rPr>
          <w:rFonts w:hint="eastAsia" w:ascii="黑体" w:hAnsi="黑体" w:eastAsia="黑体"/>
        </w:rPr>
        <w:t xml:space="preserve">图1 </w:t>
      </w:r>
      <w:r>
        <w:rPr>
          <w:rFonts w:hint="eastAsia" w:ascii="黑体" w:hAnsi="黑体" w:eastAsia="黑体"/>
          <w:lang w:val="en-US" w:eastAsia="zh-CN"/>
        </w:rPr>
        <w:t xml:space="preserve"> </w:t>
      </w:r>
      <w:r>
        <w:rPr>
          <w:rFonts w:hint="eastAsia" w:ascii="黑体" w:hAnsi="黑体" w:eastAsia="黑体"/>
        </w:rPr>
        <w:t>总体框架图</w:t>
      </w:r>
    </w:p>
    <w:p>
      <w:pPr>
        <w:pStyle w:val="70"/>
        <w:spacing w:before="156" w:after="156"/>
        <w:rPr>
          <w:lang w:eastAsia="zh-Hans"/>
        </w:rPr>
      </w:pPr>
      <w:bookmarkStart w:id="51" w:name="_Toc190698139"/>
      <w:r>
        <w:rPr>
          <w:rFonts w:hint="eastAsia"/>
          <w:lang w:eastAsia="zh-Hans"/>
        </w:rPr>
        <w:t>技术架构</w:t>
      </w:r>
      <w:bookmarkEnd w:id="51"/>
    </w:p>
    <w:p>
      <w:pPr>
        <w:pStyle w:val="68"/>
        <w:ind w:firstLine="420"/>
        <w:rPr>
          <w:lang w:eastAsia="zh-Hans"/>
        </w:rPr>
      </w:pPr>
      <w:r>
        <w:rPr>
          <w:rFonts w:hint="eastAsia"/>
          <w:lang w:eastAsia="zh-Hans"/>
        </w:rPr>
        <w:t>各级共享交换枢纽由数据归集系统、数据目录系统、共享门户系统、中心交换区构成。数据归集系统用于归集</w:t>
      </w:r>
      <w:r>
        <w:rPr>
          <w:rFonts w:hint="eastAsia"/>
        </w:rPr>
        <w:t>政务管理和服务机构的政务数据；</w:t>
      </w:r>
      <w:r>
        <w:rPr>
          <w:rFonts w:hint="eastAsia"/>
          <w:lang w:eastAsia="zh-Hans"/>
        </w:rPr>
        <w:t>数据目录系统用于实现</w:t>
      </w:r>
      <w:r>
        <w:rPr>
          <w:rFonts w:hint="eastAsia"/>
        </w:rPr>
        <w:t>政务数据</w:t>
      </w:r>
      <w:r>
        <w:rPr>
          <w:rFonts w:hint="eastAsia"/>
          <w:lang w:eastAsia="zh-Hans"/>
        </w:rPr>
        <w:t>目录编制；共享门户系统用于实现资源申请及授权管理；中心交换区用于实现库表、文件以及接口的级联共享交换。级联主要分为以下两种类型：</w:t>
      </w:r>
    </w:p>
    <w:p>
      <w:pPr>
        <w:pStyle w:val="31"/>
        <w:numPr>
          <w:ilvl w:val="0"/>
          <w:numId w:val="13"/>
        </w:numPr>
      </w:pPr>
      <w:r>
        <w:rPr>
          <w:rFonts w:hint="eastAsia"/>
        </w:rPr>
        <w:t>库表/文件级联：共享交换枢纽将本级数据库表/文件推送至前置交换节点群，通过数据级联通道进行级联交换；</w:t>
      </w:r>
    </w:p>
    <w:p>
      <w:pPr>
        <w:pStyle w:val="31"/>
        <w:numPr>
          <w:ilvl w:val="0"/>
          <w:numId w:val="13"/>
        </w:numPr>
      </w:pPr>
      <w:r>
        <w:rPr>
          <w:rFonts w:hint="eastAsia"/>
        </w:rPr>
        <w:t>接口级联：共享交换枢纽将本级接口通过统一网关进行代理，并与上级或者下级枢纽的网关进行级联对接。</w:t>
      </w:r>
    </w:p>
    <w:p>
      <w:pPr>
        <w:pStyle w:val="31"/>
        <w:widowControl/>
        <w:numPr>
          <w:ilvl w:val="0"/>
          <w:numId w:val="0"/>
        </w:numPr>
        <w:spacing w:before="100" w:beforeAutospacing="1" w:after="100" w:afterAutospacing="1"/>
        <w:jc w:val="center"/>
        <w:rPr>
          <w:rFonts w:ascii="宋体" w:hAnsi="宋体" w:eastAsia="宋体" w:cs="宋体"/>
          <w:kern w:val="0"/>
          <w:sz w:val="24"/>
          <w:szCs w:val="24"/>
        </w:rPr>
      </w:pPr>
      <w:r>
        <w:drawing>
          <wp:inline distT="0" distB="0" distL="0" distR="0">
            <wp:extent cx="5706110" cy="4832985"/>
            <wp:effectExtent l="0" t="0" r="8890" b="5715"/>
            <wp:docPr id="19" name="图片 1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true" noChangeArrowheads="true"/>
                    </pic:cNvPicPr>
                  </pic:nvPicPr>
                  <pic:blipFill>
                    <a:blip r:embed="rId25">
                      <a:extLst>
                        <a:ext uri="{28A0092B-C50C-407E-A947-70E740481C1C}">
                          <a14:useLocalDpi xmlns:a14="http://schemas.microsoft.com/office/drawing/2010/main" val="false"/>
                        </a:ext>
                      </a:extLst>
                    </a:blip>
                    <a:srcRect/>
                    <a:stretch>
                      <a:fillRect/>
                    </a:stretch>
                  </pic:blipFill>
                  <pic:spPr>
                    <a:xfrm>
                      <a:off x="0" y="0"/>
                      <a:ext cx="5713320" cy="4839281"/>
                    </a:xfrm>
                    <a:prstGeom prst="rect">
                      <a:avLst/>
                    </a:prstGeom>
                    <a:noFill/>
                    <a:ln>
                      <a:noFill/>
                    </a:ln>
                  </pic:spPr>
                </pic:pic>
              </a:graphicData>
            </a:graphic>
          </wp:inline>
        </w:drawing>
      </w:r>
    </w:p>
    <w:p>
      <w:pPr>
        <w:pStyle w:val="2"/>
        <w:numPr>
          <w:ilvl w:val="0"/>
          <w:numId w:val="9"/>
        </w:numPr>
        <w:ind w:firstLineChars="0"/>
        <w:jc w:val="center"/>
        <w:rPr>
          <w:rFonts w:ascii="黑体" w:hAnsi="黑体" w:eastAsia="黑体"/>
        </w:rPr>
      </w:pPr>
      <w:r>
        <w:rPr>
          <w:rFonts w:hint="eastAsia" w:ascii="黑体" w:hAnsi="黑体" w:eastAsia="黑体"/>
        </w:rPr>
        <w:t>图</w:t>
      </w:r>
      <w:r>
        <w:rPr>
          <w:rFonts w:ascii="黑体" w:hAnsi="黑体" w:eastAsia="黑体"/>
        </w:rPr>
        <w:t>2</w:t>
      </w:r>
      <w:r>
        <w:rPr>
          <w:rFonts w:hint="eastAsia" w:ascii="黑体" w:hAnsi="黑体" w:eastAsia="黑体"/>
        </w:rPr>
        <w:t xml:space="preserve"> </w:t>
      </w:r>
      <w:r>
        <w:rPr>
          <w:rFonts w:hint="eastAsia" w:ascii="黑体" w:hAnsi="黑体" w:eastAsia="黑体"/>
          <w:lang w:val="en-US" w:eastAsia="zh-CN"/>
        </w:rPr>
        <w:t xml:space="preserve"> </w:t>
      </w:r>
      <w:r>
        <w:rPr>
          <w:rFonts w:hint="eastAsia" w:ascii="黑体" w:hAnsi="黑体" w:eastAsia="黑体"/>
        </w:rPr>
        <w:t>技术框架图</w:t>
      </w:r>
    </w:p>
    <w:p>
      <w:pPr>
        <w:pStyle w:val="71"/>
        <w:numPr>
          <w:ilvl w:val="1"/>
          <w:numId w:val="14"/>
        </w:numPr>
        <w:spacing w:before="312" w:after="312"/>
      </w:pPr>
      <w:bookmarkStart w:id="52" w:name="_Toc176427786"/>
      <w:bookmarkStart w:id="53" w:name="_Toc190698140"/>
      <w:r>
        <w:rPr>
          <w:rFonts w:hint="eastAsia"/>
        </w:rPr>
        <w:t>职责分工</w:t>
      </w:r>
      <w:bookmarkEnd w:id="50"/>
      <w:bookmarkEnd w:id="52"/>
      <w:bookmarkEnd w:id="53"/>
    </w:p>
    <w:p>
      <w:pPr>
        <w:pStyle w:val="70"/>
        <w:spacing w:before="156" w:after="156"/>
      </w:pPr>
      <w:bookmarkStart w:id="54" w:name="_Toc190698141"/>
      <w:r>
        <w:rPr>
          <w:rFonts w:hint="eastAsia"/>
        </w:rPr>
        <w:t>市级政务数据运行管理机构</w:t>
      </w:r>
      <w:bookmarkEnd w:id="54"/>
    </w:p>
    <w:p>
      <w:pPr>
        <w:pStyle w:val="68"/>
        <w:ind w:firstLine="420"/>
      </w:pPr>
      <w:r>
        <w:rPr>
          <w:rFonts w:hint="eastAsia"/>
        </w:rPr>
        <w:t>市级政务数据运行管理机构的职责主要包括：</w:t>
      </w:r>
    </w:p>
    <w:p>
      <w:pPr>
        <w:pStyle w:val="31"/>
        <w:numPr>
          <w:ilvl w:val="0"/>
          <w:numId w:val="15"/>
        </w:numPr>
      </w:pPr>
      <w:r>
        <w:rPr>
          <w:rFonts w:hint="eastAsia"/>
        </w:rPr>
        <w:t>负责市共享交换枢纽的建设维护、运行管理和安全保障；</w:t>
      </w:r>
    </w:p>
    <w:p>
      <w:pPr>
        <w:pStyle w:val="31"/>
        <w:numPr>
          <w:ilvl w:val="0"/>
          <w:numId w:val="15"/>
        </w:numPr>
      </w:pPr>
      <w:r>
        <w:rPr>
          <w:rFonts w:hint="eastAsia"/>
        </w:rPr>
        <w:t>按需提供市机构前置节点软硬件资源环境，负责交换程序部署、账号分配，提供技术支持及咨询服务；</w:t>
      </w:r>
    </w:p>
    <w:p>
      <w:pPr>
        <w:pStyle w:val="31"/>
        <w:numPr>
          <w:ilvl w:val="0"/>
          <w:numId w:val="15"/>
        </w:numPr>
      </w:pPr>
      <w:r>
        <w:rPr>
          <w:rFonts w:hint="eastAsia"/>
        </w:rPr>
        <w:t>提供市中心前置节点软硬件资源环境，负责级联程序部署、令牌分配，提供技术支持及咨询服务；</w:t>
      </w:r>
    </w:p>
    <w:p>
      <w:pPr>
        <w:pStyle w:val="31"/>
        <w:numPr>
          <w:ilvl w:val="0"/>
          <w:numId w:val="15"/>
        </w:numPr>
      </w:pPr>
      <w:r>
        <w:rPr>
          <w:rFonts w:hint="eastAsia"/>
        </w:rPr>
        <w:t>归并整合市级政务管理和服务机构间的共享交换通道，与区县共享交换枢纽对接，</w:t>
      </w:r>
      <w:r>
        <w:rPr>
          <w:rFonts w:hint="eastAsia"/>
          <w:lang w:val="en-US" w:eastAsia="zh-CN"/>
        </w:rPr>
        <w:t>建立</w:t>
      </w:r>
      <w:r>
        <w:rPr>
          <w:rFonts w:hint="eastAsia"/>
        </w:rPr>
        <w:t>健全全市一体化政务数据共享交换体系；</w:t>
      </w:r>
    </w:p>
    <w:p>
      <w:pPr>
        <w:pStyle w:val="31"/>
        <w:numPr>
          <w:ilvl w:val="0"/>
          <w:numId w:val="15"/>
        </w:numPr>
      </w:pPr>
      <w:r>
        <w:rPr>
          <w:rFonts w:hint="eastAsia"/>
        </w:rPr>
        <w:t>负责政务数据发布审批、共享申请审批；</w:t>
      </w:r>
    </w:p>
    <w:p>
      <w:pPr>
        <w:pStyle w:val="31"/>
        <w:numPr>
          <w:ilvl w:val="0"/>
          <w:numId w:val="15"/>
        </w:numPr>
      </w:pPr>
      <w:r>
        <w:rPr>
          <w:rFonts w:hint="eastAsia"/>
        </w:rPr>
        <w:t>指导区县开展区县共享交换枢纽建设和管理；</w:t>
      </w:r>
    </w:p>
    <w:p>
      <w:pPr>
        <w:pStyle w:val="31"/>
        <w:numPr>
          <w:ilvl w:val="0"/>
          <w:numId w:val="15"/>
        </w:numPr>
      </w:pPr>
      <w:r>
        <w:rPr>
          <w:rFonts w:hint="eastAsia"/>
        </w:rPr>
        <w:t>指导区县开展级联对接工作。</w:t>
      </w:r>
    </w:p>
    <w:p>
      <w:pPr>
        <w:pStyle w:val="70"/>
        <w:spacing w:before="156" w:after="156"/>
      </w:pPr>
      <w:bookmarkStart w:id="55" w:name="_Toc190698142"/>
      <w:r>
        <w:rPr>
          <w:rFonts w:hint="eastAsia"/>
        </w:rPr>
        <w:t>区县政务数据运行管理机构</w:t>
      </w:r>
      <w:bookmarkEnd w:id="55"/>
    </w:p>
    <w:p>
      <w:pPr>
        <w:pStyle w:val="68"/>
        <w:ind w:firstLine="420"/>
      </w:pPr>
      <w:r>
        <w:rPr>
          <w:rFonts w:hint="eastAsia"/>
        </w:rPr>
        <w:t>区县政务数据运行管理机构的职责主要包括：</w:t>
      </w:r>
    </w:p>
    <w:p>
      <w:pPr>
        <w:pStyle w:val="31"/>
        <w:numPr>
          <w:ilvl w:val="0"/>
          <w:numId w:val="16"/>
        </w:numPr>
      </w:pPr>
      <w:r>
        <w:rPr>
          <w:rFonts w:hint="eastAsia"/>
        </w:rPr>
        <w:t>负责建设和管理本行政区域共享交换枢纽</w:t>
      </w:r>
      <w:r>
        <w:rPr>
          <w:rFonts w:hint="eastAsia"/>
          <w:lang w:eastAsia="zh-CN"/>
        </w:rPr>
        <w:t>，</w:t>
      </w:r>
      <w:r>
        <w:rPr>
          <w:rFonts w:hint="eastAsia"/>
        </w:rPr>
        <w:t>并与市共享交换枢纽对接；</w:t>
      </w:r>
    </w:p>
    <w:p>
      <w:pPr>
        <w:pStyle w:val="31"/>
        <w:numPr>
          <w:ilvl w:val="0"/>
          <w:numId w:val="16"/>
        </w:numPr>
      </w:pPr>
      <w:r>
        <w:rPr>
          <w:rFonts w:hint="eastAsia"/>
        </w:rPr>
        <w:t>按需提供区县机构前置节点软硬件资源环境，负责交换程序部署、账号分配，提供技术支持及咨询服务；</w:t>
      </w:r>
    </w:p>
    <w:p>
      <w:pPr>
        <w:pStyle w:val="31"/>
        <w:numPr>
          <w:ilvl w:val="0"/>
          <w:numId w:val="16"/>
        </w:numPr>
      </w:pPr>
      <w:r>
        <w:rPr>
          <w:rFonts w:hint="eastAsia"/>
        </w:rPr>
        <w:t>归并整合本行政区域内政务管理和服务机构间的共享交换通道；</w:t>
      </w:r>
    </w:p>
    <w:p>
      <w:pPr>
        <w:pStyle w:val="31"/>
        <w:numPr>
          <w:ilvl w:val="0"/>
          <w:numId w:val="16"/>
        </w:numPr>
      </w:pPr>
      <w:r>
        <w:rPr>
          <w:rFonts w:hint="eastAsia"/>
        </w:rPr>
        <w:t>提供区县中心前置节点软硬件资源环境，负责级联程序对接；</w:t>
      </w:r>
    </w:p>
    <w:p>
      <w:pPr>
        <w:pStyle w:val="31"/>
        <w:numPr>
          <w:ilvl w:val="0"/>
          <w:numId w:val="16"/>
        </w:numPr>
      </w:pPr>
      <w:r>
        <w:rPr>
          <w:rFonts w:hint="eastAsia"/>
        </w:rPr>
        <w:t>负责政务数据发布审批、共享申请审批。</w:t>
      </w:r>
    </w:p>
    <w:p>
      <w:pPr>
        <w:pStyle w:val="70"/>
        <w:spacing w:before="156" w:after="156"/>
      </w:pPr>
      <w:bookmarkStart w:id="56" w:name="_Toc190698143"/>
      <w:r>
        <w:rPr>
          <w:rFonts w:hint="eastAsia"/>
        </w:rPr>
        <w:t>政务管理和服务机构</w:t>
      </w:r>
      <w:bookmarkEnd w:id="56"/>
    </w:p>
    <w:p>
      <w:pPr>
        <w:pStyle w:val="68"/>
        <w:ind w:firstLine="420"/>
      </w:pPr>
      <w:r>
        <w:rPr>
          <w:rFonts w:hint="eastAsia"/>
        </w:rPr>
        <w:t>政务管理和服务机构的职责主要包括：</w:t>
      </w:r>
    </w:p>
    <w:p>
      <w:pPr>
        <w:pStyle w:val="31"/>
        <w:numPr>
          <w:ilvl w:val="0"/>
          <w:numId w:val="17"/>
        </w:numPr>
      </w:pPr>
      <w:r>
        <w:rPr>
          <w:rFonts w:hint="eastAsia"/>
        </w:rPr>
        <w:t>明确本机构的责任部门、负责人，做好本机构政务数据的收集获取、目录编制、资源共享、更新维护和安全保障等工作</w:t>
      </w:r>
      <w:r>
        <w:t>；</w:t>
      </w:r>
    </w:p>
    <w:p>
      <w:pPr>
        <w:pStyle w:val="31"/>
        <w:numPr>
          <w:ilvl w:val="0"/>
          <w:numId w:val="17"/>
        </w:numPr>
      </w:pPr>
      <w:r>
        <w:rPr>
          <w:rFonts w:hint="eastAsia"/>
        </w:rPr>
        <w:t>数据提供方负责对提供的政务数据分类分级、源头治理和异议处理</w:t>
      </w:r>
      <w:r>
        <w:t>；</w:t>
      </w:r>
    </w:p>
    <w:p>
      <w:pPr>
        <w:pStyle w:val="31"/>
        <w:numPr>
          <w:ilvl w:val="0"/>
          <w:numId w:val="17"/>
        </w:numPr>
      </w:pPr>
      <w:r>
        <w:rPr>
          <w:rFonts w:hint="eastAsia"/>
        </w:rPr>
        <w:t>数据使用方负责对使用的政务数据实施安全保护</w:t>
      </w:r>
      <w:r>
        <w:rPr>
          <w:rFonts w:hint="eastAsia"/>
          <w:lang w:eastAsia="zh-CN"/>
        </w:rPr>
        <w:t>，</w:t>
      </w:r>
      <w:r>
        <w:rPr>
          <w:rFonts w:hint="eastAsia"/>
        </w:rPr>
        <w:t>在授权范围内使用数据</w:t>
      </w:r>
      <w:r>
        <w:t>；</w:t>
      </w:r>
    </w:p>
    <w:p>
      <w:pPr>
        <w:pStyle w:val="31"/>
        <w:numPr>
          <w:ilvl w:val="0"/>
          <w:numId w:val="17"/>
        </w:numPr>
      </w:pPr>
      <w:r>
        <w:rPr>
          <w:rFonts w:hint="eastAsia"/>
        </w:rPr>
        <w:t>协助部署机构前置节点交换程序</w:t>
      </w:r>
      <w:r>
        <w:rPr>
          <w:rFonts w:hint="eastAsia"/>
          <w:lang w:eastAsia="zh-CN"/>
        </w:rPr>
        <w:t>，</w:t>
      </w:r>
      <w:r>
        <w:rPr>
          <w:rFonts w:hint="eastAsia"/>
        </w:rPr>
        <w:t>负责对软硬件环境进行巡检维护。</w:t>
      </w:r>
    </w:p>
    <w:p>
      <w:pPr>
        <w:pStyle w:val="71"/>
        <w:spacing w:before="312" w:after="312"/>
      </w:pPr>
      <w:bookmarkStart w:id="57" w:name="_Toc176427794"/>
      <w:bookmarkStart w:id="58" w:name="_Toc190698144"/>
      <w:r>
        <w:rPr>
          <w:rFonts w:hint="eastAsia"/>
        </w:rPr>
        <w:t>区县政务数据资源</w:t>
      </w:r>
      <w:bookmarkEnd w:id="57"/>
      <w:r>
        <w:rPr>
          <w:rFonts w:hint="eastAsia"/>
        </w:rPr>
        <w:t>级联流程</w:t>
      </w:r>
      <w:bookmarkEnd w:id="58"/>
    </w:p>
    <w:p>
      <w:pPr>
        <w:pStyle w:val="70"/>
        <w:spacing w:before="156" w:after="156"/>
      </w:pPr>
      <w:bookmarkStart w:id="59" w:name="_Toc190698145"/>
      <w:r>
        <w:rPr>
          <w:rFonts w:hint="eastAsia"/>
        </w:rPr>
        <w:t>目录级联</w:t>
      </w:r>
      <w:bookmarkEnd w:id="59"/>
    </w:p>
    <w:p>
      <w:pPr>
        <w:pStyle w:val="68"/>
        <w:ind w:firstLine="420"/>
      </w:pPr>
      <w:r>
        <w:rPr>
          <w:rFonts w:hint="eastAsia"/>
        </w:rPr>
        <w:t>目录级联的流程主要包括：</w:t>
      </w:r>
    </w:p>
    <w:p>
      <w:pPr>
        <w:pStyle w:val="31"/>
        <w:numPr>
          <w:ilvl w:val="0"/>
          <w:numId w:val="18"/>
        </w:numPr>
      </w:pPr>
      <w:r>
        <w:rPr>
          <w:rFonts w:hint="eastAsia"/>
        </w:rPr>
        <w:t>区县政务管理和服务机构按照DB</w:t>
      </w:r>
      <w:r>
        <w:t>32</w:t>
      </w:r>
      <w:r>
        <w:rPr>
          <w:rFonts w:hint="eastAsia"/>
        </w:rPr>
        <w:t>/</w:t>
      </w:r>
      <w:r>
        <w:t>T 4040.1</w:t>
      </w:r>
      <w:r>
        <w:rPr>
          <w:rFonts w:hint="eastAsia"/>
        </w:rPr>
        <w:t>、DB</w:t>
      </w:r>
      <w:r>
        <w:t>32</w:t>
      </w:r>
      <w:r>
        <w:rPr>
          <w:rFonts w:hint="eastAsia"/>
        </w:rPr>
        <w:t>/</w:t>
      </w:r>
      <w:r>
        <w:t>T 4040.2</w:t>
      </w:r>
      <w:r>
        <w:rPr>
          <w:rFonts w:hint="eastAsia"/>
        </w:rPr>
        <w:t>的要求和目录产生的业务规则，梳理目录并注册至区县共享交换枢纽；</w:t>
      </w:r>
    </w:p>
    <w:p>
      <w:pPr>
        <w:pStyle w:val="31"/>
        <w:numPr>
          <w:ilvl w:val="0"/>
          <w:numId w:val="18"/>
        </w:numPr>
      </w:pPr>
      <w:r>
        <w:rPr>
          <w:rFonts w:hint="eastAsia"/>
        </w:rPr>
        <w:t>区县政务数据运行管理机构完成目录审核工作；</w:t>
      </w:r>
    </w:p>
    <w:p>
      <w:pPr>
        <w:pStyle w:val="31"/>
        <w:numPr>
          <w:ilvl w:val="0"/>
          <w:numId w:val="18"/>
        </w:numPr>
      </w:pPr>
      <w:r>
        <w:rPr>
          <w:rFonts w:hint="eastAsia"/>
        </w:rPr>
        <w:t>区县政务数据运行管理机构通过级联接口将目录推送至市共享交换枢纽；</w:t>
      </w:r>
    </w:p>
    <w:p>
      <w:pPr>
        <w:pStyle w:val="31"/>
        <w:numPr>
          <w:ilvl w:val="0"/>
          <w:numId w:val="18"/>
        </w:numPr>
      </w:pPr>
      <w:r>
        <w:rPr>
          <w:rFonts w:hint="eastAsia"/>
        </w:rPr>
        <w:t>市级政务数据运行管理机构完成目录审核工作。</w:t>
      </w:r>
    </w:p>
    <w:p>
      <w:pPr>
        <w:pStyle w:val="70"/>
        <w:spacing w:before="156" w:after="156"/>
      </w:pPr>
      <w:bookmarkStart w:id="60" w:name="_Toc190698146"/>
      <w:bookmarkStart w:id="61" w:name="_Toc176427799"/>
      <w:r>
        <w:rPr>
          <w:rFonts w:hint="eastAsia"/>
        </w:rPr>
        <w:t>资源级联</w:t>
      </w:r>
      <w:bookmarkEnd w:id="60"/>
      <w:bookmarkEnd w:id="61"/>
    </w:p>
    <w:p>
      <w:pPr>
        <w:pStyle w:val="73"/>
        <w:spacing w:before="156" w:after="156"/>
        <w:ind w:left="0"/>
      </w:pPr>
      <w:bookmarkStart w:id="62" w:name="_Toc190698147"/>
      <w:r>
        <w:rPr>
          <w:rFonts w:hint="eastAsia"/>
        </w:rPr>
        <w:t>库表/文件级联</w:t>
      </w:r>
      <w:bookmarkEnd w:id="62"/>
    </w:p>
    <w:p>
      <w:pPr>
        <w:pStyle w:val="68"/>
        <w:ind w:firstLine="420"/>
      </w:pPr>
      <w:r>
        <w:rPr>
          <w:rFonts w:hint="eastAsia"/>
        </w:rPr>
        <w:t>库表/文件级联的流程主要包括：</w:t>
      </w:r>
    </w:p>
    <w:p>
      <w:pPr>
        <w:pStyle w:val="31"/>
        <w:numPr>
          <w:ilvl w:val="0"/>
          <w:numId w:val="19"/>
        </w:numPr>
      </w:pPr>
      <w:r>
        <w:rPr>
          <w:rFonts w:hint="eastAsia"/>
        </w:rPr>
        <w:t>区县政务管理和服务机构梳理资源元数据，并注册至区县共享交换枢纽；</w:t>
      </w:r>
    </w:p>
    <w:p>
      <w:pPr>
        <w:pStyle w:val="31"/>
        <w:numPr>
          <w:ilvl w:val="0"/>
          <w:numId w:val="19"/>
        </w:numPr>
      </w:pPr>
      <w:r>
        <w:rPr>
          <w:rFonts w:hint="eastAsia"/>
        </w:rPr>
        <w:t>区县政务管理和服务机构将库表/文件推送至机构前置库/前置节点；</w:t>
      </w:r>
    </w:p>
    <w:p>
      <w:pPr>
        <w:pStyle w:val="31"/>
        <w:numPr>
          <w:ilvl w:val="0"/>
          <w:numId w:val="19"/>
        </w:numPr>
      </w:pPr>
      <w:r>
        <w:rPr>
          <w:rFonts w:hint="eastAsia"/>
        </w:rPr>
        <w:t>区县政务数据运行管理机构将库表/文件推送至区县中心前置库/中心前置节点；</w:t>
      </w:r>
    </w:p>
    <w:p>
      <w:pPr>
        <w:pStyle w:val="31"/>
        <w:numPr>
          <w:ilvl w:val="0"/>
          <w:numId w:val="19"/>
        </w:numPr>
      </w:pPr>
      <w:r>
        <w:rPr>
          <w:rFonts w:hint="eastAsia"/>
        </w:rPr>
        <w:t>区县政务数据运行管理机构完成资源审核工作；</w:t>
      </w:r>
    </w:p>
    <w:p>
      <w:pPr>
        <w:pStyle w:val="31"/>
        <w:numPr>
          <w:ilvl w:val="0"/>
          <w:numId w:val="19"/>
        </w:numPr>
      </w:pPr>
      <w:r>
        <w:rPr>
          <w:rFonts w:hint="eastAsia"/>
        </w:rPr>
        <w:t>区县政务数据运行管理机构通过级联接口将资源元数据级联推送至市共享交换枢纽；</w:t>
      </w:r>
    </w:p>
    <w:p>
      <w:pPr>
        <w:pStyle w:val="31"/>
        <w:numPr>
          <w:ilvl w:val="0"/>
          <w:numId w:val="19"/>
        </w:numPr>
      </w:pPr>
      <w:r>
        <w:rPr>
          <w:rFonts w:hint="eastAsia"/>
        </w:rPr>
        <w:t>市级政务数据运行管理机构从区县中心前置库/前置节点抽取资源至市中心前置库/前置节点；</w:t>
      </w:r>
    </w:p>
    <w:p>
      <w:pPr>
        <w:pStyle w:val="31"/>
        <w:numPr>
          <w:ilvl w:val="0"/>
          <w:numId w:val="19"/>
        </w:numPr>
      </w:pPr>
      <w:r>
        <w:rPr>
          <w:rFonts w:hint="eastAsia"/>
        </w:rPr>
        <w:t>市级政务数据运行管理机构完成资源审核工作。</w:t>
      </w:r>
    </w:p>
    <w:p>
      <w:pPr>
        <w:pStyle w:val="73"/>
        <w:spacing w:before="156" w:after="156"/>
        <w:ind w:left="0"/>
      </w:pPr>
      <w:bookmarkStart w:id="63" w:name="_Toc190698148"/>
      <w:r>
        <w:rPr>
          <w:rFonts w:hint="eastAsia"/>
        </w:rPr>
        <w:t>接口级联</w:t>
      </w:r>
      <w:bookmarkEnd w:id="63"/>
    </w:p>
    <w:p>
      <w:pPr>
        <w:pStyle w:val="68"/>
        <w:ind w:firstLine="420"/>
      </w:pPr>
      <w:r>
        <w:rPr>
          <w:rFonts w:hint="eastAsia"/>
        </w:rPr>
        <w:t>接口级联的流程主要包括：</w:t>
      </w:r>
    </w:p>
    <w:p>
      <w:pPr>
        <w:pStyle w:val="31"/>
        <w:numPr>
          <w:ilvl w:val="0"/>
          <w:numId w:val="20"/>
        </w:numPr>
      </w:pPr>
      <w:r>
        <w:rPr>
          <w:rFonts w:hint="eastAsia"/>
        </w:rPr>
        <w:t>区县政务管理和服务</w:t>
      </w:r>
      <w:r>
        <w:rPr>
          <w:rFonts w:hint="eastAsia"/>
          <w:lang w:val="en-US" w:eastAsia="zh-CN"/>
        </w:rPr>
        <w:t>机构</w:t>
      </w:r>
      <w:r>
        <w:rPr>
          <w:rFonts w:hint="eastAsia"/>
        </w:rPr>
        <w:t>梳理资源元数据，并注册至区县共享交换枢纽；</w:t>
      </w:r>
    </w:p>
    <w:p>
      <w:pPr>
        <w:pStyle w:val="31"/>
        <w:numPr>
          <w:ilvl w:val="0"/>
          <w:numId w:val="20"/>
        </w:numPr>
      </w:pPr>
      <w:r>
        <w:rPr>
          <w:rFonts w:hint="eastAsia"/>
        </w:rPr>
        <w:t>区县政务数据运行管理机构将接口通过区县网关进行代理；</w:t>
      </w:r>
    </w:p>
    <w:p>
      <w:pPr>
        <w:pStyle w:val="31"/>
        <w:numPr>
          <w:ilvl w:val="0"/>
          <w:numId w:val="20"/>
        </w:numPr>
      </w:pPr>
      <w:r>
        <w:rPr>
          <w:rFonts w:hint="eastAsia"/>
        </w:rPr>
        <w:t>区县政务数据运行管理机构对接口可用性进行校验并完成资源审核工作；</w:t>
      </w:r>
    </w:p>
    <w:p>
      <w:pPr>
        <w:pStyle w:val="31"/>
        <w:numPr>
          <w:ilvl w:val="0"/>
          <w:numId w:val="20"/>
        </w:numPr>
      </w:pPr>
      <w:r>
        <w:rPr>
          <w:rFonts w:hint="eastAsia"/>
        </w:rPr>
        <w:t>区县政务数据运行管理机构通过级联接口将资源元数据级联推送至市共享交换枢纽；</w:t>
      </w:r>
    </w:p>
    <w:p>
      <w:pPr>
        <w:pStyle w:val="31"/>
        <w:numPr>
          <w:ilvl w:val="0"/>
          <w:numId w:val="20"/>
        </w:numPr>
      </w:pPr>
      <w:r>
        <w:rPr>
          <w:rFonts w:hint="eastAsia"/>
        </w:rPr>
        <w:t>市级政务数据运行管理机构将接口通过市网关进行代理；</w:t>
      </w:r>
    </w:p>
    <w:p>
      <w:pPr>
        <w:pStyle w:val="31"/>
        <w:numPr>
          <w:ilvl w:val="0"/>
          <w:numId w:val="20"/>
        </w:numPr>
      </w:pPr>
      <w:r>
        <w:rPr>
          <w:rFonts w:hint="eastAsia"/>
        </w:rPr>
        <w:t>市级政务数据运行管理机构对接口可用性进行校验并完成资源审核工作。</w:t>
      </w:r>
    </w:p>
    <w:p>
      <w:pPr>
        <w:pStyle w:val="71"/>
        <w:spacing w:before="312" w:after="312"/>
      </w:pPr>
      <w:bookmarkStart w:id="64" w:name="_Toc148373365"/>
      <w:bookmarkStart w:id="65" w:name="_Toc176427803"/>
      <w:bookmarkStart w:id="66" w:name="_Toc190698149"/>
      <w:r>
        <w:rPr>
          <w:rFonts w:hint="eastAsia"/>
        </w:rPr>
        <w:t>市</w:t>
      </w:r>
      <w:bookmarkEnd w:id="64"/>
      <w:bookmarkEnd w:id="65"/>
      <w:r>
        <w:rPr>
          <w:rFonts w:hint="eastAsia"/>
        </w:rPr>
        <w:t>级政务数据资源级联流程</w:t>
      </w:r>
      <w:bookmarkEnd w:id="66"/>
    </w:p>
    <w:p>
      <w:pPr>
        <w:pStyle w:val="70"/>
        <w:spacing w:before="156" w:after="156"/>
      </w:pPr>
      <w:bookmarkStart w:id="67" w:name="_Toc190698150"/>
      <w:r>
        <w:rPr>
          <w:rFonts w:hint="eastAsia"/>
        </w:rPr>
        <w:t>目录级联</w:t>
      </w:r>
      <w:bookmarkEnd w:id="67"/>
    </w:p>
    <w:p>
      <w:pPr>
        <w:pStyle w:val="68"/>
        <w:ind w:firstLine="420"/>
      </w:pPr>
      <w:r>
        <w:rPr>
          <w:rFonts w:hint="eastAsia"/>
        </w:rPr>
        <w:t>目录级联的流程主要包括：</w:t>
      </w:r>
    </w:p>
    <w:p>
      <w:pPr>
        <w:pStyle w:val="31"/>
        <w:numPr>
          <w:ilvl w:val="0"/>
          <w:numId w:val="21"/>
        </w:numPr>
      </w:pPr>
      <w:r>
        <w:rPr>
          <w:rFonts w:hint="eastAsia"/>
        </w:rPr>
        <w:t>市级政务数据运行管理机构归集市级政务管理和服务机构以及各区县的目录；</w:t>
      </w:r>
    </w:p>
    <w:p>
      <w:pPr>
        <w:pStyle w:val="31"/>
        <w:numPr>
          <w:ilvl w:val="0"/>
          <w:numId w:val="21"/>
        </w:numPr>
      </w:pPr>
      <w:r>
        <w:rPr>
          <w:rFonts w:hint="eastAsia"/>
        </w:rPr>
        <w:t>市级政务数据运行管理机构完成目录审核工作；</w:t>
      </w:r>
    </w:p>
    <w:p>
      <w:pPr>
        <w:pStyle w:val="31"/>
        <w:numPr>
          <w:ilvl w:val="0"/>
          <w:numId w:val="21"/>
        </w:numPr>
      </w:pPr>
      <w:r>
        <w:rPr>
          <w:rFonts w:hint="eastAsia"/>
        </w:rPr>
        <w:t>市级政务数据运行管理机构通过级联接口将目录推送至区县共享交换枢纽。</w:t>
      </w:r>
    </w:p>
    <w:p>
      <w:pPr>
        <w:pStyle w:val="70"/>
        <w:spacing w:before="156" w:after="156"/>
      </w:pPr>
      <w:bookmarkStart w:id="68" w:name="_Toc190698151"/>
      <w:r>
        <w:rPr>
          <w:rFonts w:hint="eastAsia"/>
        </w:rPr>
        <w:t>资源级联</w:t>
      </w:r>
      <w:bookmarkEnd w:id="68"/>
    </w:p>
    <w:p>
      <w:pPr>
        <w:pStyle w:val="73"/>
        <w:spacing w:before="156" w:after="156"/>
        <w:ind w:left="0"/>
      </w:pPr>
      <w:bookmarkStart w:id="69" w:name="_Toc190698152"/>
      <w:r>
        <w:rPr>
          <w:rFonts w:hint="eastAsia"/>
        </w:rPr>
        <w:t>库表/文件级联</w:t>
      </w:r>
      <w:bookmarkEnd w:id="69"/>
    </w:p>
    <w:p>
      <w:pPr>
        <w:pStyle w:val="68"/>
        <w:ind w:firstLine="420"/>
      </w:pPr>
      <w:r>
        <w:rPr>
          <w:rFonts w:hint="eastAsia"/>
        </w:rPr>
        <w:t>库表/文件级联的流程主要包括：</w:t>
      </w:r>
    </w:p>
    <w:p>
      <w:pPr>
        <w:pStyle w:val="31"/>
        <w:numPr>
          <w:ilvl w:val="0"/>
          <w:numId w:val="22"/>
        </w:numPr>
      </w:pPr>
      <w:r>
        <w:rPr>
          <w:rFonts w:hint="eastAsia"/>
        </w:rPr>
        <w:t>市级政务数据运行管理机构归集市政务管理和服务机构以及各区县的资源元数据；</w:t>
      </w:r>
    </w:p>
    <w:p>
      <w:pPr>
        <w:pStyle w:val="31"/>
        <w:numPr>
          <w:ilvl w:val="0"/>
          <w:numId w:val="22"/>
        </w:numPr>
      </w:pPr>
      <w:r>
        <w:rPr>
          <w:rFonts w:hint="eastAsia"/>
        </w:rPr>
        <w:t>市级政务数据运行管理机构将库表/文件推送至市中心前置库/中心前置节点；</w:t>
      </w:r>
    </w:p>
    <w:p>
      <w:pPr>
        <w:pStyle w:val="31"/>
        <w:numPr>
          <w:ilvl w:val="0"/>
          <w:numId w:val="22"/>
        </w:numPr>
      </w:pPr>
      <w:r>
        <w:rPr>
          <w:rFonts w:hint="eastAsia"/>
        </w:rPr>
        <w:t>市级政务数据运行管理机构完成资源审核工作；</w:t>
      </w:r>
    </w:p>
    <w:p>
      <w:pPr>
        <w:pStyle w:val="31"/>
        <w:numPr>
          <w:ilvl w:val="0"/>
          <w:numId w:val="22"/>
        </w:numPr>
      </w:pPr>
      <w:r>
        <w:rPr>
          <w:rFonts w:hint="eastAsia"/>
        </w:rPr>
        <w:t>市级政务数据运行管理机构通过级联接口将资源元数据推送至区县共享交换枢纽；</w:t>
      </w:r>
    </w:p>
    <w:p>
      <w:pPr>
        <w:pStyle w:val="31"/>
        <w:numPr>
          <w:ilvl w:val="0"/>
          <w:numId w:val="22"/>
        </w:numPr>
      </w:pPr>
      <w:r>
        <w:rPr>
          <w:rFonts w:hint="eastAsia"/>
        </w:rPr>
        <w:t>资源申请审核通过后，市级政务数据运行管理机构将库表/文件推送至区县中心前置库/中心前置节点。</w:t>
      </w:r>
    </w:p>
    <w:p>
      <w:pPr>
        <w:pStyle w:val="73"/>
        <w:spacing w:before="156" w:after="156"/>
        <w:ind w:left="0"/>
      </w:pPr>
      <w:bookmarkStart w:id="70" w:name="_Toc190698153"/>
      <w:r>
        <w:rPr>
          <w:rFonts w:hint="eastAsia"/>
        </w:rPr>
        <w:t>接口级联</w:t>
      </w:r>
      <w:bookmarkEnd w:id="70"/>
    </w:p>
    <w:p>
      <w:pPr>
        <w:pStyle w:val="68"/>
        <w:ind w:firstLine="420"/>
      </w:pPr>
      <w:r>
        <w:rPr>
          <w:rFonts w:hint="eastAsia"/>
        </w:rPr>
        <w:t>接口级联的流程主要包括：</w:t>
      </w:r>
    </w:p>
    <w:p>
      <w:pPr>
        <w:pStyle w:val="31"/>
        <w:numPr>
          <w:ilvl w:val="0"/>
          <w:numId w:val="23"/>
        </w:numPr>
      </w:pPr>
      <w:r>
        <w:rPr>
          <w:rFonts w:hint="eastAsia"/>
        </w:rPr>
        <w:t>市级政务数据运行管理机构归集市政务管理和服务机构以及各区县资源元数据；</w:t>
      </w:r>
    </w:p>
    <w:p>
      <w:pPr>
        <w:pStyle w:val="31"/>
        <w:numPr>
          <w:ilvl w:val="0"/>
          <w:numId w:val="23"/>
        </w:numPr>
      </w:pPr>
      <w:r>
        <w:rPr>
          <w:rFonts w:hint="eastAsia"/>
        </w:rPr>
        <w:t>市级政务数据运行管理机构将接口通过市网关进行代理；</w:t>
      </w:r>
    </w:p>
    <w:p>
      <w:pPr>
        <w:pStyle w:val="31"/>
        <w:numPr>
          <w:ilvl w:val="0"/>
          <w:numId w:val="23"/>
        </w:numPr>
      </w:pPr>
      <w:r>
        <w:rPr>
          <w:rFonts w:hint="eastAsia"/>
        </w:rPr>
        <w:t>市级政务数据运行管理机构对接口可用性进行校验；</w:t>
      </w:r>
    </w:p>
    <w:p>
      <w:pPr>
        <w:pStyle w:val="31"/>
        <w:numPr>
          <w:ilvl w:val="0"/>
          <w:numId w:val="23"/>
        </w:numPr>
      </w:pPr>
      <w:r>
        <w:rPr>
          <w:rFonts w:hint="eastAsia"/>
        </w:rPr>
        <w:t>市级政务数据运行管理机构完成资源审核工作；</w:t>
      </w:r>
    </w:p>
    <w:p>
      <w:pPr>
        <w:pStyle w:val="31"/>
        <w:numPr>
          <w:ilvl w:val="0"/>
          <w:numId w:val="23"/>
        </w:numPr>
      </w:pPr>
      <w:r>
        <w:rPr>
          <w:rFonts w:hint="eastAsia"/>
        </w:rPr>
        <w:t>市级政务数据运行管理机构将不含接口文档以及接口地址的资源元数据推送至区县共享交换枢纽；</w:t>
      </w:r>
    </w:p>
    <w:p>
      <w:pPr>
        <w:pStyle w:val="31"/>
        <w:numPr>
          <w:ilvl w:val="0"/>
          <w:numId w:val="23"/>
        </w:numPr>
      </w:pPr>
      <w:r>
        <w:rPr>
          <w:rFonts w:hint="eastAsia"/>
        </w:rPr>
        <w:t>资源申请审核通过后，市共享交换枢纽提供具体的接口文档和经过市网关代理后的接口地址。</w:t>
      </w:r>
    </w:p>
    <w:p>
      <w:pPr>
        <w:pStyle w:val="71"/>
        <w:spacing w:before="312" w:after="312"/>
      </w:pPr>
      <w:bookmarkStart w:id="71" w:name="_Toc190698154"/>
      <w:r>
        <w:rPr>
          <w:rFonts w:hint="eastAsia"/>
        </w:rPr>
        <w:t>政务数据资源共享交换流程</w:t>
      </w:r>
      <w:bookmarkEnd w:id="71"/>
    </w:p>
    <w:p>
      <w:pPr>
        <w:pStyle w:val="70"/>
        <w:spacing w:before="156" w:after="156"/>
      </w:pPr>
      <w:bookmarkStart w:id="72" w:name="_Toc190698155"/>
      <w:r>
        <w:rPr>
          <w:rFonts w:hint="eastAsia"/>
        </w:rPr>
        <w:t>跨部门共享交换</w:t>
      </w:r>
      <w:bookmarkEnd w:id="72"/>
    </w:p>
    <w:p>
      <w:pPr>
        <w:pStyle w:val="68"/>
        <w:ind w:firstLine="420"/>
      </w:pPr>
      <w:r>
        <w:rPr>
          <w:rFonts w:hint="eastAsia"/>
        </w:rPr>
        <w:t>跨部门共享交换的流程主要包括：</w:t>
      </w:r>
    </w:p>
    <w:p>
      <w:pPr>
        <w:pStyle w:val="31"/>
        <w:numPr>
          <w:ilvl w:val="0"/>
          <w:numId w:val="24"/>
        </w:numPr>
      </w:pPr>
      <w:r>
        <w:rPr>
          <w:rFonts w:hint="eastAsia"/>
        </w:rPr>
        <w:t>市级/区县本级政务管理和服务机构（数据使用方）查询资源目录内容，提交数据获取申请；</w:t>
      </w:r>
    </w:p>
    <w:p>
      <w:pPr>
        <w:pStyle w:val="31"/>
        <w:numPr>
          <w:ilvl w:val="0"/>
          <w:numId w:val="24"/>
        </w:numPr>
      </w:pPr>
      <w:r>
        <w:rPr>
          <w:rFonts w:hint="eastAsia"/>
        </w:rPr>
        <w:t>市级/区县本级政务数据运行管理机构完成政务信息资源申请材料的规范性检查，并通过市级/区县本级共享交换枢纽回复受理意见。不予受理的，应当说明理由；</w:t>
      </w:r>
    </w:p>
    <w:p>
      <w:pPr>
        <w:pStyle w:val="31"/>
        <w:numPr>
          <w:ilvl w:val="0"/>
          <w:numId w:val="24"/>
        </w:numPr>
      </w:pPr>
      <w:r>
        <w:rPr>
          <w:rFonts w:hint="eastAsia"/>
        </w:rPr>
        <w:t>市级/区县本级政务管理和服务机构（数据提供方）收到申请后，完成授权并填写授权意见，不予授权的，应当说明具体理由和依据；由市级/区县本级政务数据运行管理机构直接管理的数据，可直接授权并填写授权意见，不予授权的，应当说明具体理由和依据；</w:t>
      </w:r>
    </w:p>
    <w:p>
      <w:pPr>
        <w:pStyle w:val="31"/>
        <w:numPr>
          <w:ilvl w:val="0"/>
          <w:numId w:val="24"/>
        </w:numPr>
      </w:pPr>
      <w:r>
        <w:rPr>
          <w:rFonts w:hint="eastAsia"/>
        </w:rPr>
        <w:t>申请通过后，库表/文件类资源由市级/区县本级共享交换枢纽推送至本级政务管理和服务机构（数据使用方）前置库/前置节点；接口类资源由市级/区县本级共享交换枢纽提供具体的接口文档和经过市级/区县本级网关代理后的接口地址。</w:t>
      </w:r>
    </w:p>
    <w:p>
      <w:pPr>
        <w:pStyle w:val="70"/>
        <w:spacing w:before="156" w:after="156"/>
      </w:pPr>
      <w:bookmarkStart w:id="73" w:name="_Toc190698156"/>
      <w:r>
        <w:t>跨层级共享交换</w:t>
      </w:r>
      <w:bookmarkEnd w:id="73"/>
    </w:p>
    <w:p>
      <w:pPr>
        <w:pStyle w:val="73"/>
        <w:spacing w:before="156" w:after="156"/>
        <w:ind w:left="0"/>
      </w:pPr>
      <w:bookmarkStart w:id="74" w:name="_Toc190698157"/>
      <w:bookmarkStart w:id="75" w:name="_Toc176427801"/>
      <w:r>
        <w:rPr>
          <w:rFonts w:hint="eastAsia"/>
        </w:rPr>
        <w:t>市级申请使用区县资源</w:t>
      </w:r>
      <w:bookmarkEnd w:id="74"/>
      <w:bookmarkEnd w:id="75"/>
    </w:p>
    <w:p>
      <w:pPr>
        <w:pStyle w:val="68"/>
        <w:ind w:firstLine="420"/>
      </w:pPr>
      <w:r>
        <w:rPr>
          <w:rFonts w:hint="eastAsia"/>
        </w:rPr>
        <w:t>市级申请使用区县资源的流程主要包括：</w:t>
      </w:r>
    </w:p>
    <w:p>
      <w:pPr>
        <w:pStyle w:val="31"/>
        <w:numPr>
          <w:ilvl w:val="0"/>
          <w:numId w:val="25"/>
        </w:numPr>
      </w:pPr>
      <w:r>
        <w:rPr>
          <w:rFonts w:hint="eastAsia"/>
        </w:rPr>
        <w:t>市级政务管理和服务机构（数据使用方）查询资源目录内容，提交数据获取申请；</w:t>
      </w:r>
    </w:p>
    <w:p>
      <w:pPr>
        <w:pStyle w:val="31"/>
        <w:numPr>
          <w:ilvl w:val="0"/>
          <w:numId w:val="25"/>
        </w:numPr>
      </w:pPr>
      <w:r>
        <w:rPr>
          <w:rFonts w:hint="eastAsia"/>
        </w:rPr>
        <w:t>市级政务数据运行管理机构完成政务信息资源申请材料的规范性检查，并通过市共享交换枢纽回复受理意见。不予受理的，应当说明理由；</w:t>
      </w:r>
    </w:p>
    <w:p>
      <w:pPr>
        <w:pStyle w:val="31"/>
        <w:numPr>
          <w:ilvl w:val="0"/>
          <w:numId w:val="25"/>
        </w:numPr>
      </w:pPr>
      <w:r>
        <w:rPr>
          <w:rFonts w:hint="eastAsia"/>
        </w:rPr>
        <w:t>市级政务数据运行管理机构审核通过后，将申请需求级联推送至区县共享交换枢纽；</w:t>
      </w:r>
    </w:p>
    <w:p>
      <w:pPr>
        <w:pStyle w:val="31"/>
        <w:numPr>
          <w:ilvl w:val="0"/>
          <w:numId w:val="25"/>
        </w:numPr>
      </w:pPr>
      <w:r>
        <w:rPr>
          <w:rFonts w:hint="eastAsia"/>
        </w:rPr>
        <w:t>区县政务数据运行管理机构完成政务信息资源申请材料的规范性检查，并通过区县共享交换枢纽提交受理意见。不予受理的，应当说明理由；</w:t>
      </w:r>
    </w:p>
    <w:p>
      <w:pPr>
        <w:pStyle w:val="31"/>
        <w:numPr>
          <w:ilvl w:val="0"/>
          <w:numId w:val="25"/>
        </w:numPr>
      </w:pPr>
      <w:r>
        <w:rPr>
          <w:rFonts w:hint="eastAsia"/>
        </w:rPr>
        <w:t>区县政务管理和服务机构（数据提供方）收到申请后，完成授权并填写授权意见，不予授权的，应当说明具体理由和依据；由区县政务数据运行管理机构直接管理的数据，可直接授权并填写授权意见，不予授权的，应当说明具体理由和依据；</w:t>
      </w:r>
    </w:p>
    <w:p>
      <w:pPr>
        <w:pStyle w:val="31"/>
        <w:numPr>
          <w:ilvl w:val="0"/>
          <w:numId w:val="25"/>
        </w:numPr>
      </w:pPr>
      <w:r>
        <w:rPr>
          <w:rFonts w:hint="eastAsia"/>
        </w:rPr>
        <w:t>区县共享交换枢纽自动级联上报回复意见；</w:t>
      </w:r>
    </w:p>
    <w:p>
      <w:pPr>
        <w:pStyle w:val="31"/>
        <w:numPr>
          <w:ilvl w:val="0"/>
          <w:numId w:val="25"/>
        </w:numPr>
      </w:pPr>
      <w:r>
        <w:rPr>
          <w:rFonts w:hint="eastAsia"/>
        </w:rPr>
        <w:t>申请通过后，库表/文件类资源由市共享交换枢纽推送至政务管理和服务机构（数据使用方）前置库/前置节点；接口类资源由市共享交换枢纽提供具体的接口文档和经过市网关代理后的接口地址。</w:t>
      </w:r>
    </w:p>
    <w:p>
      <w:pPr>
        <w:pStyle w:val="73"/>
        <w:spacing w:before="156" w:after="156"/>
        <w:ind w:left="0"/>
      </w:pPr>
      <w:bookmarkStart w:id="76" w:name="_Toc176427807"/>
      <w:bookmarkStart w:id="77" w:name="_Toc190698158"/>
      <w:r>
        <w:rPr>
          <w:rFonts w:hint="eastAsia"/>
        </w:rPr>
        <w:t>区县申请使用市级资源</w:t>
      </w:r>
      <w:bookmarkEnd w:id="76"/>
      <w:bookmarkEnd w:id="77"/>
    </w:p>
    <w:p>
      <w:pPr>
        <w:pStyle w:val="68"/>
        <w:ind w:firstLine="420"/>
      </w:pPr>
      <w:r>
        <w:rPr>
          <w:rFonts w:hint="eastAsia"/>
        </w:rPr>
        <w:t>区县申请使用市级资源的流程主要包括：</w:t>
      </w:r>
    </w:p>
    <w:p>
      <w:pPr>
        <w:pStyle w:val="31"/>
        <w:numPr>
          <w:ilvl w:val="0"/>
          <w:numId w:val="26"/>
        </w:numPr>
      </w:pPr>
      <w:r>
        <w:rPr>
          <w:rFonts w:hint="eastAsia"/>
        </w:rPr>
        <w:t>区县政务管理和服务机构（数据使用方）查询资源目录内容，提交数据获取申请；</w:t>
      </w:r>
    </w:p>
    <w:p>
      <w:pPr>
        <w:pStyle w:val="31"/>
        <w:numPr>
          <w:ilvl w:val="0"/>
          <w:numId w:val="26"/>
        </w:numPr>
      </w:pPr>
      <w:r>
        <w:rPr>
          <w:rFonts w:hint="eastAsia"/>
        </w:rPr>
        <w:t>区县政务数据运行管理机构完成政务信息资源申请材料的规范性检查，并通过区县共享交换枢纽回复受理意见。不予受理的，应当说明理由；</w:t>
      </w:r>
    </w:p>
    <w:p>
      <w:pPr>
        <w:pStyle w:val="31"/>
        <w:numPr>
          <w:ilvl w:val="0"/>
          <w:numId w:val="26"/>
        </w:numPr>
      </w:pPr>
      <w:r>
        <w:rPr>
          <w:rFonts w:hint="eastAsia"/>
        </w:rPr>
        <w:t>区县政务数据运行管理机构审核通过后，将申请需求级联推送至市共享交换枢纽；</w:t>
      </w:r>
    </w:p>
    <w:p>
      <w:pPr>
        <w:pStyle w:val="31"/>
        <w:numPr>
          <w:ilvl w:val="0"/>
          <w:numId w:val="26"/>
        </w:numPr>
      </w:pPr>
      <w:r>
        <w:rPr>
          <w:rFonts w:hint="eastAsia"/>
        </w:rPr>
        <w:t>市级政务数据运行管理机构完成政务信息资源申请材料的规范性检查，并通过市共享交换枢纽提交回复受理意见。不予受理的，应当说明理由；</w:t>
      </w:r>
    </w:p>
    <w:p>
      <w:pPr>
        <w:pStyle w:val="31"/>
        <w:numPr>
          <w:ilvl w:val="0"/>
          <w:numId w:val="26"/>
        </w:numPr>
      </w:pPr>
      <w:r>
        <w:rPr>
          <w:rFonts w:hint="eastAsia"/>
        </w:rPr>
        <w:t>市级政务管理和服务机构（数据提供方）收到申请后，完成授权并填写授权意见，不予授权的，应当说明具体理由和依据；由市级政务数据运行管理机构直接管理的数据，直接授权并填写授权意见，不予授权的，应当说明具体理由和依据；</w:t>
      </w:r>
    </w:p>
    <w:p>
      <w:pPr>
        <w:pStyle w:val="31"/>
        <w:numPr>
          <w:ilvl w:val="0"/>
          <w:numId w:val="26"/>
        </w:numPr>
      </w:pPr>
      <w:r>
        <w:rPr>
          <w:rFonts w:hint="eastAsia"/>
        </w:rPr>
        <w:t>市共享交换枢纽自动级联下发回复意见；</w:t>
      </w:r>
    </w:p>
    <w:p>
      <w:pPr>
        <w:pStyle w:val="31"/>
        <w:numPr>
          <w:ilvl w:val="0"/>
          <w:numId w:val="26"/>
        </w:numPr>
      </w:pPr>
      <w:r>
        <w:rPr>
          <w:rFonts w:hint="eastAsia"/>
        </w:rPr>
        <w:t>申请通过后，库表/文件类资源由市共享交换枢纽推送至区县中心前置库/中心前置节点，再由区县共享交换枢纽推送至区县政务管理和服务机构（数据使用方）前置库/前置节点；接口类资源由市共享交换枢纽提供具体的接口文档和经过市网关代理后的接口地址，再由区县共享交换枢纽提供具体的接口文档和经过区县网关代理后的接口地址。</w:t>
      </w:r>
    </w:p>
    <w:p>
      <w:pPr>
        <w:widowControl/>
        <w:ind w:firstLine="0" w:firstLineChars="0"/>
        <w:jc w:val="left"/>
      </w:pPr>
      <w:r>
        <w:br w:type="page"/>
      </w:r>
    </w:p>
    <w:p>
      <w:pPr>
        <w:pStyle w:val="70"/>
        <w:spacing w:before="156" w:after="156"/>
      </w:pPr>
      <w:bookmarkStart w:id="78" w:name="_Toc190698159"/>
      <w:r>
        <w:rPr>
          <w:rFonts w:hint="eastAsia"/>
        </w:rPr>
        <w:t>跨区域共享交换</w:t>
      </w:r>
      <w:bookmarkEnd w:id="78"/>
    </w:p>
    <w:p>
      <w:pPr>
        <w:pStyle w:val="68"/>
        <w:ind w:firstLine="420"/>
      </w:pPr>
      <w:r>
        <w:rPr>
          <w:rFonts w:hint="eastAsia"/>
        </w:rPr>
        <w:t>跨区域共享交换的流程主要包括：</w:t>
      </w:r>
    </w:p>
    <w:p>
      <w:pPr>
        <w:pStyle w:val="31"/>
        <w:numPr>
          <w:ilvl w:val="0"/>
          <w:numId w:val="27"/>
        </w:numPr>
      </w:pPr>
      <w:r>
        <w:rPr>
          <w:rFonts w:hint="eastAsia"/>
        </w:rPr>
        <w:t>区县政务管理和服务机构（数据使用方）查询资源目录内容，提交数据获取申请；</w:t>
      </w:r>
    </w:p>
    <w:p>
      <w:pPr>
        <w:pStyle w:val="31"/>
        <w:numPr>
          <w:ilvl w:val="0"/>
          <w:numId w:val="27"/>
        </w:numPr>
      </w:pPr>
      <w:r>
        <w:rPr>
          <w:rFonts w:hint="eastAsia"/>
        </w:rPr>
        <w:t>区县政务数据运行管理机构完成政务信息资源申请材料的规范性检查，并通</w:t>
      </w:r>
      <w:r>
        <w:rPr>
          <w:rFonts w:hint="eastAsia"/>
          <w:lang w:val="en-US" w:eastAsia="zh-CN"/>
        </w:rPr>
        <w:t>过</w:t>
      </w:r>
      <w:r>
        <w:rPr>
          <w:rFonts w:hint="eastAsia"/>
        </w:rPr>
        <w:t>区县市共享交换枢纽回复受理意见。不予受理的，应当说明理由；</w:t>
      </w:r>
    </w:p>
    <w:p>
      <w:pPr>
        <w:pStyle w:val="31"/>
        <w:numPr>
          <w:ilvl w:val="0"/>
          <w:numId w:val="27"/>
        </w:numPr>
      </w:pPr>
      <w:r>
        <w:rPr>
          <w:rFonts w:hint="eastAsia"/>
        </w:rPr>
        <w:t>区县政务数据运行管理机构审核通过后，将申请需求级联推送至市共享交换枢纽；</w:t>
      </w:r>
    </w:p>
    <w:p>
      <w:pPr>
        <w:pStyle w:val="31"/>
        <w:numPr>
          <w:ilvl w:val="0"/>
          <w:numId w:val="27"/>
        </w:numPr>
      </w:pPr>
      <w:r>
        <w:rPr>
          <w:rFonts w:hint="eastAsia"/>
        </w:rPr>
        <w:t>市级政务数据运行管理机构完成政务信息资源申请材料的规范性检查，并通过市共享交换枢纽提交回复受理意见。不予受理的，应当说明理由；</w:t>
      </w:r>
    </w:p>
    <w:p>
      <w:pPr>
        <w:pStyle w:val="31"/>
        <w:numPr>
          <w:ilvl w:val="0"/>
          <w:numId w:val="27"/>
        </w:numPr>
      </w:pPr>
      <w:r>
        <w:rPr>
          <w:rFonts w:hint="eastAsia"/>
        </w:rPr>
        <w:t>市级政务数据运行管理机构审核通过后，将申请需求级联推送至其他区县共享交换枢纽；</w:t>
      </w:r>
    </w:p>
    <w:p>
      <w:pPr>
        <w:pStyle w:val="31"/>
        <w:numPr>
          <w:ilvl w:val="0"/>
          <w:numId w:val="27"/>
        </w:numPr>
      </w:pPr>
      <w:r>
        <w:rPr>
          <w:rFonts w:hint="eastAsia"/>
        </w:rPr>
        <w:t>其他区县政务管理和服务机构（数据提供方）收到申请后，完成授权并填写授权意见，不予授权的，应当说明具体理由和依据；由其他区县政务数据运行管理机构直接管理的数据，直接授权并填写授权意见，不予授权的，应当说明具体理由和依据；</w:t>
      </w:r>
    </w:p>
    <w:p>
      <w:pPr>
        <w:pStyle w:val="31"/>
        <w:numPr>
          <w:ilvl w:val="0"/>
          <w:numId w:val="27"/>
        </w:numPr>
      </w:pPr>
      <w:r>
        <w:rPr>
          <w:rFonts w:hint="eastAsia"/>
        </w:rPr>
        <w:t>其他区县共享交换枢纽自动级联上报回复意见至市共享交换枢纽，市共享交换枢纽级联下发回复意见至区县共享交换枢纽；</w:t>
      </w:r>
    </w:p>
    <w:p>
      <w:pPr>
        <w:pStyle w:val="31"/>
        <w:numPr>
          <w:ilvl w:val="0"/>
          <w:numId w:val="27"/>
        </w:numPr>
        <w:rPr>
          <w:rFonts w:hint="eastAsia"/>
        </w:rPr>
      </w:pPr>
      <w:r>
        <w:rPr>
          <w:rFonts w:hint="eastAsia"/>
        </w:rPr>
        <w:t>申请通过后，库表/文件类资源由市共享交换枢纽推送至区县中心前置库/中心前置节点，再由区县共享交换枢纽推送至区县政务管理和服务机构（数据使用方）前置库/前置节点；接口类资源由市共享交换枢纽提供具体的接口文档和经过市网关代理后的接口地址，再由区县共享交换枢纽提供具体的接口文档和经过区县网关代理后的接口地址。</w:t>
      </w:r>
    </w:p>
    <w:p>
      <w:pPr>
        <w:pStyle w:val="2"/>
        <w:ind w:firstLine="0" w:firstLineChars="0"/>
      </w:pPr>
      <w:r>
        <w:br w:type="page"/>
      </w:r>
    </w:p>
    <w:p>
      <w:pPr>
        <w:pStyle w:val="79"/>
        <w:tabs>
          <w:tab w:val="left" w:pos="1809"/>
          <w:tab w:val="center" w:pos="4677"/>
          <w:tab w:val="right" w:pos="9354"/>
        </w:tabs>
        <w:spacing w:before="567" w:after="283" w:afterLines="0"/>
        <w:ind w:firstLine="0" w:firstLineChars="0"/>
        <w:jc w:val="left"/>
        <w:rPr>
          <w:spacing w:val="105"/>
        </w:rPr>
      </w:pPr>
      <w:r>
        <w:rPr>
          <w:spacing w:val="105"/>
        </w:rPr>
        <w:tab/>
      </w:r>
      <w:r>
        <w:rPr>
          <w:spacing w:val="105"/>
        </w:rPr>
        <w:tab/>
      </w:r>
      <w:bookmarkStart w:id="79" w:name="_Toc190698160"/>
      <w:r>
        <w:rPr>
          <w:rFonts w:hint="eastAsia"/>
          <w:spacing w:val="105"/>
          <w:lang w:val="en-US" w:eastAsia="zh-CN"/>
        </w:rPr>
        <w:t>参考文献</w:t>
      </w:r>
      <w:bookmarkEnd w:id="79"/>
      <w:r>
        <w:rPr>
          <w:spacing w:val="105"/>
        </w:rPr>
        <w:tab/>
      </w:r>
    </w:p>
    <w:p>
      <w:pPr>
        <w:ind w:firstLine="420"/>
      </w:pPr>
      <w:r>
        <w:rPr>
          <w:rFonts w:hint="eastAsia"/>
        </w:rPr>
        <w:t>[</w:t>
      </w:r>
      <w:r>
        <w:t xml:space="preserve">1] </w:t>
      </w:r>
      <w:r>
        <w:rPr>
          <w:rFonts w:hint="eastAsia"/>
          <w:lang w:val="en-US" w:eastAsia="zh-CN"/>
        </w:rPr>
        <w:t xml:space="preserve"> </w:t>
      </w:r>
      <w:r>
        <w:t xml:space="preserve">GB/T 21063.1-2007 </w:t>
      </w:r>
      <w:r>
        <w:rPr>
          <w:rFonts w:hint="eastAsia"/>
          <w:lang w:val="en-US" w:eastAsia="zh-CN"/>
        </w:rPr>
        <w:t xml:space="preserve"> </w:t>
      </w:r>
      <w:r>
        <w:rPr>
          <w:rFonts w:hint="eastAsia"/>
        </w:rPr>
        <w:t>政务信息资源目录体系 第</w:t>
      </w:r>
      <w:r>
        <w:t>1</w:t>
      </w:r>
      <w:r>
        <w:rPr>
          <w:rFonts w:hint="eastAsia"/>
        </w:rPr>
        <w:t>部分：总体框架</w:t>
      </w:r>
      <w:r>
        <w:t xml:space="preserve"> </w:t>
      </w:r>
    </w:p>
    <w:p>
      <w:pPr>
        <w:ind w:firstLine="420"/>
      </w:pPr>
      <w:r>
        <w:rPr>
          <w:rFonts w:hint="eastAsia"/>
        </w:rPr>
        <w:t>[</w:t>
      </w:r>
      <w:r>
        <w:t xml:space="preserve">2] </w:t>
      </w:r>
      <w:r>
        <w:rPr>
          <w:rFonts w:hint="eastAsia"/>
          <w:lang w:val="en-US" w:eastAsia="zh-CN"/>
        </w:rPr>
        <w:t xml:space="preserve"> </w:t>
      </w:r>
      <w:r>
        <w:t xml:space="preserve">GB/T 21063.3-2007 </w:t>
      </w:r>
      <w:r>
        <w:rPr>
          <w:rFonts w:hint="eastAsia"/>
          <w:lang w:val="en-US" w:eastAsia="zh-CN"/>
        </w:rPr>
        <w:t xml:space="preserve"> </w:t>
      </w:r>
      <w:r>
        <w:rPr>
          <w:rFonts w:hint="eastAsia"/>
        </w:rPr>
        <w:t>政务信息资源目录体系 第</w:t>
      </w:r>
      <w:r>
        <w:t>3</w:t>
      </w:r>
      <w:r>
        <w:rPr>
          <w:rFonts w:hint="eastAsia"/>
        </w:rPr>
        <w:t xml:space="preserve">部分：核心元数据 </w:t>
      </w:r>
    </w:p>
    <w:p>
      <w:pPr>
        <w:pStyle w:val="2"/>
        <w:ind w:firstLine="420"/>
      </w:pPr>
      <w:r>
        <w:rPr>
          <w:rFonts w:hint="eastAsia"/>
        </w:rPr>
        <w:t>[</w:t>
      </w:r>
      <w:r>
        <w:t xml:space="preserve">3] </w:t>
      </w:r>
      <w:r>
        <w:rPr>
          <w:rFonts w:hint="eastAsia"/>
          <w:lang w:val="en-US" w:eastAsia="zh-CN"/>
        </w:rPr>
        <w:t xml:space="preserve"> </w:t>
      </w:r>
      <w:r>
        <w:t xml:space="preserve">GB/T 21062.2-2007 </w:t>
      </w:r>
      <w:r>
        <w:rPr>
          <w:rFonts w:hint="eastAsia"/>
          <w:lang w:val="en-US" w:eastAsia="zh-CN"/>
        </w:rPr>
        <w:t xml:space="preserve"> </w:t>
      </w:r>
      <w:r>
        <w:rPr>
          <w:rFonts w:hint="eastAsia"/>
        </w:rPr>
        <w:t>政务信息资源交换体系 第2部分：技术要求</w:t>
      </w:r>
    </w:p>
    <w:p>
      <w:pPr>
        <w:ind w:firstLine="420"/>
      </w:pPr>
      <w:r>
        <w:rPr>
          <w:rFonts w:hint="eastAsia"/>
        </w:rPr>
        <w:t>[</w:t>
      </w:r>
      <w:r>
        <w:t xml:space="preserve">4] </w:t>
      </w:r>
      <w:r>
        <w:rPr>
          <w:rFonts w:hint="eastAsia"/>
          <w:lang w:val="en-US" w:eastAsia="zh-CN"/>
        </w:rPr>
        <w:t xml:space="preserve"> </w:t>
      </w:r>
      <w:r>
        <w:t xml:space="preserve">GB/T 35273-2020 </w:t>
      </w:r>
      <w:r>
        <w:rPr>
          <w:rFonts w:hint="eastAsia"/>
          <w:lang w:val="en-US" w:eastAsia="zh-CN"/>
        </w:rPr>
        <w:t xml:space="preserve"> </w:t>
      </w:r>
      <w:r>
        <w:t>信息安全技术—个人信息安全规范</w:t>
      </w:r>
    </w:p>
    <w:p>
      <w:pPr>
        <w:ind w:firstLine="420"/>
      </w:pPr>
      <w:r>
        <w:rPr>
          <w:rFonts w:hint="eastAsia"/>
        </w:rPr>
        <w:t>[</w:t>
      </w:r>
      <w:r>
        <w:t xml:space="preserve">5] </w:t>
      </w:r>
      <w:r>
        <w:rPr>
          <w:rFonts w:hint="eastAsia"/>
          <w:lang w:val="en-US" w:eastAsia="zh-CN"/>
        </w:rPr>
        <w:t xml:space="preserve"> </w:t>
      </w:r>
      <w:r>
        <w:t xml:space="preserve">GB/T 43697-2024 </w:t>
      </w:r>
      <w:r>
        <w:rPr>
          <w:rFonts w:hint="eastAsia"/>
          <w:lang w:val="en-US" w:eastAsia="zh-CN"/>
        </w:rPr>
        <w:t xml:space="preserve"> </w:t>
      </w:r>
      <w:r>
        <w:t>数据安全技术数据分类分级规则</w:t>
      </w:r>
    </w:p>
    <w:p>
      <w:pPr>
        <w:ind w:firstLine="0" w:firstLineChars="0"/>
      </w:pPr>
      <w:r>
        <w:rPr>
          <w:rFonts w:ascii="黑体" w:hAnsi="黑体" w:eastAsia="黑体"/>
        </w:rPr>
        <mc:AlternateContent>
          <mc:Choice Requires="wps">
            <w:drawing>
              <wp:anchor distT="0" distB="0" distL="114300" distR="114300" simplePos="0" relativeHeight="251665408" behindDoc="0" locked="0" layoutInCell="1" allowOverlap="1">
                <wp:simplePos x="0" y="0"/>
                <wp:positionH relativeFrom="column">
                  <wp:posOffset>1979930</wp:posOffset>
                </wp:positionH>
                <wp:positionV relativeFrom="paragraph">
                  <wp:posOffset>174625</wp:posOffset>
                </wp:positionV>
                <wp:extent cx="1800225" cy="0"/>
                <wp:effectExtent l="0" t="4445" r="0" b="5080"/>
                <wp:wrapNone/>
                <wp:docPr id="25" name="直接箭头连接符 5"/>
                <wp:cNvGraphicFramePr/>
                <a:graphic xmlns:a="http://schemas.openxmlformats.org/drawingml/2006/main">
                  <a:graphicData uri="http://schemas.microsoft.com/office/word/2010/wordprocessingShape">
                    <wps:wsp>
                      <wps:cNvCnPr>
                        <a:cxnSpLocks noChangeShapeType="true"/>
                      </wps:cNvCnPr>
                      <wps:spPr bwMode="auto">
                        <a:xfrm>
                          <a:off x="2970530" y="3605530"/>
                          <a:ext cx="1800225" cy="0"/>
                        </a:xfrm>
                        <a:prstGeom prst="straightConnector1">
                          <a:avLst/>
                        </a:prstGeom>
                        <a:noFill/>
                        <a:ln w="9525">
                          <a:solidFill>
                            <a:srgbClr val="000000"/>
                          </a:solidFill>
                          <a:round/>
                        </a:ln>
                        <a:effectLst/>
                      </wps:spPr>
                      <wps:bodyPr/>
                    </wps:wsp>
                  </a:graphicData>
                </a:graphic>
              </wp:anchor>
            </w:drawing>
          </mc:Choice>
          <mc:Fallback>
            <w:pict>
              <v:shape id="直接箭头连接符 5" o:spid="_x0000_s1026" o:spt="32" type="#_x0000_t32" style="position:absolute;left:0pt;margin-left:155.9pt;margin-top:13.75pt;height:0pt;width:141.75pt;z-index:251665408;mso-width-relative:page;mso-height-relative:page;" filled="f" stroked="t" coordsize="21600,21600" o:gfxdata="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7eecGtcAAAAJAQAADwAAAAAAAAABACAAAAA4AAAAZHJzL2Rv&#10;d25yZXYueG1sUEsBAhQAFAAAAAgAh07iQIj6j6nsAQAAjgMAAA4AAAAAAAAAAQAgAAAAPAEAAGRy&#10;cy9lMm9Eb2MueG1sUEsFBgAAAAAGAAYAWQEAAJoFAAAAAA==&#10;">
                <v:fill on="f" focussize="0,0"/>
                <v:stroke color="#000000" joinstyle="round"/>
                <v:imagedata o:title=""/>
                <o:lock v:ext="edit" aspectratio="f"/>
              </v:shape>
            </w:pict>
          </mc:Fallback>
        </mc:AlternateContent>
      </w:r>
    </w:p>
    <w:p>
      <w:pPr>
        <w:tabs>
          <w:tab w:val="left" w:pos="6315"/>
        </w:tabs>
        <w:ind w:firstLine="420"/>
      </w:pPr>
      <w:r>
        <w:tab/>
      </w:r>
    </w:p>
    <w:sectPr>
      <w:headerReference r:id="rId20" w:type="default"/>
      <w:footerReference r:id="rId22" w:type="default"/>
      <w:headerReference r:id="rId21" w:type="even"/>
      <w:type w:val="oddPage"/>
      <w:pgSz w:w="11906" w:h="16838"/>
      <w:pgMar w:top="1418" w:right="1134" w:bottom="1134" w:left="1418" w:header="1418" w:footer="1134"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20"/>
      </w:pPr>
      <w:r>
        <w:separator/>
      </w:r>
    </w:p>
  </w:endnote>
  <w:endnote w:type="continuationSeparator" w:id="1">
    <w:p>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Verdana">
    <w:altName w:val="Ubuntu"/>
    <w:panose1 w:val="020B0604030504040204"/>
    <w:charset w:val="00"/>
    <w:family w:val="swiss"/>
    <w:pitch w:val="default"/>
    <w:sig w:usb0="00000000" w:usb1="00000000" w:usb2="00000010" w:usb3="00000000" w:csb0="2000019F" w:csb1="00000000"/>
  </w:font>
  <w:font w:name="MicrosoftYaHei">
    <w:altName w:val="汉仪仿宋S"/>
    <w:panose1 w:val="00000000000000000000"/>
    <w:charset w:val="00"/>
    <w:family w:val="roman"/>
    <w:pitch w:val="default"/>
    <w:sig w:usb0="00000000" w:usb1="00000000" w:usb2="00000000" w:usb3="00000000" w:csb0="00000000" w:csb1="00000000"/>
  </w:font>
  <w:font w:name="方正小标宋_GBK">
    <w:panose1 w:val="02000000000000000000"/>
    <w:charset w:val="86"/>
    <w:family w:val="script"/>
    <w:pitch w:val="default"/>
    <w:sig w:usb0="00000001" w:usb1="08000000" w:usb2="00000000" w:usb3="00000000" w:csb0="00040000" w:csb1="00000000"/>
  </w:font>
  <w:font w:name="Dotum,Bold">
    <w:altName w:val="黑体"/>
    <w:panose1 w:val="00000000000000000000"/>
    <w:charset w:val="86"/>
    <w:family w:val="auto"/>
    <w:pitch w:val="default"/>
    <w:sig w:usb0="00000000" w:usb1="00000000" w:usb2="00000010" w:usb3="00000000" w:csb0="00040000" w:csb1="00000000"/>
  </w:font>
  <w:font w:name="SimSun,Bold">
    <w:altName w:val="黑体"/>
    <w:panose1 w:val="00000000000000000000"/>
    <w:charset w:val="86"/>
    <w:family w:val="auto"/>
    <w:pitch w:val="default"/>
    <w:sig w:usb0="00000000" w:usb1="00000000" w:usb2="00000010" w:usb3="00000000" w:csb0="00040000" w:csb1="00000000"/>
  </w:font>
  <w:font w:name="Segoe UI">
    <w:altName w:val="Noto Naskh Arabic"/>
    <w:panose1 w:val="020B0502040204020203"/>
    <w:charset w:val="00"/>
    <w:family w:val="swiss"/>
    <w:pitch w:val="default"/>
    <w:sig w:usb0="00000000" w:usb1="00000000" w:usb2="00000009" w:usb3="00000000" w:csb0="200001FF"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25609939"/>
    </w:sdtPr>
    <w:sdtContent>
      <w:p>
        <w:pPr>
          <w:pStyle w:val="13"/>
          <w:ind w:firstLine="360"/>
          <w:jc w:val="right"/>
          <w:rPr>
            <w:rFonts w:hAnsiTheme="minorEastAsia"/>
          </w:rPr>
        </w:pPr>
        <w:r>
          <w:fldChar w:fldCharType="begin"/>
        </w:r>
        <w:r>
          <w:instrText xml:space="preserve">PAGE   \* MERGEFORMAT</w:instrText>
        </w:r>
        <w:r>
          <w:fldChar w:fldCharType="separate"/>
        </w:r>
        <w:r>
          <w:rPr>
            <w:lang w:val="zh-CN"/>
          </w:rPr>
          <w:t>I</w:t>
        </w:r>
        <w: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01681548"/>
    </w:sdtPr>
    <w:sdtContent>
      <w:p>
        <w:pPr>
          <w:pStyle w:val="13"/>
          <w:ind w:firstLine="360"/>
        </w:pPr>
        <w:r>
          <w:fldChar w:fldCharType="begin"/>
        </w:r>
        <w:r>
          <w:instrText xml:space="preserve">PAGE   \* MERGEFORMAT</w:instrText>
        </w:r>
        <w:r>
          <w:fldChar w:fldCharType="separate"/>
        </w:r>
        <w:r>
          <w:rPr>
            <w:lang w:val="zh-CN"/>
          </w:rPr>
          <w:t>2</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80212739"/>
      <w:docPartObj>
        <w:docPartGallery w:val="autotext"/>
      </w:docPartObj>
    </w:sdtPr>
    <w:sdtContent>
      <w:p>
        <w:pPr>
          <w:pStyle w:val="13"/>
          <w:keepNext w:val="0"/>
          <w:keepLines w:val="0"/>
          <w:pageBreakBefore w:val="0"/>
          <w:widowControl w:val="0"/>
          <w:kinsoku/>
          <w:wordWrap/>
          <w:overflowPunct/>
          <w:topLinePunct w:val="0"/>
          <w:bidi w:val="0"/>
          <w:adjustRightInd/>
          <w:snapToGrid w:val="0"/>
          <w:ind w:firstLine="0" w:firstLineChars="0"/>
          <w:jc w:val="right"/>
          <w:textAlignment w:val="auto"/>
        </w:pPr>
        <w:r>
          <w:rPr>
            <w:rFonts w:hint="eastAsia"/>
          </w:rPr>
          <w:t>II</w:t>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ind w:firstLine="420"/>
                          </w:pP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A7fgaMUAgAAGwQAAA4AAAAAAAAAAQAgAAAANQEAAGRycy9lMm9Eb2MueG1sUEsFBgAAAAAGAAYA&#10;WQEAALsFAAAAAA==&#10;">
              <v:fill on="f" focussize="0,0"/>
              <v:stroke on="f" weight="0.5pt"/>
              <v:imagedata o:title=""/>
              <o:lock v:ext="edit" aspectratio="f"/>
              <v:textbox inset="0mm,0mm,0mm,0mm" style="mso-fit-shape-to-text:t;">
                <w:txbxContent>
                  <w:p>
                    <w:pPr>
                      <w:ind w:firstLine="420"/>
                    </w:pP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17091642"/>
    </w:sdtPr>
    <w:sdtContent>
      <w:p>
        <w:pPr>
          <w:pStyle w:val="13"/>
          <w:ind w:firstLine="360"/>
          <w:jc w:val="right"/>
          <w:rPr>
            <w:rFonts w:hAnsiTheme="minorEastAsia"/>
          </w:rPr>
        </w:pPr>
        <w:r>
          <w:rPr>
            <w:rFonts w:hint="eastAsia"/>
          </w:rPr>
          <w:t>III</w:t>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16866573"/>
    </w:sdtPr>
    <w:sdtContent>
      <w:p>
        <w:pPr>
          <w:pStyle w:val="13"/>
          <w:ind w:firstLine="0" w:firstLineChars="0"/>
        </w:pPr>
        <w:r>
          <w:fldChar w:fldCharType="begin"/>
        </w:r>
        <w:r>
          <w:instrText xml:space="preserve">PAGE   \* MERGEFORMAT</w:instrText>
        </w:r>
        <w:r>
          <w:fldChar w:fldCharType="separate"/>
        </w:r>
        <w:r>
          <w:rPr>
            <w:lang w:val="zh-CN"/>
          </w:rPr>
          <w:t>6</w:t>
        </w:r>
        <w:r>
          <w:fldChar w:fldCharType="end"/>
        </w:r>
      </w:p>
    </w:sdtContent>
  </w:sdt>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25630521"/>
    </w:sdtPr>
    <w:sdtContent>
      <w:p>
        <w:pPr>
          <w:pStyle w:val="13"/>
          <w:keepNext w:val="0"/>
          <w:keepLines w:val="0"/>
          <w:pageBreakBefore w:val="0"/>
          <w:widowControl w:val="0"/>
          <w:kinsoku/>
          <w:wordWrap/>
          <w:overflowPunct/>
          <w:topLinePunct w:val="0"/>
          <w:bidi w:val="0"/>
          <w:adjustRightInd/>
          <w:snapToGrid w:val="0"/>
          <w:ind w:firstLine="0" w:firstLineChars="0"/>
          <w:jc w:val="right"/>
          <w:textAlignment w:val="auto"/>
          <w:rPr>
            <w:rFonts w:hAnsiTheme="minorEastAsia"/>
          </w:rPr>
        </w:pPr>
        <w:r>
          <w:fldChar w:fldCharType="begin"/>
        </w:r>
        <w:r>
          <w:instrText xml:space="preserve">PAGE   \* MERGEFORMAT</w:instrText>
        </w:r>
        <w:r>
          <w:fldChar w:fldCharType="separate"/>
        </w:r>
        <w:r>
          <w:rPr>
            <w:lang w:val="zh-CN"/>
          </w:rPr>
          <w:t>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20"/>
      </w:pPr>
      <w:r>
        <w:separator/>
      </w:r>
    </w:p>
  </w:footnote>
  <w:footnote w:type="continuationSeparator" w:id="1">
    <w:p>
      <w:pPr>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3"/>
      <w:ind w:firstLine="0" w:firstLineChars="0"/>
      <w:jc w:val="right"/>
      <w:rPr>
        <w:rFonts w:ascii="黑体" w:hAnsi="黑体" w:eastAsia="黑体"/>
        <w:kern w:val="0"/>
        <w:szCs w:val="21"/>
      </w:rPr>
    </w:pPr>
    <w:r>
      <w:rPr>
        <w:rFonts w:ascii="黑体" w:hAnsi="黑体" w:eastAsia="黑体"/>
        <w:kern w:val="0"/>
        <w:szCs w:val="21"/>
      </w:rPr>
      <w:t>DB3205/T XXX</w:t>
    </w:r>
    <w:r>
      <w:rPr>
        <w:rFonts w:hint="eastAsia" w:ascii="黑体" w:hAnsi="黑体" w:eastAsia="黑体"/>
        <w:kern w:val="0"/>
        <w:szCs w:val="21"/>
      </w:rPr>
      <w:t>.</w:t>
    </w:r>
    <w:r>
      <w:rPr>
        <w:rFonts w:ascii="黑体" w:hAnsi="黑体" w:eastAsia="黑体"/>
        <w:kern w:val="0"/>
        <w:szCs w:val="21"/>
      </w:rPr>
      <w:t>1</w:t>
    </w:r>
    <w:r>
      <w:rPr>
        <w:rFonts w:hint="eastAsia" w:ascii="黑体" w:hAnsi="黑体" w:eastAsia="黑体"/>
        <w:kern w:val="0"/>
        <w:szCs w:val="21"/>
      </w:rPr>
      <w:t>—</w:t>
    </w:r>
    <w:r>
      <w:rPr>
        <w:rFonts w:ascii="黑体" w:hAnsi="黑体" w:eastAsia="黑体"/>
        <w:kern w:val="0"/>
        <w:szCs w:val="21"/>
      </w:rPr>
      <w:t>2025</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3"/>
      <w:ind w:firstLine="0" w:firstLineChars="0"/>
      <w:jc w:val="left"/>
      <w:rPr>
        <w:rFonts w:ascii="黑体" w:hAnsi="黑体" w:eastAsia="黑体"/>
        <w:kern w:val="0"/>
        <w:szCs w:val="21"/>
      </w:rPr>
    </w:pPr>
    <w:r>
      <w:rPr>
        <w:rFonts w:ascii="黑体" w:hAnsi="黑体" w:eastAsia="黑体"/>
        <w:kern w:val="0"/>
        <w:szCs w:val="21"/>
      </w:rPr>
      <w:t>DB3205/T XXX</w:t>
    </w:r>
    <w:r>
      <w:rPr>
        <w:rFonts w:hint="eastAsia" w:ascii="黑体" w:hAnsi="黑体" w:eastAsia="黑体"/>
        <w:kern w:val="0"/>
        <w:szCs w:val="21"/>
      </w:rPr>
      <w:t>.</w:t>
    </w:r>
    <w:r>
      <w:rPr>
        <w:rFonts w:ascii="黑体" w:hAnsi="黑体" w:eastAsia="黑体"/>
        <w:kern w:val="0"/>
        <w:szCs w:val="21"/>
      </w:rPr>
      <w:t>1</w:t>
    </w:r>
    <w:r>
      <w:rPr>
        <w:rFonts w:hint="eastAsia" w:ascii="黑体" w:hAnsi="黑体" w:eastAsia="黑体"/>
        <w:kern w:val="0"/>
        <w:szCs w:val="21"/>
      </w:rPr>
      <w:t>—</w:t>
    </w:r>
    <w:r>
      <w:rPr>
        <w:rFonts w:ascii="黑体" w:hAnsi="黑体" w:eastAsia="黑体"/>
        <w:kern w:val="0"/>
        <w:szCs w:val="21"/>
      </w:rPr>
      <w:t>2025</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3"/>
      <w:ind w:firstLine="0" w:firstLineChars="0"/>
      <w:jc w:val="right"/>
      <w:rPr>
        <w:rFonts w:ascii="黑体" w:hAnsi="黑体" w:eastAsia="黑体"/>
        <w:kern w:val="0"/>
        <w:szCs w:val="21"/>
      </w:rPr>
    </w:pPr>
    <w:r>
      <w:rPr>
        <w:rFonts w:ascii="黑体" w:hAnsi="黑体" w:eastAsia="黑体"/>
        <w:kern w:val="0"/>
        <w:szCs w:val="21"/>
      </w:rPr>
      <w:t>DB3205/T XXX</w:t>
    </w:r>
    <w:r>
      <w:rPr>
        <w:rFonts w:hint="eastAsia" w:ascii="黑体" w:hAnsi="黑体" w:eastAsia="黑体"/>
        <w:kern w:val="0"/>
        <w:szCs w:val="21"/>
      </w:rPr>
      <w:t>.</w:t>
    </w:r>
    <w:r>
      <w:rPr>
        <w:rFonts w:ascii="黑体" w:hAnsi="黑体" w:eastAsia="黑体"/>
        <w:kern w:val="0"/>
        <w:szCs w:val="21"/>
      </w:rPr>
      <w:t>1</w:t>
    </w:r>
    <w:r>
      <w:rPr>
        <w:rFonts w:hint="eastAsia" w:ascii="黑体" w:hAnsi="黑体" w:eastAsia="黑体"/>
        <w:kern w:val="0"/>
        <w:szCs w:val="21"/>
      </w:rPr>
      <w:t>—</w:t>
    </w:r>
    <w:r>
      <w:rPr>
        <w:rFonts w:ascii="黑体" w:hAnsi="黑体" w:eastAsia="黑体"/>
        <w:kern w:val="0"/>
        <w:szCs w:val="21"/>
      </w:rPr>
      <w:t>2025</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bidi w:val="0"/>
      <w:adjustRightInd/>
      <w:snapToGrid/>
      <w:spacing w:after="283"/>
      <w:ind w:firstLine="0" w:firstLineChars="0"/>
      <w:jc w:val="right"/>
      <w:textAlignment w:val="auto"/>
      <w:rPr>
        <w:rFonts w:ascii="黑体" w:hAnsi="黑体" w:eastAsia="黑体"/>
        <w:kern w:val="0"/>
        <w:szCs w:val="21"/>
      </w:rPr>
    </w:pPr>
    <w:r>
      <w:rPr>
        <w:rFonts w:ascii="黑体" w:hAnsi="黑体" w:eastAsia="黑体"/>
        <w:kern w:val="0"/>
        <w:szCs w:val="21"/>
      </w:rPr>
      <w:t>DB3205/T XXX</w:t>
    </w:r>
    <w:r>
      <w:rPr>
        <w:rFonts w:hint="eastAsia" w:ascii="黑体" w:hAnsi="黑体" w:eastAsia="黑体"/>
        <w:kern w:val="0"/>
        <w:szCs w:val="21"/>
      </w:rPr>
      <w:t>—</w:t>
    </w:r>
    <w:r>
      <w:rPr>
        <w:rFonts w:ascii="黑体" w:hAnsi="黑体" w:eastAsia="黑体"/>
        <w:kern w:val="0"/>
        <w:szCs w:val="21"/>
      </w:rPr>
      <w:t>2025</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3"/>
      <w:ind w:firstLine="0" w:firstLineChars="0"/>
      <w:jc w:val="left"/>
      <w:rPr>
        <w:rFonts w:ascii="黑体" w:hAnsi="黑体" w:eastAsia="黑体"/>
        <w:kern w:val="0"/>
        <w:szCs w:val="21"/>
      </w:rPr>
    </w:pPr>
    <w:r>
      <w:rPr>
        <w:rFonts w:ascii="黑体" w:hAnsi="黑体" w:eastAsia="黑体"/>
        <w:kern w:val="0"/>
        <w:szCs w:val="21"/>
      </w:rPr>
      <w:t>DB3205/T XXX</w:t>
    </w:r>
    <w:r>
      <w:rPr>
        <w:rFonts w:hint="eastAsia" w:ascii="黑体" w:hAnsi="黑体" w:eastAsia="黑体"/>
        <w:kern w:val="0"/>
        <w:szCs w:val="21"/>
      </w:rPr>
      <w:t>—</w:t>
    </w:r>
    <w:r>
      <w:rPr>
        <w:rFonts w:ascii="黑体" w:hAnsi="黑体" w:eastAsia="黑体"/>
        <w:kern w:val="0"/>
        <w:szCs w:val="21"/>
      </w:rPr>
      <w:t>2025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FC4D62"/>
    <w:multiLevelType w:val="multilevel"/>
    <w:tmpl w:val="01FC4D62"/>
    <w:lvl w:ilvl="0" w:tentative="0">
      <w:start w:val="1"/>
      <w:numFmt w:val="lowerLetter"/>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079767F3"/>
    <w:multiLevelType w:val="multilevel"/>
    <w:tmpl w:val="079767F3"/>
    <w:lvl w:ilvl="0" w:tentative="0">
      <w:start w:val="1"/>
      <w:numFmt w:val="lowerLetter"/>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07ED3FEA"/>
    <w:multiLevelType w:val="multilevel"/>
    <w:tmpl w:val="07ED3FEA"/>
    <w:lvl w:ilvl="0" w:tentative="0">
      <w:start w:val="1"/>
      <w:numFmt w:val="none"/>
      <w:pStyle w:val="52"/>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
    <w:nsid w:val="15EF0C26"/>
    <w:multiLevelType w:val="multilevel"/>
    <w:tmpl w:val="15EF0C26"/>
    <w:lvl w:ilvl="0" w:tentative="0">
      <w:start w:val="1"/>
      <w:numFmt w:val="lowerLetter"/>
      <w:pStyle w:val="58"/>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
    <w:nsid w:val="1FC91163"/>
    <w:multiLevelType w:val="multilevel"/>
    <w:tmpl w:val="1FC91163"/>
    <w:lvl w:ilvl="0" w:tentative="0">
      <w:start w:val="1"/>
      <w:numFmt w:val="decimal"/>
      <w:pStyle w:val="53"/>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5"/>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57"/>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5">
    <w:nsid w:val="24BA3AD4"/>
    <w:multiLevelType w:val="multilevel"/>
    <w:tmpl w:val="24BA3AD4"/>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
    <w:nsid w:val="2C5917C3"/>
    <w:multiLevelType w:val="multilevel"/>
    <w:tmpl w:val="2C5917C3"/>
    <w:lvl w:ilvl="0" w:tentative="0">
      <w:start w:val="1"/>
      <w:numFmt w:val="none"/>
      <w:suff w:val="nothing"/>
      <w:lvlText w:val="%1——"/>
      <w:lvlJc w:val="left"/>
      <w:pPr>
        <w:ind w:left="833" w:hanging="408"/>
      </w:pPr>
      <w:rPr>
        <w:rFonts w:hint="eastAsia"/>
        <w:lang w:val="en-US"/>
      </w:rPr>
    </w:lvl>
    <w:lvl w:ilvl="1" w:tentative="0">
      <w:start w:val="1"/>
      <w:numFmt w:val="bullet"/>
      <w:pStyle w:val="59"/>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7">
    <w:nsid w:val="2F22766A"/>
    <w:multiLevelType w:val="multilevel"/>
    <w:tmpl w:val="2F22766A"/>
    <w:lvl w:ilvl="0" w:tentative="0">
      <w:start w:val="1"/>
      <w:numFmt w:val="lowerLetter"/>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32FD4DF1"/>
    <w:multiLevelType w:val="multilevel"/>
    <w:tmpl w:val="32FD4DF1"/>
    <w:lvl w:ilvl="0" w:tentative="0">
      <w:start w:val="1"/>
      <w:numFmt w:val="lowerLetter"/>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352638F8"/>
    <w:multiLevelType w:val="multilevel"/>
    <w:tmpl w:val="352638F8"/>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
    <w:nsid w:val="361873E1"/>
    <w:multiLevelType w:val="multilevel"/>
    <w:tmpl w:val="361873E1"/>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1">
    <w:nsid w:val="37696C69"/>
    <w:multiLevelType w:val="multilevel"/>
    <w:tmpl w:val="37696C69"/>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2">
    <w:nsid w:val="38195D1D"/>
    <w:multiLevelType w:val="multilevel"/>
    <w:tmpl w:val="38195D1D"/>
    <w:lvl w:ilvl="0" w:tentative="0">
      <w:start w:val="1"/>
      <w:numFmt w:val="lowerLetter"/>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3">
    <w:nsid w:val="3FAE36C2"/>
    <w:multiLevelType w:val="multilevel"/>
    <w:tmpl w:val="3FAE36C2"/>
    <w:lvl w:ilvl="0" w:tentative="0">
      <w:start w:val="1"/>
      <w:numFmt w:val="lowerLetter"/>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4">
    <w:nsid w:val="456A2534"/>
    <w:multiLevelType w:val="multilevel"/>
    <w:tmpl w:val="456A2534"/>
    <w:lvl w:ilvl="0" w:tentative="0">
      <w:start w:val="1"/>
      <w:numFmt w:val="lowerLetter"/>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5">
    <w:nsid w:val="463D680C"/>
    <w:multiLevelType w:val="multilevel"/>
    <w:tmpl w:val="463D680C"/>
    <w:lvl w:ilvl="0" w:tentative="0">
      <w:start w:val="1"/>
      <w:numFmt w:val="lowerLetter"/>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6">
    <w:nsid w:val="48802D1C"/>
    <w:multiLevelType w:val="multilevel"/>
    <w:tmpl w:val="48802D1C"/>
    <w:lvl w:ilvl="0" w:tentative="0">
      <w:start w:val="1"/>
      <w:numFmt w:val="upperLetter"/>
      <w:lvlText w:val="%1"/>
      <w:lvlJc w:val="left"/>
      <w:pPr>
        <w:ind w:left="420" w:hanging="420"/>
      </w:pPr>
      <w:rPr>
        <w:rFonts w:hint="eastAsia"/>
      </w:rPr>
    </w:lvl>
    <w:lvl w:ilvl="1" w:tentative="0">
      <w:start w:val="1"/>
      <w:numFmt w:val="decimal"/>
      <w:pStyle w:val="78"/>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7">
    <w:nsid w:val="494F2A66"/>
    <w:multiLevelType w:val="multilevel"/>
    <w:tmpl w:val="494F2A66"/>
    <w:lvl w:ilvl="0" w:tentative="0">
      <w:start w:val="1"/>
      <w:numFmt w:val="lowerLetter"/>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8">
    <w:nsid w:val="51A27CCD"/>
    <w:multiLevelType w:val="multilevel"/>
    <w:tmpl w:val="51A27CCD"/>
    <w:lvl w:ilvl="0" w:tentative="0">
      <w:start w:val="1"/>
      <w:numFmt w:val="lowerLetter"/>
      <w:pStyle w:val="31"/>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9">
    <w:nsid w:val="600204D2"/>
    <w:multiLevelType w:val="multilevel"/>
    <w:tmpl w:val="600204D2"/>
    <w:lvl w:ilvl="0" w:tentative="0">
      <w:start w:val="1"/>
      <w:numFmt w:val="lowerLetter"/>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0">
    <w:nsid w:val="646260FA"/>
    <w:multiLevelType w:val="multilevel"/>
    <w:tmpl w:val="646260FA"/>
    <w:lvl w:ilvl="0" w:tentative="0">
      <w:start w:val="1"/>
      <w:numFmt w:val="decimal"/>
      <w:pStyle w:val="63"/>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1">
    <w:nsid w:val="657D3FBC"/>
    <w:multiLevelType w:val="multilevel"/>
    <w:tmpl w:val="657D3FBC"/>
    <w:lvl w:ilvl="0" w:tentative="0">
      <w:start w:val="1"/>
      <w:numFmt w:val="upperLetter"/>
      <w:pStyle w:val="62"/>
      <w:suff w:val="nothing"/>
      <w:lvlText w:val="附　录　%1"/>
      <w:lvlJc w:val="left"/>
      <w:pPr>
        <w:ind w:left="4410" w:firstLine="0"/>
      </w:pPr>
      <w:rPr>
        <w:rFonts w:hint="eastAsia" w:ascii="黑体" w:hAnsi="Times New Roman" w:eastAsia="黑体"/>
        <w:b w:val="0"/>
        <w:i w:val="0"/>
        <w:spacing w:val="0"/>
        <w:w w:val="100"/>
        <w:sz w:val="21"/>
      </w:rPr>
    </w:lvl>
    <w:lvl w:ilvl="1" w:tentative="0">
      <w:start w:val="1"/>
      <w:numFmt w:val="decimal"/>
      <w:pStyle w:val="77"/>
      <w:suff w:val="nothing"/>
      <w:lvlText w:val="%1.%2　"/>
      <w:lvlJc w:val="left"/>
      <w:pPr>
        <w:ind w:left="44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4410" w:firstLine="0"/>
      </w:pPr>
      <w:rPr>
        <w:rFonts w:hint="eastAsia" w:ascii="黑体" w:hAnsi="Times New Roman" w:eastAsia="黑体"/>
        <w:b w:val="0"/>
        <w:i w:val="0"/>
        <w:sz w:val="21"/>
      </w:rPr>
    </w:lvl>
    <w:lvl w:ilvl="3" w:tentative="0">
      <w:start w:val="1"/>
      <w:numFmt w:val="decimal"/>
      <w:suff w:val="nothing"/>
      <w:lvlText w:val="%1.%2.%3.%4　"/>
      <w:lvlJc w:val="left"/>
      <w:pPr>
        <w:ind w:left="4410" w:firstLine="0"/>
      </w:pPr>
      <w:rPr>
        <w:rFonts w:hint="eastAsia" w:ascii="黑体" w:hAnsi="Times New Roman" w:eastAsia="黑体"/>
        <w:b w:val="0"/>
        <w:i w:val="0"/>
        <w:sz w:val="21"/>
      </w:rPr>
    </w:lvl>
    <w:lvl w:ilvl="4" w:tentative="0">
      <w:start w:val="1"/>
      <w:numFmt w:val="decimal"/>
      <w:suff w:val="nothing"/>
      <w:lvlText w:val="%1.%2.%3.%4.%5　"/>
      <w:lvlJc w:val="left"/>
      <w:pPr>
        <w:ind w:left="4410" w:firstLine="0"/>
      </w:pPr>
      <w:rPr>
        <w:rFonts w:hint="eastAsia" w:ascii="黑体" w:hAnsi="Times New Roman" w:eastAsia="黑体"/>
        <w:b w:val="0"/>
        <w:i w:val="0"/>
        <w:sz w:val="21"/>
      </w:rPr>
    </w:lvl>
    <w:lvl w:ilvl="5" w:tentative="0">
      <w:start w:val="1"/>
      <w:numFmt w:val="decimal"/>
      <w:suff w:val="nothing"/>
      <w:lvlText w:val="%1.%2.%3.%4.%5.%6　"/>
      <w:lvlJc w:val="left"/>
      <w:pPr>
        <w:ind w:left="4410" w:firstLine="0"/>
      </w:pPr>
      <w:rPr>
        <w:rFonts w:hint="eastAsia" w:ascii="黑体" w:hAnsi="Times New Roman" w:eastAsia="黑体"/>
        <w:b w:val="0"/>
        <w:i w:val="0"/>
        <w:sz w:val="21"/>
      </w:rPr>
    </w:lvl>
    <w:lvl w:ilvl="6" w:tentative="0">
      <w:start w:val="1"/>
      <w:numFmt w:val="decimal"/>
      <w:suff w:val="nothing"/>
      <w:lvlText w:val="%1.%2.%3.%4.%5.%6.%7　"/>
      <w:lvlJc w:val="left"/>
      <w:pPr>
        <w:ind w:left="441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8804" w:hanging="1418"/>
      </w:pPr>
      <w:rPr>
        <w:rFonts w:hint="eastAsia"/>
      </w:rPr>
    </w:lvl>
    <w:lvl w:ilvl="8" w:tentative="0">
      <w:start w:val="1"/>
      <w:numFmt w:val="decimal"/>
      <w:lvlText w:val="%1.%2.%3.%4.%5.%6.%7.%8.%9"/>
      <w:lvlJc w:val="left"/>
      <w:pPr>
        <w:tabs>
          <w:tab w:val="left" w:pos="5102"/>
        </w:tabs>
        <w:ind w:left="9512" w:hanging="1700"/>
      </w:pPr>
      <w:rPr>
        <w:rFonts w:hint="eastAsia"/>
      </w:rPr>
    </w:lvl>
  </w:abstractNum>
  <w:abstractNum w:abstractNumId="22">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71"/>
      <w:suff w:val="nothing"/>
      <w:lvlText w:val="%1%2　"/>
      <w:lvlJc w:val="left"/>
      <w:pPr>
        <w:ind w:left="0" w:firstLine="0"/>
      </w:pPr>
      <w:rPr>
        <w:rFonts w:hint="eastAsia" w:ascii="黑体" w:eastAsia="黑体"/>
        <w:b w:val="0"/>
        <w:i w:val="0"/>
        <w:sz w:val="21"/>
      </w:rPr>
    </w:lvl>
    <w:lvl w:ilvl="2" w:tentative="0">
      <w:start w:val="1"/>
      <w:numFmt w:val="decimal"/>
      <w:pStyle w:val="70"/>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73"/>
      <w:suff w:val="nothing"/>
      <w:lvlText w:val="%1%2.%3.%4　"/>
      <w:lvlJc w:val="left"/>
      <w:pPr>
        <w:ind w:left="1985"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3">
    <w:nsid w:val="6DBF04F4"/>
    <w:multiLevelType w:val="multilevel"/>
    <w:tmpl w:val="6DBF04F4"/>
    <w:lvl w:ilvl="0" w:tentative="0">
      <w:start w:val="1"/>
      <w:numFmt w:val="none"/>
      <w:pStyle w:val="61"/>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4">
    <w:nsid w:val="78F81B85"/>
    <w:multiLevelType w:val="multilevel"/>
    <w:tmpl w:val="78F81B85"/>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5">
    <w:nsid w:val="7D2010CE"/>
    <w:multiLevelType w:val="multilevel"/>
    <w:tmpl w:val="7D2010CE"/>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18"/>
  </w:num>
  <w:num w:numId="2">
    <w:abstractNumId w:val="2"/>
  </w:num>
  <w:num w:numId="3">
    <w:abstractNumId w:val="4"/>
  </w:num>
  <w:num w:numId="4">
    <w:abstractNumId w:val="3"/>
  </w:num>
  <w:num w:numId="5">
    <w:abstractNumId w:val="6"/>
  </w:num>
  <w:num w:numId="6">
    <w:abstractNumId w:val="23"/>
  </w:num>
  <w:num w:numId="7">
    <w:abstractNumId w:val="21"/>
  </w:num>
  <w:num w:numId="8">
    <w:abstractNumId w:val="20"/>
  </w:num>
  <w:num w:numId="9">
    <w:abstractNumId w:val="22"/>
  </w:num>
  <w:num w:numId="10">
    <w:abstractNumId w:val="16"/>
  </w:num>
  <w:num w:numId="11">
    <w:abstractNumId w:val="5"/>
  </w:num>
  <w:num w:numId="12">
    <w:abstractNumId w:val="11"/>
  </w:num>
  <w:num w:numId="13">
    <w:abstractNumId w:val="10"/>
  </w:num>
  <w:num w:numId="14">
    <w:abstractNumId w:val="22"/>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9"/>
  </w:num>
  <w:num w:numId="17">
    <w:abstractNumId w:val="24"/>
  </w:num>
  <w:num w:numId="18">
    <w:abstractNumId w:val="0"/>
  </w:num>
  <w:num w:numId="19">
    <w:abstractNumId w:val="13"/>
  </w:num>
  <w:num w:numId="20">
    <w:abstractNumId w:val="7"/>
  </w:num>
  <w:num w:numId="21">
    <w:abstractNumId w:val="17"/>
  </w:num>
  <w:num w:numId="22">
    <w:abstractNumId w:val="14"/>
  </w:num>
  <w:num w:numId="23">
    <w:abstractNumId w:val="8"/>
  </w:num>
  <w:num w:numId="24">
    <w:abstractNumId w:val="12"/>
  </w:num>
  <w:num w:numId="25">
    <w:abstractNumId w:val="15"/>
  </w:num>
  <w:num w:numId="26">
    <w:abstractNumId w:val="19"/>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true"/>
  <w:bordersDoNotSurroundHeader w:val="true"/>
  <w:bordersDoNotSurroundFooter w:val="true"/>
  <w:documentProtection w:edit="trackedChanges" w:enforcement="0"/>
  <w:defaultTabStop w:val="420"/>
  <w:evenAndOddHeaders w:val="true"/>
  <w:drawingGridHorizontalSpacing w:val="105"/>
  <w:drawingGridVerticalSpacing w:val="156"/>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JjOTdkMDk2ZTI1OWZiYzFjYTFjZDJlOTYxYjQ5ZTIifQ=="/>
    <w:docVar w:name="KSO_WPS_MARK_KEY" w:val="52548aae-2002-4139-9182-7b8689647ee4"/>
  </w:docVars>
  <w:rsids>
    <w:rsidRoot w:val="002C4A7A"/>
    <w:rsid w:val="00000C6F"/>
    <w:rsid w:val="00002D7A"/>
    <w:rsid w:val="00005817"/>
    <w:rsid w:val="00013861"/>
    <w:rsid w:val="000173A8"/>
    <w:rsid w:val="0001746B"/>
    <w:rsid w:val="00017DFB"/>
    <w:rsid w:val="00025B23"/>
    <w:rsid w:val="00026971"/>
    <w:rsid w:val="0002744B"/>
    <w:rsid w:val="00030379"/>
    <w:rsid w:val="00031630"/>
    <w:rsid w:val="0003782B"/>
    <w:rsid w:val="00044801"/>
    <w:rsid w:val="000505F8"/>
    <w:rsid w:val="000511AD"/>
    <w:rsid w:val="0005686E"/>
    <w:rsid w:val="00056E11"/>
    <w:rsid w:val="00056E72"/>
    <w:rsid w:val="0006343E"/>
    <w:rsid w:val="00065304"/>
    <w:rsid w:val="00071463"/>
    <w:rsid w:val="00074CE1"/>
    <w:rsid w:val="00075ADA"/>
    <w:rsid w:val="00081105"/>
    <w:rsid w:val="0008131B"/>
    <w:rsid w:val="000814DC"/>
    <w:rsid w:val="00087A19"/>
    <w:rsid w:val="0009093B"/>
    <w:rsid w:val="0009104A"/>
    <w:rsid w:val="00092A3E"/>
    <w:rsid w:val="000936C8"/>
    <w:rsid w:val="000944B1"/>
    <w:rsid w:val="000946C9"/>
    <w:rsid w:val="0009741B"/>
    <w:rsid w:val="000A05E2"/>
    <w:rsid w:val="000B1AD2"/>
    <w:rsid w:val="000B5222"/>
    <w:rsid w:val="000B7A74"/>
    <w:rsid w:val="000C0089"/>
    <w:rsid w:val="000C1F9F"/>
    <w:rsid w:val="000C4BFC"/>
    <w:rsid w:val="000D2948"/>
    <w:rsid w:val="000D3EF6"/>
    <w:rsid w:val="000D40F7"/>
    <w:rsid w:val="000D42BA"/>
    <w:rsid w:val="000D4A24"/>
    <w:rsid w:val="000D5C84"/>
    <w:rsid w:val="000D6D7F"/>
    <w:rsid w:val="000E084D"/>
    <w:rsid w:val="000E4AD1"/>
    <w:rsid w:val="000F122A"/>
    <w:rsid w:val="000F2CB4"/>
    <w:rsid w:val="000F6F6C"/>
    <w:rsid w:val="00101D37"/>
    <w:rsid w:val="001103A2"/>
    <w:rsid w:val="00110D5E"/>
    <w:rsid w:val="00110EC6"/>
    <w:rsid w:val="00112AF7"/>
    <w:rsid w:val="00113409"/>
    <w:rsid w:val="0011428A"/>
    <w:rsid w:val="0011434F"/>
    <w:rsid w:val="001202C0"/>
    <w:rsid w:val="00120961"/>
    <w:rsid w:val="0012099B"/>
    <w:rsid w:val="00122316"/>
    <w:rsid w:val="00133094"/>
    <w:rsid w:val="0014534C"/>
    <w:rsid w:val="001462B7"/>
    <w:rsid w:val="00147278"/>
    <w:rsid w:val="00147564"/>
    <w:rsid w:val="00147A7E"/>
    <w:rsid w:val="00147F7E"/>
    <w:rsid w:val="001516E1"/>
    <w:rsid w:val="001518C3"/>
    <w:rsid w:val="0015700F"/>
    <w:rsid w:val="0016095C"/>
    <w:rsid w:val="0016154E"/>
    <w:rsid w:val="00165D57"/>
    <w:rsid w:val="001675EC"/>
    <w:rsid w:val="001720FB"/>
    <w:rsid w:val="0017303B"/>
    <w:rsid w:val="00173651"/>
    <w:rsid w:val="0017564C"/>
    <w:rsid w:val="00175A7C"/>
    <w:rsid w:val="001760F7"/>
    <w:rsid w:val="00176E61"/>
    <w:rsid w:val="00184345"/>
    <w:rsid w:val="001923F0"/>
    <w:rsid w:val="001959DA"/>
    <w:rsid w:val="00195C90"/>
    <w:rsid w:val="0019613E"/>
    <w:rsid w:val="001A1683"/>
    <w:rsid w:val="001A2600"/>
    <w:rsid w:val="001A2848"/>
    <w:rsid w:val="001A2A72"/>
    <w:rsid w:val="001A2CD6"/>
    <w:rsid w:val="001A4052"/>
    <w:rsid w:val="001B007D"/>
    <w:rsid w:val="001B0CF3"/>
    <w:rsid w:val="001B3AC1"/>
    <w:rsid w:val="001B7F72"/>
    <w:rsid w:val="001C0F5C"/>
    <w:rsid w:val="001C10DE"/>
    <w:rsid w:val="001C3415"/>
    <w:rsid w:val="001C4DED"/>
    <w:rsid w:val="001C4F43"/>
    <w:rsid w:val="001C7FB4"/>
    <w:rsid w:val="001D0910"/>
    <w:rsid w:val="001D2F2F"/>
    <w:rsid w:val="001D2F99"/>
    <w:rsid w:val="001D48D0"/>
    <w:rsid w:val="001D5E25"/>
    <w:rsid w:val="001D70CD"/>
    <w:rsid w:val="001E0871"/>
    <w:rsid w:val="001E3D11"/>
    <w:rsid w:val="001E4804"/>
    <w:rsid w:val="001E7BD6"/>
    <w:rsid w:val="001F2D55"/>
    <w:rsid w:val="001F41D9"/>
    <w:rsid w:val="001F47C8"/>
    <w:rsid w:val="001F6A92"/>
    <w:rsid w:val="00201CBD"/>
    <w:rsid w:val="00211953"/>
    <w:rsid w:val="002209AC"/>
    <w:rsid w:val="00220A99"/>
    <w:rsid w:val="00222A27"/>
    <w:rsid w:val="00223A5B"/>
    <w:rsid w:val="00223BD4"/>
    <w:rsid w:val="00226020"/>
    <w:rsid w:val="00230CF6"/>
    <w:rsid w:val="00230F2F"/>
    <w:rsid w:val="00232E90"/>
    <w:rsid w:val="002364C1"/>
    <w:rsid w:val="0024014E"/>
    <w:rsid w:val="00247720"/>
    <w:rsid w:val="00247A86"/>
    <w:rsid w:val="00251127"/>
    <w:rsid w:val="00251550"/>
    <w:rsid w:val="002517ED"/>
    <w:rsid w:val="00251911"/>
    <w:rsid w:val="0025700C"/>
    <w:rsid w:val="00262444"/>
    <w:rsid w:val="00263BA4"/>
    <w:rsid w:val="00265516"/>
    <w:rsid w:val="00272122"/>
    <w:rsid w:val="00275EC0"/>
    <w:rsid w:val="00276A28"/>
    <w:rsid w:val="0028159F"/>
    <w:rsid w:val="002829F1"/>
    <w:rsid w:val="0028337F"/>
    <w:rsid w:val="00285357"/>
    <w:rsid w:val="00286986"/>
    <w:rsid w:val="00290F18"/>
    <w:rsid w:val="00293BD3"/>
    <w:rsid w:val="002950A9"/>
    <w:rsid w:val="00296094"/>
    <w:rsid w:val="002A2A23"/>
    <w:rsid w:val="002A4D51"/>
    <w:rsid w:val="002A5A01"/>
    <w:rsid w:val="002A5BCE"/>
    <w:rsid w:val="002B3E52"/>
    <w:rsid w:val="002B5800"/>
    <w:rsid w:val="002C253D"/>
    <w:rsid w:val="002C3A09"/>
    <w:rsid w:val="002C4A7A"/>
    <w:rsid w:val="002C57A0"/>
    <w:rsid w:val="002C639A"/>
    <w:rsid w:val="002D2351"/>
    <w:rsid w:val="002D38F3"/>
    <w:rsid w:val="002D49DC"/>
    <w:rsid w:val="002D54BC"/>
    <w:rsid w:val="002E5B5C"/>
    <w:rsid w:val="002F2052"/>
    <w:rsid w:val="002F2C23"/>
    <w:rsid w:val="002F3CCA"/>
    <w:rsid w:val="00301370"/>
    <w:rsid w:val="00301D6E"/>
    <w:rsid w:val="0030224A"/>
    <w:rsid w:val="00302D0D"/>
    <w:rsid w:val="00304C82"/>
    <w:rsid w:val="00311B67"/>
    <w:rsid w:val="0031322E"/>
    <w:rsid w:val="00313723"/>
    <w:rsid w:val="003175AA"/>
    <w:rsid w:val="00317DB9"/>
    <w:rsid w:val="0032329E"/>
    <w:rsid w:val="00327834"/>
    <w:rsid w:val="00330DE3"/>
    <w:rsid w:val="00334B35"/>
    <w:rsid w:val="00334DA4"/>
    <w:rsid w:val="00335ABA"/>
    <w:rsid w:val="003367DA"/>
    <w:rsid w:val="00340030"/>
    <w:rsid w:val="00340CAC"/>
    <w:rsid w:val="00341F33"/>
    <w:rsid w:val="003422C6"/>
    <w:rsid w:val="003438AA"/>
    <w:rsid w:val="00344E14"/>
    <w:rsid w:val="003452FE"/>
    <w:rsid w:val="0034543B"/>
    <w:rsid w:val="00346C04"/>
    <w:rsid w:val="00354DAE"/>
    <w:rsid w:val="00355096"/>
    <w:rsid w:val="00355C16"/>
    <w:rsid w:val="00355CCA"/>
    <w:rsid w:val="003568F1"/>
    <w:rsid w:val="003607AD"/>
    <w:rsid w:val="00362E3C"/>
    <w:rsid w:val="00362FF0"/>
    <w:rsid w:val="003662BC"/>
    <w:rsid w:val="00366DB7"/>
    <w:rsid w:val="00367200"/>
    <w:rsid w:val="0037136A"/>
    <w:rsid w:val="00371C97"/>
    <w:rsid w:val="003720DC"/>
    <w:rsid w:val="00375FCF"/>
    <w:rsid w:val="0037750D"/>
    <w:rsid w:val="00380DB2"/>
    <w:rsid w:val="0038597F"/>
    <w:rsid w:val="00387FF8"/>
    <w:rsid w:val="00392551"/>
    <w:rsid w:val="00393266"/>
    <w:rsid w:val="003A0DBB"/>
    <w:rsid w:val="003A1107"/>
    <w:rsid w:val="003A238B"/>
    <w:rsid w:val="003B2CF7"/>
    <w:rsid w:val="003B6878"/>
    <w:rsid w:val="003C0E5B"/>
    <w:rsid w:val="003C2C65"/>
    <w:rsid w:val="003C31B0"/>
    <w:rsid w:val="003C4E4F"/>
    <w:rsid w:val="003C6E84"/>
    <w:rsid w:val="003D0151"/>
    <w:rsid w:val="003D13FA"/>
    <w:rsid w:val="003D1497"/>
    <w:rsid w:val="003D2145"/>
    <w:rsid w:val="003D6579"/>
    <w:rsid w:val="003E0580"/>
    <w:rsid w:val="003E28CE"/>
    <w:rsid w:val="003F22F7"/>
    <w:rsid w:val="003F714F"/>
    <w:rsid w:val="004014CC"/>
    <w:rsid w:val="00407B9E"/>
    <w:rsid w:val="00417738"/>
    <w:rsid w:val="0042003E"/>
    <w:rsid w:val="004212D3"/>
    <w:rsid w:val="00421A96"/>
    <w:rsid w:val="00422051"/>
    <w:rsid w:val="0042333A"/>
    <w:rsid w:val="00423FFE"/>
    <w:rsid w:val="00426BC8"/>
    <w:rsid w:val="004306DF"/>
    <w:rsid w:val="00430DD2"/>
    <w:rsid w:val="00435B6E"/>
    <w:rsid w:val="00440D08"/>
    <w:rsid w:val="004426FC"/>
    <w:rsid w:val="0044581A"/>
    <w:rsid w:val="00451407"/>
    <w:rsid w:val="00451847"/>
    <w:rsid w:val="00453D5D"/>
    <w:rsid w:val="00454031"/>
    <w:rsid w:val="0045451F"/>
    <w:rsid w:val="004574AE"/>
    <w:rsid w:val="00457B60"/>
    <w:rsid w:val="004610BF"/>
    <w:rsid w:val="0046375D"/>
    <w:rsid w:val="004672AC"/>
    <w:rsid w:val="00470FC3"/>
    <w:rsid w:val="00471508"/>
    <w:rsid w:val="004756A3"/>
    <w:rsid w:val="004926A0"/>
    <w:rsid w:val="0049502F"/>
    <w:rsid w:val="00495E4E"/>
    <w:rsid w:val="00497900"/>
    <w:rsid w:val="004A0644"/>
    <w:rsid w:val="004A132F"/>
    <w:rsid w:val="004A1E48"/>
    <w:rsid w:val="004A4E28"/>
    <w:rsid w:val="004A6AB6"/>
    <w:rsid w:val="004B01AE"/>
    <w:rsid w:val="004B12F5"/>
    <w:rsid w:val="004B2D06"/>
    <w:rsid w:val="004B527B"/>
    <w:rsid w:val="004B540D"/>
    <w:rsid w:val="004C2F70"/>
    <w:rsid w:val="004C5E71"/>
    <w:rsid w:val="004C6D7B"/>
    <w:rsid w:val="004D09E4"/>
    <w:rsid w:val="004D3D24"/>
    <w:rsid w:val="004D424C"/>
    <w:rsid w:val="004D5B9A"/>
    <w:rsid w:val="004E01DA"/>
    <w:rsid w:val="004E2233"/>
    <w:rsid w:val="004E3E2D"/>
    <w:rsid w:val="004E4186"/>
    <w:rsid w:val="004E4DE6"/>
    <w:rsid w:val="004E746A"/>
    <w:rsid w:val="004F0C75"/>
    <w:rsid w:val="004F30E2"/>
    <w:rsid w:val="004F3DCC"/>
    <w:rsid w:val="004F41C8"/>
    <w:rsid w:val="00506EF4"/>
    <w:rsid w:val="005102EF"/>
    <w:rsid w:val="00510EBE"/>
    <w:rsid w:val="00510EC1"/>
    <w:rsid w:val="005122CD"/>
    <w:rsid w:val="005158EC"/>
    <w:rsid w:val="005168EA"/>
    <w:rsid w:val="00520237"/>
    <w:rsid w:val="00523728"/>
    <w:rsid w:val="00524CE2"/>
    <w:rsid w:val="00525D56"/>
    <w:rsid w:val="0053086A"/>
    <w:rsid w:val="00534A4A"/>
    <w:rsid w:val="00534D92"/>
    <w:rsid w:val="00536AD1"/>
    <w:rsid w:val="00540818"/>
    <w:rsid w:val="00540EFA"/>
    <w:rsid w:val="00542910"/>
    <w:rsid w:val="00545990"/>
    <w:rsid w:val="00546657"/>
    <w:rsid w:val="00554347"/>
    <w:rsid w:val="00554600"/>
    <w:rsid w:val="0055478B"/>
    <w:rsid w:val="005606B4"/>
    <w:rsid w:val="00563B48"/>
    <w:rsid w:val="00563D0F"/>
    <w:rsid w:val="00566082"/>
    <w:rsid w:val="00566722"/>
    <w:rsid w:val="005701EA"/>
    <w:rsid w:val="00575480"/>
    <w:rsid w:val="0058116E"/>
    <w:rsid w:val="00586F65"/>
    <w:rsid w:val="00591097"/>
    <w:rsid w:val="00591331"/>
    <w:rsid w:val="005928C2"/>
    <w:rsid w:val="00596070"/>
    <w:rsid w:val="00597E67"/>
    <w:rsid w:val="005A2C7F"/>
    <w:rsid w:val="005A4975"/>
    <w:rsid w:val="005A60AC"/>
    <w:rsid w:val="005B31A1"/>
    <w:rsid w:val="005B6D29"/>
    <w:rsid w:val="005C370B"/>
    <w:rsid w:val="005C403F"/>
    <w:rsid w:val="005D3395"/>
    <w:rsid w:val="005D37CD"/>
    <w:rsid w:val="005E015F"/>
    <w:rsid w:val="005E1CA7"/>
    <w:rsid w:val="005F2DCC"/>
    <w:rsid w:val="005F5CFF"/>
    <w:rsid w:val="0060076C"/>
    <w:rsid w:val="00600F7C"/>
    <w:rsid w:val="006045C0"/>
    <w:rsid w:val="006061A1"/>
    <w:rsid w:val="00610AF4"/>
    <w:rsid w:val="00613357"/>
    <w:rsid w:val="006164D4"/>
    <w:rsid w:val="00616AFA"/>
    <w:rsid w:val="00617132"/>
    <w:rsid w:val="006205D1"/>
    <w:rsid w:val="00621AD2"/>
    <w:rsid w:val="00623AED"/>
    <w:rsid w:val="00626507"/>
    <w:rsid w:val="0062656D"/>
    <w:rsid w:val="00633884"/>
    <w:rsid w:val="00635FE2"/>
    <w:rsid w:val="00637850"/>
    <w:rsid w:val="00637A95"/>
    <w:rsid w:val="00640CD9"/>
    <w:rsid w:val="006423D4"/>
    <w:rsid w:val="0064488D"/>
    <w:rsid w:val="00646C9D"/>
    <w:rsid w:val="006476F3"/>
    <w:rsid w:val="0065660B"/>
    <w:rsid w:val="00662568"/>
    <w:rsid w:val="006738FB"/>
    <w:rsid w:val="00673C24"/>
    <w:rsid w:val="006763FD"/>
    <w:rsid w:val="0068043A"/>
    <w:rsid w:val="006839CD"/>
    <w:rsid w:val="006867E4"/>
    <w:rsid w:val="00686AB4"/>
    <w:rsid w:val="00687FF9"/>
    <w:rsid w:val="00694817"/>
    <w:rsid w:val="00695FD6"/>
    <w:rsid w:val="006965B2"/>
    <w:rsid w:val="00697323"/>
    <w:rsid w:val="006A3A00"/>
    <w:rsid w:val="006A587D"/>
    <w:rsid w:val="006B00F8"/>
    <w:rsid w:val="006B0EDD"/>
    <w:rsid w:val="006B4E4A"/>
    <w:rsid w:val="006C4CDB"/>
    <w:rsid w:val="006C7722"/>
    <w:rsid w:val="006D165D"/>
    <w:rsid w:val="006D1713"/>
    <w:rsid w:val="006D3593"/>
    <w:rsid w:val="006D384B"/>
    <w:rsid w:val="006D7F23"/>
    <w:rsid w:val="006E07C9"/>
    <w:rsid w:val="006E42DF"/>
    <w:rsid w:val="006E63E1"/>
    <w:rsid w:val="006E6B90"/>
    <w:rsid w:val="0070562B"/>
    <w:rsid w:val="00705B6D"/>
    <w:rsid w:val="0070744F"/>
    <w:rsid w:val="007078CB"/>
    <w:rsid w:val="00707E0C"/>
    <w:rsid w:val="00711444"/>
    <w:rsid w:val="00713DA1"/>
    <w:rsid w:val="007159DE"/>
    <w:rsid w:val="00716D47"/>
    <w:rsid w:val="00717385"/>
    <w:rsid w:val="00717C25"/>
    <w:rsid w:val="00720335"/>
    <w:rsid w:val="00721D42"/>
    <w:rsid w:val="00723CE8"/>
    <w:rsid w:val="00724CC3"/>
    <w:rsid w:val="00730AAF"/>
    <w:rsid w:val="00731B17"/>
    <w:rsid w:val="00732CFF"/>
    <w:rsid w:val="00732DD3"/>
    <w:rsid w:val="00733EB4"/>
    <w:rsid w:val="00733FAB"/>
    <w:rsid w:val="00734A6B"/>
    <w:rsid w:val="007352F6"/>
    <w:rsid w:val="00736BCB"/>
    <w:rsid w:val="007373F7"/>
    <w:rsid w:val="007404DC"/>
    <w:rsid w:val="0074159C"/>
    <w:rsid w:val="0074173E"/>
    <w:rsid w:val="00741CBE"/>
    <w:rsid w:val="00743636"/>
    <w:rsid w:val="00751B91"/>
    <w:rsid w:val="00754A67"/>
    <w:rsid w:val="007569D0"/>
    <w:rsid w:val="00760E2E"/>
    <w:rsid w:val="00762676"/>
    <w:rsid w:val="00764090"/>
    <w:rsid w:val="007667E9"/>
    <w:rsid w:val="007716E9"/>
    <w:rsid w:val="007747B0"/>
    <w:rsid w:val="00775703"/>
    <w:rsid w:val="0077630C"/>
    <w:rsid w:val="00777F91"/>
    <w:rsid w:val="00784961"/>
    <w:rsid w:val="007906E7"/>
    <w:rsid w:val="00790CFC"/>
    <w:rsid w:val="00790F72"/>
    <w:rsid w:val="00793C9B"/>
    <w:rsid w:val="00793E15"/>
    <w:rsid w:val="007A262B"/>
    <w:rsid w:val="007A325E"/>
    <w:rsid w:val="007A6FE3"/>
    <w:rsid w:val="007A77BA"/>
    <w:rsid w:val="007B71FE"/>
    <w:rsid w:val="007B7740"/>
    <w:rsid w:val="007C335E"/>
    <w:rsid w:val="007C5205"/>
    <w:rsid w:val="007C5E0B"/>
    <w:rsid w:val="007C6FAF"/>
    <w:rsid w:val="007C72D7"/>
    <w:rsid w:val="007D209B"/>
    <w:rsid w:val="007D235C"/>
    <w:rsid w:val="007D6D20"/>
    <w:rsid w:val="007D77B7"/>
    <w:rsid w:val="007E1D35"/>
    <w:rsid w:val="007E1F24"/>
    <w:rsid w:val="007E343F"/>
    <w:rsid w:val="007E3F37"/>
    <w:rsid w:val="007E451F"/>
    <w:rsid w:val="007F00B9"/>
    <w:rsid w:val="007F063C"/>
    <w:rsid w:val="007F0AD4"/>
    <w:rsid w:val="007F0CE2"/>
    <w:rsid w:val="007F1C6A"/>
    <w:rsid w:val="007F2B69"/>
    <w:rsid w:val="007F3D33"/>
    <w:rsid w:val="007F5968"/>
    <w:rsid w:val="007F7804"/>
    <w:rsid w:val="007F7E53"/>
    <w:rsid w:val="00801837"/>
    <w:rsid w:val="008019EA"/>
    <w:rsid w:val="008029D3"/>
    <w:rsid w:val="008034D8"/>
    <w:rsid w:val="00803B33"/>
    <w:rsid w:val="00804000"/>
    <w:rsid w:val="0080474D"/>
    <w:rsid w:val="00804961"/>
    <w:rsid w:val="008062A9"/>
    <w:rsid w:val="008071AE"/>
    <w:rsid w:val="0080776C"/>
    <w:rsid w:val="00810CF4"/>
    <w:rsid w:val="0081659D"/>
    <w:rsid w:val="0081790F"/>
    <w:rsid w:val="0082041F"/>
    <w:rsid w:val="008204BD"/>
    <w:rsid w:val="00820C60"/>
    <w:rsid w:val="00822BEB"/>
    <w:rsid w:val="008237E6"/>
    <w:rsid w:val="008238C9"/>
    <w:rsid w:val="00823FD0"/>
    <w:rsid w:val="0082503D"/>
    <w:rsid w:val="00830B31"/>
    <w:rsid w:val="008338C4"/>
    <w:rsid w:val="00833B50"/>
    <w:rsid w:val="008413EF"/>
    <w:rsid w:val="00842185"/>
    <w:rsid w:val="008423AD"/>
    <w:rsid w:val="008445D3"/>
    <w:rsid w:val="00844C83"/>
    <w:rsid w:val="0084707B"/>
    <w:rsid w:val="0085002F"/>
    <w:rsid w:val="0085316A"/>
    <w:rsid w:val="008547F9"/>
    <w:rsid w:val="008570AF"/>
    <w:rsid w:val="008601C4"/>
    <w:rsid w:val="0086279F"/>
    <w:rsid w:val="00864F8B"/>
    <w:rsid w:val="00866D54"/>
    <w:rsid w:val="00867DB6"/>
    <w:rsid w:val="0087171A"/>
    <w:rsid w:val="00871D9B"/>
    <w:rsid w:val="00871E5F"/>
    <w:rsid w:val="00872523"/>
    <w:rsid w:val="00874360"/>
    <w:rsid w:val="00874E16"/>
    <w:rsid w:val="008778D8"/>
    <w:rsid w:val="008823C4"/>
    <w:rsid w:val="00885586"/>
    <w:rsid w:val="00885B47"/>
    <w:rsid w:val="00886D2A"/>
    <w:rsid w:val="0089093C"/>
    <w:rsid w:val="00892FE8"/>
    <w:rsid w:val="008A0726"/>
    <w:rsid w:val="008A190E"/>
    <w:rsid w:val="008A32EE"/>
    <w:rsid w:val="008A525F"/>
    <w:rsid w:val="008A7753"/>
    <w:rsid w:val="008A778B"/>
    <w:rsid w:val="008A7A04"/>
    <w:rsid w:val="008B2AA1"/>
    <w:rsid w:val="008B4744"/>
    <w:rsid w:val="008B4CD3"/>
    <w:rsid w:val="008C0E5C"/>
    <w:rsid w:val="008C1198"/>
    <w:rsid w:val="008C23EA"/>
    <w:rsid w:val="008C5103"/>
    <w:rsid w:val="008C6DE2"/>
    <w:rsid w:val="008C7352"/>
    <w:rsid w:val="008C754A"/>
    <w:rsid w:val="008D32D9"/>
    <w:rsid w:val="008D50F3"/>
    <w:rsid w:val="008D6AC9"/>
    <w:rsid w:val="008E1D3D"/>
    <w:rsid w:val="008E73CE"/>
    <w:rsid w:val="008F0CCE"/>
    <w:rsid w:val="008F2CCC"/>
    <w:rsid w:val="008F63C6"/>
    <w:rsid w:val="008F7846"/>
    <w:rsid w:val="00900625"/>
    <w:rsid w:val="00900D6C"/>
    <w:rsid w:val="00902C03"/>
    <w:rsid w:val="00905211"/>
    <w:rsid w:val="009056B3"/>
    <w:rsid w:val="00905EC8"/>
    <w:rsid w:val="00906EE2"/>
    <w:rsid w:val="0091162E"/>
    <w:rsid w:val="00912AA0"/>
    <w:rsid w:val="00914E1E"/>
    <w:rsid w:val="0092183B"/>
    <w:rsid w:val="00922FAC"/>
    <w:rsid w:val="009249C0"/>
    <w:rsid w:val="009274D1"/>
    <w:rsid w:val="009304BF"/>
    <w:rsid w:val="009309E1"/>
    <w:rsid w:val="00932FD3"/>
    <w:rsid w:val="00941A12"/>
    <w:rsid w:val="00941B18"/>
    <w:rsid w:val="009420AA"/>
    <w:rsid w:val="009449CC"/>
    <w:rsid w:val="00945592"/>
    <w:rsid w:val="00945915"/>
    <w:rsid w:val="00947ABC"/>
    <w:rsid w:val="00953360"/>
    <w:rsid w:val="009534B7"/>
    <w:rsid w:val="00954E58"/>
    <w:rsid w:val="0095703E"/>
    <w:rsid w:val="009576B2"/>
    <w:rsid w:val="0096181B"/>
    <w:rsid w:val="00961EC7"/>
    <w:rsid w:val="00970C6E"/>
    <w:rsid w:val="0097406A"/>
    <w:rsid w:val="00975728"/>
    <w:rsid w:val="00980CDA"/>
    <w:rsid w:val="00985DB5"/>
    <w:rsid w:val="009908E8"/>
    <w:rsid w:val="00992159"/>
    <w:rsid w:val="0099488E"/>
    <w:rsid w:val="0099509E"/>
    <w:rsid w:val="009956AD"/>
    <w:rsid w:val="00995997"/>
    <w:rsid w:val="009961AF"/>
    <w:rsid w:val="00996CA4"/>
    <w:rsid w:val="009A18CB"/>
    <w:rsid w:val="009A67D7"/>
    <w:rsid w:val="009A7D1D"/>
    <w:rsid w:val="009B2735"/>
    <w:rsid w:val="009B58FB"/>
    <w:rsid w:val="009B5AFA"/>
    <w:rsid w:val="009B69D0"/>
    <w:rsid w:val="009B6DC7"/>
    <w:rsid w:val="009B7156"/>
    <w:rsid w:val="009C15D7"/>
    <w:rsid w:val="009C44A8"/>
    <w:rsid w:val="009C4EC9"/>
    <w:rsid w:val="009C5165"/>
    <w:rsid w:val="009C71D1"/>
    <w:rsid w:val="009D11D8"/>
    <w:rsid w:val="009D27A6"/>
    <w:rsid w:val="009D5852"/>
    <w:rsid w:val="009E229D"/>
    <w:rsid w:val="009E2A99"/>
    <w:rsid w:val="009E4501"/>
    <w:rsid w:val="009E7AE8"/>
    <w:rsid w:val="009F022A"/>
    <w:rsid w:val="009F25EB"/>
    <w:rsid w:val="009F40D9"/>
    <w:rsid w:val="009F4144"/>
    <w:rsid w:val="009F655E"/>
    <w:rsid w:val="00A0144F"/>
    <w:rsid w:val="00A02D81"/>
    <w:rsid w:val="00A0565D"/>
    <w:rsid w:val="00A0685D"/>
    <w:rsid w:val="00A06B8F"/>
    <w:rsid w:val="00A129D5"/>
    <w:rsid w:val="00A25BFF"/>
    <w:rsid w:val="00A26884"/>
    <w:rsid w:val="00A27283"/>
    <w:rsid w:val="00A2795C"/>
    <w:rsid w:val="00A31209"/>
    <w:rsid w:val="00A32E92"/>
    <w:rsid w:val="00A35EAE"/>
    <w:rsid w:val="00A415A9"/>
    <w:rsid w:val="00A421AD"/>
    <w:rsid w:val="00A43C9D"/>
    <w:rsid w:val="00A51386"/>
    <w:rsid w:val="00A516F3"/>
    <w:rsid w:val="00A52074"/>
    <w:rsid w:val="00A54C28"/>
    <w:rsid w:val="00A561C6"/>
    <w:rsid w:val="00A62CE9"/>
    <w:rsid w:val="00A634E6"/>
    <w:rsid w:val="00A66329"/>
    <w:rsid w:val="00A7056C"/>
    <w:rsid w:val="00A713B5"/>
    <w:rsid w:val="00A72B72"/>
    <w:rsid w:val="00A731EF"/>
    <w:rsid w:val="00A73768"/>
    <w:rsid w:val="00A87B13"/>
    <w:rsid w:val="00A91261"/>
    <w:rsid w:val="00A92BF9"/>
    <w:rsid w:val="00A94626"/>
    <w:rsid w:val="00A96125"/>
    <w:rsid w:val="00AA0DC4"/>
    <w:rsid w:val="00AA26F4"/>
    <w:rsid w:val="00AA27C2"/>
    <w:rsid w:val="00AA377C"/>
    <w:rsid w:val="00AA425D"/>
    <w:rsid w:val="00AA73F3"/>
    <w:rsid w:val="00AB0398"/>
    <w:rsid w:val="00AB2CAF"/>
    <w:rsid w:val="00AB64F6"/>
    <w:rsid w:val="00AB7900"/>
    <w:rsid w:val="00AC387D"/>
    <w:rsid w:val="00AD00A8"/>
    <w:rsid w:val="00AD2F25"/>
    <w:rsid w:val="00AD428E"/>
    <w:rsid w:val="00AD74A7"/>
    <w:rsid w:val="00AE49BE"/>
    <w:rsid w:val="00AE55AC"/>
    <w:rsid w:val="00AE5F8A"/>
    <w:rsid w:val="00AE6EE9"/>
    <w:rsid w:val="00AF18A6"/>
    <w:rsid w:val="00AF3FA8"/>
    <w:rsid w:val="00AF53DB"/>
    <w:rsid w:val="00AF7AFE"/>
    <w:rsid w:val="00B01237"/>
    <w:rsid w:val="00B02086"/>
    <w:rsid w:val="00B06017"/>
    <w:rsid w:val="00B10919"/>
    <w:rsid w:val="00B1286A"/>
    <w:rsid w:val="00B1318E"/>
    <w:rsid w:val="00B14696"/>
    <w:rsid w:val="00B17747"/>
    <w:rsid w:val="00B17F0C"/>
    <w:rsid w:val="00B21CF9"/>
    <w:rsid w:val="00B309C2"/>
    <w:rsid w:val="00B319F3"/>
    <w:rsid w:val="00B33754"/>
    <w:rsid w:val="00B36BE0"/>
    <w:rsid w:val="00B36CF7"/>
    <w:rsid w:val="00B37391"/>
    <w:rsid w:val="00B42D11"/>
    <w:rsid w:val="00B42FF5"/>
    <w:rsid w:val="00B4390A"/>
    <w:rsid w:val="00B450A3"/>
    <w:rsid w:val="00B45C64"/>
    <w:rsid w:val="00B500AF"/>
    <w:rsid w:val="00B57912"/>
    <w:rsid w:val="00B61230"/>
    <w:rsid w:val="00B61250"/>
    <w:rsid w:val="00B618E8"/>
    <w:rsid w:val="00B634DB"/>
    <w:rsid w:val="00B64FF7"/>
    <w:rsid w:val="00B66014"/>
    <w:rsid w:val="00B7233E"/>
    <w:rsid w:val="00B759FB"/>
    <w:rsid w:val="00B77035"/>
    <w:rsid w:val="00B851DF"/>
    <w:rsid w:val="00B8556D"/>
    <w:rsid w:val="00B857D0"/>
    <w:rsid w:val="00B85CF1"/>
    <w:rsid w:val="00B906C3"/>
    <w:rsid w:val="00B90ACF"/>
    <w:rsid w:val="00B9108F"/>
    <w:rsid w:val="00B97265"/>
    <w:rsid w:val="00BA4CDD"/>
    <w:rsid w:val="00BA53B8"/>
    <w:rsid w:val="00BA70BA"/>
    <w:rsid w:val="00BA7E3E"/>
    <w:rsid w:val="00BB0517"/>
    <w:rsid w:val="00BB10EC"/>
    <w:rsid w:val="00BC34A7"/>
    <w:rsid w:val="00BC6585"/>
    <w:rsid w:val="00BC76F2"/>
    <w:rsid w:val="00BD3F71"/>
    <w:rsid w:val="00BD44B5"/>
    <w:rsid w:val="00BD570D"/>
    <w:rsid w:val="00BE3C8C"/>
    <w:rsid w:val="00BE537A"/>
    <w:rsid w:val="00BE5A08"/>
    <w:rsid w:val="00BE6581"/>
    <w:rsid w:val="00BF4AEF"/>
    <w:rsid w:val="00BF6CD2"/>
    <w:rsid w:val="00BF6DDE"/>
    <w:rsid w:val="00C042FA"/>
    <w:rsid w:val="00C055B6"/>
    <w:rsid w:val="00C10A81"/>
    <w:rsid w:val="00C1161C"/>
    <w:rsid w:val="00C16AD7"/>
    <w:rsid w:val="00C20320"/>
    <w:rsid w:val="00C2384C"/>
    <w:rsid w:val="00C245B1"/>
    <w:rsid w:val="00C27A7C"/>
    <w:rsid w:val="00C30043"/>
    <w:rsid w:val="00C33755"/>
    <w:rsid w:val="00C34933"/>
    <w:rsid w:val="00C40C1D"/>
    <w:rsid w:val="00C40E79"/>
    <w:rsid w:val="00C42E3C"/>
    <w:rsid w:val="00C45C14"/>
    <w:rsid w:val="00C462F3"/>
    <w:rsid w:val="00C46ADD"/>
    <w:rsid w:val="00C477F2"/>
    <w:rsid w:val="00C47CFD"/>
    <w:rsid w:val="00C50974"/>
    <w:rsid w:val="00C51190"/>
    <w:rsid w:val="00C624AE"/>
    <w:rsid w:val="00C657CE"/>
    <w:rsid w:val="00C65B45"/>
    <w:rsid w:val="00C672AB"/>
    <w:rsid w:val="00C67BC0"/>
    <w:rsid w:val="00C7008A"/>
    <w:rsid w:val="00C72B93"/>
    <w:rsid w:val="00C7460A"/>
    <w:rsid w:val="00C774B2"/>
    <w:rsid w:val="00C802A0"/>
    <w:rsid w:val="00C826CB"/>
    <w:rsid w:val="00C83947"/>
    <w:rsid w:val="00C84D5C"/>
    <w:rsid w:val="00C91A53"/>
    <w:rsid w:val="00C93A0F"/>
    <w:rsid w:val="00C93CF3"/>
    <w:rsid w:val="00CA0187"/>
    <w:rsid w:val="00CA2979"/>
    <w:rsid w:val="00CA3ECD"/>
    <w:rsid w:val="00CA5E90"/>
    <w:rsid w:val="00CB084A"/>
    <w:rsid w:val="00CB251A"/>
    <w:rsid w:val="00CB69C0"/>
    <w:rsid w:val="00CB6A26"/>
    <w:rsid w:val="00CB70FA"/>
    <w:rsid w:val="00CC212B"/>
    <w:rsid w:val="00CD5283"/>
    <w:rsid w:val="00CE0575"/>
    <w:rsid w:val="00CE1209"/>
    <w:rsid w:val="00CE274E"/>
    <w:rsid w:val="00CE3E27"/>
    <w:rsid w:val="00CE5539"/>
    <w:rsid w:val="00CE5A6D"/>
    <w:rsid w:val="00CF20B5"/>
    <w:rsid w:val="00CF2192"/>
    <w:rsid w:val="00CF2291"/>
    <w:rsid w:val="00D006EF"/>
    <w:rsid w:val="00D0342B"/>
    <w:rsid w:val="00D069E0"/>
    <w:rsid w:val="00D11415"/>
    <w:rsid w:val="00D137EA"/>
    <w:rsid w:val="00D169F2"/>
    <w:rsid w:val="00D17FA5"/>
    <w:rsid w:val="00D20D83"/>
    <w:rsid w:val="00D2420F"/>
    <w:rsid w:val="00D256C0"/>
    <w:rsid w:val="00D27F6A"/>
    <w:rsid w:val="00D32A80"/>
    <w:rsid w:val="00D403C5"/>
    <w:rsid w:val="00D4585F"/>
    <w:rsid w:val="00D47CAE"/>
    <w:rsid w:val="00D50BA3"/>
    <w:rsid w:val="00D53255"/>
    <w:rsid w:val="00D565A7"/>
    <w:rsid w:val="00D567EF"/>
    <w:rsid w:val="00D57FD2"/>
    <w:rsid w:val="00D6138F"/>
    <w:rsid w:val="00D614E1"/>
    <w:rsid w:val="00D62472"/>
    <w:rsid w:val="00D624B9"/>
    <w:rsid w:val="00D6371B"/>
    <w:rsid w:val="00D642F5"/>
    <w:rsid w:val="00D7138D"/>
    <w:rsid w:val="00D7526C"/>
    <w:rsid w:val="00D75F34"/>
    <w:rsid w:val="00D77234"/>
    <w:rsid w:val="00D80501"/>
    <w:rsid w:val="00D81394"/>
    <w:rsid w:val="00D820A8"/>
    <w:rsid w:val="00D85470"/>
    <w:rsid w:val="00D86D72"/>
    <w:rsid w:val="00D914B1"/>
    <w:rsid w:val="00D91668"/>
    <w:rsid w:val="00D965AB"/>
    <w:rsid w:val="00D965BD"/>
    <w:rsid w:val="00DA4427"/>
    <w:rsid w:val="00DA7326"/>
    <w:rsid w:val="00DB3696"/>
    <w:rsid w:val="00DB7439"/>
    <w:rsid w:val="00DB7AEE"/>
    <w:rsid w:val="00DC418F"/>
    <w:rsid w:val="00DC6710"/>
    <w:rsid w:val="00DD4EC4"/>
    <w:rsid w:val="00DD5468"/>
    <w:rsid w:val="00DD6F40"/>
    <w:rsid w:val="00DE201D"/>
    <w:rsid w:val="00DF1568"/>
    <w:rsid w:val="00DF15F5"/>
    <w:rsid w:val="00DF1EBF"/>
    <w:rsid w:val="00DF29FB"/>
    <w:rsid w:val="00DF3B2F"/>
    <w:rsid w:val="00DF48F2"/>
    <w:rsid w:val="00DF4BB1"/>
    <w:rsid w:val="00E0028F"/>
    <w:rsid w:val="00E00994"/>
    <w:rsid w:val="00E013A3"/>
    <w:rsid w:val="00E01602"/>
    <w:rsid w:val="00E0383F"/>
    <w:rsid w:val="00E03A13"/>
    <w:rsid w:val="00E03C54"/>
    <w:rsid w:val="00E05061"/>
    <w:rsid w:val="00E0525C"/>
    <w:rsid w:val="00E05EF5"/>
    <w:rsid w:val="00E1059E"/>
    <w:rsid w:val="00E120F0"/>
    <w:rsid w:val="00E14E80"/>
    <w:rsid w:val="00E14F1D"/>
    <w:rsid w:val="00E20A7B"/>
    <w:rsid w:val="00E22829"/>
    <w:rsid w:val="00E26E1B"/>
    <w:rsid w:val="00E3004D"/>
    <w:rsid w:val="00E307CE"/>
    <w:rsid w:val="00E31B6C"/>
    <w:rsid w:val="00E34738"/>
    <w:rsid w:val="00E3509B"/>
    <w:rsid w:val="00E3537D"/>
    <w:rsid w:val="00E36C78"/>
    <w:rsid w:val="00E401C4"/>
    <w:rsid w:val="00E42F0F"/>
    <w:rsid w:val="00E45044"/>
    <w:rsid w:val="00E504BD"/>
    <w:rsid w:val="00E514FE"/>
    <w:rsid w:val="00E537D1"/>
    <w:rsid w:val="00E55655"/>
    <w:rsid w:val="00E621A8"/>
    <w:rsid w:val="00E72AA8"/>
    <w:rsid w:val="00E72BBB"/>
    <w:rsid w:val="00E72CCF"/>
    <w:rsid w:val="00E7693A"/>
    <w:rsid w:val="00E81B66"/>
    <w:rsid w:val="00E8389F"/>
    <w:rsid w:val="00E84983"/>
    <w:rsid w:val="00E8498D"/>
    <w:rsid w:val="00E90FDD"/>
    <w:rsid w:val="00E91C59"/>
    <w:rsid w:val="00E96805"/>
    <w:rsid w:val="00EA115D"/>
    <w:rsid w:val="00EA580D"/>
    <w:rsid w:val="00EB1109"/>
    <w:rsid w:val="00EB1BA9"/>
    <w:rsid w:val="00EB2B02"/>
    <w:rsid w:val="00EB2C29"/>
    <w:rsid w:val="00EB2DBC"/>
    <w:rsid w:val="00EB3505"/>
    <w:rsid w:val="00EB3E6D"/>
    <w:rsid w:val="00EB474D"/>
    <w:rsid w:val="00EB4C0B"/>
    <w:rsid w:val="00EB5D5A"/>
    <w:rsid w:val="00EB6A2C"/>
    <w:rsid w:val="00EC1078"/>
    <w:rsid w:val="00EC2C7A"/>
    <w:rsid w:val="00EC6E3E"/>
    <w:rsid w:val="00ED3E70"/>
    <w:rsid w:val="00ED4091"/>
    <w:rsid w:val="00ED5E11"/>
    <w:rsid w:val="00EE07BC"/>
    <w:rsid w:val="00EE2AFA"/>
    <w:rsid w:val="00EE32BC"/>
    <w:rsid w:val="00EE4615"/>
    <w:rsid w:val="00EE4642"/>
    <w:rsid w:val="00EE72AF"/>
    <w:rsid w:val="00EF0721"/>
    <w:rsid w:val="00EF20A1"/>
    <w:rsid w:val="00EF6B53"/>
    <w:rsid w:val="00EF725A"/>
    <w:rsid w:val="00F06E1F"/>
    <w:rsid w:val="00F11805"/>
    <w:rsid w:val="00F12CCA"/>
    <w:rsid w:val="00F16A12"/>
    <w:rsid w:val="00F16BA1"/>
    <w:rsid w:val="00F200FB"/>
    <w:rsid w:val="00F233DA"/>
    <w:rsid w:val="00F26471"/>
    <w:rsid w:val="00F31218"/>
    <w:rsid w:val="00F347AE"/>
    <w:rsid w:val="00F407D6"/>
    <w:rsid w:val="00F42BCA"/>
    <w:rsid w:val="00F435EB"/>
    <w:rsid w:val="00F43870"/>
    <w:rsid w:val="00F44CDB"/>
    <w:rsid w:val="00F458FA"/>
    <w:rsid w:val="00F45B29"/>
    <w:rsid w:val="00F535DE"/>
    <w:rsid w:val="00F549EF"/>
    <w:rsid w:val="00F55043"/>
    <w:rsid w:val="00F57198"/>
    <w:rsid w:val="00F63CB5"/>
    <w:rsid w:val="00F65D80"/>
    <w:rsid w:val="00F7039A"/>
    <w:rsid w:val="00F71261"/>
    <w:rsid w:val="00F74A9C"/>
    <w:rsid w:val="00F770EC"/>
    <w:rsid w:val="00F7776A"/>
    <w:rsid w:val="00F77B39"/>
    <w:rsid w:val="00F840CF"/>
    <w:rsid w:val="00F86029"/>
    <w:rsid w:val="00F874C2"/>
    <w:rsid w:val="00F87873"/>
    <w:rsid w:val="00F936A8"/>
    <w:rsid w:val="00F9473B"/>
    <w:rsid w:val="00F95647"/>
    <w:rsid w:val="00F97CC5"/>
    <w:rsid w:val="00FA7729"/>
    <w:rsid w:val="00FB1095"/>
    <w:rsid w:val="00FB1DFF"/>
    <w:rsid w:val="00FB2A20"/>
    <w:rsid w:val="00FB2C86"/>
    <w:rsid w:val="00FB5098"/>
    <w:rsid w:val="00FB5530"/>
    <w:rsid w:val="00FB723A"/>
    <w:rsid w:val="00FC04F3"/>
    <w:rsid w:val="00FC0E03"/>
    <w:rsid w:val="00FC25FE"/>
    <w:rsid w:val="00FC4373"/>
    <w:rsid w:val="00FC4B37"/>
    <w:rsid w:val="00FC4DCE"/>
    <w:rsid w:val="00FC741B"/>
    <w:rsid w:val="00FC7C26"/>
    <w:rsid w:val="00FD0995"/>
    <w:rsid w:val="00FD4916"/>
    <w:rsid w:val="00FD6E30"/>
    <w:rsid w:val="00FE06BE"/>
    <w:rsid w:val="00FE26D3"/>
    <w:rsid w:val="00FE6BAA"/>
    <w:rsid w:val="00FE7CB2"/>
    <w:rsid w:val="00FF2E8A"/>
    <w:rsid w:val="00FF47E6"/>
    <w:rsid w:val="00FF7D00"/>
    <w:rsid w:val="01B97F5E"/>
    <w:rsid w:val="02670DCF"/>
    <w:rsid w:val="043164D2"/>
    <w:rsid w:val="04434437"/>
    <w:rsid w:val="04DB69C7"/>
    <w:rsid w:val="056C2AC8"/>
    <w:rsid w:val="078D3A1F"/>
    <w:rsid w:val="08D94A4A"/>
    <w:rsid w:val="09332050"/>
    <w:rsid w:val="09652865"/>
    <w:rsid w:val="097D3D26"/>
    <w:rsid w:val="0ADA2F69"/>
    <w:rsid w:val="0AE10BBF"/>
    <w:rsid w:val="0AE911F0"/>
    <w:rsid w:val="0B4B7E79"/>
    <w:rsid w:val="0BBA5614"/>
    <w:rsid w:val="0BBD0185"/>
    <w:rsid w:val="0BEC5836"/>
    <w:rsid w:val="0D011260"/>
    <w:rsid w:val="10F22B45"/>
    <w:rsid w:val="11EA4A5D"/>
    <w:rsid w:val="123426ED"/>
    <w:rsid w:val="1330335A"/>
    <w:rsid w:val="14AB42D7"/>
    <w:rsid w:val="159863B1"/>
    <w:rsid w:val="15F5110D"/>
    <w:rsid w:val="1614131D"/>
    <w:rsid w:val="16B6476F"/>
    <w:rsid w:val="1986454E"/>
    <w:rsid w:val="19D653D3"/>
    <w:rsid w:val="1AF62448"/>
    <w:rsid w:val="1C8868BF"/>
    <w:rsid w:val="1CE617B0"/>
    <w:rsid w:val="1D475092"/>
    <w:rsid w:val="1DB01DBE"/>
    <w:rsid w:val="1E901E0D"/>
    <w:rsid w:val="1F3709E9"/>
    <w:rsid w:val="1F5511FE"/>
    <w:rsid w:val="1F791B4A"/>
    <w:rsid w:val="1FCD30FB"/>
    <w:rsid w:val="1FF922F7"/>
    <w:rsid w:val="20067C86"/>
    <w:rsid w:val="20170303"/>
    <w:rsid w:val="203A6C9D"/>
    <w:rsid w:val="222B5EB7"/>
    <w:rsid w:val="235D1A58"/>
    <w:rsid w:val="23893375"/>
    <w:rsid w:val="23D049E7"/>
    <w:rsid w:val="24F31A54"/>
    <w:rsid w:val="26040EF9"/>
    <w:rsid w:val="262E49A9"/>
    <w:rsid w:val="286E6AFD"/>
    <w:rsid w:val="291C47AB"/>
    <w:rsid w:val="299E589B"/>
    <w:rsid w:val="2A9E6EDA"/>
    <w:rsid w:val="2AC259E9"/>
    <w:rsid w:val="2CF029BC"/>
    <w:rsid w:val="2F033AB7"/>
    <w:rsid w:val="2F8B6F9C"/>
    <w:rsid w:val="2FC604F2"/>
    <w:rsid w:val="30512DC8"/>
    <w:rsid w:val="305807BF"/>
    <w:rsid w:val="30BA0FA5"/>
    <w:rsid w:val="32697E49"/>
    <w:rsid w:val="355276CD"/>
    <w:rsid w:val="37875802"/>
    <w:rsid w:val="38FC03B7"/>
    <w:rsid w:val="397A5D84"/>
    <w:rsid w:val="3A38257A"/>
    <w:rsid w:val="3A773D1D"/>
    <w:rsid w:val="3B337E5E"/>
    <w:rsid w:val="3C5F0AEA"/>
    <w:rsid w:val="3C71178B"/>
    <w:rsid w:val="3D6F398A"/>
    <w:rsid w:val="3D9E1027"/>
    <w:rsid w:val="3E8804C1"/>
    <w:rsid w:val="3EC41B94"/>
    <w:rsid w:val="3EF06AA1"/>
    <w:rsid w:val="3FCB4391"/>
    <w:rsid w:val="407103DB"/>
    <w:rsid w:val="41C87C39"/>
    <w:rsid w:val="41DD26A1"/>
    <w:rsid w:val="432D5ADB"/>
    <w:rsid w:val="43A86F10"/>
    <w:rsid w:val="455B5C08"/>
    <w:rsid w:val="45E5444B"/>
    <w:rsid w:val="46024881"/>
    <w:rsid w:val="46432AD9"/>
    <w:rsid w:val="46C72C86"/>
    <w:rsid w:val="48452D81"/>
    <w:rsid w:val="48B50C5D"/>
    <w:rsid w:val="491679AE"/>
    <w:rsid w:val="4BAF3CEC"/>
    <w:rsid w:val="4D7C7F66"/>
    <w:rsid w:val="4E497F1B"/>
    <w:rsid w:val="4E4D165E"/>
    <w:rsid w:val="4E72372F"/>
    <w:rsid w:val="4E826BA1"/>
    <w:rsid w:val="4FB262DF"/>
    <w:rsid w:val="502913D8"/>
    <w:rsid w:val="506A1CDA"/>
    <w:rsid w:val="513145D7"/>
    <w:rsid w:val="52013E99"/>
    <w:rsid w:val="52884ADC"/>
    <w:rsid w:val="535449BE"/>
    <w:rsid w:val="54EF45B2"/>
    <w:rsid w:val="55967510"/>
    <w:rsid w:val="561C68FE"/>
    <w:rsid w:val="56C84385"/>
    <w:rsid w:val="56FA05E0"/>
    <w:rsid w:val="57205312"/>
    <w:rsid w:val="575B4970"/>
    <w:rsid w:val="580F0BD7"/>
    <w:rsid w:val="5922112E"/>
    <w:rsid w:val="595020F6"/>
    <w:rsid w:val="5AA42EE1"/>
    <w:rsid w:val="5AB83A84"/>
    <w:rsid w:val="5ADD04B0"/>
    <w:rsid w:val="5BD80096"/>
    <w:rsid w:val="5D5E0913"/>
    <w:rsid w:val="5E127A94"/>
    <w:rsid w:val="5EC2103E"/>
    <w:rsid w:val="5F3651D2"/>
    <w:rsid w:val="61E0223F"/>
    <w:rsid w:val="62275A9D"/>
    <w:rsid w:val="62A274F4"/>
    <w:rsid w:val="63133F4E"/>
    <w:rsid w:val="63473BF7"/>
    <w:rsid w:val="64490C49"/>
    <w:rsid w:val="66832C22"/>
    <w:rsid w:val="68706054"/>
    <w:rsid w:val="688A0DE6"/>
    <w:rsid w:val="68917B90"/>
    <w:rsid w:val="68F02F9E"/>
    <w:rsid w:val="691D1DC4"/>
    <w:rsid w:val="6A145BAD"/>
    <w:rsid w:val="6A4626EF"/>
    <w:rsid w:val="6A7C706D"/>
    <w:rsid w:val="6ADF74D7"/>
    <w:rsid w:val="6BCA186A"/>
    <w:rsid w:val="6C0563E5"/>
    <w:rsid w:val="6C223454"/>
    <w:rsid w:val="6C6C0C3F"/>
    <w:rsid w:val="6C89702F"/>
    <w:rsid w:val="6C917B8F"/>
    <w:rsid w:val="6D4A2C62"/>
    <w:rsid w:val="6DAD049D"/>
    <w:rsid w:val="6DC539D6"/>
    <w:rsid w:val="6ECD387A"/>
    <w:rsid w:val="6F2F03DB"/>
    <w:rsid w:val="6FF139B8"/>
    <w:rsid w:val="70064409"/>
    <w:rsid w:val="72127AC6"/>
    <w:rsid w:val="744D215E"/>
    <w:rsid w:val="748E5C99"/>
    <w:rsid w:val="74BF2C7A"/>
    <w:rsid w:val="75682D8E"/>
    <w:rsid w:val="75A31161"/>
    <w:rsid w:val="75D25B10"/>
    <w:rsid w:val="76442929"/>
    <w:rsid w:val="76C27A63"/>
    <w:rsid w:val="771E1297"/>
    <w:rsid w:val="785A79CB"/>
    <w:rsid w:val="79144341"/>
    <w:rsid w:val="795409C4"/>
    <w:rsid w:val="796E1A86"/>
    <w:rsid w:val="7AF60F49"/>
    <w:rsid w:val="7BBE3424"/>
    <w:rsid w:val="7E0328BC"/>
    <w:rsid w:val="7ECB0C8F"/>
    <w:rsid w:val="7F377239"/>
    <w:rsid w:val="7F840255"/>
    <w:rsid w:val="7FAC1FBF"/>
    <w:rsid w:val="7FDBE62E"/>
    <w:rsid w:val="7FF57E3F"/>
    <w:rsid w:val="87539DC1"/>
    <w:rsid w:val="BFB3FFC8"/>
    <w:rsid w:val="C7DED000"/>
    <w:rsid w:val="DFEB4473"/>
    <w:rsid w:val="F7BD7354"/>
    <w:rsid w:val="FE6E6C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heme="minorEastAsia" w:hAnsiTheme="minorHAnsi" w:eastAsiaTheme="minorEastAsia" w:cstheme="minorBidi"/>
      <w:kern w:val="2"/>
      <w:sz w:val="21"/>
      <w:szCs w:val="22"/>
      <w:lang w:val="en-US" w:eastAsia="zh-CN" w:bidi="ar-SA"/>
    </w:rPr>
  </w:style>
  <w:style w:type="paragraph" w:styleId="3">
    <w:name w:val="heading 1"/>
    <w:basedOn w:val="1"/>
    <w:next w:val="1"/>
    <w:link w:val="34"/>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4">
    <w:name w:val="heading 2"/>
    <w:basedOn w:val="1"/>
    <w:next w:val="1"/>
    <w:link w:val="4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41"/>
    <w:semiHidden/>
    <w:unhideWhenUsed/>
    <w:qFormat/>
    <w:uiPriority w:val="9"/>
    <w:pPr>
      <w:keepNext/>
      <w:keepLines/>
      <w:spacing w:before="260" w:after="260" w:line="416" w:lineRule="auto"/>
      <w:outlineLvl w:val="2"/>
    </w:pPr>
    <w:rPr>
      <w:b/>
      <w:bCs/>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84"/>
    <w:qFormat/>
    <w:uiPriority w:val="99"/>
  </w:style>
  <w:style w:type="paragraph" w:styleId="6">
    <w:name w:val="Normal Indent"/>
    <w:basedOn w:val="1"/>
    <w:next w:val="7"/>
    <w:qFormat/>
    <w:uiPriority w:val="0"/>
    <w:pPr>
      <w:ind w:firstLine="420"/>
    </w:pPr>
  </w:style>
  <w:style w:type="paragraph" w:styleId="7">
    <w:name w:val="envelope return"/>
    <w:basedOn w:val="1"/>
    <w:qFormat/>
    <w:uiPriority w:val="0"/>
    <w:pPr>
      <w:snapToGrid w:val="0"/>
    </w:pPr>
    <w:rPr>
      <w:rFonts w:ascii="Arial" w:hAnsi="Arial" w:eastAsia="仿宋_GB2312"/>
      <w:sz w:val="32"/>
    </w:rPr>
  </w:style>
  <w:style w:type="paragraph" w:styleId="8">
    <w:name w:val="annotation text"/>
    <w:basedOn w:val="1"/>
    <w:link w:val="85"/>
    <w:semiHidden/>
    <w:unhideWhenUsed/>
    <w:qFormat/>
    <w:uiPriority w:val="99"/>
    <w:pPr>
      <w:jc w:val="left"/>
    </w:pPr>
  </w:style>
  <w:style w:type="paragraph" w:styleId="9">
    <w:name w:val="toc 3"/>
    <w:basedOn w:val="1"/>
    <w:next w:val="1"/>
    <w:unhideWhenUsed/>
    <w:qFormat/>
    <w:uiPriority w:val="39"/>
    <w:pPr>
      <w:ind w:left="840" w:leftChars="400"/>
    </w:pPr>
  </w:style>
  <w:style w:type="paragraph" w:styleId="10">
    <w:name w:val="Date"/>
    <w:basedOn w:val="1"/>
    <w:next w:val="1"/>
    <w:link w:val="49"/>
    <w:semiHidden/>
    <w:unhideWhenUsed/>
    <w:qFormat/>
    <w:uiPriority w:val="99"/>
    <w:pPr>
      <w:ind w:left="100" w:leftChars="2500"/>
    </w:pPr>
  </w:style>
  <w:style w:type="paragraph" w:styleId="11">
    <w:name w:val="Body Text Indent 2"/>
    <w:basedOn w:val="1"/>
    <w:link w:val="42"/>
    <w:qFormat/>
    <w:uiPriority w:val="0"/>
    <w:pPr>
      <w:spacing w:line="276" w:lineRule="auto"/>
      <w:ind w:firstLine="420"/>
    </w:pPr>
    <w:rPr>
      <w:rFonts w:ascii="宋体" w:hAnsi="宋体" w:eastAsia="宋体" w:cs="Times New Roman"/>
      <w:snapToGrid w:val="0"/>
      <w:kern w:val="0"/>
      <w:szCs w:val="24"/>
    </w:rPr>
  </w:style>
  <w:style w:type="paragraph" w:styleId="12">
    <w:name w:val="Balloon Text"/>
    <w:basedOn w:val="1"/>
    <w:link w:val="30"/>
    <w:semiHidden/>
    <w:unhideWhenUsed/>
    <w:qFormat/>
    <w:uiPriority w:val="99"/>
    <w:rPr>
      <w:sz w:val="18"/>
      <w:szCs w:val="18"/>
    </w:rPr>
  </w:style>
  <w:style w:type="paragraph" w:styleId="13">
    <w:name w:val="footer"/>
    <w:basedOn w:val="1"/>
    <w:link w:val="29"/>
    <w:unhideWhenUsed/>
    <w:qFormat/>
    <w:uiPriority w:val="99"/>
    <w:pPr>
      <w:tabs>
        <w:tab w:val="center" w:pos="4153"/>
        <w:tab w:val="right" w:pos="8306"/>
      </w:tabs>
      <w:snapToGrid w:val="0"/>
      <w:jc w:val="left"/>
    </w:pPr>
    <w:rPr>
      <w:sz w:val="18"/>
      <w:szCs w:val="18"/>
    </w:rPr>
  </w:style>
  <w:style w:type="paragraph" w:styleId="14">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Subtitle"/>
    <w:basedOn w:val="1"/>
    <w:next w:val="1"/>
    <w:link w:val="38"/>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7">
    <w:name w:val="toc 2"/>
    <w:basedOn w:val="1"/>
    <w:next w:val="1"/>
    <w:unhideWhenUsed/>
    <w:qFormat/>
    <w:uiPriority w:val="39"/>
    <w:pPr>
      <w:tabs>
        <w:tab w:val="right" w:leader="dot" w:pos="9344"/>
      </w:tabs>
      <w:ind w:left="420" w:leftChars="200"/>
    </w:pPr>
  </w:style>
  <w:style w:type="paragraph" w:styleId="18">
    <w:name w:val="HTML Preformatted"/>
    <w:basedOn w:val="1"/>
    <w:link w:val="87"/>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firstLineChars="0"/>
      <w:jc w:val="left"/>
    </w:pPr>
    <w:rPr>
      <w:rFonts w:ascii="宋体" w:hAnsi="宋体" w:eastAsia="宋体" w:cs="宋体"/>
      <w:kern w:val="0"/>
      <w:sz w:val="24"/>
      <w:szCs w:val="24"/>
    </w:rPr>
  </w:style>
  <w:style w:type="paragraph" w:styleId="19">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styleId="20">
    <w:name w:val="Title"/>
    <w:basedOn w:val="1"/>
    <w:next w:val="1"/>
    <w:link w:val="39"/>
    <w:qFormat/>
    <w:uiPriority w:val="10"/>
    <w:pPr>
      <w:spacing w:before="240" w:after="60"/>
      <w:jc w:val="center"/>
      <w:outlineLvl w:val="0"/>
    </w:pPr>
    <w:rPr>
      <w:rFonts w:eastAsia="宋体" w:asciiTheme="majorHAnsi" w:hAnsiTheme="majorHAnsi" w:cstheme="majorBidi"/>
      <w:b/>
      <w:bCs/>
      <w:sz w:val="32"/>
      <w:szCs w:val="32"/>
    </w:rPr>
  </w:style>
  <w:style w:type="paragraph" w:styleId="21">
    <w:name w:val="annotation subject"/>
    <w:basedOn w:val="8"/>
    <w:next w:val="8"/>
    <w:link w:val="86"/>
    <w:semiHidden/>
    <w:unhideWhenUsed/>
    <w:qFormat/>
    <w:uiPriority w:val="99"/>
    <w:rPr>
      <w:b/>
      <w:bCs/>
    </w:rPr>
  </w:style>
  <w:style w:type="table" w:styleId="23">
    <w:name w:val="Table Grid"/>
    <w:basedOn w:val="2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22"/>
    <w:rPr>
      <w:b/>
      <w:bCs/>
    </w:rPr>
  </w:style>
  <w:style w:type="character" w:styleId="26">
    <w:name w:val="Hyperlink"/>
    <w:basedOn w:val="24"/>
    <w:unhideWhenUsed/>
    <w:qFormat/>
    <w:uiPriority w:val="99"/>
    <w:rPr>
      <w:color w:val="0000FF" w:themeColor="hyperlink"/>
      <w:u w:val="single"/>
      <w14:textFill>
        <w14:solidFill>
          <w14:schemeClr w14:val="hlink"/>
        </w14:solidFill>
      </w14:textFill>
    </w:rPr>
  </w:style>
  <w:style w:type="character" w:styleId="27">
    <w:name w:val="annotation reference"/>
    <w:basedOn w:val="24"/>
    <w:semiHidden/>
    <w:unhideWhenUsed/>
    <w:qFormat/>
    <w:uiPriority w:val="99"/>
    <w:rPr>
      <w:sz w:val="21"/>
      <w:szCs w:val="21"/>
    </w:rPr>
  </w:style>
  <w:style w:type="character" w:customStyle="1" w:styleId="28">
    <w:name w:val="页眉 字符"/>
    <w:basedOn w:val="24"/>
    <w:link w:val="14"/>
    <w:qFormat/>
    <w:uiPriority w:val="99"/>
    <w:rPr>
      <w:sz w:val="18"/>
      <w:szCs w:val="18"/>
    </w:rPr>
  </w:style>
  <w:style w:type="character" w:customStyle="1" w:styleId="29">
    <w:name w:val="页脚 字符"/>
    <w:basedOn w:val="24"/>
    <w:link w:val="13"/>
    <w:qFormat/>
    <w:uiPriority w:val="99"/>
    <w:rPr>
      <w:sz w:val="18"/>
      <w:szCs w:val="18"/>
    </w:rPr>
  </w:style>
  <w:style w:type="character" w:customStyle="1" w:styleId="30">
    <w:name w:val="批注框文本 字符"/>
    <w:basedOn w:val="24"/>
    <w:link w:val="12"/>
    <w:semiHidden/>
    <w:qFormat/>
    <w:uiPriority w:val="99"/>
    <w:rPr>
      <w:sz w:val="18"/>
      <w:szCs w:val="18"/>
    </w:rPr>
  </w:style>
  <w:style w:type="paragraph" w:styleId="31">
    <w:name w:val="List Paragraph"/>
    <w:basedOn w:val="1"/>
    <w:qFormat/>
    <w:uiPriority w:val="99"/>
    <w:pPr>
      <w:numPr>
        <w:ilvl w:val="0"/>
        <w:numId w:val="1"/>
      </w:numPr>
      <w:ind w:firstLineChars="0"/>
    </w:pPr>
  </w:style>
  <w:style w:type="paragraph" w:customStyle="1" w:styleId="32">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3">
    <w:name w:val="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4">
    <w:name w:val="标题 1 字符"/>
    <w:basedOn w:val="24"/>
    <w:link w:val="3"/>
    <w:qFormat/>
    <w:uiPriority w:val="99"/>
    <w:rPr>
      <w:rFonts w:ascii="Calibri" w:hAnsi="Calibri" w:eastAsia="宋体" w:cs="Times New Roman"/>
      <w:b/>
      <w:bCs/>
      <w:kern w:val="44"/>
      <w:sz w:val="44"/>
      <w:szCs w:val="44"/>
    </w:rPr>
  </w:style>
  <w:style w:type="paragraph" w:styleId="35">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36">
    <w:name w:val="封面标准号1"/>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37">
    <w:name w:val="不明显强调1"/>
    <w:basedOn w:val="24"/>
    <w:qFormat/>
    <w:uiPriority w:val="19"/>
    <w:rPr>
      <w:i/>
      <w:iCs/>
      <w:color w:val="808080" w:themeColor="text1" w:themeTint="80"/>
      <w14:textFill>
        <w14:solidFill>
          <w14:schemeClr w14:val="tx1">
            <w14:lumMod w14:val="50000"/>
            <w14:lumOff w14:val="50000"/>
          </w14:schemeClr>
        </w14:solidFill>
      </w14:textFill>
    </w:rPr>
  </w:style>
  <w:style w:type="character" w:customStyle="1" w:styleId="38">
    <w:name w:val="副标题 字符"/>
    <w:basedOn w:val="24"/>
    <w:link w:val="16"/>
    <w:qFormat/>
    <w:uiPriority w:val="11"/>
    <w:rPr>
      <w:rFonts w:eastAsia="宋体" w:asciiTheme="majorHAnsi" w:hAnsiTheme="majorHAnsi" w:cstheme="majorBidi"/>
      <w:b/>
      <w:bCs/>
      <w:kern w:val="28"/>
      <w:sz w:val="32"/>
      <w:szCs w:val="32"/>
    </w:rPr>
  </w:style>
  <w:style w:type="character" w:customStyle="1" w:styleId="39">
    <w:name w:val="标题 字符"/>
    <w:basedOn w:val="24"/>
    <w:link w:val="20"/>
    <w:qFormat/>
    <w:uiPriority w:val="10"/>
    <w:rPr>
      <w:rFonts w:eastAsia="宋体" w:asciiTheme="majorHAnsi" w:hAnsiTheme="majorHAnsi" w:cstheme="majorBidi"/>
      <w:b/>
      <w:bCs/>
      <w:sz w:val="32"/>
      <w:szCs w:val="32"/>
    </w:rPr>
  </w:style>
  <w:style w:type="character" w:customStyle="1" w:styleId="40">
    <w:name w:val="标题 2 字符"/>
    <w:basedOn w:val="24"/>
    <w:link w:val="4"/>
    <w:qFormat/>
    <w:uiPriority w:val="9"/>
    <w:rPr>
      <w:rFonts w:asciiTheme="majorHAnsi" w:hAnsiTheme="majorHAnsi" w:eastAsiaTheme="majorEastAsia" w:cstheme="majorBidi"/>
      <w:b/>
      <w:bCs/>
      <w:sz w:val="32"/>
      <w:szCs w:val="32"/>
    </w:rPr>
  </w:style>
  <w:style w:type="character" w:customStyle="1" w:styleId="41">
    <w:name w:val="标题 3 字符"/>
    <w:basedOn w:val="24"/>
    <w:link w:val="5"/>
    <w:semiHidden/>
    <w:qFormat/>
    <w:uiPriority w:val="9"/>
    <w:rPr>
      <w:b/>
      <w:bCs/>
      <w:sz w:val="32"/>
      <w:szCs w:val="32"/>
    </w:rPr>
  </w:style>
  <w:style w:type="character" w:customStyle="1" w:styleId="42">
    <w:name w:val="正文文本缩进 2 字符"/>
    <w:basedOn w:val="24"/>
    <w:link w:val="11"/>
    <w:qFormat/>
    <w:uiPriority w:val="0"/>
    <w:rPr>
      <w:rFonts w:ascii="宋体" w:hAnsi="宋体" w:eastAsia="宋体" w:cs="Times New Roman"/>
      <w:snapToGrid w:val="0"/>
      <w:kern w:val="0"/>
      <w:szCs w:val="24"/>
    </w:rPr>
  </w:style>
  <w:style w:type="paragraph" w:customStyle="1" w:styleId="43">
    <w:name w:val="三级条标题"/>
    <w:basedOn w:val="1"/>
    <w:next w:val="1"/>
    <w:qFormat/>
    <w:uiPriority w:val="0"/>
    <w:pPr>
      <w:widowControl/>
      <w:ind w:left="855"/>
      <w:outlineLvl w:val="4"/>
    </w:pPr>
    <w:rPr>
      <w:rFonts w:ascii="黑体" w:hAnsi="Times New Roman" w:eastAsia="黑体" w:cs="Times New Roman"/>
      <w:kern w:val="0"/>
      <w:szCs w:val="20"/>
    </w:rPr>
  </w:style>
  <w:style w:type="paragraph" w:customStyle="1" w:styleId="44">
    <w:name w:val="附录章标题"/>
    <w:next w:val="1"/>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45">
    <w:name w:val="附录表标题"/>
    <w:next w:val="1"/>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46">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47">
    <w:name w:val="high-light-bg4"/>
    <w:basedOn w:val="24"/>
    <w:qFormat/>
    <w:uiPriority w:val="0"/>
  </w:style>
  <w:style w:type="character" w:customStyle="1" w:styleId="48">
    <w:name w:val="ordinary-span-edit2"/>
    <w:basedOn w:val="24"/>
    <w:qFormat/>
    <w:uiPriority w:val="0"/>
  </w:style>
  <w:style w:type="character" w:customStyle="1" w:styleId="49">
    <w:name w:val="日期 字符"/>
    <w:basedOn w:val="24"/>
    <w:link w:val="10"/>
    <w:semiHidden/>
    <w:qFormat/>
    <w:uiPriority w:val="99"/>
  </w:style>
  <w:style w:type="paragraph" w:customStyle="1" w:styleId="50">
    <w:name w:val="正文1"/>
    <w:qFormat/>
    <w:uiPriority w:val="0"/>
    <w:pPr>
      <w:jc w:val="both"/>
    </w:pPr>
    <w:rPr>
      <w:rFonts w:ascii="Calibri" w:hAnsi="Calibri" w:eastAsia="宋体" w:cs="宋体"/>
      <w:kern w:val="2"/>
      <w:sz w:val="21"/>
      <w:szCs w:val="21"/>
      <w:lang w:val="en-US" w:eastAsia="zh-CN" w:bidi="ar-SA"/>
    </w:rPr>
  </w:style>
  <w:style w:type="character" w:customStyle="1" w:styleId="51">
    <w:name w:val="dash6b63_6587__char1"/>
    <w:qFormat/>
    <w:uiPriority w:val="0"/>
    <w:rPr>
      <w:rFonts w:hint="default" w:ascii="Times New Roman" w:hAnsi="Times New Roman" w:cs="Times New Roman"/>
      <w:sz w:val="20"/>
      <w:szCs w:val="20"/>
      <w:u w:val="none"/>
    </w:rPr>
  </w:style>
  <w:style w:type="paragraph" w:customStyle="1" w:styleId="52">
    <w:name w:val="标准文件_前言、引言标题"/>
    <w:next w:val="1"/>
    <w:qFormat/>
    <w:uiPriority w:val="0"/>
    <w:pPr>
      <w:numPr>
        <w:ilvl w:val="0"/>
        <w:numId w:val="2"/>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53">
    <w:name w:val="章标题"/>
    <w:next w:val="54"/>
    <w:qFormat/>
    <w:uiPriority w:val="0"/>
    <w:pPr>
      <w:numPr>
        <w:ilvl w:val="0"/>
        <w:numId w:val="3"/>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54">
    <w:name w:val="段"/>
    <w:qFormat/>
    <w:uiPriority w:val="0"/>
    <w:pPr>
      <w:tabs>
        <w:tab w:val="center" w:pos="4201"/>
        <w:tab w:val="right" w:leader="dot" w:pos="9298"/>
      </w:tabs>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5">
    <w:name w:val="一级条标题"/>
    <w:next w:val="54"/>
    <w:qFormat/>
    <w:uiPriority w:val="0"/>
    <w:pPr>
      <w:numPr>
        <w:ilvl w:val="1"/>
        <w:numId w:val="3"/>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56">
    <w:name w:val="二级无"/>
    <w:basedOn w:val="57"/>
    <w:qFormat/>
    <w:uiPriority w:val="0"/>
    <w:pPr>
      <w:spacing w:before="0" w:beforeLines="0" w:after="0" w:afterLines="0"/>
    </w:pPr>
    <w:rPr>
      <w:rFonts w:ascii="宋体" w:eastAsia="宋体"/>
    </w:rPr>
  </w:style>
  <w:style w:type="paragraph" w:customStyle="1" w:styleId="57">
    <w:name w:val="二级条标题"/>
    <w:basedOn w:val="55"/>
    <w:next w:val="54"/>
    <w:qFormat/>
    <w:uiPriority w:val="0"/>
    <w:pPr>
      <w:numPr>
        <w:ilvl w:val="2"/>
      </w:numPr>
      <w:spacing w:before="50" w:after="50"/>
      <w:outlineLvl w:val="3"/>
    </w:pPr>
  </w:style>
  <w:style w:type="paragraph" w:customStyle="1" w:styleId="58">
    <w:name w:val="字母编号列项（一级）"/>
    <w:qFormat/>
    <w:uiPriority w:val="0"/>
    <w:pPr>
      <w:numPr>
        <w:ilvl w:val="0"/>
        <w:numId w:val="4"/>
      </w:numPr>
      <w:jc w:val="both"/>
    </w:pPr>
    <w:rPr>
      <w:rFonts w:ascii="宋体" w:hAnsi="Times New Roman" w:eastAsia="宋体" w:cs="Times New Roman"/>
      <w:sz w:val="21"/>
      <w:lang w:val="en-US" w:eastAsia="zh-CN" w:bidi="ar-SA"/>
    </w:rPr>
  </w:style>
  <w:style w:type="paragraph" w:customStyle="1" w:styleId="59">
    <w:name w:val="列项●（二级）"/>
    <w:qFormat/>
    <w:uiPriority w:val="0"/>
    <w:pPr>
      <w:numPr>
        <w:ilvl w:val="1"/>
        <w:numId w:val="5"/>
      </w:numPr>
      <w:tabs>
        <w:tab w:val="left" w:pos="840"/>
      </w:tabs>
      <w:jc w:val="both"/>
    </w:pPr>
    <w:rPr>
      <w:rFonts w:ascii="宋体" w:hAnsi="Times New Roman" w:eastAsia="宋体" w:cs="Times New Roman"/>
      <w:sz w:val="21"/>
      <w:lang w:val="en-US" w:eastAsia="zh-CN" w:bidi="ar-SA"/>
    </w:rPr>
  </w:style>
  <w:style w:type="paragraph" w:customStyle="1" w:styleId="60">
    <w:name w:val="注：（正文）"/>
    <w:basedOn w:val="61"/>
    <w:next w:val="54"/>
    <w:qFormat/>
    <w:uiPriority w:val="0"/>
  </w:style>
  <w:style w:type="paragraph" w:customStyle="1" w:styleId="61">
    <w:name w:val="注："/>
    <w:next w:val="54"/>
    <w:qFormat/>
    <w:uiPriority w:val="0"/>
    <w:pPr>
      <w:widowControl w:val="0"/>
      <w:numPr>
        <w:ilvl w:val="0"/>
        <w:numId w:val="6"/>
      </w:numPr>
      <w:autoSpaceDE w:val="0"/>
      <w:autoSpaceDN w:val="0"/>
      <w:jc w:val="both"/>
    </w:pPr>
    <w:rPr>
      <w:rFonts w:ascii="宋体" w:hAnsi="Times New Roman" w:eastAsia="宋体" w:cs="Times New Roman"/>
      <w:sz w:val="18"/>
      <w:szCs w:val="18"/>
      <w:lang w:val="en-US" w:eastAsia="zh-CN" w:bidi="ar-SA"/>
    </w:rPr>
  </w:style>
  <w:style w:type="paragraph" w:customStyle="1" w:styleId="62">
    <w:name w:val="附录标识"/>
    <w:basedOn w:val="1"/>
    <w:next w:val="54"/>
    <w:qFormat/>
    <w:uiPriority w:val="0"/>
    <w:pPr>
      <w:keepNext/>
      <w:widowControl/>
      <w:numPr>
        <w:ilvl w:val="0"/>
        <w:numId w:val="7"/>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63">
    <w:name w:val="正文表标题"/>
    <w:next w:val="54"/>
    <w:qFormat/>
    <w:uiPriority w:val="0"/>
    <w:pPr>
      <w:numPr>
        <w:ilvl w:val="0"/>
        <w:numId w:val="8"/>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64">
    <w:name w:val="Other|1"/>
    <w:basedOn w:val="1"/>
    <w:qFormat/>
    <w:uiPriority w:val="0"/>
    <w:rPr>
      <w:rFonts w:ascii="宋体" w:hAnsi="宋体" w:cs="宋体"/>
      <w:sz w:val="19"/>
      <w:szCs w:val="19"/>
      <w:lang w:val="zh-CN" w:bidi="zh-CN"/>
    </w:rPr>
  </w:style>
  <w:style w:type="paragraph" w:customStyle="1" w:styleId="65">
    <w:name w:val="终结线"/>
    <w:basedOn w:val="1"/>
    <w:qFormat/>
    <w:uiPriority w:val="0"/>
    <w:pPr>
      <w:framePr w:hSpace="181" w:vSpace="181" w:wrap="around" w:vAnchor="text" w:hAnchor="margin" w:xAlign="center" w:y="285"/>
    </w:pPr>
  </w:style>
  <w:style w:type="paragraph" w:customStyle="1" w:styleId="66">
    <w:name w:val="标准文件_术语条一"/>
    <w:basedOn w:val="67"/>
    <w:next w:val="68"/>
    <w:qFormat/>
    <w:uiPriority w:val="0"/>
    <w:pPr>
      <w:tabs>
        <w:tab w:val="center" w:pos="4201"/>
        <w:tab w:val="right" w:leader="dot" w:pos="9298"/>
      </w:tabs>
    </w:pPr>
  </w:style>
  <w:style w:type="paragraph" w:customStyle="1" w:styleId="67">
    <w:name w:val="JS正文(段落)"/>
    <w:link w:val="80"/>
    <w:qFormat/>
    <w:uiPriority w:val="0"/>
    <w:pPr>
      <w:tabs>
        <w:tab w:val="center" w:pos="4201"/>
        <w:tab w:val="right" w:leader="dot" w:pos="9298"/>
      </w:tabs>
      <w:autoSpaceDE w:val="0"/>
      <w:autoSpaceDN w:val="0"/>
      <w:spacing w:before="120" w:after="120" w:line="360" w:lineRule="auto"/>
      <w:ind w:firstLine="420" w:firstLineChars="200"/>
      <w:jc w:val="both"/>
    </w:pPr>
    <w:rPr>
      <w:rFonts w:ascii="宋体" w:hAnsi="Times New Roman" w:eastAsia="宋体" w:cs="Times New Roman"/>
      <w:sz w:val="21"/>
      <w:lang w:val="en-US" w:eastAsia="zh-CN" w:bidi="ar-SA"/>
    </w:rPr>
  </w:style>
  <w:style w:type="paragraph" w:customStyle="1" w:styleId="68">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9">
    <w:name w:val="标准文件_三"/>
    <w:basedOn w:val="70"/>
    <w:qFormat/>
    <w:uiPriority w:val="0"/>
    <w:pPr>
      <w:spacing w:before="0" w:beforeLines="0" w:after="0" w:afterLines="0"/>
      <w:outlineLvl w:val="2"/>
    </w:pPr>
    <w:rPr>
      <w:rFonts w:ascii="宋体" w:eastAsia="宋体"/>
    </w:rPr>
  </w:style>
  <w:style w:type="paragraph" w:customStyle="1" w:styleId="70">
    <w:name w:val="标准文件_一级条标题"/>
    <w:basedOn w:val="71"/>
    <w:next w:val="68"/>
    <w:qFormat/>
    <w:uiPriority w:val="0"/>
    <w:pPr>
      <w:numPr>
        <w:ilvl w:val="2"/>
      </w:numPr>
      <w:spacing w:before="50" w:beforeLines="50" w:after="50" w:afterLines="50"/>
      <w:outlineLvl w:val="1"/>
    </w:pPr>
  </w:style>
  <w:style w:type="paragraph" w:customStyle="1" w:styleId="71">
    <w:name w:val="标准文件_章标题"/>
    <w:next w:val="68"/>
    <w:qFormat/>
    <w:uiPriority w:val="0"/>
    <w:pPr>
      <w:numPr>
        <w:ilvl w:val="1"/>
        <w:numId w:val="9"/>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72">
    <w:name w:val="标准文件_二级无标题"/>
    <w:basedOn w:val="73"/>
    <w:qFormat/>
    <w:uiPriority w:val="0"/>
    <w:pPr>
      <w:spacing w:before="0" w:beforeLines="0" w:after="0" w:afterLines="0"/>
      <w:outlineLvl w:val="9"/>
    </w:pPr>
    <w:rPr>
      <w:rFonts w:ascii="宋体" w:eastAsia="宋体"/>
    </w:rPr>
  </w:style>
  <w:style w:type="paragraph" w:customStyle="1" w:styleId="73">
    <w:name w:val="标准文件_二级条标题"/>
    <w:next w:val="68"/>
    <w:qFormat/>
    <w:uiPriority w:val="0"/>
    <w:pPr>
      <w:widowControl w:val="0"/>
      <w:numPr>
        <w:ilvl w:val="3"/>
        <w:numId w:val="9"/>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74">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75">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76">
    <w:name w:val="说明文字"/>
    <w:basedOn w:val="1"/>
    <w:qFormat/>
    <w:uiPriority w:val="0"/>
    <w:pPr>
      <w:ind w:firstLine="0" w:firstLineChars="0"/>
    </w:pPr>
  </w:style>
  <w:style w:type="paragraph" w:customStyle="1" w:styleId="77">
    <w:name w:val="标准文件_附录一级条标题"/>
    <w:next w:val="68"/>
    <w:qFormat/>
    <w:uiPriority w:val="0"/>
    <w:pPr>
      <w:widowControl w:val="0"/>
      <w:numPr>
        <w:ilvl w:val="1"/>
        <w:numId w:val="7"/>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8">
    <w:name w:val="标准文件_附录图标题"/>
    <w:next w:val="68"/>
    <w:qFormat/>
    <w:uiPriority w:val="0"/>
    <w:pPr>
      <w:numPr>
        <w:ilvl w:val="1"/>
        <w:numId w:val="10"/>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79">
    <w:name w:val="标准文件_参考文献标题"/>
    <w:basedOn w:val="1"/>
    <w:next w:val="1"/>
    <w:qFormat/>
    <w:uiPriority w:val="0"/>
    <w:pPr>
      <w:widowControl/>
      <w:shd w:val="clear" w:color="FFFFFF" w:fill="FFFFFF"/>
      <w:spacing w:before="580" w:after="50" w:afterLines="50"/>
      <w:jc w:val="center"/>
      <w:outlineLvl w:val="0"/>
    </w:pPr>
    <w:rPr>
      <w:rFonts w:ascii="黑体" w:eastAsia="黑体"/>
      <w:kern w:val="0"/>
    </w:rPr>
  </w:style>
  <w:style w:type="character" w:customStyle="1" w:styleId="80">
    <w:name w:val="JS正文(段落) Char"/>
    <w:link w:val="67"/>
    <w:qFormat/>
    <w:uiPriority w:val="0"/>
    <w:rPr>
      <w:rFonts w:ascii="宋体"/>
      <w:sz w:val="21"/>
    </w:rPr>
  </w:style>
  <w:style w:type="paragraph" w:customStyle="1" w:styleId="81">
    <w:name w:val="TOC 标题1"/>
    <w:basedOn w:val="3"/>
    <w:next w:val="1"/>
    <w:unhideWhenUsed/>
    <w:qFormat/>
    <w:uiPriority w:val="39"/>
    <w:pPr>
      <w:widowControl/>
      <w:spacing w:before="240" w:after="0" w:line="259" w:lineRule="auto"/>
      <w:ind w:firstLine="0" w:firstLineChars="0"/>
      <w:jc w:val="left"/>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82">
    <w:name w:val="fontstyle01"/>
    <w:basedOn w:val="24"/>
    <w:qFormat/>
    <w:uiPriority w:val="0"/>
    <w:rPr>
      <w:rFonts w:hint="default" w:ascii="MicrosoftYaHei" w:hAnsi="MicrosoftYaHei"/>
      <w:color w:val="000000"/>
      <w:sz w:val="32"/>
      <w:szCs w:val="32"/>
    </w:rPr>
  </w:style>
  <w:style w:type="character" w:customStyle="1" w:styleId="83">
    <w:name w:val="fontstyle21"/>
    <w:basedOn w:val="24"/>
    <w:qFormat/>
    <w:uiPriority w:val="0"/>
    <w:rPr>
      <w:rFonts w:hint="eastAsia" w:ascii="宋体" w:hAnsi="宋体" w:eastAsia="宋体"/>
      <w:color w:val="000000"/>
      <w:sz w:val="28"/>
      <w:szCs w:val="28"/>
    </w:rPr>
  </w:style>
  <w:style w:type="character" w:customStyle="1" w:styleId="84">
    <w:name w:val="正文文本 字符"/>
    <w:basedOn w:val="24"/>
    <w:link w:val="2"/>
    <w:qFormat/>
    <w:uiPriority w:val="99"/>
    <w:rPr>
      <w:rFonts w:asciiTheme="minorEastAsia" w:hAnsiTheme="minorHAnsi" w:eastAsiaTheme="minorEastAsia" w:cstheme="minorBidi"/>
      <w:kern w:val="2"/>
      <w:sz w:val="21"/>
      <w:szCs w:val="22"/>
    </w:rPr>
  </w:style>
  <w:style w:type="character" w:customStyle="1" w:styleId="85">
    <w:name w:val="批注文字 字符"/>
    <w:basedOn w:val="24"/>
    <w:link w:val="8"/>
    <w:semiHidden/>
    <w:qFormat/>
    <w:uiPriority w:val="99"/>
    <w:rPr>
      <w:rFonts w:asciiTheme="minorEastAsia" w:hAnsiTheme="minorHAnsi" w:eastAsiaTheme="minorEastAsia" w:cstheme="minorBidi"/>
      <w:kern w:val="2"/>
      <w:sz w:val="21"/>
      <w:szCs w:val="22"/>
    </w:rPr>
  </w:style>
  <w:style w:type="character" w:customStyle="1" w:styleId="86">
    <w:name w:val="批注主题 字符"/>
    <w:basedOn w:val="85"/>
    <w:link w:val="21"/>
    <w:semiHidden/>
    <w:qFormat/>
    <w:uiPriority w:val="99"/>
    <w:rPr>
      <w:rFonts w:asciiTheme="minorEastAsia" w:hAnsiTheme="minorHAnsi" w:eastAsiaTheme="minorEastAsia" w:cstheme="minorBidi"/>
      <w:b/>
      <w:bCs/>
      <w:kern w:val="2"/>
      <w:sz w:val="21"/>
      <w:szCs w:val="22"/>
    </w:rPr>
  </w:style>
  <w:style w:type="character" w:customStyle="1" w:styleId="87">
    <w:name w:val="HTML 预设格式 字符"/>
    <w:basedOn w:val="24"/>
    <w:link w:val="18"/>
    <w:semiHidden/>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2.png"/><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footer" Target="footer10.xml"/><Relationship Id="rId21" Type="http://schemas.openxmlformats.org/officeDocument/2006/relationships/header" Target="header8.xml"/><Relationship Id="rId20" Type="http://schemas.openxmlformats.org/officeDocument/2006/relationships/header" Target="header7.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17</Pages>
  <Words>262</Words>
  <Characters>328</Characters>
  <Lines>64</Lines>
  <Paragraphs>18</Paragraphs>
  <TotalTime>4</TotalTime>
  <ScaleCrop>false</ScaleCrop>
  <LinksUpToDate>false</LinksUpToDate>
  <CharactersWithSpaces>657</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2025-02-17T23:42:00Z</dcterms:created>
  <dc:creator>wy</dc:creator>
  <cp:lastModifiedBy>sugou</cp:lastModifiedBy>
  <cp:lastPrinted>2025-02-18T17:18:00Z</cp:lastPrinted>
  <dcterms:modified xsi:type="dcterms:W3CDTF">2025-05-19T10:18:31Z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y fmtid="{D5CDD505-2E9C-101B-9397-08002B2CF9AE}" pid="3" name="ICV">
    <vt:lpwstr>0038D0B756B3493DABC3F92050BD1B1C_13</vt:lpwstr>
  </property>
  <property fmtid="{D5CDD505-2E9C-101B-9397-08002B2CF9AE}" pid="4" name="KSOTemplateDocerSaveRecord">
    <vt:lpwstr>eyJoZGlkIjoiMjIxMDg2ZDVmODAxZDIyMjVlZjY0Zjk3MTNiYWIwMTciLCJ1c2VySWQiOiIxMzM4NDc1MDkxIn0=</vt:lpwstr>
  </property>
</Properties>
</file>