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CB31A">
      <w:pPr>
        <w:rPr>
          <w:rFonts w:ascii="黑体" w:hAnsi="黑体" w:eastAsia="黑体" w:cs="Times New Roman"/>
        </w:rPr>
      </w:pPr>
      <w:r>
        <w:rPr>
          <w:rFonts w:ascii="黑体" w:hAnsi="黑体" w:eastAsia="黑体" w:cs="Times New Roman"/>
        </w:rPr>
        <w:t xml:space="preserve">ICS </w:t>
      </w:r>
      <w:r>
        <w:rPr>
          <w:rFonts w:ascii="黑体" w:hAnsi="黑体" w:eastAsia="黑体" w:cs="Times New Roman"/>
          <w:color w:val="FF0000"/>
        </w:rPr>
        <w:t>01.040.03</w:t>
      </w:r>
    </w:p>
    <w:p w14:paraId="2E0C1198">
      <w:pPr>
        <w:rPr>
          <w:rFonts w:ascii="黑体" w:hAnsi="黑体" w:eastAsia="黑体" w:cs="Times New Roman"/>
        </w:rPr>
      </w:pPr>
      <w:r>
        <w:rPr>
          <w:rFonts w:ascii="黑体" w:hAnsi="黑体" w:eastAsia="黑体" w:cs="Times New Roman"/>
        </w:rPr>
        <w:t xml:space="preserve">CCS </w:t>
      </w:r>
      <w:r>
        <w:rPr>
          <w:rFonts w:ascii="黑体" w:hAnsi="黑体" w:eastAsia="黑体" w:cs="Times New Roman"/>
          <w:color w:val="FF0000"/>
        </w:rPr>
        <w:t>A 12</w:t>
      </w:r>
      <w:r>
        <w:rPr>
          <w:rFonts w:ascii="黑体" w:hAnsi="黑体" w:eastAsia="黑体" w:cs="Times New Roman"/>
        </w:rPr>
        <w:pict>
          <v:shape id="Text Box 2" o:spid="_x0000_s1026" o:spt="202" type="#_x0000_t202" style="position:absolute;left:0pt;margin-left:233.2pt;margin-top:3.35pt;height:62.4pt;width:268.25pt;z-index:251659264;mso-width-relative:page;mso-height-relative:top-margin-area;mso-height-percent:33;" stroked="f" coordsize="21600,21600" o:gfxdata="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GAqnTNkAAAAKAQAADwAAAAAAAAABACAAAAAiAAAAZHJzL2Rv&#10;d25yZXYueG1sUEsBAhQAFAAAAAgAh07iQHkBsR8AAgAA7wMAAA4AAAAAAAAAAQAgAAAAKAEAAGRy&#10;cy9lMm9Eb2MueG1sUEsFBgAAAAAGAAYAWQEAAJoFAAAAAA==&#10;">
            <v:path/>
            <v:fill focussize="0,0"/>
            <v:stroke on="f" joinstyle="miter"/>
            <v:imagedata o:title=""/>
            <o:lock v:ext="edit"/>
            <v:textbox style="mso-fit-shape-to-text:t;">
              <w:txbxContent>
                <w:p w14:paraId="5A980B92">
                  <w:pPr>
                    <w:pStyle w:val="30"/>
                    <w:wordWrap w:val="0"/>
                    <w:ind w:right="471"/>
                    <w:rPr>
                      <w:rFonts w:eastAsia="方正小标宋_GBK"/>
                      <w:w w:val="150"/>
                      <w:sz w:val="84"/>
                      <w:szCs w:val="84"/>
                    </w:rPr>
                  </w:pPr>
                  <w:r>
                    <w:rPr>
                      <w:rFonts w:eastAsia="方正小标宋_GBK"/>
                      <w:szCs w:val="84"/>
                    </w:rPr>
                    <w:t>DB3205</w:t>
                  </w:r>
                </w:p>
              </w:txbxContent>
            </v:textbox>
          </v:shape>
        </w:pict>
      </w:r>
    </w:p>
    <w:p w14:paraId="1B40931E">
      <w:pPr>
        <w:rPr>
          <w:rFonts w:ascii="黑体" w:hAnsi="黑体" w:eastAsia="黑体"/>
        </w:rPr>
      </w:pPr>
    </w:p>
    <w:p w14:paraId="0B3B1DA1">
      <w:pPr>
        <w:rPr>
          <w:rFonts w:ascii="黑体" w:hAnsi="黑体" w:eastAsia="黑体"/>
        </w:rPr>
      </w:pPr>
    </w:p>
    <w:p w14:paraId="7B433D17">
      <w:pPr>
        <w:rPr>
          <w:rFonts w:ascii="黑体" w:hAnsi="黑体" w:eastAsia="黑体"/>
        </w:rPr>
      </w:pPr>
    </w:p>
    <w:p w14:paraId="2C79F2F9">
      <w:pPr>
        <w:rPr>
          <w:rFonts w:ascii="黑体" w:hAnsi="黑体" w:eastAsia="黑体"/>
        </w:rPr>
      </w:pPr>
    </w:p>
    <w:p w14:paraId="3A4B9C99">
      <w:pPr>
        <w:jc w:val="distribute"/>
      </w:pPr>
      <w:r>
        <w:rPr>
          <w:rFonts w:hint="eastAsia" w:ascii="方正小标宋_GBK" w:hAnsi="宋体" w:eastAsia="方正小标宋_GBK" w:cs="SimSun,Bold"/>
          <w:bCs/>
          <w:snapToGrid w:val="0"/>
          <w:kern w:val="0"/>
          <w:sz w:val="48"/>
          <w:szCs w:val="52"/>
        </w:rPr>
        <w:t>苏州市地方</w:t>
      </w:r>
      <w:r>
        <w:rPr>
          <w:rFonts w:ascii="方正小标宋_GBK" w:hAnsi="宋体" w:eastAsia="方正小标宋_GBK" w:cs="SimSun,Bold"/>
          <w:bCs/>
          <w:snapToGrid w:val="0"/>
          <w:kern w:val="0"/>
          <w:sz w:val="48"/>
          <w:szCs w:val="52"/>
        </w:rPr>
        <w:t>标准</w:t>
      </w:r>
    </w:p>
    <w:p w14:paraId="3F56BFEE">
      <w:pPr>
        <w:rPr>
          <w:rFonts w:ascii="黑体" w:hAnsi="黑体" w:eastAsia="黑体"/>
        </w:rPr>
      </w:pPr>
    </w:p>
    <w:p w14:paraId="26947137">
      <w:pPr>
        <w:wordWrap w:val="0"/>
        <w:spacing w:line="510" w:lineRule="exact"/>
        <w:jc w:val="right"/>
        <w:rPr>
          <w:rFonts w:ascii="黑体" w:hAnsi="黑体" w:eastAsia="黑体"/>
          <w:kern w:val="0"/>
          <w:sz w:val="28"/>
          <w:szCs w:val="28"/>
        </w:rPr>
      </w:pPr>
      <w:r>
        <w:rPr>
          <w:rFonts w:ascii="黑体" w:hAnsi="黑体" w:eastAsia="黑体"/>
          <w:kern w:val="0"/>
          <w:sz w:val="28"/>
          <w:szCs w:val="28"/>
        </w:rPr>
        <w:t xml:space="preserve">DB3205/T XXX-XXXX </w:t>
      </w:r>
    </w:p>
    <w:p w14:paraId="25DACBD8">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黑体" w:hAnsi="宋体" w:eastAsia="黑体"/>
          <w:sz w:val="52"/>
          <w:szCs w:val="52"/>
          <w:lang w:val="en-US" w:eastAsia="zh-CN"/>
        </w:rPr>
      </w:pPr>
    </w:p>
    <w:p w14:paraId="43154CD1">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黑体" w:hAnsi="宋体" w:eastAsia="黑体"/>
          <w:sz w:val="52"/>
          <w:szCs w:val="52"/>
          <w:lang w:val="en-US" w:eastAsia="zh-CN"/>
        </w:rPr>
      </w:pPr>
    </w:p>
    <w:p w14:paraId="20213C29">
      <w:pPr>
        <w:keepNext w:val="0"/>
        <w:keepLines w:val="0"/>
        <w:pageBreakBefore w:val="0"/>
        <w:widowControl w:val="0"/>
        <w:kinsoku/>
        <w:wordWrap/>
        <w:overflowPunct/>
        <w:topLinePunct w:val="0"/>
        <w:autoSpaceDE w:val="0"/>
        <w:autoSpaceDN w:val="0"/>
        <w:bidi w:val="0"/>
        <w:adjustRightInd w:val="0"/>
        <w:snapToGrid/>
        <w:spacing w:line="800" w:lineRule="exact"/>
        <w:jc w:val="center"/>
        <w:textAlignment w:val="auto"/>
        <w:rPr>
          <w:rFonts w:hint="eastAsia" w:ascii="黑体" w:hAnsi="宋体" w:eastAsia="黑体"/>
          <w:sz w:val="52"/>
          <w:szCs w:val="52"/>
          <w:lang w:val="en-US" w:eastAsia="zh-CN"/>
        </w:rPr>
      </w:pPr>
      <w:r>
        <w:rPr>
          <w:rFonts w:ascii="黑体" w:hAnsi="黑体" w:eastAsia="黑体"/>
        </w:rPr>
        <w:pict>
          <v:shape id="AutoShape 18" o:spid="_x0000_s1029" o:spt="32" type="#_x0000_t32" style="position:absolute;left:0pt;margin-left:70.9pt;margin-top:222pt;height:0pt;width:487.15pt;mso-position-horizontal-relative:page;mso-position-vertical-relative:page;z-index:251660288;mso-width-relative:page;mso-height-relative:page;" filled="f" coordsize="21600,21600" o:gfxdata="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51h9LXAAAADAEAAA8AAAAAAAAAAQAgAAAAIgAAAGRycy9kb3ducmV2LnhtbFBLAQIU&#10;ABQAAAAIAIdO4kBluRdGuwEAAGUDAAAOAAAAAAAAAAEAIAAAACYBAABkcnMvZTJvRG9jLnhtbFBL&#10;BQYAAAAABgAGAFkBAABTBQAAAAA=&#10;">
            <v:path arrowok="t"/>
            <v:fill on="f" focussize="0,0"/>
            <v:stroke/>
            <v:imagedata o:title=""/>
            <o:lock v:ext="edit"/>
          </v:shape>
        </w:pict>
      </w:r>
      <w:r>
        <w:rPr>
          <w:rFonts w:hint="eastAsia" w:ascii="黑体" w:hAnsi="宋体" w:eastAsia="黑体"/>
          <w:sz w:val="52"/>
          <w:szCs w:val="52"/>
          <w:lang w:val="en-US" w:eastAsia="zh-CN"/>
        </w:rPr>
        <w:t>重点部位治安安全防范要求</w:t>
      </w:r>
    </w:p>
    <w:p w14:paraId="5593A15D">
      <w:pPr>
        <w:keepNext w:val="0"/>
        <w:keepLines w:val="0"/>
        <w:pageBreakBefore w:val="0"/>
        <w:widowControl w:val="0"/>
        <w:kinsoku/>
        <w:wordWrap/>
        <w:overflowPunct/>
        <w:topLinePunct w:val="0"/>
        <w:autoSpaceDE w:val="0"/>
        <w:autoSpaceDN w:val="0"/>
        <w:bidi w:val="0"/>
        <w:adjustRightInd w:val="0"/>
        <w:snapToGrid/>
        <w:spacing w:line="800" w:lineRule="exact"/>
        <w:jc w:val="center"/>
        <w:textAlignment w:val="auto"/>
        <w:rPr>
          <w:rFonts w:hint="default" w:ascii="黑体" w:hAnsi="Times New Roman" w:eastAsia="黑体" w:cs="黑体"/>
          <w:kern w:val="0"/>
          <w:sz w:val="52"/>
          <w:szCs w:val="52"/>
          <w:lang w:val="en-US"/>
        </w:rPr>
      </w:pPr>
      <w:r>
        <w:rPr>
          <w:rFonts w:hint="eastAsia" w:ascii="黑体" w:hAnsi="宋体" w:eastAsia="黑体"/>
          <w:sz w:val="52"/>
          <w:szCs w:val="52"/>
          <w:lang w:val="en-US" w:eastAsia="zh-CN"/>
        </w:rPr>
        <w:t>第6部分：文体场馆</w:t>
      </w:r>
    </w:p>
    <w:p w14:paraId="238C07F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黑体" w:hAnsi="黑体" w:eastAsia="黑体"/>
          <w:sz w:val="28"/>
          <w:szCs w:val="28"/>
        </w:rPr>
      </w:pPr>
      <w:r>
        <w:rPr>
          <w:rFonts w:hint="default" w:ascii="Times New Roman" w:hAnsi="Times New Roman" w:eastAsia="宋体" w:cs="Times New Roman"/>
          <w:color w:val="000000"/>
          <w:kern w:val="0"/>
          <w:sz w:val="27"/>
          <w:szCs w:val="27"/>
          <w:lang w:val="en-US" w:eastAsia="zh-CN" w:bidi="ar"/>
        </w:rPr>
        <w:t>Security system requirements for critical facilities Part 1:Recreation and sports venues</w:t>
      </w:r>
    </w:p>
    <w:p w14:paraId="0D43C348">
      <w:pPr>
        <w:rPr>
          <w:rFonts w:ascii="黑体" w:hAnsi="黑体" w:eastAsia="黑体"/>
        </w:rPr>
      </w:pPr>
    </w:p>
    <w:p w14:paraId="4FB1EECE">
      <w:pPr>
        <w:rPr>
          <w:rFonts w:ascii="黑体" w:hAnsi="黑体" w:eastAsia="黑体"/>
        </w:rPr>
      </w:pPr>
    </w:p>
    <w:p w14:paraId="106C2645">
      <w:pPr>
        <w:jc w:val="center"/>
        <w:rPr>
          <w:rFonts w:ascii="黑体" w:hAnsi="黑体" w:eastAsia="黑体"/>
        </w:rPr>
      </w:pPr>
    </w:p>
    <w:p w14:paraId="719B5436">
      <w:pPr>
        <w:rPr>
          <w:rFonts w:ascii="黑体" w:hAnsi="黑体" w:eastAsia="黑体"/>
        </w:rPr>
      </w:pPr>
    </w:p>
    <w:p w14:paraId="2BB0D07E">
      <w:pPr>
        <w:rPr>
          <w:rFonts w:ascii="黑体" w:hAnsi="黑体" w:eastAsia="黑体"/>
        </w:rPr>
      </w:pPr>
    </w:p>
    <w:p w14:paraId="206EBE46">
      <w:pPr>
        <w:rPr>
          <w:rFonts w:ascii="黑体" w:hAnsi="黑体" w:eastAsia="黑体"/>
        </w:rPr>
      </w:pPr>
    </w:p>
    <w:p w14:paraId="30B95782">
      <w:pPr>
        <w:rPr>
          <w:rFonts w:ascii="黑体" w:hAnsi="黑体" w:eastAsia="黑体"/>
        </w:rPr>
      </w:pPr>
    </w:p>
    <w:p w14:paraId="64403B53">
      <w:pPr>
        <w:rPr>
          <w:rFonts w:ascii="黑体" w:hAnsi="黑体" w:eastAsia="黑体"/>
        </w:rPr>
      </w:pPr>
    </w:p>
    <w:p w14:paraId="46D49680">
      <w:pPr>
        <w:rPr>
          <w:rFonts w:ascii="黑体" w:hAnsi="黑体" w:eastAsia="黑体"/>
        </w:rPr>
      </w:pPr>
    </w:p>
    <w:p w14:paraId="5A6D27A3">
      <w:pPr>
        <w:rPr>
          <w:rFonts w:ascii="黑体" w:hAnsi="黑体" w:eastAsia="黑体"/>
        </w:rPr>
      </w:pPr>
    </w:p>
    <w:p w14:paraId="5ABED500">
      <w:pPr>
        <w:rPr>
          <w:rFonts w:ascii="黑体" w:hAnsi="黑体" w:eastAsia="黑体"/>
        </w:rPr>
      </w:pPr>
    </w:p>
    <w:p w14:paraId="286BB771">
      <w:pPr>
        <w:rPr>
          <w:rFonts w:ascii="黑体" w:hAnsi="黑体" w:eastAsia="黑体"/>
        </w:rPr>
      </w:pPr>
    </w:p>
    <w:p w14:paraId="7E8D3D58">
      <w:pPr>
        <w:rPr>
          <w:rFonts w:ascii="黑体" w:hAnsi="黑体" w:eastAsia="黑体"/>
        </w:rPr>
      </w:pPr>
    </w:p>
    <w:p w14:paraId="577F5BFD">
      <w:pPr>
        <w:rPr>
          <w:rFonts w:ascii="黑体" w:hAnsi="黑体" w:eastAsia="黑体"/>
        </w:rPr>
      </w:pPr>
    </w:p>
    <w:p w14:paraId="51BE02C6">
      <w:pPr>
        <w:spacing w:line="360" w:lineRule="auto"/>
        <w:rPr>
          <w:rFonts w:ascii="黑体" w:hAnsi="黑体" w:eastAsia="黑体"/>
        </w:rPr>
      </w:pPr>
    </w:p>
    <w:p w14:paraId="0D3E3885">
      <w:pPr>
        <w:rPr>
          <w:rFonts w:ascii="黑体" w:hAnsi="黑体" w:eastAsia="黑体"/>
          <w:sz w:val="28"/>
          <w:szCs w:val="28"/>
        </w:rPr>
      </w:pPr>
      <w:r>
        <w:rPr>
          <w:rFonts w:asciiTheme="minorEastAsia" w:hAnsiTheme="minorEastAsia"/>
          <w:b/>
          <w:sz w:val="44"/>
          <w:szCs w:val="44"/>
        </w:rPr>
        <w:pict>
          <v:shape id="AutoShape 19" o:spid="_x0000_s1028" o:spt="32" type="#_x0000_t32" style="position:absolute;left:0pt;margin-left:67.15pt;margin-top:689.55pt;height:0pt;width:487.15pt;mso-position-horizontal-relative:page;mso-position-vertical-relative:page;z-index:251661312;mso-width-relative:page;mso-height-relative:page;" filled="f" coordsize="21600,21600" o:gfxdata="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07J+72AAAAA4BAAAPAAAAAAAAAAEAIAAAACIAAABkcnMvZG93bnJldi54bWxQSwEC&#10;FAAUAAAACACHTuJAxNQBWbsBAABlAwAADgAAAAAAAAABACAAAAAnAQAAZHJzL2Uyb0RvYy54bWxQ&#10;SwUGAAAAAAYABgBZAQAAVAUAAAAA&#10;">
            <v:path arrowok="t"/>
            <v:fill on="f" focussize="0,0"/>
            <v:stroke/>
            <v:imagedata o:title=""/>
            <o:lock v:ext="edit"/>
          </v:shape>
        </w:pict>
      </w:r>
      <w:r>
        <w:rPr>
          <w:rFonts w:hint="eastAsia" w:ascii="黑体" w:hAnsi="黑体" w:eastAsia="黑体"/>
          <w:sz w:val="28"/>
          <w:szCs w:val="28"/>
        </w:rPr>
        <w:t>202</w:t>
      </w:r>
      <w:r>
        <w:rPr>
          <w:rFonts w:ascii="黑体" w:hAnsi="黑体" w:eastAsia="黑体"/>
          <w:sz w:val="28"/>
          <w:szCs w:val="28"/>
        </w:rPr>
        <w:t>X</w:t>
      </w:r>
      <w:r>
        <w:rPr>
          <w:rFonts w:hint="eastAsia" w:ascii="黑体" w:hAnsi="黑体" w:eastAsia="黑体"/>
          <w:sz w:val="28"/>
          <w:szCs w:val="28"/>
        </w:rPr>
        <w:t>-</w:t>
      </w:r>
      <w:r>
        <w:rPr>
          <w:rFonts w:ascii="黑体" w:hAnsi="黑体" w:eastAsia="黑体"/>
          <w:sz w:val="28"/>
          <w:szCs w:val="28"/>
        </w:rPr>
        <w:t>XX</w:t>
      </w:r>
      <w:r>
        <w:rPr>
          <w:rFonts w:hint="eastAsia" w:ascii="黑体" w:hAnsi="黑体" w:eastAsia="黑体"/>
          <w:sz w:val="28"/>
          <w:szCs w:val="28"/>
        </w:rPr>
        <w:t>-</w:t>
      </w:r>
      <w:r>
        <w:rPr>
          <w:rFonts w:ascii="黑体" w:hAnsi="黑体" w:eastAsia="黑体"/>
          <w:sz w:val="28"/>
          <w:szCs w:val="28"/>
        </w:rPr>
        <w:t>XX</w:t>
      </w:r>
      <w:r>
        <w:rPr>
          <w:rFonts w:hint="eastAsia" w:ascii="黑体" w:hAnsi="黑体" w:eastAsia="黑体"/>
          <w:sz w:val="28"/>
          <w:szCs w:val="28"/>
        </w:rPr>
        <w:t xml:space="preserve">发布            </w:t>
      </w:r>
      <w:r>
        <w:rPr>
          <w:rFonts w:ascii="黑体" w:hAnsi="黑体" w:eastAsia="黑体"/>
          <w:sz w:val="28"/>
          <w:szCs w:val="28"/>
        </w:rPr>
        <w:t xml:space="preserve">                           </w:t>
      </w:r>
      <w:r>
        <w:rPr>
          <w:rFonts w:hint="eastAsia" w:ascii="黑体" w:hAnsi="黑体" w:eastAsia="黑体"/>
          <w:sz w:val="28"/>
          <w:szCs w:val="28"/>
        </w:rPr>
        <w:t>202</w:t>
      </w:r>
      <w:r>
        <w:rPr>
          <w:rFonts w:ascii="黑体" w:hAnsi="黑体" w:eastAsia="黑体"/>
          <w:sz w:val="28"/>
          <w:szCs w:val="28"/>
        </w:rPr>
        <w:t>X</w:t>
      </w:r>
      <w:r>
        <w:rPr>
          <w:rFonts w:hint="eastAsia" w:ascii="黑体" w:hAnsi="黑体" w:eastAsia="黑体"/>
          <w:sz w:val="28"/>
          <w:szCs w:val="28"/>
        </w:rPr>
        <w:t>-</w:t>
      </w:r>
      <w:r>
        <w:rPr>
          <w:rFonts w:ascii="黑体" w:hAnsi="黑体" w:eastAsia="黑体"/>
          <w:sz w:val="28"/>
          <w:szCs w:val="28"/>
        </w:rPr>
        <w:t>XX</w:t>
      </w:r>
      <w:r>
        <w:rPr>
          <w:rFonts w:hint="eastAsia" w:ascii="黑体" w:hAnsi="黑体" w:eastAsia="黑体"/>
          <w:sz w:val="28"/>
          <w:szCs w:val="28"/>
        </w:rPr>
        <w:t>-</w:t>
      </w:r>
      <w:r>
        <w:rPr>
          <w:rFonts w:ascii="黑体" w:hAnsi="黑体" w:eastAsia="黑体"/>
          <w:sz w:val="28"/>
          <w:szCs w:val="28"/>
        </w:rPr>
        <w:t>XX</w:t>
      </w:r>
      <w:r>
        <w:rPr>
          <w:rFonts w:hint="eastAsia" w:ascii="黑体" w:hAnsi="黑体" w:eastAsia="黑体"/>
          <w:sz w:val="28"/>
          <w:szCs w:val="28"/>
        </w:rPr>
        <w:t>实施</w:t>
      </w:r>
    </w:p>
    <w:p w14:paraId="3874C7D9">
      <w:pPr>
        <w:spacing w:line="1247" w:lineRule="exact"/>
        <w:jc w:val="center"/>
        <w:rPr>
          <w:rFonts w:ascii="黑体" w:hAnsi="黑体" w:eastAsia="黑体"/>
          <w:sz w:val="28"/>
          <w:szCs w:val="28"/>
        </w:rPr>
      </w:pPr>
      <w:r>
        <w:rPr>
          <w:rFonts w:hint="eastAsia" w:asciiTheme="minorEastAsia" w:hAnsiTheme="minorEastAsia"/>
          <w:b/>
          <w:sz w:val="44"/>
          <w:szCs w:val="44"/>
        </w:rPr>
        <w:t>苏州市市场监督管理局</w:t>
      </w:r>
      <w:r>
        <w:rPr>
          <w:rFonts w:hint="eastAsia" w:ascii="黑体" w:hAnsi="黑体" w:eastAsia="黑体"/>
          <w:sz w:val="28"/>
          <w:szCs w:val="28"/>
        </w:rPr>
        <w:t xml:space="preserve">  发布</w:t>
      </w:r>
    </w:p>
    <w:p w14:paraId="5893BAD0">
      <w:pPr>
        <w:widowControl/>
        <w:rPr>
          <w:rFonts w:ascii="黑体" w:hAnsi="黑体" w:eastAsia="黑体"/>
          <w:sz w:val="28"/>
          <w:szCs w:val="28"/>
        </w:rPr>
      </w:pPr>
    </w:p>
    <w:p w14:paraId="7B415285">
      <w:pPr>
        <w:widowControl/>
        <w:rPr>
          <w:rFonts w:ascii="黑体" w:hAnsi="黑体" w:eastAsia="黑体"/>
          <w:sz w:val="28"/>
          <w:szCs w:val="28"/>
        </w:rPr>
      </w:pPr>
    </w:p>
    <w:p w14:paraId="02C38110">
      <w:pPr>
        <w:widowControl/>
        <w:rPr>
          <w:rFonts w:ascii="黑体" w:hAnsi="黑体" w:eastAsia="黑体"/>
          <w:sz w:val="28"/>
          <w:szCs w:val="28"/>
        </w:rPr>
        <w:sectPr>
          <w:headerReference r:id="rId5" w:type="first"/>
          <w:footerReference r:id="rId6" w:type="first"/>
          <w:headerReference r:id="rId3" w:type="default"/>
          <w:headerReference r:id="rId4" w:type="even"/>
          <w:type w:val="continuous"/>
          <w:pgSz w:w="11907" w:h="16840"/>
          <w:pgMar w:top="567" w:right="851" w:bottom="1134" w:left="1418" w:header="0" w:footer="0" w:gutter="0"/>
          <w:pgBorders>
            <w:top w:val="none" w:sz="0" w:space="0"/>
            <w:left w:val="none" w:sz="0" w:space="0"/>
            <w:bottom w:val="none" w:sz="0" w:space="0"/>
            <w:right w:val="none" w:sz="0" w:space="0"/>
          </w:pgBorders>
          <w:pgNumType w:fmt="lowerRoman"/>
          <w:cols w:space="425" w:num="1"/>
          <w:titlePg/>
          <w:docGrid w:type="lines" w:linePitch="312" w:charSpace="0"/>
        </w:sectPr>
      </w:pPr>
    </w:p>
    <w:p w14:paraId="73C314B7">
      <w:pPr>
        <w:snapToGrid w:val="0"/>
        <w:spacing w:before="851" w:after="680" w:line="14" w:lineRule="exact"/>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录</w:t>
      </w:r>
    </w:p>
    <w:p w14:paraId="276E6FFF">
      <w:pPr>
        <w:pStyle w:val="12"/>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TOC \o "1-3" \h \z \u </w:instrText>
      </w:r>
      <w:r>
        <w:rPr>
          <w:rFonts w:hint="eastAsia" w:ascii="宋体" w:hAnsi="宋体" w:eastAsia="宋体" w:cs="宋体"/>
          <w:sz w:val="22"/>
          <w:szCs w:val="22"/>
        </w:rPr>
        <w:fldChar w:fldCharType="separate"/>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_Toc24274 </w:instrText>
      </w:r>
      <w:r>
        <w:rPr>
          <w:rFonts w:hint="eastAsia" w:ascii="宋体" w:hAnsi="宋体" w:eastAsia="宋体" w:cs="宋体"/>
          <w:sz w:val="22"/>
          <w:szCs w:val="22"/>
        </w:rPr>
        <w:fldChar w:fldCharType="separate"/>
      </w:r>
      <w:r>
        <w:rPr>
          <w:rFonts w:hint="eastAsia" w:ascii="宋体" w:hAnsi="宋体" w:eastAsia="宋体" w:cs="宋体"/>
          <w:sz w:val="22"/>
          <w:szCs w:val="24"/>
        </w:rPr>
        <w:t>前    言</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_Toc24274 \h </w:instrText>
      </w:r>
      <w:r>
        <w:rPr>
          <w:rFonts w:hint="eastAsia" w:ascii="宋体" w:hAnsi="宋体" w:eastAsia="宋体" w:cs="宋体"/>
          <w:sz w:val="22"/>
          <w:szCs w:val="24"/>
        </w:rPr>
        <w:fldChar w:fldCharType="separate"/>
      </w:r>
      <w:r>
        <w:rPr>
          <w:rFonts w:hint="eastAsia" w:ascii="宋体" w:hAnsi="宋体" w:eastAsia="宋体" w:cs="宋体"/>
          <w:sz w:val="22"/>
          <w:szCs w:val="24"/>
        </w:rPr>
        <w:t>II</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3006E2EF">
      <w:pPr>
        <w:pStyle w:val="12"/>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_Toc21930 </w:instrText>
      </w:r>
      <w:r>
        <w:rPr>
          <w:rFonts w:hint="eastAsia" w:ascii="宋体" w:hAnsi="宋体" w:eastAsia="宋体" w:cs="宋体"/>
          <w:sz w:val="22"/>
          <w:szCs w:val="22"/>
        </w:rPr>
        <w:fldChar w:fldCharType="separate"/>
      </w:r>
      <w:r>
        <w:rPr>
          <w:rFonts w:hint="eastAsia" w:ascii="宋体" w:hAnsi="宋体" w:eastAsia="宋体" w:cs="宋体"/>
          <w:sz w:val="22"/>
          <w:szCs w:val="24"/>
        </w:rPr>
        <w:t>1  范围</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_Toc21930 \h </w:instrText>
      </w:r>
      <w:r>
        <w:rPr>
          <w:rFonts w:hint="eastAsia" w:ascii="宋体" w:hAnsi="宋体" w:eastAsia="宋体" w:cs="宋体"/>
          <w:sz w:val="22"/>
          <w:szCs w:val="24"/>
        </w:rPr>
        <w:fldChar w:fldCharType="separate"/>
      </w:r>
      <w:r>
        <w:rPr>
          <w:rFonts w:hint="eastAsia" w:ascii="宋体" w:hAnsi="宋体" w:eastAsia="宋体" w:cs="宋体"/>
          <w:sz w:val="22"/>
          <w:szCs w:val="24"/>
        </w:rPr>
        <w:t>1</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4B24AB60">
      <w:pPr>
        <w:pStyle w:val="12"/>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_Toc18922 </w:instrText>
      </w:r>
      <w:r>
        <w:rPr>
          <w:rFonts w:hint="eastAsia" w:ascii="宋体" w:hAnsi="宋体" w:eastAsia="宋体" w:cs="宋体"/>
          <w:sz w:val="22"/>
          <w:szCs w:val="22"/>
        </w:rPr>
        <w:fldChar w:fldCharType="separate"/>
      </w:r>
      <w:r>
        <w:rPr>
          <w:rFonts w:hint="eastAsia" w:ascii="宋体" w:hAnsi="宋体" w:eastAsia="宋体" w:cs="宋体"/>
          <w:sz w:val="22"/>
          <w:szCs w:val="24"/>
        </w:rPr>
        <w:t>2  规范性引用文件</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_Toc18922 \h </w:instrText>
      </w:r>
      <w:r>
        <w:rPr>
          <w:rFonts w:hint="eastAsia" w:ascii="宋体" w:hAnsi="宋体" w:eastAsia="宋体" w:cs="宋体"/>
          <w:sz w:val="22"/>
          <w:szCs w:val="24"/>
        </w:rPr>
        <w:fldChar w:fldCharType="separate"/>
      </w:r>
      <w:r>
        <w:rPr>
          <w:rFonts w:hint="eastAsia" w:ascii="宋体" w:hAnsi="宋体" w:eastAsia="宋体" w:cs="宋体"/>
          <w:sz w:val="22"/>
          <w:szCs w:val="24"/>
        </w:rPr>
        <w:t>1</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73DAF20F">
      <w:pPr>
        <w:pStyle w:val="12"/>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_Toc17414 </w:instrText>
      </w:r>
      <w:r>
        <w:rPr>
          <w:rFonts w:hint="eastAsia" w:ascii="宋体" w:hAnsi="宋体" w:eastAsia="宋体" w:cs="宋体"/>
          <w:sz w:val="22"/>
          <w:szCs w:val="22"/>
        </w:rPr>
        <w:fldChar w:fldCharType="separate"/>
      </w:r>
      <w:r>
        <w:rPr>
          <w:rFonts w:hint="eastAsia" w:ascii="宋体" w:hAnsi="宋体" w:eastAsia="宋体" w:cs="宋体"/>
          <w:sz w:val="22"/>
          <w:szCs w:val="24"/>
        </w:rPr>
        <w:t>3  术语和定义</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_Toc17414 \h </w:instrText>
      </w:r>
      <w:r>
        <w:rPr>
          <w:rFonts w:hint="eastAsia" w:ascii="宋体" w:hAnsi="宋体" w:eastAsia="宋体" w:cs="宋体"/>
          <w:sz w:val="22"/>
          <w:szCs w:val="24"/>
        </w:rPr>
        <w:fldChar w:fldCharType="separate"/>
      </w:r>
      <w:r>
        <w:rPr>
          <w:rFonts w:hint="eastAsia" w:ascii="宋体" w:hAnsi="宋体" w:eastAsia="宋体" w:cs="宋体"/>
          <w:sz w:val="22"/>
          <w:szCs w:val="24"/>
        </w:rPr>
        <w:t>2</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369B07A8">
      <w:pPr>
        <w:pStyle w:val="12"/>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_Toc28044 </w:instrText>
      </w:r>
      <w:r>
        <w:rPr>
          <w:rFonts w:hint="eastAsia" w:ascii="宋体" w:hAnsi="宋体" w:eastAsia="宋体" w:cs="宋体"/>
          <w:sz w:val="22"/>
          <w:szCs w:val="22"/>
        </w:rPr>
        <w:fldChar w:fldCharType="separate"/>
      </w:r>
      <w:r>
        <w:rPr>
          <w:rFonts w:hint="eastAsia" w:ascii="宋体" w:hAnsi="宋体" w:eastAsia="宋体" w:cs="宋体"/>
          <w:sz w:val="22"/>
          <w:szCs w:val="24"/>
        </w:rPr>
        <w:t xml:space="preserve">4  </w:t>
      </w:r>
      <w:r>
        <w:rPr>
          <w:rFonts w:hint="eastAsia" w:ascii="宋体" w:hAnsi="宋体" w:eastAsia="宋体" w:cs="宋体"/>
          <w:sz w:val="22"/>
          <w:szCs w:val="24"/>
          <w:lang w:val="en-US" w:eastAsia="zh-CN"/>
        </w:rPr>
        <w:t>系统设计和施工</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_Toc28044 \h </w:instrText>
      </w:r>
      <w:r>
        <w:rPr>
          <w:rFonts w:hint="eastAsia" w:ascii="宋体" w:hAnsi="宋体" w:eastAsia="宋体" w:cs="宋体"/>
          <w:sz w:val="22"/>
          <w:szCs w:val="24"/>
        </w:rPr>
        <w:fldChar w:fldCharType="separate"/>
      </w:r>
      <w:r>
        <w:rPr>
          <w:rFonts w:hint="eastAsia" w:ascii="宋体" w:hAnsi="宋体" w:eastAsia="宋体" w:cs="宋体"/>
          <w:sz w:val="22"/>
          <w:szCs w:val="24"/>
        </w:rPr>
        <w:t>3</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678FC369">
      <w:pPr>
        <w:pStyle w:val="14"/>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_Toc5147 </w:instrText>
      </w:r>
      <w:r>
        <w:rPr>
          <w:rFonts w:hint="eastAsia" w:ascii="宋体" w:hAnsi="宋体" w:eastAsia="宋体" w:cs="宋体"/>
          <w:sz w:val="22"/>
          <w:szCs w:val="22"/>
        </w:rPr>
        <w:fldChar w:fldCharType="separate"/>
      </w:r>
      <w:r>
        <w:rPr>
          <w:rFonts w:hint="eastAsia" w:ascii="宋体" w:hAnsi="宋体" w:eastAsia="宋体" w:cs="宋体"/>
          <w:sz w:val="22"/>
          <w:szCs w:val="22"/>
        </w:rPr>
        <w:t xml:space="preserve">4.1  </w:t>
      </w:r>
      <w:r>
        <w:rPr>
          <w:rFonts w:hint="eastAsia" w:ascii="宋体" w:hAnsi="宋体" w:eastAsia="宋体" w:cs="宋体"/>
          <w:sz w:val="22"/>
          <w:szCs w:val="22"/>
          <w:lang w:val="en-US" w:eastAsia="zh-CN"/>
        </w:rPr>
        <w:t>总体要求</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_Toc5147 \h </w:instrText>
      </w:r>
      <w:r>
        <w:rPr>
          <w:rFonts w:hint="eastAsia" w:ascii="宋体" w:hAnsi="宋体" w:eastAsia="宋体" w:cs="宋体"/>
          <w:sz w:val="22"/>
          <w:szCs w:val="24"/>
        </w:rPr>
        <w:fldChar w:fldCharType="separate"/>
      </w:r>
      <w:r>
        <w:rPr>
          <w:rFonts w:hint="eastAsia" w:ascii="宋体" w:hAnsi="宋体" w:eastAsia="宋体" w:cs="宋体"/>
          <w:sz w:val="22"/>
          <w:szCs w:val="24"/>
        </w:rPr>
        <w:t>3</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2E4C58F2">
      <w:pPr>
        <w:pStyle w:val="14"/>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_Toc14080 </w:instrText>
      </w:r>
      <w:r>
        <w:rPr>
          <w:rFonts w:hint="eastAsia" w:ascii="宋体" w:hAnsi="宋体" w:eastAsia="宋体" w:cs="宋体"/>
          <w:sz w:val="22"/>
          <w:szCs w:val="22"/>
        </w:rPr>
        <w:fldChar w:fldCharType="separate"/>
      </w:r>
      <w:r>
        <w:rPr>
          <w:rFonts w:hint="eastAsia" w:ascii="宋体" w:hAnsi="宋体" w:eastAsia="宋体" w:cs="宋体"/>
          <w:sz w:val="22"/>
          <w:szCs w:val="24"/>
          <w:lang w:val="en-US" w:eastAsia="zh-CN"/>
        </w:rPr>
        <w:t>4.2  视频安防监控系统</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_Toc14080 \h </w:instrText>
      </w:r>
      <w:r>
        <w:rPr>
          <w:rFonts w:hint="eastAsia" w:ascii="宋体" w:hAnsi="宋体" w:eastAsia="宋体" w:cs="宋体"/>
          <w:sz w:val="22"/>
          <w:szCs w:val="24"/>
        </w:rPr>
        <w:fldChar w:fldCharType="separate"/>
      </w:r>
      <w:r>
        <w:rPr>
          <w:rFonts w:hint="eastAsia" w:ascii="宋体" w:hAnsi="宋体" w:eastAsia="宋体" w:cs="宋体"/>
          <w:sz w:val="22"/>
          <w:szCs w:val="24"/>
        </w:rPr>
        <w:t>14</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536EBEFB">
      <w:pPr>
        <w:pStyle w:val="14"/>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_Toc19145 </w:instrText>
      </w:r>
      <w:r>
        <w:rPr>
          <w:rFonts w:hint="eastAsia" w:ascii="宋体" w:hAnsi="宋体" w:eastAsia="宋体" w:cs="宋体"/>
          <w:sz w:val="22"/>
          <w:szCs w:val="22"/>
        </w:rPr>
        <w:fldChar w:fldCharType="separate"/>
      </w:r>
      <w:r>
        <w:rPr>
          <w:rFonts w:hint="eastAsia" w:ascii="宋体" w:hAnsi="宋体" w:eastAsia="宋体" w:cs="宋体"/>
          <w:sz w:val="22"/>
          <w:szCs w:val="24"/>
          <w:lang w:val="en-US" w:eastAsia="zh-CN"/>
        </w:rPr>
        <w:t xml:space="preserve">4.3  </w:t>
      </w:r>
      <w:r>
        <w:rPr>
          <w:rFonts w:hint="eastAsia" w:ascii="宋体" w:hAnsi="宋体" w:eastAsia="宋体" w:cs="宋体"/>
          <w:sz w:val="22"/>
          <w:szCs w:val="24"/>
        </w:rPr>
        <w:t>⼊侵和紧急报警系统</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_Toc19145 \h </w:instrText>
      </w:r>
      <w:r>
        <w:rPr>
          <w:rFonts w:hint="eastAsia" w:ascii="宋体" w:hAnsi="宋体" w:eastAsia="宋体" w:cs="宋体"/>
          <w:sz w:val="22"/>
          <w:szCs w:val="24"/>
        </w:rPr>
        <w:fldChar w:fldCharType="separate"/>
      </w:r>
      <w:r>
        <w:rPr>
          <w:rFonts w:hint="eastAsia" w:ascii="宋体" w:hAnsi="宋体" w:eastAsia="宋体" w:cs="宋体"/>
          <w:sz w:val="22"/>
          <w:szCs w:val="24"/>
        </w:rPr>
        <w:t>15</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33E8EA62">
      <w:pPr>
        <w:pStyle w:val="14"/>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_Toc6513 </w:instrText>
      </w:r>
      <w:r>
        <w:rPr>
          <w:rFonts w:hint="eastAsia" w:ascii="宋体" w:hAnsi="宋体" w:eastAsia="宋体" w:cs="宋体"/>
          <w:sz w:val="22"/>
          <w:szCs w:val="22"/>
        </w:rPr>
        <w:fldChar w:fldCharType="separate"/>
      </w:r>
      <w:r>
        <w:rPr>
          <w:rFonts w:hint="eastAsia" w:ascii="宋体" w:hAnsi="宋体" w:eastAsia="宋体" w:cs="宋体"/>
          <w:sz w:val="22"/>
          <w:szCs w:val="24"/>
          <w:lang w:val="en-US" w:eastAsia="zh-CN"/>
        </w:rPr>
        <w:t xml:space="preserve">4.4  </w:t>
      </w:r>
      <w:r>
        <w:rPr>
          <w:rFonts w:hint="eastAsia" w:ascii="宋体" w:hAnsi="宋体" w:eastAsia="宋体" w:cs="宋体"/>
          <w:sz w:val="22"/>
          <w:szCs w:val="24"/>
        </w:rPr>
        <w:t>出⼊⼝控制系统</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_Toc6513 \h </w:instrText>
      </w:r>
      <w:r>
        <w:rPr>
          <w:rFonts w:hint="eastAsia" w:ascii="宋体" w:hAnsi="宋体" w:eastAsia="宋体" w:cs="宋体"/>
          <w:sz w:val="22"/>
          <w:szCs w:val="24"/>
        </w:rPr>
        <w:fldChar w:fldCharType="separate"/>
      </w:r>
      <w:r>
        <w:rPr>
          <w:rFonts w:hint="eastAsia" w:ascii="宋体" w:hAnsi="宋体" w:eastAsia="宋体" w:cs="宋体"/>
          <w:sz w:val="22"/>
          <w:szCs w:val="24"/>
        </w:rPr>
        <w:t>16</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7E3435B5">
      <w:pPr>
        <w:pStyle w:val="14"/>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_Toc20763 </w:instrText>
      </w:r>
      <w:r>
        <w:rPr>
          <w:rFonts w:hint="eastAsia" w:ascii="宋体" w:hAnsi="宋体" w:eastAsia="宋体" w:cs="宋体"/>
          <w:sz w:val="22"/>
          <w:szCs w:val="22"/>
        </w:rPr>
        <w:fldChar w:fldCharType="separate"/>
      </w:r>
      <w:r>
        <w:rPr>
          <w:rFonts w:hint="eastAsia" w:ascii="宋体" w:hAnsi="宋体" w:eastAsia="宋体" w:cs="宋体"/>
          <w:sz w:val="22"/>
          <w:szCs w:val="24"/>
          <w:lang w:val="en-US" w:eastAsia="zh-CN"/>
        </w:rPr>
        <w:t xml:space="preserve">4.5  </w:t>
      </w:r>
      <w:r>
        <w:rPr>
          <w:rFonts w:hint="eastAsia" w:ascii="宋体" w:hAnsi="宋体" w:eastAsia="宋体" w:cs="宋体"/>
          <w:sz w:val="22"/>
          <w:szCs w:val="24"/>
        </w:rPr>
        <w:t>声⾳复核装置</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_Toc20763 \h </w:instrText>
      </w:r>
      <w:r>
        <w:rPr>
          <w:rFonts w:hint="eastAsia" w:ascii="宋体" w:hAnsi="宋体" w:eastAsia="宋体" w:cs="宋体"/>
          <w:sz w:val="22"/>
          <w:szCs w:val="24"/>
        </w:rPr>
        <w:fldChar w:fldCharType="separate"/>
      </w:r>
      <w:r>
        <w:rPr>
          <w:rFonts w:hint="eastAsia" w:ascii="宋体" w:hAnsi="宋体" w:eastAsia="宋体" w:cs="宋体"/>
          <w:sz w:val="22"/>
          <w:szCs w:val="24"/>
        </w:rPr>
        <w:t>17</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296BFFE0">
      <w:pPr>
        <w:pStyle w:val="14"/>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_Toc14888 </w:instrText>
      </w:r>
      <w:r>
        <w:rPr>
          <w:rFonts w:hint="eastAsia" w:ascii="宋体" w:hAnsi="宋体" w:eastAsia="宋体" w:cs="宋体"/>
          <w:sz w:val="22"/>
          <w:szCs w:val="22"/>
        </w:rPr>
        <w:fldChar w:fldCharType="separate"/>
      </w:r>
      <w:r>
        <w:rPr>
          <w:rFonts w:hint="eastAsia" w:ascii="宋体" w:hAnsi="宋体" w:eastAsia="宋体" w:cs="宋体"/>
          <w:sz w:val="22"/>
          <w:szCs w:val="24"/>
          <w:lang w:val="en-US" w:eastAsia="zh-CN"/>
        </w:rPr>
        <w:t xml:space="preserve">4.6  </w:t>
      </w:r>
      <w:r>
        <w:rPr>
          <w:rFonts w:hint="eastAsia" w:ascii="宋体" w:hAnsi="宋体" w:eastAsia="宋体" w:cs="宋体"/>
          <w:sz w:val="22"/>
          <w:szCs w:val="24"/>
        </w:rPr>
        <w:t>电⼦巡检系统</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_Toc14888 \h </w:instrText>
      </w:r>
      <w:r>
        <w:rPr>
          <w:rFonts w:hint="eastAsia" w:ascii="宋体" w:hAnsi="宋体" w:eastAsia="宋体" w:cs="宋体"/>
          <w:sz w:val="22"/>
          <w:szCs w:val="24"/>
        </w:rPr>
        <w:fldChar w:fldCharType="separate"/>
      </w:r>
      <w:r>
        <w:rPr>
          <w:rFonts w:hint="eastAsia" w:ascii="宋体" w:hAnsi="宋体" w:eastAsia="宋体" w:cs="宋体"/>
          <w:sz w:val="22"/>
          <w:szCs w:val="24"/>
        </w:rPr>
        <w:t>17</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7AAFEC23">
      <w:pPr>
        <w:pStyle w:val="14"/>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_Toc7698 </w:instrText>
      </w:r>
      <w:r>
        <w:rPr>
          <w:rFonts w:hint="eastAsia" w:ascii="宋体" w:hAnsi="宋体" w:eastAsia="宋体" w:cs="宋体"/>
          <w:sz w:val="22"/>
          <w:szCs w:val="22"/>
        </w:rPr>
        <w:fldChar w:fldCharType="separate"/>
      </w:r>
      <w:r>
        <w:rPr>
          <w:rFonts w:hint="eastAsia" w:ascii="宋体" w:hAnsi="宋体" w:eastAsia="宋体" w:cs="宋体"/>
          <w:sz w:val="22"/>
          <w:szCs w:val="24"/>
          <w:lang w:val="en-US" w:eastAsia="zh-CN"/>
        </w:rPr>
        <w:t xml:space="preserve">4.7  </w:t>
      </w:r>
      <w:r>
        <w:rPr>
          <w:rFonts w:hint="eastAsia" w:ascii="宋体" w:hAnsi="宋体" w:eastAsia="宋体" w:cs="宋体"/>
          <w:sz w:val="22"/>
          <w:szCs w:val="24"/>
        </w:rPr>
        <w:t>专⽤通讯系统</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_Toc7698 \h </w:instrText>
      </w:r>
      <w:r>
        <w:rPr>
          <w:rFonts w:hint="eastAsia" w:ascii="宋体" w:hAnsi="宋体" w:eastAsia="宋体" w:cs="宋体"/>
          <w:sz w:val="22"/>
          <w:szCs w:val="24"/>
        </w:rPr>
        <w:fldChar w:fldCharType="separate"/>
      </w:r>
      <w:r>
        <w:rPr>
          <w:rFonts w:hint="eastAsia" w:ascii="宋体" w:hAnsi="宋体" w:eastAsia="宋体" w:cs="宋体"/>
          <w:sz w:val="22"/>
          <w:szCs w:val="24"/>
        </w:rPr>
        <w:t>17</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2050DFBF">
      <w:pPr>
        <w:pStyle w:val="14"/>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_Toc26512 </w:instrText>
      </w:r>
      <w:r>
        <w:rPr>
          <w:rFonts w:hint="eastAsia" w:ascii="宋体" w:hAnsi="宋体" w:eastAsia="宋体" w:cs="宋体"/>
          <w:sz w:val="22"/>
          <w:szCs w:val="22"/>
        </w:rPr>
        <w:fldChar w:fldCharType="separate"/>
      </w:r>
      <w:r>
        <w:rPr>
          <w:rFonts w:hint="eastAsia" w:ascii="宋体" w:hAnsi="宋体" w:eastAsia="宋体" w:cs="宋体"/>
          <w:sz w:val="22"/>
          <w:szCs w:val="24"/>
          <w:lang w:val="en-US" w:eastAsia="zh-CN"/>
        </w:rPr>
        <w:t xml:space="preserve">4.8  </w:t>
      </w:r>
      <w:r>
        <w:rPr>
          <w:rFonts w:hint="eastAsia" w:ascii="宋体" w:hAnsi="宋体" w:eastAsia="宋体" w:cs="宋体"/>
          <w:sz w:val="22"/>
          <w:szCs w:val="24"/>
        </w:rPr>
        <w:t>安防中⼼控制室</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_Toc26512 \h </w:instrText>
      </w:r>
      <w:r>
        <w:rPr>
          <w:rFonts w:hint="eastAsia" w:ascii="宋体" w:hAnsi="宋体" w:eastAsia="宋体" w:cs="宋体"/>
          <w:sz w:val="22"/>
          <w:szCs w:val="24"/>
        </w:rPr>
        <w:fldChar w:fldCharType="separate"/>
      </w:r>
      <w:r>
        <w:rPr>
          <w:rFonts w:hint="eastAsia" w:ascii="宋体" w:hAnsi="宋体" w:eastAsia="宋体" w:cs="宋体"/>
          <w:sz w:val="22"/>
          <w:szCs w:val="24"/>
        </w:rPr>
        <w:t>17</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0ED88DD6">
      <w:pPr>
        <w:pStyle w:val="14"/>
        <w:tabs>
          <w:tab w:val="right" w:leader="dot" w:pos="9355"/>
        </w:tabs>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_Toc29718 </w:instrText>
      </w:r>
      <w:r>
        <w:rPr>
          <w:rFonts w:hint="eastAsia" w:ascii="宋体" w:hAnsi="宋体" w:eastAsia="宋体" w:cs="宋体"/>
          <w:sz w:val="22"/>
          <w:szCs w:val="22"/>
        </w:rPr>
        <w:fldChar w:fldCharType="separate"/>
      </w:r>
      <w:r>
        <w:rPr>
          <w:rFonts w:hint="eastAsia" w:ascii="宋体" w:hAnsi="宋体" w:eastAsia="宋体" w:cs="宋体"/>
          <w:sz w:val="22"/>
          <w:szCs w:val="24"/>
          <w:lang w:val="en-US" w:eastAsia="zh-CN"/>
        </w:rPr>
        <w:t xml:space="preserve">4.9  </w:t>
      </w:r>
      <w:r>
        <w:rPr>
          <w:rFonts w:hint="eastAsia" w:ascii="宋体" w:hAnsi="宋体" w:eastAsia="宋体" w:cs="宋体"/>
          <w:sz w:val="22"/>
          <w:szCs w:val="24"/>
        </w:rPr>
        <w:t>实体防护装置</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_Toc29718 \h </w:instrText>
      </w:r>
      <w:r>
        <w:rPr>
          <w:rFonts w:hint="eastAsia" w:ascii="宋体" w:hAnsi="宋体" w:eastAsia="宋体" w:cs="宋体"/>
          <w:sz w:val="22"/>
          <w:szCs w:val="24"/>
        </w:rPr>
        <w:fldChar w:fldCharType="separate"/>
      </w:r>
      <w:r>
        <w:rPr>
          <w:rFonts w:hint="eastAsia" w:ascii="宋体" w:hAnsi="宋体" w:eastAsia="宋体" w:cs="宋体"/>
          <w:sz w:val="22"/>
          <w:szCs w:val="24"/>
        </w:rPr>
        <w:t>18</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4FAA371E">
      <w:pPr>
        <w:rPr>
          <w:rFonts w:hint="default" w:eastAsia="宋体"/>
          <w:lang w:val="en-US" w:eastAsia="zh-CN"/>
        </w:rPr>
      </w:pPr>
      <w:r>
        <w:rPr>
          <w:rFonts w:hint="eastAsia" w:eastAsia="宋体"/>
          <w:lang w:val="en-US" w:eastAsia="zh-CN"/>
        </w:rPr>
        <w:t xml:space="preserve">5  </w:t>
      </w:r>
      <w:r>
        <w:rPr>
          <w:rFonts w:hint="eastAsia" w:ascii="宋体" w:hAnsi="宋体" w:eastAsia="宋体" w:cs="宋体"/>
          <w:kern w:val="2"/>
          <w:sz w:val="22"/>
          <w:szCs w:val="24"/>
          <w:lang w:val="en-US" w:eastAsia="zh-CN" w:bidi="ar-SA"/>
        </w:rPr>
        <w:t>人力防范机构设置 ..............................................................</w:t>
      </w:r>
      <w:bookmarkStart w:id="19" w:name="_GoBack"/>
      <w:bookmarkEnd w:id="19"/>
      <w:r>
        <w:rPr>
          <w:rFonts w:hint="eastAsia" w:ascii="宋体" w:hAnsi="宋体" w:eastAsia="宋体" w:cs="宋体"/>
          <w:kern w:val="2"/>
          <w:sz w:val="22"/>
          <w:szCs w:val="24"/>
          <w:lang w:val="en-US" w:eastAsia="zh-CN" w:bidi="ar-SA"/>
        </w:rPr>
        <w:t>.18</w:t>
      </w:r>
    </w:p>
    <w:p w14:paraId="33B4A760">
      <w:pPr>
        <w:pStyle w:val="12"/>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_Toc31091 </w:instrText>
      </w:r>
      <w:r>
        <w:rPr>
          <w:rFonts w:hint="eastAsia" w:ascii="宋体" w:hAnsi="宋体" w:eastAsia="宋体" w:cs="宋体"/>
          <w:sz w:val="22"/>
          <w:szCs w:val="22"/>
        </w:rPr>
        <w:fldChar w:fldCharType="separate"/>
      </w:r>
      <w:r>
        <w:rPr>
          <w:rFonts w:hint="eastAsia" w:ascii="宋体" w:hAnsi="宋体" w:eastAsia="宋体" w:cs="宋体"/>
          <w:sz w:val="22"/>
          <w:szCs w:val="22"/>
          <w:lang w:val="en-US" w:eastAsia="zh-CN"/>
        </w:rPr>
        <w:t>6</w:t>
      </w:r>
      <w:r>
        <w:rPr>
          <w:rFonts w:hint="eastAsia" w:ascii="宋体" w:hAnsi="宋体" w:eastAsia="宋体" w:cs="宋体"/>
          <w:sz w:val="22"/>
          <w:szCs w:val="24"/>
          <w:lang w:val="en-US" w:eastAsia="zh-CN"/>
        </w:rPr>
        <w:t xml:space="preserve">  评审、检验、验收和运营维护要求</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_Toc31091 \h </w:instrText>
      </w:r>
      <w:r>
        <w:rPr>
          <w:rFonts w:hint="eastAsia" w:ascii="宋体" w:hAnsi="宋体" w:eastAsia="宋体" w:cs="宋体"/>
          <w:sz w:val="22"/>
          <w:szCs w:val="24"/>
        </w:rPr>
        <w:fldChar w:fldCharType="separate"/>
      </w:r>
      <w:r>
        <w:rPr>
          <w:rFonts w:hint="eastAsia" w:ascii="宋体" w:hAnsi="宋体" w:eastAsia="宋体" w:cs="宋体"/>
          <w:sz w:val="22"/>
          <w:szCs w:val="24"/>
        </w:rPr>
        <w:t>18</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46A0966A">
      <w:pPr>
        <w:pStyle w:val="12"/>
        <w:tabs>
          <w:tab w:val="right" w:leader="dot" w:pos="9355"/>
        </w:tabs>
        <w:rPr>
          <w:rFonts w:hint="eastAsia" w:ascii="宋体" w:hAnsi="宋体" w:eastAsia="宋体" w:cs="宋体"/>
          <w:sz w:val="22"/>
          <w:szCs w:val="24"/>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_Toc30401 </w:instrText>
      </w:r>
      <w:r>
        <w:rPr>
          <w:rFonts w:hint="eastAsia" w:ascii="宋体" w:hAnsi="宋体" w:eastAsia="宋体" w:cs="宋体"/>
          <w:sz w:val="22"/>
          <w:szCs w:val="22"/>
        </w:rPr>
        <w:fldChar w:fldCharType="separate"/>
      </w:r>
      <w:r>
        <w:rPr>
          <w:rFonts w:hint="eastAsia" w:ascii="宋体" w:hAnsi="宋体" w:eastAsia="宋体" w:cs="宋体"/>
          <w:sz w:val="22"/>
          <w:szCs w:val="22"/>
        </w:rPr>
        <w:t>附  录  A</w:t>
      </w:r>
      <w:r>
        <w:rPr>
          <w:rFonts w:hint="eastAsia" w:ascii="宋体" w:hAnsi="宋体" w:eastAsia="宋体" w:cs="宋体"/>
          <w:sz w:val="22"/>
          <w:szCs w:val="24"/>
        </w:rPr>
        <w:tab/>
      </w:r>
      <w:r>
        <w:rPr>
          <w:rFonts w:hint="eastAsia" w:ascii="宋体" w:hAnsi="宋体" w:eastAsia="宋体" w:cs="宋体"/>
          <w:sz w:val="22"/>
          <w:szCs w:val="24"/>
        </w:rPr>
        <w:fldChar w:fldCharType="begin"/>
      </w:r>
      <w:r>
        <w:rPr>
          <w:rFonts w:hint="eastAsia" w:ascii="宋体" w:hAnsi="宋体" w:eastAsia="宋体" w:cs="宋体"/>
          <w:sz w:val="22"/>
          <w:szCs w:val="24"/>
        </w:rPr>
        <w:instrText xml:space="preserve"> PAGEREF _Toc30401 \h </w:instrText>
      </w:r>
      <w:r>
        <w:rPr>
          <w:rFonts w:hint="eastAsia" w:ascii="宋体" w:hAnsi="宋体" w:eastAsia="宋体" w:cs="宋体"/>
          <w:sz w:val="22"/>
          <w:szCs w:val="24"/>
        </w:rPr>
        <w:fldChar w:fldCharType="separate"/>
      </w:r>
      <w:r>
        <w:rPr>
          <w:rFonts w:hint="eastAsia" w:ascii="宋体" w:hAnsi="宋体" w:eastAsia="宋体" w:cs="宋体"/>
          <w:sz w:val="22"/>
          <w:szCs w:val="24"/>
        </w:rPr>
        <w:t>19</w:t>
      </w:r>
      <w:r>
        <w:rPr>
          <w:rFonts w:hint="eastAsia" w:ascii="宋体" w:hAnsi="宋体" w:eastAsia="宋体" w:cs="宋体"/>
          <w:sz w:val="22"/>
          <w:szCs w:val="24"/>
        </w:rPr>
        <w:fldChar w:fldCharType="end"/>
      </w:r>
      <w:r>
        <w:rPr>
          <w:rFonts w:hint="eastAsia" w:ascii="宋体" w:hAnsi="宋体" w:eastAsia="宋体" w:cs="宋体"/>
          <w:sz w:val="22"/>
          <w:szCs w:val="22"/>
        </w:rPr>
        <w:fldChar w:fldCharType="end"/>
      </w:r>
    </w:p>
    <w:p w14:paraId="7DAEC46E">
      <w:pPr>
        <w:snapToGrid w:val="0"/>
        <w:jc w:val="left"/>
        <w:rPr>
          <w:rFonts w:hint="eastAsia" w:ascii="宋体" w:hAnsi="宋体" w:eastAsia="宋体" w:cs="宋体"/>
          <w:sz w:val="22"/>
          <w:szCs w:val="22"/>
        </w:rPr>
      </w:pPr>
      <w:r>
        <w:rPr>
          <w:rFonts w:hint="eastAsia" w:ascii="宋体" w:hAnsi="宋体" w:eastAsia="宋体" w:cs="宋体"/>
          <w:sz w:val="22"/>
          <w:szCs w:val="22"/>
        </w:rPr>
        <w:fldChar w:fldCharType="end"/>
      </w:r>
    </w:p>
    <w:p w14:paraId="473121E2">
      <w:pPr>
        <w:snapToGrid w:val="0"/>
        <w:jc w:val="left"/>
        <w:rPr>
          <w:rFonts w:asciiTheme="minorEastAsia" w:hAnsiTheme="minorEastAsia"/>
          <w:szCs w:val="21"/>
        </w:rPr>
      </w:pPr>
    </w:p>
    <w:p w14:paraId="1D91AAAE">
      <w:pPr>
        <w:snapToGrid w:val="0"/>
        <w:jc w:val="left"/>
        <w:rPr>
          <w:rFonts w:asciiTheme="minorEastAsia" w:hAnsiTheme="minorEastAsia"/>
          <w:szCs w:val="21"/>
        </w:rPr>
      </w:pPr>
    </w:p>
    <w:p w14:paraId="2B3CCF3A">
      <w:pPr>
        <w:snapToGrid w:val="0"/>
        <w:jc w:val="left"/>
        <w:rPr>
          <w:rFonts w:asciiTheme="minorEastAsia" w:hAnsiTheme="minorEastAsia"/>
          <w:szCs w:val="21"/>
        </w:rPr>
      </w:pPr>
    </w:p>
    <w:p w14:paraId="76B1337A">
      <w:pPr>
        <w:snapToGrid w:val="0"/>
        <w:jc w:val="left"/>
        <w:rPr>
          <w:rFonts w:asciiTheme="minorEastAsia" w:hAnsiTheme="minorEastAsia"/>
          <w:szCs w:val="21"/>
        </w:rPr>
      </w:pPr>
    </w:p>
    <w:p w14:paraId="05C230B6">
      <w:pPr>
        <w:snapToGrid w:val="0"/>
        <w:jc w:val="left"/>
        <w:rPr>
          <w:rFonts w:asciiTheme="minorEastAsia" w:hAnsiTheme="minorEastAsia"/>
          <w:szCs w:val="21"/>
        </w:rPr>
      </w:pPr>
    </w:p>
    <w:p w14:paraId="2928D1B6">
      <w:pPr>
        <w:snapToGrid w:val="0"/>
        <w:jc w:val="left"/>
        <w:rPr>
          <w:rFonts w:asciiTheme="minorEastAsia" w:hAnsiTheme="minorEastAsia"/>
          <w:szCs w:val="21"/>
        </w:rPr>
      </w:pPr>
    </w:p>
    <w:p w14:paraId="7353F6B9">
      <w:pPr>
        <w:snapToGrid w:val="0"/>
        <w:jc w:val="left"/>
        <w:rPr>
          <w:rFonts w:asciiTheme="minorEastAsia" w:hAnsiTheme="minorEastAsia"/>
          <w:szCs w:val="21"/>
        </w:rPr>
      </w:pPr>
    </w:p>
    <w:p w14:paraId="19E14F4F">
      <w:pPr>
        <w:snapToGrid w:val="0"/>
        <w:jc w:val="left"/>
        <w:rPr>
          <w:rFonts w:asciiTheme="minorEastAsia" w:hAnsiTheme="minorEastAsia"/>
          <w:szCs w:val="21"/>
        </w:rPr>
      </w:pPr>
    </w:p>
    <w:p w14:paraId="7A226690">
      <w:pPr>
        <w:snapToGrid w:val="0"/>
        <w:jc w:val="left"/>
        <w:rPr>
          <w:rFonts w:asciiTheme="minorEastAsia" w:hAnsiTheme="minorEastAsia"/>
          <w:szCs w:val="21"/>
        </w:rPr>
      </w:pPr>
    </w:p>
    <w:p w14:paraId="4F0C6CD7">
      <w:pPr>
        <w:snapToGrid w:val="0"/>
        <w:jc w:val="left"/>
        <w:rPr>
          <w:rFonts w:asciiTheme="minorEastAsia" w:hAnsiTheme="minorEastAsia"/>
          <w:szCs w:val="21"/>
        </w:rPr>
      </w:pPr>
    </w:p>
    <w:p w14:paraId="6EF4FB44">
      <w:pPr>
        <w:snapToGrid w:val="0"/>
        <w:jc w:val="left"/>
        <w:rPr>
          <w:rFonts w:asciiTheme="minorEastAsia" w:hAnsiTheme="minorEastAsia"/>
          <w:szCs w:val="21"/>
        </w:rPr>
      </w:pPr>
    </w:p>
    <w:p w14:paraId="5D691F03">
      <w:pPr>
        <w:snapToGrid w:val="0"/>
        <w:jc w:val="left"/>
        <w:rPr>
          <w:rFonts w:asciiTheme="minorEastAsia" w:hAnsiTheme="minorEastAsia"/>
          <w:szCs w:val="21"/>
        </w:rPr>
      </w:pPr>
    </w:p>
    <w:p w14:paraId="1A263F4E">
      <w:pPr>
        <w:widowControl/>
        <w:jc w:val="left"/>
        <w:rPr>
          <w:rFonts w:asciiTheme="minorEastAsia" w:hAnsiTheme="minorEastAsia"/>
          <w:szCs w:val="21"/>
        </w:rPr>
      </w:pPr>
      <w:r>
        <w:rPr>
          <w:rFonts w:asciiTheme="minorEastAsia" w:hAnsiTheme="minorEastAsia"/>
          <w:szCs w:val="21"/>
        </w:rPr>
        <w:br w:type="page"/>
      </w:r>
    </w:p>
    <w:p w14:paraId="2C5A303E">
      <w:pPr>
        <w:pStyle w:val="16"/>
        <w:spacing w:before="691" w:after="520"/>
        <w:rPr>
          <w:rFonts w:ascii="黑体" w:hAnsi="黑体" w:eastAsia="黑体"/>
          <w:b w:val="0"/>
        </w:rPr>
      </w:pPr>
      <w:bookmarkStart w:id="0" w:name="_Toc24274"/>
      <w:r>
        <w:rPr>
          <w:rFonts w:hint="eastAsia" w:ascii="黑体" w:hAnsi="黑体" w:eastAsia="黑体"/>
          <w:b w:val="0"/>
        </w:rPr>
        <w:t>前    言</w:t>
      </w:r>
      <w:bookmarkEnd w:id="0"/>
    </w:p>
    <w:p w14:paraId="161B95C3">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lang w:val="en-US" w:eastAsia="zh-CN"/>
        </w:rPr>
        <w:t xml:space="preserve">本文件按照GB/T 1.1—2020《标准化工作导则 第1部分：标准化文件的结构和起草规则》的规定 </w:t>
      </w:r>
    </w:p>
    <w:p w14:paraId="26F40D66">
      <w:pPr>
        <w:snapToGrid w:val="0"/>
        <w:rPr>
          <w:rFonts w:hint="eastAsia" w:ascii="宋体" w:hAnsi="宋体" w:eastAsia="宋体" w:cs="宋体"/>
          <w:kern w:val="0"/>
          <w:szCs w:val="21"/>
        </w:rPr>
      </w:pPr>
      <w:r>
        <w:rPr>
          <w:rFonts w:hint="eastAsia" w:ascii="宋体" w:hAnsi="宋体" w:eastAsia="宋体" w:cs="宋体"/>
          <w:kern w:val="0"/>
          <w:szCs w:val="21"/>
          <w:lang w:val="en-US" w:eastAsia="zh-CN"/>
        </w:rPr>
        <w:t xml:space="preserve">起草。 </w:t>
      </w:r>
    </w:p>
    <w:p w14:paraId="6025539C">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lang w:val="en-US" w:eastAsia="zh-CN"/>
        </w:rPr>
        <w:t>请注意本文件的某些内容可能涉及专利。本文件的发布机构不承担识别这些专利的责任。</w:t>
      </w:r>
    </w:p>
    <w:p w14:paraId="3311B830">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本文件由</w:t>
      </w:r>
      <w:r>
        <w:rPr>
          <w:rFonts w:hint="eastAsia" w:ascii="宋体" w:hAnsi="宋体" w:eastAsia="宋体" w:cs="宋体"/>
          <w:kern w:val="0"/>
          <w:szCs w:val="21"/>
          <w:lang w:val="en-US" w:eastAsia="zh-CN"/>
        </w:rPr>
        <w:t>苏州市文化广电和旅游局</w:t>
      </w:r>
      <w:r>
        <w:rPr>
          <w:rFonts w:hint="eastAsia" w:ascii="宋体" w:hAnsi="宋体" w:eastAsia="宋体" w:cs="宋体"/>
          <w:kern w:val="0"/>
          <w:szCs w:val="21"/>
        </w:rPr>
        <w:t>提出，归口</w:t>
      </w:r>
      <w:r>
        <w:rPr>
          <w:rFonts w:hint="eastAsia" w:ascii="宋体" w:hAnsi="宋体" w:eastAsia="宋体" w:cs="宋体"/>
          <w:kern w:val="0"/>
          <w:szCs w:val="21"/>
          <w:lang w:val="en-US" w:eastAsia="zh-CN"/>
        </w:rPr>
        <w:t>并组织实施</w:t>
      </w:r>
      <w:r>
        <w:rPr>
          <w:rFonts w:hint="eastAsia" w:ascii="宋体" w:hAnsi="宋体" w:eastAsia="宋体" w:cs="宋体"/>
          <w:kern w:val="0"/>
          <w:szCs w:val="21"/>
        </w:rPr>
        <w:t>。</w:t>
      </w:r>
    </w:p>
    <w:p w14:paraId="44678B8B">
      <w:pP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本文件起草单位：</w:t>
      </w:r>
      <w:r>
        <w:rPr>
          <w:rFonts w:hint="default" w:ascii="宋体" w:hAnsi="宋体" w:eastAsia="宋体" w:cs="宋体"/>
          <w:kern w:val="0"/>
          <w:szCs w:val="21"/>
          <w:lang w:val="en-US" w:eastAsia="zh-CN"/>
        </w:rPr>
        <w:t>苏州博物馆、苏州图书馆</w:t>
      </w:r>
      <w:r>
        <w:rPr>
          <w:rFonts w:hint="eastAsia" w:ascii="宋体" w:hAnsi="宋体" w:eastAsia="宋体" w:cs="宋体"/>
          <w:kern w:val="0"/>
          <w:szCs w:val="21"/>
          <w:lang w:val="en-US" w:eastAsia="zh-CN"/>
        </w:rPr>
        <w:t>、苏州市公共文化中心、苏州市体育局、苏州市市民健身中心、苏州嘉华计算机系统工程有限公司、苏州疆吉安全技术有限公司、苏州中亿丰科技有限公司、苏州三百九十桥企业管理咨询有限公司、昆山长盈精密技术有限公司</w:t>
      </w:r>
      <w:r>
        <w:rPr>
          <w:rFonts w:hint="eastAsia" w:ascii="宋体" w:hAnsi="宋体" w:eastAsia="宋体" w:cs="宋体"/>
          <w:kern w:val="0"/>
          <w:szCs w:val="21"/>
        </w:rPr>
        <w:t>。</w:t>
      </w:r>
    </w:p>
    <w:p w14:paraId="15436FC3">
      <w:pPr>
        <w:snapToGrid w:val="0"/>
        <w:ind w:firstLine="420" w:firstLineChars="200"/>
        <w:rPr>
          <w:rFonts w:hint="default" w:ascii="宋体" w:hAnsi="宋体" w:eastAsia="宋体" w:cs="宋体"/>
          <w:kern w:val="0"/>
          <w:sz w:val="28"/>
          <w:szCs w:val="21"/>
          <w:lang w:val="en-US"/>
        </w:rPr>
      </w:pPr>
      <w:r>
        <w:rPr>
          <w:rFonts w:hint="eastAsia" w:ascii="宋体" w:hAnsi="宋体" w:eastAsia="宋体" w:cs="宋体"/>
          <w:kern w:val="0"/>
          <w:szCs w:val="21"/>
        </w:rPr>
        <w:t>本文件主要起草人：</w:t>
      </w:r>
      <w:r>
        <w:rPr>
          <w:rFonts w:hint="eastAsia" w:ascii="宋体" w:hAnsi="宋体" w:eastAsia="宋体" w:cs="宋体"/>
          <w:kern w:val="0"/>
          <w:szCs w:val="21"/>
          <w:lang w:val="en-US" w:eastAsia="zh-CN"/>
        </w:rPr>
        <w:t>刘鸣  汪清 黄溢琦 张世光 沈宇豪 范伟宏 殷永军 邢琛 邢夫敏 王磊 陈海舰 吉晓波 周斌 张永伟 吴金男。</w:t>
      </w:r>
    </w:p>
    <w:p w14:paraId="72EB4E75">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本文件为首次发布。</w:t>
      </w:r>
    </w:p>
    <w:p w14:paraId="1876E7C3">
      <w:pPr>
        <w:snapToGrid w:val="0"/>
        <w:ind w:firstLine="420" w:firstLineChars="200"/>
        <w:rPr>
          <w:rFonts w:ascii="宋体" w:hAnsi="宋体" w:eastAsia="宋体" w:cs="宋体"/>
          <w:kern w:val="0"/>
          <w:szCs w:val="21"/>
        </w:rPr>
      </w:pPr>
    </w:p>
    <w:p w14:paraId="7BE5440D">
      <w:pPr>
        <w:snapToGrid w:val="0"/>
        <w:ind w:firstLine="420" w:firstLineChars="200"/>
        <w:rPr>
          <w:rFonts w:ascii="宋体" w:hAnsi="宋体" w:eastAsia="宋体" w:cs="宋体"/>
          <w:kern w:val="0"/>
          <w:szCs w:val="21"/>
        </w:rPr>
      </w:pPr>
    </w:p>
    <w:p w14:paraId="7376334F">
      <w:pPr>
        <w:snapToGrid w:val="0"/>
        <w:ind w:firstLine="420" w:firstLineChars="200"/>
        <w:rPr>
          <w:rFonts w:ascii="宋体" w:hAnsi="宋体" w:eastAsia="宋体" w:cs="宋体"/>
          <w:kern w:val="0"/>
          <w:szCs w:val="21"/>
        </w:rPr>
      </w:pPr>
    </w:p>
    <w:p w14:paraId="040C57B1">
      <w:pPr>
        <w:snapToGrid w:val="0"/>
        <w:ind w:firstLine="420" w:firstLineChars="200"/>
        <w:rPr>
          <w:rFonts w:ascii="宋体" w:hAnsi="宋体" w:eastAsia="宋体" w:cs="宋体"/>
          <w:kern w:val="0"/>
          <w:szCs w:val="21"/>
        </w:rPr>
      </w:pPr>
    </w:p>
    <w:p w14:paraId="6E604275">
      <w:pPr>
        <w:snapToGrid w:val="0"/>
        <w:ind w:firstLine="420" w:firstLineChars="200"/>
        <w:rPr>
          <w:rFonts w:ascii="宋体" w:hAnsi="宋体" w:eastAsia="宋体" w:cs="宋体"/>
          <w:kern w:val="0"/>
          <w:szCs w:val="21"/>
        </w:rPr>
      </w:pPr>
    </w:p>
    <w:p w14:paraId="6891F63F">
      <w:pPr>
        <w:snapToGrid w:val="0"/>
        <w:ind w:firstLine="420" w:firstLineChars="200"/>
        <w:rPr>
          <w:rFonts w:ascii="宋体" w:hAnsi="宋体" w:eastAsia="宋体" w:cs="宋体"/>
          <w:kern w:val="0"/>
          <w:szCs w:val="21"/>
        </w:rPr>
      </w:pPr>
    </w:p>
    <w:p w14:paraId="04DC328C">
      <w:pPr>
        <w:snapToGrid w:val="0"/>
        <w:ind w:firstLine="420" w:firstLineChars="200"/>
        <w:rPr>
          <w:rFonts w:ascii="宋体" w:hAnsi="宋体" w:eastAsia="宋体" w:cs="宋体"/>
          <w:kern w:val="0"/>
          <w:szCs w:val="21"/>
        </w:rPr>
      </w:pPr>
    </w:p>
    <w:p w14:paraId="2C20B47C">
      <w:pPr>
        <w:snapToGrid w:val="0"/>
        <w:ind w:firstLine="420" w:firstLineChars="200"/>
        <w:rPr>
          <w:rFonts w:ascii="宋体" w:hAnsi="宋体" w:eastAsia="宋体" w:cs="宋体"/>
          <w:kern w:val="0"/>
          <w:szCs w:val="21"/>
        </w:rPr>
      </w:pPr>
    </w:p>
    <w:p w14:paraId="3EAFD5C4">
      <w:pPr>
        <w:snapToGrid w:val="0"/>
        <w:ind w:firstLine="420" w:firstLineChars="200"/>
        <w:rPr>
          <w:rFonts w:ascii="宋体" w:hAnsi="宋体" w:eastAsia="宋体" w:cs="宋体"/>
          <w:kern w:val="0"/>
          <w:szCs w:val="21"/>
        </w:rPr>
      </w:pPr>
    </w:p>
    <w:p w14:paraId="7A45F81E">
      <w:pPr>
        <w:snapToGrid w:val="0"/>
        <w:ind w:firstLine="420" w:firstLineChars="200"/>
        <w:rPr>
          <w:rFonts w:ascii="宋体" w:hAnsi="宋体" w:eastAsia="宋体" w:cs="宋体"/>
          <w:kern w:val="0"/>
          <w:szCs w:val="21"/>
        </w:rPr>
      </w:pPr>
    </w:p>
    <w:p w14:paraId="6F6CEC2A">
      <w:pPr>
        <w:snapToGrid w:val="0"/>
        <w:ind w:firstLine="420" w:firstLineChars="200"/>
        <w:rPr>
          <w:rFonts w:ascii="宋体" w:hAnsi="宋体" w:eastAsia="宋体" w:cs="宋体"/>
          <w:kern w:val="0"/>
          <w:szCs w:val="21"/>
        </w:rPr>
      </w:pPr>
    </w:p>
    <w:p w14:paraId="41BDBAA3">
      <w:pPr>
        <w:snapToGrid w:val="0"/>
        <w:ind w:firstLine="420" w:firstLineChars="200"/>
        <w:rPr>
          <w:rFonts w:ascii="宋体" w:hAnsi="宋体" w:eastAsia="宋体" w:cs="宋体"/>
          <w:kern w:val="0"/>
          <w:szCs w:val="21"/>
        </w:rPr>
      </w:pPr>
    </w:p>
    <w:p w14:paraId="30B429B5">
      <w:pPr>
        <w:snapToGrid w:val="0"/>
        <w:ind w:firstLine="420" w:firstLineChars="200"/>
        <w:rPr>
          <w:rFonts w:ascii="宋体" w:hAnsi="宋体" w:eastAsia="宋体" w:cs="宋体"/>
          <w:kern w:val="0"/>
          <w:szCs w:val="21"/>
        </w:rPr>
      </w:pPr>
    </w:p>
    <w:p w14:paraId="0E833DFD">
      <w:pPr>
        <w:snapToGrid w:val="0"/>
        <w:ind w:firstLine="420" w:firstLineChars="200"/>
        <w:rPr>
          <w:rFonts w:ascii="宋体" w:hAnsi="宋体" w:eastAsia="宋体" w:cs="宋体"/>
          <w:kern w:val="0"/>
          <w:szCs w:val="21"/>
        </w:rPr>
      </w:pPr>
    </w:p>
    <w:p w14:paraId="2B731127">
      <w:pPr>
        <w:snapToGrid w:val="0"/>
        <w:ind w:firstLine="420" w:firstLineChars="200"/>
        <w:rPr>
          <w:rFonts w:ascii="宋体" w:hAnsi="宋体" w:eastAsia="宋体" w:cs="宋体"/>
          <w:kern w:val="0"/>
          <w:szCs w:val="21"/>
        </w:rPr>
      </w:pPr>
    </w:p>
    <w:p w14:paraId="62B8ADF0">
      <w:pPr>
        <w:snapToGrid w:val="0"/>
        <w:ind w:firstLine="420" w:firstLineChars="200"/>
        <w:rPr>
          <w:rFonts w:ascii="宋体" w:hAnsi="宋体" w:eastAsia="宋体" w:cs="宋体"/>
          <w:kern w:val="0"/>
          <w:szCs w:val="21"/>
        </w:rPr>
      </w:pPr>
    </w:p>
    <w:p w14:paraId="65C21F11">
      <w:pPr>
        <w:snapToGrid w:val="0"/>
        <w:ind w:firstLine="420" w:firstLineChars="200"/>
        <w:rPr>
          <w:rFonts w:ascii="宋体" w:hAnsi="宋体" w:eastAsia="宋体" w:cs="宋体"/>
          <w:kern w:val="0"/>
          <w:szCs w:val="21"/>
        </w:rPr>
      </w:pPr>
    </w:p>
    <w:p w14:paraId="7FD6A0CC">
      <w:pPr>
        <w:snapToGrid w:val="0"/>
        <w:ind w:firstLine="420" w:firstLineChars="200"/>
        <w:rPr>
          <w:rFonts w:ascii="宋体" w:hAnsi="宋体" w:eastAsia="宋体" w:cs="宋体"/>
          <w:kern w:val="0"/>
          <w:szCs w:val="21"/>
        </w:rPr>
      </w:pPr>
    </w:p>
    <w:p w14:paraId="5D19F0B4">
      <w:pPr>
        <w:snapToGrid w:val="0"/>
        <w:ind w:firstLine="420" w:firstLineChars="200"/>
        <w:rPr>
          <w:rFonts w:ascii="宋体" w:hAnsi="宋体" w:eastAsia="宋体" w:cs="宋体"/>
          <w:kern w:val="0"/>
          <w:szCs w:val="21"/>
        </w:rPr>
      </w:pPr>
    </w:p>
    <w:p w14:paraId="7CB69216">
      <w:pPr>
        <w:snapToGrid w:val="0"/>
        <w:ind w:firstLine="420" w:firstLineChars="200"/>
        <w:rPr>
          <w:rFonts w:ascii="宋体" w:hAnsi="宋体" w:eastAsia="宋体" w:cs="宋体"/>
          <w:kern w:val="0"/>
          <w:szCs w:val="21"/>
        </w:rPr>
      </w:pPr>
    </w:p>
    <w:p w14:paraId="6F4D7C77">
      <w:pPr>
        <w:snapToGrid w:val="0"/>
        <w:ind w:firstLine="420" w:firstLineChars="200"/>
        <w:rPr>
          <w:rFonts w:ascii="宋体" w:hAnsi="宋体" w:eastAsia="宋体" w:cs="宋体"/>
          <w:kern w:val="0"/>
          <w:szCs w:val="21"/>
        </w:rPr>
      </w:pPr>
    </w:p>
    <w:p w14:paraId="162A350D">
      <w:pPr>
        <w:snapToGrid w:val="0"/>
        <w:ind w:firstLine="420" w:firstLineChars="200"/>
        <w:rPr>
          <w:rFonts w:ascii="宋体" w:hAnsi="宋体" w:eastAsia="宋体" w:cs="宋体"/>
          <w:kern w:val="0"/>
          <w:szCs w:val="21"/>
        </w:rPr>
      </w:pPr>
    </w:p>
    <w:p w14:paraId="744BA372">
      <w:pPr>
        <w:snapToGrid w:val="0"/>
        <w:ind w:firstLine="420" w:firstLineChars="200"/>
        <w:rPr>
          <w:rFonts w:ascii="宋体" w:hAnsi="宋体" w:eastAsia="宋体" w:cs="宋体"/>
          <w:kern w:val="0"/>
          <w:szCs w:val="21"/>
        </w:rPr>
      </w:pPr>
    </w:p>
    <w:p w14:paraId="22D208F6">
      <w:pPr>
        <w:snapToGrid w:val="0"/>
        <w:ind w:firstLine="420" w:firstLineChars="200"/>
        <w:rPr>
          <w:rFonts w:ascii="宋体" w:hAnsi="宋体" w:eastAsia="宋体" w:cs="宋体"/>
          <w:kern w:val="0"/>
          <w:szCs w:val="21"/>
        </w:rPr>
      </w:pPr>
    </w:p>
    <w:p w14:paraId="1605D538">
      <w:pPr>
        <w:snapToGrid w:val="0"/>
        <w:ind w:firstLine="420" w:firstLineChars="200"/>
        <w:rPr>
          <w:rFonts w:ascii="宋体" w:hAnsi="宋体" w:eastAsia="宋体" w:cs="宋体"/>
          <w:kern w:val="0"/>
          <w:szCs w:val="21"/>
        </w:rPr>
      </w:pPr>
    </w:p>
    <w:p w14:paraId="08F5BDC8">
      <w:pPr>
        <w:snapToGrid w:val="0"/>
        <w:ind w:firstLine="420" w:firstLineChars="200"/>
        <w:rPr>
          <w:rFonts w:ascii="宋体" w:hAnsi="宋体" w:eastAsia="宋体" w:cs="宋体"/>
          <w:kern w:val="0"/>
          <w:szCs w:val="21"/>
        </w:rPr>
      </w:pPr>
    </w:p>
    <w:p w14:paraId="76AB8099">
      <w:pPr>
        <w:snapToGrid w:val="0"/>
        <w:ind w:firstLine="420" w:firstLineChars="200"/>
        <w:rPr>
          <w:rFonts w:ascii="宋体" w:hAnsi="宋体" w:eastAsia="宋体" w:cs="宋体"/>
          <w:kern w:val="0"/>
          <w:szCs w:val="21"/>
        </w:rPr>
      </w:pPr>
    </w:p>
    <w:p w14:paraId="26C97881">
      <w:pPr>
        <w:snapToGrid w:val="0"/>
        <w:ind w:firstLine="420" w:firstLineChars="200"/>
        <w:rPr>
          <w:rFonts w:ascii="宋体" w:hAnsi="宋体" w:eastAsia="宋体" w:cs="宋体"/>
          <w:kern w:val="0"/>
          <w:szCs w:val="21"/>
        </w:rPr>
      </w:pPr>
    </w:p>
    <w:p w14:paraId="643F7E60">
      <w:pPr>
        <w:snapToGrid w:val="0"/>
        <w:ind w:firstLine="420" w:firstLineChars="200"/>
        <w:rPr>
          <w:rFonts w:ascii="宋体" w:hAnsi="宋体" w:eastAsia="宋体" w:cs="宋体"/>
          <w:kern w:val="0"/>
          <w:szCs w:val="21"/>
        </w:rPr>
      </w:pPr>
    </w:p>
    <w:p w14:paraId="4883DFF1">
      <w:pPr>
        <w:snapToGrid w:val="0"/>
        <w:ind w:firstLine="420" w:firstLineChars="200"/>
        <w:rPr>
          <w:rFonts w:ascii="宋体" w:hAnsi="宋体" w:eastAsia="宋体" w:cs="宋体"/>
          <w:kern w:val="0"/>
          <w:szCs w:val="21"/>
        </w:rPr>
      </w:pPr>
    </w:p>
    <w:p w14:paraId="67422E0E">
      <w:pPr>
        <w:snapToGrid w:val="0"/>
        <w:ind w:firstLine="420" w:firstLineChars="200"/>
        <w:rPr>
          <w:rFonts w:ascii="宋体" w:hAnsi="宋体" w:eastAsia="宋体" w:cs="宋体"/>
          <w:kern w:val="0"/>
          <w:szCs w:val="21"/>
        </w:rPr>
      </w:pPr>
    </w:p>
    <w:p w14:paraId="7C6A57F3">
      <w:pPr>
        <w:snapToGrid w:val="0"/>
        <w:ind w:firstLine="420" w:firstLineChars="200"/>
        <w:rPr>
          <w:rFonts w:ascii="宋体" w:hAnsi="宋体" w:eastAsia="宋体" w:cs="宋体"/>
          <w:kern w:val="0"/>
          <w:szCs w:val="21"/>
        </w:rPr>
      </w:pPr>
    </w:p>
    <w:p w14:paraId="4E6B46B9">
      <w:pPr>
        <w:snapToGrid w:val="0"/>
        <w:ind w:firstLine="420" w:firstLineChars="200"/>
        <w:rPr>
          <w:rFonts w:ascii="宋体" w:hAnsi="宋体" w:eastAsia="宋体" w:cs="宋体"/>
          <w:kern w:val="0"/>
          <w:szCs w:val="21"/>
        </w:rPr>
      </w:pPr>
    </w:p>
    <w:p w14:paraId="254C324D">
      <w:pPr>
        <w:snapToGrid w:val="0"/>
        <w:ind w:firstLine="420" w:firstLineChars="200"/>
        <w:rPr>
          <w:rFonts w:ascii="宋体" w:hAnsi="宋体" w:eastAsia="宋体" w:cs="宋体"/>
          <w:kern w:val="0"/>
          <w:szCs w:val="21"/>
        </w:rPr>
      </w:pPr>
    </w:p>
    <w:p w14:paraId="3DC51F81">
      <w:pPr>
        <w:snapToGrid w:val="0"/>
        <w:ind w:firstLine="420" w:firstLineChars="200"/>
        <w:rPr>
          <w:rFonts w:ascii="宋体" w:hAnsi="宋体" w:eastAsia="宋体" w:cs="宋体"/>
          <w:kern w:val="0"/>
          <w:szCs w:val="21"/>
        </w:rPr>
      </w:pPr>
    </w:p>
    <w:p w14:paraId="6F1157C6">
      <w:pPr>
        <w:snapToGrid w:val="0"/>
        <w:ind w:firstLine="420" w:firstLineChars="200"/>
        <w:rPr>
          <w:rFonts w:ascii="宋体" w:hAnsi="宋体" w:eastAsia="宋体" w:cs="宋体"/>
          <w:kern w:val="0"/>
          <w:szCs w:val="21"/>
        </w:rPr>
      </w:pPr>
    </w:p>
    <w:p w14:paraId="5F25FF18">
      <w:pPr>
        <w:snapToGrid w:val="0"/>
        <w:rPr>
          <w:rFonts w:ascii="宋体" w:hAnsi="宋体" w:eastAsia="宋体" w:cs="宋体"/>
          <w:kern w:val="0"/>
          <w:szCs w:val="21"/>
        </w:rPr>
        <w:sectPr>
          <w:headerReference r:id="rId7" w:type="default"/>
          <w:footerReference r:id="rId9" w:type="default"/>
          <w:headerReference r:id="rId8" w:type="even"/>
          <w:pgSz w:w="11907" w:h="16840"/>
          <w:pgMar w:top="1985" w:right="1134" w:bottom="1134" w:left="1418" w:header="1417" w:footer="1134" w:gutter="0"/>
          <w:pgBorders>
            <w:top w:val="none" w:sz="0" w:space="0"/>
            <w:left w:val="none" w:sz="0" w:space="0"/>
            <w:bottom w:val="none" w:sz="0" w:space="0"/>
            <w:right w:val="none" w:sz="0" w:space="0"/>
          </w:pgBorders>
          <w:pgNumType w:fmt="upperRoman" w:start="1"/>
          <w:cols w:space="425" w:num="1"/>
          <w:docGrid w:type="lines" w:linePitch="312" w:charSpace="0"/>
        </w:sectPr>
      </w:pPr>
    </w:p>
    <w:p w14:paraId="5397AF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b/>
          <w:sz w:val="32"/>
          <w:szCs w:val="32"/>
          <w:lang w:val="en-US" w:eastAsia="zh-CN"/>
        </w:rPr>
      </w:pPr>
      <w:r>
        <w:rPr>
          <w:rFonts w:hint="eastAsia" w:ascii="黑体" w:hAnsi="黑体" w:eastAsia="黑体"/>
          <w:b/>
          <w:sz w:val="32"/>
          <w:szCs w:val="32"/>
          <w:lang w:val="en-US" w:eastAsia="zh-CN"/>
        </w:rPr>
        <w:t>重点部位治安安全防范要求</w:t>
      </w:r>
    </w:p>
    <w:p w14:paraId="42F62B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b/>
          <w:sz w:val="32"/>
          <w:szCs w:val="32"/>
          <w:lang w:val="en-US" w:eastAsia="zh-CN"/>
        </w:rPr>
      </w:pPr>
      <w:r>
        <w:rPr>
          <w:rFonts w:hint="eastAsia" w:ascii="黑体" w:hAnsi="黑体" w:eastAsia="黑体"/>
          <w:b/>
          <w:sz w:val="32"/>
          <w:szCs w:val="32"/>
          <w:lang w:val="en-US" w:eastAsia="zh-CN"/>
        </w:rPr>
        <w:t>第6部分：文体场馆</w:t>
      </w:r>
    </w:p>
    <w:p w14:paraId="7C58F924">
      <w:pPr>
        <w:spacing w:before="312" w:beforeLines="100" w:after="312" w:afterLines="100"/>
        <w:jc w:val="left"/>
        <w:outlineLvl w:val="0"/>
        <w:rPr>
          <w:rFonts w:ascii="黑体" w:hAnsi="黑体" w:eastAsia="黑体"/>
        </w:rPr>
      </w:pPr>
      <w:bookmarkStart w:id="1" w:name="_Toc21930"/>
      <w:r>
        <w:rPr>
          <w:rFonts w:hint="eastAsia" w:ascii="黑体" w:hAnsi="黑体" w:eastAsia="黑体"/>
        </w:rPr>
        <w:t>1  范围</w:t>
      </w:r>
      <w:bookmarkEnd w:id="1"/>
    </w:p>
    <w:p w14:paraId="263A9BEE">
      <w:pPr>
        <w:ind w:firstLine="420" w:firstLineChars="200"/>
        <w:rPr>
          <w:rFonts w:hint="eastAsia" w:ascii="宋体" w:hAnsi="宋体" w:eastAsia="宋体"/>
          <w:highlight w:val="none"/>
          <w:lang w:val="en-US" w:eastAsia="zh-CN"/>
        </w:rPr>
      </w:pPr>
      <w:r>
        <w:rPr>
          <w:rFonts w:hint="eastAsia" w:ascii="宋体" w:hAnsi="宋体" w:eastAsia="宋体"/>
        </w:rPr>
        <w:t>本文件规定了</w:t>
      </w:r>
      <w:r>
        <w:rPr>
          <w:rFonts w:hint="eastAsia" w:ascii="宋体" w:hAnsi="宋体" w:eastAsia="宋体"/>
          <w:lang w:val="en-US" w:eastAsia="zh-CN"/>
        </w:rPr>
        <w:t>苏州市文体场</w:t>
      </w:r>
      <w:r>
        <w:rPr>
          <w:rFonts w:hint="eastAsia" w:ascii="宋体" w:hAnsi="宋体" w:eastAsia="宋体"/>
          <w:highlight w:val="none"/>
          <w:lang w:val="en-US" w:eastAsia="zh-CN"/>
        </w:rPr>
        <w:t>馆安全技术防范系统设计和施工，评审、检验、验收和运营维护的要求。</w:t>
      </w:r>
    </w:p>
    <w:p w14:paraId="6744A8AF">
      <w:pPr>
        <w:ind w:firstLine="408" w:firstLineChars="200"/>
        <w:rPr>
          <w:highlight w:val="none"/>
        </w:rPr>
      </w:pPr>
      <w:r>
        <w:rPr>
          <w:spacing w:val="-3"/>
          <w:highlight w:val="none"/>
        </w:rPr>
        <w:t>本部分适用于</w:t>
      </w:r>
      <w:r>
        <w:rPr>
          <w:rFonts w:hint="eastAsia"/>
          <w:spacing w:val="-3"/>
          <w:highlight w:val="none"/>
          <w:lang w:val="en-US" w:eastAsia="zh-CN"/>
        </w:rPr>
        <w:t>苏州市</w:t>
      </w:r>
      <w:r>
        <w:rPr>
          <w:spacing w:val="-3"/>
          <w:highlight w:val="none"/>
        </w:rPr>
        <w:t>行政区域内</w:t>
      </w:r>
      <w:r>
        <w:rPr>
          <w:rFonts w:hint="eastAsia"/>
          <w:spacing w:val="-3"/>
          <w:highlight w:val="none"/>
          <w:lang w:val="en-US" w:eastAsia="zh-CN"/>
        </w:rPr>
        <w:t>博物馆、图书馆、公共文化中心、体育馆安全技术防范系统，其他文体场馆参照执行</w:t>
      </w:r>
      <w:r>
        <w:rPr>
          <w:spacing w:val="-3"/>
          <w:highlight w:val="none"/>
        </w:rPr>
        <w:t>。</w:t>
      </w:r>
    </w:p>
    <w:p w14:paraId="7FF1A888">
      <w:pPr>
        <w:ind w:firstLine="408" w:firstLineChars="200"/>
        <w:rPr>
          <w:rFonts w:hint="eastAsia" w:ascii="宋体" w:hAnsi="宋体" w:eastAsiaTheme="minorEastAsia"/>
          <w:lang w:val="en-US" w:eastAsia="zh-CN"/>
        </w:rPr>
      </w:pPr>
      <w:r>
        <w:rPr>
          <w:spacing w:val="-3"/>
        </w:rPr>
        <w:t>已建</w:t>
      </w:r>
      <w:r>
        <w:rPr>
          <w:rFonts w:hint="eastAsia"/>
          <w:spacing w:val="-3"/>
          <w:lang w:val="en-US" w:eastAsia="zh-CN"/>
        </w:rPr>
        <w:t>文体场馆</w:t>
      </w:r>
      <w:r>
        <w:rPr>
          <w:spacing w:val="-3"/>
        </w:rPr>
        <w:t>安全技术防范系统的改建、扩建、修缮应按照本部分执行</w:t>
      </w:r>
      <w:r>
        <w:rPr>
          <w:rFonts w:hint="eastAsia"/>
          <w:spacing w:val="-3"/>
          <w:lang w:eastAsia="zh-CN"/>
        </w:rPr>
        <w:t>，</w:t>
      </w:r>
      <w:r>
        <w:rPr>
          <w:rFonts w:hint="eastAsia"/>
          <w:spacing w:val="-3"/>
          <w:lang w:val="en-US" w:eastAsia="zh-CN"/>
        </w:rPr>
        <w:t>其他目标可参照执行，重点目标的特殊要求应按照相应行业标准或具体分则执行</w:t>
      </w:r>
      <w:r>
        <w:rPr>
          <w:rFonts w:hint="eastAsia"/>
          <w:spacing w:val="-3"/>
          <w:lang w:eastAsia="zh-CN"/>
        </w:rPr>
        <w:t>。</w:t>
      </w:r>
    </w:p>
    <w:p w14:paraId="5819D90F">
      <w:pPr>
        <w:spacing w:before="312" w:beforeLines="100" w:after="312" w:afterLines="100"/>
        <w:jc w:val="left"/>
        <w:outlineLvl w:val="0"/>
        <w:rPr>
          <w:rFonts w:hint="eastAsia" w:ascii="黑体" w:hAnsi="黑体" w:eastAsia="黑体"/>
          <w:lang w:val="en-US" w:eastAsia="zh-CN"/>
        </w:rPr>
      </w:pPr>
      <w:bookmarkStart w:id="2" w:name="_Toc18922"/>
      <w:r>
        <w:rPr>
          <w:rFonts w:hint="eastAsia" w:ascii="黑体" w:hAnsi="黑体" w:eastAsia="黑体"/>
        </w:rPr>
        <w:t>2  规范性引用文件</w:t>
      </w:r>
      <w:bookmarkEnd w:id="2"/>
      <w:r>
        <w:rPr>
          <w:rFonts w:hint="eastAsia" w:ascii="黑体" w:hAnsi="黑体" w:eastAsia="黑体"/>
          <w:lang w:val="en-US" w:eastAsia="zh-CN"/>
        </w:rPr>
        <w:t xml:space="preserve"> </w:t>
      </w:r>
    </w:p>
    <w:p w14:paraId="2A4012D9">
      <w:pPr>
        <w:ind w:firstLine="420" w:firstLineChars="200"/>
        <w:rPr>
          <w:rFonts w:ascii="宋体" w:hAnsi="宋体"/>
        </w:rPr>
      </w:pPr>
      <w:r>
        <w:rPr>
          <w:rFonts w:hint="eastAsia" w:ascii="宋体" w:hAnsi="宋体"/>
        </w:rPr>
        <w:t>下列文件中</w:t>
      </w:r>
      <w:r>
        <w:rPr>
          <w:rFonts w:ascii="宋体" w:hAnsi="宋体"/>
        </w:rPr>
        <w:t>的内容通过</w:t>
      </w:r>
      <w:r>
        <w:rPr>
          <w:rFonts w:hint="eastAsia" w:ascii="宋体" w:hAnsi="宋体"/>
        </w:rPr>
        <w:t>文中</w:t>
      </w:r>
      <w:r>
        <w:rPr>
          <w:rFonts w:ascii="宋体" w:hAnsi="宋体"/>
        </w:rPr>
        <w:t>的规范性引用</w:t>
      </w:r>
      <w:r>
        <w:rPr>
          <w:rFonts w:hint="eastAsia" w:ascii="宋体" w:hAnsi="宋体"/>
        </w:rPr>
        <w:t>而</w:t>
      </w:r>
      <w:r>
        <w:rPr>
          <w:rFonts w:ascii="宋体" w:hAnsi="宋体"/>
        </w:rPr>
        <w:t>构成本文件必不可少的条款</w:t>
      </w:r>
      <w:r>
        <w:rPr>
          <w:rFonts w:hint="eastAsia" w:ascii="宋体" w:hAnsi="宋体"/>
        </w:rPr>
        <w:t>。</w:t>
      </w:r>
      <w:r>
        <w:rPr>
          <w:rFonts w:ascii="宋体" w:hAnsi="宋体"/>
        </w:rPr>
        <w:t>其中</w:t>
      </w:r>
      <w:r>
        <w:rPr>
          <w:rFonts w:hint="eastAsia" w:ascii="宋体" w:hAnsi="宋体"/>
        </w:rPr>
        <w:t>，</w:t>
      </w:r>
      <w:r>
        <w:rPr>
          <w:rFonts w:ascii="宋体" w:hAnsi="宋体"/>
        </w:rPr>
        <w:t>注日期的引用文件，仅该日期对应的版本适用于本文件；不注日期的引用文件，其最新版本（</w:t>
      </w:r>
      <w:r>
        <w:rPr>
          <w:rFonts w:hint="eastAsia" w:ascii="宋体" w:hAnsi="宋体"/>
        </w:rPr>
        <w:t>包括</w:t>
      </w:r>
      <w:r>
        <w:rPr>
          <w:rFonts w:ascii="宋体" w:hAnsi="宋体"/>
        </w:rPr>
        <w:t>所有的修改单）</w:t>
      </w:r>
      <w:r>
        <w:rPr>
          <w:rFonts w:hint="eastAsia" w:ascii="宋体" w:hAnsi="宋体"/>
        </w:rPr>
        <w:t>适用于</w:t>
      </w:r>
      <w:r>
        <w:rPr>
          <w:rFonts w:ascii="宋体" w:hAnsi="宋体"/>
        </w:rPr>
        <w:t>本文件。</w:t>
      </w:r>
    </w:p>
    <w:p w14:paraId="75D45702">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7946    脉冲电子围栏及其安装和安全运行</w:t>
      </w:r>
    </w:p>
    <w:p w14:paraId="0C7BEC8E">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10408.1   入侵探测器 第一部分：通用要求</w:t>
      </w:r>
    </w:p>
    <w:p w14:paraId="7308CC0A">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10408.3   入侵探测器 第三部分：室内用微波多普勒探测器</w:t>
      </w:r>
    </w:p>
    <w:p w14:paraId="1963F188">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10408.4   入侵探测器 第四部分：主动红外入侵探测器</w:t>
      </w:r>
    </w:p>
    <w:p w14:paraId="384DC951">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10408.5   入侵探测器 第五部分：室内用被动红外探测器</w:t>
      </w:r>
    </w:p>
    <w:p w14:paraId="017F8C5A">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10408.6   微波和被动红外复合入侵探测器</w:t>
      </w:r>
    </w:p>
    <w:p w14:paraId="16E11AA7">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10408.8 振动入侵探测器</w:t>
      </w:r>
    </w:p>
    <w:p w14:paraId="7745FBC9">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10408.9 入侵探测器 第九部分：室内用被动式玻璃破碎探测器</w:t>
      </w:r>
    </w:p>
    <w:p w14:paraId="089F10E9">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10409-2001 防盗保险柜</w:t>
      </w:r>
    </w:p>
    <w:p w14:paraId="7399C8C9">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12663     防盗报警控制器通用技术条件</w:t>
      </w:r>
    </w:p>
    <w:p w14:paraId="4FEEBF4B">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12899     手持式金属探测器通用技术规范</w:t>
      </w:r>
    </w:p>
    <w:p w14:paraId="7D8E7954">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14287.4   电气火灾监控系统 第四部分：故障电弧探测器</w:t>
      </w:r>
    </w:p>
    <w:p w14:paraId="6C66A374">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15208     微剂量X射线安全检查设备</w:t>
      </w:r>
    </w:p>
    <w:p w14:paraId="58631949">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15209     磁开关入侵探测器</w:t>
      </w:r>
    </w:p>
    <w:p w14:paraId="12218AFA">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15210     通过式金属探测门通用技术条件</w:t>
      </w:r>
    </w:p>
    <w:p w14:paraId="557EDB3B">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15407     遮挡式微波入侵探测器技术要求</w:t>
      </w:r>
    </w:p>
    <w:p w14:paraId="7D93200E">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15408   安全防范系统供电技术要求</w:t>
      </w:r>
    </w:p>
    <w:p w14:paraId="608157E0">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16571-2012  博物馆和文物保护单位安全防范系统要求</w:t>
      </w:r>
    </w:p>
    <w:p w14:paraId="596E36FB">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16796     安全防范报警设备安全要求和实验方法</w:t>
      </w:r>
    </w:p>
    <w:p w14:paraId="0642D846">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17565-2007 防盗安全门通用技术条件</w:t>
      </w:r>
    </w:p>
    <w:p w14:paraId="69585DD8">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20815-2006 视频安防监控数字录像设备</w:t>
      </w:r>
    </w:p>
    <w:p w14:paraId="7BF49868">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22239-2015 信息安全技术 信息系统安全等级保护基本要求</w:t>
      </w:r>
    </w:p>
    <w:p w14:paraId="6EA304BF">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24353   风险管理 原则和实施指南</w:t>
      </w:r>
    </w:p>
    <w:p w14:paraId="698EB6EF">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27921   风险管理 风险评估技术</w:t>
      </w:r>
    </w:p>
    <w:p w14:paraId="08AF5ACC">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28181   公共安全视频监控联网系统信息传输、交换、控制技术要求</w:t>
      </w:r>
    </w:p>
    <w:p w14:paraId="01968CF0">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30146   公共安全 业务连续性管理体系 要求</w:t>
      </w:r>
    </w:p>
    <w:p w14:paraId="3F96BADB">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30147   安防监控视频实时智能分析设备技术要求</w:t>
      </w:r>
    </w:p>
    <w:p w14:paraId="0D17DE95">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32581   入侵和紧急报警系统技术要求</w:t>
      </w:r>
    </w:p>
    <w:p w14:paraId="6A61644C">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GB/T 33170.1 大型活动安全要求 第一部分：安全评估</w:t>
      </w:r>
    </w:p>
    <w:p w14:paraId="17732447">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50198-2011 民用闭路监视电视系统工程技术规范</w:t>
      </w:r>
    </w:p>
    <w:p w14:paraId="18C44607">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50348     安全防范工程技术标准</w:t>
      </w:r>
    </w:p>
    <w:p w14:paraId="26F377A0">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50394     入侵报警系统工程设备规范</w:t>
      </w:r>
    </w:p>
    <w:p w14:paraId="351C5654">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50395     视频安防监控系统工程设计规范</w:t>
      </w:r>
    </w:p>
    <w:p w14:paraId="57A74B14">
      <w:pPr>
        <w:ind w:firstLine="420" w:firstLineChars="200"/>
        <w:jc w:val="left"/>
      </w:pPr>
      <w:r>
        <w:rPr>
          <w:rFonts w:hint="eastAsia" w:ascii="宋体" w:hAnsi="宋体" w:eastAsia="宋体" w:cs="宋体"/>
          <w:color w:val="000000"/>
          <w:kern w:val="0"/>
          <w:sz w:val="21"/>
          <w:szCs w:val="21"/>
          <w:lang w:val="en-US" w:eastAsia="zh-CN" w:bidi="ar"/>
        </w:rPr>
        <w:t>GB 50395     视频安防监控系统工程设计规范</w:t>
      </w:r>
    </w:p>
    <w:p w14:paraId="7BDB4C06">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GB 50396-2007 出入口控制系统工程设计规范 </w:t>
      </w:r>
    </w:p>
    <w:p w14:paraId="34509709">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 27        文物系统博物馆风险等级和安全防护级别的规定 </w:t>
      </w:r>
    </w:p>
    <w:p w14:paraId="6AC842DF">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75      安全防范工程程序与要求 </w:t>
      </w:r>
    </w:p>
    <w:p w14:paraId="10F65EBF">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 308       安全技术防范系统验收规则 </w:t>
      </w:r>
    </w:p>
    <w:p w14:paraId="39FE729D">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367     视频安防监控系统技术要求 </w:t>
      </w:r>
    </w:p>
    <w:p w14:paraId="4ED25BD5">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394     出入口控制系统技术要求 </w:t>
      </w:r>
    </w:p>
    <w:p w14:paraId="6D9C53D1">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644     电子巡查系统技术要求 </w:t>
      </w:r>
    </w:p>
    <w:p w14:paraId="149BD12B">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669.1   城市监控报警联网系统 技术标准 第 1 部分：通用技术要求 </w:t>
      </w:r>
    </w:p>
    <w:p w14:paraId="20469D5B">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751     视频图像文字标注规范 </w:t>
      </w:r>
    </w:p>
    <w:p w14:paraId="0578F3C6">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761     停车库(场)安全管理系统技术要求 </w:t>
      </w:r>
    </w:p>
    <w:p w14:paraId="5AD1C883">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 844-2009  防砸复合玻璃通用技术要求 </w:t>
      </w:r>
    </w:p>
    <w:p w14:paraId="1C455921">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992     停车库（场）出入口控制设备技术要求 </w:t>
      </w:r>
    </w:p>
    <w:p w14:paraId="3C448B56">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 1015      枪支去功能处理与展览枪支安全防范要求 </w:t>
      </w:r>
    </w:p>
    <w:p w14:paraId="4A0A8298">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1031    泄漏电缆入侵探测装置通用技术要求 </w:t>
      </w:r>
    </w:p>
    <w:p w14:paraId="3091E601">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1032    张力式电子围栏通用技术要求 </w:t>
      </w:r>
    </w:p>
    <w:p w14:paraId="3448EE38">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1093    出入口控制人脸识别系统技术要求 </w:t>
      </w:r>
    </w:p>
    <w:p w14:paraId="163C8EDA">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1127-2013 安全防范视频监控摄像机通用技术要求 </w:t>
      </w:r>
    </w:p>
    <w:p w14:paraId="47D846F8">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1211    安全防范高清视频监控系统技术要求 </w:t>
      </w:r>
    </w:p>
    <w:p w14:paraId="41AB1E98">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1217    光纤振动入侵探测器技术要求 </w:t>
      </w:r>
    </w:p>
    <w:p w14:paraId="12CAFBDB">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GA/T 1343-2016 防暴升降式阻车路障 </w:t>
      </w:r>
    </w:p>
    <w:p w14:paraId="7F507BE2">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JGJ 66       博物馆建筑设计规范 </w:t>
      </w:r>
    </w:p>
    <w:p w14:paraId="61221E0A">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 xml:space="preserve">JGJ 218      展览建筑设计规范 </w:t>
      </w:r>
    </w:p>
    <w:p w14:paraId="04F9608D">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DB31/T 1086  入侵报警系统应用基本技术要求</w:t>
      </w:r>
    </w:p>
    <w:p w14:paraId="18090F5E">
      <w:pPr>
        <w:ind w:firstLine="420" w:firstLineChars="200"/>
        <w:jc w:val="left"/>
        <w:rPr>
          <w:rFonts w:hint="eastAsia" w:cs="宋体" w:asciiTheme="minorEastAsia" w:hAnsiTheme="minorEastAsia"/>
          <w:kern w:val="0"/>
          <w:szCs w:val="21"/>
          <w:lang w:val="en-US" w:eastAsia="zh-CN"/>
        </w:rPr>
      </w:pPr>
      <w:r>
        <w:rPr>
          <w:rFonts w:hint="default" w:cs="宋体" w:asciiTheme="minorEastAsia" w:hAnsiTheme="minorEastAsia"/>
          <w:kern w:val="0"/>
          <w:szCs w:val="21"/>
          <w:lang w:val="en-US" w:eastAsia="zh-CN"/>
        </w:rPr>
        <w:t>GB/T 16571</w:t>
      </w:r>
      <w:r>
        <w:rPr>
          <w:rFonts w:hint="eastAsia" w:cs="宋体" w:asciiTheme="minorEastAsia" w:hAnsiTheme="minorEastAsia"/>
          <w:kern w:val="0"/>
          <w:szCs w:val="21"/>
          <w:lang w:val="en-US" w:eastAsia="zh-CN"/>
        </w:rPr>
        <w:t xml:space="preserve">   博物馆和文物保护单位安全防范系统要求</w:t>
      </w:r>
    </w:p>
    <w:p w14:paraId="005D60CE">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GA27-2019    文物系统博物馆风险等级和安全防护级别的规定</w:t>
      </w:r>
    </w:p>
    <w:p w14:paraId="1D2C62E3">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50314     智能建筑设计标准</w:t>
      </w:r>
    </w:p>
    <w:p w14:paraId="58E110DF">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DGJ32/D01    建筑智能化系统工程设计规范</w:t>
      </w:r>
    </w:p>
    <w:p w14:paraId="106841A7">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GA3          中华人民共和国公共安全行业标准</w:t>
      </w:r>
    </w:p>
    <w:p w14:paraId="2F0E9308">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50395     视频安防监控系统工程设计规范</w:t>
      </w:r>
    </w:p>
    <w:p w14:paraId="20DE6957">
      <w:pPr>
        <w:ind w:firstLine="420" w:firstLineChars="200"/>
        <w:jc w:val="left"/>
        <w:rPr>
          <w:rFonts w:hint="eastAsia" w:cs="宋体" w:asciiTheme="minorEastAsia" w:hAnsiTheme="minorEastAsia"/>
          <w:kern w:val="0"/>
          <w:szCs w:val="21"/>
          <w:lang w:val="en-US" w:eastAsia="zh-CN"/>
        </w:rPr>
      </w:pPr>
      <w:r>
        <w:rPr>
          <w:rFonts w:hint="eastAsia" w:cs="宋体" w:asciiTheme="minorEastAsia" w:hAnsiTheme="minorEastAsia"/>
          <w:kern w:val="0"/>
          <w:szCs w:val="21"/>
          <w:lang w:val="en-US" w:eastAsia="zh-CN"/>
        </w:rPr>
        <w:t>GB 50394     入侵报警系统工程设计规范</w:t>
      </w:r>
    </w:p>
    <w:p w14:paraId="132B4104">
      <w:pPr>
        <w:ind w:firstLine="420" w:firstLineChars="200"/>
        <w:jc w:val="left"/>
        <w:rPr>
          <w:rFonts w:hint="default" w:cs="宋体" w:asciiTheme="minorEastAsia" w:hAnsiTheme="minorEastAsia"/>
          <w:kern w:val="0"/>
          <w:szCs w:val="21"/>
          <w:lang w:val="en-US" w:eastAsia="zh-CN"/>
        </w:rPr>
      </w:pPr>
      <w:r>
        <w:rPr>
          <w:rFonts w:hint="eastAsia" w:cs="宋体" w:asciiTheme="minorEastAsia" w:hAnsiTheme="minorEastAsia"/>
          <w:kern w:val="0"/>
          <w:szCs w:val="21"/>
          <w:lang w:val="en-US" w:eastAsia="zh-CN"/>
        </w:rPr>
        <w:t>GB 50396     出入口控制系统工程设计规范</w:t>
      </w:r>
    </w:p>
    <w:p w14:paraId="6DEF9E67">
      <w:pPr>
        <w:spacing w:before="312" w:beforeLines="100" w:after="312" w:afterLines="100"/>
        <w:jc w:val="left"/>
        <w:outlineLvl w:val="0"/>
        <w:rPr>
          <w:rFonts w:ascii="黑体" w:hAnsi="黑体" w:eastAsia="黑体"/>
        </w:rPr>
      </w:pPr>
      <w:bookmarkStart w:id="3" w:name="_Toc17414"/>
      <w:r>
        <w:rPr>
          <w:rFonts w:ascii="黑体" w:hAnsi="黑体" w:eastAsia="黑体"/>
        </w:rPr>
        <w:t xml:space="preserve">3  </w:t>
      </w:r>
      <w:r>
        <w:rPr>
          <w:rFonts w:hint="eastAsia" w:ascii="黑体" w:hAnsi="黑体" w:eastAsia="黑体"/>
        </w:rPr>
        <w:t>术语和定义</w:t>
      </w:r>
      <w:bookmarkEnd w:id="3"/>
    </w:p>
    <w:p w14:paraId="4D75FD02">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rPr>
      </w:pPr>
      <w:r>
        <w:rPr>
          <w:rFonts w:hint="eastAsia" w:ascii="宋体" w:hAnsi="宋体" w:eastAsia="宋体" w:cs="宋体"/>
          <w:color w:val="000000"/>
          <w:kern w:val="0"/>
          <w:sz w:val="21"/>
          <w:szCs w:val="21"/>
          <w:lang w:val="en-US" w:eastAsia="zh-CN" w:bidi="ar"/>
        </w:rPr>
        <w:t>GB/T 16571-2012、GB/T 33170.1、GB 50348、GA 27、JGJ 66、JGJ 218 界定的以及下列术语与定义适用于本文件。</w:t>
      </w:r>
    </w:p>
    <w:p w14:paraId="42FF8140">
      <w:pPr>
        <w:spacing w:before="156" w:beforeLines="50" w:after="156" w:afterLines="50"/>
        <w:jc w:val="left"/>
        <w:rPr>
          <w:rFonts w:ascii="黑体" w:hAnsi="黑体" w:eastAsia="黑体"/>
        </w:rPr>
      </w:pPr>
      <w:r>
        <w:rPr>
          <w:rFonts w:ascii="黑体" w:hAnsi="黑体" w:eastAsia="黑体"/>
        </w:rPr>
        <w:t>3.1</w:t>
      </w:r>
    </w:p>
    <w:p w14:paraId="45485FE1">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pPr>
      <w:r>
        <w:rPr>
          <w:rFonts w:ascii="黑体" w:hAnsi="宋体" w:eastAsia="黑体" w:cs="黑体"/>
          <w:color w:val="000000"/>
          <w:kern w:val="0"/>
          <w:sz w:val="21"/>
          <w:szCs w:val="21"/>
          <w:lang w:val="en-US" w:eastAsia="zh-CN" w:bidi="ar"/>
        </w:rPr>
        <w:t xml:space="preserve">博物馆 museum </w:t>
      </w:r>
    </w:p>
    <w:p w14:paraId="66ACC2A8">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ascii="宋体" w:hAnsi="宋体"/>
        </w:rPr>
      </w:pPr>
      <w:r>
        <w:rPr>
          <w:rFonts w:hint="eastAsia" w:ascii="宋体" w:hAnsi="宋体" w:eastAsia="宋体" w:cs="宋体"/>
          <w:color w:val="000000"/>
          <w:kern w:val="0"/>
          <w:sz w:val="21"/>
          <w:szCs w:val="21"/>
          <w:lang w:val="en-US" w:eastAsia="zh-CN" w:bidi="ar"/>
        </w:rPr>
        <w:t>用以征集、典藏、保护、研究、展示有关历史、文化、艺术、科学、技术等方面的遗址、文物、标本、展品，通过展示为公众提供知识、教育、欣赏和服务等社会活动的建筑物。</w:t>
      </w:r>
    </w:p>
    <w:p w14:paraId="6003B24C">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rPr>
      </w:pPr>
    </w:p>
    <w:p w14:paraId="6E1862DE">
      <w:pPr>
        <w:spacing w:before="156" w:beforeLines="50" w:after="156" w:afterLines="50"/>
        <w:jc w:val="left"/>
        <w:rPr>
          <w:rFonts w:ascii="黑体" w:hAnsi="黑体" w:eastAsia="黑体"/>
        </w:rPr>
      </w:pPr>
      <w:r>
        <w:rPr>
          <w:rFonts w:ascii="黑体" w:hAnsi="黑体" w:eastAsia="黑体"/>
        </w:rPr>
        <w:t>3.2</w:t>
      </w:r>
    </w:p>
    <w:p w14:paraId="2F13A68A">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pPr>
      <w:r>
        <w:rPr>
          <w:rFonts w:hint="eastAsia" w:ascii="黑体" w:hAnsi="宋体" w:eastAsia="黑体" w:cs="黑体"/>
          <w:color w:val="000000"/>
          <w:kern w:val="0"/>
          <w:sz w:val="21"/>
          <w:szCs w:val="21"/>
          <w:lang w:val="en-US" w:eastAsia="zh-CN" w:bidi="ar"/>
        </w:rPr>
        <w:t>公共文化中心</w:t>
      </w:r>
      <w:r>
        <w:rPr>
          <w:rFonts w:ascii="黑体" w:hAnsi="宋体" w:eastAsia="黑体" w:cs="黑体"/>
          <w:color w:val="000000"/>
          <w:kern w:val="0"/>
          <w:sz w:val="21"/>
          <w:szCs w:val="21"/>
          <w:lang w:val="en-US" w:eastAsia="zh-CN" w:bidi="ar"/>
        </w:rPr>
        <w:t xml:space="preserve"> </w:t>
      </w:r>
      <w:r>
        <w:rPr>
          <w:rFonts w:hint="eastAsia" w:ascii="黑体" w:hAnsi="宋体" w:eastAsia="黑体" w:cs="黑体"/>
          <w:color w:val="000000"/>
          <w:kern w:val="0"/>
          <w:sz w:val="21"/>
          <w:szCs w:val="21"/>
          <w:lang w:val="en-US" w:eastAsia="zh-CN" w:bidi="ar"/>
        </w:rPr>
        <w:t>public cultural center</w:t>
      </w:r>
      <w:r>
        <w:rPr>
          <w:rFonts w:ascii="黑体" w:hAnsi="宋体" w:eastAsia="黑体" w:cs="黑体"/>
          <w:color w:val="000000"/>
          <w:kern w:val="0"/>
          <w:sz w:val="21"/>
          <w:szCs w:val="21"/>
          <w:lang w:val="en-US" w:eastAsia="zh-CN" w:bidi="ar"/>
        </w:rPr>
        <w:t xml:space="preserve"> </w:t>
      </w:r>
    </w:p>
    <w:p w14:paraId="001C0D89">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用以对展品或服务的展出进行组织，通过展示促进产品、服务的推广和信息、技术的交流等社会活动的建筑物。</w:t>
      </w:r>
    </w:p>
    <w:p w14:paraId="4B2B9090">
      <w:pPr>
        <w:spacing w:before="156" w:beforeLines="50" w:after="156" w:afterLines="50"/>
        <w:jc w:val="left"/>
        <w:rPr>
          <w:rFonts w:ascii="黑体" w:hAnsi="黑体" w:eastAsia="黑体"/>
        </w:rPr>
      </w:pPr>
      <w:r>
        <w:rPr>
          <w:rFonts w:ascii="黑体" w:hAnsi="黑体" w:eastAsia="黑体"/>
        </w:rPr>
        <w:t>3.3</w:t>
      </w:r>
    </w:p>
    <w:p w14:paraId="2C36C61A">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黑体" w:hAnsi="宋体" w:eastAsia="黑体" w:cs="黑体"/>
          <w:color w:val="000000"/>
          <w:kern w:val="0"/>
          <w:sz w:val="21"/>
          <w:szCs w:val="21"/>
          <w:lang w:val="en-US" w:eastAsia="zh-CN" w:bidi="ar"/>
        </w:rPr>
      </w:pPr>
      <w:r>
        <w:rPr>
          <w:rFonts w:hint="eastAsia" w:ascii="黑体" w:hAnsi="宋体" w:eastAsia="黑体" w:cs="黑体"/>
          <w:color w:val="000000"/>
          <w:kern w:val="0"/>
          <w:sz w:val="21"/>
          <w:szCs w:val="21"/>
          <w:lang w:val="en-US" w:eastAsia="zh-CN" w:bidi="ar"/>
        </w:rPr>
        <w:t>图书馆 l</w:t>
      </w:r>
      <w:r>
        <w:rPr>
          <w:rFonts w:ascii="黑体" w:hAnsi="宋体" w:eastAsia="黑体" w:cs="黑体"/>
          <w:color w:val="000000"/>
          <w:kern w:val="0"/>
          <w:sz w:val="21"/>
          <w:szCs w:val="21"/>
          <w:lang w:val="en-US" w:eastAsia="zh-CN" w:bidi="ar"/>
        </w:rPr>
        <w:t>ibrary</w:t>
      </w:r>
      <w:r>
        <w:rPr>
          <w:rFonts w:hint="eastAsia" w:ascii="黑体" w:hAnsi="宋体" w:eastAsia="黑体" w:cs="黑体"/>
          <w:color w:val="000000"/>
          <w:kern w:val="0"/>
          <w:sz w:val="21"/>
          <w:szCs w:val="21"/>
          <w:lang w:val="en-US" w:eastAsia="zh-CN" w:bidi="ar"/>
        </w:rPr>
        <w:t xml:space="preserve"> </w:t>
      </w:r>
    </w:p>
    <w:p w14:paraId="2AC6B3DC">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图书馆是为个人和社会群体提供获取知识、信息和文化资源的机构，其使命是通过各种形式的文献资源支持学习、教育、研究和个人发展。</w:t>
      </w:r>
    </w:p>
    <w:p w14:paraId="6206FFB8">
      <w:pPr>
        <w:spacing w:before="156" w:beforeLines="50" w:after="156" w:afterLines="50"/>
        <w:jc w:val="left"/>
        <w:rPr>
          <w:rFonts w:hint="eastAsia" w:ascii="黑体" w:hAnsi="黑体" w:eastAsia="黑体"/>
          <w:lang w:eastAsia="zh-CN"/>
        </w:rPr>
      </w:pPr>
      <w:r>
        <w:rPr>
          <w:rFonts w:ascii="黑体" w:hAnsi="黑体" w:eastAsia="黑体"/>
        </w:rPr>
        <w:t>3.</w:t>
      </w:r>
      <w:r>
        <w:rPr>
          <w:rFonts w:hint="eastAsia" w:ascii="黑体" w:hAnsi="黑体" w:eastAsia="黑体"/>
          <w:lang w:val="en-US" w:eastAsia="zh-CN"/>
        </w:rPr>
        <w:t>4</w:t>
      </w:r>
    </w:p>
    <w:p w14:paraId="0E16CBA8">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pPr>
      <w:r>
        <w:rPr>
          <w:rFonts w:hint="eastAsia" w:ascii="黑体" w:hAnsi="宋体" w:eastAsia="黑体" w:cs="黑体"/>
          <w:color w:val="000000"/>
          <w:kern w:val="0"/>
          <w:sz w:val="21"/>
          <w:szCs w:val="21"/>
          <w:lang w:val="en-US" w:eastAsia="zh-CN" w:bidi="ar"/>
        </w:rPr>
        <w:t>体育馆</w:t>
      </w:r>
      <w:r>
        <w:rPr>
          <w:rFonts w:ascii="黑体" w:hAnsi="宋体" w:eastAsia="黑体" w:cs="黑体"/>
          <w:color w:val="000000"/>
          <w:kern w:val="0"/>
          <w:sz w:val="21"/>
          <w:szCs w:val="21"/>
          <w:lang w:val="en-US" w:eastAsia="zh-CN" w:bidi="ar"/>
        </w:rPr>
        <w:t xml:space="preserve"> </w:t>
      </w:r>
      <w:r>
        <w:rPr>
          <w:rFonts w:hint="eastAsia" w:ascii="黑体" w:hAnsi="宋体" w:eastAsia="黑体" w:cs="黑体"/>
          <w:color w:val="000000"/>
          <w:kern w:val="0"/>
          <w:sz w:val="21"/>
          <w:szCs w:val="21"/>
          <w:lang w:val="en-US" w:eastAsia="zh-CN" w:bidi="ar"/>
        </w:rPr>
        <w:t>gymnasium</w:t>
      </w:r>
      <w:r>
        <w:rPr>
          <w:rFonts w:ascii="黑体" w:hAnsi="宋体" w:eastAsia="黑体" w:cs="黑体"/>
          <w:color w:val="000000"/>
          <w:kern w:val="0"/>
          <w:sz w:val="21"/>
          <w:szCs w:val="21"/>
          <w:lang w:val="en-US" w:eastAsia="zh-CN" w:bidi="ar"/>
        </w:rPr>
        <w:t xml:space="preserve"> </w:t>
      </w:r>
    </w:p>
    <w:p w14:paraId="6628E061">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体育馆是一个封闭或半封闭的建筑空间，主要用于进行室内体育活动、训练、比赛和大型集会。它通常包括标准化的运动场地（如篮球场、排球场、羽毛球场等）以及观众席、更衣室、器材存储区等配套设施。</w:t>
      </w:r>
    </w:p>
    <w:p w14:paraId="0ADC6232">
      <w:pPr>
        <w:spacing w:before="312" w:beforeLines="100" w:after="312" w:afterLines="100"/>
        <w:jc w:val="left"/>
        <w:outlineLvl w:val="0"/>
        <w:rPr>
          <w:rFonts w:hint="default" w:ascii="黑体" w:hAnsi="黑体" w:eastAsia="黑体"/>
          <w:lang w:val="en-US" w:eastAsia="zh-CN"/>
        </w:rPr>
      </w:pPr>
      <w:bookmarkStart w:id="4" w:name="_Toc28044"/>
      <w:r>
        <w:rPr>
          <w:rFonts w:ascii="黑体" w:hAnsi="黑体" w:eastAsia="黑体"/>
        </w:rPr>
        <w:t xml:space="preserve">4  </w:t>
      </w:r>
      <w:r>
        <w:rPr>
          <w:rFonts w:hint="eastAsia" w:ascii="黑体" w:hAnsi="黑体" w:eastAsia="黑体"/>
          <w:lang w:val="en-US" w:eastAsia="zh-CN"/>
        </w:rPr>
        <w:t>系统设计和施工</w:t>
      </w:r>
      <w:bookmarkEnd w:id="4"/>
    </w:p>
    <w:p w14:paraId="34AF624D">
      <w:pPr>
        <w:spacing w:before="156" w:beforeLines="50" w:after="156" w:afterLines="50"/>
        <w:jc w:val="left"/>
        <w:outlineLvl w:val="1"/>
        <w:rPr>
          <w:rFonts w:ascii="Microsoft JhengHei" w:eastAsia="Microsoft JhengHei"/>
          <w:sz w:val="21"/>
        </w:rPr>
      </w:pPr>
      <w:bookmarkStart w:id="5" w:name="_Toc5147"/>
      <w:r>
        <w:rPr>
          <w:rFonts w:hint="eastAsia" w:ascii="黑体" w:hAnsi="黑体" w:eastAsia="黑体"/>
          <w:szCs w:val="21"/>
        </w:rPr>
        <w:t xml:space="preserve">4.1  </w:t>
      </w:r>
      <w:r>
        <w:rPr>
          <w:rFonts w:hint="eastAsia" w:ascii="黑体" w:hAnsi="黑体" w:eastAsia="黑体"/>
          <w:szCs w:val="21"/>
          <w:lang w:val="en-US" w:eastAsia="zh-CN"/>
        </w:rPr>
        <w:t>总体要求</w:t>
      </w:r>
      <w:bookmarkEnd w:id="5"/>
    </w:p>
    <w:p w14:paraId="5B6DB999">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both"/>
        <w:textAlignment w:val="auto"/>
        <w:rPr>
          <w:rFonts w:hint="eastAsia" w:ascii="宋体" w:hAnsi="宋体" w:eastAsia="宋体" w:cs="宋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 xml:space="preserve">4.1.1 </w:t>
      </w:r>
      <w:r>
        <w:rPr>
          <w:rFonts w:hint="eastAsia" w:ascii="宋体" w:hAnsi="宋体" w:eastAsia="宋体" w:cs="宋体"/>
          <w:color w:val="000000"/>
          <w:kern w:val="0"/>
          <w:sz w:val="21"/>
          <w:szCs w:val="21"/>
          <w:lang w:val="en-US" w:eastAsia="zh-CN" w:bidi="ar"/>
        </w:rPr>
        <w:t xml:space="preserve"> 安全技术防范系统建设应纳入工程建设的总体规划，并应综合设计、同步施工、独立验收，同时交付使用。举办特殊展品展览时，主办方应根据展品实际布展情况专项设计安全技术防范系统，并向有关主管单位申报评审和验收。</w:t>
      </w:r>
    </w:p>
    <w:p w14:paraId="3334BFD6">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both"/>
        <w:textAlignment w:val="auto"/>
        <w:rPr>
          <w:rFonts w:hint="eastAsia" w:ascii="宋体" w:hAnsi="宋体" w:eastAsia="宋体" w:cs="宋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4.1.2</w:t>
      </w:r>
      <w:r>
        <w:rPr>
          <w:rFonts w:hint="eastAsia" w:ascii="宋体" w:hAnsi="宋体" w:eastAsia="宋体" w:cs="宋体"/>
          <w:color w:val="000000"/>
          <w:kern w:val="0"/>
          <w:sz w:val="21"/>
          <w:szCs w:val="21"/>
          <w:lang w:val="en-US" w:eastAsia="zh-CN" w:bidi="ar"/>
        </w:rPr>
        <w:t xml:space="preserve">  博物馆应按照 GA 27 确定风险等级，并在建设立项、使用过程、重大事件等各阶段按 GB/T 24353、 GB/T 27921、GB/T 30146、GB/T 33170.1、GB 50348 等标准的规定，落实安全防范风险评估工作要求。</w:t>
      </w:r>
    </w:p>
    <w:p w14:paraId="759B863B">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both"/>
        <w:textAlignment w:val="auto"/>
        <w:rPr>
          <w:rFonts w:hint="eastAsia" w:ascii="宋体" w:hAnsi="宋体" w:eastAsia="宋体" w:cs="宋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4.1.3</w:t>
      </w:r>
      <w:r>
        <w:rPr>
          <w:rFonts w:hint="eastAsia" w:ascii="宋体" w:hAnsi="宋体" w:eastAsia="宋体" w:cs="宋体"/>
          <w:color w:val="000000"/>
          <w:kern w:val="0"/>
          <w:sz w:val="21"/>
          <w:szCs w:val="21"/>
          <w:lang w:val="en-US" w:eastAsia="zh-CN" w:bidi="ar"/>
        </w:rPr>
        <w:t xml:space="preserve">  安全技术防范系统的工程建设程序应符合 GB 50348、GA/T 75 的规定，安全技术防范系统的工程设计应符合 GB 50348 的相关规定。</w:t>
      </w:r>
    </w:p>
    <w:p w14:paraId="7755373F">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both"/>
        <w:textAlignment w:val="auto"/>
        <w:rPr>
          <w:rFonts w:hint="eastAsia" w:ascii="宋体" w:hAnsi="宋体" w:eastAsia="宋体" w:cs="宋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4.1.4</w:t>
      </w:r>
      <w:r>
        <w:rPr>
          <w:rFonts w:hint="eastAsia" w:ascii="宋体" w:hAnsi="宋体" w:eastAsia="宋体" w:cs="宋体"/>
          <w:color w:val="000000"/>
          <w:kern w:val="0"/>
          <w:sz w:val="21"/>
          <w:szCs w:val="21"/>
          <w:lang w:val="en-US" w:eastAsia="zh-CN" w:bidi="ar"/>
        </w:rPr>
        <w:t xml:space="preserve">  安全技术防范系统中使用的设备和产品应符合国家相关法规、标准和规范的要求，并经检验或认证合格。</w:t>
      </w:r>
    </w:p>
    <w:p w14:paraId="0EC25E86">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both"/>
        <w:textAlignment w:val="auto"/>
        <w:rPr>
          <w:rFonts w:hint="eastAsia" w:ascii="宋体" w:hAnsi="宋体" w:eastAsia="宋体" w:cs="宋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4.1.5</w:t>
      </w:r>
      <w:r>
        <w:rPr>
          <w:rFonts w:hint="eastAsia" w:ascii="宋体" w:hAnsi="宋体" w:eastAsia="宋体" w:cs="宋体"/>
          <w:color w:val="000000"/>
          <w:kern w:val="0"/>
          <w:sz w:val="21"/>
          <w:szCs w:val="21"/>
          <w:lang w:val="en-US" w:eastAsia="zh-CN" w:bidi="ar"/>
        </w:rPr>
        <w:t xml:space="preserve">  安全技术防范系统应具备与上一级管理系统联网功能，终端接口及通信协议应符合国家现行有关标准规定。</w:t>
      </w:r>
    </w:p>
    <w:p w14:paraId="0CC4FA48">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both"/>
        <w:textAlignment w:val="auto"/>
        <w:rPr>
          <w:rFonts w:hint="eastAsia" w:ascii="宋体" w:hAnsi="宋体" w:eastAsia="宋体" w:cs="宋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4.1.6</w:t>
      </w:r>
      <w:r>
        <w:rPr>
          <w:rFonts w:hint="eastAsia" w:ascii="宋体" w:hAnsi="宋体" w:eastAsia="宋体" w:cs="宋体"/>
          <w:color w:val="000000"/>
          <w:kern w:val="0"/>
          <w:sz w:val="21"/>
          <w:szCs w:val="21"/>
          <w:lang w:val="en-US" w:eastAsia="zh-CN" w:bidi="ar"/>
        </w:rPr>
        <w:t xml:space="preserve">  安全技术防范系统的设</w:t>
      </w:r>
      <w:r>
        <w:rPr>
          <w:rFonts w:hint="eastAsia" w:ascii="宋体" w:hAnsi="宋体" w:eastAsia="宋体" w:cs="宋体"/>
          <w:color w:val="000000"/>
          <w:kern w:val="0"/>
          <w:sz w:val="21"/>
          <w:szCs w:val="21"/>
          <w:highlight w:val="none"/>
          <w:lang w:val="en-US" w:eastAsia="zh-CN" w:bidi="ar"/>
        </w:rPr>
        <w:t>计宜同苏州市监控</w:t>
      </w:r>
      <w:r>
        <w:rPr>
          <w:rFonts w:hint="eastAsia" w:ascii="宋体" w:hAnsi="宋体" w:eastAsia="宋体" w:cs="宋体"/>
          <w:color w:val="000000"/>
          <w:kern w:val="0"/>
          <w:sz w:val="21"/>
          <w:szCs w:val="21"/>
          <w:lang w:val="en-US" w:eastAsia="zh-CN" w:bidi="ar"/>
        </w:rPr>
        <w:t>报警联网系统的建设相协调、配套，作为社会监控报警接入资源时，其网络接口、性能要求应符合 GB/T 28181、GA/T 669.1 等相关标准要求。</w:t>
      </w:r>
    </w:p>
    <w:p w14:paraId="2CAE478E">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both"/>
        <w:textAlignment w:val="auto"/>
        <w:rPr>
          <w:rFonts w:hint="eastAsia" w:ascii="宋体" w:hAnsi="宋体" w:eastAsia="宋体" w:cs="宋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4.1.7</w:t>
      </w:r>
      <w:r>
        <w:rPr>
          <w:rFonts w:hint="eastAsia" w:ascii="宋体" w:hAnsi="宋体" w:eastAsia="宋体" w:cs="宋体"/>
          <w:color w:val="000000"/>
          <w:kern w:val="0"/>
          <w:sz w:val="21"/>
          <w:szCs w:val="21"/>
          <w:lang w:val="en-US" w:eastAsia="zh-CN" w:bidi="ar"/>
        </w:rPr>
        <w:t xml:space="preserve">  </w:t>
      </w:r>
      <w:r>
        <w:rPr>
          <w:rFonts w:hint="eastAsia" w:ascii="宋体" w:hAnsi="宋体" w:eastAsia="宋体" w:cs="宋体"/>
          <w:color w:val="000000"/>
          <w:kern w:val="0"/>
          <w:sz w:val="21"/>
          <w:szCs w:val="21"/>
          <w:highlight w:val="none"/>
          <w:lang w:val="en-US" w:eastAsia="zh-CN" w:bidi="ar"/>
        </w:rPr>
        <w:t>博物馆重要部位应根据表 1 的要求设置安全技术防范系统，图书馆重要部位应根据表 2 的要求设置安全技术防范系统，公共文化中心重要部位应根据表 3 的要求设置安全技术防范系统、体育馆重要部位应根据表 4 的要求设置安全技术防范系统。</w:t>
      </w:r>
      <w:r>
        <w:rPr>
          <w:rFonts w:hint="eastAsia" w:ascii="宋体" w:hAnsi="宋体" w:eastAsia="宋体" w:cs="宋体"/>
          <w:color w:val="000000"/>
          <w:kern w:val="0"/>
          <w:sz w:val="21"/>
          <w:szCs w:val="21"/>
          <w:lang w:val="en-US" w:eastAsia="zh-CN" w:bidi="ar"/>
        </w:rPr>
        <w:t>博物馆、图书馆、</w:t>
      </w:r>
      <w:r>
        <w:rPr>
          <w:rFonts w:hint="eastAsia" w:ascii="宋体" w:hAnsi="宋体" w:eastAsia="宋体" w:cs="宋体"/>
          <w:color w:val="000000"/>
          <w:kern w:val="0"/>
          <w:sz w:val="21"/>
          <w:szCs w:val="21"/>
          <w:highlight w:val="none"/>
          <w:lang w:val="en-US" w:eastAsia="zh-CN" w:bidi="ar"/>
        </w:rPr>
        <w:t>公</w:t>
      </w:r>
      <w:r>
        <w:rPr>
          <w:rFonts w:hint="eastAsia" w:ascii="宋体" w:hAnsi="宋体" w:eastAsia="宋体" w:cs="宋体"/>
          <w:color w:val="000000"/>
          <w:kern w:val="0"/>
          <w:sz w:val="21"/>
          <w:szCs w:val="21"/>
          <w:lang w:val="en-US" w:eastAsia="zh-CN" w:bidi="ar"/>
        </w:rPr>
        <w:t>共文化中心、体育馆内其他涉及重点单位重要部位的，应按照相关标准要求设置安全技术防范系统。</w:t>
      </w:r>
    </w:p>
    <w:p w14:paraId="2BAC6121">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both"/>
        <w:textAlignment w:val="auto"/>
        <w:rPr>
          <w:rFonts w:hint="eastAsia" w:ascii="宋体" w:hAnsi="宋体" w:eastAsia="宋体" w:cs="宋体"/>
          <w:color w:val="000000"/>
          <w:kern w:val="0"/>
          <w:sz w:val="21"/>
          <w:szCs w:val="21"/>
          <w:lang w:val="en-US" w:eastAsia="zh-CN" w:bidi="ar"/>
        </w:rPr>
      </w:pPr>
      <w:r>
        <w:rPr>
          <w:rFonts w:hint="eastAsia" w:ascii="黑体" w:hAnsi="黑体" w:eastAsia="黑体" w:cs="宋体"/>
          <w:kern w:val="0"/>
          <w:sz w:val="21"/>
          <w:szCs w:val="21"/>
          <w:lang w:val="en-US" w:eastAsia="zh-CN" w:bidi="ar-SA"/>
        </w:rPr>
        <w:t xml:space="preserve">4.1.8  </w:t>
      </w:r>
      <w:r>
        <w:rPr>
          <w:rFonts w:hint="eastAsia" w:ascii="宋体" w:hAnsi="宋体" w:eastAsia="宋体" w:cs="宋体"/>
          <w:color w:val="000000"/>
          <w:kern w:val="0"/>
          <w:sz w:val="21"/>
          <w:szCs w:val="21"/>
          <w:lang w:val="en-US" w:eastAsia="zh-CN" w:bidi="ar"/>
        </w:rPr>
        <w:t>安全技术防范系统工程的建设，除执行本部分外，还应符合 JGJ 66、JGJ 218、国家现行工程建设及有关技术标准、规范和规定。</w:t>
      </w:r>
    </w:p>
    <w:p w14:paraId="089A44B0">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48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表1  博物馆安全技术防范系统配置表</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605"/>
        <w:gridCol w:w="1699"/>
        <w:gridCol w:w="5347"/>
        <w:gridCol w:w="849"/>
      </w:tblGrid>
      <w:tr w14:paraId="2E32B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top"/>
          </w:tcPr>
          <w:p w14:paraId="689D9DE5">
            <w:pPr>
              <w:pStyle w:val="60"/>
              <w:spacing w:before="127"/>
              <w:ind w:left="142" w:leftChars="0" w:right="130" w:rightChars="0"/>
              <w:jc w:val="center"/>
              <w:rPr>
                <w:rFonts w:hint="eastAsia" w:eastAsia="宋体"/>
                <w:color w:val="auto"/>
                <w:sz w:val="18"/>
                <w:lang w:val="en-US" w:eastAsia="zh-CN"/>
              </w:rPr>
            </w:pPr>
            <w:r>
              <w:rPr>
                <w:color w:val="auto"/>
                <w:spacing w:val="-6"/>
                <w:sz w:val="18"/>
              </w:rPr>
              <w:t>序号</w:t>
            </w:r>
          </w:p>
        </w:tc>
        <w:tc>
          <w:tcPr>
            <w:tcW w:w="2304" w:type="dxa"/>
            <w:gridSpan w:val="2"/>
            <w:vAlign w:val="top"/>
          </w:tcPr>
          <w:p w14:paraId="483BE88A">
            <w:pPr>
              <w:pStyle w:val="60"/>
              <w:spacing w:before="127"/>
              <w:ind w:left="958" w:leftChars="0" w:right="947" w:rightChars="0"/>
              <w:jc w:val="center"/>
              <w:rPr>
                <w:rFonts w:hint="eastAsia" w:eastAsia="宋体"/>
                <w:color w:val="auto"/>
                <w:spacing w:val="-2"/>
                <w:sz w:val="18"/>
                <w:lang w:val="en-US" w:eastAsia="zh-CN"/>
              </w:rPr>
            </w:pPr>
            <w:r>
              <w:rPr>
                <w:color w:val="auto"/>
                <w:spacing w:val="-6"/>
                <w:sz w:val="18"/>
              </w:rPr>
              <w:t>项目</w:t>
            </w:r>
          </w:p>
        </w:tc>
        <w:tc>
          <w:tcPr>
            <w:tcW w:w="5347" w:type="dxa"/>
            <w:vAlign w:val="top"/>
          </w:tcPr>
          <w:p w14:paraId="620EECFC">
            <w:pPr>
              <w:pStyle w:val="60"/>
              <w:spacing w:before="127"/>
              <w:ind w:left="1854" w:leftChars="0" w:right="1849" w:rightChars="0"/>
              <w:jc w:val="center"/>
              <w:rPr>
                <w:color w:val="auto"/>
                <w:spacing w:val="-4"/>
                <w:sz w:val="18"/>
              </w:rPr>
            </w:pPr>
            <w:r>
              <w:rPr>
                <w:color w:val="auto"/>
                <w:spacing w:val="-3"/>
                <w:sz w:val="18"/>
              </w:rPr>
              <w:t>安装区域或覆盖范围</w:t>
            </w:r>
          </w:p>
        </w:tc>
        <w:tc>
          <w:tcPr>
            <w:tcW w:w="849" w:type="dxa"/>
            <w:vAlign w:val="top"/>
          </w:tcPr>
          <w:p w14:paraId="3426D83D">
            <w:pPr>
              <w:pStyle w:val="60"/>
              <w:spacing w:before="7" w:line="230" w:lineRule="exact"/>
              <w:ind w:left="248" w:leftChars="0" w:right="228" w:rightChars="0"/>
              <w:rPr>
                <w:color w:val="auto"/>
                <w:spacing w:val="-5"/>
                <w:sz w:val="18"/>
              </w:rPr>
            </w:pPr>
            <w:r>
              <w:rPr>
                <w:color w:val="auto"/>
                <w:spacing w:val="-6"/>
                <w:sz w:val="18"/>
              </w:rPr>
              <w:t>配置要求</w:t>
            </w:r>
          </w:p>
        </w:tc>
      </w:tr>
      <w:tr w14:paraId="451CE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4AD2606">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restart"/>
            <w:vAlign w:val="center"/>
          </w:tcPr>
          <w:p w14:paraId="03B88FC6">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z w:val="18"/>
              </w:rPr>
            </w:pPr>
            <w:r>
              <w:rPr>
                <w:spacing w:val="-6"/>
                <w:sz w:val="18"/>
              </w:rPr>
              <w:t>视频安防监控系统</w:t>
            </w:r>
          </w:p>
        </w:tc>
        <w:tc>
          <w:tcPr>
            <w:tcW w:w="1699" w:type="dxa"/>
            <w:vMerge w:val="restart"/>
            <w:vAlign w:val="center"/>
          </w:tcPr>
          <w:p w14:paraId="11D93A0B">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r>
              <w:rPr>
                <w:spacing w:val="-4"/>
                <w:sz w:val="18"/>
              </w:rPr>
              <w:t>彩色摄像机</w:t>
            </w:r>
          </w:p>
        </w:tc>
        <w:tc>
          <w:tcPr>
            <w:tcW w:w="5347" w:type="dxa"/>
            <w:vAlign w:val="center"/>
          </w:tcPr>
          <w:p w14:paraId="47F2228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color w:val="auto"/>
                <w:sz w:val="18"/>
              </w:rPr>
            </w:pPr>
            <w:r>
              <w:rPr>
                <w:spacing w:val="-2"/>
                <w:sz w:val="18"/>
              </w:rPr>
              <w:t>院区出入口外50m</w:t>
            </w:r>
            <w:r>
              <w:rPr>
                <w:spacing w:val="-4"/>
                <w:sz w:val="18"/>
              </w:rPr>
              <w:t>范围街面</w:t>
            </w:r>
          </w:p>
        </w:tc>
        <w:tc>
          <w:tcPr>
            <w:tcW w:w="849" w:type="dxa"/>
            <w:vAlign w:val="center"/>
          </w:tcPr>
          <w:p w14:paraId="2767C6B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z w:val="18"/>
              </w:rPr>
            </w:pPr>
            <w:r>
              <w:rPr>
                <w:spacing w:val="-5"/>
                <w:sz w:val="18"/>
              </w:rPr>
              <w:t>应配置</w:t>
            </w:r>
          </w:p>
        </w:tc>
      </w:tr>
      <w:tr w14:paraId="06855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DEDD100">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42C556E9">
            <w:pPr>
              <w:pStyle w:val="60"/>
              <w:spacing w:before="1" w:line="208" w:lineRule="auto"/>
              <w:ind w:left="123" w:right="109"/>
              <w:jc w:val="both"/>
              <w:rPr>
                <w:color w:val="auto"/>
                <w:spacing w:val="-6"/>
                <w:sz w:val="18"/>
              </w:rPr>
            </w:pPr>
          </w:p>
        </w:tc>
        <w:tc>
          <w:tcPr>
            <w:tcW w:w="1699" w:type="dxa"/>
            <w:vMerge w:val="continue"/>
            <w:vAlign w:val="center"/>
          </w:tcPr>
          <w:p w14:paraId="18A06CE4">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p>
        </w:tc>
        <w:tc>
          <w:tcPr>
            <w:tcW w:w="5347" w:type="dxa"/>
            <w:vAlign w:val="center"/>
          </w:tcPr>
          <w:p w14:paraId="6867D13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院区周界</w:t>
            </w:r>
          </w:p>
        </w:tc>
        <w:tc>
          <w:tcPr>
            <w:tcW w:w="849" w:type="dxa"/>
            <w:vAlign w:val="center"/>
          </w:tcPr>
          <w:p w14:paraId="1285B62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7F9F2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428A2E1">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0DE52549">
            <w:pPr>
              <w:pStyle w:val="60"/>
              <w:spacing w:before="1" w:line="208" w:lineRule="auto"/>
              <w:ind w:left="123" w:right="109"/>
              <w:jc w:val="both"/>
              <w:rPr>
                <w:color w:val="auto"/>
                <w:spacing w:val="-6"/>
                <w:sz w:val="18"/>
              </w:rPr>
            </w:pPr>
          </w:p>
        </w:tc>
        <w:tc>
          <w:tcPr>
            <w:tcW w:w="1699" w:type="dxa"/>
            <w:vMerge w:val="continue"/>
            <w:vAlign w:val="center"/>
          </w:tcPr>
          <w:p w14:paraId="4B96FA89">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p>
        </w:tc>
        <w:tc>
          <w:tcPr>
            <w:tcW w:w="5347" w:type="dxa"/>
            <w:vAlign w:val="center"/>
          </w:tcPr>
          <w:p w14:paraId="266F96C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建筑物（群）外周界、室外周界、室内周界</w:t>
            </w:r>
          </w:p>
        </w:tc>
        <w:tc>
          <w:tcPr>
            <w:tcW w:w="849" w:type="dxa"/>
            <w:vAlign w:val="center"/>
          </w:tcPr>
          <w:p w14:paraId="0A74DA7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1E2FE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58FF5F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7091DBCF">
            <w:pPr>
              <w:pStyle w:val="60"/>
              <w:spacing w:before="1" w:line="208" w:lineRule="auto"/>
              <w:ind w:left="123" w:right="109"/>
              <w:jc w:val="both"/>
              <w:rPr>
                <w:color w:val="auto"/>
                <w:spacing w:val="-6"/>
                <w:sz w:val="18"/>
              </w:rPr>
            </w:pPr>
          </w:p>
        </w:tc>
        <w:tc>
          <w:tcPr>
            <w:tcW w:w="1699" w:type="dxa"/>
            <w:vMerge w:val="continue"/>
            <w:vAlign w:val="center"/>
          </w:tcPr>
          <w:p w14:paraId="7ED2ACBC">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p>
        </w:tc>
        <w:tc>
          <w:tcPr>
            <w:tcW w:w="5347" w:type="dxa"/>
            <w:vAlign w:val="center"/>
          </w:tcPr>
          <w:p w14:paraId="6D0A549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院区与外界相通出入口</w:t>
            </w:r>
          </w:p>
        </w:tc>
        <w:tc>
          <w:tcPr>
            <w:tcW w:w="849" w:type="dxa"/>
            <w:vAlign w:val="center"/>
          </w:tcPr>
          <w:p w14:paraId="6B878B1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6FD0C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37AE8DF">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6E9CDBB9">
            <w:pPr>
              <w:pStyle w:val="60"/>
              <w:spacing w:before="1" w:line="208" w:lineRule="auto"/>
              <w:ind w:left="123" w:right="109"/>
              <w:jc w:val="both"/>
              <w:rPr>
                <w:color w:val="auto"/>
                <w:spacing w:val="-6"/>
                <w:sz w:val="18"/>
              </w:rPr>
            </w:pPr>
          </w:p>
        </w:tc>
        <w:tc>
          <w:tcPr>
            <w:tcW w:w="1699" w:type="dxa"/>
            <w:vMerge w:val="continue"/>
            <w:vAlign w:val="center"/>
          </w:tcPr>
          <w:p w14:paraId="47D23EC2">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p>
        </w:tc>
        <w:tc>
          <w:tcPr>
            <w:tcW w:w="5347" w:type="dxa"/>
            <w:vAlign w:val="center"/>
          </w:tcPr>
          <w:p w14:paraId="5BBAAA2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人员聚集区/广场区、易攀爬/跌落区、公共服务区的制高点</w:t>
            </w:r>
          </w:p>
        </w:tc>
        <w:tc>
          <w:tcPr>
            <w:tcW w:w="849" w:type="dxa"/>
            <w:vAlign w:val="center"/>
          </w:tcPr>
          <w:p w14:paraId="40642F2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19A55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04E9BFE">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60DCFFB6">
            <w:pPr>
              <w:pStyle w:val="60"/>
              <w:spacing w:before="1" w:line="208" w:lineRule="auto"/>
              <w:ind w:left="123" w:right="109"/>
              <w:jc w:val="both"/>
              <w:rPr>
                <w:color w:val="auto"/>
                <w:spacing w:val="-6"/>
                <w:sz w:val="18"/>
              </w:rPr>
            </w:pPr>
          </w:p>
        </w:tc>
        <w:tc>
          <w:tcPr>
            <w:tcW w:w="1699" w:type="dxa"/>
            <w:vMerge w:val="continue"/>
            <w:vAlign w:val="center"/>
          </w:tcPr>
          <w:p w14:paraId="3914E7F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vAlign w:val="center"/>
          </w:tcPr>
          <w:p w14:paraId="71599A2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集中停车场、广场</w:t>
            </w:r>
          </w:p>
        </w:tc>
        <w:tc>
          <w:tcPr>
            <w:tcW w:w="849" w:type="dxa"/>
            <w:vAlign w:val="center"/>
          </w:tcPr>
          <w:p w14:paraId="5468DCB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17896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5269D60">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6A0BDF10">
            <w:pPr>
              <w:pStyle w:val="60"/>
              <w:spacing w:before="1" w:line="208" w:lineRule="auto"/>
              <w:ind w:left="123" w:right="109"/>
              <w:jc w:val="both"/>
              <w:rPr>
                <w:color w:val="auto"/>
                <w:spacing w:val="-6"/>
                <w:sz w:val="18"/>
              </w:rPr>
            </w:pPr>
          </w:p>
        </w:tc>
        <w:tc>
          <w:tcPr>
            <w:tcW w:w="1699" w:type="dxa"/>
            <w:vMerge w:val="continue"/>
            <w:vAlign w:val="center"/>
          </w:tcPr>
          <w:p w14:paraId="18345B0B">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vAlign w:val="center"/>
          </w:tcPr>
          <w:p w14:paraId="7B3B780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人（车）行主要通道，停车库/场主要通道</w:t>
            </w:r>
          </w:p>
        </w:tc>
        <w:tc>
          <w:tcPr>
            <w:tcW w:w="849" w:type="dxa"/>
            <w:vAlign w:val="center"/>
          </w:tcPr>
          <w:p w14:paraId="1723078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54734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CBA0B56">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2A592849">
            <w:pPr>
              <w:pStyle w:val="60"/>
              <w:spacing w:before="1" w:line="208" w:lineRule="auto"/>
              <w:ind w:left="123" w:right="109"/>
              <w:jc w:val="both"/>
              <w:rPr>
                <w:color w:val="auto"/>
                <w:spacing w:val="-6"/>
                <w:sz w:val="18"/>
              </w:rPr>
            </w:pPr>
          </w:p>
        </w:tc>
        <w:tc>
          <w:tcPr>
            <w:tcW w:w="1699" w:type="dxa"/>
            <w:vMerge w:val="continue"/>
            <w:vAlign w:val="center"/>
          </w:tcPr>
          <w:p w14:paraId="4240674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vAlign w:val="center"/>
          </w:tcPr>
          <w:p w14:paraId="61E40CA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建筑（含停车库/场）与外界相通出入口</w:t>
            </w:r>
          </w:p>
        </w:tc>
        <w:tc>
          <w:tcPr>
            <w:tcW w:w="849" w:type="dxa"/>
            <w:vAlign w:val="center"/>
          </w:tcPr>
          <w:p w14:paraId="56801BE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76BD8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5CCF385">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1A741122">
            <w:pPr>
              <w:pStyle w:val="60"/>
              <w:spacing w:before="1" w:line="208" w:lineRule="auto"/>
              <w:ind w:left="123" w:right="109"/>
              <w:jc w:val="both"/>
              <w:rPr>
                <w:color w:val="auto"/>
                <w:spacing w:val="-6"/>
                <w:sz w:val="18"/>
              </w:rPr>
            </w:pPr>
          </w:p>
        </w:tc>
        <w:tc>
          <w:tcPr>
            <w:tcW w:w="1699" w:type="dxa"/>
            <w:vMerge w:val="continue"/>
            <w:vAlign w:val="center"/>
          </w:tcPr>
          <w:p w14:paraId="5EFC27A0">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vAlign w:val="center"/>
          </w:tcPr>
          <w:p w14:paraId="462126C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展馆与外界相通出入口</w:t>
            </w:r>
          </w:p>
        </w:tc>
        <w:tc>
          <w:tcPr>
            <w:tcW w:w="849" w:type="dxa"/>
            <w:vAlign w:val="center"/>
          </w:tcPr>
          <w:p w14:paraId="39D22EE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3C3F2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15316E6">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3759B7D">
            <w:pPr>
              <w:pStyle w:val="60"/>
              <w:spacing w:before="1" w:line="208" w:lineRule="auto"/>
              <w:ind w:left="123" w:right="109"/>
              <w:jc w:val="both"/>
              <w:rPr>
                <w:color w:val="auto"/>
                <w:spacing w:val="-6"/>
                <w:sz w:val="18"/>
              </w:rPr>
            </w:pPr>
          </w:p>
        </w:tc>
        <w:tc>
          <w:tcPr>
            <w:tcW w:w="1699" w:type="dxa"/>
            <w:vMerge w:val="continue"/>
            <w:vAlign w:val="center"/>
          </w:tcPr>
          <w:p w14:paraId="7B8044D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vAlign w:val="center"/>
          </w:tcPr>
          <w:p w14:paraId="23687BE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总接待处、总服务台、售（领）票处、观众登记处、纠纷接待处、贵重物品寄存处</w:t>
            </w:r>
          </w:p>
        </w:tc>
        <w:tc>
          <w:tcPr>
            <w:tcW w:w="849" w:type="dxa"/>
            <w:vAlign w:val="center"/>
          </w:tcPr>
          <w:p w14:paraId="1AE99BA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72774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3225CE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E9EFF56">
            <w:pPr>
              <w:pStyle w:val="60"/>
              <w:spacing w:before="1" w:line="208" w:lineRule="auto"/>
              <w:ind w:left="123" w:right="109"/>
              <w:jc w:val="both"/>
              <w:rPr>
                <w:color w:val="auto"/>
                <w:spacing w:val="-6"/>
                <w:sz w:val="18"/>
              </w:rPr>
            </w:pPr>
          </w:p>
        </w:tc>
        <w:tc>
          <w:tcPr>
            <w:tcW w:w="1699" w:type="dxa"/>
            <w:vMerge w:val="continue"/>
            <w:vAlign w:val="center"/>
          </w:tcPr>
          <w:p w14:paraId="2CE14E8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vAlign w:val="center"/>
          </w:tcPr>
          <w:p w14:paraId="48A471B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广播室、贵宾休息室的出入口</w:t>
            </w:r>
          </w:p>
        </w:tc>
        <w:tc>
          <w:tcPr>
            <w:tcW w:w="849" w:type="dxa"/>
            <w:vAlign w:val="center"/>
          </w:tcPr>
          <w:p w14:paraId="2F70FDC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spacing w:val="-5"/>
                <w:sz w:val="18"/>
              </w:rPr>
              <w:t>应配置</w:t>
            </w:r>
          </w:p>
        </w:tc>
      </w:tr>
      <w:tr w14:paraId="6BAFA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0550D4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528C318D">
            <w:pPr>
              <w:pStyle w:val="60"/>
              <w:spacing w:before="1" w:line="208" w:lineRule="auto"/>
              <w:ind w:left="123" w:right="109"/>
              <w:jc w:val="both"/>
              <w:rPr>
                <w:color w:val="auto"/>
                <w:spacing w:val="-6"/>
                <w:sz w:val="18"/>
              </w:rPr>
            </w:pPr>
          </w:p>
        </w:tc>
        <w:tc>
          <w:tcPr>
            <w:tcW w:w="1699" w:type="dxa"/>
            <w:vMerge w:val="restart"/>
            <w:shd w:val="clear" w:color="auto" w:fill="auto"/>
            <w:vAlign w:val="center"/>
          </w:tcPr>
          <w:p w14:paraId="59E099BF">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ascii="宋体" w:hAnsi="宋体" w:eastAsia="宋体" w:cs="宋体"/>
                <w:color w:val="auto"/>
                <w:spacing w:val="-2"/>
                <w:kern w:val="2"/>
                <w:sz w:val="18"/>
                <w:szCs w:val="22"/>
                <w:lang w:val="en-US" w:eastAsia="en-US" w:bidi="ar-SA"/>
              </w:rPr>
            </w:pPr>
            <w:r>
              <w:rPr>
                <w:spacing w:val="-4"/>
                <w:sz w:val="18"/>
              </w:rPr>
              <w:t>彩色摄像机</w:t>
            </w:r>
          </w:p>
        </w:tc>
        <w:tc>
          <w:tcPr>
            <w:tcW w:w="5347" w:type="dxa"/>
            <w:shd w:val="clear" w:color="auto" w:fill="auto"/>
            <w:vAlign w:val="center"/>
          </w:tcPr>
          <w:p w14:paraId="5911DA7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为公众提供教育、会议、商务、售票、购物、休息、娱乐、交通等配套服务和公共活动的区域</w:t>
            </w:r>
          </w:p>
        </w:tc>
        <w:tc>
          <w:tcPr>
            <w:tcW w:w="849" w:type="dxa"/>
            <w:shd w:val="clear" w:color="auto" w:fill="auto"/>
            <w:vAlign w:val="center"/>
          </w:tcPr>
          <w:p w14:paraId="1B432BB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3A315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D800107">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04992B66">
            <w:pPr>
              <w:pStyle w:val="60"/>
              <w:spacing w:before="1" w:line="208" w:lineRule="auto"/>
              <w:ind w:left="123" w:right="109"/>
              <w:jc w:val="both"/>
              <w:rPr>
                <w:color w:val="auto"/>
                <w:spacing w:val="-6"/>
                <w:sz w:val="18"/>
              </w:rPr>
            </w:pPr>
          </w:p>
        </w:tc>
        <w:tc>
          <w:tcPr>
            <w:tcW w:w="1699" w:type="dxa"/>
            <w:vMerge w:val="continue"/>
            <w:vAlign w:val="center"/>
          </w:tcPr>
          <w:p w14:paraId="130824C2">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137EE45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售（检）票、安检等排队等候区域</w:t>
            </w:r>
          </w:p>
        </w:tc>
        <w:tc>
          <w:tcPr>
            <w:tcW w:w="849" w:type="dxa"/>
            <w:shd w:val="clear" w:color="auto" w:fill="auto"/>
            <w:vAlign w:val="center"/>
          </w:tcPr>
          <w:p w14:paraId="7A1EAB3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71A50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A90CD90">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470E4886">
            <w:pPr>
              <w:pStyle w:val="60"/>
              <w:spacing w:before="1" w:line="208" w:lineRule="auto"/>
              <w:ind w:left="123" w:right="109"/>
              <w:jc w:val="both"/>
              <w:rPr>
                <w:color w:val="auto"/>
                <w:spacing w:val="-6"/>
                <w:sz w:val="18"/>
              </w:rPr>
            </w:pPr>
          </w:p>
        </w:tc>
        <w:tc>
          <w:tcPr>
            <w:tcW w:w="1699" w:type="dxa"/>
            <w:vMerge w:val="continue"/>
            <w:vAlign w:val="center"/>
          </w:tcPr>
          <w:p w14:paraId="0CDE021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270DB3D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展品/藏品装卸、拆封、交接、清点区域，展品/藏品运送通道</w:t>
            </w:r>
          </w:p>
        </w:tc>
        <w:tc>
          <w:tcPr>
            <w:tcW w:w="849" w:type="dxa"/>
            <w:shd w:val="clear" w:color="auto" w:fill="auto"/>
            <w:vAlign w:val="center"/>
          </w:tcPr>
          <w:p w14:paraId="1650900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A754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38D9B8C">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7DAD7AA2">
            <w:pPr>
              <w:pStyle w:val="60"/>
              <w:spacing w:before="1" w:line="208" w:lineRule="auto"/>
              <w:ind w:left="123" w:right="109"/>
              <w:jc w:val="both"/>
              <w:rPr>
                <w:color w:val="auto"/>
                <w:spacing w:val="-6"/>
                <w:sz w:val="18"/>
              </w:rPr>
            </w:pPr>
          </w:p>
        </w:tc>
        <w:tc>
          <w:tcPr>
            <w:tcW w:w="1699" w:type="dxa"/>
            <w:vMerge w:val="continue"/>
            <w:vAlign w:val="center"/>
          </w:tcPr>
          <w:p w14:paraId="5063EA51">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28E3062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展品/藏品库区、库房、技术保护用房的出入口</w:t>
            </w:r>
          </w:p>
        </w:tc>
        <w:tc>
          <w:tcPr>
            <w:tcW w:w="849" w:type="dxa"/>
            <w:shd w:val="clear" w:color="auto" w:fill="auto"/>
            <w:vAlign w:val="center"/>
          </w:tcPr>
          <w:p w14:paraId="2776653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498D4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1D4828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0098C9F0">
            <w:pPr>
              <w:pStyle w:val="60"/>
              <w:spacing w:before="1" w:line="208" w:lineRule="auto"/>
              <w:ind w:left="123" w:right="109"/>
              <w:jc w:val="both"/>
              <w:rPr>
                <w:color w:val="auto"/>
                <w:spacing w:val="-6"/>
                <w:sz w:val="18"/>
              </w:rPr>
            </w:pPr>
          </w:p>
        </w:tc>
        <w:tc>
          <w:tcPr>
            <w:tcW w:w="1699" w:type="dxa"/>
            <w:vMerge w:val="continue"/>
            <w:vAlign w:val="center"/>
          </w:tcPr>
          <w:p w14:paraId="38BEF3AC">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4C49B21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藏品库区、库房的内、外周界或通道</w:t>
            </w:r>
          </w:p>
        </w:tc>
        <w:tc>
          <w:tcPr>
            <w:tcW w:w="849" w:type="dxa"/>
            <w:shd w:val="clear" w:color="auto" w:fill="auto"/>
            <w:vAlign w:val="center"/>
          </w:tcPr>
          <w:p w14:paraId="6281EAF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7CE02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D1BD8D6">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20724104">
            <w:pPr>
              <w:pStyle w:val="60"/>
              <w:spacing w:before="1" w:line="208" w:lineRule="auto"/>
              <w:ind w:left="123" w:right="109"/>
              <w:jc w:val="both"/>
              <w:rPr>
                <w:color w:val="auto"/>
                <w:spacing w:val="-6"/>
                <w:sz w:val="18"/>
              </w:rPr>
            </w:pPr>
          </w:p>
        </w:tc>
        <w:tc>
          <w:tcPr>
            <w:tcW w:w="1699" w:type="dxa"/>
            <w:vMerge w:val="continue"/>
            <w:vAlign w:val="center"/>
          </w:tcPr>
          <w:p w14:paraId="43C9F614">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4D2F845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展品/藏品库区、库房、技术保护用房</w:t>
            </w:r>
          </w:p>
        </w:tc>
        <w:tc>
          <w:tcPr>
            <w:tcW w:w="849" w:type="dxa"/>
            <w:shd w:val="clear" w:color="auto" w:fill="auto"/>
            <w:vAlign w:val="center"/>
          </w:tcPr>
          <w:p w14:paraId="6552299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7443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0A0EEDE">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5012E2DD">
            <w:pPr>
              <w:pStyle w:val="60"/>
              <w:spacing w:before="1" w:line="208" w:lineRule="auto"/>
              <w:ind w:left="123" w:right="109"/>
              <w:jc w:val="both"/>
              <w:rPr>
                <w:color w:val="auto"/>
                <w:spacing w:val="-6"/>
                <w:sz w:val="18"/>
              </w:rPr>
            </w:pPr>
          </w:p>
        </w:tc>
        <w:tc>
          <w:tcPr>
            <w:tcW w:w="1699" w:type="dxa"/>
            <w:vMerge w:val="continue"/>
            <w:vAlign w:val="center"/>
          </w:tcPr>
          <w:p w14:paraId="55F52E7B">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05C4CE9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展场、展厅的出入口</w:t>
            </w:r>
          </w:p>
        </w:tc>
        <w:tc>
          <w:tcPr>
            <w:tcW w:w="849" w:type="dxa"/>
            <w:shd w:val="clear" w:color="auto" w:fill="auto"/>
            <w:vAlign w:val="center"/>
          </w:tcPr>
          <w:p w14:paraId="2C29535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B947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F3FCD7C">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0BE448C5">
            <w:pPr>
              <w:pStyle w:val="60"/>
              <w:spacing w:before="1" w:line="208" w:lineRule="auto"/>
              <w:ind w:left="123" w:right="109"/>
              <w:jc w:val="both"/>
              <w:rPr>
                <w:color w:val="auto"/>
                <w:spacing w:val="-6"/>
                <w:sz w:val="18"/>
              </w:rPr>
            </w:pPr>
          </w:p>
        </w:tc>
        <w:tc>
          <w:tcPr>
            <w:tcW w:w="1699" w:type="dxa"/>
            <w:vMerge w:val="continue"/>
            <w:vAlign w:val="center"/>
          </w:tcPr>
          <w:p w14:paraId="2F4BE3E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369A955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展场、展厅的主要通道</w:t>
            </w:r>
          </w:p>
        </w:tc>
        <w:tc>
          <w:tcPr>
            <w:tcW w:w="849" w:type="dxa"/>
            <w:shd w:val="clear" w:color="auto" w:fill="auto"/>
            <w:vAlign w:val="center"/>
          </w:tcPr>
          <w:p w14:paraId="6DC480B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74C3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DCF3A2E">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6C717F7E">
            <w:pPr>
              <w:pStyle w:val="60"/>
              <w:spacing w:before="1" w:line="208" w:lineRule="auto"/>
              <w:ind w:left="123" w:right="109"/>
              <w:jc w:val="both"/>
              <w:rPr>
                <w:color w:val="auto"/>
                <w:spacing w:val="-6"/>
                <w:sz w:val="18"/>
              </w:rPr>
            </w:pPr>
          </w:p>
        </w:tc>
        <w:tc>
          <w:tcPr>
            <w:tcW w:w="1699" w:type="dxa"/>
            <w:vMerge w:val="continue"/>
            <w:vAlign w:val="center"/>
          </w:tcPr>
          <w:p w14:paraId="09BA9B1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71D0AEF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特殊展品的展示部位及展示区域</w:t>
            </w:r>
          </w:p>
        </w:tc>
        <w:tc>
          <w:tcPr>
            <w:tcW w:w="849" w:type="dxa"/>
            <w:shd w:val="clear" w:color="auto" w:fill="auto"/>
            <w:vAlign w:val="center"/>
          </w:tcPr>
          <w:p w14:paraId="32A8FBB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C1E8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750DF98">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1D35DD19">
            <w:pPr>
              <w:pStyle w:val="60"/>
              <w:spacing w:before="1" w:line="208" w:lineRule="auto"/>
              <w:ind w:left="123" w:right="109"/>
              <w:jc w:val="both"/>
              <w:rPr>
                <w:color w:val="auto"/>
                <w:spacing w:val="-6"/>
                <w:sz w:val="18"/>
              </w:rPr>
            </w:pPr>
          </w:p>
        </w:tc>
        <w:tc>
          <w:tcPr>
            <w:tcW w:w="1699" w:type="dxa"/>
            <w:vMerge w:val="continue"/>
            <w:vAlign w:val="center"/>
          </w:tcPr>
          <w:p w14:paraId="792A8E5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48430D3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各楼层公共过厅、公共走道</w:t>
            </w:r>
          </w:p>
        </w:tc>
        <w:tc>
          <w:tcPr>
            <w:tcW w:w="849" w:type="dxa"/>
            <w:shd w:val="clear" w:color="auto" w:fill="auto"/>
            <w:vAlign w:val="center"/>
          </w:tcPr>
          <w:p w14:paraId="1ED7B29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7FB41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8289B15">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7EB52298">
            <w:pPr>
              <w:pStyle w:val="60"/>
              <w:spacing w:before="1" w:line="208" w:lineRule="auto"/>
              <w:ind w:left="123" w:right="109"/>
              <w:jc w:val="both"/>
              <w:rPr>
                <w:color w:val="auto"/>
                <w:spacing w:val="-6"/>
                <w:sz w:val="18"/>
              </w:rPr>
            </w:pPr>
          </w:p>
        </w:tc>
        <w:tc>
          <w:tcPr>
            <w:tcW w:w="1699" w:type="dxa"/>
            <w:vMerge w:val="continue"/>
            <w:vAlign w:val="center"/>
          </w:tcPr>
          <w:p w14:paraId="7CCD9169">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73AF530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各楼层（含停车库/场）电梯厅、楼梯（含自动扶梯）口</w:t>
            </w:r>
          </w:p>
        </w:tc>
        <w:tc>
          <w:tcPr>
            <w:tcW w:w="849" w:type="dxa"/>
            <w:shd w:val="clear" w:color="auto" w:fill="auto"/>
            <w:vAlign w:val="center"/>
          </w:tcPr>
          <w:p w14:paraId="756512E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4B77A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15AD1C3">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75123D00">
            <w:pPr>
              <w:pStyle w:val="60"/>
              <w:spacing w:before="1" w:line="208" w:lineRule="auto"/>
              <w:ind w:left="123" w:right="109"/>
              <w:jc w:val="both"/>
              <w:rPr>
                <w:color w:val="auto"/>
                <w:spacing w:val="-6"/>
                <w:sz w:val="18"/>
              </w:rPr>
            </w:pPr>
          </w:p>
        </w:tc>
        <w:tc>
          <w:tcPr>
            <w:tcW w:w="1699" w:type="dxa"/>
            <w:vMerge w:val="continue"/>
            <w:vAlign w:val="center"/>
          </w:tcPr>
          <w:p w14:paraId="50205EE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77FA381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电梯轿厢内</w:t>
            </w:r>
          </w:p>
        </w:tc>
        <w:tc>
          <w:tcPr>
            <w:tcW w:w="849" w:type="dxa"/>
            <w:shd w:val="clear" w:color="auto" w:fill="auto"/>
            <w:vAlign w:val="center"/>
          </w:tcPr>
          <w:p w14:paraId="5E2CD4B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EDB3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4F886DA">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2675AED9">
            <w:pPr>
              <w:pStyle w:val="60"/>
              <w:spacing w:before="1" w:line="208" w:lineRule="auto"/>
              <w:ind w:left="123" w:right="109"/>
              <w:jc w:val="both"/>
              <w:rPr>
                <w:color w:val="auto"/>
                <w:spacing w:val="-6"/>
                <w:sz w:val="18"/>
              </w:rPr>
            </w:pPr>
          </w:p>
        </w:tc>
        <w:tc>
          <w:tcPr>
            <w:tcW w:w="1699" w:type="dxa"/>
            <w:vMerge w:val="continue"/>
            <w:vAlign w:val="center"/>
          </w:tcPr>
          <w:p w14:paraId="7E6CE38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003A938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顶层出入口</w:t>
            </w:r>
          </w:p>
        </w:tc>
        <w:tc>
          <w:tcPr>
            <w:tcW w:w="849" w:type="dxa"/>
            <w:shd w:val="clear" w:color="auto" w:fill="auto"/>
            <w:vAlign w:val="center"/>
          </w:tcPr>
          <w:p w14:paraId="36BC902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410F7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900A9AD">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75EC573F">
            <w:pPr>
              <w:pStyle w:val="60"/>
              <w:spacing w:before="1" w:line="208" w:lineRule="auto"/>
              <w:ind w:left="123" w:right="109"/>
              <w:jc w:val="both"/>
              <w:rPr>
                <w:color w:val="auto"/>
                <w:spacing w:val="-6"/>
                <w:sz w:val="18"/>
              </w:rPr>
            </w:pPr>
          </w:p>
        </w:tc>
        <w:tc>
          <w:tcPr>
            <w:tcW w:w="1699" w:type="dxa"/>
            <w:vMerge w:val="continue"/>
            <w:vAlign w:val="center"/>
          </w:tcPr>
          <w:p w14:paraId="31C9F76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70DD132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开放式平台</w:t>
            </w:r>
          </w:p>
        </w:tc>
        <w:tc>
          <w:tcPr>
            <w:tcW w:w="849" w:type="dxa"/>
            <w:shd w:val="clear" w:color="auto" w:fill="auto"/>
            <w:vAlign w:val="center"/>
          </w:tcPr>
          <w:p w14:paraId="13D7CFB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0224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B69E7F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2609A22C">
            <w:pPr>
              <w:pStyle w:val="60"/>
              <w:spacing w:before="1" w:line="208" w:lineRule="auto"/>
              <w:ind w:left="123" w:right="109"/>
              <w:jc w:val="both"/>
              <w:rPr>
                <w:color w:val="auto"/>
                <w:spacing w:val="-6"/>
                <w:sz w:val="18"/>
              </w:rPr>
            </w:pPr>
          </w:p>
        </w:tc>
        <w:tc>
          <w:tcPr>
            <w:tcW w:w="1699" w:type="dxa"/>
            <w:vMerge w:val="continue"/>
            <w:vAlign w:val="center"/>
          </w:tcPr>
          <w:p w14:paraId="0273EB8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602C5CC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变（配）电、供水泵房、电梯机房、通信机房、空调机房等设备机房</w:t>
            </w:r>
          </w:p>
        </w:tc>
        <w:tc>
          <w:tcPr>
            <w:tcW w:w="849" w:type="dxa"/>
            <w:shd w:val="clear" w:color="auto" w:fill="auto"/>
            <w:vAlign w:val="center"/>
          </w:tcPr>
          <w:p w14:paraId="187F1B9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宜配置</w:t>
            </w:r>
          </w:p>
        </w:tc>
      </w:tr>
      <w:tr w14:paraId="6F508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6A0F35B">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605159E9">
            <w:pPr>
              <w:pStyle w:val="60"/>
              <w:spacing w:before="1" w:line="208" w:lineRule="auto"/>
              <w:ind w:left="123" w:right="109"/>
              <w:jc w:val="both"/>
              <w:rPr>
                <w:color w:val="auto"/>
                <w:spacing w:val="-6"/>
                <w:sz w:val="18"/>
              </w:rPr>
            </w:pPr>
          </w:p>
        </w:tc>
        <w:tc>
          <w:tcPr>
            <w:tcW w:w="1699" w:type="dxa"/>
            <w:vMerge w:val="continue"/>
            <w:vAlign w:val="center"/>
          </w:tcPr>
          <w:p w14:paraId="7F7EA03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41BEC71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信息中心、安防设备等重要设备机房的出入口</w:t>
            </w:r>
          </w:p>
        </w:tc>
        <w:tc>
          <w:tcPr>
            <w:tcW w:w="849" w:type="dxa"/>
            <w:shd w:val="clear" w:color="auto" w:fill="auto"/>
            <w:vAlign w:val="center"/>
          </w:tcPr>
          <w:p w14:paraId="6FA5F72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751BE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BF3565C">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102167A8">
            <w:pPr>
              <w:pStyle w:val="60"/>
              <w:spacing w:before="1" w:line="208" w:lineRule="auto"/>
              <w:ind w:left="123" w:right="109"/>
              <w:jc w:val="both"/>
              <w:rPr>
                <w:color w:val="auto"/>
                <w:spacing w:val="-6"/>
                <w:sz w:val="18"/>
              </w:rPr>
            </w:pPr>
          </w:p>
        </w:tc>
        <w:tc>
          <w:tcPr>
            <w:tcW w:w="1699" w:type="dxa"/>
            <w:vMerge w:val="continue"/>
            <w:vAlign w:val="center"/>
          </w:tcPr>
          <w:p w14:paraId="4CC269E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416A63A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档案资料室、藏品账册存放处</w:t>
            </w:r>
          </w:p>
        </w:tc>
        <w:tc>
          <w:tcPr>
            <w:tcW w:w="849" w:type="dxa"/>
            <w:shd w:val="clear" w:color="auto" w:fill="auto"/>
            <w:vAlign w:val="center"/>
          </w:tcPr>
          <w:p w14:paraId="484BFCB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4758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A738A46">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7B0B1EFF">
            <w:pPr>
              <w:pStyle w:val="60"/>
              <w:spacing w:before="1" w:line="208" w:lineRule="auto"/>
              <w:ind w:left="123" w:right="109"/>
              <w:jc w:val="both"/>
              <w:rPr>
                <w:color w:val="auto"/>
                <w:spacing w:val="-6"/>
                <w:sz w:val="18"/>
              </w:rPr>
            </w:pPr>
          </w:p>
        </w:tc>
        <w:tc>
          <w:tcPr>
            <w:tcW w:w="1699" w:type="dxa"/>
            <w:vMerge w:val="continue"/>
            <w:vAlign w:val="center"/>
          </w:tcPr>
          <w:p w14:paraId="49A14FFF">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34F816B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安防中心控制室</w:t>
            </w:r>
          </w:p>
        </w:tc>
        <w:tc>
          <w:tcPr>
            <w:tcW w:w="849" w:type="dxa"/>
            <w:shd w:val="clear" w:color="auto" w:fill="auto"/>
            <w:vAlign w:val="center"/>
          </w:tcPr>
          <w:p w14:paraId="31D5502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bl>
    <w:p w14:paraId="68CBC109">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表1  博物馆安全技术防范系统配置表（续）</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605"/>
        <w:gridCol w:w="1699"/>
        <w:gridCol w:w="5347"/>
        <w:gridCol w:w="849"/>
      </w:tblGrid>
      <w:tr w14:paraId="77D67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top"/>
          </w:tcPr>
          <w:p w14:paraId="2C8DC15F">
            <w:pPr>
              <w:pStyle w:val="60"/>
              <w:spacing w:before="127"/>
              <w:ind w:left="142" w:leftChars="0" w:right="130" w:rightChars="0"/>
              <w:jc w:val="center"/>
              <w:rPr>
                <w:rFonts w:hint="eastAsia" w:eastAsia="宋体"/>
                <w:color w:val="auto"/>
                <w:sz w:val="18"/>
                <w:lang w:val="en-US" w:eastAsia="zh-CN"/>
              </w:rPr>
            </w:pPr>
            <w:r>
              <w:rPr>
                <w:color w:val="auto"/>
                <w:spacing w:val="-6"/>
                <w:sz w:val="18"/>
              </w:rPr>
              <w:t>序号</w:t>
            </w:r>
          </w:p>
        </w:tc>
        <w:tc>
          <w:tcPr>
            <w:tcW w:w="2304" w:type="dxa"/>
            <w:gridSpan w:val="2"/>
            <w:vAlign w:val="top"/>
          </w:tcPr>
          <w:p w14:paraId="4D0A7F63">
            <w:pPr>
              <w:pStyle w:val="60"/>
              <w:spacing w:before="127"/>
              <w:ind w:left="958" w:leftChars="0" w:right="947" w:rightChars="0"/>
              <w:jc w:val="center"/>
              <w:rPr>
                <w:rFonts w:hint="eastAsia" w:eastAsia="宋体"/>
                <w:color w:val="auto"/>
                <w:spacing w:val="-2"/>
                <w:sz w:val="18"/>
                <w:lang w:val="en-US" w:eastAsia="zh-CN"/>
              </w:rPr>
            </w:pPr>
            <w:r>
              <w:rPr>
                <w:color w:val="auto"/>
                <w:spacing w:val="-6"/>
                <w:sz w:val="18"/>
              </w:rPr>
              <w:t>项目</w:t>
            </w:r>
          </w:p>
        </w:tc>
        <w:tc>
          <w:tcPr>
            <w:tcW w:w="5347" w:type="dxa"/>
            <w:vAlign w:val="top"/>
          </w:tcPr>
          <w:p w14:paraId="71698DD1">
            <w:pPr>
              <w:pStyle w:val="60"/>
              <w:spacing w:before="127"/>
              <w:ind w:left="1854" w:leftChars="0" w:right="1849" w:rightChars="0"/>
              <w:jc w:val="center"/>
              <w:rPr>
                <w:color w:val="auto"/>
                <w:spacing w:val="-4"/>
                <w:sz w:val="18"/>
              </w:rPr>
            </w:pPr>
            <w:r>
              <w:rPr>
                <w:color w:val="auto"/>
                <w:spacing w:val="-3"/>
                <w:sz w:val="18"/>
              </w:rPr>
              <w:t>安装区域或覆盖范围</w:t>
            </w:r>
          </w:p>
        </w:tc>
        <w:tc>
          <w:tcPr>
            <w:tcW w:w="849" w:type="dxa"/>
            <w:vAlign w:val="top"/>
          </w:tcPr>
          <w:p w14:paraId="0A11DE94">
            <w:pPr>
              <w:pStyle w:val="60"/>
              <w:spacing w:before="7" w:line="230" w:lineRule="exact"/>
              <w:ind w:left="248" w:leftChars="0" w:right="228" w:rightChars="0"/>
              <w:rPr>
                <w:color w:val="auto"/>
                <w:spacing w:val="-5"/>
                <w:sz w:val="18"/>
              </w:rPr>
            </w:pPr>
            <w:r>
              <w:rPr>
                <w:color w:val="auto"/>
                <w:spacing w:val="-6"/>
                <w:sz w:val="18"/>
              </w:rPr>
              <w:t>配置要求</w:t>
            </w:r>
          </w:p>
        </w:tc>
      </w:tr>
      <w:tr w14:paraId="1BF50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E12FB8C">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restart"/>
            <w:shd w:val="clear" w:color="auto" w:fill="auto"/>
            <w:vAlign w:val="center"/>
          </w:tcPr>
          <w:p w14:paraId="776234BD">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r>
              <w:rPr>
                <w:spacing w:val="-6"/>
                <w:sz w:val="18"/>
              </w:rPr>
              <w:t>视频安防监控系统</w:t>
            </w:r>
          </w:p>
        </w:tc>
        <w:tc>
          <w:tcPr>
            <w:tcW w:w="1699" w:type="dxa"/>
            <w:shd w:val="clear" w:color="auto" w:fill="auto"/>
            <w:vAlign w:val="center"/>
          </w:tcPr>
          <w:p w14:paraId="2C1014E0">
            <w:pPr>
              <w:pStyle w:val="60"/>
              <w:keepNext w:val="0"/>
              <w:keepLines w:val="0"/>
              <w:pageBreakBefore w:val="0"/>
              <w:widowControl w:val="0"/>
              <w:kinsoku/>
              <w:wordWrap/>
              <w:overflowPunct/>
              <w:topLinePunct w:val="0"/>
              <w:autoSpaceDE/>
              <w:autoSpaceDN/>
              <w:bidi w:val="0"/>
              <w:adjustRightInd/>
              <w:snapToGrid/>
              <w:spacing w:before="0" w:line="240" w:lineRule="auto"/>
              <w:ind w:left="108" w:leftChars="0"/>
              <w:jc w:val="left"/>
              <w:textAlignment w:val="auto"/>
              <w:rPr>
                <w:rFonts w:ascii="宋体" w:hAnsi="宋体" w:eastAsia="宋体" w:cs="宋体"/>
                <w:spacing w:val="-4"/>
                <w:kern w:val="2"/>
                <w:sz w:val="18"/>
                <w:szCs w:val="22"/>
                <w:lang w:val="en-US" w:eastAsia="en-US" w:bidi="ar-SA"/>
              </w:rPr>
            </w:pPr>
            <w:r>
              <w:rPr>
                <w:rFonts w:hint="eastAsia"/>
                <w:spacing w:val="-4"/>
                <w:sz w:val="18"/>
              </w:rPr>
              <w:t>人脸抓拍系统</w:t>
            </w:r>
          </w:p>
        </w:tc>
        <w:tc>
          <w:tcPr>
            <w:tcW w:w="5347" w:type="dxa"/>
            <w:shd w:val="clear" w:color="auto" w:fill="auto"/>
            <w:vAlign w:val="center"/>
          </w:tcPr>
          <w:p w14:paraId="4A7D4C7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rPr>
              <w:t>与室外、</w:t>
            </w:r>
            <w:r>
              <w:rPr>
                <w:rFonts w:hint="eastAsia"/>
                <w:spacing w:val="-2"/>
                <w:sz w:val="18"/>
                <w:lang w:val="en-US" w:eastAsia="zh-CN"/>
              </w:rPr>
              <w:t>博物馆</w:t>
            </w:r>
            <w:r>
              <w:rPr>
                <w:rFonts w:hint="eastAsia"/>
                <w:spacing w:val="-2"/>
                <w:sz w:val="18"/>
              </w:rPr>
              <w:t>外区域相通的主出入口，与</w:t>
            </w:r>
            <w:r>
              <w:rPr>
                <w:rFonts w:hint="eastAsia"/>
                <w:spacing w:val="-2"/>
                <w:sz w:val="18"/>
                <w:lang w:val="en-US" w:eastAsia="zh-CN"/>
              </w:rPr>
              <w:t>博物馆</w:t>
            </w:r>
            <w:r>
              <w:rPr>
                <w:rFonts w:hint="eastAsia"/>
                <w:spacing w:val="-2"/>
                <w:sz w:val="18"/>
              </w:rPr>
              <w:t>外其它</w:t>
            </w:r>
            <w:r>
              <w:rPr>
                <w:rFonts w:hint="eastAsia"/>
                <w:spacing w:val="-2"/>
                <w:sz w:val="18"/>
                <w:lang w:val="en-US" w:eastAsia="zh-CN"/>
              </w:rPr>
              <w:t>建筑</w:t>
            </w:r>
            <w:r>
              <w:rPr>
                <w:rFonts w:hint="eastAsia"/>
                <w:spacing w:val="-2"/>
                <w:sz w:val="18"/>
              </w:rPr>
              <w:t>相通的室内外连廊，与室外、地库相通的直梯厅、扶梯厅</w:t>
            </w:r>
          </w:p>
        </w:tc>
        <w:tc>
          <w:tcPr>
            <w:tcW w:w="849" w:type="dxa"/>
            <w:shd w:val="clear" w:color="auto" w:fill="auto"/>
            <w:vAlign w:val="center"/>
          </w:tcPr>
          <w:p w14:paraId="0546081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3F73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8EA7AA2">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1E709BBF">
            <w:pPr>
              <w:pStyle w:val="60"/>
              <w:spacing w:before="1" w:line="208" w:lineRule="auto"/>
              <w:ind w:left="123" w:right="109"/>
              <w:jc w:val="both"/>
              <w:rPr>
                <w:color w:val="auto"/>
                <w:spacing w:val="-6"/>
                <w:sz w:val="18"/>
              </w:rPr>
            </w:pPr>
          </w:p>
        </w:tc>
        <w:tc>
          <w:tcPr>
            <w:tcW w:w="1699" w:type="dxa"/>
            <w:shd w:val="clear" w:color="auto" w:fill="auto"/>
            <w:vAlign w:val="center"/>
          </w:tcPr>
          <w:p w14:paraId="5F477581">
            <w:pPr>
              <w:pStyle w:val="60"/>
              <w:keepNext w:val="0"/>
              <w:keepLines w:val="0"/>
              <w:pageBreakBefore w:val="0"/>
              <w:widowControl w:val="0"/>
              <w:kinsoku/>
              <w:wordWrap/>
              <w:overflowPunct/>
              <w:topLinePunct w:val="0"/>
              <w:autoSpaceDE/>
              <w:autoSpaceDN/>
              <w:bidi w:val="0"/>
              <w:adjustRightInd/>
              <w:snapToGrid/>
              <w:spacing w:before="0" w:line="240" w:lineRule="auto"/>
              <w:ind w:left="108" w:leftChars="0"/>
              <w:jc w:val="left"/>
              <w:textAlignment w:val="auto"/>
              <w:rPr>
                <w:rFonts w:ascii="宋体" w:hAnsi="宋体" w:eastAsia="宋体" w:cs="宋体"/>
                <w:spacing w:val="-4"/>
                <w:kern w:val="2"/>
                <w:sz w:val="18"/>
                <w:szCs w:val="22"/>
                <w:lang w:val="en-US" w:eastAsia="en-US" w:bidi="ar-SA"/>
              </w:rPr>
            </w:pPr>
            <w:r>
              <w:rPr>
                <w:rFonts w:hint="eastAsia"/>
                <w:spacing w:val="-4"/>
                <w:sz w:val="18"/>
              </w:rPr>
              <w:t>车辆抓拍系统</w:t>
            </w:r>
          </w:p>
        </w:tc>
        <w:tc>
          <w:tcPr>
            <w:tcW w:w="5347" w:type="dxa"/>
            <w:shd w:val="clear" w:color="auto" w:fill="auto"/>
            <w:vAlign w:val="center"/>
          </w:tcPr>
          <w:p w14:paraId="3AE4D30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rPr>
              <w:t>地</w:t>
            </w:r>
            <w:r>
              <w:rPr>
                <w:rFonts w:hint="eastAsia"/>
                <w:spacing w:val="-2"/>
                <w:sz w:val="18"/>
                <w:lang w:val="en-US" w:eastAsia="zh-CN"/>
              </w:rPr>
              <w:t>下</w:t>
            </w:r>
            <w:r>
              <w:rPr>
                <w:rFonts w:hint="eastAsia"/>
                <w:spacing w:val="-2"/>
                <w:sz w:val="18"/>
              </w:rPr>
              <w:t>室外车行出入口或地库坡道出入口、与其它项目相通的地下车行通道口</w:t>
            </w:r>
          </w:p>
        </w:tc>
        <w:tc>
          <w:tcPr>
            <w:tcW w:w="849" w:type="dxa"/>
            <w:shd w:val="clear" w:color="auto" w:fill="auto"/>
            <w:vAlign w:val="center"/>
          </w:tcPr>
          <w:p w14:paraId="28A4DDD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4A30D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BC15CE8">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restart"/>
          </w:tcPr>
          <w:p w14:paraId="14CAEEBA">
            <w:pPr>
              <w:pStyle w:val="60"/>
              <w:spacing w:before="1" w:line="208" w:lineRule="auto"/>
              <w:ind w:left="123" w:right="109"/>
              <w:jc w:val="both"/>
              <w:rPr>
                <w:color w:val="auto"/>
                <w:spacing w:val="-6"/>
                <w:sz w:val="18"/>
              </w:rPr>
            </w:pPr>
          </w:p>
        </w:tc>
        <w:tc>
          <w:tcPr>
            <w:tcW w:w="1699" w:type="dxa"/>
            <w:vMerge w:val="restart"/>
            <w:shd w:val="clear" w:color="auto" w:fill="auto"/>
            <w:vAlign w:val="center"/>
          </w:tcPr>
          <w:p w14:paraId="7E772103">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ascii="宋体" w:hAnsi="宋体" w:eastAsia="宋体" w:cs="宋体"/>
                <w:color w:val="auto"/>
                <w:spacing w:val="-4"/>
                <w:kern w:val="2"/>
                <w:sz w:val="18"/>
                <w:szCs w:val="22"/>
                <w:lang w:val="en-US" w:eastAsia="en-US" w:bidi="ar-SA"/>
              </w:rPr>
            </w:pPr>
            <w:r>
              <w:rPr>
                <w:spacing w:val="-4"/>
                <w:sz w:val="18"/>
              </w:rPr>
              <w:t>周界入侵探测装置</w:t>
            </w:r>
          </w:p>
        </w:tc>
        <w:tc>
          <w:tcPr>
            <w:tcW w:w="5347" w:type="dxa"/>
            <w:shd w:val="clear" w:color="auto" w:fill="auto"/>
            <w:vAlign w:val="center"/>
          </w:tcPr>
          <w:p w14:paraId="3D3162B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周界围墙封闭屏障处</w:t>
            </w:r>
          </w:p>
        </w:tc>
        <w:tc>
          <w:tcPr>
            <w:tcW w:w="849" w:type="dxa"/>
            <w:shd w:val="clear" w:color="auto" w:fill="auto"/>
            <w:vAlign w:val="center"/>
          </w:tcPr>
          <w:p w14:paraId="6466E5B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宜配置</w:t>
            </w:r>
          </w:p>
        </w:tc>
      </w:tr>
      <w:tr w14:paraId="25428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B3C3CB1">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4B73052C">
            <w:pPr>
              <w:pStyle w:val="60"/>
              <w:spacing w:before="1" w:line="208" w:lineRule="auto"/>
              <w:ind w:left="123" w:right="109"/>
              <w:jc w:val="both"/>
              <w:rPr>
                <w:color w:val="auto"/>
                <w:spacing w:val="-6"/>
                <w:sz w:val="18"/>
              </w:rPr>
            </w:pPr>
          </w:p>
        </w:tc>
        <w:tc>
          <w:tcPr>
            <w:tcW w:w="1699" w:type="dxa"/>
            <w:vMerge w:val="continue"/>
            <w:vAlign w:val="center"/>
          </w:tcPr>
          <w:p w14:paraId="10F38A4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p>
        </w:tc>
        <w:tc>
          <w:tcPr>
            <w:tcW w:w="5347" w:type="dxa"/>
            <w:shd w:val="clear" w:color="auto" w:fill="auto"/>
            <w:vAlign w:val="center"/>
          </w:tcPr>
          <w:p w14:paraId="269B23F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主体建筑与外界相通的玻璃幕墙</w:t>
            </w:r>
          </w:p>
        </w:tc>
        <w:tc>
          <w:tcPr>
            <w:tcW w:w="849" w:type="dxa"/>
            <w:shd w:val="clear" w:color="auto" w:fill="auto"/>
            <w:vAlign w:val="center"/>
          </w:tcPr>
          <w:p w14:paraId="4FE56EF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04CAE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FC176A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020A25D7">
            <w:pPr>
              <w:pStyle w:val="60"/>
              <w:spacing w:before="1" w:line="208" w:lineRule="auto"/>
              <w:ind w:left="123" w:right="109"/>
              <w:jc w:val="both"/>
              <w:rPr>
                <w:color w:val="auto"/>
                <w:spacing w:val="-6"/>
                <w:sz w:val="18"/>
              </w:rPr>
            </w:pPr>
          </w:p>
        </w:tc>
        <w:tc>
          <w:tcPr>
            <w:tcW w:w="1699" w:type="dxa"/>
            <w:vMerge w:val="restart"/>
            <w:shd w:val="clear" w:color="auto" w:fill="auto"/>
            <w:vAlign w:val="center"/>
          </w:tcPr>
          <w:p w14:paraId="7D7EBD07">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ascii="宋体" w:hAnsi="宋体" w:eastAsia="宋体" w:cs="宋体"/>
                <w:color w:val="auto"/>
                <w:spacing w:val="-4"/>
                <w:kern w:val="2"/>
                <w:sz w:val="18"/>
                <w:szCs w:val="22"/>
                <w:lang w:val="en-US" w:eastAsia="en-US" w:bidi="ar-SA"/>
              </w:rPr>
            </w:pPr>
            <w:r>
              <w:rPr>
                <w:spacing w:val="-4"/>
                <w:sz w:val="18"/>
              </w:rPr>
              <w:t>入侵探测器</w:t>
            </w:r>
          </w:p>
        </w:tc>
        <w:tc>
          <w:tcPr>
            <w:tcW w:w="5347" w:type="dxa"/>
            <w:shd w:val="clear" w:color="auto" w:fill="auto"/>
            <w:vAlign w:val="center"/>
          </w:tcPr>
          <w:p w14:paraId="787A2A0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博物馆与外界相通出入口</w:t>
            </w:r>
          </w:p>
        </w:tc>
        <w:tc>
          <w:tcPr>
            <w:tcW w:w="849" w:type="dxa"/>
            <w:shd w:val="clear" w:color="auto" w:fill="auto"/>
            <w:vAlign w:val="center"/>
          </w:tcPr>
          <w:p w14:paraId="756C2C0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079F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4A4297A">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24488422">
            <w:pPr>
              <w:pStyle w:val="60"/>
              <w:spacing w:before="1" w:line="208" w:lineRule="auto"/>
              <w:ind w:left="123" w:right="109"/>
              <w:jc w:val="both"/>
              <w:rPr>
                <w:color w:val="auto"/>
                <w:spacing w:val="-6"/>
                <w:sz w:val="18"/>
              </w:rPr>
            </w:pPr>
          </w:p>
        </w:tc>
        <w:tc>
          <w:tcPr>
            <w:tcW w:w="1699" w:type="dxa"/>
            <w:vMerge w:val="continue"/>
            <w:vAlign w:val="center"/>
          </w:tcPr>
          <w:p w14:paraId="57E83A5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3613E54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博物馆与外界相通的窗户、通风口、管道口</w:t>
            </w:r>
          </w:p>
        </w:tc>
        <w:tc>
          <w:tcPr>
            <w:tcW w:w="849" w:type="dxa"/>
            <w:shd w:val="clear" w:color="auto" w:fill="auto"/>
            <w:vAlign w:val="center"/>
          </w:tcPr>
          <w:p w14:paraId="7EF57DB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0462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8ED1785">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6E1ECD5E">
            <w:pPr>
              <w:pStyle w:val="60"/>
              <w:spacing w:before="1" w:line="208" w:lineRule="auto"/>
              <w:ind w:left="123" w:right="109"/>
              <w:jc w:val="both"/>
              <w:rPr>
                <w:color w:val="auto"/>
                <w:spacing w:val="-6"/>
                <w:sz w:val="18"/>
              </w:rPr>
            </w:pPr>
          </w:p>
        </w:tc>
        <w:tc>
          <w:tcPr>
            <w:tcW w:w="1699" w:type="dxa"/>
            <w:vMerge w:val="continue"/>
            <w:vAlign w:val="center"/>
          </w:tcPr>
          <w:p w14:paraId="2D16BA7F">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5C2152D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展品/藏品库区、库房、技术保护用房的出入口</w:t>
            </w:r>
          </w:p>
        </w:tc>
        <w:tc>
          <w:tcPr>
            <w:tcW w:w="849" w:type="dxa"/>
            <w:shd w:val="clear" w:color="auto" w:fill="auto"/>
            <w:vAlign w:val="center"/>
          </w:tcPr>
          <w:p w14:paraId="01D494D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00055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319F1FB">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5F993464">
            <w:pPr>
              <w:pStyle w:val="60"/>
              <w:spacing w:before="1" w:line="208" w:lineRule="auto"/>
              <w:ind w:left="123" w:right="109"/>
              <w:jc w:val="both"/>
              <w:rPr>
                <w:color w:val="auto"/>
                <w:spacing w:val="-6"/>
                <w:sz w:val="18"/>
              </w:rPr>
            </w:pPr>
          </w:p>
        </w:tc>
        <w:tc>
          <w:tcPr>
            <w:tcW w:w="1699" w:type="dxa"/>
            <w:vMerge w:val="continue"/>
            <w:vAlign w:val="center"/>
          </w:tcPr>
          <w:p w14:paraId="25EE546A">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7DD167C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藏品库区、库房的内、外周界或通道</w:t>
            </w:r>
          </w:p>
        </w:tc>
        <w:tc>
          <w:tcPr>
            <w:tcW w:w="849" w:type="dxa"/>
            <w:shd w:val="clear" w:color="auto" w:fill="auto"/>
            <w:vAlign w:val="center"/>
          </w:tcPr>
          <w:p w14:paraId="7B0E5B0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14E1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8AD295D">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0767020B">
            <w:pPr>
              <w:pStyle w:val="60"/>
              <w:spacing w:before="1" w:line="208" w:lineRule="auto"/>
              <w:ind w:left="123" w:right="109"/>
              <w:jc w:val="both"/>
              <w:rPr>
                <w:color w:val="auto"/>
                <w:spacing w:val="-6"/>
                <w:sz w:val="18"/>
              </w:rPr>
            </w:pPr>
          </w:p>
        </w:tc>
        <w:tc>
          <w:tcPr>
            <w:tcW w:w="1699" w:type="dxa"/>
            <w:vMerge w:val="continue"/>
            <w:vAlign w:val="center"/>
          </w:tcPr>
          <w:p w14:paraId="0715501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5705F57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展品/藏品库区、库房、技术保护用房</w:t>
            </w:r>
          </w:p>
        </w:tc>
        <w:tc>
          <w:tcPr>
            <w:tcW w:w="849" w:type="dxa"/>
            <w:shd w:val="clear" w:color="auto" w:fill="auto"/>
            <w:vAlign w:val="center"/>
          </w:tcPr>
          <w:p w14:paraId="031F47C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491BA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C44107D">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E0BEF21">
            <w:pPr>
              <w:pStyle w:val="60"/>
              <w:spacing w:before="1" w:line="208" w:lineRule="auto"/>
              <w:ind w:left="123" w:right="109"/>
              <w:jc w:val="both"/>
              <w:rPr>
                <w:color w:val="auto"/>
                <w:spacing w:val="-6"/>
                <w:sz w:val="18"/>
              </w:rPr>
            </w:pPr>
          </w:p>
        </w:tc>
        <w:tc>
          <w:tcPr>
            <w:tcW w:w="1699" w:type="dxa"/>
            <w:vMerge w:val="continue"/>
            <w:vAlign w:val="center"/>
          </w:tcPr>
          <w:p w14:paraId="4B69966C">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0B53D74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展场、展厅的出入口</w:t>
            </w:r>
          </w:p>
        </w:tc>
        <w:tc>
          <w:tcPr>
            <w:tcW w:w="849" w:type="dxa"/>
            <w:shd w:val="clear" w:color="auto" w:fill="auto"/>
            <w:vAlign w:val="center"/>
          </w:tcPr>
          <w:p w14:paraId="7F7B031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37CA4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4C2D547">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C0EDB19">
            <w:pPr>
              <w:pStyle w:val="60"/>
              <w:spacing w:before="1" w:line="208" w:lineRule="auto"/>
              <w:ind w:left="123" w:right="109"/>
              <w:jc w:val="both"/>
              <w:rPr>
                <w:color w:val="auto"/>
                <w:spacing w:val="-6"/>
                <w:sz w:val="18"/>
              </w:rPr>
            </w:pPr>
          </w:p>
        </w:tc>
        <w:tc>
          <w:tcPr>
            <w:tcW w:w="1699" w:type="dxa"/>
            <w:vMerge w:val="continue"/>
            <w:vAlign w:val="center"/>
          </w:tcPr>
          <w:p w14:paraId="14F5438A">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1166C96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展场、展厅的主要通道</w:t>
            </w:r>
          </w:p>
        </w:tc>
        <w:tc>
          <w:tcPr>
            <w:tcW w:w="849" w:type="dxa"/>
            <w:shd w:val="clear" w:color="auto" w:fill="auto"/>
            <w:vAlign w:val="center"/>
          </w:tcPr>
          <w:p w14:paraId="485E495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094E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480DCD43">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5E3F434">
            <w:pPr>
              <w:pStyle w:val="60"/>
              <w:spacing w:before="1" w:line="208" w:lineRule="auto"/>
              <w:ind w:left="123" w:right="109"/>
              <w:jc w:val="both"/>
              <w:rPr>
                <w:color w:val="auto"/>
                <w:spacing w:val="-6"/>
                <w:sz w:val="18"/>
              </w:rPr>
            </w:pPr>
          </w:p>
        </w:tc>
        <w:tc>
          <w:tcPr>
            <w:tcW w:w="1699" w:type="dxa"/>
            <w:vMerge w:val="continue"/>
          </w:tcPr>
          <w:p w14:paraId="6076EC52">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33C48B3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特殊展品的展示部位及展示区域</w:t>
            </w:r>
          </w:p>
        </w:tc>
        <w:tc>
          <w:tcPr>
            <w:tcW w:w="0" w:type="auto"/>
            <w:shd w:val="clear" w:color="auto" w:fill="auto"/>
            <w:vAlign w:val="center"/>
          </w:tcPr>
          <w:p w14:paraId="36CE67E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8E07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3CE4C3B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04A4FA8">
            <w:pPr>
              <w:pStyle w:val="60"/>
              <w:spacing w:before="1" w:line="208" w:lineRule="auto"/>
              <w:ind w:left="123" w:right="109"/>
              <w:jc w:val="both"/>
              <w:rPr>
                <w:color w:val="auto"/>
                <w:spacing w:val="-6"/>
                <w:sz w:val="18"/>
              </w:rPr>
            </w:pPr>
          </w:p>
        </w:tc>
        <w:tc>
          <w:tcPr>
            <w:tcW w:w="1699" w:type="dxa"/>
            <w:vMerge w:val="continue"/>
          </w:tcPr>
          <w:p w14:paraId="3CAFAB36">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11C8C4F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非开放式平台出入口</w:t>
            </w:r>
          </w:p>
        </w:tc>
        <w:tc>
          <w:tcPr>
            <w:tcW w:w="0" w:type="auto"/>
            <w:shd w:val="clear" w:color="auto" w:fill="auto"/>
            <w:vAlign w:val="center"/>
          </w:tcPr>
          <w:p w14:paraId="2A96E68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078FF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3BE57553">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FB2F25D">
            <w:pPr>
              <w:pStyle w:val="60"/>
              <w:spacing w:before="1" w:line="208" w:lineRule="auto"/>
              <w:ind w:left="123" w:right="109"/>
              <w:jc w:val="both"/>
              <w:rPr>
                <w:color w:val="auto"/>
                <w:spacing w:val="-6"/>
                <w:sz w:val="18"/>
              </w:rPr>
            </w:pPr>
          </w:p>
        </w:tc>
        <w:tc>
          <w:tcPr>
            <w:tcW w:w="1699" w:type="dxa"/>
            <w:vMerge w:val="continue"/>
          </w:tcPr>
          <w:p w14:paraId="7AE4F6E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5A8EC98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无人值守的变（配）电、供水泵房、电梯机房、通信机房、空调机房、信息中心、安防设备等设备机房</w:t>
            </w:r>
          </w:p>
        </w:tc>
        <w:tc>
          <w:tcPr>
            <w:tcW w:w="0" w:type="auto"/>
            <w:shd w:val="clear" w:color="auto" w:fill="auto"/>
            <w:vAlign w:val="center"/>
          </w:tcPr>
          <w:p w14:paraId="68BA972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4CC0D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2F82A97">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4C2C5899">
            <w:pPr>
              <w:pStyle w:val="60"/>
              <w:spacing w:before="1" w:line="208" w:lineRule="auto"/>
              <w:ind w:left="123" w:right="109"/>
              <w:jc w:val="both"/>
              <w:rPr>
                <w:color w:val="auto"/>
                <w:spacing w:val="-6"/>
                <w:sz w:val="18"/>
              </w:rPr>
            </w:pPr>
          </w:p>
        </w:tc>
        <w:tc>
          <w:tcPr>
            <w:tcW w:w="1699" w:type="dxa"/>
            <w:vMerge w:val="continue"/>
          </w:tcPr>
          <w:p w14:paraId="7F53233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03D48A4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档案资料室、藏品账册存放处</w:t>
            </w:r>
          </w:p>
        </w:tc>
        <w:tc>
          <w:tcPr>
            <w:tcW w:w="0" w:type="auto"/>
            <w:shd w:val="clear" w:color="auto" w:fill="auto"/>
            <w:vAlign w:val="center"/>
          </w:tcPr>
          <w:p w14:paraId="24919B6A">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4985A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71F8F051">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vAlign w:val="center"/>
          </w:tcPr>
          <w:p w14:paraId="0324F180">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color w:val="auto"/>
                <w:spacing w:val="-6"/>
                <w:sz w:val="18"/>
              </w:rPr>
            </w:pPr>
            <w:r>
              <w:rPr>
                <w:spacing w:val="-6"/>
                <w:sz w:val="18"/>
              </w:rPr>
              <w:t>入侵和紧急报警系</w:t>
            </w:r>
            <w:r>
              <w:rPr>
                <w:spacing w:val="-10"/>
                <w:sz w:val="18"/>
              </w:rPr>
              <w:t>统</w:t>
            </w:r>
          </w:p>
        </w:tc>
        <w:tc>
          <w:tcPr>
            <w:tcW w:w="1699" w:type="dxa"/>
            <w:vMerge w:val="restart"/>
            <w:vAlign w:val="center"/>
          </w:tcPr>
          <w:p w14:paraId="72BB794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color w:val="auto"/>
                <w:spacing w:val="-4"/>
                <w:sz w:val="18"/>
              </w:rPr>
            </w:pPr>
            <w:r>
              <w:rPr>
                <w:spacing w:val="-4"/>
                <w:sz w:val="18"/>
              </w:rPr>
              <w:t>紧急报警装置</w:t>
            </w:r>
          </w:p>
        </w:tc>
        <w:tc>
          <w:tcPr>
            <w:tcW w:w="0" w:type="auto"/>
            <w:shd w:val="clear" w:color="auto" w:fill="auto"/>
            <w:vAlign w:val="center"/>
          </w:tcPr>
          <w:p w14:paraId="32A8741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总接待处、总服务台、售（领）票处、纠纷接待处、贵重物品寄存处</w:t>
            </w:r>
          </w:p>
        </w:tc>
        <w:tc>
          <w:tcPr>
            <w:tcW w:w="0" w:type="auto"/>
            <w:shd w:val="clear" w:color="auto" w:fill="auto"/>
            <w:vAlign w:val="center"/>
          </w:tcPr>
          <w:p w14:paraId="080953E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6B1B5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917B47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5A351ECE">
            <w:pPr>
              <w:pStyle w:val="60"/>
              <w:spacing w:before="1" w:line="208" w:lineRule="auto"/>
              <w:ind w:left="123" w:right="109"/>
              <w:jc w:val="both"/>
              <w:rPr>
                <w:color w:val="auto"/>
                <w:spacing w:val="-6"/>
                <w:sz w:val="18"/>
              </w:rPr>
            </w:pPr>
          </w:p>
        </w:tc>
        <w:tc>
          <w:tcPr>
            <w:tcW w:w="1699" w:type="dxa"/>
            <w:vMerge w:val="continue"/>
          </w:tcPr>
          <w:p w14:paraId="68D9056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1CBBAC9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广播室、贵宾休息室</w:t>
            </w:r>
          </w:p>
        </w:tc>
        <w:tc>
          <w:tcPr>
            <w:tcW w:w="0" w:type="auto"/>
            <w:shd w:val="clear" w:color="auto" w:fill="auto"/>
            <w:vAlign w:val="center"/>
          </w:tcPr>
          <w:p w14:paraId="4EDDBBE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CA4E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647D0F6B">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56C11E2">
            <w:pPr>
              <w:pStyle w:val="60"/>
              <w:spacing w:before="1" w:line="208" w:lineRule="auto"/>
              <w:ind w:left="123" w:right="109"/>
              <w:jc w:val="both"/>
              <w:rPr>
                <w:color w:val="auto"/>
                <w:spacing w:val="-6"/>
                <w:sz w:val="18"/>
              </w:rPr>
            </w:pPr>
          </w:p>
        </w:tc>
        <w:tc>
          <w:tcPr>
            <w:tcW w:w="1699" w:type="dxa"/>
            <w:vMerge w:val="continue"/>
          </w:tcPr>
          <w:p w14:paraId="56AD4B9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4882D41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售（检）票、安检等排队等候区域</w:t>
            </w:r>
          </w:p>
        </w:tc>
        <w:tc>
          <w:tcPr>
            <w:tcW w:w="0" w:type="auto"/>
            <w:shd w:val="clear" w:color="auto" w:fill="auto"/>
            <w:vAlign w:val="center"/>
          </w:tcPr>
          <w:p w14:paraId="53E9B9D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63F1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DEEEA1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34AEA727">
            <w:pPr>
              <w:pStyle w:val="60"/>
              <w:spacing w:before="1" w:line="208" w:lineRule="auto"/>
              <w:ind w:left="123" w:right="109"/>
              <w:jc w:val="both"/>
              <w:rPr>
                <w:color w:val="auto"/>
                <w:spacing w:val="-6"/>
                <w:sz w:val="18"/>
              </w:rPr>
            </w:pPr>
          </w:p>
        </w:tc>
        <w:tc>
          <w:tcPr>
            <w:tcW w:w="1699" w:type="dxa"/>
            <w:vMerge w:val="continue"/>
          </w:tcPr>
          <w:p w14:paraId="7F017B5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17E2559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票证存放室</w:t>
            </w:r>
          </w:p>
        </w:tc>
        <w:tc>
          <w:tcPr>
            <w:tcW w:w="0" w:type="auto"/>
            <w:shd w:val="clear" w:color="auto" w:fill="auto"/>
            <w:vAlign w:val="center"/>
          </w:tcPr>
          <w:p w14:paraId="4FE4742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6B60F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73F84D7B">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3760427C">
            <w:pPr>
              <w:pStyle w:val="60"/>
              <w:spacing w:before="1" w:line="208" w:lineRule="auto"/>
              <w:ind w:left="123" w:right="109"/>
              <w:jc w:val="both"/>
              <w:rPr>
                <w:color w:val="auto"/>
                <w:spacing w:val="-6"/>
                <w:sz w:val="18"/>
              </w:rPr>
            </w:pPr>
          </w:p>
        </w:tc>
        <w:tc>
          <w:tcPr>
            <w:tcW w:w="1699" w:type="dxa"/>
            <w:vMerge w:val="continue"/>
          </w:tcPr>
          <w:p w14:paraId="68A6BB9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1929BF0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展品/藏品交接、清点处区域</w:t>
            </w:r>
          </w:p>
        </w:tc>
        <w:tc>
          <w:tcPr>
            <w:tcW w:w="0" w:type="auto"/>
            <w:shd w:val="clear" w:color="auto" w:fill="auto"/>
            <w:vAlign w:val="center"/>
          </w:tcPr>
          <w:p w14:paraId="69B8150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2A5B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B3D2DC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2508611">
            <w:pPr>
              <w:pStyle w:val="60"/>
              <w:spacing w:before="1" w:line="208" w:lineRule="auto"/>
              <w:ind w:left="123" w:right="109"/>
              <w:jc w:val="both"/>
              <w:rPr>
                <w:color w:val="auto"/>
                <w:spacing w:val="-6"/>
                <w:sz w:val="18"/>
              </w:rPr>
            </w:pPr>
          </w:p>
        </w:tc>
        <w:tc>
          <w:tcPr>
            <w:tcW w:w="1699" w:type="dxa"/>
            <w:vMerge w:val="continue"/>
          </w:tcPr>
          <w:p w14:paraId="32DB3F54">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3E954B5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展品/藏品库区、库房、技术保护用房</w:t>
            </w:r>
          </w:p>
        </w:tc>
        <w:tc>
          <w:tcPr>
            <w:tcW w:w="0" w:type="auto"/>
            <w:shd w:val="clear" w:color="auto" w:fill="auto"/>
            <w:vAlign w:val="center"/>
          </w:tcPr>
          <w:p w14:paraId="378CF28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DC85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7D375482">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031BAB6">
            <w:pPr>
              <w:pStyle w:val="60"/>
              <w:spacing w:before="1" w:line="208" w:lineRule="auto"/>
              <w:ind w:left="123" w:right="109"/>
              <w:jc w:val="both"/>
              <w:rPr>
                <w:color w:val="auto"/>
                <w:spacing w:val="-6"/>
                <w:sz w:val="18"/>
              </w:rPr>
            </w:pPr>
          </w:p>
        </w:tc>
        <w:tc>
          <w:tcPr>
            <w:tcW w:w="1699" w:type="dxa"/>
            <w:vMerge w:val="continue"/>
          </w:tcPr>
          <w:p w14:paraId="558C21E6">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1297630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一、二级风险展场、展厅的出入口</w:t>
            </w:r>
          </w:p>
        </w:tc>
        <w:tc>
          <w:tcPr>
            <w:tcW w:w="0" w:type="auto"/>
            <w:shd w:val="clear" w:color="auto" w:fill="auto"/>
            <w:vAlign w:val="center"/>
          </w:tcPr>
          <w:p w14:paraId="5C4CC58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43B1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3C7D4C97">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AC7E417">
            <w:pPr>
              <w:pStyle w:val="60"/>
              <w:spacing w:before="1" w:line="208" w:lineRule="auto"/>
              <w:ind w:left="123" w:right="109"/>
              <w:jc w:val="both"/>
              <w:rPr>
                <w:color w:val="auto"/>
                <w:spacing w:val="-6"/>
                <w:sz w:val="18"/>
              </w:rPr>
            </w:pPr>
          </w:p>
        </w:tc>
        <w:tc>
          <w:tcPr>
            <w:tcW w:w="1699" w:type="dxa"/>
            <w:vMerge w:val="continue"/>
          </w:tcPr>
          <w:p w14:paraId="39803E84">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0A7E526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特殊展品展示部位及区域</w:t>
            </w:r>
          </w:p>
        </w:tc>
        <w:tc>
          <w:tcPr>
            <w:tcW w:w="0" w:type="auto"/>
            <w:shd w:val="clear" w:color="auto" w:fill="auto"/>
            <w:vAlign w:val="center"/>
          </w:tcPr>
          <w:p w14:paraId="3AF96F0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79423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490E7A18">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4D010027">
            <w:pPr>
              <w:pStyle w:val="60"/>
              <w:spacing w:before="1" w:line="208" w:lineRule="auto"/>
              <w:ind w:left="123" w:right="109"/>
              <w:jc w:val="both"/>
              <w:rPr>
                <w:color w:val="auto"/>
                <w:spacing w:val="-6"/>
                <w:sz w:val="18"/>
              </w:rPr>
            </w:pPr>
          </w:p>
        </w:tc>
        <w:tc>
          <w:tcPr>
            <w:tcW w:w="1699" w:type="dxa"/>
            <w:vMerge w:val="continue"/>
          </w:tcPr>
          <w:p w14:paraId="2541256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6B751C4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藏品账册存放处</w:t>
            </w:r>
          </w:p>
        </w:tc>
        <w:tc>
          <w:tcPr>
            <w:tcW w:w="0" w:type="auto"/>
            <w:shd w:val="clear" w:color="auto" w:fill="auto"/>
            <w:vAlign w:val="center"/>
          </w:tcPr>
          <w:p w14:paraId="2FDC1B9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6325B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B8246C1">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72909887">
            <w:pPr>
              <w:pStyle w:val="60"/>
              <w:spacing w:before="1" w:line="208" w:lineRule="auto"/>
              <w:ind w:left="123" w:right="109"/>
              <w:jc w:val="both"/>
              <w:rPr>
                <w:color w:val="auto"/>
                <w:spacing w:val="-6"/>
                <w:sz w:val="18"/>
              </w:rPr>
            </w:pPr>
          </w:p>
        </w:tc>
        <w:tc>
          <w:tcPr>
            <w:tcW w:w="1699" w:type="dxa"/>
            <w:vMerge w:val="continue"/>
          </w:tcPr>
          <w:p w14:paraId="07669E56">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6505BED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安防中心控制室</w:t>
            </w:r>
          </w:p>
        </w:tc>
        <w:tc>
          <w:tcPr>
            <w:tcW w:w="0" w:type="auto"/>
            <w:shd w:val="clear" w:color="auto" w:fill="auto"/>
            <w:vAlign w:val="center"/>
          </w:tcPr>
          <w:p w14:paraId="45BB509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1344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2F73ACF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76DC12FE">
            <w:pPr>
              <w:pStyle w:val="60"/>
              <w:spacing w:before="1" w:line="208" w:lineRule="auto"/>
              <w:ind w:left="123" w:right="109"/>
              <w:jc w:val="both"/>
              <w:rPr>
                <w:color w:val="auto"/>
                <w:spacing w:val="-6"/>
                <w:sz w:val="18"/>
              </w:rPr>
            </w:pPr>
          </w:p>
        </w:tc>
        <w:tc>
          <w:tcPr>
            <w:tcW w:w="1699" w:type="dxa"/>
            <w:vMerge w:val="restart"/>
            <w:shd w:val="clear" w:color="auto" w:fill="auto"/>
            <w:vAlign w:val="center"/>
          </w:tcPr>
          <w:p w14:paraId="49421B23">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ascii="宋体" w:hAnsi="宋体" w:eastAsia="宋体" w:cs="宋体"/>
                <w:color w:val="auto"/>
                <w:spacing w:val="-4"/>
                <w:kern w:val="2"/>
                <w:sz w:val="18"/>
                <w:szCs w:val="22"/>
                <w:lang w:val="en-US" w:eastAsia="en-US" w:bidi="ar-SA"/>
              </w:rPr>
            </w:pPr>
            <w:r>
              <w:rPr>
                <w:spacing w:val="-4"/>
                <w:sz w:val="18"/>
              </w:rPr>
              <w:t>紧急报警装置</w:t>
            </w:r>
          </w:p>
        </w:tc>
        <w:tc>
          <w:tcPr>
            <w:tcW w:w="0" w:type="auto"/>
            <w:shd w:val="clear" w:color="auto" w:fill="auto"/>
            <w:vAlign w:val="center"/>
          </w:tcPr>
          <w:p w14:paraId="5413813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总接待处、总服务台、售（领）票处、纠纷接待处、贵重物品寄存处</w:t>
            </w:r>
          </w:p>
        </w:tc>
        <w:tc>
          <w:tcPr>
            <w:tcW w:w="0" w:type="auto"/>
            <w:shd w:val="clear" w:color="auto" w:fill="auto"/>
            <w:vAlign w:val="center"/>
          </w:tcPr>
          <w:p w14:paraId="146F929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36EBB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6780058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CC86375">
            <w:pPr>
              <w:pStyle w:val="60"/>
              <w:spacing w:before="1" w:line="208" w:lineRule="auto"/>
              <w:ind w:left="123" w:right="109"/>
              <w:jc w:val="both"/>
              <w:rPr>
                <w:color w:val="auto"/>
                <w:spacing w:val="-6"/>
                <w:sz w:val="18"/>
              </w:rPr>
            </w:pPr>
          </w:p>
        </w:tc>
        <w:tc>
          <w:tcPr>
            <w:tcW w:w="1699" w:type="dxa"/>
            <w:vMerge w:val="continue"/>
          </w:tcPr>
          <w:p w14:paraId="03843F34">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2E1B626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广播室、贵宾休息室</w:t>
            </w:r>
          </w:p>
        </w:tc>
        <w:tc>
          <w:tcPr>
            <w:tcW w:w="0" w:type="auto"/>
            <w:shd w:val="clear" w:color="auto" w:fill="auto"/>
            <w:vAlign w:val="center"/>
          </w:tcPr>
          <w:p w14:paraId="58345E4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45B6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272E8288">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A33DFEC">
            <w:pPr>
              <w:pStyle w:val="60"/>
              <w:spacing w:before="1" w:line="208" w:lineRule="auto"/>
              <w:ind w:left="123" w:right="109"/>
              <w:jc w:val="both"/>
              <w:rPr>
                <w:color w:val="auto"/>
                <w:spacing w:val="-6"/>
                <w:sz w:val="18"/>
              </w:rPr>
            </w:pPr>
          </w:p>
        </w:tc>
        <w:tc>
          <w:tcPr>
            <w:tcW w:w="1699" w:type="dxa"/>
            <w:vMerge w:val="continue"/>
          </w:tcPr>
          <w:p w14:paraId="30EAEFC0">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2B385E3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售（检）票、安检等排队等候区域</w:t>
            </w:r>
          </w:p>
        </w:tc>
        <w:tc>
          <w:tcPr>
            <w:tcW w:w="0" w:type="auto"/>
            <w:shd w:val="clear" w:color="auto" w:fill="auto"/>
            <w:vAlign w:val="center"/>
          </w:tcPr>
          <w:p w14:paraId="7DE0EE7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0AF21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433C039D">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56CA150A">
            <w:pPr>
              <w:pStyle w:val="60"/>
              <w:spacing w:before="1" w:line="208" w:lineRule="auto"/>
              <w:ind w:left="123" w:right="109"/>
              <w:jc w:val="both"/>
              <w:rPr>
                <w:color w:val="auto"/>
                <w:spacing w:val="-6"/>
                <w:sz w:val="18"/>
              </w:rPr>
            </w:pPr>
          </w:p>
        </w:tc>
        <w:tc>
          <w:tcPr>
            <w:tcW w:w="1699" w:type="dxa"/>
            <w:vMerge w:val="continue"/>
          </w:tcPr>
          <w:p w14:paraId="182F9B2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1A01E17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票证存放室</w:t>
            </w:r>
          </w:p>
        </w:tc>
        <w:tc>
          <w:tcPr>
            <w:tcW w:w="0" w:type="auto"/>
            <w:shd w:val="clear" w:color="auto" w:fill="auto"/>
            <w:vAlign w:val="center"/>
          </w:tcPr>
          <w:p w14:paraId="25BC34B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7D65A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4596D5D">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5464D8E">
            <w:pPr>
              <w:pStyle w:val="60"/>
              <w:spacing w:before="1" w:line="208" w:lineRule="auto"/>
              <w:ind w:left="123" w:right="109"/>
              <w:jc w:val="both"/>
              <w:rPr>
                <w:color w:val="auto"/>
                <w:spacing w:val="-6"/>
                <w:sz w:val="18"/>
              </w:rPr>
            </w:pPr>
          </w:p>
        </w:tc>
        <w:tc>
          <w:tcPr>
            <w:tcW w:w="1699" w:type="dxa"/>
            <w:vMerge w:val="continue"/>
          </w:tcPr>
          <w:p w14:paraId="5B0F955A">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3CEE88C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展品/藏品交接、清点处区域</w:t>
            </w:r>
          </w:p>
        </w:tc>
        <w:tc>
          <w:tcPr>
            <w:tcW w:w="0" w:type="auto"/>
            <w:shd w:val="clear" w:color="auto" w:fill="auto"/>
            <w:vAlign w:val="center"/>
          </w:tcPr>
          <w:p w14:paraId="1EF334F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A606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3BB1667D">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5C866EF1">
            <w:pPr>
              <w:pStyle w:val="60"/>
              <w:spacing w:before="1" w:line="208" w:lineRule="auto"/>
              <w:ind w:left="123" w:right="109"/>
              <w:jc w:val="both"/>
              <w:rPr>
                <w:color w:val="auto"/>
                <w:spacing w:val="-6"/>
                <w:sz w:val="18"/>
              </w:rPr>
            </w:pPr>
          </w:p>
        </w:tc>
        <w:tc>
          <w:tcPr>
            <w:tcW w:w="1699" w:type="dxa"/>
            <w:vMerge w:val="continue"/>
          </w:tcPr>
          <w:p w14:paraId="09FD4D3A">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1883CEF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展品/藏品库区、库房、技术保护用房</w:t>
            </w:r>
          </w:p>
        </w:tc>
        <w:tc>
          <w:tcPr>
            <w:tcW w:w="0" w:type="auto"/>
            <w:shd w:val="clear" w:color="auto" w:fill="auto"/>
            <w:vAlign w:val="center"/>
          </w:tcPr>
          <w:p w14:paraId="5AC0E95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F038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AC439F7">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52B4CED">
            <w:pPr>
              <w:pStyle w:val="60"/>
              <w:spacing w:before="1" w:line="208" w:lineRule="auto"/>
              <w:ind w:left="123" w:right="109"/>
              <w:jc w:val="both"/>
              <w:rPr>
                <w:color w:val="auto"/>
                <w:spacing w:val="-6"/>
                <w:sz w:val="18"/>
              </w:rPr>
            </w:pPr>
          </w:p>
        </w:tc>
        <w:tc>
          <w:tcPr>
            <w:tcW w:w="1699" w:type="dxa"/>
            <w:vMerge w:val="continue"/>
          </w:tcPr>
          <w:p w14:paraId="43616CA6">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3858D7E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安防中心控制室</w:t>
            </w:r>
          </w:p>
        </w:tc>
        <w:tc>
          <w:tcPr>
            <w:tcW w:w="0" w:type="auto"/>
            <w:shd w:val="clear" w:color="auto" w:fill="auto"/>
            <w:vAlign w:val="center"/>
          </w:tcPr>
          <w:p w14:paraId="73D7D1F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1C37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4F0FFE2">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48DD5C02">
            <w:pPr>
              <w:pStyle w:val="60"/>
              <w:spacing w:before="1" w:line="208" w:lineRule="auto"/>
              <w:ind w:left="123" w:right="109"/>
              <w:jc w:val="both"/>
              <w:rPr>
                <w:color w:val="auto"/>
                <w:spacing w:val="-6"/>
                <w:sz w:val="18"/>
              </w:rPr>
            </w:pPr>
          </w:p>
        </w:tc>
        <w:tc>
          <w:tcPr>
            <w:tcW w:w="1699" w:type="dxa"/>
            <w:vMerge w:val="continue"/>
          </w:tcPr>
          <w:p w14:paraId="221C54C4">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0" w:type="auto"/>
            <w:shd w:val="clear" w:color="auto" w:fill="auto"/>
            <w:vAlign w:val="center"/>
          </w:tcPr>
          <w:p w14:paraId="333C360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特殊展品展示部位及区域</w:t>
            </w:r>
          </w:p>
        </w:tc>
        <w:tc>
          <w:tcPr>
            <w:tcW w:w="0" w:type="auto"/>
            <w:shd w:val="clear" w:color="auto" w:fill="auto"/>
            <w:vAlign w:val="center"/>
          </w:tcPr>
          <w:p w14:paraId="699B4FE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bl>
    <w:p w14:paraId="7A2505EF">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表1  博物馆安全技术防范系统配置表（续）</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605"/>
        <w:gridCol w:w="1699"/>
        <w:gridCol w:w="5347"/>
        <w:gridCol w:w="849"/>
      </w:tblGrid>
      <w:tr w14:paraId="04C9A175">
        <w:tblPrEx>
          <w:tblCellMar>
            <w:top w:w="0" w:type="dxa"/>
            <w:left w:w="0" w:type="dxa"/>
            <w:bottom w:w="0" w:type="dxa"/>
            <w:right w:w="0" w:type="dxa"/>
          </w:tblCellMar>
        </w:tblPrEx>
        <w:trPr>
          <w:trHeight w:val="340" w:hRule="atLeast"/>
          <w:jc w:val="center"/>
        </w:trPr>
        <w:tc>
          <w:tcPr>
            <w:tcW w:w="677" w:type="dxa"/>
            <w:vAlign w:val="top"/>
          </w:tcPr>
          <w:p w14:paraId="456DF3F4">
            <w:pPr>
              <w:pStyle w:val="60"/>
              <w:spacing w:before="127"/>
              <w:ind w:left="142" w:leftChars="0" w:right="130" w:rightChars="0"/>
              <w:jc w:val="center"/>
              <w:rPr>
                <w:rFonts w:hint="eastAsia" w:eastAsia="宋体"/>
                <w:color w:val="auto"/>
                <w:sz w:val="18"/>
                <w:lang w:val="en-US" w:eastAsia="zh-CN"/>
              </w:rPr>
            </w:pPr>
            <w:r>
              <w:rPr>
                <w:color w:val="auto"/>
                <w:spacing w:val="-6"/>
                <w:sz w:val="18"/>
              </w:rPr>
              <w:t>序号</w:t>
            </w:r>
          </w:p>
        </w:tc>
        <w:tc>
          <w:tcPr>
            <w:tcW w:w="2304" w:type="dxa"/>
            <w:gridSpan w:val="2"/>
            <w:vAlign w:val="top"/>
          </w:tcPr>
          <w:p w14:paraId="1B5C7267">
            <w:pPr>
              <w:pStyle w:val="60"/>
              <w:spacing w:before="127"/>
              <w:ind w:left="958" w:leftChars="0" w:right="947" w:rightChars="0"/>
              <w:jc w:val="center"/>
              <w:rPr>
                <w:rFonts w:hint="eastAsia" w:eastAsia="宋体"/>
                <w:color w:val="auto"/>
                <w:spacing w:val="-2"/>
                <w:sz w:val="18"/>
                <w:lang w:val="en-US" w:eastAsia="zh-CN"/>
              </w:rPr>
            </w:pPr>
            <w:r>
              <w:rPr>
                <w:color w:val="auto"/>
                <w:spacing w:val="-6"/>
                <w:sz w:val="18"/>
              </w:rPr>
              <w:t>项目</w:t>
            </w:r>
          </w:p>
        </w:tc>
        <w:tc>
          <w:tcPr>
            <w:tcW w:w="5347" w:type="dxa"/>
            <w:vAlign w:val="top"/>
          </w:tcPr>
          <w:p w14:paraId="2B838D7D">
            <w:pPr>
              <w:pStyle w:val="60"/>
              <w:spacing w:before="127"/>
              <w:ind w:left="1854" w:leftChars="0" w:right="1849" w:rightChars="0"/>
              <w:jc w:val="center"/>
              <w:rPr>
                <w:color w:val="auto"/>
                <w:spacing w:val="-4"/>
                <w:sz w:val="18"/>
              </w:rPr>
            </w:pPr>
            <w:r>
              <w:rPr>
                <w:color w:val="auto"/>
                <w:spacing w:val="-3"/>
                <w:sz w:val="18"/>
              </w:rPr>
              <w:t>安装区域或覆盖范围</w:t>
            </w:r>
          </w:p>
        </w:tc>
        <w:tc>
          <w:tcPr>
            <w:tcW w:w="849" w:type="dxa"/>
            <w:vAlign w:val="top"/>
          </w:tcPr>
          <w:p w14:paraId="0117303D">
            <w:pPr>
              <w:pStyle w:val="60"/>
              <w:spacing w:before="7" w:line="230" w:lineRule="exact"/>
              <w:ind w:left="248" w:leftChars="0" w:right="228" w:rightChars="0"/>
              <w:rPr>
                <w:color w:val="auto"/>
                <w:spacing w:val="-5"/>
                <w:sz w:val="18"/>
              </w:rPr>
            </w:pPr>
            <w:r>
              <w:rPr>
                <w:color w:val="auto"/>
                <w:spacing w:val="-6"/>
                <w:sz w:val="18"/>
              </w:rPr>
              <w:t>配置要求</w:t>
            </w:r>
          </w:p>
        </w:tc>
      </w:tr>
      <w:tr w14:paraId="18304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8083DF1">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restart"/>
            <w:shd w:val="clear" w:color="auto" w:fill="auto"/>
            <w:vAlign w:val="center"/>
          </w:tcPr>
          <w:p w14:paraId="3C35EA08">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jc w:val="center"/>
              <w:textAlignment w:val="auto"/>
              <w:rPr>
                <w:rFonts w:ascii="宋体" w:hAnsi="宋体" w:eastAsia="宋体" w:cs="宋体"/>
                <w:color w:val="auto"/>
                <w:spacing w:val="-6"/>
                <w:kern w:val="2"/>
                <w:sz w:val="18"/>
                <w:szCs w:val="22"/>
                <w:lang w:val="en-US" w:eastAsia="en-US" w:bidi="ar-SA"/>
              </w:rPr>
            </w:pPr>
            <w:r>
              <w:rPr>
                <w:spacing w:val="-6"/>
                <w:sz w:val="18"/>
              </w:rPr>
              <w:t>出入口控制系</w:t>
            </w:r>
            <w:r>
              <w:rPr>
                <w:spacing w:val="-10"/>
                <w:sz w:val="18"/>
              </w:rPr>
              <w:t>统</w:t>
            </w:r>
          </w:p>
        </w:tc>
        <w:tc>
          <w:tcPr>
            <w:tcW w:w="1699" w:type="dxa"/>
            <w:vMerge w:val="restart"/>
            <w:shd w:val="clear" w:color="auto" w:fill="auto"/>
            <w:vAlign w:val="center"/>
          </w:tcPr>
          <w:p w14:paraId="2461620F">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firstLine="0" w:firstLineChars="0"/>
              <w:jc w:val="center"/>
              <w:textAlignment w:val="auto"/>
              <w:rPr>
                <w:rFonts w:ascii="宋体" w:hAnsi="宋体" w:eastAsia="宋体" w:cs="宋体"/>
                <w:spacing w:val="-4"/>
                <w:kern w:val="2"/>
                <w:sz w:val="18"/>
                <w:szCs w:val="22"/>
                <w:lang w:val="en-US" w:eastAsia="en-US" w:bidi="ar-SA"/>
              </w:rPr>
            </w:pPr>
            <w:r>
              <w:rPr>
                <w:spacing w:val="-4"/>
                <w:sz w:val="18"/>
              </w:rPr>
              <w:t>识读装置、电控锁</w:t>
            </w:r>
          </w:p>
        </w:tc>
        <w:tc>
          <w:tcPr>
            <w:tcW w:w="5347" w:type="dxa"/>
            <w:shd w:val="clear" w:color="auto" w:fill="auto"/>
            <w:vAlign w:val="center"/>
          </w:tcPr>
          <w:p w14:paraId="0B7104D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建筑主体非开放式出入口</w:t>
            </w:r>
          </w:p>
        </w:tc>
        <w:tc>
          <w:tcPr>
            <w:tcW w:w="849" w:type="dxa"/>
            <w:shd w:val="clear" w:color="auto" w:fill="auto"/>
            <w:vAlign w:val="center"/>
          </w:tcPr>
          <w:p w14:paraId="43C6636F">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6248E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D7AC317">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6B9FBD73">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678E4089">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09458A1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与办公区域相通的出入口</w:t>
            </w:r>
          </w:p>
        </w:tc>
        <w:tc>
          <w:tcPr>
            <w:tcW w:w="849" w:type="dxa"/>
            <w:shd w:val="clear" w:color="auto" w:fill="auto"/>
            <w:vAlign w:val="center"/>
          </w:tcPr>
          <w:p w14:paraId="58139168">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044A1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B740FD0">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42C27977">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6CAA08CF">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3A04F76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展品/藏品库区、库房、技术保护用房的出入口</w:t>
            </w:r>
          </w:p>
        </w:tc>
        <w:tc>
          <w:tcPr>
            <w:tcW w:w="849" w:type="dxa"/>
            <w:shd w:val="clear" w:color="auto" w:fill="auto"/>
            <w:vAlign w:val="center"/>
          </w:tcPr>
          <w:p w14:paraId="661A37B6">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69FA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B26C24D">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490BC4CF">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60AB81CD">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425BC4C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展厅的出入口</w:t>
            </w:r>
          </w:p>
        </w:tc>
        <w:tc>
          <w:tcPr>
            <w:tcW w:w="849" w:type="dxa"/>
            <w:shd w:val="clear" w:color="auto" w:fill="auto"/>
            <w:vAlign w:val="center"/>
          </w:tcPr>
          <w:p w14:paraId="5EA87A1D">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宜配置</w:t>
            </w:r>
          </w:p>
        </w:tc>
      </w:tr>
      <w:tr w14:paraId="4073B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FDC978E">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6993C841">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2ACFA502">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538BE30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有人值守的变（配）电、供水泵房、电梯机房、通信机房、空调机房、信息中心、安防设备等设备机房</w:t>
            </w:r>
          </w:p>
        </w:tc>
        <w:tc>
          <w:tcPr>
            <w:tcW w:w="849" w:type="dxa"/>
            <w:shd w:val="clear" w:color="auto" w:fill="auto"/>
            <w:vAlign w:val="center"/>
          </w:tcPr>
          <w:p w14:paraId="08F08FBB">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33F1C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C790E5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787DBD06">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471C4B64">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437C73D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藏品账册存放处</w:t>
            </w:r>
          </w:p>
        </w:tc>
        <w:tc>
          <w:tcPr>
            <w:tcW w:w="849" w:type="dxa"/>
            <w:shd w:val="clear" w:color="auto" w:fill="auto"/>
            <w:vAlign w:val="center"/>
          </w:tcPr>
          <w:p w14:paraId="41DC7472">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AD0D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B456C2F">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38306843">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560C0922">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7EE0227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安防中心控制室</w:t>
            </w:r>
          </w:p>
        </w:tc>
        <w:tc>
          <w:tcPr>
            <w:tcW w:w="849" w:type="dxa"/>
            <w:shd w:val="clear" w:color="auto" w:fill="auto"/>
            <w:vAlign w:val="center"/>
          </w:tcPr>
          <w:p w14:paraId="619CDA56">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08AA0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34DF63D">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60D9C319">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restart"/>
            <w:shd w:val="clear" w:color="auto" w:fill="auto"/>
            <w:vAlign w:val="center"/>
          </w:tcPr>
          <w:p w14:paraId="4BBE0339">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firstLine="0" w:firstLineChars="0"/>
              <w:jc w:val="center"/>
              <w:textAlignment w:val="auto"/>
              <w:rPr>
                <w:rFonts w:ascii="宋体" w:hAnsi="宋体" w:eastAsia="宋体" w:cs="宋体"/>
                <w:spacing w:val="-4"/>
                <w:kern w:val="2"/>
                <w:sz w:val="18"/>
                <w:szCs w:val="22"/>
                <w:lang w:val="en-US" w:eastAsia="en-US" w:bidi="ar-SA"/>
              </w:rPr>
            </w:pPr>
            <w:r>
              <w:rPr>
                <w:spacing w:val="-2"/>
                <w:sz w:val="18"/>
                <w:lang w:eastAsia="zh-CN"/>
              </w:rPr>
              <w:t>组合认证出入口控</w:t>
            </w:r>
            <w:r>
              <w:rPr>
                <w:spacing w:val="-4"/>
                <w:sz w:val="18"/>
                <w:lang w:eastAsia="zh-CN"/>
              </w:rPr>
              <w:t>制装置</w:t>
            </w:r>
          </w:p>
        </w:tc>
        <w:tc>
          <w:tcPr>
            <w:tcW w:w="5347" w:type="dxa"/>
            <w:shd w:val="clear" w:color="auto" w:fill="auto"/>
            <w:vAlign w:val="center"/>
          </w:tcPr>
          <w:p w14:paraId="4229DE6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展品/藏品库区、库房、技术保护用房的出入口</w:t>
            </w:r>
          </w:p>
        </w:tc>
        <w:tc>
          <w:tcPr>
            <w:tcW w:w="849" w:type="dxa"/>
            <w:shd w:val="clear" w:color="auto" w:fill="auto"/>
            <w:vAlign w:val="center"/>
          </w:tcPr>
          <w:p w14:paraId="3FAE56FE">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60564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A3D00B0">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596007E2">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1DBB5E57">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4CBBF8D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需双人双锁管理的出入口</w:t>
            </w:r>
          </w:p>
        </w:tc>
        <w:tc>
          <w:tcPr>
            <w:tcW w:w="849" w:type="dxa"/>
            <w:shd w:val="clear" w:color="auto" w:fill="auto"/>
            <w:vAlign w:val="center"/>
          </w:tcPr>
          <w:p w14:paraId="60B76196">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1D953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9366057">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32C32DC3">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shd w:val="clear" w:color="auto" w:fill="auto"/>
            <w:vAlign w:val="center"/>
          </w:tcPr>
          <w:p w14:paraId="6FA4BE77">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firstLine="0" w:firstLineChars="0"/>
              <w:jc w:val="center"/>
              <w:textAlignment w:val="auto"/>
              <w:rPr>
                <w:rFonts w:ascii="宋体" w:hAnsi="宋体" w:eastAsia="宋体" w:cs="宋体"/>
                <w:spacing w:val="-4"/>
                <w:kern w:val="2"/>
                <w:sz w:val="18"/>
                <w:szCs w:val="22"/>
                <w:lang w:val="en-US" w:eastAsia="en-US" w:bidi="ar-SA"/>
              </w:rPr>
            </w:pPr>
            <w:r>
              <w:rPr>
                <w:spacing w:val="-2"/>
                <w:sz w:val="18"/>
                <w:lang w:eastAsia="zh-CN"/>
              </w:rPr>
              <w:t>来访人员身份／人像采集</w:t>
            </w:r>
          </w:p>
        </w:tc>
        <w:tc>
          <w:tcPr>
            <w:tcW w:w="5347" w:type="dxa"/>
            <w:shd w:val="clear" w:color="auto" w:fill="auto"/>
            <w:vAlign w:val="center"/>
          </w:tcPr>
          <w:p w14:paraId="1BC7874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门卫登记处</w:t>
            </w:r>
          </w:p>
        </w:tc>
        <w:tc>
          <w:tcPr>
            <w:tcW w:w="849" w:type="dxa"/>
            <w:shd w:val="clear" w:color="auto" w:fill="auto"/>
            <w:vAlign w:val="center"/>
          </w:tcPr>
          <w:p w14:paraId="1FFBB1AA">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5BF9E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2EBDB6A">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restart"/>
            <w:vAlign w:val="center"/>
          </w:tcPr>
          <w:p w14:paraId="102EC58B">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r>
              <w:rPr>
                <w:spacing w:val="-4"/>
                <w:sz w:val="18"/>
              </w:rPr>
              <w:t>声音复核装置</w:t>
            </w:r>
          </w:p>
        </w:tc>
        <w:tc>
          <w:tcPr>
            <w:tcW w:w="5347" w:type="dxa"/>
            <w:shd w:val="clear" w:color="auto" w:fill="auto"/>
            <w:vAlign w:val="center"/>
          </w:tcPr>
          <w:p w14:paraId="1DC0D8F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总接待处、总服务台、售（领）票处、纠纷接待处、贵重物品寄存处</w:t>
            </w:r>
          </w:p>
        </w:tc>
        <w:tc>
          <w:tcPr>
            <w:tcW w:w="849" w:type="dxa"/>
            <w:shd w:val="clear" w:color="auto" w:fill="auto"/>
            <w:vAlign w:val="top"/>
          </w:tcPr>
          <w:p w14:paraId="251F6F5A">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jc w:val="center"/>
              <w:textAlignment w:val="auto"/>
              <w:rPr>
                <w:rFonts w:ascii="宋体" w:hAnsi="宋体" w:eastAsia="宋体" w:cs="宋体"/>
                <w:spacing w:val="-4"/>
                <w:kern w:val="2"/>
                <w:sz w:val="18"/>
                <w:szCs w:val="22"/>
                <w:lang w:val="en-US" w:eastAsia="en-US" w:bidi="ar-SA"/>
              </w:rPr>
            </w:pPr>
            <w:r>
              <w:rPr>
                <w:spacing w:val="-4"/>
                <w:sz w:val="18"/>
              </w:rPr>
              <w:t>应配置</w:t>
            </w:r>
          </w:p>
        </w:tc>
      </w:tr>
      <w:tr w14:paraId="00A73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2EE379C">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continue"/>
            <w:vAlign w:val="center"/>
          </w:tcPr>
          <w:p w14:paraId="075C65BB">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3F5A38F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展品/藏品库区、库房、技术保护用房的出入口</w:t>
            </w:r>
          </w:p>
        </w:tc>
        <w:tc>
          <w:tcPr>
            <w:tcW w:w="849" w:type="dxa"/>
            <w:shd w:val="clear" w:color="auto" w:fill="auto"/>
            <w:vAlign w:val="top"/>
          </w:tcPr>
          <w:p w14:paraId="19DD4984">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jc w:val="center"/>
              <w:textAlignment w:val="auto"/>
              <w:rPr>
                <w:rFonts w:ascii="宋体" w:hAnsi="宋体" w:eastAsia="宋体" w:cs="宋体"/>
                <w:spacing w:val="-4"/>
                <w:kern w:val="2"/>
                <w:sz w:val="18"/>
                <w:szCs w:val="22"/>
                <w:lang w:val="en-US" w:eastAsia="en-US" w:bidi="ar-SA"/>
              </w:rPr>
            </w:pPr>
            <w:r>
              <w:rPr>
                <w:spacing w:val="-4"/>
                <w:sz w:val="18"/>
              </w:rPr>
              <w:t>应配置</w:t>
            </w:r>
          </w:p>
        </w:tc>
      </w:tr>
      <w:tr w14:paraId="4452D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F5AD08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continue"/>
            <w:vAlign w:val="center"/>
          </w:tcPr>
          <w:p w14:paraId="4E7E8B3B">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17E39B0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特殊展品的展示部位及展示区域</w:t>
            </w:r>
          </w:p>
        </w:tc>
        <w:tc>
          <w:tcPr>
            <w:tcW w:w="849" w:type="dxa"/>
            <w:shd w:val="clear" w:color="auto" w:fill="auto"/>
            <w:vAlign w:val="top"/>
          </w:tcPr>
          <w:p w14:paraId="336FCC7D">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jc w:val="center"/>
              <w:textAlignment w:val="auto"/>
              <w:rPr>
                <w:rFonts w:ascii="宋体" w:hAnsi="宋体" w:eastAsia="宋体" w:cs="宋体"/>
                <w:spacing w:val="-4"/>
                <w:kern w:val="2"/>
                <w:sz w:val="18"/>
                <w:szCs w:val="22"/>
                <w:lang w:val="en-US" w:eastAsia="en-US" w:bidi="ar-SA"/>
              </w:rPr>
            </w:pPr>
            <w:r>
              <w:rPr>
                <w:spacing w:val="-4"/>
                <w:sz w:val="18"/>
              </w:rPr>
              <w:t>应配置</w:t>
            </w:r>
          </w:p>
        </w:tc>
      </w:tr>
      <w:tr w14:paraId="5B17F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0C6E455">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restart"/>
            <w:shd w:val="clear" w:color="auto" w:fill="auto"/>
            <w:vAlign w:val="center"/>
          </w:tcPr>
          <w:p w14:paraId="2A4A2725">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firstLine="0" w:firstLineChars="0"/>
              <w:jc w:val="center"/>
              <w:textAlignment w:val="auto"/>
              <w:rPr>
                <w:rFonts w:hint="default" w:ascii="宋体" w:hAnsi="宋体" w:eastAsia="宋体" w:cs="宋体"/>
                <w:color w:val="auto"/>
                <w:spacing w:val="-2"/>
                <w:kern w:val="2"/>
                <w:sz w:val="18"/>
                <w:szCs w:val="22"/>
                <w:lang w:val="en-US" w:eastAsia="en-US" w:bidi="ar-SA"/>
              </w:rPr>
            </w:pPr>
            <w:r>
              <w:rPr>
                <w:rFonts w:hint="eastAsia"/>
                <w:color w:val="auto"/>
                <w:spacing w:val="-2"/>
                <w:sz w:val="18"/>
                <w:lang w:val="en-US" w:eastAsia="zh-CN"/>
              </w:rPr>
              <w:t>电子巡检系统</w:t>
            </w:r>
          </w:p>
        </w:tc>
        <w:tc>
          <w:tcPr>
            <w:tcW w:w="5347" w:type="dxa"/>
            <w:shd w:val="clear" w:color="auto" w:fill="auto"/>
            <w:vAlign w:val="center"/>
          </w:tcPr>
          <w:p w14:paraId="20EC8A6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院区周界、出入口、广场，集中停车场、人（车）行主要通道，建筑（含停车库/场）与外界相通的出入口，展馆与外界相通的出入口，检票、安检等排队等候、公共服务区域，展品/藏品装卸、转运区域，各楼层公共过厅、公共走道，各楼层（含停车库/场）电梯厅、楼梯（含自动扶梯）口，顶层出入口、开放式平台等开放式重要部位或区域</w:t>
            </w:r>
          </w:p>
        </w:tc>
        <w:tc>
          <w:tcPr>
            <w:tcW w:w="849" w:type="dxa"/>
            <w:shd w:val="clear" w:color="auto" w:fill="auto"/>
            <w:vAlign w:val="center"/>
          </w:tcPr>
          <w:p w14:paraId="5C119C5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1507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BC0F04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continue"/>
            <w:vAlign w:val="center"/>
          </w:tcPr>
          <w:p w14:paraId="3938EBA7">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1F6D028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变（配）电、供水泵房、电梯机房、通信机房、空调机房、信息中心、安防设备等设备机房周边</w:t>
            </w:r>
          </w:p>
        </w:tc>
        <w:tc>
          <w:tcPr>
            <w:tcW w:w="849" w:type="dxa"/>
            <w:shd w:val="clear" w:color="auto" w:fill="auto"/>
            <w:vAlign w:val="top"/>
          </w:tcPr>
          <w:p w14:paraId="51A90DFB">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292A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215144A">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continue"/>
            <w:vAlign w:val="center"/>
          </w:tcPr>
          <w:p w14:paraId="4B54C327">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25CE55F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其他需要管理部位</w:t>
            </w:r>
          </w:p>
        </w:tc>
        <w:tc>
          <w:tcPr>
            <w:tcW w:w="849" w:type="dxa"/>
            <w:shd w:val="clear" w:color="auto" w:fill="auto"/>
            <w:vAlign w:val="top"/>
          </w:tcPr>
          <w:p w14:paraId="21A94C98">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宜配置</w:t>
            </w:r>
          </w:p>
        </w:tc>
      </w:tr>
      <w:tr w14:paraId="63035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D7B12DE">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shd w:val="clear" w:color="auto" w:fill="auto"/>
            <w:vAlign w:val="center"/>
          </w:tcPr>
          <w:p w14:paraId="38B19CC9">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firstLine="0" w:firstLineChars="0"/>
              <w:jc w:val="center"/>
              <w:textAlignment w:val="auto"/>
              <w:rPr>
                <w:rFonts w:hint="default" w:ascii="宋体" w:hAnsi="宋体" w:eastAsia="宋体" w:cs="宋体"/>
                <w:color w:val="auto"/>
                <w:spacing w:val="-2"/>
                <w:kern w:val="2"/>
                <w:sz w:val="18"/>
                <w:szCs w:val="22"/>
                <w:lang w:val="en-US" w:eastAsia="en-US" w:bidi="ar-SA"/>
              </w:rPr>
            </w:pPr>
            <w:r>
              <w:rPr>
                <w:rFonts w:hint="eastAsia"/>
                <w:color w:val="auto"/>
                <w:spacing w:val="-2"/>
                <w:sz w:val="18"/>
                <w:lang w:val="en-US" w:eastAsia="zh-CN"/>
              </w:rPr>
              <w:t>安防控制室</w:t>
            </w:r>
          </w:p>
        </w:tc>
        <w:tc>
          <w:tcPr>
            <w:tcW w:w="5347" w:type="dxa"/>
            <w:shd w:val="clear" w:color="auto" w:fill="auto"/>
            <w:vAlign w:val="center"/>
          </w:tcPr>
          <w:p w14:paraId="7CE155C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en-US"/>
              </w:rPr>
            </w:pPr>
            <w:r>
              <w:rPr>
                <w:rFonts w:hint="eastAsia"/>
                <w:spacing w:val="-2"/>
                <w:sz w:val="18"/>
                <w:lang w:val="en-US" w:eastAsia="zh-CN"/>
              </w:rPr>
              <w:t>视频安防监控、入侵和紧急报警、电子巡检的终端设备、以及出入口控制系统的报警信号输出终端</w:t>
            </w:r>
          </w:p>
        </w:tc>
        <w:tc>
          <w:tcPr>
            <w:tcW w:w="849" w:type="dxa"/>
            <w:shd w:val="clear" w:color="auto" w:fill="auto"/>
            <w:vAlign w:val="center"/>
          </w:tcPr>
          <w:p w14:paraId="47375AF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hint="eastAsia" w:ascii="宋体" w:hAnsi="宋体" w:eastAsia="宋体" w:cs="宋体"/>
                <w:kern w:val="2"/>
                <w:sz w:val="18"/>
                <w:szCs w:val="22"/>
                <w:lang w:val="en-US" w:eastAsia="en-US" w:bidi="ar-SA"/>
              </w:rPr>
            </w:pPr>
            <w:r>
              <w:rPr>
                <w:rFonts w:hint="eastAsia" w:cs="宋体"/>
                <w:kern w:val="2"/>
                <w:sz w:val="18"/>
                <w:szCs w:val="22"/>
                <w:lang w:val="en-US" w:eastAsia="zh-CN" w:bidi="ar-SA"/>
              </w:rPr>
              <w:t>宜配置</w:t>
            </w:r>
          </w:p>
        </w:tc>
      </w:tr>
      <w:tr w14:paraId="7E68C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E55ACBC">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restart"/>
            <w:shd w:val="clear" w:color="auto" w:fill="auto"/>
            <w:vAlign w:val="center"/>
          </w:tcPr>
          <w:p w14:paraId="1346DFDB">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jc w:val="center"/>
              <w:textAlignment w:val="auto"/>
              <w:rPr>
                <w:rFonts w:hint="default" w:ascii="宋体" w:hAnsi="宋体" w:eastAsia="宋体" w:cs="宋体"/>
                <w:color w:val="auto"/>
                <w:spacing w:val="-6"/>
                <w:kern w:val="2"/>
                <w:sz w:val="18"/>
                <w:szCs w:val="22"/>
                <w:lang w:val="en-US" w:eastAsia="zh-CN" w:bidi="ar-SA"/>
              </w:rPr>
            </w:pPr>
            <w:r>
              <w:rPr>
                <w:rFonts w:hint="eastAsia"/>
                <w:color w:val="auto"/>
                <w:spacing w:val="-6"/>
                <w:sz w:val="18"/>
                <w:lang w:val="en-US" w:eastAsia="zh-CN"/>
              </w:rPr>
              <w:t>专用通讯设备</w:t>
            </w:r>
          </w:p>
        </w:tc>
        <w:tc>
          <w:tcPr>
            <w:tcW w:w="1699" w:type="dxa"/>
            <w:shd w:val="clear" w:color="auto" w:fill="auto"/>
            <w:vAlign w:val="center"/>
          </w:tcPr>
          <w:p w14:paraId="30477BBD">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firstLine="0" w:firstLineChars="0"/>
              <w:jc w:val="center"/>
              <w:textAlignment w:val="auto"/>
              <w:rPr>
                <w:rFonts w:ascii="宋体" w:hAnsi="宋体" w:eastAsia="宋体" w:cs="宋体"/>
                <w:spacing w:val="-4"/>
                <w:kern w:val="2"/>
                <w:sz w:val="18"/>
                <w:szCs w:val="22"/>
                <w:lang w:val="en-US" w:eastAsia="en-US" w:bidi="ar-SA"/>
              </w:rPr>
            </w:pPr>
            <w:r>
              <w:rPr>
                <w:rFonts w:hint="eastAsia"/>
                <w:color w:val="auto"/>
                <w:spacing w:val="-4"/>
                <w:sz w:val="18"/>
                <w:lang w:val="en-US" w:eastAsia="zh-CN"/>
              </w:rPr>
              <w:t>来电号码显示</w:t>
            </w:r>
          </w:p>
        </w:tc>
        <w:tc>
          <w:tcPr>
            <w:tcW w:w="5347" w:type="dxa"/>
            <w:shd w:val="clear" w:color="auto" w:fill="auto"/>
            <w:vAlign w:val="center"/>
          </w:tcPr>
          <w:p w14:paraId="2539944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en-US"/>
              </w:rPr>
            </w:pPr>
            <w:r>
              <w:rPr>
                <w:spacing w:val="-2"/>
                <w:sz w:val="18"/>
              </w:rPr>
              <w:t>对外公开的直线电话</w:t>
            </w:r>
          </w:p>
        </w:tc>
        <w:tc>
          <w:tcPr>
            <w:tcW w:w="849" w:type="dxa"/>
            <w:shd w:val="clear" w:color="auto" w:fill="auto"/>
            <w:vAlign w:val="top"/>
          </w:tcPr>
          <w:p w14:paraId="7AF83A55">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hint="eastAsia" w:ascii="宋体" w:hAnsi="宋体" w:eastAsia="宋体" w:cs="宋体"/>
                <w:kern w:val="2"/>
                <w:sz w:val="18"/>
                <w:szCs w:val="22"/>
                <w:lang w:val="en-US" w:eastAsia="en-US" w:bidi="ar-SA"/>
              </w:rPr>
            </w:pPr>
            <w:r>
              <w:rPr>
                <w:spacing w:val="-5"/>
                <w:sz w:val="18"/>
              </w:rPr>
              <w:t>应配置</w:t>
            </w:r>
          </w:p>
        </w:tc>
      </w:tr>
      <w:tr w14:paraId="2E759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621B57A">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7DEC1E30">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shd w:val="clear" w:color="auto" w:fill="auto"/>
            <w:vAlign w:val="center"/>
          </w:tcPr>
          <w:p w14:paraId="7CFDBCF2">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firstLine="0" w:firstLineChars="0"/>
              <w:jc w:val="center"/>
              <w:textAlignment w:val="auto"/>
              <w:rPr>
                <w:rFonts w:ascii="宋体" w:hAnsi="宋体" w:eastAsia="宋体" w:cs="宋体"/>
                <w:spacing w:val="-4"/>
                <w:kern w:val="2"/>
                <w:sz w:val="18"/>
                <w:szCs w:val="22"/>
                <w:lang w:val="en-US" w:eastAsia="en-US" w:bidi="ar-SA"/>
              </w:rPr>
            </w:pPr>
            <w:r>
              <w:rPr>
                <w:rFonts w:hint="eastAsia"/>
                <w:color w:val="auto"/>
                <w:spacing w:val="-4"/>
                <w:sz w:val="18"/>
                <w:lang w:val="en-US" w:eastAsia="zh-CN"/>
              </w:rPr>
              <w:t>电话录音</w:t>
            </w:r>
          </w:p>
        </w:tc>
        <w:tc>
          <w:tcPr>
            <w:tcW w:w="5347" w:type="dxa"/>
            <w:shd w:val="clear" w:color="auto" w:fill="auto"/>
            <w:vAlign w:val="center"/>
          </w:tcPr>
          <w:p w14:paraId="2F772F0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对外公开的直线电话</w:t>
            </w:r>
          </w:p>
        </w:tc>
        <w:tc>
          <w:tcPr>
            <w:tcW w:w="849" w:type="dxa"/>
            <w:shd w:val="clear" w:color="auto" w:fill="auto"/>
            <w:vAlign w:val="top"/>
          </w:tcPr>
          <w:p w14:paraId="5A24FDD3">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1774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8E55E6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246DEB4E">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restart"/>
            <w:shd w:val="clear" w:color="auto" w:fill="auto"/>
            <w:vAlign w:val="center"/>
          </w:tcPr>
          <w:p w14:paraId="6925F793">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firstLine="0" w:firstLineChars="0"/>
              <w:jc w:val="center"/>
              <w:textAlignment w:val="auto"/>
              <w:rPr>
                <w:rFonts w:ascii="宋体" w:hAnsi="宋体" w:eastAsia="宋体" w:cs="宋体"/>
                <w:spacing w:val="-4"/>
                <w:kern w:val="2"/>
                <w:sz w:val="18"/>
                <w:szCs w:val="22"/>
                <w:lang w:val="en-US" w:eastAsia="en-US" w:bidi="ar-SA"/>
              </w:rPr>
            </w:pPr>
            <w:r>
              <w:rPr>
                <w:rFonts w:hint="eastAsia"/>
                <w:color w:val="auto"/>
                <w:spacing w:val="-4"/>
                <w:sz w:val="18"/>
                <w:lang w:val="en-US" w:eastAsia="zh-CN"/>
              </w:rPr>
              <w:t>保安人员对讲设备</w:t>
            </w:r>
          </w:p>
        </w:tc>
        <w:tc>
          <w:tcPr>
            <w:tcW w:w="5347" w:type="dxa"/>
            <w:shd w:val="clear" w:color="auto" w:fill="auto"/>
            <w:vAlign w:val="center"/>
          </w:tcPr>
          <w:p w14:paraId="61221A8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人员聚集区、广场区域</w:t>
            </w:r>
          </w:p>
        </w:tc>
        <w:tc>
          <w:tcPr>
            <w:tcW w:w="849" w:type="dxa"/>
            <w:shd w:val="clear" w:color="auto" w:fill="auto"/>
            <w:vAlign w:val="top"/>
          </w:tcPr>
          <w:p w14:paraId="4476682A">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A2F1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AFFC086">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55602ADB">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44E5C02A">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0B4F3DB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售（检）票、安检等排队等候区域</w:t>
            </w:r>
          </w:p>
        </w:tc>
        <w:tc>
          <w:tcPr>
            <w:tcW w:w="849" w:type="dxa"/>
            <w:shd w:val="clear" w:color="auto" w:fill="auto"/>
            <w:vAlign w:val="top"/>
          </w:tcPr>
          <w:p w14:paraId="2A89FB9F">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2FF0D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575A76B">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65732793">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52D899CB">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0EEEEDF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展品/藏品装卸、转运区域</w:t>
            </w:r>
          </w:p>
        </w:tc>
        <w:tc>
          <w:tcPr>
            <w:tcW w:w="849" w:type="dxa"/>
            <w:shd w:val="clear" w:color="auto" w:fill="auto"/>
            <w:vAlign w:val="top"/>
          </w:tcPr>
          <w:p w14:paraId="19FE0DE3">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4D3C4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799989C">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7E460FBB">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57989EE2">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4929544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展场、展厅的出入口</w:t>
            </w:r>
          </w:p>
        </w:tc>
        <w:tc>
          <w:tcPr>
            <w:tcW w:w="849" w:type="dxa"/>
            <w:shd w:val="clear" w:color="auto" w:fill="auto"/>
            <w:vAlign w:val="top"/>
          </w:tcPr>
          <w:p w14:paraId="2597045F">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369A1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C62DD7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4370F23D">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5144A1CD">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357F387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展场、展厅的主要通道</w:t>
            </w:r>
          </w:p>
        </w:tc>
        <w:tc>
          <w:tcPr>
            <w:tcW w:w="849" w:type="dxa"/>
            <w:shd w:val="clear" w:color="auto" w:fill="auto"/>
            <w:vAlign w:val="top"/>
          </w:tcPr>
          <w:p w14:paraId="4B27A383">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6FA9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1CAB278">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0F37B570">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38F59A46">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4C95DBF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特殊展品的展示部位及展示区域</w:t>
            </w:r>
          </w:p>
        </w:tc>
        <w:tc>
          <w:tcPr>
            <w:tcW w:w="849" w:type="dxa"/>
            <w:shd w:val="clear" w:color="auto" w:fill="auto"/>
            <w:vAlign w:val="top"/>
          </w:tcPr>
          <w:p w14:paraId="4DC7231A">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41B6F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2837663">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791B419B">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color w:val="auto"/>
                <w:spacing w:val="-6"/>
                <w:sz w:val="18"/>
              </w:rPr>
            </w:pPr>
          </w:p>
        </w:tc>
        <w:tc>
          <w:tcPr>
            <w:tcW w:w="1699" w:type="dxa"/>
            <w:vMerge w:val="continue"/>
            <w:shd w:val="clear" w:color="auto" w:fill="auto"/>
            <w:vAlign w:val="center"/>
          </w:tcPr>
          <w:p w14:paraId="47BA31A5">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jc w:val="center"/>
              <w:textAlignment w:val="auto"/>
              <w:rPr>
                <w:rFonts w:ascii="宋体" w:hAnsi="宋体" w:eastAsia="宋体" w:cs="宋体"/>
                <w:spacing w:val="-4"/>
                <w:kern w:val="2"/>
                <w:sz w:val="18"/>
                <w:szCs w:val="22"/>
                <w:lang w:val="en-US" w:eastAsia="en-US" w:bidi="ar-SA"/>
              </w:rPr>
            </w:pPr>
          </w:p>
        </w:tc>
        <w:tc>
          <w:tcPr>
            <w:tcW w:w="5347" w:type="dxa"/>
            <w:shd w:val="clear" w:color="auto" w:fill="auto"/>
            <w:vAlign w:val="center"/>
          </w:tcPr>
          <w:p w14:paraId="04BC587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安防中心控制室</w:t>
            </w:r>
          </w:p>
        </w:tc>
        <w:tc>
          <w:tcPr>
            <w:tcW w:w="849" w:type="dxa"/>
            <w:shd w:val="clear" w:color="auto" w:fill="auto"/>
            <w:vAlign w:val="top"/>
          </w:tcPr>
          <w:p w14:paraId="37AA6B62">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04ED0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94E8224">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restart"/>
          </w:tcPr>
          <w:p w14:paraId="5C3B3738">
            <w:pPr>
              <w:pStyle w:val="60"/>
              <w:spacing w:before="1" w:line="208" w:lineRule="auto"/>
              <w:ind w:left="123" w:right="109"/>
              <w:jc w:val="both"/>
              <w:rPr>
                <w:color w:val="auto"/>
                <w:spacing w:val="-6"/>
                <w:sz w:val="18"/>
              </w:rPr>
            </w:pPr>
            <w:r>
              <w:rPr>
                <w:spacing w:val="-6"/>
                <w:sz w:val="18"/>
              </w:rPr>
              <w:t>安全检查系统</w:t>
            </w:r>
          </w:p>
        </w:tc>
        <w:tc>
          <w:tcPr>
            <w:tcW w:w="1699" w:type="dxa"/>
            <w:shd w:val="clear" w:color="auto" w:fill="auto"/>
            <w:vAlign w:val="center"/>
          </w:tcPr>
          <w:p w14:paraId="0C5ADC3A">
            <w:pPr>
              <w:pStyle w:val="60"/>
              <w:keepNext w:val="0"/>
              <w:keepLines w:val="0"/>
              <w:pageBreakBefore w:val="0"/>
              <w:widowControl w:val="0"/>
              <w:kinsoku/>
              <w:wordWrap/>
              <w:overflowPunct/>
              <w:topLinePunct w:val="0"/>
              <w:autoSpaceDE/>
              <w:autoSpaceDN/>
              <w:bidi w:val="0"/>
              <w:adjustRightInd/>
              <w:snapToGrid/>
              <w:spacing w:before="0"/>
              <w:ind w:left="53" w:leftChars="25" w:right="0" w:rightChars="0"/>
              <w:jc w:val="center"/>
              <w:textAlignment w:val="auto"/>
              <w:rPr>
                <w:rFonts w:ascii="宋体" w:hAnsi="宋体" w:eastAsia="宋体" w:cs="宋体"/>
                <w:spacing w:val="-4"/>
                <w:kern w:val="2"/>
                <w:sz w:val="18"/>
                <w:szCs w:val="22"/>
                <w:lang w:val="en-US" w:eastAsia="en-US" w:bidi="ar-SA"/>
              </w:rPr>
            </w:pPr>
            <w:r>
              <w:rPr>
                <w:spacing w:val="-4"/>
                <w:sz w:val="18"/>
              </w:rPr>
              <w:t>手持式金属探测器</w:t>
            </w:r>
          </w:p>
        </w:tc>
        <w:tc>
          <w:tcPr>
            <w:tcW w:w="5347" w:type="dxa"/>
            <w:shd w:val="clear" w:color="auto" w:fill="auto"/>
            <w:vAlign w:val="center"/>
          </w:tcPr>
          <w:p w14:paraId="54D30BD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安检区域</w:t>
            </w:r>
          </w:p>
        </w:tc>
        <w:tc>
          <w:tcPr>
            <w:tcW w:w="849" w:type="dxa"/>
            <w:shd w:val="clear" w:color="auto" w:fill="auto"/>
            <w:vAlign w:val="center"/>
          </w:tcPr>
          <w:p w14:paraId="52B5515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DC30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D6D98EB">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43190F48">
            <w:pPr>
              <w:pStyle w:val="60"/>
              <w:spacing w:before="1" w:line="208" w:lineRule="auto"/>
              <w:ind w:left="123" w:right="109"/>
              <w:jc w:val="both"/>
              <w:rPr>
                <w:color w:val="auto"/>
                <w:spacing w:val="-6"/>
                <w:sz w:val="18"/>
              </w:rPr>
            </w:pPr>
          </w:p>
        </w:tc>
        <w:tc>
          <w:tcPr>
            <w:tcW w:w="1699" w:type="dxa"/>
            <w:shd w:val="clear" w:color="auto" w:fill="auto"/>
            <w:vAlign w:val="center"/>
          </w:tcPr>
          <w:p w14:paraId="460D7501">
            <w:pPr>
              <w:pStyle w:val="60"/>
              <w:keepNext w:val="0"/>
              <w:keepLines w:val="0"/>
              <w:pageBreakBefore w:val="0"/>
              <w:widowControl w:val="0"/>
              <w:kinsoku/>
              <w:wordWrap/>
              <w:overflowPunct/>
              <w:topLinePunct w:val="0"/>
              <w:autoSpaceDE/>
              <w:autoSpaceDN/>
              <w:bidi w:val="0"/>
              <w:adjustRightInd/>
              <w:snapToGrid/>
              <w:spacing w:before="0" w:line="202" w:lineRule="exact"/>
              <w:ind w:left="683" w:leftChars="25" w:right="0" w:rightChars="0" w:hanging="630" w:firstLineChars="0"/>
              <w:jc w:val="center"/>
              <w:textAlignment w:val="auto"/>
              <w:rPr>
                <w:rFonts w:ascii="宋体" w:hAnsi="宋体" w:eastAsia="宋体" w:cs="宋体"/>
                <w:spacing w:val="-4"/>
                <w:kern w:val="2"/>
                <w:sz w:val="18"/>
                <w:szCs w:val="22"/>
                <w:lang w:val="en-US" w:eastAsia="en-US" w:bidi="ar-SA"/>
              </w:rPr>
            </w:pPr>
            <w:r>
              <w:rPr>
                <w:spacing w:val="-2"/>
                <w:sz w:val="18"/>
              </w:rPr>
              <w:t>通过式金属探测系</w:t>
            </w:r>
            <w:r>
              <w:rPr>
                <w:spacing w:val="-10"/>
                <w:sz w:val="18"/>
              </w:rPr>
              <w:t>统</w:t>
            </w:r>
          </w:p>
        </w:tc>
        <w:tc>
          <w:tcPr>
            <w:tcW w:w="5347" w:type="dxa"/>
            <w:shd w:val="clear" w:color="auto" w:fill="auto"/>
            <w:vAlign w:val="center"/>
          </w:tcPr>
          <w:p w14:paraId="2DDF7BA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安检区域</w:t>
            </w:r>
          </w:p>
        </w:tc>
        <w:tc>
          <w:tcPr>
            <w:tcW w:w="849" w:type="dxa"/>
            <w:shd w:val="clear" w:color="auto" w:fill="auto"/>
            <w:vAlign w:val="center"/>
          </w:tcPr>
          <w:p w14:paraId="6D6CB13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A585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3101DE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7BA2397A">
            <w:pPr>
              <w:pStyle w:val="60"/>
              <w:spacing w:before="1" w:line="208" w:lineRule="auto"/>
              <w:ind w:left="123" w:right="109"/>
              <w:jc w:val="both"/>
              <w:rPr>
                <w:color w:val="auto"/>
                <w:spacing w:val="-6"/>
                <w:sz w:val="18"/>
              </w:rPr>
            </w:pPr>
          </w:p>
        </w:tc>
        <w:tc>
          <w:tcPr>
            <w:tcW w:w="1699" w:type="dxa"/>
            <w:shd w:val="clear" w:color="auto" w:fill="auto"/>
            <w:vAlign w:val="top"/>
          </w:tcPr>
          <w:p w14:paraId="340A9C1C">
            <w:pPr>
              <w:pStyle w:val="60"/>
              <w:keepNext w:val="0"/>
              <w:keepLines w:val="0"/>
              <w:pageBreakBefore w:val="0"/>
              <w:widowControl w:val="0"/>
              <w:kinsoku/>
              <w:wordWrap/>
              <w:overflowPunct/>
              <w:topLinePunct w:val="0"/>
              <w:autoSpaceDE/>
              <w:autoSpaceDN/>
              <w:bidi w:val="0"/>
              <w:adjustRightInd/>
              <w:snapToGrid/>
              <w:spacing w:before="0" w:line="240" w:lineRule="auto"/>
              <w:ind w:left="53" w:leftChars="25" w:right="0" w:rightChars="0" w:firstLine="0" w:firstLineChars="0"/>
              <w:jc w:val="center"/>
              <w:textAlignment w:val="auto"/>
              <w:rPr>
                <w:spacing w:val="-2"/>
                <w:sz w:val="18"/>
                <w:lang w:val="en-US" w:eastAsia="en-US"/>
              </w:rPr>
            </w:pPr>
            <w:r>
              <w:rPr>
                <w:spacing w:val="-2"/>
                <w:sz w:val="18"/>
              </w:rPr>
              <w:t>X射线安全检查设备</w:t>
            </w:r>
          </w:p>
        </w:tc>
        <w:tc>
          <w:tcPr>
            <w:tcW w:w="5347" w:type="dxa"/>
            <w:shd w:val="clear" w:color="auto" w:fill="auto"/>
            <w:vAlign w:val="center"/>
          </w:tcPr>
          <w:p w14:paraId="69ECA3E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rPr>
            </w:pPr>
            <w:r>
              <w:rPr>
                <w:spacing w:val="-2"/>
                <w:sz w:val="18"/>
              </w:rPr>
              <w:t>安检区域</w:t>
            </w:r>
          </w:p>
        </w:tc>
        <w:tc>
          <w:tcPr>
            <w:tcW w:w="849" w:type="dxa"/>
            <w:shd w:val="clear" w:color="auto" w:fill="auto"/>
            <w:vAlign w:val="center"/>
          </w:tcPr>
          <w:p w14:paraId="06055CA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spacing w:val="-2"/>
                <w:sz w:val="18"/>
              </w:rPr>
            </w:pPr>
            <w:r>
              <w:rPr>
                <w:spacing w:val="-5"/>
                <w:sz w:val="18"/>
              </w:rPr>
              <w:t>应配置</w:t>
            </w:r>
          </w:p>
        </w:tc>
      </w:tr>
    </w:tbl>
    <w:p w14:paraId="7603D74A">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表1  博物馆安全技术防范系统配置表（续）</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605"/>
        <w:gridCol w:w="1699"/>
        <w:gridCol w:w="5347"/>
        <w:gridCol w:w="849"/>
      </w:tblGrid>
      <w:tr w14:paraId="1D754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top"/>
          </w:tcPr>
          <w:p w14:paraId="22B19032">
            <w:pPr>
              <w:pStyle w:val="60"/>
              <w:spacing w:before="127"/>
              <w:ind w:left="142" w:leftChars="0" w:right="130" w:rightChars="0"/>
              <w:jc w:val="center"/>
              <w:rPr>
                <w:rFonts w:hint="eastAsia" w:eastAsia="宋体"/>
                <w:color w:val="auto"/>
                <w:sz w:val="18"/>
                <w:lang w:val="en-US" w:eastAsia="zh-CN"/>
              </w:rPr>
            </w:pPr>
            <w:r>
              <w:rPr>
                <w:color w:val="auto"/>
                <w:spacing w:val="-6"/>
                <w:sz w:val="18"/>
              </w:rPr>
              <w:t>序号</w:t>
            </w:r>
          </w:p>
        </w:tc>
        <w:tc>
          <w:tcPr>
            <w:tcW w:w="2304" w:type="dxa"/>
            <w:gridSpan w:val="2"/>
            <w:vAlign w:val="top"/>
          </w:tcPr>
          <w:p w14:paraId="0E84BE27">
            <w:pPr>
              <w:pStyle w:val="60"/>
              <w:spacing w:before="127"/>
              <w:ind w:left="958" w:leftChars="0" w:right="947" w:rightChars="0"/>
              <w:jc w:val="center"/>
              <w:rPr>
                <w:rFonts w:hint="eastAsia" w:eastAsia="宋体"/>
                <w:color w:val="auto"/>
                <w:spacing w:val="-2"/>
                <w:sz w:val="18"/>
                <w:lang w:val="en-US" w:eastAsia="zh-CN"/>
              </w:rPr>
            </w:pPr>
            <w:r>
              <w:rPr>
                <w:color w:val="auto"/>
                <w:spacing w:val="-6"/>
                <w:sz w:val="18"/>
              </w:rPr>
              <w:t>项目</w:t>
            </w:r>
          </w:p>
        </w:tc>
        <w:tc>
          <w:tcPr>
            <w:tcW w:w="5347" w:type="dxa"/>
            <w:vAlign w:val="top"/>
          </w:tcPr>
          <w:p w14:paraId="24E8F707">
            <w:pPr>
              <w:pStyle w:val="60"/>
              <w:spacing w:before="127"/>
              <w:ind w:left="1854" w:leftChars="0" w:right="1849" w:rightChars="0"/>
              <w:jc w:val="center"/>
              <w:rPr>
                <w:color w:val="auto"/>
                <w:spacing w:val="-4"/>
                <w:sz w:val="18"/>
              </w:rPr>
            </w:pPr>
            <w:r>
              <w:rPr>
                <w:color w:val="auto"/>
                <w:spacing w:val="-3"/>
                <w:sz w:val="18"/>
              </w:rPr>
              <w:t>安装区域或覆盖范围</w:t>
            </w:r>
          </w:p>
        </w:tc>
        <w:tc>
          <w:tcPr>
            <w:tcW w:w="849" w:type="dxa"/>
            <w:vAlign w:val="top"/>
          </w:tcPr>
          <w:p w14:paraId="17993C47">
            <w:pPr>
              <w:pStyle w:val="60"/>
              <w:spacing w:before="7" w:line="230" w:lineRule="exact"/>
              <w:ind w:left="248" w:leftChars="0" w:right="228" w:rightChars="0"/>
              <w:rPr>
                <w:color w:val="auto"/>
                <w:spacing w:val="-5"/>
                <w:sz w:val="18"/>
              </w:rPr>
            </w:pPr>
            <w:r>
              <w:rPr>
                <w:color w:val="auto"/>
                <w:spacing w:val="-6"/>
                <w:sz w:val="18"/>
              </w:rPr>
              <w:t>配置要求</w:t>
            </w:r>
          </w:p>
        </w:tc>
      </w:tr>
      <w:tr w14:paraId="559E6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BA0DD15">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Align w:val="center"/>
          </w:tcPr>
          <w:p w14:paraId="46A1857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r>
              <w:rPr>
                <w:spacing w:val="-6"/>
                <w:sz w:val="18"/>
              </w:rPr>
              <w:t>安全检查系统</w:t>
            </w:r>
          </w:p>
        </w:tc>
        <w:tc>
          <w:tcPr>
            <w:tcW w:w="1699" w:type="dxa"/>
            <w:vAlign w:val="center"/>
          </w:tcPr>
          <w:p w14:paraId="464ACED2">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2"/>
                <w:sz w:val="18"/>
              </w:rPr>
            </w:pPr>
            <w:r>
              <w:rPr>
                <w:spacing w:val="-4"/>
                <w:sz w:val="18"/>
              </w:rPr>
              <w:t>防爆毯、防爆罐</w:t>
            </w:r>
          </w:p>
        </w:tc>
        <w:tc>
          <w:tcPr>
            <w:tcW w:w="5347" w:type="dxa"/>
            <w:shd w:val="clear" w:color="auto" w:fill="auto"/>
            <w:vAlign w:val="center"/>
          </w:tcPr>
          <w:p w14:paraId="77CBAF3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被列为反恐目标的展览馆安检处</w:t>
            </w:r>
          </w:p>
        </w:tc>
        <w:tc>
          <w:tcPr>
            <w:tcW w:w="849" w:type="dxa"/>
            <w:shd w:val="clear" w:color="auto" w:fill="auto"/>
            <w:vAlign w:val="center"/>
          </w:tcPr>
          <w:p w14:paraId="1F1609B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5FA14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51A78F6">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762B90C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hint="default" w:ascii="宋体" w:hAnsi="宋体" w:eastAsia="宋体" w:cs="宋体"/>
                <w:color w:val="auto"/>
                <w:spacing w:val="-6"/>
                <w:kern w:val="2"/>
                <w:sz w:val="18"/>
                <w:szCs w:val="22"/>
                <w:lang w:val="en-US" w:eastAsia="zh-CN" w:bidi="ar-SA"/>
              </w:rPr>
            </w:pPr>
            <w:r>
              <w:rPr>
                <w:rFonts w:hint="eastAsia"/>
                <w:color w:val="auto"/>
                <w:spacing w:val="-6"/>
                <w:sz w:val="18"/>
                <w:lang w:val="en-US" w:eastAsia="zh-CN"/>
              </w:rPr>
              <w:t>实体防护装置</w:t>
            </w:r>
          </w:p>
        </w:tc>
        <w:tc>
          <w:tcPr>
            <w:tcW w:w="1699" w:type="dxa"/>
            <w:vMerge w:val="restart"/>
            <w:shd w:val="clear" w:color="auto" w:fill="auto"/>
            <w:vAlign w:val="center"/>
          </w:tcPr>
          <w:p w14:paraId="45AF954D">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hint="default" w:ascii="宋体" w:hAnsi="宋体" w:eastAsia="宋体" w:cs="宋体"/>
                <w:color w:val="auto"/>
                <w:spacing w:val="-4"/>
                <w:kern w:val="2"/>
                <w:sz w:val="18"/>
                <w:szCs w:val="22"/>
                <w:lang w:val="en-US" w:eastAsia="zh-CN" w:bidi="ar-SA"/>
              </w:rPr>
            </w:pPr>
            <w:r>
              <w:rPr>
                <w:rFonts w:hint="eastAsia"/>
                <w:color w:val="auto"/>
                <w:spacing w:val="-4"/>
                <w:sz w:val="18"/>
                <w:lang w:val="en-US" w:eastAsia="zh-CN"/>
              </w:rPr>
              <w:t>防盗安全门、金属防护门</w:t>
            </w:r>
          </w:p>
        </w:tc>
        <w:tc>
          <w:tcPr>
            <w:tcW w:w="5347" w:type="dxa"/>
            <w:shd w:val="clear" w:color="auto" w:fill="auto"/>
            <w:vAlign w:val="center"/>
          </w:tcPr>
          <w:p w14:paraId="2FB7D15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en-US"/>
              </w:rPr>
            </w:pPr>
            <w:r>
              <w:rPr>
                <w:rFonts w:hint="eastAsia"/>
                <w:spacing w:val="-2"/>
                <w:sz w:val="18"/>
                <w:lang w:val="en-US" w:eastAsia="zh-CN"/>
              </w:rPr>
              <w:t>展厅、展厅出入口</w:t>
            </w:r>
          </w:p>
        </w:tc>
        <w:tc>
          <w:tcPr>
            <w:tcW w:w="849" w:type="dxa"/>
            <w:shd w:val="clear" w:color="auto" w:fill="auto"/>
            <w:vAlign w:val="center"/>
          </w:tcPr>
          <w:p w14:paraId="3C4171A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default" w:ascii="宋体" w:hAnsi="宋体" w:eastAsia="宋体" w:cs="宋体"/>
                <w:kern w:val="2"/>
                <w:sz w:val="18"/>
                <w:szCs w:val="22"/>
                <w:lang w:val="en-US" w:eastAsia="en-US" w:bidi="ar-SA"/>
              </w:rPr>
            </w:pPr>
            <w:r>
              <w:rPr>
                <w:rFonts w:hint="eastAsia" w:cs="宋体"/>
                <w:kern w:val="2"/>
                <w:sz w:val="18"/>
                <w:szCs w:val="22"/>
                <w:lang w:val="en-US" w:eastAsia="zh-CN" w:bidi="ar-SA"/>
              </w:rPr>
              <w:t>宜配置</w:t>
            </w:r>
          </w:p>
        </w:tc>
      </w:tr>
      <w:tr w14:paraId="57EC6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4B3C458">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42B6484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50A1689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p>
        </w:tc>
        <w:tc>
          <w:tcPr>
            <w:tcW w:w="5347" w:type="dxa"/>
            <w:shd w:val="clear" w:color="auto" w:fill="auto"/>
            <w:vAlign w:val="center"/>
          </w:tcPr>
          <w:p w14:paraId="5B47431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顶层出入口</w:t>
            </w:r>
          </w:p>
        </w:tc>
        <w:tc>
          <w:tcPr>
            <w:tcW w:w="849" w:type="dxa"/>
            <w:shd w:val="clear" w:color="auto" w:fill="auto"/>
            <w:vAlign w:val="center"/>
          </w:tcPr>
          <w:p w14:paraId="6F2038F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3CEC6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72FC448">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23089B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5F7482A6">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p>
        </w:tc>
        <w:tc>
          <w:tcPr>
            <w:tcW w:w="5347" w:type="dxa"/>
            <w:shd w:val="clear" w:color="auto" w:fill="auto"/>
            <w:vAlign w:val="center"/>
          </w:tcPr>
          <w:p w14:paraId="5606069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变（配）电、供水泵房、电梯机房、通信机房、空调机房等设备机房的出入口</w:t>
            </w:r>
          </w:p>
        </w:tc>
        <w:tc>
          <w:tcPr>
            <w:tcW w:w="849" w:type="dxa"/>
            <w:shd w:val="clear" w:color="auto" w:fill="auto"/>
            <w:vAlign w:val="center"/>
          </w:tcPr>
          <w:p w14:paraId="320F026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宜配置</w:t>
            </w:r>
          </w:p>
        </w:tc>
      </w:tr>
      <w:tr w14:paraId="66F75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5D4B33C">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24D118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7EB70269">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4B0343F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信息中心、安防设备等重要设备机房的出入口</w:t>
            </w:r>
          </w:p>
        </w:tc>
        <w:tc>
          <w:tcPr>
            <w:tcW w:w="849" w:type="dxa"/>
            <w:shd w:val="clear" w:color="auto" w:fill="auto"/>
            <w:vAlign w:val="center"/>
          </w:tcPr>
          <w:p w14:paraId="784C4CE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6DBE6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8B9C65D">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67FDD8C">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0F9A6C8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2DAA2E9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档案资料室、藏品账册存放处</w:t>
            </w:r>
          </w:p>
        </w:tc>
        <w:tc>
          <w:tcPr>
            <w:tcW w:w="849" w:type="dxa"/>
            <w:shd w:val="clear" w:color="auto" w:fill="auto"/>
            <w:vAlign w:val="center"/>
          </w:tcPr>
          <w:p w14:paraId="399D3E8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8BA5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BEB1BB0">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C84E1E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75138686">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672D578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安防中心控制室</w:t>
            </w:r>
          </w:p>
        </w:tc>
        <w:tc>
          <w:tcPr>
            <w:tcW w:w="849" w:type="dxa"/>
            <w:shd w:val="clear" w:color="auto" w:fill="auto"/>
            <w:vAlign w:val="center"/>
          </w:tcPr>
          <w:p w14:paraId="6EEA108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01445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CC01703">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394D161">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373F0A04">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hint="default" w:ascii="宋体" w:hAnsi="宋体" w:eastAsia="宋体" w:cs="宋体"/>
                <w:color w:val="auto"/>
                <w:spacing w:val="-4"/>
                <w:kern w:val="2"/>
                <w:sz w:val="18"/>
                <w:szCs w:val="22"/>
                <w:lang w:val="en-US" w:eastAsia="zh-CN" w:bidi="ar-SA"/>
              </w:rPr>
            </w:pPr>
            <w:r>
              <w:rPr>
                <w:rFonts w:hint="eastAsia"/>
                <w:color w:val="auto"/>
                <w:spacing w:val="-4"/>
                <w:sz w:val="18"/>
                <w:lang w:val="en-US" w:eastAsia="zh-CN"/>
              </w:rPr>
              <w:t>防盗安全门</w:t>
            </w:r>
          </w:p>
        </w:tc>
        <w:tc>
          <w:tcPr>
            <w:tcW w:w="5347" w:type="dxa"/>
            <w:shd w:val="clear" w:color="auto" w:fill="auto"/>
            <w:vAlign w:val="center"/>
          </w:tcPr>
          <w:p w14:paraId="6B1A239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展品/藏品库区、库房、技术保护用房的出入口</w:t>
            </w:r>
          </w:p>
        </w:tc>
        <w:tc>
          <w:tcPr>
            <w:tcW w:w="849" w:type="dxa"/>
            <w:shd w:val="clear" w:color="auto" w:fill="auto"/>
            <w:vAlign w:val="center"/>
          </w:tcPr>
          <w:p w14:paraId="7520A19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1B5BF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D0F11A7">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B3B667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restart"/>
            <w:shd w:val="clear" w:color="auto" w:fill="auto"/>
            <w:vAlign w:val="center"/>
          </w:tcPr>
          <w:p w14:paraId="2B38A758">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hint="default" w:ascii="宋体" w:hAnsi="宋体" w:eastAsia="宋体" w:cs="宋体"/>
                <w:color w:val="auto"/>
                <w:spacing w:val="-4"/>
                <w:kern w:val="2"/>
                <w:sz w:val="18"/>
                <w:szCs w:val="22"/>
                <w:lang w:val="en-US" w:eastAsia="zh-CN" w:bidi="ar-SA"/>
              </w:rPr>
            </w:pPr>
            <w:r>
              <w:rPr>
                <w:rFonts w:hint="eastAsia"/>
                <w:color w:val="auto"/>
                <w:spacing w:val="0"/>
                <w:sz w:val="18"/>
                <w:lang w:val="en-US" w:eastAsia="zh-CN"/>
              </w:rPr>
              <w:t>金属防护栏或防砸玻璃窗户并限位</w:t>
            </w:r>
          </w:p>
        </w:tc>
        <w:tc>
          <w:tcPr>
            <w:tcW w:w="5347" w:type="dxa"/>
            <w:shd w:val="clear" w:color="auto" w:fill="auto"/>
            <w:vAlign w:val="center"/>
          </w:tcPr>
          <w:p w14:paraId="3600E21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展馆与外界相通的窗户、通风口、管道口</w:t>
            </w:r>
          </w:p>
        </w:tc>
        <w:tc>
          <w:tcPr>
            <w:tcW w:w="849" w:type="dxa"/>
            <w:shd w:val="clear" w:color="auto" w:fill="auto"/>
            <w:vAlign w:val="center"/>
          </w:tcPr>
          <w:p w14:paraId="59CA021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0F0CE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EF98AB2">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C7D738A">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6756AF4C">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2CBC78A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lang w:eastAsia="zh-CN"/>
              </w:rPr>
              <w:t>展品/藏品库区、库房、技术保护用房与外界相通的窗户、通风口、管道口</w:t>
            </w:r>
          </w:p>
        </w:tc>
        <w:tc>
          <w:tcPr>
            <w:tcW w:w="849" w:type="dxa"/>
            <w:shd w:val="clear" w:color="auto" w:fill="auto"/>
            <w:vAlign w:val="center"/>
          </w:tcPr>
          <w:p w14:paraId="5F0A1D9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54584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17178A6">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6B928A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Align w:val="center"/>
          </w:tcPr>
          <w:p w14:paraId="53AC5FB2">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r>
              <w:rPr>
                <w:spacing w:val="-4"/>
                <w:sz w:val="18"/>
              </w:rPr>
              <w:t>防砸复合玻璃</w:t>
            </w:r>
          </w:p>
        </w:tc>
        <w:tc>
          <w:tcPr>
            <w:tcW w:w="5347" w:type="dxa"/>
            <w:shd w:val="clear" w:color="auto" w:fill="auto"/>
            <w:vAlign w:val="center"/>
          </w:tcPr>
          <w:p w14:paraId="15F763D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特殊展品的展台/柜</w:t>
            </w:r>
          </w:p>
        </w:tc>
        <w:tc>
          <w:tcPr>
            <w:tcW w:w="849" w:type="dxa"/>
            <w:shd w:val="clear" w:color="auto" w:fill="auto"/>
            <w:vAlign w:val="center"/>
          </w:tcPr>
          <w:p w14:paraId="0B26580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66252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4B78C69">
            <w:pPr>
              <w:pStyle w:val="60"/>
              <w:keepNext w:val="0"/>
              <w:keepLines w:val="0"/>
              <w:pageBreakBefore w:val="0"/>
              <w:widowControl w:val="0"/>
              <w:numPr>
                <w:ilvl w:val="0"/>
                <w:numId w:val="1"/>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663798CF">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Align w:val="center"/>
          </w:tcPr>
          <w:p w14:paraId="61887981">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r>
              <w:rPr>
                <w:spacing w:val="-4"/>
                <w:sz w:val="18"/>
              </w:rPr>
              <w:t>钥匙管理系统</w:t>
            </w:r>
          </w:p>
        </w:tc>
        <w:tc>
          <w:tcPr>
            <w:tcW w:w="5347" w:type="dxa"/>
            <w:shd w:val="clear" w:color="auto" w:fill="auto"/>
            <w:vAlign w:val="center"/>
          </w:tcPr>
          <w:p w14:paraId="2C885E8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特殊展品的展台/柜</w:t>
            </w:r>
          </w:p>
        </w:tc>
        <w:tc>
          <w:tcPr>
            <w:tcW w:w="849" w:type="dxa"/>
            <w:shd w:val="clear" w:color="auto" w:fill="auto"/>
            <w:vAlign w:val="center"/>
          </w:tcPr>
          <w:p w14:paraId="421BA12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bl>
    <w:p w14:paraId="219994E9">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表2  图书馆安全技术防范系统配置表</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605"/>
        <w:gridCol w:w="1699"/>
        <w:gridCol w:w="5347"/>
        <w:gridCol w:w="849"/>
      </w:tblGrid>
      <w:tr w14:paraId="26F9E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top"/>
          </w:tcPr>
          <w:p w14:paraId="4D8FE37A">
            <w:pPr>
              <w:pStyle w:val="60"/>
              <w:spacing w:before="127"/>
              <w:ind w:left="142" w:leftChars="0" w:right="130" w:rightChars="0"/>
              <w:jc w:val="center"/>
              <w:rPr>
                <w:rFonts w:hint="eastAsia" w:eastAsia="宋体"/>
                <w:color w:val="auto"/>
                <w:sz w:val="18"/>
                <w:lang w:val="en-US" w:eastAsia="zh-CN"/>
              </w:rPr>
            </w:pPr>
            <w:r>
              <w:rPr>
                <w:color w:val="auto"/>
                <w:spacing w:val="-6"/>
                <w:sz w:val="18"/>
              </w:rPr>
              <w:t>序号</w:t>
            </w:r>
          </w:p>
        </w:tc>
        <w:tc>
          <w:tcPr>
            <w:tcW w:w="2304" w:type="dxa"/>
            <w:gridSpan w:val="2"/>
            <w:vAlign w:val="top"/>
          </w:tcPr>
          <w:p w14:paraId="701464E9">
            <w:pPr>
              <w:pStyle w:val="60"/>
              <w:spacing w:before="127"/>
              <w:ind w:left="958" w:leftChars="0" w:right="947" w:rightChars="0"/>
              <w:jc w:val="center"/>
              <w:rPr>
                <w:rFonts w:hint="eastAsia" w:eastAsia="宋体"/>
                <w:color w:val="auto"/>
                <w:spacing w:val="-2"/>
                <w:sz w:val="18"/>
                <w:lang w:val="en-US" w:eastAsia="zh-CN"/>
              </w:rPr>
            </w:pPr>
            <w:r>
              <w:rPr>
                <w:color w:val="auto"/>
                <w:spacing w:val="-6"/>
                <w:sz w:val="18"/>
              </w:rPr>
              <w:t>项目</w:t>
            </w:r>
          </w:p>
        </w:tc>
        <w:tc>
          <w:tcPr>
            <w:tcW w:w="5347" w:type="dxa"/>
            <w:vAlign w:val="top"/>
          </w:tcPr>
          <w:p w14:paraId="5FB5F961">
            <w:pPr>
              <w:pStyle w:val="60"/>
              <w:spacing w:before="127"/>
              <w:ind w:left="1854" w:leftChars="0" w:right="1849" w:rightChars="0"/>
              <w:jc w:val="center"/>
              <w:rPr>
                <w:color w:val="auto"/>
                <w:spacing w:val="-4"/>
                <w:sz w:val="18"/>
              </w:rPr>
            </w:pPr>
            <w:r>
              <w:rPr>
                <w:color w:val="auto"/>
                <w:spacing w:val="-3"/>
                <w:sz w:val="18"/>
              </w:rPr>
              <w:t>安装区域或覆盖范围</w:t>
            </w:r>
          </w:p>
        </w:tc>
        <w:tc>
          <w:tcPr>
            <w:tcW w:w="849" w:type="dxa"/>
            <w:vAlign w:val="top"/>
          </w:tcPr>
          <w:p w14:paraId="21D836D8">
            <w:pPr>
              <w:pStyle w:val="60"/>
              <w:spacing w:before="7" w:line="230" w:lineRule="exact"/>
              <w:ind w:left="248" w:leftChars="0" w:right="228" w:rightChars="0"/>
              <w:rPr>
                <w:color w:val="auto"/>
                <w:spacing w:val="-5"/>
                <w:sz w:val="18"/>
              </w:rPr>
            </w:pPr>
            <w:r>
              <w:rPr>
                <w:color w:val="auto"/>
                <w:spacing w:val="-6"/>
                <w:sz w:val="18"/>
              </w:rPr>
              <w:t>配置要求</w:t>
            </w:r>
          </w:p>
        </w:tc>
      </w:tr>
      <w:tr w14:paraId="35F9A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8B47DDC">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74F308CB">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视频监控系统</w:t>
            </w:r>
          </w:p>
        </w:tc>
        <w:tc>
          <w:tcPr>
            <w:tcW w:w="1699" w:type="dxa"/>
            <w:vMerge w:val="restart"/>
            <w:vAlign w:val="center"/>
          </w:tcPr>
          <w:p w14:paraId="0FF872AD">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2"/>
                <w:sz w:val="18"/>
                <w:highlight w:val="none"/>
              </w:rPr>
            </w:pPr>
            <w:r>
              <w:rPr>
                <w:rFonts w:hint="eastAsia"/>
                <w:spacing w:val="-3"/>
                <w:sz w:val="18"/>
                <w:highlight w:val="none"/>
                <w:lang w:val="en-US" w:eastAsia="zh-CN"/>
              </w:rPr>
              <w:t>彩色摄像机</w:t>
            </w:r>
          </w:p>
        </w:tc>
        <w:tc>
          <w:tcPr>
            <w:tcW w:w="5347" w:type="dxa"/>
            <w:shd w:val="clear" w:color="auto" w:fill="auto"/>
            <w:vAlign w:val="top"/>
          </w:tcPr>
          <w:p w14:paraId="6A2B860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院区出入口外50m范围街面</w:t>
            </w:r>
          </w:p>
        </w:tc>
        <w:tc>
          <w:tcPr>
            <w:tcW w:w="849" w:type="dxa"/>
            <w:shd w:val="clear" w:color="auto" w:fill="auto"/>
            <w:vAlign w:val="center"/>
          </w:tcPr>
          <w:p w14:paraId="083727F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highlight w:val="none"/>
                <w:lang w:val="en-US" w:eastAsia="en-US" w:bidi="ar-SA"/>
              </w:rPr>
            </w:pPr>
            <w:r>
              <w:rPr>
                <w:spacing w:val="-5"/>
                <w:sz w:val="18"/>
                <w:highlight w:val="none"/>
              </w:rPr>
              <w:t>应配置</w:t>
            </w:r>
          </w:p>
        </w:tc>
      </w:tr>
      <w:tr w14:paraId="2E1C8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C0212FC">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shd w:val="clear" w:color="auto" w:fill="auto"/>
            <w:vAlign w:val="center"/>
          </w:tcPr>
          <w:p w14:paraId="6AFA2CA6">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hint="default" w:ascii="宋体" w:hAnsi="宋体" w:eastAsia="宋体" w:cs="宋体"/>
                <w:color w:val="auto"/>
                <w:spacing w:val="-6"/>
                <w:kern w:val="2"/>
                <w:sz w:val="18"/>
                <w:szCs w:val="22"/>
                <w:lang w:val="en-US" w:eastAsia="zh-CN" w:bidi="ar-SA"/>
              </w:rPr>
            </w:pPr>
          </w:p>
        </w:tc>
        <w:tc>
          <w:tcPr>
            <w:tcW w:w="1699" w:type="dxa"/>
            <w:vMerge w:val="continue"/>
            <w:shd w:val="clear" w:color="auto" w:fill="auto"/>
            <w:vAlign w:val="center"/>
          </w:tcPr>
          <w:p w14:paraId="278BDCC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hint="default" w:ascii="宋体" w:hAnsi="宋体" w:eastAsia="宋体" w:cs="宋体"/>
                <w:color w:val="auto"/>
                <w:spacing w:val="-4"/>
                <w:kern w:val="2"/>
                <w:sz w:val="18"/>
                <w:szCs w:val="22"/>
                <w:lang w:val="en-US" w:eastAsia="zh-CN" w:bidi="ar-SA"/>
              </w:rPr>
            </w:pPr>
          </w:p>
        </w:tc>
        <w:tc>
          <w:tcPr>
            <w:tcW w:w="5347" w:type="dxa"/>
            <w:shd w:val="clear" w:color="auto" w:fill="auto"/>
            <w:vAlign w:val="top"/>
          </w:tcPr>
          <w:p w14:paraId="0AB7FDA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en-US"/>
              </w:rPr>
            </w:pPr>
            <w:r>
              <w:rPr>
                <w:spacing w:val="-2"/>
                <w:sz w:val="18"/>
              </w:rPr>
              <w:t>院区周界</w:t>
            </w:r>
          </w:p>
        </w:tc>
        <w:tc>
          <w:tcPr>
            <w:tcW w:w="849" w:type="dxa"/>
            <w:shd w:val="clear" w:color="auto" w:fill="auto"/>
            <w:vAlign w:val="center"/>
          </w:tcPr>
          <w:p w14:paraId="42B2A1F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default" w:ascii="宋体" w:hAnsi="宋体" w:eastAsia="宋体" w:cs="宋体"/>
                <w:kern w:val="2"/>
                <w:sz w:val="18"/>
                <w:szCs w:val="22"/>
                <w:lang w:val="en-US" w:eastAsia="en-US" w:bidi="ar-SA"/>
              </w:rPr>
            </w:pPr>
            <w:r>
              <w:rPr>
                <w:spacing w:val="-5"/>
                <w:sz w:val="18"/>
              </w:rPr>
              <w:t>应配置</w:t>
            </w:r>
          </w:p>
        </w:tc>
      </w:tr>
      <w:tr w14:paraId="6B86C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32C1F73">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79285B9">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57A3436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highlight w:val="none"/>
              </w:rPr>
            </w:pPr>
          </w:p>
        </w:tc>
        <w:tc>
          <w:tcPr>
            <w:tcW w:w="5347" w:type="dxa"/>
            <w:shd w:val="clear" w:color="auto" w:fill="auto"/>
            <w:vAlign w:val="top"/>
          </w:tcPr>
          <w:p w14:paraId="7FC0C92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院区与外界相通出入口</w:t>
            </w:r>
          </w:p>
        </w:tc>
        <w:tc>
          <w:tcPr>
            <w:tcW w:w="849" w:type="dxa"/>
            <w:shd w:val="clear" w:color="auto" w:fill="auto"/>
            <w:vAlign w:val="center"/>
          </w:tcPr>
          <w:p w14:paraId="1BF5E17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highlight w:val="none"/>
                <w:lang w:val="en-US" w:eastAsia="en-US" w:bidi="ar-SA"/>
              </w:rPr>
            </w:pPr>
            <w:r>
              <w:rPr>
                <w:spacing w:val="-5"/>
                <w:sz w:val="18"/>
                <w:highlight w:val="none"/>
              </w:rPr>
              <w:t>应配置</w:t>
            </w:r>
          </w:p>
        </w:tc>
      </w:tr>
      <w:tr w14:paraId="6AF4D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9E7C084">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0D35A44">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351DF3C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p>
        </w:tc>
        <w:tc>
          <w:tcPr>
            <w:tcW w:w="5347" w:type="dxa"/>
            <w:shd w:val="clear" w:color="auto" w:fill="auto"/>
            <w:vAlign w:val="top"/>
          </w:tcPr>
          <w:p w14:paraId="7DDDC41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人员聚集区/广场区、易攀爬/跌落区、公共服务区的制高点</w:t>
            </w:r>
          </w:p>
        </w:tc>
        <w:tc>
          <w:tcPr>
            <w:tcW w:w="849" w:type="dxa"/>
            <w:shd w:val="clear" w:color="auto" w:fill="auto"/>
            <w:vAlign w:val="center"/>
          </w:tcPr>
          <w:p w14:paraId="19E743D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2B1EB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3BA7AAB">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7AA1784">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6D17B5F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highlight w:val="none"/>
              </w:rPr>
            </w:pPr>
          </w:p>
        </w:tc>
        <w:tc>
          <w:tcPr>
            <w:tcW w:w="5347" w:type="dxa"/>
            <w:shd w:val="clear" w:color="auto" w:fill="auto"/>
            <w:vAlign w:val="top"/>
          </w:tcPr>
          <w:p w14:paraId="2BE296C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集中停车场、广场</w:t>
            </w:r>
          </w:p>
        </w:tc>
        <w:tc>
          <w:tcPr>
            <w:tcW w:w="849" w:type="dxa"/>
            <w:shd w:val="clear" w:color="auto" w:fill="auto"/>
            <w:vAlign w:val="center"/>
          </w:tcPr>
          <w:p w14:paraId="6DFDA6B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highlight w:val="none"/>
                <w:lang w:val="en-US" w:eastAsia="en-US" w:bidi="ar-SA"/>
              </w:rPr>
            </w:pPr>
            <w:r>
              <w:rPr>
                <w:spacing w:val="-5"/>
                <w:sz w:val="18"/>
                <w:highlight w:val="none"/>
              </w:rPr>
              <w:t>应配置</w:t>
            </w:r>
          </w:p>
        </w:tc>
      </w:tr>
      <w:tr w14:paraId="235DA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9E4C52F">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BF8F605">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5840F0E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top"/>
          </w:tcPr>
          <w:p w14:paraId="20DCAAF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人（车）行主要通道，停车库/场主要通道</w:t>
            </w:r>
          </w:p>
        </w:tc>
        <w:tc>
          <w:tcPr>
            <w:tcW w:w="849" w:type="dxa"/>
            <w:shd w:val="clear" w:color="auto" w:fill="auto"/>
            <w:vAlign w:val="center"/>
          </w:tcPr>
          <w:p w14:paraId="652F02E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352DC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61898D0">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C360B8B">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356E3EA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top"/>
          </w:tcPr>
          <w:p w14:paraId="26F2528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en-US"/>
              </w:rPr>
            </w:pPr>
            <w:r>
              <w:rPr>
                <w:rFonts w:hint="eastAsia"/>
                <w:spacing w:val="-2"/>
                <w:sz w:val="18"/>
                <w:lang w:val="en-US" w:eastAsia="zh-CN"/>
              </w:rPr>
              <w:t>机动车、非机动车集中充电区域/机动车充电车位</w:t>
            </w:r>
          </w:p>
        </w:tc>
        <w:tc>
          <w:tcPr>
            <w:tcW w:w="849" w:type="dxa"/>
            <w:shd w:val="clear" w:color="auto" w:fill="auto"/>
            <w:vAlign w:val="center"/>
          </w:tcPr>
          <w:p w14:paraId="187F8E6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1C2A0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2198F3A">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277A69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shd w:val="clear" w:color="auto" w:fill="auto"/>
            <w:vAlign w:val="center"/>
          </w:tcPr>
          <w:p w14:paraId="3C15BFB1">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hint="default" w:ascii="宋体" w:hAnsi="宋体" w:eastAsia="宋体" w:cs="宋体"/>
                <w:color w:val="auto"/>
                <w:spacing w:val="-4"/>
                <w:kern w:val="2"/>
                <w:sz w:val="18"/>
                <w:szCs w:val="22"/>
                <w:highlight w:val="none"/>
                <w:lang w:val="en-US" w:eastAsia="zh-CN" w:bidi="ar-SA"/>
              </w:rPr>
            </w:pPr>
          </w:p>
        </w:tc>
        <w:tc>
          <w:tcPr>
            <w:tcW w:w="5347" w:type="dxa"/>
            <w:shd w:val="clear" w:color="auto" w:fill="auto"/>
            <w:vAlign w:val="top"/>
          </w:tcPr>
          <w:p w14:paraId="463477F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建筑（含停车库/场）与外界相通出入口</w:t>
            </w:r>
          </w:p>
        </w:tc>
        <w:tc>
          <w:tcPr>
            <w:tcW w:w="849" w:type="dxa"/>
            <w:shd w:val="clear" w:color="auto" w:fill="auto"/>
            <w:vAlign w:val="center"/>
          </w:tcPr>
          <w:p w14:paraId="65202B5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highlight w:val="none"/>
                <w:lang w:val="en-US" w:eastAsia="en-US" w:bidi="ar-SA"/>
              </w:rPr>
            </w:pPr>
            <w:r>
              <w:rPr>
                <w:spacing w:val="-5"/>
                <w:sz w:val="18"/>
                <w:highlight w:val="none"/>
              </w:rPr>
              <w:t>应配置</w:t>
            </w:r>
          </w:p>
        </w:tc>
      </w:tr>
      <w:tr w14:paraId="7C80D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C771331">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4F58FF6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shd w:val="clear" w:color="auto" w:fill="auto"/>
            <w:vAlign w:val="center"/>
          </w:tcPr>
          <w:p w14:paraId="73475A3C">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hint="default" w:ascii="宋体" w:hAnsi="宋体" w:eastAsia="宋体" w:cs="宋体"/>
                <w:color w:val="auto"/>
                <w:spacing w:val="-4"/>
                <w:kern w:val="2"/>
                <w:sz w:val="18"/>
                <w:szCs w:val="22"/>
                <w:highlight w:val="none"/>
                <w:lang w:val="en-US" w:eastAsia="zh-CN" w:bidi="ar-SA"/>
              </w:rPr>
            </w:pPr>
          </w:p>
        </w:tc>
        <w:tc>
          <w:tcPr>
            <w:tcW w:w="5347" w:type="dxa"/>
            <w:shd w:val="clear" w:color="auto" w:fill="auto"/>
            <w:vAlign w:val="center"/>
          </w:tcPr>
          <w:p w14:paraId="45835EC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en-US"/>
              </w:rPr>
              <w:t>重要资料、钱财物资、票据、贵重物品集中存放场所、财务室、档案室</w:t>
            </w:r>
          </w:p>
        </w:tc>
        <w:tc>
          <w:tcPr>
            <w:tcW w:w="849" w:type="dxa"/>
            <w:shd w:val="clear" w:color="auto" w:fill="auto"/>
            <w:vAlign w:val="center"/>
          </w:tcPr>
          <w:p w14:paraId="1F0A687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highlight w:val="none"/>
                <w:lang w:val="en-US" w:eastAsia="en-US" w:bidi="ar-SA"/>
              </w:rPr>
            </w:pPr>
            <w:r>
              <w:rPr>
                <w:spacing w:val="-5"/>
                <w:sz w:val="18"/>
                <w:highlight w:val="none"/>
              </w:rPr>
              <w:t>应配置</w:t>
            </w:r>
          </w:p>
        </w:tc>
      </w:tr>
      <w:tr w14:paraId="14DD3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CF5F77F">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7FD2E8C">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330EBC3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highlight w:val="none"/>
              </w:rPr>
            </w:pPr>
          </w:p>
        </w:tc>
        <w:tc>
          <w:tcPr>
            <w:tcW w:w="5347" w:type="dxa"/>
            <w:shd w:val="clear" w:color="auto" w:fill="auto"/>
            <w:vAlign w:val="center"/>
          </w:tcPr>
          <w:p w14:paraId="74A14FE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en-US"/>
              </w:rPr>
              <w:t>供水、供电、供气、室内温度调节和室内空气净化等设备间、设备间、茶水间、控制室</w:t>
            </w:r>
          </w:p>
        </w:tc>
        <w:tc>
          <w:tcPr>
            <w:tcW w:w="849" w:type="dxa"/>
            <w:shd w:val="clear" w:color="auto" w:fill="auto"/>
            <w:vAlign w:val="center"/>
          </w:tcPr>
          <w:p w14:paraId="3CBBEE9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highlight w:val="none"/>
                <w:lang w:val="en-US" w:eastAsia="en-US" w:bidi="ar-SA"/>
              </w:rPr>
            </w:pPr>
            <w:r>
              <w:rPr>
                <w:spacing w:val="-5"/>
                <w:sz w:val="18"/>
                <w:highlight w:val="none"/>
              </w:rPr>
              <w:t>应配置</w:t>
            </w:r>
          </w:p>
        </w:tc>
      </w:tr>
      <w:tr w14:paraId="40875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00E6C9B">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BE268C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7F1935B5">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highlight w:val="none"/>
              </w:rPr>
            </w:pPr>
          </w:p>
        </w:tc>
        <w:tc>
          <w:tcPr>
            <w:tcW w:w="5347" w:type="dxa"/>
            <w:shd w:val="clear" w:color="auto" w:fill="auto"/>
            <w:vAlign w:val="center"/>
          </w:tcPr>
          <w:p w14:paraId="3305492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en-US"/>
              </w:rPr>
              <w:t>公共广播中心、LED 电子显示屏、网络与信息中心、监控中心、消防控制中心</w:t>
            </w:r>
          </w:p>
        </w:tc>
        <w:tc>
          <w:tcPr>
            <w:tcW w:w="849" w:type="dxa"/>
            <w:shd w:val="clear" w:color="auto" w:fill="auto"/>
            <w:vAlign w:val="center"/>
          </w:tcPr>
          <w:p w14:paraId="01035DA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highlight w:val="none"/>
                <w:lang w:val="en-US" w:eastAsia="en-US" w:bidi="ar-SA"/>
              </w:rPr>
            </w:pPr>
            <w:r>
              <w:rPr>
                <w:spacing w:val="-5"/>
                <w:sz w:val="18"/>
                <w:highlight w:val="none"/>
              </w:rPr>
              <w:t>应配置</w:t>
            </w:r>
          </w:p>
        </w:tc>
      </w:tr>
      <w:tr w14:paraId="6F9E0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2F0D94D">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B0C6F7B">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65BEAE6F">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highlight w:val="none"/>
              </w:rPr>
            </w:pPr>
          </w:p>
        </w:tc>
        <w:tc>
          <w:tcPr>
            <w:tcW w:w="5347" w:type="dxa"/>
            <w:shd w:val="clear" w:color="auto" w:fill="auto"/>
            <w:vAlign w:val="center"/>
          </w:tcPr>
          <w:p w14:paraId="3A85719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en-US"/>
              </w:rPr>
              <w:t>公众服务区、纠纷接待处、售票处、餐饮区、大型活动或讲座举办场所、服务台、数字体验区、报告厅、展厅、阅览室、自习室、活动室、亲子阅读区、24小时图书馆</w:t>
            </w:r>
          </w:p>
        </w:tc>
        <w:tc>
          <w:tcPr>
            <w:tcW w:w="849" w:type="dxa"/>
            <w:shd w:val="clear" w:color="auto" w:fill="auto"/>
            <w:vAlign w:val="center"/>
          </w:tcPr>
          <w:p w14:paraId="57B375A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highlight w:val="none"/>
                <w:lang w:val="en-US" w:eastAsia="en-US" w:bidi="ar-SA"/>
              </w:rPr>
            </w:pPr>
            <w:r>
              <w:rPr>
                <w:spacing w:val="-5"/>
                <w:sz w:val="18"/>
                <w:highlight w:val="none"/>
              </w:rPr>
              <w:t>应配置</w:t>
            </w:r>
          </w:p>
        </w:tc>
      </w:tr>
      <w:tr w14:paraId="53EDE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E9413FF">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43DEFB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30AB9F16">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highlight w:val="none"/>
              </w:rPr>
            </w:pPr>
          </w:p>
        </w:tc>
        <w:tc>
          <w:tcPr>
            <w:tcW w:w="5347" w:type="dxa"/>
            <w:shd w:val="clear" w:color="auto" w:fill="auto"/>
            <w:vAlign w:val="center"/>
          </w:tcPr>
          <w:p w14:paraId="710FB95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en-US"/>
              </w:rPr>
              <w:t>图书馆的阅览室、自修室、各层中庭围栏</w:t>
            </w:r>
          </w:p>
        </w:tc>
        <w:tc>
          <w:tcPr>
            <w:tcW w:w="849" w:type="dxa"/>
            <w:shd w:val="clear" w:color="auto" w:fill="auto"/>
            <w:vAlign w:val="center"/>
          </w:tcPr>
          <w:p w14:paraId="36C40B9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highlight w:val="none"/>
                <w:lang w:val="en-US" w:eastAsia="en-US" w:bidi="ar-SA"/>
              </w:rPr>
            </w:pPr>
            <w:r>
              <w:rPr>
                <w:spacing w:val="-5"/>
                <w:sz w:val="18"/>
                <w:highlight w:val="none"/>
              </w:rPr>
              <w:t>应配置</w:t>
            </w:r>
          </w:p>
        </w:tc>
      </w:tr>
      <w:tr w14:paraId="516E7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53685A2">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54275D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49666785">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highlight w:val="none"/>
              </w:rPr>
            </w:pPr>
          </w:p>
        </w:tc>
        <w:tc>
          <w:tcPr>
            <w:tcW w:w="5347" w:type="dxa"/>
            <w:shd w:val="clear" w:color="auto" w:fill="auto"/>
            <w:vAlign w:val="top"/>
          </w:tcPr>
          <w:p w14:paraId="17C2972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spacing w:val="-2"/>
                <w:sz w:val="18"/>
              </w:rPr>
              <w:t>信息中心、安防设备等重要设备机房的出入口</w:t>
            </w:r>
          </w:p>
        </w:tc>
        <w:tc>
          <w:tcPr>
            <w:tcW w:w="849" w:type="dxa"/>
            <w:shd w:val="clear" w:color="auto" w:fill="auto"/>
            <w:vAlign w:val="center"/>
          </w:tcPr>
          <w:p w14:paraId="0548A52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spacing w:val="-5"/>
                <w:sz w:val="18"/>
                <w:highlight w:val="none"/>
              </w:rPr>
            </w:pPr>
            <w:r>
              <w:rPr>
                <w:spacing w:val="-5"/>
                <w:sz w:val="18"/>
              </w:rPr>
              <w:t>应配置</w:t>
            </w:r>
          </w:p>
        </w:tc>
      </w:tr>
    </w:tbl>
    <w:p w14:paraId="50E8E2CC">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表2  图书馆安全技术防范系统配置表（续）</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605"/>
        <w:gridCol w:w="1699"/>
        <w:gridCol w:w="5347"/>
        <w:gridCol w:w="849"/>
      </w:tblGrid>
      <w:tr w14:paraId="767D7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top"/>
          </w:tcPr>
          <w:p w14:paraId="165D07C0">
            <w:pPr>
              <w:pStyle w:val="60"/>
              <w:spacing w:before="127"/>
              <w:ind w:left="142" w:leftChars="0" w:right="130" w:rightChars="0"/>
              <w:jc w:val="center"/>
              <w:rPr>
                <w:rFonts w:hint="eastAsia" w:eastAsia="宋体"/>
                <w:color w:val="auto"/>
                <w:sz w:val="18"/>
                <w:lang w:val="en-US" w:eastAsia="zh-CN"/>
              </w:rPr>
            </w:pPr>
            <w:r>
              <w:rPr>
                <w:color w:val="auto"/>
                <w:spacing w:val="-6"/>
                <w:sz w:val="18"/>
              </w:rPr>
              <w:t>序号</w:t>
            </w:r>
          </w:p>
        </w:tc>
        <w:tc>
          <w:tcPr>
            <w:tcW w:w="2304" w:type="dxa"/>
            <w:gridSpan w:val="2"/>
            <w:vAlign w:val="top"/>
          </w:tcPr>
          <w:p w14:paraId="429D23CE">
            <w:pPr>
              <w:pStyle w:val="60"/>
              <w:spacing w:before="127"/>
              <w:ind w:left="958" w:leftChars="0" w:right="947" w:rightChars="0"/>
              <w:jc w:val="center"/>
              <w:rPr>
                <w:rFonts w:hint="eastAsia" w:eastAsia="宋体"/>
                <w:color w:val="auto"/>
                <w:spacing w:val="-2"/>
                <w:sz w:val="18"/>
                <w:lang w:val="en-US" w:eastAsia="zh-CN"/>
              </w:rPr>
            </w:pPr>
            <w:r>
              <w:rPr>
                <w:color w:val="auto"/>
                <w:spacing w:val="-6"/>
                <w:sz w:val="18"/>
              </w:rPr>
              <w:t>项目</w:t>
            </w:r>
          </w:p>
        </w:tc>
        <w:tc>
          <w:tcPr>
            <w:tcW w:w="5347" w:type="dxa"/>
            <w:vAlign w:val="top"/>
          </w:tcPr>
          <w:p w14:paraId="51682FAA">
            <w:pPr>
              <w:pStyle w:val="60"/>
              <w:spacing w:before="127"/>
              <w:ind w:left="1854" w:leftChars="0" w:right="1849" w:rightChars="0"/>
              <w:jc w:val="center"/>
              <w:rPr>
                <w:color w:val="auto"/>
                <w:spacing w:val="-4"/>
                <w:sz w:val="18"/>
              </w:rPr>
            </w:pPr>
            <w:r>
              <w:rPr>
                <w:color w:val="auto"/>
                <w:spacing w:val="-3"/>
                <w:sz w:val="18"/>
              </w:rPr>
              <w:t>安装区域或覆盖范围</w:t>
            </w:r>
          </w:p>
        </w:tc>
        <w:tc>
          <w:tcPr>
            <w:tcW w:w="849" w:type="dxa"/>
            <w:vAlign w:val="top"/>
          </w:tcPr>
          <w:p w14:paraId="00593819">
            <w:pPr>
              <w:pStyle w:val="60"/>
              <w:spacing w:before="7" w:line="230" w:lineRule="exact"/>
              <w:ind w:left="248" w:leftChars="0" w:right="228" w:rightChars="0"/>
              <w:rPr>
                <w:color w:val="auto"/>
                <w:spacing w:val="-5"/>
                <w:sz w:val="18"/>
              </w:rPr>
            </w:pPr>
            <w:r>
              <w:rPr>
                <w:color w:val="auto"/>
                <w:spacing w:val="-6"/>
                <w:sz w:val="18"/>
              </w:rPr>
              <w:t>配置要求</w:t>
            </w:r>
          </w:p>
        </w:tc>
      </w:tr>
      <w:tr w14:paraId="79C71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402AC69">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7B0DA281">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视频监控系统</w:t>
            </w:r>
          </w:p>
        </w:tc>
        <w:tc>
          <w:tcPr>
            <w:tcW w:w="1699" w:type="dxa"/>
            <w:vMerge w:val="restart"/>
            <w:vAlign w:val="center"/>
          </w:tcPr>
          <w:p w14:paraId="150860E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2"/>
                <w:sz w:val="18"/>
                <w:highlight w:val="none"/>
              </w:rPr>
            </w:pPr>
            <w:r>
              <w:rPr>
                <w:rFonts w:hint="eastAsia"/>
                <w:spacing w:val="-3"/>
                <w:sz w:val="18"/>
                <w:highlight w:val="none"/>
                <w:lang w:val="en-US" w:eastAsia="zh-CN"/>
              </w:rPr>
              <w:t>彩色摄像机</w:t>
            </w:r>
          </w:p>
        </w:tc>
        <w:tc>
          <w:tcPr>
            <w:tcW w:w="5347" w:type="dxa"/>
            <w:shd w:val="clear" w:color="auto" w:fill="auto"/>
            <w:vAlign w:val="center"/>
          </w:tcPr>
          <w:p w14:paraId="7973AEA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zh-CN"/>
              </w:rPr>
              <w:t>信息中心、安防设备、变配电房、生活水泵房、暖通空调等重要设备机房出入口</w:t>
            </w:r>
          </w:p>
        </w:tc>
        <w:tc>
          <w:tcPr>
            <w:tcW w:w="849" w:type="dxa"/>
            <w:shd w:val="clear" w:color="auto" w:fill="auto"/>
            <w:vAlign w:val="center"/>
          </w:tcPr>
          <w:p w14:paraId="6B9EF18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6E098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53EB99C">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shd w:val="clear" w:color="auto" w:fill="auto"/>
            <w:vAlign w:val="center"/>
          </w:tcPr>
          <w:p w14:paraId="42FF8AEB">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hint="default" w:ascii="宋体" w:hAnsi="宋体" w:eastAsia="宋体" w:cs="宋体"/>
                <w:color w:val="auto"/>
                <w:spacing w:val="-6"/>
                <w:kern w:val="2"/>
                <w:sz w:val="18"/>
                <w:szCs w:val="22"/>
                <w:lang w:val="en-US" w:eastAsia="zh-CN" w:bidi="ar-SA"/>
              </w:rPr>
            </w:pPr>
          </w:p>
        </w:tc>
        <w:tc>
          <w:tcPr>
            <w:tcW w:w="1699" w:type="dxa"/>
            <w:vMerge w:val="continue"/>
            <w:shd w:val="clear" w:color="auto" w:fill="auto"/>
            <w:vAlign w:val="center"/>
          </w:tcPr>
          <w:p w14:paraId="7EB793AD">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hint="default" w:ascii="宋体" w:hAnsi="宋体" w:eastAsia="宋体" w:cs="宋体"/>
                <w:color w:val="auto"/>
                <w:spacing w:val="-4"/>
                <w:kern w:val="2"/>
                <w:sz w:val="18"/>
                <w:szCs w:val="22"/>
                <w:lang w:val="en-US" w:eastAsia="zh-CN" w:bidi="ar-SA"/>
              </w:rPr>
            </w:pPr>
          </w:p>
        </w:tc>
        <w:tc>
          <w:tcPr>
            <w:tcW w:w="5347" w:type="dxa"/>
            <w:shd w:val="clear" w:color="auto" w:fill="auto"/>
            <w:vAlign w:val="center"/>
          </w:tcPr>
          <w:p w14:paraId="61882D2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en-US"/>
              </w:rPr>
            </w:pPr>
            <w:r>
              <w:rPr>
                <w:rFonts w:hint="eastAsia"/>
                <w:spacing w:val="-2"/>
                <w:sz w:val="18"/>
                <w:lang w:val="en-US" w:eastAsia="zh-CN"/>
              </w:rPr>
              <w:t>信息中心、安防设备、交配电房、生活水泵房等重要设备机房内部</w:t>
            </w:r>
          </w:p>
        </w:tc>
        <w:tc>
          <w:tcPr>
            <w:tcW w:w="849" w:type="dxa"/>
            <w:shd w:val="clear" w:color="auto" w:fill="auto"/>
            <w:vAlign w:val="center"/>
          </w:tcPr>
          <w:p w14:paraId="4E0E637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default" w:ascii="宋体" w:hAnsi="宋体" w:eastAsia="宋体" w:cs="宋体"/>
                <w:kern w:val="2"/>
                <w:sz w:val="18"/>
                <w:szCs w:val="22"/>
                <w:lang w:val="en-US" w:eastAsia="en-US" w:bidi="ar-SA"/>
              </w:rPr>
            </w:pPr>
            <w:r>
              <w:rPr>
                <w:spacing w:val="-5"/>
                <w:sz w:val="18"/>
              </w:rPr>
              <w:t>应配置</w:t>
            </w:r>
          </w:p>
        </w:tc>
      </w:tr>
      <w:tr w14:paraId="7B45E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43D852D">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FD04BA1">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1258917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2"/>
                <w:sz w:val="18"/>
              </w:rPr>
            </w:pPr>
          </w:p>
        </w:tc>
        <w:tc>
          <w:tcPr>
            <w:tcW w:w="5347" w:type="dxa"/>
            <w:shd w:val="clear" w:color="auto" w:fill="auto"/>
            <w:vAlign w:val="center"/>
          </w:tcPr>
          <w:p w14:paraId="5559778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spacing w:val="-2"/>
                <w:sz w:val="18"/>
              </w:rPr>
              <w:t>电梯轿厢内</w:t>
            </w:r>
          </w:p>
        </w:tc>
        <w:tc>
          <w:tcPr>
            <w:tcW w:w="849" w:type="dxa"/>
            <w:shd w:val="clear" w:color="auto" w:fill="auto"/>
            <w:vAlign w:val="center"/>
          </w:tcPr>
          <w:p w14:paraId="4DEF7F4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1C387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878D41D">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9A11165">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66BA55F2">
            <w:pPr>
              <w:pStyle w:val="60"/>
              <w:keepNext w:val="0"/>
              <w:keepLines w:val="0"/>
              <w:pageBreakBefore w:val="0"/>
              <w:widowControl w:val="0"/>
              <w:kinsoku/>
              <w:wordWrap/>
              <w:overflowPunct/>
              <w:topLinePunct w:val="0"/>
              <w:autoSpaceDE/>
              <w:autoSpaceDN/>
              <w:bidi w:val="0"/>
              <w:adjustRightInd/>
              <w:snapToGrid/>
              <w:spacing w:before="0" w:line="240" w:lineRule="auto"/>
              <w:ind w:left="108" w:leftChars="0"/>
              <w:jc w:val="center"/>
              <w:textAlignment w:val="auto"/>
              <w:rPr>
                <w:rFonts w:hint="eastAsia" w:ascii="宋体" w:hAnsi="宋体" w:eastAsia="宋体" w:cs="宋体"/>
                <w:spacing w:val="-3"/>
                <w:kern w:val="2"/>
                <w:sz w:val="18"/>
                <w:szCs w:val="22"/>
                <w:highlight w:val="yellow"/>
                <w:lang w:val="en-US" w:eastAsia="zh-CN" w:bidi="ar-SA"/>
              </w:rPr>
            </w:pPr>
            <w:r>
              <w:rPr>
                <w:rFonts w:hint="eastAsia"/>
                <w:spacing w:val="-4"/>
                <w:sz w:val="18"/>
              </w:rPr>
              <w:t>人脸抓拍系统</w:t>
            </w:r>
          </w:p>
        </w:tc>
        <w:tc>
          <w:tcPr>
            <w:tcW w:w="5347" w:type="dxa"/>
            <w:shd w:val="clear" w:color="auto" w:fill="auto"/>
            <w:vAlign w:val="center"/>
          </w:tcPr>
          <w:p w14:paraId="387845A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rPr>
              <w:t>与室外、</w:t>
            </w:r>
            <w:r>
              <w:rPr>
                <w:rFonts w:hint="eastAsia"/>
                <w:spacing w:val="-2"/>
                <w:sz w:val="18"/>
                <w:lang w:val="en-US" w:eastAsia="zh-CN"/>
              </w:rPr>
              <w:t>图书馆</w:t>
            </w:r>
            <w:r>
              <w:rPr>
                <w:rFonts w:hint="eastAsia"/>
                <w:spacing w:val="-2"/>
                <w:sz w:val="18"/>
              </w:rPr>
              <w:t>外区域相通的主出入口，与</w:t>
            </w:r>
            <w:r>
              <w:rPr>
                <w:rFonts w:hint="eastAsia"/>
                <w:spacing w:val="-2"/>
                <w:sz w:val="18"/>
                <w:lang w:val="en-US" w:eastAsia="zh-CN"/>
              </w:rPr>
              <w:t>图书馆</w:t>
            </w:r>
            <w:r>
              <w:rPr>
                <w:rFonts w:hint="eastAsia"/>
                <w:spacing w:val="-2"/>
                <w:sz w:val="18"/>
              </w:rPr>
              <w:t>外其它</w:t>
            </w:r>
            <w:r>
              <w:rPr>
                <w:rFonts w:hint="eastAsia"/>
                <w:spacing w:val="-2"/>
                <w:sz w:val="18"/>
                <w:lang w:val="en-US" w:eastAsia="zh-CN"/>
              </w:rPr>
              <w:t>建筑</w:t>
            </w:r>
            <w:r>
              <w:rPr>
                <w:rFonts w:hint="eastAsia"/>
                <w:spacing w:val="-2"/>
                <w:sz w:val="18"/>
              </w:rPr>
              <w:t>相通的室内外连廊，与室外、地库相通的直梯厅、扶梯厅</w:t>
            </w:r>
          </w:p>
        </w:tc>
        <w:tc>
          <w:tcPr>
            <w:tcW w:w="849" w:type="dxa"/>
            <w:shd w:val="clear" w:color="auto" w:fill="auto"/>
            <w:vAlign w:val="center"/>
          </w:tcPr>
          <w:p w14:paraId="062CDC5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5F64B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CD021BE">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3547D7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72893D47">
            <w:pPr>
              <w:pStyle w:val="60"/>
              <w:keepNext w:val="0"/>
              <w:keepLines w:val="0"/>
              <w:pageBreakBefore w:val="0"/>
              <w:widowControl w:val="0"/>
              <w:kinsoku/>
              <w:wordWrap/>
              <w:overflowPunct/>
              <w:topLinePunct w:val="0"/>
              <w:autoSpaceDE/>
              <w:autoSpaceDN/>
              <w:bidi w:val="0"/>
              <w:adjustRightInd/>
              <w:snapToGrid/>
              <w:spacing w:before="0" w:line="240" w:lineRule="auto"/>
              <w:ind w:left="108" w:leftChars="0"/>
              <w:jc w:val="center"/>
              <w:textAlignment w:val="auto"/>
              <w:rPr>
                <w:rFonts w:hint="eastAsia" w:ascii="宋体" w:hAnsi="宋体" w:eastAsia="宋体" w:cs="宋体"/>
                <w:spacing w:val="-3"/>
                <w:kern w:val="2"/>
                <w:sz w:val="18"/>
                <w:szCs w:val="22"/>
                <w:highlight w:val="yellow"/>
                <w:lang w:val="en-US" w:eastAsia="zh-CN" w:bidi="ar-SA"/>
              </w:rPr>
            </w:pPr>
            <w:r>
              <w:rPr>
                <w:rFonts w:hint="eastAsia"/>
                <w:spacing w:val="-4"/>
                <w:sz w:val="18"/>
              </w:rPr>
              <w:t>车辆抓拍系统</w:t>
            </w:r>
          </w:p>
        </w:tc>
        <w:tc>
          <w:tcPr>
            <w:tcW w:w="5347" w:type="dxa"/>
            <w:shd w:val="clear" w:color="auto" w:fill="auto"/>
            <w:vAlign w:val="center"/>
          </w:tcPr>
          <w:p w14:paraId="4D555FB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rPr>
              <w:t>地</w:t>
            </w:r>
            <w:r>
              <w:rPr>
                <w:rFonts w:hint="eastAsia"/>
                <w:spacing w:val="-2"/>
                <w:sz w:val="18"/>
                <w:lang w:val="en-US" w:eastAsia="zh-CN"/>
              </w:rPr>
              <w:t>下</w:t>
            </w:r>
            <w:r>
              <w:rPr>
                <w:rFonts w:hint="eastAsia"/>
                <w:spacing w:val="-2"/>
                <w:sz w:val="18"/>
              </w:rPr>
              <w:t>室外车行出入口或地库坡道出入口、与其它项目相通的地下车行通道口</w:t>
            </w:r>
          </w:p>
        </w:tc>
        <w:tc>
          <w:tcPr>
            <w:tcW w:w="849" w:type="dxa"/>
            <w:shd w:val="clear" w:color="auto" w:fill="auto"/>
            <w:vAlign w:val="center"/>
          </w:tcPr>
          <w:p w14:paraId="40723BF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6BD59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27D4CCC">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68988381">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restart"/>
            <w:shd w:val="clear" w:color="auto" w:fill="auto"/>
            <w:vAlign w:val="center"/>
          </w:tcPr>
          <w:p w14:paraId="55CFCBC4">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r>
              <w:rPr>
                <w:rFonts w:hint="eastAsia"/>
                <w:spacing w:val="-3"/>
                <w:sz w:val="18"/>
                <w:lang w:val="en-US" w:eastAsia="zh-CN"/>
              </w:rPr>
              <w:t>声音复核装置</w:t>
            </w:r>
          </w:p>
          <w:p w14:paraId="300431A8">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（包括拾音器）</w:t>
            </w:r>
          </w:p>
        </w:tc>
        <w:tc>
          <w:tcPr>
            <w:tcW w:w="5347" w:type="dxa"/>
            <w:shd w:val="clear" w:color="auto" w:fill="auto"/>
            <w:vAlign w:val="center"/>
          </w:tcPr>
          <w:p w14:paraId="4ED07C3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zh-CN"/>
              </w:rPr>
              <w:t>监控中心、公众服务区</w:t>
            </w:r>
          </w:p>
        </w:tc>
        <w:tc>
          <w:tcPr>
            <w:tcW w:w="849" w:type="dxa"/>
            <w:shd w:val="clear" w:color="auto" w:fill="auto"/>
            <w:vAlign w:val="center"/>
          </w:tcPr>
          <w:p w14:paraId="36F3C1D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rFonts w:hint="eastAsia"/>
                <w:spacing w:val="-5"/>
                <w:sz w:val="18"/>
                <w:lang w:val="en-US" w:eastAsia="zh-CN"/>
              </w:rPr>
              <w:t>宜</w:t>
            </w:r>
            <w:r>
              <w:rPr>
                <w:spacing w:val="-5"/>
                <w:sz w:val="18"/>
              </w:rPr>
              <w:t>配置</w:t>
            </w:r>
          </w:p>
        </w:tc>
      </w:tr>
      <w:tr w14:paraId="16FAC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71B7750">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A44F9D1">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0320DE8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4F16EC5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zh-CN"/>
              </w:rPr>
              <w:t>纠纷接待处</w:t>
            </w:r>
          </w:p>
        </w:tc>
        <w:tc>
          <w:tcPr>
            <w:tcW w:w="849" w:type="dxa"/>
            <w:shd w:val="clear" w:color="auto" w:fill="auto"/>
            <w:vAlign w:val="center"/>
          </w:tcPr>
          <w:p w14:paraId="48B46E6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rFonts w:hint="eastAsia"/>
                <w:spacing w:val="-5"/>
                <w:sz w:val="18"/>
                <w:lang w:val="en-US" w:eastAsia="zh-CN"/>
              </w:rPr>
              <w:t>宜</w:t>
            </w:r>
            <w:r>
              <w:rPr>
                <w:spacing w:val="-5"/>
                <w:sz w:val="18"/>
              </w:rPr>
              <w:t>配置</w:t>
            </w:r>
          </w:p>
        </w:tc>
      </w:tr>
      <w:tr w14:paraId="0170D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2BB5251">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8AFF1A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shd w:val="clear" w:color="auto" w:fill="auto"/>
            <w:vAlign w:val="center"/>
          </w:tcPr>
          <w:p w14:paraId="331F265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hint="default" w:ascii="宋体" w:hAnsi="宋体" w:eastAsia="宋体" w:cs="宋体"/>
                <w:color w:val="auto"/>
                <w:spacing w:val="-4"/>
                <w:kern w:val="2"/>
                <w:sz w:val="18"/>
                <w:szCs w:val="22"/>
                <w:lang w:val="en-US" w:eastAsia="zh-CN" w:bidi="ar-SA"/>
              </w:rPr>
            </w:pPr>
          </w:p>
        </w:tc>
        <w:tc>
          <w:tcPr>
            <w:tcW w:w="5347" w:type="dxa"/>
            <w:shd w:val="clear" w:color="auto" w:fill="auto"/>
            <w:vAlign w:val="center"/>
          </w:tcPr>
          <w:p w14:paraId="30E4D05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zh-CN"/>
              </w:rPr>
              <w:t>图书馆的书库</w:t>
            </w:r>
          </w:p>
        </w:tc>
        <w:tc>
          <w:tcPr>
            <w:tcW w:w="849" w:type="dxa"/>
            <w:shd w:val="clear" w:color="auto" w:fill="auto"/>
            <w:vAlign w:val="center"/>
          </w:tcPr>
          <w:p w14:paraId="1D64F93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rFonts w:hint="eastAsia"/>
                <w:spacing w:val="-5"/>
                <w:sz w:val="18"/>
                <w:lang w:val="en-US" w:eastAsia="zh-CN"/>
              </w:rPr>
              <w:t>宜</w:t>
            </w:r>
            <w:r>
              <w:rPr>
                <w:spacing w:val="-5"/>
                <w:sz w:val="18"/>
              </w:rPr>
              <w:t>配置</w:t>
            </w:r>
          </w:p>
        </w:tc>
      </w:tr>
      <w:tr w14:paraId="5DAE0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39334F43">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961B90F">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restart"/>
            <w:shd w:val="clear" w:color="auto" w:fill="auto"/>
            <w:vAlign w:val="center"/>
          </w:tcPr>
          <w:p w14:paraId="07BF0045">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人脸识别装置</w:t>
            </w:r>
          </w:p>
        </w:tc>
        <w:tc>
          <w:tcPr>
            <w:tcW w:w="5347" w:type="dxa"/>
            <w:shd w:val="clear" w:color="auto" w:fill="auto"/>
            <w:vAlign w:val="center"/>
          </w:tcPr>
          <w:p w14:paraId="0EC0B62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zh-CN"/>
              </w:rPr>
              <w:t>监控中心、消防控制中心</w:t>
            </w:r>
          </w:p>
        </w:tc>
        <w:tc>
          <w:tcPr>
            <w:tcW w:w="849" w:type="dxa"/>
            <w:shd w:val="clear" w:color="auto" w:fill="auto"/>
            <w:vAlign w:val="center"/>
          </w:tcPr>
          <w:p w14:paraId="4E3B101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rFonts w:hint="eastAsia"/>
                <w:spacing w:val="-5"/>
                <w:sz w:val="18"/>
                <w:lang w:val="en-US" w:eastAsia="zh-CN"/>
              </w:rPr>
              <w:t>宜</w:t>
            </w:r>
            <w:r>
              <w:rPr>
                <w:spacing w:val="-5"/>
                <w:sz w:val="18"/>
              </w:rPr>
              <w:t>配置</w:t>
            </w:r>
          </w:p>
        </w:tc>
      </w:tr>
      <w:tr w14:paraId="73BF3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3E0191F">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9CFFDDB">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6C341398">
            <w:pPr>
              <w:pStyle w:val="60"/>
              <w:keepNext w:val="0"/>
              <w:keepLines w:val="0"/>
              <w:pageBreakBefore w:val="0"/>
              <w:widowControl w:val="0"/>
              <w:kinsoku/>
              <w:wordWrap/>
              <w:overflowPunct/>
              <w:topLinePunct w:val="0"/>
              <w:autoSpaceDE/>
              <w:autoSpaceDN/>
              <w:bidi w:val="0"/>
              <w:adjustRightInd/>
              <w:snapToGrid/>
              <w:spacing w:before="0" w:line="240" w:lineRule="auto"/>
              <w:ind w:left="0" w:right="0" w:firstLine="0"/>
              <w:jc w:val="center"/>
              <w:textAlignment w:val="auto"/>
              <w:rPr>
                <w:color w:val="auto"/>
                <w:spacing w:val="-4"/>
                <w:sz w:val="18"/>
              </w:rPr>
            </w:pPr>
          </w:p>
        </w:tc>
        <w:tc>
          <w:tcPr>
            <w:tcW w:w="5347" w:type="dxa"/>
            <w:shd w:val="clear" w:color="auto" w:fill="auto"/>
            <w:vAlign w:val="center"/>
          </w:tcPr>
          <w:p w14:paraId="3D926CF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zh-CN"/>
              </w:rPr>
              <w:t>主要出入口</w:t>
            </w:r>
          </w:p>
        </w:tc>
        <w:tc>
          <w:tcPr>
            <w:tcW w:w="849" w:type="dxa"/>
            <w:shd w:val="clear" w:color="auto" w:fill="auto"/>
            <w:vAlign w:val="center"/>
          </w:tcPr>
          <w:p w14:paraId="29C022D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rFonts w:hint="eastAsia"/>
                <w:spacing w:val="-5"/>
                <w:sz w:val="18"/>
                <w:lang w:val="en-US" w:eastAsia="zh-CN"/>
              </w:rPr>
              <w:t>宜</w:t>
            </w:r>
            <w:r>
              <w:rPr>
                <w:spacing w:val="-5"/>
                <w:sz w:val="18"/>
              </w:rPr>
              <w:t>配置</w:t>
            </w:r>
          </w:p>
        </w:tc>
      </w:tr>
      <w:tr w14:paraId="570AE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8EB3DD0">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409F737F">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7C36C86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4"/>
                <w:sz w:val="18"/>
              </w:rPr>
            </w:pPr>
          </w:p>
        </w:tc>
        <w:tc>
          <w:tcPr>
            <w:tcW w:w="5347" w:type="dxa"/>
            <w:shd w:val="clear" w:color="auto" w:fill="auto"/>
            <w:vAlign w:val="center"/>
          </w:tcPr>
          <w:p w14:paraId="69DA724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zh-CN"/>
              </w:rPr>
              <w:t>其他需要的重要部位（区域）</w:t>
            </w:r>
          </w:p>
        </w:tc>
        <w:tc>
          <w:tcPr>
            <w:tcW w:w="849" w:type="dxa"/>
            <w:shd w:val="clear" w:color="auto" w:fill="auto"/>
            <w:vAlign w:val="center"/>
          </w:tcPr>
          <w:p w14:paraId="0D3F5D4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rFonts w:hint="eastAsia"/>
                <w:spacing w:val="-5"/>
                <w:sz w:val="18"/>
                <w:lang w:val="en-US" w:eastAsia="zh-CN"/>
              </w:rPr>
              <w:t>宜</w:t>
            </w:r>
            <w:r>
              <w:rPr>
                <w:spacing w:val="-5"/>
                <w:sz w:val="18"/>
              </w:rPr>
              <w:t>配置</w:t>
            </w:r>
          </w:p>
        </w:tc>
      </w:tr>
      <w:tr w14:paraId="01291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7FE6006">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4305F7A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2BCDEB7A">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机动车车牌识别装置</w:t>
            </w:r>
          </w:p>
        </w:tc>
        <w:tc>
          <w:tcPr>
            <w:tcW w:w="5347" w:type="dxa"/>
            <w:shd w:val="clear" w:color="auto" w:fill="auto"/>
            <w:vAlign w:val="center"/>
          </w:tcPr>
          <w:p w14:paraId="7923122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zh-CN"/>
              </w:rPr>
              <w:t>停车库（场）出入口</w:t>
            </w:r>
          </w:p>
        </w:tc>
        <w:tc>
          <w:tcPr>
            <w:tcW w:w="849" w:type="dxa"/>
            <w:shd w:val="clear" w:color="auto" w:fill="auto"/>
            <w:vAlign w:val="center"/>
          </w:tcPr>
          <w:p w14:paraId="63C6B14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1A932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A1EE9EF">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6ED49B19">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0" w:type="auto"/>
            <w:shd w:val="clear" w:color="auto" w:fill="auto"/>
            <w:vAlign w:val="center"/>
          </w:tcPr>
          <w:p w14:paraId="14D02B17">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控制、记录、显示装置</w:t>
            </w:r>
          </w:p>
        </w:tc>
        <w:tc>
          <w:tcPr>
            <w:tcW w:w="0" w:type="auto"/>
            <w:shd w:val="clear" w:color="auto" w:fill="auto"/>
            <w:vAlign w:val="center"/>
          </w:tcPr>
          <w:p w14:paraId="7006ACE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spacing w:val="-2"/>
                <w:sz w:val="18"/>
                <w:lang w:val="en-US" w:eastAsia="en-US"/>
              </w:rPr>
            </w:pPr>
            <w:r>
              <w:rPr>
                <w:rFonts w:hint="eastAsia"/>
                <w:spacing w:val="-2"/>
                <w:sz w:val="18"/>
                <w:lang w:val="en-US" w:eastAsia="zh-CN"/>
              </w:rPr>
              <w:t>监控中心</w:t>
            </w:r>
          </w:p>
        </w:tc>
        <w:tc>
          <w:tcPr>
            <w:tcW w:w="0" w:type="auto"/>
            <w:shd w:val="clear" w:color="auto" w:fill="auto"/>
            <w:vAlign w:val="center"/>
          </w:tcPr>
          <w:p w14:paraId="59EA390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4B584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BECDFB0">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vAlign w:val="center"/>
          </w:tcPr>
          <w:p w14:paraId="73F1917A">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color w:val="auto"/>
                <w:spacing w:val="-6"/>
                <w:sz w:val="18"/>
              </w:rPr>
            </w:pPr>
            <w:r>
              <w:rPr>
                <w:rFonts w:hint="eastAsia"/>
                <w:spacing w:val="-3"/>
                <w:sz w:val="18"/>
                <w:lang w:val="en-US" w:eastAsia="zh-CN"/>
              </w:rPr>
              <w:t>入侵和紧急报警系统</w:t>
            </w:r>
          </w:p>
        </w:tc>
        <w:tc>
          <w:tcPr>
            <w:tcW w:w="1699" w:type="dxa"/>
            <w:vMerge w:val="restart"/>
            <w:shd w:val="clear" w:color="auto" w:fill="auto"/>
            <w:vAlign w:val="center"/>
          </w:tcPr>
          <w:p w14:paraId="4B644755">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紧急报警装置</w:t>
            </w:r>
          </w:p>
        </w:tc>
        <w:tc>
          <w:tcPr>
            <w:tcW w:w="0" w:type="auto"/>
            <w:shd w:val="clear" w:color="auto" w:fill="auto"/>
            <w:vAlign w:val="center"/>
          </w:tcPr>
          <w:p w14:paraId="599C632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重要资料、钱财物资、票据、贵重物品等集中存放场所</w:t>
            </w:r>
          </w:p>
        </w:tc>
        <w:tc>
          <w:tcPr>
            <w:tcW w:w="0" w:type="auto"/>
            <w:shd w:val="clear" w:color="auto" w:fill="auto"/>
            <w:vAlign w:val="center"/>
          </w:tcPr>
          <w:p w14:paraId="13AB5A2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44557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35E729ED">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94B01E1">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7BC15DB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4"/>
                <w:sz w:val="18"/>
              </w:rPr>
            </w:pPr>
          </w:p>
        </w:tc>
        <w:tc>
          <w:tcPr>
            <w:tcW w:w="0" w:type="auto"/>
            <w:shd w:val="clear" w:color="auto" w:fill="auto"/>
            <w:vAlign w:val="center"/>
          </w:tcPr>
          <w:p w14:paraId="4B975FB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监控中心、纠纷接待处</w:t>
            </w:r>
          </w:p>
        </w:tc>
        <w:tc>
          <w:tcPr>
            <w:tcW w:w="0" w:type="auto"/>
            <w:shd w:val="clear" w:color="auto" w:fill="auto"/>
            <w:vAlign w:val="center"/>
          </w:tcPr>
          <w:p w14:paraId="6AC6C25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22B40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1A8ADD7A">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561D8E1">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5DB908F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4"/>
                <w:sz w:val="18"/>
              </w:rPr>
            </w:pPr>
          </w:p>
        </w:tc>
        <w:tc>
          <w:tcPr>
            <w:tcW w:w="0" w:type="auto"/>
            <w:shd w:val="clear" w:color="auto" w:fill="auto"/>
            <w:vAlign w:val="center"/>
          </w:tcPr>
          <w:p w14:paraId="120E7E8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图书馆的特（珍）藏书库</w:t>
            </w:r>
          </w:p>
        </w:tc>
        <w:tc>
          <w:tcPr>
            <w:tcW w:w="0" w:type="auto"/>
            <w:shd w:val="clear" w:color="auto" w:fill="auto"/>
            <w:vAlign w:val="center"/>
          </w:tcPr>
          <w:p w14:paraId="0ABF125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42724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9D6BFC9">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76D4B3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6FD47FF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4"/>
                <w:sz w:val="18"/>
              </w:rPr>
            </w:pPr>
          </w:p>
        </w:tc>
        <w:tc>
          <w:tcPr>
            <w:tcW w:w="0" w:type="auto"/>
            <w:shd w:val="clear" w:color="auto" w:fill="auto"/>
            <w:vAlign w:val="center"/>
          </w:tcPr>
          <w:p w14:paraId="7F47BFB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传达室、门卫室</w:t>
            </w:r>
          </w:p>
        </w:tc>
        <w:tc>
          <w:tcPr>
            <w:tcW w:w="0" w:type="auto"/>
            <w:shd w:val="clear" w:color="auto" w:fill="auto"/>
            <w:vAlign w:val="center"/>
          </w:tcPr>
          <w:p w14:paraId="647A9DD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263F6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3536836F">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restart"/>
            <w:vAlign w:val="center"/>
          </w:tcPr>
          <w:p w14:paraId="32B1692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4"/>
                <w:sz w:val="18"/>
              </w:rPr>
            </w:pPr>
            <w:r>
              <w:rPr>
                <w:rFonts w:hint="eastAsia"/>
                <w:spacing w:val="-3"/>
                <w:sz w:val="18"/>
                <w:lang w:val="en-US" w:eastAsia="zh-CN"/>
              </w:rPr>
              <w:t>出入口控制系统</w:t>
            </w:r>
          </w:p>
        </w:tc>
        <w:tc>
          <w:tcPr>
            <w:tcW w:w="0" w:type="auto"/>
            <w:shd w:val="clear" w:color="auto" w:fill="auto"/>
            <w:vAlign w:val="center"/>
          </w:tcPr>
          <w:p w14:paraId="33ECBDE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重要资料、钱财物资票据、贵重物品等集中存放场所</w:t>
            </w:r>
          </w:p>
        </w:tc>
        <w:tc>
          <w:tcPr>
            <w:tcW w:w="0" w:type="auto"/>
            <w:shd w:val="clear" w:color="auto" w:fill="auto"/>
            <w:vAlign w:val="center"/>
          </w:tcPr>
          <w:p w14:paraId="48B0173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rFonts w:hint="eastAsia"/>
                <w:spacing w:val="-5"/>
                <w:sz w:val="18"/>
                <w:lang w:val="en-US" w:eastAsia="zh-CN"/>
              </w:rPr>
              <w:t>宜</w:t>
            </w:r>
            <w:r>
              <w:rPr>
                <w:spacing w:val="-5"/>
                <w:sz w:val="18"/>
              </w:rPr>
              <w:t>配置</w:t>
            </w:r>
          </w:p>
        </w:tc>
      </w:tr>
      <w:tr w14:paraId="71F58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47A2B1E8">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29BB794A">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2705A92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供水、供电、供气、室内温度调节和室内空气净化等设备间</w:t>
            </w:r>
          </w:p>
        </w:tc>
        <w:tc>
          <w:tcPr>
            <w:tcW w:w="0" w:type="auto"/>
            <w:shd w:val="clear" w:color="auto" w:fill="auto"/>
            <w:vAlign w:val="center"/>
          </w:tcPr>
          <w:p w14:paraId="6682EAD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21937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5E740C4">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73BEC53B">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42A0251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公共广播中心、网络与信息中心、监控中心、消防控制中心</w:t>
            </w:r>
          </w:p>
        </w:tc>
        <w:tc>
          <w:tcPr>
            <w:tcW w:w="0" w:type="auto"/>
            <w:shd w:val="clear" w:color="auto" w:fill="auto"/>
            <w:vAlign w:val="center"/>
          </w:tcPr>
          <w:p w14:paraId="56524F9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2947E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7AA37134">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19B12116">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5C9D5BD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图书馆的特（珍）藏书库、艺术馆的艺术品存储库房</w:t>
            </w:r>
          </w:p>
        </w:tc>
        <w:tc>
          <w:tcPr>
            <w:tcW w:w="0" w:type="auto"/>
            <w:shd w:val="clear" w:color="auto" w:fill="auto"/>
            <w:vAlign w:val="center"/>
          </w:tcPr>
          <w:p w14:paraId="746C83F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3E8B2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7581B593">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52E33EBB">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2F3805A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行政办公区与公众服务区交界处</w:t>
            </w:r>
          </w:p>
        </w:tc>
        <w:tc>
          <w:tcPr>
            <w:tcW w:w="0" w:type="auto"/>
            <w:shd w:val="clear" w:color="auto" w:fill="auto"/>
            <w:vAlign w:val="center"/>
          </w:tcPr>
          <w:p w14:paraId="53FE32E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3EE36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4B6C2373">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restart"/>
            <w:vAlign w:val="center"/>
          </w:tcPr>
          <w:p w14:paraId="492C3E10">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r>
              <w:rPr>
                <w:rFonts w:hint="eastAsia"/>
                <w:spacing w:val="-3"/>
                <w:sz w:val="18"/>
                <w:lang w:val="en-US" w:eastAsia="zh-CN"/>
              </w:rPr>
              <w:t>电子巡查系统</w:t>
            </w:r>
          </w:p>
        </w:tc>
        <w:tc>
          <w:tcPr>
            <w:tcW w:w="0" w:type="auto"/>
            <w:shd w:val="clear" w:color="auto" w:fill="auto"/>
            <w:vAlign w:val="center"/>
          </w:tcPr>
          <w:p w14:paraId="7BF6EBB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重要资料、钱财物资、票据、贵重物品等集中存放场所</w:t>
            </w:r>
          </w:p>
        </w:tc>
        <w:tc>
          <w:tcPr>
            <w:tcW w:w="0" w:type="auto"/>
            <w:shd w:val="clear" w:color="auto" w:fill="auto"/>
            <w:vAlign w:val="center"/>
          </w:tcPr>
          <w:p w14:paraId="72E51D1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71CB9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1A2CB56C">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5366A5AC">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0809B0A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供水、供电、供气、室内温度调节和室内空气净化等设备间</w:t>
            </w:r>
          </w:p>
        </w:tc>
        <w:tc>
          <w:tcPr>
            <w:tcW w:w="0" w:type="auto"/>
            <w:shd w:val="clear" w:color="auto" w:fill="auto"/>
            <w:vAlign w:val="center"/>
          </w:tcPr>
          <w:p w14:paraId="2AFAB3E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kern w:val="2"/>
                <w:sz w:val="18"/>
                <w:szCs w:val="22"/>
                <w:lang w:val="en-US" w:eastAsia="en-US" w:bidi="ar-SA"/>
              </w:rPr>
            </w:pPr>
            <w:r>
              <w:rPr>
                <w:spacing w:val="-5"/>
                <w:sz w:val="18"/>
              </w:rPr>
              <w:t>应配置</w:t>
            </w:r>
          </w:p>
        </w:tc>
      </w:tr>
      <w:tr w14:paraId="69BEC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6C662801">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76FC673D">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1A687F8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公共广播中心、网络与信息中心、监控中心</w:t>
            </w:r>
          </w:p>
        </w:tc>
        <w:tc>
          <w:tcPr>
            <w:tcW w:w="0" w:type="auto"/>
            <w:shd w:val="clear" w:color="auto" w:fill="auto"/>
            <w:vAlign w:val="center"/>
          </w:tcPr>
          <w:p w14:paraId="08295D5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08975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6DB2BACE">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775AEBE3">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6110454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公众服务区、售票处、餐饮区、大型活动或讲座举办场所</w:t>
            </w:r>
          </w:p>
        </w:tc>
        <w:tc>
          <w:tcPr>
            <w:tcW w:w="0" w:type="auto"/>
            <w:shd w:val="clear" w:color="auto" w:fill="auto"/>
            <w:vAlign w:val="center"/>
          </w:tcPr>
          <w:p w14:paraId="50BDFBB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76724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29F8EE17">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6EA92EEC">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11DB13B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单位周界、主要通道、主要出入口</w:t>
            </w:r>
          </w:p>
        </w:tc>
        <w:tc>
          <w:tcPr>
            <w:tcW w:w="0" w:type="auto"/>
            <w:shd w:val="clear" w:color="auto" w:fill="auto"/>
            <w:vAlign w:val="center"/>
          </w:tcPr>
          <w:p w14:paraId="44DD8F6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2F4E0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8F497F2">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40FE757D">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51BA4E8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图书馆的自修室、特（珍）藏书库外周界</w:t>
            </w:r>
          </w:p>
        </w:tc>
        <w:tc>
          <w:tcPr>
            <w:tcW w:w="0" w:type="auto"/>
            <w:shd w:val="clear" w:color="auto" w:fill="auto"/>
            <w:vAlign w:val="center"/>
          </w:tcPr>
          <w:p w14:paraId="275F253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168B5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4DA0662B">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7FEC8892">
            <w:pPr>
              <w:pStyle w:val="60"/>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color w:val="auto"/>
                <w:spacing w:val="-4"/>
                <w:sz w:val="18"/>
              </w:rPr>
            </w:pPr>
          </w:p>
        </w:tc>
        <w:tc>
          <w:tcPr>
            <w:tcW w:w="0" w:type="auto"/>
            <w:shd w:val="clear" w:color="auto" w:fill="auto"/>
            <w:vAlign w:val="center"/>
          </w:tcPr>
          <w:p w14:paraId="55C605F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其他需要的重要部位（区域）</w:t>
            </w:r>
          </w:p>
        </w:tc>
        <w:tc>
          <w:tcPr>
            <w:tcW w:w="0" w:type="auto"/>
            <w:shd w:val="clear" w:color="auto" w:fill="auto"/>
            <w:vAlign w:val="center"/>
          </w:tcPr>
          <w:p w14:paraId="49EF7F4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2F492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7703927C">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Align w:val="center"/>
          </w:tcPr>
          <w:p w14:paraId="6379208B">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color w:val="auto"/>
                <w:spacing w:val="-4"/>
                <w:sz w:val="18"/>
              </w:rPr>
            </w:pPr>
            <w:r>
              <w:rPr>
                <w:rFonts w:hint="eastAsia"/>
                <w:spacing w:val="-3"/>
                <w:sz w:val="18"/>
                <w:lang w:val="en-US" w:eastAsia="zh-CN"/>
              </w:rPr>
              <w:t>停车库（场）安全管理系统</w:t>
            </w:r>
          </w:p>
        </w:tc>
        <w:tc>
          <w:tcPr>
            <w:tcW w:w="0" w:type="auto"/>
            <w:shd w:val="clear" w:color="auto" w:fill="auto"/>
            <w:vAlign w:val="center"/>
          </w:tcPr>
          <w:p w14:paraId="4D978A2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停车库（场）</w:t>
            </w:r>
          </w:p>
        </w:tc>
        <w:tc>
          <w:tcPr>
            <w:tcW w:w="0" w:type="auto"/>
            <w:shd w:val="clear" w:color="auto" w:fill="auto"/>
            <w:vAlign w:val="center"/>
          </w:tcPr>
          <w:p w14:paraId="18B5E7E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5548E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17ACA48A">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Align w:val="center"/>
          </w:tcPr>
          <w:p w14:paraId="4D9D569A">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color w:val="auto"/>
                <w:spacing w:val="-4"/>
                <w:sz w:val="18"/>
              </w:rPr>
            </w:pPr>
            <w:r>
              <w:rPr>
                <w:rFonts w:hint="eastAsia"/>
                <w:spacing w:val="-3"/>
                <w:sz w:val="18"/>
                <w:lang w:val="en-US" w:eastAsia="zh-CN"/>
              </w:rPr>
              <w:t>图书防盗系统</w:t>
            </w:r>
          </w:p>
        </w:tc>
        <w:tc>
          <w:tcPr>
            <w:tcW w:w="0" w:type="auto"/>
            <w:shd w:val="clear" w:color="auto" w:fill="auto"/>
            <w:vAlign w:val="center"/>
          </w:tcPr>
          <w:p w14:paraId="39C343C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图书馆主要出口、应设置图书防盗系统的阅览室出入口处</w:t>
            </w:r>
          </w:p>
        </w:tc>
        <w:tc>
          <w:tcPr>
            <w:tcW w:w="0" w:type="auto"/>
            <w:shd w:val="clear" w:color="auto" w:fill="auto"/>
            <w:vAlign w:val="center"/>
          </w:tcPr>
          <w:p w14:paraId="7628013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bl>
    <w:p w14:paraId="7BC6BBC1">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p>
    <w:p w14:paraId="78951DF9">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p>
    <w:p w14:paraId="464D90D7">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表2  图书馆安全技术防范系统配置表（续）</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605"/>
        <w:gridCol w:w="1699"/>
        <w:gridCol w:w="5347"/>
        <w:gridCol w:w="849"/>
      </w:tblGrid>
      <w:tr w14:paraId="6A3E2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top"/>
          </w:tcPr>
          <w:p w14:paraId="71D5F625">
            <w:pPr>
              <w:pStyle w:val="60"/>
              <w:spacing w:before="127"/>
              <w:ind w:left="142" w:leftChars="0" w:right="130" w:rightChars="0"/>
              <w:jc w:val="center"/>
              <w:rPr>
                <w:rFonts w:hint="eastAsia" w:eastAsia="宋体"/>
                <w:color w:val="auto"/>
                <w:sz w:val="18"/>
                <w:lang w:val="en-US" w:eastAsia="zh-CN"/>
              </w:rPr>
            </w:pPr>
            <w:r>
              <w:rPr>
                <w:color w:val="auto"/>
                <w:spacing w:val="-6"/>
                <w:sz w:val="18"/>
              </w:rPr>
              <w:t>序号</w:t>
            </w:r>
          </w:p>
        </w:tc>
        <w:tc>
          <w:tcPr>
            <w:tcW w:w="2304" w:type="dxa"/>
            <w:gridSpan w:val="2"/>
            <w:vAlign w:val="top"/>
          </w:tcPr>
          <w:p w14:paraId="7BCE3A7D">
            <w:pPr>
              <w:pStyle w:val="60"/>
              <w:spacing w:before="127"/>
              <w:ind w:left="958" w:leftChars="0" w:right="947" w:rightChars="0"/>
              <w:jc w:val="center"/>
              <w:rPr>
                <w:rFonts w:hint="eastAsia" w:eastAsia="宋体"/>
                <w:color w:val="auto"/>
                <w:spacing w:val="-2"/>
                <w:sz w:val="18"/>
                <w:lang w:val="en-US" w:eastAsia="zh-CN"/>
              </w:rPr>
            </w:pPr>
            <w:r>
              <w:rPr>
                <w:color w:val="auto"/>
                <w:spacing w:val="-6"/>
                <w:sz w:val="18"/>
              </w:rPr>
              <w:t>项目</w:t>
            </w:r>
          </w:p>
        </w:tc>
        <w:tc>
          <w:tcPr>
            <w:tcW w:w="5347" w:type="dxa"/>
            <w:vAlign w:val="top"/>
          </w:tcPr>
          <w:p w14:paraId="54CDB952">
            <w:pPr>
              <w:pStyle w:val="60"/>
              <w:spacing w:before="127"/>
              <w:ind w:left="1854" w:leftChars="0" w:right="1849" w:rightChars="0"/>
              <w:jc w:val="center"/>
              <w:rPr>
                <w:color w:val="auto"/>
                <w:spacing w:val="-4"/>
                <w:sz w:val="18"/>
              </w:rPr>
            </w:pPr>
            <w:r>
              <w:rPr>
                <w:color w:val="auto"/>
                <w:spacing w:val="-3"/>
                <w:sz w:val="18"/>
              </w:rPr>
              <w:t>安装区域或覆盖范围</w:t>
            </w:r>
          </w:p>
        </w:tc>
        <w:tc>
          <w:tcPr>
            <w:tcW w:w="849" w:type="dxa"/>
            <w:vAlign w:val="top"/>
          </w:tcPr>
          <w:p w14:paraId="65C9FDD8">
            <w:pPr>
              <w:pStyle w:val="60"/>
              <w:spacing w:before="7" w:line="230" w:lineRule="exact"/>
              <w:ind w:left="248" w:leftChars="0" w:right="228" w:rightChars="0"/>
              <w:rPr>
                <w:color w:val="auto"/>
                <w:spacing w:val="-5"/>
                <w:sz w:val="18"/>
              </w:rPr>
            </w:pPr>
            <w:r>
              <w:rPr>
                <w:color w:val="auto"/>
                <w:spacing w:val="-6"/>
                <w:sz w:val="18"/>
              </w:rPr>
              <w:t>配置要求</w:t>
            </w:r>
          </w:p>
        </w:tc>
      </w:tr>
      <w:tr w14:paraId="14168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21E90B7C">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03DA9ADA">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防爆安全检查系统</w:t>
            </w:r>
          </w:p>
        </w:tc>
        <w:tc>
          <w:tcPr>
            <w:tcW w:w="1699" w:type="dxa"/>
            <w:shd w:val="clear" w:color="auto" w:fill="auto"/>
            <w:vAlign w:val="center"/>
          </w:tcPr>
          <w:p w14:paraId="5940598B">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通过式金属探测门</w:t>
            </w:r>
          </w:p>
        </w:tc>
        <w:tc>
          <w:tcPr>
            <w:tcW w:w="5347" w:type="dxa"/>
            <w:shd w:val="clear" w:color="auto" w:fill="auto"/>
            <w:vAlign w:val="center"/>
          </w:tcPr>
          <w:p w14:paraId="17394EE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公共服务区主入口</w:t>
            </w:r>
          </w:p>
        </w:tc>
        <w:tc>
          <w:tcPr>
            <w:tcW w:w="849" w:type="dxa"/>
            <w:shd w:val="clear" w:color="auto" w:fill="auto"/>
            <w:vAlign w:val="center"/>
          </w:tcPr>
          <w:p w14:paraId="66370C5E">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106DE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9113488">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shd w:val="clear" w:color="auto" w:fill="auto"/>
            <w:vAlign w:val="center"/>
          </w:tcPr>
          <w:p w14:paraId="3C6DFDD0">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hint="default" w:ascii="宋体" w:hAnsi="宋体" w:eastAsia="宋体" w:cs="宋体"/>
                <w:color w:val="auto"/>
                <w:spacing w:val="-6"/>
                <w:kern w:val="2"/>
                <w:sz w:val="18"/>
                <w:szCs w:val="22"/>
                <w:lang w:val="en-US" w:eastAsia="zh-CN" w:bidi="ar-SA"/>
              </w:rPr>
            </w:pPr>
          </w:p>
        </w:tc>
        <w:tc>
          <w:tcPr>
            <w:tcW w:w="1699" w:type="dxa"/>
            <w:shd w:val="clear" w:color="auto" w:fill="auto"/>
            <w:vAlign w:val="center"/>
          </w:tcPr>
          <w:p w14:paraId="368A606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手持金属探测器</w:t>
            </w:r>
          </w:p>
        </w:tc>
        <w:tc>
          <w:tcPr>
            <w:tcW w:w="5347" w:type="dxa"/>
            <w:shd w:val="clear" w:color="auto" w:fill="auto"/>
            <w:vAlign w:val="center"/>
          </w:tcPr>
          <w:p w14:paraId="3F145BF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en-US"/>
              </w:rPr>
            </w:pPr>
            <w:r>
              <w:rPr>
                <w:rFonts w:hint="eastAsia"/>
                <w:spacing w:val="-2"/>
                <w:sz w:val="18"/>
                <w:lang w:val="en-US" w:eastAsia="zh-CN"/>
              </w:rPr>
              <w:t>公共服务区主入口</w:t>
            </w:r>
          </w:p>
        </w:tc>
        <w:tc>
          <w:tcPr>
            <w:tcW w:w="849" w:type="dxa"/>
            <w:shd w:val="clear" w:color="auto" w:fill="auto"/>
            <w:vAlign w:val="center"/>
          </w:tcPr>
          <w:p w14:paraId="678492E5">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default"/>
                <w:spacing w:val="-2"/>
                <w:sz w:val="18"/>
                <w:lang w:val="en-US" w:eastAsia="en-US"/>
              </w:rPr>
            </w:pPr>
            <w:r>
              <w:rPr>
                <w:rFonts w:hint="eastAsia"/>
                <w:spacing w:val="-2"/>
                <w:sz w:val="18"/>
                <w:lang w:val="en-US" w:eastAsia="zh-CN"/>
              </w:rPr>
              <w:t>应配置</w:t>
            </w:r>
          </w:p>
        </w:tc>
      </w:tr>
      <w:tr w14:paraId="03A99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B7F812D">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shd w:val="clear" w:color="auto" w:fill="auto"/>
            <w:vAlign w:val="center"/>
          </w:tcPr>
          <w:p w14:paraId="7BD05AEE">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p>
        </w:tc>
        <w:tc>
          <w:tcPr>
            <w:tcW w:w="1699" w:type="dxa"/>
            <w:shd w:val="clear" w:color="auto" w:fill="auto"/>
            <w:vAlign w:val="center"/>
          </w:tcPr>
          <w:p w14:paraId="1621DF95">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微剂量X射线安全检查设备</w:t>
            </w:r>
          </w:p>
        </w:tc>
        <w:tc>
          <w:tcPr>
            <w:tcW w:w="5347" w:type="dxa"/>
            <w:shd w:val="clear" w:color="auto" w:fill="auto"/>
            <w:vAlign w:val="center"/>
          </w:tcPr>
          <w:p w14:paraId="19D70F8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公共服务区主入口</w:t>
            </w:r>
          </w:p>
        </w:tc>
        <w:tc>
          <w:tcPr>
            <w:tcW w:w="849" w:type="dxa"/>
            <w:shd w:val="clear" w:color="auto" w:fill="auto"/>
            <w:vAlign w:val="center"/>
          </w:tcPr>
          <w:p w14:paraId="1CE2A65B">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62BAC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8FB33DE">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shd w:val="clear" w:color="auto" w:fill="auto"/>
            <w:vAlign w:val="center"/>
          </w:tcPr>
          <w:p w14:paraId="4D957BA0">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安全防范管理平台</w:t>
            </w:r>
          </w:p>
        </w:tc>
        <w:tc>
          <w:tcPr>
            <w:tcW w:w="5347" w:type="dxa"/>
            <w:shd w:val="clear" w:color="auto" w:fill="auto"/>
            <w:vAlign w:val="center"/>
          </w:tcPr>
          <w:p w14:paraId="1CC26E4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监控中心</w:t>
            </w:r>
          </w:p>
        </w:tc>
        <w:tc>
          <w:tcPr>
            <w:tcW w:w="849" w:type="dxa"/>
            <w:shd w:val="clear" w:color="auto" w:fill="auto"/>
            <w:vAlign w:val="center"/>
          </w:tcPr>
          <w:p w14:paraId="2E966D7E">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宜配置</w:t>
            </w:r>
          </w:p>
        </w:tc>
      </w:tr>
      <w:tr w14:paraId="52E15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D817F87">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7202BC8A">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p w14:paraId="3ABAAAA7">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p w14:paraId="1486E01B">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实体防护设施</w:t>
            </w:r>
          </w:p>
          <w:p w14:paraId="7240ED19">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64364AD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减速带、栏杆机</w:t>
            </w:r>
          </w:p>
        </w:tc>
        <w:tc>
          <w:tcPr>
            <w:tcW w:w="5347" w:type="dxa"/>
            <w:shd w:val="clear" w:color="auto" w:fill="auto"/>
            <w:vAlign w:val="center"/>
          </w:tcPr>
          <w:p w14:paraId="3376D1B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车辆出入口</w:t>
            </w:r>
          </w:p>
        </w:tc>
        <w:tc>
          <w:tcPr>
            <w:tcW w:w="849" w:type="dxa"/>
            <w:shd w:val="clear" w:color="auto" w:fill="auto"/>
            <w:vAlign w:val="center"/>
          </w:tcPr>
          <w:p w14:paraId="095CF732">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48FD0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F8BCAC5">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7280699">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2564B09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栅栏门</w:t>
            </w:r>
          </w:p>
        </w:tc>
        <w:tc>
          <w:tcPr>
            <w:tcW w:w="5347" w:type="dxa"/>
            <w:shd w:val="clear" w:color="auto" w:fill="auto"/>
            <w:vAlign w:val="center"/>
          </w:tcPr>
          <w:p w14:paraId="7C4F9C9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车辆出入口</w:t>
            </w:r>
          </w:p>
        </w:tc>
        <w:tc>
          <w:tcPr>
            <w:tcW w:w="849" w:type="dxa"/>
            <w:shd w:val="clear" w:color="auto" w:fill="auto"/>
            <w:vAlign w:val="center"/>
          </w:tcPr>
          <w:p w14:paraId="45AB618D">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宜配置</w:t>
            </w:r>
          </w:p>
        </w:tc>
      </w:tr>
      <w:tr w14:paraId="4270E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56186541">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A646E92">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2A50D7F5">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铁马、水马</w:t>
            </w:r>
          </w:p>
        </w:tc>
        <w:tc>
          <w:tcPr>
            <w:tcW w:w="5347" w:type="dxa"/>
            <w:shd w:val="clear" w:color="auto" w:fill="auto"/>
            <w:vAlign w:val="center"/>
          </w:tcPr>
          <w:p w14:paraId="756F5C1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车辆出入口</w:t>
            </w:r>
          </w:p>
        </w:tc>
        <w:tc>
          <w:tcPr>
            <w:tcW w:w="849" w:type="dxa"/>
            <w:shd w:val="clear" w:color="auto" w:fill="auto"/>
            <w:vAlign w:val="center"/>
          </w:tcPr>
          <w:p w14:paraId="2FBA4616">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266D0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0043447B">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46AFF2BB">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278D93D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防冲撞金属柱、混凝土柱</w:t>
            </w:r>
          </w:p>
        </w:tc>
        <w:tc>
          <w:tcPr>
            <w:tcW w:w="5347" w:type="dxa"/>
            <w:shd w:val="clear" w:color="auto" w:fill="auto"/>
            <w:vAlign w:val="center"/>
          </w:tcPr>
          <w:p w14:paraId="72ADE2A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主要出入口</w:t>
            </w:r>
          </w:p>
        </w:tc>
        <w:tc>
          <w:tcPr>
            <w:tcW w:w="849" w:type="dxa"/>
            <w:shd w:val="clear" w:color="auto" w:fill="auto"/>
            <w:vAlign w:val="center"/>
          </w:tcPr>
          <w:p w14:paraId="1CC71C24">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68CEF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6D87A1BC">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D8BCBF0">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7747E688">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通道闸</w:t>
            </w:r>
          </w:p>
        </w:tc>
        <w:tc>
          <w:tcPr>
            <w:tcW w:w="5347" w:type="dxa"/>
            <w:shd w:val="clear" w:color="auto" w:fill="auto"/>
            <w:vAlign w:val="center"/>
          </w:tcPr>
          <w:p w14:paraId="35C1900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人行出入口</w:t>
            </w:r>
          </w:p>
        </w:tc>
        <w:tc>
          <w:tcPr>
            <w:tcW w:w="849" w:type="dxa"/>
            <w:shd w:val="clear" w:color="auto" w:fill="auto"/>
            <w:vAlign w:val="center"/>
          </w:tcPr>
          <w:p w14:paraId="5BBEE7B7">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宜配置</w:t>
            </w:r>
          </w:p>
        </w:tc>
      </w:tr>
      <w:tr w14:paraId="32256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43826ADA">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150495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3A3E2A3E">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安全标志</w:t>
            </w:r>
          </w:p>
        </w:tc>
        <w:tc>
          <w:tcPr>
            <w:tcW w:w="5347" w:type="dxa"/>
            <w:shd w:val="clear" w:color="auto" w:fill="auto"/>
            <w:vAlign w:val="center"/>
          </w:tcPr>
          <w:p w14:paraId="5106C97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单位内部各部位</w:t>
            </w:r>
          </w:p>
        </w:tc>
        <w:tc>
          <w:tcPr>
            <w:tcW w:w="849" w:type="dxa"/>
            <w:shd w:val="clear" w:color="auto" w:fill="auto"/>
            <w:vAlign w:val="center"/>
          </w:tcPr>
          <w:p w14:paraId="1AA70243">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08DB0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7F693F57">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4D8339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restart"/>
            <w:shd w:val="clear" w:color="auto" w:fill="auto"/>
            <w:vAlign w:val="center"/>
          </w:tcPr>
          <w:p w14:paraId="1EB2697D">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防盗安全门</w:t>
            </w:r>
          </w:p>
        </w:tc>
        <w:tc>
          <w:tcPr>
            <w:tcW w:w="5347" w:type="dxa"/>
            <w:shd w:val="clear" w:color="auto" w:fill="auto"/>
            <w:vAlign w:val="center"/>
          </w:tcPr>
          <w:p w14:paraId="73D0933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重要资料、钱财物资、票据、贵重物品等集中存放场所出入口</w:t>
            </w:r>
          </w:p>
        </w:tc>
        <w:tc>
          <w:tcPr>
            <w:tcW w:w="849" w:type="dxa"/>
            <w:shd w:val="clear" w:color="auto" w:fill="auto"/>
            <w:vAlign w:val="center"/>
          </w:tcPr>
          <w:p w14:paraId="793A3A54">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4FBB3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7" w:type="dxa"/>
            <w:vAlign w:val="center"/>
          </w:tcPr>
          <w:p w14:paraId="1847B544">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0721F8A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shd w:val="clear" w:color="auto" w:fill="auto"/>
            <w:vAlign w:val="center"/>
          </w:tcPr>
          <w:p w14:paraId="1BE2EEFB">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p>
        </w:tc>
        <w:tc>
          <w:tcPr>
            <w:tcW w:w="5347" w:type="dxa"/>
            <w:shd w:val="clear" w:color="auto" w:fill="auto"/>
            <w:vAlign w:val="center"/>
          </w:tcPr>
          <w:p w14:paraId="62D154F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网络与信息中心、监控中心、消防控制中心的出入口</w:t>
            </w:r>
          </w:p>
        </w:tc>
        <w:tc>
          <w:tcPr>
            <w:tcW w:w="849" w:type="dxa"/>
            <w:shd w:val="clear" w:color="auto" w:fill="auto"/>
            <w:vAlign w:val="center"/>
          </w:tcPr>
          <w:p w14:paraId="3E5F4535">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5E6F8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6D999C6">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08E6FC1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shd w:val="clear" w:color="auto" w:fill="auto"/>
            <w:vAlign w:val="center"/>
          </w:tcPr>
          <w:p w14:paraId="4CA80643">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p>
        </w:tc>
        <w:tc>
          <w:tcPr>
            <w:tcW w:w="0" w:type="auto"/>
            <w:shd w:val="clear" w:color="auto" w:fill="auto"/>
            <w:vAlign w:val="center"/>
          </w:tcPr>
          <w:p w14:paraId="568E77A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图书馆的特（珍）藏书库的出入口</w:t>
            </w:r>
          </w:p>
        </w:tc>
        <w:tc>
          <w:tcPr>
            <w:tcW w:w="0" w:type="auto"/>
            <w:shd w:val="clear" w:color="auto" w:fill="auto"/>
            <w:vAlign w:val="center"/>
          </w:tcPr>
          <w:p w14:paraId="53FF9531">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75BF1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6EFFB42B">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CA15769">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color w:val="auto"/>
                <w:spacing w:val="-6"/>
                <w:sz w:val="18"/>
              </w:rPr>
            </w:pPr>
          </w:p>
        </w:tc>
        <w:tc>
          <w:tcPr>
            <w:tcW w:w="1699" w:type="dxa"/>
            <w:vMerge w:val="restart"/>
            <w:shd w:val="clear" w:color="auto" w:fill="auto"/>
            <w:vAlign w:val="center"/>
          </w:tcPr>
          <w:p w14:paraId="0E9459B9">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金属防护门</w:t>
            </w:r>
          </w:p>
        </w:tc>
        <w:tc>
          <w:tcPr>
            <w:tcW w:w="0" w:type="auto"/>
            <w:shd w:val="clear" w:color="auto" w:fill="auto"/>
            <w:vAlign w:val="center"/>
          </w:tcPr>
          <w:p w14:paraId="74F3269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供水、供电、供气、室内温度调节和室内空气净化等设备间的出入口</w:t>
            </w:r>
          </w:p>
        </w:tc>
        <w:tc>
          <w:tcPr>
            <w:tcW w:w="0" w:type="auto"/>
            <w:shd w:val="clear" w:color="auto" w:fill="auto"/>
            <w:vAlign w:val="center"/>
          </w:tcPr>
          <w:p w14:paraId="4BD3853C">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6E119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63D76A48">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9DA3303">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vMerge w:val="continue"/>
            <w:vAlign w:val="center"/>
          </w:tcPr>
          <w:p w14:paraId="16B87CA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4"/>
                <w:sz w:val="18"/>
              </w:rPr>
            </w:pPr>
          </w:p>
        </w:tc>
        <w:tc>
          <w:tcPr>
            <w:tcW w:w="0" w:type="auto"/>
            <w:shd w:val="clear" w:color="auto" w:fill="auto"/>
            <w:vAlign w:val="center"/>
          </w:tcPr>
          <w:p w14:paraId="2846CBA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公共广播中心的出入口</w:t>
            </w:r>
          </w:p>
        </w:tc>
        <w:tc>
          <w:tcPr>
            <w:tcW w:w="0" w:type="auto"/>
            <w:shd w:val="clear" w:color="auto" w:fill="auto"/>
            <w:vAlign w:val="center"/>
          </w:tcPr>
          <w:p w14:paraId="5E9FC994">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2FADF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B6B59AD">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76E373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11613C03">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防盗保险柜（箱）</w:t>
            </w:r>
          </w:p>
        </w:tc>
        <w:tc>
          <w:tcPr>
            <w:tcW w:w="0" w:type="auto"/>
            <w:shd w:val="clear" w:color="auto" w:fill="auto"/>
            <w:vAlign w:val="center"/>
          </w:tcPr>
          <w:p w14:paraId="5EAA70D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钱财物资、贵重物品等集中存放场所</w:t>
            </w:r>
          </w:p>
        </w:tc>
        <w:tc>
          <w:tcPr>
            <w:tcW w:w="0" w:type="auto"/>
            <w:shd w:val="clear" w:color="auto" w:fill="auto"/>
            <w:vAlign w:val="center"/>
          </w:tcPr>
          <w:p w14:paraId="0BA50FF6">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66891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A7BEC57">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6CFE3AC5">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1E3C71D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隔离栅</w:t>
            </w:r>
          </w:p>
        </w:tc>
        <w:tc>
          <w:tcPr>
            <w:tcW w:w="0" w:type="auto"/>
            <w:shd w:val="clear" w:color="auto" w:fill="auto"/>
            <w:vAlign w:val="center"/>
          </w:tcPr>
          <w:p w14:paraId="07D51D4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需要隔离的部位（区域）</w:t>
            </w:r>
          </w:p>
        </w:tc>
        <w:tc>
          <w:tcPr>
            <w:tcW w:w="0" w:type="auto"/>
            <w:shd w:val="clear" w:color="auto" w:fill="auto"/>
            <w:vAlign w:val="center"/>
          </w:tcPr>
          <w:p w14:paraId="2F592930">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宜配置</w:t>
            </w:r>
          </w:p>
        </w:tc>
      </w:tr>
      <w:tr w14:paraId="1B662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48F2564F">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7637AFA">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1C62F575">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围墙</w:t>
            </w:r>
          </w:p>
        </w:tc>
        <w:tc>
          <w:tcPr>
            <w:tcW w:w="0" w:type="auto"/>
            <w:shd w:val="clear" w:color="auto" w:fill="auto"/>
            <w:vAlign w:val="center"/>
          </w:tcPr>
          <w:p w14:paraId="4236FAE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单位周界</w:t>
            </w:r>
          </w:p>
        </w:tc>
        <w:tc>
          <w:tcPr>
            <w:tcW w:w="0" w:type="auto"/>
            <w:shd w:val="clear" w:color="auto" w:fill="auto"/>
            <w:vAlign w:val="center"/>
          </w:tcPr>
          <w:p w14:paraId="3CCA934B">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宜配置</w:t>
            </w:r>
          </w:p>
        </w:tc>
      </w:tr>
      <w:tr w14:paraId="39CB0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77F97259">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DB222E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20F9493D">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刀片刺网</w:t>
            </w:r>
          </w:p>
        </w:tc>
        <w:tc>
          <w:tcPr>
            <w:tcW w:w="0" w:type="auto"/>
            <w:shd w:val="clear" w:color="auto" w:fill="auto"/>
            <w:vAlign w:val="center"/>
          </w:tcPr>
          <w:p w14:paraId="14E05A1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周界围墙</w:t>
            </w:r>
          </w:p>
        </w:tc>
        <w:tc>
          <w:tcPr>
            <w:tcW w:w="0" w:type="auto"/>
            <w:shd w:val="clear" w:color="auto" w:fill="auto"/>
            <w:vAlign w:val="center"/>
          </w:tcPr>
          <w:p w14:paraId="1FF087AB">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宜配置</w:t>
            </w:r>
          </w:p>
        </w:tc>
      </w:tr>
      <w:tr w14:paraId="63DFC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98327E5">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2C3C93E7">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个人防护装备</w:t>
            </w:r>
          </w:p>
        </w:tc>
        <w:tc>
          <w:tcPr>
            <w:tcW w:w="1699" w:type="dxa"/>
            <w:shd w:val="clear" w:color="auto" w:fill="auto"/>
            <w:vAlign w:val="center"/>
          </w:tcPr>
          <w:p w14:paraId="78FBFC87">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强光手电</w:t>
            </w:r>
          </w:p>
        </w:tc>
        <w:tc>
          <w:tcPr>
            <w:tcW w:w="0" w:type="auto"/>
            <w:shd w:val="clear" w:color="auto" w:fill="auto"/>
            <w:vAlign w:val="center"/>
          </w:tcPr>
          <w:p w14:paraId="5308B83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门卫室、值班室、消防控制中心</w:t>
            </w:r>
          </w:p>
        </w:tc>
        <w:tc>
          <w:tcPr>
            <w:tcW w:w="0" w:type="auto"/>
            <w:shd w:val="clear" w:color="auto" w:fill="auto"/>
            <w:vAlign w:val="center"/>
          </w:tcPr>
          <w:p w14:paraId="4C18ACD4">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60144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53C854D">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2AABF19">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3DA4AB22">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防护棍棒</w:t>
            </w:r>
          </w:p>
        </w:tc>
        <w:tc>
          <w:tcPr>
            <w:tcW w:w="0" w:type="auto"/>
            <w:shd w:val="clear" w:color="auto" w:fill="auto"/>
            <w:vAlign w:val="center"/>
          </w:tcPr>
          <w:p w14:paraId="6C5FB4F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门卫室、值班室、消防控制中心</w:t>
            </w:r>
          </w:p>
        </w:tc>
        <w:tc>
          <w:tcPr>
            <w:tcW w:w="0" w:type="auto"/>
            <w:shd w:val="clear" w:color="auto" w:fill="auto"/>
            <w:vAlign w:val="center"/>
          </w:tcPr>
          <w:p w14:paraId="3D1F9690">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381D5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53B733E1">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88B2546">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1142ED2F">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防暴盾牌</w:t>
            </w:r>
          </w:p>
        </w:tc>
        <w:tc>
          <w:tcPr>
            <w:tcW w:w="0" w:type="auto"/>
            <w:shd w:val="clear" w:color="auto" w:fill="auto"/>
            <w:vAlign w:val="center"/>
          </w:tcPr>
          <w:p w14:paraId="09CC5A1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保安设备存放处、门卫室、值班室</w:t>
            </w:r>
          </w:p>
        </w:tc>
        <w:tc>
          <w:tcPr>
            <w:tcW w:w="0" w:type="auto"/>
            <w:shd w:val="clear" w:color="auto" w:fill="auto"/>
            <w:vAlign w:val="center"/>
          </w:tcPr>
          <w:p w14:paraId="51A44B95">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57084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429C988A">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335EDCE">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557526F3">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防暴钢叉</w:t>
            </w:r>
          </w:p>
        </w:tc>
        <w:tc>
          <w:tcPr>
            <w:tcW w:w="0" w:type="auto"/>
            <w:shd w:val="clear" w:color="auto" w:fill="auto"/>
            <w:vAlign w:val="center"/>
          </w:tcPr>
          <w:p w14:paraId="7308A94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保安设备存放处、门卫室、值班室</w:t>
            </w:r>
          </w:p>
        </w:tc>
        <w:tc>
          <w:tcPr>
            <w:tcW w:w="0" w:type="auto"/>
            <w:shd w:val="clear" w:color="auto" w:fill="auto"/>
            <w:vAlign w:val="center"/>
          </w:tcPr>
          <w:p w14:paraId="6BF10311">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5922E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AABAC13">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06F0521">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6DE9E214">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防暴头盔</w:t>
            </w:r>
          </w:p>
        </w:tc>
        <w:tc>
          <w:tcPr>
            <w:tcW w:w="0" w:type="auto"/>
            <w:shd w:val="clear" w:color="auto" w:fill="auto"/>
            <w:vAlign w:val="center"/>
          </w:tcPr>
          <w:p w14:paraId="056C979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保安设备存放处</w:t>
            </w:r>
          </w:p>
        </w:tc>
        <w:tc>
          <w:tcPr>
            <w:tcW w:w="0" w:type="auto"/>
            <w:shd w:val="clear" w:color="auto" w:fill="auto"/>
            <w:vAlign w:val="center"/>
          </w:tcPr>
          <w:p w14:paraId="53043FFB">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1F057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34824D42">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F0CE019">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7D409C84">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防刺服</w:t>
            </w:r>
          </w:p>
        </w:tc>
        <w:tc>
          <w:tcPr>
            <w:tcW w:w="5347" w:type="dxa"/>
            <w:shd w:val="clear" w:color="auto" w:fill="auto"/>
            <w:vAlign w:val="center"/>
          </w:tcPr>
          <w:p w14:paraId="19C6F6D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保安设备存放处</w:t>
            </w:r>
          </w:p>
        </w:tc>
        <w:tc>
          <w:tcPr>
            <w:tcW w:w="0" w:type="auto"/>
            <w:shd w:val="clear" w:color="auto" w:fill="auto"/>
            <w:vAlign w:val="center"/>
          </w:tcPr>
          <w:p w14:paraId="1088D6CD">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3A245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334CE1D6">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6334F046">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46111B2F">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防割（防刺）手套</w:t>
            </w:r>
          </w:p>
        </w:tc>
        <w:tc>
          <w:tcPr>
            <w:tcW w:w="5347" w:type="dxa"/>
            <w:shd w:val="clear" w:color="auto" w:fill="auto"/>
            <w:vAlign w:val="center"/>
          </w:tcPr>
          <w:p w14:paraId="2F15B64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保安设备存放处</w:t>
            </w:r>
          </w:p>
        </w:tc>
        <w:tc>
          <w:tcPr>
            <w:tcW w:w="0" w:type="auto"/>
            <w:shd w:val="clear" w:color="auto" w:fill="auto"/>
            <w:vAlign w:val="center"/>
          </w:tcPr>
          <w:p w14:paraId="59661F6C">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宜配置</w:t>
            </w:r>
          </w:p>
        </w:tc>
      </w:tr>
      <w:tr w14:paraId="69B36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D73FDAB">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6909C50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36524C1A">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防护面罩</w:t>
            </w:r>
          </w:p>
        </w:tc>
        <w:tc>
          <w:tcPr>
            <w:tcW w:w="0" w:type="auto"/>
            <w:shd w:val="clear" w:color="auto" w:fill="auto"/>
            <w:vAlign w:val="center"/>
          </w:tcPr>
          <w:p w14:paraId="0E23E37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各相关工作区域</w:t>
            </w:r>
          </w:p>
        </w:tc>
        <w:tc>
          <w:tcPr>
            <w:tcW w:w="0" w:type="auto"/>
            <w:shd w:val="clear" w:color="auto" w:fill="auto"/>
            <w:vAlign w:val="center"/>
          </w:tcPr>
          <w:p w14:paraId="11C3D0E8">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宜配置</w:t>
            </w:r>
          </w:p>
        </w:tc>
      </w:tr>
      <w:tr w14:paraId="70F86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6E4DA330">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6A427EB7">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1699" w:type="dxa"/>
            <w:shd w:val="clear" w:color="auto" w:fill="auto"/>
            <w:vAlign w:val="center"/>
          </w:tcPr>
          <w:p w14:paraId="0F245153">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对讲机</w:t>
            </w:r>
          </w:p>
        </w:tc>
        <w:tc>
          <w:tcPr>
            <w:tcW w:w="0" w:type="auto"/>
            <w:shd w:val="clear" w:color="auto" w:fill="auto"/>
            <w:vAlign w:val="center"/>
          </w:tcPr>
          <w:p w14:paraId="1E3E3EF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保安室、门卫室、值班室、监控中心、消防控制中心</w:t>
            </w:r>
          </w:p>
        </w:tc>
        <w:tc>
          <w:tcPr>
            <w:tcW w:w="0" w:type="auto"/>
            <w:shd w:val="clear" w:color="auto" w:fill="auto"/>
            <w:vAlign w:val="center"/>
          </w:tcPr>
          <w:p w14:paraId="1127A770">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5192B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1FACB56D">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0C295E34">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应急防护装备</w:t>
            </w:r>
          </w:p>
        </w:tc>
        <w:tc>
          <w:tcPr>
            <w:tcW w:w="0" w:type="auto"/>
            <w:shd w:val="clear" w:color="auto" w:fill="auto"/>
            <w:vAlign w:val="center"/>
          </w:tcPr>
          <w:p w14:paraId="40595D60">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警戒带</w:t>
            </w:r>
          </w:p>
        </w:tc>
        <w:tc>
          <w:tcPr>
            <w:tcW w:w="0" w:type="auto"/>
            <w:shd w:val="clear" w:color="auto" w:fill="auto"/>
            <w:vAlign w:val="center"/>
          </w:tcPr>
          <w:p w14:paraId="4DCC67A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保安设备存放处</w:t>
            </w:r>
          </w:p>
        </w:tc>
        <w:tc>
          <w:tcPr>
            <w:tcW w:w="0" w:type="auto"/>
            <w:shd w:val="clear" w:color="auto" w:fill="auto"/>
            <w:vAlign w:val="center"/>
          </w:tcPr>
          <w:p w14:paraId="2D089EBB">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343AF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25F8C9ED">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FDC69AC">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0" w:type="auto"/>
            <w:shd w:val="clear" w:color="auto" w:fill="auto"/>
            <w:vAlign w:val="center"/>
          </w:tcPr>
          <w:p w14:paraId="2F1467A5">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急救箱</w:t>
            </w:r>
          </w:p>
        </w:tc>
        <w:tc>
          <w:tcPr>
            <w:tcW w:w="0" w:type="auto"/>
            <w:shd w:val="clear" w:color="auto" w:fill="auto"/>
            <w:vAlign w:val="center"/>
          </w:tcPr>
          <w:p w14:paraId="4A5BDFF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各工作区域</w:t>
            </w:r>
          </w:p>
        </w:tc>
        <w:tc>
          <w:tcPr>
            <w:tcW w:w="0" w:type="auto"/>
            <w:shd w:val="clear" w:color="auto" w:fill="auto"/>
            <w:vAlign w:val="center"/>
          </w:tcPr>
          <w:p w14:paraId="14C1D9CE">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宜配置</w:t>
            </w:r>
          </w:p>
        </w:tc>
      </w:tr>
      <w:tr w14:paraId="547D8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38DB2D69">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763433D">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0" w:type="auto"/>
            <w:shd w:val="clear" w:color="auto" w:fill="auto"/>
            <w:vAlign w:val="center"/>
          </w:tcPr>
          <w:p w14:paraId="5C4D3B3F">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手持扩音器</w:t>
            </w:r>
          </w:p>
        </w:tc>
        <w:tc>
          <w:tcPr>
            <w:tcW w:w="0" w:type="auto"/>
            <w:shd w:val="clear" w:color="auto" w:fill="auto"/>
            <w:vAlign w:val="center"/>
          </w:tcPr>
          <w:p w14:paraId="2F9DA54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保安设备存放处</w:t>
            </w:r>
          </w:p>
        </w:tc>
        <w:tc>
          <w:tcPr>
            <w:tcW w:w="0" w:type="auto"/>
            <w:shd w:val="clear" w:color="auto" w:fill="auto"/>
            <w:vAlign w:val="center"/>
          </w:tcPr>
          <w:p w14:paraId="6B056240">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r w14:paraId="1B826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Pr>
          <w:p w14:paraId="0423F5F7">
            <w:pPr>
              <w:pStyle w:val="60"/>
              <w:keepNext w:val="0"/>
              <w:keepLines w:val="0"/>
              <w:pageBreakBefore w:val="0"/>
              <w:widowControl w:val="0"/>
              <w:numPr>
                <w:ilvl w:val="0"/>
                <w:numId w:val="2"/>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ABE369B">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pacing w:val="-6"/>
                <w:sz w:val="18"/>
              </w:rPr>
            </w:pPr>
          </w:p>
        </w:tc>
        <w:tc>
          <w:tcPr>
            <w:tcW w:w="0" w:type="auto"/>
            <w:shd w:val="clear" w:color="auto" w:fill="auto"/>
            <w:vAlign w:val="center"/>
          </w:tcPr>
          <w:p w14:paraId="66F3534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灭火器材</w:t>
            </w:r>
          </w:p>
        </w:tc>
        <w:tc>
          <w:tcPr>
            <w:tcW w:w="0" w:type="auto"/>
            <w:shd w:val="clear" w:color="auto" w:fill="auto"/>
            <w:vAlign w:val="center"/>
          </w:tcPr>
          <w:p w14:paraId="148CDEB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各工作区域</w:t>
            </w:r>
          </w:p>
        </w:tc>
        <w:tc>
          <w:tcPr>
            <w:tcW w:w="0" w:type="auto"/>
            <w:shd w:val="clear" w:color="auto" w:fill="auto"/>
            <w:vAlign w:val="center"/>
          </w:tcPr>
          <w:p w14:paraId="2460DB33">
            <w:pPr>
              <w:pStyle w:val="60"/>
              <w:keepNext w:val="0"/>
              <w:keepLines w:val="0"/>
              <w:pageBreakBefore w:val="0"/>
              <w:widowControl w:val="0"/>
              <w:kinsoku/>
              <w:wordWrap/>
              <w:overflowPunct/>
              <w:topLinePunct w:val="0"/>
              <w:autoSpaceDE/>
              <w:autoSpaceDN/>
              <w:bidi w:val="0"/>
              <w:adjustRightInd/>
              <w:snapToGrid/>
              <w:spacing w:before="0"/>
              <w:ind w:left="0" w:leftChars="0" w:right="0"/>
              <w:jc w:val="center"/>
              <w:textAlignment w:val="auto"/>
              <w:rPr>
                <w:rFonts w:hint="eastAsia"/>
                <w:spacing w:val="-2"/>
                <w:sz w:val="18"/>
                <w:lang w:val="en-US" w:eastAsia="en-US"/>
              </w:rPr>
            </w:pPr>
            <w:r>
              <w:rPr>
                <w:rFonts w:hint="eastAsia"/>
                <w:spacing w:val="-2"/>
                <w:sz w:val="18"/>
                <w:lang w:val="en-US" w:eastAsia="zh-CN"/>
              </w:rPr>
              <w:t>应配置</w:t>
            </w:r>
          </w:p>
        </w:tc>
      </w:tr>
    </w:tbl>
    <w:p w14:paraId="2C96CCB8">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center"/>
        <w:textAlignment w:val="auto"/>
        <w:rPr>
          <w:rFonts w:hint="eastAsia" w:ascii="黑体" w:hAnsi="黑体" w:eastAsia="黑体" w:cs="黑体"/>
          <w:color w:val="000000"/>
          <w:kern w:val="0"/>
          <w:sz w:val="21"/>
          <w:szCs w:val="21"/>
          <w:lang w:val="en-US" w:eastAsia="zh-CN" w:bidi="ar"/>
        </w:rPr>
      </w:pPr>
    </w:p>
    <w:p w14:paraId="0AEDE34E">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center"/>
        <w:textAlignment w:val="auto"/>
        <w:rPr>
          <w:rFonts w:hint="eastAsia" w:ascii="黑体" w:hAnsi="黑体" w:eastAsia="黑体" w:cs="黑体"/>
          <w:color w:val="000000"/>
          <w:kern w:val="0"/>
          <w:sz w:val="21"/>
          <w:szCs w:val="21"/>
          <w:lang w:val="en-US" w:eastAsia="zh-CN" w:bidi="ar"/>
        </w:rPr>
      </w:pPr>
    </w:p>
    <w:p w14:paraId="4C22BE2F">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表3  公共文化中心安全技术防范系统配置表</w:t>
      </w:r>
    </w:p>
    <w:tbl>
      <w:tblPr>
        <w:tblStyle w:val="17"/>
        <w:tblpPr w:leftFromText="180" w:rightFromText="180" w:vertAnchor="text" w:horzAnchor="page" w:tblpXSpec="center" w:tblpY="160"/>
        <w:tblOverlap w:val="never"/>
        <w:tblW w:w="91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605"/>
        <w:gridCol w:w="1699"/>
        <w:gridCol w:w="5352"/>
        <w:gridCol w:w="845"/>
      </w:tblGrid>
      <w:tr w14:paraId="02C8B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jc w:val="center"/>
        </w:trPr>
        <w:tc>
          <w:tcPr>
            <w:tcW w:w="672" w:type="dxa"/>
          </w:tcPr>
          <w:p w14:paraId="12287F28">
            <w:pPr>
              <w:pStyle w:val="60"/>
              <w:spacing w:before="132"/>
              <w:ind w:left="140" w:right="133"/>
              <w:jc w:val="center"/>
              <w:rPr>
                <w:color w:val="auto"/>
                <w:sz w:val="18"/>
              </w:rPr>
            </w:pPr>
            <w:r>
              <w:rPr>
                <w:color w:val="auto"/>
                <w:spacing w:val="-6"/>
                <w:sz w:val="18"/>
              </w:rPr>
              <w:t>序号</w:t>
            </w:r>
          </w:p>
        </w:tc>
        <w:tc>
          <w:tcPr>
            <w:tcW w:w="2304" w:type="dxa"/>
            <w:gridSpan w:val="2"/>
          </w:tcPr>
          <w:p w14:paraId="28CB39CA">
            <w:pPr>
              <w:pStyle w:val="60"/>
              <w:spacing w:before="132"/>
              <w:ind w:left="958" w:right="946"/>
              <w:jc w:val="both"/>
              <w:rPr>
                <w:color w:val="auto"/>
                <w:sz w:val="18"/>
              </w:rPr>
            </w:pPr>
            <w:r>
              <w:rPr>
                <w:color w:val="auto"/>
                <w:spacing w:val="-6"/>
                <w:sz w:val="18"/>
              </w:rPr>
              <w:t>项目</w:t>
            </w:r>
          </w:p>
        </w:tc>
        <w:tc>
          <w:tcPr>
            <w:tcW w:w="5352" w:type="dxa"/>
          </w:tcPr>
          <w:p w14:paraId="2E7BAB9E">
            <w:pPr>
              <w:pStyle w:val="60"/>
              <w:spacing w:before="132"/>
              <w:ind w:left="1862" w:right="1847"/>
              <w:jc w:val="center"/>
              <w:rPr>
                <w:color w:val="auto"/>
                <w:sz w:val="18"/>
              </w:rPr>
            </w:pPr>
            <w:r>
              <w:rPr>
                <w:color w:val="auto"/>
                <w:spacing w:val="-3"/>
                <w:sz w:val="18"/>
              </w:rPr>
              <w:t>安装区域或覆盖范围</w:t>
            </w:r>
          </w:p>
        </w:tc>
        <w:tc>
          <w:tcPr>
            <w:tcW w:w="845" w:type="dxa"/>
          </w:tcPr>
          <w:p w14:paraId="642E23E4">
            <w:pPr>
              <w:pStyle w:val="60"/>
              <w:spacing w:before="12" w:line="230" w:lineRule="atLeast"/>
              <w:ind w:left="245" w:right="227"/>
              <w:rPr>
                <w:color w:val="auto"/>
                <w:sz w:val="18"/>
              </w:rPr>
            </w:pPr>
            <w:r>
              <w:rPr>
                <w:color w:val="auto"/>
                <w:spacing w:val="-6"/>
                <w:sz w:val="18"/>
              </w:rPr>
              <w:t>配置要求</w:t>
            </w:r>
          </w:p>
        </w:tc>
      </w:tr>
      <w:tr w14:paraId="5BB25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6645A29">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restart"/>
            <w:vAlign w:val="center"/>
          </w:tcPr>
          <w:p w14:paraId="5B599C7E">
            <w:pPr>
              <w:pStyle w:val="60"/>
              <w:keepNext w:val="0"/>
              <w:keepLines w:val="0"/>
              <w:pageBreakBefore w:val="0"/>
              <w:widowControl w:val="0"/>
              <w:kinsoku/>
              <w:wordWrap/>
              <w:overflowPunct/>
              <w:topLinePunct w:val="0"/>
              <w:autoSpaceDE/>
              <w:autoSpaceDN/>
              <w:bidi w:val="0"/>
              <w:adjustRightInd/>
              <w:snapToGrid/>
              <w:spacing w:before="0" w:line="240" w:lineRule="auto"/>
              <w:ind w:right="0"/>
              <w:jc w:val="center"/>
              <w:textAlignment w:val="auto"/>
              <w:rPr>
                <w:color w:val="auto"/>
                <w:sz w:val="18"/>
              </w:rPr>
            </w:pPr>
            <w:r>
              <w:rPr>
                <w:color w:val="auto"/>
                <w:spacing w:val="-6"/>
                <w:sz w:val="18"/>
              </w:rPr>
              <w:t>视频安防监控系统</w:t>
            </w:r>
          </w:p>
        </w:tc>
        <w:tc>
          <w:tcPr>
            <w:tcW w:w="1699" w:type="dxa"/>
            <w:vMerge w:val="restart"/>
            <w:vAlign w:val="center"/>
          </w:tcPr>
          <w:p w14:paraId="0747AD39">
            <w:pPr>
              <w:pStyle w:val="60"/>
              <w:keepNext w:val="0"/>
              <w:keepLines w:val="0"/>
              <w:pageBreakBefore w:val="0"/>
              <w:widowControl w:val="0"/>
              <w:kinsoku/>
              <w:wordWrap/>
              <w:overflowPunct/>
              <w:topLinePunct w:val="0"/>
              <w:autoSpaceDE/>
              <w:autoSpaceDN/>
              <w:bidi w:val="0"/>
              <w:adjustRightInd/>
              <w:snapToGrid/>
              <w:spacing w:before="0"/>
              <w:jc w:val="center"/>
              <w:textAlignment w:val="auto"/>
              <w:rPr>
                <w:color w:val="auto"/>
                <w:sz w:val="18"/>
              </w:rPr>
            </w:pPr>
            <w:r>
              <w:rPr>
                <w:color w:val="auto"/>
                <w:spacing w:val="-4"/>
                <w:sz w:val="18"/>
              </w:rPr>
              <w:t>彩色摄像机</w:t>
            </w:r>
          </w:p>
        </w:tc>
        <w:tc>
          <w:tcPr>
            <w:tcW w:w="5352" w:type="dxa"/>
          </w:tcPr>
          <w:p w14:paraId="7462F8A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院区出入口外50m范围街面</w:t>
            </w:r>
          </w:p>
        </w:tc>
        <w:tc>
          <w:tcPr>
            <w:tcW w:w="845" w:type="dxa"/>
            <w:vAlign w:val="center"/>
          </w:tcPr>
          <w:p w14:paraId="3B19F863">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2FD08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3CC938A4">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0BF26F3D">
            <w:pPr>
              <w:jc w:val="center"/>
              <w:rPr>
                <w:color w:val="auto"/>
                <w:sz w:val="2"/>
                <w:szCs w:val="2"/>
              </w:rPr>
            </w:pPr>
          </w:p>
        </w:tc>
        <w:tc>
          <w:tcPr>
            <w:tcW w:w="1699" w:type="dxa"/>
            <w:vMerge w:val="continue"/>
            <w:tcBorders>
              <w:top w:val="nil"/>
            </w:tcBorders>
            <w:vAlign w:val="center"/>
          </w:tcPr>
          <w:p w14:paraId="5D708961">
            <w:pPr>
              <w:jc w:val="center"/>
              <w:rPr>
                <w:color w:val="auto"/>
                <w:sz w:val="2"/>
                <w:szCs w:val="2"/>
              </w:rPr>
            </w:pPr>
          </w:p>
        </w:tc>
        <w:tc>
          <w:tcPr>
            <w:tcW w:w="5352" w:type="dxa"/>
          </w:tcPr>
          <w:p w14:paraId="0EF34D8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院区周界</w:t>
            </w:r>
          </w:p>
        </w:tc>
        <w:tc>
          <w:tcPr>
            <w:tcW w:w="845" w:type="dxa"/>
            <w:vAlign w:val="center"/>
          </w:tcPr>
          <w:p w14:paraId="0D9C80AF">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2FCE8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0FD5394">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2D7D57F3">
            <w:pPr>
              <w:jc w:val="center"/>
              <w:rPr>
                <w:color w:val="auto"/>
                <w:sz w:val="2"/>
                <w:szCs w:val="2"/>
              </w:rPr>
            </w:pPr>
          </w:p>
        </w:tc>
        <w:tc>
          <w:tcPr>
            <w:tcW w:w="1699" w:type="dxa"/>
            <w:vMerge w:val="continue"/>
            <w:tcBorders>
              <w:top w:val="nil"/>
            </w:tcBorders>
            <w:vAlign w:val="center"/>
          </w:tcPr>
          <w:p w14:paraId="50E716D7">
            <w:pPr>
              <w:jc w:val="center"/>
              <w:rPr>
                <w:color w:val="auto"/>
                <w:sz w:val="2"/>
                <w:szCs w:val="2"/>
              </w:rPr>
            </w:pPr>
          </w:p>
        </w:tc>
        <w:tc>
          <w:tcPr>
            <w:tcW w:w="5352" w:type="dxa"/>
          </w:tcPr>
          <w:p w14:paraId="75EDF35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院区与外界相通出入口</w:t>
            </w:r>
          </w:p>
        </w:tc>
        <w:tc>
          <w:tcPr>
            <w:tcW w:w="845" w:type="dxa"/>
            <w:vAlign w:val="center"/>
          </w:tcPr>
          <w:p w14:paraId="1239B055">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4CB96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D8C37D7">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0541CB3C">
            <w:pPr>
              <w:jc w:val="center"/>
              <w:rPr>
                <w:color w:val="auto"/>
                <w:sz w:val="2"/>
                <w:szCs w:val="2"/>
              </w:rPr>
            </w:pPr>
          </w:p>
        </w:tc>
        <w:tc>
          <w:tcPr>
            <w:tcW w:w="1699" w:type="dxa"/>
            <w:vMerge w:val="continue"/>
            <w:tcBorders>
              <w:top w:val="nil"/>
            </w:tcBorders>
            <w:vAlign w:val="center"/>
          </w:tcPr>
          <w:p w14:paraId="38928C9A">
            <w:pPr>
              <w:jc w:val="center"/>
              <w:rPr>
                <w:color w:val="auto"/>
                <w:sz w:val="2"/>
                <w:szCs w:val="2"/>
              </w:rPr>
            </w:pPr>
          </w:p>
        </w:tc>
        <w:tc>
          <w:tcPr>
            <w:tcW w:w="5352" w:type="dxa"/>
          </w:tcPr>
          <w:p w14:paraId="5932C2E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人员聚集区/广场区、易攀爬/跌落区、公共服务区的制高点</w:t>
            </w:r>
          </w:p>
        </w:tc>
        <w:tc>
          <w:tcPr>
            <w:tcW w:w="845" w:type="dxa"/>
            <w:vAlign w:val="center"/>
          </w:tcPr>
          <w:p w14:paraId="279B78C3">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26CAE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C6EF125">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7BDBFC2D">
            <w:pPr>
              <w:jc w:val="center"/>
              <w:rPr>
                <w:color w:val="auto"/>
                <w:sz w:val="2"/>
                <w:szCs w:val="2"/>
              </w:rPr>
            </w:pPr>
          </w:p>
        </w:tc>
        <w:tc>
          <w:tcPr>
            <w:tcW w:w="1699" w:type="dxa"/>
            <w:vMerge w:val="continue"/>
            <w:tcBorders>
              <w:top w:val="nil"/>
            </w:tcBorders>
            <w:vAlign w:val="center"/>
          </w:tcPr>
          <w:p w14:paraId="2122FE64">
            <w:pPr>
              <w:jc w:val="center"/>
              <w:rPr>
                <w:color w:val="auto"/>
                <w:sz w:val="2"/>
                <w:szCs w:val="2"/>
              </w:rPr>
            </w:pPr>
          </w:p>
        </w:tc>
        <w:tc>
          <w:tcPr>
            <w:tcW w:w="5352" w:type="dxa"/>
          </w:tcPr>
          <w:p w14:paraId="1F5C7DC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集中停车场、广场</w:t>
            </w:r>
          </w:p>
        </w:tc>
        <w:tc>
          <w:tcPr>
            <w:tcW w:w="845" w:type="dxa"/>
            <w:vAlign w:val="center"/>
          </w:tcPr>
          <w:p w14:paraId="2707F34C">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3CEEF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FD278FC">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0B7EACE8">
            <w:pPr>
              <w:jc w:val="center"/>
              <w:rPr>
                <w:color w:val="auto"/>
                <w:sz w:val="2"/>
                <w:szCs w:val="2"/>
              </w:rPr>
            </w:pPr>
          </w:p>
        </w:tc>
        <w:tc>
          <w:tcPr>
            <w:tcW w:w="1699" w:type="dxa"/>
            <w:vMerge w:val="continue"/>
            <w:tcBorders>
              <w:top w:val="nil"/>
            </w:tcBorders>
            <w:vAlign w:val="center"/>
          </w:tcPr>
          <w:p w14:paraId="692CE1F1">
            <w:pPr>
              <w:jc w:val="center"/>
              <w:rPr>
                <w:color w:val="auto"/>
                <w:sz w:val="2"/>
                <w:szCs w:val="2"/>
              </w:rPr>
            </w:pPr>
          </w:p>
        </w:tc>
        <w:tc>
          <w:tcPr>
            <w:tcW w:w="5352" w:type="dxa"/>
          </w:tcPr>
          <w:p w14:paraId="47BEE88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人（车）行主要通道，停车库/场主要通道</w:t>
            </w:r>
          </w:p>
        </w:tc>
        <w:tc>
          <w:tcPr>
            <w:tcW w:w="845" w:type="dxa"/>
            <w:vAlign w:val="center"/>
          </w:tcPr>
          <w:p w14:paraId="0F314833">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63CAA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108AE00">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vAlign w:val="center"/>
          </w:tcPr>
          <w:p w14:paraId="6FC6FD18">
            <w:pPr>
              <w:jc w:val="center"/>
              <w:rPr>
                <w:color w:val="auto"/>
                <w:sz w:val="2"/>
                <w:szCs w:val="2"/>
              </w:rPr>
            </w:pPr>
          </w:p>
        </w:tc>
        <w:tc>
          <w:tcPr>
            <w:tcW w:w="1699" w:type="dxa"/>
            <w:vMerge w:val="continue"/>
            <w:tcBorders>
              <w:top w:val="nil"/>
            </w:tcBorders>
            <w:vAlign w:val="center"/>
          </w:tcPr>
          <w:p w14:paraId="5B46A6AE">
            <w:pPr>
              <w:jc w:val="center"/>
              <w:rPr>
                <w:color w:val="auto"/>
                <w:sz w:val="2"/>
                <w:szCs w:val="2"/>
              </w:rPr>
            </w:pPr>
          </w:p>
        </w:tc>
        <w:tc>
          <w:tcPr>
            <w:tcW w:w="5352" w:type="dxa"/>
          </w:tcPr>
          <w:p w14:paraId="4DC0816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zh-CN"/>
              </w:rPr>
            </w:pPr>
            <w:r>
              <w:rPr>
                <w:rFonts w:hint="eastAsia"/>
                <w:spacing w:val="-2"/>
                <w:sz w:val="18"/>
                <w:lang w:val="en-US" w:eastAsia="zh-CN"/>
              </w:rPr>
              <w:t>机动车、非机动车集中充电区域/机动车充电车位</w:t>
            </w:r>
          </w:p>
        </w:tc>
        <w:tc>
          <w:tcPr>
            <w:tcW w:w="845" w:type="dxa"/>
            <w:vAlign w:val="center"/>
          </w:tcPr>
          <w:p w14:paraId="267DD7F9">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rFonts w:hint="default" w:eastAsia="宋体"/>
                <w:color w:val="auto"/>
                <w:spacing w:val="-5"/>
                <w:sz w:val="18"/>
                <w:lang w:val="en-US" w:eastAsia="zh-CN"/>
              </w:rPr>
            </w:pPr>
            <w:r>
              <w:rPr>
                <w:rFonts w:hint="eastAsia"/>
                <w:color w:val="auto"/>
                <w:spacing w:val="-5"/>
                <w:sz w:val="18"/>
                <w:lang w:val="en-US" w:eastAsia="zh-CN"/>
              </w:rPr>
              <w:t>应配置</w:t>
            </w:r>
          </w:p>
        </w:tc>
      </w:tr>
      <w:tr w14:paraId="4CDB1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013CB2F">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578626D">
            <w:pPr>
              <w:jc w:val="center"/>
              <w:rPr>
                <w:color w:val="auto"/>
                <w:sz w:val="2"/>
                <w:szCs w:val="2"/>
              </w:rPr>
            </w:pPr>
          </w:p>
        </w:tc>
        <w:tc>
          <w:tcPr>
            <w:tcW w:w="1699" w:type="dxa"/>
            <w:vMerge w:val="continue"/>
            <w:tcBorders>
              <w:top w:val="nil"/>
            </w:tcBorders>
            <w:vAlign w:val="center"/>
          </w:tcPr>
          <w:p w14:paraId="1B5712F9">
            <w:pPr>
              <w:jc w:val="center"/>
              <w:rPr>
                <w:color w:val="auto"/>
                <w:sz w:val="2"/>
                <w:szCs w:val="2"/>
              </w:rPr>
            </w:pPr>
          </w:p>
        </w:tc>
        <w:tc>
          <w:tcPr>
            <w:tcW w:w="5352" w:type="dxa"/>
          </w:tcPr>
          <w:p w14:paraId="48844C7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建筑（含停车库/场）与外界相通出入口</w:t>
            </w:r>
          </w:p>
        </w:tc>
        <w:tc>
          <w:tcPr>
            <w:tcW w:w="845" w:type="dxa"/>
            <w:vAlign w:val="center"/>
          </w:tcPr>
          <w:p w14:paraId="7E2C7E10">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713BF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75342A5">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635BAEEC">
            <w:pPr>
              <w:jc w:val="center"/>
              <w:rPr>
                <w:color w:val="auto"/>
                <w:sz w:val="2"/>
                <w:szCs w:val="2"/>
              </w:rPr>
            </w:pPr>
          </w:p>
        </w:tc>
        <w:tc>
          <w:tcPr>
            <w:tcW w:w="1699" w:type="dxa"/>
            <w:vMerge w:val="continue"/>
            <w:tcBorders>
              <w:top w:val="nil"/>
            </w:tcBorders>
            <w:vAlign w:val="center"/>
          </w:tcPr>
          <w:p w14:paraId="5A19ED0E">
            <w:pPr>
              <w:jc w:val="center"/>
              <w:rPr>
                <w:color w:val="auto"/>
                <w:sz w:val="2"/>
                <w:szCs w:val="2"/>
              </w:rPr>
            </w:pPr>
          </w:p>
        </w:tc>
        <w:tc>
          <w:tcPr>
            <w:tcW w:w="5352" w:type="dxa"/>
          </w:tcPr>
          <w:p w14:paraId="50D7892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展馆与外界相通出入口</w:t>
            </w:r>
          </w:p>
        </w:tc>
        <w:tc>
          <w:tcPr>
            <w:tcW w:w="845" w:type="dxa"/>
            <w:vAlign w:val="center"/>
          </w:tcPr>
          <w:p w14:paraId="165EC2C8">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0D379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01A2CE5E">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796A7CEB">
            <w:pPr>
              <w:jc w:val="center"/>
              <w:rPr>
                <w:color w:val="auto"/>
                <w:sz w:val="2"/>
                <w:szCs w:val="2"/>
              </w:rPr>
            </w:pPr>
          </w:p>
        </w:tc>
        <w:tc>
          <w:tcPr>
            <w:tcW w:w="1699" w:type="dxa"/>
            <w:vMerge w:val="continue"/>
            <w:tcBorders>
              <w:top w:val="nil"/>
            </w:tcBorders>
            <w:vAlign w:val="center"/>
          </w:tcPr>
          <w:p w14:paraId="57CC71B8">
            <w:pPr>
              <w:jc w:val="center"/>
              <w:rPr>
                <w:color w:val="auto"/>
                <w:sz w:val="2"/>
                <w:szCs w:val="2"/>
              </w:rPr>
            </w:pPr>
          </w:p>
        </w:tc>
        <w:tc>
          <w:tcPr>
            <w:tcW w:w="5352" w:type="dxa"/>
          </w:tcPr>
          <w:p w14:paraId="2E42858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总接待处、总服务台、售（领）票处、观众登记处、纠纷接待处</w:t>
            </w:r>
          </w:p>
        </w:tc>
        <w:tc>
          <w:tcPr>
            <w:tcW w:w="845" w:type="dxa"/>
            <w:vAlign w:val="center"/>
          </w:tcPr>
          <w:p w14:paraId="2409DDE9">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24F1A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9BCA4E9">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49A7F965">
            <w:pPr>
              <w:jc w:val="center"/>
              <w:rPr>
                <w:color w:val="auto"/>
                <w:sz w:val="2"/>
                <w:szCs w:val="2"/>
              </w:rPr>
            </w:pPr>
          </w:p>
        </w:tc>
        <w:tc>
          <w:tcPr>
            <w:tcW w:w="1699" w:type="dxa"/>
            <w:vMerge w:val="continue"/>
            <w:tcBorders>
              <w:top w:val="nil"/>
            </w:tcBorders>
            <w:vAlign w:val="center"/>
          </w:tcPr>
          <w:p w14:paraId="018C652D">
            <w:pPr>
              <w:jc w:val="center"/>
              <w:rPr>
                <w:color w:val="auto"/>
                <w:sz w:val="2"/>
                <w:szCs w:val="2"/>
              </w:rPr>
            </w:pPr>
          </w:p>
        </w:tc>
        <w:tc>
          <w:tcPr>
            <w:tcW w:w="5352" w:type="dxa"/>
          </w:tcPr>
          <w:p w14:paraId="72A4216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贵宾休息室的出入口、贵重物品寄存处</w:t>
            </w:r>
          </w:p>
        </w:tc>
        <w:tc>
          <w:tcPr>
            <w:tcW w:w="845" w:type="dxa"/>
            <w:vAlign w:val="center"/>
          </w:tcPr>
          <w:p w14:paraId="134312F4">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5A780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9108C6F">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1CAF3BD">
            <w:pPr>
              <w:jc w:val="center"/>
              <w:rPr>
                <w:color w:val="auto"/>
                <w:sz w:val="2"/>
                <w:szCs w:val="2"/>
              </w:rPr>
            </w:pPr>
          </w:p>
        </w:tc>
        <w:tc>
          <w:tcPr>
            <w:tcW w:w="1699" w:type="dxa"/>
            <w:vMerge w:val="continue"/>
            <w:tcBorders>
              <w:top w:val="nil"/>
            </w:tcBorders>
            <w:vAlign w:val="center"/>
          </w:tcPr>
          <w:p w14:paraId="254F672E">
            <w:pPr>
              <w:jc w:val="center"/>
              <w:rPr>
                <w:color w:val="auto"/>
                <w:sz w:val="2"/>
                <w:szCs w:val="2"/>
              </w:rPr>
            </w:pPr>
          </w:p>
        </w:tc>
        <w:tc>
          <w:tcPr>
            <w:tcW w:w="5352" w:type="dxa"/>
          </w:tcPr>
          <w:p w14:paraId="1EF97EB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为公众提供教育、会议、商务、售票、购物、休息、娱乐、交通等配套服务和公共活动的区域</w:t>
            </w:r>
          </w:p>
        </w:tc>
        <w:tc>
          <w:tcPr>
            <w:tcW w:w="845" w:type="dxa"/>
            <w:vAlign w:val="center"/>
          </w:tcPr>
          <w:p w14:paraId="61FAAC8A">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11165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1D9E978">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8C810DA">
            <w:pPr>
              <w:jc w:val="center"/>
              <w:rPr>
                <w:color w:val="auto"/>
                <w:sz w:val="2"/>
                <w:szCs w:val="2"/>
              </w:rPr>
            </w:pPr>
          </w:p>
        </w:tc>
        <w:tc>
          <w:tcPr>
            <w:tcW w:w="1699" w:type="dxa"/>
            <w:vMerge w:val="continue"/>
            <w:tcBorders>
              <w:top w:val="nil"/>
            </w:tcBorders>
            <w:vAlign w:val="center"/>
          </w:tcPr>
          <w:p w14:paraId="320D71EE">
            <w:pPr>
              <w:jc w:val="center"/>
              <w:rPr>
                <w:color w:val="auto"/>
                <w:sz w:val="2"/>
                <w:szCs w:val="2"/>
              </w:rPr>
            </w:pPr>
          </w:p>
        </w:tc>
        <w:tc>
          <w:tcPr>
            <w:tcW w:w="5352" w:type="dxa"/>
          </w:tcPr>
          <w:p w14:paraId="000905C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售（检）票、安检等排队等候区域</w:t>
            </w:r>
          </w:p>
        </w:tc>
        <w:tc>
          <w:tcPr>
            <w:tcW w:w="845" w:type="dxa"/>
            <w:vAlign w:val="center"/>
          </w:tcPr>
          <w:p w14:paraId="0C84C912">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375E9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0C9ED502">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4853F7F0">
            <w:pPr>
              <w:jc w:val="center"/>
              <w:rPr>
                <w:color w:val="auto"/>
                <w:sz w:val="2"/>
                <w:szCs w:val="2"/>
              </w:rPr>
            </w:pPr>
          </w:p>
        </w:tc>
        <w:tc>
          <w:tcPr>
            <w:tcW w:w="1699" w:type="dxa"/>
            <w:vMerge w:val="continue"/>
            <w:tcBorders>
              <w:top w:val="nil"/>
            </w:tcBorders>
            <w:vAlign w:val="center"/>
          </w:tcPr>
          <w:p w14:paraId="3A5FBC78">
            <w:pPr>
              <w:jc w:val="center"/>
              <w:rPr>
                <w:color w:val="auto"/>
                <w:sz w:val="2"/>
                <w:szCs w:val="2"/>
              </w:rPr>
            </w:pPr>
          </w:p>
        </w:tc>
        <w:tc>
          <w:tcPr>
            <w:tcW w:w="5352" w:type="dxa"/>
          </w:tcPr>
          <w:p w14:paraId="7887E8E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展品装卸、拆封、交接、清点区域，展品运送通道</w:t>
            </w:r>
          </w:p>
        </w:tc>
        <w:tc>
          <w:tcPr>
            <w:tcW w:w="845" w:type="dxa"/>
            <w:vAlign w:val="center"/>
          </w:tcPr>
          <w:p w14:paraId="4EB5BB25">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58AAE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18B82C3">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BE62776">
            <w:pPr>
              <w:jc w:val="center"/>
              <w:rPr>
                <w:color w:val="auto"/>
                <w:sz w:val="2"/>
                <w:szCs w:val="2"/>
              </w:rPr>
            </w:pPr>
          </w:p>
        </w:tc>
        <w:tc>
          <w:tcPr>
            <w:tcW w:w="1699" w:type="dxa"/>
            <w:vMerge w:val="continue"/>
            <w:tcBorders>
              <w:top w:val="nil"/>
            </w:tcBorders>
            <w:vAlign w:val="center"/>
          </w:tcPr>
          <w:p w14:paraId="42410AD0">
            <w:pPr>
              <w:jc w:val="center"/>
              <w:rPr>
                <w:color w:val="auto"/>
                <w:sz w:val="2"/>
                <w:szCs w:val="2"/>
              </w:rPr>
            </w:pPr>
          </w:p>
        </w:tc>
        <w:tc>
          <w:tcPr>
            <w:tcW w:w="5352" w:type="dxa"/>
          </w:tcPr>
          <w:p w14:paraId="2BB8B57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展品库区、库房的出入口</w:t>
            </w:r>
          </w:p>
        </w:tc>
        <w:tc>
          <w:tcPr>
            <w:tcW w:w="845" w:type="dxa"/>
            <w:vAlign w:val="center"/>
          </w:tcPr>
          <w:p w14:paraId="73701339">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1DCCE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535597F">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7AEE812">
            <w:pPr>
              <w:jc w:val="center"/>
              <w:rPr>
                <w:color w:val="auto"/>
                <w:sz w:val="2"/>
                <w:szCs w:val="2"/>
              </w:rPr>
            </w:pPr>
          </w:p>
        </w:tc>
        <w:tc>
          <w:tcPr>
            <w:tcW w:w="1699" w:type="dxa"/>
            <w:vMerge w:val="continue"/>
            <w:tcBorders>
              <w:top w:val="nil"/>
            </w:tcBorders>
            <w:vAlign w:val="center"/>
          </w:tcPr>
          <w:p w14:paraId="70FD480D">
            <w:pPr>
              <w:jc w:val="center"/>
              <w:rPr>
                <w:color w:val="auto"/>
                <w:sz w:val="2"/>
                <w:szCs w:val="2"/>
              </w:rPr>
            </w:pPr>
          </w:p>
        </w:tc>
        <w:tc>
          <w:tcPr>
            <w:tcW w:w="5352" w:type="dxa"/>
          </w:tcPr>
          <w:p w14:paraId="2AE1EF4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展品库房</w:t>
            </w:r>
          </w:p>
        </w:tc>
        <w:tc>
          <w:tcPr>
            <w:tcW w:w="845" w:type="dxa"/>
            <w:vAlign w:val="center"/>
          </w:tcPr>
          <w:p w14:paraId="139E3870">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2085E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AFD21D9">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EF040C4">
            <w:pPr>
              <w:jc w:val="center"/>
              <w:rPr>
                <w:color w:val="auto"/>
                <w:sz w:val="2"/>
                <w:szCs w:val="2"/>
              </w:rPr>
            </w:pPr>
          </w:p>
        </w:tc>
        <w:tc>
          <w:tcPr>
            <w:tcW w:w="1699" w:type="dxa"/>
            <w:vMerge w:val="continue"/>
            <w:tcBorders>
              <w:top w:val="nil"/>
            </w:tcBorders>
            <w:vAlign w:val="center"/>
          </w:tcPr>
          <w:p w14:paraId="77E702E4">
            <w:pPr>
              <w:jc w:val="center"/>
              <w:rPr>
                <w:color w:val="auto"/>
                <w:sz w:val="2"/>
                <w:szCs w:val="2"/>
              </w:rPr>
            </w:pPr>
          </w:p>
        </w:tc>
        <w:tc>
          <w:tcPr>
            <w:tcW w:w="5352" w:type="dxa"/>
          </w:tcPr>
          <w:p w14:paraId="20795EE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展场、展厅的出入口</w:t>
            </w:r>
          </w:p>
        </w:tc>
        <w:tc>
          <w:tcPr>
            <w:tcW w:w="845" w:type="dxa"/>
            <w:vAlign w:val="center"/>
          </w:tcPr>
          <w:p w14:paraId="274418F5">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6CFEF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86595FB">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0BF31433">
            <w:pPr>
              <w:jc w:val="center"/>
              <w:rPr>
                <w:color w:val="auto"/>
                <w:sz w:val="2"/>
                <w:szCs w:val="2"/>
              </w:rPr>
            </w:pPr>
          </w:p>
        </w:tc>
        <w:tc>
          <w:tcPr>
            <w:tcW w:w="1699" w:type="dxa"/>
            <w:vMerge w:val="continue"/>
            <w:tcBorders>
              <w:top w:val="nil"/>
            </w:tcBorders>
            <w:vAlign w:val="center"/>
          </w:tcPr>
          <w:p w14:paraId="3097BB7D">
            <w:pPr>
              <w:jc w:val="center"/>
              <w:rPr>
                <w:color w:val="auto"/>
                <w:sz w:val="2"/>
                <w:szCs w:val="2"/>
              </w:rPr>
            </w:pPr>
          </w:p>
        </w:tc>
        <w:tc>
          <w:tcPr>
            <w:tcW w:w="5352" w:type="dxa"/>
          </w:tcPr>
          <w:p w14:paraId="71B2CE9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展场、展厅的主要通道</w:t>
            </w:r>
          </w:p>
        </w:tc>
        <w:tc>
          <w:tcPr>
            <w:tcW w:w="845" w:type="dxa"/>
            <w:vAlign w:val="center"/>
          </w:tcPr>
          <w:p w14:paraId="0BA4E13A">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29A76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3300BF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08FD203">
            <w:pPr>
              <w:jc w:val="center"/>
              <w:rPr>
                <w:color w:val="auto"/>
                <w:sz w:val="2"/>
                <w:szCs w:val="2"/>
              </w:rPr>
            </w:pPr>
          </w:p>
        </w:tc>
        <w:tc>
          <w:tcPr>
            <w:tcW w:w="1699" w:type="dxa"/>
            <w:vMerge w:val="continue"/>
            <w:tcBorders>
              <w:top w:val="nil"/>
            </w:tcBorders>
            <w:vAlign w:val="center"/>
          </w:tcPr>
          <w:p w14:paraId="03C2D3F5">
            <w:pPr>
              <w:jc w:val="center"/>
              <w:rPr>
                <w:color w:val="auto"/>
                <w:sz w:val="2"/>
                <w:szCs w:val="2"/>
              </w:rPr>
            </w:pPr>
          </w:p>
        </w:tc>
        <w:tc>
          <w:tcPr>
            <w:tcW w:w="5352" w:type="dxa"/>
          </w:tcPr>
          <w:p w14:paraId="172C7B8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特殊展品的展示部位及展示区域</w:t>
            </w:r>
          </w:p>
        </w:tc>
        <w:tc>
          <w:tcPr>
            <w:tcW w:w="845" w:type="dxa"/>
            <w:vAlign w:val="center"/>
          </w:tcPr>
          <w:p w14:paraId="515D7870">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6DFF6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704AAE0">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D38FAAD">
            <w:pPr>
              <w:jc w:val="center"/>
              <w:rPr>
                <w:color w:val="auto"/>
                <w:sz w:val="2"/>
                <w:szCs w:val="2"/>
              </w:rPr>
            </w:pPr>
          </w:p>
        </w:tc>
        <w:tc>
          <w:tcPr>
            <w:tcW w:w="1699" w:type="dxa"/>
            <w:vMerge w:val="continue"/>
            <w:tcBorders>
              <w:top w:val="nil"/>
            </w:tcBorders>
            <w:vAlign w:val="center"/>
          </w:tcPr>
          <w:p w14:paraId="6D85D686">
            <w:pPr>
              <w:jc w:val="center"/>
              <w:rPr>
                <w:color w:val="auto"/>
                <w:sz w:val="2"/>
                <w:szCs w:val="2"/>
              </w:rPr>
            </w:pPr>
          </w:p>
        </w:tc>
        <w:tc>
          <w:tcPr>
            <w:tcW w:w="5352" w:type="dxa"/>
          </w:tcPr>
          <w:p w14:paraId="4568440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各楼层公共过厅、公共走道</w:t>
            </w:r>
          </w:p>
        </w:tc>
        <w:tc>
          <w:tcPr>
            <w:tcW w:w="845" w:type="dxa"/>
            <w:vAlign w:val="center"/>
          </w:tcPr>
          <w:p w14:paraId="3741FA02">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3917B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3AA3388">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6A52BA58">
            <w:pPr>
              <w:jc w:val="center"/>
              <w:rPr>
                <w:color w:val="auto"/>
                <w:sz w:val="2"/>
                <w:szCs w:val="2"/>
              </w:rPr>
            </w:pPr>
          </w:p>
        </w:tc>
        <w:tc>
          <w:tcPr>
            <w:tcW w:w="1699" w:type="dxa"/>
            <w:vMerge w:val="continue"/>
            <w:tcBorders>
              <w:top w:val="nil"/>
            </w:tcBorders>
            <w:vAlign w:val="center"/>
          </w:tcPr>
          <w:p w14:paraId="3B34E4DA">
            <w:pPr>
              <w:jc w:val="center"/>
              <w:rPr>
                <w:color w:val="auto"/>
                <w:sz w:val="2"/>
                <w:szCs w:val="2"/>
              </w:rPr>
            </w:pPr>
          </w:p>
        </w:tc>
        <w:tc>
          <w:tcPr>
            <w:tcW w:w="5352" w:type="dxa"/>
          </w:tcPr>
          <w:p w14:paraId="179CB95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各楼层（含停车库/场）电梯厅、楼梯（含自动扶梯）口</w:t>
            </w:r>
          </w:p>
        </w:tc>
        <w:tc>
          <w:tcPr>
            <w:tcW w:w="845" w:type="dxa"/>
            <w:vAlign w:val="center"/>
          </w:tcPr>
          <w:p w14:paraId="4801B0CB">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1A61C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29E928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0E17937D">
            <w:pPr>
              <w:jc w:val="center"/>
              <w:rPr>
                <w:color w:val="auto"/>
                <w:sz w:val="2"/>
                <w:szCs w:val="2"/>
              </w:rPr>
            </w:pPr>
          </w:p>
        </w:tc>
        <w:tc>
          <w:tcPr>
            <w:tcW w:w="1699" w:type="dxa"/>
            <w:vMerge w:val="continue"/>
            <w:tcBorders>
              <w:top w:val="nil"/>
            </w:tcBorders>
            <w:vAlign w:val="center"/>
          </w:tcPr>
          <w:p w14:paraId="4B3DCDC5">
            <w:pPr>
              <w:jc w:val="center"/>
              <w:rPr>
                <w:color w:val="auto"/>
                <w:sz w:val="2"/>
                <w:szCs w:val="2"/>
              </w:rPr>
            </w:pPr>
          </w:p>
        </w:tc>
        <w:tc>
          <w:tcPr>
            <w:tcW w:w="5352" w:type="dxa"/>
          </w:tcPr>
          <w:p w14:paraId="7BBA2BA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电梯轿厢内</w:t>
            </w:r>
          </w:p>
        </w:tc>
        <w:tc>
          <w:tcPr>
            <w:tcW w:w="845" w:type="dxa"/>
            <w:vAlign w:val="center"/>
          </w:tcPr>
          <w:p w14:paraId="41406429">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4B83E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6E40239">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2BB26FE">
            <w:pPr>
              <w:jc w:val="center"/>
              <w:rPr>
                <w:color w:val="auto"/>
                <w:sz w:val="2"/>
                <w:szCs w:val="2"/>
              </w:rPr>
            </w:pPr>
          </w:p>
        </w:tc>
        <w:tc>
          <w:tcPr>
            <w:tcW w:w="1699" w:type="dxa"/>
            <w:vMerge w:val="continue"/>
            <w:tcBorders>
              <w:top w:val="nil"/>
            </w:tcBorders>
            <w:vAlign w:val="center"/>
          </w:tcPr>
          <w:p w14:paraId="1D5FA007">
            <w:pPr>
              <w:jc w:val="center"/>
              <w:rPr>
                <w:color w:val="auto"/>
                <w:sz w:val="2"/>
                <w:szCs w:val="2"/>
              </w:rPr>
            </w:pPr>
          </w:p>
        </w:tc>
        <w:tc>
          <w:tcPr>
            <w:tcW w:w="5352" w:type="dxa"/>
          </w:tcPr>
          <w:p w14:paraId="7AB738C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信息中心、安防设备等重要设备机房的出入口</w:t>
            </w:r>
          </w:p>
        </w:tc>
        <w:tc>
          <w:tcPr>
            <w:tcW w:w="845" w:type="dxa"/>
            <w:vAlign w:val="center"/>
          </w:tcPr>
          <w:p w14:paraId="66AC60C2">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769EC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727E015">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vAlign w:val="center"/>
          </w:tcPr>
          <w:p w14:paraId="3167FDA6">
            <w:pPr>
              <w:jc w:val="center"/>
              <w:rPr>
                <w:color w:val="auto"/>
                <w:sz w:val="2"/>
                <w:szCs w:val="2"/>
              </w:rPr>
            </w:pPr>
          </w:p>
        </w:tc>
        <w:tc>
          <w:tcPr>
            <w:tcW w:w="1699" w:type="dxa"/>
            <w:vMerge w:val="continue"/>
            <w:tcBorders>
              <w:top w:val="nil"/>
            </w:tcBorders>
            <w:vAlign w:val="center"/>
          </w:tcPr>
          <w:p w14:paraId="2B0EF8C8">
            <w:pPr>
              <w:jc w:val="center"/>
              <w:rPr>
                <w:color w:val="auto"/>
                <w:sz w:val="2"/>
                <w:szCs w:val="2"/>
              </w:rPr>
            </w:pPr>
          </w:p>
        </w:tc>
        <w:tc>
          <w:tcPr>
            <w:tcW w:w="5352" w:type="dxa"/>
          </w:tcPr>
          <w:p w14:paraId="526AF66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zh-CN"/>
              </w:rPr>
            </w:pPr>
            <w:r>
              <w:rPr>
                <w:rFonts w:hint="eastAsia"/>
                <w:spacing w:val="-2"/>
                <w:sz w:val="18"/>
                <w:lang w:val="en-US" w:eastAsia="zh-CN"/>
              </w:rPr>
              <w:t>信息中心、安防设备、变配电房、生活水泵房、暖通空调等重要设备机房出入口</w:t>
            </w:r>
          </w:p>
        </w:tc>
        <w:tc>
          <w:tcPr>
            <w:tcW w:w="845" w:type="dxa"/>
            <w:vAlign w:val="center"/>
          </w:tcPr>
          <w:p w14:paraId="3B3C70BC">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rFonts w:hint="default" w:eastAsia="宋体"/>
                <w:color w:val="auto"/>
                <w:spacing w:val="-5"/>
                <w:sz w:val="18"/>
                <w:lang w:val="en-US" w:eastAsia="zh-CN"/>
              </w:rPr>
            </w:pPr>
            <w:r>
              <w:rPr>
                <w:rFonts w:hint="eastAsia"/>
                <w:color w:val="auto"/>
                <w:spacing w:val="-5"/>
                <w:sz w:val="18"/>
                <w:lang w:val="en-US" w:eastAsia="zh-CN"/>
              </w:rPr>
              <w:t>应配置</w:t>
            </w:r>
          </w:p>
        </w:tc>
      </w:tr>
      <w:tr w14:paraId="3442E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16FB56E">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vAlign w:val="center"/>
          </w:tcPr>
          <w:p w14:paraId="39C64D37">
            <w:pPr>
              <w:jc w:val="center"/>
              <w:rPr>
                <w:color w:val="auto"/>
                <w:sz w:val="2"/>
                <w:szCs w:val="2"/>
              </w:rPr>
            </w:pPr>
          </w:p>
        </w:tc>
        <w:tc>
          <w:tcPr>
            <w:tcW w:w="1699" w:type="dxa"/>
            <w:vMerge w:val="continue"/>
            <w:tcBorders>
              <w:top w:val="nil"/>
            </w:tcBorders>
            <w:vAlign w:val="center"/>
          </w:tcPr>
          <w:p w14:paraId="04DF0A3C">
            <w:pPr>
              <w:jc w:val="center"/>
              <w:rPr>
                <w:color w:val="auto"/>
                <w:sz w:val="2"/>
                <w:szCs w:val="2"/>
              </w:rPr>
            </w:pPr>
          </w:p>
        </w:tc>
        <w:tc>
          <w:tcPr>
            <w:tcW w:w="5352" w:type="dxa"/>
          </w:tcPr>
          <w:p w14:paraId="307E6E0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zh-CN"/>
              </w:rPr>
            </w:pPr>
            <w:r>
              <w:rPr>
                <w:rFonts w:hint="eastAsia"/>
                <w:spacing w:val="-2"/>
                <w:sz w:val="18"/>
                <w:lang w:val="en-US" w:eastAsia="zh-CN"/>
              </w:rPr>
              <w:t>信息中心、安防设备、交配电房、生活水泵房等重要设备机房内部</w:t>
            </w:r>
          </w:p>
        </w:tc>
        <w:tc>
          <w:tcPr>
            <w:tcW w:w="845" w:type="dxa"/>
            <w:vAlign w:val="center"/>
          </w:tcPr>
          <w:p w14:paraId="71D165B7">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rFonts w:hint="default" w:eastAsia="宋体"/>
                <w:color w:val="auto"/>
                <w:spacing w:val="-5"/>
                <w:sz w:val="18"/>
                <w:lang w:val="en-US" w:eastAsia="zh-CN"/>
              </w:rPr>
            </w:pPr>
            <w:r>
              <w:rPr>
                <w:rFonts w:hint="eastAsia"/>
                <w:color w:val="auto"/>
                <w:spacing w:val="-5"/>
                <w:sz w:val="18"/>
                <w:lang w:val="en-US" w:eastAsia="zh-CN"/>
              </w:rPr>
              <w:t>应配置</w:t>
            </w:r>
          </w:p>
        </w:tc>
      </w:tr>
      <w:tr w14:paraId="1B1EC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5ECFFC9">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1E98255A">
            <w:pPr>
              <w:jc w:val="center"/>
              <w:rPr>
                <w:color w:val="auto"/>
                <w:sz w:val="2"/>
                <w:szCs w:val="2"/>
              </w:rPr>
            </w:pPr>
          </w:p>
        </w:tc>
        <w:tc>
          <w:tcPr>
            <w:tcW w:w="1699" w:type="dxa"/>
            <w:vMerge w:val="continue"/>
            <w:tcBorders>
              <w:top w:val="nil"/>
            </w:tcBorders>
            <w:vAlign w:val="center"/>
          </w:tcPr>
          <w:p w14:paraId="4561D8CD">
            <w:pPr>
              <w:jc w:val="center"/>
              <w:rPr>
                <w:color w:val="auto"/>
                <w:sz w:val="2"/>
                <w:szCs w:val="2"/>
              </w:rPr>
            </w:pPr>
          </w:p>
        </w:tc>
        <w:tc>
          <w:tcPr>
            <w:tcW w:w="5352" w:type="dxa"/>
          </w:tcPr>
          <w:p w14:paraId="70BEE1F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档案资料室</w:t>
            </w:r>
          </w:p>
        </w:tc>
        <w:tc>
          <w:tcPr>
            <w:tcW w:w="845" w:type="dxa"/>
            <w:vAlign w:val="center"/>
          </w:tcPr>
          <w:p w14:paraId="7AE4BD1F">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宜配置</w:t>
            </w:r>
          </w:p>
        </w:tc>
      </w:tr>
      <w:tr w14:paraId="5E85D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7489321">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D816D22">
            <w:pPr>
              <w:jc w:val="center"/>
              <w:rPr>
                <w:color w:val="auto"/>
                <w:sz w:val="2"/>
                <w:szCs w:val="2"/>
              </w:rPr>
            </w:pPr>
          </w:p>
        </w:tc>
        <w:tc>
          <w:tcPr>
            <w:tcW w:w="1699" w:type="dxa"/>
            <w:vMerge w:val="continue"/>
            <w:tcBorders>
              <w:top w:val="nil"/>
            </w:tcBorders>
            <w:vAlign w:val="center"/>
          </w:tcPr>
          <w:p w14:paraId="5FB31D69">
            <w:pPr>
              <w:jc w:val="center"/>
              <w:rPr>
                <w:color w:val="auto"/>
                <w:sz w:val="2"/>
                <w:szCs w:val="2"/>
              </w:rPr>
            </w:pPr>
          </w:p>
        </w:tc>
        <w:tc>
          <w:tcPr>
            <w:tcW w:w="5352" w:type="dxa"/>
          </w:tcPr>
          <w:p w14:paraId="3E1BFDF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安防中心控制室</w:t>
            </w:r>
          </w:p>
        </w:tc>
        <w:tc>
          <w:tcPr>
            <w:tcW w:w="845" w:type="dxa"/>
            <w:vAlign w:val="center"/>
          </w:tcPr>
          <w:p w14:paraId="7A0DA805">
            <w:pPr>
              <w:pStyle w:val="60"/>
              <w:keepNext w:val="0"/>
              <w:keepLines w:val="0"/>
              <w:pageBreakBefore w:val="0"/>
              <w:widowControl w:val="0"/>
              <w:kinsoku/>
              <w:wordWrap/>
              <w:overflowPunct/>
              <w:topLinePunct w:val="0"/>
              <w:autoSpaceDE/>
              <w:autoSpaceDN/>
              <w:bidi w:val="0"/>
              <w:adjustRightInd/>
              <w:snapToGrid/>
              <w:spacing w:before="0"/>
              <w:ind w:left="0" w:right="0"/>
              <w:jc w:val="center"/>
              <w:textAlignment w:val="auto"/>
              <w:rPr>
                <w:color w:val="auto"/>
                <w:sz w:val="18"/>
              </w:rPr>
            </w:pPr>
            <w:r>
              <w:rPr>
                <w:color w:val="auto"/>
                <w:spacing w:val="-5"/>
                <w:sz w:val="18"/>
              </w:rPr>
              <w:t>应配置</w:t>
            </w:r>
          </w:p>
        </w:tc>
      </w:tr>
      <w:tr w14:paraId="2FF38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C907699">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vAlign w:val="center"/>
          </w:tcPr>
          <w:p w14:paraId="6BE3C120">
            <w:pPr>
              <w:jc w:val="center"/>
              <w:rPr>
                <w:color w:val="auto"/>
                <w:sz w:val="2"/>
                <w:szCs w:val="2"/>
              </w:rPr>
            </w:pPr>
          </w:p>
        </w:tc>
        <w:tc>
          <w:tcPr>
            <w:tcW w:w="1699" w:type="dxa"/>
            <w:tcBorders>
              <w:top w:val="nil"/>
              <w:bottom w:val="single" w:color="000000" w:sz="4" w:space="0"/>
            </w:tcBorders>
            <w:vAlign w:val="center"/>
          </w:tcPr>
          <w:p w14:paraId="7BCB0E58">
            <w:pPr>
              <w:pStyle w:val="60"/>
              <w:keepNext w:val="0"/>
              <w:keepLines w:val="0"/>
              <w:pageBreakBefore w:val="0"/>
              <w:widowControl w:val="0"/>
              <w:kinsoku/>
              <w:wordWrap/>
              <w:overflowPunct/>
              <w:topLinePunct w:val="0"/>
              <w:autoSpaceDE/>
              <w:autoSpaceDN/>
              <w:bidi w:val="0"/>
              <w:adjustRightInd/>
              <w:snapToGrid/>
              <w:spacing w:before="0" w:line="240" w:lineRule="auto"/>
              <w:ind w:left="108" w:right="0"/>
              <w:jc w:val="center"/>
              <w:textAlignment w:val="auto"/>
              <w:rPr>
                <w:rFonts w:hint="eastAsia"/>
                <w:color w:val="auto"/>
                <w:spacing w:val="-3"/>
                <w:sz w:val="18"/>
                <w:lang w:val="en-US" w:eastAsia="zh-CN"/>
              </w:rPr>
            </w:pPr>
            <w:r>
              <w:rPr>
                <w:rFonts w:hint="eastAsia"/>
                <w:color w:val="auto"/>
                <w:spacing w:val="-3"/>
                <w:sz w:val="18"/>
                <w:lang w:val="en-US" w:eastAsia="zh-CN"/>
              </w:rPr>
              <w:t>人脸抓拍系统</w:t>
            </w:r>
          </w:p>
        </w:tc>
        <w:tc>
          <w:tcPr>
            <w:tcW w:w="5352" w:type="dxa"/>
            <w:vAlign w:val="center"/>
          </w:tcPr>
          <w:p w14:paraId="0852E59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与室外、公共文化中心外区域相通的主出入口，与公共文化中心外其它楼幢相通的室内外连廊，与室外、地库相通的直梯厅、扶梯厅</w:t>
            </w:r>
          </w:p>
        </w:tc>
        <w:tc>
          <w:tcPr>
            <w:tcW w:w="845" w:type="dxa"/>
            <w:vAlign w:val="center"/>
          </w:tcPr>
          <w:p w14:paraId="0CAECDC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应配置</w:t>
            </w:r>
          </w:p>
        </w:tc>
      </w:tr>
      <w:tr w14:paraId="2EB55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75E36B43">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vAlign w:val="center"/>
          </w:tcPr>
          <w:p w14:paraId="07070161">
            <w:pPr>
              <w:jc w:val="center"/>
              <w:rPr>
                <w:color w:val="auto"/>
                <w:sz w:val="2"/>
                <w:szCs w:val="2"/>
              </w:rPr>
            </w:pPr>
          </w:p>
        </w:tc>
        <w:tc>
          <w:tcPr>
            <w:tcW w:w="1699" w:type="dxa"/>
            <w:tcBorders>
              <w:top w:val="single" w:color="000000" w:sz="4" w:space="0"/>
              <w:bottom w:val="single" w:color="000000" w:sz="4" w:space="0"/>
            </w:tcBorders>
            <w:vAlign w:val="center"/>
          </w:tcPr>
          <w:p w14:paraId="4CFFD00D">
            <w:pPr>
              <w:pStyle w:val="60"/>
              <w:keepNext w:val="0"/>
              <w:keepLines w:val="0"/>
              <w:pageBreakBefore w:val="0"/>
              <w:widowControl w:val="0"/>
              <w:kinsoku/>
              <w:wordWrap/>
              <w:overflowPunct/>
              <w:topLinePunct w:val="0"/>
              <w:autoSpaceDE/>
              <w:autoSpaceDN/>
              <w:bidi w:val="0"/>
              <w:adjustRightInd/>
              <w:snapToGrid/>
              <w:spacing w:before="0" w:line="240" w:lineRule="auto"/>
              <w:ind w:left="108" w:right="0"/>
              <w:jc w:val="center"/>
              <w:textAlignment w:val="auto"/>
              <w:rPr>
                <w:rFonts w:hint="eastAsia"/>
                <w:color w:val="auto"/>
                <w:spacing w:val="-3"/>
                <w:sz w:val="18"/>
                <w:lang w:val="en-US" w:eastAsia="zh-CN"/>
              </w:rPr>
            </w:pPr>
            <w:r>
              <w:rPr>
                <w:rFonts w:hint="eastAsia"/>
                <w:color w:val="auto"/>
                <w:spacing w:val="-3"/>
                <w:sz w:val="18"/>
                <w:lang w:val="en-US" w:eastAsia="zh-CN"/>
              </w:rPr>
              <w:t>车辆抓拍系统</w:t>
            </w:r>
          </w:p>
        </w:tc>
        <w:tc>
          <w:tcPr>
            <w:tcW w:w="5352" w:type="dxa"/>
            <w:vAlign w:val="center"/>
          </w:tcPr>
          <w:p w14:paraId="181F0F5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地块室外车行出入口或地库坡道出入口、与其它项目相通的地下车行通道口</w:t>
            </w:r>
          </w:p>
        </w:tc>
        <w:tc>
          <w:tcPr>
            <w:tcW w:w="845" w:type="dxa"/>
            <w:vAlign w:val="center"/>
          </w:tcPr>
          <w:p w14:paraId="10E57F4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应配置</w:t>
            </w:r>
          </w:p>
        </w:tc>
      </w:tr>
      <w:tr w14:paraId="485C8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37360D9">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restart"/>
            <w:vAlign w:val="center"/>
          </w:tcPr>
          <w:p w14:paraId="00C1C57B">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color w:val="auto"/>
                <w:sz w:val="2"/>
                <w:szCs w:val="2"/>
              </w:rPr>
            </w:pPr>
            <w:r>
              <w:rPr>
                <w:color w:val="auto"/>
                <w:spacing w:val="-6"/>
                <w:sz w:val="18"/>
              </w:rPr>
              <w:t>入侵和紧急报警系</w:t>
            </w:r>
            <w:r>
              <w:rPr>
                <w:color w:val="auto"/>
                <w:spacing w:val="-10"/>
                <w:sz w:val="18"/>
              </w:rPr>
              <w:t>统</w:t>
            </w:r>
          </w:p>
        </w:tc>
        <w:tc>
          <w:tcPr>
            <w:tcW w:w="1699" w:type="dxa"/>
            <w:vMerge w:val="restart"/>
            <w:tcBorders>
              <w:top w:val="single" w:color="000000" w:sz="4" w:space="0"/>
              <w:bottom w:val="single" w:color="000000" w:sz="4" w:space="0"/>
            </w:tcBorders>
            <w:vAlign w:val="center"/>
          </w:tcPr>
          <w:p w14:paraId="42C5204B">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hint="eastAsia"/>
                <w:color w:val="auto"/>
                <w:spacing w:val="-3"/>
                <w:sz w:val="18"/>
                <w:lang w:val="en-US" w:eastAsia="zh-CN"/>
              </w:rPr>
            </w:pPr>
            <w:r>
              <w:rPr>
                <w:color w:val="auto"/>
                <w:spacing w:val="-4"/>
                <w:sz w:val="18"/>
              </w:rPr>
              <w:t>周界入侵探测装置</w:t>
            </w:r>
          </w:p>
        </w:tc>
        <w:tc>
          <w:tcPr>
            <w:tcW w:w="5352" w:type="dxa"/>
            <w:vAlign w:val="center"/>
          </w:tcPr>
          <w:p w14:paraId="5B248CA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周界围墙封闭屏障处</w:t>
            </w:r>
          </w:p>
        </w:tc>
        <w:tc>
          <w:tcPr>
            <w:tcW w:w="845" w:type="dxa"/>
            <w:vAlign w:val="center"/>
          </w:tcPr>
          <w:p w14:paraId="1EE1CEAE">
            <w:pPr>
              <w:pStyle w:val="60"/>
              <w:ind w:left="142" w:leftChars="0" w:right="127" w:rightChars="0"/>
              <w:jc w:val="left"/>
              <w:rPr>
                <w:color w:val="auto"/>
                <w:spacing w:val="-5"/>
                <w:sz w:val="18"/>
              </w:rPr>
            </w:pPr>
            <w:r>
              <w:rPr>
                <w:rFonts w:hint="eastAsia"/>
                <w:color w:val="auto"/>
                <w:spacing w:val="-5"/>
                <w:sz w:val="18"/>
                <w:lang w:val="en-US" w:eastAsia="zh-CN"/>
              </w:rPr>
              <w:t>应</w:t>
            </w:r>
            <w:r>
              <w:rPr>
                <w:color w:val="auto"/>
                <w:spacing w:val="-5"/>
                <w:sz w:val="18"/>
              </w:rPr>
              <w:t>配置</w:t>
            </w:r>
          </w:p>
        </w:tc>
      </w:tr>
      <w:tr w14:paraId="66F39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B95C31C">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vAlign w:val="center"/>
          </w:tcPr>
          <w:p w14:paraId="6707A68A">
            <w:pPr>
              <w:jc w:val="center"/>
              <w:rPr>
                <w:color w:val="auto"/>
                <w:sz w:val="2"/>
                <w:szCs w:val="2"/>
              </w:rPr>
            </w:pPr>
          </w:p>
        </w:tc>
        <w:tc>
          <w:tcPr>
            <w:tcW w:w="1699" w:type="dxa"/>
            <w:vMerge w:val="continue"/>
            <w:tcBorders>
              <w:top w:val="single" w:color="000000" w:sz="4" w:space="0"/>
              <w:bottom w:val="single" w:color="000000" w:sz="4" w:space="0"/>
            </w:tcBorders>
            <w:vAlign w:val="center"/>
          </w:tcPr>
          <w:p w14:paraId="645B68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color w:val="auto"/>
                <w:spacing w:val="-3"/>
                <w:sz w:val="18"/>
                <w:lang w:val="en-US" w:eastAsia="zh-CN"/>
              </w:rPr>
            </w:pPr>
          </w:p>
        </w:tc>
        <w:tc>
          <w:tcPr>
            <w:tcW w:w="5352" w:type="dxa"/>
            <w:vAlign w:val="center"/>
          </w:tcPr>
          <w:p w14:paraId="5A50DEE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主体建筑与外界相通的玻璃幕墙</w:t>
            </w:r>
          </w:p>
        </w:tc>
        <w:tc>
          <w:tcPr>
            <w:tcW w:w="845" w:type="dxa"/>
            <w:vAlign w:val="center"/>
          </w:tcPr>
          <w:p w14:paraId="347AEAC7">
            <w:pPr>
              <w:pStyle w:val="60"/>
              <w:ind w:left="142" w:leftChars="0" w:right="127" w:rightChars="0"/>
              <w:jc w:val="left"/>
              <w:rPr>
                <w:color w:val="auto"/>
                <w:spacing w:val="-5"/>
                <w:sz w:val="18"/>
              </w:rPr>
            </w:pPr>
            <w:r>
              <w:rPr>
                <w:rFonts w:hint="eastAsia"/>
                <w:color w:val="auto"/>
                <w:spacing w:val="-5"/>
                <w:sz w:val="18"/>
                <w:lang w:val="en-US" w:eastAsia="zh-CN"/>
              </w:rPr>
              <w:t>宜</w:t>
            </w:r>
            <w:r>
              <w:rPr>
                <w:color w:val="auto"/>
                <w:spacing w:val="-5"/>
                <w:sz w:val="18"/>
              </w:rPr>
              <w:t>配置</w:t>
            </w:r>
          </w:p>
        </w:tc>
      </w:tr>
    </w:tbl>
    <w:p w14:paraId="28A726CF">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表3  公共文化中心安全技术防范系统配置表（续）</w:t>
      </w:r>
    </w:p>
    <w:tbl>
      <w:tblPr>
        <w:tblStyle w:val="17"/>
        <w:tblpPr w:leftFromText="180" w:rightFromText="180" w:vertAnchor="text" w:horzAnchor="page" w:tblpXSpec="center" w:tblpY="160"/>
        <w:tblOverlap w:val="never"/>
        <w:tblW w:w="91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605"/>
        <w:gridCol w:w="1699"/>
        <w:gridCol w:w="5352"/>
        <w:gridCol w:w="845"/>
      </w:tblGrid>
      <w:tr w14:paraId="35C35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jc w:val="center"/>
        </w:trPr>
        <w:tc>
          <w:tcPr>
            <w:tcW w:w="672" w:type="dxa"/>
          </w:tcPr>
          <w:p w14:paraId="6194813A">
            <w:pPr>
              <w:pStyle w:val="60"/>
              <w:spacing w:before="132"/>
              <w:ind w:left="140" w:right="133"/>
              <w:jc w:val="center"/>
              <w:rPr>
                <w:color w:val="auto"/>
                <w:sz w:val="18"/>
              </w:rPr>
            </w:pPr>
            <w:r>
              <w:rPr>
                <w:color w:val="auto"/>
                <w:spacing w:val="-6"/>
                <w:sz w:val="18"/>
              </w:rPr>
              <w:t>序号</w:t>
            </w:r>
          </w:p>
        </w:tc>
        <w:tc>
          <w:tcPr>
            <w:tcW w:w="2304" w:type="dxa"/>
            <w:gridSpan w:val="2"/>
          </w:tcPr>
          <w:p w14:paraId="2AB875AC">
            <w:pPr>
              <w:pStyle w:val="60"/>
              <w:spacing w:before="132"/>
              <w:ind w:left="958" w:right="946"/>
              <w:jc w:val="both"/>
              <w:rPr>
                <w:color w:val="auto"/>
                <w:sz w:val="18"/>
              </w:rPr>
            </w:pPr>
            <w:r>
              <w:rPr>
                <w:color w:val="auto"/>
                <w:spacing w:val="-6"/>
                <w:sz w:val="18"/>
              </w:rPr>
              <w:t>项目</w:t>
            </w:r>
          </w:p>
        </w:tc>
        <w:tc>
          <w:tcPr>
            <w:tcW w:w="5352" w:type="dxa"/>
          </w:tcPr>
          <w:p w14:paraId="32BD4B5B">
            <w:pPr>
              <w:pStyle w:val="60"/>
              <w:spacing w:before="132"/>
              <w:ind w:left="1862" w:right="1847"/>
              <w:jc w:val="center"/>
              <w:rPr>
                <w:color w:val="auto"/>
                <w:sz w:val="18"/>
              </w:rPr>
            </w:pPr>
            <w:r>
              <w:rPr>
                <w:color w:val="auto"/>
                <w:spacing w:val="-3"/>
                <w:sz w:val="18"/>
              </w:rPr>
              <w:t>安装区域或覆盖范围</w:t>
            </w:r>
          </w:p>
        </w:tc>
        <w:tc>
          <w:tcPr>
            <w:tcW w:w="845" w:type="dxa"/>
          </w:tcPr>
          <w:p w14:paraId="2CF421F8">
            <w:pPr>
              <w:pStyle w:val="60"/>
              <w:spacing w:before="12" w:line="230" w:lineRule="atLeast"/>
              <w:ind w:left="245" w:right="227"/>
              <w:rPr>
                <w:color w:val="auto"/>
                <w:sz w:val="18"/>
              </w:rPr>
            </w:pPr>
            <w:r>
              <w:rPr>
                <w:color w:val="auto"/>
                <w:spacing w:val="-6"/>
                <w:sz w:val="18"/>
              </w:rPr>
              <w:t>配置要求</w:t>
            </w:r>
          </w:p>
        </w:tc>
      </w:tr>
      <w:tr w14:paraId="64C21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9625DFC">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restart"/>
            <w:shd w:val="clear" w:color="auto" w:fill="auto"/>
            <w:vAlign w:val="center"/>
          </w:tcPr>
          <w:p w14:paraId="62ACBBFD">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2"/>
                <w:szCs w:val="2"/>
                <w:lang w:val="en-US" w:eastAsia="en-US" w:bidi="ar-SA"/>
              </w:rPr>
            </w:pPr>
            <w:r>
              <w:rPr>
                <w:color w:val="auto"/>
                <w:spacing w:val="-6"/>
                <w:sz w:val="18"/>
              </w:rPr>
              <w:t>入侵和紧急报警系</w:t>
            </w:r>
            <w:r>
              <w:rPr>
                <w:color w:val="auto"/>
                <w:spacing w:val="-10"/>
                <w:sz w:val="18"/>
              </w:rPr>
              <w:t>统</w:t>
            </w:r>
          </w:p>
        </w:tc>
        <w:tc>
          <w:tcPr>
            <w:tcW w:w="1699" w:type="dxa"/>
            <w:vMerge w:val="restart"/>
            <w:shd w:val="clear" w:color="auto" w:fill="auto"/>
            <w:vAlign w:val="center"/>
          </w:tcPr>
          <w:p w14:paraId="401C3941">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4"/>
                <w:sz w:val="18"/>
              </w:rPr>
              <w:t>入侵探测器</w:t>
            </w:r>
          </w:p>
        </w:tc>
        <w:tc>
          <w:tcPr>
            <w:tcW w:w="5352" w:type="dxa"/>
            <w:shd w:val="clear" w:color="auto" w:fill="auto"/>
            <w:vAlign w:val="top"/>
          </w:tcPr>
          <w:p w14:paraId="2BCA6E4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展览馆与外界相通的窗户和出入口</w:t>
            </w:r>
          </w:p>
        </w:tc>
        <w:tc>
          <w:tcPr>
            <w:tcW w:w="845" w:type="dxa"/>
            <w:shd w:val="clear" w:color="auto" w:fill="auto"/>
            <w:vAlign w:val="center"/>
          </w:tcPr>
          <w:p w14:paraId="64969AC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4BEF3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7B69DFA3">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2592E82C">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17BCEF14">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67BB299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展品库区、库房的出入口</w:t>
            </w:r>
          </w:p>
        </w:tc>
        <w:tc>
          <w:tcPr>
            <w:tcW w:w="845" w:type="dxa"/>
            <w:shd w:val="clear" w:color="auto" w:fill="auto"/>
            <w:vAlign w:val="center"/>
          </w:tcPr>
          <w:p w14:paraId="50CC61F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0D328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7996F624">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4F73543D">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48B2C9EC">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447F2C4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展品库房</w:t>
            </w:r>
          </w:p>
        </w:tc>
        <w:tc>
          <w:tcPr>
            <w:tcW w:w="845" w:type="dxa"/>
            <w:shd w:val="clear" w:color="auto" w:fill="auto"/>
            <w:vAlign w:val="center"/>
          </w:tcPr>
          <w:p w14:paraId="7E3E029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4397B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6B84131">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52B62254">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06FA470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33DB163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展场、展厅的出入口</w:t>
            </w:r>
          </w:p>
        </w:tc>
        <w:tc>
          <w:tcPr>
            <w:tcW w:w="845" w:type="dxa"/>
            <w:shd w:val="clear" w:color="auto" w:fill="auto"/>
            <w:vAlign w:val="center"/>
          </w:tcPr>
          <w:p w14:paraId="335B23C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7043B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8A8487A">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6C647D5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2F80B2FB">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3A2775F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展场、展厅的主要通道</w:t>
            </w:r>
          </w:p>
        </w:tc>
        <w:tc>
          <w:tcPr>
            <w:tcW w:w="845" w:type="dxa"/>
            <w:shd w:val="clear" w:color="auto" w:fill="auto"/>
            <w:vAlign w:val="center"/>
          </w:tcPr>
          <w:p w14:paraId="47DA572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宜配置</w:t>
            </w:r>
          </w:p>
        </w:tc>
      </w:tr>
      <w:tr w14:paraId="5980B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1D21090">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767D3C0F">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33076F6C">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419B51E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特殊展品的展示部位及展示区域</w:t>
            </w:r>
          </w:p>
        </w:tc>
        <w:tc>
          <w:tcPr>
            <w:tcW w:w="845" w:type="dxa"/>
            <w:shd w:val="clear" w:color="auto" w:fill="auto"/>
            <w:vAlign w:val="center"/>
          </w:tcPr>
          <w:p w14:paraId="1179641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449D2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C308C8B">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020BCF24">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56F2361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5B2F858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zh-CN"/>
              </w:rPr>
            </w:pPr>
            <w:r>
              <w:rPr>
                <w:rFonts w:hint="eastAsia"/>
                <w:spacing w:val="-2"/>
                <w:sz w:val="18"/>
                <w:lang w:val="en-US" w:eastAsia="zh-CN"/>
              </w:rPr>
              <w:t>非开放式平台出入口</w:t>
            </w:r>
          </w:p>
        </w:tc>
        <w:tc>
          <w:tcPr>
            <w:tcW w:w="845" w:type="dxa"/>
            <w:shd w:val="clear" w:color="auto" w:fill="auto"/>
            <w:vAlign w:val="center"/>
          </w:tcPr>
          <w:p w14:paraId="0748C69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default" w:ascii="宋体" w:hAnsi="宋体" w:eastAsia="宋体" w:cs="宋体"/>
                <w:color w:val="auto"/>
                <w:kern w:val="2"/>
                <w:sz w:val="18"/>
                <w:szCs w:val="22"/>
                <w:lang w:val="en-US" w:eastAsia="zh-CN" w:bidi="ar-SA"/>
              </w:rPr>
            </w:pPr>
            <w:r>
              <w:rPr>
                <w:color w:val="auto"/>
                <w:spacing w:val="-5"/>
                <w:sz w:val="18"/>
              </w:rPr>
              <w:t>应配置</w:t>
            </w:r>
          </w:p>
        </w:tc>
      </w:tr>
      <w:tr w14:paraId="65D37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7C8C2B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783663C8">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67CB220B">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26AB6CE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无人值守的变（配）电、供水泵房、电梯机房、通信机房、空调机房、信息中心、安防设备等设备机房</w:t>
            </w:r>
          </w:p>
        </w:tc>
        <w:tc>
          <w:tcPr>
            <w:tcW w:w="845" w:type="dxa"/>
            <w:shd w:val="clear" w:color="auto" w:fill="auto"/>
            <w:vAlign w:val="center"/>
          </w:tcPr>
          <w:p w14:paraId="7D0D118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77766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3464C229">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0356755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51D5F4F5">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3E60DE2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档案资料室</w:t>
            </w:r>
          </w:p>
        </w:tc>
        <w:tc>
          <w:tcPr>
            <w:tcW w:w="845" w:type="dxa"/>
            <w:shd w:val="clear" w:color="auto" w:fill="auto"/>
            <w:vAlign w:val="center"/>
          </w:tcPr>
          <w:p w14:paraId="70FEC06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宜配置</w:t>
            </w:r>
          </w:p>
        </w:tc>
      </w:tr>
      <w:tr w14:paraId="2E754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05F9D1C0">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34B9D00C">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restart"/>
            <w:tcBorders>
              <w:top w:val="nil"/>
            </w:tcBorders>
            <w:shd w:val="clear" w:color="auto" w:fill="auto"/>
            <w:vAlign w:val="center"/>
          </w:tcPr>
          <w:p w14:paraId="421297E2">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4"/>
                <w:sz w:val="18"/>
              </w:rPr>
              <w:t>紧急报警装置</w:t>
            </w:r>
          </w:p>
        </w:tc>
        <w:tc>
          <w:tcPr>
            <w:tcW w:w="5352" w:type="dxa"/>
            <w:shd w:val="clear" w:color="auto" w:fill="auto"/>
            <w:vAlign w:val="top"/>
          </w:tcPr>
          <w:p w14:paraId="1D1ECBD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总接待处、总服务台、贵重物品寄存处</w:t>
            </w:r>
          </w:p>
        </w:tc>
        <w:tc>
          <w:tcPr>
            <w:tcW w:w="845" w:type="dxa"/>
            <w:shd w:val="clear" w:color="auto" w:fill="auto"/>
            <w:vAlign w:val="center"/>
          </w:tcPr>
          <w:p w14:paraId="03DD615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4E692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E5CA5EB">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E1292F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76DDB09C">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0665034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贵宾休息室</w:t>
            </w:r>
          </w:p>
        </w:tc>
        <w:tc>
          <w:tcPr>
            <w:tcW w:w="845" w:type="dxa"/>
            <w:shd w:val="clear" w:color="auto" w:fill="auto"/>
            <w:vAlign w:val="center"/>
          </w:tcPr>
          <w:p w14:paraId="6C6BCF8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0C499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91D13A5">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59F22A1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510EC49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7427BB1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售（检）票、安检等排队等候区域</w:t>
            </w:r>
          </w:p>
        </w:tc>
        <w:tc>
          <w:tcPr>
            <w:tcW w:w="845" w:type="dxa"/>
            <w:shd w:val="clear" w:color="auto" w:fill="auto"/>
            <w:vAlign w:val="center"/>
          </w:tcPr>
          <w:p w14:paraId="242760A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08EDD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36D4B5B5">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B642A6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19A453D3">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19C571D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展品库房</w:t>
            </w:r>
          </w:p>
        </w:tc>
        <w:tc>
          <w:tcPr>
            <w:tcW w:w="845" w:type="dxa"/>
            <w:shd w:val="clear" w:color="auto" w:fill="auto"/>
            <w:vAlign w:val="center"/>
          </w:tcPr>
          <w:p w14:paraId="265CB41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4F66D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7320AC7">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47449A6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0B48029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01A9633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展场、展厅的出入口</w:t>
            </w:r>
          </w:p>
        </w:tc>
        <w:tc>
          <w:tcPr>
            <w:tcW w:w="845" w:type="dxa"/>
            <w:shd w:val="clear" w:color="auto" w:fill="auto"/>
            <w:vAlign w:val="center"/>
          </w:tcPr>
          <w:p w14:paraId="6C353F6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宜配置</w:t>
            </w:r>
          </w:p>
        </w:tc>
      </w:tr>
      <w:tr w14:paraId="13546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E36EE8B">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0E00A3E">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23836527">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26C6C6C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特殊展品的展示部位及展示区域</w:t>
            </w:r>
          </w:p>
        </w:tc>
        <w:tc>
          <w:tcPr>
            <w:tcW w:w="845" w:type="dxa"/>
            <w:shd w:val="clear" w:color="auto" w:fill="auto"/>
            <w:vAlign w:val="center"/>
          </w:tcPr>
          <w:p w14:paraId="70BDF2D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218F1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557B3F7">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348CA0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57849CED">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7BDF571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安防中心控制室</w:t>
            </w:r>
          </w:p>
        </w:tc>
        <w:tc>
          <w:tcPr>
            <w:tcW w:w="845" w:type="dxa"/>
            <w:shd w:val="clear" w:color="auto" w:fill="auto"/>
            <w:vAlign w:val="center"/>
          </w:tcPr>
          <w:p w14:paraId="2963D26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690AF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450F9B6">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4F21A6E0">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6"/>
                <w:sz w:val="18"/>
              </w:rPr>
              <w:t>出入口控制系</w:t>
            </w:r>
            <w:r>
              <w:rPr>
                <w:color w:val="auto"/>
                <w:spacing w:val="-10"/>
                <w:sz w:val="18"/>
              </w:rPr>
              <w:t>统</w:t>
            </w:r>
          </w:p>
        </w:tc>
        <w:tc>
          <w:tcPr>
            <w:tcW w:w="1699" w:type="dxa"/>
            <w:vMerge w:val="restart"/>
            <w:tcBorders>
              <w:top w:val="nil"/>
            </w:tcBorders>
            <w:shd w:val="clear" w:color="auto" w:fill="auto"/>
            <w:vAlign w:val="center"/>
          </w:tcPr>
          <w:p w14:paraId="3B677B6A">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4"/>
                <w:sz w:val="18"/>
              </w:rPr>
              <w:t>识读装置、电控锁</w:t>
            </w:r>
          </w:p>
        </w:tc>
        <w:tc>
          <w:tcPr>
            <w:tcW w:w="5352" w:type="dxa"/>
            <w:shd w:val="clear" w:color="auto" w:fill="auto"/>
            <w:vAlign w:val="top"/>
          </w:tcPr>
          <w:p w14:paraId="63AAA4D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建筑主体非开放式出入口</w:t>
            </w:r>
          </w:p>
        </w:tc>
        <w:tc>
          <w:tcPr>
            <w:tcW w:w="845" w:type="dxa"/>
            <w:shd w:val="clear" w:color="auto" w:fill="auto"/>
            <w:vAlign w:val="center"/>
          </w:tcPr>
          <w:p w14:paraId="6F3DA6D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2D833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1121E50">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5ED6FDF">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4EF534BF">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665F375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与办公区域相通的出入口</w:t>
            </w:r>
          </w:p>
        </w:tc>
        <w:tc>
          <w:tcPr>
            <w:tcW w:w="845" w:type="dxa"/>
            <w:shd w:val="clear" w:color="auto" w:fill="auto"/>
            <w:vAlign w:val="center"/>
          </w:tcPr>
          <w:p w14:paraId="6C26AE4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2B4EC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796E3AFA">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B9ECB0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14B581C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631E407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贵重物品寄存处</w:t>
            </w:r>
          </w:p>
        </w:tc>
        <w:tc>
          <w:tcPr>
            <w:tcW w:w="845" w:type="dxa"/>
            <w:shd w:val="clear" w:color="auto" w:fill="auto"/>
            <w:vAlign w:val="center"/>
          </w:tcPr>
          <w:p w14:paraId="3D85A9D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1F729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23061EE">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805F42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72239892">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0F7BBC8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展品库区、库房的出入口</w:t>
            </w:r>
          </w:p>
        </w:tc>
        <w:tc>
          <w:tcPr>
            <w:tcW w:w="845" w:type="dxa"/>
            <w:shd w:val="clear" w:color="auto" w:fill="auto"/>
            <w:vAlign w:val="center"/>
          </w:tcPr>
          <w:p w14:paraId="1F952D1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3CA2A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C60A643">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8F92A37">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09A4A4B3">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33F0DFD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展厅出入口</w:t>
            </w:r>
          </w:p>
        </w:tc>
        <w:tc>
          <w:tcPr>
            <w:tcW w:w="845" w:type="dxa"/>
            <w:shd w:val="clear" w:color="auto" w:fill="auto"/>
            <w:vAlign w:val="center"/>
          </w:tcPr>
          <w:p w14:paraId="4344C9E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宜配置</w:t>
            </w:r>
          </w:p>
        </w:tc>
      </w:tr>
      <w:tr w14:paraId="36C20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32F6D3C1">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5DCF62A0">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6FF5B4E8">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0EF1864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非开放式平台出入口</w:t>
            </w:r>
          </w:p>
        </w:tc>
        <w:tc>
          <w:tcPr>
            <w:tcW w:w="845" w:type="dxa"/>
            <w:shd w:val="clear" w:color="auto" w:fill="auto"/>
            <w:vAlign w:val="center"/>
          </w:tcPr>
          <w:p w14:paraId="5BACA6D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4738B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303CBE83">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5326F0B">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6D80B0C3">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52D266F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有人值守的变（配）电、供水泵房、电梯机房、通信机房、空调机房、信息中心、安防设备等设备机房</w:t>
            </w:r>
          </w:p>
        </w:tc>
        <w:tc>
          <w:tcPr>
            <w:tcW w:w="845" w:type="dxa"/>
            <w:shd w:val="clear" w:color="auto" w:fill="auto"/>
            <w:vAlign w:val="center"/>
          </w:tcPr>
          <w:p w14:paraId="3BE7C8E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24E9C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3480998C">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57682A04">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09FF9405">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53D1884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zh-CN"/>
              </w:rPr>
            </w:pPr>
            <w:r>
              <w:rPr>
                <w:rFonts w:hint="eastAsia"/>
                <w:spacing w:val="-2"/>
                <w:sz w:val="18"/>
                <w:lang w:val="en-US" w:eastAsia="zh-CN"/>
              </w:rPr>
              <w:t>安防中心控制室</w:t>
            </w:r>
          </w:p>
        </w:tc>
        <w:tc>
          <w:tcPr>
            <w:tcW w:w="845" w:type="dxa"/>
            <w:shd w:val="clear" w:color="auto" w:fill="auto"/>
            <w:vAlign w:val="center"/>
          </w:tcPr>
          <w:p w14:paraId="408B7CB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default"/>
                <w:color w:val="auto"/>
                <w:spacing w:val="-5"/>
                <w:sz w:val="18"/>
                <w:lang w:val="en-US" w:eastAsia="zh-CN"/>
              </w:rPr>
            </w:pPr>
            <w:r>
              <w:rPr>
                <w:color w:val="auto"/>
                <w:spacing w:val="-5"/>
                <w:sz w:val="18"/>
              </w:rPr>
              <w:t>应配置</w:t>
            </w:r>
          </w:p>
        </w:tc>
      </w:tr>
      <w:tr w14:paraId="07A52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F0A6FC1">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2EBE0FE7">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restart"/>
            <w:tcBorders>
              <w:top w:val="nil"/>
            </w:tcBorders>
            <w:shd w:val="clear" w:color="auto" w:fill="auto"/>
            <w:vAlign w:val="center"/>
          </w:tcPr>
          <w:p w14:paraId="085065BE">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ascii="宋体" w:hAnsi="宋体" w:eastAsia="宋体" w:cs="宋体"/>
                <w:color w:val="auto"/>
                <w:kern w:val="2"/>
                <w:sz w:val="18"/>
                <w:szCs w:val="22"/>
                <w:lang w:val="en-US" w:eastAsia="en-US" w:bidi="ar-SA"/>
              </w:rPr>
            </w:pPr>
            <w:r>
              <w:rPr>
                <w:color w:val="auto"/>
                <w:spacing w:val="-2"/>
                <w:sz w:val="18"/>
              </w:rPr>
              <w:t>组合认证出入口控</w:t>
            </w:r>
            <w:r>
              <w:rPr>
                <w:color w:val="auto"/>
                <w:spacing w:val="-4"/>
                <w:sz w:val="18"/>
              </w:rPr>
              <w:t>制装置</w:t>
            </w:r>
          </w:p>
        </w:tc>
        <w:tc>
          <w:tcPr>
            <w:tcW w:w="5352" w:type="dxa"/>
            <w:shd w:val="clear" w:color="auto" w:fill="auto"/>
            <w:vAlign w:val="top"/>
          </w:tcPr>
          <w:p w14:paraId="6AD5415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zh-CN"/>
              </w:rPr>
            </w:pPr>
            <w:r>
              <w:rPr>
                <w:rFonts w:hint="eastAsia"/>
                <w:spacing w:val="-2"/>
                <w:sz w:val="18"/>
                <w:lang w:val="en-US" w:eastAsia="zh-CN"/>
              </w:rPr>
              <w:t>展品库区、库房的出入口</w:t>
            </w:r>
          </w:p>
        </w:tc>
        <w:tc>
          <w:tcPr>
            <w:tcW w:w="845" w:type="dxa"/>
            <w:shd w:val="clear" w:color="auto" w:fill="auto"/>
            <w:vAlign w:val="center"/>
          </w:tcPr>
          <w:p w14:paraId="7393934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default"/>
                <w:color w:val="auto"/>
                <w:spacing w:val="-5"/>
                <w:sz w:val="18"/>
                <w:lang w:val="en-US" w:eastAsia="zh-CN"/>
              </w:rPr>
            </w:pPr>
            <w:r>
              <w:rPr>
                <w:color w:val="auto"/>
                <w:spacing w:val="-5"/>
                <w:sz w:val="18"/>
              </w:rPr>
              <w:t>宜配置</w:t>
            </w:r>
          </w:p>
        </w:tc>
      </w:tr>
      <w:tr w14:paraId="75440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73329AC8">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3FA02872">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4E64F67C">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79C9BFE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需双人双锁管理的出入口</w:t>
            </w:r>
          </w:p>
        </w:tc>
        <w:tc>
          <w:tcPr>
            <w:tcW w:w="845" w:type="dxa"/>
            <w:shd w:val="clear" w:color="auto" w:fill="auto"/>
            <w:vAlign w:val="center"/>
          </w:tcPr>
          <w:p w14:paraId="536D0F9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4EE4B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70B2ABCE">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5595A73F">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tcBorders>
              <w:top w:val="nil"/>
            </w:tcBorders>
            <w:shd w:val="clear" w:color="auto" w:fill="auto"/>
            <w:vAlign w:val="center"/>
          </w:tcPr>
          <w:p w14:paraId="68163771">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hint="default" w:ascii="宋体" w:hAnsi="宋体" w:eastAsia="宋体" w:cs="宋体"/>
                <w:color w:val="auto"/>
                <w:kern w:val="2"/>
                <w:sz w:val="18"/>
                <w:szCs w:val="22"/>
                <w:lang w:val="en-US" w:eastAsia="zh-CN" w:bidi="ar-SA"/>
              </w:rPr>
            </w:pPr>
            <w:r>
              <w:rPr>
                <w:color w:val="auto"/>
                <w:spacing w:val="-2"/>
                <w:sz w:val="18"/>
              </w:rPr>
              <w:t>来访</w:t>
            </w:r>
            <w:r>
              <w:rPr>
                <w:rFonts w:hint="eastAsia"/>
                <w:color w:val="auto"/>
                <w:spacing w:val="-2"/>
                <w:sz w:val="18"/>
                <w:lang w:val="en-US" w:eastAsia="zh-CN"/>
              </w:rPr>
              <w:t>人员身份/人像采集系统</w:t>
            </w:r>
          </w:p>
        </w:tc>
        <w:tc>
          <w:tcPr>
            <w:tcW w:w="5352" w:type="dxa"/>
            <w:shd w:val="clear" w:color="auto" w:fill="auto"/>
            <w:vAlign w:val="top"/>
          </w:tcPr>
          <w:p w14:paraId="4453B58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门卫登记处</w:t>
            </w:r>
          </w:p>
        </w:tc>
        <w:tc>
          <w:tcPr>
            <w:tcW w:w="845" w:type="dxa"/>
            <w:shd w:val="clear" w:color="auto" w:fill="auto"/>
            <w:vAlign w:val="center"/>
          </w:tcPr>
          <w:p w14:paraId="346C0F7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1F27C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730EE18E">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605" w:type="dxa"/>
            <w:vMerge w:val="continue"/>
          </w:tcPr>
          <w:p w14:paraId="09C2FFAD">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tcBorders>
              <w:top w:val="nil"/>
            </w:tcBorders>
            <w:shd w:val="clear" w:color="auto" w:fill="auto"/>
            <w:vAlign w:val="center"/>
          </w:tcPr>
          <w:p w14:paraId="7628356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hint="eastAsia" w:ascii="宋体" w:hAnsi="宋体" w:eastAsia="宋体" w:cs="宋体"/>
                <w:color w:val="auto"/>
                <w:kern w:val="2"/>
                <w:sz w:val="18"/>
                <w:szCs w:val="22"/>
                <w:lang w:val="en-US" w:eastAsia="zh-CN" w:bidi="ar-SA"/>
              </w:rPr>
            </w:pPr>
            <w:r>
              <w:rPr>
                <w:color w:val="auto"/>
                <w:spacing w:val="-4"/>
                <w:sz w:val="18"/>
              </w:rPr>
              <w:t>车辆数据采集系统</w:t>
            </w:r>
          </w:p>
        </w:tc>
        <w:tc>
          <w:tcPr>
            <w:tcW w:w="5352" w:type="dxa"/>
            <w:shd w:val="clear" w:color="auto" w:fill="auto"/>
            <w:vAlign w:val="top"/>
          </w:tcPr>
          <w:p w14:paraId="3282236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院区、停车库/场的出入口</w:t>
            </w:r>
          </w:p>
        </w:tc>
        <w:tc>
          <w:tcPr>
            <w:tcW w:w="845" w:type="dxa"/>
            <w:shd w:val="clear" w:color="auto" w:fill="auto"/>
            <w:vAlign w:val="center"/>
          </w:tcPr>
          <w:p w14:paraId="2F55FD8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3936B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C9B8294">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2304" w:type="dxa"/>
            <w:gridSpan w:val="2"/>
            <w:vMerge w:val="restart"/>
            <w:vAlign w:val="center"/>
          </w:tcPr>
          <w:p w14:paraId="702AFE8F">
            <w:pPr>
              <w:pStyle w:val="60"/>
              <w:keepNext w:val="0"/>
              <w:keepLines w:val="0"/>
              <w:pageBreakBefore w:val="0"/>
              <w:widowControl w:val="0"/>
              <w:kinsoku/>
              <w:wordWrap/>
              <w:overflowPunct/>
              <w:topLinePunct w:val="0"/>
              <w:autoSpaceDE/>
              <w:autoSpaceDN/>
              <w:bidi w:val="0"/>
              <w:adjustRightInd/>
              <w:snapToGrid/>
              <w:spacing w:before="0" w:line="240" w:lineRule="auto"/>
              <w:ind w:left="0" w:right="0"/>
              <w:jc w:val="center"/>
              <w:textAlignment w:val="auto"/>
              <w:rPr>
                <w:rFonts w:hint="eastAsia"/>
                <w:color w:val="auto"/>
                <w:spacing w:val="-3"/>
                <w:sz w:val="18"/>
                <w:lang w:val="en-US" w:eastAsia="zh-CN"/>
              </w:rPr>
            </w:pPr>
            <w:r>
              <w:rPr>
                <w:color w:val="auto"/>
                <w:spacing w:val="-4"/>
                <w:sz w:val="18"/>
              </w:rPr>
              <w:t>声音复核装置</w:t>
            </w:r>
          </w:p>
        </w:tc>
        <w:tc>
          <w:tcPr>
            <w:tcW w:w="5352" w:type="dxa"/>
            <w:vAlign w:val="top"/>
          </w:tcPr>
          <w:p w14:paraId="122E7B2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总服务台、贵重物品寄存处</w:t>
            </w:r>
          </w:p>
        </w:tc>
        <w:tc>
          <w:tcPr>
            <w:tcW w:w="845" w:type="dxa"/>
            <w:vAlign w:val="center"/>
          </w:tcPr>
          <w:p w14:paraId="119FE23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应配置</w:t>
            </w:r>
          </w:p>
        </w:tc>
      </w:tr>
      <w:tr w14:paraId="26CFF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72144AC">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2304" w:type="dxa"/>
            <w:gridSpan w:val="2"/>
            <w:vMerge w:val="continue"/>
            <w:vAlign w:val="center"/>
          </w:tcPr>
          <w:p w14:paraId="1E89E884">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p>
        </w:tc>
        <w:tc>
          <w:tcPr>
            <w:tcW w:w="5352" w:type="dxa"/>
            <w:vAlign w:val="top"/>
          </w:tcPr>
          <w:p w14:paraId="435E919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售（检）票、安检等排队等候区域</w:t>
            </w:r>
          </w:p>
        </w:tc>
        <w:tc>
          <w:tcPr>
            <w:tcW w:w="845" w:type="dxa"/>
            <w:vAlign w:val="center"/>
          </w:tcPr>
          <w:p w14:paraId="67F59C9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宜配置</w:t>
            </w:r>
          </w:p>
        </w:tc>
      </w:tr>
      <w:tr w14:paraId="37651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01334878">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2304" w:type="dxa"/>
            <w:gridSpan w:val="2"/>
            <w:vMerge w:val="continue"/>
            <w:vAlign w:val="center"/>
          </w:tcPr>
          <w:p w14:paraId="3D1BCB8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p>
        </w:tc>
        <w:tc>
          <w:tcPr>
            <w:tcW w:w="5352" w:type="dxa"/>
            <w:vAlign w:val="top"/>
          </w:tcPr>
          <w:p w14:paraId="4D8DD36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展品装卸、拆封、交接、清点区域，展品运送通道</w:t>
            </w:r>
          </w:p>
        </w:tc>
        <w:tc>
          <w:tcPr>
            <w:tcW w:w="845" w:type="dxa"/>
            <w:vAlign w:val="center"/>
          </w:tcPr>
          <w:p w14:paraId="0139380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宜配置</w:t>
            </w:r>
          </w:p>
        </w:tc>
      </w:tr>
      <w:tr w14:paraId="592DE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6B4F62C">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2304" w:type="dxa"/>
            <w:gridSpan w:val="2"/>
            <w:vMerge w:val="continue"/>
            <w:vAlign w:val="center"/>
          </w:tcPr>
          <w:p w14:paraId="1E2D0FE4">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p>
        </w:tc>
        <w:tc>
          <w:tcPr>
            <w:tcW w:w="5352" w:type="dxa"/>
            <w:shd w:val="clear" w:color="auto" w:fill="auto"/>
            <w:vAlign w:val="top"/>
          </w:tcPr>
          <w:p w14:paraId="18BDE28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展品库区、库房的出入口</w:t>
            </w:r>
          </w:p>
        </w:tc>
        <w:tc>
          <w:tcPr>
            <w:tcW w:w="845" w:type="dxa"/>
            <w:shd w:val="clear" w:color="auto" w:fill="auto"/>
            <w:vAlign w:val="center"/>
          </w:tcPr>
          <w:p w14:paraId="13CC1A2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spacing w:val="-5"/>
                <w:kern w:val="2"/>
                <w:sz w:val="18"/>
                <w:szCs w:val="22"/>
                <w:lang w:val="en-US" w:eastAsia="en-US" w:bidi="ar-SA"/>
              </w:rPr>
            </w:pPr>
            <w:r>
              <w:rPr>
                <w:color w:val="auto"/>
                <w:spacing w:val="-5"/>
                <w:sz w:val="18"/>
              </w:rPr>
              <w:t>宜配置</w:t>
            </w:r>
          </w:p>
        </w:tc>
      </w:tr>
    </w:tbl>
    <w:p w14:paraId="5D1063A5">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center"/>
        <w:textAlignment w:val="auto"/>
        <w:rPr>
          <w:rFonts w:hint="eastAsia" w:ascii="黑体" w:hAnsi="黑体" w:eastAsia="黑体" w:cs="黑体"/>
          <w:color w:val="000000"/>
          <w:kern w:val="0"/>
          <w:sz w:val="21"/>
          <w:szCs w:val="21"/>
          <w:lang w:val="en-US" w:eastAsia="zh-CN" w:bidi="ar"/>
        </w:rPr>
      </w:pPr>
    </w:p>
    <w:p w14:paraId="4B12CEFE">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表3  公共文化中心安全技术防范系统配置表（续）</w:t>
      </w:r>
    </w:p>
    <w:tbl>
      <w:tblPr>
        <w:tblStyle w:val="17"/>
        <w:tblpPr w:leftFromText="180" w:rightFromText="180" w:vertAnchor="text" w:horzAnchor="page" w:tblpXSpec="center" w:tblpY="160"/>
        <w:tblOverlap w:val="never"/>
        <w:tblW w:w="91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605"/>
        <w:gridCol w:w="1699"/>
        <w:gridCol w:w="5352"/>
        <w:gridCol w:w="845"/>
      </w:tblGrid>
      <w:tr w14:paraId="6972B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jc w:val="center"/>
        </w:trPr>
        <w:tc>
          <w:tcPr>
            <w:tcW w:w="672" w:type="dxa"/>
          </w:tcPr>
          <w:p w14:paraId="35068335">
            <w:pPr>
              <w:pStyle w:val="60"/>
              <w:spacing w:before="132"/>
              <w:ind w:left="140" w:right="133"/>
              <w:jc w:val="center"/>
              <w:rPr>
                <w:color w:val="auto"/>
                <w:sz w:val="18"/>
              </w:rPr>
            </w:pPr>
            <w:r>
              <w:rPr>
                <w:color w:val="auto"/>
                <w:spacing w:val="-6"/>
                <w:sz w:val="18"/>
              </w:rPr>
              <w:t>序号</w:t>
            </w:r>
          </w:p>
        </w:tc>
        <w:tc>
          <w:tcPr>
            <w:tcW w:w="2304" w:type="dxa"/>
            <w:gridSpan w:val="2"/>
          </w:tcPr>
          <w:p w14:paraId="410B1FB5">
            <w:pPr>
              <w:pStyle w:val="60"/>
              <w:spacing w:before="132"/>
              <w:ind w:left="958" w:right="946"/>
              <w:jc w:val="both"/>
              <w:rPr>
                <w:color w:val="auto"/>
                <w:sz w:val="18"/>
              </w:rPr>
            </w:pPr>
            <w:r>
              <w:rPr>
                <w:color w:val="auto"/>
                <w:spacing w:val="-6"/>
                <w:sz w:val="18"/>
              </w:rPr>
              <w:t>项目</w:t>
            </w:r>
          </w:p>
        </w:tc>
        <w:tc>
          <w:tcPr>
            <w:tcW w:w="5352" w:type="dxa"/>
          </w:tcPr>
          <w:p w14:paraId="1ED348EF">
            <w:pPr>
              <w:pStyle w:val="60"/>
              <w:spacing w:before="132"/>
              <w:ind w:left="1862" w:right="1847"/>
              <w:jc w:val="center"/>
              <w:rPr>
                <w:color w:val="auto"/>
                <w:sz w:val="18"/>
              </w:rPr>
            </w:pPr>
            <w:r>
              <w:rPr>
                <w:color w:val="auto"/>
                <w:spacing w:val="-3"/>
                <w:sz w:val="18"/>
              </w:rPr>
              <w:t>安装区域或覆盖范围</w:t>
            </w:r>
          </w:p>
        </w:tc>
        <w:tc>
          <w:tcPr>
            <w:tcW w:w="845" w:type="dxa"/>
          </w:tcPr>
          <w:p w14:paraId="50B94BED">
            <w:pPr>
              <w:pStyle w:val="60"/>
              <w:spacing w:before="12" w:line="230" w:lineRule="atLeast"/>
              <w:ind w:left="245" w:right="227"/>
              <w:rPr>
                <w:color w:val="auto"/>
                <w:sz w:val="18"/>
              </w:rPr>
            </w:pPr>
            <w:r>
              <w:rPr>
                <w:color w:val="auto"/>
                <w:spacing w:val="-6"/>
                <w:sz w:val="18"/>
              </w:rPr>
              <w:t>配置要求</w:t>
            </w:r>
          </w:p>
        </w:tc>
      </w:tr>
      <w:tr w14:paraId="49171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0942B1E0">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restart"/>
            <w:shd w:val="clear" w:color="auto" w:fill="auto"/>
            <w:vAlign w:val="center"/>
          </w:tcPr>
          <w:p w14:paraId="1E9A99EB">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4"/>
                <w:sz w:val="18"/>
              </w:rPr>
              <w:t>声音复核装置</w:t>
            </w:r>
          </w:p>
        </w:tc>
        <w:tc>
          <w:tcPr>
            <w:tcW w:w="5352" w:type="dxa"/>
            <w:shd w:val="clear" w:color="auto" w:fill="auto"/>
            <w:vAlign w:val="top"/>
          </w:tcPr>
          <w:p w14:paraId="0CADF9D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展场、展厅的出入口</w:t>
            </w:r>
          </w:p>
        </w:tc>
        <w:tc>
          <w:tcPr>
            <w:tcW w:w="845" w:type="dxa"/>
            <w:shd w:val="clear" w:color="auto" w:fill="auto"/>
            <w:vAlign w:val="center"/>
          </w:tcPr>
          <w:p w14:paraId="4636685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宜配置</w:t>
            </w:r>
          </w:p>
        </w:tc>
      </w:tr>
      <w:tr w14:paraId="69BC7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B71C50A">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continue"/>
          </w:tcPr>
          <w:p w14:paraId="1A97AB03">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7DAD12C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展场、展厅的主要通道</w:t>
            </w:r>
          </w:p>
        </w:tc>
        <w:tc>
          <w:tcPr>
            <w:tcW w:w="845" w:type="dxa"/>
            <w:shd w:val="clear" w:color="auto" w:fill="auto"/>
            <w:vAlign w:val="center"/>
          </w:tcPr>
          <w:p w14:paraId="09DE5B6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宜配置</w:t>
            </w:r>
          </w:p>
        </w:tc>
      </w:tr>
      <w:tr w14:paraId="35CC5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77502A8A">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continue"/>
          </w:tcPr>
          <w:p w14:paraId="3838AD8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79F612E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特殊展品的展示部位及展示区域</w:t>
            </w:r>
          </w:p>
        </w:tc>
        <w:tc>
          <w:tcPr>
            <w:tcW w:w="845" w:type="dxa"/>
            <w:shd w:val="clear" w:color="auto" w:fill="auto"/>
            <w:vAlign w:val="center"/>
          </w:tcPr>
          <w:p w14:paraId="17B01D0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059AC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3061F62">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Align w:val="top"/>
          </w:tcPr>
          <w:p w14:paraId="2BFA3BC2">
            <w:pPr>
              <w:pStyle w:val="60"/>
              <w:keepNext w:val="0"/>
              <w:keepLines w:val="0"/>
              <w:pageBreakBefore w:val="0"/>
              <w:widowControl w:val="0"/>
              <w:kinsoku/>
              <w:wordWrap/>
              <w:overflowPunct/>
              <w:topLinePunct w:val="0"/>
              <w:autoSpaceDE/>
              <w:autoSpaceDN/>
              <w:bidi w:val="0"/>
              <w:adjustRightInd/>
              <w:snapToGrid/>
              <w:spacing w:before="0"/>
              <w:ind w:left="0"/>
              <w:jc w:val="center"/>
              <w:textAlignment w:val="auto"/>
              <w:rPr>
                <w:rFonts w:ascii="黑体"/>
                <w:color w:val="auto"/>
                <w:sz w:val="18"/>
              </w:rPr>
            </w:pPr>
          </w:p>
          <w:p w14:paraId="36FF31C0">
            <w:pPr>
              <w:pStyle w:val="60"/>
              <w:keepNext w:val="0"/>
              <w:keepLines w:val="0"/>
              <w:pageBreakBefore w:val="0"/>
              <w:widowControl w:val="0"/>
              <w:kinsoku/>
              <w:wordWrap/>
              <w:overflowPunct/>
              <w:topLinePunct w:val="0"/>
              <w:autoSpaceDE/>
              <w:autoSpaceDN/>
              <w:bidi w:val="0"/>
              <w:adjustRightInd/>
              <w:snapToGrid/>
              <w:spacing w:before="0"/>
              <w:ind w:left="0"/>
              <w:jc w:val="center"/>
              <w:textAlignment w:val="auto"/>
              <w:rPr>
                <w:rFonts w:ascii="黑体"/>
                <w:color w:val="auto"/>
                <w:sz w:val="24"/>
              </w:rPr>
            </w:pPr>
          </w:p>
          <w:p w14:paraId="776D3604">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color w:val="auto"/>
                <w:sz w:val="2"/>
                <w:szCs w:val="2"/>
              </w:rPr>
            </w:pPr>
            <w:r>
              <w:rPr>
                <w:color w:val="auto"/>
                <w:spacing w:val="-4"/>
                <w:sz w:val="18"/>
              </w:rPr>
              <w:t>电子巡检系统</w:t>
            </w:r>
          </w:p>
        </w:tc>
        <w:tc>
          <w:tcPr>
            <w:tcW w:w="5352" w:type="dxa"/>
            <w:shd w:val="clear" w:color="auto" w:fill="auto"/>
            <w:vAlign w:val="top"/>
          </w:tcPr>
          <w:p w14:paraId="15B142D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院区周界、出入口、广场，集中停车场、人（车）行主要通道，建筑（含停车库/场）与外界相通的出入口，展馆与外界相通的出入口，检票、安检等排队等候、公共服务区域，展品装卸、转运区域，各楼层公共过厅、公共走道，各楼层（含停车库/场）电梯厅、楼梯（含自动扶梯）口，顶层出入口等开放式重要部位或区域</w:t>
            </w:r>
          </w:p>
        </w:tc>
        <w:tc>
          <w:tcPr>
            <w:tcW w:w="845" w:type="dxa"/>
            <w:shd w:val="clear" w:color="auto" w:fill="auto"/>
            <w:vAlign w:val="center"/>
          </w:tcPr>
          <w:p w14:paraId="5EDE235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31B02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C6EC719">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restart"/>
            <w:vAlign w:val="top"/>
          </w:tcPr>
          <w:p w14:paraId="5041E461">
            <w:pPr>
              <w:pStyle w:val="60"/>
              <w:keepNext w:val="0"/>
              <w:keepLines w:val="0"/>
              <w:pageBreakBefore w:val="0"/>
              <w:widowControl w:val="0"/>
              <w:kinsoku/>
              <w:wordWrap/>
              <w:overflowPunct/>
              <w:topLinePunct w:val="0"/>
              <w:autoSpaceDE/>
              <w:autoSpaceDN/>
              <w:bidi w:val="0"/>
              <w:adjustRightInd/>
              <w:snapToGrid/>
              <w:spacing w:before="0"/>
              <w:ind w:left="0"/>
              <w:jc w:val="center"/>
              <w:textAlignment w:val="auto"/>
              <w:rPr>
                <w:color w:val="auto"/>
                <w:sz w:val="24"/>
              </w:rPr>
            </w:pPr>
          </w:p>
          <w:p w14:paraId="2C7D03D7">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color w:val="auto"/>
                <w:sz w:val="2"/>
                <w:szCs w:val="2"/>
              </w:rPr>
            </w:pPr>
            <w:r>
              <w:rPr>
                <w:color w:val="auto"/>
                <w:spacing w:val="-4"/>
                <w:sz w:val="18"/>
              </w:rPr>
              <w:t>实时电子巡检系统</w:t>
            </w:r>
          </w:p>
        </w:tc>
        <w:tc>
          <w:tcPr>
            <w:tcW w:w="5352" w:type="dxa"/>
            <w:shd w:val="clear" w:color="auto" w:fill="auto"/>
            <w:vAlign w:val="top"/>
          </w:tcPr>
          <w:p w14:paraId="716C8C0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变（配）电、供水泵房、电梯机房、通信机房、空调机房、安防设备等设备机房周边</w:t>
            </w:r>
          </w:p>
        </w:tc>
        <w:tc>
          <w:tcPr>
            <w:tcW w:w="845" w:type="dxa"/>
            <w:shd w:val="clear" w:color="auto" w:fill="auto"/>
            <w:vAlign w:val="center"/>
          </w:tcPr>
          <w:p w14:paraId="054D9FA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6351F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45859C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2304" w:type="dxa"/>
            <w:gridSpan w:val="2"/>
            <w:vMerge w:val="continue"/>
          </w:tcPr>
          <w:p w14:paraId="41DB403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096C90E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其他需要管理部位</w:t>
            </w:r>
          </w:p>
        </w:tc>
        <w:tc>
          <w:tcPr>
            <w:tcW w:w="845" w:type="dxa"/>
            <w:shd w:val="clear" w:color="auto" w:fill="auto"/>
            <w:vAlign w:val="center"/>
          </w:tcPr>
          <w:p w14:paraId="388A816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宜配置</w:t>
            </w:r>
          </w:p>
        </w:tc>
      </w:tr>
      <w:tr w14:paraId="6BE00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3446CD5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color w:val="auto"/>
                <w:sz w:val="18"/>
                <w:lang w:val="en-US" w:eastAsia="zh-CN"/>
              </w:rPr>
            </w:pPr>
          </w:p>
        </w:tc>
        <w:tc>
          <w:tcPr>
            <w:tcW w:w="2304" w:type="dxa"/>
            <w:gridSpan w:val="2"/>
            <w:vAlign w:val="center"/>
          </w:tcPr>
          <w:p w14:paraId="15DFC732">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color w:val="auto"/>
                <w:sz w:val="2"/>
                <w:szCs w:val="2"/>
              </w:rPr>
            </w:pPr>
            <w:r>
              <w:rPr>
                <w:color w:val="auto"/>
                <w:spacing w:val="-4"/>
                <w:sz w:val="18"/>
              </w:rPr>
              <w:t>安防中心控制室</w:t>
            </w:r>
          </w:p>
        </w:tc>
        <w:tc>
          <w:tcPr>
            <w:tcW w:w="5352" w:type="dxa"/>
            <w:shd w:val="clear" w:color="auto" w:fill="auto"/>
            <w:vAlign w:val="top"/>
          </w:tcPr>
          <w:p w14:paraId="0D81652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default"/>
                <w:spacing w:val="-2"/>
                <w:sz w:val="18"/>
                <w:lang w:val="en-US" w:eastAsia="zh-CN"/>
              </w:rPr>
            </w:pPr>
            <w:r>
              <w:rPr>
                <w:rFonts w:hint="eastAsia"/>
                <w:spacing w:val="-2"/>
                <w:sz w:val="18"/>
                <w:lang w:val="en-US" w:eastAsia="zh-CN"/>
              </w:rPr>
              <w:t>视频安防监控、入侵和紧急报警、实时电子巡检的终端设备，以及出入口控制系统的报警信号输出终端</w:t>
            </w:r>
          </w:p>
        </w:tc>
        <w:tc>
          <w:tcPr>
            <w:tcW w:w="845" w:type="dxa"/>
            <w:shd w:val="clear" w:color="auto" w:fill="auto"/>
            <w:vAlign w:val="center"/>
          </w:tcPr>
          <w:p w14:paraId="3A0D6B4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default" w:ascii="宋体" w:hAnsi="宋体" w:eastAsia="宋体" w:cs="宋体"/>
                <w:color w:val="auto"/>
                <w:kern w:val="2"/>
                <w:sz w:val="18"/>
                <w:szCs w:val="22"/>
                <w:lang w:val="en-US" w:eastAsia="zh-CN" w:bidi="ar-SA"/>
              </w:rPr>
            </w:pPr>
            <w:r>
              <w:rPr>
                <w:color w:val="auto"/>
                <w:spacing w:val="-5"/>
                <w:sz w:val="18"/>
              </w:rPr>
              <w:t>应配置</w:t>
            </w:r>
          </w:p>
        </w:tc>
      </w:tr>
      <w:tr w14:paraId="7FE04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CA7D217">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vAlign w:val="center"/>
          </w:tcPr>
          <w:p w14:paraId="45FE13CE">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color w:val="auto"/>
                <w:sz w:val="2"/>
                <w:szCs w:val="2"/>
              </w:rPr>
            </w:pPr>
            <w:r>
              <w:rPr>
                <w:color w:val="auto"/>
                <w:spacing w:val="-6"/>
                <w:sz w:val="18"/>
              </w:rPr>
              <w:t>专用通讯系统</w:t>
            </w:r>
          </w:p>
        </w:tc>
        <w:tc>
          <w:tcPr>
            <w:tcW w:w="1699" w:type="dxa"/>
            <w:vAlign w:val="center"/>
          </w:tcPr>
          <w:p w14:paraId="028D273B">
            <w:pPr>
              <w:pStyle w:val="60"/>
              <w:keepNext w:val="0"/>
              <w:keepLines w:val="0"/>
              <w:pageBreakBefore w:val="0"/>
              <w:widowControl w:val="0"/>
              <w:kinsoku/>
              <w:wordWrap/>
              <w:overflowPunct/>
              <w:topLinePunct w:val="0"/>
              <w:autoSpaceDE/>
              <w:autoSpaceDN/>
              <w:bidi w:val="0"/>
              <w:adjustRightInd/>
              <w:snapToGrid/>
              <w:spacing w:before="0"/>
              <w:ind w:left="0" w:leftChars="0" w:right="114" w:rightChars="0"/>
              <w:jc w:val="center"/>
              <w:textAlignment w:val="auto"/>
              <w:rPr>
                <w:color w:val="auto"/>
                <w:sz w:val="2"/>
                <w:szCs w:val="2"/>
              </w:rPr>
            </w:pPr>
            <w:r>
              <w:rPr>
                <w:color w:val="auto"/>
                <w:spacing w:val="-4"/>
                <w:sz w:val="18"/>
              </w:rPr>
              <w:t>来电号码显示</w:t>
            </w:r>
          </w:p>
        </w:tc>
        <w:tc>
          <w:tcPr>
            <w:tcW w:w="5352" w:type="dxa"/>
            <w:shd w:val="clear" w:color="auto" w:fill="auto"/>
            <w:vAlign w:val="top"/>
          </w:tcPr>
          <w:p w14:paraId="18224FB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对外公开的直线电话</w:t>
            </w:r>
          </w:p>
        </w:tc>
        <w:tc>
          <w:tcPr>
            <w:tcW w:w="845" w:type="dxa"/>
            <w:shd w:val="clear" w:color="auto" w:fill="auto"/>
            <w:vAlign w:val="center"/>
          </w:tcPr>
          <w:p w14:paraId="741384E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00711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B16766E">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44097C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Merge w:val="restart"/>
            <w:vAlign w:val="center"/>
          </w:tcPr>
          <w:p w14:paraId="43B195DD">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color w:val="auto"/>
                <w:sz w:val="2"/>
                <w:szCs w:val="2"/>
              </w:rPr>
            </w:pPr>
            <w:r>
              <w:rPr>
                <w:color w:val="auto"/>
                <w:spacing w:val="-4"/>
                <w:sz w:val="18"/>
              </w:rPr>
              <w:t>保安人员对讲设备</w:t>
            </w:r>
          </w:p>
        </w:tc>
        <w:tc>
          <w:tcPr>
            <w:tcW w:w="5352" w:type="dxa"/>
            <w:shd w:val="clear" w:color="auto" w:fill="auto"/>
            <w:vAlign w:val="top"/>
          </w:tcPr>
          <w:p w14:paraId="45C1A3A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人员聚集区、广场区域</w:t>
            </w:r>
          </w:p>
        </w:tc>
        <w:tc>
          <w:tcPr>
            <w:tcW w:w="845" w:type="dxa"/>
            <w:shd w:val="clear" w:color="auto" w:fill="auto"/>
            <w:vAlign w:val="center"/>
          </w:tcPr>
          <w:p w14:paraId="7361D42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65206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78BABCA5">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6C79534D">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shd w:val="clear" w:color="auto" w:fill="auto"/>
            <w:vAlign w:val="center"/>
          </w:tcPr>
          <w:p w14:paraId="18F18825">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p>
        </w:tc>
        <w:tc>
          <w:tcPr>
            <w:tcW w:w="5352" w:type="dxa"/>
            <w:shd w:val="clear" w:color="auto" w:fill="auto"/>
            <w:vAlign w:val="top"/>
          </w:tcPr>
          <w:p w14:paraId="1F82EC4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售（检）票、安检等排队等候区域</w:t>
            </w:r>
          </w:p>
        </w:tc>
        <w:tc>
          <w:tcPr>
            <w:tcW w:w="845" w:type="dxa"/>
            <w:shd w:val="clear" w:color="auto" w:fill="auto"/>
            <w:vAlign w:val="center"/>
          </w:tcPr>
          <w:p w14:paraId="2C0E124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35CE5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BFAA65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39B332E8">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62D8E316">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210F23D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展品装卸、转运区域</w:t>
            </w:r>
          </w:p>
        </w:tc>
        <w:tc>
          <w:tcPr>
            <w:tcW w:w="845" w:type="dxa"/>
            <w:shd w:val="clear" w:color="auto" w:fill="auto"/>
            <w:vAlign w:val="center"/>
          </w:tcPr>
          <w:p w14:paraId="7412CFC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012C0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5E9A71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4FFD630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3E47C1E4">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5525E80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展场、展厅的出入口</w:t>
            </w:r>
          </w:p>
        </w:tc>
        <w:tc>
          <w:tcPr>
            <w:tcW w:w="845" w:type="dxa"/>
            <w:shd w:val="clear" w:color="auto" w:fill="auto"/>
            <w:vAlign w:val="center"/>
          </w:tcPr>
          <w:p w14:paraId="68063E5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4FE1A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ECF5247">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43770314">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414390A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6CA7733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展场、展厅的主要通道</w:t>
            </w:r>
          </w:p>
        </w:tc>
        <w:tc>
          <w:tcPr>
            <w:tcW w:w="845" w:type="dxa"/>
            <w:shd w:val="clear" w:color="auto" w:fill="auto"/>
            <w:vAlign w:val="center"/>
          </w:tcPr>
          <w:p w14:paraId="3B96730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19D13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0664A1B1">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17BDC12">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6968D231">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42F5CA9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特殊展品的展示部位及展示区域</w:t>
            </w:r>
          </w:p>
        </w:tc>
        <w:tc>
          <w:tcPr>
            <w:tcW w:w="845" w:type="dxa"/>
            <w:shd w:val="clear" w:color="auto" w:fill="auto"/>
            <w:vAlign w:val="center"/>
          </w:tcPr>
          <w:p w14:paraId="6662743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573E9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A5D959E">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B850BCD">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13A0851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05EE82C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安防中心控制室</w:t>
            </w:r>
          </w:p>
        </w:tc>
        <w:tc>
          <w:tcPr>
            <w:tcW w:w="845" w:type="dxa"/>
            <w:shd w:val="clear" w:color="auto" w:fill="auto"/>
            <w:vAlign w:val="center"/>
          </w:tcPr>
          <w:p w14:paraId="3FD0CF7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58EAF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0485E88">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4AB65030">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596BBE7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318B2EB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地下室、停车（场）库</w:t>
            </w:r>
          </w:p>
        </w:tc>
        <w:tc>
          <w:tcPr>
            <w:tcW w:w="845" w:type="dxa"/>
            <w:shd w:val="clear" w:color="auto" w:fill="auto"/>
            <w:vAlign w:val="center"/>
          </w:tcPr>
          <w:p w14:paraId="72D9730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50706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69ED8ACA">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vAlign w:val="center"/>
          </w:tcPr>
          <w:p w14:paraId="626882D5">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color w:val="auto"/>
                <w:sz w:val="2"/>
                <w:szCs w:val="2"/>
              </w:rPr>
            </w:pPr>
            <w:r>
              <w:rPr>
                <w:color w:val="auto"/>
                <w:spacing w:val="-6"/>
                <w:sz w:val="18"/>
              </w:rPr>
              <w:t>安全检查系统</w:t>
            </w:r>
          </w:p>
        </w:tc>
        <w:tc>
          <w:tcPr>
            <w:tcW w:w="1699" w:type="dxa"/>
            <w:vAlign w:val="center"/>
          </w:tcPr>
          <w:p w14:paraId="3F9ABA12">
            <w:pPr>
              <w:pStyle w:val="60"/>
              <w:keepNext w:val="0"/>
              <w:keepLines w:val="0"/>
              <w:pageBreakBefore w:val="0"/>
              <w:widowControl w:val="0"/>
              <w:kinsoku/>
              <w:wordWrap/>
              <w:overflowPunct/>
              <w:topLinePunct w:val="0"/>
              <w:autoSpaceDE/>
              <w:autoSpaceDN/>
              <w:bidi w:val="0"/>
              <w:adjustRightInd/>
              <w:snapToGrid/>
              <w:spacing w:before="0"/>
              <w:ind w:left="0" w:leftChars="0" w:right="114" w:rightChars="0"/>
              <w:jc w:val="center"/>
              <w:textAlignment w:val="auto"/>
              <w:rPr>
                <w:color w:val="auto"/>
                <w:sz w:val="2"/>
                <w:szCs w:val="2"/>
              </w:rPr>
            </w:pPr>
            <w:r>
              <w:rPr>
                <w:color w:val="auto"/>
                <w:spacing w:val="-4"/>
                <w:sz w:val="18"/>
              </w:rPr>
              <w:t>手持式金属探测器</w:t>
            </w:r>
          </w:p>
        </w:tc>
        <w:tc>
          <w:tcPr>
            <w:tcW w:w="0" w:type="auto"/>
            <w:shd w:val="clear" w:color="auto" w:fill="auto"/>
            <w:vAlign w:val="top"/>
          </w:tcPr>
          <w:p w14:paraId="2E3E996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安检区域</w:t>
            </w:r>
          </w:p>
        </w:tc>
        <w:tc>
          <w:tcPr>
            <w:tcW w:w="845" w:type="dxa"/>
            <w:shd w:val="clear" w:color="auto" w:fill="auto"/>
            <w:vAlign w:val="center"/>
          </w:tcPr>
          <w:p w14:paraId="1EAF975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55A0A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7A1FDBFE">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C05EBE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Align w:val="center"/>
          </w:tcPr>
          <w:p w14:paraId="1A2FE9C2">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color w:val="auto"/>
                <w:sz w:val="2"/>
                <w:szCs w:val="2"/>
              </w:rPr>
            </w:pPr>
            <w:r>
              <w:rPr>
                <w:color w:val="auto"/>
                <w:spacing w:val="-2"/>
                <w:sz w:val="18"/>
              </w:rPr>
              <w:t>通过式金属探测系</w:t>
            </w:r>
            <w:r>
              <w:rPr>
                <w:color w:val="auto"/>
                <w:spacing w:val="-10"/>
                <w:sz w:val="18"/>
              </w:rPr>
              <w:t>统</w:t>
            </w:r>
          </w:p>
        </w:tc>
        <w:tc>
          <w:tcPr>
            <w:tcW w:w="0" w:type="auto"/>
            <w:shd w:val="clear" w:color="auto" w:fill="auto"/>
            <w:vAlign w:val="top"/>
          </w:tcPr>
          <w:p w14:paraId="3D8DE17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安检区域</w:t>
            </w:r>
          </w:p>
        </w:tc>
        <w:tc>
          <w:tcPr>
            <w:tcW w:w="845" w:type="dxa"/>
            <w:shd w:val="clear" w:color="auto" w:fill="auto"/>
            <w:vAlign w:val="center"/>
          </w:tcPr>
          <w:p w14:paraId="43DC5B2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6D418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699AE98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49426D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Align w:val="center"/>
          </w:tcPr>
          <w:p w14:paraId="5397194A">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color w:val="auto"/>
                <w:sz w:val="2"/>
                <w:szCs w:val="2"/>
              </w:rPr>
            </w:pPr>
            <w:r>
              <w:rPr>
                <w:color w:val="auto"/>
                <w:spacing w:val="-2"/>
                <w:sz w:val="18"/>
              </w:rPr>
              <w:t>X射线安全检查设</w:t>
            </w:r>
            <w:r>
              <w:rPr>
                <w:color w:val="auto"/>
                <w:spacing w:val="-10"/>
                <w:sz w:val="18"/>
              </w:rPr>
              <w:t>备</w:t>
            </w:r>
          </w:p>
        </w:tc>
        <w:tc>
          <w:tcPr>
            <w:tcW w:w="0" w:type="auto"/>
            <w:shd w:val="clear" w:color="auto" w:fill="auto"/>
            <w:vAlign w:val="top"/>
          </w:tcPr>
          <w:p w14:paraId="1600EA7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安检区域</w:t>
            </w:r>
          </w:p>
        </w:tc>
        <w:tc>
          <w:tcPr>
            <w:tcW w:w="845" w:type="dxa"/>
            <w:shd w:val="clear" w:color="auto" w:fill="auto"/>
            <w:vAlign w:val="center"/>
          </w:tcPr>
          <w:p w14:paraId="4EC1478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047BE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0B09A72C">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D4918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Align w:val="center"/>
          </w:tcPr>
          <w:p w14:paraId="1E4992AA">
            <w:pPr>
              <w:pStyle w:val="60"/>
              <w:keepNext w:val="0"/>
              <w:keepLines w:val="0"/>
              <w:pageBreakBefore w:val="0"/>
              <w:widowControl w:val="0"/>
              <w:kinsoku/>
              <w:wordWrap/>
              <w:overflowPunct/>
              <w:topLinePunct w:val="0"/>
              <w:autoSpaceDE/>
              <w:autoSpaceDN/>
              <w:bidi w:val="0"/>
              <w:adjustRightInd/>
              <w:snapToGrid/>
              <w:spacing w:before="0"/>
              <w:ind w:left="0" w:leftChars="0" w:right="114" w:rightChars="0"/>
              <w:jc w:val="center"/>
              <w:textAlignment w:val="auto"/>
              <w:rPr>
                <w:color w:val="auto"/>
                <w:sz w:val="2"/>
                <w:szCs w:val="2"/>
              </w:rPr>
            </w:pPr>
            <w:r>
              <w:rPr>
                <w:color w:val="auto"/>
                <w:spacing w:val="-4"/>
                <w:sz w:val="18"/>
              </w:rPr>
              <w:t>防爆毯、防爆罐</w:t>
            </w:r>
          </w:p>
        </w:tc>
        <w:tc>
          <w:tcPr>
            <w:tcW w:w="0" w:type="auto"/>
            <w:shd w:val="clear" w:color="auto" w:fill="auto"/>
            <w:vAlign w:val="top"/>
          </w:tcPr>
          <w:p w14:paraId="7E85FD4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被列为反恐目标的展览馆安检处</w:t>
            </w:r>
          </w:p>
        </w:tc>
        <w:tc>
          <w:tcPr>
            <w:tcW w:w="845" w:type="dxa"/>
            <w:shd w:val="clear" w:color="auto" w:fill="auto"/>
            <w:vAlign w:val="center"/>
          </w:tcPr>
          <w:p w14:paraId="5581FA8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kern w:val="2"/>
                <w:sz w:val="18"/>
                <w:szCs w:val="22"/>
                <w:lang w:val="en-US" w:eastAsia="en-US" w:bidi="ar-SA"/>
              </w:rPr>
            </w:pPr>
            <w:r>
              <w:rPr>
                <w:color w:val="auto"/>
                <w:spacing w:val="-5"/>
                <w:sz w:val="18"/>
              </w:rPr>
              <w:t>应配置</w:t>
            </w:r>
          </w:p>
        </w:tc>
      </w:tr>
      <w:tr w14:paraId="2C939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0D8118F4">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716870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pacing w:val="-6"/>
                <w:kern w:val="2"/>
                <w:sz w:val="18"/>
                <w:szCs w:val="22"/>
                <w:lang w:val="en-US" w:eastAsia="zh-CN" w:bidi="ar-SA"/>
              </w:rPr>
            </w:pPr>
            <w:r>
              <w:rPr>
                <w:rFonts w:hint="eastAsia" w:ascii="宋体" w:hAnsi="宋体" w:eastAsia="宋体" w:cs="宋体"/>
                <w:color w:val="auto"/>
                <w:spacing w:val="-6"/>
                <w:kern w:val="2"/>
                <w:sz w:val="18"/>
                <w:szCs w:val="22"/>
                <w:lang w:val="en-US" w:eastAsia="zh-CN" w:bidi="ar-SA"/>
              </w:rPr>
              <w:t>实体防护装置</w:t>
            </w:r>
          </w:p>
        </w:tc>
        <w:tc>
          <w:tcPr>
            <w:tcW w:w="1699" w:type="dxa"/>
            <w:shd w:val="clear" w:color="auto" w:fill="auto"/>
            <w:vAlign w:val="center"/>
          </w:tcPr>
          <w:p w14:paraId="5F5F1385">
            <w:pPr>
              <w:pStyle w:val="60"/>
              <w:keepNext w:val="0"/>
              <w:keepLines w:val="0"/>
              <w:pageBreakBefore w:val="0"/>
              <w:widowControl w:val="0"/>
              <w:kinsoku/>
              <w:wordWrap/>
              <w:overflowPunct/>
              <w:topLinePunct w:val="0"/>
              <w:autoSpaceDE/>
              <w:autoSpaceDN/>
              <w:bidi w:val="0"/>
              <w:adjustRightInd/>
              <w:snapToGrid/>
              <w:spacing w:before="0"/>
              <w:ind w:left="0" w:leftChars="0" w:right="114" w:rightChars="0"/>
              <w:jc w:val="center"/>
              <w:textAlignment w:val="auto"/>
              <w:rPr>
                <w:rFonts w:ascii="宋体" w:hAnsi="宋体" w:eastAsia="宋体" w:cs="宋体"/>
                <w:color w:val="auto"/>
                <w:spacing w:val="-6"/>
                <w:kern w:val="2"/>
                <w:sz w:val="18"/>
                <w:szCs w:val="22"/>
                <w:lang w:val="en-US" w:eastAsia="en-US" w:bidi="ar-SA"/>
              </w:rPr>
            </w:pPr>
            <w:r>
              <w:rPr>
                <w:color w:val="auto"/>
                <w:spacing w:val="-2"/>
                <w:sz w:val="18"/>
              </w:rPr>
              <w:t>防暴升降式阻车路</w:t>
            </w:r>
            <w:r>
              <w:rPr>
                <w:color w:val="auto"/>
                <w:spacing w:val="-10"/>
                <w:sz w:val="18"/>
              </w:rPr>
              <w:t>障</w:t>
            </w:r>
          </w:p>
        </w:tc>
        <w:tc>
          <w:tcPr>
            <w:tcW w:w="0" w:type="auto"/>
            <w:shd w:val="clear" w:color="auto" w:fill="auto"/>
            <w:vAlign w:val="top"/>
          </w:tcPr>
          <w:p w14:paraId="22DAF92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被列为反恐目标的院区车辆出入口</w:t>
            </w:r>
          </w:p>
        </w:tc>
        <w:tc>
          <w:tcPr>
            <w:tcW w:w="845" w:type="dxa"/>
            <w:shd w:val="clear" w:color="auto" w:fill="auto"/>
            <w:vAlign w:val="center"/>
          </w:tcPr>
          <w:p w14:paraId="5085894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spacing w:val="-5"/>
                <w:kern w:val="2"/>
                <w:sz w:val="18"/>
                <w:szCs w:val="22"/>
                <w:lang w:val="en-US" w:eastAsia="en-US" w:bidi="ar-SA"/>
              </w:rPr>
            </w:pPr>
            <w:r>
              <w:rPr>
                <w:color w:val="auto"/>
                <w:spacing w:val="-5"/>
                <w:sz w:val="18"/>
              </w:rPr>
              <w:t>应配置</w:t>
            </w:r>
          </w:p>
        </w:tc>
      </w:tr>
      <w:tr w14:paraId="63E1D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389EC231">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B92039E">
            <w:pPr>
              <w:keepNext w:val="0"/>
              <w:keepLines w:val="0"/>
              <w:pageBreakBefore w:val="0"/>
              <w:widowControl w:val="0"/>
              <w:kinsoku/>
              <w:wordWrap/>
              <w:overflowPunct/>
              <w:topLinePunct w:val="0"/>
              <w:autoSpaceDE/>
              <w:autoSpaceDN/>
              <w:bidi w:val="0"/>
              <w:adjustRightInd/>
              <w:snapToGrid/>
              <w:ind w:left="0" w:leftChars="0"/>
              <w:jc w:val="center"/>
              <w:textAlignment w:val="auto"/>
              <w:rPr>
                <w:color w:val="auto"/>
                <w:sz w:val="2"/>
                <w:szCs w:val="2"/>
              </w:rPr>
            </w:pPr>
          </w:p>
        </w:tc>
        <w:tc>
          <w:tcPr>
            <w:tcW w:w="1699" w:type="dxa"/>
            <w:vMerge w:val="restart"/>
            <w:vAlign w:val="center"/>
          </w:tcPr>
          <w:p w14:paraId="60C542DD">
            <w:pPr>
              <w:pStyle w:val="60"/>
              <w:keepNext w:val="0"/>
              <w:keepLines w:val="0"/>
              <w:pageBreakBefore w:val="0"/>
              <w:widowControl w:val="0"/>
              <w:kinsoku/>
              <w:wordWrap/>
              <w:overflowPunct/>
              <w:topLinePunct w:val="0"/>
              <w:autoSpaceDE/>
              <w:autoSpaceDN/>
              <w:bidi w:val="0"/>
              <w:adjustRightInd/>
              <w:snapToGrid/>
              <w:spacing w:before="0"/>
              <w:ind w:left="0" w:leftChars="0" w:right="114" w:rightChars="0"/>
              <w:jc w:val="center"/>
              <w:textAlignment w:val="auto"/>
              <w:rPr>
                <w:color w:val="auto"/>
                <w:sz w:val="2"/>
                <w:szCs w:val="2"/>
              </w:rPr>
            </w:pPr>
            <w:r>
              <w:rPr>
                <w:color w:val="auto"/>
                <w:spacing w:val="-2"/>
                <w:sz w:val="18"/>
              </w:rPr>
              <w:t>防盗安全门、金属</w:t>
            </w:r>
            <w:r>
              <w:rPr>
                <w:color w:val="auto"/>
                <w:spacing w:val="-4"/>
                <w:sz w:val="18"/>
              </w:rPr>
              <w:t>防护门</w:t>
            </w:r>
          </w:p>
        </w:tc>
        <w:tc>
          <w:tcPr>
            <w:tcW w:w="0" w:type="auto"/>
            <w:shd w:val="clear" w:color="auto" w:fill="auto"/>
            <w:vAlign w:val="top"/>
          </w:tcPr>
          <w:p w14:paraId="23C17E1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贵重物品寄存处的出入口</w:t>
            </w:r>
          </w:p>
        </w:tc>
        <w:tc>
          <w:tcPr>
            <w:tcW w:w="845" w:type="dxa"/>
            <w:shd w:val="clear" w:color="auto" w:fill="auto"/>
            <w:vAlign w:val="center"/>
          </w:tcPr>
          <w:p w14:paraId="10E378F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spacing w:val="-5"/>
                <w:kern w:val="2"/>
                <w:sz w:val="18"/>
                <w:szCs w:val="22"/>
                <w:lang w:val="en-US" w:eastAsia="en-US" w:bidi="ar-SA"/>
              </w:rPr>
            </w:pPr>
            <w:r>
              <w:rPr>
                <w:color w:val="auto"/>
                <w:spacing w:val="-5"/>
                <w:sz w:val="18"/>
              </w:rPr>
              <w:t>应配置</w:t>
            </w:r>
          </w:p>
        </w:tc>
      </w:tr>
      <w:tr w14:paraId="60472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3A1E26F3">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444176D">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color w:val="auto"/>
                <w:sz w:val="2"/>
                <w:szCs w:val="2"/>
              </w:rPr>
            </w:pPr>
          </w:p>
        </w:tc>
        <w:tc>
          <w:tcPr>
            <w:tcW w:w="1699" w:type="dxa"/>
            <w:vMerge w:val="continue"/>
            <w:vAlign w:val="center"/>
          </w:tcPr>
          <w:p w14:paraId="3CBE772A">
            <w:pPr>
              <w:pStyle w:val="60"/>
              <w:keepNext w:val="0"/>
              <w:keepLines w:val="0"/>
              <w:pageBreakBefore w:val="0"/>
              <w:widowControl w:val="0"/>
              <w:kinsoku/>
              <w:wordWrap/>
              <w:overflowPunct/>
              <w:topLinePunct w:val="0"/>
              <w:autoSpaceDE/>
              <w:autoSpaceDN/>
              <w:bidi w:val="0"/>
              <w:adjustRightInd/>
              <w:snapToGrid/>
              <w:spacing w:before="0"/>
              <w:ind w:left="0" w:leftChars="0" w:right="114" w:rightChars="0"/>
              <w:jc w:val="center"/>
              <w:textAlignment w:val="auto"/>
              <w:rPr>
                <w:color w:val="auto"/>
                <w:sz w:val="2"/>
                <w:szCs w:val="2"/>
              </w:rPr>
            </w:pPr>
          </w:p>
        </w:tc>
        <w:tc>
          <w:tcPr>
            <w:tcW w:w="0" w:type="auto"/>
            <w:shd w:val="clear" w:color="auto" w:fill="auto"/>
            <w:vAlign w:val="top"/>
          </w:tcPr>
          <w:p w14:paraId="70E3FB9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展场、展厅的出入口</w:t>
            </w:r>
          </w:p>
        </w:tc>
        <w:tc>
          <w:tcPr>
            <w:tcW w:w="845" w:type="dxa"/>
            <w:shd w:val="clear" w:color="auto" w:fill="auto"/>
            <w:vAlign w:val="center"/>
          </w:tcPr>
          <w:p w14:paraId="341D07F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spacing w:val="-5"/>
                <w:kern w:val="2"/>
                <w:sz w:val="18"/>
                <w:szCs w:val="22"/>
                <w:lang w:val="en-US" w:eastAsia="en-US" w:bidi="ar-SA"/>
              </w:rPr>
            </w:pPr>
            <w:r>
              <w:rPr>
                <w:color w:val="auto"/>
                <w:spacing w:val="-5"/>
                <w:sz w:val="18"/>
              </w:rPr>
              <w:t>宜配置</w:t>
            </w:r>
          </w:p>
        </w:tc>
      </w:tr>
      <w:tr w14:paraId="52724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27AFCA6E">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044C3E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Merge w:val="continue"/>
            <w:vAlign w:val="center"/>
          </w:tcPr>
          <w:p w14:paraId="259DB6E6">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color w:val="auto"/>
                <w:sz w:val="2"/>
                <w:szCs w:val="2"/>
              </w:rPr>
            </w:pPr>
          </w:p>
        </w:tc>
        <w:tc>
          <w:tcPr>
            <w:tcW w:w="0" w:type="auto"/>
            <w:shd w:val="clear" w:color="auto" w:fill="auto"/>
            <w:vAlign w:val="top"/>
          </w:tcPr>
          <w:p w14:paraId="7D0AB91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顶层出入口</w:t>
            </w:r>
          </w:p>
        </w:tc>
        <w:tc>
          <w:tcPr>
            <w:tcW w:w="845" w:type="dxa"/>
            <w:shd w:val="clear" w:color="auto" w:fill="auto"/>
            <w:vAlign w:val="center"/>
          </w:tcPr>
          <w:p w14:paraId="7C7F3416">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color w:val="auto"/>
                <w:spacing w:val="-5"/>
                <w:kern w:val="2"/>
                <w:sz w:val="18"/>
                <w:szCs w:val="22"/>
                <w:lang w:val="en-US" w:eastAsia="en-US" w:bidi="ar-SA"/>
              </w:rPr>
            </w:pPr>
            <w:r>
              <w:rPr>
                <w:color w:val="auto"/>
                <w:spacing w:val="-5"/>
                <w:sz w:val="18"/>
              </w:rPr>
              <w:t>应配置</w:t>
            </w:r>
          </w:p>
        </w:tc>
      </w:tr>
      <w:tr w14:paraId="079C2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20769370">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1BBC5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Merge w:val="continue"/>
            <w:vAlign w:val="center"/>
          </w:tcPr>
          <w:p w14:paraId="3817BFC3">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color w:val="auto"/>
                <w:sz w:val="2"/>
                <w:szCs w:val="2"/>
              </w:rPr>
            </w:pPr>
          </w:p>
        </w:tc>
        <w:tc>
          <w:tcPr>
            <w:tcW w:w="5352" w:type="dxa"/>
            <w:shd w:val="clear" w:color="auto" w:fill="auto"/>
            <w:vAlign w:val="top"/>
          </w:tcPr>
          <w:p w14:paraId="6B75059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变（配）电、供水泵房、电梯机房、通信机房、空调机房等设备机房的出入口</w:t>
            </w:r>
          </w:p>
        </w:tc>
        <w:tc>
          <w:tcPr>
            <w:tcW w:w="845" w:type="dxa"/>
            <w:shd w:val="clear" w:color="auto" w:fill="auto"/>
            <w:vAlign w:val="center"/>
          </w:tcPr>
          <w:p w14:paraId="382C673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宜配置</w:t>
            </w:r>
          </w:p>
        </w:tc>
      </w:tr>
      <w:tr w14:paraId="257AB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39B9945A">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722D3C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Merge w:val="continue"/>
            <w:vAlign w:val="center"/>
          </w:tcPr>
          <w:p w14:paraId="32E555D1">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color w:val="auto"/>
                <w:sz w:val="2"/>
                <w:szCs w:val="2"/>
              </w:rPr>
            </w:pPr>
          </w:p>
        </w:tc>
        <w:tc>
          <w:tcPr>
            <w:tcW w:w="5352" w:type="dxa"/>
            <w:shd w:val="clear" w:color="auto" w:fill="auto"/>
            <w:vAlign w:val="top"/>
          </w:tcPr>
          <w:p w14:paraId="6F3F9E32">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安防设备等重要设备机房的出入口</w:t>
            </w:r>
          </w:p>
        </w:tc>
        <w:tc>
          <w:tcPr>
            <w:tcW w:w="845" w:type="dxa"/>
            <w:shd w:val="clear" w:color="auto" w:fill="auto"/>
            <w:vAlign w:val="center"/>
          </w:tcPr>
          <w:p w14:paraId="37AAD34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应配置</w:t>
            </w:r>
          </w:p>
        </w:tc>
      </w:tr>
      <w:tr w14:paraId="00906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6D8ECD8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22A4F5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Merge w:val="continue"/>
            <w:vAlign w:val="center"/>
          </w:tcPr>
          <w:p w14:paraId="61EBEEE4">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color w:val="auto"/>
                <w:sz w:val="2"/>
                <w:szCs w:val="2"/>
              </w:rPr>
            </w:pPr>
          </w:p>
        </w:tc>
        <w:tc>
          <w:tcPr>
            <w:tcW w:w="5352" w:type="dxa"/>
            <w:shd w:val="clear" w:color="auto" w:fill="auto"/>
            <w:vAlign w:val="top"/>
          </w:tcPr>
          <w:p w14:paraId="372D87D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档案资料室</w:t>
            </w:r>
          </w:p>
        </w:tc>
        <w:tc>
          <w:tcPr>
            <w:tcW w:w="845" w:type="dxa"/>
            <w:shd w:val="clear" w:color="auto" w:fill="auto"/>
            <w:vAlign w:val="center"/>
          </w:tcPr>
          <w:p w14:paraId="404B41B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应配置</w:t>
            </w:r>
          </w:p>
        </w:tc>
      </w:tr>
      <w:tr w14:paraId="6ABAD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0ACADC71">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06DDEA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Merge w:val="continue"/>
            <w:vAlign w:val="center"/>
          </w:tcPr>
          <w:p w14:paraId="53ED872A">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color w:val="auto"/>
                <w:sz w:val="2"/>
                <w:szCs w:val="2"/>
              </w:rPr>
            </w:pPr>
          </w:p>
        </w:tc>
        <w:tc>
          <w:tcPr>
            <w:tcW w:w="5352" w:type="dxa"/>
            <w:shd w:val="clear" w:color="auto" w:fill="auto"/>
            <w:vAlign w:val="top"/>
          </w:tcPr>
          <w:p w14:paraId="0B83033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安防中心控制室</w:t>
            </w:r>
          </w:p>
        </w:tc>
        <w:tc>
          <w:tcPr>
            <w:tcW w:w="845" w:type="dxa"/>
            <w:shd w:val="clear" w:color="auto" w:fill="auto"/>
            <w:vAlign w:val="center"/>
          </w:tcPr>
          <w:p w14:paraId="384E0B3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应配置</w:t>
            </w:r>
          </w:p>
        </w:tc>
      </w:tr>
      <w:tr w14:paraId="45925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3C503E44">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D289D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Align w:val="center"/>
          </w:tcPr>
          <w:p w14:paraId="43DB0F17">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color w:val="auto"/>
                <w:sz w:val="2"/>
                <w:szCs w:val="2"/>
              </w:rPr>
            </w:pPr>
            <w:r>
              <w:rPr>
                <w:color w:val="auto"/>
                <w:spacing w:val="-4"/>
                <w:sz w:val="18"/>
              </w:rPr>
              <w:t>防盗安全门</w:t>
            </w:r>
          </w:p>
        </w:tc>
        <w:tc>
          <w:tcPr>
            <w:tcW w:w="5352" w:type="dxa"/>
            <w:shd w:val="clear" w:color="auto" w:fill="auto"/>
            <w:vAlign w:val="top"/>
          </w:tcPr>
          <w:p w14:paraId="54CFEEC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zh-CN"/>
              </w:rPr>
            </w:pPr>
            <w:r>
              <w:rPr>
                <w:rFonts w:hint="eastAsia"/>
                <w:spacing w:val="-2"/>
                <w:sz w:val="18"/>
                <w:lang w:val="en-US" w:eastAsia="zh-CN"/>
              </w:rPr>
              <w:t>展品库区、库房的出入口、财务室</w:t>
            </w:r>
          </w:p>
        </w:tc>
        <w:tc>
          <w:tcPr>
            <w:tcW w:w="845" w:type="dxa"/>
            <w:shd w:val="clear" w:color="auto" w:fill="auto"/>
            <w:vAlign w:val="center"/>
          </w:tcPr>
          <w:p w14:paraId="2A907D8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rPr>
            </w:pPr>
            <w:r>
              <w:rPr>
                <w:color w:val="auto"/>
                <w:spacing w:val="-5"/>
                <w:sz w:val="18"/>
              </w:rPr>
              <w:t>应配置</w:t>
            </w:r>
          </w:p>
        </w:tc>
      </w:tr>
    </w:tbl>
    <w:p w14:paraId="772E1390">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表3  公共文化中心安全技术防范系统配置表（续）</w:t>
      </w:r>
    </w:p>
    <w:tbl>
      <w:tblPr>
        <w:tblStyle w:val="17"/>
        <w:tblpPr w:leftFromText="180" w:rightFromText="180" w:vertAnchor="text" w:horzAnchor="page" w:tblpXSpec="center" w:tblpY="160"/>
        <w:tblOverlap w:val="never"/>
        <w:tblW w:w="91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605"/>
        <w:gridCol w:w="1699"/>
        <w:gridCol w:w="5352"/>
        <w:gridCol w:w="845"/>
      </w:tblGrid>
      <w:tr w14:paraId="78553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jc w:val="center"/>
        </w:trPr>
        <w:tc>
          <w:tcPr>
            <w:tcW w:w="672" w:type="dxa"/>
          </w:tcPr>
          <w:p w14:paraId="30EA16E5">
            <w:pPr>
              <w:pStyle w:val="60"/>
              <w:spacing w:before="132"/>
              <w:ind w:left="140" w:right="133"/>
              <w:jc w:val="center"/>
              <w:rPr>
                <w:color w:val="auto"/>
                <w:sz w:val="18"/>
              </w:rPr>
            </w:pPr>
            <w:r>
              <w:rPr>
                <w:color w:val="auto"/>
                <w:spacing w:val="-6"/>
                <w:sz w:val="18"/>
              </w:rPr>
              <w:t>序号</w:t>
            </w:r>
          </w:p>
        </w:tc>
        <w:tc>
          <w:tcPr>
            <w:tcW w:w="2304" w:type="dxa"/>
            <w:gridSpan w:val="2"/>
          </w:tcPr>
          <w:p w14:paraId="460E1642">
            <w:pPr>
              <w:pStyle w:val="60"/>
              <w:spacing w:before="132"/>
              <w:ind w:left="958" w:right="946"/>
              <w:jc w:val="both"/>
              <w:rPr>
                <w:color w:val="auto"/>
                <w:sz w:val="18"/>
              </w:rPr>
            </w:pPr>
            <w:r>
              <w:rPr>
                <w:color w:val="auto"/>
                <w:spacing w:val="-6"/>
                <w:sz w:val="18"/>
              </w:rPr>
              <w:t>项目</w:t>
            </w:r>
          </w:p>
        </w:tc>
        <w:tc>
          <w:tcPr>
            <w:tcW w:w="5352" w:type="dxa"/>
          </w:tcPr>
          <w:p w14:paraId="77E11502">
            <w:pPr>
              <w:pStyle w:val="60"/>
              <w:spacing w:before="132"/>
              <w:ind w:left="1862" w:right="1847"/>
              <w:jc w:val="center"/>
              <w:rPr>
                <w:color w:val="auto"/>
                <w:sz w:val="18"/>
              </w:rPr>
            </w:pPr>
            <w:r>
              <w:rPr>
                <w:color w:val="auto"/>
                <w:spacing w:val="-3"/>
                <w:sz w:val="18"/>
              </w:rPr>
              <w:t>安装区域或覆盖范围</w:t>
            </w:r>
          </w:p>
        </w:tc>
        <w:tc>
          <w:tcPr>
            <w:tcW w:w="845" w:type="dxa"/>
          </w:tcPr>
          <w:p w14:paraId="5E1F6670">
            <w:pPr>
              <w:pStyle w:val="60"/>
              <w:spacing w:before="12" w:line="230" w:lineRule="atLeast"/>
              <w:ind w:left="245" w:right="227"/>
              <w:rPr>
                <w:color w:val="auto"/>
                <w:sz w:val="18"/>
              </w:rPr>
            </w:pPr>
            <w:r>
              <w:rPr>
                <w:color w:val="auto"/>
                <w:spacing w:val="-6"/>
                <w:sz w:val="18"/>
              </w:rPr>
              <w:t>配置要求</w:t>
            </w:r>
          </w:p>
        </w:tc>
      </w:tr>
      <w:tr w14:paraId="4718E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03F1A4B5">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62DFB7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eastAsia="宋体" w:cs="宋体"/>
                <w:color w:val="auto"/>
                <w:spacing w:val="-6"/>
                <w:kern w:val="2"/>
                <w:sz w:val="18"/>
                <w:szCs w:val="22"/>
                <w:lang w:val="en-US" w:eastAsia="zh-CN" w:bidi="ar-SA"/>
              </w:rPr>
            </w:pPr>
            <w:r>
              <w:rPr>
                <w:rFonts w:hint="eastAsia" w:ascii="宋体" w:hAnsi="宋体" w:eastAsia="宋体" w:cs="宋体"/>
                <w:color w:val="auto"/>
                <w:spacing w:val="-6"/>
                <w:kern w:val="2"/>
                <w:sz w:val="18"/>
                <w:szCs w:val="22"/>
                <w:lang w:val="en-US" w:eastAsia="zh-CN" w:bidi="ar-SA"/>
              </w:rPr>
              <w:t>实体防护装置</w:t>
            </w:r>
          </w:p>
        </w:tc>
        <w:tc>
          <w:tcPr>
            <w:tcW w:w="1699" w:type="dxa"/>
            <w:vMerge w:val="restart"/>
            <w:shd w:val="clear" w:color="auto" w:fill="auto"/>
            <w:vAlign w:val="center"/>
          </w:tcPr>
          <w:p w14:paraId="46AA314F">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ascii="宋体" w:hAnsi="宋体" w:eastAsia="宋体" w:cs="宋体"/>
                <w:color w:val="auto"/>
                <w:spacing w:val="-2"/>
                <w:kern w:val="2"/>
                <w:sz w:val="18"/>
                <w:szCs w:val="22"/>
                <w:lang w:val="en-US" w:eastAsia="en-US" w:bidi="ar-SA"/>
              </w:rPr>
            </w:pPr>
            <w:r>
              <w:rPr>
                <w:color w:val="auto"/>
                <w:spacing w:val="-2"/>
                <w:sz w:val="18"/>
              </w:rPr>
              <w:t>金属防护栏或防砸玻璃窗户并限位</w:t>
            </w:r>
          </w:p>
        </w:tc>
        <w:tc>
          <w:tcPr>
            <w:tcW w:w="5352" w:type="dxa"/>
            <w:shd w:val="clear" w:color="auto" w:fill="auto"/>
            <w:vAlign w:val="top"/>
          </w:tcPr>
          <w:p w14:paraId="7656315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展馆与外界相通的窗户、通风口、管道口</w:t>
            </w:r>
          </w:p>
        </w:tc>
        <w:tc>
          <w:tcPr>
            <w:tcW w:w="845" w:type="dxa"/>
            <w:shd w:val="clear" w:color="auto" w:fill="auto"/>
            <w:vAlign w:val="center"/>
          </w:tcPr>
          <w:p w14:paraId="6EA5FCD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64187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1A76F520">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vAlign w:val="center"/>
          </w:tcPr>
          <w:p w14:paraId="0A9DBF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color w:val="auto"/>
                <w:sz w:val="2"/>
                <w:szCs w:val="2"/>
              </w:rPr>
            </w:pPr>
          </w:p>
        </w:tc>
        <w:tc>
          <w:tcPr>
            <w:tcW w:w="1699" w:type="dxa"/>
            <w:vMerge w:val="continue"/>
            <w:vAlign w:val="center"/>
          </w:tcPr>
          <w:p w14:paraId="26C7CBA1">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color w:val="auto"/>
                <w:sz w:val="2"/>
                <w:szCs w:val="2"/>
              </w:rPr>
            </w:pPr>
          </w:p>
        </w:tc>
        <w:tc>
          <w:tcPr>
            <w:tcW w:w="5352" w:type="dxa"/>
            <w:shd w:val="clear" w:color="auto" w:fill="auto"/>
            <w:vAlign w:val="top"/>
          </w:tcPr>
          <w:p w14:paraId="46D76B8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售（领）票处、贵重物品寄存处、与外界相通的窗户、通风口、管道口</w:t>
            </w:r>
          </w:p>
        </w:tc>
        <w:tc>
          <w:tcPr>
            <w:tcW w:w="845" w:type="dxa"/>
            <w:shd w:val="clear" w:color="auto" w:fill="auto"/>
            <w:vAlign w:val="center"/>
          </w:tcPr>
          <w:p w14:paraId="041FC66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28FD8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019EE375">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eastAsia" w:eastAsia="宋体"/>
                <w:color w:val="auto"/>
                <w:sz w:val="18"/>
                <w:lang w:val="en-US" w:eastAsia="zh-CN"/>
              </w:rPr>
            </w:pPr>
          </w:p>
        </w:tc>
        <w:tc>
          <w:tcPr>
            <w:tcW w:w="605" w:type="dxa"/>
            <w:vMerge w:val="continue"/>
          </w:tcPr>
          <w:p w14:paraId="2BCD7502">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shd w:val="clear" w:color="auto" w:fill="auto"/>
            <w:vAlign w:val="center"/>
          </w:tcPr>
          <w:p w14:paraId="5AB31E0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center"/>
              <w:textAlignment w:val="auto"/>
              <w:rPr>
                <w:rFonts w:ascii="宋体" w:hAnsi="宋体" w:eastAsia="宋体" w:cs="宋体"/>
                <w:color w:val="auto"/>
                <w:kern w:val="2"/>
                <w:sz w:val="18"/>
                <w:szCs w:val="22"/>
                <w:lang w:val="en-US" w:eastAsia="en-US" w:bidi="ar-SA"/>
              </w:rPr>
            </w:pPr>
          </w:p>
        </w:tc>
        <w:tc>
          <w:tcPr>
            <w:tcW w:w="5352" w:type="dxa"/>
            <w:shd w:val="clear" w:color="auto" w:fill="auto"/>
            <w:vAlign w:val="top"/>
          </w:tcPr>
          <w:p w14:paraId="54955FE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展品库区、库房与外界相通的窗户、通风口、管道口</w:t>
            </w:r>
          </w:p>
        </w:tc>
        <w:tc>
          <w:tcPr>
            <w:tcW w:w="845" w:type="dxa"/>
            <w:shd w:val="clear" w:color="auto" w:fill="auto"/>
            <w:vAlign w:val="center"/>
          </w:tcPr>
          <w:p w14:paraId="1FF098E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1A267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F784552">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42BB46A">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260836CF">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335FA73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变（配）电、供水泵房、电梯机房、通信机房、空调机房等设备机房与外界相通的窗户、通风口、管道口</w:t>
            </w:r>
          </w:p>
        </w:tc>
        <w:tc>
          <w:tcPr>
            <w:tcW w:w="845" w:type="dxa"/>
            <w:shd w:val="clear" w:color="auto" w:fill="auto"/>
            <w:vAlign w:val="center"/>
          </w:tcPr>
          <w:p w14:paraId="04948D2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宜配置</w:t>
            </w:r>
          </w:p>
        </w:tc>
      </w:tr>
      <w:tr w14:paraId="18CA1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60BBB156">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7C3474E2">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2D96DBB2">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617FE7F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安防设备等重要设备机房与外界相通的窗户、通风口、管道口</w:t>
            </w:r>
          </w:p>
        </w:tc>
        <w:tc>
          <w:tcPr>
            <w:tcW w:w="845" w:type="dxa"/>
            <w:shd w:val="clear" w:color="auto" w:fill="auto"/>
            <w:vAlign w:val="center"/>
          </w:tcPr>
          <w:p w14:paraId="3332AB4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2F15D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5BE946DD">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693012D">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6CC8461F">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03A767A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档案资料室与外界相通的窗户</w:t>
            </w:r>
          </w:p>
        </w:tc>
        <w:tc>
          <w:tcPr>
            <w:tcW w:w="845" w:type="dxa"/>
            <w:shd w:val="clear" w:color="auto" w:fill="auto"/>
            <w:vAlign w:val="center"/>
          </w:tcPr>
          <w:p w14:paraId="1323F91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宜配置</w:t>
            </w:r>
          </w:p>
        </w:tc>
      </w:tr>
      <w:tr w14:paraId="732F3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4D6F25D5">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781D0673">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vMerge w:val="continue"/>
          </w:tcPr>
          <w:p w14:paraId="71DC3694">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5352" w:type="dxa"/>
            <w:shd w:val="clear" w:color="auto" w:fill="auto"/>
            <w:vAlign w:val="top"/>
          </w:tcPr>
          <w:p w14:paraId="0ABEAED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安防中心控制室与外界相通的窗户</w:t>
            </w:r>
          </w:p>
        </w:tc>
        <w:tc>
          <w:tcPr>
            <w:tcW w:w="845" w:type="dxa"/>
            <w:shd w:val="clear" w:color="auto" w:fill="auto"/>
            <w:vAlign w:val="center"/>
          </w:tcPr>
          <w:p w14:paraId="690241B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1C1EE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3EEDC823">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7542FA4">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shd w:val="clear" w:color="auto" w:fill="auto"/>
            <w:vAlign w:val="center"/>
          </w:tcPr>
          <w:p w14:paraId="44B08929">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ascii="宋体" w:hAnsi="宋体" w:eastAsia="宋体" w:cs="宋体"/>
                <w:color w:val="auto"/>
                <w:kern w:val="2"/>
                <w:sz w:val="18"/>
                <w:szCs w:val="22"/>
                <w:lang w:val="en-US" w:eastAsia="en-US" w:bidi="ar-SA"/>
              </w:rPr>
            </w:pPr>
            <w:r>
              <w:rPr>
                <w:color w:val="auto"/>
                <w:spacing w:val="-4"/>
                <w:sz w:val="18"/>
              </w:rPr>
              <w:t>防砸复合玻璃</w:t>
            </w:r>
          </w:p>
        </w:tc>
        <w:tc>
          <w:tcPr>
            <w:tcW w:w="5352" w:type="dxa"/>
            <w:shd w:val="clear" w:color="auto" w:fill="auto"/>
            <w:vAlign w:val="top"/>
          </w:tcPr>
          <w:p w14:paraId="67F05A4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特殊展品的展台/柜</w:t>
            </w:r>
          </w:p>
        </w:tc>
        <w:tc>
          <w:tcPr>
            <w:tcW w:w="845" w:type="dxa"/>
            <w:shd w:val="clear" w:color="auto" w:fill="auto"/>
            <w:vAlign w:val="center"/>
          </w:tcPr>
          <w:p w14:paraId="4C3F646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7E419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2" w:type="dxa"/>
            <w:vAlign w:val="center"/>
          </w:tcPr>
          <w:p w14:paraId="29BCC366">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F819A05">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1699" w:type="dxa"/>
            <w:shd w:val="clear" w:color="auto" w:fill="auto"/>
            <w:vAlign w:val="center"/>
          </w:tcPr>
          <w:p w14:paraId="5607918E">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ascii="宋体" w:hAnsi="宋体" w:eastAsia="宋体" w:cs="宋体"/>
                <w:color w:val="auto"/>
                <w:kern w:val="2"/>
                <w:sz w:val="18"/>
                <w:szCs w:val="22"/>
                <w:lang w:val="en-US" w:eastAsia="en-US" w:bidi="ar-SA"/>
              </w:rPr>
            </w:pPr>
            <w:r>
              <w:rPr>
                <w:color w:val="auto"/>
                <w:spacing w:val="-4"/>
                <w:sz w:val="18"/>
              </w:rPr>
              <w:t>防盗保险柜</w:t>
            </w:r>
          </w:p>
        </w:tc>
        <w:tc>
          <w:tcPr>
            <w:tcW w:w="5352" w:type="dxa"/>
            <w:shd w:val="clear" w:color="auto" w:fill="auto"/>
            <w:vAlign w:val="top"/>
          </w:tcPr>
          <w:p w14:paraId="157A70F0">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展品贮存临时库房</w:t>
            </w:r>
          </w:p>
        </w:tc>
        <w:tc>
          <w:tcPr>
            <w:tcW w:w="845" w:type="dxa"/>
            <w:shd w:val="clear" w:color="auto" w:fill="auto"/>
            <w:vAlign w:val="center"/>
          </w:tcPr>
          <w:p w14:paraId="539E256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1CE9E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vAlign w:val="center"/>
          </w:tcPr>
          <w:p w14:paraId="0F2DFDB0">
            <w:pPr>
              <w:pStyle w:val="60"/>
              <w:keepNext w:val="0"/>
              <w:keepLines w:val="0"/>
              <w:pageBreakBefore w:val="0"/>
              <w:widowControl w:val="0"/>
              <w:numPr>
                <w:ilvl w:val="0"/>
                <w:numId w:val="3"/>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5E3C810B">
            <w:pPr>
              <w:keepNext w:val="0"/>
              <w:keepLines w:val="0"/>
              <w:pageBreakBefore w:val="0"/>
              <w:widowControl w:val="0"/>
              <w:kinsoku/>
              <w:wordWrap/>
              <w:overflowPunct/>
              <w:topLinePunct w:val="0"/>
              <w:autoSpaceDE/>
              <w:autoSpaceDN/>
              <w:bidi w:val="0"/>
              <w:adjustRightInd/>
              <w:snapToGrid/>
              <w:jc w:val="center"/>
              <w:textAlignment w:val="auto"/>
              <w:rPr>
                <w:color w:val="auto"/>
                <w:sz w:val="2"/>
                <w:szCs w:val="2"/>
              </w:rPr>
            </w:pPr>
          </w:p>
        </w:tc>
        <w:tc>
          <w:tcPr>
            <w:tcW w:w="0" w:type="auto"/>
            <w:shd w:val="clear" w:color="auto" w:fill="auto"/>
            <w:vAlign w:val="center"/>
          </w:tcPr>
          <w:p w14:paraId="0AB502AD">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firstLine="0" w:firstLineChars="0"/>
              <w:jc w:val="center"/>
              <w:textAlignment w:val="auto"/>
              <w:rPr>
                <w:rFonts w:ascii="宋体" w:hAnsi="宋体" w:eastAsia="宋体" w:cs="宋体"/>
                <w:color w:val="auto"/>
                <w:kern w:val="2"/>
                <w:sz w:val="18"/>
                <w:szCs w:val="22"/>
                <w:lang w:val="en-US" w:eastAsia="en-US" w:bidi="ar-SA"/>
              </w:rPr>
            </w:pPr>
            <w:r>
              <w:rPr>
                <w:color w:val="auto"/>
                <w:spacing w:val="-4"/>
                <w:sz w:val="18"/>
              </w:rPr>
              <w:t>钥匙管理系统</w:t>
            </w:r>
          </w:p>
        </w:tc>
        <w:tc>
          <w:tcPr>
            <w:tcW w:w="0" w:type="auto"/>
            <w:shd w:val="clear" w:color="auto" w:fill="auto"/>
            <w:vAlign w:val="top"/>
          </w:tcPr>
          <w:p w14:paraId="7E90101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特殊展品的展台/柜</w:t>
            </w:r>
          </w:p>
        </w:tc>
        <w:tc>
          <w:tcPr>
            <w:tcW w:w="0" w:type="auto"/>
            <w:shd w:val="clear" w:color="auto" w:fill="auto"/>
            <w:vAlign w:val="center"/>
          </w:tcPr>
          <w:p w14:paraId="1440DA3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宜配置</w:t>
            </w:r>
          </w:p>
        </w:tc>
      </w:tr>
    </w:tbl>
    <w:p w14:paraId="59FAD16F">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表4  体育馆安全技术防范系统配置表</w:t>
      </w:r>
    </w:p>
    <w:tbl>
      <w:tblPr>
        <w:tblStyle w:val="17"/>
        <w:tblW w:w="917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605"/>
        <w:gridCol w:w="1699"/>
        <w:gridCol w:w="5347"/>
        <w:gridCol w:w="849"/>
      </w:tblGrid>
      <w:tr w14:paraId="398E2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77" w:type="dxa"/>
            <w:vAlign w:val="top"/>
          </w:tcPr>
          <w:p w14:paraId="38A7A57F">
            <w:pPr>
              <w:pStyle w:val="60"/>
              <w:spacing w:before="127"/>
              <w:ind w:left="142" w:leftChars="0" w:right="130" w:rightChars="0"/>
              <w:jc w:val="center"/>
              <w:rPr>
                <w:rFonts w:hint="eastAsia" w:eastAsia="宋体"/>
                <w:color w:val="auto"/>
                <w:sz w:val="18"/>
                <w:lang w:val="en-US" w:eastAsia="zh-CN"/>
              </w:rPr>
            </w:pPr>
            <w:r>
              <w:rPr>
                <w:color w:val="auto"/>
                <w:spacing w:val="-6"/>
                <w:sz w:val="18"/>
              </w:rPr>
              <w:t>序号</w:t>
            </w:r>
          </w:p>
        </w:tc>
        <w:tc>
          <w:tcPr>
            <w:tcW w:w="2304" w:type="dxa"/>
            <w:gridSpan w:val="2"/>
            <w:vAlign w:val="top"/>
          </w:tcPr>
          <w:p w14:paraId="0497B7B6">
            <w:pPr>
              <w:pStyle w:val="60"/>
              <w:spacing w:before="127"/>
              <w:ind w:left="958" w:leftChars="0" w:right="947" w:rightChars="0"/>
              <w:jc w:val="center"/>
              <w:rPr>
                <w:rFonts w:hint="eastAsia" w:eastAsia="宋体"/>
                <w:color w:val="auto"/>
                <w:spacing w:val="-2"/>
                <w:sz w:val="18"/>
                <w:lang w:val="en-US" w:eastAsia="zh-CN"/>
              </w:rPr>
            </w:pPr>
            <w:r>
              <w:rPr>
                <w:color w:val="auto"/>
                <w:spacing w:val="-6"/>
                <w:sz w:val="18"/>
              </w:rPr>
              <w:t>项目</w:t>
            </w:r>
          </w:p>
        </w:tc>
        <w:tc>
          <w:tcPr>
            <w:tcW w:w="5347" w:type="dxa"/>
            <w:vAlign w:val="top"/>
          </w:tcPr>
          <w:p w14:paraId="62317FF7">
            <w:pPr>
              <w:pStyle w:val="60"/>
              <w:spacing w:before="127"/>
              <w:ind w:left="1854" w:leftChars="0" w:right="1849" w:rightChars="0"/>
              <w:jc w:val="center"/>
              <w:rPr>
                <w:color w:val="auto"/>
                <w:spacing w:val="-4"/>
                <w:sz w:val="18"/>
              </w:rPr>
            </w:pPr>
            <w:r>
              <w:rPr>
                <w:color w:val="auto"/>
                <w:spacing w:val="-3"/>
                <w:sz w:val="18"/>
              </w:rPr>
              <w:t>安装区域或覆盖范围</w:t>
            </w:r>
          </w:p>
        </w:tc>
        <w:tc>
          <w:tcPr>
            <w:tcW w:w="849" w:type="dxa"/>
            <w:vAlign w:val="top"/>
          </w:tcPr>
          <w:p w14:paraId="4904CA67">
            <w:pPr>
              <w:pStyle w:val="60"/>
              <w:spacing w:before="7" w:line="230" w:lineRule="exact"/>
              <w:ind w:left="248" w:leftChars="0" w:right="228" w:rightChars="0"/>
              <w:rPr>
                <w:color w:val="auto"/>
                <w:spacing w:val="-5"/>
                <w:sz w:val="18"/>
              </w:rPr>
            </w:pPr>
            <w:r>
              <w:rPr>
                <w:color w:val="auto"/>
                <w:spacing w:val="-6"/>
                <w:sz w:val="18"/>
              </w:rPr>
              <w:t>配置要求</w:t>
            </w:r>
          </w:p>
        </w:tc>
      </w:tr>
      <w:tr w14:paraId="1D184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77" w:type="dxa"/>
            <w:vAlign w:val="center"/>
          </w:tcPr>
          <w:p w14:paraId="32FBA55F">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7078813B">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视频安防监控系统</w:t>
            </w:r>
          </w:p>
        </w:tc>
        <w:tc>
          <w:tcPr>
            <w:tcW w:w="1699" w:type="dxa"/>
            <w:vMerge w:val="restart"/>
            <w:shd w:val="clear" w:color="auto" w:fill="auto"/>
            <w:vAlign w:val="center"/>
          </w:tcPr>
          <w:p w14:paraId="4054B297">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彩色摄像机</w:t>
            </w:r>
          </w:p>
        </w:tc>
        <w:tc>
          <w:tcPr>
            <w:tcW w:w="5347" w:type="dxa"/>
            <w:shd w:val="clear" w:color="auto" w:fill="auto"/>
            <w:vAlign w:val="center"/>
          </w:tcPr>
          <w:p w14:paraId="6F3D6AF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周界区域</w:t>
            </w:r>
          </w:p>
        </w:tc>
        <w:tc>
          <w:tcPr>
            <w:tcW w:w="849" w:type="dxa"/>
            <w:shd w:val="clear" w:color="auto" w:fill="auto"/>
            <w:vAlign w:val="center"/>
          </w:tcPr>
          <w:p w14:paraId="6523F7E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09200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77" w:type="dxa"/>
            <w:vAlign w:val="center"/>
          </w:tcPr>
          <w:p w14:paraId="65C10111">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56EE352E">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vAlign w:val="center"/>
          </w:tcPr>
          <w:p w14:paraId="69DD436A">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5347" w:type="dxa"/>
            <w:shd w:val="clear" w:color="auto" w:fill="auto"/>
            <w:vAlign w:val="center"/>
          </w:tcPr>
          <w:p w14:paraId="05A16F0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与外界相通的出入口</w:t>
            </w:r>
          </w:p>
        </w:tc>
        <w:tc>
          <w:tcPr>
            <w:tcW w:w="849" w:type="dxa"/>
            <w:shd w:val="clear" w:color="auto" w:fill="auto"/>
            <w:vAlign w:val="center"/>
          </w:tcPr>
          <w:p w14:paraId="35756E7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50ED6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58ABBEC1">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4FFFE83D">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0853A7C9">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0B7C21C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公共区域、停车场</w:t>
            </w:r>
          </w:p>
        </w:tc>
        <w:tc>
          <w:tcPr>
            <w:tcW w:w="0" w:type="auto"/>
            <w:shd w:val="clear" w:color="auto" w:fill="auto"/>
            <w:vAlign w:val="center"/>
          </w:tcPr>
          <w:p w14:paraId="5741D3E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2F468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35BBF604">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1C1E7A1">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693153F0">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139103E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进出通道、门厅、重要休息室通道</w:t>
            </w:r>
          </w:p>
        </w:tc>
        <w:tc>
          <w:tcPr>
            <w:tcW w:w="0" w:type="auto"/>
            <w:shd w:val="clear" w:color="auto" w:fill="auto"/>
            <w:vAlign w:val="center"/>
          </w:tcPr>
          <w:p w14:paraId="491EFFE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441CD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3B777F17">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E74C628">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6ACF74FD">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08FB6E5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场馆运营区:入口、机房</w:t>
            </w:r>
          </w:p>
        </w:tc>
        <w:tc>
          <w:tcPr>
            <w:tcW w:w="0" w:type="auto"/>
            <w:shd w:val="clear" w:color="auto" w:fill="auto"/>
            <w:vAlign w:val="center"/>
          </w:tcPr>
          <w:p w14:paraId="40B3CB0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43C44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631C37A6">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750E48A1">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530D6C93">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3424F97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竞赛区</w:t>
            </w:r>
          </w:p>
        </w:tc>
        <w:tc>
          <w:tcPr>
            <w:tcW w:w="0" w:type="auto"/>
            <w:shd w:val="clear" w:color="auto" w:fill="auto"/>
            <w:vAlign w:val="center"/>
          </w:tcPr>
          <w:p w14:paraId="21652F9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38EED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1220638D">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3D062542">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0072F4CD">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0ACF367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default"/>
                <w:spacing w:val="-2"/>
                <w:sz w:val="18"/>
                <w:lang w:val="en-US" w:eastAsia="zh-CN"/>
              </w:rPr>
              <w:t>运动员区:入口、接待区、检录处</w:t>
            </w:r>
          </w:p>
        </w:tc>
        <w:tc>
          <w:tcPr>
            <w:tcW w:w="0" w:type="auto"/>
            <w:shd w:val="clear" w:color="auto" w:fill="auto"/>
            <w:vAlign w:val="center"/>
          </w:tcPr>
          <w:p w14:paraId="097C92A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34737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4DCF9068">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3D6B1F2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0D63DBF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1B840BB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观众区:入口、安检区、接待区、服务区、看台区</w:t>
            </w:r>
          </w:p>
        </w:tc>
        <w:tc>
          <w:tcPr>
            <w:tcW w:w="0" w:type="auto"/>
            <w:shd w:val="clear" w:color="auto" w:fill="auto"/>
            <w:vAlign w:val="center"/>
          </w:tcPr>
          <w:p w14:paraId="528B37CB">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4F7B0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4676A185">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7C3F49A0">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171A3806">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417265D4">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竞赛管理区:入口、走廊、技术用房</w:t>
            </w:r>
          </w:p>
        </w:tc>
        <w:tc>
          <w:tcPr>
            <w:tcW w:w="0" w:type="auto"/>
            <w:shd w:val="clear" w:color="auto" w:fill="auto"/>
            <w:vAlign w:val="center"/>
          </w:tcPr>
          <w:p w14:paraId="4ADE0CB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3A263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624511BA">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6BFD15B">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4665AB01">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344B8F25">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新闻媒体区:入口、接待区、服务区、工作区、技术支持区</w:t>
            </w:r>
          </w:p>
        </w:tc>
        <w:tc>
          <w:tcPr>
            <w:tcW w:w="0" w:type="auto"/>
            <w:shd w:val="clear" w:color="auto" w:fill="auto"/>
            <w:vAlign w:val="center"/>
          </w:tcPr>
          <w:p w14:paraId="2293FA4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3C8E1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29553F78">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31478FCB">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6B8F51BF">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550F5B3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贵宾及官员区:入口、接待区、服务区</w:t>
            </w:r>
          </w:p>
        </w:tc>
        <w:tc>
          <w:tcPr>
            <w:tcW w:w="0" w:type="auto"/>
            <w:shd w:val="clear" w:color="auto" w:fill="auto"/>
            <w:vAlign w:val="center"/>
          </w:tcPr>
          <w:p w14:paraId="1D7576A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74733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70780ABA">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0A58EBC0">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713CAB88">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6440391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奖牌仓库、枪械仓库</w:t>
            </w:r>
          </w:p>
        </w:tc>
        <w:tc>
          <w:tcPr>
            <w:tcW w:w="0" w:type="auto"/>
            <w:shd w:val="clear" w:color="auto" w:fill="auto"/>
            <w:vAlign w:val="center"/>
          </w:tcPr>
          <w:p w14:paraId="547E2FB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58F86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26105A60">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4B501C0">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7A45B941">
            <w:pPr>
              <w:pStyle w:val="60"/>
              <w:keepNext w:val="0"/>
              <w:keepLines w:val="0"/>
              <w:pageBreakBefore w:val="0"/>
              <w:widowControl w:val="0"/>
              <w:kinsoku/>
              <w:wordWrap/>
              <w:overflowPunct/>
              <w:topLinePunct w:val="0"/>
              <w:autoSpaceDE/>
              <w:autoSpaceDN/>
              <w:bidi w:val="0"/>
              <w:adjustRightInd/>
              <w:snapToGrid/>
              <w:spacing w:before="0" w:line="240" w:lineRule="auto"/>
              <w:ind w:left="108" w:leftChars="0"/>
              <w:jc w:val="center"/>
              <w:textAlignment w:val="auto"/>
              <w:rPr>
                <w:rFonts w:hint="eastAsia" w:ascii="宋体" w:hAnsi="宋体" w:eastAsia="宋体" w:cs="宋体"/>
                <w:spacing w:val="-3"/>
                <w:kern w:val="2"/>
                <w:sz w:val="18"/>
                <w:szCs w:val="22"/>
                <w:lang w:val="en-US" w:eastAsia="zh-CN" w:bidi="ar-SA"/>
              </w:rPr>
            </w:pPr>
            <w:r>
              <w:rPr>
                <w:rFonts w:hint="eastAsia"/>
                <w:spacing w:val="-4"/>
                <w:sz w:val="18"/>
              </w:rPr>
              <w:t>人脸抓拍系统</w:t>
            </w:r>
          </w:p>
        </w:tc>
        <w:tc>
          <w:tcPr>
            <w:tcW w:w="0" w:type="auto"/>
            <w:shd w:val="clear" w:color="auto" w:fill="auto"/>
            <w:vAlign w:val="center"/>
          </w:tcPr>
          <w:p w14:paraId="72CA375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与室外、体育馆外区域相通的主出入口，与体育馆外其它楼幢相通的室内外连廊，与室外、地库相通的直梯厅、扶梯厅</w:t>
            </w:r>
          </w:p>
        </w:tc>
        <w:tc>
          <w:tcPr>
            <w:tcW w:w="0" w:type="auto"/>
            <w:shd w:val="clear" w:color="auto" w:fill="auto"/>
            <w:vAlign w:val="center"/>
          </w:tcPr>
          <w:p w14:paraId="5C5AC84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7950A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0301C1E2">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54A7941D">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54A23A3D">
            <w:pPr>
              <w:pStyle w:val="60"/>
              <w:keepNext w:val="0"/>
              <w:keepLines w:val="0"/>
              <w:pageBreakBefore w:val="0"/>
              <w:widowControl w:val="0"/>
              <w:kinsoku/>
              <w:wordWrap/>
              <w:overflowPunct/>
              <w:topLinePunct w:val="0"/>
              <w:autoSpaceDE/>
              <w:autoSpaceDN/>
              <w:bidi w:val="0"/>
              <w:adjustRightInd/>
              <w:snapToGrid/>
              <w:spacing w:before="0" w:line="240" w:lineRule="auto"/>
              <w:ind w:left="108" w:leftChars="0"/>
              <w:jc w:val="center"/>
              <w:textAlignment w:val="auto"/>
              <w:rPr>
                <w:rFonts w:hint="eastAsia" w:ascii="宋体" w:hAnsi="宋体" w:eastAsia="宋体" w:cs="宋体"/>
                <w:spacing w:val="-3"/>
                <w:kern w:val="2"/>
                <w:sz w:val="18"/>
                <w:szCs w:val="22"/>
                <w:lang w:val="en-US" w:eastAsia="zh-CN" w:bidi="ar-SA"/>
              </w:rPr>
            </w:pPr>
            <w:r>
              <w:rPr>
                <w:rFonts w:hint="eastAsia"/>
                <w:spacing w:val="-4"/>
                <w:sz w:val="18"/>
              </w:rPr>
              <w:t>车辆抓拍系统</w:t>
            </w:r>
          </w:p>
        </w:tc>
        <w:tc>
          <w:tcPr>
            <w:tcW w:w="0" w:type="auto"/>
            <w:shd w:val="clear" w:color="auto" w:fill="auto"/>
            <w:vAlign w:val="center"/>
          </w:tcPr>
          <w:p w14:paraId="1BBAF61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地块室外车行出入口或地库坡道出入口、与其它项目相通的地下车行通道口</w:t>
            </w:r>
          </w:p>
        </w:tc>
        <w:tc>
          <w:tcPr>
            <w:tcW w:w="0" w:type="auto"/>
            <w:shd w:val="clear" w:color="auto" w:fill="auto"/>
            <w:vAlign w:val="center"/>
          </w:tcPr>
          <w:p w14:paraId="040322A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1545F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50CA9FED">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1E24003">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57F006F6">
            <w:pPr>
              <w:pStyle w:val="60"/>
              <w:keepNext w:val="0"/>
              <w:keepLines w:val="0"/>
              <w:pageBreakBefore w:val="0"/>
              <w:widowControl w:val="0"/>
              <w:kinsoku/>
              <w:wordWrap/>
              <w:overflowPunct/>
              <w:topLinePunct w:val="0"/>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声音复核装置</w:t>
            </w:r>
          </w:p>
        </w:tc>
        <w:tc>
          <w:tcPr>
            <w:tcW w:w="0" w:type="auto"/>
            <w:shd w:val="clear" w:color="auto" w:fill="auto"/>
            <w:vAlign w:val="center"/>
          </w:tcPr>
          <w:p w14:paraId="6B2BACE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收款处、枪械仓库、奖牌仓库</w:t>
            </w:r>
          </w:p>
        </w:tc>
        <w:tc>
          <w:tcPr>
            <w:tcW w:w="0" w:type="auto"/>
            <w:shd w:val="clear" w:color="auto" w:fill="auto"/>
            <w:vAlign w:val="center"/>
          </w:tcPr>
          <w:p w14:paraId="57088D4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46F21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04FD1105">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625F91B">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517B96A3">
            <w:pPr>
              <w:pStyle w:val="60"/>
              <w:keepNext w:val="0"/>
              <w:keepLines w:val="0"/>
              <w:pageBreakBefore w:val="0"/>
              <w:widowControl w:val="0"/>
              <w:kinsoku/>
              <w:wordWrap/>
              <w:overflowPunct/>
              <w:topLinePunct w:val="0"/>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控制、显示与记录装置</w:t>
            </w:r>
          </w:p>
        </w:tc>
        <w:tc>
          <w:tcPr>
            <w:tcW w:w="0" w:type="auto"/>
            <w:shd w:val="clear" w:color="auto" w:fill="auto"/>
            <w:vAlign w:val="center"/>
          </w:tcPr>
          <w:p w14:paraId="721755B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监控中心</w:t>
            </w:r>
          </w:p>
        </w:tc>
        <w:tc>
          <w:tcPr>
            <w:tcW w:w="0" w:type="auto"/>
            <w:shd w:val="clear" w:color="auto" w:fill="auto"/>
            <w:vAlign w:val="center"/>
          </w:tcPr>
          <w:p w14:paraId="22FC747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color w:val="auto"/>
                <w:spacing w:val="-5"/>
                <w:sz w:val="18"/>
                <w:lang w:val="en-US" w:eastAsia="en-US"/>
              </w:rPr>
            </w:pPr>
            <w:r>
              <w:rPr>
                <w:color w:val="auto"/>
                <w:spacing w:val="-5"/>
                <w:sz w:val="18"/>
              </w:rPr>
              <w:t>应配置</w:t>
            </w:r>
          </w:p>
        </w:tc>
      </w:tr>
      <w:tr w14:paraId="1472F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71C3FD30">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42CEC8EF">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r>
              <w:rPr>
                <w:rFonts w:hint="eastAsia"/>
                <w:spacing w:val="-3"/>
                <w:sz w:val="18"/>
                <w:lang w:val="en-US" w:eastAsia="zh-CN"/>
              </w:rPr>
              <w:t>报警</w:t>
            </w:r>
          </w:p>
          <w:p w14:paraId="4B6C42CD">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系统</w:t>
            </w:r>
          </w:p>
        </w:tc>
        <w:tc>
          <w:tcPr>
            <w:tcW w:w="1699" w:type="dxa"/>
            <w:vMerge w:val="restart"/>
            <w:shd w:val="clear" w:color="auto" w:fill="auto"/>
            <w:vAlign w:val="center"/>
          </w:tcPr>
          <w:p w14:paraId="4CD8CFF8">
            <w:pPr>
              <w:pStyle w:val="60"/>
              <w:keepNext w:val="0"/>
              <w:keepLines w:val="0"/>
              <w:pageBreakBefore w:val="0"/>
              <w:widowControl w:val="0"/>
              <w:kinsoku/>
              <w:wordWrap/>
              <w:overflowPunct/>
              <w:topLinePunct w:val="0"/>
              <w:bidi w:val="0"/>
              <w:adjustRightInd/>
              <w:snapToGrid/>
              <w:spacing w:before="0"/>
              <w:ind w:left="0" w:leftChars="0"/>
              <w:jc w:val="center"/>
              <w:textAlignment w:val="auto"/>
              <w:rPr>
                <w:rFonts w:hint="eastAsia"/>
                <w:spacing w:val="-3"/>
                <w:sz w:val="18"/>
                <w:lang w:val="en-US" w:eastAsia="zh-CN"/>
              </w:rPr>
            </w:pPr>
            <w:r>
              <w:rPr>
                <w:rFonts w:hint="eastAsia"/>
                <w:spacing w:val="-3"/>
                <w:sz w:val="18"/>
                <w:lang w:val="en-US" w:eastAsia="zh-CN"/>
              </w:rPr>
              <w:t>入侵探测器</w:t>
            </w:r>
          </w:p>
        </w:tc>
        <w:tc>
          <w:tcPr>
            <w:tcW w:w="5347" w:type="dxa"/>
            <w:shd w:val="clear" w:color="auto" w:fill="auto"/>
            <w:vAlign w:val="center"/>
          </w:tcPr>
          <w:p w14:paraId="183A8A2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体育场馆的周界围墙等封闭屏障</w:t>
            </w:r>
          </w:p>
        </w:tc>
        <w:tc>
          <w:tcPr>
            <w:tcW w:w="849" w:type="dxa"/>
            <w:shd w:val="clear" w:color="auto" w:fill="auto"/>
            <w:vAlign w:val="center"/>
          </w:tcPr>
          <w:p w14:paraId="236E06C0">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eastAsia"/>
                <w:color w:val="auto"/>
                <w:spacing w:val="-5"/>
                <w:sz w:val="18"/>
                <w:lang w:val="en-US" w:eastAsia="en-US"/>
              </w:rPr>
            </w:pPr>
            <w:r>
              <w:rPr>
                <w:rFonts w:hint="eastAsia"/>
                <w:color w:val="auto"/>
                <w:spacing w:val="-5"/>
                <w:sz w:val="18"/>
                <w:lang w:val="en-US" w:eastAsia="en-US"/>
              </w:rPr>
              <w:t>应配置</w:t>
            </w:r>
          </w:p>
        </w:tc>
      </w:tr>
      <w:tr w14:paraId="281F1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23F0749E">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B2B0CF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shd w:val="clear" w:color="auto" w:fill="auto"/>
            <w:vAlign w:val="center"/>
          </w:tcPr>
          <w:p w14:paraId="311E50DB">
            <w:pPr>
              <w:pStyle w:val="60"/>
              <w:keepNext w:val="0"/>
              <w:keepLines w:val="0"/>
              <w:pageBreakBefore w:val="0"/>
              <w:widowControl w:val="0"/>
              <w:kinsoku/>
              <w:wordWrap/>
              <w:overflowPunct/>
              <w:topLinePunct w:val="0"/>
              <w:bidi w:val="0"/>
              <w:adjustRightInd/>
              <w:snapToGrid/>
              <w:spacing w:before="0"/>
              <w:ind w:left="0" w:leftChars="0"/>
              <w:jc w:val="center"/>
              <w:textAlignment w:val="auto"/>
              <w:rPr>
                <w:rFonts w:hint="eastAsia"/>
                <w:spacing w:val="-3"/>
                <w:sz w:val="18"/>
                <w:lang w:val="en-US" w:eastAsia="zh-CN"/>
              </w:rPr>
            </w:pPr>
          </w:p>
        </w:tc>
        <w:tc>
          <w:tcPr>
            <w:tcW w:w="5347" w:type="dxa"/>
            <w:shd w:val="clear" w:color="auto" w:fill="auto"/>
            <w:vAlign w:val="center"/>
          </w:tcPr>
          <w:p w14:paraId="6DD02B4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奖牌仓库、枪械等设备仓库</w:t>
            </w:r>
          </w:p>
        </w:tc>
        <w:tc>
          <w:tcPr>
            <w:tcW w:w="849" w:type="dxa"/>
            <w:shd w:val="clear" w:color="auto" w:fill="auto"/>
            <w:vAlign w:val="center"/>
          </w:tcPr>
          <w:p w14:paraId="4C90E5FF">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eastAsia"/>
                <w:color w:val="auto"/>
                <w:spacing w:val="-5"/>
                <w:sz w:val="18"/>
                <w:lang w:val="en-US" w:eastAsia="en-US"/>
              </w:rPr>
            </w:pPr>
            <w:r>
              <w:rPr>
                <w:rFonts w:hint="eastAsia"/>
                <w:color w:val="auto"/>
                <w:spacing w:val="-5"/>
                <w:sz w:val="18"/>
                <w:lang w:val="en-US" w:eastAsia="en-US"/>
              </w:rPr>
              <w:t>应配置</w:t>
            </w:r>
          </w:p>
        </w:tc>
      </w:tr>
      <w:tr w14:paraId="3669F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459664CD">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4BB7A355">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shd w:val="clear" w:color="auto" w:fill="auto"/>
            <w:vAlign w:val="center"/>
          </w:tcPr>
          <w:p w14:paraId="5872288E">
            <w:pPr>
              <w:pStyle w:val="60"/>
              <w:keepNext w:val="0"/>
              <w:keepLines w:val="0"/>
              <w:pageBreakBefore w:val="0"/>
              <w:widowControl w:val="0"/>
              <w:kinsoku/>
              <w:wordWrap/>
              <w:overflowPunct/>
              <w:topLinePunct w:val="0"/>
              <w:bidi w:val="0"/>
              <w:adjustRightInd/>
              <w:snapToGrid/>
              <w:spacing w:before="0"/>
              <w:ind w:left="0" w:leftChars="0"/>
              <w:jc w:val="center"/>
              <w:textAlignment w:val="auto"/>
              <w:rPr>
                <w:rFonts w:hint="eastAsia"/>
                <w:spacing w:val="-3"/>
                <w:sz w:val="18"/>
                <w:lang w:val="en-US" w:eastAsia="zh-CN"/>
              </w:rPr>
            </w:pPr>
          </w:p>
        </w:tc>
        <w:tc>
          <w:tcPr>
            <w:tcW w:w="5347" w:type="dxa"/>
            <w:shd w:val="clear" w:color="auto" w:fill="auto"/>
            <w:vAlign w:val="center"/>
          </w:tcPr>
          <w:p w14:paraId="7436E31F">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竞赛管理区办公室、技术用房</w:t>
            </w:r>
          </w:p>
        </w:tc>
        <w:tc>
          <w:tcPr>
            <w:tcW w:w="849" w:type="dxa"/>
            <w:shd w:val="clear" w:color="auto" w:fill="auto"/>
            <w:vAlign w:val="center"/>
          </w:tcPr>
          <w:p w14:paraId="4EF927E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eastAsia"/>
                <w:color w:val="auto"/>
                <w:spacing w:val="-5"/>
                <w:sz w:val="18"/>
                <w:lang w:val="en-US" w:eastAsia="en-US"/>
              </w:rPr>
            </w:pPr>
            <w:r>
              <w:rPr>
                <w:rFonts w:hint="eastAsia"/>
                <w:color w:val="auto"/>
                <w:spacing w:val="-5"/>
                <w:sz w:val="18"/>
                <w:lang w:val="en-US" w:eastAsia="en-US"/>
              </w:rPr>
              <w:t>应配置</w:t>
            </w:r>
          </w:p>
        </w:tc>
      </w:tr>
    </w:tbl>
    <w:p w14:paraId="79E031E5">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360" w:lineRule="auto"/>
        <w:ind w:leftChars="0" w:right="0" w:rightChars="0"/>
        <w:jc w:val="center"/>
        <w:textAlignment w:val="auto"/>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表4  体育馆安全技术防范系统配置表（续）</w:t>
      </w:r>
    </w:p>
    <w:tbl>
      <w:tblPr>
        <w:tblStyle w:val="17"/>
        <w:tblW w:w="917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605"/>
        <w:gridCol w:w="1699"/>
        <w:gridCol w:w="5347"/>
        <w:gridCol w:w="849"/>
      </w:tblGrid>
      <w:tr w14:paraId="3116C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77" w:type="dxa"/>
            <w:vAlign w:val="top"/>
          </w:tcPr>
          <w:p w14:paraId="500BE588">
            <w:pPr>
              <w:pStyle w:val="60"/>
              <w:spacing w:before="127"/>
              <w:ind w:left="142" w:leftChars="0" w:right="130" w:rightChars="0"/>
              <w:jc w:val="center"/>
              <w:rPr>
                <w:rFonts w:hint="eastAsia" w:eastAsia="宋体"/>
                <w:color w:val="auto"/>
                <w:sz w:val="18"/>
                <w:lang w:val="en-US" w:eastAsia="zh-CN"/>
              </w:rPr>
            </w:pPr>
            <w:r>
              <w:rPr>
                <w:color w:val="auto"/>
                <w:spacing w:val="-6"/>
                <w:sz w:val="18"/>
              </w:rPr>
              <w:t>序号</w:t>
            </w:r>
          </w:p>
        </w:tc>
        <w:tc>
          <w:tcPr>
            <w:tcW w:w="2304" w:type="dxa"/>
            <w:gridSpan w:val="2"/>
            <w:vAlign w:val="top"/>
          </w:tcPr>
          <w:p w14:paraId="171BE7B2">
            <w:pPr>
              <w:pStyle w:val="60"/>
              <w:spacing w:before="127"/>
              <w:ind w:left="958" w:leftChars="0" w:right="947" w:rightChars="0"/>
              <w:jc w:val="center"/>
              <w:rPr>
                <w:rFonts w:hint="eastAsia" w:eastAsia="宋体"/>
                <w:color w:val="auto"/>
                <w:spacing w:val="-2"/>
                <w:sz w:val="18"/>
                <w:lang w:val="en-US" w:eastAsia="zh-CN"/>
              </w:rPr>
            </w:pPr>
            <w:r>
              <w:rPr>
                <w:color w:val="auto"/>
                <w:spacing w:val="-6"/>
                <w:sz w:val="18"/>
              </w:rPr>
              <w:t>项目</w:t>
            </w:r>
          </w:p>
        </w:tc>
        <w:tc>
          <w:tcPr>
            <w:tcW w:w="5347" w:type="dxa"/>
            <w:vAlign w:val="top"/>
          </w:tcPr>
          <w:p w14:paraId="1DAF0152">
            <w:pPr>
              <w:pStyle w:val="60"/>
              <w:spacing w:before="127"/>
              <w:ind w:left="1854" w:leftChars="0" w:right="1849" w:rightChars="0"/>
              <w:jc w:val="center"/>
              <w:rPr>
                <w:color w:val="auto"/>
                <w:spacing w:val="-4"/>
                <w:sz w:val="18"/>
              </w:rPr>
            </w:pPr>
            <w:r>
              <w:rPr>
                <w:color w:val="auto"/>
                <w:spacing w:val="-3"/>
                <w:sz w:val="18"/>
              </w:rPr>
              <w:t>安装区域或覆盖范围</w:t>
            </w:r>
          </w:p>
        </w:tc>
        <w:tc>
          <w:tcPr>
            <w:tcW w:w="849" w:type="dxa"/>
            <w:vAlign w:val="top"/>
          </w:tcPr>
          <w:p w14:paraId="6695F2DD">
            <w:pPr>
              <w:pStyle w:val="60"/>
              <w:spacing w:before="7" w:line="230" w:lineRule="exact"/>
              <w:ind w:left="248" w:leftChars="0" w:right="228" w:rightChars="0"/>
              <w:rPr>
                <w:color w:val="auto"/>
                <w:spacing w:val="-5"/>
                <w:sz w:val="18"/>
              </w:rPr>
            </w:pPr>
            <w:r>
              <w:rPr>
                <w:color w:val="auto"/>
                <w:spacing w:val="-6"/>
                <w:sz w:val="18"/>
              </w:rPr>
              <w:t>配置要求</w:t>
            </w:r>
          </w:p>
        </w:tc>
      </w:tr>
      <w:tr w14:paraId="0089C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77" w:type="dxa"/>
            <w:vAlign w:val="center"/>
          </w:tcPr>
          <w:p w14:paraId="1DABA033">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06E0E9C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r>
              <w:rPr>
                <w:rFonts w:hint="eastAsia"/>
                <w:spacing w:val="-3"/>
                <w:sz w:val="18"/>
                <w:lang w:val="en-US" w:eastAsia="zh-CN"/>
              </w:rPr>
              <w:t>报警</w:t>
            </w:r>
          </w:p>
          <w:p w14:paraId="246AA4D0">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系统</w:t>
            </w:r>
          </w:p>
        </w:tc>
        <w:tc>
          <w:tcPr>
            <w:tcW w:w="1699" w:type="dxa"/>
            <w:vMerge w:val="restart"/>
            <w:shd w:val="clear" w:color="auto" w:fill="auto"/>
            <w:vAlign w:val="center"/>
          </w:tcPr>
          <w:p w14:paraId="412F6783">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default" w:ascii="宋体" w:hAnsi="宋体" w:eastAsia="宋体" w:cs="宋体"/>
                <w:spacing w:val="-3"/>
                <w:kern w:val="2"/>
                <w:sz w:val="18"/>
                <w:szCs w:val="22"/>
                <w:lang w:val="en-US" w:eastAsia="zh-CN" w:bidi="ar-SA"/>
              </w:rPr>
            </w:pPr>
            <w:r>
              <w:rPr>
                <w:rFonts w:hint="eastAsia"/>
                <w:spacing w:val="-3"/>
                <w:sz w:val="18"/>
                <w:lang w:val="en-US" w:eastAsia="zh-CN"/>
              </w:rPr>
              <w:t>紧急报警装置</w:t>
            </w:r>
          </w:p>
        </w:tc>
        <w:tc>
          <w:tcPr>
            <w:tcW w:w="5347" w:type="dxa"/>
            <w:shd w:val="clear" w:color="auto" w:fill="auto"/>
            <w:vAlign w:val="center"/>
          </w:tcPr>
          <w:p w14:paraId="3D856C5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运动员区</w:t>
            </w:r>
          </w:p>
        </w:tc>
        <w:tc>
          <w:tcPr>
            <w:tcW w:w="849" w:type="dxa"/>
            <w:shd w:val="clear" w:color="auto" w:fill="auto"/>
            <w:vAlign w:val="center"/>
          </w:tcPr>
          <w:p w14:paraId="2623100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1F78B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77" w:type="dxa"/>
            <w:vAlign w:val="center"/>
          </w:tcPr>
          <w:p w14:paraId="506A0EFE">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vAlign w:val="center"/>
          </w:tcPr>
          <w:p w14:paraId="35779532">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vAlign w:val="center"/>
          </w:tcPr>
          <w:p w14:paraId="761F991A">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5347" w:type="dxa"/>
            <w:shd w:val="clear" w:color="auto" w:fill="auto"/>
            <w:vAlign w:val="center"/>
          </w:tcPr>
          <w:p w14:paraId="50F10B51">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竞赛管理区办公室、技术用房</w:t>
            </w:r>
          </w:p>
        </w:tc>
        <w:tc>
          <w:tcPr>
            <w:tcW w:w="849" w:type="dxa"/>
            <w:shd w:val="clear" w:color="auto" w:fill="auto"/>
            <w:vAlign w:val="center"/>
          </w:tcPr>
          <w:p w14:paraId="65D74307">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1D1A4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24A3CC0B">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1E2BF8B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0BB8EAA9">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6A48013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贵宾及官员接待区、服务区</w:t>
            </w:r>
          </w:p>
        </w:tc>
        <w:tc>
          <w:tcPr>
            <w:tcW w:w="0" w:type="auto"/>
            <w:shd w:val="clear" w:color="auto" w:fill="auto"/>
            <w:vAlign w:val="center"/>
          </w:tcPr>
          <w:p w14:paraId="2116120C">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2FC3B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7D44A201">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706B1E08">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67BFB808">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7D597A7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场馆运营管理财务室、总经理室</w:t>
            </w:r>
            <w:r>
              <w:rPr>
                <w:rFonts w:hint="eastAsia"/>
                <w:spacing w:val="-2"/>
                <w:sz w:val="18"/>
                <w:lang w:val="en-US" w:eastAsia="zh-CN"/>
              </w:rPr>
              <w:t>、</w:t>
            </w:r>
            <w:r>
              <w:rPr>
                <w:rFonts w:hint="default"/>
                <w:spacing w:val="-2"/>
                <w:sz w:val="18"/>
                <w:lang w:val="en-US" w:eastAsia="zh-CN"/>
              </w:rPr>
              <w:t>机房</w:t>
            </w:r>
          </w:p>
        </w:tc>
        <w:tc>
          <w:tcPr>
            <w:tcW w:w="0" w:type="auto"/>
            <w:shd w:val="clear" w:color="auto" w:fill="auto"/>
            <w:vAlign w:val="center"/>
          </w:tcPr>
          <w:p w14:paraId="626F31D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7E46D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218A0AFD">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207709F3">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670C52F8">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5701228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监控中心</w:t>
            </w:r>
          </w:p>
        </w:tc>
        <w:tc>
          <w:tcPr>
            <w:tcW w:w="0" w:type="auto"/>
            <w:shd w:val="clear" w:color="auto" w:fill="auto"/>
            <w:vAlign w:val="center"/>
          </w:tcPr>
          <w:p w14:paraId="67B5DA2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418B8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4F8FFE7A">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5FBB91CF">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tcPr>
          <w:p w14:paraId="0A30234F">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4B87245A">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观众区残疾人卫生间</w:t>
            </w:r>
          </w:p>
        </w:tc>
        <w:tc>
          <w:tcPr>
            <w:tcW w:w="0" w:type="auto"/>
            <w:shd w:val="clear" w:color="auto" w:fill="auto"/>
            <w:vAlign w:val="center"/>
          </w:tcPr>
          <w:p w14:paraId="0D047F7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0A3B7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0FF5CFB0">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restart"/>
            <w:shd w:val="clear" w:color="auto" w:fill="auto"/>
            <w:vAlign w:val="center"/>
          </w:tcPr>
          <w:p w14:paraId="6B5767A3">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出入口控制系统</w:t>
            </w:r>
          </w:p>
        </w:tc>
        <w:tc>
          <w:tcPr>
            <w:tcW w:w="0" w:type="auto"/>
            <w:shd w:val="clear" w:color="auto" w:fill="auto"/>
            <w:vAlign w:val="center"/>
          </w:tcPr>
          <w:p w14:paraId="4A1405FB">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场馆出入口、运动员区、贵宾及官员、重要办公室、机房、奖牌仓库、枪械仓库、设备间、监控中心等重点区域出入口</w:t>
            </w:r>
          </w:p>
        </w:tc>
        <w:tc>
          <w:tcPr>
            <w:tcW w:w="849" w:type="dxa"/>
            <w:shd w:val="clear" w:color="auto" w:fill="auto"/>
            <w:vAlign w:val="center"/>
          </w:tcPr>
          <w:p w14:paraId="224F26C3">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45272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5EC9FBA0">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22956B65">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6F663457">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观众区、新闻媒体入口</w:t>
            </w:r>
          </w:p>
        </w:tc>
        <w:tc>
          <w:tcPr>
            <w:tcW w:w="849" w:type="dxa"/>
            <w:shd w:val="clear" w:color="auto" w:fill="auto"/>
            <w:vAlign w:val="center"/>
          </w:tcPr>
          <w:p w14:paraId="4661DDA1">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1DB03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627AF4B0">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640C8841">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6F5B099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场馆运营管理人员入口、竞赛管理区入口、办公室、技术用房</w:t>
            </w:r>
          </w:p>
        </w:tc>
        <w:tc>
          <w:tcPr>
            <w:tcW w:w="849" w:type="dxa"/>
            <w:shd w:val="clear" w:color="auto" w:fill="auto"/>
            <w:vAlign w:val="center"/>
          </w:tcPr>
          <w:p w14:paraId="5BDC362D">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4C1AC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7B00BBB3">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vMerge w:val="continue"/>
          </w:tcPr>
          <w:p w14:paraId="3814DFE6">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09AE7026">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财务室、总经理室</w:t>
            </w:r>
          </w:p>
        </w:tc>
        <w:tc>
          <w:tcPr>
            <w:tcW w:w="849" w:type="dxa"/>
            <w:shd w:val="clear" w:color="auto" w:fill="auto"/>
            <w:vAlign w:val="center"/>
          </w:tcPr>
          <w:p w14:paraId="01C61D98">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3E1AF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074783B3">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shd w:val="clear" w:color="auto" w:fill="auto"/>
            <w:vAlign w:val="center"/>
          </w:tcPr>
          <w:p w14:paraId="19018F7F">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电子巡查系统</w:t>
            </w:r>
          </w:p>
        </w:tc>
        <w:tc>
          <w:tcPr>
            <w:tcW w:w="0" w:type="auto"/>
            <w:shd w:val="clear" w:color="auto" w:fill="auto"/>
            <w:vAlign w:val="center"/>
          </w:tcPr>
          <w:p w14:paraId="5694D319">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主要出入口、主要通道、紧急出入口和各重要部位</w:t>
            </w:r>
          </w:p>
        </w:tc>
        <w:tc>
          <w:tcPr>
            <w:tcW w:w="0" w:type="auto"/>
            <w:shd w:val="clear" w:color="auto" w:fill="auto"/>
            <w:vAlign w:val="center"/>
          </w:tcPr>
          <w:p w14:paraId="452AA4C4">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606F9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59A3B627">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2304" w:type="dxa"/>
            <w:gridSpan w:val="2"/>
            <w:shd w:val="clear" w:color="auto" w:fill="auto"/>
            <w:vAlign w:val="center"/>
          </w:tcPr>
          <w:p w14:paraId="479A4D18">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停车库（场）管理系统</w:t>
            </w:r>
          </w:p>
        </w:tc>
        <w:tc>
          <w:tcPr>
            <w:tcW w:w="0" w:type="auto"/>
            <w:shd w:val="clear" w:color="auto" w:fill="auto"/>
            <w:vAlign w:val="center"/>
          </w:tcPr>
          <w:p w14:paraId="4150D3C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zh-CN"/>
              </w:rPr>
              <w:t>停车场</w:t>
            </w:r>
          </w:p>
        </w:tc>
        <w:tc>
          <w:tcPr>
            <w:tcW w:w="0" w:type="auto"/>
            <w:shd w:val="clear" w:color="auto" w:fill="auto"/>
            <w:vAlign w:val="center"/>
          </w:tcPr>
          <w:p w14:paraId="0A27484A">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3FF60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3D458C2B">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restart"/>
            <w:shd w:val="clear" w:color="auto" w:fill="auto"/>
            <w:vAlign w:val="center"/>
          </w:tcPr>
          <w:p w14:paraId="1057A7BE">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实体防护装置</w:t>
            </w:r>
          </w:p>
        </w:tc>
        <w:tc>
          <w:tcPr>
            <w:tcW w:w="1699" w:type="dxa"/>
            <w:vMerge w:val="restart"/>
            <w:shd w:val="clear" w:color="auto" w:fill="auto"/>
            <w:vAlign w:val="center"/>
          </w:tcPr>
          <w:p w14:paraId="33CC91AA">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防盗安全门、金属防护门、钢栅栏网</w:t>
            </w:r>
          </w:p>
        </w:tc>
        <w:tc>
          <w:tcPr>
            <w:tcW w:w="0" w:type="auto"/>
            <w:shd w:val="clear" w:color="auto" w:fill="auto"/>
            <w:vAlign w:val="center"/>
          </w:tcPr>
          <w:p w14:paraId="567AB80D">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收款处、防盗保险柜存放处</w:t>
            </w:r>
          </w:p>
        </w:tc>
        <w:tc>
          <w:tcPr>
            <w:tcW w:w="0" w:type="auto"/>
            <w:shd w:val="clear" w:color="auto" w:fill="auto"/>
            <w:vAlign w:val="center"/>
          </w:tcPr>
          <w:p w14:paraId="3BB2A2C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04EC2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710DFFAD">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9ABEE41">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shd w:val="clear" w:color="auto" w:fill="auto"/>
            <w:vAlign w:val="center"/>
          </w:tcPr>
          <w:p w14:paraId="6C7D3AF4">
            <w:pPr>
              <w:pStyle w:val="60"/>
              <w:keepNext w:val="0"/>
              <w:keepLines w:val="0"/>
              <w:pageBreakBefore w:val="0"/>
              <w:widowControl w:val="0"/>
              <w:kinsoku/>
              <w:wordWrap/>
              <w:overflowPunct/>
              <w:topLinePunct w:val="0"/>
              <w:autoSpaceDE/>
              <w:autoSpaceDN/>
              <w:bidi w:val="0"/>
              <w:adjustRightInd/>
              <w:snapToGrid/>
              <w:spacing w:before="0" w:line="240" w:lineRule="auto"/>
              <w:ind w:left="0" w:leftChars="0"/>
              <w:jc w:val="center"/>
              <w:textAlignment w:val="auto"/>
              <w:rPr>
                <w:rFonts w:hint="eastAsia" w:ascii="宋体" w:hAnsi="宋体" w:eastAsia="宋体" w:cs="宋体"/>
                <w:spacing w:val="-3"/>
                <w:kern w:val="2"/>
                <w:sz w:val="18"/>
                <w:szCs w:val="22"/>
                <w:lang w:val="en-US" w:eastAsia="zh-CN" w:bidi="ar-SA"/>
              </w:rPr>
            </w:pPr>
          </w:p>
        </w:tc>
        <w:tc>
          <w:tcPr>
            <w:tcW w:w="0" w:type="auto"/>
            <w:shd w:val="clear" w:color="auto" w:fill="auto"/>
            <w:vAlign w:val="center"/>
          </w:tcPr>
          <w:p w14:paraId="5ABB545E">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eastAsia"/>
                <w:spacing w:val="-2"/>
                <w:sz w:val="18"/>
                <w:lang w:val="en-US" w:eastAsia="en-US"/>
              </w:rPr>
              <w:t>仓库</w:t>
            </w:r>
          </w:p>
        </w:tc>
        <w:tc>
          <w:tcPr>
            <w:tcW w:w="0" w:type="auto"/>
            <w:shd w:val="clear" w:color="auto" w:fill="auto"/>
            <w:vAlign w:val="center"/>
          </w:tcPr>
          <w:p w14:paraId="5A4223F5">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21"/>
                <w:szCs w:val="21"/>
                <w:lang w:val="en-US" w:eastAsia="en-US" w:bidi="ar-SA"/>
              </w:rPr>
            </w:pPr>
            <w:r>
              <w:rPr>
                <w:spacing w:val="-5"/>
                <w:sz w:val="18"/>
              </w:rPr>
              <w:t>应配置</w:t>
            </w:r>
          </w:p>
        </w:tc>
      </w:tr>
      <w:tr w14:paraId="01C1D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7EEBACA0">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EA4EEB8">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1699" w:type="dxa"/>
            <w:vMerge w:val="continue"/>
            <w:shd w:val="clear" w:color="auto" w:fill="auto"/>
            <w:vAlign w:val="center"/>
          </w:tcPr>
          <w:p w14:paraId="13156E2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p>
        </w:tc>
        <w:tc>
          <w:tcPr>
            <w:tcW w:w="0" w:type="auto"/>
            <w:shd w:val="clear" w:color="auto" w:fill="auto"/>
            <w:vAlign w:val="center"/>
          </w:tcPr>
          <w:p w14:paraId="05DFB4D3">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default"/>
                <w:spacing w:val="-2"/>
                <w:sz w:val="18"/>
                <w:lang w:val="en-US" w:eastAsia="zh-CN"/>
              </w:rPr>
              <w:t>监控中心</w:t>
            </w:r>
          </w:p>
        </w:tc>
        <w:tc>
          <w:tcPr>
            <w:tcW w:w="0" w:type="auto"/>
            <w:shd w:val="clear" w:color="auto" w:fill="auto"/>
            <w:vAlign w:val="center"/>
          </w:tcPr>
          <w:p w14:paraId="7C0EC6BE">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1406D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73745737">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tcPr>
          <w:p w14:paraId="60AC0C0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spacing w:val="-3"/>
                <w:sz w:val="18"/>
                <w:lang w:val="en-US" w:eastAsia="zh-CN"/>
              </w:rPr>
            </w:pPr>
          </w:p>
        </w:tc>
        <w:tc>
          <w:tcPr>
            <w:tcW w:w="0" w:type="auto"/>
            <w:shd w:val="clear" w:color="auto" w:fill="auto"/>
            <w:vAlign w:val="center"/>
          </w:tcPr>
          <w:p w14:paraId="751115AD">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防爆玻璃</w:t>
            </w:r>
          </w:p>
        </w:tc>
        <w:tc>
          <w:tcPr>
            <w:tcW w:w="0" w:type="auto"/>
            <w:shd w:val="clear" w:color="auto" w:fill="auto"/>
            <w:vAlign w:val="center"/>
          </w:tcPr>
          <w:p w14:paraId="7833C278">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default"/>
                <w:spacing w:val="-2"/>
                <w:sz w:val="18"/>
                <w:lang w:val="en-US" w:eastAsia="zh-CN"/>
              </w:rPr>
              <w:t>收款处</w:t>
            </w:r>
          </w:p>
        </w:tc>
        <w:tc>
          <w:tcPr>
            <w:tcW w:w="0" w:type="auto"/>
            <w:shd w:val="clear" w:color="auto" w:fill="auto"/>
            <w:vAlign w:val="center"/>
          </w:tcPr>
          <w:p w14:paraId="0573C592">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ascii="宋体" w:hAnsi="宋体" w:eastAsia="宋体" w:cs="宋体"/>
                <w:spacing w:val="-5"/>
                <w:kern w:val="2"/>
                <w:sz w:val="18"/>
                <w:szCs w:val="22"/>
                <w:lang w:val="en-US" w:eastAsia="en-US" w:bidi="ar-SA"/>
              </w:rPr>
            </w:pPr>
            <w:r>
              <w:rPr>
                <w:spacing w:val="-5"/>
                <w:sz w:val="18"/>
              </w:rPr>
              <w:t>应配置</w:t>
            </w:r>
          </w:p>
        </w:tc>
      </w:tr>
      <w:tr w14:paraId="559A5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vAlign w:val="center"/>
          </w:tcPr>
          <w:p w14:paraId="28841895">
            <w:pPr>
              <w:pStyle w:val="60"/>
              <w:keepNext w:val="0"/>
              <w:keepLines w:val="0"/>
              <w:pageBreakBefore w:val="0"/>
              <w:widowControl w:val="0"/>
              <w:numPr>
                <w:ilvl w:val="0"/>
                <w:numId w:val="4"/>
              </w:numPr>
              <w:kinsoku/>
              <w:wordWrap/>
              <w:overflowPunct/>
              <w:topLinePunct w:val="0"/>
              <w:autoSpaceDE/>
              <w:autoSpaceDN/>
              <w:bidi w:val="0"/>
              <w:adjustRightInd/>
              <w:snapToGrid/>
              <w:spacing w:before="0"/>
              <w:ind w:left="0" w:leftChars="0" w:right="0" w:firstLine="0" w:firstLineChars="0"/>
              <w:jc w:val="center"/>
              <w:textAlignment w:val="auto"/>
              <w:rPr>
                <w:rFonts w:hint="default" w:eastAsia="宋体"/>
                <w:color w:val="auto"/>
                <w:sz w:val="18"/>
                <w:lang w:val="en-US" w:eastAsia="zh-CN"/>
              </w:rPr>
            </w:pPr>
          </w:p>
        </w:tc>
        <w:tc>
          <w:tcPr>
            <w:tcW w:w="605" w:type="dxa"/>
            <w:vMerge w:val="continue"/>
            <w:shd w:val="clear" w:color="auto" w:fill="auto"/>
            <w:vAlign w:val="center"/>
          </w:tcPr>
          <w:p w14:paraId="21AE4100">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p>
        </w:tc>
        <w:tc>
          <w:tcPr>
            <w:tcW w:w="1699" w:type="dxa"/>
            <w:shd w:val="clear" w:color="auto" w:fill="auto"/>
            <w:vAlign w:val="center"/>
          </w:tcPr>
          <w:p w14:paraId="39818CDC">
            <w:pPr>
              <w:pStyle w:val="60"/>
              <w:keepNext w:val="0"/>
              <w:keepLines w:val="0"/>
              <w:pageBreakBefore w:val="0"/>
              <w:widowControl w:val="0"/>
              <w:kinsoku/>
              <w:wordWrap/>
              <w:overflowPunct/>
              <w:topLinePunct w:val="0"/>
              <w:autoSpaceDE/>
              <w:autoSpaceDN/>
              <w:bidi w:val="0"/>
              <w:adjustRightInd/>
              <w:snapToGrid/>
              <w:spacing w:before="0"/>
              <w:ind w:left="0" w:leftChars="0"/>
              <w:jc w:val="center"/>
              <w:textAlignment w:val="auto"/>
              <w:rPr>
                <w:rFonts w:hint="eastAsia" w:ascii="宋体" w:hAnsi="宋体" w:eastAsia="宋体" w:cs="宋体"/>
                <w:spacing w:val="-3"/>
                <w:kern w:val="2"/>
                <w:sz w:val="18"/>
                <w:szCs w:val="22"/>
                <w:lang w:val="en-US" w:eastAsia="zh-CN" w:bidi="ar-SA"/>
              </w:rPr>
            </w:pPr>
            <w:r>
              <w:rPr>
                <w:rFonts w:hint="eastAsia"/>
                <w:spacing w:val="-3"/>
                <w:sz w:val="18"/>
                <w:lang w:val="en-US" w:eastAsia="zh-CN"/>
              </w:rPr>
              <w:t>防盗保险柜</w:t>
            </w:r>
          </w:p>
        </w:tc>
        <w:tc>
          <w:tcPr>
            <w:tcW w:w="5347" w:type="dxa"/>
            <w:shd w:val="clear" w:color="auto" w:fill="auto"/>
            <w:vAlign w:val="center"/>
          </w:tcPr>
          <w:p w14:paraId="2B8CE3FC">
            <w:pPr>
              <w:pStyle w:val="60"/>
              <w:keepNext w:val="0"/>
              <w:keepLines w:val="0"/>
              <w:pageBreakBefore w:val="0"/>
              <w:widowControl w:val="0"/>
              <w:kinsoku/>
              <w:wordWrap/>
              <w:overflowPunct/>
              <w:topLinePunct w:val="0"/>
              <w:autoSpaceDE/>
              <w:autoSpaceDN/>
              <w:bidi w:val="0"/>
              <w:adjustRightInd/>
              <w:snapToGrid/>
              <w:spacing w:before="0"/>
              <w:ind w:left="53" w:leftChars="25" w:right="0"/>
              <w:jc w:val="left"/>
              <w:textAlignment w:val="auto"/>
              <w:rPr>
                <w:rFonts w:hint="eastAsia"/>
                <w:spacing w:val="-2"/>
                <w:sz w:val="18"/>
                <w:lang w:val="en-US" w:eastAsia="en-US"/>
              </w:rPr>
            </w:pPr>
            <w:r>
              <w:rPr>
                <w:rFonts w:hint="default"/>
                <w:spacing w:val="-2"/>
                <w:sz w:val="18"/>
                <w:lang w:val="en-US" w:eastAsia="zh-CN"/>
              </w:rPr>
              <w:t>收款处、现金存放处</w:t>
            </w:r>
          </w:p>
        </w:tc>
        <w:tc>
          <w:tcPr>
            <w:tcW w:w="849" w:type="dxa"/>
            <w:shd w:val="clear" w:color="auto" w:fill="auto"/>
            <w:vAlign w:val="center"/>
          </w:tcPr>
          <w:p w14:paraId="776E0609">
            <w:pPr>
              <w:pStyle w:val="60"/>
              <w:keepNext w:val="0"/>
              <w:keepLines w:val="0"/>
              <w:pageBreakBefore w:val="0"/>
              <w:widowControl w:val="0"/>
              <w:kinsoku/>
              <w:wordWrap/>
              <w:overflowPunct/>
              <w:topLinePunct w:val="0"/>
              <w:autoSpaceDE/>
              <w:autoSpaceDN/>
              <w:bidi w:val="0"/>
              <w:adjustRightInd/>
              <w:snapToGrid/>
              <w:spacing w:before="0"/>
              <w:ind w:left="0" w:leftChars="0" w:right="0" w:rightChars="0"/>
              <w:jc w:val="center"/>
              <w:textAlignment w:val="auto"/>
              <w:rPr>
                <w:rFonts w:hint="eastAsia" w:ascii="宋体" w:hAnsi="宋体" w:eastAsia="宋体" w:cs="宋体"/>
                <w:spacing w:val="-5"/>
                <w:kern w:val="2"/>
                <w:sz w:val="18"/>
                <w:szCs w:val="22"/>
                <w:lang w:val="en-US" w:eastAsia="en-US" w:bidi="ar-SA"/>
              </w:rPr>
            </w:pPr>
            <w:r>
              <w:rPr>
                <w:spacing w:val="-5"/>
                <w:sz w:val="18"/>
              </w:rPr>
              <w:t>应配置</w:t>
            </w:r>
          </w:p>
        </w:tc>
      </w:tr>
    </w:tbl>
    <w:p w14:paraId="70A18FEB">
      <w:pPr>
        <w:spacing w:before="156" w:beforeLines="50" w:after="156" w:afterLines="50"/>
        <w:jc w:val="left"/>
        <w:outlineLvl w:val="1"/>
        <w:rPr>
          <w:rFonts w:hint="eastAsia" w:ascii="黑体" w:hAnsi="黑体" w:eastAsia="黑体"/>
          <w:lang w:val="en-US" w:eastAsia="zh-CN"/>
        </w:rPr>
      </w:pPr>
    </w:p>
    <w:p w14:paraId="7E8F3199">
      <w:pPr>
        <w:spacing w:before="156" w:beforeLines="50" w:after="156" w:afterLines="50"/>
        <w:jc w:val="left"/>
        <w:outlineLvl w:val="1"/>
        <w:rPr>
          <w:rFonts w:hint="eastAsia" w:ascii="黑体" w:hAnsi="黑体" w:eastAsia="黑体"/>
          <w:lang w:val="en-US" w:eastAsia="zh-CN"/>
        </w:rPr>
      </w:pPr>
      <w:bookmarkStart w:id="6" w:name="_Toc14080"/>
      <w:r>
        <w:rPr>
          <w:rFonts w:hint="eastAsia" w:ascii="黑体" w:hAnsi="黑体" w:eastAsia="黑体"/>
          <w:lang w:val="en-US" w:eastAsia="zh-CN"/>
        </w:rPr>
        <w:t>4.2  视频安防监控系统</w:t>
      </w:r>
      <w:bookmarkEnd w:id="6"/>
    </w:p>
    <w:p w14:paraId="67450C0B">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firstLine="0" w:firstLineChars="0"/>
        <w:jc w:val="left"/>
        <w:textAlignment w:val="auto"/>
        <w:rPr>
          <w:rFonts w:hint="eastAsia" w:ascii="宋体" w:hAnsi="宋体" w:eastAsia="宋体" w:cs="宋体"/>
          <w:spacing w:val="0"/>
          <w:sz w:val="21"/>
        </w:rPr>
      </w:pPr>
      <w:r>
        <w:rPr>
          <w:rFonts w:hint="eastAsia" w:ascii="黑体" w:hAnsi="黑体" w:eastAsia="黑体" w:cs="宋体"/>
          <w:kern w:val="0"/>
          <w:sz w:val="21"/>
          <w:szCs w:val="21"/>
          <w:lang w:val="en-US" w:eastAsia="zh-CN" w:bidi="ar-SA"/>
        </w:rPr>
        <w:t xml:space="preserve">4.2.1 </w:t>
      </w:r>
      <w:r>
        <w:rPr>
          <w:rFonts w:hint="eastAsia" w:ascii="黑体" w:hAnsi="黑体" w:eastAsia="黑体" w:cs="宋体"/>
          <w:kern w:val="0"/>
          <w:sz w:val="21"/>
          <w:szCs w:val="21"/>
          <w:highlight w:val="none"/>
          <w:lang w:val="en-US" w:eastAsia="zh-CN" w:bidi="ar-SA"/>
        </w:rPr>
        <w:t xml:space="preserve"> </w:t>
      </w:r>
      <w:r>
        <w:rPr>
          <w:rFonts w:hint="eastAsia" w:ascii="宋体" w:hAnsi="宋体" w:eastAsia="宋体" w:cs="宋体"/>
          <w:spacing w:val="0"/>
          <w:sz w:val="21"/>
          <w:highlight w:val="none"/>
          <w:lang w:val="en-US" w:eastAsia="zh-CN"/>
        </w:rPr>
        <w:t>宜</w:t>
      </w:r>
      <w:r>
        <w:rPr>
          <w:rFonts w:hint="eastAsia" w:ascii="宋体" w:hAnsi="宋体" w:eastAsia="宋体" w:cs="宋体"/>
          <w:spacing w:val="0"/>
          <w:sz w:val="21"/>
          <w:highlight w:val="none"/>
        </w:rPr>
        <w:t>采用数</w:t>
      </w:r>
      <w:r>
        <w:rPr>
          <w:rFonts w:hint="eastAsia" w:ascii="宋体" w:hAnsi="宋体" w:eastAsia="宋体" w:cs="宋体"/>
          <w:spacing w:val="0"/>
          <w:sz w:val="21"/>
        </w:rPr>
        <w:t>字视频安防监控系统，其技术要求应符合相关规定。</w:t>
      </w:r>
    </w:p>
    <w:p w14:paraId="549EECE3">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firstLine="0" w:firstLineChars="0"/>
        <w:jc w:val="left"/>
        <w:textAlignment w:val="auto"/>
        <w:rPr>
          <w:rFonts w:hint="eastAsia" w:ascii="宋体" w:hAnsi="宋体" w:eastAsia="宋体" w:cs="宋体"/>
          <w:spacing w:val="0"/>
          <w:sz w:val="21"/>
        </w:rPr>
      </w:pPr>
      <w:r>
        <w:rPr>
          <w:rFonts w:hint="eastAsia" w:ascii="黑体" w:hAnsi="黑体" w:eastAsia="黑体" w:cs="宋体"/>
          <w:kern w:val="0"/>
          <w:sz w:val="21"/>
          <w:szCs w:val="21"/>
          <w:lang w:val="en-US" w:eastAsia="zh-CN" w:bidi="ar-SA"/>
        </w:rPr>
        <w:t xml:space="preserve">4.2.2  </w:t>
      </w:r>
      <w:r>
        <w:rPr>
          <w:rFonts w:hint="eastAsia" w:ascii="宋体" w:hAnsi="宋体" w:eastAsia="宋体" w:cs="宋体"/>
          <w:spacing w:val="0"/>
          <w:sz w:val="21"/>
        </w:rPr>
        <w:t>摄像机安装应符合以下要求：</w:t>
      </w:r>
    </w:p>
    <w:p w14:paraId="1F503DAE">
      <w:pPr>
        <w:keepNext w:val="0"/>
        <w:keepLines w:val="0"/>
        <w:pageBreakBefore w:val="0"/>
        <w:widowControl w:val="0"/>
        <w:kinsoku/>
        <w:wordWrap/>
        <w:overflowPunct/>
        <w:topLinePunct w:val="0"/>
        <w:autoSpaceDE w:val="0"/>
        <w:autoSpaceDN w:val="0"/>
        <w:bidi w:val="0"/>
        <w:adjustRightInd w:val="0"/>
        <w:snapToGrid/>
        <w:ind w:left="840" w:leftChars="200" w:hanging="420" w:hangingChars="200"/>
        <w:jc w:val="left"/>
        <w:textAlignment w:val="auto"/>
        <w:rPr>
          <w:rFonts w:hint="eastAsia" w:cs="Arial" w:asciiTheme="minorEastAsia" w:hAnsiTheme="minorEastAsia"/>
          <w:shd w:val="clear" w:color="auto" w:fill="FFFFFF"/>
          <w:lang w:val="en-US" w:eastAsia="zh-CN"/>
        </w:rPr>
      </w:pPr>
      <w:r>
        <w:rPr>
          <w:rFonts w:hint="eastAsia" w:cs="Arial" w:asciiTheme="minorEastAsia" w:hAnsiTheme="minorEastAsia"/>
          <w:shd w:val="clear" w:color="auto" w:fill="FFFFFF"/>
          <w:lang w:val="en-US" w:eastAsia="zh-CN"/>
        </w:rPr>
        <w:t>（1）</w:t>
      </w:r>
      <w:r>
        <w:rPr>
          <w:rFonts w:hint="eastAsia" w:ascii="宋体" w:hAnsi="宋体" w:eastAsia="宋体" w:cs="宋体"/>
          <w:spacing w:val="0"/>
          <w:kern w:val="2"/>
          <w:sz w:val="21"/>
          <w:szCs w:val="22"/>
          <w:lang w:val="en-US" w:eastAsia="zh-CN" w:bidi="ar-SA"/>
        </w:rPr>
        <w:t>应使用分辨率不低于1920×1080的数字摄像机，电梯轿厢的摄像机镜头的焦距应≤2.8mm；</w:t>
      </w:r>
    </w:p>
    <w:p w14:paraId="5F5A0596">
      <w:pPr>
        <w:keepNext w:val="0"/>
        <w:keepLines w:val="0"/>
        <w:pageBreakBefore w:val="0"/>
        <w:widowControl w:val="0"/>
        <w:kinsoku/>
        <w:wordWrap/>
        <w:overflowPunct/>
        <w:topLinePunct w:val="0"/>
        <w:autoSpaceDE w:val="0"/>
        <w:autoSpaceDN w:val="0"/>
        <w:bidi w:val="0"/>
        <w:adjustRightInd w:val="0"/>
        <w:snapToGrid/>
        <w:ind w:left="840" w:leftChars="200" w:hanging="420" w:hangingChars="200"/>
        <w:jc w:val="left"/>
        <w:textAlignment w:val="auto"/>
        <w:rPr>
          <w:rFonts w:hint="eastAsia" w:cs="Arial" w:asciiTheme="minorEastAsia" w:hAnsiTheme="minorEastAsia"/>
          <w:shd w:val="clear" w:color="auto" w:fill="FFFFFF"/>
          <w:lang w:val="en-US" w:eastAsia="zh-CN"/>
        </w:rPr>
      </w:pPr>
      <w:r>
        <w:rPr>
          <w:rFonts w:hint="eastAsia" w:cs="Arial" w:asciiTheme="minorEastAsia" w:hAnsiTheme="minorEastAsia"/>
          <w:shd w:val="clear" w:color="auto" w:fill="FFFFFF"/>
          <w:lang w:val="en-US" w:eastAsia="zh-CN"/>
        </w:rPr>
        <w:t>（2）</w:t>
      </w:r>
      <w:r>
        <w:rPr>
          <w:rFonts w:hint="eastAsia" w:ascii="宋体" w:hAnsi="宋体" w:eastAsia="宋体" w:cs="宋体"/>
          <w:spacing w:val="0"/>
          <w:kern w:val="2"/>
          <w:sz w:val="21"/>
          <w:szCs w:val="22"/>
          <w:lang w:val="en-US" w:eastAsia="zh-CN" w:bidi="ar-SA"/>
        </w:rPr>
        <w:t>地块出入口、机动车库车行出入口应24h彩色录像；室外摄像机应采用低照度摄像机，需满足夜间对人员及车辆特征的清晰监控，不允许使用一体机；室内摄像机可使用阵列式红外一体机；</w:t>
      </w:r>
    </w:p>
    <w:p w14:paraId="408AF349">
      <w:pPr>
        <w:keepNext w:val="0"/>
        <w:keepLines w:val="0"/>
        <w:pageBreakBefore w:val="0"/>
        <w:widowControl w:val="0"/>
        <w:kinsoku/>
        <w:wordWrap/>
        <w:overflowPunct/>
        <w:topLinePunct w:val="0"/>
        <w:autoSpaceDE w:val="0"/>
        <w:autoSpaceDN w:val="0"/>
        <w:bidi w:val="0"/>
        <w:adjustRightInd w:val="0"/>
        <w:snapToGrid/>
        <w:ind w:left="840" w:leftChars="200" w:hanging="420" w:hangingChars="200"/>
        <w:jc w:val="left"/>
        <w:textAlignment w:val="auto"/>
        <w:rPr>
          <w:rFonts w:hint="eastAsia" w:ascii="宋体" w:hAnsi="宋体"/>
          <w:sz w:val="24"/>
          <w:szCs w:val="24"/>
        </w:rPr>
      </w:pPr>
      <w:r>
        <w:rPr>
          <w:rFonts w:hint="eastAsia" w:cs="Arial" w:asciiTheme="minorEastAsia" w:hAnsiTheme="minorEastAsia"/>
          <w:shd w:val="clear" w:color="auto" w:fill="FFFFFF"/>
          <w:lang w:val="en-US" w:eastAsia="zh-CN"/>
        </w:rPr>
        <w:t>（3）</w:t>
      </w:r>
      <w:r>
        <w:rPr>
          <w:rFonts w:hint="eastAsia" w:ascii="宋体" w:hAnsi="宋体" w:eastAsia="宋体" w:cs="宋体"/>
          <w:spacing w:val="0"/>
          <w:kern w:val="2"/>
          <w:sz w:val="21"/>
          <w:szCs w:val="22"/>
          <w:lang w:val="en-US" w:eastAsia="zh-CN" w:bidi="ar-SA"/>
        </w:rPr>
        <w:t>人像抓拍摄像机、车辆抓拍摄像机、全景摄像机的像素应不低于 400 万，要求24小时彩色图像；</w:t>
      </w:r>
    </w:p>
    <w:p w14:paraId="769F4187">
      <w:pPr>
        <w:keepNext w:val="0"/>
        <w:keepLines w:val="0"/>
        <w:pageBreakBefore w:val="0"/>
        <w:widowControl w:val="0"/>
        <w:kinsoku/>
        <w:wordWrap/>
        <w:overflowPunct/>
        <w:topLinePunct w:val="0"/>
        <w:autoSpaceDE w:val="0"/>
        <w:autoSpaceDN w:val="0"/>
        <w:bidi w:val="0"/>
        <w:adjustRightInd w:val="0"/>
        <w:snapToGrid/>
        <w:ind w:left="840" w:leftChars="200" w:hanging="420" w:hangingChars="200"/>
        <w:jc w:val="left"/>
        <w:textAlignment w:val="auto"/>
        <w:rPr>
          <w:rFonts w:hint="eastAsia" w:cs="Arial" w:asciiTheme="minorEastAsia" w:hAnsiTheme="minorEastAsia"/>
          <w:shd w:val="clear" w:color="auto" w:fill="FFFFFF"/>
          <w:lang w:val="en-US" w:eastAsia="zh-CN"/>
        </w:rPr>
      </w:pPr>
      <w:r>
        <w:rPr>
          <w:rFonts w:hint="eastAsia" w:cs="Arial" w:asciiTheme="minorEastAsia" w:hAnsiTheme="minorEastAsia"/>
          <w:shd w:val="clear" w:color="auto" w:fill="FFFFFF"/>
          <w:lang w:val="en-US" w:eastAsia="zh-CN"/>
        </w:rPr>
        <w:t>（4）</w:t>
      </w:r>
      <w:r>
        <w:rPr>
          <w:rFonts w:hint="eastAsia" w:ascii="宋体" w:hAnsi="宋体" w:eastAsia="宋体" w:cs="宋体"/>
          <w:spacing w:val="0"/>
          <w:kern w:val="2"/>
          <w:sz w:val="21"/>
          <w:szCs w:val="22"/>
          <w:lang w:val="en-US" w:eastAsia="zh-CN" w:bidi="ar-SA"/>
        </w:rPr>
        <w:t>前端摄像机应采用集中供电方式，应合理配置；室外及重要部位摄像机不得采用POE供电方式。其它采用POE供电的，其传输距离应不超过75米；</w:t>
      </w:r>
    </w:p>
    <w:p w14:paraId="7FF0A1D4">
      <w:pPr>
        <w:keepNext w:val="0"/>
        <w:keepLines w:val="0"/>
        <w:pageBreakBefore w:val="0"/>
        <w:widowControl w:val="0"/>
        <w:kinsoku/>
        <w:wordWrap/>
        <w:overflowPunct/>
        <w:topLinePunct w:val="0"/>
        <w:autoSpaceDE w:val="0"/>
        <w:autoSpaceDN w:val="0"/>
        <w:bidi w:val="0"/>
        <w:adjustRightInd w:val="0"/>
        <w:snapToGrid/>
        <w:ind w:left="840" w:leftChars="200" w:hanging="420" w:hangingChars="200"/>
        <w:jc w:val="left"/>
        <w:textAlignment w:val="auto"/>
        <w:rPr>
          <w:rFonts w:hint="eastAsia" w:cs="Arial" w:asciiTheme="minorEastAsia" w:hAnsiTheme="minorEastAsia"/>
          <w:shd w:val="clear" w:color="auto" w:fill="FFFFFF"/>
          <w:lang w:val="en-US" w:eastAsia="zh-CN"/>
        </w:rPr>
      </w:pPr>
      <w:r>
        <w:rPr>
          <w:rFonts w:hint="eastAsia" w:cs="Arial" w:asciiTheme="minorEastAsia" w:hAnsiTheme="minorEastAsia"/>
          <w:shd w:val="clear" w:color="auto" w:fill="FFFFFF"/>
          <w:lang w:val="en-US" w:eastAsia="zh-CN"/>
        </w:rPr>
        <w:t>（5）</w:t>
      </w:r>
      <w:r>
        <w:rPr>
          <w:rFonts w:hint="eastAsia" w:ascii="宋体" w:hAnsi="宋体" w:eastAsia="宋体" w:cs="宋体"/>
          <w:spacing w:val="0"/>
          <w:kern w:val="2"/>
          <w:sz w:val="21"/>
          <w:szCs w:val="22"/>
          <w:lang w:val="en-US" w:eastAsia="zh-CN" w:bidi="ar-SA"/>
        </w:rPr>
        <w:t>地块出入口、主要通道应安装固定焦距摄像机，监控范围内的平均照度应≥50Lux，照度不足的应设置与摄像机指向一致的辅助照明光源；</w:t>
      </w:r>
    </w:p>
    <w:p w14:paraId="30FC14E9">
      <w:pPr>
        <w:keepNext w:val="0"/>
        <w:keepLines w:val="0"/>
        <w:pageBreakBefore w:val="0"/>
        <w:widowControl w:val="0"/>
        <w:kinsoku/>
        <w:wordWrap/>
        <w:overflowPunct/>
        <w:topLinePunct w:val="0"/>
        <w:autoSpaceDE w:val="0"/>
        <w:autoSpaceDN w:val="0"/>
        <w:bidi w:val="0"/>
        <w:adjustRightInd w:val="0"/>
        <w:snapToGrid/>
        <w:ind w:left="840" w:leftChars="200" w:hanging="420" w:hangingChars="200"/>
        <w:jc w:val="left"/>
        <w:textAlignment w:val="auto"/>
        <w:rPr>
          <w:rFonts w:hint="eastAsia" w:cs="Arial" w:asciiTheme="minorEastAsia" w:hAnsiTheme="minorEastAsia"/>
          <w:shd w:val="clear" w:color="auto" w:fill="FFFFFF"/>
          <w:lang w:val="en-US" w:eastAsia="zh-CN"/>
        </w:rPr>
      </w:pPr>
      <w:r>
        <w:rPr>
          <w:rFonts w:hint="eastAsia" w:cs="Arial" w:asciiTheme="minorEastAsia" w:hAnsiTheme="minorEastAsia"/>
          <w:shd w:val="clear" w:color="auto" w:fill="FFFFFF"/>
          <w:lang w:val="en-US" w:eastAsia="zh-CN"/>
        </w:rPr>
        <w:t>（6）</w:t>
      </w:r>
      <w:r>
        <w:rPr>
          <w:rFonts w:hint="eastAsia" w:ascii="宋体" w:hAnsi="宋体" w:eastAsia="宋体" w:cs="宋体"/>
          <w:spacing w:val="0"/>
          <w:kern w:val="2"/>
          <w:sz w:val="21"/>
          <w:szCs w:val="22"/>
          <w:lang w:val="en-US" w:eastAsia="zh-CN" w:bidi="ar-SA"/>
        </w:rPr>
        <w:t>监控区域应无遮挡，室内摄像机逆光安装的，应采用宽动态摄像机；</w:t>
      </w:r>
    </w:p>
    <w:p w14:paraId="0627BE7C">
      <w:pPr>
        <w:keepNext w:val="0"/>
        <w:keepLines w:val="0"/>
        <w:pageBreakBefore w:val="0"/>
        <w:widowControl w:val="0"/>
        <w:kinsoku/>
        <w:wordWrap/>
        <w:overflowPunct/>
        <w:topLinePunct w:val="0"/>
        <w:autoSpaceDE w:val="0"/>
        <w:autoSpaceDN w:val="0"/>
        <w:bidi w:val="0"/>
        <w:adjustRightInd w:val="0"/>
        <w:snapToGrid/>
        <w:ind w:left="840" w:leftChars="200" w:hanging="420" w:hangingChars="200"/>
        <w:jc w:val="left"/>
        <w:textAlignment w:val="auto"/>
        <w:rPr>
          <w:rFonts w:hint="eastAsia" w:cs="Arial" w:asciiTheme="minorEastAsia" w:hAnsiTheme="minorEastAsia"/>
          <w:shd w:val="clear" w:color="auto" w:fill="FFFFFF"/>
          <w:lang w:val="en-US" w:eastAsia="zh-CN"/>
        </w:rPr>
      </w:pPr>
      <w:r>
        <w:rPr>
          <w:rFonts w:hint="eastAsia" w:cs="Arial" w:asciiTheme="minorEastAsia" w:hAnsiTheme="minorEastAsia"/>
          <w:shd w:val="clear" w:color="auto" w:fill="FFFFFF"/>
          <w:lang w:val="en-US" w:eastAsia="zh-CN"/>
        </w:rPr>
        <w:t>（7）</w:t>
      </w:r>
      <w:r>
        <w:rPr>
          <w:rFonts w:hint="eastAsia" w:ascii="宋体" w:hAnsi="宋体" w:eastAsia="宋体" w:cs="宋体"/>
          <w:spacing w:val="0"/>
          <w:kern w:val="2"/>
          <w:sz w:val="21"/>
          <w:szCs w:val="22"/>
          <w:lang w:val="en-US" w:eastAsia="zh-CN" w:bidi="ar-SA"/>
        </w:rPr>
        <w:t>固定摄像机的安装指向与监控目标形成的垂直夹角宜≤30°，与监控目标形成的水平夹角宜≤45°，监控区域应无遮挡；</w:t>
      </w:r>
    </w:p>
    <w:p w14:paraId="2D921B43">
      <w:pPr>
        <w:keepNext w:val="0"/>
        <w:keepLines w:val="0"/>
        <w:pageBreakBefore w:val="0"/>
        <w:widowControl w:val="0"/>
        <w:kinsoku/>
        <w:wordWrap/>
        <w:overflowPunct/>
        <w:topLinePunct w:val="0"/>
        <w:autoSpaceDE w:val="0"/>
        <w:autoSpaceDN w:val="0"/>
        <w:bidi w:val="0"/>
        <w:adjustRightInd w:val="0"/>
        <w:snapToGrid/>
        <w:ind w:left="840" w:leftChars="200" w:hanging="420" w:hangingChars="200"/>
        <w:jc w:val="left"/>
        <w:textAlignment w:val="auto"/>
        <w:rPr>
          <w:rFonts w:hint="eastAsia" w:ascii="宋体" w:hAnsi="宋体"/>
          <w:sz w:val="24"/>
          <w:szCs w:val="24"/>
        </w:rPr>
      </w:pPr>
      <w:r>
        <w:rPr>
          <w:rFonts w:hint="eastAsia" w:cs="Arial" w:asciiTheme="minorEastAsia" w:hAnsiTheme="minorEastAsia"/>
          <w:shd w:val="clear" w:color="auto" w:fill="FFFFFF"/>
          <w:lang w:val="en-US" w:eastAsia="zh-CN"/>
        </w:rPr>
        <w:t>（8）</w:t>
      </w:r>
      <w:r>
        <w:rPr>
          <w:rFonts w:hint="eastAsia" w:ascii="宋体" w:hAnsi="宋体" w:eastAsia="宋体" w:cs="宋体"/>
          <w:spacing w:val="0"/>
          <w:kern w:val="2"/>
          <w:sz w:val="21"/>
          <w:szCs w:val="22"/>
          <w:lang w:val="en-US" w:eastAsia="zh-CN" w:bidi="ar-SA"/>
        </w:rPr>
        <w:t>摄像机应采用稳定、牢固的安装支架，安装位置及高度应不易受外界干扰、破坏，且应不影响现场设备运行和人员正常活动；室外枪式摄像机安装高度宜为3-4m（出入口等特殊位置除外），云台摄像机安装高度应不低于5m，立杆应采用整体热镀锌防腐处理工艺，基础应采取地笼安装方式，整体应有效防止图像抖动；</w:t>
      </w:r>
    </w:p>
    <w:p w14:paraId="1F4B83E0">
      <w:pPr>
        <w:keepNext w:val="0"/>
        <w:keepLines w:val="0"/>
        <w:pageBreakBefore w:val="0"/>
        <w:widowControl w:val="0"/>
        <w:kinsoku/>
        <w:wordWrap/>
        <w:overflowPunct/>
        <w:topLinePunct w:val="0"/>
        <w:autoSpaceDE w:val="0"/>
        <w:autoSpaceDN w:val="0"/>
        <w:bidi w:val="0"/>
        <w:adjustRightInd w:val="0"/>
        <w:snapToGrid/>
        <w:ind w:left="840" w:leftChars="200" w:hanging="420" w:hangingChars="200"/>
        <w:jc w:val="left"/>
        <w:textAlignment w:val="auto"/>
        <w:rPr>
          <w:rFonts w:hint="default" w:cs="Arial" w:asciiTheme="minorEastAsia" w:hAnsiTheme="minorEastAsia"/>
          <w:shd w:val="clear" w:color="auto" w:fill="FFFFFF"/>
          <w:lang w:val="en-US" w:eastAsia="zh-CN"/>
        </w:rPr>
      </w:pPr>
      <w:r>
        <w:rPr>
          <w:rFonts w:hint="eastAsia" w:cs="Arial" w:asciiTheme="minorEastAsia" w:hAnsiTheme="minorEastAsia"/>
          <w:shd w:val="clear" w:color="auto" w:fill="FFFFFF"/>
          <w:lang w:val="en-US" w:eastAsia="zh-CN"/>
        </w:rPr>
        <w:t>（9）带有云台、变焦镜头控制的摄像机，在停止云台、变焦操作2min±0.5 min后，应自动恢复至预置设定状态。</w:t>
      </w:r>
    </w:p>
    <w:p w14:paraId="66E7F8D6">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4.2.5  </w:t>
      </w:r>
      <w:r>
        <w:rPr>
          <w:rFonts w:hint="eastAsia" w:ascii="宋体" w:hAnsi="宋体" w:eastAsia="宋体" w:cs="宋体"/>
          <w:spacing w:val="0"/>
          <w:sz w:val="21"/>
          <w:szCs w:val="21"/>
        </w:rPr>
        <w:t>视频图像应有日期、时间、监视画面位置等字符叠加显示功能，字符叠加应不影响对图像的监视和记录回放效果。字符设置应符合 GA/T 751 和相关标准要求的规定，字符时间与标准时间的误差应在±30s 以内。</w:t>
      </w:r>
    </w:p>
    <w:p w14:paraId="1CE0496B">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4.2.6  </w:t>
      </w:r>
      <w:r>
        <w:rPr>
          <w:rFonts w:hint="eastAsia" w:ascii="宋体" w:hAnsi="宋体" w:eastAsia="宋体" w:cs="宋体"/>
          <w:spacing w:val="0"/>
          <w:sz w:val="21"/>
          <w:szCs w:val="21"/>
        </w:rPr>
        <w:t>有人值守且具有 16 路以上多路视频图像的系统，系统图像显示终端在按单屏多画面显示配置的同时，还应按不小于摄像机总数 1/64（含）的比例另行配置，对其中重点图像（如:出入口等）采用固定监视或切换监视；无人值守的，可配置单台显示终端对视频图像进行单屏多画面或单画面轮巡显示，并应配置用于回放调阅的客户端及显示终端；切换监视或轮巡显示同步时间应不大于 1s，画面停留时间应在 5s 至 30s 之间。</w:t>
      </w:r>
    </w:p>
    <w:p w14:paraId="50D20C13">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4.2.7  </w:t>
      </w:r>
      <w:r>
        <w:rPr>
          <w:rFonts w:hint="eastAsia" w:ascii="宋体" w:hAnsi="宋体" w:eastAsia="宋体" w:cs="宋体"/>
          <w:spacing w:val="0"/>
          <w:sz w:val="21"/>
          <w:szCs w:val="21"/>
        </w:rPr>
        <w:t>视频安防监控系统应与入侵和紧急报警系统、出入口控制系统联动，当触发报警时，安防中心控制室的图像显示终端应能自动联动切换出所对应和或关联部位、区域的视频图像，并根据联动视频图像的数量，自动调整显示窗口、显示终端。触发报警的响应时间应不大于 2s，单个触发报警联动对应视频图像的能力应不小于 4 个。</w:t>
      </w:r>
    </w:p>
    <w:p w14:paraId="4DB3760D">
      <w:pPr>
        <w:pStyle w:val="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spacing w:val="0"/>
          <w:sz w:val="21"/>
          <w:szCs w:val="21"/>
          <w:lang w:eastAsia="zh-CN"/>
        </w:rPr>
      </w:pPr>
      <w:r>
        <w:rPr>
          <w:rFonts w:hint="eastAsia" w:ascii="黑体" w:hAnsi="黑体" w:eastAsia="黑体" w:cs="宋体"/>
          <w:kern w:val="0"/>
          <w:sz w:val="21"/>
          <w:szCs w:val="21"/>
          <w:lang w:val="en-US" w:eastAsia="zh-CN" w:bidi="ar-SA"/>
        </w:rPr>
        <w:t xml:space="preserve">4.2.8  </w:t>
      </w:r>
      <w:r>
        <w:rPr>
          <w:rFonts w:hint="eastAsia" w:ascii="宋体" w:hAnsi="宋体" w:eastAsia="宋体" w:cs="宋体"/>
          <w:spacing w:val="0"/>
          <w:sz w:val="21"/>
          <w:szCs w:val="21"/>
        </w:rPr>
        <w:t>应配置数字录像设备对系统所有图像进行实时记录。数字录像设备应符合 GB 20815-2006 标准中 II、Ⅲ类 A 级的要求，图像信息应以大于等于 25fps 的帧速保存，图像信息保存时间和系统运行、系统备电应同时符合以下要求</w:t>
      </w:r>
      <w:r>
        <w:rPr>
          <w:rFonts w:hint="eastAsia" w:ascii="宋体" w:hAnsi="宋体" w:eastAsia="宋体" w:cs="宋体"/>
          <w:spacing w:val="0"/>
          <w:sz w:val="21"/>
          <w:szCs w:val="21"/>
          <w:lang w:eastAsia="zh-CN"/>
        </w:rPr>
        <w:t>：</w:t>
      </w:r>
    </w:p>
    <w:p w14:paraId="0C7C464E">
      <w:pPr>
        <w:pStyle w:val="29"/>
        <w:keepNext w:val="0"/>
        <w:keepLines w:val="0"/>
        <w:pageBreakBefore w:val="0"/>
        <w:widowControl w:val="0"/>
        <w:numPr>
          <w:ilvl w:val="0"/>
          <w:numId w:val="0"/>
        </w:numPr>
        <w:tabs>
          <w:tab w:val="left" w:pos="1064"/>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 xml:space="preserve">（1） </w:t>
      </w:r>
      <w:r>
        <w:rPr>
          <w:rFonts w:hint="eastAsia" w:ascii="宋体" w:hAnsi="宋体" w:eastAsia="宋体" w:cs="宋体"/>
          <w:spacing w:val="0"/>
          <w:sz w:val="21"/>
          <w:szCs w:val="21"/>
        </w:rPr>
        <w:t>视频监控图像保存时间除特殊规定外，应不少于 30d；</w:t>
      </w:r>
    </w:p>
    <w:p w14:paraId="37FEB79F">
      <w:pPr>
        <w:pStyle w:val="29"/>
        <w:keepNext w:val="0"/>
        <w:keepLines w:val="0"/>
        <w:pageBreakBefore w:val="0"/>
        <w:widowControl w:val="0"/>
        <w:numPr>
          <w:ilvl w:val="0"/>
          <w:numId w:val="0"/>
        </w:numPr>
        <w:tabs>
          <w:tab w:val="left" w:pos="1064"/>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 xml:space="preserve">（2） </w:t>
      </w:r>
      <w:r>
        <w:rPr>
          <w:rFonts w:hint="eastAsia" w:ascii="宋体" w:hAnsi="宋体" w:eastAsia="宋体" w:cs="宋体"/>
          <w:spacing w:val="0"/>
          <w:sz w:val="21"/>
          <w:szCs w:val="21"/>
        </w:rPr>
        <w:t>系统应保持 24h 开启状态；</w:t>
      </w:r>
    </w:p>
    <w:p w14:paraId="2C41BFA3">
      <w:pPr>
        <w:pStyle w:val="29"/>
        <w:keepNext w:val="0"/>
        <w:keepLines w:val="0"/>
        <w:pageBreakBefore w:val="0"/>
        <w:widowControl w:val="0"/>
        <w:numPr>
          <w:ilvl w:val="0"/>
          <w:numId w:val="0"/>
        </w:numPr>
        <w:tabs>
          <w:tab w:val="left" w:pos="1064"/>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 xml:space="preserve">（3） </w:t>
      </w:r>
      <w:r>
        <w:rPr>
          <w:rFonts w:hint="eastAsia" w:ascii="宋体" w:hAnsi="宋体" w:eastAsia="宋体" w:cs="宋体"/>
          <w:spacing w:val="0"/>
          <w:sz w:val="21"/>
          <w:szCs w:val="21"/>
        </w:rPr>
        <w:t>系统应有备用电源，应能保证在市电断电后系统供电时间不少于 1h。</w:t>
      </w:r>
    </w:p>
    <w:p w14:paraId="1E155A51">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0" w:right="0" w:rightChars="0" w:firstLine="0" w:firstLine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4.2.9  </w:t>
      </w:r>
      <w:r>
        <w:rPr>
          <w:rFonts w:hint="eastAsia" w:ascii="宋体" w:hAnsi="宋体" w:eastAsia="宋体" w:cs="宋体"/>
          <w:spacing w:val="0"/>
          <w:sz w:val="21"/>
          <w:szCs w:val="21"/>
        </w:rPr>
        <w:t>系统应配置统一时钟源对所有系统设备进行自动校时和时钟同步。</w:t>
      </w:r>
    </w:p>
    <w:p w14:paraId="75CAFAEB">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4.2.10  </w:t>
      </w:r>
      <w:r>
        <w:rPr>
          <w:rFonts w:hint="eastAsia" w:ascii="宋体" w:hAnsi="宋体" w:eastAsia="宋体" w:cs="宋体"/>
          <w:spacing w:val="0"/>
          <w:sz w:val="21"/>
          <w:szCs w:val="21"/>
        </w:rPr>
        <w:t>系统应具有三维地理信息视频融合功能，应能将一、二级风险博物馆的展品/藏品装卸、拆封、交接、清点处区域，展品/藏品运送通道，展品/藏品的库区、库房区域，特殊展品的展示部位及展示区域，以及一、二级风险等级的展场、展厅等重要部位彩色摄像机所监视覆盖区域、部位的视频图像与三维地理信息场景相融合，并应在所构筑的图层上直接展现相应的关联信息及关联图像。</w:t>
      </w:r>
    </w:p>
    <w:p w14:paraId="70D73C36">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4.2.11  </w:t>
      </w:r>
      <w:r>
        <w:rPr>
          <w:rFonts w:hint="eastAsia" w:ascii="宋体" w:hAnsi="宋体" w:eastAsia="宋体" w:cs="宋体"/>
          <w:spacing w:val="0"/>
          <w:sz w:val="21"/>
          <w:szCs w:val="21"/>
        </w:rPr>
        <w:t>系统宜采用智能化视频分析处理技术，实现运动目标检测、遗留物检测、物体移除检测、绊线检测、入侵检测、逆行检测、徘徊检测、流量统计、密度检测、目标分类以及声音检测、报警联动等一种或多种实时智能分析功能及应用，其技术要求应符合 GB/T 30147 的有关规定。</w:t>
      </w:r>
    </w:p>
    <w:p w14:paraId="3E0FADC1">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4.2.12  </w:t>
      </w:r>
      <w:r>
        <w:rPr>
          <w:rFonts w:hint="eastAsia" w:ascii="宋体" w:hAnsi="宋体" w:eastAsia="宋体" w:cs="宋体"/>
          <w:spacing w:val="0"/>
          <w:w w:val="100"/>
          <w:sz w:val="21"/>
          <w:szCs w:val="21"/>
        </w:rPr>
        <w:t>人行出入口摄像机应采用智能化视频分析处理技术，实现对出入人员的人脸数据采集、智能分析应用，提供联网集中数据服务、与上级部门系统交互等功能。图片数据资料保存时间应不少于</w:t>
      </w:r>
      <w:r>
        <w:rPr>
          <w:rFonts w:hint="eastAsia" w:ascii="宋体" w:hAnsi="宋体" w:eastAsia="宋体" w:cs="宋体"/>
          <w:spacing w:val="0"/>
          <w:sz w:val="21"/>
          <w:szCs w:val="21"/>
        </w:rPr>
        <w:t xml:space="preserve"> </w:t>
      </w:r>
      <w:r>
        <w:rPr>
          <w:rFonts w:hint="eastAsia" w:ascii="宋体" w:hAnsi="宋体" w:eastAsia="宋体" w:cs="宋体"/>
          <w:spacing w:val="0"/>
          <w:w w:val="100"/>
          <w:sz w:val="21"/>
          <w:szCs w:val="21"/>
        </w:rPr>
        <w:t>180d，其他数据资料保存时间应不少于</w:t>
      </w:r>
      <w:r>
        <w:rPr>
          <w:rFonts w:hint="eastAsia" w:ascii="宋体" w:hAnsi="宋体" w:eastAsia="宋体" w:cs="宋体"/>
          <w:spacing w:val="0"/>
          <w:sz w:val="21"/>
          <w:szCs w:val="21"/>
        </w:rPr>
        <w:t xml:space="preserve"> </w:t>
      </w:r>
      <w:r>
        <w:rPr>
          <w:rFonts w:hint="eastAsia" w:ascii="宋体" w:hAnsi="宋体" w:eastAsia="宋体" w:cs="宋体"/>
          <w:spacing w:val="0"/>
          <w:w w:val="100"/>
          <w:sz w:val="21"/>
          <w:szCs w:val="21"/>
        </w:rPr>
        <w:t>360d。</w:t>
      </w:r>
    </w:p>
    <w:p w14:paraId="01CD1C6A">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4.2.13  </w:t>
      </w:r>
      <w:r>
        <w:rPr>
          <w:rFonts w:hint="eastAsia" w:ascii="宋体" w:hAnsi="宋体" w:eastAsia="宋体" w:cs="宋体"/>
          <w:spacing w:val="0"/>
          <w:sz w:val="21"/>
          <w:szCs w:val="21"/>
        </w:rPr>
        <w:t>网络型数字视频安防监控系统，应采用数据结构独立的专用网络（允许采用 VLAN 的独立网段），应对系统中所有接入设备的网络端口予以管理和绑定，单层设备之间的传输距离应不大于 75m。</w:t>
      </w:r>
    </w:p>
    <w:p w14:paraId="1AEC832D">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4.2.14  </w:t>
      </w:r>
      <w:r>
        <w:rPr>
          <w:rFonts w:hint="eastAsia" w:ascii="宋体" w:hAnsi="宋体" w:eastAsia="宋体" w:cs="宋体"/>
          <w:spacing w:val="0"/>
          <w:sz w:val="21"/>
          <w:szCs w:val="21"/>
        </w:rPr>
        <w:t>应具有视频安防监控数据导出防泄密功能，对数字录像设备的 USB 端口采用可通过出入口控制系统授权刷卡认证的防泄密 USB 防插拔设备予以绑定管理，并应将 USB 插拔报警传送至“本市技防工程监督管理系统”；通过互联网与其他应用实现实时联网的，其技术要求还应符合 GB/T 22239-2015 第三级安全防护的要求。</w:t>
      </w:r>
    </w:p>
    <w:p w14:paraId="63BCC606">
      <w:pPr>
        <w:pStyle w:val="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4.2.15  </w:t>
      </w:r>
      <w:r>
        <w:rPr>
          <w:rFonts w:hint="eastAsia" w:ascii="宋体" w:hAnsi="宋体" w:eastAsia="宋体" w:cs="宋体"/>
          <w:spacing w:val="0"/>
          <w:sz w:val="21"/>
          <w:szCs w:val="21"/>
        </w:rPr>
        <w:t>视频安防监控系统的其他要求应符合 GB/T 15408、GB 50198-2011、GB 50395 和 GA/T 367 的有关规定。</w:t>
      </w:r>
    </w:p>
    <w:p w14:paraId="43898B6E">
      <w:pPr>
        <w:spacing w:before="156" w:beforeLines="50" w:after="156" w:afterLines="50"/>
        <w:jc w:val="left"/>
        <w:outlineLvl w:val="1"/>
        <w:rPr>
          <w:rFonts w:hint="eastAsia" w:ascii="黑体" w:hAnsi="黑体" w:eastAsia="黑体"/>
        </w:rPr>
      </w:pPr>
      <w:bookmarkStart w:id="7" w:name="_Toc19145"/>
      <w:r>
        <w:rPr>
          <w:rFonts w:hint="eastAsia" w:ascii="黑体" w:hAnsi="黑体" w:eastAsia="黑体"/>
          <w:lang w:val="en-US" w:eastAsia="zh-CN"/>
        </w:rPr>
        <w:t xml:space="preserve">4.3  </w:t>
      </w:r>
      <w:r>
        <w:rPr>
          <w:rFonts w:hint="eastAsia" w:ascii="黑体" w:hAnsi="黑体" w:eastAsia="黑体"/>
        </w:rPr>
        <w:t>⼊侵和紧急报警系统</w:t>
      </w:r>
      <w:bookmarkEnd w:id="7"/>
    </w:p>
    <w:p w14:paraId="2E7B608C">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zh-CN" w:bidi="ar-SA"/>
        </w:rPr>
        <w:t>4.3.1</w:t>
      </w:r>
      <w:r>
        <w:rPr>
          <w:rFonts w:hint="eastAsia" w:ascii="宋体" w:hAnsi="宋体" w:eastAsia="宋体" w:cs="宋体"/>
          <w:spacing w:val="0"/>
          <w:sz w:val="21"/>
          <w:szCs w:val="21"/>
          <w:lang w:val="en-US" w:eastAsia="zh-CN"/>
        </w:rPr>
        <w:t xml:space="preserve">  </w:t>
      </w:r>
      <w:r>
        <w:rPr>
          <w:rFonts w:hint="eastAsia" w:ascii="宋体" w:hAnsi="宋体" w:eastAsia="宋体" w:cs="宋体"/>
          <w:spacing w:val="0"/>
          <w:sz w:val="21"/>
          <w:szCs w:val="21"/>
          <w:lang w:val="en-US" w:eastAsia="en-US"/>
        </w:rPr>
        <w:t>设有独立围墙的场所，应安装周界报警系统,周界报警系统入侵探测器的安装应符合以下要求。</w:t>
      </w:r>
    </w:p>
    <w:p w14:paraId="031C22C6">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en-US"/>
        </w:rPr>
      </w:pPr>
      <w:r>
        <w:rPr>
          <w:rFonts w:hint="eastAsia" w:ascii="宋体" w:hAnsi="宋体" w:eastAsia="宋体" w:cs="宋体"/>
          <w:spacing w:val="0"/>
          <w:sz w:val="21"/>
          <w:szCs w:val="21"/>
          <w:lang w:val="en-US" w:eastAsia="en-US"/>
        </w:rPr>
        <w:t>(1)系统的前端应选用不易受气候、环境影响，误报率较低的周界电子围栏系统，在不宜安装周界电子围栏的地方可补充红外对射等其它技术的报警装置。；</w:t>
      </w:r>
    </w:p>
    <w:p w14:paraId="7BD61FF4">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en-US"/>
        </w:rPr>
      </w:pPr>
      <w:r>
        <w:rPr>
          <w:rFonts w:hint="eastAsia" w:ascii="宋体" w:hAnsi="宋体" w:eastAsia="宋体" w:cs="宋体"/>
          <w:spacing w:val="0"/>
          <w:sz w:val="21"/>
          <w:szCs w:val="21"/>
          <w:lang w:val="en-US" w:eastAsia="en-US"/>
        </w:rPr>
        <w:t>(2)防区的划分应有利于报警时准确定位，脉冲式电子围栏每个防区应不大于50m，张力式电子围栏每个防区应不大于40m；</w:t>
      </w:r>
    </w:p>
    <w:p w14:paraId="6CF8A97A">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en-US"/>
        </w:rPr>
      </w:pPr>
      <w:r>
        <w:rPr>
          <w:rFonts w:hint="eastAsia" w:ascii="宋体" w:hAnsi="宋体" w:eastAsia="宋体" w:cs="宋体"/>
          <w:spacing w:val="0"/>
          <w:sz w:val="21"/>
          <w:szCs w:val="21"/>
          <w:lang w:val="en-US" w:eastAsia="en-US"/>
        </w:rPr>
        <w:t>(3)系统的防区应无盲区和死角，且应24h设防；</w:t>
      </w:r>
    </w:p>
    <w:p w14:paraId="1E924764">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en-US"/>
        </w:rPr>
      </w:pPr>
      <w:r>
        <w:rPr>
          <w:rFonts w:hint="eastAsia" w:ascii="宋体" w:hAnsi="宋体" w:eastAsia="宋体" w:cs="宋体"/>
          <w:spacing w:val="0"/>
          <w:sz w:val="21"/>
          <w:szCs w:val="21"/>
          <w:lang w:val="en-US" w:eastAsia="en-US"/>
        </w:rPr>
        <w:t>(4)其他安装要求应符合DB31/329.1的相关要求。</w:t>
      </w:r>
    </w:p>
    <w:p w14:paraId="285AB754">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en-US"/>
        </w:rPr>
      </w:pPr>
      <w:r>
        <w:rPr>
          <w:rFonts w:hint="eastAsia" w:ascii="宋体" w:hAnsi="宋体" w:eastAsia="宋体" w:cs="宋体"/>
          <w:spacing w:val="0"/>
          <w:sz w:val="21"/>
          <w:szCs w:val="21"/>
          <w:lang w:val="en-US" w:eastAsia="en-US"/>
        </w:rPr>
        <w:t>脉冲式电子围栏安装离地高度应不小于2m，电子围栏应不少于6线制，最下面一根金属导体与围墙的间距应为12cm±1cm, 底部三根金属导线,相邻两根的垂直距离为12cm士1cm，其他相邻两根金居导线的垂直距离为15cm±1cm，最上面一根金属导体离墙顶或栅栏顶部的间距应不小于80cm。电子围栏承力杆和支撑杆应固定牢固，防区内有拐角的地方应安装承力杆，承力杆应为金属材质。周界报警系统现场应有报警警示灯。</w:t>
      </w:r>
    </w:p>
    <w:p w14:paraId="504944EF">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3.2</w:t>
      </w:r>
      <w:r>
        <w:rPr>
          <w:rFonts w:hint="eastAsia" w:ascii="黑体" w:hAnsi="黑体" w:eastAsia="黑体" w:cs="宋体"/>
          <w:kern w:val="0"/>
          <w:sz w:val="21"/>
          <w:szCs w:val="21"/>
          <w:lang w:val="en-US" w:eastAsia="en-US" w:bidi="ar-SA"/>
        </w:rPr>
        <w:t xml:space="preserve">  </w:t>
      </w:r>
      <w:r>
        <w:rPr>
          <w:rFonts w:hint="eastAsia" w:ascii="宋体" w:hAnsi="宋体" w:eastAsia="宋体" w:cs="宋体"/>
          <w:spacing w:val="0"/>
          <w:sz w:val="21"/>
          <w:szCs w:val="21"/>
          <w:lang w:val="en-US" w:eastAsia="en-US"/>
        </w:rPr>
        <w:t>室内入侵探测器的探测盲区边缘与防护目标的距离不应小于5m，入侵探测器的报警信号应与安防监控中心联网。室内入侵探测器应与摄像机联动。</w:t>
      </w:r>
    </w:p>
    <w:p w14:paraId="3C30EE73">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3</w:t>
      </w:r>
      <w:r>
        <w:rPr>
          <w:rFonts w:hint="eastAsia" w:ascii="黑体" w:hAnsi="黑体" w:eastAsia="黑体" w:cs="宋体"/>
          <w:kern w:val="0"/>
          <w:sz w:val="21"/>
          <w:szCs w:val="21"/>
          <w:lang w:val="en-US" w:eastAsia="en-US" w:bidi="ar-SA"/>
        </w:rPr>
        <w:t xml:space="preserve">.3  </w:t>
      </w:r>
      <w:r>
        <w:rPr>
          <w:rFonts w:hint="eastAsia" w:ascii="宋体" w:hAnsi="宋体" w:eastAsia="宋体" w:cs="宋体"/>
          <w:spacing w:val="0"/>
          <w:sz w:val="21"/>
          <w:szCs w:val="21"/>
          <w:lang w:val="en-US" w:eastAsia="en-US"/>
        </w:rPr>
        <w:t>商务办公楼的业主及租赁单元内应预留入侵报警系统管线和接口，各单元安装的入侵报警系统宜能独立布、撤防。</w:t>
      </w:r>
    </w:p>
    <w:p w14:paraId="1DED8039">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3</w:t>
      </w:r>
      <w:r>
        <w:rPr>
          <w:rFonts w:hint="eastAsia" w:ascii="黑体" w:hAnsi="黑体" w:eastAsia="黑体" w:cs="宋体"/>
          <w:kern w:val="0"/>
          <w:sz w:val="21"/>
          <w:szCs w:val="21"/>
          <w:lang w:val="en-US" w:eastAsia="en-US" w:bidi="ar-SA"/>
        </w:rPr>
        <w:t xml:space="preserve">.4  </w:t>
      </w:r>
      <w:r>
        <w:rPr>
          <w:rFonts w:hint="eastAsia" w:ascii="宋体" w:hAnsi="宋体" w:eastAsia="宋体" w:cs="宋体"/>
          <w:spacing w:val="0"/>
          <w:sz w:val="21"/>
          <w:szCs w:val="21"/>
          <w:lang w:val="en-US" w:eastAsia="en-US"/>
        </w:rPr>
        <w:t>紧急报警装置应安装在隐蔽、便于操作的部位，并应设置为不可撤防模式，有防误触发措施。当被触发报警后应能立即发出紧急报警信号并自锁，复位应采用人工操作方式。</w:t>
      </w:r>
    </w:p>
    <w:p w14:paraId="129FCFBC">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3</w:t>
      </w:r>
      <w:r>
        <w:rPr>
          <w:rFonts w:hint="eastAsia" w:ascii="黑体" w:hAnsi="黑体" w:eastAsia="黑体" w:cs="宋体"/>
          <w:kern w:val="0"/>
          <w:sz w:val="21"/>
          <w:szCs w:val="21"/>
          <w:lang w:val="en-US" w:eastAsia="en-US" w:bidi="ar-SA"/>
        </w:rPr>
        <w:t xml:space="preserve">.5  </w:t>
      </w:r>
      <w:r>
        <w:rPr>
          <w:rFonts w:hint="eastAsia" w:ascii="宋体" w:hAnsi="宋体" w:eastAsia="宋体" w:cs="宋体"/>
          <w:spacing w:val="0"/>
          <w:sz w:val="21"/>
          <w:szCs w:val="21"/>
          <w:lang w:val="en-US" w:eastAsia="en-US"/>
        </w:rPr>
        <w:t>除安防监控中心以外，其它部位安装的入侵报警系统，其信号均应与安防监控中心联网，即在启动时所发出的报警信号应向安防监控中心传送。安防监控中心和总服务台应安装与公安一级联网的紧急报警系统。</w:t>
      </w:r>
    </w:p>
    <w:p w14:paraId="1F4DE077">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3</w:t>
      </w:r>
      <w:r>
        <w:rPr>
          <w:rFonts w:hint="eastAsia" w:ascii="黑体" w:hAnsi="黑体" w:eastAsia="黑体" w:cs="宋体"/>
          <w:kern w:val="0"/>
          <w:sz w:val="21"/>
          <w:szCs w:val="21"/>
          <w:lang w:val="en-US" w:eastAsia="en-US" w:bidi="ar-SA"/>
        </w:rPr>
        <w:t xml:space="preserve">.6  </w:t>
      </w:r>
      <w:r>
        <w:rPr>
          <w:rFonts w:hint="eastAsia" w:ascii="宋体" w:hAnsi="宋体" w:eastAsia="宋体" w:cs="宋体"/>
          <w:spacing w:val="0"/>
          <w:sz w:val="21"/>
          <w:szCs w:val="21"/>
          <w:lang w:val="en-US" w:eastAsia="en-US"/>
        </w:rPr>
        <w:t>系统的报警响应时间应符合以下要求：</w:t>
      </w:r>
    </w:p>
    <w:p w14:paraId="2EB4B541">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en-US"/>
        </w:rPr>
      </w:pPr>
      <w:r>
        <w:rPr>
          <w:rFonts w:hint="eastAsia" w:ascii="宋体" w:hAnsi="宋体" w:eastAsia="宋体" w:cs="宋体"/>
          <w:spacing w:val="0"/>
          <w:sz w:val="21"/>
          <w:szCs w:val="21"/>
          <w:lang w:val="en-US" w:eastAsia="en-US"/>
        </w:rPr>
        <w:t>(1)应不大于2s；</w:t>
      </w:r>
    </w:p>
    <w:p w14:paraId="453DD996">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en-US"/>
        </w:rPr>
      </w:pPr>
      <w:r>
        <w:rPr>
          <w:rFonts w:hint="eastAsia" w:ascii="宋体" w:hAnsi="宋体" w:eastAsia="宋体" w:cs="宋体"/>
          <w:spacing w:val="0"/>
          <w:sz w:val="21"/>
          <w:szCs w:val="21"/>
          <w:lang w:val="en-US" w:eastAsia="en-US"/>
        </w:rPr>
        <w:t>(2)采用电话网传输的应不大于20s。</w:t>
      </w:r>
    </w:p>
    <w:p w14:paraId="29CF9D63">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3</w:t>
      </w:r>
      <w:r>
        <w:rPr>
          <w:rFonts w:hint="eastAsia" w:ascii="黑体" w:hAnsi="黑体" w:eastAsia="黑体" w:cs="宋体"/>
          <w:kern w:val="0"/>
          <w:sz w:val="21"/>
          <w:szCs w:val="21"/>
          <w:lang w:val="en-US" w:eastAsia="en-US" w:bidi="ar-SA"/>
        </w:rPr>
        <w:t xml:space="preserve">.7  </w:t>
      </w:r>
      <w:r>
        <w:rPr>
          <w:rFonts w:hint="eastAsia" w:ascii="宋体" w:hAnsi="宋体" w:eastAsia="宋体" w:cs="宋体"/>
          <w:spacing w:val="0"/>
          <w:sz w:val="21"/>
          <w:szCs w:val="21"/>
          <w:lang w:val="en-US" w:eastAsia="en-US"/>
        </w:rPr>
        <w:t>入侵报警系统相关信息的保存时间应不少于30天。</w:t>
      </w:r>
    </w:p>
    <w:p w14:paraId="1B25C429">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3</w:t>
      </w:r>
      <w:r>
        <w:rPr>
          <w:rFonts w:hint="eastAsia" w:ascii="黑体" w:hAnsi="黑体" w:eastAsia="黑体" w:cs="宋体"/>
          <w:kern w:val="0"/>
          <w:sz w:val="21"/>
          <w:szCs w:val="21"/>
          <w:lang w:val="en-US" w:eastAsia="en-US" w:bidi="ar-SA"/>
        </w:rPr>
        <w:t xml:space="preserve">.8  </w:t>
      </w:r>
      <w:r>
        <w:rPr>
          <w:rFonts w:hint="eastAsia" w:ascii="宋体" w:hAnsi="宋体" w:eastAsia="宋体" w:cs="宋体"/>
          <w:spacing w:val="0"/>
          <w:sz w:val="21"/>
          <w:szCs w:val="21"/>
          <w:lang w:val="en-US" w:eastAsia="en-US"/>
        </w:rPr>
        <w:t>入侵报警探测器应具备防拆、防破坏功能。</w:t>
      </w:r>
    </w:p>
    <w:p w14:paraId="0A0316D3">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3</w:t>
      </w:r>
      <w:r>
        <w:rPr>
          <w:rFonts w:hint="eastAsia" w:ascii="黑体" w:hAnsi="黑体" w:eastAsia="黑体" w:cs="宋体"/>
          <w:kern w:val="0"/>
          <w:sz w:val="21"/>
          <w:szCs w:val="21"/>
          <w:lang w:val="en-US" w:eastAsia="en-US" w:bidi="ar-SA"/>
        </w:rPr>
        <w:t xml:space="preserve">.9  </w:t>
      </w:r>
      <w:r>
        <w:rPr>
          <w:rFonts w:hint="eastAsia" w:ascii="宋体" w:hAnsi="宋体" w:eastAsia="宋体" w:cs="宋体"/>
          <w:spacing w:val="0"/>
          <w:sz w:val="21"/>
          <w:szCs w:val="21"/>
          <w:lang w:val="en-US" w:eastAsia="en-US"/>
        </w:rPr>
        <w:t>系统的备用电源应满足≥8h正常工作。</w:t>
      </w:r>
    </w:p>
    <w:p w14:paraId="64DEA950">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3</w:t>
      </w:r>
      <w:r>
        <w:rPr>
          <w:rFonts w:hint="eastAsia" w:ascii="黑体" w:hAnsi="黑体" w:eastAsia="黑体" w:cs="宋体"/>
          <w:kern w:val="0"/>
          <w:sz w:val="21"/>
          <w:szCs w:val="21"/>
          <w:lang w:val="en-US" w:eastAsia="en-US" w:bidi="ar-SA"/>
        </w:rPr>
        <w:t xml:space="preserve">.10  </w:t>
      </w:r>
      <w:r>
        <w:rPr>
          <w:rFonts w:hint="eastAsia" w:ascii="宋体" w:hAnsi="宋体" w:eastAsia="宋体" w:cs="宋体"/>
          <w:spacing w:val="0"/>
          <w:sz w:val="21"/>
          <w:szCs w:val="21"/>
          <w:lang w:val="en-US" w:eastAsia="en-US"/>
        </w:rPr>
        <w:t>系统的其他要求应符合《入侵报警系统工程设计规范》的规定, 报警部分应符合《防盗报警控制器通用技术条件》的要求。</w:t>
      </w:r>
    </w:p>
    <w:p w14:paraId="3E789146">
      <w:pPr>
        <w:spacing w:before="156" w:beforeLines="50" w:after="156" w:afterLines="50"/>
        <w:jc w:val="left"/>
        <w:outlineLvl w:val="1"/>
        <w:rPr>
          <w:rFonts w:hint="eastAsia" w:ascii="黑体" w:hAnsi="黑体" w:eastAsia="黑体"/>
        </w:rPr>
      </w:pPr>
      <w:bookmarkStart w:id="8" w:name="_Toc6513"/>
      <w:r>
        <w:rPr>
          <w:rFonts w:hint="eastAsia" w:ascii="黑体" w:hAnsi="黑体" w:eastAsia="黑体"/>
          <w:lang w:val="en-US" w:eastAsia="zh-CN"/>
        </w:rPr>
        <w:t xml:space="preserve">4.4  </w:t>
      </w:r>
      <w:r>
        <w:rPr>
          <w:rFonts w:hint="eastAsia" w:ascii="黑体" w:hAnsi="黑体" w:eastAsia="黑体"/>
        </w:rPr>
        <w:t>出⼊⼝控制系统</w:t>
      </w:r>
      <w:bookmarkEnd w:id="8"/>
    </w:p>
    <w:p w14:paraId="10C82923">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黑体" w:hAnsi="黑体" w:eastAsia="黑体" w:cs="宋体"/>
          <w:kern w:val="0"/>
          <w:sz w:val="21"/>
          <w:szCs w:val="21"/>
          <w:lang w:val="en-US" w:eastAsia="en-US" w:bidi="ar-SA"/>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4</w:t>
      </w:r>
      <w:r>
        <w:rPr>
          <w:rFonts w:hint="eastAsia" w:ascii="黑体" w:hAnsi="黑体" w:eastAsia="黑体" w:cs="宋体"/>
          <w:kern w:val="0"/>
          <w:sz w:val="21"/>
          <w:szCs w:val="21"/>
          <w:lang w:val="en-US" w:eastAsia="en-US" w:bidi="ar-SA"/>
        </w:rPr>
        <w:t xml:space="preserve">.1  </w:t>
      </w:r>
      <w:r>
        <w:rPr>
          <w:rFonts w:hint="eastAsia" w:ascii="宋体" w:hAnsi="宋体" w:eastAsia="宋体" w:cs="宋体"/>
          <w:spacing w:val="0"/>
          <w:sz w:val="21"/>
          <w:szCs w:val="21"/>
          <w:lang w:val="en-US" w:eastAsia="en-US"/>
        </w:rPr>
        <w:t>单元所有配置门禁的通道门，应安装闭门器或地弹簧门90度开启限位装置，以保证单元门有效关闭，防止尾随进入。</w:t>
      </w:r>
    </w:p>
    <w:p w14:paraId="23D04D9F">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黑体" w:hAnsi="黑体" w:eastAsia="黑体" w:cs="宋体"/>
          <w:kern w:val="0"/>
          <w:sz w:val="21"/>
          <w:szCs w:val="21"/>
          <w:lang w:val="en-US" w:eastAsia="en-US" w:bidi="ar-SA"/>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4</w:t>
      </w:r>
      <w:r>
        <w:rPr>
          <w:rFonts w:hint="eastAsia" w:ascii="黑体" w:hAnsi="黑体" w:eastAsia="黑体" w:cs="宋体"/>
          <w:kern w:val="0"/>
          <w:sz w:val="21"/>
          <w:szCs w:val="21"/>
          <w:lang w:val="en-US" w:eastAsia="en-US" w:bidi="ar-SA"/>
        </w:rPr>
        <w:t xml:space="preserve">.2  </w:t>
      </w:r>
      <w:r>
        <w:rPr>
          <w:rFonts w:hint="eastAsia" w:ascii="宋体" w:hAnsi="宋体" w:eastAsia="宋体" w:cs="宋体"/>
          <w:spacing w:val="0"/>
          <w:sz w:val="21"/>
          <w:szCs w:val="21"/>
          <w:lang w:val="en-US" w:eastAsia="en-US"/>
        </w:rPr>
        <w:t>门禁控制系统应根据安全防范管理的需要，按不同的通行对象及其准入级别进行控制与管理。</w:t>
      </w:r>
    </w:p>
    <w:p w14:paraId="29D01743">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4</w:t>
      </w:r>
      <w:r>
        <w:rPr>
          <w:rFonts w:hint="eastAsia" w:ascii="黑体" w:hAnsi="黑体" w:eastAsia="黑体" w:cs="宋体"/>
          <w:kern w:val="0"/>
          <w:sz w:val="21"/>
          <w:szCs w:val="21"/>
          <w:lang w:val="en-US" w:eastAsia="en-US" w:bidi="ar-SA"/>
        </w:rPr>
        <w:t xml:space="preserve">.3  </w:t>
      </w:r>
      <w:r>
        <w:rPr>
          <w:rFonts w:hint="eastAsia" w:ascii="宋体" w:hAnsi="宋体" w:eastAsia="宋体" w:cs="宋体"/>
          <w:spacing w:val="0"/>
          <w:sz w:val="21"/>
          <w:szCs w:val="21"/>
          <w:lang w:val="en-US" w:eastAsia="en-US"/>
        </w:rPr>
        <w:t>门禁控制器，磁力锁应设置在受控门以内，防拆防破坏。</w:t>
      </w:r>
    </w:p>
    <w:p w14:paraId="1BD6E40A">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4</w:t>
      </w:r>
      <w:r>
        <w:rPr>
          <w:rFonts w:hint="eastAsia" w:ascii="黑体" w:hAnsi="黑体" w:eastAsia="黑体" w:cs="宋体"/>
          <w:kern w:val="0"/>
          <w:sz w:val="21"/>
          <w:szCs w:val="21"/>
          <w:lang w:val="en-US" w:eastAsia="en-US" w:bidi="ar-SA"/>
        </w:rPr>
        <w:t xml:space="preserve">.4  </w:t>
      </w:r>
      <w:r>
        <w:rPr>
          <w:rFonts w:hint="eastAsia" w:ascii="宋体" w:hAnsi="宋体" w:eastAsia="宋体" w:cs="宋体"/>
          <w:spacing w:val="0"/>
          <w:sz w:val="21"/>
          <w:szCs w:val="21"/>
          <w:lang w:val="en-US" w:eastAsia="en-US"/>
        </w:rPr>
        <w:t>门禁控制系统应具有江苏省居住证、防复制IC卡、CPU卡开门功能，宜支持二维码识别、活体指纹识别等多种新技术开门，禁止采用ID卡、数字密码按键等方式开门。</w:t>
      </w:r>
    </w:p>
    <w:p w14:paraId="5D0B4715">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4</w:t>
      </w:r>
      <w:r>
        <w:rPr>
          <w:rFonts w:hint="eastAsia" w:ascii="黑体" w:hAnsi="黑体" w:eastAsia="黑体" w:cs="宋体"/>
          <w:kern w:val="0"/>
          <w:sz w:val="21"/>
          <w:szCs w:val="21"/>
          <w:lang w:val="en-US" w:eastAsia="en-US" w:bidi="ar-SA"/>
        </w:rPr>
        <w:t xml:space="preserve">.5  </w:t>
      </w:r>
      <w:r>
        <w:rPr>
          <w:rFonts w:hint="eastAsia" w:ascii="宋体" w:hAnsi="宋体" w:eastAsia="宋体" w:cs="宋体"/>
          <w:spacing w:val="0"/>
          <w:sz w:val="21"/>
          <w:szCs w:val="21"/>
          <w:lang w:val="en-US" w:eastAsia="en-US"/>
        </w:rPr>
        <w:t>门禁控制系统的各类识别装置、执行机构应保证操作性和可靠性。对非法进入的行为，应发出报警信号，同时系统应满足紧急逃生时人员疏散的相关要求。</w:t>
      </w:r>
    </w:p>
    <w:p w14:paraId="117A4ECB">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4</w:t>
      </w:r>
      <w:r>
        <w:rPr>
          <w:rFonts w:hint="eastAsia" w:ascii="黑体" w:hAnsi="黑体" w:eastAsia="黑体" w:cs="宋体"/>
          <w:kern w:val="0"/>
          <w:sz w:val="21"/>
          <w:szCs w:val="21"/>
          <w:lang w:val="en-US" w:eastAsia="en-US" w:bidi="ar-SA"/>
        </w:rPr>
        <w:t xml:space="preserve">.6  </w:t>
      </w:r>
      <w:r>
        <w:rPr>
          <w:rFonts w:hint="eastAsia" w:ascii="宋体" w:hAnsi="宋体" w:eastAsia="宋体" w:cs="宋体"/>
          <w:spacing w:val="0"/>
          <w:sz w:val="21"/>
          <w:szCs w:val="21"/>
          <w:lang w:val="en-US" w:eastAsia="en-US"/>
        </w:rPr>
        <w:t>当通向疏散通道的方向为防护面时，门禁控制系统必须与火灾报警系统及其他紧急疏散系统联动，当发生火警或需紧急疏散时，人员应能不用通行凭证识读操作即可安全通过。解除火灾疏散通道上的门禁控制，需要在主机所在的机房集中解锁，也需要在现场解锁。</w:t>
      </w:r>
    </w:p>
    <w:p w14:paraId="45FAC3A2">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4</w:t>
      </w:r>
      <w:r>
        <w:rPr>
          <w:rFonts w:hint="eastAsia" w:ascii="黑体" w:hAnsi="黑体" w:eastAsia="黑体" w:cs="宋体"/>
          <w:kern w:val="0"/>
          <w:sz w:val="21"/>
          <w:szCs w:val="21"/>
          <w:lang w:val="en-US" w:eastAsia="en-US" w:bidi="ar-SA"/>
        </w:rPr>
        <w:t xml:space="preserve">.7  </w:t>
      </w:r>
      <w:r>
        <w:rPr>
          <w:rFonts w:hint="eastAsia" w:ascii="宋体" w:hAnsi="宋体" w:eastAsia="宋体" w:cs="宋体"/>
          <w:spacing w:val="0"/>
          <w:sz w:val="21"/>
          <w:szCs w:val="21"/>
          <w:lang w:val="en-US" w:eastAsia="en-US"/>
        </w:rPr>
        <w:t>门禁控制系统应具有人员的出入时间、 地点、顺序等数据的设置，以及显示、记录、查询和打印等功能。系统平台应具有多级管理权限，所有操作记录应保存1年以上。</w:t>
      </w:r>
    </w:p>
    <w:p w14:paraId="06EB20D5">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4</w:t>
      </w:r>
      <w:r>
        <w:rPr>
          <w:rFonts w:hint="eastAsia" w:ascii="黑体" w:hAnsi="黑体" w:eastAsia="黑体" w:cs="宋体"/>
          <w:kern w:val="0"/>
          <w:sz w:val="21"/>
          <w:szCs w:val="21"/>
          <w:lang w:val="en-US" w:eastAsia="en-US" w:bidi="ar-SA"/>
        </w:rPr>
        <w:t xml:space="preserve">.8  </w:t>
      </w:r>
      <w:r>
        <w:rPr>
          <w:rFonts w:hint="eastAsia" w:ascii="宋体" w:hAnsi="宋体" w:eastAsia="宋体" w:cs="宋体"/>
          <w:spacing w:val="0"/>
          <w:sz w:val="21"/>
          <w:szCs w:val="21"/>
          <w:lang w:val="en-US" w:eastAsia="en-US"/>
        </w:rPr>
        <w:t>系统的各类识别装置的安装高度宜离地1.5m±0.1m。</w:t>
      </w:r>
    </w:p>
    <w:p w14:paraId="6CD52863">
      <w:pPr>
        <w:pStyle w:val="29"/>
        <w:keepNext w:val="0"/>
        <w:keepLines w:val="0"/>
        <w:pageBreakBefore w:val="0"/>
        <w:widowControl w:val="0"/>
        <w:numPr>
          <w:ilvl w:val="0"/>
          <w:numId w:val="0"/>
        </w:numPr>
        <w:tabs>
          <w:tab w:val="left" w:pos="1062"/>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en-US"/>
        </w:rPr>
      </w:pPr>
      <w:r>
        <w:rPr>
          <w:rFonts w:hint="eastAsia" w:ascii="黑体" w:hAnsi="黑体" w:eastAsia="黑体" w:cs="宋体"/>
          <w:kern w:val="0"/>
          <w:sz w:val="21"/>
          <w:szCs w:val="21"/>
          <w:lang w:val="en-US" w:eastAsia="en-US" w:bidi="ar-SA"/>
        </w:rPr>
        <w:t>4.</w:t>
      </w:r>
      <w:r>
        <w:rPr>
          <w:rFonts w:hint="eastAsia" w:ascii="黑体" w:hAnsi="黑体" w:eastAsia="黑体" w:cs="宋体"/>
          <w:kern w:val="0"/>
          <w:sz w:val="21"/>
          <w:szCs w:val="21"/>
          <w:lang w:val="en-US" w:eastAsia="zh-CN" w:bidi="ar-SA"/>
        </w:rPr>
        <w:t>4</w:t>
      </w:r>
      <w:r>
        <w:rPr>
          <w:rFonts w:hint="eastAsia" w:ascii="黑体" w:hAnsi="黑体" w:eastAsia="黑体" w:cs="宋体"/>
          <w:kern w:val="0"/>
          <w:sz w:val="21"/>
          <w:szCs w:val="21"/>
          <w:lang w:val="en-US" w:eastAsia="en-US" w:bidi="ar-SA"/>
        </w:rPr>
        <w:t xml:space="preserve">.9  </w:t>
      </w:r>
      <w:r>
        <w:rPr>
          <w:rFonts w:hint="eastAsia" w:ascii="宋体" w:hAnsi="宋体" w:eastAsia="宋体" w:cs="宋体"/>
          <w:spacing w:val="0"/>
          <w:sz w:val="21"/>
          <w:szCs w:val="21"/>
          <w:lang w:val="en-US" w:eastAsia="en-US"/>
        </w:rPr>
        <w:t>系统的其他要求应符合《出入口控制系统技术要求》的规定。</w:t>
      </w:r>
    </w:p>
    <w:p w14:paraId="484FB855">
      <w:pPr>
        <w:spacing w:before="156" w:beforeLines="50" w:after="156" w:afterLines="50"/>
        <w:jc w:val="left"/>
        <w:outlineLvl w:val="1"/>
        <w:rPr>
          <w:rFonts w:hint="eastAsia" w:ascii="黑体" w:hAnsi="黑体" w:eastAsia="黑体"/>
        </w:rPr>
      </w:pPr>
      <w:bookmarkStart w:id="9" w:name="_Toc20763"/>
      <w:r>
        <w:rPr>
          <w:rFonts w:hint="eastAsia" w:ascii="黑体" w:hAnsi="黑体" w:eastAsia="黑体"/>
          <w:lang w:val="en-US" w:eastAsia="zh-CN"/>
        </w:rPr>
        <w:t xml:space="preserve">4.5  </w:t>
      </w:r>
      <w:r>
        <w:rPr>
          <w:rFonts w:hint="eastAsia" w:ascii="黑体" w:hAnsi="黑体" w:eastAsia="黑体"/>
        </w:rPr>
        <w:t>声⾳复核装置</w:t>
      </w:r>
      <w:bookmarkEnd w:id="9"/>
    </w:p>
    <w:p w14:paraId="5213D4C5">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4.5.1  </w:t>
      </w:r>
      <w:r>
        <w:rPr>
          <w:rFonts w:hint="eastAsia" w:ascii="宋体" w:hAnsi="宋体" w:eastAsia="宋体" w:cs="宋体"/>
          <w:spacing w:val="0"/>
          <w:w w:val="100"/>
          <w:sz w:val="21"/>
          <w:szCs w:val="21"/>
        </w:rPr>
        <w:t>声音复核装置与该处安装的摄像机在位置和数量上应一一对应，音视频信号应同步记录，回放时应能清楚辨别客户与服务接待人员的对话内容，应能清晰地探测现场的话音以及走动、撬、挖、凿、锯等动作发出的声音。</w:t>
      </w:r>
    </w:p>
    <w:p w14:paraId="6F0492E2">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4.5.2  </w:t>
      </w:r>
      <w:r>
        <w:rPr>
          <w:rFonts w:hint="eastAsia" w:ascii="宋体" w:hAnsi="宋体" w:eastAsia="宋体" w:cs="宋体"/>
          <w:spacing w:val="0"/>
          <w:sz w:val="21"/>
          <w:szCs w:val="21"/>
        </w:rPr>
        <w:t>声音复核资料保存时间应与相关区域视频图像资料的保存时间保持一致。</w:t>
      </w:r>
    </w:p>
    <w:p w14:paraId="2B3834BC">
      <w:pPr>
        <w:spacing w:before="156" w:beforeLines="50" w:after="156" w:afterLines="50"/>
        <w:jc w:val="left"/>
        <w:outlineLvl w:val="1"/>
        <w:rPr>
          <w:rFonts w:hint="eastAsia" w:ascii="黑体" w:hAnsi="黑体" w:eastAsia="黑体"/>
        </w:rPr>
      </w:pPr>
      <w:bookmarkStart w:id="10" w:name="_Toc14888"/>
      <w:r>
        <w:rPr>
          <w:rFonts w:hint="eastAsia" w:ascii="黑体" w:hAnsi="黑体" w:eastAsia="黑体"/>
          <w:lang w:val="en-US" w:eastAsia="zh-CN"/>
        </w:rPr>
        <w:t xml:space="preserve">4.6  </w:t>
      </w:r>
      <w:r>
        <w:rPr>
          <w:rFonts w:hint="eastAsia" w:ascii="黑体" w:hAnsi="黑体" w:eastAsia="黑体"/>
        </w:rPr>
        <w:t>电⼦巡检系统</w:t>
      </w:r>
      <w:bookmarkEnd w:id="10"/>
    </w:p>
    <w:p w14:paraId="4DBE6B4F">
      <w:pPr>
        <w:pStyle w:val="39"/>
        <w:numPr>
          <w:ilvl w:val="0"/>
          <w:numId w:val="0"/>
        </w:numPr>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4.6.1  </w:t>
      </w:r>
      <w:r>
        <w:rPr>
          <w:rFonts w:hint="eastAsia" w:ascii="宋体" w:hAnsi="宋体" w:eastAsia="宋体" w:cs="宋体"/>
          <w:spacing w:val="0"/>
          <w:kern w:val="2"/>
          <w:sz w:val="21"/>
          <w:szCs w:val="21"/>
          <w:lang w:val="en-US" w:eastAsia="zh-CN" w:bidi="ar-SA"/>
        </w:rPr>
        <w:t>系统信息采集点（巡查点）装置安装离地面高度宜为1.4m±0.1m。</w:t>
      </w:r>
    </w:p>
    <w:p w14:paraId="452BE225">
      <w:pPr>
        <w:pStyle w:val="39"/>
        <w:numPr>
          <w:ilvl w:val="0"/>
          <w:numId w:val="0"/>
        </w:numPr>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4.6.2  </w:t>
      </w:r>
      <w:r>
        <w:rPr>
          <w:rFonts w:hint="eastAsia" w:ascii="宋体" w:hAnsi="宋体" w:eastAsia="宋体" w:cs="宋体"/>
          <w:spacing w:val="0"/>
          <w:kern w:val="2"/>
          <w:sz w:val="21"/>
          <w:szCs w:val="21"/>
          <w:lang w:val="en-US" w:eastAsia="zh-CN" w:bidi="ar-SA"/>
        </w:rPr>
        <w:t>系统的设置应符合以下要求：</w:t>
      </w:r>
    </w:p>
    <w:p w14:paraId="2C3784BD">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(1)巡查点的安装应牢固、隐蔽；</w:t>
      </w:r>
    </w:p>
    <w:p w14:paraId="3C899910">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(2)在授权情况下应能对巡查路线、时间、巡查点进行设定和调整；</w:t>
      </w:r>
    </w:p>
    <w:p w14:paraId="788BF174">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(3)应具有对巡查时间、地点、人员和顺序等数据的显示、存储、查询和打印功能；</w:t>
      </w:r>
    </w:p>
    <w:p w14:paraId="0BDCBB4D">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firstLine="420" w:firstLineChars="200"/>
        <w:jc w:val="left"/>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(4)应具有巡查违规记录提示。</w:t>
      </w:r>
    </w:p>
    <w:p w14:paraId="74FDB1FB">
      <w:pPr>
        <w:spacing w:before="156" w:beforeLines="50" w:after="156" w:afterLines="50"/>
        <w:jc w:val="left"/>
        <w:outlineLvl w:val="1"/>
        <w:rPr>
          <w:rFonts w:hint="eastAsia" w:ascii="黑体" w:hAnsi="黑体" w:eastAsia="黑体"/>
        </w:rPr>
      </w:pPr>
      <w:bookmarkStart w:id="11" w:name="_Toc7698"/>
      <w:r>
        <w:rPr>
          <w:rFonts w:hint="eastAsia" w:ascii="黑体" w:hAnsi="黑体" w:eastAsia="黑体"/>
          <w:lang w:val="en-US" w:eastAsia="zh-CN"/>
        </w:rPr>
        <w:t xml:space="preserve">4.7  </w:t>
      </w:r>
      <w:r>
        <w:rPr>
          <w:rFonts w:hint="eastAsia" w:ascii="黑体" w:hAnsi="黑体" w:eastAsia="黑体"/>
        </w:rPr>
        <w:t>专⽤通讯系统</w:t>
      </w:r>
      <w:bookmarkEnd w:id="11"/>
    </w:p>
    <w:p w14:paraId="071C7CEF">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4.7.1  </w:t>
      </w:r>
      <w:r>
        <w:rPr>
          <w:rFonts w:hint="eastAsia" w:ascii="宋体" w:hAnsi="宋体" w:eastAsia="宋体" w:cs="宋体"/>
          <w:spacing w:val="0"/>
          <w:sz w:val="21"/>
          <w:szCs w:val="21"/>
        </w:rPr>
        <w:t>来电号码显示应清晰。</w:t>
      </w:r>
    </w:p>
    <w:p w14:paraId="55FDF52E">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4.7.2  </w:t>
      </w:r>
      <w:r>
        <w:rPr>
          <w:rFonts w:hint="eastAsia" w:ascii="宋体" w:hAnsi="宋体" w:eastAsia="宋体" w:cs="宋体"/>
          <w:spacing w:val="0"/>
          <w:sz w:val="21"/>
          <w:szCs w:val="21"/>
        </w:rPr>
        <w:t>电话记录回放时应清晰可辨，通话记录保存时间应大于等于 30d。</w:t>
      </w:r>
    </w:p>
    <w:p w14:paraId="4CF29006">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rPr>
      </w:pPr>
      <w:r>
        <w:rPr>
          <w:rFonts w:hint="eastAsia" w:ascii="黑体" w:hAnsi="黑体" w:eastAsia="黑体" w:cs="宋体"/>
          <w:kern w:val="0"/>
          <w:sz w:val="21"/>
          <w:szCs w:val="21"/>
          <w:lang w:val="en-US" w:eastAsia="zh-CN" w:bidi="ar-SA"/>
        </w:rPr>
        <w:t xml:space="preserve">4.7.3  </w:t>
      </w:r>
      <w:r>
        <w:rPr>
          <w:rFonts w:hint="eastAsia" w:ascii="宋体" w:hAnsi="宋体" w:eastAsia="宋体" w:cs="宋体"/>
          <w:spacing w:val="0"/>
          <w:sz w:val="21"/>
          <w:szCs w:val="21"/>
        </w:rPr>
        <w:t>专用通讯系统的其他要求应符合 GB/T 16571-2012 第 7.6 的有关规定。</w:t>
      </w:r>
    </w:p>
    <w:p w14:paraId="119D09F1">
      <w:pPr>
        <w:spacing w:before="156" w:beforeLines="50" w:after="156" w:afterLines="50"/>
        <w:jc w:val="left"/>
        <w:outlineLvl w:val="1"/>
        <w:rPr>
          <w:rFonts w:hint="eastAsia" w:ascii="黑体" w:hAnsi="黑体" w:eastAsia="黑体"/>
        </w:rPr>
      </w:pPr>
      <w:bookmarkStart w:id="12" w:name="_Toc26512"/>
      <w:r>
        <w:rPr>
          <w:rFonts w:hint="eastAsia" w:ascii="黑体" w:hAnsi="黑体" w:eastAsia="黑体"/>
          <w:lang w:val="en-US" w:eastAsia="zh-CN"/>
        </w:rPr>
        <w:t xml:space="preserve">4.8  </w:t>
      </w:r>
      <w:r>
        <w:rPr>
          <w:rFonts w:hint="eastAsia" w:ascii="黑体" w:hAnsi="黑体" w:eastAsia="黑体"/>
        </w:rPr>
        <w:t>安防中⼼控制室</w:t>
      </w:r>
      <w:bookmarkEnd w:id="12"/>
    </w:p>
    <w:p w14:paraId="024B4C2C">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4.8.1  </w:t>
      </w:r>
      <w:r>
        <w:rPr>
          <w:rFonts w:hint="eastAsia" w:ascii="宋体" w:hAnsi="宋体" w:eastAsia="宋体" w:cs="宋体"/>
          <w:spacing w:val="0"/>
          <w:sz w:val="21"/>
          <w:szCs w:val="21"/>
          <w:lang w:val="en-US" w:eastAsia="zh-CN"/>
        </w:rPr>
        <w:t>城市综合体应设置安防总监控中心，其专用面积应不小于60㎡，户型宜为长方形，存储及管理设备宜设置独立设备间， UPS主机及电池柜宜与其他设备实体隔离。安防总监控中心应与消防总控制中心合设或贴临互通。</w:t>
      </w:r>
    </w:p>
    <w:p w14:paraId="7C918399">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4.8.2  </w:t>
      </w:r>
      <w:r>
        <w:rPr>
          <w:rFonts w:hint="eastAsia" w:ascii="宋体" w:hAnsi="宋体" w:eastAsia="宋体" w:cs="宋体"/>
          <w:spacing w:val="0"/>
          <w:sz w:val="21"/>
          <w:szCs w:val="21"/>
          <w:lang w:val="en-US" w:eastAsia="zh-CN"/>
        </w:rPr>
        <w:t>安防监控中心不应设置在地下室，应远离产生粉尘、油烟、有害气体、强震源和强噪声源以及生产或贮存具有腐蚀性、易燃、易爆物品的场所，应避开发生火灾危险程度高的区域和电磁场干扰区域。（在无法避开时应采取相应的抗干扰措施）</w:t>
      </w:r>
    </w:p>
    <w:p w14:paraId="650C3930">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4.8.3  </w:t>
      </w:r>
      <w:r>
        <w:rPr>
          <w:rFonts w:hint="eastAsia" w:ascii="宋体" w:hAnsi="宋体" w:eastAsia="宋体" w:cs="宋体"/>
          <w:spacing w:val="0"/>
          <w:sz w:val="21"/>
          <w:szCs w:val="21"/>
          <w:lang w:val="en-US" w:eastAsia="zh-CN"/>
        </w:rPr>
        <w:t>城市综合体如有住宅、公寓业态应为其设置独立的安防监控中心，旅馆应独立设置安防监控中心，商务办公楼宜独立设置安防监控中心。</w:t>
      </w:r>
    </w:p>
    <w:p w14:paraId="17CEAC1E">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4.8.4  </w:t>
      </w:r>
      <w:r>
        <w:rPr>
          <w:rFonts w:hint="eastAsia" w:ascii="宋体" w:hAnsi="宋体" w:eastAsia="宋体" w:cs="宋体"/>
          <w:spacing w:val="0"/>
          <w:sz w:val="21"/>
          <w:szCs w:val="21"/>
          <w:lang w:val="en-US" w:eastAsia="zh-CN"/>
        </w:rPr>
        <w:t>城市综合体公共部位（住宅区域内除外）的监控图像应接入安防总监控中心，其它分控中心图像宜接入安防总监控中心。</w:t>
      </w:r>
    </w:p>
    <w:p w14:paraId="2F20DD60">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4.8.5  </w:t>
      </w:r>
      <w:r>
        <w:rPr>
          <w:rFonts w:hint="eastAsia" w:ascii="宋体" w:hAnsi="宋体" w:eastAsia="宋体" w:cs="宋体"/>
          <w:spacing w:val="0"/>
          <w:sz w:val="21"/>
          <w:szCs w:val="21"/>
          <w:lang w:val="en-US" w:eastAsia="zh-CN"/>
        </w:rPr>
        <w:t>视频监控、入侵报警（紧急报警）、电子巡查的管理主机设备应设置在安防监控中心，能实现对各子系统的操作、记录和打印。</w:t>
      </w:r>
    </w:p>
    <w:p w14:paraId="7926F0DF">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4.8.6  </w:t>
      </w:r>
      <w:r>
        <w:rPr>
          <w:rFonts w:hint="eastAsia" w:ascii="宋体" w:hAnsi="宋体" w:eastAsia="宋体" w:cs="宋体"/>
          <w:spacing w:val="0"/>
          <w:sz w:val="21"/>
          <w:szCs w:val="21"/>
          <w:lang w:val="en-US" w:eastAsia="zh-CN"/>
        </w:rPr>
        <w:t>安装周界报警系统的，安防监控中心应配置与报警同步的终端图形显示装置，应能准确地识别报警区域。</w:t>
      </w:r>
    </w:p>
    <w:p w14:paraId="12FE3DDE">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4.8.7  </w:t>
      </w:r>
      <w:r>
        <w:rPr>
          <w:rFonts w:hint="eastAsia" w:ascii="宋体" w:hAnsi="宋体" w:eastAsia="宋体" w:cs="宋体"/>
          <w:spacing w:val="0"/>
          <w:sz w:val="21"/>
          <w:szCs w:val="21"/>
          <w:lang w:val="en-US" w:eastAsia="zh-CN"/>
        </w:rPr>
        <w:t>安防监控中心的防盗报警控制器应能接收入侵探测器和紧急报警装置发送的报警、布撤防及故障信号，应具有记录、存储、显示有关报警、布撤防、故障、自检及其地址、日期、时间、报警类型等各种信息的功能。</w:t>
      </w:r>
    </w:p>
    <w:p w14:paraId="035FA226">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4.8.8  </w:t>
      </w:r>
      <w:r>
        <w:rPr>
          <w:rFonts w:hint="eastAsia" w:ascii="宋体" w:hAnsi="宋体" w:eastAsia="宋体" w:cs="宋体"/>
          <w:spacing w:val="0"/>
          <w:sz w:val="21"/>
          <w:szCs w:val="21"/>
          <w:lang w:val="en-US" w:eastAsia="zh-CN"/>
        </w:rPr>
        <w:t>安防监控中心应安装与公安一级联网的紧急报警装置，并应配备有线电话和无线通讯设备。</w:t>
      </w:r>
    </w:p>
    <w:p w14:paraId="69A1E789">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4.8.9  </w:t>
      </w:r>
      <w:r>
        <w:rPr>
          <w:rFonts w:hint="eastAsia" w:ascii="宋体" w:hAnsi="宋体" w:eastAsia="宋体" w:cs="宋体"/>
          <w:spacing w:val="0"/>
          <w:sz w:val="21"/>
          <w:szCs w:val="21"/>
          <w:lang w:val="en-US" w:eastAsia="zh-CN"/>
        </w:rPr>
        <w:t>安防监控中心应开通不低于20M速率的专线网络或互联网并预付不少于2年的费用。</w:t>
      </w:r>
    </w:p>
    <w:p w14:paraId="346ECA98">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4.8.10  </w:t>
      </w:r>
      <w:r>
        <w:rPr>
          <w:rFonts w:hint="eastAsia" w:ascii="宋体" w:hAnsi="宋体" w:eastAsia="宋体" w:cs="宋体"/>
          <w:spacing w:val="0"/>
          <w:sz w:val="21"/>
          <w:szCs w:val="21"/>
          <w:lang w:val="en-US" w:eastAsia="zh-CN"/>
        </w:rPr>
        <w:t>安防监控中心应统一配置一台时钟同步设备，对所有系统主要设备进行时钟同步。</w:t>
      </w:r>
    </w:p>
    <w:p w14:paraId="4E1D3AB2">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4.8.11  </w:t>
      </w:r>
      <w:r>
        <w:rPr>
          <w:rFonts w:hint="eastAsia" w:ascii="宋体" w:hAnsi="宋体" w:eastAsia="宋体" w:cs="宋体"/>
          <w:spacing w:val="0"/>
          <w:sz w:val="21"/>
          <w:szCs w:val="21"/>
          <w:lang w:val="en-US" w:eastAsia="zh-CN"/>
        </w:rPr>
        <w:t>安防监控中心应配置不间断电源，市电中断时应满足主要设备正常工作2h，负荷等级不得低于项目消防用电负荷等级。</w:t>
      </w:r>
    </w:p>
    <w:p w14:paraId="3A6F9FE3">
      <w:pPr>
        <w:keepNext w:val="0"/>
        <w:keepLines w:val="0"/>
        <w:pageBreakBefore w:val="0"/>
        <w:widowControl w:val="0"/>
        <w:kinsoku/>
        <w:wordWrap/>
        <w:overflowPunct/>
        <w:topLinePunct w:val="0"/>
        <w:autoSpaceDE/>
        <w:autoSpaceDN/>
        <w:bidi w:val="0"/>
        <w:adjustRightInd/>
        <w:snapToGrid/>
        <w:spacing w:before="156" w:beforeLines="50" w:after="156" w:afterLines="50"/>
        <w:jc w:val="left"/>
        <w:textAlignment w:val="auto"/>
        <w:outlineLvl w:val="1"/>
        <w:rPr>
          <w:rFonts w:hint="eastAsia" w:ascii="黑体" w:hAnsi="黑体" w:eastAsia="黑体"/>
        </w:rPr>
      </w:pPr>
      <w:bookmarkStart w:id="13" w:name="_Toc29718"/>
      <w:r>
        <w:rPr>
          <w:rFonts w:hint="eastAsia" w:ascii="黑体" w:hAnsi="黑体" w:eastAsia="黑体"/>
          <w:lang w:val="en-US" w:eastAsia="zh-CN"/>
        </w:rPr>
        <w:t xml:space="preserve">4.9  </w:t>
      </w:r>
      <w:r>
        <w:rPr>
          <w:rFonts w:hint="eastAsia" w:ascii="黑体" w:hAnsi="黑体" w:eastAsia="黑体"/>
        </w:rPr>
        <w:t>实体防护装置</w:t>
      </w:r>
      <w:bookmarkEnd w:id="13"/>
    </w:p>
    <w:p w14:paraId="6FAF318D">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黑体" w:hAnsi="黑体" w:eastAsia="黑体" w:cs="宋体"/>
          <w:kern w:val="0"/>
          <w:sz w:val="21"/>
          <w:szCs w:val="21"/>
          <w:lang w:val="en-US" w:eastAsia="zh-CN" w:bidi="ar-SA"/>
        </w:rPr>
      </w:pPr>
      <w:r>
        <w:rPr>
          <w:rFonts w:hint="eastAsia" w:ascii="黑体" w:hAnsi="黑体" w:eastAsia="黑体" w:cs="宋体"/>
          <w:kern w:val="0"/>
          <w:sz w:val="21"/>
          <w:szCs w:val="21"/>
          <w:lang w:val="en-US" w:eastAsia="zh-CN" w:bidi="ar-SA"/>
        </w:rPr>
        <w:t xml:space="preserve">4.9.1  </w:t>
      </w:r>
      <w:r>
        <w:rPr>
          <w:rFonts w:hint="eastAsia" w:ascii="宋体" w:hAnsi="宋体" w:eastAsia="宋体" w:cs="宋体"/>
          <w:spacing w:val="0"/>
          <w:sz w:val="21"/>
          <w:szCs w:val="21"/>
          <w:lang w:val="en-US" w:eastAsia="zh-CN"/>
        </w:rPr>
        <w:t>建（构）筑物的洞口、管沟、管廊、吊顶、风管、桥架、管道等空间尺寸能够容纳防范对象隐蔽进入时，应采用实体屏障或实体构件进行封闭和阻挡。</w:t>
      </w:r>
    </w:p>
    <w:p w14:paraId="211E4FC7">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黑体" w:hAnsi="黑体" w:eastAsia="黑体" w:cs="宋体"/>
          <w:kern w:val="0"/>
          <w:sz w:val="21"/>
          <w:szCs w:val="21"/>
          <w:lang w:val="en-US" w:eastAsia="zh-CN" w:bidi="ar-SA"/>
        </w:rPr>
      </w:pPr>
      <w:r>
        <w:rPr>
          <w:rFonts w:hint="eastAsia" w:ascii="黑体" w:hAnsi="黑体" w:eastAsia="黑体" w:cs="宋体"/>
          <w:kern w:val="0"/>
          <w:sz w:val="21"/>
          <w:szCs w:val="21"/>
          <w:lang w:val="en-US" w:eastAsia="zh-CN" w:bidi="ar-SA"/>
        </w:rPr>
        <w:t xml:space="preserve">4.9.2  </w:t>
      </w:r>
      <w:r>
        <w:rPr>
          <w:rFonts w:hint="eastAsia" w:ascii="宋体" w:hAnsi="宋体" w:eastAsia="宋体" w:cs="宋体"/>
          <w:spacing w:val="0"/>
          <w:sz w:val="21"/>
          <w:szCs w:val="21"/>
          <w:lang w:val="en-US" w:eastAsia="zh-CN"/>
        </w:rPr>
        <w:t>防盗安全门及安装应符合《防盗安全门通用技术条件》的要求。</w:t>
      </w:r>
    </w:p>
    <w:p w14:paraId="1D221CAF">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黑体" w:hAnsi="黑体" w:eastAsia="黑体" w:cs="宋体"/>
          <w:kern w:val="0"/>
          <w:sz w:val="21"/>
          <w:szCs w:val="21"/>
          <w:lang w:val="en-US" w:eastAsia="zh-CN" w:bidi="ar-SA"/>
        </w:rPr>
      </w:pPr>
      <w:r>
        <w:rPr>
          <w:rFonts w:hint="eastAsia" w:ascii="黑体" w:hAnsi="黑体" w:eastAsia="黑体" w:cs="宋体"/>
          <w:kern w:val="0"/>
          <w:sz w:val="21"/>
          <w:szCs w:val="21"/>
          <w:lang w:val="en-US" w:eastAsia="zh-CN" w:bidi="ar-SA"/>
        </w:rPr>
        <w:t xml:space="preserve">4.9.3  </w:t>
      </w:r>
      <w:r>
        <w:rPr>
          <w:rFonts w:hint="eastAsia" w:ascii="宋体" w:hAnsi="宋体" w:eastAsia="宋体" w:cs="宋体"/>
          <w:spacing w:val="0"/>
          <w:sz w:val="21"/>
          <w:szCs w:val="21"/>
          <w:lang w:val="en-US" w:eastAsia="zh-CN"/>
        </w:rPr>
        <w:t>防盗栅栏应采用单根直径不小于ф20mm、壁厚不小于2mm的钢管（或单直径不小于ф16mm的钢棒、单根横截面应不小于8mm×20mm的钢板）组合制作。用于窗的防护时，单个栅栏空间最大面积应不大于600mm×100mm；用于围墙、门扇时，栅栏的竖杆间距不应大于110mm。</w:t>
      </w:r>
    </w:p>
    <w:p w14:paraId="518FCF84">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4.9.4  </w:t>
      </w:r>
      <w:r>
        <w:rPr>
          <w:rFonts w:hint="eastAsia" w:ascii="宋体" w:hAnsi="宋体" w:eastAsia="宋体" w:cs="宋体"/>
          <w:spacing w:val="0"/>
          <w:sz w:val="21"/>
          <w:szCs w:val="21"/>
          <w:lang w:val="en-US" w:eastAsia="zh-CN"/>
        </w:rPr>
        <w:t>防盗栅栏应采用不小于12mm的膨胀螺丝固定，安装应牢固可靠。</w:t>
      </w:r>
    </w:p>
    <w:p w14:paraId="27BDD84D">
      <w:pPr>
        <w:keepNext w:val="0"/>
        <w:keepLines w:val="0"/>
        <w:pageBreakBefore w:val="0"/>
        <w:widowControl w:val="0"/>
        <w:kinsoku/>
        <w:wordWrap/>
        <w:overflowPunct/>
        <w:topLinePunct w:val="0"/>
        <w:autoSpaceDE/>
        <w:autoSpaceDN/>
        <w:bidi w:val="0"/>
        <w:adjustRightInd/>
        <w:snapToGrid/>
        <w:spacing w:before="156" w:beforeLines="50" w:after="156" w:afterLines="50"/>
        <w:jc w:val="left"/>
        <w:textAlignment w:val="auto"/>
        <w:outlineLvl w:val="1"/>
        <w:rPr>
          <w:rFonts w:hint="eastAsia" w:ascii="黑体" w:hAnsi="黑体" w:eastAsia="黑体"/>
          <w:lang w:val="en-US" w:eastAsia="zh-CN"/>
        </w:rPr>
      </w:pPr>
      <w:r>
        <w:rPr>
          <w:rFonts w:hint="eastAsia" w:ascii="黑体" w:hAnsi="黑体" w:eastAsia="黑体"/>
          <w:lang w:val="en-US" w:eastAsia="zh-CN"/>
        </w:rPr>
        <w:t xml:space="preserve">5 人力防范机构设置 </w:t>
      </w:r>
    </w:p>
    <w:p w14:paraId="4616A955">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5.1.1 </w:t>
      </w:r>
      <w:r>
        <w:rPr>
          <w:rFonts w:hint="eastAsia" w:ascii="宋体" w:hAnsi="宋体" w:eastAsia="宋体" w:cs="宋体"/>
          <w:spacing w:val="0"/>
          <w:kern w:val="2"/>
          <w:sz w:val="21"/>
          <w:szCs w:val="21"/>
          <w:lang w:val="en-US" w:eastAsia="zh-CN" w:bidi="ar-SA"/>
        </w:rPr>
        <w:t xml:space="preserve">单位应建立并落实内部治安安全防范工作责任制。由法定代表人或者主要负责人担任内部治安 </w:t>
      </w:r>
    </w:p>
    <w:p w14:paraId="4F10C715">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安全防范工作责任人。 </w:t>
      </w:r>
    </w:p>
    <w:p w14:paraId="2F1FFA73">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5.1.2 </w:t>
      </w:r>
      <w:r>
        <w:rPr>
          <w:rFonts w:hint="eastAsia" w:ascii="宋体" w:hAnsi="宋体" w:eastAsia="宋体" w:cs="宋体"/>
          <w:spacing w:val="0"/>
          <w:kern w:val="2"/>
          <w:sz w:val="21"/>
          <w:szCs w:val="21"/>
          <w:lang w:val="en-US" w:eastAsia="zh-CN" w:bidi="ar-SA"/>
        </w:rPr>
        <w:t xml:space="preserve">单位应根据内部治安安全防范工作需要，设置或明确治安保卫机构，配备专职治安保卫管理人 </w:t>
      </w:r>
    </w:p>
    <w:p w14:paraId="7BBD9963">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员和保安员，并将保卫机构设置和人员配备情况报主管公安机关备案。 </w:t>
      </w:r>
    </w:p>
    <w:p w14:paraId="5EB14BC9">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5.1.3 </w:t>
      </w:r>
      <w:r>
        <w:rPr>
          <w:rFonts w:hint="eastAsia" w:ascii="宋体" w:hAnsi="宋体" w:eastAsia="宋体" w:cs="宋体"/>
          <w:spacing w:val="0"/>
          <w:kern w:val="2"/>
          <w:sz w:val="21"/>
          <w:szCs w:val="21"/>
          <w:lang w:val="en-US" w:eastAsia="zh-CN" w:bidi="ar-SA"/>
        </w:rPr>
        <w:t xml:space="preserve">治安保卫机构职责应包括： </w:t>
      </w:r>
    </w:p>
    <w:p w14:paraId="3EF15859">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a) 制定本单位内部治安保卫制度、工作计划及应急预案等； </w:t>
      </w:r>
    </w:p>
    <w:p w14:paraId="1A6E6BF0">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b) 督促落实单位内部治安安全防范设施的建设和维护； </w:t>
      </w:r>
    </w:p>
    <w:p w14:paraId="06D9BE25">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c) 督促落实单位内部治安安全防范措施； </w:t>
      </w:r>
    </w:p>
    <w:p w14:paraId="55652E4C">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d) 组织治安安全防范宣传教育和应急演练； </w:t>
      </w:r>
    </w:p>
    <w:p w14:paraId="6BCBE0AA">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e) 组织单位内部治安安全防范巡逻和检查，建立巡逻、检查和治安隐患整改记录； </w:t>
      </w:r>
    </w:p>
    <w:p w14:paraId="21F8E6F7">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f) 维护单位内部的治安秩序，制止发生在本单位的违法行为，对难以制止的违法行为以及发生 </w:t>
      </w:r>
    </w:p>
    <w:p w14:paraId="6FBAD8E4">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的治安案件、涉嫌刑事犯罪案件应当立即报警，并采取措施保护现场，配合公安机关的侦查、 </w:t>
      </w:r>
    </w:p>
    <w:p w14:paraId="7BEA8198">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处置工作； </w:t>
      </w:r>
    </w:p>
    <w:p w14:paraId="3948DE90">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g) 负责指导、监督、协调单位内各部门做好安全防范工作。DB3205/T XXXX—XXXX </w:t>
      </w:r>
    </w:p>
    <w:p w14:paraId="498EC446">
      <w:pPr>
        <w:keepNext w:val="0"/>
        <w:keepLines w:val="0"/>
        <w:widowControl/>
        <w:suppressLineNumbers w:val="0"/>
        <w:jc w:val="left"/>
      </w:pPr>
      <w:r>
        <w:rPr>
          <w:rFonts w:hint="eastAsia" w:ascii="宋体" w:hAnsi="宋体" w:eastAsia="宋体" w:cs="宋体"/>
          <w:color w:val="000000"/>
          <w:kern w:val="0"/>
          <w:sz w:val="18"/>
          <w:szCs w:val="18"/>
          <w:lang w:val="en-US" w:eastAsia="zh-CN" w:bidi="ar"/>
        </w:rPr>
        <w:t xml:space="preserve">3 </w:t>
      </w:r>
      <w:r>
        <w:rPr>
          <w:rFonts w:hint="eastAsia" w:ascii="黑体" w:hAnsi="宋体" w:eastAsia="黑体" w:cs="黑体"/>
          <w:color w:val="000000"/>
          <w:kern w:val="0"/>
          <w:sz w:val="20"/>
          <w:szCs w:val="20"/>
          <w:lang w:val="en-US" w:eastAsia="zh-CN" w:bidi="ar"/>
        </w:rPr>
        <w:t xml:space="preserve">人员配备 </w:t>
      </w:r>
    </w:p>
    <w:p w14:paraId="0B68F284">
      <w:pPr>
        <w:keepNext w:val="0"/>
        <w:keepLines w:val="0"/>
        <w:widowControl/>
        <w:suppressLineNumbers w:val="0"/>
        <w:jc w:val="left"/>
      </w:pPr>
      <w:r>
        <w:rPr>
          <w:rFonts w:hint="eastAsia" w:ascii="黑体" w:hAnsi="黑体" w:eastAsia="黑体" w:cs="宋体"/>
          <w:kern w:val="0"/>
          <w:sz w:val="21"/>
          <w:szCs w:val="21"/>
          <w:lang w:val="en-US" w:eastAsia="zh-CN" w:bidi="ar-SA"/>
        </w:rPr>
        <w:t xml:space="preserve">5.2.1 </w:t>
      </w:r>
      <w:r>
        <w:rPr>
          <w:rFonts w:hint="eastAsia" w:ascii="黑体" w:hAnsi="宋体" w:eastAsia="黑体" w:cs="黑体"/>
          <w:color w:val="000000"/>
          <w:kern w:val="0"/>
          <w:sz w:val="20"/>
          <w:szCs w:val="20"/>
          <w:lang w:val="en-US" w:eastAsia="zh-CN" w:bidi="ar"/>
        </w:rPr>
        <w:t xml:space="preserve">基本要求 </w:t>
      </w:r>
    </w:p>
    <w:p w14:paraId="494FC800">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5.2.1.1 </w:t>
      </w:r>
      <w:r>
        <w:rPr>
          <w:rFonts w:hint="eastAsia" w:ascii="宋体" w:hAnsi="宋体" w:eastAsia="宋体" w:cs="宋体"/>
          <w:spacing w:val="0"/>
          <w:kern w:val="2"/>
          <w:sz w:val="21"/>
          <w:szCs w:val="21"/>
          <w:lang w:val="en-US" w:eastAsia="zh-CN" w:bidi="ar-SA"/>
        </w:rPr>
        <w:t xml:space="preserve">单位应根据工作量、人流量、地域面积、建筑布局、所在地社会治安形势和文体场馆特点等实 </w:t>
      </w:r>
    </w:p>
    <w:p w14:paraId="60FF5B79">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际情况，配备相应数量的专职治安保卫管理人员，聘用相应数量的保安员。也可将保安服务外包给保安 </w:t>
      </w:r>
    </w:p>
    <w:p w14:paraId="6A935B8C">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服务企业。 </w:t>
      </w:r>
    </w:p>
    <w:p w14:paraId="172E3154">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5.2.1.2 </w:t>
      </w:r>
      <w:r>
        <w:rPr>
          <w:rFonts w:hint="eastAsia" w:ascii="宋体" w:hAnsi="宋体" w:eastAsia="宋体" w:cs="宋体"/>
          <w:spacing w:val="0"/>
          <w:kern w:val="2"/>
          <w:sz w:val="21"/>
          <w:szCs w:val="21"/>
          <w:lang w:val="en-US" w:eastAsia="zh-CN" w:bidi="ar-SA"/>
        </w:rPr>
        <w:t xml:space="preserve">在政府、相关部门发布安全预警或发生治安安全事件等紧急情况，国家、省、市重大活动等 </w:t>
      </w:r>
    </w:p>
    <w:p w14:paraId="243456C3">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特殊时段，应根据需要增加治安保卫力量。 </w:t>
      </w:r>
    </w:p>
    <w:p w14:paraId="39CCED00">
      <w:pPr>
        <w:keepNext w:val="0"/>
        <w:keepLines w:val="0"/>
        <w:widowControl/>
        <w:suppressLineNumbers w:val="0"/>
        <w:jc w:val="left"/>
      </w:pPr>
      <w:r>
        <w:rPr>
          <w:rFonts w:hint="eastAsia" w:ascii="黑体" w:hAnsi="黑体" w:eastAsia="黑体" w:cs="宋体"/>
          <w:kern w:val="0"/>
          <w:sz w:val="21"/>
          <w:szCs w:val="21"/>
          <w:lang w:val="en-US" w:eastAsia="zh-CN" w:bidi="ar-SA"/>
        </w:rPr>
        <w:t xml:space="preserve">5.2.2 </w:t>
      </w:r>
      <w:r>
        <w:rPr>
          <w:rFonts w:hint="eastAsia" w:ascii="黑体" w:hAnsi="宋体" w:eastAsia="黑体" w:cs="黑体"/>
          <w:color w:val="000000"/>
          <w:kern w:val="0"/>
          <w:sz w:val="20"/>
          <w:szCs w:val="20"/>
          <w:lang w:val="en-US" w:eastAsia="zh-CN" w:bidi="ar"/>
        </w:rPr>
        <w:t xml:space="preserve">治安保卫管理人员 </w:t>
      </w:r>
    </w:p>
    <w:p w14:paraId="777DC19A">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5.2.2.1 </w:t>
      </w:r>
      <w:r>
        <w:rPr>
          <w:rFonts w:hint="eastAsia" w:ascii="宋体" w:hAnsi="宋体" w:eastAsia="宋体" w:cs="宋体"/>
          <w:spacing w:val="0"/>
          <w:kern w:val="2"/>
          <w:sz w:val="21"/>
          <w:szCs w:val="21"/>
          <w:lang w:val="en-US" w:eastAsia="zh-CN" w:bidi="ar-SA"/>
        </w:rPr>
        <w:t xml:space="preserve">治安保卫管理人员应具备以下资质： </w:t>
      </w:r>
    </w:p>
    <w:p w14:paraId="3DEA94ED">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a) 熟悉相关国家法律法规，全面掌握本单位的治安安全防范工作内容，定期接受安全防范知识 </w:t>
      </w:r>
    </w:p>
    <w:p w14:paraId="71EE35B1">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和技能的教育培训； </w:t>
      </w:r>
    </w:p>
    <w:p w14:paraId="5A31C43B">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b) 掌握安全防范专业知识和技能，具备组织开展和实施单位内部安全防范工作的能力； </w:t>
      </w:r>
    </w:p>
    <w:p w14:paraId="131352FE">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c) 具备对突发治安事件分析、判断和决策的能力； </w:t>
      </w:r>
    </w:p>
    <w:p w14:paraId="757DDF4A">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d) 品行端正，依法、文明履行职责，不得侵犯他人合法权益。 </w:t>
      </w:r>
    </w:p>
    <w:p w14:paraId="251A5709">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5.2.2.2 </w:t>
      </w:r>
      <w:r>
        <w:rPr>
          <w:rFonts w:hint="eastAsia" w:ascii="宋体" w:hAnsi="宋体" w:eastAsia="宋体" w:cs="宋体"/>
          <w:spacing w:val="0"/>
          <w:kern w:val="2"/>
          <w:sz w:val="21"/>
          <w:szCs w:val="21"/>
          <w:lang w:val="en-US" w:eastAsia="zh-CN" w:bidi="ar-SA"/>
        </w:rPr>
        <w:t xml:space="preserve">治安保卫管理人员的职责应包括： </w:t>
      </w:r>
    </w:p>
    <w:p w14:paraId="726CDA33">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a) 检查内部治安保卫制度、工作计划及应急预案的落实情况； </w:t>
      </w:r>
    </w:p>
    <w:p w14:paraId="0A8FD756">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b) 检查单位内部治安防范设施的建设和维护情况； </w:t>
      </w:r>
    </w:p>
    <w:p w14:paraId="0A0407E6">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c) 定期组织开展治安防范宣传教育培训和应急演练； </w:t>
      </w:r>
    </w:p>
    <w:p w14:paraId="12EA1824">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d) 负责单位内部治安安全巡逻和安全检查，建立巡逻、检查和治安隐患整改记录，及时上报和 </w:t>
      </w:r>
    </w:p>
    <w:p w14:paraId="0F7F2EB3">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处理发现的问题； </w:t>
      </w:r>
    </w:p>
    <w:p w14:paraId="62176D10">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e) 维护单位内部的治安秩序，制止发生在本单位的违法行为，对难以制止的违法行为以及发生 </w:t>
      </w:r>
    </w:p>
    <w:p w14:paraId="51AD0509">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的治安案件、涉嫌刑事犯罪案件应当立即报警，并采取措施保护现场，配合公安机关的侦查、 </w:t>
      </w:r>
    </w:p>
    <w:p w14:paraId="58547A13">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处置工作； </w:t>
      </w:r>
    </w:p>
    <w:p w14:paraId="6D6F3EB3">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f) 负责保安队伍管理，监督指导保安队伍做好安全管理工作。 </w:t>
      </w:r>
    </w:p>
    <w:p w14:paraId="0DC4B3FC">
      <w:pPr>
        <w:keepNext w:val="0"/>
        <w:keepLines w:val="0"/>
        <w:widowControl/>
        <w:suppressLineNumbers w:val="0"/>
        <w:jc w:val="left"/>
      </w:pPr>
      <w:r>
        <w:rPr>
          <w:rFonts w:hint="eastAsia" w:ascii="黑体" w:hAnsi="黑体" w:eastAsia="黑体" w:cs="宋体"/>
          <w:kern w:val="0"/>
          <w:sz w:val="21"/>
          <w:szCs w:val="21"/>
          <w:lang w:val="en-US" w:eastAsia="zh-CN" w:bidi="ar-SA"/>
        </w:rPr>
        <w:t xml:space="preserve">5.2.3 </w:t>
      </w:r>
      <w:r>
        <w:rPr>
          <w:rFonts w:hint="eastAsia" w:ascii="黑体" w:hAnsi="宋体" w:eastAsia="黑体" w:cs="黑体"/>
          <w:color w:val="000000"/>
          <w:kern w:val="0"/>
          <w:sz w:val="20"/>
          <w:szCs w:val="20"/>
          <w:lang w:val="en-US" w:eastAsia="zh-CN" w:bidi="ar"/>
        </w:rPr>
        <w:t xml:space="preserve">保安员 </w:t>
      </w:r>
    </w:p>
    <w:p w14:paraId="6A6358EF">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5.2.3.1 </w:t>
      </w:r>
      <w:r>
        <w:rPr>
          <w:rFonts w:hint="eastAsia" w:ascii="宋体" w:hAnsi="宋体" w:eastAsia="宋体" w:cs="宋体"/>
          <w:spacing w:val="0"/>
          <w:kern w:val="2"/>
          <w:sz w:val="21"/>
          <w:szCs w:val="21"/>
          <w:lang w:val="en-US" w:eastAsia="zh-CN" w:bidi="ar-SA"/>
        </w:rPr>
        <w:t xml:space="preserve">保安员应具备以下资质： </w:t>
      </w:r>
    </w:p>
    <w:p w14:paraId="7180E0A2">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a) 了解相关国家法律法规和本单位的内部安全防范工作内容，定期接受安全防范专业知识和技 </w:t>
      </w:r>
    </w:p>
    <w:p w14:paraId="789BE1AC">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能的教育培训，依法取得保安员证； </w:t>
      </w:r>
    </w:p>
    <w:p w14:paraId="43E37CB6">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b) 掌握治安安全防范相关知识和设施设备的使用技能； </w:t>
      </w:r>
    </w:p>
    <w:p w14:paraId="70561851">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c) 具备与岗位职责相应的观察、发现、处置问题的能力； </w:t>
      </w:r>
    </w:p>
    <w:p w14:paraId="3CD6E7BA">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d) 身体健康、品行端正，依法、文明履行职责，不得侵犯他人合法权益。 </w:t>
      </w:r>
    </w:p>
    <w:p w14:paraId="4DB528F5">
      <w:pPr>
        <w:keepNext w:val="0"/>
        <w:keepLines w:val="0"/>
        <w:widowControl/>
        <w:suppressLineNumbers w:val="0"/>
        <w:jc w:val="left"/>
        <w:rPr>
          <w:rFonts w:hint="eastAsia" w:ascii="宋体" w:hAnsi="宋体" w:eastAsia="宋体" w:cs="宋体"/>
          <w:spacing w:val="0"/>
          <w:kern w:val="2"/>
          <w:sz w:val="21"/>
          <w:szCs w:val="21"/>
          <w:lang w:val="en-US" w:eastAsia="zh-CN" w:bidi="ar-SA"/>
        </w:rPr>
      </w:pPr>
      <w:r>
        <w:rPr>
          <w:rFonts w:hint="eastAsia" w:ascii="黑体" w:hAnsi="黑体" w:eastAsia="黑体" w:cs="宋体"/>
          <w:kern w:val="0"/>
          <w:sz w:val="21"/>
          <w:szCs w:val="21"/>
          <w:lang w:val="en-US" w:eastAsia="zh-CN" w:bidi="ar-SA"/>
        </w:rPr>
        <w:t xml:space="preserve">5.2.3.2 </w:t>
      </w:r>
      <w:r>
        <w:rPr>
          <w:rFonts w:hint="eastAsia" w:ascii="宋体" w:hAnsi="宋体" w:eastAsia="宋体" w:cs="宋体"/>
          <w:spacing w:val="0"/>
          <w:kern w:val="2"/>
          <w:sz w:val="21"/>
          <w:szCs w:val="21"/>
          <w:lang w:val="en-US" w:eastAsia="zh-CN" w:bidi="ar-SA"/>
        </w:rPr>
        <w:t xml:space="preserve">保安员的职责应包括： </w:t>
      </w:r>
    </w:p>
    <w:p w14:paraId="262CDE34">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a) 根据需要对人员、车辆进出做好检查、登记； </w:t>
      </w:r>
    </w:p>
    <w:p w14:paraId="10D4E0E3">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b) 看护和守卫单位内特定的目标或区域，保卫目标或区域的安全； </w:t>
      </w:r>
    </w:p>
    <w:p w14:paraId="76ECF0D0">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c) 在单位范围内进行巡逻、安全检查等工作，并做好记录； </w:t>
      </w:r>
    </w:p>
    <w:p w14:paraId="30284F86">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d) 维护单位内部的治安秩序，制止发生在本单位的违法行为，对难以制止的违法行为以及发生 </w:t>
      </w:r>
    </w:p>
    <w:p w14:paraId="2B010CC0">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的治安案件、涉嫌刑事犯罪案件应立即报警，并采取措施保护现场； </w:t>
      </w:r>
    </w:p>
    <w:p w14:paraId="24E20AF9">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 xml:space="preserve">e) GA/T 594 中规定的相关职责要求； </w:t>
      </w:r>
    </w:p>
    <w:p w14:paraId="5E0403A5">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pacing w:val="0"/>
          <w:kern w:val="2"/>
          <w:sz w:val="21"/>
          <w:szCs w:val="21"/>
          <w:lang w:val="en-US" w:eastAsia="zh-CN" w:bidi="ar-SA"/>
        </w:rPr>
      </w:pPr>
      <w:r>
        <w:rPr>
          <w:rFonts w:hint="eastAsia" w:ascii="宋体" w:hAnsi="宋体" w:eastAsia="宋体" w:cs="宋体"/>
          <w:spacing w:val="0"/>
          <w:kern w:val="2"/>
          <w:sz w:val="21"/>
          <w:szCs w:val="21"/>
          <w:lang w:val="en-US" w:eastAsia="zh-CN" w:bidi="ar-SA"/>
        </w:rPr>
        <w:t>f) 其他应当履行的安全防范职责。</w:t>
      </w:r>
    </w:p>
    <w:p w14:paraId="45F88CD7">
      <w:pPr>
        <w:spacing w:before="312" w:beforeLines="100" w:after="312" w:afterLines="100"/>
        <w:jc w:val="left"/>
        <w:outlineLvl w:val="0"/>
        <w:rPr>
          <w:rFonts w:hint="eastAsia" w:ascii="黑体" w:hAnsi="黑体" w:eastAsia="黑体"/>
          <w:lang w:val="en-US" w:eastAsia="zh-CN"/>
        </w:rPr>
      </w:pPr>
      <w:bookmarkStart w:id="14" w:name="_Toc31091"/>
      <w:r>
        <w:rPr>
          <w:rFonts w:hint="eastAsia" w:ascii="黑体" w:hAnsi="黑体" w:eastAsia="黑体"/>
          <w:lang w:val="en-US" w:eastAsia="zh-CN"/>
        </w:rPr>
        <w:t>6  评审、检验、验收和运营维护要求</w:t>
      </w:r>
      <w:bookmarkEnd w:id="14"/>
    </w:p>
    <w:p w14:paraId="3E5FFDFA">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bookmarkStart w:id="15" w:name="_Toc30119"/>
      <w:r>
        <w:rPr>
          <w:rFonts w:hint="eastAsia" w:ascii="黑体" w:hAnsi="黑体" w:eastAsia="黑体" w:cs="宋体"/>
          <w:kern w:val="0"/>
          <w:sz w:val="21"/>
          <w:szCs w:val="21"/>
          <w:lang w:val="en-US" w:eastAsia="zh-CN" w:bidi="ar-SA"/>
        </w:rPr>
        <w:t xml:space="preserve">6.1 </w:t>
      </w:r>
      <w:r>
        <w:rPr>
          <w:rFonts w:hint="eastAsia" w:ascii="宋体" w:hAnsi="宋体" w:eastAsia="宋体" w:cs="宋体"/>
          <w:spacing w:val="0"/>
          <w:sz w:val="21"/>
          <w:szCs w:val="21"/>
          <w:lang w:val="en-US" w:eastAsia="zh-CN"/>
        </w:rPr>
        <w:t xml:space="preserve"> 安全技术防范系统应按 GA/T 75 和 GA 308 的相关规定进行技术方案评审。经修改完善设计、安装调试、试运行、初验合格后，应根据 GB 50348 及本部分第 4 章的相关要求进行系统检验。检验合格后，应根据 GB 50348 及本部分第 4 章的相关要求进行系统验收。</w:t>
      </w:r>
      <w:bookmarkEnd w:id="15"/>
      <w:r>
        <w:rPr>
          <w:rFonts w:hint="eastAsia" w:ascii="宋体" w:hAnsi="宋体" w:eastAsia="宋体" w:cs="宋体"/>
          <w:spacing w:val="0"/>
          <w:sz w:val="21"/>
          <w:szCs w:val="21"/>
          <w:lang w:val="en-US" w:eastAsia="zh-CN"/>
        </w:rPr>
        <w:t xml:space="preserve"> </w:t>
      </w:r>
    </w:p>
    <w:p w14:paraId="13AD1D23">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黑体" w:hAnsi="黑体" w:eastAsia="黑体" w:cs="宋体"/>
          <w:kern w:val="0"/>
          <w:sz w:val="21"/>
          <w:szCs w:val="21"/>
          <w:lang w:val="en-US" w:eastAsia="zh-CN" w:bidi="ar-SA"/>
        </w:rPr>
        <w:t xml:space="preserve">6.2  </w:t>
      </w:r>
      <w:r>
        <w:rPr>
          <w:rFonts w:hint="eastAsia" w:ascii="宋体" w:hAnsi="宋体" w:eastAsia="宋体" w:cs="宋体"/>
          <w:spacing w:val="0"/>
          <w:sz w:val="21"/>
          <w:szCs w:val="21"/>
          <w:lang w:val="en-US" w:eastAsia="zh-CN"/>
        </w:rPr>
        <w:t xml:space="preserve">安全技术防范系统的维护、保养应由取得相应资质的单位承担，并应建立有效的运行保障体系和 </w:t>
      </w:r>
    </w:p>
    <w:p w14:paraId="3B55D117">
      <w:pPr>
        <w:pStyle w:val="29"/>
        <w:keepNext w:val="0"/>
        <w:keepLines w:val="0"/>
        <w:pageBreakBefore w:val="0"/>
        <w:widowControl w:val="0"/>
        <w:numPr>
          <w:ilvl w:val="0"/>
          <w:numId w:val="0"/>
        </w:numPr>
        <w:tabs>
          <w:tab w:val="left" w:pos="1063"/>
        </w:tabs>
        <w:kinsoku/>
        <w:wordWrap/>
        <w:overflowPunct/>
        <w:topLinePunct w:val="0"/>
        <w:autoSpaceDE/>
        <w:autoSpaceDN/>
        <w:bidi w:val="0"/>
        <w:adjustRightInd/>
        <w:snapToGrid/>
        <w:spacing w:after="0" w:line="240" w:lineRule="auto"/>
        <w:ind w:leftChars="0" w:right="0" w:rightChars="0"/>
        <w:jc w:val="left"/>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安全评估机制。安全技术防范系统应每年定期进行安全防范评估、检测、维护、保养，及时排除故障，淘汰、更换过期和损坏的设备器材，保持各系统处于良好的运行状态。</w:t>
      </w:r>
    </w:p>
    <w:p w14:paraId="6E3D4F22">
      <w:pPr>
        <w:rPr>
          <w:rFonts w:hint="eastAsia" w:ascii="黑体" w:hAnsi="黑体" w:eastAsia="黑体"/>
          <w:szCs w:val="21"/>
        </w:rPr>
      </w:pPr>
      <w:bookmarkStart w:id="16" w:name="_Toc79603528"/>
      <w:bookmarkStart w:id="17" w:name="_Toc45703683"/>
      <w:r>
        <w:rPr>
          <w:rFonts w:hint="eastAsia" w:ascii="黑体" w:hAnsi="黑体" w:eastAsia="黑体"/>
          <w:szCs w:val="21"/>
        </w:rPr>
        <w:br w:type="page"/>
      </w:r>
    </w:p>
    <w:p w14:paraId="2AF8EAEA">
      <w:pPr>
        <w:jc w:val="center"/>
        <w:outlineLvl w:val="0"/>
        <w:rPr>
          <w:rFonts w:ascii="黑体" w:hAnsi="黑体" w:eastAsia="黑体"/>
          <w:szCs w:val="21"/>
        </w:rPr>
      </w:pPr>
      <w:bookmarkStart w:id="18" w:name="_Toc30401"/>
      <w:r>
        <w:rPr>
          <w:rFonts w:hint="eastAsia" w:ascii="黑体" w:hAnsi="黑体" w:eastAsia="黑体"/>
          <w:szCs w:val="21"/>
        </w:rPr>
        <w:t>附  录  A</w:t>
      </w:r>
      <w:bookmarkEnd w:id="16"/>
      <w:bookmarkEnd w:id="18"/>
    </w:p>
    <w:p w14:paraId="38298079">
      <w:pPr>
        <w:jc w:val="center"/>
        <w:rPr>
          <w:rFonts w:ascii="黑体" w:hAnsi="黑体" w:eastAsia="黑体"/>
          <w:szCs w:val="21"/>
        </w:rPr>
      </w:pPr>
      <w:r>
        <w:rPr>
          <w:rFonts w:hint="eastAsia" w:ascii="黑体" w:hAnsi="黑体" w:eastAsia="黑体"/>
          <w:szCs w:val="21"/>
        </w:rPr>
        <w:t>（资料性）</w:t>
      </w:r>
    </w:p>
    <w:p w14:paraId="4DA8218D">
      <w:pPr>
        <w:jc w:val="center"/>
        <w:rPr>
          <w:rFonts w:ascii="黑体" w:hAnsi="黑体" w:eastAsia="黑体"/>
          <w:szCs w:val="21"/>
        </w:rPr>
      </w:pPr>
      <w:r>
        <w:rPr>
          <w:rFonts w:hint="eastAsia" w:ascii="黑体" w:hAnsi="黑体" w:eastAsia="黑体"/>
          <w:szCs w:val="21"/>
        </w:rPr>
        <w:t>XXXX情况表</w:t>
      </w:r>
    </w:p>
    <w:p w14:paraId="67FA116F">
      <w:pPr>
        <w:spacing w:before="312" w:beforeLines="100" w:after="312" w:afterLines="100"/>
        <w:rPr>
          <w:rFonts w:ascii="黑体" w:hAnsi="黑体" w:eastAsia="黑体"/>
          <w:szCs w:val="21"/>
        </w:rPr>
      </w:pPr>
      <w:r>
        <w:rPr>
          <w:rFonts w:ascii="黑体" w:hAnsi="黑体" w:eastAsia="黑体"/>
          <w:szCs w:val="21"/>
        </w:rPr>
        <w:t>A</w:t>
      </w:r>
      <w:r>
        <w:rPr>
          <w:rFonts w:hint="eastAsia" w:ascii="黑体" w:hAnsi="黑体" w:eastAsia="黑体"/>
          <w:szCs w:val="21"/>
        </w:rPr>
        <w:t>.1  XXXXX</w:t>
      </w:r>
      <w:r>
        <w:rPr>
          <w:rFonts w:ascii="黑体" w:hAnsi="黑体" w:eastAsia="黑体"/>
          <w:szCs w:val="21"/>
        </w:rPr>
        <w:t>阶段</w:t>
      </w:r>
    </w:p>
    <w:p w14:paraId="7AC4790C">
      <w:pPr>
        <w:ind w:firstLine="420" w:firstLineChars="200"/>
        <w:jc w:val="left"/>
        <w:rPr>
          <w:rFonts w:ascii="宋体" w:hAnsi="宋体" w:eastAsia="宋体"/>
          <w:szCs w:val="21"/>
        </w:rPr>
      </w:pPr>
      <w:r>
        <w:rPr>
          <w:rFonts w:hint="eastAsia" w:ascii="宋体" w:hAnsi="宋体" w:eastAsia="宋体"/>
          <w:szCs w:val="21"/>
        </w:rPr>
        <w:t>XXXXXXXX</w:t>
      </w:r>
      <w:r>
        <w:rPr>
          <w:rFonts w:ascii="宋体" w:hAnsi="宋体" w:eastAsia="宋体"/>
          <w:szCs w:val="21"/>
        </w:rPr>
        <w:t>梳理情况见表</w:t>
      </w:r>
      <w:r>
        <w:rPr>
          <w:rFonts w:hint="eastAsia" w:ascii="宋体" w:hAnsi="宋体" w:eastAsia="宋体"/>
          <w:szCs w:val="21"/>
        </w:rPr>
        <w:t>A.1。</w:t>
      </w:r>
    </w:p>
    <w:p w14:paraId="27588EFD">
      <w:pPr>
        <w:spacing w:before="156" w:beforeLines="50" w:after="156" w:afterLines="50"/>
        <w:jc w:val="center"/>
        <w:rPr>
          <w:rFonts w:ascii="黑体" w:hAnsi="黑体" w:eastAsia="黑体"/>
          <w:szCs w:val="21"/>
        </w:rPr>
      </w:pPr>
      <w:r>
        <w:rPr>
          <w:rFonts w:ascii="黑体" w:hAnsi="黑体" w:eastAsia="黑体"/>
          <w:szCs w:val="21"/>
        </w:rPr>
        <w:t xml:space="preserve">表A.1  </w:t>
      </w:r>
      <w:r>
        <w:rPr>
          <w:rFonts w:hint="eastAsia" w:ascii="黑体" w:hAnsi="黑体" w:eastAsia="黑体"/>
          <w:szCs w:val="21"/>
        </w:rPr>
        <w:t>XXXXXX</w:t>
      </w:r>
      <w:r>
        <w:rPr>
          <w:rFonts w:ascii="黑体" w:hAnsi="黑体" w:eastAsia="黑体"/>
          <w:szCs w:val="21"/>
        </w:rPr>
        <w:t>梳理情况表</w:t>
      </w:r>
    </w:p>
    <w:tbl>
      <w:tblPr>
        <w:tblStyle w:val="18"/>
        <w:tblW w:w="7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84"/>
        <w:gridCol w:w="2127"/>
        <w:gridCol w:w="2126"/>
      </w:tblGrid>
      <w:tr w14:paraId="2A97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EDC22B7">
            <w:pPr>
              <w:jc w:val="center"/>
              <w:rPr>
                <w:rFonts w:asciiTheme="minorEastAsia" w:hAnsiTheme="minorEastAsia"/>
                <w:sz w:val="18"/>
                <w:szCs w:val="18"/>
              </w:rPr>
            </w:pPr>
            <w:r>
              <w:rPr>
                <w:rFonts w:hint="eastAsia" w:asciiTheme="minorEastAsia" w:hAnsiTheme="minorEastAsia"/>
                <w:sz w:val="18"/>
                <w:szCs w:val="18"/>
              </w:rPr>
              <w:t>序号</w:t>
            </w:r>
          </w:p>
        </w:tc>
        <w:tc>
          <w:tcPr>
            <w:tcW w:w="1984" w:type="dxa"/>
            <w:vAlign w:val="center"/>
          </w:tcPr>
          <w:p w14:paraId="6FE94158">
            <w:pPr>
              <w:jc w:val="center"/>
              <w:rPr>
                <w:rFonts w:asciiTheme="minorEastAsia" w:hAnsiTheme="minorEastAsia"/>
                <w:sz w:val="18"/>
                <w:szCs w:val="18"/>
              </w:rPr>
            </w:pPr>
            <w:r>
              <w:rPr>
                <w:rFonts w:hint="eastAsia" w:asciiTheme="minorEastAsia" w:hAnsiTheme="minorEastAsia"/>
                <w:sz w:val="18"/>
                <w:szCs w:val="18"/>
              </w:rPr>
              <w:t>阶段</w:t>
            </w:r>
          </w:p>
        </w:tc>
        <w:tc>
          <w:tcPr>
            <w:tcW w:w="2127" w:type="dxa"/>
            <w:vAlign w:val="center"/>
          </w:tcPr>
          <w:p w14:paraId="775E1DD2">
            <w:pPr>
              <w:jc w:val="center"/>
              <w:rPr>
                <w:rFonts w:asciiTheme="minorEastAsia" w:hAnsiTheme="minorEastAsia"/>
                <w:sz w:val="18"/>
                <w:szCs w:val="18"/>
              </w:rPr>
            </w:pPr>
            <w:r>
              <w:rPr>
                <w:rFonts w:hint="eastAsia" w:asciiTheme="minorEastAsia" w:hAnsiTheme="minorEastAsia"/>
                <w:sz w:val="18"/>
                <w:szCs w:val="18"/>
              </w:rPr>
              <w:t>涉及部门</w:t>
            </w:r>
          </w:p>
        </w:tc>
        <w:tc>
          <w:tcPr>
            <w:tcW w:w="2126" w:type="dxa"/>
            <w:vAlign w:val="center"/>
          </w:tcPr>
          <w:p w14:paraId="4618150D">
            <w:pPr>
              <w:jc w:val="center"/>
              <w:rPr>
                <w:rFonts w:asciiTheme="minorEastAsia" w:hAnsiTheme="minorEastAsia"/>
                <w:sz w:val="18"/>
                <w:szCs w:val="18"/>
              </w:rPr>
            </w:pPr>
            <w:r>
              <w:rPr>
                <w:rFonts w:hint="eastAsia" w:asciiTheme="minorEastAsia" w:hAnsiTheme="minorEastAsia"/>
                <w:sz w:val="18"/>
                <w:szCs w:val="18"/>
              </w:rPr>
              <w:t>牵头部门</w:t>
            </w:r>
          </w:p>
        </w:tc>
      </w:tr>
      <w:tr w14:paraId="17AF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49FEB73">
            <w:pPr>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1</w:t>
            </w:r>
          </w:p>
        </w:tc>
        <w:tc>
          <w:tcPr>
            <w:tcW w:w="1984" w:type="dxa"/>
            <w:vAlign w:val="center"/>
          </w:tcPr>
          <w:p w14:paraId="142ABE09">
            <w:pPr>
              <w:jc w:val="center"/>
              <w:rPr>
                <w:rFonts w:asciiTheme="minorEastAsia" w:hAnsiTheme="minorEastAsia"/>
                <w:sz w:val="18"/>
                <w:szCs w:val="18"/>
              </w:rPr>
            </w:pPr>
            <w:r>
              <w:rPr>
                <w:rFonts w:hint="eastAsia" w:asciiTheme="minorEastAsia" w:hAnsiTheme="minorEastAsia"/>
                <w:sz w:val="18"/>
                <w:szCs w:val="18"/>
              </w:rPr>
              <w:t>其他</w:t>
            </w:r>
          </w:p>
        </w:tc>
        <w:tc>
          <w:tcPr>
            <w:tcW w:w="2127" w:type="dxa"/>
            <w:vAlign w:val="center"/>
          </w:tcPr>
          <w:p w14:paraId="0B6F1601">
            <w:pPr>
              <w:jc w:val="center"/>
              <w:rPr>
                <w:rFonts w:asciiTheme="minorEastAsia" w:hAnsiTheme="minorEastAsia"/>
                <w:sz w:val="18"/>
                <w:szCs w:val="18"/>
              </w:rPr>
            </w:pPr>
            <w:r>
              <w:rPr>
                <w:rFonts w:hint="eastAsia" w:asciiTheme="minorEastAsia" w:hAnsiTheme="minorEastAsia"/>
                <w:sz w:val="18"/>
                <w:szCs w:val="18"/>
              </w:rPr>
              <w:t>/</w:t>
            </w:r>
          </w:p>
        </w:tc>
        <w:tc>
          <w:tcPr>
            <w:tcW w:w="2126" w:type="dxa"/>
            <w:vAlign w:val="center"/>
          </w:tcPr>
          <w:p w14:paraId="688F4E87">
            <w:pPr>
              <w:jc w:val="center"/>
              <w:rPr>
                <w:rFonts w:asciiTheme="minorEastAsia" w:hAnsiTheme="minorEastAsia"/>
                <w:sz w:val="18"/>
                <w:szCs w:val="18"/>
              </w:rPr>
            </w:pPr>
            <w:r>
              <w:rPr>
                <w:rFonts w:hint="eastAsia" w:asciiTheme="minorEastAsia" w:hAnsiTheme="minorEastAsia"/>
                <w:sz w:val="18"/>
                <w:szCs w:val="18"/>
              </w:rPr>
              <w:t>/</w:t>
            </w:r>
          </w:p>
        </w:tc>
      </w:tr>
    </w:tbl>
    <w:p w14:paraId="1DED1D01">
      <w:pPr>
        <w:widowControl/>
        <w:jc w:val="left"/>
        <w:rPr>
          <w:rFonts w:ascii="黑体" w:hAnsi="黑体" w:eastAsia="黑体"/>
          <w:szCs w:val="21"/>
        </w:rPr>
      </w:pPr>
    </w:p>
    <w:p w14:paraId="43C33E67">
      <w:pPr>
        <w:widowControl/>
        <w:jc w:val="left"/>
        <w:rPr>
          <w:rFonts w:ascii="黑体" w:hAnsi="黑体" w:eastAsia="黑体"/>
          <w:szCs w:val="21"/>
        </w:rPr>
      </w:pPr>
    </w:p>
    <w:p w14:paraId="37D7A2DC">
      <w:pPr>
        <w:widowControl/>
        <w:jc w:val="left"/>
        <w:rPr>
          <w:rFonts w:ascii="黑体" w:hAnsi="黑体" w:eastAsia="黑体"/>
          <w:szCs w:val="21"/>
        </w:rPr>
      </w:pPr>
    </w:p>
    <w:p w14:paraId="7F09B69C">
      <w:pPr>
        <w:widowControl/>
        <w:jc w:val="left"/>
        <w:rPr>
          <w:rFonts w:ascii="黑体" w:hAnsi="黑体" w:eastAsia="黑体"/>
          <w:szCs w:val="21"/>
        </w:rPr>
      </w:pPr>
    </w:p>
    <w:bookmarkEnd w:id="17"/>
    <w:p w14:paraId="32BC8C32">
      <w:pPr>
        <w:ind w:firstLine="420" w:firstLineChars="200"/>
      </w:pPr>
    </w:p>
    <w:p w14:paraId="5FB05356">
      <w:pPr>
        <w:ind w:firstLine="420" w:firstLineChars="200"/>
      </w:pPr>
    </w:p>
    <w:p w14:paraId="62542322">
      <w:pPr>
        <w:snapToGrid w:val="0"/>
      </w:pPr>
      <w:r>
        <w:rPr>
          <w:rFonts w:ascii="黑体" w:hAnsi="黑体" w:eastAsia="黑体"/>
        </w:rPr>
        <w:pict>
          <v:shape id="_x0000_s1031" o:spid="_x0000_s1031" o:spt="32" type="#_x0000_t32" style="position:absolute;left:0pt;margin-left:166.05pt;margin-top:69.8pt;height:0pt;width:134.25pt;z-index:251663360;mso-width-relative:page;mso-height-relative:page;" o:connectortype="straight" filled="f" coordsize="21600,21600">
            <v:path arrowok="t"/>
            <v:fill on="f" focussize="0,0"/>
            <v:stroke/>
            <v:imagedata o:title=""/>
            <o:lock v:ext="edit"/>
          </v:shape>
        </w:pict>
      </w:r>
      <w:r>
        <w:rPr>
          <w:rFonts w:ascii="黑体" w:hAnsi="黑体" w:eastAsia="黑体"/>
        </w:rPr>
        <w:pict>
          <v:shape id="AutoShape 15" o:spid="_x0000_s1027" o:spt="32" type="#_x0000_t32" style="position:absolute;left:0pt;margin-left:-265.25pt;margin-top:114.1pt;height:0pt;width:141.75pt;z-index:251662336;mso-width-relative:page;mso-height-relative:page;" filled="f" coordsize="21600,21600" o:gfxdata="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AbDsL2QAAAA0BAAAPAAAAAAAAAAEAIAAAACIAAABkcnMvZG93bnJldi54bWxQSwECFAAU&#10;AAAACACHTuJAaq6mxLcBAABlAwAADgAAAAAAAAABACAAAAAoAQAAZHJzL2Uyb0RvYy54bWxQSwUG&#10;AAAAAAYABgBZAQAAUQUAAAAA&#10;">
            <v:path arrowok="t"/>
            <v:fill on="f" focussize="0,0"/>
            <v:stroke/>
            <v:imagedata o:title=""/>
            <o:lock v:ext="edit"/>
          </v:shape>
        </w:pict>
      </w:r>
    </w:p>
    <w:sectPr>
      <w:headerReference r:id="rId10" w:type="even"/>
      <w:footerReference r:id="rId11" w:type="even"/>
      <w:pgSz w:w="11907" w:h="16840"/>
      <w:pgMar w:top="1985" w:right="1134" w:bottom="1134" w:left="1418" w:header="1417" w:footer="1134"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182CD">
    <w:pPr>
      <w:pStyle w:val="10"/>
      <w:ind w:firstLine="360" w:firstLineChars="2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7763331"/>
    </w:sdtPr>
    <w:sdtContent>
      <w:p w14:paraId="30FCC23C">
        <w:pPr>
          <w:pStyle w:val="10"/>
          <w:jc w:val="right"/>
        </w:pPr>
        <w:r>
          <w:rPr>
            <w:rFonts w:asciiTheme="minorEastAsia" w:hAnsiTheme="minorEastAsia"/>
          </w:rPr>
          <w:fldChar w:fldCharType="begin"/>
        </w:r>
        <w:r>
          <w:rPr>
            <w:rFonts w:asciiTheme="minorEastAsia" w:hAnsiTheme="minorEastAsia"/>
          </w:rPr>
          <w:instrText xml:space="preserve">PAGE   \* MERGEFORMAT</w:instrText>
        </w:r>
        <w:r>
          <w:rPr>
            <w:rFonts w:asciiTheme="minorEastAsia" w:hAnsiTheme="minorEastAsia"/>
          </w:rPr>
          <w:fldChar w:fldCharType="separate"/>
        </w:r>
        <w:r>
          <w:rPr>
            <w:rFonts w:asciiTheme="minorEastAsia" w:hAnsiTheme="minorEastAsia"/>
            <w:lang w:val="zh-CN"/>
          </w:rPr>
          <w:t>3</w:t>
        </w:r>
        <w:r>
          <w:rPr>
            <w:rFonts w:asciiTheme="minorEastAsia" w:hAnsiTheme="minorEastAsia"/>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3561248"/>
    </w:sdtPr>
    <w:sdtContent>
      <w:p w14:paraId="5CBF3EE9">
        <w:pPr>
          <w:pStyle w:val="10"/>
        </w:pPr>
        <w:r>
          <w:rPr>
            <w:lang w:val="zh-CN"/>
          </w:rPr>
          <w:fldChar w:fldCharType="begin"/>
        </w:r>
        <w:r>
          <w:rPr>
            <w:lang w:val="zh-CN"/>
          </w:rPr>
          <w:instrText xml:space="preserve">PAGE   \* MERGEFORMAT</w:instrText>
        </w:r>
        <w:r>
          <w:rPr>
            <w:lang w:val="zh-CN"/>
          </w:rPr>
          <w:fldChar w:fldCharType="separate"/>
        </w:r>
        <w:r>
          <w:rPr>
            <w:lang w:val="zh-CN"/>
          </w:rPr>
          <w:t>4</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CAA34">
    <w:pPr>
      <w:pStyle w:val="11"/>
      <w:pBdr>
        <w:bottom w:val="none" w:color="auto" w:sz="0" w:space="0"/>
      </w:pBdr>
      <w:jc w:val="right"/>
      <w:rPr>
        <w:sz w:val="21"/>
        <w:szCs w:val="21"/>
      </w:rPr>
    </w:pPr>
    <w:r>
      <w:rPr>
        <w:rFonts w:ascii="黑体" w:hAnsi="黑体" w:eastAsia="黑体"/>
        <w:sz w:val="21"/>
        <w:szCs w:val="21"/>
      </w:rPr>
      <w:t>DB3205/T XXX-2019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5044C">
    <w:pPr>
      <w:pStyle w:val="11"/>
      <w:pBdr>
        <w:bottom w:val="none" w:color="auto" w:sz="0" w:space="0"/>
      </w:pBdr>
      <w:jc w:val="left"/>
    </w:pPr>
    <w:r>
      <w:rPr>
        <w:rFonts w:ascii="黑体" w:hAnsi="黑体" w:eastAsia="黑体"/>
        <w:sz w:val="21"/>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348B8">
    <w:pPr>
      <w:pStyle w:val="1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D888A">
    <w:pPr>
      <w:jc w:val="left"/>
      <w:rPr>
        <w:rFonts w:ascii="黑体" w:hAnsi="黑体" w:eastAsia="黑体"/>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A719C">
    <w:pPr>
      <w:pStyle w:val="11"/>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C911D">
    <w:pPr>
      <w:pStyle w:val="11"/>
      <w:pBdr>
        <w:bottom w:val="none" w:color="auto" w:sz="0" w:space="0"/>
      </w:pBdr>
      <w:jc w:val="left"/>
      <w:rPr>
        <w:sz w:val="21"/>
      </w:rPr>
    </w:pPr>
    <w:r>
      <w:rPr>
        <w:rFonts w:hint="eastAsia" w:ascii="黑体" w:hAnsi="黑体" w:eastAsia="黑体"/>
        <w:sz w:val="21"/>
      </w:rPr>
      <w:t>DB32</w:t>
    </w:r>
    <w:r>
      <w:rPr>
        <w:rFonts w:ascii="黑体" w:hAnsi="黑体" w:eastAsia="黑体"/>
        <w:sz w:val="21"/>
      </w:rPr>
      <w:t>05</w:t>
    </w:r>
    <w:r>
      <w:rPr>
        <w:rFonts w:hint="eastAsia" w:ascii="黑体" w:hAnsi="黑体" w:eastAsia="黑体"/>
        <w:sz w:val="21"/>
      </w:rPr>
      <w:t>/T XXX-20XX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E572D"/>
    <w:multiLevelType w:val="singleLevel"/>
    <w:tmpl w:val="810E572D"/>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
    <w:nsid w:val="B5088CBC"/>
    <w:multiLevelType w:val="singleLevel"/>
    <w:tmpl w:val="B5088CBC"/>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2">
    <w:nsid w:val="DA14C0C0"/>
    <w:multiLevelType w:val="singleLevel"/>
    <w:tmpl w:val="DA14C0C0"/>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3">
    <w:nsid w:val="6D2F7018"/>
    <w:multiLevelType w:val="singleLevel"/>
    <w:tmpl w:val="6D2F7018"/>
    <w:lvl w:ilvl="0" w:tentative="0">
      <w:start w:val="1"/>
      <w:numFmt w:val="decimal"/>
      <w:suff w:val="nothing"/>
      <w:lvlText w:val="%1"/>
      <w:lvlJc w:val="center"/>
      <w:pPr>
        <w:tabs>
          <w:tab w:val="left" w:pos="0"/>
        </w:tabs>
        <w:ind w:left="0" w:leftChars="0" w:firstLine="0" w:firstLineChars="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gyY2U1NjQ3ZjNhZjliNjFkNmY4NWFiMzc0OTJlMDgifQ=="/>
  </w:docVars>
  <w:rsids>
    <w:rsidRoot w:val="002C4A7A"/>
    <w:rsid w:val="00000BF0"/>
    <w:rsid w:val="00000DF4"/>
    <w:rsid w:val="000015AD"/>
    <w:rsid w:val="00001DAB"/>
    <w:rsid w:val="00002F52"/>
    <w:rsid w:val="000054AA"/>
    <w:rsid w:val="00005523"/>
    <w:rsid w:val="000063E8"/>
    <w:rsid w:val="00006716"/>
    <w:rsid w:val="00007CDC"/>
    <w:rsid w:val="00007EF8"/>
    <w:rsid w:val="000103CF"/>
    <w:rsid w:val="00010727"/>
    <w:rsid w:val="00010AC5"/>
    <w:rsid w:val="000123D3"/>
    <w:rsid w:val="0001390A"/>
    <w:rsid w:val="00013E03"/>
    <w:rsid w:val="00016BBA"/>
    <w:rsid w:val="00016F1C"/>
    <w:rsid w:val="00017C88"/>
    <w:rsid w:val="00020BC1"/>
    <w:rsid w:val="00022D79"/>
    <w:rsid w:val="00023F97"/>
    <w:rsid w:val="00025631"/>
    <w:rsid w:val="00025FA0"/>
    <w:rsid w:val="0002729D"/>
    <w:rsid w:val="000319BA"/>
    <w:rsid w:val="000365ED"/>
    <w:rsid w:val="000366C1"/>
    <w:rsid w:val="000377BE"/>
    <w:rsid w:val="0003782B"/>
    <w:rsid w:val="00037CA2"/>
    <w:rsid w:val="00041207"/>
    <w:rsid w:val="0004232C"/>
    <w:rsid w:val="00042CE4"/>
    <w:rsid w:val="00042DE7"/>
    <w:rsid w:val="000445AF"/>
    <w:rsid w:val="00044B0C"/>
    <w:rsid w:val="000451C3"/>
    <w:rsid w:val="00046312"/>
    <w:rsid w:val="000463CE"/>
    <w:rsid w:val="0004747D"/>
    <w:rsid w:val="00047781"/>
    <w:rsid w:val="000504F2"/>
    <w:rsid w:val="00050831"/>
    <w:rsid w:val="00050F52"/>
    <w:rsid w:val="000511AD"/>
    <w:rsid w:val="00052D1C"/>
    <w:rsid w:val="00053096"/>
    <w:rsid w:val="00053599"/>
    <w:rsid w:val="00054AF9"/>
    <w:rsid w:val="00054CB6"/>
    <w:rsid w:val="0005626C"/>
    <w:rsid w:val="0005686E"/>
    <w:rsid w:val="00056983"/>
    <w:rsid w:val="000600F3"/>
    <w:rsid w:val="00060DDA"/>
    <w:rsid w:val="0006117B"/>
    <w:rsid w:val="00061F82"/>
    <w:rsid w:val="0006343E"/>
    <w:rsid w:val="00063516"/>
    <w:rsid w:val="00063731"/>
    <w:rsid w:val="00070228"/>
    <w:rsid w:val="00070989"/>
    <w:rsid w:val="00071463"/>
    <w:rsid w:val="00071BC6"/>
    <w:rsid w:val="00072221"/>
    <w:rsid w:val="0007542C"/>
    <w:rsid w:val="00076E15"/>
    <w:rsid w:val="0007727E"/>
    <w:rsid w:val="000778F2"/>
    <w:rsid w:val="00081ADD"/>
    <w:rsid w:val="00084BAD"/>
    <w:rsid w:val="0008506A"/>
    <w:rsid w:val="00085BF4"/>
    <w:rsid w:val="00085FD5"/>
    <w:rsid w:val="00086F5F"/>
    <w:rsid w:val="00090DCB"/>
    <w:rsid w:val="00091A8D"/>
    <w:rsid w:val="00091AF3"/>
    <w:rsid w:val="00093F57"/>
    <w:rsid w:val="000942EE"/>
    <w:rsid w:val="00096096"/>
    <w:rsid w:val="000970E3"/>
    <w:rsid w:val="0009741B"/>
    <w:rsid w:val="000A05E2"/>
    <w:rsid w:val="000A0FB6"/>
    <w:rsid w:val="000A1D63"/>
    <w:rsid w:val="000A210E"/>
    <w:rsid w:val="000A2298"/>
    <w:rsid w:val="000A3577"/>
    <w:rsid w:val="000A7434"/>
    <w:rsid w:val="000A74EE"/>
    <w:rsid w:val="000B1600"/>
    <w:rsid w:val="000B2664"/>
    <w:rsid w:val="000B2F95"/>
    <w:rsid w:val="000B366B"/>
    <w:rsid w:val="000B3BB0"/>
    <w:rsid w:val="000B5AC2"/>
    <w:rsid w:val="000B5AD5"/>
    <w:rsid w:val="000B6371"/>
    <w:rsid w:val="000C1C3D"/>
    <w:rsid w:val="000C20CF"/>
    <w:rsid w:val="000C2342"/>
    <w:rsid w:val="000C31FD"/>
    <w:rsid w:val="000C6BAF"/>
    <w:rsid w:val="000D245B"/>
    <w:rsid w:val="000D3EF6"/>
    <w:rsid w:val="000D592C"/>
    <w:rsid w:val="000D5C84"/>
    <w:rsid w:val="000D61CF"/>
    <w:rsid w:val="000D6B15"/>
    <w:rsid w:val="000D75F6"/>
    <w:rsid w:val="000E0BEE"/>
    <w:rsid w:val="000E3F21"/>
    <w:rsid w:val="000E5800"/>
    <w:rsid w:val="000E6619"/>
    <w:rsid w:val="000E67E2"/>
    <w:rsid w:val="000E6AF6"/>
    <w:rsid w:val="000E74D2"/>
    <w:rsid w:val="000F1562"/>
    <w:rsid w:val="000F1F84"/>
    <w:rsid w:val="000F2389"/>
    <w:rsid w:val="000F2CB4"/>
    <w:rsid w:val="000F31EC"/>
    <w:rsid w:val="000F3B83"/>
    <w:rsid w:val="000F4712"/>
    <w:rsid w:val="000F57C0"/>
    <w:rsid w:val="000F5FAE"/>
    <w:rsid w:val="000F615F"/>
    <w:rsid w:val="000F714A"/>
    <w:rsid w:val="0010080E"/>
    <w:rsid w:val="00101287"/>
    <w:rsid w:val="00102111"/>
    <w:rsid w:val="00102E6A"/>
    <w:rsid w:val="00103315"/>
    <w:rsid w:val="00105422"/>
    <w:rsid w:val="001054F3"/>
    <w:rsid w:val="00105F15"/>
    <w:rsid w:val="00107749"/>
    <w:rsid w:val="001102B1"/>
    <w:rsid w:val="00110C1D"/>
    <w:rsid w:val="00110EC6"/>
    <w:rsid w:val="00111700"/>
    <w:rsid w:val="00112AF7"/>
    <w:rsid w:val="00115300"/>
    <w:rsid w:val="00116523"/>
    <w:rsid w:val="00117D4D"/>
    <w:rsid w:val="00117E94"/>
    <w:rsid w:val="0012099B"/>
    <w:rsid w:val="001220B8"/>
    <w:rsid w:val="00122140"/>
    <w:rsid w:val="00124E1C"/>
    <w:rsid w:val="00125406"/>
    <w:rsid w:val="0012567D"/>
    <w:rsid w:val="00127460"/>
    <w:rsid w:val="00127EF8"/>
    <w:rsid w:val="00130FE6"/>
    <w:rsid w:val="00131ACD"/>
    <w:rsid w:val="0013227B"/>
    <w:rsid w:val="0013279D"/>
    <w:rsid w:val="00133094"/>
    <w:rsid w:val="001337DD"/>
    <w:rsid w:val="001340F9"/>
    <w:rsid w:val="001347F3"/>
    <w:rsid w:val="0013556D"/>
    <w:rsid w:val="00136454"/>
    <w:rsid w:val="001419AA"/>
    <w:rsid w:val="00142A6B"/>
    <w:rsid w:val="00143538"/>
    <w:rsid w:val="00144F2B"/>
    <w:rsid w:val="001457BD"/>
    <w:rsid w:val="00145C68"/>
    <w:rsid w:val="00145CD4"/>
    <w:rsid w:val="001462B7"/>
    <w:rsid w:val="00146CCD"/>
    <w:rsid w:val="00147D32"/>
    <w:rsid w:val="00147F7E"/>
    <w:rsid w:val="00150638"/>
    <w:rsid w:val="00150B6F"/>
    <w:rsid w:val="001511E1"/>
    <w:rsid w:val="001513BF"/>
    <w:rsid w:val="00151584"/>
    <w:rsid w:val="00151AD5"/>
    <w:rsid w:val="00152884"/>
    <w:rsid w:val="00152ABD"/>
    <w:rsid w:val="001548D5"/>
    <w:rsid w:val="0016045D"/>
    <w:rsid w:val="0016095C"/>
    <w:rsid w:val="00160A00"/>
    <w:rsid w:val="001657A7"/>
    <w:rsid w:val="00165C36"/>
    <w:rsid w:val="00166357"/>
    <w:rsid w:val="001669E3"/>
    <w:rsid w:val="001704F6"/>
    <w:rsid w:val="001710A6"/>
    <w:rsid w:val="00171AF3"/>
    <w:rsid w:val="001720FB"/>
    <w:rsid w:val="00172E4C"/>
    <w:rsid w:val="00173651"/>
    <w:rsid w:val="00175726"/>
    <w:rsid w:val="00175A7C"/>
    <w:rsid w:val="00175B84"/>
    <w:rsid w:val="001760A4"/>
    <w:rsid w:val="00176596"/>
    <w:rsid w:val="00180A19"/>
    <w:rsid w:val="00180D9E"/>
    <w:rsid w:val="00181D7F"/>
    <w:rsid w:val="00181F69"/>
    <w:rsid w:val="00182064"/>
    <w:rsid w:val="00182603"/>
    <w:rsid w:val="00182604"/>
    <w:rsid w:val="001833C4"/>
    <w:rsid w:val="00184D62"/>
    <w:rsid w:val="001862AE"/>
    <w:rsid w:val="0018636D"/>
    <w:rsid w:val="00187073"/>
    <w:rsid w:val="00187AF8"/>
    <w:rsid w:val="00187DD9"/>
    <w:rsid w:val="00191E53"/>
    <w:rsid w:val="00191F9E"/>
    <w:rsid w:val="001926EC"/>
    <w:rsid w:val="00192880"/>
    <w:rsid w:val="00194817"/>
    <w:rsid w:val="00197E2E"/>
    <w:rsid w:val="001A18E6"/>
    <w:rsid w:val="001A266B"/>
    <w:rsid w:val="001A26F8"/>
    <w:rsid w:val="001A6091"/>
    <w:rsid w:val="001A6A3C"/>
    <w:rsid w:val="001B050A"/>
    <w:rsid w:val="001B177F"/>
    <w:rsid w:val="001B1FDC"/>
    <w:rsid w:val="001B2930"/>
    <w:rsid w:val="001B657E"/>
    <w:rsid w:val="001B7A7C"/>
    <w:rsid w:val="001C0F5C"/>
    <w:rsid w:val="001C108E"/>
    <w:rsid w:val="001C2722"/>
    <w:rsid w:val="001C2B3F"/>
    <w:rsid w:val="001C427E"/>
    <w:rsid w:val="001C5CF1"/>
    <w:rsid w:val="001C619A"/>
    <w:rsid w:val="001C6756"/>
    <w:rsid w:val="001C6987"/>
    <w:rsid w:val="001D118E"/>
    <w:rsid w:val="001D2004"/>
    <w:rsid w:val="001D2E59"/>
    <w:rsid w:val="001D4DF0"/>
    <w:rsid w:val="001D57AE"/>
    <w:rsid w:val="001D6CB0"/>
    <w:rsid w:val="001D7436"/>
    <w:rsid w:val="001D75A1"/>
    <w:rsid w:val="001E050F"/>
    <w:rsid w:val="001E1ECE"/>
    <w:rsid w:val="001E2047"/>
    <w:rsid w:val="001E4A6D"/>
    <w:rsid w:val="001E5142"/>
    <w:rsid w:val="001E5700"/>
    <w:rsid w:val="001E6371"/>
    <w:rsid w:val="001E751D"/>
    <w:rsid w:val="001F08D0"/>
    <w:rsid w:val="001F1EAB"/>
    <w:rsid w:val="001F39FD"/>
    <w:rsid w:val="001F407D"/>
    <w:rsid w:val="001F52A9"/>
    <w:rsid w:val="001F5DA3"/>
    <w:rsid w:val="001F628F"/>
    <w:rsid w:val="001F6ED8"/>
    <w:rsid w:val="00201C4C"/>
    <w:rsid w:val="002020CB"/>
    <w:rsid w:val="00203141"/>
    <w:rsid w:val="00203690"/>
    <w:rsid w:val="00205B64"/>
    <w:rsid w:val="00205C27"/>
    <w:rsid w:val="00206600"/>
    <w:rsid w:val="00207787"/>
    <w:rsid w:val="00210220"/>
    <w:rsid w:val="00210590"/>
    <w:rsid w:val="002108A6"/>
    <w:rsid w:val="00214676"/>
    <w:rsid w:val="002148ED"/>
    <w:rsid w:val="00214B2B"/>
    <w:rsid w:val="0021521D"/>
    <w:rsid w:val="0021554C"/>
    <w:rsid w:val="0021572D"/>
    <w:rsid w:val="0021577C"/>
    <w:rsid w:val="00215AEF"/>
    <w:rsid w:val="002174D0"/>
    <w:rsid w:val="00217D7A"/>
    <w:rsid w:val="0022067F"/>
    <w:rsid w:val="00220FF6"/>
    <w:rsid w:val="00221606"/>
    <w:rsid w:val="00222B5B"/>
    <w:rsid w:val="00222E03"/>
    <w:rsid w:val="002275C5"/>
    <w:rsid w:val="0022795A"/>
    <w:rsid w:val="00227C62"/>
    <w:rsid w:val="0023031E"/>
    <w:rsid w:val="00230CF6"/>
    <w:rsid w:val="00232634"/>
    <w:rsid w:val="00234868"/>
    <w:rsid w:val="0023623C"/>
    <w:rsid w:val="00236EF3"/>
    <w:rsid w:val="002378AA"/>
    <w:rsid w:val="00237D78"/>
    <w:rsid w:val="002452A5"/>
    <w:rsid w:val="0024738F"/>
    <w:rsid w:val="00247720"/>
    <w:rsid w:val="0025043B"/>
    <w:rsid w:val="00250E2E"/>
    <w:rsid w:val="00250EF6"/>
    <w:rsid w:val="00252B83"/>
    <w:rsid w:val="00253D32"/>
    <w:rsid w:val="0025434A"/>
    <w:rsid w:val="00256D23"/>
    <w:rsid w:val="002605B1"/>
    <w:rsid w:val="00261249"/>
    <w:rsid w:val="002637B2"/>
    <w:rsid w:val="00264452"/>
    <w:rsid w:val="00265172"/>
    <w:rsid w:val="002668D4"/>
    <w:rsid w:val="00267251"/>
    <w:rsid w:val="0026755D"/>
    <w:rsid w:val="00267BFD"/>
    <w:rsid w:val="00271180"/>
    <w:rsid w:val="00271616"/>
    <w:rsid w:val="0027292F"/>
    <w:rsid w:val="00274A90"/>
    <w:rsid w:val="00274FF4"/>
    <w:rsid w:val="0027548B"/>
    <w:rsid w:val="002762F6"/>
    <w:rsid w:val="00276EE8"/>
    <w:rsid w:val="00277064"/>
    <w:rsid w:val="002770E6"/>
    <w:rsid w:val="002770FA"/>
    <w:rsid w:val="00277B4D"/>
    <w:rsid w:val="0028079F"/>
    <w:rsid w:val="002820AD"/>
    <w:rsid w:val="00284AC0"/>
    <w:rsid w:val="00284BC6"/>
    <w:rsid w:val="002856BB"/>
    <w:rsid w:val="002860FD"/>
    <w:rsid w:val="00286986"/>
    <w:rsid w:val="00287C68"/>
    <w:rsid w:val="00290C1C"/>
    <w:rsid w:val="00290F90"/>
    <w:rsid w:val="00291123"/>
    <w:rsid w:val="00292805"/>
    <w:rsid w:val="00292BCC"/>
    <w:rsid w:val="00293333"/>
    <w:rsid w:val="00293660"/>
    <w:rsid w:val="00295DB9"/>
    <w:rsid w:val="00295ED5"/>
    <w:rsid w:val="0029749E"/>
    <w:rsid w:val="002A1757"/>
    <w:rsid w:val="002A41E9"/>
    <w:rsid w:val="002A42E8"/>
    <w:rsid w:val="002A54F8"/>
    <w:rsid w:val="002A5BCE"/>
    <w:rsid w:val="002A6038"/>
    <w:rsid w:val="002A6550"/>
    <w:rsid w:val="002B002F"/>
    <w:rsid w:val="002B32D4"/>
    <w:rsid w:val="002B673A"/>
    <w:rsid w:val="002C0C6F"/>
    <w:rsid w:val="002C0E6E"/>
    <w:rsid w:val="002C2315"/>
    <w:rsid w:val="002C253D"/>
    <w:rsid w:val="002C30A7"/>
    <w:rsid w:val="002C359E"/>
    <w:rsid w:val="002C438F"/>
    <w:rsid w:val="002C4A7A"/>
    <w:rsid w:val="002C4F68"/>
    <w:rsid w:val="002C5FF1"/>
    <w:rsid w:val="002C780E"/>
    <w:rsid w:val="002D0195"/>
    <w:rsid w:val="002D1A06"/>
    <w:rsid w:val="002D1FC6"/>
    <w:rsid w:val="002D2351"/>
    <w:rsid w:val="002D266C"/>
    <w:rsid w:val="002D3306"/>
    <w:rsid w:val="002D5F52"/>
    <w:rsid w:val="002E0241"/>
    <w:rsid w:val="002E2CDC"/>
    <w:rsid w:val="002E319D"/>
    <w:rsid w:val="002E67A7"/>
    <w:rsid w:val="002E7529"/>
    <w:rsid w:val="002F18F5"/>
    <w:rsid w:val="002F2508"/>
    <w:rsid w:val="002F6996"/>
    <w:rsid w:val="002F7F8A"/>
    <w:rsid w:val="003001EC"/>
    <w:rsid w:val="0030339C"/>
    <w:rsid w:val="00303E06"/>
    <w:rsid w:val="00304156"/>
    <w:rsid w:val="00306B71"/>
    <w:rsid w:val="00307814"/>
    <w:rsid w:val="00307A74"/>
    <w:rsid w:val="00311B67"/>
    <w:rsid w:val="00311F06"/>
    <w:rsid w:val="0031420C"/>
    <w:rsid w:val="003153A8"/>
    <w:rsid w:val="0031581D"/>
    <w:rsid w:val="003167AA"/>
    <w:rsid w:val="003201DD"/>
    <w:rsid w:val="003215E8"/>
    <w:rsid w:val="00323CEE"/>
    <w:rsid w:val="00325618"/>
    <w:rsid w:val="00330601"/>
    <w:rsid w:val="003306E5"/>
    <w:rsid w:val="00330DE3"/>
    <w:rsid w:val="003338DD"/>
    <w:rsid w:val="00335B9C"/>
    <w:rsid w:val="00336B6C"/>
    <w:rsid w:val="00336C62"/>
    <w:rsid w:val="00337CFB"/>
    <w:rsid w:val="00340030"/>
    <w:rsid w:val="003409E4"/>
    <w:rsid w:val="00340ABC"/>
    <w:rsid w:val="00340C25"/>
    <w:rsid w:val="003433BD"/>
    <w:rsid w:val="003438AA"/>
    <w:rsid w:val="00343ED4"/>
    <w:rsid w:val="003449E8"/>
    <w:rsid w:val="00344E14"/>
    <w:rsid w:val="0034580B"/>
    <w:rsid w:val="00345C3D"/>
    <w:rsid w:val="00346875"/>
    <w:rsid w:val="00347130"/>
    <w:rsid w:val="003520A6"/>
    <w:rsid w:val="003524A7"/>
    <w:rsid w:val="00352DC2"/>
    <w:rsid w:val="00352DD5"/>
    <w:rsid w:val="00356E8A"/>
    <w:rsid w:val="0035761E"/>
    <w:rsid w:val="00357F4A"/>
    <w:rsid w:val="003606A6"/>
    <w:rsid w:val="0036175A"/>
    <w:rsid w:val="00362170"/>
    <w:rsid w:val="003630BB"/>
    <w:rsid w:val="003645EF"/>
    <w:rsid w:val="003653DC"/>
    <w:rsid w:val="003656FD"/>
    <w:rsid w:val="00365D76"/>
    <w:rsid w:val="00371034"/>
    <w:rsid w:val="003716CF"/>
    <w:rsid w:val="003745A8"/>
    <w:rsid w:val="00376B9A"/>
    <w:rsid w:val="00380B50"/>
    <w:rsid w:val="00380C8C"/>
    <w:rsid w:val="00383E5B"/>
    <w:rsid w:val="0038442E"/>
    <w:rsid w:val="0038601C"/>
    <w:rsid w:val="00387062"/>
    <w:rsid w:val="00387D1F"/>
    <w:rsid w:val="0039109A"/>
    <w:rsid w:val="0039128C"/>
    <w:rsid w:val="0039358E"/>
    <w:rsid w:val="00393842"/>
    <w:rsid w:val="00393847"/>
    <w:rsid w:val="00394171"/>
    <w:rsid w:val="003A014C"/>
    <w:rsid w:val="003A3538"/>
    <w:rsid w:val="003A3D5D"/>
    <w:rsid w:val="003A4B50"/>
    <w:rsid w:val="003A60D9"/>
    <w:rsid w:val="003B0FEF"/>
    <w:rsid w:val="003B1E70"/>
    <w:rsid w:val="003B2971"/>
    <w:rsid w:val="003B2CA8"/>
    <w:rsid w:val="003B374F"/>
    <w:rsid w:val="003B39E9"/>
    <w:rsid w:val="003B3A38"/>
    <w:rsid w:val="003B3D38"/>
    <w:rsid w:val="003B4531"/>
    <w:rsid w:val="003B5877"/>
    <w:rsid w:val="003B64D7"/>
    <w:rsid w:val="003B69FE"/>
    <w:rsid w:val="003B74D8"/>
    <w:rsid w:val="003B7ACF"/>
    <w:rsid w:val="003B7ED8"/>
    <w:rsid w:val="003C0E5B"/>
    <w:rsid w:val="003C49AF"/>
    <w:rsid w:val="003C738C"/>
    <w:rsid w:val="003C7C66"/>
    <w:rsid w:val="003C7FEB"/>
    <w:rsid w:val="003D08C9"/>
    <w:rsid w:val="003D120F"/>
    <w:rsid w:val="003D2CDA"/>
    <w:rsid w:val="003D39A1"/>
    <w:rsid w:val="003D3E2B"/>
    <w:rsid w:val="003D589C"/>
    <w:rsid w:val="003E170E"/>
    <w:rsid w:val="003E1808"/>
    <w:rsid w:val="003E29C9"/>
    <w:rsid w:val="003E3872"/>
    <w:rsid w:val="003E4DF7"/>
    <w:rsid w:val="003E60A3"/>
    <w:rsid w:val="003E60EB"/>
    <w:rsid w:val="003E665B"/>
    <w:rsid w:val="003E7E57"/>
    <w:rsid w:val="003F09A4"/>
    <w:rsid w:val="003F2151"/>
    <w:rsid w:val="003F34DC"/>
    <w:rsid w:val="003F714F"/>
    <w:rsid w:val="003F76CF"/>
    <w:rsid w:val="003F7BB0"/>
    <w:rsid w:val="004004E0"/>
    <w:rsid w:val="00402F0A"/>
    <w:rsid w:val="00403EAA"/>
    <w:rsid w:val="0040445F"/>
    <w:rsid w:val="00404986"/>
    <w:rsid w:val="004049BE"/>
    <w:rsid w:val="00404B4D"/>
    <w:rsid w:val="00405FD5"/>
    <w:rsid w:val="00410CAA"/>
    <w:rsid w:val="00412DD5"/>
    <w:rsid w:val="00413AC9"/>
    <w:rsid w:val="004154D6"/>
    <w:rsid w:val="00416032"/>
    <w:rsid w:val="0041661C"/>
    <w:rsid w:val="004169CF"/>
    <w:rsid w:val="0041744E"/>
    <w:rsid w:val="00417B4D"/>
    <w:rsid w:val="00417D3A"/>
    <w:rsid w:val="00420E2B"/>
    <w:rsid w:val="0042240D"/>
    <w:rsid w:val="004228B7"/>
    <w:rsid w:val="0042315B"/>
    <w:rsid w:val="00424480"/>
    <w:rsid w:val="004244CD"/>
    <w:rsid w:val="0042512A"/>
    <w:rsid w:val="00425A3D"/>
    <w:rsid w:val="0042722C"/>
    <w:rsid w:val="004275DE"/>
    <w:rsid w:val="00431388"/>
    <w:rsid w:val="00431986"/>
    <w:rsid w:val="00431D8A"/>
    <w:rsid w:val="004327DC"/>
    <w:rsid w:val="00433285"/>
    <w:rsid w:val="004332B3"/>
    <w:rsid w:val="00433502"/>
    <w:rsid w:val="00436295"/>
    <w:rsid w:val="00436DE7"/>
    <w:rsid w:val="00440B5B"/>
    <w:rsid w:val="00440F4A"/>
    <w:rsid w:val="0044141A"/>
    <w:rsid w:val="0044200A"/>
    <w:rsid w:val="00442B2D"/>
    <w:rsid w:val="00442D80"/>
    <w:rsid w:val="0044301D"/>
    <w:rsid w:val="0044377B"/>
    <w:rsid w:val="004445FA"/>
    <w:rsid w:val="0044581A"/>
    <w:rsid w:val="004479D3"/>
    <w:rsid w:val="00450CE5"/>
    <w:rsid w:val="00451407"/>
    <w:rsid w:val="004537AF"/>
    <w:rsid w:val="00457612"/>
    <w:rsid w:val="0046050C"/>
    <w:rsid w:val="0046162F"/>
    <w:rsid w:val="00463F70"/>
    <w:rsid w:val="00464633"/>
    <w:rsid w:val="00465D67"/>
    <w:rsid w:val="00466CA0"/>
    <w:rsid w:val="00467B3B"/>
    <w:rsid w:val="004707FF"/>
    <w:rsid w:val="00472274"/>
    <w:rsid w:val="0047275C"/>
    <w:rsid w:val="00472A8F"/>
    <w:rsid w:val="00472B43"/>
    <w:rsid w:val="004759FF"/>
    <w:rsid w:val="00481B00"/>
    <w:rsid w:val="004831EC"/>
    <w:rsid w:val="00484696"/>
    <w:rsid w:val="00484B51"/>
    <w:rsid w:val="00484FF7"/>
    <w:rsid w:val="00486B3B"/>
    <w:rsid w:val="00486EEA"/>
    <w:rsid w:val="00487ADD"/>
    <w:rsid w:val="00491A71"/>
    <w:rsid w:val="00493955"/>
    <w:rsid w:val="00496975"/>
    <w:rsid w:val="004A1B7C"/>
    <w:rsid w:val="004A1D55"/>
    <w:rsid w:val="004A319F"/>
    <w:rsid w:val="004A346C"/>
    <w:rsid w:val="004A42AB"/>
    <w:rsid w:val="004A43E1"/>
    <w:rsid w:val="004A4C6C"/>
    <w:rsid w:val="004A5D3E"/>
    <w:rsid w:val="004A6D7A"/>
    <w:rsid w:val="004A7E5E"/>
    <w:rsid w:val="004B0E40"/>
    <w:rsid w:val="004B0E8A"/>
    <w:rsid w:val="004B2D06"/>
    <w:rsid w:val="004B43B4"/>
    <w:rsid w:val="004B4FDC"/>
    <w:rsid w:val="004B506C"/>
    <w:rsid w:val="004B5127"/>
    <w:rsid w:val="004B526B"/>
    <w:rsid w:val="004B73FC"/>
    <w:rsid w:val="004B7F6B"/>
    <w:rsid w:val="004C11C6"/>
    <w:rsid w:val="004C15D9"/>
    <w:rsid w:val="004C1F30"/>
    <w:rsid w:val="004C2074"/>
    <w:rsid w:val="004C297A"/>
    <w:rsid w:val="004C2F70"/>
    <w:rsid w:val="004C3B93"/>
    <w:rsid w:val="004C45E6"/>
    <w:rsid w:val="004C52D6"/>
    <w:rsid w:val="004C6A46"/>
    <w:rsid w:val="004D1006"/>
    <w:rsid w:val="004D15C4"/>
    <w:rsid w:val="004D424C"/>
    <w:rsid w:val="004D5B9A"/>
    <w:rsid w:val="004D6980"/>
    <w:rsid w:val="004D6BFE"/>
    <w:rsid w:val="004D7634"/>
    <w:rsid w:val="004D773A"/>
    <w:rsid w:val="004D776B"/>
    <w:rsid w:val="004E00C8"/>
    <w:rsid w:val="004E1228"/>
    <w:rsid w:val="004E4662"/>
    <w:rsid w:val="004E5D0D"/>
    <w:rsid w:val="004E5E31"/>
    <w:rsid w:val="004E5F0E"/>
    <w:rsid w:val="004F0054"/>
    <w:rsid w:val="004F175B"/>
    <w:rsid w:val="004F2779"/>
    <w:rsid w:val="004F3BAA"/>
    <w:rsid w:val="004F711A"/>
    <w:rsid w:val="00501435"/>
    <w:rsid w:val="00502771"/>
    <w:rsid w:val="00502ECC"/>
    <w:rsid w:val="005046D6"/>
    <w:rsid w:val="00505CBA"/>
    <w:rsid w:val="005063C3"/>
    <w:rsid w:val="00507478"/>
    <w:rsid w:val="00510EBE"/>
    <w:rsid w:val="005124CD"/>
    <w:rsid w:val="005127EE"/>
    <w:rsid w:val="00513FA5"/>
    <w:rsid w:val="00516760"/>
    <w:rsid w:val="005167EF"/>
    <w:rsid w:val="00516DE0"/>
    <w:rsid w:val="00517408"/>
    <w:rsid w:val="0052234D"/>
    <w:rsid w:val="00522CC8"/>
    <w:rsid w:val="005267C7"/>
    <w:rsid w:val="00526A05"/>
    <w:rsid w:val="00527318"/>
    <w:rsid w:val="00531009"/>
    <w:rsid w:val="00533203"/>
    <w:rsid w:val="00533869"/>
    <w:rsid w:val="0053458C"/>
    <w:rsid w:val="005358F3"/>
    <w:rsid w:val="00535C1A"/>
    <w:rsid w:val="005362DC"/>
    <w:rsid w:val="00540781"/>
    <w:rsid w:val="00541B14"/>
    <w:rsid w:val="00542121"/>
    <w:rsid w:val="00542B71"/>
    <w:rsid w:val="00542D5B"/>
    <w:rsid w:val="0054346F"/>
    <w:rsid w:val="00543D22"/>
    <w:rsid w:val="00544A59"/>
    <w:rsid w:val="00546657"/>
    <w:rsid w:val="005510B5"/>
    <w:rsid w:val="00551FBE"/>
    <w:rsid w:val="005520E3"/>
    <w:rsid w:val="005524B8"/>
    <w:rsid w:val="00552DE2"/>
    <w:rsid w:val="00552FB9"/>
    <w:rsid w:val="00553AE2"/>
    <w:rsid w:val="00555633"/>
    <w:rsid w:val="00556DA5"/>
    <w:rsid w:val="005606B4"/>
    <w:rsid w:val="00561229"/>
    <w:rsid w:val="00561FB4"/>
    <w:rsid w:val="00564103"/>
    <w:rsid w:val="00564768"/>
    <w:rsid w:val="0056560D"/>
    <w:rsid w:val="005656FD"/>
    <w:rsid w:val="00566003"/>
    <w:rsid w:val="0056616B"/>
    <w:rsid w:val="00566545"/>
    <w:rsid w:val="00566EB3"/>
    <w:rsid w:val="00566F6C"/>
    <w:rsid w:val="00567ACD"/>
    <w:rsid w:val="00571676"/>
    <w:rsid w:val="00571A4E"/>
    <w:rsid w:val="00571C96"/>
    <w:rsid w:val="00571D0F"/>
    <w:rsid w:val="00572D05"/>
    <w:rsid w:val="005732F0"/>
    <w:rsid w:val="00574668"/>
    <w:rsid w:val="00574943"/>
    <w:rsid w:val="005751AC"/>
    <w:rsid w:val="00575480"/>
    <w:rsid w:val="005755ED"/>
    <w:rsid w:val="005807BB"/>
    <w:rsid w:val="00580F63"/>
    <w:rsid w:val="005813B5"/>
    <w:rsid w:val="00584CA6"/>
    <w:rsid w:val="00584DB8"/>
    <w:rsid w:val="005857C7"/>
    <w:rsid w:val="00587155"/>
    <w:rsid w:val="005909A7"/>
    <w:rsid w:val="00590CC5"/>
    <w:rsid w:val="0059165C"/>
    <w:rsid w:val="00594D3B"/>
    <w:rsid w:val="00597557"/>
    <w:rsid w:val="005A066E"/>
    <w:rsid w:val="005A13C5"/>
    <w:rsid w:val="005A2EFA"/>
    <w:rsid w:val="005A34FE"/>
    <w:rsid w:val="005A36D2"/>
    <w:rsid w:val="005A48D8"/>
    <w:rsid w:val="005A4975"/>
    <w:rsid w:val="005A572D"/>
    <w:rsid w:val="005A70ED"/>
    <w:rsid w:val="005A7992"/>
    <w:rsid w:val="005B1718"/>
    <w:rsid w:val="005B174A"/>
    <w:rsid w:val="005B19C2"/>
    <w:rsid w:val="005B242E"/>
    <w:rsid w:val="005B2ED8"/>
    <w:rsid w:val="005B46E6"/>
    <w:rsid w:val="005B4986"/>
    <w:rsid w:val="005B525D"/>
    <w:rsid w:val="005B5495"/>
    <w:rsid w:val="005B5864"/>
    <w:rsid w:val="005B641D"/>
    <w:rsid w:val="005C12FC"/>
    <w:rsid w:val="005C1BC6"/>
    <w:rsid w:val="005C2B28"/>
    <w:rsid w:val="005C2ED8"/>
    <w:rsid w:val="005C32B1"/>
    <w:rsid w:val="005C46CE"/>
    <w:rsid w:val="005C57E5"/>
    <w:rsid w:val="005D0084"/>
    <w:rsid w:val="005D0E40"/>
    <w:rsid w:val="005D381E"/>
    <w:rsid w:val="005D39B7"/>
    <w:rsid w:val="005D48A3"/>
    <w:rsid w:val="005D515A"/>
    <w:rsid w:val="005D6E4D"/>
    <w:rsid w:val="005D7C6A"/>
    <w:rsid w:val="005E009B"/>
    <w:rsid w:val="005E18CD"/>
    <w:rsid w:val="005E1AFA"/>
    <w:rsid w:val="005E2C28"/>
    <w:rsid w:val="005E4C03"/>
    <w:rsid w:val="005E5DEF"/>
    <w:rsid w:val="005E6DE4"/>
    <w:rsid w:val="005E6F64"/>
    <w:rsid w:val="005E7AF4"/>
    <w:rsid w:val="005F0076"/>
    <w:rsid w:val="005F2A1B"/>
    <w:rsid w:val="005F3258"/>
    <w:rsid w:val="005F3363"/>
    <w:rsid w:val="005F41E0"/>
    <w:rsid w:val="005F5C3A"/>
    <w:rsid w:val="005F64BF"/>
    <w:rsid w:val="005F7E8D"/>
    <w:rsid w:val="00600F7C"/>
    <w:rsid w:val="006038D2"/>
    <w:rsid w:val="00603B0C"/>
    <w:rsid w:val="00605833"/>
    <w:rsid w:val="00605A84"/>
    <w:rsid w:val="00605CEC"/>
    <w:rsid w:val="0061072A"/>
    <w:rsid w:val="00610F19"/>
    <w:rsid w:val="00611039"/>
    <w:rsid w:val="006116D6"/>
    <w:rsid w:val="0061493E"/>
    <w:rsid w:val="00614D4E"/>
    <w:rsid w:val="00620389"/>
    <w:rsid w:val="006268BB"/>
    <w:rsid w:val="00627237"/>
    <w:rsid w:val="0062767B"/>
    <w:rsid w:val="0063099F"/>
    <w:rsid w:val="0063182A"/>
    <w:rsid w:val="006328A8"/>
    <w:rsid w:val="00632956"/>
    <w:rsid w:val="00634004"/>
    <w:rsid w:val="00634350"/>
    <w:rsid w:val="00634757"/>
    <w:rsid w:val="00637402"/>
    <w:rsid w:val="0064082F"/>
    <w:rsid w:val="00640D0A"/>
    <w:rsid w:val="00647C8B"/>
    <w:rsid w:val="006511EC"/>
    <w:rsid w:val="0065183B"/>
    <w:rsid w:val="0065660B"/>
    <w:rsid w:val="006601BF"/>
    <w:rsid w:val="00660C59"/>
    <w:rsid w:val="006613C0"/>
    <w:rsid w:val="006618FF"/>
    <w:rsid w:val="0066435E"/>
    <w:rsid w:val="00664C23"/>
    <w:rsid w:val="00665078"/>
    <w:rsid w:val="00665837"/>
    <w:rsid w:val="00666AD3"/>
    <w:rsid w:val="00666F0B"/>
    <w:rsid w:val="006674EF"/>
    <w:rsid w:val="006727A9"/>
    <w:rsid w:val="00672ADA"/>
    <w:rsid w:val="00673C24"/>
    <w:rsid w:val="0067681F"/>
    <w:rsid w:val="00677B2A"/>
    <w:rsid w:val="00680FFD"/>
    <w:rsid w:val="0068129C"/>
    <w:rsid w:val="00682EFC"/>
    <w:rsid w:val="006832BF"/>
    <w:rsid w:val="0068342A"/>
    <w:rsid w:val="00683C92"/>
    <w:rsid w:val="0068479C"/>
    <w:rsid w:val="00686282"/>
    <w:rsid w:val="00686729"/>
    <w:rsid w:val="006867E4"/>
    <w:rsid w:val="00687874"/>
    <w:rsid w:val="00687FF9"/>
    <w:rsid w:val="0069300D"/>
    <w:rsid w:val="00695FD6"/>
    <w:rsid w:val="00696B56"/>
    <w:rsid w:val="006A0050"/>
    <w:rsid w:val="006A2342"/>
    <w:rsid w:val="006A2788"/>
    <w:rsid w:val="006A3821"/>
    <w:rsid w:val="006A417D"/>
    <w:rsid w:val="006A556C"/>
    <w:rsid w:val="006A7EF4"/>
    <w:rsid w:val="006B0090"/>
    <w:rsid w:val="006B00F8"/>
    <w:rsid w:val="006B21B4"/>
    <w:rsid w:val="006B59B7"/>
    <w:rsid w:val="006C076E"/>
    <w:rsid w:val="006C0CE5"/>
    <w:rsid w:val="006C12F7"/>
    <w:rsid w:val="006C7608"/>
    <w:rsid w:val="006D0B3F"/>
    <w:rsid w:val="006D2B4C"/>
    <w:rsid w:val="006D36EE"/>
    <w:rsid w:val="006D3D73"/>
    <w:rsid w:val="006D4022"/>
    <w:rsid w:val="006D4814"/>
    <w:rsid w:val="006D4B1D"/>
    <w:rsid w:val="006D645A"/>
    <w:rsid w:val="006D6E5A"/>
    <w:rsid w:val="006D7CA1"/>
    <w:rsid w:val="006D7EFE"/>
    <w:rsid w:val="006E1978"/>
    <w:rsid w:val="006E293D"/>
    <w:rsid w:val="006E42DF"/>
    <w:rsid w:val="006E5943"/>
    <w:rsid w:val="006E632C"/>
    <w:rsid w:val="006E6880"/>
    <w:rsid w:val="006E6B29"/>
    <w:rsid w:val="006E73C2"/>
    <w:rsid w:val="006E7B90"/>
    <w:rsid w:val="006E7CE4"/>
    <w:rsid w:val="006F19EA"/>
    <w:rsid w:val="006F2C0B"/>
    <w:rsid w:val="006F45B6"/>
    <w:rsid w:val="006F55D6"/>
    <w:rsid w:val="006F6B69"/>
    <w:rsid w:val="0070131B"/>
    <w:rsid w:val="0070163B"/>
    <w:rsid w:val="007037D4"/>
    <w:rsid w:val="00703B51"/>
    <w:rsid w:val="00703EB0"/>
    <w:rsid w:val="00705F7B"/>
    <w:rsid w:val="00706797"/>
    <w:rsid w:val="00710DC6"/>
    <w:rsid w:val="00710F8F"/>
    <w:rsid w:val="00711174"/>
    <w:rsid w:val="00711444"/>
    <w:rsid w:val="00711DFF"/>
    <w:rsid w:val="00713B1E"/>
    <w:rsid w:val="00715375"/>
    <w:rsid w:val="00716929"/>
    <w:rsid w:val="00716D47"/>
    <w:rsid w:val="00717171"/>
    <w:rsid w:val="00717C25"/>
    <w:rsid w:val="007206ED"/>
    <w:rsid w:val="0072263D"/>
    <w:rsid w:val="00722646"/>
    <w:rsid w:val="00724666"/>
    <w:rsid w:val="00724698"/>
    <w:rsid w:val="0072723A"/>
    <w:rsid w:val="00727C03"/>
    <w:rsid w:val="00730A12"/>
    <w:rsid w:val="007335C5"/>
    <w:rsid w:val="007336A0"/>
    <w:rsid w:val="00733B8D"/>
    <w:rsid w:val="00733FAB"/>
    <w:rsid w:val="00734915"/>
    <w:rsid w:val="00734D55"/>
    <w:rsid w:val="0073646C"/>
    <w:rsid w:val="00736ABE"/>
    <w:rsid w:val="007373F7"/>
    <w:rsid w:val="00737C9B"/>
    <w:rsid w:val="007404DC"/>
    <w:rsid w:val="0074173E"/>
    <w:rsid w:val="007442BE"/>
    <w:rsid w:val="00744679"/>
    <w:rsid w:val="00745C7A"/>
    <w:rsid w:val="007470C0"/>
    <w:rsid w:val="007474D5"/>
    <w:rsid w:val="007504C3"/>
    <w:rsid w:val="0075073A"/>
    <w:rsid w:val="007533F9"/>
    <w:rsid w:val="00753542"/>
    <w:rsid w:val="00754A67"/>
    <w:rsid w:val="00754CF8"/>
    <w:rsid w:val="00754DB7"/>
    <w:rsid w:val="00757C77"/>
    <w:rsid w:val="00757DF7"/>
    <w:rsid w:val="00761BEE"/>
    <w:rsid w:val="007624A5"/>
    <w:rsid w:val="00766633"/>
    <w:rsid w:val="0076678C"/>
    <w:rsid w:val="007667E9"/>
    <w:rsid w:val="00767A77"/>
    <w:rsid w:val="00773A34"/>
    <w:rsid w:val="00774183"/>
    <w:rsid w:val="00775049"/>
    <w:rsid w:val="00775795"/>
    <w:rsid w:val="007758E1"/>
    <w:rsid w:val="00775FC6"/>
    <w:rsid w:val="00777F91"/>
    <w:rsid w:val="00780450"/>
    <w:rsid w:val="00780E89"/>
    <w:rsid w:val="0078283A"/>
    <w:rsid w:val="007839AF"/>
    <w:rsid w:val="007841FE"/>
    <w:rsid w:val="00784A4A"/>
    <w:rsid w:val="00784BBF"/>
    <w:rsid w:val="00786226"/>
    <w:rsid w:val="00786FE0"/>
    <w:rsid w:val="0078762B"/>
    <w:rsid w:val="00787641"/>
    <w:rsid w:val="00787A03"/>
    <w:rsid w:val="00792EB1"/>
    <w:rsid w:val="00794AE0"/>
    <w:rsid w:val="00795531"/>
    <w:rsid w:val="00796C17"/>
    <w:rsid w:val="007977FC"/>
    <w:rsid w:val="00797BA0"/>
    <w:rsid w:val="007A0144"/>
    <w:rsid w:val="007A031C"/>
    <w:rsid w:val="007A0BEE"/>
    <w:rsid w:val="007A262B"/>
    <w:rsid w:val="007A3982"/>
    <w:rsid w:val="007A4406"/>
    <w:rsid w:val="007A4BB7"/>
    <w:rsid w:val="007A6431"/>
    <w:rsid w:val="007A6933"/>
    <w:rsid w:val="007B08D0"/>
    <w:rsid w:val="007B13CF"/>
    <w:rsid w:val="007B16E1"/>
    <w:rsid w:val="007B4A27"/>
    <w:rsid w:val="007B67C3"/>
    <w:rsid w:val="007B6C51"/>
    <w:rsid w:val="007B7934"/>
    <w:rsid w:val="007B7B2E"/>
    <w:rsid w:val="007C0E6A"/>
    <w:rsid w:val="007C111E"/>
    <w:rsid w:val="007C1159"/>
    <w:rsid w:val="007C24CC"/>
    <w:rsid w:val="007C5205"/>
    <w:rsid w:val="007D05C2"/>
    <w:rsid w:val="007D209B"/>
    <w:rsid w:val="007D31D5"/>
    <w:rsid w:val="007D34C0"/>
    <w:rsid w:val="007D45FB"/>
    <w:rsid w:val="007D524F"/>
    <w:rsid w:val="007E0189"/>
    <w:rsid w:val="007E033C"/>
    <w:rsid w:val="007E30C5"/>
    <w:rsid w:val="007E363A"/>
    <w:rsid w:val="007E5E39"/>
    <w:rsid w:val="007E6565"/>
    <w:rsid w:val="007E7C4E"/>
    <w:rsid w:val="007F0ACF"/>
    <w:rsid w:val="007F2DF8"/>
    <w:rsid w:val="007F31A3"/>
    <w:rsid w:val="007F3D33"/>
    <w:rsid w:val="007F50FD"/>
    <w:rsid w:val="007F641C"/>
    <w:rsid w:val="007F6EBB"/>
    <w:rsid w:val="007F70D7"/>
    <w:rsid w:val="008009E2"/>
    <w:rsid w:val="0080288B"/>
    <w:rsid w:val="008034D8"/>
    <w:rsid w:val="00803D08"/>
    <w:rsid w:val="00803EB0"/>
    <w:rsid w:val="00804309"/>
    <w:rsid w:val="00804961"/>
    <w:rsid w:val="00804E7A"/>
    <w:rsid w:val="008054AA"/>
    <w:rsid w:val="00805F78"/>
    <w:rsid w:val="00806FCF"/>
    <w:rsid w:val="00810010"/>
    <w:rsid w:val="00810C43"/>
    <w:rsid w:val="00810FC3"/>
    <w:rsid w:val="0081115E"/>
    <w:rsid w:val="00811370"/>
    <w:rsid w:val="00811A0B"/>
    <w:rsid w:val="00815CAD"/>
    <w:rsid w:val="0081659D"/>
    <w:rsid w:val="00816DDA"/>
    <w:rsid w:val="00817101"/>
    <w:rsid w:val="008204BD"/>
    <w:rsid w:val="00824424"/>
    <w:rsid w:val="00824B6C"/>
    <w:rsid w:val="00824F4E"/>
    <w:rsid w:val="008259CB"/>
    <w:rsid w:val="00827840"/>
    <w:rsid w:val="008314FF"/>
    <w:rsid w:val="008346F1"/>
    <w:rsid w:val="0083768C"/>
    <w:rsid w:val="00840083"/>
    <w:rsid w:val="00841BB7"/>
    <w:rsid w:val="00842185"/>
    <w:rsid w:val="00843ED9"/>
    <w:rsid w:val="0084558F"/>
    <w:rsid w:val="00846361"/>
    <w:rsid w:val="00847EEF"/>
    <w:rsid w:val="008501FA"/>
    <w:rsid w:val="00850322"/>
    <w:rsid w:val="008521CC"/>
    <w:rsid w:val="008532C5"/>
    <w:rsid w:val="00853CCF"/>
    <w:rsid w:val="0085430A"/>
    <w:rsid w:val="008546C6"/>
    <w:rsid w:val="0085555D"/>
    <w:rsid w:val="008557D5"/>
    <w:rsid w:val="00856400"/>
    <w:rsid w:val="0085713A"/>
    <w:rsid w:val="008574CF"/>
    <w:rsid w:val="00860B1D"/>
    <w:rsid w:val="00862417"/>
    <w:rsid w:val="008630D3"/>
    <w:rsid w:val="00863785"/>
    <w:rsid w:val="00864F38"/>
    <w:rsid w:val="00865710"/>
    <w:rsid w:val="00873F0E"/>
    <w:rsid w:val="008749E6"/>
    <w:rsid w:val="008756A6"/>
    <w:rsid w:val="00881674"/>
    <w:rsid w:val="00881DEE"/>
    <w:rsid w:val="00882241"/>
    <w:rsid w:val="00883032"/>
    <w:rsid w:val="00884A18"/>
    <w:rsid w:val="0088530B"/>
    <w:rsid w:val="0088566D"/>
    <w:rsid w:val="008867F8"/>
    <w:rsid w:val="0088698F"/>
    <w:rsid w:val="00886F0F"/>
    <w:rsid w:val="008907AF"/>
    <w:rsid w:val="00890BF6"/>
    <w:rsid w:val="00891651"/>
    <w:rsid w:val="008924CB"/>
    <w:rsid w:val="00892982"/>
    <w:rsid w:val="00894067"/>
    <w:rsid w:val="008940CE"/>
    <w:rsid w:val="008944B2"/>
    <w:rsid w:val="00895AD1"/>
    <w:rsid w:val="008A0C2C"/>
    <w:rsid w:val="008A2C75"/>
    <w:rsid w:val="008A3748"/>
    <w:rsid w:val="008A5AE6"/>
    <w:rsid w:val="008A5AFE"/>
    <w:rsid w:val="008A6499"/>
    <w:rsid w:val="008A6D2F"/>
    <w:rsid w:val="008B15E5"/>
    <w:rsid w:val="008B38E8"/>
    <w:rsid w:val="008B3C56"/>
    <w:rsid w:val="008B4744"/>
    <w:rsid w:val="008B4B29"/>
    <w:rsid w:val="008B584A"/>
    <w:rsid w:val="008B59D1"/>
    <w:rsid w:val="008B5E86"/>
    <w:rsid w:val="008B67F0"/>
    <w:rsid w:val="008B69E8"/>
    <w:rsid w:val="008B72E6"/>
    <w:rsid w:val="008C0008"/>
    <w:rsid w:val="008C1198"/>
    <w:rsid w:val="008C1D88"/>
    <w:rsid w:val="008C23EA"/>
    <w:rsid w:val="008C3BE5"/>
    <w:rsid w:val="008C3BE9"/>
    <w:rsid w:val="008C4862"/>
    <w:rsid w:val="008C5557"/>
    <w:rsid w:val="008C6E4A"/>
    <w:rsid w:val="008C754A"/>
    <w:rsid w:val="008C7FC9"/>
    <w:rsid w:val="008D024D"/>
    <w:rsid w:val="008D12D2"/>
    <w:rsid w:val="008D15CD"/>
    <w:rsid w:val="008D1A16"/>
    <w:rsid w:val="008D2C74"/>
    <w:rsid w:val="008D32D9"/>
    <w:rsid w:val="008D35A1"/>
    <w:rsid w:val="008D58DE"/>
    <w:rsid w:val="008D6AC9"/>
    <w:rsid w:val="008D7118"/>
    <w:rsid w:val="008D7E59"/>
    <w:rsid w:val="008E3F16"/>
    <w:rsid w:val="008E4124"/>
    <w:rsid w:val="008E42D8"/>
    <w:rsid w:val="008E4F4D"/>
    <w:rsid w:val="008F0433"/>
    <w:rsid w:val="008F0B0D"/>
    <w:rsid w:val="008F0DB8"/>
    <w:rsid w:val="008F2000"/>
    <w:rsid w:val="008F20D1"/>
    <w:rsid w:val="008F2B98"/>
    <w:rsid w:val="008F2E5E"/>
    <w:rsid w:val="008F3232"/>
    <w:rsid w:val="008F3A87"/>
    <w:rsid w:val="008F4D34"/>
    <w:rsid w:val="008F4D9C"/>
    <w:rsid w:val="008F58AB"/>
    <w:rsid w:val="008F636B"/>
    <w:rsid w:val="008F6A53"/>
    <w:rsid w:val="008F6C65"/>
    <w:rsid w:val="009013F8"/>
    <w:rsid w:val="009025B6"/>
    <w:rsid w:val="00903398"/>
    <w:rsid w:val="00904BD2"/>
    <w:rsid w:val="009057B7"/>
    <w:rsid w:val="009058AB"/>
    <w:rsid w:val="00907408"/>
    <w:rsid w:val="00910A62"/>
    <w:rsid w:val="00910C86"/>
    <w:rsid w:val="00911524"/>
    <w:rsid w:val="009118CA"/>
    <w:rsid w:val="00912EA4"/>
    <w:rsid w:val="00913254"/>
    <w:rsid w:val="00915FBA"/>
    <w:rsid w:val="0091761E"/>
    <w:rsid w:val="00917870"/>
    <w:rsid w:val="009214AC"/>
    <w:rsid w:val="0092183B"/>
    <w:rsid w:val="00921E64"/>
    <w:rsid w:val="00923D00"/>
    <w:rsid w:val="0092555F"/>
    <w:rsid w:val="00927AC6"/>
    <w:rsid w:val="009307D4"/>
    <w:rsid w:val="00930FD5"/>
    <w:rsid w:val="00931BAB"/>
    <w:rsid w:val="009325B1"/>
    <w:rsid w:val="009334CF"/>
    <w:rsid w:val="0093398D"/>
    <w:rsid w:val="00935052"/>
    <w:rsid w:val="009355D5"/>
    <w:rsid w:val="00936E13"/>
    <w:rsid w:val="00937115"/>
    <w:rsid w:val="00940402"/>
    <w:rsid w:val="00940CEF"/>
    <w:rsid w:val="009430C0"/>
    <w:rsid w:val="0094416A"/>
    <w:rsid w:val="0094503F"/>
    <w:rsid w:val="00945604"/>
    <w:rsid w:val="00945BDE"/>
    <w:rsid w:val="009465A8"/>
    <w:rsid w:val="009465FC"/>
    <w:rsid w:val="0095095A"/>
    <w:rsid w:val="0095098D"/>
    <w:rsid w:val="009534B7"/>
    <w:rsid w:val="00953D93"/>
    <w:rsid w:val="00953DF2"/>
    <w:rsid w:val="00955F85"/>
    <w:rsid w:val="0095782C"/>
    <w:rsid w:val="00957992"/>
    <w:rsid w:val="00960BBA"/>
    <w:rsid w:val="00962280"/>
    <w:rsid w:val="00963563"/>
    <w:rsid w:val="00963B6C"/>
    <w:rsid w:val="00964D86"/>
    <w:rsid w:val="009650CA"/>
    <w:rsid w:val="0096622D"/>
    <w:rsid w:val="00967911"/>
    <w:rsid w:val="00967DCE"/>
    <w:rsid w:val="00971CEF"/>
    <w:rsid w:val="00972450"/>
    <w:rsid w:val="0097254A"/>
    <w:rsid w:val="009727EC"/>
    <w:rsid w:val="0097671A"/>
    <w:rsid w:val="009773F2"/>
    <w:rsid w:val="009777E9"/>
    <w:rsid w:val="00977912"/>
    <w:rsid w:val="00980D25"/>
    <w:rsid w:val="00980EB6"/>
    <w:rsid w:val="00983057"/>
    <w:rsid w:val="00983110"/>
    <w:rsid w:val="00983A21"/>
    <w:rsid w:val="00984916"/>
    <w:rsid w:val="00986692"/>
    <w:rsid w:val="00986A8C"/>
    <w:rsid w:val="009878C0"/>
    <w:rsid w:val="00990578"/>
    <w:rsid w:val="00990C30"/>
    <w:rsid w:val="00992BAF"/>
    <w:rsid w:val="00992FC9"/>
    <w:rsid w:val="00994619"/>
    <w:rsid w:val="00995BD5"/>
    <w:rsid w:val="00996E06"/>
    <w:rsid w:val="0099756F"/>
    <w:rsid w:val="009A06C2"/>
    <w:rsid w:val="009A082C"/>
    <w:rsid w:val="009A0EC1"/>
    <w:rsid w:val="009A1BEE"/>
    <w:rsid w:val="009A2505"/>
    <w:rsid w:val="009A3204"/>
    <w:rsid w:val="009A3B10"/>
    <w:rsid w:val="009A3F2F"/>
    <w:rsid w:val="009A6F60"/>
    <w:rsid w:val="009A7D1D"/>
    <w:rsid w:val="009B2120"/>
    <w:rsid w:val="009B22FD"/>
    <w:rsid w:val="009B26DA"/>
    <w:rsid w:val="009B2FF9"/>
    <w:rsid w:val="009B32CF"/>
    <w:rsid w:val="009B378B"/>
    <w:rsid w:val="009B70F6"/>
    <w:rsid w:val="009B75C4"/>
    <w:rsid w:val="009B7A37"/>
    <w:rsid w:val="009C076F"/>
    <w:rsid w:val="009C1385"/>
    <w:rsid w:val="009C2155"/>
    <w:rsid w:val="009C3D44"/>
    <w:rsid w:val="009C40EA"/>
    <w:rsid w:val="009C575D"/>
    <w:rsid w:val="009C7F54"/>
    <w:rsid w:val="009D08CF"/>
    <w:rsid w:val="009D0C17"/>
    <w:rsid w:val="009D11D8"/>
    <w:rsid w:val="009D3E35"/>
    <w:rsid w:val="009D4214"/>
    <w:rsid w:val="009D526C"/>
    <w:rsid w:val="009D60E3"/>
    <w:rsid w:val="009D6F17"/>
    <w:rsid w:val="009E1873"/>
    <w:rsid w:val="009E1AA8"/>
    <w:rsid w:val="009E209E"/>
    <w:rsid w:val="009E23FE"/>
    <w:rsid w:val="009E2E72"/>
    <w:rsid w:val="009E4501"/>
    <w:rsid w:val="009E4CD4"/>
    <w:rsid w:val="009E553E"/>
    <w:rsid w:val="009E573C"/>
    <w:rsid w:val="009E5A5E"/>
    <w:rsid w:val="009E6AB9"/>
    <w:rsid w:val="009E6B5E"/>
    <w:rsid w:val="009F1FEB"/>
    <w:rsid w:val="009F25EB"/>
    <w:rsid w:val="009F39BD"/>
    <w:rsid w:val="009F4FE2"/>
    <w:rsid w:val="009F653B"/>
    <w:rsid w:val="00A0144F"/>
    <w:rsid w:val="00A0308D"/>
    <w:rsid w:val="00A03135"/>
    <w:rsid w:val="00A10389"/>
    <w:rsid w:val="00A107A5"/>
    <w:rsid w:val="00A10FA0"/>
    <w:rsid w:val="00A12086"/>
    <w:rsid w:val="00A129D5"/>
    <w:rsid w:val="00A13338"/>
    <w:rsid w:val="00A13B8E"/>
    <w:rsid w:val="00A15916"/>
    <w:rsid w:val="00A15F1C"/>
    <w:rsid w:val="00A20C78"/>
    <w:rsid w:val="00A218B0"/>
    <w:rsid w:val="00A2225D"/>
    <w:rsid w:val="00A23221"/>
    <w:rsid w:val="00A23BAA"/>
    <w:rsid w:val="00A23FB9"/>
    <w:rsid w:val="00A26884"/>
    <w:rsid w:val="00A273CD"/>
    <w:rsid w:val="00A303C2"/>
    <w:rsid w:val="00A3248D"/>
    <w:rsid w:val="00A330EA"/>
    <w:rsid w:val="00A33CD4"/>
    <w:rsid w:val="00A35E51"/>
    <w:rsid w:val="00A35F15"/>
    <w:rsid w:val="00A36D9F"/>
    <w:rsid w:val="00A404FF"/>
    <w:rsid w:val="00A406D0"/>
    <w:rsid w:val="00A40895"/>
    <w:rsid w:val="00A414BF"/>
    <w:rsid w:val="00A41559"/>
    <w:rsid w:val="00A41677"/>
    <w:rsid w:val="00A41DFD"/>
    <w:rsid w:val="00A42ABA"/>
    <w:rsid w:val="00A42AC3"/>
    <w:rsid w:val="00A440D9"/>
    <w:rsid w:val="00A44BC2"/>
    <w:rsid w:val="00A44F2B"/>
    <w:rsid w:val="00A45282"/>
    <w:rsid w:val="00A45CC2"/>
    <w:rsid w:val="00A45D33"/>
    <w:rsid w:val="00A47E09"/>
    <w:rsid w:val="00A5075D"/>
    <w:rsid w:val="00A52754"/>
    <w:rsid w:val="00A53BDB"/>
    <w:rsid w:val="00A54DCF"/>
    <w:rsid w:val="00A57F6E"/>
    <w:rsid w:val="00A61891"/>
    <w:rsid w:val="00A61B35"/>
    <w:rsid w:val="00A61C70"/>
    <w:rsid w:val="00A62CE9"/>
    <w:rsid w:val="00A62E48"/>
    <w:rsid w:val="00A62FF0"/>
    <w:rsid w:val="00A632F8"/>
    <w:rsid w:val="00A634E6"/>
    <w:rsid w:val="00A64D6D"/>
    <w:rsid w:val="00A65D56"/>
    <w:rsid w:val="00A662A4"/>
    <w:rsid w:val="00A67A54"/>
    <w:rsid w:val="00A701C7"/>
    <w:rsid w:val="00A7088A"/>
    <w:rsid w:val="00A70CC2"/>
    <w:rsid w:val="00A70D54"/>
    <w:rsid w:val="00A74E93"/>
    <w:rsid w:val="00A8223B"/>
    <w:rsid w:val="00A8339D"/>
    <w:rsid w:val="00A8355E"/>
    <w:rsid w:val="00A83E0A"/>
    <w:rsid w:val="00A85C62"/>
    <w:rsid w:val="00A86523"/>
    <w:rsid w:val="00A86989"/>
    <w:rsid w:val="00A8718A"/>
    <w:rsid w:val="00A9138E"/>
    <w:rsid w:val="00A9305C"/>
    <w:rsid w:val="00A94659"/>
    <w:rsid w:val="00A94989"/>
    <w:rsid w:val="00A96125"/>
    <w:rsid w:val="00AA096C"/>
    <w:rsid w:val="00AA225F"/>
    <w:rsid w:val="00AA231F"/>
    <w:rsid w:val="00AA2E89"/>
    <w:rsid w:val="00AA3714"/>
    <w:rsid w:val="00AA3FEB"/>
    <w:rsid w:val="00AA4A39"/>
    <w:rsid w:val="00AB08E0"/>
    <w:rsid w:val="00AB0C3D"/>
    <w:rsid w:val="00AB1110"/>
    <w:rsid w:val="00AB1F6A"/>
    <w:rsid w:val="00AB2031"/>
    <w:rsid w:val="00AB2118"/>
    <w:rsid w:val="00AB2990"/>
    <w:rsid w:val="00AB31A9"/>
    <w:rsid w:val="00AB33C7"/>
    <w:rsid w:val="00AB3BAF"/>
    <w:rsid w:val="00AB3DEB"/>
    <w:rsid w:val="00AB3E1C"/>
    <w:rsid w:val="00AB3FFB"/>
    <w:rsid w:val="00AB450C"/>
    <w:rsid w:val="00AB4F4E"/>
    <w:rsid w:val="00AB58AC"/>
    <w:rsid w:val="00AB5F1F"/>
    <w:rsid w:val="00AB64F6"/>
    <w:rsid w:val="00AB7D69"/>
    <w:rsid w:val="00AC02E4"/>
    <w:rsid w:val="00AC06C4"/>
    <w:rsid w:val="00AC18D4"/>
    <w:rsid w:val="00AC1FE3"/>
    <w:rsid w:val="00AC2B2C"/>
    <w:rsid w:val="00AC310A"/>
    <w:rsid w:val="00AC3281"/>
    <w:rsid w:val="00AC60A0"/>
    <w:rsid w:val="00AD00A8"/>
    <w:rsid w:val="00AD01A1"/>
    <w:rsid w:val="00AD0CF6"/>
    <w:rsid w:val="00AD17C7"/>
    <w:rsid w:val="00AD29BE"/>
    <w:rsid w:val="00AD4936"/>
    <w:rsid w:val="00AD4BDD"/>
    <w:rsid w:val="00AD6A42"/>
    <w:rsid w:val="00AD7611"/>
    <w:rsid w:val="00AE03D0"/>
    <w:rsid w:val="00AE05F2"/>
    <w:rsid w:val="00AE0693"/>
    <w:rsid w:val="00AE0F35"/>
    <w:rsid w:val="00AE1A6D"/>
    <w:rsid w:val="00AE1EE8"/>
    <w:rsid w:val="00AE326D"/>
    <w:rsid w:val="00AE3B63"/>
    <w:rsid w:val="00AE4D12"/>
    <w:rsid w:val="00AE5152"/>
    <w:rsid w:val="00AE5237"/>
    <w:rsid w:val="00AE583E"/>
    <w:rsid w:val="00AE5F8A"/>
    <w:rsid w:val="00AE6568"/>
    <w:rsid w:val="00AE6942"/>
    <w:rsid w:val="00AE70D5"/>
    <w:rsid w:val="00AF081F"/>
    <w:rsid w:val="00AF0D8E"/>
    <w:rsid w:val="00AF2BC2"/>
    <w:rsid w:val="00AF2C54"/>
    <w:rsid w:val="00AF2C6D"/>
    <w:rsid w:val="00AF3936"/>
    <w:rsid w:val="00AF468C"/>
    <w:rsid w:val="00AF5A5A"/>
    <w:rsid w:val="00AF5EEC"/>
    <w:rsid w:val="00AF603F"/>
    <w:rsid w:val="00AF657D"/>
    <w:rsid w:val="00AF7AFE"/>
    <w:rsid w:val="00B000E3"/>
    <w:rsid w:val="00B00B6A"/>
    <w:rsid w:val="00B014DF"/>
    <w:rsid w:val="00B03565"/>
    <w:rsid w:val="00B0481D"/>
    <w:rsid w:val="00B06017"/>
    <w:rsid w:val="00B06D7C"/>
    <w:rsid w:val="00B105D4"/>
    <w:rsid w:val="00B116CF"/>
    <w:rsid w:val="00B11C8C"/>
    <w:rsid w:val="00B11E43"/>
    <w:rsid w:val="00B125EB"/>
    <w:rsid w:val="00B1286A"/>
    <w:rsid w:val="00B13137"/>
    <w:rsid w:val="00B1697B"/>
    <w:rsid w:val="00B16B22"/>
    <w:rsid w:val="00B17747"/>
    <w:rsid w:val="00B21E85"/>
    <w:rsid w:val="00B23CAB"/>
    <w:rsid w:val="00B24ABC"/>
    <w:rsid w:val="00B24C7F"/>
    <w:rsid w:val="00B26C13"/>
    <w:rsid w:val="00B26E35"/>
    <w:rsid w:val="00B27D22"/>
    <w:rsid w:val="00B30428"/>
    <w:rsid w:val="00B30B3A"/>
    <w:rsid w:val="00B319F3"/>
    <w:rsid w:val="00B338E8"/>
    <w:rsid w:val="00B3397F"/>
    <w:rsid w:val="00B34E8F"/>
    <w:rsid w:val="00B401EA"/>
    <w:rsid w:val="00B4314A"/>
    <w:rsid w:val="00B4403F"/>
    <w:rsid w:val="00B450A3"/>
    <w:rsid w:val="00B453D8"/>
    <w:rsid w:val="00B4725B"/>
    <w:rsid w:val="00B47604"/>
    <w:rsid w:val="00B50ABE"/>
    <w:rsid w:val="00B51457"/>
    <w:rsid w:val="00B51468"/>
    <w:rsid w:val="00B5163C"/>
    <w:rsid w:val="00B54F32"/>
    <w:rsid w:val="00B54FD9"/>
    <w:rsid w:val="00B56F81"/>
    <w:rsid w:val="00B57963"/>
    <w:rsid w:val="00B579D2"/>
    <w:rsid w:val="00B61ED3"/>
    <w:rsid w:val="00B61FAE"/>
    <w:rsid w:val="00B643DA"/>
    <w:rsid w:val="00B6535F"/>
    <w:rsid w:val="00B6559F"/>
    <w:rsid w:val="00B66C1F"/>
    <w:rsid w:val="00B6740A"/>
    <w:rsid w:val="00B67E99"/>
    <w:rsid w:val="00B7005D"/>
    <w:rsid w:val="00B7067E"/>
    <w:rsid w:val="00B712E3"/>
    <w:rsid w:val="00B736C6"/>
    <w:rsid w:val="00B740C1"/>
    <w:rsid w:val="00B759BF"/>
    <w:rsid w:val="00B76864"/>
    <w:rsid w:val="00B77738"/>
    <w:rsid w:val="00B77A72"/>
    <w:rsid w:val="00B77DB9"/>
    <w:rsid w:val="00B83B96"/>
    <w:rsid w:val="00B875F4"/>
    <w:rsid w:val="00B93CBC"/>
    <w:rsid w:val="00B9653A"/>
    <w:rsid w:val="00B96F8D"/>
    <w:rsid w:val="00BA58D9"/>
    <w:rsid w:val="00BA6BD2"/>
    <w:rsid w:val="00BB0517"/>
    <w:rsid w:val="00BB26FE"/>
    <w:rsid w:val="00BB44A1"/>
    <w:rsid w:val="00BB49D9"/>
    <w:rsid w:val="00BB5E9A"/>
    <w:rsid w:val="00BB685A"/>
    <w:rsid w:val="00BB68B2"/>
    <w:rsid w:val="00BB6EAF"/>
    <w:rsid w:val="00BC1A9B"/>
    <w:rsid w:val="00BC3665"/>
    <w:rsid w:val="00BC55ED"/>
    <w:rsid w:val="00BC76F2"/>
    <w:rsid w:val="00BD06F8"/>
    <w:rsid w:val="00BD115A"/>
    <w:rsid w:val="00BD34FD"/>
    <w:rsid w:val="00BD4005"/>
    <w:rsid w:val="00BD44B5"/>
    <w:rsid w:val="00BD70FA"/>
    <w:rsid w:val="00BD7288"/>
    <w:rsid w:val="00BD7E64"/>
    <w:rsid w:val="00BE0990"/>
    <w:rsid w:val="00BE123D"/>
    <w:rsid w:val="00BE1C95"/>
    <w:rsid w:val="00BE20CC"/>
    <w:rsid w:val="00BE3811"/>
    <w:rsid w:val="00BE48DB"/>
    <w:rsid w:val="00BE49ED"/>
    <w:rsid w:val="00BE537A"/>
    <w:rsid w:val="00BE5456"/>
    <w:rsid w:val="00BE60BC"/>
    <w:rsid w:val="00BE710E"/>
    <w:rsid w:val="00BF0D7F"/>
    <w:rsid w:val="00BF0E55"/>
    <w:rsid w:val="00BF113D"/>
    <w:rsid w:val="00BF29D7"/>
    <w:rsid w:val="00BF30BC"/>
    <w:rsid w:val="00BF413D"/>
    <w:rsid w:val="00BF4C74"/>
    <w:rsid w:val="00BF7FAA"/>
    <w:rsid w:val="00C004FE"/>
    <w:rsid w:val="00C02689"/>
    <w:rsid w:val="00C0708E"/>
    <w:rsid w:val="00C07D40"/>
    <w:rsid w:val="00C109A2"/>
    <w:rsid w:val="00C11660"/>
    <w:rsid w:val="00C124C5"/>
    <w:rsid w:val="00C133AB"/>
    <w:rsid w:val="00C13DB7"/>
    <w:rsid w:val="00C14502"/>
    <w:rsid w:val="00C1524B"/>
    <w:rsid w:val="00C15E0E"/>
    <w:rsid w:val="00C16AD7"/>
    <w:rsid w:val="00C16CCD"/>
    <w:rsid w:val="00C170C7"/>
    <w:rsid w:val="00C23AFC"/>
    <w:rsid w:val="00C261B8"/>
    <w:rsid w:val="00C264F4"/>
    <w:rsid w:val="00C26FF9"/>
    <w:rsid w:val="00C30EFE"/>
    <w:rsid w:val="00C327AA"/>
    <w:rsid w:val="00C330F5"/>
    <w:rsid w:val="00C36CE2"/>
    <w:rsid w:val="00C37098"/>
    <w:rsid w:val="00C37ACD"/>
    <w:rsid w:val="00C40788"/>
    <w:rsid w:val="00C40E79"/>
    <w:rsid w:val="00C43738"/>
    <w:rsid w:val="00C437D2"/>
    <w:rsid w:val="00C43D7F"/>
    <w:rsid w:val="00C45487"/>
    <w:rsid w:val="00C45C14"/>
    <w:rsid w:val="00C46221"/>
    <w:rsid w:val="00C476FB"/>
    <w:rsid w:val="00C47ADB"/>
    <w:rsid w:val="00C47CFD"/>
    <w:rsid w:val="00C47D6B"/>
    <w:rsid w:val="00C51190"/>
    <w:rsid w:val="00C53C4C"/>
    <w:rsid w:val="00C54743"/>
    <w:rsid w:val="00C55278"/>
    <w:rsid w:val="00C55331"/>
    <w:rsid w:val="00C55925"/>
    <w:rsid w:val="00C56ADA"/>
    <w:rsid w:val="00C57C9B"/>
    <w:rsid w:val="00C606CC"/>
    <w:rsid w:val="00C6111E"/>
    <w:rsid w:val="00C61B18"/>
    <w:rsid w:val="00C62676"/>
    <w:rsid w:val="00C62C45"/>
    <w:rsid w:val="00C6364C"/>
    <w:rsid w:val="00C64687"/>
    <w:rsid w:val="00C66D79"/>
    <w:rsid w:val="00C70997"/>
    <w:rsid w:val="00C7145B"/>
    <w:rsid w:val="00C7217D"/>
    <w:rsid w:val="00C72B93"/>
    <w:rsid w:val="00C734CB"/>
    <w:rsid w:val="00C73DDB"/>
    <w:rsid w:val="00C7424B"/>
    <w:rsid w:val="00C747AD"/>
    <w:rsid w:val="00C74871"/>
    <w:rsid w:val="00C76379"/>
    <w:rsid w:val="00C774B2"/>
    <w:rsid w:val="00C80283"/>
    <w:rsid w:val="00C80A2B"/>
    <w:rsid w:val="00C810CE"/>
    <w:rsid w:val="00C815AD"/>
    <w:rsid w:val="00C835B5"/>
    <w:rsid w:val="00C8408E"/>
    <w:rsid w:val="00C8408F"/>
    <w:rsid w:val="00C848F7"/>
    <w:rsid w:val="00C84C2B"/>
    <w:rsid w:val="00C84EF6"/>
    <w:rsid w:val="00C86325"/>
    <w:rsid w:val="00C86498"/>
    <w:rsid w:val="00C87977"/>
    <w:rsid w:val="00C91F42"/>
    <w:rsid w:val="00C928F8"/>
    <w:rsid w:val="00C94822"/>
    <w:rsid w:val="00C9759D"/>
    <w:rsid w:val="00CA02C0"/>
    <w:rsid w:val="00CA04AE"/>
    <w:rsid w:val="00CA29BD"/>
    <w:rsid w:val="00CA3ECD"/>
    <w:rsid w:val="00CA6DC2"/>
    <w:rsid w:val="00CA7635"/>
    <w:rsid w:val="00CB1C7B"/>
    <w:rsid w:val="00CB3421"/>
    <w:rsid w:val="00CB386D"/>
    <w:rsid w:val="00CB41EC"/>
    <w:rsid w:val="00CB5267"/>
    <w:rsid w:val="00CB58BA"/>
    <w:rsid w:val="00CB6845"/>
    <w:rsid w:val="00CB6CA7"/>
    <w:rsid w:val="00CB6CC5"/>
    <w:rsid w:val="00CB7D2C"/>
    <w:rsid w:val="00CC1CD1"/>
    <w:rsid w:val="00CC1EA9"/>
    <w:rsid w:val="00CC380B"/>
    <w:rsid w:val="00CC5260"/>
    <w:rsid w:val="00CC6363"/>
    <w:rsid w:val="00CC6575"/>
    <w:rsid w:val="00CC682C"/>
    <w:rsid w:val="00CC6B05"/>
    <w:rsid w:val="00CD3F2D"/>
    <w:rsid w:val="00CD56DC"/>
    <w:rsid w:val="00CD7868"/>
    <w:rsid w:val="00CD7A11"/>
    <w:rsid w:val="00CE1209"/>
    <w:rsid w:val="00CE274E"/>
    <w:rsid w:val="00CE3F3A"/>
    <w:rsid w:val="00CE4528"/>
    <w:rsid w:val="00CF1F87"/>
    <w:rsid w:val="00CF222A"/>
    <w:rsid w:val="00CF3382"/>
    <w:rsid w:val="00CF3564"/>
    <w:rsid w:val="00CF3DD9"/>
    <w:rsid w:val="00CF5A99"/>
    <w:rsid w:val="00CF5FB4"/>
    <w:rsid w:val="00CF675E"/>
    <w:rsid w:val="00D0107F"/>
    <w:rsid w:val="00D010BB"/>
    <w:rsid w:val="00D01503"/>
    <w:rsid w:val="00D024E0"/>
    <w:rsid w:val="00D03B51"/>
    <w:rsid w:val="00D05DC1"/>
    <w:rsid w:val="00D0613E"/>
    <w:rsid w:val="00D11200"/>
    <w:rsid w:val="00D11349"/>
    <w:rsid w:val="00D11653"/>
    <w:rsid w:val="00D11E15"/>
    <w:rsid w:val="00D127AB"/>
    <w:rsid w:val="00D12BAA"/>
    <w:rsid w:val="00D12CC2"/>
    <w:rsid w:val="00D145DB"/>
    <w:rsid w:val="00D1466F"/>
    <w:rsid w:val="00D1469A"/>
    <w:rsid w:val="00D15F79"/>
    <w:rsid w:val="00D1703D"/>
    <w:rsid w:val="00D21292"/>
    <w:rsid w:val="00D22884"/>
    <w:rsid w:val="00D22EF5"/>
    <w:rsid w:val="00D2309E"/>
    <w:rsid w:val="00D23CCC"/>
    <w:rsid w:val="00D2420F"/>
    <w:rsid w:val="00D24BFC"/>
    <w:rsid w:val="00D24D6E"/>
    <w:rsid w:val="00D256BF"/>
    <w:rsid w:val="00D25768"/>
    <w:rsid w:val="00D26AC0"/>
    <w:rsid w:val="00D279E3"/>
    <w:rsid w:val="00D30142"/>
    <w:rsid w:val="00D31FC6"/>
    <w:rsid w:val="00D3240F"/>
    <w:rsid w:val="00D32549"/>
    <w:rsid w:val="00D3355F"/>
    <w:rsid w:val="00D3375A"/>
    <w:rsid w:val="00D33906"/>
    <w:rsid w:val="00D343D0"/>
    <w:rsid w:val="00D349FE"/>
    <w:rsid w:val="00D355E9"/>
    <w:rsid w:val="00D357FC"/>
    <w:rsid w:val="00D35BEB"/>
    <w:rsid w:val="00D35C7E"/>
    <w:rsid w:val="00D36482"/>
    <w:rsid w:val="00D36B7D"/>
    <w:rsid w:val="00D36DEB"/>
    <w:rsid w:val="00D37A2F"/>
    <w:rsid w:val="00D403C5"/>
    <w:rsid w:val="00D40481"/>
    <w:rsid w:val="00D40E1B"/>
    <w:rsid w:val="00D41CCF"/>
    <w:rsid w:val="00D4263D"/>
    <w:rsid w:val="00D50630"/>
    <w:rsid w:val="00D51013"/>
    <w:rsid w:val="00D521A6"/>
    <w:rsid w:val="00D52CED"/>
    <w:rsid w:val="00D52F90"/>
    <w:rsid w:val="00D53396"/>
    <w:rsid w:val="00D570DE"/>
    <w:rsid w:val="00D574A5"/>
    <w:rsid w:val="00D5782C"/>
    <w:rsid w:val="00D60444"/>
    <w:rsid w:val="00D61021"/>
    <w:rsid w:val="00D6138F"/>
    <w:rsid w:val="00D6147E"/>
    <w:rsid w:val="00D6167F"/>
    <w:rsid w:val="00D62BF2"/>
    <w:rsid w:val="00D62DD3"/>
    <w:rsid w:val="00D6501B"/>
    <w:rsid w:val="00D652A4"/>
    <w:rsid w:val="00D67469"/>
    <w:rsid w:val="00D71E90"/>
    <w:rsid w:val="00D71F1C"/>
    <w:rsid w:val="00D72F8A"/>
    <w:rsid w:val="00D7321A"/>
    <w:rsid w:val="00D74B0F"/>
    <w:rsid w:val="00D74F40"/>
    <w:rsid w:val="00D757C7"/>
    <w:rsid w:val="00D7619D"/>
    <w:rsid w:val="00D76DCC"/>
    <w:rsid w:val="00D77234"/>
    <w:rsid w:val="00D80501"/>
    <w:rsid w:val="00D82ADF"/>
    <w:rsid w:val="00D900D6"/>
    <w:rsid w:val="00D927D1"/>
    <w:rsid w:val="00D94170"/>
    <w:rsid w:val="00D958BF"/>
    <w:rsid w:val="00D95D77"/>
    <w:rsid w:val="00D96131"/>
    <w:rsid w:val="00D961C0"/>
    <w:rsid w:val="00D9704A"/>
    <w:rsid w:val="00D9766A"/>
    <w:rsid w:val="00D9789A"/>
    <w:rsid w:val="00DA0FBD"/>
    <w:rsid w:val="00DA1E7F"/>
    <w:rsid w:val="00DA2381"/>
    <w:rsid w:val="00DA6952"/>
    <w:rsid w:val="00DA6C49"/>
    <w:rsid w:val="00DA6DE1"/>
    <w:rsid w:val="00DA7217"/>
    <w:rsid w:val="00DB07D4"/>
    <w:rsid w:val="00DB0D0F"/>
    <w:rsid w:val="00DB114F"/>
    <w:rsid w:val="00DB255A"/>
    <w:rsid w:val="00DB4B3F"/>
    <w:rsid w:val="00DB7160"/>
    <w:rsid w:val="00DC09D1"/>
    <w:rsid w:val="00DC22E4"/>
    <w:rsid w:val="00DC277D"/>
    <w:rsid w:val="00DC2A4D"/>
    <w:rsid w:val="00DC4AB4"/>
    <w:rsid w:val="00DC58C2"/>
    <w:rsid w:val="00DC617A"/>
    <w:rsid w:val="00DD038E"/>
    <w:rsid w:val="00DD187F"/>
    <w:rsid w:val="00DD2F8F"/>
    <w:rsid w:val="00DD453B"/>
    <w:rsid w:val="00DD4EC4"/>
    <w:rsid w:val="00DD5638"/>
    <w:rsid w:val="00DD6979"/>
    <w:rsid w:val="00DE08D7"/>
    <w:rsid w:val="00DE1D2D"/>
    <w:rsid w:val="00DE3AAD"/>
    <w:rsid w:val="00DE453D"/>
    <w:rsid w:val="00DE5FA9"/>
    <w:rsid w:val="00DE64EC"/>
    <w:rsid w:val="00DE6816"/>
    <w:rsid w:val="00DE7493"/>
    <w:rsid w:val="00DF0F14"/>
    <w:rsid w:val="00DF25E5"/>
    <w:rsid w:val="00DF26B3"/>
    <w:rsid w:val="00DF29FB"/>
    <w:rsid w:val="00DF4420"/>
    <w:rsid w:val="00DF5928"/>
    <w:rsid w:val="00DF6FFC"/>
    <w:rsid w:val="00E0028F"/>
    <w:rsid w:val="00E00B57"/>
    <w:rsid w:val="00E02D8A"/>
    <w:rsid w:val="00E034C5"/>
    <w:rsid w:val="00E03C54"/>
    <w:rsid w:val="00E03FF6"/>
    <w:rsid w:val="00E05805"/>
    <w:rsid w:val="00E06238"/>
    <w:rsid w:val="00E06E1D"/>
    <w:rsid w:val="00E0789C"/>
    <w:rsid w:val="00E07977"/>
    <w:rsid w:val="00E10697"/>
    <w:rsid w:val="00E120F0"/>
    <w:rsid w:val="00E1329A"/>
    <w:rsid w:val="00E14CCF"/>
    <w:rsid w:val="00E16A0F"/>
    <w:rsid w:val="00E16BC7"/>
    <w:rsid w:val="00E1707F"/>
    <w:rsid w:val="00E20ED1"/>
    <w:rsid w:val="00E2112E"/>
    <w:rsid w:val="00E21CF4"/>
    <w:rsid w:val="00E22C3A"/>
    <w:rsid w:val="00E25181"/>
    <w:rsid w:val="00E266BC"/>
    <w:rsid w:val="00E316B2"/>
    <w:rsid w:val="00E3194D"/>
    <w:rsid w:val="00E3206E"/>
    <w:rsid w:val="00E338FF"/>
    <w:rsid w:val="00E35709"/>
    <w:rsid w:val="00E36A67"/>
    <w:rsid w:val="00E36C78"/>
    <w:rsid w:val="00E37F4A"/>
    <w:rsid w:val="00E414C6"/>
    <w:rsid w:val="00E41514"/>
    <w:rsid w:val="00E43211"/>
    <w:rsid w:val="00E43E8F"/>
    <w:rsid w:val="00E44A4F"/>
    <w:rsid w:val="00E45AE9"/>
    <w:rsid w:val="00E45C01"/>
    <w:rsid w:val="00E46C2C"/>
    <w:rsid w:val="00E4728C"/>
    <w:rsid w:val="00E50B35"/>
    <w:rsid w:val="00E531D4"/>
    <w:rsid w:val="00E53402"/>
    <w:rsid w:val="00E540B9"/>
    <w:rsid w:val="00E544E6"/>
    <w:rsid w:val="00E5563E"/>
    <w:rsid w:val="00E563E3"/>
    <w:rsid w:val="00E64EA7"/>
    <w:rsid w:val="00E659A8"/>
    <w:rsid w:val="00E6694D"/>
    <w:rsid w:val="00E66F35"/>
    <w:rsid w:val="00E67E48"/>
    <w:rsid w:val="00E70622"/>
    <w:rsid w:val="00E70936"/>
    <w:rsid w:val="00E712CF"/>
    <w:rsid w:val="00E714C8"/>
    <w:rsid w:val="00E72F02"/>
    <w:rsid w:val="00E73245"/>
    <w:rsid w:val="00E76CCF"/>
    <w:rsid w:val="00E77754"/>
    <w:rsid w:val="00E809D7"/>
    <w:rsid w:val="00E82405"/>
    <w:rsid w:val="00E82EEA"/>
    <w:rsid w:val="00E85E18"/>
    <w:rsid w:val="00E8666E"/>
    <w:rsid w:val="00E86A4B"/>
    <w:rsid w:val="00E86E13"/>
    <w:rsid w:val="00E879B6"/>
    <w:rsid w:val="00E87F60"/>
    <w:rsid w:val="00E91C59"/>
    <w:rsid w:val="00E931E2"/>
    <w:rsid w:val="00E936E4"/>
    <w:rsid w:val="00E942C8"/>
    <w:rsid w:val="00E964CE"/>
    <w:rsid w:val="00E96805"/>
    <w:rsid w:val="00E97BB2"/>
    <w:rsid w:val="00EA030E"/>
    <w:rsid w:val="00EA269D"/>
    <w:rsid w:val="00EA3AF7"/>
    <w:rsid w:val="00EA3B88"/>
    <w:rsid w:val="00EA4F8E"/>
    <w:rsid w:val="00EA6A15"/>
    <w:rsid w:val="00EA6F61"/>
    <w:rsid w:val="00EA7408"/>
    <w:rsid w:val="00EB0CA7"/>
    <w:rsid w:val="00EB1411"/>
    <w:rsid w:val="00EB2991"/>
    <w:rsid w:val="00EB39EF"/>
    <w:rsid w:val="00EB474D"/>
    <w:rsid w:val="00EB531F"/>
    <w:rsid w:val="00EB5D5A"/>
    <w:rsid w:val="00EB66EE"/>
    <w:rsid w:val="00EC0184"/>
    <w:rsid w:val="00EC0F5B"/>
    <w:rsid w:val="00EC1078"/>
    <w:rsid w:val="00EC2DBE"/>
    <w:rsid w:val="00EC7C77"/>
    <w:rsid w:val="00ED047B"/>
    <w:rsid w:val="00ED38D8"/>
    <w:rsid w:val="00ED3A78"/>
    <w:rsid w:val="00ED3E70"/>
    <w:rsid w:val="00ED47B2"/>
    <w:rsid w:val="00ED582D"/>
    <w:rsid w:val="00ED5E11"/>
    <w:rsid w:val="00EE01F1"/>
    <w:rsid w:val="00EE1438"/>
    <w:rsid w:val="00EE32B8"/>
    <w:rsid w:val="00EE3674"/>
    <w:rsid w:val="00EE4642"/>
    <w:rsid w:val="00EE4B70"/>
    <w:rsid w:val="00EE4C67"/>
    <w:rsid w:val="00EE62D7"/>
    <w:rsid w:val="00EE79F2"/>
    <w:rsid w:val="00EF1DC0"/>
    <w:rsid w:val="00EF20BB"/>
    <w:rsid w:val="00EF5F4F"/>
    <w:rsid w:val="00EF762C"/>
    <w:rsid w:val="00F00781"/>
    <w:rsid w:val="00F007FC"/>
    <w:rsid w:val="00F00BDE"/>
    <w:rsid w:val="00F00C8C"/>
    <w:rsid w:val="00F025FB"/>
    <w:rsid w:val="00F02717"/>
    <w:rsid w:val="00F0291C"/>
    <w:rsid w:val="00F0333A"/>
    <w:rsid w:val="00F03533"/>
    <w:rsid w:val="00F03741"/>
    <w:rsid w:val="00F03A83"/>
    <w:rsid w:val="00F0400F"/>
    <w:rsid w:val="00F04A8F"/>
    <w:rsid w:val="00F06420"/>
    <w:rsid w:val="00F068B5"/>
    <w:rsid w:val="00F10FDE"/>
    <w:rsid w:val="00F11E06"/>
    <w:rsid w:val="00F130DF"/>
    <w:rsid w:val="00F135E8"/>
    <w:rsid w:val="00F138E3"/>
    <w:rsid w:val="00F15C2C"/>
    <w:rsid w:val="00F16047"/>
    <w:rsid w:val="00F1637D"/>
    <w:rsid w:val="00F16A12"/>
    <w:rsid w:val="00F16FCD"/>
    <w:rsid w:val="00F17692"/>
    <w:rsid w:val="00F17FB1"/>
    <w:rsid w:val="00F205EC"/>
    <w:rsid w:val="00F20B11"/>
    <w:rsid w:val="00F21718"/>
    <w:rsid w:val="00F22413"/>
    <w:rsid w:val="00F23F72"/>
    <w:rsid w:val="00F24952"/>
    <w:rsid w:val="00F2610C"/>
    <w:rsid w:val="00F261B1"/>
    <w:rsid w:val="00F30307"/>
    <w:rsid w:val="00F32627"/>
    <w:rsid w:val="00F34332"/>
    <w:rsid w:val="00F34437"/>
    <w:rsid w:val="00F350BF"/>
    <w:rsid w:val="00F35B01"/>
    <w:rsid w:val="00F416A9"/>
    <w:rsid w:val="00F428E4"/>
    <w:rsid w:val="00F42BBB"/>
    <w:rsid w:val="00F502D5"/>
    <w:rsid w:val="00F5059C"/>
    <w:rsid w:val="00F51012"/>
    <w:rsid w:val="00F51E9D"/>
    <w:rsid w:val="00F535DE"/>
    <w:rsid w:val="00F54188"/>
    <w:rsid w:val="00F547F0"/>
    <w:rsid w:val="00F5512F"/>
    <w:rsid w:val="00F56768"/>
    <w:rsid w:val="00F61435"/>
    <w:rsid w:val="00F61450"/>
    <w:rsid w:val="00F62125"/>
    <w:rsid w:val="00F62762"/>
    <w:rsid w:val="00F62EB5"/>
    <w:rsid w:val="00F64711"/>
    <w:rsid w:val="00F65E79"/>
    <w:rsid w:val="00F6688C"/>
    <w:rsid w:val="00F701B0"/>
    <w:rsid w:val="00F71156"/>
    <w:rsid w:val="00F72444"/>
    <w:rsid w:val="00F75E24"/>
    <w:rsid w:val="00F76912"/>
    <w:rsid w:val="00F77027"/>
    <w:rsid w:val="00F77EF9"/>
    <w:rsid w:val="00F805B8"/>
    <w:rsid w:val="00F87102"/>
    <w:rsid w:val="00F87FBE"/>
    <w:rsid w:val="00F907EA"/>
    <w:rsid w:val="00F937D6"/>
    <w:rsid w:val="00F93AED"/>
    <w:rsid w:val="00F9473B"/>
    <w:rsid w:val="00F96100"/>
    <w:rsid w:val="00F96946"/>
    <w:rsid w:val="00F9699D"/>
    <w:rsid w:val="00F9787A"/>
    <w:rsid w:val="00F97FD4"/>
    <w:rsid w:val="00FA0F52"/>
    <w:rsid w:val="00FA1A99"/>
    <w:rsid w:val="00FA3BE3"/>
    <w:rsid w:val="00FA3F00"/>
    <w:rsid w:val="00FA7513"/>
    <w:rsid w:val="00FA7B3C"/>
    <w:rsid w:val="00FB153D"/>
    <w:rsid w:val="00FB2004"/>
    <w:rsid w:val="00FB409B"/>
    <w:rsid w:val="00FB47FE"/>
    <w:rsid w:val="00FB6C69"/>
    <w:rsid w:val="00FC04D4"/>
    <w:rsid w:val="00FC08D6"/>
    <w:rsid w:val="00FC2727"/>
    <w:rsid w:val="00FC2759"/>
    <w:rsid w:val="00FC2D4F"/>
    <w:rsid w:val="00FC39C6"/>
    <w:rsid w:val="00FC49C6"/>
    <w:rsid w:val="00FC52F9"/>
    <w:rsid w:val="00FD18D8"/>
    <w:rsid w:val="00FD1E25"/>
    <w:rsid w:val="00FD2CEC"/>
    <w:rsid w:val="00FD2E42"/>
    <w:rsid w:val="00FD5A72"/>
    <w:rsid w:val="00FD6E30"/>
    <w:rsid w:val="00FD6E47"/>
    <w:rsid w:val="00FD7D49"/>
    <w:rsid w:val="00FE1CB3"/>
    <w:rsid w:val="00FE1DC0"/>
    <w:rsid w:val="00FE2EB7"/>
    <w:rsid w:val="00FE3806"/>
    <w:rsid w:val="00FE4367"/>
    <w:rsid w:val="00FE46C9"/>
    <w:rsid w:val="00FE50C5"/>
    <w:rsid w:val="00FE6B55"/>
    <w:rsid w:val="00FE77AE"/>
    <w:rsid w:val="00FF119C"/>
    <w:rsid w:val="00FF11D6"/>
    <w:rsid w:val="00FF3F16"/>
    <w:rsid w:val="00FF52DD"/>
    <w:rsid w:val="00FF5C90"/>
    <w:rsid w:val="00FF715F"/>
    <w:rsid w:val="00FF78F4"/>
    <w:rsid w:val="00FF7E58"/>
    <w:rsid w:val="01266E8C"/>
    <w:rsid w:val="01AC3A93"/>
    <w:rsid w:val="023B1794"/>
    <w:rsid w:val="026C6FEE"/>
    <w:rsid w:val="02720839"/>
    <w:rsid w:val="02D51B41"/>
    <w:rsid w:val="033A2A0D"/>
    <w:rsid w:val="03433177"/>
    <w:rsid w:val="04285071"/>
    <w:rsid w:val="043043EA"/>
    <w:rsid w:val="055B4129"/>
    <w:rsid w:val="063D5A2D"/>
    <w:rsid w:val="06514C09"/>
    <w:rsid w:val="067C2CE7"/>
    <w:rsid w:val="067D3E6F"/>
    <w:rsid w:val="06F85085"/>
    <w:rsid w:val="072705C8"/>
    <w:rsid w:val="076640A0"/>
    <w:rsid w:val="07FE4013"/>
    <w:rsid w:val="08061B18"/>
    <w:rsid w:val="0831084F"/>
    <w:rsid w:val="08D330F5"/>
    <w:rsid w:val="09BA2AC6"/>
    <w:rsid w:val="0A920D6E"/>
    <w:rsid w:val="0AE47DFA"/>
    <w:rsid w:val="0B0E30C9"/>
    <w:rsid w:val="0B7849E6"/>
    <w:rsid w:val="0BC639A4"/>
    <w:rsid w:val="0BCE6B3B"/>
    <w:rsid w:val="0C2D57D1"/>
    <w:rsid w:val="0C4256F3"/>
    <w:rsid w:val="0D8E6766"/>
    <w:rsid w:val="0DA67667"/>
    <w:rsid w:val="0DBC505E"/>
    <w:rsid w:val="0E17302F"/>
    <w:rsid w:val="0EAA13FB"/>
    <w:rsid w:val="0EBB70C4"/>
    <w:rsid w:val="0EF3685E"/>
    <w:rsid w:val="10AA5672"/>
    <w:rsid w:val="11056A12"/>
    <w:rsid w:val="127C300E"/>
    <w:rsid w:val="12D93FBD"/>
    <w:rsid w:val="13930078"/>
    <w:rsid w:val="13972AF8"/>
    <w:rsid w:val="142F6CE8"/>
    <w:rsid w:val="145A112D"/>
    <w:rsid w:val="14FE41AE"/>
    <w:rsid w:val="16225C7A"/>
    <w:rsid w:val="167F20E5"/>
    <w:rsid w:val="196223F1"/>
    <w:rsid w:val="19D13C3F"/>
    <w:rsid w:val="19F24DDF"/>
    <w:rsid w:val="1A220B7E"/>
    <w:rsid w:val="1A31732A"/>
    <w:rsid w:val="1A7F369B"/>
    <w:rsid w:val="1B0C70C0"/>
    <w:rsid w:val="1B46240B"/>
    <w:rsid w:val="1B5B65A0"/>
    <w:rsid w:val="1B5C578B"/>
    <w:rsid w:val="1B773462"/>
    <w:rsid w:val="1BFD6F3E"/>
    <w:rsid w:val="1C3A66DC"/>
    <w:rsid w:val="1C5D5C5E"/>
    <w:rsid w:val="1C6A1CAD"/>
    <w:rsid w:val="1D281F3D"/>
    <w:rsid w:val="1D8D3A7D"/>
    <w:rsid w:val="1D8F381E"/>
    <w:rsid w:val="1E117998"/>
    <w:rsid w:val="1F2B2044"/>
    <w:rsid w:val="1F7479AC"/>
    <w:rsid w:val="1FDB75C6"/>
    <w:rsid w:val="1FDC50EC"/>
    <w:rsid w:val="20364C60"/>
    <w:rsid w:val="209B4FA7"/>
    <w:rsid w:val="20E34258"/>
    <w:rsid w:val="20F7335E"/>
    <w:rsid w:val="215F52AA"/>
    <w:rsid w:val="21CE6CB6"/>
    <w:rsid w:val="222F64DF"/>
    <w:rsid w:val="22C91E0A"/>
    <w:rsid w:val="230E42F8"/>
    <w:rsid w:val="234E4553"/>
    <w:rsid w:val="23D92CD1"/>
    <w:rsid w:val="24053736"/>
    <w:rsid w:val="241C73D4"/>
    <w:rsid w:val="259B5C65"/>
    <w:rsid w:val="25C87134"/>
    <w:rsid w:val="25E36393"/>
    <w:rsid w:val="261823F4"/>
    <w:rsid w:val="263317DE"/>
    <w:rsid w:val="275D4D64"/>
    <w:rsid w:val="276C31F9"/>
    <w:rsid w:val="27944075"/>
    <w:rsid w:val="27A97B60"/>
    <w:rsid w:val="27C56EB6"/>
    <w:rsid w:val="281921C7"/>
    <w:rsid w:val="28306FBE"/>
    <w:rsid w:val="28341F69"/>
    <w:rsid w:val="288A4C90"/>
    <w:rsid w:val="28921B83"/>
    <w:rsid w:val="28AF15F0"/>
    <w:rsid w:val="294648CB"/>
    <w:rsid w:val="29842A7C"/>
    <w:rsid w:val="29A0362E"/>
    <w:rsid w:val="2A135BAE"/>
    <w:rsid w:val="2ABF7AE4"/>
    <w:rsid w:val="2BFB1581"/>
    <w:rsid w:val="2C3F4CF4"/>
    <w:rsid w:val="2C5A7AC4"/>
    <w:rsid w:val="2C5E66CC"/>
    <w:rsid w:val="2CC9010B"/>
    <w:rsid w:val="2CDD0C08"/>
    <w:rsid w:val="2D141265"/>
    <w:rsid w:val="2E6412EA"/>
    <w:rsid w:val="2EE60E75"/>
    <w:rsid w:val="2F0F6197"/>
    <w:rsid w:val="2F536B71"/>
    <w:rsid w:val="2FB4573E"/>
    <w:rsid w:val="30234671"/>
    <w:rsid w:val="3090774D"/>
    <w:rsid w:val="30F85AFE"/>
    <w:rsid w:val="31013F5E"/>
    <w:rsid w:val="310E0E7D"/>
    <w:rsid w:val="31701B38"/>
    <w:rsid w:val="317B0707"/>
    <w:rsid w:val="324A67B5"/>
    <w:rsid w:val="33E42BF7"/>
    <w:rsid w:val="34210CBB"/>
    <w:rsid w:val="351959A0"/>
    <w:rsid w:val="352769B2"/>
    <w:rsid w:val="352C3FC8"/>
    <w:rsid w:val="3530334F"/>
    <w:rsid w:val="3605281C"/>
    <w:rsid w:val="36801FC3"/>
    <w:rsid w:val="36AA33F6"/>
    <w:rsid w:val="37046BBF"/>
    <w:rsid w:val="38780E8B"/>
    <w:rsid w:val="394803E2"/>
    <w:rsid w:val="3B1D3B63"/>
    <w:rsid w:val="3B9603ED"/>
    <w:rsid w:val="3BB84807"/>
    <w:rsid w:val="3BBB274B"/>
    <w:rsid w:val="3BFC64A2"/>
    <w:rsid w:val="3C9C1A33"/>
    <w:rsid w:val="3D7534FA"/>
    <w:rsid w:val="3DEC0798"/>
    <w:rsid w:val="3E475ACC"/>
    <w:rsid w:val="3E6F38A3"/>
    <w:rsid w:val="3E810EE1"/>
    <w:rsid w:val="3E9E1DC8"/>
    <w:rsid w:val="3EDC25BB"/>
    <w:rsid w:val="3F4563B2"/>
    <w:rsid w:val="3F514D57"/>
    <w:rsid w:val="3F6E5909"/>
    <w:rsid w:val="4033445D"/>
    <w:rsid w:val="405320CB"/>
    <w:rsid w:val="41247EAA"/>
    <w:rsid w:val="414E2324"/>
    <w:rsid w:val="41E579D9"/>
    <w:rsid w:val="41FA53FE"/>
    <w:rsid w:val="4230130C"/>
    <w:rsid w:val="429B324D"/>
    <w:rsid w:val="42D7656C"/>
    <w:rsid w:val="42DE1E4E"/>
    <w:rsid w:val="43D409BA"/>
    <w:rsid w:val="43E90C80"/>
    <w:rsid w:val="45590B29"/>
    <w:rsid w:val="45CD68FB"/>
    <w:rsid w:val="45E14B7F"/>
    <w:rsid w:val="469F3711"/>
    <w:rsid w:val="46E5026C"/>
    <w:rsid w:val="48384D06"/>
    <w:rsid w:val="4953791E"/>
    <w:rsid w:val="49C751FD"/>
    <w:rsid w:val="49D02F6F"/>
    <w:rsid w:val="49ED7D72"/>
    <w:rsid w:val="49EF3AEA"/>
    <w:rsid w:val="4A166A95"/>
    <w:rsid w:val="4A757845"/>
    <w:rsid w:val="4ACD3D44"/>
    <w:rsid w:val="4AE52B08"/>
    <w:rsid w:val="4C2321A4"/>
    <w:rsid w:val="4C2700EB"/>
    <w:rsid w:val="4D1558A9"/>
    <w:rsid w:val="4D9F3A3B"/>
    <w:rsid w:val="4E47299C"/>
    <w:rsid w:val="4EA54365"/>
    <w:rsid w:val="4EB42C0C"/>
    <w:rsid w:val="4F0022F6"/>
    <w:rsid w:val="4F1B712F"/>
    <w:rsid w:val="50CC7EDC"/>
    <w:rsid w:val="50E33C7D"/>
    <w:rsid w:val="5164091A"/>
    <w:rsid w:val="51EF7344"/>
    <w:rsid w:val="522B58DB"/>
    <w:rsid w:val="527171A4"/>
    <w:rsid w:val="52B138A1"/>
    <w:rsid w:val="53A70F92"/>
    <w:rsid w:val="53D1600F"/>
    <w:rsid w:val="54A63CCA"/>
    <w:rsid w:val="54C210FB"/>
    <w:rsid w:val="54CA318A"/>
    <w:rsid w:val="54CB7ED1"/>
    <w:rsid w:val="54EA2FF8"/>
    <w:rsid w:val="55081F04"/>
    <w:rsid w:val="555E6D38"/>
    <w:rsid w:val="55823A59"/>
    <w:rsid w:val="55FD30EB"/>
    <w:rsid w:val="564B3E56"/>
    <w:rsid w:val="56F4639D"/>
    <w:rsid w:val="57041E39"/>
    <w:rsid w:val="572D7A00"/>
    <w:rsid w:val="5886386C"/>
    <w:rsid w:val="58915878"/>
    <w:rsid w:val="58B54BA9"/>
    <w:rsid w:val="598002BB"/>
    <w:rsid w:val="5AB50703"/>
    <w:rsid w:val="5B48305A"/>
    <w:rsid w:val="5C0F7812"/>
    <w:rsid w:val="5C5F347C"/>
    <w:rsid w:val="5E956320"/>
    <w:rsid w:val="5F064FAB"/>
    <w:rsid w:val="5F326919"/>
    <w:rsid w:val="5FB64971"/>
    <w:rsid w:val="6051475F"/>
    <w:rsid w:val="606F6F94"/>
    <w:rsid w:val="60C846E2"/>
    <w:rsid w:val="60E66EE1"/>
    <w:rsid w:val="61D31CAE"/>
    <w:rsid w:val="61E17D65"/>
    <w:rsid w:val="621F22E3"/>
    <w:rsid w:val="623C31ED"/>
    <w:rsid w:val="626D73B4"/>
    <w:rsid w:val="62C514C6"/>
    <w:rsid w:val="62DD052C"/>
    <w:rsid w:val="63422A85"/>
    <w:rsid w:val="634F10B9"/>
    <w:rsid w:val="639F4771"/>
    <w:rsid w:val="642D02D4"/>
    <w:rsid w:val="64963088"/>
    <w:rsid w:val="64C5645B"/>
    <w:rsid w:val="64DB4F3F"/>
    <w:rsid w:val="65091AAC"/>
    <w:rsid w:val="65366619"/>
    <w:rsid w:val="65483271"/>
    <w:rsid w:val="656534C9"/>
    <w:rsid w:val="660621C2"/>
    <w:rsid w:val="66593057"/>
    <w:rsid w:val="66F55242"/>
    <w:rsid w:val="67DD32B6"/>
    <w:rsid w:val="682717DB"/>
    <w:rsid w:val="685968A7"/>
    <w:rsid w:val="689C49E5"/>
    <w:rsid w:val="68C31F38"/>
    <w:rsid w:val="6A5F12BC"/>
    <w:rsid w:val="6A94006A"/>
    <w:rsid w:val="6AFE54E3"/>
    <w:rsid w:val="6B2B3DFF"/>
    <w:rsid w:val="6B453112"/>
    <w:rsid w:val="6CC462B9"/>
    <w:rsid w:val="6CEA43E2"/>
    <w:rsid w:val="6CF5179E"/>
    <w:rsid w:val="6D1F1B36"/>
    <w:rsid w:val="6D4439B0"/>
    <w:rsid w:val="6D4A4A10"/>
    <w:rsid w:val="6DA46816"/>
    <w:rsid w:val="6DE50BDD"/>
    <w:rsid w:val="6E4E0530"/>
    <w:rsid w:val="6E922B12"/>
    <w:rsid w:val="6EEE2824"/>
    <w:rsid w:val="6F1E7F02"/>
    <w:rsid w:val="6F1F3C7A"/>
    <w:rsid w:val="6FB1632D"/>
    <w:rsid w:val="6FD50F27"/>
    <w:rsid w:val="6FD5303D"/>
    <w:rsid w:val="6FFF4D22"/>
    <w:rsid w:val="70F21646"/>
    <w:rsid w:val="713559D7"/>
    <w:rsid w:val="71872296"/>
    <w:rsid w:val="71D92806"/>
    <w:rsid w:val="71DD28C6"/>
    <w:rsid w:val="71F96858"/>
    <w:rsid w:val="729F446F"/>
    <w:rsid w:val="72B654DE"/>
    <w:rsid w:val="73030AA3"/>
    <w:rsid w:val="7339249B"/>
    <w:rsid w:val="740A4EF9"/>
    <w:rsid w:val="74161AF0"/>
    <w:rsid w:val="7439758C"/>
    <w:rsid w:val="747D6D24"/>
    <w:rsid w:val="74C96B62"/>
    <w:rsid w:val="7554009A"/>
    <w:rsid w:val="759C4277"/>
    <w:rsid w:val="75AE7B06"/>
    <w:rsid w:val="76595CC4"/>
    <w:rsid w:val="766A4324"/>
    <w:rsid w:val="76D631AB"/>
    <w:rsid w:val="76DA5057"/>
    <w:rsid w:val="770E6AAE"/>
    <w:rsid w:val="77AB07A1"/>
    <w:rsid w:val="77D60412"/>
    <w:rsid w:val="78186E2C"/>
    <w:rsid w:val="787943FB"/>
    <w:rsid w:val="78986F77"/>
    <w:rsid w:val="78D6184E"/>
    <w:rsid w:val="78DF4BA6"/>
    <w:rsid w:val="79203C97"/>
    <w:rsid w:val="79211902"/>
    <w:rsid w:val="79656AD3"/>
    <w:rsid w:val="79AA26BF"/>
    <w:rsid w:val="79B85F2C"/>
    <w:rsid w:val="7A1E41B3"/>
    <w:rsid w:val="7A837612"/>
    <w:rsid w:val="7AA15E8B"/>
    <w:rsid w:val="7AAB7868"/>
    <w:rsid w:val="7ADE3467"/>
    <w:rsid w:val="7AF33058"/>
    <w:rsid w:val="7BF05963"/>
    <w:rsid w:val="7C4D0A64"/>
    <w:rsid w:val="7C65338B"/>
    <w:rsid w:val="7C99506C"/>
    <w:rsid w:val="7CBB3500"/>
    <w:rsid w:val="7DBF151D"/>
    <w:rsid w:val="7DD35C87"/>
    <w:rsid w:val="7DEE2688"/>
    <w:rsid w:val="7E853162"/>
    <w:rsid w:val="7EAB552B"/>
    <w:rsid w:val="7F576911"/>
    <w:rsid w:val="7F65761E"/>
    <w:rsid w:val="7F84720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AutoShape 15"/>
        <o:r id="V:Rule2" type="connector" idref="#AutoShape 19"/>
        <o:r id="V:Rule3" type="connector" idref="#AutoShape 18"/>
        <o:r id="V:Rule4" type="connector" idref="#_x0000_s103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7"/>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9"/>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rFonts w:ascii="宋体" w:hAnsi="宋体" w:eastAsia="宋体" w:cs="宋体"/>
      <w:sz w:val="21"/>
      <w:szCs w:val="21"/>
      <w:lang w:val="en-US" w:eastAsia="en-US" w:bidi="ar-SA"/>
    </w:rPr>
  </w:style>
  <w:style w:type="paragraph" w:styleId="7">
    <w:name w:val="Date"/>
    <w:basedOn w:val="1"/>
    <w:next w:val="1"/>
    <w:link w:val="44"/>
    <w:semiHidden/>
    <w:unhideWhenUsed/>
    <w:qFormat/>
    <w:uiPriority w:val="99"/>
    <w:pPr>
      <w:ind w:left="100" w:leftChars="2500"/>
    </w:pPr>
  </w:style>
  <w:style w:type="paragraph" w:styleId="8">
    <w:name w:val="Body Text Indent 2"/>
    <w:basedOn w:val="1"/>
    <w:link w:val="38"/>
    <w:qFormat/>
    <w:uiPriority w:val="0"/>
    <w:pPr>
      <w:spacing w:line="276" w:lineRule="auto"/>
      <w:ind w:firstLine="420" w:firstLineChars="200"/>
    </w:pPr>
    <w:rPr>
      <w:rFonts w:ascii="宋体" w:hAnsi="宋体" w:eastAsia="宋体" w:cs="Times New Roman"/>
      <w:snapToGrid w:val="0"/>
      <w:kern w:val="0"/>
      <w:szCs w:val="24"/>
    </w:rPr>
  </w:style>
  <w:style w:type="paragraph" w:styleId="9">
    <w:name w:val="Balloon Text"/>
    <w:basedOn w:val="1"/>
    <w:link w:val="28"/>
    <w:semiHidden/>
    <w:unhideWhenUsed/>
    <w:qFormat/>
    <w:uiPriority w:val="99"/>
    <w:rPr>
      <w:sz w:val="18"/>
      <w:szCs w:val="18"/>
    </w:rPr>
  </w:style>
  <w:style w:type="paragraph" w:styleId="10">
    <w:name w:val="footer"/>
    <w:basedOn w:val="1"/>
    <w:link w:val="27"/>
    <w:unhideWhenUsed/>
    <w:qFormat/>
    <w:uiPriority w:val="99"/>
    <w:pPr>
      <w:tabs>
        <w:tab w:val="center" w:pos="4153"/>
        <w:tab w:val="right" w:pos="8306"/>
      </w:tabs>
      <w:snapToGrid w:val="0"/>
      <w:jc w:val="left"/>
    </w:pPr>
    <w:rPr>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4">
    <w:name w:val="toc 2"/>
    <w:basedOn w:val="1"/>
    <w:next w:val="1"/>
    <w:unhideWhenUsed/>
    <w:qFormat/>
    <w:uiPriority w:val="39"/>
    <w:pPr>
      <w:ind w:left="420" w:leftChars="200"/>
    </w:pPr>
  </w:style>
  <w:style w:type="paragraph" w:styleId="1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Emphasis"/>
    <w:basedOn w:val="19"/>
    <w:qFormat/>
    <w:uiPriority w:val="20"/>
    <w:rPr>
      <w:color w:val="CC0000"/>
    </w:rPr>
  </w:style>
  <w:style w:type="character" w:styleId="22">
    <w:name w:val="Hyperlink"/>
    <w:basedOn w:val="19"/>
    <w:unhideWhenUsed/>
    <w:qFormat/>
    <w:uiPriority w:val="99"/>
    <w:rPr>
      <w:color w:val="0000FF" w:themeColor="hyperlink"/>
      <w:u w:val="single"/>
    </w:rPr>
  </w:style>
  <w:style w:type="character" w:styleId="23">
    <w:name w:val="HTML Cite"/>
    <w:basedOn w:val="19"/>
    <w:semiHidden/>
    <w:unhideWhenUsed/>
    <w:qFormat/>
    <w:uiPriority w:val="99"/>
    <w:rPr>
      <w:color w:val="008000"/>
    </w:rPr>
  </w:style>
  <w:style w:type="character" w:customStyle="1" w:styleId="24">
    <w:name w:val="标题 1 Char"/>
    <w:basedOn w:val="19"/>
    <w:link w:val="2"/>
    <w:qFormat/>
    <w:uiPriority w:val="99"/>
    <w:rPr>
      <w:rFonts w:ascii="Calibri" w:hAnsi="Calibri" w:eastAsia="宋体" w:cs="Times New Roman"/>
      <w:b/>
      <w:bCs/>
      <w:kern w:val="44"/>
      <w:sz w:val="44"/>
      <w:szCs w:val="44"/>
    </w:rPr>
  </w:style>
  <w:style w:type="character" w:customStyle="1" w:styleId="25">
    <w:name w:val="标题 2 Char"/>
    <w:basedOn w:val="19"/>
    <w:link w:val="3"/>
    <w:qFormat/>
    <w:uiPriority w:val="9"/>
    <w:rPr>
      <w:rFonts w:asciiTheme="majorHAnsi" w:hAnsiTheme="majorHAnsi" w:eastAsiaTheme="majorEastAsia" w:cstheme="majorBidi"/>
      <w:b/>
      <w:bCs/>
      <w:sz w:val="32"/>
      <w:szCs w:val="32"/>
    </w:rPr>
  </w:style>
  <w:style w:type="character" w:customStyle="1" w:styleId="26">
    <w:name w:val="页眉 Char"/>
    <w:basedOn w:val="19"/>
    <w:link w:val="11"/>
    <w:qFormat/>
    <w:uiPriority w:val="99"/>
    <w:rPr>
      <w:sz w:val="18"/>
      <w:szCs w:val="18"/>
    </w:rPr>
  </w:style>
  <w:style w:type="character" w:customStyle="1" w:styleId="27">
    <w:name w:val="页脚 Char"/>
    <w:basedOn w:val="19"/>
    <w:link w:val="10"/>
    <w:qFormat/>
    <w:uiPriority w:val="99"/>
    <w:rPr>
      <w:sz w:val="18"/>
      <w:szCs w:val="18"/>
    </w:rPr>
  </w:style>
  <w:style w:type="character" w:customStyle="1" w:styleId="28">
    <w:name w:val="批注框文本 Char"/>
    <w:basedOn w:val="19"/>
    <w:link w:val="9"/>
    <w:semiHidden/>
    <w:qFormat/>
    <w:uiPriority w:val="99"/>
    <w:rPr>
      <w:sz w:val="18"/>
      <w:szCs w:val="18"/>
    </w:rPr>
  </w:style>
  <w:style w:type="paragraph" w:styleId="29">
    <w:name w:val="List Paragraph"/>
    <w:basedOn w:val="1"/>
    <w:qFormat/>
    <w:uiPriority w:val="34"/>
    <w:pPr>
      <w:ind w:firstLine="420" w:firstLineChars="200"/>
    </w:pPr>
  </w:style>
  <w:style w:type="paragraph" w:customStyle="1" w:styleId="3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1">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19"/>
    <w:qFormat/>
    <w:uiPriority w:val="19"/>
    <w:rPr>
      <w:i/>
      <w:iCs/>
      <w:color w:val="7E7E7E" w:themeColor="text1" w:themeTint="80"/>
    </w:rPr>
  </w:style>
  <w:style w:type="character" w:customStyle="1" w:styleId="35">
    <w:name w:val="副标题 Char"/>
    <w:basedOn w:val="19"/>
    <w:link w:val="13"/>
    <w:qFormat/>
    <w:uiPriority w:val="11"/>
    <w:rPr>
      <w:rFonts w:eastAsia="宋体" w:asciiTheme="majorHAnsi" w:hAnsiTheme="majorHAnsi" w:cstheme="majorBidi"/>
      <w:b/>
      <w:bCs/>
      <w:kern w:val="28"/>
      <w:sz w:val="32"/>
      <w:szCs w:val="32"/>
    </w:rPr>
  </w:style>
  <w:style w:type="character" w:customStyle="1" w:styleId="36">
    <w:name w:val="标题 Char"/>
    <w:basedOn w:val="19"/>
    <w:link w:val="16"/>
    <w:qFormat/>
    <w:uiPriority w:val="10"/>
    <w:rPr>
      <w:rFonts w:eastAsia="宋体" w:asciiTheme="majorHAnsi" w:hAnsiTheme="majorHAnsi" w:cstheme="majorBidi"/>
      <w:b/>
      <w:bCs/>
      <w:sz w:val="32"/>
      <w:szCs w:val="32"/>
    </w:rPr>
  </w:style>
  <w:style w:type="character" w:customStyle="1" w:styleId="37">
    <w:name w:val="标题 3 Char"/>
    <w:basedOn w:val="19"/>
    <w:link w:val="4"/>
    <w:semiHidden/>
    <w:qFormat/>
    <w:uiPriority w:val="9"/>
    <w:rPr>
      <w:b/>
      <w:bCs/>
      <w:sz w:val="32"/>
      <w:szCs w:val="32"/>
    </w:rPr>
  </w:style>
  <w:style w:type="character" w:customStyle="1" w:styleId="38">
    <w:name w:val="正文文本缩进 2 Char"/>
    <w:basedOn w:val="19"/>
    <w:link w:val="8"/>
    <w:qFormat/>
    <w:uiPriority w:val="0"/>
    <w:rPr>
      <w:rFonts w:ascii="宋体" w:hAnsi="宋体" w:eastAsia="宋体" w:cs="Times New Roman"/>
      <w:snapToGrid w:val="0"/>
      <w:kern w:val="0"/>
      <w:szCs w:val="24"/>
    </w:rPr>
  </w:style>
  <w:style w:type="paragraph" w:customStyle="1" w:styleId="39">
    <w:name w:val="三级条标题"/>
    <w:basedOn w:val="1"/>
    <w:next w:val="40"/>
    <w:qFormat/>
    <w:uiPriority w:val="0"/>
    <w:pPr>
      <w:widowControl/>
      <w:ind w:left="855"/>
      <w:outlineLvl w:val="4"/>
    </w:pPr>
    <w:rPr>
      <w:rFonts w:ascii="黑体" w:hAnsi="Times New Roman" w:eastAsia="黑体" w:cs="Times New Roman"/>
      <w:kern w:val="0"/>
      <w:szCs w:val="20"/>
    </w:rPr>
  </w:style>
  <w:style w:type="paragraph" w:customStyle="1" w:styleId="40">
    <w:name w:val="段(正文）"/>
    <w:qFormat/>
    <w:uiPriority w:val="0"/>
    <w:pPr>
      <w:autoSpaceDE w:val="0"/>
      <w:autoSpaceDN w:val="0"/>
      <w:ind w:firstLine="420"/>
      <w:jc w:val="both"/>
    </w:pPr>
    <w:rPr>
      <w:rFonts w:ascii="宋体" w:hAnsi="Times New Roman" w:eastAsia="宋体" w:cs="Times New Roman"/>
      <w:sz w:val="21"/>
      <w:lang w:val="en-US" w:eastAsia="zh-CN" w:bidi="ar-SA"/>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日期 Char"/>
    <w:basedOn w:val="19"/>
    <w:link w:val="7"/>
    <w:semiHidden/>
    <w:qFormat/>
    <w:uiPriority w:val="99"/>
  </w:style>
  <w:style w:type="paragraph" w:customStyle="1" w:styleId="45">
    <w:name w:val="一级条标题"/>
    <w:next w:val="40"/>
    <w:qFormat/>
    <w:uiPriority w:val="99"/>
    <w:pPr>
      <w:spacing w:beforeLines="50" w:afterLines="50"/>
      <w:ind w:left="3970"/>
      <w:outlineLvl w:val="2"/>
    </w:pPr>
    <w:rPr>
      <w:rFonts w:ascii="黑体" w:hAnsi="Times New Roman" w:eastAsia="黑体" w:cs="Times New Roman"/>
      <w:sz w:val="21"/>
      <w:szCs w:val="21"/>
      <w:lang w:val="en-US" w:eastAsia="zh-CN" w:bidi="ar-SA"/>
    </w:rPr>
  </w:style>
  <w:style w:type="paragraph" w:customStyle="1" w:styleId="46">
    <w:name w:val="章标题"/>
    <w:next w:val="1"/>
    <w:qFormat/>
    <w:uiPriority w:val="99"/>
    <w:pPr>
      <w:spacing w:beforeLines="100" w:afterLines="100"/>
      <w:jc w:val="both"/>
      <w:outlineLvl w:val="1"/>
    </w:pPr>
    <w:rPr>
      <w:rFonts w:ascii="黑体" w:hAnsi="Times New Roman" w:eastAsia="黑体" w:cs="Times New Roman"/>
      <w:sz w:val="21"/>
      <w:lang w:val="en-US" w:eastAsia="zh-CN" w:bidi="ar-SA"/>
    </w:rPr>
  </w:style>
  <w:style w:type="paragraph" w:customStyle="1" w:styleId="47">
    <w:name w:val="二级条标题"/>
    <w:basedOn w:val="45"/>
    <w:next w:val="1"/>
    <w:qFormat/>
    <w:uiPriority w:val="99"/>
    <w:pPr>
      <w:spacing w:before="50" w:after="50"/>
      <w:ind w:left="8364"/>
      <w:outlineLvl w:val="3"/>
    </w:pPr>
  </w:style>
  <w:style w:type="paragraph" w:customStyle="1" w:styleId="48">
    <w:name w:val="四级条标题"/>
    <w:basedOn w:val="39"/>
    <w:next w:val="1"/>
    <w:qFormat/>
    <w:uiPriority w:val="99"/>
    <w:pPr>
      <w:spacing w:beforeLines="50" w:afterLines="50"/>
      <w:jc w:val="left"/>
      <w:outlineLvl w:val="5"/>
    </w:pPr>
    <w:rPr>
      <w:szCs w:val="21"/>
    </w:rPr>
  </w:style>
  <w:style w:type="paragraph" w:customStyle="1" w:styleId="49">
    <w:name w:val="五级条标题"/>
    <w:basedOn w:val="48"/>
    <w:next w:val="1"/>
    <w:qFormat/>
    <w:uiPriority w:val="99"/>
    <w:pPr>
      <w:outlineLvl w:val="6"/>
    </w:pPr>
  </w:style>
  <w:style w:type="paragraph" w:customStyle="1" w:styleId="50">
    <w:name w:val="段"/>
    <w:link w:val="5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51">
    <w:name w:val="段 Char"/>
    <w:link w:val="50"/>
    <w:qFormat/>
    <w:uiPriority w:val="0"/>
    <w:rPr>
      <w:rFonts w:ascii="宋体" w:hAnsi="Times New Roman" w:eastAsia="宋体" w:cs="Times New Roman"/>
      <w:kern w:val="0"/>
      <w:szCs w:val="20"/>
    </w:rPr>
  </w:style>
  <w:style w:type="paragraph" w:customStyle="1" w:styleId="52">
    <w:name w:val="二级无"/>
    <w:basedOn w:val="47"/>
    <w:qFormat/>
    <w:uiPriority w:val="0"/>
    <w:pPr>
      <w:spacing w:beforeLines="0" w:afterLines="0"/>
    </w:pPr>
    <w:rPr>
      <w:rFonts w:ascii="宋体" w:eastAsia="宋体"/>
    </w:rPr>
  </w:style>
  <w:style w:type="character" w:customStyle="1" w:styleId="53">
    <w:name w:val="吴江正文 Char"/>
    <w:link w:val="54"/>
    <w:qFormat/>
    <w:uiPriority w:val="0"/>
    <w:rPr>
      <w:rFonts w:ascii="宋体" w:hAnsi="宋体" w:eastAsia="宋体"/>
      <w:bCs/>
      <w:szCs w:val="21"/>
    </w:rPr>
  </w:style>
  <w:style w:type="paragraph" w:customStyle="1" w:styleId="54">
    <w:name w:val="吴江正文"/>
    <w:basedOn w:val="1"/>
    <w:link w:val="53"/>
    <w:qFormat/>
    <w:uiPriority w:val="0"/>
    <w:pPr>
      <w:spacing w:line="360" w:lineRule="auto"/>
      <w:ind w:firstLine="412" w:firstLineChars="196"/>
    </w:pPr>
    <w:rPr>
      <w:rFonts w:ascii="宋体" w:hAnsi="宋体" w:eastAsia="宋体"/>
      <w:bCs/>
      <w:szCs w:val="21"/>
    </w:rPr>
  </w:style>
  <w:style w:type="paragraph" w:customStyle="1" w:styleId="55">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56">
    <w:name w:val="c-icon"/>
    <w:basedOn w:val="19"/>
    <w:qFormat/>
    <w:uiPriority w:val="0"/>
  </w:style>
  <w:style w:type="character" w:customStyle="1" w:styleId="57">
    <w:name w:val="hover18"/>
    <w:basedOn w:val="19"/>
    <w:qFormat/>
    <w:uiPriority w:val="0"/>
  </w:style>
  <w:style w:type="character" w:customStyle="1" w:styleId="58">
    <w:name w:val="hover19"/>
    <w:basedOn w:val="19"/>
    <w:qFormat/>
    <w:uiPriority w:val="0"/>
    <w:rPr>
      <w:color w:val="315EFB"/>
    </w:rPr>
  </w:style>
  <w:style w:type="character" w:customStyle="1" w:styleId="59">
    <w:name w:val="标题 4 Char"/>
    <w:basedOn w:val="19"/>
    <w:link w:val="5"/>
    <w:semiHidden/>
    <w:qFormat/>
    <w:uiPriority w:val="9"/>
    <w:rPr>
      <w:rFonts w:asciiTheme="majorHAnsi" w:hAnsiTheme="majorHAnsi" w:eastAsiaTheme="majorEastAsia" w:cstheme="majorBidi"/>
      <w:b/>
      <w:bCs/>
      <w:kern w:val="2"/>
      <w:sz w:val="28"/>
      <w:szCs w:val="28"/>
    </w:rPr>
  </w:style>
  <w:style w:type="paragraph" w:customStyle="1" w:styleId="60">
    <w:name w:val="Table Paragraph"/>
    <w:basedOn w:val="1"/>
    <w:qFormat/>
    <w:uiPriority w:val="1"/>
    <w:pPr>
      <w:spacing w:before="40"/>
    </w:pPr>
    <w:rPr>
      <w:rFonts w:ascii="宋体" w:hAnsi="宋体" w:eastAsia="宋体" w:cs="宋体"/>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9"/>
    <customShpInfo spid="_x0000_s1028"/>
    <customShpInfo spid="_x0000_s1031"/>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EF1EE2-9D66-4E23-BCB7-C5A8A43C29C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24</Pages>
  <Words>1227</Words>
  <Characters>1580</Characters>
  <Lines>386</Lines>
  <Paragraphs>347</Paragraphs>
  <TotalTime>1</TotalTime>
  <ScaleCrop>false</ScaleCrop>
  <LinksUpToDate>false</LinksUpToDate>
  <CharactersWithSpaces>1844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2021-11-05T06:30:00Z</dcterms:created>
  <dc:creator>wy</dc:creator>
  <cp:lastModifiedBy>郑风·子衿</cp:lastModifiedBy>
  <cp:lastPrinted>2025-03-18T04:14:00Z</cp:lastPrinted>
  <dcterms:modified xsi:type="dcterms:W3CDTF">2025-05-22T01:58:10Z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75ECDADAD0504CB39962EDA5DCA6E741</vt:lpwstr>
  </property>
  <property fmtid="{D5CDD505-2E9C-101B-9397-08002B2CF9AE}" pid="4" name="KSOTemplateDocerSaveRecord">
    <vt:lpwstr>eyJoZGlkIjoiOTc1N2NkNTA2Yjc2MDUzMTMxMWE3NzhkYWQxMGVkMTQiLCJ1c2VySWQiOiIyMzU2NjAyMTgifQ==</vt:lpwstr>
  </property>
</Properties>
</file>