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257BF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067BD59">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06D7F26D">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lang w:val="en-US" w:eastAsia="zh-CN"/>
              </w:rPr>
              <w:t>03.</w:t>
            </w:r>
            <w:r>
              <w:rPr>
                <w:rFonts w:hint="eastAsia" w:ascii="黑体" w:hAnsi="黑体" w:eastAsia="黑体"/>
                <w:sz w:val="21"/>
                <w:szCs w:val="21"/>
              </w:rPr>
              <w:t>18</w:t>
            </w:r>
            <w:r>
              <w:rPr>
                <w:rFonts w:hint="eastAsia" w:ascii="黑体" w:hAnsi="黑体" w:eastAsia="黑体"/>
                <w:sz w:val="21"/>
                <w:szCs w:val="21"/>
                <w:lang w:val="en-US" w:eastAsia="zh-CN"/>
              </w:rPr>
              <w:t>0</w:t>
            </w:r>
            <w:r>
              <w:rPr>
                <w:rFonts w:ascii="黑体" w:hAnsi="黑体" w:eastAsia="黑体"/>
                <w:sz w:val="21"/>
                <w:szCs w:val="21"/>
              </w:rPr>
              <w:t xml:space="preserve"> </w:t>
            </w:r>
            <w:r>
              <w:rPr>
                <w:rFonts w:ascii="黑体" w:hAnsi="黑体" w:eastAsia="黑体"/>
                <w:sz w:val="21"/>
                <w:szCs w:val="21"/>
              </w:rPr>
              <w:fldChar w:fldCharType="end"/>
            </w:r>
            <w:bookmarkEnd w:id="0"/>
          </w:p>
        </w:tc>
      </w:tr>
      <w:tr w14:paraId="2428D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1F28F194">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00C86DCC">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lang w:val="en-US" w:eastAsia="zh-CN"/>
              </w:rPr>
              <w:t xml:space="preserve">A </w:t>
            </w:r>
            <w:r>
              <w:rPr>
                <w:rFonts w:hint="eastAsia" w:ascii="黑体" w:hAnsi="黑体" w:eastAsia="黑体"/>
                <w:sz w:val="21"/>
                <w:szCs w:val="21"/>
              </w:rPr>
              <w:t>18</w:t>
            </w:r>
            <w:r>
              <w:rPr>
                <w:rFonts w:ascii="黑体" w:hAnsi="黑体" w:eastAsia="黑体"/>
                <w:sz w:val="21"/>
                <w:szCs w:val="21"/>
              </w:rPr>
              <w:fldChar w:fldCharType="end"/>
            </w:r>
            <w:bookmarkEnd w:id="1"/>
          </w:p>
        </w:tc>
      </w:tr>
    </w:tbl>
    <w:tbl>
      <w:tblPr>
        <w:tblStyle w:val="28"/>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2187FD1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4D326636">
            <w:pPr>
              <w:pStyle w:val="50"/>
              <w:framePr w:w="0" w:hRule="auto" w:wrap="auto" w:vAnchor="margin" w:hAnchor="text" w:xAlign="left" w:yAlign="inline"/>
              <w:rPr>
                <w:rFonts w:hint="eastAsia"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3205</w:t>
            </w:r>
            <w:r>
              <w:fldChar w:fldCharType="end"/>
            </w:r>
            <w:bookmarkEnd w:id="3"/>
          </w:p>
        </w:tc>
      </w:tr>
    </w:tbl>
    <w:p w14:paraId="79057135">
      <w:pPr>
        <w:pStyle w:val="51"/>
        <w:framePr w:w="9639" w:h="624" w:hRule="exact" w:hSpace="181" w:vSpace="181" w:wrap="around"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苏州市</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60D5093F">
      <w:pPr>
        <w:pStyle w:val="196"/>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lang w:val="en-US" w:eastAsia="zh-CN"/>
        </w:rPr>
        <w:t>3205</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67D08DA0">
      <w:pPr>
        <w:pStyle w:val="197"/>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46D627DD">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20C422FA">
      <w:pPr>
        <w:pStyle w:val="51"/>
        <w:framePr w:w="9639" w:h="6976" w:hRule="exact" w:hSpace="0" w:vSpace="0" w:wrap="around" w:hAnchor="page" w:y="6408"/>
        <w:jc w:val="center"/>
        <w:rPr>
          <w:rFonts w:hint="eastAsia" w:ascii="黑体" w:hAnsi="黑体" w:eastAsia="黑体"/>
          <w:b w:val="0"/>
          <w:bCs w:val="0"/>
          <w:w w:val="100"/>
        </w:rPr>
      </w:pPr>
    </w:p>
    <w:p w14:paraId="1F7E948F">
      <w:pPr>
        <w:pStyle w:val="198"/>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认证专业人员职业能力培养规范</w:t>
      </w:r>
      <w:r>
        <w:fldChar w:fldCharType="end"/>
      </w:r>
      <w:bookmarkEnd w:id="9"/>
    </w:p>
    <w:p w14:paraId="5615ED37">
      <w:pPr>
        <w:framePr w:w="9639" w:h="6974" w:hRule="exact" w:wrap="around" w:vAnchor="page" w:hAnchor="page" w:x="1419" w:y="6408" w:anchorLock="1"/>
        <w:ind w:left="-1418"/>
      </w:pPr>
    </w:p>
    <w:p w14:paraId="223A4AD2">
      <w:pPr>
        <w:pStyle w:val="126"/>
        <w:framePr w:w="9639" w:h="6974" w:hRule="exact" w:wrap="around" w:vAnchor="page" w:hAnchor="page" w:x="1419" w:y="6408" w:anchorLock="1"/>
        <w:textAlignment w:val="bottom"/>
        <w:rPr>
          <w:rFonts w:hint="eastAsia"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hint="eastAsia" w:ascii="黑体" w:hAnsi="黑体" w:eastAsia="黑体"/>
          <w:szCs w:val="28"/>
        </w:rPr>
        <w:t xml:space="preserve">Specification for the </w:t>
      </w:r>
      <w:r>
        <w:rPr>
          <w:rFonts w:hint="eastAsia" w:ascii="黑体" w:hAnsi="黑体" w:eastAsia="黑体"/>
          <w:szCs w:val="28"/>
          <w:lang w:val="en-US" w:eastAsia="zh-CN"/>
        </w:rPr>
        <w:t>c</w:t>
      </w:r>
      <w:r>
        <w:rPr>
          <w:rFonts w:hint="eastAsia" w:ascii="黑体" w:hAnsi="黑体" w:eastAsia="黑体"/>
          <w:szCs w:val="28"/>
        </w:rPr>
        <w:t xml:space="preserve">ultivation of </w:t>
      </w:r>
      <w:r>
        <w:rPr>
          <w:rFonts w:hint="eastAsia" w:ascii="黑体" w:hAnsi="黑体" w:eastAsia="黑体"/>
          <w:szCs w:val="28"/>
          <w:lang w:val="en-US" w:eastAsia="zh-CN"/>
        </w:rPr>
        <w:t>p</w:t>
      </w:r>
      <w:r>
        <w:rPr>
          <w:rFonts w:hint="eastAsia" w:ascii="黑体" w:hAnsi="黑体" w:eastAsia="黑体"/>
          <w:szCs w:val="28"/>
        </w:rPr>
        <w:t xml:space="preserve">rofessional </w:t>
      </w:r>
      <w:r>
        <w:rPr>
          <w:rFonts w:hint="eastAsia" w:ascii="黑体" w:hAnsi="黑体" w:eastAsia="黑体"/>
          <w:szCs w:val="28"/>
          <w:lang w:val="en-US" w:eastAsia="zh-CN"/>
        </w:rPr>
        <w:t>c</w:t>
      </w:r>
      <w:r>
        <w:rPr>
          <w:rFonts w:hint="eastAsia" w:ascii="黑体" w:hAnsi="黑体" w:eastAsia="黑体"/>
          <w:szCs w:val="28"/>
        </w:rPr>
        <w:t xml:space="preserve">ompetence in </w:t>
      </w:r>
      <w:r>
        <w:rPr>
          <w:rFonts w:hint="eastAsia" w:ascii="黑体" w:hAnsi="黑体" w:eastAsia="黑体"/>
          <w:szCs w:val="28"/>
          <w:lang w:val="en-US" w:eastAsia="zh-CN"/>
        </w:rPr>
        <w:t>c</w:t>
      </w:r>
      <w:r>
        <w:rPr>
          <w:rFonts w:hint="eastAsia" w:ascii="黑体" w:hAnsi="黑体" w:eastAsia="黑体"/>
          <w:szCs w:val="28"/>
        </w:rPr>
        <w:t xml:space="preserve">ertified </w:t>
      </w:r>
      <w:r>
        <w:rPr>
          <w:rFonts w:hint="eastAsia" w:ascii="黑体" w:hAnsi="黑体" w:eastAsia="黑体"/>
          <w:szCs w:val="28"/>
          <w:lang w:val="en-US" w:eastAsia="zh-CN"/>
        </w:rPr>
        <w:t>p</w:t>
      </w:r>
      <w:r>
        <w:rPr>
          <w:rFonts w:hint="eastAsia" w:ascii="黑体" w:hAnsi="黑体" w:eastAsia="黑体"/>
          <w:szCs w:val="28"/>
        </w:rPr>
        <w:t>rofessionals</w:t>
      </w:r>
      <w:r>
        <w:rPr>
          <w:rFonts w:ascii="黑体" w:hAnsi="黑体" w:eastAsia="黑体"/>
          <w:szCs w:val="28"/>
        </w:rPr>
        <w:fldChar w:fldCharType="end"/>
      </w:r>
      <w:bookmarkEnd w:id="10"/>
    </w:p>
    <w:p w14:paraId="31552D16">
      <w:pPr>
        <w:framePr w:w="9639" w:h="6974" w:hRule="exact" w:wrap="around" w:vAnchor="page" w:hAnchor="page" w:x="1419" w:y="6408" w:anchorLock="1"/>
        <w:spacing w:line="760" w:lineRule="exact"/>
        <w:ind w:left="-1418"/>
      </w:pPr>
    </w:p>
    <w:p w14:paraId="2BAF73D1">
      <w:pPr>
        <w:pStyle w:val="126"/>
        <w:framePr w:w="9639" w:h="6974" w:hRule="exact" w:wrap="around" w:vAnchor="page" w:hAnchor="page" w:x="1419" w:y="6408" w:anchorLock="1"/>
        <w:textAlignment w:val="bottom"/>
        <w:rPr>
          <w:rFonts w:eastAsia="黑体"/>
          <w:szCs w:val="28"/>
        </w:rPr>
      </w:pPr>
    </w:p>
    <w:p w14:paraId="04FAF611">
      <w:pPr>
        <w:pStyle w:val="126"/>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2ABE9530">
      <w:pPr>
        <w:pStyle w:val="126"/>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6C6E0FF4">
      <w:pPr>
        <w:pStyle w:val="126"/>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5566E259">
      <w:pPr>
        <w:pStyle w:val="194"/>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hint="eastAsia" w:ascii="黑体"/>
          <w:lang w:eastAsia="zh-CN"/>
        </w:rPr>
        <w:t>2</w:t>
      </w:r>
      <w:r>
        <w:rPr>
          <w:rFonts w:hint="eastAsia" w:ascii="黑体"/>
          <w:lang w:val="en-US" w:eastAsia="zh-CN"/>
        </w:rPr>
        <w:t>025</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670660F2">
      <w:pPr>
        <w:pStyle w:val="195"/>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hint="eastAsia" w:ascii="黑体"/>
          <w:lang w:eastAsia="zh-CN"/>
        </w:rPr>
        <w:t>2</w:t>
      </w:r>
      <w:r>
        <w:rPr>
          <w:rFonts w:hint="eastAsia" w:ascii="黑体"/>
          <w:lang w:val="en-US" w:eastAsia="zh-CN"/>
        </w:rPr>
        <w:t>025</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7AC22456">
      <w:pPr>
        <w:pStyle w:val="152"/>
        <w:framePr w:h="584" w:hRule="exact" w:hSpace="181" w:vSpace="181" w:wrap="around" w:y="15027"/>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Ansi="黑体"/>
          <w:w w:val="100"/>
          <w:sz w:val="28"/>
        </w:rPr>
        <w:t>     </w:t>
      </w:r>
      <w:r>
        <w:rPr>
          <w:rFonts w:hAnsi="黑体"/>
          <w:w w:val="100"/>
          <w:sz w:val="28"/>
        </w:rPr>
        <w:fldChar w:fldCharType="end"/>
      </w:r>
      <w:bookmarkEnd w:id="20"/>
      <w:r>
        <w:rPr>
          <w:rFonts w:ascii="Times New Roman"/>
          <w:w w:val="100"/>
          <w:sz w:val="28"/>
        </w:rPr>
        <w:t>  </w:t>
      </w:r>
      <w:r>
        <w:rPr>
          <w:rStyle w:val="230"/>
          <w:rFonts w:hint="eastAsia" w:hAnsi="黑体"/>
          <w:position w:val="0"/>
        </w:rPr>
        <w:t>发</w:t>
      </w:r>
      <w:r>
        <w:rPr>
          <w:rStyle w:val="230"/>
          <w:rFonts w:hint="eastAsia" w:hAnsi="黑体"/>
          <w:spacing w:val="0"/>
          <w:position w:val="0"/>
        </w:rPr>
        <w:t>布</w:t>
      </w:r>
    </w:p>
    <w:p w14:paraId="3047A367">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4503EEAB">
      <w:pPr>
        <w:pStyle w:val="92"/>
        <w:spacing w:after="468"/>
      </w:pPr>
      <w:bookmarkStart w:id="21" w:name="BookMark1"/>
      <w:bookmarkStart w:id="22" w:name="_Toc179529595"/>
      <w:r>
        <w:rPr>
          <w:rFonts w:hint="eastAsia"/>
          <w:spacing w:val="320"/>
        </w:rPr>
        <w:t>目</w:t>
      </w:r>
      <w:bookmarkStart w:id="94" w:name="_GoBack"/>
      <w:bookmarkEnd w:id="94"/>
      <w:r>
        <w:rPr>
          <w:rFonts w:hint="eastAsia"/>
        </w:rPr>
        <w:t>次</w:t>
      </w:r>
    </w:p>
    <w:p w14:paraId="795B0EE4">
      <w:pPr>
        <w:pStyle w:val="19"/>
        <w:tabs>
          <w:tab w:val="right" w:leader="dot" w:pos="9354"/>
        </w:tabs>
      </w:pPr>
      <w:r>
        <w:rPr>
          <w:rFonts w:hint="eastAsia" w:ascii="宋体" w:hAnsi="宋体" w:eastAsia="宋体" w:cs="宋体"/>
          <w:kern w:val="0"/>
          <w:szCs w:val="32"/>
          <w:lang w:val="en-US" w:eastAsia="zh-CN"/>
        </w:rPr>
        <w:fldChar w:fldCharType="begin"/>
      </w:r>
      <w:r>
        <w:rPr>
          <w:rFonts w:hint="eastAsia" w:ascii="宋体" w:hAnsi="宋体" w:eastAsia="宋体" w:cs="宋体"/>
          <w:kern w:val="0"/>
          <w:szCs w:val="32"/>
          <w:lang w:val="en-US" w:eastAsia="zh-CN"/>
        </w:rPr>
        <w:instrText xml:space="preserve"> TOC \o "1-1" \h \t "标准文件_一级条标题,2,标准文件_附录一级条标题,2," </w:instrText>
      </w:r>
      <w:r>
        <w:rPr>
          <w:rFonts w:hint="eastAsia" w:ascii="宋体" w:hAnsi="宋体" w:eastAsia="宋体" w:cs="宋体"/>
          <w:kern w:val="0"/>
          <w:szCs w:val="32"/>
          <w:lang w:val="en-US" w:eastAsia="zh-CN"/>
        </w:rPr>
        <w:fldChar w:fldCharType="separate"/>
      </w:r>
      <w:r>
        <w:rPr>
          <w:rFonts w:hint="eastAsia" w:ascii="宋体" w:hAnsi="宋体" w:eastAsia="宋体" w:cs="宋体"/>
          <w:kern w:val="0"/>
          <w:szCs w:val="32"/>
          <w:lang w:val="en-US" w:eastAsia="zh-CN"/>
        </w:rPr>
        <w:fldChar w:fldCharType="begin"/>
      </w:r>
      <w:r>
        <w:rPr>
          <w:rFonts w:hint="eastAsia" w:ascii="宋体" w:hAnsi="宋体" w:eastAsia="宋体" w:cs="宋体"/>
          <w:kern w:val="0"/>
          <w:szCs w:val="32"/>
          <w:lang w:val="en-US" w:eastAsia="zh-CN"/>
        </w:rPr>
        <w:instrText xml:space="preserve"> HYPERLINK \l _Toc31084 </w:instrText>
      </w:r>
      <w:r>
        <w:rPr>
          <w:rFonts w:hint="eastAsia" w:ascii="宋体" w:hAnsi="宋体" w:eastAsia="宋体" w:cs="宋体"/>
          <w:kern w:val="0"/>
          <w:szCs w:val="32"/>
          <w:lang w:val="en-US" w:eastAsia="zh-CN"/>
        </w:rPr>
        <w:fldChar w:fldCharType="separate"/>
      </w:r>
      <w:r>
        <w:rPr>
          <w:rFonts w:hint="eastAsia"/>
          <w:spacing w:val="320"/>
        </w:rPr>
        <w:t>前</w:t>
      </w:r>
      <w:r>
        <w:rPr>
          <w:rFonts w:hint="eastAsia"/>
        </w:rPr>
        <w:t>言</w:t>
      </w:r>
      <w:r>
        <w:tab/>
      </w:r>
      <w:r>
        <w:fldChar w:fldCharType="begin"/>
      </w:r>
      <w:r>
        <w:instrText xml:space="preserve"> PAGEREF _Toc31084 \h </w:instrText>
      </w:r>
      <w:r>
        <w:fldChar w:fldCharType="separate"/>
      </w:r>
      <w:r>
        <w:t>II</w:t>
      </w:r>
      <w:r>
        <w:fldChar w:fldCharType="end"/>
      </w:r>
      <w:r>
        <w:rPr>
          <w:rFonts w:hint="eastAsia" w:ascii="宋体" w:hAnsi="宋体" w:eastAsia="宋体" w:cs="宋体"/>
          <w:kern w:val="0"/>
          <w:szCs w:val="32"/>
          <w:lang w:val="en-US" w:eastAsia="zh-CN"/>
        </w:rPr>
        <w:fldChar w:fldCharType="end"/>
      </w:r>
    </w:p>
    <w:p w14:paraId="03F56056">
      <w:pPr>
        <w:pStyle w:val="19"/>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_Toc15931 </w:instrText>
      </w:r>
      <w:r>
        <w:rPr>
          <w:rFonts w:hint="eastAsia" w:ascii="宋体" w:hAnsi="宋体" w:eastAsia="宋体" w:cs="宋体"/>
          <w:szCs w:val="21"/>
        </w:rPr>
        <w:fldChar w:fldCharType="separate"/>
      </w:r>
      <w:r>
        <w:rPr>
          <w:spacing w:val="320"/>
        </w:rPr>
        <w:t>引</w:t>
      </w:r>
      <w:r>
        <w:t>言</w:t>
      </w:r>
      <w:r>
        <w:tab/>
      </w:r>
      <w:r>
        <w:fldChar w:fldCharType="begin"/>
      </w:r>
      <w:r>
        <w:instrText xml:space="preserve"> PAGEREF _Toc15931 \h </w:instrText>
      </w:r>
      <w:r>
        <w:fldChar w:fldCharType="separate"/>
      </w:r>
      <w:r>
        <w:t>III</w:t>
      </w:r>
      <w:r>
        <w:fldChar w:fldCharType="end"/>
      </w:r>
      <w:r>
        <w:rPr>
          <w:rFonts w:hint="eastAsia" w:ascii="宋体" w:hAnsi="宋体" w:eastAsia="宋体" w:cs="宋体"/>
          <w:szCs w:val="21"/>
        </w:rPr>
        <w:fldChar w:fldCharType="end"/>
      </w:r>
    </w:p>
    <w:p w14:paraId="6C01DBE4">
      <w:pPr>
        <w:pStyle w:val="19"/>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_Toc23046 </w:instrText>
      </w:r>
      <w:r>
        <w:rPr>
          <w:rFonts w:hint="eastAsia" w:ascii="宋体" w:hAnsi="宋体" w:eastAsia="宋体" w:cs="宋体"/>
          <w:szCs w:val="21"/>
        </w:rPr>
        <w:fldChar w:fldCharType="separate"/>
      </w:r>
      <w:r>
        <w:rPr>
          <w:rFonts w:hint="eastAsia" w:ascii="黑体" w:eastAsia="黑体"/>
          <w:i w:val="0"/>
        </w:rPr>
        <w:t xml:space="preserve">1 </w:t>
      </w:r>
      <w:r>
        <w:rPr>
          <w:rFonts w:hint="eastAsia"/>
        </w:rPr>
        <w:t>范围</w:t>
      </w:r>
      <w:r>
        <w:tab/>
      </w:r>
      <w:r>
        <w:fldChar w:fldCharType="begin"/>
      </w:r>
      <w:r>
        <w:instrText xml:space="preserve"> PAGEREF _Toc23046 \h </w:instrText>
      </w:r>
      <w:r>
        <w:fldChar w:fldCharType="separate"/>
      </w:r>
      <w:r>
        <w:t>1</w:t>
      </w:r>
      <w:r>
        <w:fldChar w:fldCharType="end"/>
      </w:r>
      <w:r>
        <w:rPr>
          <w:rFonts w:hint="eastAsia" w:ascii="宋体" w:hAnsi="宋体" w:eastAsia="宋体" w:cs="宋体"/>
          <w:szCs w:val="21"/>
        </w:rPr>
        <w:fldChar w:fldCharType="end"/>
      </w:r>
    </w:p>
    <w:p w14:paraId="286BC2EA">
      <w:pPr>
        <w:pStyle w:val="19"/>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_Toc7537 </w:instrText>
      </w:r>
      <w:r>
        <w:rPr>
          <w:rFonts w:hint="eastAsia" w:ascii="宋体" w:hAnsi="宋体" w:eastAsia="宋体" w:cs="宋体"/>
          <w:szCs w:val="21"/>
        </w:rPr>
        <w:fldChar w:fldCharType="separate"/>
      </w:r>
      <w:r>
        <w:rPr>
          <w:rFonts w:hint="eastAsia" w:ascii="黑体" w:eastAsia="黑体"/>
          <w:i w:val="0"/>
        </w:rPr>
        <w:t xml:space="preserve">2 </w:t>
      </w:r>
      <w:r>
        <w:rPr>
          <w:rFonts w:hint="eastAsia"/>
        </w:rPr>
        <w:t>规范性引用文件</w:t>
      </w:r>
      <w:r>
        <w:tab/>
      </w:r>
      <w:r>
        <w:fldChar w:fldCharType="begin"/>
      </w:r>
      <w:r>
        <w:instrText xml:space="preserve"> PAGEREF _Toc7537 \h </w:instrText>
      </w:r>
      <w:r>
        <w:fldChar w:fldCharType="separate"/>
      </w:r>
      <w:r>
        <w:t>1</w:t>
      </w:r>
      <w:r>
        <w:fldChar w:fldCharType="end"/>
      </w:r>
      <w:r>
        <w:rPr>
          <w:rFonts w:hint="eastAsia" w:ascii="宋体" w:hAnsi="宋体" w:eastAsia="宋体" w:cs="宋体"/>
          <w:szCs w:val="21"/>
        </w:rPr>
        <w:fldChar w:fldCharType="end"/>
      </w:r>
    </w:p>
    <w:p w14:paraId="58741309">
      <w:pPr>
        <w:pStyle w:val="19"/>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_Toc20091 </w:instrText>
      </w:r>
      <w:r>
        <w:rPr>
          <w:rFonts w:hint="eastAsia" w:ascii="宋体" w:hAnsi="宋体" w:eastAsia="宋体" w:cs="宋体"/>
          <w:szCs w:val="21"/>
        </w:rPr>
        <w:fldChar w:fldCharType="separate"/>
      </w:r>
      <w:r>
        <w:rPr>
          <w:rFonts w:hint="eastAsia" w:ascii="黑体" w:eastAsia="黑体"/>
          <w:i w:val="0"/>
        </w:rPr>
        <w:t xml:space="preserve">3 </w:t>
      </w:r>
      <w:r>
        <w:rPr>
          <w:rFonts w:hint="eastAsia"/>
          <w:szCs w:val="21"/>
        </w:rPr>
        <w:t>术语和定义</w:t>
      </w:r>
      <w:r>
        <w:tab/>
      </w:r>
      <w:r>
        <w:fldChar w:fldCharType="begin"/>
      </w:r>
      <w:r>
        <w:instrText xml:space="preserve"> PAGEREF _Toc20091 \h </w:instrText>
      </w:r>
      <w:r>
        <w:fldChar w:fldCharType="separate"/>
      </w:r>
      <w:r>
        <w:t>1</w:t>
      </w:r>
      <w:r>
        <w:fldChar w:fldCharType="end"/>
      </w:r>
      <w:r>
        <w:rPr>
          <w:rFonts w:hint="eastAsia" w:ascii="宋体" w:hAnsi="宋体" w:eastAsia="宋体" w:cs="宋体"/>
          <w:szCs w:val="21"/>
        </w:rPr>
        <w:fldChar w:fldCharType="end"/>
      </w:r>
    </w:p>
    <w:p w14:paraId="63A0B1EF">
      <w:pPr>
        <w:pStyle w:val="19"/>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_Toc19050 </w:instrText>
      </w:r>
      <w:r>
        <w:rPr>
          <w:rFonts w:hint="eastAsia" w:ascii="宋体" w:hAnsi="宋体" w:eastAsia="宋体" w:cs="宋体"/>
          <w:szCs w:val="21"/>
        </w:rPr>
        <w:fldChar w:fldCharType="separate"/>
      </w:r>
      <w:r>
        <w:rPr>
          <w:rFonts w:hint="eastAsia" w:ascii="黑体" w:eastAsia="黑体"/>
          <w:i w:val="0"/>
        </w:rPr>
        <w:t xml:space="preserve">4 </w:t>
      </w:r>
      <w:r>
        <w:rPr>
          <w:rFonts w:hint="eastAsia"/>
        </w:rPr>
        <w:t>基本要求</w:t>
      </w:r>
      <w:r>
        <w:tab/>
      </w:r>
      <w:r>
        <w:fldChar w:fldCharType="begin"/>
      </w:r>
      <w:r>
        <w:instrText xml:space="preserve"> PAGEREF _Toc19050 \h </w:instrText>
      </w:r>
      <w:r>
        <w:fldChar w:fldCharType="separate"/>
      </w:r>
      <w:r>
        <w:t>1</w:t>
      </w:r>
      <w:r>
        <w:fldChar w:fldCharType="end"/>
      </w:r>
      <w:r>
        <w:rPr>
          <w:rFonts w:hint="eastAsia" w:ascii="宋体" w:hAnsi="宋体" w:eastAsia="宋体" w:cs="宋体"/>
          <w:szCs w:val="21"/>
        </w:rPr>
        <w:fldChar w:fldCharType="end"/>
      </w:r>
    </w:p>
    <w:p w14:paraId="00D7F395">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_Toc26278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4.1 </w:t>
      </w:r>
      <w:r>
        <w:rPr>
          <w:rFonts w:hint="eastAsia"/>
        </w:rPr>
        <w:t>机构资质要求</w:t>
      </w:r>
      <w:r>
        <w:tab/>
      </w:r>
      <w:r>
        <w:fldChar w:fldCharType="begin"/>
      </w:r>
      <w:r>
        <w:instrText xml:space="preserve"> PAGEREF _Toc26278 \h </w:instrText>
      </w:r>
      <w:r>
        <w:fldChar w:fldCharType="separate"/>
      </w:r>
      <w:r>
        <w:t>2</w:t>
      </w:r>
      <w:r>
        <w:fldChar w:fldCharType="end"/>
      </w:r>
      <w:r>
        <w:rPr>
          <w:rFonts w:hint="eastAsia" w:ascii="宋体" w:hAnsi="宋体" w:eastAsia="宋体" w:cs="宋体"/>
          <w:szCs w:val="21"/>
        </w:rPr>
        <w:fldChar w:fldCharType="end"/>
      </w:r>
    </w:p>
    <w:p w14:paraId="7D016364">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_Toc27210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4.2 </w:t>
      </w:r>
      <w:r>
        <w:rPr>
          <w:rFonts w:hint="eastAsia"/>
        </w:rPr>
        <w:t>场地与设施要求</w:t>
      </w:r>
      <w:r>
        <w:tab/>
      </w:r>
      <w:r>
        <w:fldChar w:fldCharType="begin"/>
      </w:r>
      <w:r>
        <w:instrText xml:space="preserve"> PAGEREF _Toc27210 \h </w:instrText>
      </w:r>
      <w:r>
        <w:fldChar w:fldCharType="separate"/>
      </w:r>
      <w:r>
        <w:t>2</w:t>
      </w:r>
      <w:r>
        <w:fldChar w:fldCharType="end"/>
      </w:r>
      <w:r>
        <w:rPr>
          <w:rFonts w:hint="eastAsia" w:ascii="宋体" w:hAnsi="宋体" w:eastAsia="宋体" w:cs="宋体"/>
          <w:szCs w:val="21"/>
        </w:rPr>
        <w:fldChar w:fldCharType="end"/>
      </w:r>
    </w:p>
    <w:p w14:paraId="6C79AE73">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_Toc32000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4.3 </w:t>
      </w:r>
      <w:r>
        <w:rPr>
          <w:rFonts w:hint="eastAsia"/>
        </w:rPr>
        <w:t>师资要求</w:t>
      </w:r>
      <w:r>
        <w:tab/>
      </w:r>
      <w:r>
        <w:fldChar w:fldCharType="begin"/>
      </w:r>
      <w:r>
        <w:instrText xml:space="preserve"> PAGEREF _Toc32000 \h </w:instrText>
      </w:r>
      <w:r>
        <w:fldChar w:fldCharType="separate"/>
      </w:r>
      <w:r>
        <w:t>2</w:t>
      </w:r>
      <w:r>
        <w:fldChar w:fldCharType="end"/>
      </w:r>
      <w:r>
        <w:rPr>
          <w:rFonts w:hint="eastAsia" w:ascii="宋体" w:hAnsi="宋体" w:eastAsia="宋体" w:cs="宋体"/>
          <w:szCs w:val="21"/>
        </w:rPr>
        <w:fldChar w:fldCharType="end"/>
      </w:r>
    </w:p>
    <w:p w14:paraId="21033D88">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_Toc14312 </w:instrText>
      </w:r>
      <w:r>
        <w:rPr>
          <w:rFonts w:hint="eastAsia" w:ascii="宋体" w:hAnsi="宋体" w:eastAsia="宋体" w:cs="宋体"/>
          <w:szCs w:val="21"/>
        </w:rPr>
        <w:fldChar w:fldCharType="separate"/>
      </w:r>
      <w:r>
        <w:rPr>
          <w:rFonts w:hint="eastAsia"/>
          <w:lang w:val="en-US" w:eastAsia="zh-CN"/>
        </w:rPr>
        <w:t>4.3.1 理论课程教师</w:t>
      </w:r>
      <w:r>
        <w:tab/>
      </w:r>
      <w:r>
        <w:fldChar w:fldCharType="begin"/>
      </w:r>
      <w:r>
        <w:instrText xml:space="preserve"> PAGEREF _Toc14312 \h </w:instrText>
      </w:r>
      <w:r>
        <w:fldChar w:fldCharType="separate"/>
      </w:r>
      <w:r>
        <w:t>2</w:t>
      </w:r>
      <w:r>
        <w:fldChar w:fldCharType="end"/>
      </w:r>
      <w:r>
        <w:rPr>
          <w:rFonts w:hint="eastAsia" w:ascii="宋体" w:hAnsi="宋体" w:eastAsia="宋体" w:cs="宋体"/>
          <w:szCs w:val="21"/>
        </w:rPr>
        <w:fldChar w:fldCharType="end"/>
      </w:r>
    </w:p>
    <w:p w14:paraId="037C4C0A">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_Toc2628 </w:instrText>
      </w:r>
      <w:r>
        <w:rPr>
          <w:rFonts w:hint="eastAsia" w:ascii="宋体" w:hAnsi="宋体" w:eastAsia="宋体" w:cs="宋体"/>
          <w:szCs w:val="21"/>
        </w:rPr>
        <w:fldChar w:fldCharType="separate"/>
      </w:r>
      <w:r>
        <w:rPr>
          <w:rFonts w:hint="eastAsia"/>
          <w:lang w:val="en-US" w:eastAsia="zh-CN"/>
        </w:rPr>
        <w:t>4.3.2 实践导师</w:t>
      </w:r>
      <w:r>
        <w:tab/>
      </w:r>
      <w:r>
        <w:fldChar w:fldCharType="begin"/>
      </w:r>
      <w:r>
        <w:instrText xml:space="preserve"> PAGEREF _Toc2628 \h </w:instrText>
      </w:r>
      <w:r>
        <w:fldChar w:fldCharType="separate"/>
      </w:r>
      <w:r>
        <w:t>2</w:t>
      </w:r>
      <w:r>
        <w:fldChar w:fldCharType="end"/>
      </w:r>
      <w:r>
        <w:rPr>
          <w:rFonts w:hint="eastAsia" w:ascii="宋体" w:hAnsi="宋体" w:eastAsia="宋体" w:cs="宋体"/>
          <w:szCs w:val="21"/>
        </w:rPr>
        <w:fldChar w:fldCharType="end"/>
      </w:r>
    </w:p>
    <w:p w14:paraId="240B7741">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_Toc13668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4.4 </w:t>
      </w:r>
      <w:r>
        <w:rPr>
          <w:rFonts w:hint="eastAsia"/>
          <w:lang w:val="en-US" w:eastAsia="zh-CN"/>
        </w:rPr>
        <w:t>学员基本要求</w:t>
      </w:r>
      <w:r>
        <w:tab/>
      </w:r>
      <w:r>
        <w:fldChar w:fldCharType="begin"/>
      </w:r>
      <w:r>
        <w:instrText xml:space="preserve"> PAGEREF _Toc13668 \h </w:instrText>
      </w:r>
      <w:r>
        <w:fldChar w:fldCharType="separate"/>
      </w:r>
      <w:r>
        <w:t>2</w:t>
      </w:r>
      <w:r>
        <w:fldChar w:fldCharType="end"/>
      </w:r>
      <w:r>
        <w:rPr>
          <w:rFonts w:hint="eastAsia" w:ascii="宋体" w:hAnsi="宋体" w:eastAsia="宋体" w:cs="宋体"/>
          <w:szCs w:val="21"/>
        </w:rPr>
        <w:fldChar w:fldCharType="end"/>
      </w:r>
    </w:p>
    <w:p w14:paraId="4C1900B2">
      <w:pPr>
        <w:pStyle w:val="19"/>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_Toc2840 </w:instrText>
      </w:r>
      <w:r>
        <w:rPr>
          <w:rFonts w:hint="eastAsia" w:ascii="宋体" w:hAnsi="宋体" w:eastAsia="宋体" w:cs="宋体"/>
          <w:szCs w:val="21"/>
        </w:rPr>
        <w:fldChar w:fldCharType="separate"/>
      </w:r>
      <w:r>
        <w:rPr>
          <w:rFonts w:hint="eastAsia" w:ascii="黑体" w:eastAsia="黑体"/>
          <w:i w:val="0"/>
        </w:rPr>
        <w:t xml:space="preserve">5 </w:t>
      </w:r>
      <w:r>
        <w:rPr>
          <w:rFonts w:hint="eastAsia"/>
        </w:rPr>
        <w:t>培养要求</w:t>
      </w:r>
      <w:r>
        <w:tab/>
      </w:r>
      <w:r>
        <w:fldChar w:fldCharType="begin"/>
      </w:r>
      <w:r>
        <w:instrText xml:space="preserve"> PAGEREF _Toc2840 \h </w:instrText>
      </w:r>
      <w:r>
        <w:fldChar w:fldCharType="separate"/>
      </w:r>
      <w:r>
        <w:t>2</w:t>
      </w:r>
      <w:r>
        <w:fldChar w:fldCharType="end"/>
      </w:r>
      <w:r>
        <w:rPr>
          <w:rFonts w:hint="eastAsia" w:ascii="宋体" w:hAnsi="宋体" w:eastAsia="宋体" w:cs="宋体"/>
          <w:szCs w:val="21"/>
        </w:rPr>
        <w:fldChar w:fldCharType="end"/>
      </w:r>
    </w:p>
    <w:p w14:paraId="34981BC3">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_Toc2990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5.1 </w:t>
      </w:r>
      <w:r>
        <w:rPr>
          <w:rFonts w:hint="eastAsia"/>
        </w:rPr>
        <w:t>培养目标分层</w:t>
      </w:r>
      <w:r>
        <w:tab/>
      </w:r>
      <w:r>
        <w:fldChar w:fldCharType="begin"/>
      </w:r>
      <w:r>
        <w:instrText xml:space="preserve"> PAGEREF _Toc2990 \h </w:instrText>
      </w:r>
      <w:r>
        <w:fldChar w:fldCharType="separate"/>
      </w:r>
      <w:r>
        <w:t>2</w:t>
      </w:r>
      <w:r>
        <w:fldChar w:fldCharType="end"/>
      </w:r>
      <w:r>
        <w:rPr>
          <w:rFonts w:hint="eastAsia" w:ascii="宋体" w:hAnsi="宋体" w:eastAsia="宋体" w:cs="宋体"/>
          <w:szCs w:val="21"/>
        </w:rPr>
        <w:fldChar w:fldCharType="end"/>
      </w:r>
    </w:p>
    <w:p w14:paraId="176EB3AD">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_Toc12297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5.2 </w:t>
      </w:r>
      <w:r>
        <w:rPr>
          <w:rFonts w:hint="eastAsia"/>
        </w:rPr>
        <w:t>培养周期与学时分配</w:t>
      </w:r>
      <w:r>
        <w:tab/>
      </w:r>
      <w:r>
        <w:fldChar w:fldCharType="begin"/>
      </w:r>
      <w:r>
        <w:instrText xml:space="preserve"> PAGEREF _Toc12297 \h </w:instrText>
      </w:r>
      <w:r>
        <w:fldChar w:fldCharType="separate"/>
      </w:r>
      <w:r>
        <w:t>3</w:t>
      </w:r>
      <w:r>
        <w:fldChar w:fldCharType="end"/>
      </w:r>
      <w:r>
        <w:rPr>
          <w:rFonts w:hint="eastAsia" w:ascii="宋体" w:hAnsi="宋体" w:eastAsia="宋体" w:cs="宋体"/>
          <w:szCs w:val="21"/>
        </w:rPr>
        <w:fldChar w:fldCharType="end"/>
      </w:r>
    </w:p>
    <w:p w14:paraId="306A4AC9">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_Toc3856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5.3 </w:t>
      </w:r>
      <w:r>
        <w:rPr>
          <w:rFonts w:hint="eastAsia"/>
        </w:rPr>
        <w:t>课程设置</w:t>
      </w:r>
      <w:r>
        <w:tab/>
      </w:r>
      <w:r>
        <w:fldChar w:fldCharType="begin"/>
      </w:r>
      <w:r>
        <w:instrText xml:space="preserve"> PAGEREF _Toc3856 \h </w:instrText>
      </w:r>
      <w:r>
        <w:fldChar w:fldCharType="separate"/>
      </w:r>
      <w:r>
        <w:t>3</w:t>
      </w:r>
      <w:r>
        <w:fldChar w:fldCharType="end"/>
      </w:r>
      <w:r>
        <w:rPr>
          <w:rFonts w:hint="eastAsia" w:ascii="宋体" w:hAnsi="宋体" w:eastAsia="宋体" w:cs="宋体"/>
          <w:szCs w:val="21"/>
        </w:rPr>
        <w:fldChar w:fldCharType="end"/>
      </w:r>
    </w:p>
    <w:p w14:paraId="22BD20F7">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_Toc4703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5.4 </w:t>
      </w:r>
      <w:r>
        <w:rPr>
          <w:rFonts w:hint="eastAsia"/>
        </w:rPr>
        <w:t>教学资源</w:t>
      </w:r>
      <w:r>
        <w:tab/>
      </w:r>
      <w:r>
        <w:fldChar w:fldCharType="begin"/>
      </w:r>
      <w:r>
        <w:instrText xml:space="preserve"> PAGEREF _Toc4703 \h </w:instrText>
      </w:r>
      <w:r>
        <w:fldChar w:fldCharType="separate"/>
      </w:r>
      <w:r>
        <w:t>3</w:t>
      </w:r>
      <w:r>
        <w:fldChar w:fldCharType="end"/>
      </w:r>
      <w:r>
        <w:rPr>
          <w:rFonts w:hint="eastAsia" w:ascii="宋体" w:hAnsi="宋体" w:eastAsia="宋体" w:cs="宋体"/>
          <w:szCs w:val="21"/>
        </w:rPr>
        <w:fldChar w:fldCharType="end"/>
      </w:r>
    </w:p>
    <w:p w14:paraId="09A0765D">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_Toc22839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5.5 </w:t>
      </w:r>
      <w:r>
        <w:rPr>
          <w:rFonts w:hint="eastAsia"/>
        </w:rPr>
        <w:t>培养方式</w:t>
      </w:r>
      <w:r>
        <w:tab/>
      </w:r>
      <w:r>
        <w:fldChar w:fldCharType="begin"/>
      </w:r>
      <w:r>
        <w:instrText xml:space="preserve"> PAGEREF _Toc22839 \h </w:instrText>
      </w:r>
      <w:r>
        <w:fldChar w:fldCharType="separate"/>
      </w:r>
      <w:r>
        <w:t>4</w:t>
      </w:r>
      <w:r>
        <w:fldChar w:fldCharType="end"/>
      </w:r>
      <w:r>
        <w:rPr>
          <w:rFonts w:hint="eastAsia" w:ascii="宋体" w:hAnsi="宋体" w:eastAsia="宋体" w:cs="宋体"/>
          <w:szCs w:val="21"/>
        </w:rPr>
        <w:fldChar w:fldCharType="end"/>
      </w:r>
    </w:p>
    <w:p w14:paraId="28CDA846">
      <w:pPr>
        <w:pStyle w:val="19"/>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_Toc15505 </w:instrText>
      </w:r>
      <w:r>
        <w:rPr>
          <w:rFonts w:hint="eastAsia" w:ascii="宋体" w:hAnsi="宋体" w:eastAsia="宋体" w:cs="宋体"/>
          <w:szCs w:val="21"/>
        </w:rPr>
        <w:fldChar w:fldCharType="separate"/>
      </w:r>
      <w:r>
        <w:rPr>
          <w:rFonts w:hint="eastAsia" w:ascii="黑体" w:eastAsia="黑体"/>
          <w:i w:val="0"/>
        </w:rPr>
        <w:t xml:space="preserve">6 </w:t>
      </w:r>
      <w:r>
        <w:rPr>
          <w:rFonts w:hint="eastAsia"/>
        </w:rPr>
        <w:t>培养内容</w:t>
      </w:r>
      <w:r>
        <w:tab/>
      </w:r>
      <w:r>
        <w:fldChar w:fldCharType="begin"/>
      </w:r>
      <w:r>
        <w:instrText xml:space="preserve"> PAGEREF _Toc15505 \h </w:instrText>
      </w:r>
      <w:r>
        <w:fldChar w:fldCharType="separate"/>
      </w:r>
      <w:r>
        <w:t>4</w:t>
      </w:r>
      <w:r>
        <w:fldChar w:fldCharType="end"/>
      </w:r>
      <w:r>
        <w:rPr>
          <w:rFonts w:hint="eastAsia" w:ascii="宋体" w:hAnsi="宋体" w:eastAsia="宋体" w:cs="宋体"/>
          <w:szCs w:val="21"/>
        </w:rPr>
        <w:fldChar w:fldCharType="end"/>
      </w:r>
    </w:p>
    <w:p w14:paraId="5C3C0317">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_Toc11343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6.1 </w:t>
      </w:r>
      <w:r>
        <w:rPr>
          <w:rFonts w:hint="eastAsia"/>
        </w:rPr>
        <w:t>通用能力模块</w:t>
      </w:r>
      <w:r>
        <w:tab/>
      </w:r>
      <w:r>
        <w:fldChar w:fldCharType="begin"/>
      </w:r>
      <w:r>
        <w:instrText xml:space="preserve"> PAGEREF _Toc11343 \h </w:instrText>
      </w:r>
      <w:r>
        <w:fldChar w:fldCharType="separate"/>
      </w:r>
      <w:r>
        <w:t>4</w:t>
      </w:r>
      <w:r>
        <w:fldChar w:fldCharType="end"/>
      </w:r>
      <w:r>
        <w:rPr>
          <w:rFonts w:hint="eastAsia" w:ascii="宋体" w:hAnsi="宋体" w:eastAsia="宋体" w:cs="宋体"/>
          <w:szCs w:val="21"/>
        </w:rPr>
        <w:fldChar w:fldCharType="end"/>
      </w:r>
    </w:p>
    <w:p w14:paraId="636495E6">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_Toc2916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6.2 </w:t>
      </w:r>
      <w:r>
        <w:rPr>
          <w:rFonts w:hint="eastAsia"/>
          <w:highlight w:val="none"/>
        </w:rPr>
        <w:t>认证特定的知识和技能要求</w:t>
      </w:r>
      <w:r>
        <w:tab/>
      </w:r>
      <w:r>
        <w:fldChar w:fldCharType="begin"/>
      </w:r>
      <w:r>
        <w:instrText xml:space="preserve"> PAGEREF _Toc2916 \h </w:instrText>
      </w:r>
      <w:r>
        <w:fldChar w:fldCharType="separate"/>
      </w:r>
      <w:r>
        <w:t>6</w:t>
      </w:r>
      <w:r>
        <w:fldChar w:fldCharType="end"/>
      </w:r>
      <w:r>
        <w:rPr>
          <w:rFonts w:hint="eastAsia" w:ascii="宋体" w:hAnsi="宋体" w:eastAsia="宋体" w:cs="宋体"/>
          <w:szCs w:val="21"/>
        </w:rPr>
        <w:fldChar w:fldCharType="end"/>
      </w:r>
    </w:p>
    <w:p w14:paraId="05A67236">
      <w:pPr>
        <w:pStyle w:val="19"/>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_Toc12330 </w:instrText>
      </w:r>
      <w:r>
        <w:rPr>
          <w:rFonts w:hint="eastAsia" w:ascii="宋体" w:hAnsi="宋体" w:eastAsia="宋体" w:cs="宋体"/>
          <w:szCs w:val="21"/>
        </w:rPr>
        <w:fldChar w:fldCharType="separate"/>
      </w:r>
      <w:r>
        <w:rPr>
          <w:rFonts w:hint="eastAsia" w:ascii="黑体" w:eastAsia="黑体"/>
          <w:i w:val="0"/>
        </w:rPr>
        <w:t xml:space="preserve">7 </w:t>
      </w:r>
      <w:r>
        <w:rPr>
          <w:rFonts w:hint="eastAsia"/>
        </w:rPr>
        <w:t>评价与考核</w:t>
      </w:r>
      <w:r>
        <w:tab/>
      </w:r>
      <w:r>
        <w:fldChar w:fldCharType="begin"/>
      </w:r>
      <w:r>
        <w:instrText xml:space="preserve"> PAGEREF _Toc12330 \h </w:instrText>
      </w:r>
      <w:r>
        <w:fldChar w:fldCharType="separate"/>
      </w:r>
      <w:r>
        <w:t>6</w:t>
      </w:r>
      <w:r>
        <w:fldChar w:fldCharType="end"/>
      </w:r>
      <w:r>
        <w:rPr>
          <w:rFonts w:hint="eastAsia" w:ascii="宋体" w:hAnsi="宋体" w:eastAsia="宋体" w:cs="宋体"/>
          <w:szCs w:val="21"/>
        </w:rPr>
        <w:fldChar w:fldCharType="end"/>
      </w:r>
    </w:p>
    <w:p w14:paraId="15060763">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_Toc21753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7.1 </w:t>
      </w:r>
      <w:r>
        <w:rPr>
          <w:rFonts w:hint="eastAsia"/>
        </w:rPr>
        <w:t>通用知识考核</w:t>
      </w:r>
      <w:r>
        <w:tab/>
      </w:r>
      <w:r>
        <w:fldChar w:fldCharType="begin"/>
      </w:r>
      <w:r>
        <w:instrText xml:space="preserve"> PAGEREF _Toc21753 \h </w:instrText>
      </w:r>
      <w:r>
        <w:fldChar w:fldCharType="separate"/>
      </w:r>
      <w:r>
        <w:t>6</w:t>
      </w:r>
      <w:r>
        <w:fldChar w:fldCharType="end"/>
      </w:r>
      <w:r>
        <w:rPr>
          <w:rFonts w:hint="eastAsia" w:ascii="宋体" w:hAnsi="宋体" w:eastAsia="宋体" w:cs="宋体"/>
          <w:szCs w:val="21"/>
        </w:rPr>
        <w:fldChar w:fldCharType="end"/>
      </w:r>
    </w:p>
    <w:p w14:paraId="6B8ECED9">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_Toc24980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7.2 </w:t>
      </w:r>
      <w:r>
        <w:rPr>
          <w:rFonts w:hint="eastAsia"/>
          <w:highlight w:val="none"/>
        </w:rPr>
        <w:t>实践技能评价</w:t>
      </w:r>
      <w:r>
        <w:tab/>
      </w:r>
      <w:r>
        <w:fldChar w:fldCharType="begin"/>
      </w:r>
      <w:r>
        <w:instrText xml:space="preserve"> PAGEREF _Toc24980 \h </w:instrText>
      </w:r>
      <w:r>
        <w:fldChar w:fldCharType="separate"/>
      </w:r>
      <w:r>
        <w:t>6</w:t>
      </w:r>
      <w:r>
        <w:fldChar w:fldCharType="end"/>
      </w:r>
      <w:r>
        <w:rPr>
          <w:rFonts w:hint="eastAsia" w:ascii="宋体" w:hAnsi="宋体" w:eastAsia="宋体" w:cs="宋体"/>
          <w:szCs w:val="21"/>
        </w:rPr>
        <w:fldChar w:fldCharType="end"/>
      </w:r>
    </w:p>
    <w:p w14:paraId="15A488C8">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_Toc27994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7.3 </w:t>
      </w:r>
      <w:r>
        <w:rPr>
          <w:rFonts w:hint="eastAsia"/>
        </w:rPr>
        <w:t>职业素养评估</w:t>
      </w:r>
      <w:r>
        <w:tab/>
      </w:r>
      <w:r>
        <w:fldChar w:fldCharType="begin"/>
      </w:r>
      <w:r>
        <w:instrText xml:space="preserve"> PAGEREF _Toc27994 \h </w:instrText>
      </w:r>
      <w:r>
        <w:fldChar w:fldCharType="separate"/>
      </w:r>
      <w:r>
        <w:t>6</w:t>
      </w:r>
      <w:r>
        <w:fldChar w:fldCharType="end"/>
      </w:r>
      <w:r>
        <w:rPr>
          <w:rFonts w:hint="eastAsia" w:ascii="宋体" w:hAnsi="宋体" w:eastAsia="宋体" w:cs="宋体"/>
          <w:szCs w:val="21"/>
        </w:rPr>
        <w:fldChar w:fldCharType="end"/>
      </w:r>
    </w:p>
    <w:p w14:paraId="343076E9">
      <w:pPr>
        <w:pStyle w:val="19"/>
        <w:tabs>
          <w:tab w:val="right" w:leader="dot" w:pos="935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_Toc3385 </w:instrText>
      </w:r>
      <w:r>
        <w:rPr>
          <w:rFonts w:hint="eastAsia" w:ascii="宋体" w:hAnsi="宋体" w:eastAsia="宋体" w:cs="宋体"/>
          <w:szCs w:val="21"/>
        </w:rPr>
        <w:fldChar w:fldCharType="separate"/>
      </w:r>
      <w:r>
        <w:rPr>
          <w:rFonts w:hint="eastAsia" w:ascii="黑体" w:eastAsia="黑体"/>
          <w:i w:val="0"/>
        </w:rPr>
        <w:t xml:space="preserve">8 </w:t>
      </w:r>
      <w:r>
        <w:rPr>
          <w:rFonts w:hint="eastAsia"/>
        </w:rPr>
        <w:t>培训流程与档案管理</w:t>
      </w:r>
      <w:r>
        <w:tab/>
      </w:r>
      <w:r>
        <w:fldChar w:fldCharType="begin"/>
      </w:r>
      <w:r>
        <w:instrText xml:space="preserve"> PAGEREF _Toc3385 \h </w:instrText>
      </w:r>
      <w:r>
        <w:fldChar w:fldCharType="separate"/>
      </w:r>
      <w:r>
        <w:t>6</w:t>
      </w:r>
      <w:r>
        <w:fldChar w:fldCharType="end"/>
      </w:r>
      <w:r>
        <w:rPr>
          <w:rFonts w:hint="eastAsia" w:ascii="宋体" w:hAnsi="宋体" w:eastAsia="宋体" w:cs="宋体"/>
          <w:szCs w:val="21"/>
        </w:rPr>
        <w:fldChar w:fldCharType="end"/>
      </w:r>
    </w:p>
    <w:p w14:paraId="63543B64">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_Toc7226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8.1 </w:t>
      </w:r>
      <w:r>
        <w:rPr>
          <w:rFonts w:hint="eastAsia"/>
        </w:rPr>
        <w:t>培训流程</w:t>
      </w:r>
      <w:r>
        <w:tab/>
      </w:r>
      <w:r>
        <w:fldChar w:fldCharType="begin"/>
      </w:r>
      <w:r>
        <w:instrText xml:space="preserve"> PAGEREF _Toc7226 \h </w:instrText>
      </w:r>
      <w:r>
        <w:fldChar w:fldCharType="separate"/>
      </w:r>
      <w:r>
        <w:t>6</w:t>
      </w:r>
      <w:r>
        <w:fldChar w:fldCharType="end"/>
      </w:r>
      <w:r>
        <w:rPr>
          <w:rFonts w:hint="eastAsia" w:ascii="宋体" w:hAnsi="宋体" w:eastAsia="宋体" w:cs="宋体"/>
          <w:szCs w:val="21"/>
        </w:rPr>
        <w:fldChar w:fldCharType="end"/>
      </w:r>
    </w:p>
    <w:p w14:paraId="5EF22005">
      <w:pPr>
        <w:pStyle w:val="24"/>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_Toc15051 </w:instrText>
      </w:r>
      <w:r>
        <w:rPr>
          <w:rFonts w:hint="eastAsia" w:ascii="宋体" w:hAnsi="宋体" w:eastAsia="宋体" w:cs="宋体"/>
          <w:szCs w:val="21"/>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8.2 </w:t>
      </w:r>
      <w:r>
        <w:rPr>
          <w:rFonts w:hint="eastAsia"/>
        </w:rPr>
        <w:t>档案管理</w:t>
      </w:r>
      <w:r>
        <w:tab/>
      </w:r>
      <w:r>
        <w:fldChar w:fldCharType="begin"/>
      </w:r>
      <w:r>
        <w:instrText xml:space="preserve"> PAGEREF _Toc15051 \h </w:instrText>
      </w:r>
      <w:r>
        <w:fldChar w:fldCharType="separate"/>
      </w:r>
      <w:r>
        <w:t>7</w:t>
      </w:r>
      <w:r>
        <w:fldChar w:fldCharType="end"/>
      </w:r>
      <w:r>
        <w:rPr>
          <w:rFonts w:hint="eastAsia" w:ascii="宋体" w:hAnsi="宋体" w:eastAsia="宋体" w:cs="宋体"/>
          <w:szCs w:val="21"/>
        </w:rPr>
        <w:fldChar w:fldCharType="end"/>
      </w:r>
    </w:p>
    <w:p w14:paraId="768A775A">
      <w:pPr>
        <w:pStyle w:val="92"/>
        <w:keepNext w:val="0"/>
        <w:keepLines w:val="0"/>
        <w:pageBreakBefore w:val="0"/>
        <w:widowControl w:val="0"/>
        <w:kinsoku/>
        <w:wordWrap/>
        <w:overflowPunct/>
        <w:topLinePunct w:val="0"/>
        <w:autoSpaceDE/>
        <w:autoSpaceDN/>
        <w:bidi w:val="0"/>
        <w:adjustRightInd w:val="0"/>
        <w:snapToGrid/>
        <w:spacing w:after="468" w:line="240" w:lineRule="auto"/>
        <w:textAlignment w:val="auto"/>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r>
        <w:rPr>
          <w:rFonts w:hint="eastAsia" w:ascii="宋体" w:hAnsi="宋体" w:eastAsia="宋体" w:cs="宋体"/>
          <w:szCs w:val="21"/>
        </w:rPr>
        <w:fldChar w:fldCharType="end"/>
      </w:r>
    </w:p>
    <w:bookmarkEnd w:id="21"/>
    <w:p w14:paraId="128ACE1E">
      <w:pPr>
        <w:pStyle w:val="90"/>
        <w:spacing w:before="900" w:after="468"/>
      </w:pPr>
      <w:bookmarkStart w:id="23" w:name="_Toc31084"/>
      <w:bookmarkStart w:id="24" w:name="BookMark2"/>
      <w:r>
        <w:rPr>
          <w:rFonts w:hint="eastAsia"/>
          <w:spacing w:val="320"/>
        </w:rPr>
        <w:t>前</w:t>
      </w:r>
      <w:r>
        <w:rPr>
          <w:rFonts w:hint="eastAsia"/>
        </w:rPr>
        <w:t>言</w:t>
      </w:r>
      <w:bookmarkEnd w:id="23"/>
    </w:p>
    <w:p w14:paraId="0F0869A9">
      <w:pPr>
        <w:shd w:val="clear"/>
        <w:adjustRightInd/>
        <w:snapToGrid w:val="0"/>
        <w:spacing w:line="240" w:lineRule="auto"/>
        <w:ind w:firstLine="420" w:firstLineChars="200"/>
        <w:rPr>
          <w:rFonts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14:paraId="45115A4D">
      <w:pPr>
        <w:shd w:val="clear"/>
        <w:adjustRightInd/>
        <w:snapToGrid w:val="0"/>
        <w:spacing w:line="240" w:lineRule="auto"/>
        <w:ind w:firstLine="420" w:firstLineChars="200"/>
        <w:rPr>
          <w:rFonts w:ascii="宋体" w:hAnsi="宋体" w:eastAsia="宋体" w:cs="宋体"/>
          <w:kern w:val="0"/>
          <w:szCs w:val="21"/>
        </w:rPr>
      </w:pPr>
      <w:r>
        <w:rPr>
          <w:rFonts w:hint="eastAsia" w:ascii="宋体" w:hAnsi="宋体" w:eastAsia="宋体" w:cs="宋体"/>
          <w:kern w:val="0"/>
          <w:szCs w:val="21"/>
        </w:rPr>
        <w:t>请注意本文件</w:t>
      </w:r>
      <w:r>
        <w:rPr>
          <w:rFonts w:ascii="宋体" w:hAnsi="宋体" w:eastAsia="宋体" w:cs="宋体"/>
          <w:kern w:val="0"/>
          <w:szCs w:val="21"/>
        </w:rPr>
        <w:t>的某些内容可能涉及专利</w:t>
      </w:r>
      <w:r>
        <w:rPr>
          <w:rFonts w:hint="eastAsia" w:ascii="宋体" w:hAnsi="宋体" w:eastAsia="宋体" w:cs="宋体"/>
          <w:kern w:val="0"/>
          <w:szCs w:val="21"/>
        </w:rPr>
        <w:t>。</w:t>
      </w:r>
      <w:r>
        <w:rPr>
          <w:rFonts w:ascii="宋体" w:hAnsi="宋体" w:eastAsia="宋体" w:cs="宋体"/>
          <w:kern w:val="0"/>
          <w:szCs w:val="21"/>
        </w:rPr>
        <w:t>本文件的</w:t>
      </w:r>
      <w:r>
        <w:rPr>
          <w:rFonts w:hint="eastAsia" w:ascii="宋体" w:hAnsi="宋体" w:eastAsia="宋体" w:cs="宋体"/>
          <w:kern w:val="0"/>
          <w:szCs w:val="21"/>
        </w:rPr>
        <w:t>发布</w:t>
      </w:r>
      <w:r>
        <w:rPr>
          <w:rFonts w:ascii="宋体" w:hAnsi="宋体" w:eastAsia="宋体" w:cs="宋体"/>
          <w:kern w:val="0"/>
          <w:szCs w:val="21"/>
        </w:rPr>
        <w:t>机构不承担识别专利的责任。</w:t>
      </w:r>
    </w:p>
    <w:p w14:paraId="4E2CE501">
      <w:pPr>
        <w:shd w:val="clear"/>
        <w:adjustRightInd/>
        <w:snapToGrid w:val="0"/>
        <w:spacing w:line="240" w:lineRule="auto"/>
        <w:ind w:firstLine="420" w:firstLineChars="200"/>
        <w:rPr>
          <w:rFonts w:hint="eastAsia" w:ascii="宋体" w:hAnsi="宋体" w:eastAsia="宋体" w:cs="宋体"/>
          <w:kern w:val="0"/>
          <w:szCs w:val="21"/>
          <w:lang w:eastAsia="zh-CN"/>
        </w:rPr>
      </w:pPr>
      <w:r>
        <w:rPr>
          <w:rFonts w:hint="eastAsia" w:ascii="宋体" w:hAnsi="宋体" w:eastAsia="宋体" w:cs="宋体"/>
          <w:kern w:val="0"/>
          <w:szCs w:val="21"/>
          <w:lang w:val="en-US" w:eastAsia="zh-CN"/>
        </w:rPr>
        <w:t>本文件由</w:t>
      </w:r>
      <w:r>
        <w:rPr>
          <w:rFonts w:hint="eastAsia" w:ascii="宋体" w:hAnsi="宋体" w:eastAsia="宋体" w:cs="宋体"/>
          <w:kern w:val="0"/>
          <w:szCs w:val="21"/>
        </w:rPr>
        <w:t>苏州市市场监督管理局提出、归口并组织实施</w:t>
      </w:r>
      <w:r>
        <w:rPr>
          <w:rFonts w:hint="eastAsia" w:ascii="宋体" w:hAnsi="宋体" w:eastAsia="宋体" w:cs="宋体"/>
          <w:kern w:val="0"/>
          <w:szCs w:val="21"/>
          <w:lang w:eastAsia="zh-CN"/>
        </w:rPr>
        <w:t>。</w:t>
      </w:r>
    </w:p>
    <w:p w14:paraId="65DFCAE8">
      <w:pPr>
        <w:shd w:val="clear"/>
        <w:adjustRightInd/>
        <w:snapToGrid w:val="0"/>
        <w:spacing w:line="240" w:lineRule="auto"/>
        <w:ind w:firstLine="420" w:firstLineChars="200"/>
        <w:rPr>
          <w:rFonts w:hint="eastAsia" w:ascii="宋体" w:hAnsi="宋体" w:eastAsia="宋体" w:cs="宋体"/>
          <w:kern w:val="0"/>
          <w:szCs w:val="21"/>
          <w:lang w:eastAsia="zh-CN"/>
        </w:rPr>
      </w:pPr>
      <w:r>
        <w:rPr>
          <w:rFonts w:hint="eastAsia" w:ascii="宋体" w:hAnsi="宋体" w:eastAsia="宋体" w:cs="宋体"/>
          <w:kern w:val="0"/>
          <w:szCs w:val="21"/>
        </w:rPr>
        <w:t>本文件起草单位：</w:t>
      </w:r>
      <w:r>
        <w:rPr>
          <w:rFonts w:hint="eastAsia" w:ascii="宋体" w:hAnsi="宋体" w:cs="宋体"/>
          <w:kern w:val="0"/>
          <w:szCs w:val="21"/>
          <w:lang w:val="en-US" w:eastAsia="zh-CN"/>
        </w:rPr>
        <w:t>苏州市职业大学、吴中区市场监督管理局……</w:t>
      </w:r>
      <w:r>
        <w:rPr>
          <w:rFonts w:hint="eastAsia" w:ascii="宋体" w:hAnsi="宋体" w:eastAsia="宋体" w:cs="宋体"/>
          <w:kern w:val="0"/>
          <w:szCs w:val="21"/>
          <w:lang w:eastAsia="zh-CN"/>
        </w:rPr>
        <w:t>。</w:t>
      </w:r>
    </w:p>
    <w:p w14:paraId="526FDD6D">
      <w:pPr>
        <w:shd w:val="clear"/>
        <w:adjustRightInd/>
        <w:snapToGrid w:val="0"/>
        <w:spacing w:line="240" w:lineRule="auto"/>
        <w:ind w:firstLine="420" w:firstLineChars="200"/>
        <w:rPr>
          <w:rFonts w:ascii="宋体" w:hAnsi="宋体" w:eastAsia="宋体" w:cs="宋体"/>
          <w:kern w:val="0"/>
          <w:szCs w:val="21"/>
        </w:rPr>
      </w:pPr>
      <w:r>
        <w:rPr>
          <w:rFonts w:hint="eastAsia" w:ascii="宋体" w:hAnsi="宋体" w:eastAsia="宋体" w:cs="宋体"/>
          <w:kern w:val="0"/>
          <w:szCs w:val="21"/>
        </w:rPr>
        <w:t>本文件主要起草人：</w:t>
      </w:r>
      <w:r>
        <w:rPr>
          <w:rFonts w:hint="eastAsia" w:ascii="宋体" w:hAnsi="宋体" w:cs="宋体"/>
          <w:kern w:val="0"/>
          <w:szCs w:val="21"/>
          <w:lang w:val="en-US" w:eastAsia="zh-CN"/>
        </w:rPr>
        <w:t>方向阳、金冠敏、汤峥……</w:t>
      </w:r>
      <w:r>
        <w:rPr>
          <w:rFonts w:hint="eastAsia" w:ascii="宋体" w:hAnsi="宋体" w:eastAsia="宋体" w:cs="宋体"/>
          <w:kern w:val="0"/>
          <w:szCs w:val="21"/>
          <w:lang w:eastAsia="zh-CN"/>
        </w:rPr>
        <w:t>。</w:t>
      </w:r>
    </w:p>
    <w:p w14:paraId="318E6DCE">
      <w:pPr>
        <w:pStyle w:val="57"/>
        <w:ind w:firstLine="420"/>
      </w:pPr>
    </w:p>
    <w:p w14:paraId="44E1DB6E">
      <w:pPr>
        <w:pStyle w:val="57"/>
        <w:ind w:firstLine="420"/>
        <w:sectPr>
          <w:pgSz w:w="11906" w:h="16838"/>
          <w:pgMar w:top="1928" w:right="1134" w:bottom="1134" w:left="1134" w:header="1418" w:footer="1134" w:gutter="284"/>
          <w:pgNumType w:fmt="upperRoman"/>
          <w:cols w:space="425" w:num="1"/>
          <w:formProt w:val="0"/>
          <w:docGrid w:type="lines" w:linePitch="312" w:charSpace="0"/>
        </w:sectPr>
      </w:pPr>
    </w:p>
    <w:bookmarkEnd w:id="24"/>
    <w:p w14:paraId="49DD57E2">
      <w:pPr>
        <w:pStyle w:val="90"/>
        <w:numPr>
          <w:ilvl w:val="0"/>
          <w:numId w:val="0"/>
        </w:numPr>
        <w:spacing w:after="468"/>
        <w:ind w:leftChars="0"/>
        <w:jc w:val="center"/>
      </w:pPr>
      <w:bookmarkStart w:id="25" w:name="_Toc15931"/>
      <w:bookmarkStart w:id="26" w:name="BookMark3"/>
      <w:r>
        <w:rPr>
          <w:spacing w:val="320"/>
        </w:rPr>
        <w:t>引</w:t>
      </w:r>
      <w:r>
        <w:t>言</w:t>
      </w:r>
      <w:bookmarkEnd w:id="22"/>
      <w:bookmarkEnd w:id="25"/>
    </w:p>
    <w:p w14:paraId="778DB17C">
      <w:pPr>
        <w:pStyle w:val="57"/>
        <w:ind w:firstLine="420"/>
      </w:pPr>
      <w:r>
        <w:rPr>
          <w:rFonts w:hint="eastAsia"/>
        </w:rPr>
        <w:t>随着认证行业的快速发展，对认证专业人员的职业素养、技能水平和专业知识提出了更高的要求。为了规范认证专业人员的职业能力培养，提升行业整体素质和服务水平，制定本</w:t>
      </w:r>
      <w:r>
        <w:rPr>
          <w:rFonts w:hint="eastAsia"/>
          <w:lang w:val="en-US" w:eastAsia="zh-CN"/>
        </w:rPr>
        <w:t>文件</w:t>
      </w:r>
      <w:r>
        <w:rPr>
          <w:rFonts w:hint="eastAsia"/>
        </w:rPr>
        <w:t>。</w:t>
      </w:r>
    </w:p>
    <w:p w14:paraId="396DDF48">
      <w:pPr>
        <w:pStyle w:val="57"/>
        <w:ind w:firstLine="420"/>
      </w:pPr>
    </w:p>
    <w:p w14:paraId="1A831B69">
      <w:pPr>
        <w:pStyle w:val="57"/>
        <w:ind w:firstLine="420"/>
        <w:sectPr>
          <w:pgSz w:w="11906" w:h="16838"/>
          <w:pgMar w:top="1928" w:right="1134" w:bottom="1134" w:left="1134" w:header="1418" w:footer="1134" w:gutter="284"/>
          <w:pgNumType w:fmt="upperRoman"/>
          <w:cols w:space="425" w:num="1"/>
          <w:formProt w:val="0"/>
          <w:docGrid w:type="lines" w:linePitch="312" w:charSpace="0"/>
        </w:sectPr>
      </w:pPr>
    </w:p>
    <w:bookmarkEnd w:id="26"/>
    <w:p w14:paraId="60224C2C">
      <w:pPr>
        <w:spacing w:line="20" w:lineRule="exact"/>
        <w:jc w:val="center"/>
        <w:rPr>
          <w:rFonts w:hint="eastAsia" w:ascii="黑体" w:hAnsi="黑体" w:eastAsia="黑体"/>
          <w:sz w:val="32"/>
          <w:szCs w:val="32"/>
        </w:rPr>
      </w:pPr>
      <w:bookmarkStart w:id="27" w:name="BookMark4"/>
    </w:p>
    <w:p w14:paraId="1ED130AB">
      <w:pPr>
        <w:spacing w:line="20" w:lineRule="exact"/>
        <w:jc w:val="center"/>
        <w:rPr>
          <w:rFonts w:hint="eastAsia" w:ascii="黑体" w:hAnsi="黑体" w:eastAsia="黑体"/>
          <w:sz w:val="32"/>
          <w:szCs w:val="32"/>
        </w:rPr>
      </w:pPr>
    </w:p>
    <w:sdt>
      <w:sdtPr>
        <w:rPr>
          <w:rFonts w:hint="eastAsia" w:ascii="黑体" w:hAnsi="宋体" w:eastAsia="黑体" w:cstheme="minorBidi"/>
          <w:kern w:val="2"/>
          <w:sz w:val="32"/>
          <w:szCs w:val="32"/>
          <w:lang w:val="en-US" w:eastAsia="zh-CN" w:bidi="ar-SA"/>
        </w:rPr>
        <w:tag w:val="NEW_STAND_NAME"/>
        <w:id w:val="595910757"/>
        <w:lock w:val="sdtLocked"/>
        <w:placeholder>
          <w:docPart w:val="73C8CB55DBF845FA8AFFD63CFC781BD7"/>
        </w:placeholder>
      </w:sdtPr>
      <w:sdtEndPr>
        <w:rPr>
          <w:rFonts w:hint="eastAsia" w:ascii="黑体" w:hAnsi="宋体" w:eastAsia="黑体" w:cstheme="minorBidi"/>
          <w:kern w:val="2"/>
          <w:sz w:val="32"/>
          <w:szCs w:val="32"/>
          <w:lang w:val="en-US" w:eastAsia="zh-CN" w:bidi="ar-SA"/>
        </w:rPr>
      </w:sdtEndPr>
      <w:sdtContent>
        <w:p w14:paraId="5A44CD30">
          <w:pPr>
            <w:pStyle w:val="178"/>
            <w:spacing w:before="312" w:beforeLines="100" w:after="686" w:afterLines="220"/>
            <w:rPr>
              <w:rFonts w:hint="eastAsia"/>
            </w:rPr>
          </w:pPr>
          <w:bookmarkStart w:id="28" w:name="NEW_STAND_NAME"/>
          <w:r>
            <w:rPr>
              <w:rFonts w:hint="eastAsia" w:ascii="黑体" w:hAnsi="宋体" w:eastAsia="黑体" w:cstheme="minorBidi"/>
              <w:kern w:val="2"/>
              <w:sz w:val="32"/>
              <w:szCs w:val="32"/>
              <w:lang w:val="en-US" w:eastAsia="zh-CN" w:bidi="ar-SA"/>
            </w:rPr>
            <w:t>认证专业人员职业能力培养规范</w:t>
          </w:r>
        </w:p>
      </w:sdtContent>
    </w:sdt>
    <w:bookmarkEnd w:id="28"/>
    <w:p w14:paraId="1C8085B4">
      <w:pPr>
        <w:pStyle w:val="105"/>
        <w:spacing w:before="312" w:after="312"/>
      </w:pPr>
      <w:bookmarkStart w:id="29" w:name="_Toc26986771"/>
      <w:bookmarkStart w:id="30" w:name="_Toc26648465"/>
      <w:bookmarkStart w:id="31" w:name="_Toc26986530"/>
      <w:bookmarkStart w:id="32" w:name="_Toc24884218"/>
      <w:bookmarkStart w:id="33" w:name="_Toc26718930"/>
      <w:bookmarkStart w:id="34" w:name="_Toc97191423"/>
      <w:bookmarkStart w:id="35" w:name="_Toc179529596"/>
      <w:bookmarkStart w:id="36" w:name="_Toc17233333"/>
      <w:bookmarkStart w:id="37" w:name="_Toc24884211"/>
      <w:bookmarkStart w:id="38" w:name="_Toc17233325"/>
      <w:bookmarkStart w:id="39" w:name="_Toc23046"/>
      <w:r>
        <w:rPr>
          <w:rFonts w:hint="eastAsia"/>
        </w:rPr>
        <w:t>范围</w:t>
      </w:r>
      <w:bookmarkEnd w:id="29"/>
      <w:bookmarkEnd w:id="30"/>
      <w:bookmarkEnd w:id="31"/>
      <w:bookmarkEnd w:id="32"/>
      <w:bookmarkEnd w:id="33"/>
      <w:bookmarkEnd w:id="34"/>
      <w:bookmarkEnd w:id="35"/>
      <w:bookmarkEnd w:id="36"/>
      <w:bookmarkEnd w:id="37"/>
      <w:bookmarkEnd w:id="38"/>
      <w:bookmarkEnd w:id="39"/>
    </w:p>
    <w:p w14:paraId="629C99CA">
      <w:pPr>
        <w:pStyle w:val="57"/>
        <w:ind w:firstLine="420"/>
        <w:rPr>
          <w:rFonts w:hint="default" w:eastAsia="宋体"/>
          <w:lang w:val="en-US" w:eastAsia="zh-CN"/>
        </w:rPr>
      </w:pPr>
      <w:bookmarkStart w:id="40" w:name="_Toc17233334"/>
      <w:bookmarkStart w:id="41" w:name="_Toc24884219"/>
      <w:bookmarkStart w:id="42" w:name="_Toc26648466"/>
      <w:bookmarkStart w:id="43" w:name="_Toc24884212"/>
      <w:bookmarkStart w:id="44" w:name="_Toc17233326"/>
      <w:r>
        <w:rPr>
          <w:rFonts w:hint="eastAsia"/>
        </w:rPr>
        <w:t>本文件</w:t>
      </w:r>
      <w:r>
        <w:rPr>
          <w:rFonts w:hint="eastAsia"/>
          <w:lang w:val="en-US" w:eastAsia="zh-CN"/>
        </w:rPr>
        <w:t>规定了</w:t>
      </w:r>
      <w:r>
        <w:rPr>
          <w:rFonts w:hint="eastAsia"/>
        </w:rPr>
        <w:t>从事认证及相关行业的专业人员职业能力培养的基本要求、</w:t>
      </w:r>
      <w:r>
        <w:rPr>
          <w:rFonts w:hint="eastAsia"/>
          <w:lang w:val="en-US" w:eastAsia="zh-CN"/>
        </w:rPr>
        <w:t>培养</w:t>
      </w:r>
      <w:r>
        <w:rPr>
          <w:rFonts w:hint="eastAsia"/>
        </w:rPr>
        <w:t>目标、</w:t>
      </w:r>
      <w:r>
        <w:rPr>
          <w:rFonts w:hint="eastAsia"/>
          <w:lang w:val="en-US" w:eastAsia="zh-CN"/>
        </w:rPr>
        <w:t>培养</w:t>
      </w:r>
      <w:r>
        <w:rPr>
          <w:rFonts w:hint="eastAsia"/>
        </w:rPr>
        <w:t>内容</w:t>
      </w:r>
      <w:r>
        <w:rPr>
          <w:rFonts w:hint="eastAsia"/>
          <w:lang w:val="en-US" w:eastAsia="zh-CN"/>
        </w:rPr>
        <w:t>、评价与考核及继续教育与专业扩展。</w:t>
      </w:r>
    </w:p>
    <w:p w14:paraId="2CC4D50B">
      <w:pPr>
        <w:pStyle w:val="57"/>
        <w:ind w:firstLine="420"/>
      </w:pPr>
      <w:r>
        <w:rPr>
          <w:rFonts w:hint="eastAsia"/>
        </w:rPr>
        <w:t>本</w:t>
      </w:r>
      <w:r>
        <w:rPr>
          <w:rFonts w:hint="eastAsia"/>
          <w:lang w:val="en-US" w:eastAsia="zh-CN"/>
        </w:rPr>
        <w:t>文件</w:t>
      </w:r>
      <w:r>
        <w:rPr>
          <w:rFonts w:hint="eastAsia"/>
        </w:rPr>
        <w:t>适用于认证专业人员职业能力培养</w:t>
      </w:r>
      <w:r>
        <w:rPr>
          <w:rFonts w:hint="eastAsia"/>
          <w:lang w:val="en-US" w:eastAsia="zh-CN"/>
        </w:rPr>
        <w:t>工作</w:t>
      </w:r>
      <w:r>
        <w:rPr>
          <w:rFonts w:hint="eastAsia"/>
        </w:rPr>
        <w:t>。</w:t>
      </w:r>
    </w:p>
    <w:p w14:paraId="5B97AF8B">
      <w:pPr>
        <w:pStyle w:val="105"/>
        <w:spacing w:before="312" w:after="312"/>
      </w:pPr>
      <w:bookmarkStart w:id="45" w:name="_Toc26986772"/>
      <w:bookmarkStart w:id="46" w:name="_Toc26718931"/>
      <w:bookmarkStart w:id="47" w:name="_Toc179529597"/>
      <w:bookmarkStart w:id="48" w:name="_Toc97191424"/>
      <w:bookmarkStart w:id="49" w:name="_Toc26986531"/>
      <w:bookmarkStart w:id="50" w:name="_Toc7537"/>
      <w:r>
        <w:rPr>
          <w:rFonts w:hint="eastAsia"/>
        </w:rPr>
        <w:t>规范性引用文件</w:t>
      </w:r>
      <w:bookmarkEnd w:id="40"/>
      <w:bookmarkEnd w:id="41"/>
      <w:bookmarkEnd w:id="42"/>
      <w:bookmarkEnd w:id="43"/>
      <w:bookmarkEnd w:id="44"/>
      <w:bookmarkEnd w:id="45"/>
      <w:bookmarkEnd w:id="46"/>
      <w:bookmarkEnd w:id="47"/>
      <w:bookmarkEnd w:id="48"/>
      <w:bookmarkEnd w:id="49"/>
      <w:bookmarkEnd w:id="50"/>
    </w:p>
    <w:sdt>
      <w:sdtPr>
        <w:rPr>
          <w:rFonts w:hint="eastAsia"/>
        </w:rPr>
        <w:id w:val="715848253"/>
        <w:placeholder>
          <w:docPart w:val="58FFF0E641A14FB8B6AB8807BBD9CCF5"/>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65363CD6">
          <w:pPr>
            <w:pStyle w:val="57"/>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5732991F">
      <w:pPr>
        <w:pStyle w:val="57"/>
        <w:ind w:firstLine="420"/>
        <w:rPr>
          <w:rFonts w:hint="eastAsia" w:ascii="宋体" w:hAnsi="Times New Roman" w:eastAsia="宋体" w:cs="Times New Roman"/>
        </w:rPr>
      </w:pPr>
      <w:r>
        <w:rPr>
          <w:rFonts w:hint="eastAsia" w:ascii="宋体" w:hAnsi="Times New Roman" w:eastAsia="宋体" w:cs="Times New Roman"/>
        </w:rPr>
        <w:t>GB/T 19000</w:t>
      </w:r>
      <w:r>
        <w:rPr>
          <w:rFonts w:hint="eastAsia" w:cs="Times New Roman"/>
          <w:lang w:val="en-US" w:eastAsia="zh-CN"/>
        </w:rPr>
        <w:t>-2016</w:t>
      </w:r>
      <w:r>
        <w:rPr>
          <w:rFonts w:hint="eastAsia" w:ascii="宋体" w:hAnsi="Times New Roman" w:eastAsia="宋体" w:cs="Times New Roman"/>
        </w:rPr>
        <w:t xml:space="preserve"> 质量管理体系基础和术语</w:t>
      </w:r>
    </w:p>
    <w:p w14:paraId="4B2928B5">
      <w:pPr>
        <w:pStyle w:val="57"/>
        <w:ind w:firstLine="420"/>
        <w:rPr>
          <w:rFonts w:hint="eastAsia" w:ascii="宋体" w:hAnsi="Times New Roman" w:eastAsia="宋体" w:cs="Times New Roman"/>
        </w:rPr>
      </w:pPr>
      <w:r>
        <w:rPr>
          <w:rFonts w:hint="eastAsia" w:ascii="宋体" w:hAnsi="Times New Roman" w:eastAsia="宋体" w:cs="Times New Roman"/>
        </w:rPr>
        <w:t>GB/T 19025 质量管理能力管理和人员发展指南</w:t>
      </w:r>
    </w:p>
    <w:p w14:paraId="050B778E">
      <w:pPr>
        <w:pStyle w:val="57"/>
        <w:ind w:firstLine="420"/>
        <w:rPr>
          <w:rFonts w:hint="eastAsia" w:ascii="宋体" w:hAnsi="Times New Roman" w:eastAsia="宋体" w:cs="Times New Roman"/>
        </w:rPr>
      </w:pPr>
      <w:r>
        <w:rPr>
          <w:rFonts w:hint="eastAsia" w:ascii="宋体" w:hAnsi="Times New Roman" w:eastAsia="宋体" w:cs="Times New Roman"/>
        </w:rPr>
        <w:t>GB/T 19028 质量管理人员参和能力指南</w:t>
      </w:r>
    </w:p>
    <w:p w14:paraId="23F64739">
      <w:pPr>
        <w:pStyle w:val="57"/>
        <w:ind w:firstLine="420"/>
        <w:rPr>
          <w:rFonts w:hint="eastAsia" w:ascii="宋体" w:hAnsi="Times New Roman" w:eastAsia="宋体" w:cs="Times New Roman"/>
        </w:rPr>
      </w:pPr>
      <w:r>
        <w:rPr>
          <w:rFonts w:hint="eastAsia" w:ascii="宋体" w:hAnsi="Times New Roman" w:eastAsia="宋体" w:cs="Times New Roman"/>
        </w:rPr>
        <w:t>GB/T 19029 质量管理体系咨询师的选择及其服务使用的指南</w:t>
      </w:r>
    </w:p>
    <w:p w14:paraId="3A1717DF">
      <w:pPr>
        <w:pStyle w:val="57"/>
        <w:ind w:firstLine="420"/>
        <w:rPr>
          <w:rFonts w:hint="eastAsia" w:ascii="宋体" w:hAnsi="Times New Roman" w:eastAsia="宋体" w:cs="Times New Roman"/>
        </w:rPr>
      </w:pPr>
      <w:r>
        <w:rPr>
          <w:rFonts w:hint="eastAsia" w:ascii="宋体" w:hAnsi="Times New Roman" w:eastAsia="宋体" w:cs="Times New Roman"/>
        </w:rPr>
        <w:t>CNAS-CC01 管理体系认证机构要求</w:t>
      </w:r>
    </w:p>
    <w:p w14:paraId="22FB8866">
      <w:pPr>
        <w:pStyle w:val="57"/>
        <w:ind w:firstLine="420"/>
        <w:rPr>
          <w:rFonts w:hint="eastAsia" w:ascii="宋体" w:hAnsi="Times New Roman" w:eastAsia="宋体" w:cs="Times New Roman"/>
        </w:rPr>
      </w:pPr>
      <w:r>
        <w:rPr>
          <w:rFonts w:hint="eastAsia" w:ascii="宋体" w:hAnsi="Times New Roman" w:eastAsia="宋体" w:cs="Times New Roman"/>
        </w:rPr>
        <w:t>CNAS-CC02 产品、过程和服务机构要求</w:t>
      </w:r>
    </w:p>
    <w:p w14:paraId="6CC8D9AC">
      <w:pPr>
        <w:pStyle w:val="57"/>
        <w:ind w:firstLine="420"/>
        <w:rPr>
          <w:rFonts w:hint="eastAsia" w:ascii="宋体" w:hAnsi="Times New Roman" w:eastAsia="宋体" w:cs="Times New Roman"/>
        </w:rPr>
      </w:pPr>
      <w:r>
        <w:rPr>
          <w:rFonts w:hint="eastAsia" w:ascii="宋体" w:hAnsi="Times New Roman" w:eastAsia="宋体" w:cs="Times New Roman"/>
        </w:rPr>
        <w:t>CNAS-SC25 服务机构认可要求</w:t>
      </w:r>
    </w:p>
    <w:p w14:paraId="705385F4">
      <w:pPr>
        <w:pStyle w:val="105"/>
        <w:spacing w:before="312" w:after="312"/>
      </w:pPr>
      <w:bookmarkStart w:id="51" w:name="_Toc97191425"/>
      <w:bookmarkStart w:id="52" w:name="_Toc179529598"/>
      <w:bookmarkStart w:id="53" w:name="_Toc20091"/>
      <w:r>
        <w:rPr>
          <w:rFonts w:hint="eastAsia"/>
          <w:szCs w:val="21"/>
        </w:rPr>
        <w:t>术语和定义</w:t>
      </w:r>
      <w:bookmarkEnd w:id="51"/>
      <w:bookmarkEnd w:id="52"/>
      <w:bookmarkEnd w:id="53"/>
    </w:p>
    <w:sdt>
      <w:sdtPr>
        <w:id w:val="-1909835108"/>
        <w:placeholder>
          <w:docPart w:val="2716EB5EB1E6458B845BBB0B42BCE25E"/>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4F46E630">
          <w:pPr>
            <w:pStyle w:val="57"/>
            <w:ind w:firstLine="420"/>
          </w:pPr>
          <w:bookmarkStart w:id="54" w:name="_Toc26986532"/>
          <w:bookmarkEnd w:id="54"/>
          <w:r>
            <w:t>下列术语和定义适用于本文件。</w:t>
          </w:r>
        </w:p>
      </w:sdtContent>
    </w:sdt>
    <w:p w14:paraId="6378BCE7">
      <w:pPr>
        <w:pStyle w:val="224"/>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认证 certificate</w:t>
      </w:r>
    </w:p>
    <w:p w14:paraId="3E3D08A4">
      <w:pPr>
        <w:pStyle w:val="57"/>
        <w:ind w:firstLine="420"/>
      </w:pPr>
      <w:r>
        <w:rPr>
          <w:rFonts w:hint="eastAsia"/>
        </w:rPr>
        <w:t>由认证机构证明产品、服务、管理体系符合相关技术规范、相关技术规范的强制性要求或者标准的合格评定活动。</w:t>
      </w:r>
    </w:p>
    <w:p w14:paraId="7257D8D5">
      <w:pPr>
        <w:pStyle w:val="224"/>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认证专业人员 c</w:t>
      </w:r>
      <w:r>
        <w:rPr>
          <w:rFonts w:ascii="黑体" w:hAnsi="黑体" w:eastAsia="黑体"/>
        </w:rPr>
        <w:t>ertified professional</w:t>
      </w:r>
    </w:p>
    <w:p w14:paraId="468142D6">
      <w:pPr>
        <w:ind w:firstLine="420" w:firstLineChars="200"/>
        <w:jc w:val="left"/>
        <w:rPr>
          <w:rFonts w:ascii="黑体" w:hAnsi="Times New Roman" w:eastAsia="黑体"/>
          <w:b/>
          <w:bCs/>
          <w:color w:val="0070C0"/>
          <w:kern w:val="0"/>
          <w:szCs w:val="20"/>
        </w:rPr>
      </w:pPr>
      <w:r>
        <w:rPr>
          <w:rFonts w:hint="eastAsia"/>
        </w:rPr>
        <w:t>具备相应专业能力或执业资格，从事认证及相关工作的人员。</w:t>
      </w:r>
    </w:p>
    <w:p w14:paraId="16962D8C">
      <w:pPr>
        <w:pStyle w:val="224"/>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职业能力 professional competence</w:t>
      </w:r>
    </w:p>
    <w:p w14:paraId="67EDDB9D">
      <w:pPr>
        <w:pStyle w:val="57"/>
        <w:ind w:firstLine="420"/>
      </w:pPr>
      <w:r>
        <w:rPr>
          <w:rFonts w:hint="eastAsia"/>
        </w:rPr>
        <w:t>从事特定职业所需的知识、技能和态度等综合素质。</w:t>
      </w:r>
    </w:p>
    <w:p w14:paraId="6928123C">
      <w:pPr>
        <w:pStyle w:val="224"/>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职业能力培养 the cultivation of professional competence</w:t>
      </w:r>
    </w:p>
    <w:p w14:paraId="6DF9A5B6">
      <w:pPr>
        <w:pStyle w:val="57"/>
        <w:ind w:firstLine="420"/>
        <w:rPr>
          <w:rFonts w:hint="eastAsia"/>
        </w:rPr>
      </w:pPr>
      <w:r>
        <w:rPr>
          <w:rFonts w:hint="eastAsia"/>
        </w:rPr>
        <w:t>为提高认证专业人员职业能力而开展的一系列教育活动。</w:t>
      </w:r>
    </w:p>
    <w:p w14:paraId="1290AB87">
      <w:pPr>
        <w:pStyle w:val="105"/>
        <w:spacing w:before="312" w:after="312"/>
      </w:pPr>
      <w:bookmarkStart w:id="55" w:name="_Toc179529599"/>
      <w:bookmarkStart w:id="56" w:name="_Toc19050"/>
      <w:r>
        <w:rPr>
          <w:rFonts w:hint="eastAsia"/>
        </w:rPr>
        <w:t>基本要求</w:t>
      </w:r>
      <w:bookmarkEnd w:id="55"/>
      <w:bookmarkEnd w:id="56"/>
    </w:p>
    <w:p w14:paraId="49026DD2">
      <w:pPr>
        <w:pStyle w:val="106"/>
        <w:spacing w:before="156" w:after="156"/>
      </w:pPr>
      <w:bookmarkStart w:id="57" w:name="_Toc26278"/>
      <w:bookmarkStart w:id="58" w:name="_Toc179529600"/>
      <w:r>
        <w:rPr>
          <w:rFonts w:hint="eastAsia"/>
        </w:rPr>
        <w:t>机构资质要求</w:t>
      </w:r>
      <w:bookmarkEnd w:id="57"/>
    </w:p>
    <w:p w14:paraId="143C5A74">
      <w:pPr>
        <w:pStyle w:val="57"/>
        <w:ind w:firstLine="420"/>
        <w:rPr>
          <w:rFonts w:hint="eastAsia"/>
        </w:rPr>
      </w:pPr>
      <w:r>
        <w:rPr>
          <w:rFonts w:hint="eastAsia"/>
        </w:rPr>
        <w:t>a. 培训机构应取得省级以上市场监管部门或行业协会颁发的认证培训资质；</w:t>
      </w:r>
    </w:p>
    <w:p w14:paraId="05595F27">
      <w:pPr>
        <w:pStyle w:val="57"/>
        <w:ind w:firstLine="420"/>
        <w:rPr>
          <w:rFonts w:hint="eastAsia"/>
        </w:rPr>
      </w:pPr>
      <w:r>
        <w:rPr>
          <w:rFonts w:hint="eastAsia"/>
        </w:rPr>
        <w:t>b. 需建立质量管理体系并通过年度监督审核（引用GB/T 19001）。</w:t>
      </w:r>
    </w:p>
    <w:p w14:paraId="79436E0C">
      <w:pPr>
        <w:pStyle w:val="106"/>
        <w:spacing w:before="156" w:after="156"/>
      </w:pPr>
      <w:bookmarkStart w:id="59" w:name="_Toc27210"/>
      <w:r>
        <w:rPr>
          <w:rFonts w:hint="eastAsia"/>
        </w:rPr>
        <w:t>场地与设施要求</w:t>
      </w:r>
      <w:bookmarkEnd w:id="59"/>
    </w:p>
    <w:p w14:paraId="508169AF">
      <w:pPr>
        <w:pStyle w:val="57"/>
        <w:ind w:firstLine="420"/>
        <w:rPr>
          <w:rFonts w:hint="eastAsia"/>
        </w:rPr>
      </w:pPr>
      <w:r>
        <w:rPr>
          <w:rFonts w:hint="eastAsia"/>
        </w:rPr>
        <w:t>a. 理论教学场地人均面积≥2㎡，配备多媒体教学设备及网络设施；</w:t>
      </w:r>
      <w:r>
        <w:rPr>
          <w:rFonts w:hint="default"/>
        </w:rPr>
        <w:br w:type="textWrapping"/>
      </w:r>
      <w:r>
        <w:rPr>
          <w:rFonts w:hint="eastAsia"/>
          <w:lang w:val="en-US" w:eastAsia="zh-CN"/>
        </w:rPr>
        <w:tab/>
      </w:r>
      <w:r>
        <w:rPr>
          <w:rFonts w:hint="default"/>
        </w:rPr>
        <w:t>b. 实践场地需配置模拟审核实验室（含VR/AR设备）、案例资源库及远程审核平台。</w:t>
      </w:r>
    </w:p>
    <w:p w14:paraId="2B59EE1B">
      <w:pPr>
        <w:pStyle w:val="106"/>
        <w:spacing w:before="156" w:after="156"/>
      </w:pPr>
      <w:bookmarkStart w:id="60" w:name="_Toc32000"/>
      <w:r>
        <w:rPr>
          <w:rFonts w:hint="eastAsia"/>
        </w:rPr>
        <w:t>师资要求</w:t>
      </w:r>
      <w:bookmarkEnd w:id="60"/>
    </w:p>
    <w:p w14:paraId="4F46D855">
      <w:pPr>
        <w:pStyle w:val="106"/>
        <w:numPr>
          <w:ilvl w:val="2"/>
          <w:numId w:val="0"/>
        </w:numPr>
        <w:spacing w:before="156" w:after="156"/>
        <w:ind w:leftChars="0"/>
        <w:rPr>
          <w:rFonts w:hint="default"/>
          <w:lang w:val="en-US" w:eastAsia="zh-CN"/>
        </w:rPr>
      </w:pPr>
      <w:bookmarkStart w:id="61" w:name="_Toc14312"/>
      <w:r>
        <w:rPr>
          <w:rFonts w:hint="eastAsia"/>
          <w:lang w:val="en-US" w:eastAsia="zh-CN"/>
        </w:rPr>
        <w:t>4.3.1 理论课程教师</w:t>
      </w:r>
      <w:bookmarkEnd w:id="61"/>
    </w:p>
    <w:p w14:paraId="3C5F418E">
      <w:pPr>
        <w:pStyle w:val="57"/>
        <w:ind w:firstLine="420"/>
        <w:rPr>
          <w:rFonts w:hint="default"/>
          <w:lang w:val="en-US" w:eastAsia="zh-CN"/>
        </w:rPr>
      </w:pPr>
      <w:r>
        <w:rPr>
          <w:rFonts w:hint="default"/>
          <w:lang w:val="en-US" w:eastAsia="zh-CN"/>
        </w:rPr>
        <w:t>具备中级以上专业技术职称（如工程师、讲师）；或具有5年以上认证行业从业经验，且主导过不少于10个认证项目</w:t>
      </w:r>
      <w:r>
        <w:rPr>
          <w:rFonts w:hint="eastAsia"/>
          <w:lang w:val="en-US" w:eastAsia="zh-CN"/>
        </w:rPr>
        <w:t>；</w:t>
      </w:r>
      <w:r>
        <w:rPr>
          <w:rFonts w:hint="default"/>
          <w:lang w:val="en-US" w:eastAsia="zh-CN"/>
        </w:rPr>
        <w:t>每年参与行业协会组织的教学能力考核（通过率≥90%），未通过者暂停授课资格。</w:t>
      </w:r>
    </w:p>
    <w:p w14:paraId="24751EF6">
      <w:pPr>
        <w:pStyle w:val="106"/>
        <w:numPr>
          <w:ilvl w:val="2"/>
          <w:numId w:val="0"/>
        </w:numPr>
        <w:spacing w:before="156" w:after="156"/>
        <w:ind w:leftChars="0"/>
        <w:rPr>
          <w:rFonts w:hint="default" w:eastAsia="黑体"/>
          <w:lang w:val="en-US" w:eastAsia="zh-CN"/>
        </w:rPr>
      </w:pPr>
      <w:bookmarkStart w:id="62" w:name="_Toc2628"/>
      <w:r>
        <w:rPr>
          <w:rFonts w:hint="eastAsia"/>
          <w:lang w:val="en-US" w:eastAsia="zh-CN"/>
        </w:rPr>
        <w:t>4.3.2 实践导师</w:t>
      </w:r>
      <w:bookmarkEnd w:id="62"/>
    </w:p>
    <w:p w14:paraId="1A652CE1">
      <w:pPr>
        <w:pStyle w:val="57"/>
      </w:pPr>
      <w:r>
        <w:rPr>
          <w:rFonts w:hint="eastAsia"/>
        </w:rPr>
        <w:t>有CNAT注册审核员资质（有效期内）；近2年内参与现场审核项目≥5个，且无重大审核事故记录。</w:t>
      </w:r>
    </w:p>
    <w:bookmarkEnd w:id="58"/>
    <w:p w14:paraId="2942D9A6">
      <w:pPr>
        <w:pStyle w:val="106"/>
        <w:spacing w:before="156" w:after="156"/>
        <w:rPr>
          <w:rFonts w:hint="eastAsia"/>
          <w:lang w:val="en-US" w:eastAsia="zh-CN"/>
        </w:rPr>
      </w:pPr>
      <w:bookmarkStart w:id="63" w:name="_Toc13668"/>
      <w:r>
        <w:rPr>
          <w:rFonts w:hint="eastAsia"/>
          <w:lang w:val="en-US" w:eastAsia="zh-CN"/>
        </w:rPr>
        <w:t>学员基本要求</w:t>
      </w:r>
      <w:bookmarkEnd w:id="63"/>
    </w:p>
    <w:p w14:paraId="195CA2DD">
      <w:pPr>
        <w:pStyle w:val="57"/>
        <w:ind w:firstLine="420"/>
        <w:rPr>
          <w:rFonts w:hint="eastAsia"/>
        </w:rPr>
      </w:pPr>
      <w:r>
        <w:rPr>
          <w:rFonts w:hint="eastAsia"/>
        </w:rPr>
        <w:t>应当遵守国家法律、法规及认证行业相关制度准则，维护国家和社会公共利益；恪守职业道德，遵循客观、独立、公正原则，诚实守信，并对所知悉的国家秘密和商业秘密负有保密义务。</w:t>
      </w:r>
    </w:p>
    <w:p w14:paraId="28C40D4B">
      <w:pPr>
        <w:pStyle w:val="66"/>
        <w:keepNext w:val="0"/>
        <w:keepLines w:val="0"/>
        <w:pageBreakBefore w:val="0"/>
        <w:kinsoku/>
        <w:wordWrap/>
        <w:overflowPunct/>
        <w:topLinePunct w:val="0"/>
        <w:bidi w:val="0"/>
        <w:adjustRightInd/>
        <w:snapToGrid/>
        <w:spacing w:before="156" w:after="156"/>
        <w:textAlignment w:val="auto"/>
        <w:outlineLvl w:val="9"/>
      </w:pPr>
      <w:r>
        <w:rPr>
          <w:rFonts w:hint="eastAsia"/>
        </w:rPr>
        <w:t>职业操守</w:t>
      </w:r>
    </w:p>
    <w:p w14:paraId="245B3803">
      <w:pPr>
        <w:pStyle w:val="57"/>
        <w:keepNext w:val="0"/>
        <w:keepLines w:val="0"/>
        <w:pageBreakBefore w:val="0"/>
        <w:kinsoku/>
        <w:wordWrap/>
        <w:overflowPunct/>
        <w:topLinePunct w:val="0"/>
        <w:bidi w:val="0"/>
        <w:adjustRightInd/>
        <w:snapToGrid/>
        <w:ind w:firstLine="420"/>
        <w:textAlignment w:val="auto"/>
        <w:outlineLvl w:val="9"/>
        <w:rPr>
          <w:rFonts w:hint="eastAsia"/>
        </w:rPr>
      </w:pPr>
      <w:r>
        <w:rPr>
          <w:rFonts w:hint="eastAsia"/>
        </w:rPr>
        <w:t>认证专业人员应满足以下职业操守要求，并通过量化指标验证：</w:t>
      </w:r>
    </w:p>
    <w:p w14:paraId="514E0523">
      <w:pPr>
        <w:pStyle w:val="57"/>
        <w:keepNext w:val="0"/>
        <w:keepLines w:val="0"/>
        <w:pageBreakBefore w:val="0"/>
        <w:kinsoku/>
        <w:wordWrap/>
        <w:overflowPunct/>
        <w:topLinePunct w:val="0"/>
        <w:bidi w:val="0"/>
        <w:adjustRightInd/>
        <w:snapToGrid/>
        <w:ind w:firstLine="420"/>
        <w:textAlignment w:val="auto"/>
        <w:outlineLvl w:val="9"/>
        <w:rPr>
          <w:rFonts w:hint="eastAsia"/>
        </w:rPr>
      </w:pPr>
      <w:r>
        <w:rPr>
          <w:rFonts w:hint="eastAsia"/>
          <w:lang w:val="en-US" w:eastAsia="zh-CN"/>
        </w:rPr>
        <w:t>4.4.1.1 认证专业人员应接受</w:t>
      </w:r>
      <w:r>
        <w:rPr>
          <w:rFonts w:hint="eastAsia"/>
        </w:rPr>
        <w:t>年度匿名同行评议</w:t>
      </w:r>
      <w:r>
        <w:rPr>
          <w:rFonts w:hint="eastAsia"/>
          <w:lang w:eastAsia="zh-CN"/>
        </w:rPr>
        <w:t>。</w:t>
      </w:r>
      <w:r>
        <w:rPr>
          <w:rFonts w:hint="eastAsia"/>
        </w:rPr>
        <w:t>由至少3名同级别或上级专业人员匿名评分，采用10分制（≥8分为合格）；评议内容</w:t>
      </w:r>
      <w:r>
        <w:rPr>
          <w:rFonts w:hint="eastAsia"/>
          <w:lang w:val="en-US" w:eastAsia="zh-CN"/>
        </w:rPr>
        <w:t>应涵盖“</w:t>
      </w:r>
      <w:r>
        <w:rPr>
          <w:rFonts w:hint="eastAsia"/>
        </w:rPr>
        <w:t>公正性、保密性、诚信度、职业责任感</w:t>
      </w:r>
      <w:r>
        <w:rPr>
          <w:rFonts w:hint="eastAsia"/>
          <w:lang w:eastAsia="zh-CN"/>
        </w:rPr>
        <w:t>”，</w:t>
      </w:r>
      <w:r>
        <w:rPr>
          <w:rFonts w:hint="eastAsia"/>
        </w:rPr>
        <w:t>连续2年评分＜8分者需接受职业道德再培训。</w:t>
      </w:r>
    </w:p>
    <w:p w14:paraId="3D141B64">
      <w:pPr>
        <w:pStyle w:val="57"/>
        <w:keepNext w:val="0"/>
        <w:keepLines w:val="0"/>
        <w:pageBreakBefore w:val="0"/>
        <w:kinsoku/>
        <w:wordWrap/>
        <w:overflowPunct/>
        <w:topLinePunct w:val="0"/>
        <w:bidi w:val="0"/>
        <w:adjustRightInd/>
        <w:snapToGrid/>
        <w:ind w:firstLine="420"/>
        <w:textAlignment w:val="auto"/>
        <w:outlineLvl w:val="9"/>
        <w:rPr>
          <w:rFonts w:hint="eastAsia"/>
        </w:rPr>
      </w:pPr>
      <w:r>
        <w:rPr>
          <w:rFonts w:hint="eastAsia"/>
          <w:lang w:val="en-US" w:eastAsia="zh-CN"/>
        </w:rPr>
        <w:t xml:space="preserve">4.4.1.2 </w:t>
      </w:r>
      <w:r>
        <w:rPr>
          <w:rFonts w:hint="eastAsia"/>
        </w:rPr>
        <w:t>客户投诉率管控</w:t>
      </w:r>
      <w:r>
        <w:rPr>
          <w:rFonts w:hint="eastAsia"/>
          <w:lang w:val="en-US" w:eastAsia="zh-CN"/>
        </w:rPr>
        <w:t>。认证专业人员应</w:t>
      </w:r>
      <w:r>
        <w:rPr>
          <w:rFonts w:hint="eastAsia"/>
        </w:rPr>
        <w:t>计算年度客户投诉率</w:t>
      </w:r>
      <w:r>
        <w:rPr>
          <w:rFonts w:hint="eastAsia"/>
          <w:lang w:eastAsia="zh-CN"/>
        </w:rPr>
        <w:t>，</w:t>
      </w:r>
      <w:r>
        <w:rPr>
          <w:rFonts w:hint="eastAsia"/>
          <w:lang w:val="en-US" w:eastAsia="zh-CN"/>
        </w:rPr>
        <w:t>公式为：上</w:t>
      </w:r>
      <w:r>
        <w:rPr>
          <w:rFonts w:hint="eastAsia"/>
        </w:rPr>
        <w:t>年度客户有效投诉次数/</w:t>
      </w:r>
      <w:r>
        <w:rPr>
          <w:rFonts w:hint="eastAsia"/>
          <w:lang w:val="en-US" w:eastAsia="zh-CN"/>
        </w:rPr>
        <w:t>上</w:t>
      </w:r>
      <w:r>
        <w:rPr>
          <w:rFonts w:hint="eastAsia"/>
        </w:rPr>
        <w:t>年度参与认证项目总数×100%</w:t>
      </w:r>
      <w:r>
        <w:rPr>
          <w:rFonts w:hint="eastAsia"/>
          <w:lang w:eastAsia="zh-CN"/>
        </w:rPr>
        <w:t>。</w:t>
      </w:r>
      <w:r>
        <w:rPr>
          <w:rFonts w:hint="eastAsia"/>
        </w:rPr>
        <w:t>投诉率</w:t>
      </w:r>
      <w:r>
        <w:rPr>
          <w:rFonts w:hint="eastAsia"/>
          <w:lang w:val="en-US" w:eastAsia="zh-CN"/>
        </w:rPr>
        <w:t>＞</w:t>
      </w:r>
      <w:r>
        <w:rPr>
          <w:rFonts w:hint="eastAsia"/>
        </w:rPr>
        <w:t>1%者需暂停资格并提交整改报告至行业协会备案。</w:t>
      </w:r>
    </w:p>
    <w:p w14:paraId="4C8813E7">
      <w:pPr>
        <w:pStyle w:val="66"/>
        <w:keepNext w:val="0"/>
        <w:keepLines w:val="0"/>
        <w:pageBreakBefore w:val="0"/>
        <w:kinsoku/>
        <w:wordWrap/>
        <w:overflowPunct/>
        <w:topLinePunct w:val="0"/>
        <w:bidi w:val="0"/>
        <w:adjustRightInd/>
        <w:snapToGrid/>
        <w:spacing w:before="156" w:after="156"/>
        <w:textAlignment w:val="auto"/>
        <w:outlineLvl w:val="9"/>
        <w:rPr>
          <w:rFonts w:hint="eastAsia"/>
        </w:rPr>
      </w:pPr>
      <w:bookmarkStart w:id="64" w:name="_Toc179529601"/>
      <w:r>
        <w:rPr>
          <w:rFonts w:hint="eastAsia"/>
        </w:rPr>
        <w:t>基本文化程度</w:t>
      </w:r>
      <w:bookmarkEnd w:id="64"/>
    </w:p>
    <w:p w14:paraId="651C8BF5">
      <w:pPr>
        <w:pStyle w:val="57"/>
        <w:ind w:firstLine="420"/>
        <w:rPr>
          <w:rFonts w:hint="eastAsia"/>
          <w:highlight w:val="none"/>
          <w:lang w:val="en-US" w:eastAsia="zh-CN"/>
        </w:rPr>
      </w:pPr>
      <w:r>
        <w:rPr>
          <w:rFonts w:hint="eastAsia"/>
          <w:highlight w:val="none"/>
        </w:rPr>
        <w:t>具备大学专科及以上学历</w:t>
      </w:r>
      <w:r>
        <w:rPr>
          <w:rFonts w:hint="eastAsia"/>
          <w:highlight w:val="none"/>
          <w:lang w:eastAsia="zh-CN"/>
        </w:rPr>
        <w:t>，</w:t>
      </w:r>
      <w:r>
        <w:rPr>
          <w:rFonts w:hint="eastAsia"/>
          <w:highlight w:val="none"/>
          <w:lang w:val="en-US" w:eastAsia="zh-CN"/>
        </w:rPr>
        <w:t>或经认证机构认可的同等学历。同等学历包括以下情形之一：</w:t>
      </w:r>
    </w:p>
    <w:p w14:paraId="248A3562">
      <w:pPr>
        <w:pStyle w:val="231"/>
        <w:keepNext w:val="0"/>
        <w:keepLines w:val="0"/>
        <w:pageBreakBefore w:val="0"/>
        <w:widowControl/>
        <w:numPr>
          <w:ilvl w:val="0"/>
          <w:numId w:val="33"/>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国家教育行政部门承认的非全日制专科学历；</w:t>
      </w:r>
    </w:p>
    <w:p w14:paraId="7AE948F8">
      <w:pPr>
        <w:pStyle w:val="231"/>
        <w:keepNext w:val="0"/>
        <w:keepLines w:val="0"/>
        <w:pageBreakBefore w:val="0"/>
        <w:widowControl/>
        <w:numPr>
          <w:ilvl w:val="0"/>
          <w:numId w:val="33"/>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高级工及以上职业资格证书，且具备3年以上认证相关工作经验；</w:t>
      </w:r>
    </w:p>
    <w:p w14:paraId="757B6839">
      <w:pPr>
        <w:pStyle w:val="231"/>
        <w:keepNext w:val="0"/>
        <w:keepLines w:val="0"/>
        <w:pageBreakBefore w:val="0"/>
        <w:widowControl/>
        <w:numPr>
          <w:ilvl w:val="0"/>
          <w:numId w:val="33"/>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高中或中专学历，且累计完成400学时认证专业培训并从事认证工作满5年；</w:t>
      </w:r>
    </w:p>
    <w:p w14:paraId="2539D11E">
      <w:pPr>
        <w:pStyle w:val="231"/>
        <w:keepNext w:val="0"/>
        <w:keepLines w:val="0"/>
        <w:pageBreakBefore w:val="0"/>
        <w:widowControl/>
        <w:numPr>
          <w:ilvl w:val="0"/>
          <w:numId w:val="33"/>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经省级以上主管部门认定的其他等效资质。</w:t>
      </w:r>
    </w:p>
    <w:p w14:paraId="77326349">
      <w:pPr>
        <w:pStyle w:val="66"/>
        <w:keepNext w:val="0"/>
        <w:keepLines w:val="0"/>
        <w:pageBreakBefore w:val="0"/>
        <w:kinsoku/>
        <w:wordWrap/>
        <w:overflowPunct/>
        <w:topLinePunct w:val="0"/>
        <w:bidi w:val="0"/>
        <w:adjustRightInd/>
        <w:snapToGrid/>
        <w:spacing w:before="156" w:after="156"/>
        <w:textAlignment w:val="auto"/>
        <w:outlineLvl w:val="9"/>
        <w:rPr>
          <w:rFonts w:hint="eastAsia"/>
        </w:rPr>
      </w:pPr>
      <w:bookmarkStart w:id="65" w:name="_Toc179529602"/>
      <w:r>
        <w:rPr>
          <w:rFonts w:hint="eastAsia"/>
        </w:rPr>
        <w:t>专业能力</w:t>
      </w:r>
      <w:bookmarkEnd w:id="65"/>
    </w:p>
    <w:p w14:paraId="36183777">
      <w:pPr>
        <w:pStyle w:val="57"/>
        <w:ind w:firstLine="420"/>
        <w:rPr>
          <w:rFonts w:hint="eastAsia"/>
          <w:lang w:val="en-US" w:eastAsia="zh-CN"/>
        </w:rPr>
      </w:pPr>
      <w:r>
        <w:rPr>
          <w:rFonts w:hint="eastAsia"/>
          <w:lang w:eastAsia="zh-CN"/>
        </w:rPr>
        <w:t>具备相应的相关</w:t>
      </w:r>
      <w:r>
        <w:rPr>
          <w:rFonts w:hint="eastAsia"/>
        </w:rPr>
        <w:t>专业</w:t>
      </w:r>
      <w:r>
        <w:rPr>
          <w:rFonts w:hint="eastAsia"/>
          <w:lang w:eastAsia="zh-CN"/>
        </w:rPr>
        <w:t>学历、专职</w:t>
      </w:r>
      <w:r>
        <w:rPr>
          <w:rFonts w:hint="eastAsia"/>
        </w:rPr>
        <w:t>工作经历</w:t>
      </w:r>
      <w:r>
        <w:rPr>
          <w:rFonts w:hint="eastAsia"/>
          <w:lang w:eastAsia="zh-CN"/>
        </w:rPr>
        <w:t>或认证专业咨询、培训或审核经历。</w:t>
      </w:r>
    </w:p>
    <w:p w14:paraId="5A149DF8">
      <w:pPr>
        <w:pStyle w:val="105"/>
        <w:spacing w:before="312" w:after="312"/>
      </w:pPr>
      <w:bookmarkStart w:id="66" w:name="_Toc179529603"/>
      <w:bookmarkStart w:id="67" w:name="_Toc2840"/>
      <w:r>
        <w:rPr>
          <w:rFonts w:hint="eastAsia"/>
        </w:rPr>
        <w:t>培养要求</w:t>
      </w:r>
      <w:bookmarkEnd w:id="66"/>
      <w:bookmarkEnd w:id="67"/>
    </w:p>
    <w:p w14:paraId="1CCD7B2D">
      <w:pPr>
        <w:pStyle w:val="106"/>
        <w:spacing w:before="156" w:after="156"/>
      </w:pPr>
      <w:bookmarkStart w:id="68" w:name="_Toc2990"/>
      <w:bookmarkStart w:id="69" w:name="_Toc179529604"/>
      <w:r>
        <w:rPr>
          <w:rFonts w:hint="eastAsia"/>
        </w:rPr>
        <w:t>培养目标分层</w:t>
      </w:r>
      <w:bookmarkEnd w:id="68"/>
    </w:p>
    <w:p w14:paraId="798F1B0B">
      <w:pPr>
        <w:pStyle w:val="231"/>
        <w:keepNext w:val="0"/>
        <w:keepLines w:val="0"/>
        <w:pageBreakBefore w:val="0"/>
        <w:widowControl/>
        <w:numPr>
          <w:ilvl w:val="0"/>
          <w:numId w:val="34"/>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初级班，</w:t>
      </w:r>
      <w:r>
        <w:rPr>
          <w:rFonts w:hint="eastAsia"/>
        </w:rPr>
        <w:t>认证专业人员</w:t>
      </w:r>
      <w:r>
        <w:rPr>
          <w:rFonts w:hint="eastAsia"/>
          <w:lang w:val="en-US" w:eastAsia="zh-CN"/>
        </w:rPr>
        <w:t>应</w:t>
      </w:r>
      <w:r>
        <w:rPr>
          <w:rFonts w:hint="eastAsia"/>
          <w:highlight w:val="none"/>
          <w:lang w:val="en-US" w:eastAsia="zh-CN"/>
        </w:rPr>
        <w:t>掌握认证基础知识，独立完成简单审核任务。</w:t>
      </w:r>
    </w:p>
    <w:p w14:paraId="7A3F3B22">
      <w:pPr>
        <w:pStyle w:val="231"/>
        <w:keepNext w:val="0"/>
        <w:keepLines w:val="0"/>
        <w:pageBreakBefore w:val="0"/>
        <w:widowControl/>
        <w:numPr>
          <w:ilvl w:val="0"/>
          <w:numId w:val="34"/>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中级班，</w:t>
      </w:r>
      <w:r>
        <w:rPr>
          <w:rFonts w:hint="eastAsia"/>
        </w:rPr>
        <w:t>认证专业人员</w:t>
      </w:r>
      <w:r>
        <w:rPr>
          <w:rFonts w:hint="eastAsia"/>
          <w:lang w:val="en-US" w:eastAsia="zh-CN"/>
        </w:rPr>
        <w:t>应能</w:t>
      </w:r>
      <w:r>
        <w:rPr>
          <w:rFonts w:hint="eastAsia"/>
          <w:highlight w:val="none"/>
          <w:lang w:val="en-US" w:eastAsia="zh-CN"/>
        </w:rPr>
        <w:t>主导复杂项目审核，具备跨领域协调能力。</w:t>
      </w:r>
    </w:p>
    <w:p w14:paraId="313811EE">
      <w:pPr>
        <w:pStyle w:val="231"/>
        <w:keepNext w:val="0"/>
        <w:keepLines w:val="0"/>
        <w:pageBreakBefore w:val="0"/>
        <w:widowControl/>
        <w:numPr>
          <w:ilvl w:val="0"/>
          <w:numId w:val="34"/>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高级班，</w:t>
      </w:r>
      <w:r>
        <w:rPr>
          <w:rFonts w:hint="eastAsia"/>
        </w:rPr>
        <w:t>认证专业人员</w:t>
      </w:r>
      <w:r>
        <w:rPr>
          <w:rFonts w:hint="eastAsia"/>
          <w:lang w:val="en-US" w:eastAsia="zh-CN"/>
        </w:rPr>
        <w:t>应能</w:t>
      </w:r>
      <w:r>
        <w:rPr>
          <w:rFonts w:hint="eastAsia"/>
          <w:highlight w:val="none"/>
          <w:lang w:val="en-US" w:eastAsia="zh-CN"/>
        </w:rPr>
        <w:t>制定审核方案，指导团队解决行业技术难题。</w:t>
      </w:r>
    </w:p>
    <w:p w14:paraId="5B00C86C">
      <w:pPr>
        <w:pStyle w:val="106"/>
        <w:spacing w:before="156" w:after="156"/>
        <w:rPr>
          <w:rFonts w:hint="eastAsia"/>
        </w:rPr>
      </w:pPr>
      <w:bookmarkStart w:id="70" w:name="_Toc12297"/>
      <w:r>
        <w:rPr>
          <w:rFonts w:hint="eastAsia"/>
        </w:rPr>
        <w:t>培养周期与学时分配</w:t>
      </w:r>
      <w:bookmarkEnd w:id="70"/>
    </w:p>
    <w:p w14:paraId="6CDB46FC">
      <w:pPr>
        <w:pStyle w:val="57"/>
        <w:rPr>
          <w:rFonts w:hint="eastAsia"/>
          <w:highlight w:val="none"/>
        </w:rPr>
      </w:pPr>
      <w:r>
        <w:rPr>
          <w:rFonts w:hint="eastAsia"/>
          <w:highlight w:val="none"/>
        </w:rPr>
        <w:t>a. 初级</w:t>
      </w:r>
      <w:r>
        <w:rPr>
          <w:rFonts w:hint="eastAsia"/>
          <w:highlight w:val="none"/>
          <w:lang w:val="en-US" w:eastAsia="zh-CN"/>
        </w:rPr>
        <w:t>班。</w:t>
      </w:r>
      <w:r>
        <w:rPr>
          <w:rFonts w:hint="eastAsia"/>
          <w:highlight w:val="none"/>
        </w:rPr>
        <w:t>总学时≥</w:t>
      </w:r>
      <w:r>
        <w:rPr>
          <w:rFonts w:hint="eastAsia"/>
          <w:highlight w:val="none"/>
          <w:lang w:val="en-US" w:eastAsia="zh-CN"/>
        </w:rPr>
        <w:t>6</w:t>
      </w:r>
      <w:r>
        <w:rPr>
          <w:rFonts w:hint="eastAsia"/>
          <w:highlight w:val="none"/>
        </w:rPr>
        <w:t>0h（理论:实践=6:4）；</w:t>
      </w:r>
    </w:p>
    <w:p w14:paraId="7CA455AA">
      <w:pPr>
        <w:pStyle w:val="57"/>
        <w:rPr>
          <w:highlight w:val="none"/>
        </w:rPr>
      </w:pPr>
      <w:r>
        <w:rPr>
          <w:rFonts w:hint="eastAsia"/>
          <w:highlight w:val="none"/>
        </w:rPr>
        <w:t>b. 中/高级</w:t>
      </w:r>
      <w:r>
        <w:rPr>
          <w:rFonts w:hint="eastAsia"/>
          <w:highlight w:val="none"/>
          <w:lang w:val="en-US" w:eastAsia="zh-CN"/>
        </w:rPr>
        <w:t>班。</w:t>
      </w:r>
      <w:r>
        <w:rPr>
          <w:rFonts w:hint="eastAsia"/>
          <w:highlight w:val="none"/>
        </w:rPr>
        <w:t>总学时≥</w:t>
      </w:r>
      <w:r>
        <w:rPr>
          <w:rFonts w:hint="eastAsia"/>
          <w:highlight w:val="none"/>
          <w:lang w:val="en-US" w:eastAsia="zh-CN"/>
        </w:rPr>
        <w:t>1</w:t>
      </w:r>
      <w:r>
        <w:rPr>
          <w:rFonts w:hint="eastAsia"/>
          <w:highlight w:val="none"/>
        </w:rPr>
        <w:t>00h（含专题研讨40h）。</w:t>
      </w:r>
    </w:p>
    <w:p w14:paraId="63FD0B0F">
      <w:pPr>
        <w:pStyle w:val="106"/>
        <w:spacing w:before="156" w:after="156"/>
      </w:pPr>
      <w:bookmarkStart w:id="71" w:name="_Toc3856"/>
      <w:r>
        <w:rPr>
          <w:rFonts w:hint="eastAsia"/>
        </w:rPr>
        <w:t>课程设置</w:t>
      </w:r>
      <w:bookmarkEnd w:id="69"/>
      <w:bookmarkEnd w:id="71"/>
    </w:p>
    <w:p w14:paraId="71BAE2AD">
      <w:pPr>
        <w:pStyle w:val="166"/>
        <w:numPr>
          <w:ilvl w:val="3"/>
          <w:numId w:val="0"/>
        </w:numPr>
        <w:ind w:leftChars="0" w:firstLine="420" w:firstLineChars="200"/>
        <w:rPr>
          <w:rFonts w:hint="default" w:eastAsia="宋体"/>
          <w:lang w:val="en-US" w:eastAsia="zh-CN"/>
        </w:rPr>
      </w:pPr>
      <w:r>
        <w:rPr>
          <w:rFonts w:hint="eastAsia"/>
        </w:rPr>
        <w:t>课程应包括理论课程、实践课程和职业素养课程</w:t>
      </w:r>
      <w:r>
        <w:rPr>
          <w:rFonts w:hint="eastAsia"/>
          <w:lang w:eastAsia="zh-CN"/>
        </w:rPr>
        <w:t>。</w:t>
      </w:r>
    </w:p>
    <w:p w14:paraId="3C260B5C">
      <w:pPr>
        <w:pStyle w:val="166"/>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rPr>
        <w:t>理论课程</w:t>
      </w:r>
    </w:p>
    <w:p w14:paraId="7D9E21BA">
      <w:pPr>
        <w:pStyle w:val="166"/>
        <w:numPr>
          <w:ilvl w:val="3"/>
          <w:numId w:val="0"/>
        </w:numPr>
        <w:ind w:leftChars="0" w:firstLine="420" w:firstLineChars="200"/>
      </w:pPr>
      <w:r>
        <w:rPr>
          <w:rFonts w:hint="eastAsia"/>
        </w:rPr>
        <w:t>包括认证理论基础、相关法律法规、认证标准与流程等</w:t>
      </w:r>
      <w:r>
        <w:rPr>
          <w:rFonts w:hint="eastAsia"/>
          <w:lang w:eastAsia="zh-CN"/>
        </w:rPr>
        <w:t>，</w:t>
      </w:r>
      <w:r>
        <w:rPr>
          <w:rFonts w:hint="eastAsia"/>
          <w:lang w:val="en-US" w:eastAsia="zh-CN"/>
        </w:rPr>
        <w:t>应包括系统讲授合格评定原理、认证认可基础概念、认证技术发展沿革及国际互认机制；深度解读《中华人民共和国认证认可条例》《认证机构管理办法》等法规，结合CNAS-RC01《认证机构认可规则》分析典型案例；涵盖管理体系认证（ISO 9001/14001）、产品认证（CCC）、服务认证全流程，重点解析认证方案策划、审核计划编制及报告撰写规范。</w:t>
      </w:r>
    </w:p>
    <w:p w14:paraId="2BC7A094">
      <w:pPr>
        <w:pStyle w:val="166"/>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rPr>
        <w:t>实践课程</w:t>
      </w:r>
    </w:p>
    <w:p w14:paraId="3680D043">
      <w:pPr>
        <w:pStyle w:val="166"/>
        <w:numPr>
          <w:ilvl w:val="3"/>
          <w:numId w:val="0"/>
        </w:numPr>
        <w:ind w:leftChars="0" w:firstLine="420" w:firstLineChars="200"/>
        <w:rPr>
          <w:rFonts w:hint="eastAsia" w:eastAsia="宋体"/>
          <w:lang w:eastAsia="zh-CN"/>
        </w:rPr>
      </w:pPr>
      <w:r>
        <w:rPr>
          <w:rFonts w:hint="eastAsia"/>
        </w:rPr>
        <w:t>设置模拟</w:t>
      </w:r>
      <w:r>
        <w:rPr>
          <w:rFonts w:hint="eastAsia"/>
          <w:lang w:eastAsia="zh-CN"/>
        </w:rPr>
        <w:t>体系策划、模拟</w:t>
      </w:r>
      <w:r>
        <w:rPr>
          <w:rFonts w:hint="eastAsia"/>
        </w:rPr>
        <w:t>审核、</w:t>
      </w:r>
      <w:r>
        <w:rPr>
          <w:rFonts w:hint="eastAsia"/>
          <w:lang w:eastAsia="zh-CN"/>
        </w:rPr>
        <w:t>模拟评审、</w:t>
      </w:r>
      <w:r>
        <w:rPr>
          <w:rFonts w:hint="eastAsia"/>
        </w:rPr>
        <w:t>案例分析、实地调研等实践环节，增强动手能力。模拟体系策划</w:t>
      </w:r>
      <w:r>
        <w:rPr>
          <w:rFonts w:hint="eastAsia"/>
          <w:lang w:val="en-US" w:eastAsia="zh-CN"/>
        </w:rPr>
        <w:t>应</w:t>
      </w:r>
      <w:r>
        <w:rPr>
          <w:rFonts w:hint="eastAsia"/>
        </w:rPr>
        <w:t>分组</w:t>
      </w:r>
      <w:r>
        <w:rPr>
          <w:rFonts w:hint="eastAsia"/>
          <w:lang w:val="en-US" w:eastAsia="zh-CN"/>
        </w:rPr>
        <w:t>模拟</w:t>
      </w:r>
      <w:r>
        <w:rPr>
          <w:rFonts w:hint="eastAsia"/>
        </w:rPr>
        <w:t>完成企业质量/环境管理体系设计，输出符合ISO 9001/14001要求的体系文件</w:t>
      </w:r>
      <w:r>
        <w:rPr>
          <w:rFonts w:hint="eastAsia"/>
          <w:lang w:eastAsia="zh-CN"/>
        </w:rPr>
        <w:t>；模拟审核</w:t>
      </w:r>
      <w:r>
        <w:rPr>
          <w:rFonts w:hint="eastAsia"/>
          <w:lang w:val="en-US" w:eastAsia="zh-CN"/>
        </w:rPr>
        <w:t>应模拟</w:t>
      </w:r>
      <w:r>
        <w:rPr>
          <w:rFonts w:hint="eastAsia"/>
          <w:lang w:eastAsia="zh-CN"/>
        </w:rPr>
        <w:t>分阶段实施文件评审、现场审核及不符合项闭环，采用VR技术还原生产现场场景；模拟评审</w:t>
      </w:r>
      <w:r>
        <w:rPr>
          <w:rFonts w:hint="eastAsia"/>
          <w:lang w:val="en-US" w:eastAsia="zh-CN"/>
        </w:rPr>
        <w:t>应模拟</w:t>
      </w:r>
      <w:r>
        <w:rPr>
          <w:rFonts w:hint="eastAsia"/>
          <w:lang w:eastAsia="zh-CN"/>
        </w:rPr>
        <w:t>组织认证决定会议，编制认证结论报告并通过专家答辩。案例分析</w:t>
      </w:r>
      <w:r>
        <w:rPr>
          <w:rFonts w:hint="eastAsia"/>
          <w:lang w:val="en-US" w:eastAsia="zh-CN"/>
        </w:rPr>
        <w:t>应</w:t>
      </w:r>
      <w:r>
        <w:rPr>
          <w:rFonts w:hint="eastAsia"/>
          <w:lang w:eastAsia="zh-CN"/>
        </w:rPr>
        <w:t>选取CNAS公布的典型不合规案例，要求学员进行根本原因分析并制定纠正措施。实地调研</w:t>
      </w:r>
      <w:r>
        <w:rPr>
          <w:rFonts w:hint="eastAsia"/>
          <w:lang w:val="en-US" w:eastAsia="zh-CN"/>
        </w:rPr>
        <w:t>应</w:t>
      </w:r>
      <w:r>
        <w:rPr>
          <w:rFonts w:hint="eastAsia"/>
          <w:lang w:eastAsia="zh-CN"/>
        </w:rPr>
        <w:t>安排学员赴获证企业进行现场实践，参与认证监督审核全流程。</w:t>
      </w:r>
    </w:p>
    <w:p w14:paraId="014CB9D9">
      <w:pPr>
        <w:pStyle w:val="166"/>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rPr>
        <w:t>职业素养课程</w:t>
      </w:r>
    </w:p>
    <w:p w14:paraId="6E913ABF">
      <w:pPr>
        <w:pStyle w:val="166"/>
        <w:numPr>
          <w:ilvl w:val="3"/>
          <w:numId w:val="0"/>
        </w:numPr>
        <w:ind w:leftChars="0" w:firstLine="420" w:firstLineChars="200"/>
        <w:rPr>
          <w:rFonts w:hint="eastAsia" w:eastAsia="宋体"/>
          <w:lang w:eastAsia="zh-CN"/>
        </w:rPr>
      </w:pPr>
      <w:r>
        <w:rPr>
          <w:rFonts w:hint="eastAsia"/>
        </w:rPr>
        <w:t>开设职业道德、职业素养提升等课程，强化职业素养教育。职业道德与行为规范课程</w:t>
      </w:r>
      <w:r>
        <w:rPr>
          <w:rFonts w:hint="eastAsia"/>
          <w:lang w:val="en-US" w:eastAsia="zh-CN"/>
        </w:rPr>
        <w:t>应包括</w:t>
      </w:r>
      <w:r>
        <w:rPr>
          <w:rFonts w:hint="eastAsia"/>
        </w:rPr>
        <w:t>《认证人员执业道德规范》解析，结合IAF/CNAS公布的职业道德违规案例开展情景教学</w:t>
      </w:r>
      <w:r>
        <w:rPr>
          <w:rFonts w:hint="eastAsia"/>
          <w:lang w:eastAsia="zh-CN"/>
        </w:rPr>
        <w:t>。</w:t>
      </w:r>
      <w:r>
        <w:rPr>
          <w:rFonts w:hint="eastAsia"/>
        </w:rPr>
        <w:t>职业能力持续发展模块</w:t>
      </w:r>
      <w:r>
        <w:rPr>
          <w:rFonts w:hint="eastAsia"/>
          <w:lang w:val="en-US" w:eastAsia="zh-CN"/>
        </w:rPr>
        <w:t>应</w:t>
      </w:r>
      <w:r>
        <w:rPr>
          <w:rFonts w:hint="eastAsia"/>
        </w:rPr>
        <w:t>开设</w:t>
      </w:r>
      <w:r>
        <w:rPr>
          <w:rFonts w:hint="eastAsia"/>
          <w:lang w:eastAsia="zh-CN"/>
        </w:rPr>
        <w:t>“</w:t>
      </w:r>
      <w:r>
        <w:rPr>
          <w:rFonts w:hint="eastAsia"/>
        </w:rPr>
        <w:t>认证技术前沿</w:t>
      </w:r>
      <w:r>
        <w:rPr>
          <w:rFonts w:hint="eastAsia"/>
          <w:lang w:eastAsia="zh-CN"/>
        </w:rPr>
        <w:t>”</w:t>
      </w:r>
      <w:r>
        <w:rPr>
          <w:rFonts w:hint="eastAsia"/>
        </w:rPr>
        <w:t>专题讲座（每年更新），涵盖ESG认证、AI审核技术等新兴领域</w:t>
      </w:r>
      <w:r>
        <w:rPr>
          <w:rFonts w:hint="eastAsia"/>
          <w:lang w:eastAsia="zh-CN"/>
        </w:rPr>
        <w:t>。</w:t>
      </w:r>
    </w:p>
    <w:p w14:paraId="69CAFE97">
      <w:pPr>
        <w:pStyle w:val="106"/>
        <w:spacing w:before="156" w:after="156"/>
      </w:pPr>
      <w:bookmarkStart w:id="72" w:name="_Toc179529605"/>
      <w:bookmarkStart w:id="73" w:name="_Toc4703"/>
      <w:r>
        <w:rPr>
          <w:rFonts w:hint="eastAsia"/>
        </w:rPr>
        <w:t>教学资源</w:t>
      </w:r>
      <w:bookmarkEnd w:id="72"/>
      <w:bookmarkEnd w:id="73"/>
    </w:p>
    <w:p w14:paraId="14BE44BA">
      <w:pPr>
        <w:pStyle w:val="166"/>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rPr>
        <w:t>教学设施</w:t>
      </w:r>
    </w:p>
    <w:p w14:paraId="312FB7BA">
      <w:pPr>
        <w:pStyle w:val="166"/>
        <w:numPr>
          <w:ilvl w:val="3"/>
          <w:numId w:val="0"/>
        </w:numPr>
        <w:ind w:leftChars="0" w:firstLine="420" w:firstLineChars="200"/>
      </w:pPr>
      <w:r>
        <w:rPr>
          <w:rFonts w:hint="eastAsia"/>
        </w:rPr>
        <w:t>配备齐全的教学设施，包括教学实验室、实训基地等。理论教学区</w:t>
      </w:r>
      <w:r>
        <w:rPr>
          <w:rFonts w:hint="eastAsia"/>
          <w:lang w:val="en-US" w:eastAsia="zh-CN"/>
        </w:rPr>
        <w:t>应</w:t>
      </w:r>
      <w:r>
        <w:rPr>
          <w:rFonts w:hint="eastAsia"/>
        </w:rPr>
        <w:t>配备交互式智能教学系统（含录播功能），符合GB/T 36342《多媒体教学环境设计要求》</w:t>
      </w:r>
      <w:r>
        <w:rPr>
          <w:rFonts w:hint="eastAsia"/>
          <w:lang w:eastAsia="zh-CN"/>
        </w:rPr>
        <w:t>。</w:t>
      </w:r>
      <w:r>
        <w:rPr>
          <w:rFonts w:hint="eastAsia"/>
        </w:rPr>
        <w:t>实验实训区</w:t>
      </w:r>
      <w:r>
        <w:rPr>
          <w:rFonts w:hint="eastAsia"/>
          <w:lang w:val="en-US" w:eastAsia="zh-CN"/>
        </w:rPr>
        <w:t>应</w:t>
      </w:r>
      <w:r>
        <w:rPr>
          <w:rFonts w:hint="eastAsia"/>
        </w:rPr>
        <w:t>配置过程方法演练平台及远程审核终端设备</w:t>
      </w:r>
      <w:r>
        <w:rPr>
          <w:rFonts w:hint="eastAsia"/>
          <w:lang w:eastAsia="zh-CN"/>
        </w:rPr>
        <w:t>，</w:t>
      </w:r>
      <w:r>
        <w:rPr>
          <w:rFonts w:hint="eastAsia"/>
        </w:rPr>
        <w:t>配备分组讨论系统及电子白板，支持多场景案例推演。每家</w:t>
      </w:r>
      <w:r>
        <w:rPr>
          <w:rFonts w:hint="eastAsia"/>
          <w:lang w:val="en-US" w:eastAsia="zh-CN"/>
        </w:rPr>
        <w:t>培训</w:t>
      </w:r>
      <w:r>
        <w:rPr>
          <w:rFonts w:hint="eastAsia"/>
        </w:rPr>
        <w:t>机构</w:t>
      </w:r>
      <w:r>
        <w:rPr>
          <w:rFonts w:hint="eastAsia"/>
          <w:lang w:val="en-US" w:eastAsia="zh-CN"/>
        </w:rPr>
        <w:t>应</w:t>
      </w:r>
      <w:r>
        <w:rPr>
          <w:rFonts w:hint="eastAsia"/>
        </w:rPr>
        <w:t>提供≥5个真实审核岗位供学员轮岗实习。</w:t>
      </w:r>
    </w:p>
    <w:p w14:paraId="33112C05">
      <w:pPr>
        <w:pStyle w:val="166"/>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rPr>
        <w:t>教学资源库</w:t>
      </w:r>
    </w:p>
    <w:p w14:paraId="0EA81AF0">
      <w:pPr>
        <w:pStyle w:val="166"/>
        <w:numPr>
          <w:ilvl w:val="3"/>
          <w:numId w:val="0"/>
        </w:numPr>
        <w:ind w:leftChars="0" w:firstLine="420" w:firstLineChars="200"/>
        <w:rPr>
          <w:rFonts w:hint="eastAsia" w:eastAsia="宋体"/>
          <w:lang w:eastAsia="zh-CN"/>
        </w:rPr>
      </w:pPr>
      <w:r>
        <w:rPr>
          <w:rFonts w:hint="eastAsia"/>
          <w:lang w:val="en-US" w:eastAsia="zh-CN"/>
        </w:rPr>
        <w:t>应</w:t>
      </w:r>
      <w:r>
        <w:rPr>
          <w:rFonts w:hint="eastAsia"/>
        </w:rPr>
        <w:t>建立涵盖各类认证案例、文献资料、法规政策等资源的教学资源库。CNAS公告典型案例+企业脱敏项目全流程文档</w:t>
      </w:r>
      <w:r>
        <w:rPr>
          <w:rFonts w:hint="eastAsia"/>
          <w:lang w:val="en-US" w:eastAsia="zh-CN"/>
        </w:rPr>
        <w:t>等</w:t>
      </w:r>
      <w:r>
        <w:rPr>
          <w:rFonts w:hint="eastAsia"/>
        </w:rPr>
        <w:t>认证案例</w:t>
      </w:r>
      <w:r>
        <w:rPr>
          <w:rFonts w:hint="eastAsia"/>
          <w:lang w:val="en-US" w:eastAsia="zh-CN"/>
        </w:rPr>
        <w:t>应每</w:t>
      </w:r>
      <w:r>
        <w:rPr>
          <w:rFonts w:hint="eastAsia"/>
        </w:rPr>
        <w:t>季度更新</w:t>
      </w:r>
      <w:r>
        <w:rPr>
          <w:rFonts w:hint="eastAsia"/>
          <w:lang w:eastAsia="zh-CN"/>
        </w:rPr>
        <w:t>；</w:t>
      </w:r>
      <w:r>
        <w:rPr>
          <w:rFonts w:hint="eastAsia"/>
        </w:rPr>
        <w:t>现行有效认证认可法规+ISO/IEC标准原文及解读</w:t>
      </w:r>
      <w:r>
        <w:rPr>
          <w:rFonts w:hint="eastAsia"/>
          <w:lang w:val="en-US" w:eastAsia="zh-CN"/>
        </w:rPr>
        <w:t>应</w:t>
      </w:r>
      <w:r>
        <w:rPr>
          <w:rFonts w:hint="eastAsia"/>
        </w:rPr>
        <w:t>实时更新</w:t>
      </w:r>
      <w:r>
        <w:rPr>
          <w:rFonts w:hint="eastAsia"/>
          <w:lang w:eastAsia="zh-CN"/>
        </w:rPr>
        <w:t>；</w:t>
      </w:r>
      <w:r>
        <w:rPr>
          <w:rFonts w:hint="eastAsia"/>
        </w:rPr>
        <w:t>审核检查表、风险评估模板等工具类文件</w:t>
      </w:r>
      <w:r>
        <w:rPr>
          <w:rFonts w:hint="eastAsia"/>
          <w:lang w:val="en-US" w:eastAsia="zh-CN"/>
        </w:rPr>
        <w:t>等</w:t>
      </w:r>
      <w:r>
        <w:rPr>
          <w:rFonts w:hint="eastAsia"/>
        </w:rPr>
        <w:t>技术文件库</w:t>
      </w:r>
      <w:r>
        <w:rPr>
          <w:rFonts w:hint="eastAsia"/>
          <w:lang w:val="en-US" w:eastAsia="zh-CN"/>
        </w:rPr>
        <w:t>应</w:t>
      </w:r>
      <w:r>
        <w:rPr>
          <w:rFonts w:hint="eastAsia"/>
        </w:rPr>
        <w:t>年度修订</w:t>
      </w:r>
      <w:r>
        <w:rPr>
          <w:rFonts w:hint="eastAsia"/>
          <w:lang w:eastAsia="zh-CN"/>
        </w:rPr>
        <w:t>。</w:t>
      </w:r>
    </w:p>
    <w:p w14:paraId="621E1DC9">
      <w:pPr>
        <w:pStyle w:val="106"/>
        <w:spacing w:before="156" w:after="156"/>
        <w:rPr>
          <w:rFonts w:hint="eastAsia"/>
        </w:rPr>
      </w:pPr>
      <w:bookmarkStart w:id="74" w:name="_Hlk180781670"/>
      <w:bookmarkStart w:id="75" w:name="_Toc179529606"/>
      <w:bookmarkStart w:id="76" w:name="_Toc22839"/>
      <w:r>
        <w:rPr>
          <w:rFonts w:hint="eastAsia"/>
        </w:rPr>
        <w:t>培养</w:t>
      </w:r>
      <w:bookmarkEnd w:id="74"/>
      <w:r>
        <w:rPr>
          <w:rFonts w:hint="eastAsia"/>
        </w:rPr>
        <w:t>方式</w:t>
      </w:r>
      <w:bookmarkEnd w:id="75"/>
      <w:bookmarkEnd w:id="76"/>
    </w:p>
    <w:p w14:paraId="4598C4B6">
      <w:pPr>
        <w:pStyle w:val="166"/>
        <w:numPr>
          <w:ilvl w:val="3"/>
          <w:numId w:val="0"/>
        </w:numPr>
        <w:ind w:leftChars="0" w:firstLine="420" w:firstLineChars="200"/>
        <w:rPr>
          <w:rFonts w:hint="eastAsia"/>
        </w:rPr>
      </w:pPr>
      <w:r>
        <w:rPr>
          <w:rFonts w:hint="eastAsia"/>
        </w:rPr>
        <w:t>培养方式</w:t>
      </w:r>
      <w:r>
        <w:rPr>
          <w:rFonts w:hint="eastAsia"/>
          <w:lang w:val="en-US" w:eastAsia="zh-CN"/>
        </w:rPr>
        <w:t>一般有</w:t>
      </w:r>
      <w:r>
        <w:rPr>
          <w:rFonts w:hint="eastAsia"/>
        </w:rPr>
        <w:t>集中培训</w:t>
      </w:r>
      <w:r>
        <w:rPr>
          <w:rFonts w:hint="eastAsia"/>
          <w:lang w:eastAsia="zh-CN"/>
        </w:rPr>
        <w:t>、</w:t>
      </w:r>
      <w:r>
        <w:rPr>
          <w:rFonts w:hint="eastAsia"/>
        </w:rPr>
        <w:t>实习实训</w:t>
      </w:r>
      <w:r>
        <w:rPr>
          <w:rFonts w:hint="eastAsia"/>
          <w:lang w:val="en-US" w:eastAsia="zh-CN"/>
        </w:rPr>
        <w:t>和</w:t>
      </w:r>
      <w:r>
        <w:rPr>
          <w:rFonts w:hint="eastAsia"/>
        </w:rPr>
        <w:t>远程学习</w:t>
      </w:r>
      <w:r>
        <w:rPr>
          <w:rFonts w:hint="eastAsia"/>
          <w:lang w:val="en-US" w:eastAsia="zh-CN"/>
        </w:rPr>
        <w:t>等。</w:t>
      </w:r>
      <w:r>
        <w:rPr>
          <w:rFonts w:hint="eastAsia"/>
        </w:rPr>
        <w:t>集中授课采用</w:t>
      </w:r>
      <w:r>
        <w:rPr>
          <w:rFonts w:hint="eastAsia"/>
          <w:lang w:eastAsia="zh-CN"/>
        </w:rPr>
        <w:t>“</w:t>
      </w:r>
      <w:r>
        <w:rPr>
          <w:rFonts w:hint="eastAsia"/>
        </w:rPr>
        <w:t>理论讲授+分组</w:t>
      </w:r>
      <w:r>
        <w:rPr>
          <w:rFonts w:hint="eastAsia"/>
          <w:lang w:val="en-US" w:eastAsia="zh-CN"/>
        </w:rPr>
        <w:t>模拟</w:t>
      </w:r>
      <w:r>
        <w:rPr>
          <w:rFonts w:hint="eastAsia"/>
        </w:rPr>
        <w:t>演练</w:t>
      </w:r>
      <w:r>
        <w:rPr>
          <w:rFonts w:hint="eastAsia"/>
          <w:lang w:eastAsia="zh-CN"/>
        </w:rPr>
        <w:t>”</w:t>
      </w:r>
      <w:r>
        <w:rPr>
          <w:rFonts w:hint="eastAsia"/>
        </w:rPr>
        <w:t>模式进行系统培训</w:t>
      </w:r>
      <w:r>
        <w:rPr>
          <w:rFonts w:hint="eastAsia"/>
          <w:lang w:eastAsia="zh-CN"/>
        </w:rPr>
        <w:t>，企业专家授课占比</w:t>
      </w:r>
      <w:r>
        <w:rPr>
          <w:rFonts w:hint="eastAsia"/>
          <w:lang w:val="en-US" w:eastAsia="zh-CN"/>
        </w:rPr>
        <w:t>应</w:t>
      </w:r>
      <w:r>
        <w:rPr>
          <w:rFonts w:hint="eastAsia"/>
          <w:lang w:eastAsia="zh-CN"/>
        </w:rPr>
        <w:t>≥50%</w:t>
      </w:r>
      <w:r>
        <w:rPr>
          <w:rFonts w:hint="eastAsia"/>
        </w:rPr>
        <w:t>。</w:t>
      </w:r>
      <w:r>
        <w:rPr>
          <w:rFonts w:hint="eastAsia"/>
          <w:lang w:val="en-US" w:eastAsia="zh-CN"/>
        </w:rPr>
        <w:t>实践性环节应</w:t>
      </w:r>
      <w:r>
        <w:rPr>
          <w:rFonts w:hint="eastAsia"/>
        </w:rPr>
        <w:t>安排学员到认证机构或相关企业实习实训，增强实践经验。</w:t>
      </w:r>
      <w:r>
        <w:rPr>
          <w:rFonts w:hint="eastAsia"/>
          <w:lang w:val="en-US" w:eastAsia="zh-CN"/>
        </w:rPr>
        <w:t>对于记忆性内容可</w:t>
      </w:r>
      <w:r>
        <w:rPr>
          <w:rFonts w:hint="eastAsia"/>
        </w:rPr>
        <w:t>利用网络平台提供远程学习资源，方便学员自主学习。</w:t>
      </w:r>
    </w:p>
    <w:p w14:paraId="33D341FC">
      <w:pPr>
        <w:pStyle w:val="105"/>
        <w:spacing w:before="312" w:after="312"/>
        <w:rPr>
          <w:rFonts w:hint="eastAsia"/>
        </w:rPr>
      </w:pPr>
      <w:bookmarkStart w:id="77" w:name="_Toc179529607"/>
      <w:bookmarkStart w:id="78" w:name="_Toc15505"/>
      <w:r>
        <w:rPr>
          <w:rFonts w:hint="eastAsia"/>
        </w:rPr>
        <w:t>培养内容</w:t>
      </w:r>
      <w:bookmarkEnd w:id="77"/>
      <w:bookmarkEnd w:id="78"/>
    </w:p>
    <w:p w14:paraId="4A97372A">
      <w:pPr>
        <w:pStyle w:val="106"/>
        <w:spacing w:before="156" w:after="156"/>
      </w:pPr>
      <w:bookmarkStart w:id="79" w:name="_Toc179529608"/>
      <w:bookmarkStart w:id="80" w:name="_Toc11343"/>
      <w:r>
        <w:rPr>
          <w:rFonts w:hint="eastAsia"/>
        </w:rPr>
        <w:t>通用</w:t>
      </w:r>
      <w:bookmarkEnd w:id="79"/>
      <w:r>
        <w:rPr>
          <w:rFonts w:hint="eastAsia"/>
        </w:rPr>
        <w:t>能力模块</w:t>
      </w:r>
      <w:bookmarkEnd w:id="80"/>
    </w:p>
    <w:p w14:paraId="262C1F33">
      <w:pPr>
        <w:pStyle w:val="166"/>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rPr>
        <w:t>合格评定基础知识</w:t>
      </w:r>
    </w:p>
    <w:p w14:paraId="66CD8614">
      <w:pPr>
        <w:pStyle w:val="166"/>
        <w:numPr>
          <w:ilvl w:val="3"/>
          <w:numId w:val="0"/>
        </w:numPr>
        <w:rPr>
          <w:rFonts w:hint="eastAsia"/>
          <w:lang w:val="en-US" w:eastAsia="zh-CN"/>
        </w:rPr>
      </w:pPr>
      <w:r>
        <w:rPr>
          <w:rFonts w:hint="eastAsia" w:ascii="黑体" w:hAnsi="黑体" w:eastAsia="黑体" w:cs="黑体"/>
          <w:lang w:val="en-US" w:eastAsia="zh-CN"/>
        </w:rPr>
        <w:t>6.1.1.1</w:t>
      </w:r>
      <w:r>
        <w:rPr>
          <w:rFonts w:hint="eastAsia"/>
          <w:lang w:val="en-US" w:eastAsia="zh-CN"/>
        </w:rPr>
        <w:t>认证专业人员应了解合格评定的定义、性质、对象、规定要求、遵循的原则，合格评定在国民经济中的定位和作用，以及中国合格评定的机制、要求和现状。</w:t>
      </w:r>
    </w:p>
    <w:p w14:paraId="55CFF4BB">
      <w:pPr>
        <w:pStyle w:val="166"/>
        <w:numPr>
          <w:ilvl w:val="3"/>
          <w:numId w:val="0"/>
        </w:numPr>
        <w:rPr>
          <w:rFonts w:hint="eastAsia"/>
          <w:lang w:val="en-US" w:eastAsia="zh-CN"/>
        </w:rPr>
      </w:pPr>
      <w:r>
        <w:rPr>
          <w:rFonts w:hint="eastAsia" w:ascii="黑体" w:hAnsi="黑体" w:eastAsia="黑体" w:cs="黑体"/>
          <w:lang w:val="en-US" w:eastAsia="zh-CN"/>
        </w:rPr>
        <w:t>6.1.1.2</w:t>
      </w:r>
      <w:r>
        <w:rPr>
          <w:rFonts w:hint="eastAsia"/>
          <w:lang w:val="en-US" w:eastAsia="zh-CN"/>
        </w:rPr>
        <w:t>认证专业人员应充分了解认证、认可、检验、检测、校准、供方自我声明等合格评定活动的内涵和场景。</w:t>
      </w:r>
    </w:p>
    <w:p w14:paraId="3116E437">
      <w:pPr>
        <w:pStyle w:val="166"/>
        <w:numPr>
          <w:ilvl w:val="3"/>
          <w:numId w:val="0"/>
        </w:numPr>
        <w:rPr>
          <w:rFonts w:hint="default"/>
          <w:lang w:val="en-US" w:eastAsia="zh-CN"/>
        </w:rPr>
      </w:pPr>
      <w:r>
        <w:rPr>
          <w:rFonts w:hint="eastAsia" w:ascii="黑体" w:hAnsi="黑体" w:eastAsia="黑体" w:cs="黑体"/>
          <w:lang w:val="en-US" w:eastAsia="zh-CN"/>
        </w:rPr>
        <w:t>6.1.1.3</w:t>
      </w:r>
      <w:r>
        <w:rPr>
          <w:rFonts w:hint="eastAsia"/>
          <w:lang w:val="en-US" w:eastAsia="zh-CN"/>
        </w:rPr>
        <w:t>认证专业人员应知晓合格评定有关的术语和定义。</w:t>
      </w:r>
    </w:p>
    <w:p w14:paraId="05B5B24F">
      <w:pPr>
        <w:pStyle w:val="166"/>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rPr>
        <w:t>认证认可法律法规知识</w:t>
      </w:r>
    </w:p>
    <w:p w14:paraId="28EED9F9">
      <w:pPr>
        <w:pStyle w:val="166"/>
        <w:numPr>
          <w:ilvl w:val="3"/>
          <w:numId w:val="0"/>
        </w:numPr>
        <w:ind w:firstLine="420" w:firstLineChars="200"/>
      </w:pPr>
      <w:r>
        <w:rPr>
          <w:rFonts w:hint="eastAsia"/>
          <w:lang w:val="en-US" w:eastAsia="zh-CN"/>
        </w:rPr>
        <w:t>认证专业人员应</w:t>
      </w:r>
      <w:r>
        <w:rPr>
          <w:rFonts w:hint="eastAsia"/>
        </w:rPr>
        <w:t>理解认证行业</w:t>
      </w:r>
      <w:r>
        <w:rPr>
          <w:rFonts w:hint="eastAsia"/>
          <w:lang w:eastAsia="zh-CN"/>
        </w:rPr>
        <w:t>及认证相关</w:t>
      </w:r>
      <w:r>
        <w:rPr>
          <w:rFonts w:hint="eastAsia"/>
        </w:rPr>
        <w:t>的法律法规及规范性文件知识，并能</w:t>
      </w:r>
      <w:r>
        <w:rPr>
          <w:rFonts w:hint="eastAsia"/>
          <w:lang w:eastAsia="zh-CN"/>
        </w:rPr>
        <w:t>熟练地运用到认证相关</w:t>
      </w:r>
      <w:r>
        <w:rPr>
          <w:rFonts w:hint="eastAsia"/>
        </w:rPr>
        <w:t>活动中</w:t>
      </w:r>
      <w:r>
        <w:rPr>
          <w:rFonts w:hint="eastAsia"/>
          <w:lang w:eastAsia="zh-CN"/>
        </w:rPr>
        <w:t>，以确保认证活动的合格性。</w:t>
      </w:r>
    </w:p>
    <w:p w14:paraId="5387289A">
      <w:pPr>
        <w:pStyle w:val="166"/>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lang w:eastAsia="zh-CN"/>
        </w:rPr>
        <w:t>质量管理专业知识</w:t>
      </w:r>
    </w:p>
    <w:p w14:paraId="775453A6">
      <w:pPr>
        <w:pStyle w:val="166"/>
        <w:numPr>
          <w:ilvl w:val="3"/>
          <w:numId w:val="0"/>
        </w:numPr>
        <w:ind w:leftChars="0" w:firstLine="420" w:firstLineChars="200"/>
        <w:rPr>
          <w:rFonts w:hint="eastAsia"/>
          <w:lang w:val="en-US" w:eastAsia="zh-CN"/>
        </w:rPr>
      </w:pPr>
      <w:r>
        <w:rPr>
          <w:rFonts w:hint="eastAsia"/>
          <w:lang w:val="en-US" w:eastAsia="zh-CN"/>
        </w:rPr>
        <w:t>认证专业人员应了解质量管理相关知识、方法和技术：</w:t>
      </w:r>
    </w:p>
    <w:p w14:paraId="52780021">
      <w:pPr>
        <w:pStyle w:val="231"/>
        <w:keepNext w:val="0"/>
        <w:keepLines w:val="0"/>
        <w:pageBreakBefore w:val="0"/>
        <w:widowControl/>
        <w:numPr>
          <w:ilvl w:val="0"/>
          <w:numId w:val="34"/>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掌握常用统计技术基础知识；</w:t>
      </w:r>
    </w:p>
    <w:p w14:paraId="2D7D95CC">
      <w:pPr>
        <w:pStyle w:val="231"/>
        <w:keepNext w:val="0"/>
        <w:keepLines w:val="0"/>
        <w:pageBreakBefore w:val="0"/>
        <w:widowControl/>
        <w:numPr>
          <w:ilvl w:val="0"/>
          <w:numId w:val="34"/>
        </w:numPr>
        <w:kinsoku/>
        <w:wordWrap/>
        <w:overflowPunct/>
        <w:topLinePunct w:val="0"/>
        <w:autoSpaceDE/>
        <w:autoSpaceDN/>
        <w:bidi w:val="0"/>
        <w:adjustRightInd/>
        <w:snapToGrid/>
        <w:ind w:left="840" w:leftChars="200" w:hanging="420" w:hangingChars="200"/>
        <w:textAlignment w:val="auto"/>
        <w:rPr>
          <w:rFonts w:hint="default"/>
          <w:lang w:val="en-US" w:eastAsia="zh-CN"/>
        </w:rPr>
      </w:pPr>
      <w:r>
        <w:rPr>
          <w:rFonts w:hint="eastAsia"/>
          <w:lang w:val="en-US" w:eastAsia="zh-CN"/>
        </w:rPr>
        <w:t>掌握测量/计量基础知识以及对测量过程和测量设备的管理要求；</w:t>
      </w:r>
    </w:p>
    <w:p w14:paraId="10BCD2C5">
      <w:pPr>
        <w:pStyle w:val="231"/>
        <w:keepNext w:val="0"/>
        <w:keepLines w:val="0"/>
        <w:pageBreakBefore w:val="0"/>
        <w:widowControl/>
        <w:numPr>
          <w:ilvl w:val="0"/>
          <w:numId w:val="34"/>
        </w:numPr>
        <w:kinsoku/>
        <w:wordWrap/>
        <w:overflowPunct/>
        <w:topLinePunct w:val="0"/>
        <w:autoSpaceDE/>
        <w:autoSpaceDN/>
        <w:bidi w:val="0"/>
        <w:adjustRightInd/>
        <w:snapToGrid/>
        <w:ind w:left="840" w:leftChars="200" w:hanging="420" w:hangingChars="200"/>
        <w:textAlignment w:val="auto"/>
        <w:rPr>
          <w:rFonts w:hint="default"/>
          <w:lang w:val="en-US" w:eastAsia="zh-CN"/>
        </w:rPr>
      </w:pPr>
      <w:r>
        <w:rPr>
          <w:rFonts w:hint="eastAsia"/>
          <w:lang w:val="en-US" w:eastAsia="zh-CN"/>
        </w:rPr>
        <w:t xml:space="preserve">了解标准化基础知识； </w:t>
      </w:r>
    </w:p>
    <w:p w14:paraId="6CC70662">
      <w:pPr>
        <w:pStyle w:val="231"/>
        <w:keepNext w:val="0"/>
        <w:keepLines w:val="0"/>
        <w:pageBreakBefore w:val="0"/>
        <w:widowControl/>
        <w:numPr>
          <w:ilvl w:val="0"/>
          <w:numId w:val="34"/>
        </w:numPr>
        <w:kinsoku/>
        <w:wordWrap/>
        <w:overflowPunct/>
        <w:topLinePunct w:val="0"/>
        <w:autoSpaceDE/>
        <w:autoSpaceDN/>
        <w:bidi w:val="0"/>
        <w:adjustRightInd/>
        <w:snapToGrid/>
        <w:ind w:left="840" w:leftChars="200" w:hanging="420" w:hangingChars="200"/>
        <w:textAlignment w:val="auto"/>
        <w:rPr>
          <w:rFonts w:hint="default"/>
          <w:lang w:val="en-US" w:eastAsia="zh-CN"/>
        </w:rPr>
      </w:pPr>
      <w:r>
        <w:rPr>
          <w:rFonts w:hint="eastAsia"/>
          <w:lang w:val="en-US" w:eastAsia="zh-CN"/>
        </w:rPr>
        <w:t>掌握顾客满意度监视和测量、投诉处理、行为规范、争议解决的基础知识；</w:t>
      </w:r>
    </w:p>
    <w:p w14:paraId="1A4F5347">
      <w:pPr>
        <w:pStyle w:val="231"/>
        <w:keepNext w:val="0"/>
        <w:keepLines w:val="0"/>
        <w:pageBreakBefore w:val="0"/>
        <w:widowControl/>
        <w:numPr>
          <w:ilvl w:val="0"/>
          <w:numId w:val="34"/>
        </w:numPr>
        <w:kinsoku/>
        <w:wordWrap/>
        <w:overflowPunct/>
        <w:topLinePunct w:val="0"/>
        <w:autoSpaceDE/>
        <w:autoSpaceDN/>
        <w:bidi w:val="0"/>
        <w:adjustRightInd/>
        <w:snapToGrid/>
        <w:ind w:left="840" w:leftChars="200" w:hanging="420" w:hangingChars="200"/>
        <w:textAlignment w:val="auto"/>
        <w:rPr>
          <w:rFonts w:hint="default"/>
          <w:lang w:val="en-US" w:eastAsia="zh-CN"/>
        </w:rPr>
      </w:pPr>
      <w:r>
        <w:rPr>
          <w:rFonts w:hint="eastAsia"/>
          <w:lang w:val="en-US" w:eastAsia="zh-CN"/>
        </w:rPr>
        <w:t>掌握质量计划基础知识；</w:t>
      </w:r>
    </w:p>
    <w:p w14:paraId="296C88EA">
      <w:pPr>
        <w:pStyle w:val="231"/>
        <w:keepNext w:val="0"/>
        <w:keepLines w:val="0"/>
        <w:pageBreakBefore w:val="0"/>
        <w:widowControl/>
        <w:numPr>
          <w:ilvl w:val="0"/>
          <w:numId w:val="34"/>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了解风险管理基础知识；</w:t>
      </w:r>
    </w:p>
    <w:p w14:paraId="6A12C1DC">
      <w:pPr>
        <w:pStyle w:val="231"/>
        <w:keepNext w:val="0"/>
        <w:keepLines w:val="0"/>
        <w:pageBreakBefore w:val="0"/>
        <w:widowControl/>
        <w:numPr>
          <w:ilvl w:val="0"/>
          <w:numId w:val="34"/>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了解绿色认证与可持续发展基础知识；</w:t>
      </w:r>
    </w:p>
    <w:p w14:paraId="008EC919">
      <w:pPr>
        <w:pStyle w:val="231"/>
        <w:keepNext w:val="0"/>
        <w:keepLines w:val="0"/>
        <w:pageBreakBefore w:val="0"/>
        <w:widowControl/>
        <w:numPr>
          <w:ilvl w:val="0"/>
          <w:numId w:val="34"/>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了解网络安全认证基础知识；</w:t>
      </w:r>
    </w:p>
    <w:p w14:paraId="2C4F8906">
      <w:pPr>
        <w:pStyle w:val="231"/>
        <w:keepNext w:val="0"/>
        <w:keepLines w:val="0"/>
        <w:pageBreakBefore w:val="0"/>
        <w:widowControl/>
        <w:numPr>
          <w:ilvl w:val="0"/>
          <w:numId w:val="34"/>
        </w:numPr>
        <w:kinsoku/>
        <w:wordWrap/>
        <w:overflowPunct/>
        <w:topLinePunct w:val="0"/>
        <w:autoSpaceDE/>
        <w:autoSpaceDN/>
        <w:bidi w:val="0"/>
        <w:adjustRightInd/>
        <w:snapToGrid/>
        <w:ind w:left="840" w:leftChars="200" w:hanging="420" w:hangingChars="200"/>
        <w:textAlignment w:val="auto"/>
        <w:rPr>
          <w:rFonts w:hint="default"/>
          <w:lang w:val="en-US" w:eastAsia="zh-CN"/>
        </w:rPr>
      </w:pPr>
      <w:r>
        <w:rPr>
          <w:rFonts w:hint="default"/>
          <w:lang w:val="en-US" w:eastAsia="zh-CN"/>
        </w:rPr>
        <w:t>了解质量管理自我评价基础知识（GB/T19004、GB/T19024、GB/T19580《卓越绩效评价准则》中自我评价方法）。</w:t>
      </w:r>
    </w:p>
    <w:p w14:paraId="26863ED1">
      <w:pPr>
        <w:pStyle w:val="166"/>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rPr>
        <w:t>管理体系认证基础知识</w:t>
      </w:r>
    </w:p>
    <w:p w14:paraId="09F371CC">
      <w:pPr>
        <w:pStyle w:val="166"/>
        <w:numPr>
          <w:ilvl w:val="3"/>
          <w:numId w:val="0"/>
        </w:numPr>
        <w:rPr>
          <w:rFonts w:hint="eastAsia"/>
          <w:lang w:val="en-US" w:eastAsia="zh-CN"/>
        </w:rPr>
      </w:pPr>
      <w:r>
        <w:rPr>
          <w:rFonts w:hint="eastAsia" w:ascii="黑体" w:hAnsi="黑体" w:eastAsia="黑体" w:cs="黑体"/>
          <w:lang w:val="en-US" w:eastAsia="zh-CN"/>
        </w:rPr>
        <w:t>6.1.4.1</w:t>
      </w:r>
      <w:r>
        <w:rPr>
          <w:rFonts w:hint="eastAsia"/>
          <w:lang w:val="en-US" w:eastAsia="zh-CN"/>
        </w:rPr>
        <w:t>认证专业人员应了解管理学有关管理的定义、管理思想的职能、管理学七项基本原理和管理学及理论发展的渊源沿革、管理体系起源和发展、管理体系核心理念等。</w:t>
      </w:r>
    </w:p>
    <w:p w14:paraId="568A9447">
      <w:pPr>
        <w:pStyle w:val="166"/>
        <w:numPr>
          <w:ilvl w:val="3"/>
          <w:numId w:val="0"/>
        </w:numPr>
        <w:rPr>
          <w:rFonts w:hint="eastAsia"/>
          <w:lang w:val="en-US" w:eastAsia="zh-CN"/>
        </w:rPr>
      </w:pPr>
      <w:r>
        <w:rPr>
          <w:rFonts w:hint="eastAsia" w:ascii="黑体" w:hAnsi="黑体" w:eastAsia="黑体" w:cs="黑体"/>
          <w:lang w:val="en-US" w:eastAsia="zh-CN"/>
        </w:rPr>
        <w:t>6.1.4.2</w:t>
      </w:r>
      <w:r>
        <w:rPr>
          <w:rFonts w:hint="eastAsia"/>
          <w:lang w:val="en-US" w:eastAsia="zh-CN"/>
        </w:rPr>
        <w:t>认证专业人员应了解ISO/IEC导则附录1适用于所有ISO管理体系标准的高层结构，并知晓高层结构的作用和核心内容。</w:t>
      </w:r>
    </w:p>
    <w:p w14:paraId="158DFABA">
      <w:pPr>
        <w:pStyle w:val="166"/>
        <w:numPr>
          <w:ilvl w:val="3"/>
          <w:numId w:val="0"/>
        </w:numPr>
        <w:rPr>
          <w:rFonts w:hint="eastAsia"/>
          <w:lang w:val="en-US" w:eastAsia="zh-CN"/>
        </w:rPr>
      </w:pPr>
      <w:r>
        <w:rPr>
          <w:rFonts w:hint="eastAsia" w:ascii="黑体" w:hAnsi="黑体" w:eastAsia="黑体" w:cs="黑体"/>
          <w:lang w:val="en-US" w:eastAsia="zh-CN"/>
        </w:rPr>
        <w:t>6.1.4.3</w:t>
      </w:r>
      <w:r>
        <w:rPr>
          <w:rFonts w:hint="eastAsia"/>
          <w:lang w:val="en-US" w:eastAsia="zh-CN"/>
        </w:rPr>
        <w:t>认证专业人员应掌握审核方案管理的专项认证技术、基于过程方法的管理体系审核方法包括：</w:t>
      </w:r>
    </w:p>
    <w:p w14:paraId="14E66905">
      <w:pPr>
        <w:pStyle w:val="231"/>
        <w:keepNext w:val="0"/>
        <w:keepLines w:val="0"/>
        <w:pageBreakBefore w:val="0"/>
        <w:widowControl/>
        <w:numPr>
          <w:ilvl w:val="0"/>
          <w:numId w:val="35"/>
        </w:numPr>
        <w:kinsoku/>
        <w:wordWrap/>
        <w:overflowPunct/>
        <w:topLinePunct w:val="0"/>
        <w:autoSpaceDE/>
        <w:autoSpaceDN/>
        <w:bidi w:val="0"/>
        <w:adjustRightInd/>
        <w:snapToGrid/>
        <w:ind w:left="840" w:leftChars="200" w:hanging="420" w:hangingChars="200"/>
        <w:textAlignment w:val="auto"/>
        <w:rPr>
          <w:rFonts w:hint="default"/>
          <w:lang w:val="en-US" w:eastAsia="zh-CN"/>
        </w:rPr>
      </w:pPr>
      <w:r>
        <w:rPr>
          <w:rFonts w:hint="eastAsia"/>
          <w:lang w:val="en-US" w:eastAsia="zh-CN"/>
        </w:rPr>
        <w:t>战略分析方法与工具，如：宏观环境分析模型、态势分析法、波士顿矩阵、平衡计分卡、标杆管理；</w:t>
      </w:r>
    </w:p>
    <w:p w14:paraId="08FE58E2">
      <w:pPr>
        <w:pStyle w:val="231"/>
        <w:keepNext w:val="0"/>
        <w:keepLines w:val="0"/>
        <w:pageBreakBefore w:val="0"/>
        <w:widowControl/>
        <w:numPr>
          <w:ilvl w:val="0"/>
          <w:numId w:val="35"/>
        </w:numPr>
        <w:kinsoku/>
        <w:wordWrap/>
        <w:overflowPunct/>
        <w:topLinePunct w:val="0"/>
        <w:autoSpaceDE/>
        <w:autoSpaceDN/>
        <w:bidi w:val="0"/>
        <w:adjustRightInd/>
        <w:snapToGrid/>
        <w:ind w:left="840" w:leftChars="200" w:hanging="420" w:hangingChars="200"/>
        <w:textAlignment w:val="auto"/>
        <w:rPr>
          <w:rFonts w:hint="default"/>
          <w:lang w:val="en-US" w:eastAsia="zh-CN"/>
        </w:rPr>
      </w:pPr>
      <w:r>
        <w:rPr>
          <w:rFonts w:hint="eastAsia"/>
          <w:lang w:val="en-US" w:eastAsia="zh-CN"/>
        </w:rPr>
        <w:t>过程策划方法与工具，如：过程方法、流程分类框架设计、乌龟图和流程图、服务蓝图、业务流程重组；</w:t>
      </w:r>
    </w:p>
    <w:p w14:paraId="2695B4D4">
      <w:pPr>
        <w:pStyle w:val="231"/>
        <w:keepNext w:val="0"/>
        <w:keepLines w:val="0"/>
        <w:pageBreakBefore w:val="0"/>
        <w:widowControl/>
        <w:numPr>
          <w:ilvl w:val="0"/>
          <w:numId w:val="35"/>
        </w:numPr>
        <w:kinsoku/>
        <w:wordWrap/>
        <w:overflowPunct/>
        <w:topLinePunct w:val="0"/>
        <w:autoSpaceDE/>
        <w:autoSpaceDN/>
        <w:bidi w:val="0"/>
        <w:adjustRightInd/>
        <w:snapToGrid/>
        <w:ind w:left="840" w:leftChars="200" w:hanging="420" w:hangingChars="200"/>
        <w:textAlignment w:val="auto"/>
        <w:rPr>
          <w:rFonts w:hint="default"/>
          <w:lang w:val="en-US" w:eastAsia="zh-CN"/>
        </w:rPr>
      </w:pPr>
      <w:r>
        <w:rPr>
          <w:rFonts w:hint="eastAsia"/>
          <w:lang w:val="en-US" w:eastAsia="zh-CN"/>
        </w:rPr>
        <w:t>风险评估方法与工具，如：风险管理概述、失效模式与影响分析、风险矩阵、故障树、人因可靠性分析；</w:t>
      </w:r>
    </w:p>
    <w:p w14:paraId="59A17F03">
      <w:pPr>
        <w:pStyle w:val="231"/>
        <w:keepNext w:val="0"/>
        <w:keepLines w:val="0"/>
        <w:pageBreakBefore w:val="0"/>
        <w:widowControl/>
        <w:numPr>
          <w:ilvl w:val="0"/>
          <w:numId w:val="35"/>
        </w:numPr>
        <w:kinsoku/>
        <w:wordWrap/>
        <w:overflowPunct/>
        <w:topLinePunct w:val="0"/>
        <w:autoSpaceDE/>
        <w:autoSpaceDN/>
        <w:bidi w:val="0"/>
        <w:adjustRightInd/>
        <w:snapToGrid/>
        <w:ind w:left="840" w:leftChars="200" w:hanging="420" w:hangingChars="200"/>
        <w:textAlignment w:val="auto"/>
        <w:rPr>
          <w:rFonts w:hint="default"/>
          <w:lang w:val="en-US" w:eastAsia="zh-CN"/>
        </w:rPr>
      </w:pPr>
      <w:r>
        <w:rPr>
          <w:rFonts w:hint="eastAsia"/>
          <w:lang w:val="en-US" w:eastAsia="zh-CN"/>
        </w:rPr>
        <w:t>过程控制方法与工具，如：统计过程控制、过程能力分析、控制图、测量系统分析；</w:t>
      </w:r>
    </w:p>
    <w:p w14:paraId="7B91B6A7">
      <w:pPr>
        <w:pStyle w:val="231"/>
        <w:keepNext w:val="0"/>
        <w:keepLines w:val="0"/>
        <w:pageBreakBefore w:val="0"/>
        <w:widowControl/>
        <w:numPr>
          <w:ilvl w:val="0"/>
          <w:numId w:val="35"/>
        </w:numPr>
        <w:kinsoku/>
        <w:wordWrap/>
        <w:overflowPunct/>
        <w:topLinePunct w:val="0"/>
        <w:autoSpaceDE/>
        <w:autoSpaceDN/>
        <w:bidi w:val="0"/>
        <w:adjustRightInd/>
        <w:snapToGrid/>
        <w:ind w:left="840" w:leftChars="200" w:hanging="420" w:hangingChars="200"/>
        <w:textAlignment w:val="auto"/>
        <w:rPr>
          <w:rFonts w:hint="default"/>
          <w:lang w:val="en-US" w:eastAsia="zh-CN"/>
        </w:rPr>
      </w:pPr>
      <w:r>
        <w:rPr>
          <w:rFonts w:hint="eastAsia"/>
          <w:lang w:val="en-US" w:eastAsia="zh-CN"/>
        </w:rPr>
        <w:t>检验及准入方法与工具，如：计数型抽样检验、计量型抽样检验、散料抽样检验、生产批件程序。</w:t>
      </w:r>
    </w:p>
    <w:p w14:paraId="37C5E75E">
      <w:pPr>
        <w:pStyle w:val="166"/>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lang w:eastAsia="zh-CN"/>
        </w:rPr>
        <w:t>产品认证基础知识</w:t>
      </w:r>
    </w:p>
    <w:p w14:paraId="515FE5F8">
      <w:pPr>
        <w:pStyle w:val="166"/>
        <w:numPr>
          <w:ilvl w:val="3"/>
          <w:numId w:val="0"/>
        </w:numPr>
        <w:ind w:leftChars="0" w:firstLine="420"/>
        <w:rPr>
          <w:rFonts w:hint="eastAsia"/>
          <w:lang w:val="en-US" w:eastAsia="zh-CN"/>
        </w:rPr>
      </w:pPr>
      <w:r>
        <w:rPr>
          <w:rFonts w:hint="eastAsia"/>
          <w:lang w:val="en-US" w:eastAsia="zh-CN"/>
        </w:rPr>
        <w:t>认证专业人员应掌握产品认证的活动有关的通用基础理论知识和常用的关键核心技术，熟悉产品认证的基本流程、产品认证方案设计、产品评价计划的制订、工厂检查的程序和关键技术等。</w:t>
      </w:r>
    </w:p>
    <w:p w14:paraId="19582C45">
      <w:pPr>
        <w:pStyle w:val="166"/>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lang w:eastAsia="zh-CN"/>
        </w:rPr>
        <w:t>服务认证知识</w:t>
      </w:r>
    </w:p>
    <w:p w14:paraId="75D323DF">
      <w:pPr>
        <w:pStyle w:val="166"/>
        <w:numPr>
          <w:ilvl w:val="3"/>
          <w:numId w:val="0"/>
        </w:numPr>
        <w:ind w:leftChars="0" w:firstLine="420" w:firstLineChars="200"/>
        <w:rPr>
          <w:rFonts w:hint="default"/>
          <w:lang w:val="en-US"/>
        </w:rPr>
      </w:pPr>
      <w:r>
        <w:rPr>
          <w:rFonts w:hint="eastAsia"/>
          <w:lang w:val="en-US" w:eastAsia="zh-CN"/>
        </w:rPr>
        <w:t>认证专业人员应掌握服务认证基础技术、共性技术和关键技术，了解信息通信技术的发展带来的服务业态、运营模式以及新型服务认证相关或支持的技术和方法，掌握完整的服务认证周期内合格评定过程所需的方法、工具，以及服务突发事件处置技术和方法。</w:t>
      </w:r>
    </w:p>
    <w:p w14:paraId="0724A1A9">
      <w:pPr>
        <w:pStyle w:val="166"/>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rPr>
        <w:t>审核技术知识</w:t>
      </w:r>
    </w:p>
    <w:p w14:paraId="63FAA54D">
      <w:pPr>
        <w:pStyle w:val="166"/>
        <w:numPr>
          <w:ilvl w:val="3"/>
          <w:numId w:val="0"/>
        </w:numPr>
        <w:ind w:leftChars="0" w:firstLine="420" w:firstLineChars="200"/>
        <w:rPr>
          <w:rFonts w:hint="default" w:eastAsia="宋体"/>
          <w:lang w:val="en-US" w:eastAsia="zh-CN"/>
        </w:rPr>
      </w:pPr>
      <w:r>
        <w:rPr>
          <w:rFonts w:hint="eastAsia"/>
          <w:lang w:val="en-US" w:eastAsia="zh-CN"/>
        </w:rPr>
        <w:t>认证专业人员应熟悉认证审核的原理、过程和共性关键技术，掌握审核活动的特点，熟悉其活动的内在逻辑，在实践中熟练运用审核方法实现审核目标，更专业地实施审核工作。</w:t>
      </w:r>
    </w:p>
    <w:p w14:paraId="235A79AF">
      <w:pPr>
        <w:pStyle w:val="166"/>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rPr>
        <w:t>质量管理工具基础知识</w:t>
      </w:r>
    </w:p>
    <w:p w14:paraId="1CE93211">
      <w:pPr>
        <w:pStyle w:val="166"/>
        <w:numPr>
          <w:ilvl w:val="3"/>
          <w:numId w:val="0"/>
        </w:numPr>
        <w:ind w:firstLine="420" w:firstLineChars="200"/>
        <w:rPr>
          <w:rFonts w:hint="default" w:eastAsia="宋体"/>
          <w:sz w:val="21"/>
          <w:szCs w:val="21"/>
          <w:lang w:val="en-US" w:eastAsia="zh-CN"/>
        </w:rPr>
      </w:pPr>
      <w:r>
        <w:rPr>
          <w:rFonts w:hint="eastAsia"/>
          <w:sz w:val="21"/>
          <w:szCs w:val="21"/>
          <w:lang w:val="en-US" w:eastAsia="zh-CN"/>
        </w:rPr>
        <w:t>认证专业人员应熟练掌握常用质量管理工具，并知晓</w:t>
      </w:r>
      <w:r>
        <w:rPr>
          <w:rFonts w:hint="default"/>
          <w:lang w:val="en-US" w:eastAsia="zh-CN"/>
        </w:rPr>
        <w:t>这些工具和方法构成了质量管理的基础知识体系，</w:t>
      </w:r>
      <w:r>
        <w:rPr>
          <w:rFonts w:hint="eastAsia"/>
          <w:lang w:val="en-US" w:eastAsia="zh-CN"/>
        </w:rPr>
        <w:t>可</w:t>
      </w:r>
      <w:r>
        <w:rPr>
          <w:rFonts w:hint="default"/>
          <w:lang w:val="en-US" w:eastAsia="zh-CN"/>
        </w:rPr>
        <w:t>在实践中帮助组织提高产品质量、降低缺陷率、提升客户满意度和竞争力</w:t>
      </w:r>
      <w:r>
        <w:rPr>
          <w:rFonts w:hint="eastAsia"/>
          <w:lang w:val="en-US" w:eastAsia="zh-CN"/>
        </w:rPr>
        <w:t>。</w:t>
      </w:r>
      <w:r>
        <w:rPr>
          <w:rFonts w:hint="eastAsia"/>
          <w:sz w:val="21"/>
          <w:szCs w:val="21"/>
          <w:lang w:val="en-US" w:eastAsia="zh-CN"/>
        </w:rPr>
        <w:t>常用质量管理工具：</w:t>
      </w:r>
    </w:p>
    <w:p w14:paraId="3039A18B">
      <w:pPr>
        <w:pStyle w:val="231"/>
        <w:keepNext w:val="0"/>
        <w:keepLines w:val="0"/>
        <w:pageBreakBefore w:val="0"/>
        <w:widowControl/>
        <w:numPr>
          <w:ilvl w:val="0"/>
          <w:numId w:val="36"/>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default"/>
          <w:lang w:val="en-US" w:eastAsia="zh-CN"/>
        </w:rPr>
        <w:t>在产品质量策划、缺陷预防、测量系统分析、生产件批准和过程控制等方面发挥着重要作用</w:t>
      </w:r>
      <w:r>
        <w:rPr>
          <w:rFonts w:hint="eastAsia"/>
          <w:lang w:val="en-US" w:eastAsia="zh-CN"/>
        </w:rPr>
        <w:t>的质量管理工具</w:t>
      </w:r>
      <w:r>
        <w:rPr>
          <w:rFonts w:hint="default"/>
          <w:lang w:val="en-US" w:eastAsia="zh-CN"/>
        </w:rPr>
        <w:t>：</w:t>
      </w:r>
      <w:r>
        <w:rPr>
          <w:rFonts w:hint="eastAsia"/>
          <w:lang w:val="en-US" w:eastAsia="zh-CN"/>
        </w:rPr>
        <w:t>如</w:t>
      </w:r>
      <w:r>
        <w:rPr>
          <w:rFonts w:hint="default"/>
          <w:lang w:val="en-US" w:eastAsia="zh-CN"/>
        </w:rPr>
        <w:t>APQP（Advanced Product Quality Planning）、FMEA（Failure Mode and Effects Analysis）、MSA（Measurement System Analysis）、PPAP（Production Part Approval Process）和SPC（Statistical Process Control）</w:t>
      </w:r>
      <w:r>
        <w:rPr>
          <w:rFonts w:hint="eastAsia"/>
          <w:lang w:val="en-US" w:eastAsia="zh-CN"/>
        </w:rPr>
        <w:t>；</w:t>
      </w:r>
    </w:p>
    <w:p w14:paraId="5C131D5A">
      <w:pPr>
        <w:pStyle w:val="231"/>
        <w:keepNext w:val="0"/>
        <w:keepLines w:val="0"/>
        <w:pageBreakBefore w:val="0"/>
        <w:widowControl/>
        <w:numPr>
          <w:ilvl w:val="0"/>
          <w:numId w:val="36"/>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default"/>
          <w:lang w:val="en-US" w:eastAsia="zh-CN"/>
        </w:rPr>
        <w:t>从系统工程、运筹学、价值工程等管理科学中提炼出来的，用于帮助组织提高质量管理的思考性和方法论</w:t>
      </w:r>
      <w:r>
        <w:rPr>
          <w:rFonts w:hint="eastAsia"/>
          <w:lang w:val="en-US" w:eastAsia="zh-CN"/>
        </w:rPr>
        <w:t>的</w:t>
      </w:r>
      <w:r>
        <w:rPr>
          <w:rFonts w:hint="default"/>
          <w:lang w:val="en-US" w:eastAsia="zh-CN"/>
        </w:rPr>
        <w:t>质量管理工具：</w:t>
      </w:r>
      <w:r>
        <w:rPr>
          <w:rFonts w:hint="eastAsia"/>
          <w:lang w:val="en-US" w:eastAsia="zh-CN"/>
        </w:rPr>
        <w:t>如</w:t>
      </w:r>
      <w:r>
        <w:rPr>
          <w:rFonts w:hint="default"/>
          <w:lang w:val="en-US" w:eastAsia="zh-CN"/>
        </w:rPr>
        <w:t>关系图法、KJ法、系统图法、矩阵图法、数据矩阵分析方法、PDPC法和矢线图法</w:t>
      </w:r>
      <w:r>
        <w:rPr>
          <w:rFonts w:hint="eastAsia"/>
          <w:lang w:val="en-US" w:eastAsia="zh-CN"/>
        </w:rPr>
        <w:t>；</w:t>
      </w:r>
    </w:p>
    <w:p w14:paraId="32EA91D2">
      <w:pPr>
        <w:pStyle w:val="231"/>
        <w:keepNext w:val="0"/>
        <w:keepLines w:val="0"/>
        <w:pageBreakBefore w:val="0"/>
        <w:widowControl/>
        <w:numPr>
          <w:ilvl w:val="0"/>
          <w:numId w:val="36"/>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default"/>
          <w:lang w:val="en-US" w:eastAsia="zh-CN"/>
        </w:rPr>
        <w:t>通过图示方法建立顾客需求与产品或服务性能之间的联系，指导新设计的决策，以最大化顾客满意度</w:t>
      </w:r>
      <w:r>
        <w:rPr>
          <w:rFonts w:hint="eastAsia"/>
          <w:lang w:val="en-US" w:eastAsia="zh-CN"/>
        </w:rPr>
        <w:t>的质量管理工具：如</w:t>
      </w:r>
      <w:r>
        <w:rPr>
          <w:rFonts w:hint="default"/>
          <w:lang w:val="en-US" w:eastAsia="zh-CN"/>
        </w:rPr>
        <w:t>质量屋</w:t>
      </w:r>
      <w:r>
        <w:rPr>
          <w:rFonts w:hint="eastAsia"/>
          <w:lang w:val="en-US" w:eastAsia="zh-CN"/>
        </w:rPr>
        <w:t>，</w:t>
      </w:r>
      <w:r>
        <w:rPr>
          <w:rFonts w:hint="default"/>
          <w:lang w:val="en-US" w:eastAsia="zh-CN"/>
        </w:rPr>
        <w:t>又称HOQ，是质量功能配置（QFD）的核心。</w:t>
      </w:r>
    </w:p>
    <w:p w14:paraId="5B3E432D">
      <w:pPr>
        <w:pStyle w:val="166"/>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rPr>
        <w:t>客户业务领域专业知识</w:t>
      </w:r>
    </w:p>
    <w:p w14:paraId="198E3F12">
      <w:pPr>
        <w:pStyle w:val="57"/>
        <w:rPr>
          <w:rFonts w:hint="default"/>
          <w:lang w:val="en-US" w:eastAsia="zh-CN"/>
        </w:rPr>
      </w:pPr>
      <w:r>
        <w:rPr>
          <w:rFonts w:hint="eastAsia"/>
          <w:lang w:val="en-US" w:eastAsia="zh-CN"/>
        </w:rPr>
        <w:t>认证专业人员应</w:t>
      </w:r>
      <w:r>
        <w:rPr>
          <w:rFonts w:hint="default"/>
          <w:lang w:val="en-US" w:eastAsia="zh-CN"/>
        </w:rPr>
        <w:t>了解IAF ID 1《质量和环境管理体系认可范围》</w:t>
      </w:r>
      <w:r>
        <w:rPr>
          <w:rFonts w:hint="eastAsia"/>
          <w:lang w:val="en-US" w:eastAsia="zh-CN"/>
        </w:rPr>
        <w:t>及中国国家合格评定中心《认证机构认可规则》规定的39大类认证业务范围，</w:t>
      </w:r>
      <w:r>
        <w:rPr>
          <w:rFonts w:hint="default"/>
          <w:lang w:val="en-US" w:eastAsia="zh-CN"/>
        </w:rPr>
        <w:t>具备识别客户业务领域分类</w:t>
      </w:r>
      <w:r>
        <w:rPr>
          <w:rFonts w:hint="eastAsia"/>
          <w:lang w:val="en-US" w:eastAsia="zh-CN"/>
        </w:rPr>
        <w:t>和常见业务领域产品、过程或服务特性的</w:t>
      </w:r>
      <w:r>
        <w:rPr>
          <w:rFonts w:hint="default"/>
          <w:lang w:val="en-US" w:eastAsia="zh-CN"/>
        </w:rPr>
        <w:t>基本专业能力</w:t>
      </w:r>
      <w:r>
        <w:rPr>
          <w:rFonts w:hint="eastAsia"/>
          <w:lang w:val="en-US" w:eastAsia="zh-CN"/>
        </w:rPr>
        <w:t>。</w:t>
      </w:r>
    </w:p>
    <w:p w14:paraId="7EA40403">
      <w:pPr>
        <w:pStyle w:val="166"/>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黑体" w:hAnsi="黑体" w:eastAsia="黑体" w:cs="黑体"/>
        </w:rPr>
      </w:pPr>
      <w:r>
        <w:rPr>
          <w:rFonts w:hint="eastAsia" w:ascii="黑体" w:hAnsi="黑体" w:eastAsia="黑体" w:cs="黑体"/>
        </w:rPr>
        <w:t>科学研究与教学的知识</w:t>
      </w:r>
    </w:p>
    <w:p w14:paraId="2FD272B5">
      <w:pPr>
        <w:pStyle w:val="166"/>
        <w:numPr>
          <w:ilvl w:val="3"/>
          <w:numId w:val="0"/>
        </w:numPr>
        <w:ind w:leftChars="0" w:firstLine="420" w:firstLineChars="200"/>
        <w:rPr>
          <w:highlight w:val="none"/>
        </w:rPr>
      </w:pPr>
      <w:r>
        <w:rPr>
          <w:rFonts w:hint="eastAsia"/>
          <w:lang w:val="en-US" w:eastAsia="zh-CN"/>
        </w:rPr>
        <w:t>认证专业人</w:t>
      </w:r>
      <w:r>
        <w:rPr>
          <w:rFonts w:hint="eastAsia"/>
          <w:highlight w:val="none"/>
          <w:lang w:val="en-US" w:eastAsia="zh-CN"/>
        </w:rPr>
        <w:t>员应定期参与行业趋势研究，加强对新兴认证项目或审核技术的科学研究，并具备将相关知识转化为教学成果的能力。</w:t>
      </w:r>
    </w:p>
    <w:p w14:paraId="7168C72A">
      <w:pPr>
        <w:pStyle w:val="106"/>
        <w:spacing w:before="156" w:after="156"/>
        <w:rPr>
          <w:highlight w:val="none"/>
        </w:rPr>
      </w:pPr>
      <w:bookmarkStart w:id="81" w:name="_Toc179529610"/>
      <w:bookmarkStart w:id="82" w:name="_Toc2916"/>
      <w:r>
        <w:rPr>
          <w:rFonts w:hint="eastAsia"/>
          <w:highlight w:val="none"/>
        </w:rPr>
        <w:t>认证特定的知识和技能要求</w:t>
      </w:r>
      <w:bookmarkEnd w:id="81"/>
      <w:bookmarkEnd w:id="82"/>
    </w:p>
    <w:p w14:paraId="5BAD7FFB">
      <w:pPr>
        <w:pStyle w:val="57"/>
        <w:rPr>
          <w:rFonts w:hint="eastAsia"/>
          <w:highlight w:val="none"/>
          <w:lang w:eastAsia="zh-CN"/>
        </w:rPr>
      </w:pPr>
      <w:r>
        <w:rPr>
          <w:rFonts w:hint="eastAsia"/>
          <w:highlight w:val="none"/>
          <w:lang w:val="en-US" w:eastAsia="zh-CN"/>
        </w:rPr>
        <w:t>认证专业人员的基本技能应包括</w:t>
      </w:r>
      <w:r>
        <w:rPr>
          <w:rFonts w:hint="eastAsia"/>
          <w:highlight w:val="none"/>
        </w:rPr>
        <w:t>沟通能力、逻辑推理能力、文字表达能力、形成完整证据链的能力、运用现代信息技术审核的能力、信息收集、跨文化沟通能力</w:t>
      </w:r>
      <w:r>
        <w:rPr>
          <w:rFonts w:hint="eastAsia"/>
          <w:highlight w:val="none"/>
          <w:lang w:eastAsia="zh-CN"/>
        </w:rPr>
        <w:t>、</w:t>
      </w:r>
      <w:r>
        <w:rPr>
          <w:rFonts w:hint="eastAsia"/>
          <w:highlight w:val="none"/>
        </w:rPr>
        <w:t>数据分析与可视化能力</w:t>
      </w:r>
      <w:r>
        <w:rPr>
          <w:rFonts w:hint="eastAsia"/>
          <w:highlight w:val="none"/>
          <w:lang w:eastAsia="zh-CN"/>
        </w:rPr>
        <w:t>、</w:t>
      </w:r>
      <w:r>
        <w:rPr>
          <w:rFonts w:hint="eastAsia"/>
          <w:highlight w:val="none"/>
        </w:rPr>
        <w:t>汇总和整理的能力、评价能力</w:t>
      </w:r>
      <w:r>
        <w:rPr>
          <w:rFonts w:hint="eastAsia"/>
          <w:highlight w:val="none"/>
          <w:lang w:val="en-US" w:eastAsia="zh-CN"/>
        </w:rPr>
        <w:t>及</w:t>
      </w:r>
      <w:r>
        <w:rPr>
          <w:rFonts w:hint="eastAsia"/>
          <w:highlight w:val="none"/>
        </w:rPr>
        <w:t>沟通能力</w:t>
      </w:r>
      <w:r>
        <w:rPr>
          <w:rFonts w:hint="eastAsia"/>
          <w:highlight w:val="none"/>
          <w:lang w:eastAsia="zh-CN"/>
        </w:rPr>
        <w:t>。</w:t>
      </w:r>
    </w:p>
    <w:p w14:paraId="1908782E">
      <w:pPr>
        <w:pStyle w:val="57"/>
        <w:ind w:firstLine="420"/>
      </w:pPr>
      <w:r>
        <w:rPr>
          <w:rFonts w:hint="eastAsia"/>
          <w:highlight w:val="none"/>
        </w:rPr>
        <w:t>对于从事各类认证审核的认证专业人员，还应具有与其认证领域相关的特定的知识和技能要求，质量管理体系（ISO 9001）</w:t>
      </w:r>
      <w:r>
        <w:rPr>
          <w:rFonts w:hint="eastAsia"/>
          <w:highlight w:val="none"/>
          <w:lang w:val="en-US" w:eastAsia="zh-CN"/>
        </w:rPr>
        <w:t>的</w:t>
      </w:r>
      <w:r>
        <w:rPr>
          <w:rFonts w:hint="eastAsia"/>
          <w:highlight w:val="none"/>
        </w:rPr>
        <w:t>过程方法、APQP/FMEA工具</w:t>
      </w:r>
      <w:r>
        <w:rPr>
          <w:rFonts w:hint="eastAsia"/>
          <w:highlight w:val="none"/>
          <w:lang w:eastAsia="zh-CN"/>
        </w:rPr>
        <w:t>、信息安全</w:t>
      </w:r>
      <w:r>
        <w:rPr>
          <w:rFonts w:hint="eastAsia"/>
          <w:lang w:eastAsia="zh-CN"/>
        </w:rPr>
        <w:t>（ISO 27001）</w:t>
      </w:r>
      <w:r>
        <w:rPr>
          <w:rFonts w:hint="eastAsia"/>
          <w:lang w:val="en-US" w:eastAsia="zh-CN"/>
        </w:rPr>
        <w:t>的</w:t>
      </w:r>
      <w:r>
        <w:rPr>
          <w:rFonts w:hint="eastAsia"/>
          <w:lang w:eastAsia="zh-CN"/>
        </w:rPr>
        <w:t>渗透测试、攻击链模型</w:t>
      </w:r>
      <w:r>
        <w:rPr>
          <w:rFonts w:hint="eastAsia"/>
          <w:lang w:val="en-US" w:eastAsia="zh-CN"/>
        </w:rPr>
        <w:t>和境管理（ISO 14001）的生命周期评估、碳足迹分析等</w:t>
      </w:r>
      <w:r>
        <w:rPr>
          <w:rFonts w:hint="eastAsia"/>
        </w:rPr>
        <w:t xml:space="preserve">。 </w:t>
      </w:r>
    </w:p>
    <w:p w14:paraId="3DEE023B">
      <w:pPr>
        <w:pStyle w:val="105"/>
        <w:spacing w:before="312" w:after="312"/>
      </w:pPr>
      <w:bookmarkStart w:id="83" w:name="_Toc179529611"/>
      <w:bookmarkStart w:id="84" w:name="_Toc12330"/>
      <w:r>
        <w:rPr>
          <w:rFonts w:hint="eastAsia"/>
        </w:rPr>
        <w:t>评价与考核</w:t>
      </w:r>
      <w:bookmarkEnd w:id="83"/>
      <w:bookmarkEnd w:id="84"/>
    </w:p>
    <w:p w14:paraId="6ED87071">
      <w:pPr>
        <w:pStyle w:val="106"/>
        <w:spacing w:before="156" w:after="156"/>
      </w:pPr>
      <w:bookmarkStart w:id="85" w:name="_Toc179529612"/>
      <w:bookmarkStart w:id="86" w:name="_Toc21753"/>
      <w:r>
        <w:rPr>
          <w:rFonts w:hint="eastAsia"/>
        </w:rPr>
        <w:t>通用知识考核</w:t>
      </w:r>
      <w:bookmarkEnd w:id="85"/>
      <w:bookmarkEnd w:id="86"/>
    </w:p>
    <w:p w14:paraId="41F26B75">
      <w:pPr>
        <w:pStyle w:val="57"/>
        <w:rPr>
          <w:rFonts w:hint="eastAsia"/>
        </w:rPr>
      </w:pPr>
      <w:r>
        <w:rPr>
          <w:rFonts w:hint="eastAsia"/>
        </w:rPr>
        <w:t>通用知识考核旨在评估认证专业人员对认证行业基础理论、法律法规、管理体系认证、产品认证、</w:t>
      </w:r>
    </w:p>
    <w:p w14:paraId="15E40A38">
      <w:pPr>
        <w:pStyle w:val="57"/>
        <w:ind w:left="0" w:leftChars="0" w:firstLine="0" w:firstLineChars="0"/>
        <w:rPr>
          <w:rFonts w:hint="eastAsia"/>
        </w:rPr>
      </w:pPr>
      <w:r>
        <w:rPr>
          <w:rFonts w:hint="eastAsia"/>
        </w:rPr>
        <w:t>服务认证、审核技术、质量管理工具以及客户业务领域等专业知识的掌握程度。考核方式可以包括：</w:t>
      </w:r>
    </w:p>
    <w:p w14:paraId="62195564">
      <w:pPr>
        <w:pStyle w:val="231"/>
        <w:keepNext w:val="0"/>
        <w:keepLines w:val="0"/>
        <w:pageBreakBefore w:val="0"/>
        <w:widowControl/>
        <w:numPr>
          <w:ilvl w:val="0"/>
          <w:numId w:val="37"/>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笔试：采用选择题、判断题、简答题等形式，考察学员对认证专业知识的理解和掌握程度；</w:t>
      </w:r>
    </w:p>
    <w:p w14:paraId="0390A519">
      <w:pPr>
        <w:pStyle w:val="231"/>
        <w:keepNext w:val="0"/>
        <w:keepLines w:val="0"/>
        <w:pageBreakBefore w:val="0"/>
        <w:widowControl/>
        <w:numPr>
          <w:ilvl w:val="0"/>
          <w:numId w:val="37"/>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案例分析：提供实际案例，要求学员分析案例中存在的问题，并提出解决方案，考察学员运用专业知识解决实际问题的能力；</w:t>
      </w:r>
    </w:p>
    <w:p w14:paraId="1A5F71D6">
      <w:pPr>
        <w:pStyle w:val="231"/>
        <w:keepNext w:val="0"/>
        <w:keepLines w:val="0"/>
        <w:pageBreakBefore w:val="0"/>
        <w:widowControl/>
        <w:numPr>
          <w:ilvl w:val="0"/>
          <w:numId w:val="37"/>
        </w:numPr>
        <w:kinsoku/>
        <w:wordWrap/>
        <w:overflowPunct/>
        <w:topLinePunct w:val="0"/>
        <w:autoSpaceDE/>
        <w:autoSpaceDN/>
        <w:bidi w:val="0"/>
        <w:adjustRightInd/>
        <w:snapToGrid/>
        <w:ind w:left="840" w:leftChars="200" w:hanging="420" w:hangingChars="200"/>
        <w:textAlignment w:val="auto"/>
        <w:rPr>
          <w:rFonts w:hint="default"/>
          <w:highlight w:val="none"/>
          <w:lang w:val="en-US" w:eastAsia="zh-CN"/>
        </w:rPr>
      </w:pPr>
      <w:r>
        <w:rPr>
          <w:rFonts w:hint="eastAsia"/>
          <w:lang w:val="en-US" w:eastAsia="zh-CN"/>
        </w:rPr>
        <w:t>论文答辩：要</w:t>
      </w:r>
      <w:r>
        <w:rPr>
          <w:rFonts w:hint="eastAsia"/>
          <w:highlight w:val="none"/>
          <w:lang w:val="en-US" w:eastAsia="zh-CN"/>
        </w:rPr>
        <w:t>求学员撰写论文，并进行答辩，考察学员对认证专业知识的深入理解和研究能力。</w:t>
      </w:r>
    </w:p>
    <w:p w14:paraId="0DFB3DC9">
      <w:pPr>
        <w:pStyle w:val="231"/>
        <w:keepNext w:val="0"/>
        <w:keepLines w:val="0"/>
        <w:pageBreakBefore w:val="0"/>
        <w:widowControl/>
        <w:numPr>
          <w:ilvl w:val="0"/>
          <w:numId w:val="37"/>
        </w:numPr>
        <w:kinsoku/>
        <w:wordWrap/>
        <w:overflowPunct/>
        <w:topLinePunct w:val="0"/>
        <w:autoSpaceDE/>
        <w:autoSpaceDN/>
        <w:bidi w:val="0"/>
        <w:adjustRightInd/>
        <w:snapToGrid/>
        <w:ind w:left="840" w:leftChars="200" w:hanging="420" w:hangingChars="200"/>
        <w:textAlignment w:val="auto"/>
        <w:rPr>
          <w:rFonts w:hint="default"/>
          <w:highlight w:val="none"/>
          <w:lang w:val="en-US" w:eastAsia="zh-CN"/>
        </w:rPr>
      </w:pPr>
      <w:r>
        <w:rPr>
          <w:rFonts w:hint="default"/>
          <w:highlight w:val="none"/>
          <w:lang w:val="en-US" w:eastAsia="zh-CN"/>
        </w:rPr>
        <w:t>综合能力评估</w:t>
      </w:r>
      <w:r>
        <w:rPr>
          <w:rFonts w:hint="eastAsia"/>
          <w:highlight w:val="none"/>
          <w:lang w:val="en-US" w:eastAsia="zh-CN"/>
        </w:rPr>
        <w:t>：</w:t>
      </w:r>
      <w:r>
        <w:rPr>
          <w:rFonts w:hint="default"/>
          <w:highlight w:val="none"/>
          <w:lang w:val="en-US" w:eastAsia="zh-CN"/>
        </w:rPr>
        <w:t>结合笔试、实操、职业素养多维度评分，权重分配为4:4:2</w:t>
      </w:r>
      <w:r>
        <w:rPr>
          <w:rFonts w:hint="eastAsia"/>
          <w:highlight w:val="none"/>
          <w:lang w:val="en-US" w:eastAsia="zh-CN"/>
        </w:rPr>
        <w:t>。</w:t>
      </w:r>
    </w:p>
    <w:p w14:paraId="005E852F">
      <w:pPr>
        <w:pStyle w:val="106"/>
        <w:spacing w:before="156" w:after="156"/>
        <w:rPr>
          <w:highlight w:val="none"/>
        </w:rPr>
      </w:pPr>
      <w:bookmarkStart w:id="87" w:name="_Toc179529613"/>
      <w:bookmarkStart w:id="88" w:name="_Toc24980"/>
      <w:r>
        <w:rPr>
          <w:rFonts w:hint="eastAsia"/>
          <w:highlight w:val="none"/>
        </w:rPr>
        <w:t>实践技能评价</w:t>
      </w:r>
      <w:bookmarkEnd w:id="87"/>
      <w:bookmarkEnd w:id="88"/>
    </w:p>
    <w:p w14:paraId="1392C8DA">
      <w:pPr>
        <w:pStyle w:val="57"/>
        <w:rPr>
          <w:rFonts w:hint="eastAsia"/>
          <w:highlight w:val="none"/>
        </w:rPr>
      </w:pPr>
      <w:r>
        <w:rPr>
          <w:rFonts w:hint="eastAsia"/>
          <w:highlight w:val="none"/>
        </w:rPr>
        <w:t>实践技能评价旨在评估认证专业人员运用所学知识进行实际操作的能力，考核方式可以包括：</w:t>
      </w:r>
    </w:p>
    <w:p w14:paraId="0D7F066D">
      <w:pPr>
        <w:pStyle w:val="231"/>
        <w:keepNext w:val="0"/>
        <w:keepLines w:val="0"/>
        <w:pageBreakBefore w:val="0"/>
        <w:widowControl/>
        <w:numPr>
          <w:ilvl w:val="0"/>
          <w:numId w:val="38"/>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模拟策划：安排学员就具体场景策划认证项目，并予以实施，考察学员理解认证标准和依据标准予以运用实践的能力。</w:t>
      </w:r>
    </w:p>
    <w:p w14:paraId="69AF0308">
      <w:pPr>
        <w:pStyle w:val="231"/>
        <w:keepNext w:val="0"/>
        <w:keepLines w:val="0"/>
        <w:pageBreakBefore w:val="0"/>
        <w:widowControl/>
        <w:numPr>
          <w:ilvl w:val="0"/>
          <w:numId w:val="38"/>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模拟审核：安排学员进行模拟审核，考察学员运用审核方法、收集证据、形成审核结论等能力。</w:t>
      </w:r>
    </w:p>
    <w:p w14:paraId="7F1E7F87">
      <w:pPr>
        <w:pStyle w:val="231"/>
        <w:keepNext w:val="0"/>
        <w:keepLines w:val="0"/>
        <w:pageBreakBefore w:val="0"/>
        <w:widowControl/>
        <w:numPr>
          <w:ilvl w:val="0"/>
          <w:numId w:val="38"/>
        </w:numPr>
        <w:kinsoku/>
        <w:wordWrap/>
        <w:overflowPunct/>
        <w:topLinePunct w:val="0"/>
        <w:autoSpaceDE/>
        <w:autoSpaceDN/>
        <w:bidi w:val="0"/>
        <w:adjustRightInd/>
        <w:snapToGrid/>
        <w:ind w:left="840" w:leftChars="200" w:hanging="420" w:hangingChars="200"/>
        <w:textAlignment w:val="auto"/>
        <w:rPr>
          <w:rFonts w:hint="eastAsia"/>
          <w:highlight w:val="none"/>
          <w:lang w:val="en-US" w:eastAsia="zh-CN"/>
        </w:rPr>
      </w:pPr>
      <w:r>
        <w:rPr>
          <w:rFonts w:hint="eastAsia"/>
          <w:highlight w:val="none"/>
          <w:lang w:val="en-US" w:eastAsia="zh-CN"/>
        </w:rPr>
        <w:t>远程审核：安排学员进行远程模拟审核，适应后信息时代需求。</w:t>
      </w:r>
    </w:p>
    <w:p w14:paraId="7618B759">
      <w:pPr>
        <w:pStyle w:val="231"/>
        <w:keepNext w:val="0"/>
        <w:keepLines w:val="0"/>
        <w:pageBreakBefore w:val="0"/>
        <w:widowControl/>
        <w:numPr>
          <w:ilvl w:val="0"/>
          <w:numId w:val="38"/>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案例分析：要求学员分析实际案例，并提出解决方案，考察学员运用专业知识解决实际问题的能力。</w:t>
      </w:r>
    </w:p>
    <w:p w14:paraId="7407DED7">
      <w:pPr>
        <w:pStyle w:val="231"/>
        <w:keepNext w:val="0"/>
        <w:keepLines w:val="0"/>
        <w:pageBreakBefore w:val="0"/>
        <w:widowControl/>
        <w:numPr>
          <w:ilvl w:val="0"/>
          <w:numId w:val="38"/>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项目实施：安排学员参与认证项目实施，考察学员在实际工作中运用所学知识的能力。</w:t>
      </w:r>
    </w:p>
    <w:p w14:paraId="4527FF5E">
      <w:pPr>
        <w:pStyle w:val="106"/>
        <w:spacing w:before="156" w:after="156"/>
      </w:pPr>
      <w:bookmarkStart w:id="89" w:name="_Toc179529614"/>
      <w:bookmarkStart w:id="90" w:name="_Toc27994"/>
      <w:r>
        <w:rPr>
          <w:rFonts w:hint="eastAsia"/>
        </w:rPr>
        <w:t>职业素养评估</w:t>
      </w:r>
      <w:bookmarkEnd w:id="89"/>
      <w:bookmarkEnd w:id="90"/>
    </w:p>
    <w:p w14:paraId="05EB3A7D">
      <w:pPr>
        <w:pStyle w:val="57"/>
        <w:rPr>
          <w:rFonts w:hint="eastAsia"/>
        </w:rPr>
      </w:pPr>
      <w:r>
        <w:rPr>
          <w:rFonts w:hint="eastAsia"/>
        </w:rPr>
        <w:t>职业素养评估旨在评估认证专业人员遵守职业道德、规范职业行为的能力，职业素养评估可以采用以下方式进行：</w:t>
      </w:r>
    </w:p>
    <w:p w14:paraId="580BA877">
      <w:pPr>
        <w:pStyle w:val="231"/>
        <w:keepNext w:val="0"/>
        <w:keepLines w:val="0"/>
        <w:pageBreakBefore w:val="0"/>
        <w:widowControl/>
        <w:numPr>
          <w:ilvl w:val="0"/>
          <w:numId w:val="3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自我评价：学员进行自我评价，反思自身职业素养情况；</w:t>
      </w:r>
    </w:p>
    <w:p w14:paraId="3ACB321F">
      <w:pPr>
        <w:pStyle w:val="231"/>
        <w:keepNext w:val="0"/>
        <w:keepLines w:val="0"/>
        <w:pageBreakBefore w:val="0"/>
        <w:widowControl/>
        <w:numPr>
          <w:ilvl w:val="0"/>
          <w:numId w:val="3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同行评价：同事或上级对学员的职业素养进行评价；</w:t>
      </w:r>
    </w:p>
    <w:p w14:paraId="69962247">
      <w:pPr>
        <w:pStyle w:val="231"/>
        <w:keepNext w:val="0"/>
        <w:keepLines w:val="0"/>
        <w:pageBreakBefore w:val="0"/>
        <w:widowControl/>
        <w:numPr>
          <w:ilvl w:val="0"/>
          <w:numId w:val="3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客户评价：客户对学员的职业素养进行评价；</w:t>
      </w:r>
    </w:p>
    <w:p w14:paraId="2B0EDF7F">
      <w:pPr>
        <w:pStyle w:val="231"/>
        <w:keepNext w:val="0"/>
        <w:keepLines w:val="0"/>
        <w:pageBreakBefore w:val="0"/>
        <w:widowControl/>
        <w:numPr>
          <w:ilvl w:val="0"/>
          <w:numId w:val="39"/>
        </w:numPr>
        <w:kinsoku/>
        <w:wordWrap/>
        <w:overflowPunct/>
        <w:topLinePunct w:val="0"/>
        <w:autoSpaceDE/>
        <w:autoSpaceDN/>
        <w:bidi w:val="0"/>
        <w:adjustRightInd/>
        <w:snapToGrid/>
        <w:ind w:left="840" w:leftChars="200" w:hanging="420" w:hangingChars="200"/>
        <w:textAlignment w:val="auto"/>
        <w:rPr>
          <w:rFonts w:hint="eastAsia"/>
          <w:lang w:val="en-US" w:eastAsia="zh-CN"/>
        </w:rPr>
      </w:pPr>
      <w:r>
        <w:rPr>
          <w:rFonts w:hint="eastAsia"/>
          <w:lang w:val="en-US" w:eastAsia="zh-CN"/>
        </w:rPr>
        <w:t>案例分析：通过案例分析，评估学员在遇到职业素养相关问题时，是否能够正确处理。</w:t>
      </w:r>
    </w:p>
    <w:p w14:paraId="2A7C81D5">
      <w:pPr>
        <w:pStyle w:val="105"/>
        <w:spacing w:before="312" w:after="312"/>
      </w:pPr>
      <w:bookmarkStart w:id="91" w:name="_Toc3385"/>
      <w:r>
        <w:rPr>
          <w:rFonts w:hint="eastAsia"/>
        </w:rPr>
        <w:t>培训流程与档案管理</w:t>
      </w:r>
      <w:bookmarkEnd w:id="91"/>
    </w:p>
    <w:p w14:paraId="058D9196">
      <w:pPr>
        <w:pStyle w:val="106"/>
        <w:spacing w:before="156" w:after="156"/>
      </w:pPr>
      <w:bookmarkStart w:id="92" w:name="_Toc7226"/>
      <w:r>
        <w:rPr>
          <w:rFonts w:hint="eastAsia"/>
        </w:rPr>
        <w:t>培训流程</w:t>
      </w:r>
      <w:bookmarkEnd w:id="92"/>
    </w:p>
    <w:p w14:paraId="54C1CDB2">
      <w:pPr>
        <w:pStyle w:val="57"/>
        <w:rPr>
          <w:rFonts w:hint="default"/>
        </w:rPr>
      </w:pPr>
      <w:r>
        <w:rPr>
          <w:rFonts w:hint="eastAsia"/>
          <w:lang w:eastAsia="zh-CN"/>
        </w:rPr>
        <w:t>——</w:t>
      </w:r>
      <w:r>
        <w:rPr>
          <w:rFonts w:hint="default"/>
        </w:rPr>
        <w:t>计划</w:t>
      </w:r>
      <w:r>
        <w:rPr>
          <w:rFonts w:hint="eastAsia"/>
          <w:lang w:eastAsia="zh-CN"/>
        </w:rPr>
        <w:t>。</w:t>
      </w:r>
      <w:r>
        <w:rPr>
          <w:rFonts w:hint="default"/>
        </w:rPr>
        <w:t>培训机构及行业协会</w:t>
      </w:r>
      <w:r>
        <w:rPr>
          <w:rFonts w:hint="eastAsia"/>
          <w:lang w:val="en-US" w:eastAsia="zh-CN"/>
        </w:rPr>
        <w:t>应</w:t>
      </w:r>
      <w:r>
        <w:rPr>
          <w:rFonts w:hint="default"/>
        </w:rPr>
        <w:t>联合制定年度培训计划；</w:t>
      </w:r>
    </w:p>
    <w:p w14:paraId="661A62C1">
      <w:pPr>
        <w:pStyle w:val="57"/>
        <w:rPr>
          <w:rFonts w:hint="default"/>
        </w:rPr>
      </w:pPr>
      <w:r>
        <w:rPr>
          <w:rFonts w:hint="eastAsia"/>
          <w:lang w:eastAsia="zh-CN"/>
        </w:rPr>
        <w:t>——</w:t>
      </w:r>
      <w:r>
        <w:rPr>
          <w:rFonts w:hint="default"/>
        </w:rPr>
        <w:t>开班</w:t>
      </w:r>
      <w:r>
        <w:rPr>
          <w:rFonts w:hint="eastAsia"/>
          <w:lang w:eastAsia="zh-CN"/>
        </w:rPr>
        <w:t>。培训机构</w:t>
      </w:r>
      <w:r>
        <w:rPr>
          <w:rFonts w:hint="eastAsia"/>
          <w:lang w:val="en-US" w:eastAsia="zh-CN"/>
        </w:rPr>
        <w:t>应</w:t>
      </w:r>
      <w:r>
        <w:rPr>
          <w:rFonts w:hint="default"/>
        </w:rPr>
        <w:t>向行业协会提交开班备案</w:t>
      </w:r>
      <w:r>
        <w:rPr>
          <w:rFonts w:hint="eastAsia"/>
          <w:lang w:val="en-US" w:eastAsia="zh-CN"/>
        </w:rPr>
        <w:t>后才能开班授课</w:t>
      </w:r>
      <w:r>
        <w:rPr>
          <w:rFonts w:hint="default"/>
        </w:rPr>
        <w:t>；</w:t>
      </w:r>
    </w:p>
    <w:p w14:paraId="5CD05008">
      <w:pPr>
        <w:pStyle w:val="57"/>
        <w:rPr>
          <w:rFonts w:hint="default"/>
        </w:rPr>
      </w:pPr>
      <w:r>
        <w:rPr>
          <w:rFonts w:hint="eastAsia"/>
          <w:lang w:eastAsia="zh-CN"/>
        </w:rPr>
        <w:t>——</w:t>
      </w:r>
      <w:r>
        <w:rPr>
          <w:rFonts w:hint="default"/>
        </w:rPr>
        <w:t>实施</w:t>
      </w:r>
      <w:r>
        <w:rPr>
          <w:rFonts w:hint="eastAsia"/>
          <w:lang w:eastAsia="zh-CN"/>
        </w:rPr>
        <w:t>。</w:t>
      </w:r>
      <w:r>
        <w:rPr>
          <w:rFonts w:hint="eastAsia"/>
          <w:lang w:val="en-US" w:eastAsia="zh-CN"/>
        </w:rPr>
        <w:t>培训形式应为</w:t>
      </w:r>
      <w:r>
        <w:rPr>
          <w:rFonts w:hint="default"/>
        </w:rPr>
        <w:t>线上线下混合教学（线上30%+线下70%），每班≤30人；</w:t>
      </w:r>
    </w:p>
    <w:p w14:paraId="612AC1F5">
      <w:pPr>
        <w:pStyle w:val="57"/>
      </w:pPr>
      <w:r>
        <w:rPr>
          <w:rFonts w:hint="eastAsia"/>
          <w:lang w:eastAsia="zh-CN"/>
        </w:rPr>
        <w:t>——</w:t>
      </w:r>
      <w:r>
        <w:rPr>
          <w:rFonts w:hint="default"/>
        </w:rPr>
        <w:t>取证</w:t>
      </w:r>
      <w:r>
        <w:rPr>
          <w:rFonts w:hint="eastAsia"/>
          <w:lang w:eastAsia="zh-CN"/>
        </w:rPr>
        <w:t>。</w:t>
      </w:r>
      <w:r>
        <w:rPr>
          <w:rFonts w:hint="default"/>
        </w:rPr>
        <w:t>考核</w:t>
      </w:r>
      <w:r>
        <w:rPr>
          <w:rFonts w:hint="eastAsia"/>
          <w:lang w:val="en-US" w:eastAsia="zh-CN"/>
        </w:rPr>
        <w:t>满分100分，得分60及以上为</w:t>
      </w:r>
      <w:r>
        <w:rPr>
          <w:rFonts w:hint="default"/>
        </w:rPr>
        <w:t>合格</w:t>
      </w:r>
      <w:r>
        <w:rPr>
          <w:rFonts w:hint="eastAsia"/>
          <w:lang w:eastAsia="zh-CN"/>
        </w:rPr>
        <w:t>，</w:t>
      </w:r>
      <w:r>
        <w:rPr>
          <w:rFonts w:hint="default"/>
        </w:rPr>
        <w:t>颁发</w:t>
      </w:r>
      <w:r>
        <w:rPr>
          <w:rFonts w:hint="eastAsia"/>
          <w:lang w:val="en-US" w:eastAsia="zh-CN"/>
        </w:rPr>
        <w:t>培训</w:t>
      </w:r>
      <w:r>
        <w:rPr>
          <w:rFonts w:hint="default"/>
        </w:rPr>
        <w:t>证书（符合GB/T 33190）。</w:t>
      </w:r>
    </w:p>
    <w:bookmarkEnd w:id="27"/>
    <w:p w14:paraId="077D09A8">
      <w:pPr>
        <w:pStyle w:val="106"/>
        <w:spacing w:before="156" w:after="156"/>
        <w:rPr>
          <w:rFonts w:hint="eastAsia"/>
          <w:lang w:eastAsia="zh-CN"/>
        </w:rPr>
      </w:pPr>
      <w:bookmarkStart w:id="93" w:name="_Toc15051"/>
      <w:r>
        <w:rPr>
          <w:rFonts w:hint="eastAsia"/>
        </w:rPr>
        <w:t>档案管理</w:t>
      </w:r>
      <w:bookmarkEnd w:id="93"/>
    </w:p>
    <w:p w14:paraId="217C7128">
      <w:pPr>
        <w:pStyle w:val="57"/>
        <w:rPr>
          <w:rFonts w:hint="default"/>
          <w:lang w:val="en-US" w:eastAsia="zh-CN"/>
        </w:rPr>
      </w:pPr>
      <w:r>
        <w:rPr>
          <w:rFonts w:hint="eastAsia"/>
          <w:lang w:val="en-US" w:eastAsia="zh-CN"/>
        </w:rPr>
        <w:t>学员档案应保存≥10年，含培训记录、考核成绩、继续教育学时；电子档案加密存储，定期备份至行业协会监管平台。</w:t>
      </w:r>
    </w:p>
    <w:p w14:paraId="08D1AD19">
      <w:pPr>
        <w:pStyle w:val="231"/>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default"/>
          <w:highlight w:val="yellow"/>
          <w:lang w:val="en-US" w:eastAsia="zh-CN"/>
        </w:rPr>
      </w:pPr>
    </w:p>
    <w:p w14:paraId="73476B26">
      <w:pPr>
        <w:pStyle w:val="231"/>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default"/>
          <w:highlight w:val="none"/>
          <w:lang w:val="en-US" w:eastAsia="zh-CN"/>
        </w:rPr>
      </w:pPr>
      <w:r>
        <w:rPr>
          <w:rFonts w:hint="default"/>
          <w:highlight w:val="none"/>
          <w:lang w:val="en-US" w:eastAsia="zh-CN"/>
        </w:rPr>
        <w:t xml:space="preserve">参考文献  </w:t>
      </w:r>
    </w:p>
    <w:p w14:paraId="625EC33A">
      <w:pPr>
        <w:pStyle w:val="231"/>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default"/>
          <w:highlight w:val="none"/>
          <w:lang w:val="en-US" w:eastAsia="zh-CN"/>
        </w:rPr>
      </w:pPr>
      <w:r>
        <w:rPr>
          <w:rFonts w:hint="default"/>
          <w:highlight w:val="none"/>
          <w:lang w:val="en-US" w:eastAsia="zh-CN"/>
        </w:rPr>
        <w:t xml:space="preserve">[1] IAF ID 1:2018 《质量和环境管理体系认可范围》  </w:t>
      </w:r>
    </w:p>
    <w:p w14:paraId="6BCF6F47">
      <w:pPr>
        <w:pStyle w:val="231"/>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default"/>
          <w:highlight w:val="none"/>
          <w:lang w:val="en-US" w:eastAsia="zh-CN"/>
        </w:rPr>
      </w:pPr>
      <w:r>
        <w:rPr>
          <w:rFonts w:hint="default"/>
          <w:highlight w:val="none"/>
          <w:lang w:val="en-US" w:eastAsia="zh-CN"/>
        </w:rPr>
        <w:t xml:space="preserve">[2] CNAS-RC01:2017 《认证机构认可规则》  </w:t>
      </w:r>
    </w:p>
    <w:p w14:paraId="32EB5C76">
      <w:pPr>
        <w:pStyle w:val="231"/>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default"/>
          <w:highlight w:val="none"/>
          <w:lang w:val="en-US" w:eastAsia="zh-CN"/>
        </w:rPr>
      </w:pPr>
      <w:r>
        <w:rPr>
          <w:rFonts w:hint="default"/>
          <w:highlight w:val="none"/>
          <w:lang w:val="en-US" w:eastAsia="zh-CN"/>
        </w:rPr>
        <w:t>[3] GB/T 19011-2021 《管理体系审核指南》</w:t>
      </w:r>
    </w:p>
    <w:p w14:paraId="0B3F6553">
      <w:pPr>
        <w:pStyle w:val="231"/>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default"/>
          <w:highlight w:val="none"/>
          <w:lang w:val="en-US" w:eastAsia="zh-CN"/>
        </w:rPr>
      </w:pP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2111375</wp:posOffset>
                </wp:positionH>
                <wp:positionV relativeFrom="paragraph">
                  <wp:posOffset>174625</wp:posOffset>
                </wp:positionV>
                <wp:extent cx="1800225" cy="0"/>
                <wp:effectExtent l="0" t="4445" r="0" b="5080"/>
                <wp:wrapNone/>
                <wp:docPr id="25" name="直接箭头连接符 5"/>
                <wp:cNvGraphicFramePr/>
                <a:graphic xmlns:a="http://schemas.openxmlformats.org/drawingml/2006/main">
                  <a:graphicData uri="http://schemas.microsoft.com/office/word/2010/wordprocessingShape">
                    <wps:wsp>
                      <wps:cNvCnPr>
                        <a:cxnSpLocks noChangeShapeType="1"/>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6.25pt;margin-top:13.75pt;height:0pt;width:141.75pt;z-index:251661312;mso-width-relative:page;mso-height-relative:page;" filled="f" stroked="t" coordsize="21600,21600" o:gfxdata="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&#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t4S4nYAAAACQEAAA8AAAAAAAAAAQAgAAAAIgAAAGRy&#10;cy9kb3ducmV2LnhtbFBLAQIUABQAAAAIAIdO4kB7ntT+BQIAANkDAAAOAAAAAAAAAAEAIAAAACcB&#10;AABkcnMvZTJvRG9jLnhtbFBLBQYAAAAABgAGAFkBAACeBQAAAAA=&#10;">
                <v:fill on="f" focussize="0,0"/>
                <v:stroke color="#000000" joinstyle="round"/>
                <v:imagedata o:title=""/>
                <o:lock v:ext="edit" aspectratio="f"/>
              </v:shape>
            </w:pict>
          </mc:Fallback>
        </mc:AlternateContent>
      </w:r>
    </w:p>
    <w:sectPr>
      <w:pgSz w:w="11906" w:h="16838"/>
      <w:pgMar w:top="1928" w:right="1134" w:bottom="1134" w:left="1134" w:header="1418" w:footer="1134" w:gutter="284"/>
      <w:pgNumType w:start="1"/>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A7470">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38C07">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F5D16">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02B5C">
    <w:pPr>
      <w:pStyle w:val="53"/>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8F5E1">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C26D3">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C1DE4">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16465">
    <w:pPr>
      <w:pStyle w:val="62"/>
      <w:rPr>
        <w:rFonts w:hint="eastAsia"/>
      </w:rPr>
    </w:pPr>
    <w:r>
      <w:fldChar w:fldCharType="begin"/>
    </w:r>
    <w:r>
      <w:instrText xml:space="preserve"> STYLEREF  标准文件_文件编号  \* MERGEFORMAT </w:instrText>
    </w:r>
    <w:r>
      <w:fldChar w:fldCharType="separate"/>
    </w:r>
    <w:r>
      <w:t>DB 3205/T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6CD6F">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3205/T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E6D68F"/>
    <w:multiLevelType w:val="singleLevel"/>
    <w:tmpl w:val="98E6D68F"/>
    <w:lvl w:ilvl="0" w:tentative="0">
      <w:start w:val="1"/>
      <w:numFmt w:val="lowerLetter"/>
      <w:suff w:val="space"/>
      <w:lvlText w:val="%1）"/>
      <w:lvlJc w:val="left"/>
      <w:rPr>
        <w:rFonts w:hint="default" w:ascii="宋体" w:hAnsi="宋体" w:eastAsia="宋体" w:cs="宋体"/>
        <w:sz w:val="21"/>
        <w:szCs w:val="21"/>
      </w:rPr>
    </w:lvl>
  </w:abstractNum>
  <w:abstractNum w:abstractNumId="1">
    <w:nsid w:val="AE314BCC"/>
    <w:multiLevelType w:val="singleLevel"/>
    <w:tmpl w:val="AE314BCC"/>
    <w:lvl w:ilvl="0" w:tentative="0">
      <w:start w:val="1"/>
      <w:numFmt w:val="lowerLetter"/>
      <w:suff w:val="space"/>
      <w:lvlText w:val="%1）"/>
      <w:lvlJc w:val="left"/>
      <w:rPr>
        <w:rFonts w:hint="default" w:ascii="宋体" w:hAnsi="宋体" w:eastAsia="宋体" w:cs="宋体"/>
        <w:sz w:val="21"/>
        <w:szCs w:val="21"/>
      </w:rPr>
    </w:lvl>
  </w:abstractNum>
  <w:abstractNum w:abstractNumId="2">
    <w:nsid w:val="B41EF2A0"/>
    <w:multiLevelType w:val="singleLevel"/>
    <w:tmpl w:val="B41EF2A0"/>
    <w:lvl w:ilvl="0" w:tentative="0">
      <w:start w:val="1"/>
      <w:numFmt w:val="lowerLetter"/>
      <w:suff w:val="space"/>
      <w:lvlText w:val="%1）"/>
      <w:lvlJc w:val="left"/>
      <w:rPr>
        <w:rFonts w:hint="default" w:ascii="宋体" w:hAnsi="宋体" w:eastAsia="宋体" w:cs="宋体"/>
        <w:sz w:val="21"/>
        <w:szCs w:val="21"/>
      </w:rPr>
    </w:lvl>
  </w:abstractNum>
  <w:abstractNum w:abstractNumId="3">
    <w:nsid w:val="ED305125"/>
    <w:multiLevelType w:val="singleLevel"/>
    <w:tmpl w:val="ED305125"/>
    <w:lvl w:ilvl="0" w:tentative="0">
      <w:start w:val="1"/>
      <w:numFmt w:val="lowerLetter"/>
      <w:suff w:val="space"/>
      <w:lvlText w:val="%1）"/>
      <w:lvlJc w:val="left"/>
      <w:rPr>
        <w:rFonts w:hint="default" w:ascii="宋体" w:hAnsi="宋体" w:eastAsia="宋体" w:cs="宋体"/>
        <w:sz w:val="21"/>
        <w:szCs w:val="21"/>
      </w:rPr>
    </w:lvl>
  </w:abstractNum>
  <w:abstractNum w:abstractNumId="4">
    <w:nsid w:val="FB45BC33"/>
    <w:multiLevelType w:val="singleLevel"/>
    <w:tmpl w:val="FB45BC33"/>
    <w:lvl w:ilvl="0" w:tentative="0">
      <w:start w:val="1"/>
      <w:numFmt w:val="lowerLetter"/>
      <w:suff w:val="space"/>
      <w:lvlText w:val="%1）"/>
      <w:lvlJc w:val="left"/>
      <w:rPr>
        <w:rFonts w:hint="default" w:ascii="宋体" w:hAnsi="宋体" w:eastAsia="宋体" w:cs="宋体"/>
        <w:sz w:val="21"/>
        <w:szCs w:val="21"/>
      </w:rPr>
    </w:lvl>
  </w:abstractNum>
  <w:abstractNum w:abstractNumId="5">
    <w:nsid w:val="FE5D507F"/>
    <w:multiLevelType w:val="singleLevel"/>
    <w:tmpl w:val="FE5D507F"/>
    <w:lvl w:ilvl="0" w:tentative="0">
      <w:start w:val="1"/>
      <w:numFmt w:val="lowerLetter"/>
      <w:suff w:val="space"/>
      <w:lvlText w:val="%1）"/>
      <w:lvlJc w:val="left"/>
      <w:rPr>
        <w:rFonts w:hint="default" w:ascii="宋体" w:hAnsi="宋体" w:eastAsia="宋体" w:cs="宋体"/>
        <w:sz w:val="21"/>
        <w:szCs w:val="21"/>
      </w:rPr>
    </w:lvl>
  </w:abstractNum>
  <w:abstractNum w:abstractNumId="6">
    <w:nsid w:val="02837933"/>
    <w:multiLevelType w:val="multilevel"/>
    <w:tmpl w:val="02837933"/>
    <w:lvl w:ilvl="0" w:tentative="0">
      <w:start w:val="1"/>
      <w:numFmt w:val="decimal"/>
      <w:pStyle w:val="65"/>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7">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0"/>
      <w:suff w:val="nothing"/>
      <w:lvlText w:val="%1%2.%3　"/>
      <w:lvlJc w:val="left"/>
      <w:pPr>
        <w:ind w:left="0" w:firstLine="0"/>
      </w:pPr>
    </w:lvl>
    <w:lvl w:ilvl="3" w:tentative="0">
      <w:start w:val="1"/>
      <w:numFmt w:val="decimal"/>
      <w:pStyle w:val="119"/>
      <w:suff w:val="nothing"/>
      <w:lvlText w:val="%1%2.%3.%4　"/>
      <w:lvlJc w:val="left"/>
      <w:pPr>
        <w:ind w:left="0" w:firstLine="0"/>
      </w:pPr>
    </w:lvl>
    <w:lvl w:ilvl="4" w:tentative="0">
      <w:start w:val="1"/>
      <w:numFmt w:val="decimal"/>
      <w:pStyle w:val="154"/>
      <w:suff w:val="nothing"/>
      <w:lvlText w:val="%1%2.%3.%4.%5　"/>
      <w:lvlJc w:val="left"/>
      <w:pPr>
        <w:ind w:left="0" w:firstLine="0"/>
      </w:pPr>
    </w:lvl>
    <w:lvl w:ilvl="5" w:tentative="0">
      <w:start w:val="1"/>
      <w:numFmt w:val="decimal"/>
      <w:pStyle w:val="156"/>
      <w:suff w:val="nothing"/>
      <w:lvlText w:val="%1%2.%3.%4.%5.%6　"/>
      <w:lvlJc w:val="left"/>
      <w:pPr>
        <w:ind w:left="0" w:firstLine="0"/>
      </w:pPr>
    </w:lvl>
    <w:lvl w:ilvl="6" w:tentative="0">
      <w:start w:val="1"/>
      <w:numFmt w:val="decimal"/>
      <w:pStyle w:val="159"/>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8">
    <w:nsid w:val="079102AD"/>
    <w:multiLevelType w:val="multilevel"/>
    <w:tmpl w:val="079102AD"/>
    <w:lvl w:ilvl="0" w:tentative="0">
      <w:start w:val="1"/>
      <w:numFmt w:val="decimal"/>
      <w:pStyle w:val="181"/>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9">
    <w:nsid w:val="07ED3FEA"/>
    <w:multiLevelType w:val="multilevel"/>
    <w:tmpl w:val="07ED3FEA"/>
    <w:lvl w:ilvl="0" w:tentative="0">
      <w:start w:val="1"/>
      <w:numFmt w:val="none"/>
      <w:pStyle w:val="90"/>
      <w:lvlText w:val="%1"/>
      <w:lvlJc w:val="left"/>
      <w:pPr>
        <w:ind w:left="425" w:hanging="425"/>
      </w:pPr>
      <w:rPr>
        <w:rFonts w:hint="eastAsia"/>
      </w:rPr>
    </w:lvl>
    <w:lvl w:ilvl="1" w:tentative="0">
      <w:start w:val="1"/>
      <w:numFmt w:val="decimal"/>
      <w:pStyle w:val="201"/>
      <w:suff w:val="nothing"/>
      <w:lvlText w:val="%10.%2 "/>
      <w:lvlJc w:val="left"/>
      <w:pPr>
        <w:ind w:left="0" w:firstLine="0"/>
      </w:pPr>
      <w:rPr>
        <w:rFonts w:hint="eastAsia" w:ascii="黑体" w:eastAsia="黑体" w:hAnsiTheme="minorHAnsi"/>
        <w:b w:val="0"/>
        <w:i w:val="0"/>
        <w:sz w:val="21"/>
      </w:rPr>
    </w:lvl>
    <w:lvl w:ilvl="2" w:tentative="0">
      <w:start w:val="1"/>
      <w:numFmt w:val="decimal"/>
      <w:pStyle w:val="202"/>
      <w:suff w:val="nothing"/>
      <w:lvlText w:val="%10.%2.%3 "/>
      <w:lvlJc w:val="left"/>
      <w:pPr>
        <w:ind w:left="0" w:firstLine="0"/>
      </w:pPr>
      <w:rPr>
        <w:rFonts w:hint="eastAsia" w:ascii="黑体" w:eastAsia="黑体" w:hAnsiTheme="minorHAnsi"/>
        <w:b w:val="0"/>
        <w:i w:val="0"/>
        <w:sz w:val="21"/>
      </w:rPr>
    </w:lvl>
    <w:lvl w:ilvl="3" w:tentative="0">
      <w:start w:val="1"/>
      <w:numFmt w:val="decimal"/>
      <w:pStyle w:val="203"/>
      <w:suff w:val="nothing"/>
      <w:lvlText w:val="%10.%2.%3.%4 "/>
      <w:lvlJc w:val="left"/>
      <w:pPr>
        <w:ind w:left="0" w:firstLine="0"/>
      </w:pPr>
      <w:rPr>
        <w:rFonts w:hint="eastAsia" w:ascii="黑体" w:eastAsia="黑体" w:hAnsiTheme="minorHAnsi"/>
        <w:b w:val="0"/>
        <w:i w:val="0"/>
        <w:sz w:val="21"/>
      </w:rPr>
    </w:lvl>
    <w:lvl w:ilvl="4" w:tentative="0">
      <w:start w:val="1"/>
      <w:numFmt w:val="decimal"/>
      <w:pStyle w:val="204"/>
      <w:suff w:val="nothing"/>
      <w:lvlText w:val="%10.%2.%3.%4.%5 "/>
      <w:lvlJc w:val="left"/>
      <w:pPr>
        <w:ind w:left="0" w:firstLine="0"/>
      </w:pPr>
      <w:rPr>
        <w:rFonts w:hint="eastAsia" w:ascii="黑体" w:eastAsia="黑体" w:hAnsiTheme="minorHAnsi"/>
        <w:b w:val="0"/>
        <w:i w:val="0"/>
        <w:sz w:val="21"/>
      </w:rPr>
    </w:lvl>
    <w:lvl w:ilvl="5" w:tentative="0">
      <w:start w:val="1"/>
      <w:numFmt w:val="decimal"/>
      <w:pStyle w:val="205"/>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
    <w:nsid w:val="0AE367E9"/>
    <w:multiLevelType w:val="multilevel"/>
    <w:tmpl w:val="0AE367E9"/>
    <w:lvl w:ilvl="0" w:tentative="0">
      <w:start w:val="1"/>
      <w:numFmt w:val="none"/>
      <w:pStyle w:val="182"/>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1">
    <w:nsid w:val="0BDC1670"/>
    <w:multiLevelType w:val="multilevel"/>
    <w:tmpl w:val="0BDC1670"/>
    <w:lvl w:ilvl="0" w:tentative="0">
      <w:start w:val="1"/>
      <w:numFmt w:val="decimal"/>
      <w:pStyle w:val="68"/>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D051F45"/>
    <w:multiLevelType w:val="multilevel"/>
    <w:tmpl w:val="0D051F45"/>
    <w:lvl w:ilvl="0" w:tentative="0">
      <w:start w:val="1"/>
      <w:numFmt w:val="low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13">
    <w:nsid w:val="15EF0C26"/>
    <w:multiLevelType w:val="multilevel"/>
    <w:tmpl w:val="15EF0C26"/>
    <w:lvl w:ilvl="0" w:tentative="0">
      <w:start w:val="1"/>
      <w:numFmt w:val="lowerLetter"/>
      <w:pStyle w:val="231"/>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197AB6E5"/>
    <w:multiLevelType w:val="singleLevel"/>
    <w:tmpl w:val="197AB6E5"/>
    <w:lvl w:ilvl="0" w:tentative="0">
      <w:start w:val="1"/>
      <w:numFmt w:val="lowerLetter"/>
      <w:suff w:val="space"/>
      <w:lvlText w:val="%1）"/>
      <w:lvlJc w:val="left"/>
      <w:rPr>
        <w:rFonts w:hint="default" w:ascii="宋体" w:hAnsi="宋体" w:eastAsia="宋体" w:cs="宋体"/>
        <w:sz w:val="21"/>
        <w:szCs w:val="21"/>
      </w:rPr>
    </w:lvl>
  </w:abstractNum>
  <w:abstractNum w:abstractNumId="15">
    <w:nsid w:val="1AD20F90"/>
    <w:multiLevelType w:val="multilevel"/>
    <w:tmpl w:val="1AD20F90"/>
    <w:lvl w:ilvl="0" w:tentative="0">
      <w:start w:val="1"/>
      <w:numFmt w:val="none"/>
      <w:pStyle w:val="111"/>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1AF15012"/>
    <w:multiLevelType w:val="multilevel"/>
    <w:tmpl w:val="1AF15012"/>
    <w:lvl w:ilvl="0" w:tentative="0">
      <w:start w:val="1"/>
      <w:numFmt w:val="upperLetter"/>
      <w:pStyle w:val="86"/>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7">
    <w:nsid w:val="1EAA1992"/>
    <w:multiLevelType w:val="multilevel"/>
    <w:tmpl w:val="1EAA1992"/>
    <w:lvl w:ilvl="0" w:tentative="0">
      <w:start w:val="1"/>
      <w:numFmt w:val="none"/>
      <w:pStyle w:val="93"/>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8">
    <w:nsid w:val="2C5917C3"/>
    <w:multiLevelType w:val="multilevel"/>
    <w:tmpl w:val="2C5917C3"/>
    <w:lvl w:ilvl="0" w:tentative="0">
      <w:start w:val="1"/>
      <w:numFmt w:val="none"/>
      <w:pStyle w:val="133"/>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8"/>
      <w:lvlText w:val=""/>
      <w:lvlJc w:val="left"/>
      <w:pPr>
        <w:ind w:left="851" w:hanging="431"/>
      </w:pPr>
      <w:rPr>
        <w:rFonts w:hint="default" w:ascii="Symbol" w:hAnsi="Symbol"/>
        <w:sz w:val="21"/>
      </w:rPr>
    </w:lvl>
    <w:lvl w:ilvl="2" w:tentative="0">
      <w:start w:val="1"/>
      <w:numFmt w:val="bullet"/>
      <w:pStyle w:val="173"/>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9">
    <w:nsid w:val="32F04FB2"/>
    <w:multiLevelType w:val="multilevel"/>
    <w:tmpl w:val="32F04FB2"/>
    <w:lvl w:ilvl="0" w:tentative="0">
      <w:start w:val="1"/>
      <w:numFmt w:val="lowerLetter"/>
      <w:pStyle w:val="102"/>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0">
    <w:nsid w:val="44C50F90"/>
    <w:multiLevelType w:val="multilevel"/>
    <w:tmpl w:val="44C50F90"/>
    <w:lvl w:ilvl="0" w:tentative="0">
      <w:start w:val="1"/>
      <w:numFmt w:val="lowerLetter"/>
      <w:pStyle w:val="175"/>
      <w:lvlText w:val="%1)"/>
      <w:lvlJc w:val="left"/>
      <w:pPr>
        <w:tabs>
          <w:tab w:val="left" w:pos="851"/>
        </w:tabs>
        <w:ind w:left="851" w:hanging="426"/>
      </w:pPr>
      <w:rPr>
        <w:rFonts w:hint="eastAsia" w:ascii="宋体" w:hAnsi="Times New Roman" w:eastAsia="宋体"/>
        <w:sz w:val="21"/>
      </w:rPr>
    </w:lvl>
    <w:lvl w:ilvl="1" w:tentative="0">
      <w:start w:val="1"/>
      <w:numFmt w:val="decimal"/>
      <w:pStyle w:val="110"/>
      <w:lvlText w:val="%2)"/>
      <w:lvlJc w:val="left"/>
      <w:pPr>
        <w:tabs>
          <w:tab w:val="left" w:pos="1276"/>
        </w:tabs>
        <w:ind w:left="1276" w:hanging="425"/>
      </w:pPr>
      <w:rPr>
        <w:rFonts w:hint="eastAsia" w:ascii="宋体" w:hAnsi="Times New Roman" w:eastAsia="宋体"/>
        <w:sz w:val="21"/>
      </w:rPr>
    </w:lvl>
    <w:lvl w:ilvl="2" w:tentative="0">
      <w:start w:val="1"/>
      <w:numFmt w:val="decimal"/>
      <w:pStyle w:val="118"/>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1">
    <w:nsid w:val="48802D1C"/>
    <w:multiLevelType w:val="multilevel"/>
    <w:tmpl w:val="48802D1C"/>
    <w:lvl w:ilvl="0" w:tentative="0">
      <w:start w:val="1"/>
      <w:numFmt w:val="upperLetter"/>
      <w:pStyle w:val="199"/>
      <w:lvlText w:val="%1"/>
      <w:lvlJc w:val="left"/>
      <w:pPr>
        <w:ind w:left="420" w:hanging="420"/>
      </w:pPr>
      <w:rPr>
        <w:rFonts w:hint="eastAsia"/>
      </w:rPr>
    </w:lvl>
    <w:lvl w:ilvl="1" w:tentative="0">
      <w:start w:val="1"/>
      <w:numFmt w:val="decimal"/>
      <w:pStyle w:val="8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2">
    <w:nsid w:val="4B733A5F"/>
    <w:multiLevelType w:val="multilevel"/>
    <w:tmpl w:val="4B733A5F"/>
    <w:lvl w:ilvl="0" w:tentative="0">
      <w:start w:val="1"/>
      <w:numFmt w:val="decimal"/>
      <w:pStyle w:val="184"/>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3">
    <w:nsid w:val="4E5D0534"/>
    <w:multiLevelType w:val="multilevel"/>
    <w:tmpl w:val="4E5D0534"/>
    <w:lvl w:ilvl="0" w:tentative="0">
      <w:start w:val="1"/>
      <w:numFmt w:val="decimal"/>
      <w:pStyle w:val="117"/>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4">
    <w:nsid w:val="54632751"/>
    <w:multiLevelType w:val="multilevel"/>
    <w:tmpl w:val="54632751"/>
    <w:lvl w:ilvl="0" w:tentative="0">
      <w:start w:val="1"/>
      <w:numFmt w:val="none"/>
      <w:pStyle w:val="94"/>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5">
    <w:nsid w:val="557C2AF5"/>
    <w:multiLevelType w:val="multilevel"/>
    <w:tmpl w:val="557C2AF5"/>
    <w:lvl w:ilvl="0" w:tentative="0">
      <w:start w:val="1"/>
      <w:numFmt w:val="decimal"/>
      <w:pStyle w:val="115"/>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6">
    <w:nsid w:val="5603797C"/>
    <w:multiLevelType w:val="multilevel"/>
    <w:tmpl w:val="5603797C"/>
    <w:lvl w:ilvl="0" w:tentative="0">
      <w:start w:val="1"/>
      <w:numFmt w:val="upperLetter"/>
      <w:pStyle w:val="200"/>
      <w:suff w:val="space"/>
      <w:lvlText w:val="%1"/>
      <w:lvlJc w:val="left"/>
      <w:pPr>
        <w:ind w:left="425" w:hanging="425"/>
      </w:pPr>
      <w:rPr>
        <w:rFonts w:hint="eastAsia"/>
      </w:rPr>
    </w:lvl>
    <w:lvl w:ilvl="1" w:tentative="0">
      <w:start w:val="1"/>
      <w:numFmt w:val="decimal"/>
      <w:pStyle w:val="78"/>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7">
    <w:nsid w:val="564D2089"/>
    <w:multiLevelType w:val="multilevel"/>
    <w:tmpl w:val="564D2089"/>
    <w:lvl w:ilvl="0" w:tentative="0">
      <w:start w:val="1"/>
      <w:numFmt w:val="none"/>
      <w:pStyle w:val="112"/>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644622F9"/>
    <w:multiLevelType w:val="multilevel"/>
    <w:tmpl w:val="644622F9"/>
    <w:lvl w:ilvl="0" w:tentative="0">
      <w:start w:val="1"/>
      <w:numFmt w:val="upp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9">
    <w:nsid w:val="646260FA"/>
    <w:multiLevelType w:val="multilevel"/>
    <w:tmpl w:val="646260FA"/>
    <w:lvl w:ilvl="0" w:tentative="0">
      <w:start w:val="1"/>
      <w:numFmt w:val="decimal"/>
      <w:pStyle w:val="113"/>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0">
    <w:nsid w:val="654A26C9"/>
    <w:multiLevelType w:val="multilevel"/>
    <w:tmpl w:val="654A26C9"/>
    <w:lvl w:ilvl="0" w:tentative="0">
      <w:start w:val="1"/>
      <w:numFmt w:val="none"/>
      <w:pStyle w:val="190"/>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1">
    <w:nsid w:val="657D3FBC"/>
    <w:multiLevelType w:val="multilevel"/>
    <w:tmpl w:val="657D3FBC"/>
    <w:lvl w:ilvl="0" w:tentative="0">
      <w:start w:val="1"/>
      <w:numFmt w:val="upperLetter"/>
      <w:pStyle w:val="77"/>
      <w:suff w:val="nothing"/>
      <w:lvlText w:val="附录%1"/>
      <w:lvlJc w:val="left"/>
      <w:pPr>
        <w:ind w:left="0" w:firstLine="0"/>
      </w:pPr>
      <w:rPr>
        <w:rFonts w:hint="eastAsia"/>
        <w:spacing w:val="100"/>
      </w:rPr>
    </w:lvl>
    <w:lvl w:ilvl="1" w:tentative="0">
      <w:start w:val="1"/>
      <w:numFmt w:val="decimal"/>
      <w:pStyle w:val="79"/>
      <w:suff w:val="nothing"/>
      <w:lvlText w:val="%1.%2　"/>
      <w:lvlJc w:val="left"/>
      <w:pPr>
        <w:ind w:left="0" w:firstLine="0"/>
      </w:pPr>
      <w:rPr>
        <w:rFonts w:hint="eastAsia" w:ascii="黑体" w:eastAsia="黑体"/>
        <w:b w:val="0"/>
        <w:i w:val="0"/>
        <w:sz w:val="21"/>
      </w:rPr>
    </w:lvl>
    <w:lvl w:ilvl="2" w:tentative="0">
      <w:start w:val="1"/>
      <w:numFmt w:val="decimal"/>
      <w:pStyle w:val="80"/>
      <w:suff w:val="nothing"/>
      <w:lvlText w:val="%1.%2.%3　"/>
      <w:lvlJc w:val="left"/>
      <w:pPr>
        <w:ind w:left="0" w:firstLine="0"/>
      </w:pPr>
      <w:rPr>
        <w:rFonts w:hint="eastAsia" w:ascii="黑体" w:eastAsia="黑体"/>
        <w:b w:val="0"/>
        <w:i w:val="0"/>
        <w:sz w:val="21"/>
      </w:rPr>
    </w:lvl>
    <w:lvl w:ilvl="3" w:tentative="0">
      <w:start w:val="1"/>
      <w:numFmt w:val="decimal"/>
      <w:pStyle w:val="82"/>
      <w:suff w:val="nothing"/>
      <w:lvlText w:val="%1.%2.%3.%4　"/>
      <w:lvlJc w:val="left"/>
      <w:pPr>
        <w:ind w:left="0" w:firstLine="0"/>
      </w:pPr>
      <w:rPr>
        <w:rFonts w:hint="eastAsia" w:ascii="黑体" w:eastAsia="黑体"/>
        <w:b w:val="0"/>
        <w:i w:val="0"/>
        <w:sz w:val="21"/>
      </w:rPr>
    </w:lvl>
    <w:lvl w:ilvl="4" w:tentative="0">
      <w:start w:val="1"/>
      <w:numFmt w:val="decimal"/>
      <w:pStyle w:val="83"/>
      <w:suff w:val="nothing"/>
      <w:lvlText w:val="%1.%2.%3.%4.%5　"/>
      <w:lvlJc w:val="left"/>
      <w:pPr>
        <w:ind w:left="0" w:firstLine="0"/>
      </w:pPr>
      <w:rPr>
        <w:rFonts w:hint="eastAsia" w:ascii="黑体" w:eastAsia="黑体"/>
        <w:b w:val="0"/>
        <w:i w:val="0"/>
        <w:sz w:val="21"/>
      </w:rPr>
    </w:lvl>
    <w:lvl w:ilvl="5" w:tentative="0">
      <w:start w:val="1"/>
      <w:numFmt w:val="decimal"/>
      <w:pStyle w:val="85"/>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2">
    <w:nsid w:val="69506ABF"/>
    <w:multiLevelType w:val="multilevel"/>
    <w:tmpl w:val="69506ABF"/>
    <w:lvl w:ilvl="0" w:tentative="0">
      <w:start w:val="1"/>
      <w:numFmt w:val="bullet"/>
      <w:pStyle w:val="189"/>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3">
    <w:nsid w:val="6CA41985"/>
    <w:multiLevelType w:val="multilevel"/>
    <w:tmpl w:val="6CA41985"/>
    <w:lvl w:ilvl="0" w:tentative="0">
      <w:start w:val="1"/>
      <w:numFmt w:val="decimal"/>
      <w:pStyle w:val="98"/>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6CE42AC1"/>
    <w:multiLevelType w:val="multilevel"/>
    <w:tmpl w:val="6CE42AC1"/>
    <w:lvl w:ilvl="0" w:tentative="0">
      <w:start w:val="1"/>
      <w:numFmt w:val="lowerLetter"/>
      <w:pStyle w:val="17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6CEA2025"/>
    <w:multiLevelType w:val="multilevel"/>
    <w:tmpl w:val="6CEA2025"/>
    <w:lvl w:ilvl="0" w:tentative="0">
      <w:start w:val="1"/>
      <w:numFmt w:val="none"/>
      <w:pStyle w:val="153"/>
      <w:suff w:val="nothing"/>
      <w:lvlText w:val="%1"/>
      <w:lvlJc w:val="left"/>
      <w:pPr>
        <w:ind w:left="0" w:firstLine="0"/>
      </w:pPr>
      <w:rPr>
        <w:rFonts w:hint="eastAsia"/>
      </w:rPr>
    </w:lvl>
    <w:lvl w:ilvl="1" w:tentative="0">
      <w:start w:val="1"/>
      <w:numFmt w:val="decimal"/>
      <w:pStyle w:val="105"/>
      <w:suff w:val="nothing"/>
      <w:lvlText w:val="%1%2　"/>
      <w:lvlJc w:val="left"/>
      <w:pPr>
        <w:ind w:left="0" w:firstLine="0"/>
      </w:pPr>
      <w:rPr>
        <w:rFonts w:hint="eastAsia" w:ascii="黑体" w:eastAsia="黑体"/>
        <w:b w:val="0"/>
        <w:i w:val="0"/>
        <w:sz w:val="21"/>
      </w:rPr>
    </w:lvl>
    <w:lvl w:ilvl="2" w:tentative="0">
      <w:start w:val="1"/>
      <w:numFmt w:val="decimal"/>
      <w:pStyle w:val="10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6"/>
      <w:suff w:val="nothing"/>
      <w:lvlText w:val="%1%2.%3.%4　"/>
      <w:lvlJc w:val="left"/>
      <w:pPr>
        <w:ind w:left="0" w:firstLine="0"/>
      </w:pPr>
      <w:rPr>
        <w:rFonts w:hint="eastAsia" w:ascii="黑体" w:eastAsia="黑体"/>
        <w:b w:val="0"/>
        <w:i w:val="0"/>
        <w:sz w:val="21"/>
      </w:rPr>
    </w:lvl>
    <w:lvl w:ilvl="4" w:tentative="0">
      <w:start w:val="1"/>
      <w:numFmt w:val="decimal"/>
      <w:pStyle w:val="95"/>
      <w:suff w:val="nothing"/>
      <w:lvlText w:val="%1%2.%3.%4.%5　"/>
      <w:lvlJc w:val="left"/>
      <w:pPr>
        <w:ind w:left="0" w:firstLine="0"/>
      </w:pPr>
      <w:rPr>
        <w:rFonts w:hint="eastAsia" w:ascii="黑体" w:eastAsia="黑体"/>
        <w:b w:val="0"/>
        <w:i w:val="0"/>
        <w:sz w:val="21"/>
      </w:rPr>
    </w:lvl>
    <w:lvl w:ilvl="5" w:tentative="0">
      <w:start w:val="1"/>
      <w:numFmt w:val="decimal"/>
      <w:pStyle w:val="99"/>
      <w:suff w:val="nothing"/>
      <w:lvlText w:val="%1%2.%3.%4.%5.%6　"/>
      <w:lvlJc w:val="left"/>
      <w:pPr>
        <w:ind w:left="0" w:firstLine="0"/>
      </w:pPr>
      <w:rPr>
        <w:rFonts w:hint="eastAsia" w:ascii="黑体" w:eastAsia="黑体"/>
        <w:b w:val="0"/>
        <w:i w:val="0"/>
        <w:sz w:val="21"/>
      </w:rPr>
    </w:lvl>
    <w:lvl w:ilvl="6" w:tentative="0">
      <w:start w:val="1"/>
      <w:numFmt w:val="decimal"/>
      <w:pStyle w:val="104"/>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6">
    <w:nsid w:val="6DBF04F4"/>
    <w:multiLevelType w:val="multilevel"/>
    <w:tmpl w:val="6DBF04F4"/>
    <w:lvl w:ilvl="0" w:tentative="0">
      <w:start w:val="1"/>
      <w:numFmt w:val="none"/>
      <w:pStyle w:val="180"/>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7">
    <w:nsid w:val="6DF35F19"/>
    <w:multiLevelType w:val="multilevel"/>
    <w:tmpl w:val="6DF35F19"/>
    <w:lvl w:ilvl="0" w:tentative="0">
      <w:start w:val="1"/>
      <w:numFmt w:val="decimal"/>
      <w:pStyle w:val="116"/>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8">
    <w:nsid w:val="76933334"/>
    <w:multiLevelType w:val="multilevel"/>
    <w:tmpl w:val="76933334"/>
    <w:lvl w:ilvl="0" w:tentative="0">
      <w:start w:val="1"/>
      <w:numFmt w:val="none"/>
      <w:pStyle w:val="140"/>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6"/>
  </w:num>
  <w:num w:numId="2">
    <w:abstractNumId w:val="35"/>
  </w:num>
  <w:num w:numId="3">
    <w:abstractNumId w:val="11"/>
  </w:num>
  <w:num w:numId="4">
    <w:abstractNumId w:val="31"/>
  </w:num>
  <w:num w:numId="5">
    <w:abstractNumId w:val="26"/>
  </w:num>
  <w:num w:numId="6">
    <w:abstractNumId w:val="21"/>
  </w:num>
  <w:num w:numId="7">
    <w:abstractNumId w:val="16"/>
  </w:num>
  <w:num w:numId="8">
    <w:abstractNumId w:val="9"/>
  </w:num>
  <w:num w:numId="9">
    <w:abstractNumId w:val="17"/>
  </w:num>
  <w:num w:numId="10">
    <w:abstractNumId w:val="24"/>
  </w:num>
  <w:num w:numId="11">
    <w:abstractNumId w:val="33"/>
  </w:num>
  <w:num w:numId="12">
    <w:abstractNumId w:val="19"/>
  </w:num>
  <w:num w:numId="13">
    <w:abstractNumId w:val="20"/>
  </w:num>
  <w:num w:numId="14">
    <w:abstractNumId w:val="15"/>
  </w:num>
  <w:num w:numId="15">
    <w:abstractNumId w:val="27"/>
  </w:num>
  <w:num w:numId="16">
    <w:abstractNumId w:val="29"/>
  </w:num>
  <w:num w:numId="17">
    <w:abstractNumId w:val="25"/>
  </w:num>
  <w:num w:numId="18">
    <w:abstractNumId w:val="37"/>
  </w:num>
  <w:num w:numId="19">
    <w:abstractNumId w:val="23"/>
  </w:num>
  <w:num w:numId="20">
    <w:abstractNumId w:val="7"/>
  </w:num>
  <w:num w:numId="21">
    <w:abstractNumId w:val="18"/>
  </w:num>
  <w:num w:numId="22">
    <w:abstractNumId w:val="38"/>
  </w:num>
  <w:num w:numId="23">
    <w:abstractNumId w:val="28"/>
  </w:num>
  <w:num w:numId="24">
    <w:abstractNumId w:val="12"/>
  </w:num>
  <w:num w:numId="25">
    <w:abstractNumId w:val="34"/>
  </w:num>
  <w:num w:numId="26">
    <w:abstractNumId w:val="36"/>
  </w:num>
  <w:num w:numId="27">
    <w:abstractNumId w:val="8"/>
  </w:num>
  <w:num w:numId="28">
    <w:abstractNumId w:val="10"/>
  </w:num>
  <w:num w:numId="29">
    <w:abstractNumId w:val="22"/>
  </w:num>
  <w:num w:numId="30">
    <w:abstractNumId w:val="32"/>
  </w:num>
  <w:num w:numId="31">
    <w:abstractNumId w:val="30"/>
  </w:num>
  <w:num w:numId="32">
    <w:abstractNumId w:val="13"/>
  </w:num>
  <w:num w:numId="33">
    <w:abstractNumId w:val="1"/>
  </w:num>
  <w:num w:numId="34">
    <w:abstractNumId w:val="0"/>
  </w:num>
  <w:num w:numId="35">
    <w:abstractNumId w:val="5"/>
  </w:num>
  <w:num w:numId="36">
    <w:abstractNumId w:val="4"/>
  </w:num>
  <w:num w:numId="37">
    <w:abstractNumId w:val="14"/>
  </w:num>
  <w:num w:numId="38">
    <w:abstractNumId w:val="2"/>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attachedTemplate r:id="rId1"/>
  <w:documentProtection w:edit="forms" w:enforcement="1" w:cryptProviderType="rsaAES" w:cryptAlgorithmClass="hash" w:cryptAlgorithmType="typeAny" w:cryptAlgorithmSid="14" w:cryptSpinCount="100000" w:hash="IXDNNtsQU98yGrfzyQG6Vr6EZT6ygki/NWR4hcOXq1aT2/tXyjkml20e2IpXcjxTEEYjntAY2QRw2rEJq8Ly3Q==" w:salt="6q2c+pS8L/Rr1HpQW5xMuQ=="/>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RhMzY2YjgxNGViZTNhNDAxZDcyZjc0NzNmOTVmMWIifQ=="/>
  </w:docVars>
  <w:rsids>
    <w:rsidRoot w:val="00362FC8"/>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ADB"/>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5F2"/>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5AF6"/>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2FC8"/>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96533"/>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6F2"/>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ACD"/>
    <w:rsid w:val="00654EC0"/>
    <w:rsid w:val="0065525B"/>
    <w:rsid w:val="00655D4F"/>
    <w:rsid w:val="00656D29"/>
    <w:rsid w:val="006640E5"/>
    <w:rsid w:val="006646F1"/>
    <w:rsid w:val="00664929"/>
    <w:rsid w:val="00664F62"/>
    <w:rsid w:val="006655E1"/>
    <w:rsid w:val="00672060"/>
    <w:rsid w:val="00672BFD"/>
    <w:rsid w:val="00675602"/>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C73C1"/>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4425"/>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34B5"/>
    <w:rsid w:val="00815419"/>
    <w:rsid w:val="008163C8"/>
    <w:rsid w:val="008164A1"/>
    <w:rsid w:val="00817296"/>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6C12"/>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49FE"/>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3C48"/>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4204"/>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4D5"/>
    <w:rsid w:val="00BA263B"/>
    <w:rsid w:val="00BA3265"/>
    <w:rsid w:val="00BA42B2"/>
    <w:rsid w:val="00BA58D4"/>
    <w:rsid w:val="00BA5B9E"/>
    <w:rsid w:val="00BA7C9A"/>
    <w:rsid w:val="00BB203B"/>
    <w:rsid w:val="00BB2D8E"/>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35CE6"/>
    <w:rsid w:val="00C42130"/>
    <w:rsid w:val="00C423A4"/>
    <w:rsid w:val="00C44BF5"/>
    <w:rsid w:val="00C511E7"/>
    <w:rsid w:val="00C521D6"/>
    <w:rsid w:val="00C53E38"/>
    <w:rsid w:val="00C55232"/>
    <w:rsid w:val="00C553A4"/>
    <w:rsid w:val="00C55A06"/>
    <w:rsid w:val="00C55D03"/>
    <w:rsid w:val="00C601BC"/>
    <w:rsid w:val="00C6329F"/>
    <w:rsid w:val="00C63340"/>
    <w:rsid w:val="00C643F9"/>
    <w:rsid w:val="00C64664"/>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341"/>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4D5A"/>
    <w:rsid w:val="00EE54A6"/>
    <w:rsid w:val="00EE613F"/>
    <w:rsid w:val="00EE7295"/>
    <w:rsid w:val="00EE7869"/>
    <w:rsid w:val="00EF054A"/>
    <w:rsid w:val="00EF3235"/>
    <w:rsid w:val="00EF7E72"/>
    <w:rsid w:val="00F06D37"/>
    <w:rsid w:val="00F07191"/>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A7A64"/>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6817"/>
    <w:rsid w:val="00FE7E79"/>
    <w:rsid w:val="00FF3E7D"/>
    <w:rsid w:val="00FF5B99"/>
    <w:rsid w:val="00FF730C"/>
    <w:rsid w:val="00FF73F4"/>
    <w:rsid w:val="00FF7CE4"/>
    <w:rsid w:val="00FF7E39"/>
    <w:rsid w:val="034F0B7A"/>
    <w:rsid w:val="12A220FB"/>
    <w:rsid w:val="1666123D"/>
    <w:rsid w:val="18BC03D4"/>
    <w:rsid w:val="190D676E"/>
    <w:rsid w:val="1BA15FA2"/>
    <w:rsid w:val="1CC7215A"/>
    <w:rsid w:val="1CDB2C11"/>
    <w:rsid w:val="1FD91AA0"/>
    <w:rsid w:val="21BB2303"/>
    <w:rsid w:val="25B20901"/>
    <w:rsid w:val="2A324814"/>
    <w:rsid w:val="2E206531"/>
    <w:rsid w:val="305C2FB3"/>
    <w:rsid w:val="32061AE7"/>
    <w:rsid w:val="329A1838"/>
    <w:rsid w:val="346D4300"/>
    <w:rsid w:val="38B13042"/>
    <w:rsid w:val="3B0C4680"/>
    <w:rsid w:val="425747C6"/>
    <w:rsid w:val="42A45AE6"/>
    <w:rsid w:val="47527ED3"/>
    <w:rsid w:val="4C824411"/>
    <w:rsid w:val="5AAE0E58"/>
    <w:rsid w:val="6017749F"/>
    <w:rsid w:val="61032B38"/>
    <w:rsid w:val="6A986383"/>
    <w:rsid w:val="71153587"/>
    <w:rsid w:val="720765BA"/>
    <w:rsid w:val="74EE65C9"/>
    <w:rsid w:val="79CB69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3">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6"/>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37"/>
    <w:qFormat/>
    <w:uiPriority w:val="0"/>
    <w:pPr>
      <w:keepNext/>
      <w:keepLines/>
      <w:spacing w:before="260" w:after="260" w:line="416" w:lineRule="auto"/>
      <w:outlineLvl w:val="2"/>
    </w:pPr>
    <w:rPr>
      <w:b/>
      <w:bCs/>
      <w:sz w:val="32"/>
      <w:szCs w:val="32"/>
    </w:rPr>
  </w:style>
  <w:style w:type="paragraph" w:styleId="6">
    <w:name w:val="heading 4"/>
    <w:basedOn w:val="1"/>
    <w:next w:val="1"/>
    <w:link w:val="38"/>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39"/>
    <w:qFormat/>
    <w:uiPriority w:val="0"/>
    <w:pPr>
      <w:keepNext/>
      <w:keepLines/>
      <w:adjustRightInd/>
      <w:spacing w:before="280" w:after="290" w:line="376" w:lineRule="auto"/>
      <w:outlineLvl w:val="4"/>
    </w:pPr>
    <w:rPr>
      <w:b/>
      <w:bCs/>
      <w:sz w:val="28"/>
      <w:szCs w:val="28"/>
    </w:rPr>
  </w:style>
  <w:style w:type="paragraph" w:styleId="8">
    <w:name w:val="heading 6"/>
    <w:basedOn w:val="1"/>
    <w:next w:val="1"/>
    <w:link w:val="40"/>
    <w:qFormat/>
    <w:uiPriority w:val="0"/>
    <w:pPr>
      <w:keepNext/>
      <w:keepLines/>
      <w:adjustRightInd/>
      <w:spacing w:before="240" w:after="64" w:line="320" w:lineRule="auto"/>
      <w:outlineLvl w:val="5"/>
    </w:pPr>
    <w:rPr>
      <w:rFonts w:ascii="Arial" w:hAnsi="Arial" w:eastAsia="黑体"/>
      <w:b/>
      <w:bCs/>
      <w:sz w:val="24"/>
      <w:szCs w:val="24"/>
    </w:rPr>
  </w:style>
  <w:style w:type="paragraph" w:styleId="9">
    <w:name w:val="heading 7"/>
    <w:basedOn w:val="1"/>
    <w:next w:val="1"/>
    <w:link w:val="41"/>
    <w:qFormat/>
    <w:uiPriority w:val="0"/>
    <w:pPr>
      <w:keepNext/>
      <w:keepLines/>
      <w:adjustRightInd/>
      <w:spacing w:before="240" w:after="64" w:line="320" w:lineRule="auto"/>
      <w:outlineLvl w:val="6"/>
    </w:pPr>
    <w:rPr>
      <w:b/>
      <w:bCs/>
      <w:sz w:val="24"/>
      <w:szCs w:val="24"/>
    </w:rPr>
  </w:style>
  <w:style w:type="paragraph" w:styleId="10">
    <w:name w:val="heading 8"/>
    <w:basedOn w:val="1"/>
    <w:next w:val="1"/>
    <w:link w:val="42"/>
    <w:qFormat/>
    <w:uiPriority w:val="0"/>
    <w:pPr>
      <w:keepNext/>
      <w:keepLines/>
      <w:adjustRightInd/>
      <w:spacing w:before="240" w:after="64" w:line="320" w:lineRule="auto"/>
      <w:outlineLvl w:val="7"/>
    </w:pPr>
    <w:rPr>
      <w:rFonts w:ascii="Arial" w:hAnsi="Arial" w:eastAsia="黑体"/>
      <w:sz w:val="24"/>
      <w:szCs w:val="24"/>
    </w:rPr>
  </w:style>
  <w:style w:type="paragraph" w:styleId="11">
    <w:name w:val="heading 9"/>
    <w:basedOn w:val="1"/>
    <w:next w:val="1"/>
    <w:link w:val="43"/>
    <w:qFormat/>
    <w:uiPriority w:val="0"/>
    <w:pPr>
      <w:keepNext/>
      <w:keepLines/>
      <w:adjustRightInd/>
      <w:spacing w:before="240" w:after="64" w:line="320" w:lineRule="auto"/>
      <w:outlineLvl w:val="8"/>
    </w:pPr>
    <w:rPr>
      <w:rFonts w:ascii="Arial" w:hAnsi="Arial" w:eastAsia="黑体"/>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7"/>
    <w:qFormat/>
    <w:uiPriority w:val="0"/>
    <w:pPr>
      <w:spacing w:after="120"/>
    </w:pPr>
  </w:style>
  <w:style w:type="paragraph" w:styleId="12">
    <w:name w:val="toc 7"/>
    <w:basedOn w:val="1"/>
    <w:next w:val="1"/>
    <w:autoRedefine/>
    <w:unhideWhenUsed/>
    <w:qFormat/>
    <w:uiPriority w:val="39"/>
    <w:pPr>
      <w:tabs>
        <w:tab w:val="right" w:leader="dot" w:pos="9344"/>
      </w:tabs>
      <w:spacing w:line="300" w:lineRule="exact"/>
      <w:ind w:left="1259"/>
    </w:pPr>
    <w:rPr>
      <w:rFonts w:ascii="宋体"/>
    </w:rPr>
  </w:style>
  <w:style w:type="paragraph" w:styleId="13">
    <w:name w:val="Normal Indent"/>
    <w:basedOn w:val="1"/>
    <w:qFormat/>
    <w:uiPriority w:val="0"/>
    <w:pPr>
      <w:ind w:firstLine="4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6"/>
    <w:semiHidden/>
    <w:unhideWhenUsed/>
    <w:qFormat/>
    <w:uiPriority w:val="99"/>
    <w:rPr>
      <w:sz w:val="18"/>
      <w:szCs w:val="18"/>
    </w:rPr>
  </w:style>
  <w:style w:type="paragraph" w:styleId="17">
    <w:name w:val="footer"/>
    <w:basedOn w:val="1"/>
    <w:link w:val="45"/>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4"/>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100"/>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26">
    <w:name w:val="Title"/>
    <w:basedOn w:val="1"/>
    <w:link w:val="49"/>
    <w:qFormat/>
    <w:uiPriority w:val="0"/>
    <w:pPr>
      <w:spacing w:before="240" w:after="60"/>
      <w:jc w:val="center"/>
      <w:outlineLvl w:val="0"/>
    </w:pPr>
    <w:rPr>
      <w:rFonts w:ascii="Arial" w:hAnsi="Arial" w:cs="Arial"/>
      <w:b/>
      <w:bCs/>
      <w:sz w:val="32"/>
      <w:szCs w:val="32"/>
    </w:r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page number"/>
    <w:qFormat/>
    <w:uiPriority w:val="0"/>
    <w:rPr>
      <w:rFonts w:ascii="宋体" w:hAnsi="Times New Roman" w:eastAsia="宋体"/>
      <w:sz w:val="18"/>
    </w:rPr>
  </w:style>
  <w:style w:type="character" w:styleId="32">
    <w:name w:val="Emphasis"/>
    <w:qFormat/>
    <w:uiPriority w:val="20"/>
    <w:rPr>
      <w:i/>
      <w:iCs/>
    </w:rPr>
  </w:style>
  <w:style w:type="character" w:styleId="33">
    <w:name w:val="Hyperlink"/>
    <w:qFormat/>
    <w:uiPriority w:val="99"/>
    <w:rPr>
      <w:rFonts w:ascii="宋体" w:hAnsi="Times New Roman" w:eastAsia="宋体"/>
      <w:color w:val="auto"/>
      <w:spacing w:val="0"/>
      <w:w w:val="100"/>
      <w:position w:val="0"/>
      <w:sz w:val="21"/>
      <w:u w:val="none"/>
      <w:vertAlign w:val="baseline"/>
    </w:rPr>
  </w:style>
  <w:style w:type="character" w:styleId="34">
    <w:name w:val="footnote reference"/>
    <w:semiHidden/>
    <w:qFormat/>
    <w:uiPriority w:val="0"/>
    <w:rPr>
      <w:rFonts w:ascii="宋体" w:hAnsi="宋体" w:eastAsia="宋体" w:cs="Times New Roman"/>
      <w:spacing w:val="0"/>
      <w:sz w:val="18"/>
      <w:vertAlign w:val="superscript"/>
    </w:rPr>
  </w:style>
  <w:style w:type="character" w:customStyle="1" w:styleId="35">
    <w:name w:val="标题 1 字符"/>
    <w:link w:val="3"/>
    <w:qFormat/>
    <w:uiPriority w:val="0"/>
    <w:rPr>
      <w:b/>
      <w:bCs/>
      <w:kern w:val="44"/>
      <w:sz w:val="44"/>
      <w:szCs w:val="44"/>
    </w:rPr>
  </w:style>
  <w:style w:type="character" w:customStyle="1" w:styleId="36">
    <w:name w:val="标题 2 字符"/>
    <w:link w:val="4"/>
    <w:qFormat/>
    <w:uiPriority w:val="0"/>
    <w:rPr>
      <w:rFonts w:ascii="Arial" w:hAnsi="Arial" w:eastAsia="黑体"/>
      <w:b/>
      <w:bCs/>
      <w:kern w:val="2"/>
      <w:sz w:val="32"/>
      <w:szCs w:val="32"/>
    </w:rPr>
  </w:style>
  <w:style w:type="character" w:customStyle="1" w:styleId="37">
    <w:name w:val="标题 3 字符"/>
    <w:link w:val="5"/>
    <w:qFormat/>
    <w:uiPriority w:val="0"/>
    <w:rPr>
      <w:b/>
      <w:bCs/>
      <w:kern w:val="2"/>
      <w:sz w:val="32"/>
      <w:szCs w:val="32"/>
    </w:rPr>
  </w:style>
  <w:style w:type="character" w:customStyle="1" w:styleId="38">
    <w:name w:val="标题 4 字符"/>
    <w:link w:val="6"/>
    <w:qFormat/>
    <w:uiPriority w:val="0"/>
    <w:rPr>
      <w:rFonts w:ascii="Arial" w:hAnsi="Arial" w:eastAsia="黑体"/>
      <w:b/>
      <w:bCs/>
      <w:kern w:val="2"/>
      <w:sz w:val="28"/>
      <w:szCs w:val="28"/>
    </w:rPr>
  </w:style>
  <w:style w:type="character" w:customStyle="1" w:styleId="39">
    <w:name w:val="标题 5 字符"/>
    <w:link w:val="7"/>
    <w:qFormat/>
    <w:uiPriority w:val="0"/>
    <w:rPr>
      <w:b/>
      <w:bCs/>
      <w:kern w:val="2"/>
      <w:sz w:val="28"/>
      <w:szCs w:val="28"/>
    </w:rPr>
  </w:style>
  <w:style w:type="character" w:customStyle="1" w:styleId="40">
    <w:name w:val="标题 6 字符"/>
    <w:link w:val="8"/>
    <w:qFormat/>
    <w:uiPriority w:val="0"/>
    <w:rPr>
      <w:rFonts w:ascii="Arial" w:hAnsi="Arial" w:eastAsia="黑体"/>
      <w:b/>
      <w:bCs/>
      <w:kern w:val="2"/>
      <w:sz w:val="24"/>
      <w:szCs w:val="24"/>
    </w:rPr>
  </w:style>
  <w:style w:type="character" w:customStyle="1" w:styleId="41">
    <w:name w:val="标题 7 字符"/>
    <w:link w:val="9"/>
    <w:qFormat/>
    <w:uiPriority w:val="0"/>
    <w:rPr>
      <w:b/>
      <w:bCs/>
      <w:kern w:val="2"/>
      <w:sz w:val="24"/>
      <w:szCs w:val="24"/>
    </w:rPr>
  </w:style>
  <w:style w:type="character" w:customStyle="1" w:styleId="42">
    <w:name w:val="标题 8 字符"/>
    <w:link w:val="10"/>
    <w:qFormat/>
    <w:uiPriority w:val="0"/>
    <w:rPr>
      <w:rFonts w:ascii="Arial" w:hAnsi="Arial" w:eastAsia="黑体"/>
      <w:kern w:val="2"/>
      <w:sz w:val="24"/>
      <w:szCs w:val="24"/>
    </w:rPr>
  </w:style>
  <w:style w:type="character" w:customStyle="1" w:styleId="43">
    <w:name w:val="标题 9 字符"/>
    <w:link w:val="11"/>
    <w:qFormat/>
    <w:uiPriority w:val="0"/>
    <w:rPr>
      <w:rFonts w:ascii="Arial" w:hAnsi="Arial" w:eastAsia="黑体"/>
      <w:kern w:val="2"/>
      <w:sz w:val="21"/>
      <w:szCs w:val="21"/>
    </w:rPr>
  </w:style>
  <w:style w:type="character" w:customStyle="1" w:styleId="44">
    <w:name w:val="页眉 字符"/>
    <w:link w:val="18"/>
    <w:qFormat/>
    <w:uiPriority w:val="99"/>
    <w:rPr>
      <w:kern w:val="2"/>
      <w:sz w:val="18"/>
      <w:szCs w:val="18"/>
    </w:rPr>
  </w:style>
  <w:style w:type="character" w:customStyle="1" w:styleId="45">
    <w:name w:val="页脚 字符"/>
    <w:link w:val="17"/>
    <w:qFormat/>
    <w:uiPriority w:val="99"/>
    <w:rPr>
      <w:rFonts w:ascii="宋体"/>
      <w:kern w:val="2"/>
      <w:sz w:val="18"/>
      <w:szCs w:val="18"/>
    </w:rPr>
  </w:style>
  <w:style w:type="character" w:customStyle="1" w:styleId="46">
    <w:name w:val="批注框文本 字符"/>
    <w:link w:val="16"/>
    <w:semiHidden/>
    <w:qFormat/>
    <w:uiPriority w:val="99"/>
    <w:rPr>
      <w:kern w:val="2"/>
      <w:sz w:val="18"/>
      <w:szCs w:val="18"/>
    </w:rPr>
  </w:style>
  <w:style w:type="paragraph" w:styleId="47">
    <w:name w:val="Quote"/>
    <w:basedOn w:val="1"/>
    <w:next w:val="1"/>
    <w:link w:val="48"/>
    <w:qFormat/>
    <w:uiPriority w:val="29"/>
    <w:rPr>
      <w:i/>
      <w:iCs/>
      <w:color w:val="000000"/>
    </w:rPr>
  </w:style>
  <w:style w:type="character" w:customStyle="1" w:styleId="48">
    <w:name w:val="引用 字符"/>
    <w:link w:val="47"/>
    <w:qFormat/>
    <w:uiPriority w:val="29"/>
    <w:rPr>
      <w:i/>
      <w:iCs/>
      <w:color w:val="000000"/>
      <w:kern w:val="2"/>
      <w:sz w:val="21"/>
      <w:szCs w:val="21"/>
    </w:rPr>
  </w:style>
  <w:style w:type="character" w:customStyle="1" w:styleId="49">
    <w:name w:val="标题 字符"/>
    <w:link w:val="26"/>
    <w:qFormat/>
    <w:uiPriority w:val="0"/>
    <w:rPr>
      <w:rFonts w:ascii="Arial" w:hAnsi="Arial" w:cs="Arial"/>
      <w:b/>
      <w:bCs/>
      <w:kern w:val="2"/>
      <w:sz w:val="32"/>
      <w:szCs w:val="32"/>
    </w:rPr>
  </w:style>
  <w:style w:type="paragraph" w:customStyle="1" w:styleId="5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1">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3">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4">
    <w:name w:val="标准书眉一"/>
    <w:qFormat/>
    <w:uiPriority w:val="0"/>
    <w:pPr>
      <w:jc w:val="both"/>
    </w:pPr>
    <w:rPr>
      <w:rFonts w:ascii="Times New Roman" w:hAnsi="Times New Roman" w:eastAsia="宋体" w:cs="Times New Roman"/>
      <w:lang w:val="en-US" w:eastAsia="zh-CN" w:bidi="ar-SA"/>
    </w:rPr>
  </w:style>
  <w:style w:type="paragraph" w:customStyle="1" w:styleId="55">
    <w:name w:val="标准文件_ICS"/>
    <w:basedOn w:val="1"/>
    <w:qFormat/>
    <w:uiPriority w:val="0"/>
    <w:pPr>
      <w:spacing w:line="0" w:lineRule="atLeast"/>
    </w:pPr>
    <w:rPr>
      <w:rFonts w:ascii="黑体" w:hAnsi="宋体" w:eastAsia="黑体"/>
    </w:rPr>
  </w:style>
  <w:style w:type="paragraph" w:customStyle="1" w:styleId="56">
    <w:name w:val="标准文件_标准正文"/>
    <w:basedOn w:val="1"/>
    <w:next w:val="57"/>
    <w:qFormat/>
    <w:uiPriority w:val="0"/>
    <w:pPr>
      <w:snapToGrid w:val="0"/>
      <w:ind w:firstLine="200" w:firstLineChars="200"/>
    </w:pPr>
    <w:rPr>
      <w:kern w:val="0"/>
    </w:rPr>
  </w:style>
  <w:style w:type="paragraph" w:customStyle="1" w:styleId="57">
    <w:name w:val="标准文件_段"/>
    <w:link w:val="18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8">
    <w:name w:val="标准文件_版本"/>
    <w:basedOn w:val="56"/>
    <w:qFormat/>
    <w:uiPriority w:val="0"/>
    <w:pPr>
      <w:adjustRightInd/>
      <w:snapToGrid/>
      <w:ind w:firstLine="0" w:firstLineChars="0"/>
    </w:pPr>
    <w:rPr>
      <w:rFonts w:ascii="宋体" w:hAnsi="宋体"/>
      <w:kern w:val="2"/>
    </w:rPr>
  </w:style>
  <w:style w:type="paragraph" w:customStyle="1" w:styleId="59">
    <w:name w:val="标准文件_标准部门"/>
    <w:basedOn w:val="1"/>
    <w:qFormat/>
    <w:uiPriority w:val="0"/>
    <w:pPr>
      <w:jc w:val="center"/>
    </w:pPr>
    <w:rPr>
      <w:rFonts w:ascii="黑体" w:eastAsia="黑体"/>
      <w:kern w:val="0"/>
      <w:sz w:val="44"/>
    </w:rPr>
  </w:style>
  <w:style w:type="paragraph" w:customStyle="1" w:styleId="60">
    <w:name w:val="标准文件_标准代替"/>
    <w:basedOn w:val="1"/>
    <w:next w:val="1"/>
    <w:qFormat/>
    <w:uiPriority w:val="0"/>
    <w:pPr>
      <w:spacing w:line="310" w:lineRule="exact"/>
      <w:jc w:val="right"/>
    </w:pPr>
    <w:rPr>
      <w:rFonts w:ascii="宋体" w:hAnsi="宋体"/>
      <w:kern w:val="0"/>
    </w:rPr>
  </w:style>
  <w:style w:type="paragraph" w:customStyle="1" w:styleId="61">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2">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3">
    <w:name w:val="标准文件_页眉偶数页"/>
    <w:basedOn w:val="62"/>
    <w:next w:val="1"/>
    <w:qFormat/>
    <w:uiPriority w:val="0"/>
    <w:pPr>
      <w:jc w:val="left"/>
    </w:pPr>
  </w:style>
  <w:style w:type="paragraph" w:customStyle="1" w:styleId="64">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5">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6">
    <w:name w:val="标准文件_二级条标题"/>
    <w:next w:val="57"/>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7">
    <w:name w:val="标准文件_发布"/>
    <w:qFormat/>
    <w:uiPriority w:val="0"/>
    <w:rPr>
      <w:rFonts w:ascii="黑体" w:eastAsia="黑体"/>
      <w:spacing w:val="0"/>
      <w:w w:val="100"/>
      <w:position w:val="3"/>
      <w:sz w:val="28"/>
    </w:rPr>
  </w:style>
  <w:style w:type="paragraph" w:customStyle="1" w:styleId="68">
    <w:name w:val="标准文件_方框数字列项"/>
    <w:basedOn w:val="57"/>
    <w:qFormat/>
    <w:uiPriority w:val="0"/>
    <w:pPr>
      <w:numPr>
        <w:ilvl w:val="0"/>
        <w:numId w:val="3"/>
      </w:numPr>
      <w:ind w:firstLine="0" w:firstLineChars="0"/>
    </w:pPr>
  </w:style>
  <w:style w:type="paragraph" w:customStyle="1" w:styleId="69">
    <w:name w:val="标准文件_封面标准编号"/>
    <w:basedOn w:val="1"/>
    <w:next w:val="60"/>
    <w:qFormat/>
    <w:uiPriority w:val="0"/>
    <w:pPr>
      <w:spacing w:line="310" w:lineRule="exact"/>
      <w:jc w:val="right"/>
    </w:pPr>
    <w:rPr>
      <w:rFonts w:ascii="黑体" w:eastAsia="黑体"/>
      <w:kern w:val="0"/>
      <w:sz w:val="28"/>
    </w:rPr>
  </w:style>
  <w:style w:type="paragraph" w:customStyle="1" w:styleId="70">
    <w:name w:val="标准文件_封面标准分类号"/>
    <w:basedOn w:val="1"/>
    <w:qFormat/>
    <w:uiPriority w:val="0"/>
    <w:rPr>
      <w:rFonts w:ascii="黑体" w:eastAsia="黑体"/>
      <w:b/>
      <w:kern w:val="0"/>
      <w:sz w:val="28"/>
    </w:rPr>
  </w:style>
  <w:style w:type="paragraph" w:customStyle="1" w:styleId="71">
    <w:name w:val="标准文件_封面标准名称"/>
    <w:basedOn w:val="1"/>
    <w:qFormat/>
    <w:uiPriority w:val="0"/>
    <w:pPr>
      <w:spacing w:line="240" w:lineRule="auto"/>
      <w:jc w:val="center"/>
    </w:pPr>
    <w:rPr>
      <w:rFonts w:ascii="黑体" w:eastAsia="黑体"/>
      <w:kern w:val="0"/>
      <w:sz w:val="52"/>
    </w:rPr>
  </w:style>
  <w:style w:type="paragraph" w:customStyle="1" w:styleId="72">
    <w:name w:val="标准文件_封面标准英文名称"/>
    <w:basedOn w:val="1"/>
    <w:qFormat/>
    <w:uiPriority w:val="0"/>
    <w:pPr>
      <w:spacing w:line="240" w:lineRule="auto"/>
      <w:jc w:val="center"/>
    </w:pPr>
    <w:rPr>
      <w:rFonts w:ascii="黑体" w:eastAsia="黑体"/>
      <w:b/>
      <w:sz w:val="28"/>
    </w:rPr>
  </w:style>
  <w:style w:type="paragraph" w:customStyle="1" w:styleId="73">
    <w:name w:val="标准文件_封面发布日期"/>
    <w:basedOn w:val="1"/>
    <w:qFormat/>
    <w:uiPriority w:val="0"/>
    <w:pPr>
      <w:spacing w:line="310" w:lineRule="exact"/>
    </w:pPr>
    <w:rPr>
      <w:rFonts w:ascii="黑体" w:eastAsia="黑体"/>
      <w:kern w:val="0"/>
      <w:sz w:val="28"/>
    </w:rPr>
  </w:style>
  <w:style w:type="paragraph" w:customStyle="1" w:styleId="74">
    <w:name w:val="标准文件_封面密级"/>
    <w:basedOn w:val="1"/>
    <w:qFormat/>
    <w:uiPriority w:val="0"/>
    <w:rPr>
      <w:rFonts w:eastAsia="黑体"/>
      <w:sz w:val="32"/>
    </w:rPr>
  </w:style>
  <w:style w:type="paragraph" w:customStyle="1" w:styleId="75">
    <w:name w:val="标准文件_封面实施日期"/>
    <w:basedOn w:val="1"/>
    <w:qFormat/>
    <w:uiPriority w:val="0"/>
    <w:pPr>
      <w:spacing w:line="310" w:lineRule="exact"/>
      <w:jc w:val="right"/>
    </w:pPr>
    <w:rPr>
      <w:rFonts w:ascii="黑体" w:eastAsia="黑体"/>
      <w:sz w:val="28"/>
    </w:rPr>
  </w:style>
  <w:style w:type="paragraph" w:customStyle="1" w:styleId="76">
    <w:name w:val="标准文件_封面抬头"/>
    <w:basedOn w:val="57"/>
    <w:qFormat/>
    <w:uiPriority w:val="0"/>
    <w:pPr>
      <w:adjustRightInd w:val="0"/>
      <w:spacing w:line="800" w:lineRule="exact"/>
      <w:ind w:firstLine="0" w:firstLineChars="0"/>
      <w:jc w:val="distribute"/>
    </w:pPr>
    <w:rPr>
      <w:rFonts w:ascii="黑体" w:eastAsia="黑体"/>
      <w:b/>
      <w:sz w:val="64"/>
    </w:rPr>
  </w:style>
  <w:style w:type="paragraph" w:customStyle="1" w:styleId="77">
    <w:name w:val="标准文件_附录标识"/>
    <w:next w:val="57"/>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8">
    <w:name w:val="标准文件_附录表标题"/>
    <w:next w:val="57"/>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9">
    <w:name w:val="标准文件_附录一级条标题"/>
    <w:next w:val="57"/>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0">
    <w:name w:val="标准文件_附录二级条标题"/>
    <w:basedOn w:val="79"/>
    <w:next w:val="57"/>
    <w:qFormat/>
    <w:uiPriority w:val="0"/>
    <w:pPr>
      <w:widowControl/>
      <w:numPr>
        <w:ilvl w:val="2"/>
      </w:numPr>
      <w:wordWrap w:val="0"/>
      <w:overflowPunct w:val="0"/>
      <w:autoSpaceDE w:val="0"/>
      <w:autoSpaceDN w:val="0"/>
      <w:textAlignment w:val="baseline"/>
      <w:outlineLvl w:val="3"/>
    </w:pPr>
  </w:style>
  <w:style w:type="paragraph" w:customStyle="1" w:styleId="81">
    <w:name w:val="标准文件_附录公式"/>
    <w:basedOn w:val="56"/>
    <w:next w:val="56"/>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2">
    <w:name w:val="标准文件_附录三级条标题"/>
    <w:next w:val="57"/>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3">
    <w:name w:val="标准文件_附录四级条标题"/>
    <w:next w:val="57"/>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4">
    <w:name w:val="标准文件_附录图标题"/>
    <w:next w:val="57"/>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5">
    <w:name w:val="标准文件_附录五级条标题"/>
    <w:next w:val="57"/>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6">
    <w:name w:val="标准文件_附录英文标识"/>
    <w:next w:val="2"/>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7">
    <w:name w:val="正文文本 字符"/>
    <w:link w:val="2"/>
    <w:qFormat/>
    <w:uiPriority w:val="0"/>
    <w:rPr>
      <w:kern w:val="2"/>
      <w:sz w:val="21"/>
      <w:szCs w:val="21"/>
    </w:rPr>
  </w:style>
  <w:style w:type="paragraph" w:customStyle="1" w:styleId="88">
    <w:name w:val="标准文件_附录章标题"/>
    <w:next w:val="57"/>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9">
    <w:name w:val="标准文件_公式后的破折号"/>
    <w:basedOn w:val="57"/>
    <w:next w:val="57"/>
    <w:qFormat/>
    <w:uiPriority w:val="0"/>
    <w:pPr>
      <w:ind w:left="488" w:leftChars="200" w:hanging="289" w:hangingChars="290"/>
    </w:pPr>
  </w:style>
  <w:style w:type="paragraph" w:customStyle="1" w:styleId="90">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1">
    <w:name w:val="标准文件_目次、标准名称标题"/>
    <w:basedOn w:val="90"/>
    <w:next w:val="57"/>
    <w:qFormat/>
    <w:uiPriority w:val="0"/>
    <w:pPr>
      <w:spacing w:line="460" w:lineRule="exact"/>
      <w:ind w:left="0" w:firstLine="0"/>
    </w:pPr>
  </w:style>
  <w:style w:type="paragraph" w:customStyle="1" w:styleId="92">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3">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4">
    <w:name w:val="标准文件_破折号列项（二级）"/>
    <w:basedOn w:val="93"/>
    <w:qFormat/>
    <w:uiPriority w:val="0"/>
    <w:pPr>
      <w:numPr>
        <w:numId w:val="10"/>
      </w:numPr>
    </w:pPr>
  </w:style>
  <w:style w:type="paragraph" w:customStyle="1" w:styleId="95">
    <w:name w:val="标准文件_三级条标题"/>
    <w:basedOn w:val="66"/>
    <w:next w:val="57"/>
    <w:qFormat/>
    <w:uiPriority w:val="0"/>
    <w:pPr>
      <w:widowControl/>
      <w:numPr>
        <w:ilvl w:val="4"/>
      </w:numPr>
      <w:outlineLvl w:val="3"/>
    </w:pPr>
  </w:style>
  <w:style w:type="character" w:customStyle="1" w:styleId="96">
    <w:name w:val="Subtle Reference"/>
    <w:qFormat/>
    <w:uiPriority w:val="31"/>
    <w:rPr>
      <w:smallCaps/>
      <w:color w:val="C0504D"/>
      <w:u w:val="single"/>
    </w:rPr>
  </w:style>
  <w:style w:type="paragraph" w:customStyle="1" w:styleId="97">
    <w:name w:val="标准文件_示例后续"/>
    <w:basedOn w:val="1"/>
    <w:qFormat/>
    <w:uiPriority w:val="0"/>
    <w:pPr>
      <w:adjustRightInd/>
      <w:spacing w:line="240" w:lineRule="auto"/>
      <w:ind w:firstLine="200" w:firstLineChars="200"/>
    </w:pPr>
    <w:rPr>
      <w:sz w:val="18"/>
      <w:szCs w:val="24"/>
    </w:rPr>
  </w:style>
  <w:style w:type="paragraph" w:customStyle="1" w:styleId="98">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9">
    <w:name w:val="标准文件_四级条标题"/>
    <w:next w:val="57"/>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0">
    <w:name w:val="脚注文本 字符"/>
    <w:link w:val="21"/>
    <w:semiHidden/>
    <w:qFormat/>
    <w:uiPriority w:val="0"/>
    <w:rPr>
      <w:rFonts w:ascii="宋体"/>
      <w:kern w:val="2"/>
      <w:sz w:val="18"/>
      <w:szCs w:val="18"/>
    </w:rPr>
  </w:style>
  <w:style w:type="paragraph" w:customStyle="1" w:styleId="101">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2">
    <w:name w:val="标准文件_图表脚注"/>
    <w:basedOn w:val="1"/>
    <w:next w:val="57"/>
    <w:qFormat/>
    <w:uiPriority w:val="0"/>
    <w:pPr>
      <w:numPr>
        <w:ilvl w:val="0"/>
        <w:numId w:val="12"/>
      </w:numPr>
      <w:spacing w:line="240" w:lineRule="auto"/>
      <w:jc w:val="left"/>
    </w:pPr>
    <w:rPr>
      <w:rFonts w:ascii="宋体" w:hAnsi="宋体"/>
      <w:sz w:val="18"/>
    </w:rPr>
  </w:style>
  <w:style w:type="character" w:customStyle="1" w:styleId="103">
    <w:name w:val="标准文件_图表脚注内容"/>
    <w:qFormat/>
    <w:uiPriority w:val="0"/>
    <w:rPr>
      <w:rFonts w:ascii="宋体" w:hAnsi="宋体" w:eastAsia="宋体" w:cs="Times New Roman"/>
      <w:spacing w:val="0"/>
      <w:sz w:val="18"/>
      <w:vertAlign w:val="superscript"/>
    </w:rPr>
  </w:style>
  <w:style w:type="paragraph" w:customStyle="1" w:styleId="104">
    <w:name w:val="标准文件_五级条标题"/>
    <w:next w:val="57"/>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5">
    <w:name w:val="标准文件_章标题"/>
    <w:next w:val="57"/>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6">
    <w:name w:val="标准文件_一级条标题"/>
    <w:basedOn w:val="105"/>
    <w:next w:val="57"/>
    <w:qFormat/>
    <w:uiPriority w:val="0"/>
    <w:pPr>
      <w:numPr>
        <w:ilvl w:val="2"/>
      </w:numPr>
      <w:spacing w:before="50" w:beforeLines="50" w:after="50" w:afterLines="50"/>
      <w:outlineLvl w:val="1"/>
    </w:pPr>
  </w:style>
  <w:style w:type="paragraph" w:customStyle="1" w:styleId="107">
    <w:name w:val="标准文件_一致程度"/>
    <w:basedOn w:val="1"/>
    <w:qFormat/>
    <w:uiPriority w:val="0"/>
    <w:pPr>
      <w:spacing w:line="440" w:lineRule="exact"/>
      <w:jc w:val="center"/>
    </w:pPr>
    <w:rPr>
      <w:sz w:val="28"/>
    </w:rPr>
  </w:style>
  <w:style w:type="paragraph" w:customStyle="1" w:styleId="108">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9">
    <w:name w:val="标准文件_英文图表脚注"/>
    <w:basedOn w:val="56"/>
    <w:qFormat/>
    <w:uiPriority w:val="0"/>
    <w:pPr>
      <w:widowControl/>
      <w:adjustRightInd/>
      <w:snapToGrid/>
      <w:spacing w:line="240" w:lineRule="auto"/>
      <w:ind w:left="79" w:hanging="79" w:hangingChars="80"/>
    </w:pPr>
    <w:rPr>
      <w:rFonts w:ascii="宋体" w:hAnsi="宋体"/>
    </w:rPr>
  </w:style>
  <w:style w:type="paragraph" w:customStyle="1" w:styleId="110">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1">
    <w:name w:val="标准文件_英文注："/>
    <w:basedOn w:val="1"/>
    <w:next w:val="57"/>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2">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3">
    <w:name w:val="标准文件_正文表标题"/>
    <w:next w:val="57"/>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4">
    <w:name w:val="标准文件_正文公式"/>
    <w:basedOn w:val="1"/>
    <w:next w:val="56"/>
    <w:qFormat/>
    <w:uiPriority w:val="0"/>
    <w:pPr>
      <w:tabs>
        <w:tab w:val="center" w:pos="4678"/>
        <w:tab w:val="right" w:leader="middleDot" w:pos="9356"/>
      </w:tabs>
      <w:spacing w:line="240" w:lineRule="auto"/>
    </w:pPr>
    <w:rPr>
      <w:rFonts w:ascii="宋体" w:hAnsi="宋体"/>
    </w:rPr>
  </w:style>
  <w:style w:type="paragraph" w:customStyle="1" w:styleId="115">
    <w:name w:val="标准文件_正文图标题"/>
    <w:next w:val="57"/>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英文表标题"/>
    <w:next w:val="57"/>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7">
    <w:name w:val="标准文件_正文英文图标题"/>
    <w:next w:val="57"/>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8">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9">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0">
    <w:name w:val="发布部门"/>
    <w:next w:val="57"/>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1">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2">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5">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6">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7">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8">
    <w:name w:val="封面正文"/>
    <w:qFormat/>
    <w:uiPriority w:val="0"/>
    <w:pPr>
      <w:jc w:val="both"/>
    </w:pPr>
    <w:rPr>
      <w:rFonts w:ascii="Times New Roman" w:hAnsi="Times New Roman" w:eastAsia="宋体" w:cs="Times New Roman"/>
      <w:lang w:val="en-US" w:eastAsia="zh-CN" w:bidi="ar-SA"/>
    </w:rPr>
  </w:style>
  <w:style w:type="paragraph" w:customStyle="1" w:styleId="129">
    <w:name w:val="附录二级无标题条"/>
    <w:basedOn w:val="1"/>
    <w:next w:val="57"/>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0">
    <w:name w:val="附录三级无标题条"/>
    <w:basedOn w:val="129"/>
    <w:next w:val="57"/>
    <w:qFormat/>
    <w:uiPriority w:val="0"/>
    <w:pPr>
      <w:outlineLvl w:val="4"/>
    </w:pPr>
  </w:style>
  <w:style w:type="paragraph" w:customStyle="1" w:styleId="131">
    <w:name w:val="附录四级无标题条"/>
    <w:basedOn w:val="130"/>
    <w:next w:val="57"/>
    <w:qFormat/>
    <w:uiPriority w:val="0"/>
    <w:pPr>
      <w:outlineLvl w:val="5"/>
    </w:pPr>
  </w:style>
  <w:style w:type="paragraph" w:customStyle="1" w:styleId="132">
    <w:name w:val="附录图"/>
    <w:next w:val="57"/>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3">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4">
    <w:name w:val="附录五级无标题条"/>
    <w:basedOn w:val="131"/>
    <w:next w:val="57"/>
    <w:qFormat/>
    <w:uiPriority w:val="0"/>
    <w:pPr>
      <w:outlineLvl w:val="6"/>
    </w:pPr>
  </w:style>
  <w:style w:type="paragraph" w:customStyle="1" w:styleId="135">
    <w:name w:val="附录性质"/>
    <w:basedOn w:val="1"/>
    <w:qFormat/>
    <w:uiPriority w:val="0"/>
    <w:pPr>
      <w:widowControl/>
      <w:adjustRightInd/>
      <w:jc w:val="center"/>
    </w:pPr>
    <w:rPr>
      <w:rFonts w:ascii="黑体" w:eastAsia="黑体"/>
    </w:rPr>
  </w:style>
  <w:style w:type="paragraph" w:customStyle="1" w:styleId="136">
    <w:name w:val="附录一级无标题条"/>
    <w:basedOn w:val="88"/>
    <w:next w:val="57"/>
    <w:qFormat/>
    <w:uiPriority w:val="0"/>
    <w:pPr>
      <w:autoSpaceDN w:val="0"/>
      <w:outlineLvl w:val="2"/>
    </w:pPr>
    <w:rPr>
      <w:rFonts w:ascii="宋体" w:hAnsi="宋体" w:eastAsia="宋体"/>
    </w:rPr>
  </w:style>
  <w:style w:type="character" w:customStyle="1" w:styleId="137">
    <w:name w:val="个人答复风格"/>
    <w:qFormat/>
    <w:uiPriority w:val="0"/>
    <w:rPr>
      <w:rFonts w:ascii="Arial" w:hAnsi="Arial" w:eastAsia="宋体" w:cs="Arial"/>
      <w:color w:val="auto"/>
      <w:spacing w:val="0"/>
      <w:sz w:val="20"/>
    </w:rPr>
  </w:style>
  <w:style w:type="character" w:customStyle="1" w:styleId="138">
    <w:name w:val="个人撰写风格"/>
    <w:qFormat/>
    <w:uiPriority w:val="0"/>
    <w:rPr>
      <w:rFonts w:ascii="Arial" w:hAnsi="Arial" w:eastAsia="宋体" w:cs="Arial"/>
      <w:color w:val="auto"/>
      <w:spacing w:val="0"/>
      <w:sz w:val="20"/>
    </w:rPr>
  </w:style>
  <w:style w:type="paragraph" w:customStyle="1" w:styleId="139">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0">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1">
    <w:name w:val="列项·"/>
    <w:basedOn w:val="57"/>
    <w:qFormat/>
    <w:uiPriority w:val="0"/>
    <w:pPr>
      <w:tabs>
        <w:tab w:val="left" w:pos="840"/>
      </w:tabs>
    </w:pPr>
  </w:style>
  <w:style w:type="paragraph" w:customStyle="1" w:styleId="142">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3">
    <w:name w:val="目录 21"/>
    <w:basedOn w:val="1"/>
    <w:next w:val="1"/>
    <w:autoRedefine/>
    <w:semiHidden/>
    <w:qFormat/>
    <w:uiPriority w:val="0"/>
    <w:pPr>
      <w:adjustRightInd/>
      <w:spacing w:line="240" w:lineRule="auto"/>
      <w:jc w:val="left"/>
    </w:pPr>
    <w:rPr>
      <w:bCs/>
      <w:iCs/>
    </w:rPr>
  </w:style>
  <w:style w:type="paragraph" w:customStyle="1" w:styleId="144">
    <w:name w:val="目录 31"/>
    <w:basedOn w:val="1"/>
    <w:next w:val="1"/>
    <w:autoRedefine/>
    <w:semiHidden/>
    <w:qFormat/>
    <w:uiPriority w:val="0"/>
    <w:pPr>
      <w:spacing w:line="240" w:lineRule="auto"/>
    </w:pPr>
    <w:rPr>
      <w:rFonts w:ascii="宋体" w:hAnsi="宋体"/>
      <w:iCs/>
    </w:rPr>
  </w:style>
  <w:style w:type="paragraph" w:customStyle="1" w:styleId="145">
    <w:name w:val="目录 41"/>
    <w:basedOn w:val="1"/>
    <w:next w:val="1"/>
    <w:autoRedefine/>
    <w:semiHidden/>
    <w:qFormat/>
    <w:uiPriority w:val="0"/>
    <w:pPr>
      <w:adjustRightInd/>
      <w:spacing w:line="240" w:lineRule="auto"/>
      <w:jc w:val="left"/>
    </w:pPr>
  </w:style>
  <w:style w:type="paragraph" w:customStyle="1" w:styleId="146">
    <w:name w:val="目录 51"/>
    <w:basedOn w:val="1"/>
    <w:next w:val="1"/>
    <w:autoRedefine/>
    <w:semiHidden/>
    <w:qFormat/>
    <w:uiPriority w:val="0"/>
    <w:pPr>
      <w:spacing w:line="240" w:lineRule="auto"/>
    </w:pPr>
    <w:rPr>
      <w:rFonts w:ascii="宋体" w:hAnsi="宋体"/>
    </w:rPr>
  </w:style>
  <w:style w:type="paragraph" w:customStyle="1" w:styleId="147">
    <w:name w:val="目录 61"/>
    <w:basedOn w:val="1"/>
    <w:next w:val="1"/>
    <w:autoRedefine/>
    <w:semiHidden/>
    <w:qFormat/>
    <w:uiPriority w:val="0"/>
    <w:pPr>
      <w:adjustRightInd/>
      <w:spacing w:line="240" w:lineRule="auto"/>
      <w:jc w:val="left"/>
    </w:pPr>
  </w:style>
  <w:style w:type="paragraph" w:customStyle="1" w:styleId="148">
    <w:name w:val="目录 71"/>
    <w:basedOn w:val="147"/>
    <w:autoRedefine/>
    <w:semiHidden/>
    <w:qFormat/>
    <w:uiPriority w:val="0"/>
    <w:pPr>
      <w:ind w:left="1260"/>
    </w:pPr>
  </w:style>
  <w:style w:type="paragraph" w:customStyle="1" w:styleId="149">
    <w:name w:val="目录 81"/>
    <w:basedOn w:val="148"/>
    <w:autoRedefine/>
    <w:semiHidden/>
    <w:qFormat/>
    <w:uiPriority w:val="0"/>
    <w:pPr>
      <w:ind w:left="1470"/>
    </w:pPr>
  </w:style>
  <w:style w:type="paragraph" w:customStyle="1" w:styleId="150">
    <w:name w:val="目录 91"/>
    <w:basedOn w:val="149"/>
    <w:autoRedefine/>
    <w:semiHidden/>
    <w:qFormat/>
    <w:uiPriority w:val="0"/>
    <w:pPr>
      <w:ind w:left="1680"/>
    </w:pPr>
  </w:style>
  <w:style w:type="paragraph" w:customStyle="1" w:styleId="151">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2">
    <w:name w:val="其他发布部门"/>
    <w:basedOn w:val="120"/>
    <w:qFormat/>
    <w:uiPriority w:val="0"/>
    <w:pPr>
      <w:framePr w:wrap="around"/>
      <w:spacing w:line="0" w:lineRule="atLeast"/>
    </w:pPr>
    <w:rPr>
      <w:rFonts w:ascii="黑体" w:eastAsia="黑体"/>
      <w:b w:val="0"/>
    </w:rPr>
  </w:style>
  <w:style w:type="paragraph" w:customStyle="1" w:styleId="153">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4">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5">
    <w:name w:val="实施日期"/>
    <w:basedOn w:val="121"/>
    <w:qFormat/>
    <w:uiPriority w:val="0"/>
    <w:pPr>
      <w:framePr w:hSpace="0" w:wrap="around" w:xAlign="right"/>
      <w:jc w:val="right"/>
    </w:pPr>
  </w:style>
  <w:style w:type="paragraph" w:customStyle="1" w:styleId="156">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7">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8">
    <w:name w:val="无标题条"/>
    <w:next w:val="57"/>
    <w:qFormat/>
    <w:uiPriority w:val="0"/>
    <w:pPr>
      <w:jc w:val="both"/>
    </w:pPr>
    <w:rPr>
      <w:rFonts w:ascii="宋体" w:hAnsi="宋体" w:eastAsia="宋体" w:cs="Times New Roman"/>
      <w:sz w:val="21"/>
      <w:lang w:val="en-US" w:eastAsia="zh-CN" w:bidi="ar-SA"/>
    </w:rPr>
  </w:style>
  <w:style w:type="paragraph" w:customStyle="1" w:styleId="159">
    <w:name w:val="五级无标题条"/>
    <w:basedOn w:val="1"/>
    <w:qFormat/>
    <w:uiPriority w:val="0"/>
    <w:pPr>
      <w:numPr>
        <w:ilvl w:val="6"/>
        <w:numId w:val="20"/>
      </w:numPr>
      <w:adjustRightInd/>
    </w:pPr>
    <w:rPr>
      <w:szCs w:val="24"/>
    </w:rPr>
  </w:style>
  <w:style w:type="paragraph" w:customStyle="1" w:styleId="160">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1">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2">
    <w:name w:val="注×:后续"/>
    <w:basedOn w:val="161"/>
    <w:qFormat/>
    <w:uiPriority w:val="0"/>
    <w:pPr>
      <w:ind w:left="1406" w:leftChars="0" w:hanging="499" w:firstLineChars="0"/>
    </w:pPr>
  </w:style>
  <w:style w:type="paragraph" w:customStyle="1" w:styleId="163">
    <w:name w:val="标准文件_一级无标题"/>
    <w:basedOn w:val="106"/>
    <w:qFormat/>
    <w:uiPriority w:val="0"/>
    <w:pPr>
      <w:spacing w:before="0" w:beforeLines="0" w:after="0" w:afterLines="0"/>
      <w:outlineLvl w:val="9"/>
    </w:pPr>
    <w:rPr>
      <w:rFonts w:ascii="宋体" w:eastAsia="宋体"/>
    </w:rPr>
  </w:style>
  <w:style w:type="paragraph" w:customStyle="1" w:styleId="164">
    <w:name w:val="标准文件_五级无标题"/>
    <w:basedOn w:val="104"/>
    <w:qFormat/>
    <w:uiPriority w:val="0"/>
    <w:pPr>
      <w:spacing w:before="0" w:beforeLines="0" w:after="0" w:afterLines="0"/>
      <w:outlineLvl w:val="9"/>
    </w:pPr>
    <w:rPr>
      <w:rFonts w:ascii="宋体" w:eastAsia="宋体"/>
    </w:rPr>
  </w:style>
  <w:style w:type="paragraph" w:customStyle="1" w:styleId="165">
    <w:name w:val="标准文件_三级无标题"/>
    <w:basedOn w:val="95"/>
    <w:qFormat/>
    <w:uiPriority w:val="0"/>
    <w:pPr>
      <w:spacing w:before="0" w:beforeLines="0" w:after="0" w:afterLines="0"/>
      <w:outlineLvl w:val="9"/>
    </w:pPr>
    <w:rPr>
      <w:rFonts w:ascii="宋体" w:eastAsia="宋体"/>
    </w:rPr>
  </w:style>
  <w:style w:type="paragraph" w:customStyle="1" w:styleId="166">
    <w:name w:val="标准文件_二级无标题"/>
    <w:basedOn w:val="66"/>
    <w:qFormat/>
    <w:uiPriority w:val="0"/>
    <w:pPr>
      <w:spacing w:before="0" w:beforeLines="0" w:after="0" w:afterLines="0"/>
      <w:outlineLvl w:val="9"/>
    </w:pPr>
    <w:rPr>
      <w:rFonts w:ascii="宋体" w:eastAsia="宋体"/>
    </w:rPr>
  </w:style>
  <w:style w:type="paragraph" w:customStyle="1" w:styleId="167">
    <w:name w:val="标准_四级无标题"/>
    <w:basedOn w:val="99"/>
    <w:next w:val="57"/>
    <w:qFormat/>
    <w:uiPriority w:val="0"/>
    <w:rPr>
      <w:rFonts w:eastAsia="宋体"/>
    </w:rPr>
  </w:style>
  <w:style w:type="paragraph" w:customStyle="1" w:styleId="168">
    <w:name w:val="标准文件_四级无标题"/>
    <w:basedOn w:val="99"/>
    <w:qFormat/>
    <w:uiPriority w:val="0"/>
    <w:pPr>
      <w:spacing w:before="0" w:beforeLines="0" w:after="0" w:afterLines="0"/>
      <w:outlineLvl w:val="9"/>
    </w:pPr>
    <w:rPr>
      <w:rFonts w:ascii="宋体" w:hAnsi="黑体" w:eastAsia="宋体"/>
      <w:szCs w:val="52"/>
    </w:rPr>
  </w:style>
  <w:style w:type="paragraph" w:customStyle="1" w:styleId="169">
    <w:name w:val="标准文件_大写罗马数字编号列项"/>
    <w:basedOn w:val="57"/>
    <w:qFormat/>
    <w:uiPriority w:val="0"/>
    <w:pPr>
      <w:numPr>
        <w:ilvl w:val="0"/>
        <w:numId w:val="23"/>
      </w:numPr>
      <w:ind w:firstLine="0" w:firstLineChars="0"/>
    </w:pPr>
    <w:rPr>
      <w:rFonts w:ascii="Times New Roman" w:cs="Arial"/>
      <w:szCs w:val="28"/>
    </w:rPr>
  </w:style>
  <w:style w:type="paragraph" w:customStyle="1" w:styleId="170">
    <w:name w:val="标准文件_小写罗马数字编号列项"/>
    <w:basedOn w:val="57"/>
    <w:qFormat/>
    <w:uiPriority w:val="0"/>
    <w:pPr>
      <w:numPr>
        <w:ilvl w:val="0"/>
        <w:numId w:val="24"/>
      </w:numPr>
      <w:ind w:firstLine="0" w:firstLineChars="0"/>
    </w:pPr>
    <w:rPr>
      <w:rFonts w:cs="Arial"/>
      <w:szCs w:val="28"/>
    </w:rPr>
  </w:style>
  <w:style w:type="paragraph" w:customStyle="1" w:styleId="171">
    <w:name w:val="标准文件_附录标题"/>
    <w:basedOn w:val="77"/>
    <w:qFormat/>
    <w:uiPriority w:val="0"/>
    <w:pPr>
      <w:numPr>
        <w:numId w:val="0"/>
      </w:numPr>
      <w:spacing w:after="280"/>
      <w:outlineLvl w:val="9"/>
    </w:pPr>
  </w:style>
  <w:style w:type="paragraph" w:customStyle="1" w:styleId="172">
    <w:name w:val="标准文件_二级项"/>
    <w:qFormat/>
    <w:uiPriority w:val="0"/>
    <w:rPr>
      <w:rFonts w:ascii="宋体" w:hAnsi="Times New Roman" w:eastAsia="宋体" w:cs="Times New Roman"/>
      <w:sz w:val="21"/>
      <w:lang w:val="en-US" w:eastAsia="zh-CN" w:bidi="ar-SA"/>
    </w:rPr>
  </w:style>
  <w:style w:type="paragraph" w:customStyle="1" w:styleId="173">
    <w:name w:val="标准文件_三级项"/>
    <w:basedOn w:val="1"/>
    <w:qFormat/>
    <w:uiPriority w:val="0"/>
    <w:pPr>
      <w:numPr>
        <w:ilvl w:val="2"/>
        <w:numId w:val="21"/>
      </w:numPr>
      <w:spacing w:line="536870612" w:lineRule="auto"/>
    </w:pPr>
    <w:rPr>
      <w:rFonts w:ascii="Times New Roman" w:hAnsi="Times New Roman"/>
    </w:rPr>
  </w:style>
  <w:style w:type="paragraph" w:customStyle="1" w:styleId="174">
    <w:name w:val="图表脚注说明"/>
    <w:basedOn w:val="1"/>
    <w:next w:val="57"/>
    <w:qFormat/>
    <w:uiPriority w:val="0"/>
    <w:pPr>
      <w:numPr>
        <w:ilvl w:val="0"/>
        <w:numId w:val="25"/>
      </w:numPr>
      <w:adjustRightInd/>
      <w:spacing w:line="240" w:lineRule="auto"/>
    </w:pPr>
    <w:rPr>
      <w:rFonts w:ascii="宋体" w:hAnsi="Times New Roman"/>
      <w:sz w:val="18"/>
      <w:szCs w:val="18"/>
    </w:rPr>
  </w:style>
  <w:style w:type="paragraph" w:customStyle="1" w:styleId="175">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6">
    <w:name w:val="标准文件_索引字母"/>
    <w:next w:val="57"/>
    <w:qFormat/>
    <w:uiPriority w:val="0"/>
    <w:pPr>
      <w:jc w:val="center"/>
    </w:pPr>
    <w:rPr>
      <w:rFonts w:ascii="宋体" w:hAnsi="宋体" w:eastAsia="Times New Roman" w:cs="Times New Roman"/>
      <w:b/>
      <w:kern w:val="2"/>
      <w:sz w:val="21"/>
      <w:lang w:val="en-US" w:eastAsia="zh-CN" w:bidi="ar-SA"/>
    </w:rPr>
  </w:style>
  <w:style w:type="paragraph" w:customStyle="1" w:styleId="177">
    <w:name w:val="标准文件_附录前"/>
    <w:next w:val="57"/>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8">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9">
    <w:name w:val="标准文件_表格"/>
    <w:basedOn w:val="57"/>
    <w:qFormat/>
    <w:uiPriority w:val="0"/>
    <w:pPr>
      <w:ind w:firstLine="0" w:firstLineChars="0"/>
      <w:jc w:val="center"/>
    </w:pPr>
    <w:rPr>
      <w:sz w:val="18"/>
    </w:rPr>
  </w:style>
  <w:style w:type="paragraph" w:customStyle="1" w:styleId="180">
    <w:name w:val="标准文件_注："/>
    <w:next w:val="57"/>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示例："/>
    <w:next w:val="183"/>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3">
    <w:name w:val="标准文件_示例内容"/>
    <w:basedOn w:val="57"/>
    <w:qFormat/>
    <w:uiPriority w:val="0"/>
    <w:pPr>
      <w:ind w:firstLine="420"/>
    </w:pPr>
    <w:rPr>
      <w:sz w:val="18"/>
    </w:rPr>
  </w:style>
  <w:style w:type="paragraph" w:customStyle="1" w:styleId="184">
    <w:name w:val="标准文件_示例×："/>
    <w:basedOn w:val="1"/>
    <w:next w:val="183"/>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5">
    <w:name w:val="标准文件_段 Char"/>
    <w:link w:val="57"/>
    <w:qFormat/>
    <w:uiPriority w:val="0"/>
    <w:rPr>
      <w:rFonts w:ascii="宋体" w:hAnsi="Times New Roman"/>
      <w:sz w:val="21"/>
    </w:rPr>
  </w:style>
  <w:style w:type="paragraph" w:customStyle="1" w:styleId="186">
    <w:name w:val="标准文件_表格续"/>
    <w:basedOn w:val="57"/>
    <w:next w:val="57"/>
    <w:qFormat/>
    <w:uiPriority w:val="0"/>
    <w:pPr>
      <w:jc w:val="center"/>
    </w:pPr>
    <w:rPr>
      <w:rFonts w:ascii="黑体" w:hAnsi="黑体" w:eastAsia="黑体"/>
    </w:rPr>
  </w:style>
  <w:style w:type="character" w:styleId="187">
    <w:name w:val="Placeholder Text"/>
    <w:basedOn w:val="29"/>
    <w:semiHidden/>
    <w:qFormat/>
    <w:uiPriority w:val="99"/>
    <w:rPr>
      <w:color w:val="808080"/>
    </w:rPr>
  </w:style>
  <w:style w:type="paragraph" w:customStyle="1" w:styleId="188">
    <w:name w:val="标准文件_二级项2"/>
    <w:basedOn w:val="57"/>
    <w:qFormat/>
    <w:uiPriority w:val="0"/>
    <w:pPr>
      <w:numPr>
        <w:ilvl w:val="1"/>
        <w:numId w:val="21"/>
      </w:numPr>
      <w:ind w:firstLine="0" w:firstLineChars="0"/>
    </w:pPr>
  </w:style>
  <w:style w:type="paragraph" w:customStyle="1" w:styleId="189">
    <w:name w:val="标准文件_三级项2"/>
    <w:basedOn w:val="57"/>
    <w:qFormat/>
    <w:uiPriority w:val="0"/>
    <w:pPr>
      <w:numPr>
        <w:ilvl w:val="0"/>
        <w:numId w:val="30"/>
      </w:numPr>
      <w:spacing w:line="300" w:lineRule="exact"/>
      <w:ind w:firstLineChars="0"/>
    </w:pPr>
    <w:rPr>
      <w:rFonts w:ascii="Times New Roman"/>
    </w:rPr>
  </w:style>
  <w:style w:type="paragraph" w:customStyle="1" w:styleId="190">
    <w:name w:val="标准文件_一级项2"/>
    <w:basedOn w:val="57"/>
    <w:qFormat/>
    <w:uiPriority w:val="0"/>
    <w:pPr>
      <w:numPr>
        <w:ilvl w:val="0"/>
        <w:numId w:val="31"/>
      </w:numPr>
      <w:spacing w:line="300" w:lineRule="exact"/>
      <w:ind w:firstLineChars="0"/>
    </w:pPr>
    <w:rPr>
      <w:rFonts w:ascii="Times New Roman"/>
    </w:rPr>
  </w:style>
  <w:style w:type="paragraph" w:customStyle="1" w:styleId="191">
    <w:name w:val="标准文件_提示"/>
    <w:basedOn w:val="57"/>
    <w:next w:val="57"/>
    <w:qFormat/>
    <w:uiPriority w:val="0"/>
    <w:pPr>
      <w:ind w:firstLine="420"/>
    </w:pPr>
    <w:rPr>
      <w:rFonts w:ascii="黑体" w:eastAsia="黑体"/>
    </w:rPr>
  </w:style>
  <w:style w:type="character" w:customStyle="1" w:styleId="192">
    <w:name w:val="标准文件_来源"/>
    <w:basedOn w:val="29"/>
    <w:qFormat/>
    <w:uiPriority w:val="1"/>
    <w:rPr>
      <w:rFonts w:eastAsia="宋体"/>
      <w:sz w:val="21"/>
    </w:rPr>
  </w:style>
  <w:style w:type="paragraph" w:customStyle="1" w:styleId="193">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4">
    <w:name w:val="其他发布日期"/>
    <w:basedOn w:val="121"/>
    <w:qFormat/>
    <w:uiPriority w:val="0"/>
    <w:pPr>
      <w:framePr w:w="3997" w:h="471" w:hRule="exact" w:hSpace="0" w:vSpace="181" w:wrap="around" w:vAnchor="page" w:hAnchor="page" w:x="1419" w:y="14097"/>
    </w:pPr>
  </w:style>
  <w:style w:type="paragraph" w:customStyle="1" w:styleId="195">
    <w:name w:val="其他实施日期"/>
    <w:basedOn w:val="155"/>
    <w:qFormat/>
    <w:uiPriority w:val="0"/>
    <w:pPr>
      <w:framePr w:w="3997" w:h="471" w:hRule="exact" w:vSpace="181" w:wrap="around" w:vAnchor="page" w:hAnchor="page" w:x="7089" w:y="14097"/>
    </w:pPr>
  </w:style>
  <w:style w:type="paragraph" w:customStyle="1" w:styleId="196">
    <w:name w:val="标准文件_文件编号"/>
    <w:basedOn w:val="57"/>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7">
    <w:name w:val="标准文件_替换文件编号"/>
    <w:basedOn w:val="196"/>
    <w:qFormat/>
    <w:uiPriority w:val="0"/>
    <w:pPr>
      <w:spacing w:before="57"/>
    </w:pPr>
    <w:rPr>
      <w:sz w:val="21"/>
    </w:rPr>
  </w:style>
  <w:style w:type="paragraph" w:customStyle="1" w:styleId="198">
    <w:name w:val="标准文件_文件名称"/>
    <w:basedOn w:val="57"/>
    <w:next w:val="57"/>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9">
    <w:name w:val="标准文件_附录图标号"/>
    <w:basedOn w:val="57"/>
    <w:next w:val="57"/>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0">
    <w:name w:val="标准文件_附录表标号"/>
    <w:basedOn w:val="57"/>
    <w:next w:val="57"/>
    <w:qFormat/>
    <w:uiPriority w:val="0"/>
    <w:pPr>
      <w:numPr>
        <w:ilvl w:val="0"/>
        <w:numId w:val="5"/>
      </w:numPr>
      <w:spacing w:line="14" w:lineRule="exact"/>
      <w:ind w:firstLine="0" w:firstLineChars="0"/>
      <w:jc w:val="center"/>
    </w:pPr>
    <w:rPr>
      <w:rFonts w:eastAsia="黑体"/>
      <w:vanish/>
      <w:sz w:val="2"/>
    </w:rPr>
  </w:style>
  <w:style w:type="paragraph" w:customStyle="1" w:styleId="201">
    <w:name w:val="标准文件_引言一级条标题"/>
    <w:basedOn w:val="57"/>
    <w:next w:val="57"/>
    <w:qFormat/>
    <w:uiPriority w:val="0"/>
    <w:pPr>
      <w:numPr>
        <w:ilvl w:val="1"/>
        <w:numId w:val="8"/>
      </w:numPr>
      <w:spacing w:before="50" w:beforeLines="50" w:after="50" w:afterLines="50"/>
      <w:ind w:firstLineChars="0"/>
    </w:pPr>
    <w:rPr>
      <w:rFonts w:ascii="黑体" w:eastAsia="黑体"/>
    </w:rPr>
  </w:style>
  <w:style w:type="paragraph" w:customStyle="1" w:styleId="202">
    <w:name w:val="标准文件_引言二级条标题"/>
    <w:basedOn w:val="57"/>
    <w:next w:val="57"/>
    <w:qFormat/>
    <w:uiPriority w:val="0"/>
    <w:pPr>
      <w:numPr>
        <w:ilvl w:val="2"/>
        <w:numId w:val="8"/>
      </w:numPr>
      <w:spacing w:before="50" w:beforeLines="50" w:after="50" w:afterLines="50"/>
      <w:ind w:firstLineChars="0"/>
    </w:pPr>
    <w:rPr>
      <w:rFonts w:ascii="黑体" w:eastAsia="黑体"/>
    </w:rPr>
  </w:style>
  <w:style w:type="paragraph" w:customStyle="1" w:styleId="203">
    <w:name w:val="标准文件_引言三级条标题"/>
    <w:basedOn w:val="57"/>
    <w:next w:val="57"/>
    <w:qFormat/>
    <w:uiPriority w:val="0"/>
    <w:pPr>
      <w:numPr>
        <w:ilvl w:val="3"/>
        <w:numId w:val="8"/>
      </w:numPr>
      <w:spacing w:before="50" w:beforeLines="50" w:after="50" w:afterLines="50"/>
      <w:ind w:firstLineChars="0"/>
    </w:pPr>
    <w:rPr>
      <w:rFonts w:ascii="黑体" w:eastAsia="黑体"/>
    </w:rPr>
  </w:style>
  <w:style w:type="paragraph" w:customStyle="1" w:styleId="204">
    <w:name w:val="标准文件_引言四级条标题"/>
    <w:basedOn w:val="57"/>
    <w:next w:val="57"/>
    <w:qFormat/>
    <w:uiPriority w:val="0"/>
    <w:pPr>
      <w:numPr>
        <w:ilvl w:val="4"/>
        <w:numId w:val="8"/>
      </w:numPr>
      <w:spacing w:before="50" w:beforeLines="50" w:after="50" w:afterLines="50"/>
      <w:ind w:firstLineChars="0"/>
    </w:pPr>
    <w:rPr>
      <w:rFonts w:ascii="黑体" w:eastAsia="黑体"/>
    </w:rPr>
  </w:style>
  <w:style w:type="paragraph" w:customStyle="1" w:styleId="205">
    <w:name w:val="标准文件_引言五级条标题"/>
    <w:basedOn w:val="57"/>
    <w:next w:val="57"/>
    <w:qFormat/>
    <w:uiPriority w:val="0"/>
    <w:pPr>
      <w:numPr>
        <w:ilvl w:val="5"/>
        <w:numId w:val="8"/>
      </w:numPr>
      <w:spacing w:before="50" w:beforeLines="50" w:after="50" w:afterLines="50"/>
      <w:ind w:firstLineChars="0"/>
    </w:pPr>
    <w:rPr>
      <w:rFonts w:ascii="黑体" w:eastAsia="黑体"/>
    </w:rPr>
  </w:style>
  <w:style w:type="paragraph" w:customStyle="1" w:styleId="206">
    <w:name w:val="标准文件_注后"/>
    <w:basedOn w:val="57"/>
    <w:qFormat/>
    <w:uiPriority w:val="0"/>
    <w:pPr>
      <w:ind w:left="811" w:firstLine="0" w:firstLineChars="0"/>
    </w:pPr>
    <w:rPr>
      <w:sz w:val="18"/>
    </w:rPr>
  </w:style>
  <w:style w:type="paragraph" w:customStyle="1" w:styleId="207">
    <w:name w:val="标准文件_注X后"/>
    <w:basedOn w:val="57"/>
    <w:qFormat/>
    <w:uiPriority w:val="0"/>
    <w:pPr>
      <w:ind w:left="811" w:firstLine="0" w:firstLineChars="0"/>
    </w:pPr>
    <w:rPr>
      <w:sz w:val="18"/>
    </w:rPr>
  </w:style>
  <w:style w:type="paragraph" w:customStyle="1" w:styleId="208">
    <w:name w:val="标准文件_示例后"/>
    <w:basedOn w:val="57"/>
    <w:qFormat/>
    <w:uiPriority w:val="0"/>
    <w:pPr>
      <w:ind w:left="964" w:firstLine="0" w:firstLineChars="0"/>
    </w:pPr>
    <w:rPr>
      <w:sz w:val="18"/>
    </w:rPr>
  </w:style>
  <w:style w:type="paragraph" w:customStyle="1" w:styleId="209">
    <w:name w:val="标准文件_示例X后"/>
    <w:basedOn w:val="57"/>
    <w:link w:val="210"/>
    <w:qFormat/>
    <w:uiPriority w:val="0"/>
    <w:pPr>
      <w:ind w:left="1049" w:firstLine="0" w:firstLineChars="0"/>
    </w:pPr>
    <w:rPr>
      <w:sz w:val="18"/>
    </w:rPr>
  </w:style>
  <w:style w:type="character" w:customStyle="1" w:styleId="210">
    <w:name w:val="标准文件_示例X后 字符"/>
    <w:basedOn w:val="185"/>
    <w:link w:val="209"/>
    <w:qFormat/>
    <w:uiPriority w:val="0"/>
    <w:rPr>
      <w:rFonts w:ascii="宋体" w:hAnsi="Times New Roman"/>
      <w:sz w:val="18"/>
    </w:rPr>
  </w:style>
  <w:style w:type="paragraph" w:customStyle="1" w:styleId="211">
    <w:name w:val="标准文件_索引项"/>
    <w:basedOn w:val="57"/>
    <w:next w:val="57"/>
    <w:qFormat/>
    <w:uiPriority w:val="0"/>
    <w:pPr>
      <w:tabs>
        <w:tab w:val="right" w:leader="dot" w:pos="9356"/>
      </w:tabs>
      <w:ind w:left="210" w:hanging="210" w:firstLineChars="0"/>
      <w:jc w:val="left"/>
    </w:pPr>
  </w:style>
  <w:style w:type="paragraph" w:customStyle="1" w:styleId="212">
    <w:name w:val="标准文件_附录一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二级无标题"/>
    <w:basedOn w:val="80"/>
    <w:qFormat/>
    <w:uiPriority w:val="0"/>
    <w:pPr>
      <w:spacing w:before="0" w:beforeLines="0" w:after="0" w:afterLines="0" w:line="276" w:lineRule="auto"/>
      <w:outlineLvl w:val="9"/>
    </w:pPr>
    <w:rPr>
      <w:rFonts w:ascii="宋体" w:eastAsia="宋体"/>
    </w:rPr>
  </w:style>
  <w:style w:type="paragraph" w:customStyle="1" w:styleId="214">
    <w:name w:val="标准文件_附录三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四级无标题"/>
    <w:basedOn w:val="83"/>
    <w:qFormat/>
    <w:uiPriority w:val="0"/>
    <w:pPr>
      <w:spacing w:before="0" w:beforeLines="0" w:after="0" w:afterLines="0" w:line="276" w:lineRule="auto"/>
      <w:outlineLvl w:val="9"/>
    </w:pPr>
    <w:rPr>
      <w:rFonts w:ascii="宋体" w:eastAsia="宋体"/>
    </w:rPr>
  </w:style>
  <w:style w:type="paragraph" w:customStyle="1" w:styleId="216">
    <w:name w:val="标准文件_附录五级无标题"/>
    <w:basedOn w:val="85"/>
    <w:qFormat/>
    <w:uiPriority w:val="0"/>
    <w:pPr>
      <w:spacing w:before="0" w:beforeLines="0" w:after="0" w:afterLines="0" w:line="276" w:lineRule="auto"/>
      <w:outlineLvl w:val="9"/>
    </w:pPr>
    <w:rPr>
      <w:rFonts w:ascii="宋体" w:eastAsia="宋体"/>
    </w:rPr>
  </w:style>
  <w:style w:type="paragraph" w:customStyle="1" w:styleId="217">
    <w:name w:val="标准文件_引言一级无标题"/>
    <w:basedOn w:val="201"/>
    <w:next w:val="57"/>
    <w:qFormat/>
    <w:uiPriority w:val="0"/>
    <w:pPr>
      <w:spacing w:before="0" w:beforeLines="0" w:after="0" w:afterLines="0" w:line="276" w:lineRule="auto"/>
    </w:pPr>
    <w:rPr>
      <w:rFonts w:ascii="宋体" w:eastAsia="宋体"/>
    </w:rPr>
  </w:style>
  <w:style w:type="paragraph" w:customStyle="1" w:styleId="218">
    <w:name w:val="标准文件_引言二级无标题"/>
    <w:basedOn w:val="202"/>
    <w:next w:val="57"/>
    <w:qFormat/>
    <w:uiPriority w:val="0"/>
    <w:pPr>
      <w:spacing w:before="0" w:beforeLines="0" w:after="0" w:afterLines="0" w:line="276" w:lineRule="auto"/>
    </w:pPr>
    <w:rPr>
      <w:rFonts w:ascii="宋体" w:eastAsia="宋体"/>
    </w:rPr>
  </w:style>
  <w:style w:type="paragraph" w:customStyle="1" w:styleId="219">
    <w:name w:val="标准文件_引言三级无标题"/>
    <w:basedOn w:val="203"/>
    <w:qFormat/>
    <w:uiPriority w:val="0"/>
    <w:pPr>
      <w:spacing w:before="0" w:beforeLines="0" w:after="0" w:afterLines="0" w:line="276" w:lineRule="auto"/>
    </w:pPr>
    <w:rPr>
      <w:rFonts w:ascii="宋体" w:eastAsia="宋体"/>
    </w:rPr>
  </w:style>
  <w:style w:type="paragraph" w:customStyle="1" w:styleId="220">
    <w:name w:val="标准文件_引言四级无标题"/>
    <w:basedOn w:val="204"/>
    <w:next w:val="57"/>
    <w:qFormat/>
    <w:uiPriority w:val="0"/>
    <w:pPr>
      <w:spacing w:before="0" w:beforeLines="0" w:after="0" w:afterLines="0" w:line="276" w:lineRule="auto"/>
    </w:pPr>
    <w:rPr>
      <w:rFonts w:ascii="宋体" w:eastAsia="宋体"/>
    </w:rPr>
  </w:style>
  <w:style w:type="paragraph" w:customStyle="1" w:styleId="221">
    <w:name w:val="标准文件_引言五级无标题"/>
    <w:basedOn w:val="205"/>
    <w:next w:val="57"/>
    <w:qFormat/>
    <w:uiPriority w:val="0"/>
    <w:pPr>
      <w:spacing w:before="0" w:beforeLines="0" w:after="0" w:afterLines="0" w:line="276" w:lineRule="auto"/>
    </w:pPr>
    <w:rPr>
      <w:rFonts w:ascii="宋体" w:eastAsia="宋体"/>
    </w:rPr>
  </w:style>
  <w:style w:type="paragraph" w:customStyle="1" w:styleId="222">
    <w:name w:val="标准文件_索引标题"/>
    <w:basedOn w:val="64"/>
    <w:next w:val="57"/>
    <w:qFormat/>
    <w:uiPriority w:val="0"/>
    <w:rPr>
      <w:rFonts w:hAnsi="黑体"/>
    </w:rPr>
  </w:style>
  <w:style w:type="paragraph" w:customStyle="1" w:styleId="223">
    <w:name w:val="标准文件_脚注内容"/>
    <w:basedOn w:val="57"/>
    <w:qFormat/>
    <w:uiPriority w:val="0"/>
    <w:pPr>
      <w:ind w:left="400" w:leftChars="200" w:hanging="200" w:hangingChars="200"/>
    </w:pPr>
    <w:rPr>
      <w:sz w:val="15"/>
    </w:rPr>
  </w:style>
  <w:style w:type="paragraph" w:customStyle="1" w:styleId="224">
    <w:name w:val="标准文件_术语条一"/>
    <w:basedOn w:val="163"/>
    <w:next w:val="57"/>
    <w:qFormat/>
    <w:uiPriority w:val="0"/>
  </w:style>
  <w:style w:type="paragraph" w:customStyle="1" w:styleId="225">
    <w:name w:val="标准文件_术语条二"/>
    <w:basedOn w:val="166"/>
    <w:next w:val="57"/>
    <w:qFormat/>
    <w:uiPriority w:val="0"/>
  </w:style>
  <w:style w:type="paragraph" w:customStyle="1" w:styleId="226">
    <w:name w:val="标准文件_术语条三"/>
    <w:basedOn w:val="165"/>
    <w:next w:val="57"/>
    <w:qFormat/>
    <w:uiPriority w:val="0"/>
  </w:style>
  <w:style w:type="paragraph" w:customStyle="1" w:styleId="227">
    <w:name w:val="标准文件_术语条四"/>
    <w:basedOn w:val="168"/>
    <w:next w:val="57"/>
    <w:qFormat/>
    <w:uiPriority w:val="0"/>
  </w:style>
  <w:style w:type="paragraph" w:customStyle="1" w:styleId="228">
    <w:name w:val="标准文件_术语条五"/>
    <w:basedOn w:val="164"/>
    <w:next w:val="57"/>
    <w:qFormat/>
    <w:uiPriority w:val="0"/>
  </w:style>
  <w:style w:type="paragraph" w:customStyle="1" w:styleId="22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0">
    <w:name w:val="发布"/>
    <w:basedOn w:val="29"/>
    <w:qFormat/>
    <w:uiPriority w:val="0"/>
    <w:rPr>
      <w:rFonts w:ascii="黑体" w:eastAsia="黑体"/>
      <w:spacing w:val="85"/>
      <w:w w:val="100"/>
      <w:position w:val="3"/>
      <w:sz w:val="28"/>
      <w:szCs w:val="28"/>
    </w:rPr>
  </w:style>
  <w:style w:type="paragraph" w:customStyle="1" w:styleId="231">
    <w:name w:val="字母编号列项（一级）"/>
    <w:autoRedefine/>
    <w:qFormat/>
    <w:uiPriority w:val="0"/>
    <w:pPr>
      <w:numPr>
        <w:ilvl w:val="0"/>
        <w:numId w:val="32"/>
      </w:numPr>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3C8CB55DBF845FA8AFFD63CFC781BD7"/>
        <w:style w:val=""/>
        <w:category>
          <w:name w:val="常规"/>
          <w:gallery w:val="placeholder"/>
        </w:category>
        <w:types>
          <w:type w:val="bbPlcHdr"/>
        </w:types>
        <w:behaviors>
          <w:behavior w:val="content"/>
        </w:behaviors>
        <w:description w:val=""/>
        <w:guid w:val="{A3855230-B9EF-4E9F-A3C0-D11C521487FA}"/>
      </w:docPartPr>
      <w:docPartBody>
        <w:p w14:paraId="28211AC4">
          <w:pPr>
            <w:pStyle w:val="5"/>
            <w:rPr>
              <w:rFonts w:hint="eastAsia"/>
            </w:rPr>
          </w:pPr>
          <w:r>
            <w:rPr>
              <w:rStyle w:val="4"/>
              <w:rFonts w:hint="eastAsia"/>
            </w:rPr>
            <w:t>单击或点击此处输入文字。</w:t>
          </w:r>
        </w:p>
      </w:docPartBody>
    </w:docPart>
    <w:docPart>
      <w:docPartPr>
        <w:name w:val="58FFF0E641A14FB8B6AB8807BBD9CCF5"/>
        <w:style w:val=""/>
        <w:category>
          <w:name w:val="常规"/>
          <w:gallery w:val="placeholder"/>
        </w:category>
        <w:types>
          <w:type w:val="bbPlcHdr"/>
        </w:types>
        <w:behaviors>
          <w:behavior w:val="content"/>
        </w:behaviors>
        <w:description w:val=""/>
        <w:guid w:val="{BD0AB172-775F-4232-9B8B-11FF9A72A9C8}"/>
      </w:docPartPr>
      <w:docPartBody>
        <w:p w14:paraId="1976F758">
          <w:pPr>
            <w:pStyle w:val="6"/>
            <w:rPr>
              <w:rFonts w:hint="eastAsia"/>
            </w:rPr>
          </w:pPr>
          <w:r>
            <w:rPr>
              <w:rStyle w:val="4"/>
              <w:rFonts w:hint="eastAsia"/>
            </w:rPr>
            <w:t>选择一项。</w:t>
          </w:r>
        </w:p>
      </w:docPartBody>
    </w:docPart>
    <w:docPart>
      <w:docPartPr>
        <w:name w:val="2716EB5EB1E6458B845BBB0B42BCE25E"/>
        <w:style w:val=""/>
        <w:category>
          <w:name w:val="常规"/>
          <w:gallery w:val="placeholder"/>
        </w:category>
        <w:types>
          <w:type w:val="bbPlcHdr"/>
        </w:types>
        <w:behaviors>
          <w:behavior w:val="content"/>
        </w:behaviors>
        <w:description w:val=""/>
        <w:guid w:val="{95C3C7B3-6DF4-4251-BD1A-66E90ADB5D22}"/>
      </w:docPartPr>
      <w:docPartBody>
        <w:p w14:paraId="450ABE2B">
          <w:pPr>
            <w:pStyle w:val="7"/>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73E"/>
    <w:rsid w:val="00663F70"/>
    <w:rsid w:val="006C73C1"/>
    <w:rsid w:val="009649FE"/>
    <w:rsid w:val="00BA3265"/>
    <w:rsid w:val="00CD6761"/>
    <w:rsid w:val="00D2018B"/>
    <w:rsid w:val="00F07191"/>
    <w:rsid w:val="00F36123"/>
    <w:rsid w:val="00F727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73C8CB55DBF845FA8AFFD63CFC781BD7"/>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6">
    <w:name w:val="58FFF0E641A14FB8B6AB8807BBD9CCF5"/>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7">
    <w:name w:val="2716EB5EB1E6458B845BBB0B42BCE25E"/>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11</Pages>
  <Words>5655</Words>
  <Characters>6384</Characters>
  <Lines>33</Lines>
  <Paragraphs>9</Paragraphs>
  <TotalTime>2</TotalTime>
  <ScaleCrop>false</ScaleCrop>
  <LinksUpToDate>false</LinksUpToDate>
  <CharactersWithSpaces>6544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2024-10-11T00:45:00Z</dcterms:created>
  <dc:creator>周yx</dc:creator>
  <dc:description>&lt;config cover="true" show_menu="true" version="1.0.0" doctype="SDKXY"&gt;_x000d_
&lt;/config&gt;</dc:description>
  <cp:lastModifiedBy>枫中一叶</cp:lastModifiedBy>
  <cp:lastPrinted>2020-08-30T10:00:00Z</cp:lastPrinted>
  <dcterms:modified xsi:type="dcterms:W3CDTF">2025-03-23T12:38:20Z</dcterms:modified>
  <dc:title>地方标准</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2052-12.1.0.20305</vt:lpwstr>
  </property>
  <property fmtid="{D5CDD505-2E9C-101B-9397-08002B2CF9AE}" pid="15" name="ICV">
    <vt:lpwstr>715E53819A5E4F01B60DE73B31C7B0A5_13</vt:lpwstr>
  </property>
  <property fmtid="{D5CDD505-2E9C-101B-9397-08002B2CF9AE}" pid="16" name="KSOTemplateDocerSaveRecord">
    <vt:lpwstr>eyJoZGlkIjoiNGExYTBkYTExOGI1M2Y4ZjQ1NzUzMDg4ZDg1ZDI1YTIiLCJ1c2VySWQiOiIxOTYxNTA3NzYifQ==</vt:lpwstr>
  </property>
</Properties>
</file>