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4F1E3">
      <w:pPr>
        <w:rPr>
          <w:rFonts w:ascii="黑体" w:hAnsi="黑体" w:eastAsia="黑体" w:cs="Times New Roman"/>
        </w:rPr>
      </w:pPr>
      <w:r>
        <w:rPr>
          <w:rFonts w:ascii="黑体" w:hAnsi="黑体" w:eastAsia="黑体" w:cs="Times New Roman"/>
        </w:rPr>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PqLS+gyvo5ZIvxcSul03eLOD8kSqEPrVoh+LDjXgL85aWquC+58HgYqz5rMlZ5aT&#10;2SzuYbrMPiymdMHrzO46I6wkqIIHzvrjfeh39+BQ72vqdJ7FHbm51UlopNqzGmZAq5P0D2sed/P6&#10;nqr+/Nrr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HISQefYAAAACwEAAA8AAAAAAAAAAQAgAAAA&#10;IgAAAGRycy9kb3ducmV2LnhtbFBLAQIUABQAAAAIAIdO4kBejHDSCwIAACIEAAAOAAAAAAAAAAEA&#10;IAAAACcBAABkcnMvZTJvRG9jLnhtbFBLBQYAAAAABgAGAFkBAACkBQAAAAA=&#10;">
            <v:path/>
            <v:fill on="f" focussize="0,0"/>
            <v:stroke on="f" joinstyle="miter"/>
            <v:imagedata o:title=""/>
            <o:lock v:ext="edit"/>
            <v:textbox style="mso-fit-shape-to-text:t;">
              <w:txbxContent>
                <w:p w14:paraId="59D2A0F8">
                  <w:pPr>
                    <w:pStyle w:val="30"/>
                    <w:shd w:val="clear" w:color="auto" w:fill="auto"/>
                    <w:wordWrap w:val="0"/>
                    <w:ind w:right="471" w:firstLine="626" w:firstLineChars="50"/>
                    <w:jc w:val="both"/>
                    <w:rPr>
                      <w:rFonts w:eastAsia="方正小标宋_GBK"/>
                      <w:sz w:val="84"/>
                      <w:szCs w:val="84"/>
                    </w:rPr>
                  </w:pPr>
                  <w:r>
                    <w:rPr>
                      <w:rFonts w:eastAsia="方正小标宋_GBK"/>
                      <w:szCs w:val="84"/>
                    </w:rPr>
                    <w:t>DB3205</w:t>
                  </w:r>
                </w:p>
              </w:txbxContent>
            </v:textbox>
          </v:shape>
        </w:pict>
      </w:r>
      <w:r>
        <w:rPr>
          <w:rFonts w:ascii="黑体" w:hAnsi="黑体" w:eastAsia="黑体" w:cs="Times New Roman"/>
        </w:rPr>
        <w:t xml:space="preserve">ICS </w:t>
      </w:r>
      <w:r>
        <w:rPr>
          <w:rFonts w:hint="eastAsia" w:ascii="黑体" w:hAnsi="黑体" w:eastAsia="黑体" w:cs="Times New Roman"/>
        </w:rPr>
        <w:t>XX</w:t>
      </w:r>
      <w:r>
        <w:rPr>
          <w:rFonts w:ascii="黑体" w:hAnsi="黑体" w:eastAsia="黑体" w:cs="Times New Roman"/>
        </w:rPr>
        <w:t>.</w:t>
      </w:r>
      <w:r>
        <w:rPr>
          <w:rFonts w:hint="eastAsia" w:ascii="黑体" w:hAnsi="黑体" w:eastAsia="黑体" w:cs="Times New Roman"/>
        </w:rPr>
        <w:t>XXX</w:t>
      </w:r>
      <w:r>
        <w:rPr>
          <w:rFonts w:ascii="黑体" w:hAnsi="黑体" w:eastAsia="黑体" w:cs="Times New Roman"/>
        </w:rPr>
        <w:t>.</w:t>
      </w:r>
      <w:r>
        <w:rPr>
          <w:rFonts w:hint="eastAsia" w:ascii="黑体" w:hAnsi="黑体" w:eastAsia="黑体" w:cs="Times New Roman"/>
        </w:rPr>
        <w:t>XX</w:t>
      </w:r>
    </w:p>
    <w:p w14:paraId="51066D2E">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rPr>
        <w:t>X</w:t>
      </w:r>
      <w:r>
        <w:rPr>
          <w:rFonts w:ascii="黑体" w:hAnsi="黑体" w:eastAsia="黑体" w:cs="Times New Roman"/>
        </w:rPr>
        <w:t xml:space="preserve"> </w:t>
      </w:r>
      <w:r>
        <w:rPr>
          <w:rFonts w:hint="eastAsia" w:ascii="黑体" w:hAnsi="黑体" w:eastAsia="黑体" w:cs="Times New Roman"/>
        </w:rPr>
        <w:t>XX</w:t>
      </w:r>
      <w:r>
        <w:rPr>
          <w:rFonts w:ascii="黑体" w:hAnsi="黑体" w:eastAsia="黑体" w:cs="Times New Roman"/>
        </w:rPr>
        <w:t xml:space="preserve"> </w:t>
      </w:r>
    </w:p>
    <w:p w14:paraId="198C22E3">
      <w:pPr>
        <w:rPr>
          <w:rFonts w:ascii="黑体" w:hAnsi="黑体" w:eastAsia="黑体"/>
        </w:rPr>
      </w:pPr>
    </w:p>
    <w:p w14:paraId="46DBCD17">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w:pict>
          <v:shape id="Text Box 18" o:spid="_x0000_s1031" o:spt="202" type="#_x0000_t202" style="position:absolute;left:0pt;margin-left:77.25pt;margin-top:93pt;height:48.5pt;width:481.9pt;mso-position-horizontal-relative:page;mso-position-vertical-relative:page;z-index:251662336;mso-width-relative:page;mso-height-relative:page;" filled="f" stroked="t" coordsize="21600,21600" o:gfxdata="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hwxx8NkAAAAMAQAADwAAAAAAAAAB&#10;ACAAAAAiAAAAZHJzL2Rvd25yZXYueG1sUEsBAhQAFAAAAAgAh07iQJeOXbVIAgAAnwQAAA4AAAAA&#10;AAAAAQAgAAAAKAEAAGRycy9lMm9Eb2MueG1sUEsFBgAAAAAGAAYAWQEAAOIFAAAAAA==&#10;">
            <v:path/>
            <v:fill on="f" focussize="0,0"/>
            <v:stroke weight="0pt" color="#FFFFFF" joinstyle="miter"/>
            <v:imagedata o:title=""/>
            <o:lock v:ext="edit"/>
            <v:textbox>
              <w:txbxContent>
                <w:p w14:paraId="05FBBFB8">
                  <w:pPr>
                    <w:jc w:val="distribute"/>
                  </w:pPr>
                  <w:r>
                    <w:rPr>
                      <w:rFonts w:hint="eastAsia" w:ascii="方正小标宋_GBK" w:hAnsi="宋体" w:eastAsia="方正小标宋_GBK" w:cs="SimSun,Bold"/>
                      <w:bCs/>
                      <w:snapToGrid w:val="0"/>
                      <w:kern w:val="0"/>
                      <w:sz w:val="52"/>
                      <w:szCs w:val="52"/>
                    </w:rPr>
                    <w:t>苏州市地方标准</w:t>
                  </w:r>
                </w:p>
              </w:txbxContent>
            </v:textbox>
          </v:shape>
        </w:pict>
      </w:r>
    </w:p>
    <w:p w14:paraId="701CCC3B">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14:paraId="5E9CB212">
      <w:pPr>
        <w:autoSpaceDE w:val="0"/>
        <w:autoSpaceDN w:val="0"/>
        <w:adjustRightInd w:val="0"/>
        <w:spacing w:line="3686" w:lineRule="exact"/>
        <w:jc w:val="center"/>
        <w:rPr>
          <w:rFonts w:ascii="黑体" w:hAnsi="黑体" w:eastAsia="黑体"/>
        </w:rPr>
      </w:pPr>
      <w:r>
        <w:rPr>
          <w:rFonts w:ascii="黑体" w:hAnsi="黑体" w:eastAsia="黑体"/>
        </w:rPr>
        <w:pict>
          <v:shape id="Text Box 19" o:spid="_x0000_s1030" o:spt="202" type="#_x0000_t202" style="position:absolute;left:0pt;margin-left:417.9pt;margin-top:176.25pt;height:24pt;width:151.75pt;mso-position-horizontal-relative:page;mso-position-vertical-relative:page;z-index:251663360;mso-width-relative:page;mso-height-relative:page;" filled="f" stroked="t" coordsize="21600,21600" o:gfxdata="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zGnIKNoAAAAMAQAADwAAAAAA&#10;AAABACAAAAAiAAAAZHJzL2Rvd25yZXYueG1sUEsBAhQAFAAAAAgAh07iQC9TN6JKAgAAnwQAAA4A&#10;AAAAAAAAAQAgAAAAKQEAAGRycy9lMm9Eb2MueG1sUEsFBgAAAAAGAAYAWQEAAOUFAAAAAA==&#10;">
            <v:path/>
            <v:fill on="f" focussize="0,0"/>
            <v:stroke weight="0pt" color="#FFFFFF" joinstyle="miter"/>
            <v:imagedata o:title=""/>
            <o:lock v:ext="edit"/>
            <v:textbox>
              <w:txbxContent>
                <w:p w14:paraId="6188708D">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w:r>
      <w:r>
        <w:rPr>
          <w:rFonts w:ascii="黑体" w:hAnsi="黑体" w:eastAsia="黑体"/>
        </w:rPr>
        <w:pict>
          <v:shape id="AutoShape 13" o:spid="_x0000_s1029" o:spt="32" type="#_x0000_t32" style="position:absolute;left:0pt;margin-left:70.9pt;margin-top:213.3pt;height:0pt;width:481.5pt;mso-position-horizontal-relative:page;mso-position-vertical-relative:page;z-index:251660288;mso-width-relative:page;mso-height-relative:page;" filled="f" coordsize="21600,21600" o:gfxdata="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8AIhdUAAAAMAQAADwAAAAAAAAAB&#10;ACAAAAAiAAAAZHJzL2Rvd25yZXYueG1sUEsBAhQAFAAAAAgAh07iQMLyNBbaAQAAwgMAAA4AAAAA&#10;AAAAAQAgAAAAJAEAAGRycy9lMm9Eb2MueG1sUEsFBgAAAAAGAAYAWQEAAHAFAAAAAA==&#10;">
            <v:path arrowok="t"/>
            <v:fill on="f" focussize="0,0"/>
            <v:stroke weight="1pt"/>
            <v:imagedata o:title=""/>
            <o:lock v:ext="edit"/>
          </v:shape>
        </w:pict>
      </w:r>
      <w:r>
        <w:rPr>
          <w:rFonts w:ascii="黑体" w:hAnsi="黑体" w:eastAsia="黑体"/>
        </w:rPr>
        <w:pict>
          <v:shape id="Text Box 17" o:spid="_x0000_s1028" o:spt="202" type="#_x0000_t202" style="position:absolute;left:0pt;margin-left:77.25pt;margin-top:326.05pt;height:255.75pt;width:466.5pt;mso-position-horizontal-relative:page;mso-position-vertical-relative:page;z-index:251661312;mso-width-relative:page;mso-height-relative:page;" filled="f" stroked="t" coordsize="21600,21600" o:gfxdata="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insJBNoAAAANAQAADwAAAAAA&#10;AAABACAAAAAiAAAAZHJzL2Rvd25yZXYueG1sUEsBAhQAFAAAAAgAh07iQEzw9s9KAgAAoAQAAA4A&#10;AAAAAAAAAQAgAAAAKQEAAGRycy9lMm9Eb2MueG1sUEsFBgAAAAAGAAYAWQEAAOUFAAAAAA==&#10;">
            <v:path/>
            <v:fill on="f" focussize="0,0"/>
            <v:stroke weight="0pt" color="#FFFFFF" joinstyle="miter"/>
            <v:imagedata o:title=""/>
            <o:lock v:ext="edit"/>
            <v:textbox>
              <w:txbxContent>
                <w:p w14:paraId="128083F1">
                  <w:pPr>
                    <w:jc w:val="center"/>
                    <w:rPr>
                      <w:rFonts w:ascii="黑体" w:hAnsi="宋体" w:eastAsia="黑体"/>
                      <w:sz w:val="52"/>
                      <w:szCs w:val="52"/>
                    </w:rPr>
                  </w:pPr>
                  <w:r>
                    <w:rPr>
                      <w:rFonts w:hint="eastAsia" w:ascii="黑体" w:hAnsi="宋体" w:eastAsia="黑体"/>
                      <w:sz w:val="52"/>
                      <w:szCs w:val="52"/>
                    </w:rPr>
                    <w:t>知识产权鉴定委托和服务规范</w:t>
                  </w:r>
                </w:p>
                <w:p w14:paraId="461C71C1">
                  <w:pPr>
                    <w:jc w:val="center"/>
                    <w:rPr>
                      <w:rStyle w:val="45"/>
                      <w:rFonts w:ascii="黑体" w:hAnsi="黑体" w:eastAsia="黑体"/>
                      <w:kern w:val="0"/>
                      <w:sz w:val="28"/>
                      <w:szCs w:val="21"/>
                    </w:rPr>
                  </w:pPr>
                  <w:r>
                    <w:rPr>
                      <w:rFonts w:hint="eastAsia" w:ascii="黑体" w:hAnsi="黑体" w:eastAsia="黑体"/>
                      <w:kern w:val="0"/>
                      <w:sz w:val="28"/>
                      <w:szCs w:val="21"/>
                    </w:rPr>
                    <w:t>Intellectual property appraisal commissioned service specifications</w:t>
                  </w:r>
                </w:p>
                <w:p w14:paraId="0275CDF1">
                  <w:pPr>
                    <w:jc w:val="center"/>
                    <w:rPr>
                      <w:rFonts w:hint="eastAsia" w:asciiTheme="minorEastAsia" w:hAnsiTheme="minorEastAsia"/>
                      <w:sz w:val="24"/>
                    </w:rPr>
                  </w:pPr>
                </w:p>
                <w:p w14:paraId="19E0089F">
                  <w:pPr>
                    <w:jc w:val="center"/>
                    <w:rPr>
                      <w:rFonts w:hint="eastAsia" w:asciiTheme="minorEastAsia" w:hAnsiTheme="minorEastAsia"/>
                      <w:sz w:val="24"/>
                    </w:rPr>
                  </w:pPr>
                </w:p>
                <w:p w14:paraId="0BF0434E">
                  <w:pPr>
                    <w:jc w:val="center"/>
                    <w:rPr>
                      <w:rFonts w:hint="eastAsia" w:asciiTheme="minorEastAsia" w:hAnsiTheme="minorEastAsia"/>
                      <w:sz w:val="24"/>
                    </w:rPr>
                  </w:pPr>
                </w:p>
                <w:p w14:paraId="1835DEBA">
                  <w:pPr>
                    <w:jc w:val="center"/>
                    <w:rPr>
                      <w:rFonts w:asciiTheme="minorEastAsia" w:hAnsiTheme="minorEastAsia"/>
                      <w:sz w:val="24"/>
                    </w:rPr>
                  </w:pPr>
                  <w:r>
                    <w:rPr>
                      <w:rFonts w:hint="eastAsia" w:asciiTheme="minorEastAsia" w:hAnsiTheme="minorEastAsia"/>
                      <w:sz w:val="24"/>
                    </w:rPr>
                    <w:t>（</w:t>
                  </w:r>
                  <w:r>
                    <w:rPr>
                      <w:rFonts w:hint="eastAsia" w:asciiTheme="minorEastAsia" w:hAnsiTheme="minorEastAsia"/>
                      <w:sz w:val="24"/>
                      <w:lang w:val="en-US" w:eastAsia="zh-CN"/>
                    </w:rPr>
                    <w:t>征求意见稿</w:t>
                  </w:r>
                  <w:r>
                    <w:rPr>
                      <w:rFonts w:hint="eastAsia" w:asciiTheme="minorEastAsia" w:hAnsiTheme="minorEastAsia"/>
                      <w:sz w:val="24"/>
                    </w:rPr>
                    <w:t>）</w:t>
                  </w:r>
                </w:p>
              </w:txbxContent>
            </v:textbox>
          </v:shape>
        </w:pict>
      </w:r>
    </w:p>
    <w:p w14:paraId="2FDAACFD">
      <w:pPr>
        <w:rPr>
          <w:rFonts w:ascii="黑体" w:hAnsi="黑体" w:eastAsia="黑体"/>
        </w:rPr>
      </w:pPr>
    </w:p>
    <w:p w14:paraId="228F3787">
      <w:pPr>
        <w:rPr>
          <w:rFonts w:ascii="黑体" w:hAnsi="黑体" w:eastAsia="黑体"/>
        </w:rPr>
      </w:pPr>
    </w:p>
    <w:p w14:paraId="2EB4C405">
      <w:pPr>
        <w:rPr>
          <w:rFonts w:ascii="黑体" w:hAnsi="黑体" w:eastAsia="黑体"/>
        </w:rPr>
      </w:pPr>
    </w:p>
    <w:p w14:paraId="71DB59B5">
      <w:pPr>
        <w:rPr>
          <w:rFonts w:ascii="黑体" w:hAnsi="黑体" w:eastAsia="黑体"/>
        </w:rPr>
      </w:pPr>
    </w:p>
    <w:p w14:paraId="0631AC69">
      <w:pPr>
        <w:rPr>
          <w:rFonts w:ascii="黑体" w:hAnsi="黑体" w:eastAsia="黑体"/>
        </w:rPr>
      </w:pPr>
    </w:p>
    <w:p w14:paraId="26B4E371">
      <w:pPr>
        <w:rPr>
          <w:rFonts w:ascii="黑体" w:hAnsi="黑体" w:eastAsia="黑体"/>
        </w:rPr>
      </w:pPr>
      <w:r>
        <w:rPr>
          <w:rFonts w:hint="eastAsia" w:ascii="黑体" w:hAnsi="黑体" w:eastAsia="黑体"/>
        </w:rPr>
        <w:t xml:space="preserve">                                                                                          </w:t>
      </w:r>
    </w:p>
    <w:p w14:paraId="54CA2CF7">
      <w:pPr>
        <w:pStyle w:val="9"/>
      </w:pPr>
    </w:p>
    <w:p w14:paraId="6A65C2DE">
      <w:pPr>
        <w:pStyle w:val="9"/>
      </w:pPr>
    </w:p>
    <w:p w14:paraId="2A9EA6A0">
      <w:pPr>
        <w:pStyle w:val="9"/>
      </w:pPr>
    </w:p>
    <w:p w14:paraId="3AF47573">
      <w:pPr>
        <w:rPr>
          <w:rFonts w:ascii="黑体" w:hAnsi="黑体" w:eastAsia="黑体"/>
        </w:rPr>
      </w:pPr>
    </w:p>
    <w:p w14:paraId="300924B4">
      <w:pPr>
        <w:rPr>
          <w:rFonts w:ascii="黑体" w:hAnsi="黑体" w:eastAsia="黑体"/>
        </w:rPr>
      </w:pPr>
    </w:p>
    <w:p w14:paraId="30D4203B">
      <w:pPr>
        <w:rPr>
          <w:rFonts w:ascii="黑体" w:hAnsi="黑体" w:eastAsia="黑体"/>
        </w:rPr>
      </w:pPr>
    </w:p>
    <w:p w14:paraId="55FEBBD6">
      <w:pPr>
        <w:rPr>
          <w:rFonts w:ascii="黑体" w:hAnsi="黑体" w:eastAsia="黑体"/>
        </w:rPr>
      </w:pPr>
    </w:p>
    <w:p w14:paraId="0B46E5F4">
      <w:pPr>
        <w:rPr>
          <w:rFonts w:ascii="黑体" w:hAnsi="黑体" w:eastAsia="黑体"/>
        </w:rPr>
      </w:pPr>
    </w:p>
    <w:p w14:paraId="1D17EFD0">
      <w:pPr>
        <w:rPr>
          <w:rFonts w:ascii="黑体" w:hAnsi="黑体" w:eastAsia="黑体"/>
        </w:rPr>
      </w:pPr>
    </w:p>
    <w:p w14:paraId="6BEB82B4">
      <w:pPr>
        <w:rPr>
          <w:rFonts w:ascii="黑体" w:hAnsi="黑体" w:eastAsia="黑体"/>
        </w:rPr>
      </w:pPr>
    </w:p>
    <w:p w14:paraId="5EB598E2">
      <w:pPr>
        <w:rPr>
          <w:rFonts w:ascii="黑体" w:hAnsi="黑体" w:eastAsia="黑体"/>
        </w:rPr>
      </w:pPr>
    </w:p>
    <w:p w14:paraId="097101DE">
      <w:pPr>
        <w:rPr>
          <w:rFonts w:ascii="黑体" w:hAnsi="黑体" w:eastAsia="黑体"/>
        </w:rPr>
      </w:pPr>
    </w:p>
    <w:p w14:paraId="2FE59687">
      <w:pPr>
        <w:rPr>
          <w:rFonts w:ascii="黑体" w:hAnsi="黑体" w:eastAsia="黑体"/>
        </w:rPr>
      </w:pPr>
    </w:p>
    <w:p w14:paraId="2C286845">
      <w:pPr>
        <w:rPr>
          <w:rFonts w:ascii="黑体" w:hAnsi="黑体" w:eastAsia="黑体"/>
        </w:rPr>
      </w:pPr>
    </w:p>
    <w:p w14:paraId="4D63D03C">
      <w:pPr>
        <w:rPr>
          <w:rFonts w:ascii="黑体" w:hAnsi="黑体" w:eastAsia="黑体"/>
        </w:rPr>
      </w:pPr>
    </w:p>
    <w:p w14:paraId="761F6994">
      <w:pPr>
        <w:rPr>
          <w:rFonts w:ascii="黑体" w:hAnsi="黑体" w:eastAsia="黑体"/>
        </w:rPr>
      </w:pPr>
    </w:p>
    <w:p w14:paraId="6EEC7CFC">
      <w:pPr>
        <w:rPr>
          <w:rFonts w:ascii="黑体" w:hAnsi="黑体" w:eastAsia="黑体"/>
        </w:rPr>
      </w:pPr>
    </w:p>
    <w:p w14:paraId="6D1E9740">
      <w:pPr>
        <w:rPr>
          <w:rFonts w:ascii="黑体" w:hAnsi="黑体" w:eastAsia="黑体"/>
          <w:sz w:val="28"/>
          <w:szCs w:val="28"/>
        </w:rPr>
      </w:pPr>
      <w:r>
        <w:rPr>
          <w:rFonts w:ascii="黑体" w:hAnsi="黑体" w:eastAsia="黑体"/>
          <w:sz w:val="28"/>
          <w:szCs w:val="28"/>
        </w:rPr>
        <w:pict>
          <v:shape id="_x0000_s1027" o:spid="_x0000_s1027" o:spt="32" type="#_x0000_t32" style="position:absolute;left:0pt;margin-left:69.75pt;margin-top:719.15pt;height:0pt;width:481.5pt;mso-position-horizontal-relative:page;mso-position-vertical-relative:page;z-index:251664384;mso-width-relative:page;mso-height-relative:page;" filled="f" coordsize="21600,21600" o:gfxdata="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7oEPrWAAAADgEAAA8AAAAAAAAA&#10;AQAgAAAAIgAAAGRycy9kb3ducmV2LnhtbFBLAQIUABQAAAAIAIdO4kDYB+nA2gEAAMIDAAAOAAAA&#10;AAAAAAEAIAAAACUBAABkcnMvZTJvRG9jLnhtbFBLBQYAAAAABgAGAFkBAABxBQAAAAA=&#10;">
            <v:path arrowok="t"/>
            <v:fill on="f" focussize="0,0"/>
            <v:stroke weight="1pt"/>
            <v:imagedata o:title=""/>
            <o:lock v:ext="edit"/>
          </v:shape>
        </w:pict>
      </w:r>
      <w:r>
        <w:rPr>
          <w:rFonts w:hint="eastAsia" w:ascii="黑体" w:hAnsi="黑体" w:eastAsia="黑体"/>
          <w:sz w:val="28"/>
          <w:szCs w:val="28"/>
        </w:rPr>
        <w:t>2025-XX-XX发布                                       2025-XX-XX实施</w:t>
      </w:r>
    </w:p>
    <w:p w14:paraId="1FB1E04D">
      <w:pPr>
        <w:spacing w:line="1247" w:lineRule="exact"/>
        <w:jc w:val="center"/>
        <w:rPr>
          <w:rFonts w:ascii="黑体" w:hAnsi="黑体" w:eastAsia="黑体"/>
          <w:sz w:val="28"/>
          <w:szCs w:val="28"/>
        </w:rPr>
      </w:pPr>
      <w:bookmarkStart w:id="0" w:name="_Toc3547"/>
      <w:bookmarkStart w:id="1" w:name="_Toc26294"/>
      <w:bookmarkStart w:id="2" w:name="_Toc18385"/>
      <w:bookmarkStart w:id="3" w:name="_Toc253337721"/>
      <w:r>
        <w:rPr>
          <w:rFonts w:hint="eastAsia" w:ascii="方正小标宋_GBK" w:eastAsia="方正小标宋_GBK"/>
          <w:sz w:val="44"/>
          <w:szCs w:val="44"/>
        </w:rPr>
        <w:t>苏州市市场监督管理局</w:t>
      </w:r>
      <w:r>
        <w:rPr>
          <w:rFonts w:hint="eastAsia"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bookmarkEnd w:id="0"/>
      <w:bookmarkEnd w:id="1"/>
      <w:bookmarkEnd w:id="2"/>
      <w:bookmarkEnd w:id="3"/>
    </w:p>
    <w:p w14:paraId="779DECCD">
      <w:pPr>
        <w:pStyle w:val="9"/>
      </w:pPr>
    </w:p>
    <w:p w14:paraId="3E156332">
      <w:pPr>
        <w:rPr>
          <w:rFonts w:ascii="黑体" w:hAnsi="黑体" w:eastAsia="黑体"/>
          <w:sz w:val="28"/>
          <w:szCs w:val="28"/>
        </w:rPr>
        <w:sectPr>
          <w:pgSz w:w="11906" w:h="16838"/>
          <w:pgMar w:top="567" w:right="851" w:bottom="1134" w:left="1418" w:header="0" w:footer="0" w:gutter="0"/>
          <w:cols w:space="425" w:num="1"/>
          <w:docGrid w:type="lines" w:linePitch="312" w:charSpace="0"/>
        </w:sectPr>
      </w:pPr>
    </w:p>
    <w:p w14:paraId="6C836CA9">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p>
    <w:p w14:paraId="43E64A68">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_Toc18771 </w:instrText>
      </w:r>
      <w:r>
        <w:rPr>
          <w:rFonts w:hint="eastAsia" w:ascii="宋体" w:hAnsi="宋体" w:eastAsia="宋体" w:cs="宋体"/>
          <w:szCs w:val="21"/>
        </w:rPr>
        <w:fldChar w:fldCharType="separate"/>
      </w:r>
      <w:r>
        <w:rPr>
          <w:rFonts w:hint="eastAsia" w:ascii="宋体" w:hAnsi="宋体" w:eastAsia="宋体" w:cs="宋体"/>
          <w:kern w:val="0"/>
          <w:szCs w:val="32"/>
        </w:rPr>
        <w:t>前言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_Toc18771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szCs w:val="21"/>
        </w:rPr>
        <w:fldChar w:fldCharType="end"/>
      </w:r>
    </w:p>
    <w:p w14:paraId="4A29F1CB">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_Toc22526 </w:instrText>
      </w:r>
      <w:r>
        <w:rPr>
          <w:rFonts w:hint="eastAsia" w:ascii="宋体" w:hAnsi="宋体" w:eastAsia="宋体" w:cs="宋体"/>
          <w:szCs w:val="21"/>
        </w:rPr>
        <w:fldChar w:fldCharType="separate"/>
      </w:r>
      <w:r>
        <w:rPr>
          <w:rFonts w:hint="eastAsia" w:ascii="宋体" w:hAnsi="宋体" w:eastAsia="宋体" w:cs="宋体"/>
          <w:i w:val="0"/>
        </w:rPr>
        <w:t xml:space="preserve">1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_Toc22526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14:paraId="1126D944">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_Toc24568 </w:instrText>
      </w:r>
      <w:r>
        <w:rPr>
          <w:rFonts w:hint="eastAsia" w:ascii="宋体" w:hAnsi="宋体" w:eastAsia="宋体" w:cs="宋体"/>
          <w:szCs w:val="21"/>
        </w:rPr>
        <w:fldChar w:fldCharType="separate"/>
      </w:r>
      <w:r>
        <w:rPr>
          <w:rFonts w:hint="eastAsia" w:ascii="宋体" w:hAnsi="宋体" w:eastAsia="宋体" w:cs="宋体"/>
          <w:i w:val="0"/>
        </w:rPr>
        <w:t xml:space="preserve">2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_Toc24568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14:paraId="2569F815">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_Toc17167 </w:instrText>
      </w:r>
      <w:r>
        <w:rPr>
          <w:rFonts w:hint="eastAsia" w:ascii="宋体" w:hAnsi="宋体" w:eastAsia="宋体" w:cs="宋体"/>
          <w:szCs w:val="21"/>
        </w:rPr>
        <w:fldChar w:fldCharType="separate"/>
      </w:r>
      <w:r>
        <w:rPr>
          <w:rFonts w:hint="eastAsia" w:ascii="宋体" w:hAnsi="宋体" w:eastAsia="宋体" w:cs="宋体"/>
          <w:i w:val="0"/>
          <w:szCs w:val="21"/>
        </w:rPr>
        <w:t xml:space="preserve">3 </w:t>
      </w:r>
      <w:r>
        <w:rPr>
          <w:rFonts w:hint="eastAsia" w:ascii="宋体" w:hAnsi="宋体" w:eastAsia="宋体" w:cs="宋体"/>
          <w:szCs w:val="21"/>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_Toc17167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14:paraId="6EF11D54">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_Toc9195 </w:instrText>
      </w:r>
      <w:r>
        <w:rPr>
          <w:rFonts w:hint="eastAsia" w:ascii="宋体" w:hAnsi="宋体" w:eastAsia="宋体" w:cs="宋体"/>
          <w:szCs w:val="21"/>
        </w:rPr>
        <w:fldChar w:fldCharType="separate"/>
      </w:r>
      <w:r>
        <w:rPr>
          <w:rFonts w:hint="eastAsia" w:ascii="宋体" w:hAnsi="宋体" w:eastAsia="宋体" w:cs="宋体"/>
          <w:i w:val="0"/>
        </w:rPr>
        <w:t xml:space="preserve">4 </w:t>
      </w:r>
      <w:r>
        <w:rPr>
          <w:rFonts w:hint="eastAsia" w:ascii="宋体" w:hAnsi="宋体" w:eastAsia="宋体" w:cs="宋体"/>
        </w:rPr>
        <w:t>基本原则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_Toc9195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14:paraId="003D2CD0">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_Toc12644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4.1 </w:t>
      </w:r>
      <w:r>
        <w:rPr>
          <w:rFonts w:hint="eastAsia" w:ascii="宋体" w:hAnsi="宋体" w:eastAsia="宋体" w:cs="宋体"/>
        </w:rPr>
        <w:t>公平公正</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_Toc12644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14:paraId="24FF1B6C">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_Toc19839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4.2 </w:t>
      </w:r>
      <w:r>
        <w:rPr>
          <w:rFonts w:hint="eastAsia" w:ascii="宋体" w:hAnsi="宋体" w:eastAsia="宋体" w:cs="宋体"/>
        </w:rPr>
        <w:t>保密原则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_Toc19839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14:paraId="0765EDD7">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_Toc28039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4.3 </w:t>
      </w:r>
      <w:r>
        <w:rPr>
          <w:rFonts w:hint="eastAsia" w:ascii="宋体" w:hAnsi="宋体" w:eastAsia="宋体" w:cs="宋体"/>
        </w:rPr>
        <w:t>回避原则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_Toc28039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14:paraId="0C3DFD1A">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_Toc10900 </w:instrText>
      </w:r>
      <w:r>
        <w:rPr>
          <w:rFonts w:hint="eastAsia" w:ascii="宋体" w:hAnsi="宋体" w:eastAsia="宋体" w:cs="宋体"/>
          <w:szCs w:val="21"/>
        </w:rPr>
        <w:fldChar w:fldCharType="separate"/>
      </w:r>
      <w:r>
        <w:rPr>
          <w:rFonts w:hint="eastAsia" w:ascii="宋体" w:hAnsi="宋体" w:eastAsia="宋体" w:cs="宋体"/>
          <w:i w:val="0"/>
        </w:rPr>
        <w:t xml:space="preserve">5 </w:t>
      </w:r>
      <w:r>
        <w:rPr>
          <w:rFonts w:hint="eastAsia" w:ascii="宋体" w:hAnsi="宋体" w:eastAsia="宋体" w:cs="宋体"/>
        </w:rPr>
        <w:t>基本要求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_Toc10900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14:paraId="21A92C94">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_Toc28014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5.1 </w:t>
      </w:r>
      <w:r>
        <w:rPr>
          <w:rFonts w:hint="eastAsia" w:ascii="宋体" w:hAnsi="宋体" w:eastAsia="宋体" w:cs="宋体"/>
        </w:rPr>
        <w:t>鉴定机构</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_Toc28014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14:paraId="50DA1242">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_Toc657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5.2 </w:t>
      </w:r>
      <w:r>
        <w:rPr>
          <w:rFonts w:hint="eastAsia" w:ascii="宋体" w:hAnsi="宋体" w:eastAsia="宋体" w:cs="宋体"/>
        </w:rPr>
        <w:t>鉴定人员</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_Toc657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14:paraId="0A91CA84">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_Toc4555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5.3 </w:t>
      </w:r>
      <w:r>
        <w:rPr>
          <w:rFonts w:hint="eastAsia" w:ascii="宋体" w:hAnsi="宋体" w:eastAsia="宋体" w:cs="宋体"/>
        </w:rPr>
        <w:t>委托人</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_Toc4555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14:paraId="5A1224FE">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_Toc21167 </w:instrText>
      </w:r>
      <w:r>
        <w:rPr>
          <w:rFonts w:hint="eastAsia" w:ascii="宋体" w:hAnsi="宋体" w:eastAsia="宋体" w:cs="宋体"/>
          <w:szCs w:val="21"/>
        </w:rPr>
        <w:fldChar w:fldCharType="separate"/>
      </w:r>
      <w:r>
        <w:rPr>
          <w:rFonts w:hint="eastAsia" w:ascii="宋体" w:hAnsi="宋体" w:eastAsia="宋体" w:cs="宋体"/>
          <w:i w:val="0"/>
        </w:rPr>
        <w:t xml:space="preserve">6 </w:t>
      </w:r>
      <w:r>
        <w:rPr>
          <w:rFonts w:hint="eastAsia" w:ascii="宋体" w:hAnsi="宋体" w:eastAsia="宋体" w:cs="宋体"/>
        </w:rPr>
        <w:t>委托和受理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_Toc21167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14:paraId="0EE709F5">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_Toc10056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6.1 </w:t>
      </w:r>
      <w:r>
        <w:rPr>
          <w:rFonts w:hint="eastAsia" w:ascii="宋体" w:hAnsi="宋体" w:eastAsia="宋体" w:cs="宋体"/>
        </w:rPr>
        <w:t>委托</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_Toc10056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14:paraId="0B52F599">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_Toc28594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6.2 </w:t>
      </w:r>
      <w:r>
        <w:rPr>
          <w:rFonts w:hint="eastAsia" w:ascii="宋体" w:hAnsi="宋体" w:eastAsia="宋体" w:cs="宋体"/>
        </w:rPr>
        <w:t>受理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_Toc28594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14:paraId="28CC2FFA">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_Toc8855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6.3 </w:t>
      </w:r>
      <w:r>
        <w:rPr>
          <w:rFonts w:hint="eastAsia" w:ascii="宋体" w:hAnsi="宋体" w:eastAsia="宋体" w:cs="宋体"/>
        </w:rPr>
        <w:t>不受理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_Toc8855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14:paraId="4F5DE8C0">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_Toc23044 </w:instrText>
      </w:r>
      <w:r>
        <w:rPr>
          <w:rFonts w:hint="eastAsia" w:ascii="宋体" w:hAnsi="宋体" w:eastAsia="宋体" w:cs="宋体"/>
          <w:szCs w:val="21"/>
        </w:rPr>
        <w:fldChar w:fldCharType="separate"/>
      </w:r>
      <w:r>
        <w:rPr>
          <w:rFonts w:hint="eastAsia" w:ascii="宋体" w:hAnsi="宋体" w:eastAsia="宋体" w:cs="宋体"/>
          <w:i w:val="0"/>
        </w:rPr>
        <w:t xml:space="preserve">7 </w:t>
      </w:r>
      <w:r>
        <w:rPr>
          <w:rFonts w:hint="eastAsia" w:ascii="宋体" w:hAnsi="宋体" w:eastAsia="宋体" w:cs="宋体"/>
        </w:rPr>
        <w:t>鉴定实施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_Toc23044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14:paraId="71E16FDC">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_Toc28828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7.1 </w:t>
      </w:r>
      <w:r>
        <w:rPr>
          <w:rFonts w:hint="eastAsia" w:ascii="宋体" w:hAnsi="宋体" w:eastAsia="宋体" w:cs="宋体"/>
        </w:rPr>
        <w:t>组建鉴定组</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_Toc28828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14:paraId="5C35D5BA">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_Toc19557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7.2 </w:t>
      </w:r>
      <w:r>
        <w:rPr>
          <w:rFonts w:hint="eastAsia" w:ascii="宋体" w:hAnsi="宋体" w:eastAsia="宋体" w:cs="宋体"/>
        </w:rPr>
        <w:t>制定鉴定方案</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_Toc19557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14:paraId="5981B61B">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_Toc6090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7.3 </w:t>
      </w:r>
      <w:r>
        <w:rPr>
          <w:rFonts w:hint="eastAsia" w:ascii="宋体" w:hAnsi="宋体" w:eastAsia="宋体" w:cs="宋体"/>
        </w:rPr>
        <w:t>鉴定依据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_Toc6090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14:paraId="152599CB">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_Toc8464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7.4 </w:t>
      </w:r>
      <w:r>
        <w:rPr>
          <w:rFonts w:hint="eastAsia" w:ascii="宋体" w:hAnsi="宋体" w:eastAsia="宋体" w:cs="宋体"/>
        </w:rPr>
        <w:t>委托第三方检测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_Toc8464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14:paraId="7D121E22">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_Toc27597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szCs w:val="32"/>
          <w:vertAlign w:val="baseline"/>
        </w:rPr>
        <w:t xml:space="preserve">7.5 </w:t>
      </w:r>
      <w:r>
        <w:rPr>
          <w:rFonts w:hint="eastAsia" w:ascii="宋体" w:hAnsi="宋体" w:eastAsia="宋体" w:cs="宋体"/>
        </w:rPr>
        <w:t>现场勘验</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_Toc27597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14:paraId="6C1506D9">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_Toc7449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7.6 </w:t>
      </w:r>
      <w:r>
        <w:rPr>
          <w:rFonts w:hint="eastAsia" w:ascii="宋体" w:hAnsi="宋体" w:eastAsia="宋体" w:cs="宋体"/>
        </w:rPr>
        <w:t>检索</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_Toc7449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14:paraId="19356280">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_Toc17696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7.7 </w:t>
      </w:r>
      <w:r>
        <w:rPr>
          <w:rFonts w:hint="eastAsia" w:ascii="宋体" w:hAnsi="宋体" w:eastAsia="宋体" w:cs="宋体"/>
        </w:rPr>
        <w:t>出具鉴定意见</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_Toc17696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14:paraId="2BAE58BE">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_Toc2039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7.8 </w:t>
      </w:r>
      <w:r>
        <w:rPr>
          <w:rFonts w:hint="eastAsia" w:ascii="宋体" w:hAnsi="宋体" w:eastAsia="宋体" w:cs="宋体"/>
        </w:rPr>
        <w:t>终止鉴定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_Toc2039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14:paraId="12CE8A04">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_Toc669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7.9 </w:t>
      </w:r>
      <w:r>
        <w:rPr>
          <w:rFonts w:hint="eastAsia" w:ascii="宋体" w:hAnsi="宋体" w:eastAsia="宋体" w:cs="宋体"/>
        </w:rPr>
        <w:t>补充鉴定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_Toc669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14:paraId="6063756C">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_Toc11611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7.10 </w:t>
      </w:r>
      <w:r>
        <w:rPr>
          <w:rFonts w:hint="eastAsia" w:ascii="宋体" w:hAnsi="宋体" w:eastAsia="宋体" w:cs="宋体"/>
        </w:rPr>
        <w:t>鉴定材料和</w:t>
      </w:r>
      <w:r>
        <w:rPr>
          <w:rFonts w:hint="eastAsia" w:ascii="宋体" w:hAnsi="宋体" w:eastAsia="宋体" w:cs="宋体"/>
          <w:szCs w:val="21"/>
        </w:rPr>
        <w:t>档案管理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_Toc11611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14:paraId="3DEC107B">
      <w:pPr>
        <w:pStyle w:val="16"/>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_Toc28805 </w:instrText>
      </w:r>
      <w:r>
        <w:rPr>
          <w:rFonts w:hint="eastAsia" w:ascii="宋体" w:hAnsi="宋体" w:eastAsia="宋体" w:cs="宋体"/>
          <w:szCs w:val="21"/>
        </w:rPr>
        <w:fldChar w:fldCharType="separate"/>
      </w:r>
      <w:r>
        <w:rPr>
          <w:rFonts w:hint="eastAsia" w:ascii="宋体" w:hAnsi="宋体" w:eastAsia="宋体" w:cs="宋体"/>
          <w:i w:val="0"/>
        </w:rPr>
        <w:t xml:space="preserve">8 </w:t>
      </w:r>
      <w:r>
        <w:rPr>
          <w:rFonts w:hint="eastAsia" w:ascii="宋体" w:hAnsi="宋体" w:eastAsia="宋体" w:cs="宋体"/>
        </w:rPr>
        <w:t>评价与争议处理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_Toc28805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14:paraId="47F086AF">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_Toc25221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8.1 </w:t>
      </w:r>
      <w:r>
        <w:rPr>
          <w:rFonts w:hint="eastAsia" w:ascii="宋体" w:hAnsi="宋体" w:eastAsia="宋体" w:cs="宋体"/>
        </w:rPr>
        <w:t>服务评价与改进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_Toc25221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14:paraId="1322B7EE">
      <w:pPr>
        <w:pStyle w:val="18"/>
        <w:keepNext w:val="0"/>
        <w:keepLines w:val="0"/>
        <w:pageBreakBefore w:val="0"/>
        <w:widowControl w:val="0"/>
        <w:tabs>
          <w:tab w:val="right" w:leader="dot" w:pos="9354"/>
          <w:tab w:val="clear" w:pos="9344"/>
        </w:tabs>
        <w:kinsoku/>
        <w:wordWrap/>
        <w:overflowPunct/>
        <w:topLinePunct w:val="0"/>
        <w:autoSpaceDE/>
        <w:autoSpaceDN/>
        <w:bidi w:val="0"/>
        <w:adjustRightInd/>
        <w:snapToGrid/>
        <w:ind w:left="210" w:leftChars="100"/>
        <w:textAlignment w:val="auto"/>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_Toc2297 </w:instrText>
      </w:r>
      <w:r>
        <w:rPr>
          <w:rFonts w:hint="eastAsia" w:ascii="宋体" w:hAnsi="宋体" w:eastAsia="宋体" w:cs="宋体"/>
          <w:szCs w:val="21"/>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rPr>
        <w:t xml:space="preserve">8.2 </w:t>
      </w:r>
      <w:r>
        <w:rPr>
          <w:rFonts w:hint="eastAsia" w:ascii="宋体" w:hAnsi="宋体" w:eastAsia="宋体" w:cs="宋体"/>
        </w:rPr>
        <w:t>争议处理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_Toc2297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14:paraId="3651C878">
      <w:pPr>
        <w:snapToGrid w:val="0"/>
        <w:jc w:val="left"/>
        <w:rPr>
          <w:rFonts w:ascii="宋体" w:hAnsi="宋体" w:eastAsia="宋体" w:cs="宋体"/>
          <w:szCs w:val="21"/>
        </w:rPr>
      </w:pPr>
      <w:r>
        <w:rPr>
          <w:rFonts w:hint="eastAsia" w:ascii="宋体" w:hAnsi="宋体" w:eastAsia="宋体" w:cs="宋体"/>
          <w:szCs w:val="21"/>
        </w:rPr>
        <w:fldChar w:fldCharType="end"/>
      </w:r>
    </w:p>
    <w:p w14:paraId="2B460808">
      <w:pPr>
        <w:pStyle w:val="9"/>
        <w:rPr>
          <w:rFonts w:ascii="宋体" w:hAnsi="宋体" w:eastAsia="宋体" w:cs="宋体"/>
          <w:szCs w:val="21"/>
        </w:rPr>
      </w:pPr>
    </w:p>
    <w:p w14:paraId="70AF80AE">
      <w:pPr>
        <w:pStyle w:val="9"/>
        <w:rPr>
          <w:rFonts w:ascii="宋体" w:hAnsi="宋体" w:eastAsia="宋体" w:cs="宋体"/>
          <w:szCs w:val="21"/>
        </w:rPr>
      </w:pPr>
    </w:p>
    <w:p w14:paraId="7EA6D222">
      <w:pPr>
        <w:pStyle w:val="9"/>
        <w:rPr>
          <w:rFonts w:ascii="宋体" w:hAnsi="宋体" w:eastAsia="宋体" w:cs="宋体"/>
          <w:szCs w:val="21"/>
        </w:rPr>
      </w:pPr>
    </w:p>
    <w:p w14:paraId="18D6A205">
      <w:pPr>
        <w:pStyle w:val="50"/>
        <w:shd w:val="clear" w:color="auto" w:fill="auto"/>
        <w:spacing w:before="567" w:afterLines="0"/>
        <w:rPr>
          <w:spacing w:val="320"/>
        </w:rPr>
        <w:sectPr>
          <w:headerReference r:id="rId3" w:type="default"/>
          <w:footerReference r:id="rId5" w:type="default"/>
          <w:headerReference r:id="rId4" w:type="even"/>
          <w:footerReference r:id="rId6" w:type="even"/>
          <w:pgSz w:w="11906" w:h="16838"/>
          <w:pgMar w:top="1417" w:right="1134" w:bottom="1134" w:left="1418" w:header="1417" w:footer="1134" w:gutter="0"/>
          <w:pgNumType w:fmt="upperRoman" w:start="1"/>
          <w:cols w:space="425" w:num="1"/>
          <w:docGrid w:type="lines" w:linePitch="312" w:charSpace="0"/>
        </w:sectPr>
      </w:pPr>
    </w:p>
    <w:p w14:paraId="494F5576">
      <w:pPr>
        <w:snapToGrid w:val="0"/>
        <w:spacing w:before="567" w:after="680"/>
        <w:jc w:val="center"/>
        <w:outlineLvl w:val="0"/>
        <w:rPr>
          <w:rFonts w:ascii="黑体" w:hAnsi="黑体" w:eastAsia="黑体" w:cs="黑体"/>
          <w:kern w:val="0"/>
          <w:sz w:val="32"/>
          <w:szCs w:val="32"/>
        </w:rPr>
      </w:pPr>
      <w:bookmarkStart w:id="4" w:name="_Toc18771"/>
      <w:r>
        <w:rPr>
          <w:rFonts w:hint="eastAsia" w:ascii="黑体" w:hAnsi="黑体" w:eastAsia="黑体" w:cs="黑体"/>
          <w:kern w:val="0"/>
          <w:sz w:val="32"/>
          <w:szCs w:val="32"/>
        </w:rPr>
        <w:t>前    言</w:t>
      </w:r>
      <w:bookmarkEnd w:id="4"/>
    </w:p>
    <w:p w14:paraId="752D00E4">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14:paraId="61492632">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14:paraId="00FA4ACC">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本文件由……提出。</w:t>
      </w:r>
    </w:p>
    <w:p w14:paraId="3969EFBF">
      <w:pPr>
        <w:snapToGrid w:val="0"/>
        <w:ind w:firstLine="420" w:firstLineChars="200"/>
        <w:rPr>
          <w:rFonts w:eastAsia="宋体"/>
        </w:rPr>
      </w:pPr>
      <w:r>
        <w:rPr>
          <w:rFonts w:hint="eastAsia" w:ascii="宋体" w:hAnsi="宋体" w:eastAsia="宋体" w:cs="宋体"/>
          <w:kern w:val="0"/>
          <w:szCs w:val="21"/>
        </w:rPr>
        <w:t>本文件由……归口。</w:t>
      </w:r>
    </w:p>
    <w:p w14:paraId="29981F0C">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w:t>
      </w:r>
    </w:p>
    <w:p w14:paraId="72141134">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w:t>
      </w:r>
    </w:p>
    <w:p w14:paraId="5934C9DC">
      <w:pPr>
        <w:snapToGrid w:val="0"/>
        <w:rPr>
          <w:rFonts w:ascii="宋体" w:hAnsi="宋体" w:eastAsia="宋体" w:cs="宋体"/>
          <w:kern w:val="0"/>
          <w:szCs w:val="21"/>
        </w:rPr>
        <w:sectPr>
          <w:footerReference r:id="rId8" w:type="default"/>
          <w:headerReference r:id="rId7" w:type="even"/>
          <w:footerReference r:id="rId9" w:type="even"/>
          <w:pgSz w:w="11906" w:h="16838"/>
          <w:pgMar w:top="1417" w:right="1134" w:bottom="1134" w:left="1418" w:header="1417" w:footer="1134" w:gutter="0"/>
          <w:pgNumType w:fmt="upperRoman" w:start="2"/>
          <w:cols w:space="425" w:num="1"/>
          <w:docGrid w:type="lines" w:linePitch="312" w:charSpace="0"/>
        </w:sectPr>
      </w:pPr>
    </w:p>
    <w:p w14:paraId="3632B51E">
      <w:pPr>
        <w:widowControl/>
        <w:spacing w:before="567" w:after="680"/>
        <w:jc w:val="center"/>
        <w:rPr>
          <w:rFonts w:ascii="黑体" w:hAnsi="黑体" w:eastAsia="黑体"/>
          <w:bCs/>
          <w:sz w:val="32"/>
          <w:szCs w:val="32"/>
        </w:rPr>
      </w:pPr>
      <w:bookmarkStart w:id="5" w:name="SectionMark4"/>
      <w:r>
        <w:rPr>
          <w:rFonts w:hint="eastAsia" w:ascii="黑体" w:hAnsi="宋体" w:eastAsia="黑体"/>
          <w:sz w:val="32"/>
          <w:szCs w:val="32"/>
        </w:rPr>
        <w:t>知识产权鉴定委托和服务规范</w:t>
      </w:r>
    </w:p>
    <w:bookmarkEnd w:id="5"/>
    <w:p w14:paraId="7223C624">
      <w:pPr>
        <w:pStyle w:val="67"/>
        <w:spacing w:before="312" w:after="312"/>
      </w:pPr>
      <w:bookmarkStart w:id="6" w:name="_Toc10375"/>
      <w:bookmarkStart w:id="7" w:name="_Toc87811223"/>
      <w:bookmarkStart w:id="8" w:name="_Toc48028397"/>
      <w:bookmarkStart w:id="9" w:name="_Toc47973431"/>
      <w:bookmarkStart w:id="10" w:name="_Toc46494722"/>
      <w:bookmarkStart w:id="11" w:name="_Toc48572088"/>
      <w:bookmarkStart w:id="12" w:name="_Toc47973642"/>
      <w:bookmarkStart w:id="13" w:name="_Toc14731"/>
      <w:bookmarkStart w:id="14" w:name="_Toc48050151"/>
      <w:bookmarkStart w:id="15" w:name="_Toc66965087"/>
      <w:bookmarkStart w:id="16" w:name="_Toc48049835"/>
      <w:bookmarkStart w:id="17" w:name="_Toc48028304"/>
      <w:bookmarkStart w:id="18" w:name="_Toc15741"/>
      <w:bookmarkStart w:id="19" w:name="_Toc40454690"/>
      <w:bookmarkStart w:id="20" w:name="_Toc122448156"/>
      <w:bookmarkStart w:id="21" w:name="_Toc21213"/>
      <w:bookmarkStart w:id="22" w:name="_Toc115339701"/>
      <w:bookmarkStart w:id="23" w:name="_Toc47964512"/>
      <w:bookmarkStart w:id="24" w:name="_Toc47964470"/>
      <w:bookmarkStart w:id="25" w:name="_Toc67401897"/>
      <w:bookmarkStart w:id="26" w:name="_Toc87811368"/>
      <w:bookmarkStart w:id="27" w:name="_Toc51663569"/>
      <w:bookmarkStart w:id="28" w:name="_Toc30515"/>
      <w:bookmarkStart w:id="29" w:name="_Toc51147912"/>
      <w:bookmarkStart w:id="30" w:name="_Toc48569571"/>
      <w:bookmarkStart w:id="31" w:name="_Toc67393169"/>
      <w:bookmarkStart w:id="32" w:name="_Toc22526"/>
      <w:r>
        <w:rPr>
          <w:rFonts w:hint="eastAsia"/>
        </w:rPr>
        <w:t>范围</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27B03F51">
      <w:pPr>
        <w:pStyle w:val="52"/>
      </w:pPr>
      <w:r>
        <w:rPr>
          <w:rFonts w:hint="eastAsia"/>
        </w:rPr>
        <w:t>本文件规定了知识产权鉴定委托和服务的基本原则、基本要求、委托和受理、鉴定实施、服务评价与争议处理的要求。</w:t>
      </w:r>
    </w:p>
    <w:p w14:paraId="52918BC7">
      <w:pPr>
        <w:pStyle w:val="52"/>
      </w:pPr>
      <w:r>
        <w:rPr>
          <w:rFonts w:hint="eastAsia"/>
        </w:rPr>
        <w:t>本文件适用于开展知识产权鉴定活动的机构及参与知识产权鉴定活动的人员。</w:t>
      </w:r>
    </w:p>
    <w:p w14:paraId="306D2B57">
      <w:pPr>
        <w:pStyle w:val="67"/>
        <w:spacing w:before="312" w:after="312"/>
      </w:pPr>
      <w:bookmarkStart w:id="33" w:name="_Toc66965088"/>
      <w:bookmarkStart w:id="34" w:name="_Toc87811369"/>
      <w:bookmarkStart w:id="35" w:name="_Toc40454691"/>
      <w:bookmarkStart w:id="36" w:name="_Toc48049836"/>
      <w:bookmarkStart w:id="37" w:name="_Toc48050152"/>
      <w:bookmarkStart w:id="38" w:name="_Toc47973643"/>
      <w:bookmarkStart w:id="39" w:name="_Toc67401898"/>
      <w:bookmarkStart w:id="40" w:name="_Toc47964471"/>
      <w:bookmarkStart w:id="41" w:name="_Toc67393170"/>
      <w:bookmarkStart w:id="42" w:name="_Toc48572089"/>
      <w:bookmarkStart w:id="43" w:name="_Toc27904"/>
      <w:bookmarkStart w:id="44" w:name="_Toc87811224"/>
      <w:bookmarkStart w:id="45" w:name="_Toc29099"/>
      <w:bookmarkStart w:id="46" w:name="_Toc115339702"/>
      <w:bookmarkStart w:id="47" w:name="_Toc27351"/>
      <w:bookmarkStart w:id="48" w:name="_Toc47964513"/>
      <w:bookmarkStart w:id="49" w:name="_Toc48028398"/>
      <w:bookmarkStart w:id="50" w:name="_Toc51147913"/>
      <w:bookmarkStart w:id="51" w:name="_Toc30026"/>
      <w:bookmarkStart w:id="52" w:name="_Toc48028305"/>
      <w:bookmarkStart w:id="53" w:name="_Toc51663570"/>
      <w:bookmarkStart w:id="54" w:name="_Toc48569572"/>
      <w:bookmarkStart w:id="55" w:name="_Toc5397"/>
      <w:bookmarkStart w:id="56" w:name="_Toc47973432"/>
      <w:bookmarkStart w:id="57" w:name="_Toc46494723"/>
      <w:bookmarkStart w:id="58" w:name="_Toc122448157"/>
      <w:bookmarkStart w:id="59" w:name="_Toc24568"/>
      <w:r>
        <w:rPr>
          <w:rFonts w:hint="eastAsia"/>
        </w:rPr>
        <w:t>规范性引用文件</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0AA26082">
      <w:pPr>
        <w:pStyle w:val="52"/>
      </w:pPr>
      <w:r>
        <w:rPr>
          <w:rFonts w:hint="eastAsia"/>
        </w:rPr>
        <w:t>本文件没有规范性引用文件。</w:t>
      </w:r>
    </w:p>
    <w:p w14:paraId="24EFEE4F">
      <w:pPr>
        <w:pStyle w:val="67"/>
        <w:spacing w:before="312" w:after="312"/>
        <w:rPr>
          <w:szCs w:val="21"/>
        </w:rPr>
      </w:pPr>
      <w:bookmarkStart w:id="60" w:name="_Toc122448158"/>
      <w:bookmarkStart w:id="61" w:name="_Toc115339703"/>
      <w:bookmarkStart w:id="62" w:name="_Toc87811370"/>
      <w:bookmarkStart w:id="63" w:name="_Toc87811225"/>
      <w:bookmarkStart w:id="64" w:name="_Toc67401899"/>
      <w:bookmarkStart w:id="65" w:name="_Toc24359"/>
      <w:bookmarkStart w:id="66" w:name="_Toc67393171"/>
      <w:bookmarkStart w:id="67" w:name="_Toc17167"/>
      <w:r>
        <w:rPr>
          <w:rFonts w:hint="eastAsia"/>
          <w:szCs w:val="21"/>
        </w:rPr>
        <w:t>术语和定义</w:t>
      </w:r>
      <w:bookmarkEnd w:id="60"/>
      <w:bookmarkEnd w:id="61"/>
      <w:bookmarkEnd w:id="62"/>
      <w:bookmarkEnd w:id="63"/>
      <w:bookmarkEnd w:id="64"/>
      <w:bookmarkEnd w:id="65"/>
      <w:bookmarkEnd w:id="66"/>
      <w:bookmarkEnd w:id="67"/>
    </w:p>
    <w:p w14:paraId="3760A616">
      <w:pPr>
        <w:pStyle w:val="52"/>
      </w:pPr>
      <w:r>
        <w:rPr>
          <w:rFonts w:hint="eastAsia"/>
        </w:rPr>
        <w:t>下列术语和定义适用于本文件。</w:t>
      </w:r>
    </w:p>
    <w:p w14:paraId="7A4EAADB">
      <w:pPr>
        <w:pStyle w:val="64"/>
        <w:rPr>
          <w:rFonts w:ascii="黑体" w:hAnsi="黑体" w:eastAsia="黑体"/>
        </w:rPr>
      </w:pPr>
    </w:p>
    <w:p w14:paraId="7AE6A67A">
      <w:pPr>
        <w:pStyle w:val="52"/>
        <w:rPr>
          <w:rFonts w:ascii="黑体" w:hAnsi="黑体" w:eastAsia="黑体"/>
        </w:rPr>
      </w:pPr>
      <w:r>
        <w:rPr>
          <w:rFonts w:hint="eastAsia" w:ascii="黑体" w:hAnsi="黑体" w:eastAsia="黑体"/>
        </w:rPr>
        <w:t>知识产权鉴定 intellectual property appraisement</w:t>
      </w:r>
    </w:p>
    <w:p w14:paraId="180D00B6">
      <w:pPr>
        <w:pStyle w:val="52"/>
      </w:pPr>
      <w:r>
        <w:rPr>
          <w:rFonts w:hint="eastAsia"/>
        </w:rPr>
        <w:t>在知识产权管理、纠纷中运用科学技术或者专门知识对涉及的专门性问题进行鉴别和判断，并提供鉴定意见的活动。</w:t>
      </w:r>
    </w:p>
    <w:p w14:paraId="5B2678D9">
      <w:pPr>
        <w:pStyle w:val="52"/>
        <w:ind w:left="780" w:leftChars="200" w:hanging="360" w:hangingChars="200"/>
        <w:rPr>
          <w:sz w:val="18"/>
          <w:szCs w:val="16"/>
        </w:rPr>
      </w:pPr>
      <w:r>
        <w:rPr>
          <w:rFonts w:hint="eastAsia" w:ascii="黑体" w:hAnsi="黑体" w:eastAsia="黑体" w:cs="黑体"/>
          <w:sz w:val="18"/>
          <w:szCs w:val="16"/>
        </w:rPr>
        <w:t>注：</w:t>
      </w:r>
      <w:r>
        <w:rPr>
          <w:rFonts w:hint="eastAsia"/>
          <w:sz w:val="18"/>
          <w:szCs w:val="16"/>
        </w:rPr>
        <w:t>知识产权鉴定通常包括专利鉴定、商标鉴定、商业秘密鉴定、版权鉴定、集成电路布图设计鉴定、植物新品种鉴定、技术合同鉴定等。</w:t>
      </w:r>
    </w:p>
    <w:p w14:paraId="46EB0FCA">
      <w:pPr>
        <w:pStyle w:val="64"/>
        <w:rPr>
          <w:rFonts w:ascii="黑体" w:hAnsi="黑体" w:eastAsia="黑体"/>
        </w:rPr>
      </w:pPr>
      <w:bookmarkStart w:id="68" w:name="_Toc502157201"/>
      <w:bookmarkEnd w:id="68"/>
      <w:bookmarkStart w:id="69" w:name="_Toc67393172"/>
      <w:bookmarkEnd w:id="69"/>
      <w:bookmarkStart w:id="70" w:name="_Toc500938708"/>
      <w:bookmarkEnd w:id="70"/>
      <w:bookmarkStart w:id="71" w:name="_Toc87811371"/>
      <w:bookmarkEnd w:id="71"/>
      <w:bookmarkStart w:id="72" w:name="_Toc87811226"/>
      <w:bookmarkEnd w:id="72"/>
      <w:bookmarkStart w:id="73" w:name="_Toc500955126"/>
      <w:bookmarkEnd w:id="73"/>
      <w:bookmarkStart w:id="74" w:name="_Toc67401900"/>
      <w:bookmarkEnd w:id="74"/>
    </w:p>
    <w:p w14:paraId="1A70C2F6">
      <w:pPr>
        <w:pStyle w:val="52"/>
        <w:rPr>
          <w:rFonts w:ascii="黑体" w:hAnsi="黑体" w:eastAsia="黑体"/>
        </w:rPr>
      </w:pPr>
      <w:r>
        <w:rPr>
          <w:rFonts w:hint="eastAsia" w:ascii="黑体" w:hAnsi="黑体" w:eastAsia="黑体"/>
        </w:rPr>
        <w:t>知识产权鉴定机构 intellectual property appraisal provider</w:t>
      </w:r>
    </w:p>
    <w:p w14:paraId="03CE2B79">
      <w:pPr>
        <w:pStyle w:val="52"/>
        <w:rPr>
          <w:rFonts w:hAnsi="宋体" w:cs="宋体"/>
          <w:szCs w:val="32"/>
        </w:rPr>
      </w:pPr>
      <w:r>
        <w:rPr>
          <w:rFonts w:hint="eastAsia"/>
        </w:rPr>
        <w:t>具备一定资质开展知识产权鉴定工作的机构。</w:t>
      </w:r>
    </w:p>
    <w:p w14:paraId="79EA4580">
      <w:pPr>
        <w:pStyle w:val="64"/>
        <w:rPr>
          <w:rFonts w:ascii="黑体" w:hAnsi="黑体" w:eastAsia="黑体"/>
        </w:rPr>
      </w:pPr>
      <w:bookmarkStart w:id="75" w:name="_Toc122448159"/>
    </w:p>
    <w:p w14:paraId="34639479">
      <w:pPr>
        <w:pStyle w:val="52"/>
        <w:rPr>
          <w:rFonts w:ascii="黑体" w:hAnsi="黑体" w:eastAsia="黑体"/>
        </w:rPr>
      </w:pPr>
      <w:r>
        <w:rPr>
          <w:rFonts w:hint="eastAsia" w:ascii="黑体" w:hAnsi="黑体" w:eastAsia="黑体"/>
        </w:rPr>
        <w:t>委托人</w:t>
      </w:r>
      <w:r>
        <w:rPr>
          <w:rFonts w:ascii="黑体" w:hAnsi="黑体" w:eastAsia="黑体"/>
        </w:rPr>
        <w:t xml:space="preserve"> client</w:t>
      </w:r>
    </w:p>
    <w:p w14:paraId="79465E89">
      <w:pPr>
        <w:ind w:firstLine="420" w:firstLineChars="200"/>
        <w:rPr>
          <w:rFonts w:ascii="宋体" w:hAnsi="宋体" w:cs="宋体"/>
          <w:szCs w:val="32"/>
        </w:rPr>
      </w:pPr>
      <w:r>
        <w:rPr>
          <w:rFonts w:hint="eastAsia" w:ascii="宋体" w:hAnsi="宋体" w:cs="宋体"/>
          <w:szCs w:val="32"/>
        </w:rPr>
        <w:t>委托鉴定机构开展知识产权鉴定的自然人、法人或者依法成立的其他组织。</w:t>
      </w:r>
    </w:p>
    <w:p w14:paraId="79DC0C98">
      <w:pPr>
        <w:pStyle w:val="64"/>
        <w:rPr>
          <w:rFonts w:ascii="黑体" w:hAnsi="黑体" w:eastAsia="黑体"/>
        </w:rPr>
      </w:pPr>
    </w:p>
    <w:p w14:paraId="41EE20D2">
      <w:pPr>
        <w:ind w:firstLine="420" w:firstLineChars="200"/>
        <w:rPr>
          <w:rFonts w:hint="eastAsia" w:ascii="黑体" w:hAnsi="黑体" w:eastAsia="黑体" w:cs="Times New Roman"/>
          <w:kern w:val="0"/>
          <w:szCs w:val="20"/>
          <w:lang w:val="en-US" w:eastAsia="zh-CN"/>
        </w:rPr>
      </w:pPr>
      <w:r>
        <w:rPr>
          <w:rFonts w:hint="eastAsia" w:ascii="黑体" w:hAnsi="黑体" w:eastAsia="黑体" w:cs="Times New Roman"/>
          <w:kern w:val="0"/>
          <w:szCs w:val="20"/>
        </w:rPr>
        <w:t>鉴定人员</w:t>
      </w:r>
      <w:r>
        <w:rPr>
          <w:rFonts w:hint="eastAsia" w:ascii="黑体" w:hAnsi="黑体" w:eastAsia="黑体" w:cs="Times New Roman"/>
          <w:kern w:val="0"/>
          <w:szCs w:val="20"/>
          <w:lang w:val="en-US" w:eastAsia="zh-CN"/>
        </w:rPr>
        <w:t xml:space="preserve"> appraisers</w:t>
      </w:r>
      <w:bookmarkStart w:id="186" w:name="_GoBack"/>
      <w:bookmarkEnd w:id="186"/>
    </w:p>
    <w:p w14:paraId="619CC876">
      <w:pPr>
        <w:ind w:firstLine="420" w:firstLineChars="200"/>
        <w:rPr>
          <w:rFonts w:ascii="宋体" w:hAnsi="宋体" w:cs="宋体"/>
          <w:szCs w:val="32"/>
        </w:rPr>
      </w:pPr>
      <w:r>
        <w:rPr>
          <w:rFonts w:hint="eastAsia" w:ascii="宋体" w:hAnsi="宋体" w:cs="宋体"/>
          <w:szCs w:val="32"/>
        </w:rPr>
        <w:t>从事知识产权鉴定工作的人员，包括鉴定人、鉴定专家。</w:t>
      </w:r>
    </w:p>
    <w:p w14:paraId="70AB2304">
      <w:pPr>
        <w:pStyle w:val="67"/>
        <w:spacing w:before="312" w:after="312"/>
      </w:pPr>
      <w:bookmarkStart w:id="76" w:name="_Toc7537"/>
      <w:bookmarkStart w:id="77" w:name="_Toc9195"/>
      <w:r>
        <w:rPr>
          <w:rFonts w:hint="eastAsia"/>
        </w:rPr>
        <w:t>基本原则</w:t>
      </w:r>
      <w:bookmarkEnd w:id="76"/>
      <w:bookmarkEnd w:id="77"/>
    </w:p>
    <w:p w14:paraId="73DB6B57">
      <w:pPr>
        <w:pStyle w:val="66"/>
        <w:spacing w:before="156" w:after="156"/>
      </w:pPr>
      <w:bookmarkStart w:id="78" w:name="_Toc25019"/>
      <w:bookmarkStart w:id="79" w:name="_Toc12644"/>
      <w:r>
        <w:rPr>
          <w:rFonts w:hint="eastAsia"/>
        </w:rPr>
        <w:t>公平公正</w:t>
      </w:r>
      <w:bookmarkEnd w:id="78"/>
      <w:bookmarkEnd w:id="79"/>
    </w:p>
    <w:p w14:paraId="16CEE30B">
      <w:pPr>
        <w:ind w:firstLine="420" w:firstLineChars="200"/>
        <w:rPr>
          <w:rFonts w:ascii="宋体" w:hAnsi="宋体" w:cs="宋体"/>
          <w:szCs w:val="32"/>
        </w:rPr>
      </w:pPr>
      <w:r>
        <w:rPr>
          <w:rFonts w:hint="eastAsia" w:ascii="宋体" w:hAnsi="宋体" w:cs="宋体"/>
          <w:szCs w:val="32"/>
        </w:rPr>
        <w:t>知识产权鉴定应遵守公平公正原则，鉴定活动不受外界因素干扰，确保鉴定结果中立客观公正。</w:t>
      </w:r>
    </w:p>
    <w:p w14:paraId="038D281C">
      <w:pPr>
        <w:pStyle w:val="66"/>
        <w:spacing w:before="156" w:after="156"/>
      </w:pPr>
      <w:bookmarkStart w:id="80" w:name="_Toc11100"/>
      <w:bookmarkStart w:id="81" w:name="_Toc19839"/>
      <w:r>
        <w:rPr>
          <w:rFonts w:hint="eastAsia"/>
        </w:rPr>
        <w:t>保密原则</w:t>
      </w:r>
      <w:bookmarkEnd w:id="80"/>
      <w:bookmarkEnd w:id="81"/>
    </w:p>
    <w:p w14:paraId="3FF5F330">
      <w:pPr>
        <w:ind w:firstLine="420" w:firstLineChars="200"/>
        <w:rPr>
          <w:rFonts w:ascii="宋体" w:hAnsi="宋体" w:cs="宋体"/>
          <w:szCs w:val="32"/>
        </w:rPr>
      </w:pPr>
      <w:r>
        <w:rPr>
          <w:rFonts w:hint="eastAsia" w:ascii="宋体" w:hAnsi="宋体" w:cs="宋体"/>
          <w:szCs w:val="32"/>
        </w:rPr>
        <w:t>知识产权鉴定机构和鉴定人员应保守在知识产权鉴定活动中知悉的国家秘密、商业秘密、工作秘密等，不得泄露在鉴定过程中获取的与鉴定项目相关的信息。</w:t>
      </w:r>
    </w:p>
    <w:p w14:paraId="69696819">
      <w:pPr>
        <w:pStyle w:val="66"/>
        <w:spacing w:before="156" w:after="156"/>
      </w:pPr>
      <w:bookmarkStart w:id="82" w:name="_Toc28039"/>
      <w:r>
        <w:rPr>
          <w:rFonts w:hint="eastAsia"/>
        </w:rPr>
        <w:t>回避原则</w:t>
      </w:r>
      <w:bookmarkEnd w:id="82"/>
    </w:p>
    <w:p w14:paraId="033ED76E">
      <w:pPr>
        <w:ind w:firstLine="420" w:firstLineChars="200"/>
        <w:rPr>
          <w:rFonts w:ascii="宋体" w:hAnsi="宋体" w:cs="宋体"/>
          <w:szCs w:val="32"/>
        </w:rPr>
      </w:pPr>
      <w:r>
        <w:rPr>
          <w:rFonts w:hint="eastAsia" w:ascii="宋体" w:hAnsi="宋体" w:cs="宋体"/>
          <w:szCs w:val="32"/>
        </w:rPr>
        <w:t>鉴定人员与委托事项或当事人有利害关系，可能影响结果公正的，应自行回避，或委托人申请其回避。</w:t>
      </w:r>
    </w:p>
    <w:p w14:paraId="099FF2D0">
      <w:pPr>
        <w:pStyle w:val="67"/>
        <w:spacing w:before="312" w:after="312"/>
      </w:pPr>
      <w:bookmarkStart w:id="83" w:name="_Toc29201"/>
      <w:bookmarkStart w:id="84" w:name="_Toc10900"/>
      <w:r>
        <w:rPr>
          <w:rFonts w:hint="eastAsia"/>
        </w:rPr>
        <w:t>基本要求</w:t>
      </w:r>
      <w:bookmarkEnd w:id="83"/>
      <w:bookmarkEnd w:id="84"/>
    </w:p>
    <w:p w14:paraId="61D024A4">
      <w:pPr>
        <w:pStyle w:val="66"/>
        <w:spacing w:before="156" w:after="156"/>
      </w:pPr>
      <w:bookmarkStart w:id="85" w:name="_Toc29108"/>
      <w:bookmarkStart w:id="86" w:name="_Toc28014"/>
      <w:bookmarkStart w:id="87" w:name="OLE_LINK1"/>
      <w:r>
        <w:rPr>
          <w:rFonts w:hint="eastAsia"/>
        </w:rPr>
        <w:t>鉴定机构</w:t>
      </w:r>
      <w:bookmarkEnd w:id="85"/>
      <w:bookmarkEnd w:id="86"/>
    </w:p>
    <w:bookmarkEnd w:id="87"/>
    <w:p w14:paraId="5AFAA1C4">
      <w:pPr>
        <w:pStyle w:val="69"/>
        <w:keepNext w:val="0"/>
        <w:keepLines w:val="0"/>
        <w:pageBreakBefore w:val="0"/>
        <w:widowControl w:val="0"/>
        <w:kinsoku/>
        <w:wordWrap/>
        <w:overflowPunct/>
        <w:topLinePunct w:val="0"/>
        <w:autoSpaceDE/>
        <w:autoSpaceDN/>
        <w:bidi w:val="0"/>
        <w:adjustRightInd/>
        <w:snapToGrid/>
        <w:ind w:left="0"/>
        <w:textAlignment w:val="auto"/>
        <w:rPr>
          <w:rFonts w:hAnsi="宋体" w:cs="宋体"/>
          <w:szCs w:val="32"/>
        </w:rPr>
      </w:pPr>
      <w:bookmarkStart w:id="88" w:name="_Toc195624404"/>
      <w:bookmarkEnd w:id="88"/>
      <w:bookmarkStart w:id="89" w:name="_Toc3194"/>
      <w:r>
        <w:rPr>
          <w:rFonts w:hint="eastAsia" w:hAnsi="宋体" w:cs="宋体"/>
          <w:szCs w:val="32"/>
        </w:rPr>
        <w:t>鉴定机构具备独立法人资格，明确公示其鉴定业务范围。</w:t>
      </w:r>
    </w:p>
    <w:p w14:paraId="654C92F1">
      <w:pPr>
        <w:pStyle w:val="69"/>
        <w:keepNext w:val="0"/>
        <w:keepLines w:val="0"/>
        <w:pageBreakBefore w:val="0"/>
        <w:widowControl w:val="0"/>
        <w:kinsoku/>
        <w:wordWrap/>
        <w:overflowPunct/>
        <w:topLinePunct w:val="0"/>
        <w:autoSpaceDE/>
        <w:autoSpaceDN/>
        <w:bidi w:val="0"/>
        <w:adjustRightInd/>
        <w:snapToGrid/>
        <w:ind w:left="0"/>
        <w:textAlignment w:val="auto"/>
        <w:rPr>
          <w:rFonts w:hAnsi="宋体" w:cs="宋体"/>
          <w:szCs w:val="32"/>
        </w:rPr>
      </w:pPr>
      <w:r>
        <w:rPr>
          <w:rFonts w:hint="eastAsia" w:hAnsi="宋体" w:cs="宋体"/>
          <w:szCs w:val="32"/>
        </w:rPr>
        <w:t>鉴定机构具有独立的服务场所与设施，并具备科学合理的检索分析工具和获取信息的能力。</w:t>
      </w:r>
    </w:p>
    <w:p w14:paraId="30396CAC">
      <w:pPr>
        <w:pStyle w:val="69"/>
        <w:keepNext w:val="0"/>
        <w:keepLines w:val="0"/>
        <w:pageBreakBefore w:val="0"/>
        <w:widowControl w:val="0"/>
        <w:kinsoku/>
        <w:wordWrap/>
        <w:overflowPunct/>
        <w:topLinePunct w:val="0"/>
        <w:autoSpaceDE/>
        <w:autoSpaceDN/>
        <w:bidi w:val="0"/>
        <w:adjustRightInd/>
        <w:snapToGrid/>
        <w:ind w:left="0"/>
        <w:textAlignment w:val="auto"/>
        <w:rPr>
          <w:rFonts w:hAnsi="宋体" w:cs="宋体"/>
          <w:szCs w:val="32"/>
        </w:rPr>
      </w:pPr>
      <w:r>
        <w:rPr>
          <w:rFonts w:hint="eastAsia" w:hAnsi="宋体" w:cs="宋体"/>
          <w:szCs w:val="32"/>
        </w:rPr>
        <w:t>鉴定机构建立完善的管理制度并有效运行。</w:t>
      </w:r>
    </w:p>
    <w:p w14:paraId="4FDFC0E1">
      <w:pPr>
        <w:pStyle w:val="69"/>
        <w:keepNext w:val="0"/>
        <w:keepLines w:val="0"/>
        <w:pageBreakBefore w:val="0"/>
        <w:widowControl w:val="0"/>
        <w:kinsoku/>
        <w:wordWrap/>
        <w:overflowPunct/>
        <w:topLinePunct w:val="0"/>
        <w:autoSpaceDE/>
        <w:autoSpaceDN/>
        <w:bidi w:val="0"/>
        <w:adjustRightInd/>
        <w:snapToGrid/>
        <w:ind w:left="0"/>
        <w:textAlignment w:val="auto"/>
        <w:rPr>
          <w:rFonts w:hAnsi="宋体" w:cs="宋体"/>
          <w:szCs w:val="32"/>
        </w:rPr>
      </w:pPr>
      <w:r>
        <w:rPr>
          <w:rFonts w:hint="eastAsia" w:hAnsi="宋体" w:cs="宋体"/>
          <w:szCs w:val="32"/>
        </w:rPr>
        <w:t>鉴定机构配备能够独立开展鉴定服务的鉴定人，并对鉴定人员进行培训。</w:t>
      </w:r>
    </w:p>
    <w:p w14:paraId="22CD7650">
      <w:pPr>
        <w:pStyle w:val="69"/>
        <w:keepNext w:val="0"/>
        <w:keepLines w:val="0"/>
        <w:pageBreakBefore w:val="0"/>
        <w:widowControl w:val="0"/>
        <w:kinsoku/>
        <w:wordWrap/>
        <w:overflowPunct/>
        <w:topLinePunct w:val="0"/>
        <w:autoSpaceDE/>
        <w:autoSpaceDN/>
        <w:bidi w:val="0"/>
        <w:adjustRightInd/>
        <w:snapToGrid/>
        <w:ind w:left="0"/>
        <w:textAlignment w:val="auto"/>
        <w:rPr>
          <w:rFonts w:hAnsi="宋体" w:cs="宋体"/>
          <w:szCs w:val="32"/>
        </w:rPr>
      </w:pPr>
      <w:r>
        <w:rPr>
          <w:rFonts w:hint="eastAsia" w:hAnsi="宋体" w:cs="宋体"/>
          <w:szCs w:val="32"/>
        </w:rPr>
        <w:t>鉴定机构应具备以下资质之一：</w:t>
      </w:r>
    </w:p>
    <w:p w14:paraId="3963DF55">
      <w:pPr>
        <w:ind w:left="425"/>
        <w:rPr>
          <w:rFonts w:ascii="宋体" w:hAnsi="宋体" w:eastAsia="宋体" w:cs="宋体"/>
          <w:szCs w:val="32"/>
        </w:rPr>
      </w:pPr>
      <w:r>
        <w:rPr>
          <w:rFonts w:hint="eastAsia" w:ascii="宋体" w:hAnsi="宋体" w:eastAsia="宋体" w:cs="宋体"/>
          <w:szCs w:val="32"/>
        </w:rPr>
        <w:t>a）纳入国家知识产权局“全国知识产权鉴定机构名录库”；</w:t>
      </w:r>
    </w:p>
    <w:p w14:paraId="610FB2FB">
      <w:pPr>
        <w:ind w:left="425"/>
        <w:rPr>
          <w:rFonts w:ascii="宋体" w:hAnsi="宋体" w:eastAsia="宋体" w:cs="宋体"/>
          <w:szCs w:val="32"/>
        </w:rPr>
      </w:pPr>
      <w:r>
        <w:rPr>
          <w:rFonts w:hint="eastAsia" w:ascii="宋体" w:hAnsi="宋体" w:eastAsia="宋体" w:cs="宋体"/>
          <w:szCs w:val="32"/>
        </w:rPr>
        <w:t>b）纳入“人民法院对外委托专业机构专业人员信息平台”；</w:t>
      </w:r>
    </w:p>
    <w:p w14:paraId="39F50D0E">
      <w:pPr>
        <w:pStyle w:val="69"/>
        <w:numPr>
          <w:ilvl w:val="3"/>
          <w:numId w:val="0"/>
        </w:numPr>
        <w:ind w:firstLine="420" w:firstLineChars="200"/>
        <w:rPr>
          <w:rFonts w:hAnsi="宋体" w:cs="宋体"/>
          <w:szCs w:val="32"/>
        </w:rPr>
      </w:pPr>
      <w:r>
        <w:rPr>
          <w:rFonts w:hint="eastAsia" w:hAnsi="宋体" w:cs="宋体"/>
          <w:szCs w:val="32"/>
        </w:rPr>
        <w:t xml:space="preserve">c）纳入“江苏省人民法院委托鉴定机构电子信息平台”。  </w:t>
      </w:r>
    </w:p>
    <w:p w14:paraId="7ABF4C16">
      <w:pPr>
        <w:pStyle w:val="66"/>
        <w:spacing w:before="156" w:after="156"/>
      </w:pPr>
      <w:bookmarkStart w:id="90" w:name="_Toc195626071"/>
      <w:bookmarkEnd w:id="90"/>
      <w:bookmarkStart w:id="91" w:name="_Toc657"/>
      <w:r>
        <w:rPr>
          <w:rFonts w:hint="eastAsia"/>
        </w:rPr>
        <w:t>鉴定人员</w:t>
      </w:r>
      <w:bookmarkEnd w:id="89"/>
      <w:bookmarkEnd w:id="91"/>
    </w:p>
    <w:p w14:paraId="358B2601">
      <w:pPr>
        <w:pStyle w:val="70"/>
        <w:keepNext w:val="0"/>
        <w:keepLines w:val="0"/>
        <w:pageBreakBefore w:val="0"/>
        <w:widowControl w:val="0"/>
        <w:kinsoku/>
        <w:wordWrap/>
        <w:overflowPunct/>
        <w:topLinePunct w:val="0"/>
        <w:autoSpaceDE/>
        <w:autoSpaceDN/>
        <w:bidi w:val="0"/>
        <w:adjustRightInd/>
        <w:snapToGrid/>
        <w:spacing w:before="157" w:beforeLines="50" w:after="157" w:afterLines="50"/>
        <w:ind w:left="0"/>
        <w:textAlignment w:val="auto"/>
      </w:pPr>
      <w:bookmarkStart w:id="92" w:name="_Toc12495"/>
      <w:bookmarkStart w:id="93" w:name="_Toc28958"/>
      <w:bookmarkStart w:id="94" w:name="_Toc195626073"/>
      <w:bookmarkStart w:id="95" w:name="_Toc16501"/>
      <w:bookmarkStart w:id="96" w:name="_Toc5248"/>
      <w:bookmarkStart w:id="97" w:name="_Toc9649"/>
      <w:bookmarkStart w:id="98" w:name="_Toc1792"/>
      <w:r>
        <w:rPr>
          <w:rFonts w:hint="eastAsia"/>
        </w:rPr>
        <w:t>鉴定人</w:t>
      </w:r>
      <w:bookmarkEnd w:id="92"/>
      <w:bookmarkEnd w:id="93"/>
      <w:bookmarkEnd w:id="94"/>
      <w:bookmarkEnd w:id="95"/>
      <w:bookmarkEnd w:id="96"/>
      <w:bookmarkEnd w:id="97"/>
      <w:bookmarkEnd w:id="98"/>
    </w:p>
    <w:p w14:paraId="1BB500B8">
      <w:pPr>
        <w:ind w:firstLine="420" w:firstLineChars="200"/>
        <w:rPr>
          <w:rFonts w:ascii="宋体" w:hAnsi="宋体" w:cs="宋体"/>
          <w:szCs w:val="32"/>
        </w:rPr>
      </w:pPr>
      <w:r>
        <w:rPr>
          <w:rFonts w:hint="eastAsia" w:ascii="宋体" w:hAnsi="宋体" w:cs="宋体"/>
          <w:szCs w:val="32"/>
        </w:rPr>
        <w:t>知识产权鉴定机构应确保所聘鉴定人满足下列要求，包括但不限于：</w:t>
      </w:r>
    </w:p>
    <w:p w14:paraId="2C9947AD">
      <w:pPr>
        <w:numPr>
          <w:ilvl w:val="0"/>
          <w:numId w:val="10"/>
        </w:numPr>
        <w:ind w:left="735" w:leftChars="200" w:hanging="315" w:hangingChars="150"/>
        <w:rPr>
          <w:rFonts w:ascii="宋体" w:hAnsi="宋体" w:cs="宋体"/>
          <w:szCs w:val="32"/>
        </w:rPr>
      </w:pPr>
      <w:r>
        <w:rPr>
          <w:rFonts w:hint="eastAsia" w:ascii="宋体" w:hAnsi="宋体" w:cs="宋体"/>
          <w:szCs w:val="32"/>
        </w:rPr>
        <w:t>无违法犯罪记录，遵守知识产权鉴定职业道德和要求；</w:t>
      </w:r>
    </w:p>
    <w:p w14:paraId="16C4AA1F">
      <w:pPr>
        <w:numPr>
          <w:ilvl w:val="0"/>
          <w:numId w:val="10"/>
        </w:numPr>
        <w:ind w:left="735" w:leftChars="200" w:hanging="315" w:hangingChars="150"/>
        <w:rPr>
          <w:rFonts w:ascii="宋体" w:hAnsi="宋体" w:cs="宋体"/>
          <w:szCs w:val="32"/>
        </w:rPr>
      </w:pPr>
      <w:r>
        <w:rPr>
          <w:rFonts w:hint="eastAsia" w:ascii="宋体" w:hAnsi="宋体" w:cs="宋体"/>
          <w:szCs w:val="32"/>
        </w:rPr>
        <w:t>具有高级专业技术职称的；或具有相关行业执业资格或者高等院校相关专业本科以上学历、从事相关工作5年及以上的；或具备专业领域工作10年及以上经历和较强的专业技能；</w:t>
      </w:r>
    </w:p>
    <w:p w14:paraId="481B1044">
      <w:pPr>
        <w:numPr>
          <w:ilvl w:val="0"/>
          <w:numId w:val="10"/>
        </w:numPr>
        <w:ind w:left="735" w:leftChars="200" w:hanging="315" w:hangingChars="150"/>
        <w:rPr>
          <w:rFonts w:ascii="宋体" w:hAnsi="宋体" w:cs="宋体"/>
          <w:szCs w:val="32"/>
        </w:rPr>
      </w:pPr>
      <w:r>
        <w:rPr>
          <w:rFonts w:hint="eastAsia" w:ascii="宋体" w:hAnsi="宋体" w:cs="宋体"/>
          <w:szCs w:val="32"/>
        </w:rPr>
        <w:t>经过知识产权鉴定培训，具备专业技术领域背景知识的；</w:t>
      </w:r>
    </w:p>
    <w:p w14:paraId="779C0FA5">
      <w:pPr>
        <w:numPr>
          <w:ilvl w:val="0"/>
          <w:numId w:val="10"/>
        </w:numPr>
        <w:ind w:left="735" w:leftChars="200" w:hanging="315" w:hangingChars="150"/>
        <w:rPr>
          <w:rFonts w:ascii="宋体" w:hAnsi="宋体" w:cs="宋体"/>
          <w:szCs w:val="32"/>
        </w:rPr>
      </w:pPr>
      <w:r>
        <w:rPr>
          <w:rFonts w:hint="eastAsia" w:ascii="宋体" w:hAnsi="宋体" w:cs="宋体"/>
          <w:szCs w:val="32"/>
        </w:rPr>
        <w:t>未受聘于其他知识产权鉴定机构；</w:t>
      </w:r>
    </w:p>
    <w:p w14:paraId="089979C7">
      <w:pPr>
        <w:numPr>
          <w:ilvl w:val="0"/>
          <w:numId w:val="10"/>
        </w:numPr>
        <w:ind w:left="735" w:leftChars="200" w:hanging="315" w:hangingChars="150"/>
        <w:rPr>
          <w:rFonts w:ascii="宋体" w:hAnsi="宋体" w:cs="宋体"/>
          <w:szCs w:val="32"/>
        </w:rPr>
      </w:pPr>
      <w:r>
        <w:rPr>
          <w:rFonts w:hint="eastAsia" w:ascii="宋体" w:hAnsi="宋体" w:cs="宋体"/>
          <w:szCs w:val="32"/>
        </w:rPr>
        <w:t>对所出具的鉴定意见负责。</w:t>
      </w:r>
    </w:p>
    <w:p w14:paraId="565DD2E6">
      <w:pPr>
        <w:pStyle w:val="70"/>
        <w:keepNext w:val="0"/>
        <w:keepLines w:val="0"/>
        <w:pageBreakBefore w:val="0"/>
        <w:widowControl w:val="0"/>
        <w:kinsoku/>
        <w:wordWrap/>
        <w:overflowPunct/>
        <w:topLinePunct w:val="0"/>
        <w:autoSpaceDE/>
        <w:autoSpaceDN/>
        <w:bidi w:val="0"/>
        <w:adjustRightInd/>
        <w:snapToGrid/>
        <w:spacing w:before="157" w:beforeLines="50" w:after="157" w:afterLines="50"/>
        <w:ind w:left="0"/>
        <w:textAlignment w:val="auto"/>
      </w:pPr>
      <w:bookmarkStart w:id="99" w:name="_Toc2989"/>
      <w:bookmarkStart w:id="100" w:name="_Toc11104"/>
      <w:bookmarkStart w:id="101" w:name="_Toc31931"/>
      <w:bookmarkStart w:id="102" w:name="_Toc27272"/>
      <w:bookmarkStart w:id="103" w:name="_Toc195626074"/>
      <w:bookmarkStart w:id="104" w:name="_Toc21683"/>
      <w:bookmarkStart w:id="105" w:name="_Toc22361"/>
      <w:r>
        <w:rPr>
          <w:rFonts w:hint="eastAsia"/>
        </w:rPr>
        <w:t>鉴定专家</w:t>
      </w:r>
      <w:bookmarkEnd w:id="99"/>
      <w:bookmarkEnd w:id="100"/>
      <w:bookmarkEnd w:id="101"/>
      <w:bookmarkEnd w:id="102"/>
      <w:bookmarkEnd w:id="103"/>
      <w:bookmarkEnd w:id="104"/>
      <w:bookmarkEnd w:id="105"/>
    </w:p>
    <w:p w14:paraId="74C0C5A2">
      <w:pPr>
        <w:ind w:firstLine="488"/>
        <w:rPr>
          <w:rFonts w:ascii="宋体" w:hAnsi="宋体" w:cs="宋体"/>
          <w:szCs w:val="32"/>
        </w:rPr>
      </w:pPr>
      <w:r>
        <w:rPr>
          <w:rFonts w:hint="eastAsia" w:ascii="宋体" w:hAnsi="宋体" w:cs="宋体"/>
          <w:szCs w:val="32"/>
        </w:rPr>
        <w:t>鉴定专家具备下列要求，包括但不限于：</w:t>
      </w:r>
    </w:p>
    <w:p w14:paraId="39BBC480">
      <w:pPr>
        <w:numPr>
          <w:ilvl w:val="0"/>
          <w:numId w:val="11"/>
        </w:numPr>
        <w:ind w:left="735" w:leftChars="200" w:hanging="315" w:hangingChars="150"/>
        <w:rPr>
          <w:rFonts w:ascii="宋体" w:hAnsi="宋体" w:cs="宋体"/>
          <w:szCs w:val="32"/>
        </w:rPr>
      </w:pPr>
      <w:r>
        <w:rPr>
          <w:rFonts w:hint="eastAsia" w:ascii="宋体" w:hAnsi="宋体" w:cs="宋体"/>
          <w:szCs w:val="32"/>
        </w:rPr>
        <w:t>无违法犯罪记录，遵守知识产权鉴定职业道德和要求</w:t>
      </w:r>
      <w:r>
        <w:rPr>
          <w:rFonts w:ascii="宋体" w:hAnsi="宋体" w:cs="宋体"/>
          <w:szCs w:val="32"/>
        </w:rPr>
        <w:t>；</w:t>
      </w:r>
    </w:p>
    <w:p w14:paraId="70C501F5">
      <w:pPr>
        <w:numPr>
          <w:ilvl w:val="0"/>
          <w:numId w:val="11"/>
        </w:numPr>
        <w:ind w:left="735" w:leftChars="200" w:hanging="315" w:hangingChars="150"/>
        <w:rPr>
          <w:rFonts w:ascii="宋体" w:hAnsi="宋体" w:cs="宋体"/>
          <w:szCs w:val="32"/>
        </w:rPr>
      </w:pPr>
      <w:r>
        <w:rPr>
          <w:rFonts w:ascii="宋体" w:hAnsi="宋体" w:cs="宋体"/>
          <w:szCs w:val="32"/>
        </w:rPr>
        <w:t>取得本人现任职单位的同意</w:t>
      </w:r>
      <w:r>
        <w:rPr>
          <w:rFonts w:hint="eastAsia" w:ascii="宋体" w:hAnsi="宋体" w:cs="宋体"/>
          <w:szCs w:val="32"/>
        </w:rPr>
        <w:t>，</w:t>
      </w:r>
      <w:r>
        <w:rPr>
          <w:rFonts w:ascii="宋体" w:hAnsi="宋体" w:cs="宋体"/>
          <w:szCs w:val="32"/>
        </w:rPr>
        <w:t>自愿以独立身份参加</w:t>
      </w:r>
      <w:r>
        <w:rPr>
          <w:rFonts w:hint="eastAsia" w:ascii="宋体" w:hAnsi="宋体" w:cs="宋体"/>
          <w:szCs w:val="32"/>
        </w:rPr>
        <w:t>鉴定活动</w:t>
      </w:r>
      <w:r>
        <w:rPr>
          <w:rFonts w:ascii="宋体" w:hAnsi="宋体" w:cs="宋体"/>
          <w:szCs w:val="32"/>
        </w:rPr>
        <w:t>；</w:t>
      </w:r>
    </w:p>
    <w:p w14:paraId="386F9119">
      <w:pPr>
        <w:numPr>
          <w:ilvl w:val="0"/>
          <w:numId w:val="11"/>
        </w:numPr>
        <w:ind w:left="735" w:leftChars="200" w:hanging="315" w:hangingChars="150"/>
        <w:rPr>
          <w:rFonts w:ascii="宋体" w:hAnsi="宋体" w:cs="宋体"/>
          <w:szCs w:val="32"/>
        </w:rPr>
      </w:pPr>
      <w:r>
        <w:rPr>
          <w:rFonts w:hint="eastAsia" w:ascii="宋体" w:hAnsi="宋体" w:cs="宋体"/>
          <w:szCs w:val="32"/>
        </w:rPr>
        <w:t>具有高级专业技术职称的；或具有相应行业执业资格或者高等院校相关专业本科以上学历、从事相关工作5年及以上的；或具备专业领域工作10年及以上经历和较强的专业技能。</w:t>
      </w:r>
    </w:p>
    <w:p w14:paraId="226ADD07">
      <w:pPr>
        <w:pStyle w:val="66"/>
        <w:spacing w:before="156" w:after="156"/>
      </w:pPr>
      <w:bookmarkStart w:id="106" w:name="_Toc4555"/>
      <w:r>
        <w:rPr>
          <w:rFonts w:hint="eastAsia"/>
        </w:rPr>
        <w:t>委托人</w:t>
      </w:r>
      <w:bookmarkEnd w:id="106"/>
    </w:p>
    <w:p w14:paraId="25A7339B">
      <w:pPr>
        <w:pStyle w:val="29"/>
        <w:keepNext w:val="0"/>
        <w:keepLines w:val="0"/>
        <w:pageBreakBefore w:val="0"/>
        <w:kinsoku/>
        <w:wordWrap/>
        <w:overflowPunct/>
        <w:topLinePunct w:val="0"/>
        <w:autoSpaceDE/>
        <w:autoSpaceDN/>
        <w:bidi w:val="0"/>
        <w:adjustRightInd/>
        <w:snapToGrid/>
        <w:ind w:firstLine="0" w:firstLineChars="0"/>
        <w:jc w:val="both"/>
        <w:textAlignment w:val="auto"/>
        <w:rPr>
          <w:rFonts w:ascii="黑体" w:hAnsi="黑体" w:eastAsia="黑体" w:cs="黑体"/>
          <w:szCs w:val="32"/>
        </w:rPr>
      </w:pPr>
      <w:bookmarkStart w:id="107" w:name="_Toc195624409"/>
      <w:bookmarkEnd w:id="107"/>
      <w:r>
        <w:rPr>
          <w:rFonts w:hint="eastAsia" w:ascii="黑体" w:hAnsi="黑体" w:eastAsia="黑体" w:cs="黑体"/>
          <w:szCs w:val="32"/>
        </w:rPr>
        <w:t xml:space="preserve">5.3.1 </w:t>
      </w:r>
      <w:r>
        <w:rPr>
          <w:rFonts w:ascii="宋体" w:hAnsi="宋体" w:eastAsia="宋体" w:cs="宋体"/>
          <w:szCs w:val="32"/>
        </w:rPr>
        <w:t xml:space="preserve"> </w:t>
      </w:r>
      <w:r>
        <w:rPr>
          <w:rFonts w:hint="eastAsia" w:ascii="宋体" w:hAnsi="宋体" w:eastAsia="宋体" w:cs="宋体"/>
          <w:szCs w:val="32"/>
        </w:rPr>
        <w:t>委托人具备完全民事行为能力</w:t>
      </w:r>
      <w:r>
        <w:rPr>
          <w:rFonts w:hint="eastAsia" w:ascii="黑体" w:hAnsi="黑体" w:eastAsia="黑体" w:cs="黑体"/>
          <w:szCs w:val="32"/>
        </w:rPr>
        <w:t>。</w:t>
      </w:r>
    </w:p>
    <w:p w14:paraId="3D8D2C67">
      <w:pPr>
        <w:keepNext w:val="0"/>
        <w:keepLines w:val="0"/>
        <w:pageBreakBefore w:val="0"/>
        <w:kinsoku/>
        <w:wordWrap/>
        <w:overflowPunct/>
        <w:topLinePunct w:val="0"/>
        <w:autoSpaceDE/>
        <w:autoSpaceDN/>
        <w:bidi w:val="0"/>
        <w:adjustRightInd/>
        <w:snapToGrid/>
        <w:ind w:firstLine="0" w:firstLineChars="0"/>
        <w:jc w:val="both"/>
        <w:textAlignment w:val="auto"/>
        <w:rPr>
          <w:rFonts w:ascii="宋体" w:hAnsi="宋体" w:eastAsia="宋体" w:cs="宋体"/>
          <w:szCs w:val="32"/>
        </w:rPr>
      </w:pPr>
      <w:r>
        <w:rPr>
          <w:rFonts w:ascii="黑体" w:hAnsi="黑体" w:eastAsia="黑体" w:cs="黑体"/>
          <w:szCs w:val="32"/>
        </w:rPr>
        <w:t>5.3.2</w:t>
      </w:r>
      <w:r>
        <w:rPr>
          <w:rFonts w:hint="eastAsia" w:ascii="黑体" w:hAnsi="黑体" w:eastAsia="黑体" w:cs="黑体"/>
          <w:szCs w:val="32"/>
        </w:rPr>
        <w:t xml:space="preserve">  </w:t>
      </w:r>
      <w:r>
        <w:rPr>
          <w:rFonts w:hint="eastAsia" w:ascii="宋体" w:hAnsi="宋体" w:eastAsia="宋体" w:cs="宋体"/>
          <w:szCs w:val="32"/>
        </w:rPr>
        <w:t>委托知识产权鉴定时提供有效的身份证明。</w:t>
      </w:r>
    </w:p>
    <w:p w14:paraId="05A1BDEE">
      <w:pPr>
        <w:keepNext w:val="0"/>
        <w:keepLines w:val="0"/>
        <w:pageBreakBefore w:val="0"/>
        <w:widowControl/>
        <w:kinsoku/>
        <w:wordWrap/>
        <w:overflowPunct/>
        <w:topLinePunct w:val="0"/>
        <w:autoSpaceDE/>
        <w:autoSpaceDN/>
        <w:bidi w:val="0"/>
        <w:adjustRightInd/>
        <w:snapToGrid/>
        <w:ind w:firstLine="0" w:firstLineChars="0"/>
        <w:jc w:val="both"/>
        <w:textAlignment w:val="auto"/>
        <w:rPr>
          <w:rFonts w:ascii="黑体" w:hAnsi="黑体" w:eastAsia="黑体" w:cs="黑体"/>
          <w:szCs w:val="32"/>
        </w:rPr>
      </w:pPr>
      <w:r>
        <w:rPr>
          <w:rFonts w:ascii="黑体" w:hAnsi="黑体" w:eastAsia="黑体" w:cs="黑体"/>
          <w:szCs w:val="32"/>
        </w:rPr>
        <w:t>5.3.3</w:t>
      </w:r>
      <w:r>
        <w:rPr>
          <w:rFonts w:hint="eastAsia" w:ascii="黑体" w:hAnsi="黑体" w:eastAsia="黑体" w:cs="黑体"/>
          <w:szCs w:val="32"/>
        </w:rPr>
        <w:t xml:space="preserve">  </w:t>
      </w:r>
      <w:r>
        <w:rPr>
          <w:rFonts w:hint="eastAsia" w:ascii="宋体" w:hAnsi="宋体" w:eastAsia="宋体" w:cs="宋体"/>
          <w:kern w:val="0"/>
          <w:sz w:val="20"/>
          <w:szCs w:val="20"/>
        </w:rPr>
        <w:t>委托人负责提供完整、充分的鉴定材料，并对鉴定材料的真实性、合法性负责。</w:t>
      </w:r>
    </w:p>
    <w:p w14:paraId="36226741">
      <w:pPr>
        <w:keepNext w:val="0"/>
        <w:keepLines w:val="0"/>
        <w:pageBreakBefore w:val="0"/>
        <w:kinsoku/>
        <w:wordWrap/>
        <w:overflowPunct/>
        <w:topLinePunct w:val="0"/>
        <w:autoSpaceDE/>
        <w:autoSpaceDN/>
        <w:bidi w:val="0"/>
        <w:adjustRightInd/>
        <w:snapToGrid/>
        <w:ind w:firstLine="0" w:firstLineChars="0"/>
        <w:jc w:val="both"/>
        <w:textAlignment w:val="auto"/>
        <w:rPr>
          <w:rFonts w:ascii="黑体" w:hAnsi="黑体" w:eastAsia="黑体" w:cs="黑体"/>
          <w:color w:val="FF0000"/>
          <w:szCs w:val="32"/>
        </w:rPr>
      </w:pPr>
      <w:r>
        <w:rPr>
          <w:rFonts w:ascii="黑体" w:hAnsi="黑体" w:eastAsia="黑体" w:cs="黑体"/>
          <w:szCs w:val="32"/>
        </w:rPr>
        <w:t>5.3.4</w:t>
      </w:r>
      <w:r>
        <w:rPr>
          <w:rFonts w:hint="eastAsia" w:ascii="宋体" w:hAnsi="宋体" w:cs="宋体"/>
          <w:szCs w:val="32"/>
        </w:rPr>
        <w:t xml:space="preserve">  委托人根据鉴定需要，提供必要的鉴定场所和设备支持、指派专业人员配合技术调查说明和现场勘验。</w:t>
      </w:r>
    </w:p>
    <w:p w14:paraId="1BD7EB04">
      <w:pPr>
        <w:pStyle w:val="67"/>
        <w:spacing w:before="312" w:after="312"/>
      </w:pPr>
      <w:bookmarkStart w:id="108" w:name="_Toc28747"/>
      <w:bookmarkStart w:id="109" w:name="_Toc21167"/>
      <w:r>
        <w:rPr>
          <w:rFonts w:hint="eastAsia"/>
        </w:rPr>
        <w:t>委托</w:t>
      </w:r>
      <w:bookmarkEnd w:id="108"/>
      <w:r>
        <w:rPr>
          <w:rFonts w:hint="eastAsia"/>
        </w:rPr>
        <w:t>和受理</w:t>
      </w:r>
      <w:bookmarkEnd w:id="109"/>
    </w:p>
    <w:p w14:paraId="6791A819">
      <w:pPr>
        <w:pStyle w:val="66"/>
        <w:spacing w:before="156" w:after="156"/>
      </w:pPr>
      <w:bookmarkStart w:id="110" w:name="_Toc25820"/>
      <w:bookmarkStart w:id="111" w:name="_Toc10056"/>
      <w:r>
        <w:rPr>
          <w:rFonts w:hint="eastAsia"/>
        </w:rPr>
        <w:t>委托</w:t>
      </w:r>
      <w:bookmarkEnd w:id="110"/>
      <w:bookmarkEnd w:id="111"/>
    </w:p>
    <w:p w14:paraId="008390E7">
      <w:pPr>
        <w:pStyle w:val="70"/>
        <w:keepNext w:val="0"/>
        <w:keepLines w:val="0"/>
        <w:pageBreakBefore w:val="0"/>
        <w:widowControl w:val="0"/>
        <w:kinsoku/>
        <w:wordWrap/>
        <w:overflowPunct/>
        <w:topLinePunct w:val="0"/>
        <w:autoSpaceDE/>
        <w:autoSpaceDN/>
        <w:bidi w:val="0"/>
        <w:adjustRightInd/>
        <w:snapToGrid/>
        <w:spacing w:before="157" w:beforeLines="50" w:after="157" w:afterLines="50"/>
        <w:ind w:left="0"/>
        <w:textAlignment w:val="auto"/>
        <w:rPr>
          <w:rFonts w:hint="eastAsia"/>
        </w:rPr>
      </w:pPr>
      <w:bookmarkStart w:id="112" w:name="_Toc195624412"/>
      <w:bookmarkStart w:id="113" w:name="_Toc26666"/>
      <w:bookmarkStart w:id="114" w:name="_Toc195626078"/>
      <w:bookmarkStart w:id="115" w:name="_Toc3173"/>
      <w:bookmarkStart w:id="116" w:name="_Toc27615"/>
      <w:r>
        <w:rPr>
          <w:rFonts w:hint="eastAsia"/>
        </w:rPr>
        <w:t>鉴定材料</w:t>
      </w:r>
      <w:bookmarkEnd w:id="112"/>
      <w:bookmarkEnd w:id="113"/>
      <w:bookmarkEnd w:id="114"/>
      <w:bookmarkEnd w:id="115"/>
      <w:bookmarkEnd w:id="116"/>
      <w:r>
        <w:rPr>
          <w:rFonts w:hint="eastAsia"/>
        </w:rPr>
        <w:t xml:space="preserve"> </w:t>
      </w:r>
    </w:p>
    <w:p w14:paraId="5967B59F">
      <w:pPr>
        <w:ind w:firstLine="420" w:firstLineChars="200"/>
        <w:rPr>
          <w:rFonts w:ascii="宋体" w:hAnsi="宋体" w:cs="宋体"/>
          <w:szCs w:val="32"/>
        </w:rPr>
      </w:pPr>
      <w:r>
        <w:rPr>
          <w:rFonts w:hint="eastAsia" w:ascii="宋体" w:hAnsi="宋体" w:cs="宋体"/>
          <w:szCs w:val="32"/>
        </w:rPr>
        <w:t>委托人提供的鉴定材料包括但不限于：</w:t>
      </w:r>
    </w:p>
    <w:p w14:paraId="613F86A7">
      <w:pPr>
        <w:numPr>
          <w:ilvl w:val="0"/>
          <w:numId w:val="12"/>
        </w:numPr>
        <w:ind w:firstLine="420" w:firstLineChars="200"/>
        <w:rPr>
          <w:rFonts w:ascii="宋体" w:hAnsi="宋体" w:cs="宋体"/>
          <w:szCs w:val="32"/>
        </w:rPr>
      </w:pPr>
      <w:r>
        <w:rPr>
          <w:rFonts w:hint="eastAsia" w:ascii="宋体" w:hAnsi="宋体" w:cs="宋体"/>
          <w:szCs w:val="32"/>
        </w:rPr>
        <w:t>发明或实用新型专利类提供授权文本、争议的产品或方法、相关的图纸或其他技术资料；</w:t>
      </w:r>
    </w:p>
    <w:p w14:paraId="79B42BC0">
      <w:pPr>
        <w:numPr>
          <w:ilvl w:val="0"/>
          <w:numId w:val="12"/>
        </w:numPr>
        <w:ind w:firstLine="420" w:firstLineChars="200"/>
        <w:rPr>
          <w:rFonts w:ascii="宋体" w:hAnsi="宋体" w:cs="宋体"/>
          <w:szCs w:val="32"/>
        </w:rPr>
      </w:pPr>
      <w:r>
        <w:rPr>
          <w:rFonts w:hint="eastAsia" w:ascii="宋体" w:hAnsi="宋体" w:cs="宋体"/>
          <w:szCs w:val="32"/>
        </w:rPr>
        <w:t>外观设计专利类提供授权文本、争议的产品或外观图片或者照片；</w:t>
      </w:r>
    </w:p>
    <w:p w14:paraId="48A789D1">
      <w:pPr>
        <w:numPr>
          <w:ilvl w:val="0"/>
          <w:numId w:val="12"/>
        </w:numPr>
        <w:ind w:firstLine="420" w:firstLineChars="200"/>
        <w:rPr>
          <w:rFonts w:ascii="宋体" w:hAnsi="宋体" w:cs="宋体"/>
          <w:szCs w:val="32"/>
        </w:rPr>
      </w:pPr>
      <w:r>
        <w:rPr>
          <w:rFonts w:hint="eastAsia" w:ascii="宋体" w:hAnsi="宋体" w:cs="宋体"/>
          <w:szCs w:val="32"/>
        </w:rPr>
        <w:t>商标类提供商标注册证；载有争议标识的商品、商品包装、标签、广告宣传资料等；</w:t>
      </w:r>
    </w:p>
    <w:p w14:paraId="66A5A730">
      <w:pPr>
        <w:numPr>
          <w:ilvl w:val="0"/>
          <w:numId w:val="12"/>
        </w:numPr>
        <w:ind w:firstLine="420" w:firstLineChars="200"/>
        <w:rPr>
          <w:rFonts w:ascii="宋体" w:hAnsi="宋体" w:cs="宋体"/>
          <w:szCs w:val="32"/>
        </w:rPr>
      </w:pPr>
      <w:r>
        <w:rPr>
          <w:rFonts w:hint="eastAsia" w:ascii="宋体" w:hAnsi="宋体" w:cs="宋体"/>
          <w:szCs w:val="32"/>
        </w:rPr>
        <w:t>著作权（版权）类提供不同的作品类型的样本、争议作品；</w:t>
      </w:r>
    </w:p>
    <w:p w14:paraId="1F418260">
      <w:pPr>
        <w:numPr>
          <w:ilvl w:val="0"/>
          <w:numId w:val="12"/>
        </w:numPr>
        <w:ind w:firstLine="420" w:firstLineChars="200"/>
        <w:rPr>
          <w:rFonts w:ascii="宋体" w:hAnsi="宋体" w:cs="宋体"/>
          <w:szCs w:val="32"/>
        </w:rPr>
      </w:pPr>
      <w:r>
        <w:rPr>
          <w:rFonts w:hint="eastAsia" w:ascii="宋体" w:hAnsi="宋体" w:cs="宋体"/>
          <w:szCs w:val="32"/>
        </w:rPr>
        <w:t>商业秘密类提供秘密点、与秘密点相关的秘密点说明、秘密点载体、需比对的各方样本等；</w:t>
      </w:r>
    </w:p>
    <w:p w14:paraId="32FAF3C6">
      <w:pPr>
        <w:numPr>
          <w:ilvl w:val="0"/>
          <w:numId w:val="12"/>
        </w:numPr>
        <w:ind w:firstLine="420" w:firstLineChars="200"/>
        <w:rPr>
          <w:rFonts w:ascii="宋体" w:hAnsi="宋体" w:cs="宋体"/>
          <w:szCs w:val="32"/>
        </w:rPr>
      </w:pPr>
      <w:r>
        <w:rPr>
          <w:rFonts w:hint="eastAsia" w:ascii="宋体" w:hAnsi="宋体" w:cs="宋体"/>
          <w:szCs w:val="32"/>
        </w:rPr>
        <w:t>技术合同类提供各方样本、相应的具体技术内容或相关说明、补充说明等；</w:t>
      </w:r>
    </w:p>
    <w:p w14:paraId="3B78C349">
      <w:pPr>
        <w:numPr>
          <w:ilvl w:val="0"/>
          <w:numId w:val="12"/>
        </w:numPr>
        <w:ind w:firstLine="420"/>
        <w:rPr>
          <w:rFonts w:ascii="宋体" w:hAnsi="宋体" w:cs="宋体"/>
          <w:szCs w:val="32"/>
        </w:rPr>
      </w:pPr>
      <w:r>
        <w:rPr>
          <w:rFonts w:hint="eastAsia" w:ascii="宋体" w:hAnsi="宋体" w:cs="宋体"/>
          <w:szCs w:val="32"/>
        </w:rPr>
        <w:t>其他类根据实际情况，提交符合要求的鉴定材料。</w:t>
      </w:r>
    </w:p>
    <w:p w14:paraId="54C2B2CC">
      <w:pPr>
        <w:pStyle w:val="70"/>
        <w:keepNext w:val="0"/>
        <w:keepLines w:val="0"/>
        <w:pageBreakBefore w:val="0"/>
        <w:widowControl w:val="0"/>
        <w:kinsoku/>
        <w:wordWrap/>
        <w:overflowPunct/>
        <w:topLinePunct w:val="0"/>
        <w:autoSpaceDE/>
        <w:autoSpaceDN/>
        <w:bidi w:val="0"/>
        <w:adjustRightInd/>
        <w:snapToGrid/>
        <w:spacing w:before="157" w:beforeLines="50" w:after="157" w:afterLines="50"/>
        <w:ind w:left="0"/>
        <w:textAlignment w:val="auto"/>
        <w:rPr>
          <w:rFonts w:hint="eastAsia"/>
        </w:rPr>
      </w:pPr>
      <w:bookmarkStart w:id="117" w:name="_Toc20462"/>
      <w:bookmarkStart w:id="118" w:name="_Toc195624413"/>
      <w:bookmarkStart w:id="119" w:name="_Toc195626079"/>
      <w:bookmarkStart w:id="120" w:name="_Toc22633"/>
      <w:bookmarkStart w:id="121" w:name="_Toc32355"/>
      <w:r>
        <w:rPr>
          <w:rFonts w:hint="eastAsia"/>
        </w:rPr>
        <w:t>明确鉴定事项</w:t>
      </w:r>
      <w:bookmarkEnd w:id="117"/>
      <w:bookmarkEnd w:id="118"/>
      <w:bookmarkEnd w:id="119"/>
      <w:bookmarkEnd w:id="120"/>
      <w:bookmarkEnd w:id="121"/>
    </w:p>
    <w:p w14:paraId="4AC1012D">
      <w:pPr>
        <w:ind w:firstLine="420" w:firstLineChars="200"/>
        <w:rPr>
          <w:rFonts w:ascii="宋体" w:hAnsi="宋体" w:cs="宋体"/>
          <w:szCs w:val="32"/>
        </w:rPr>
      </w:pPr>
      <w:r>
        <w:rPr>
          <w:rFonts w:hint="eastAsia" w:ascii="宋体" w:hAnsi="宋体" w:cs="宋体"/>
          <w:szCs w:val="32"/>
        </w:rPr>
        <w:t>知识产权鉴定机构与委托人就委托鉴定事项进行充分沟通，应明确：</w:t>
      </w:r>
    </w:p>
    <w:p w14:paraId="6797CC54">
      <w:pPr>
        <w:numPr>
          <w:ilvl w:val="0"/>
          <w:numId w:val="13"/>
        </w:numPr>
        <w:ind w:left="735" w:leftChars="200" w:hanging="315" w:hangingChars="150"/>
        <w:rPr>
          <w:rFonts w:ascii="宋体" w:hAnsi="宋体" w:cs="宋体"/>
          <w:szCs w:val="32"/>
        </w:rPr>
      </w:pPr>
      <w:r>
        <w:rPr>
          <w:rFonts w:hint="eastAsia" w:ascii="宋体" w:hAnsi="宋体" w:cs="宋体"/>
          <w:szCs w:val="32"/>
        </w:rPr>
        <w:t>鉴定目标和内容；</w:t>
      </w:r>
    </w:p>
    <w:p w14:paraId="007238AA">
      <w:pPr>
        <w:numPr>
          <w:ilvl w:val="0"/>
          <w:numId w:val="13"/>
        </w:numPr>
        <w:ind w:left="735" w:leftChars="200" w:hanging="315" w:hangingChars="150"/>
        <w:rPr>
          <w:rFonts w:ascii="宋体" w:hAnsi="宋体" w:cs="宋体"/>
          <w:szCs w:val="32"/>
        </w:rPr>
      </w:pPr>
      <w:r>
        <w:rPr>
          <w:rFonts w:hint="eastAsia" w:ascii="宋体" w:hAnsi="宋体" w:cs="宋体"/>
          <w:szCs w:val="32"/>
        </w:rPr>
        <w:t>委托事</w:t>
      </w:r>
      <w:r>
        <w:rPr>
          <w:rFonts w:hint="eastAsia" w:ascii="宋体" w:hAnsi="宋体" w:eastAsia="宋体" w:cs="宋体"/>
          <w:kern w:val="0"/>
        </w:rPr>
        <w:t>项</w:t>
      </w:r>
      <w:r>
        <w:rPr>
          <w:rFonts w:hint="eastAsia" w:ascii="宋体" w:hAnsi="宋体" w:cs="宋体"/>
          <w:szCs w:val="32"/>
        </w:rPr>
        <w:t>属于知识产权鉴定机构业务范围，其用途和鉴定要求符合法律要求，提供的鉴定材料应充分完整并满足鉴定委托需要。</w:t>
      </w:r>
    </w:p>
    <w:p w14:paraId="7B49D2C2">
      <w:pPr>
        <w:pStyle w:val="66"/>
        <w:spacing w:before="156" w:after="156"/>
      </w:pPr>
      <w:bookmarkStart w:id="122" w:name="_Toc12751"/>
      <w:bookmarkStart w:id="123" w:name="_Toc28594"/>
      <w:r>
        <w:rPr>
          <w:rFonts w:hint="eastAsia"/>
        </w:rPr>
        <w:t>受理</w:t>
      </w:r>
      <w:bookmarkEnd w:id="122"/>
      <w:bookmarkEnd w:id="123"/>
    </w:p>
    <w:p w14:paraId="4B8EC8CC">
      <w:pPr>
        <w:pStyle w:val="70"/>
        <w:keepNext w:val="0"/>
        <w:keepLines w:val="0"/>
        <w:pageBreakBefore w:val="0"/>
        <w:widowControl w:val="0"/>
        <w:kinsoku/>
        <w:wordWrap/>
        <w:overflowPunct/>
        <w:topLinePunct w:val="0"/>
        <w:autoSpaceDE/>
        <w:autoSpaceDN/>
        <w:bidi w:val="0"/>
        <w:adjustRightInd/>
        <w:snapToGrid/>
        <w:spacing w:before="157" w:beforeLines="50" w:after="157" w:afterLines="50"/>
        <w:ind w:left="0"/>
        <w:textAlignment w:val="auto"/>
        <w:rPr>
          <w:rFonts w:hint="eastAsia"/>
        </w:rPr>
      </w:pPr>
      <w:bookmarkStart w:id="124" w:name="_Toc27945"/>
      <w:bookmarkStart w:id="125" w:name="_Toc20731"/>
      <w:bookmarkStart w:id="126" w:name="_Toc195626081"/>
      <w:bookmarkStart w:id="127" w:name="_Toc19025"/>
      <w:bookmarkStart w:id="128" w:name="_Toc21563"/>
      <w:bookmarkStart w:id="129" w:name="_Toc13654"/>
      <w:bookmarkStart w:id="130" w:name="_Toc195624415"/>
      <w:bookmarkStart w:id="131" w:name="_Toc1056"/>
      <w:r>
        <w:rPr>
          <w:rFonts w:hint="eastAsia"/>
        </w:rPr>
        <w:t>开展审查</w:t>
      </w:r>
      <w:bookmarkEnd w:id="124"/>
      <w:bookmarkEnd w:id="125"/>
      <w:bookmarkEnd w:id="126"/>
      <w:bookmarkEnd w:id="127"/>
      <w:bookmarkEnd w:id="128"/>
      <w:bookmarkEnd w:id="129"/>
      <w:bookmarkEnd w:id="130"/>
      <w:bookmarkEnd w:id="131"/>
    </w:p>
    <w:p w14:paraId="5566CC97">
      <w:pPr>
        <w:ind w:firstLine="420" w:firstLineChars="200"/>
        <w:rPr>
          <w:rFonts w:ascii="宋体" w:hAnsi="宋体" w:cs="宋体"/>
          <w:szCs w:val="32"/>
        </w:rPr>
      </w:pPr>
      <w:r>
        <w:rPr>
          <w:rFonts w:hint="eastAsia" w:ascii="宋体" w:hAnsi="宋体" w:cs="宋体"/>
          <w:szCs w:val="32"/>
        </w:rPr>
        <w:t>知识产权鉴定机构自收到委托之日起七个工作日内对鉴定材料进行审查，作出是否受理委托的决定，并在规定时限内通知委托人。鉴定材料存在缺失的，知识产权鉴定机构可要求委托人补充后再次审查。</w:t>
      </w:r>
    </w:p>
    <w:p w14:paraId="19A5B3C1">
      <w:pPr>
        <w:ind w:firstLine="420" w:firstLineChars="200"/>
        <w:rPr>
          <w:rFonts w:ascii="宋体" w:hAnsi="宋体" w:cs="宋体"/>
          <w:szCs w:val="32"/>
        </w:rPr>
      </w:pPr>
      <w:r>
        <w:rPr>
          <w:rFonts w:hint="eastAsia" w:ascii="宋体" w:hAnsi="宋体" w:cs="宋体"/>
          <w:szCs w:val="32"/>
        </w:rPr>
        <w:t>知识产权鉴定机构对委托人提供的鉴定材料进行核实并登记，妥善保管。</w:t>
      </w:r>
    </w:p>
    <w:p w14:paraId="2B02FDE3">
      <w:pPr>
        <w:pStyle w:val="70"/>
        <w:keepNext w:val="0"/>
        <w:keepLines w:val="0"/>
        <w:pageBreakBefore w:val="0"/>
        <w:widowControl w:val="0"/>
        <w:kinsoku/>
        <w:wordWrap/>
        <w:overflowPunct/>
        <w:topLinePunct w:val="0"/>
        <w:autoSpaceDE/>
        <w:autoSpaceDN/>
        <w:bidi w:val="0"/>
        <w:adjustRightInd/>
        <w:snapToGrid/>
        <w:spacing w:before="157" w:beforeLines="50" w:after="157" w:afterLines="50"/>
        <w:ind w:left="0"/>
        <w:textAlignment w:val="auto"/>
        <w:rPr>
          <w:rFonts w:hint="eastAsia"/>
        </w:rPr>
      </w:pPr>
      <w:bookmarkStart w:id="132" w:name="_Toc18984"/>
      <w:bookmarkStart w:id="133" w:name="_Toc9672"/>
      <w:bookmarkStart w:id="134" w:name="_Toc13844"/>
      <w:bookmarkStart w:id="135" w:name="_Toc21678"/>
      <w:bookmarkStart w:id="136" w:name="_Toc195626082"/>
      <w:bookmarkStart w:id="137" w:name="_Toc195624416"/>
      <w:bookmarkStart w:id="138" w:name="_Toc20671"/>
      <w:bookmarkStart w:id="139" w:name="_Toc9459"/>
      <w:r>
        <w:rPr>
          <w:rFonts w:hint="eastAsia"/>
        </w:rPr>
        <w:t>签订</w:t>
      </w:r>
      <w:bookmarkEnd w:id="132"/>
      <w:bookmarkEnd w:id="133"/>
      <w:bookmarkEnd w:id="134"/>
      <w:bookmarkEnd w:id="135"/>
      <w:r>
        <w:rPr>
          <w:rFonts w:hint="eastAsia"/>
        </w:rPr>
        <w:t>协议</w:t>
      </w:r>
      <w:bookmarkEnd w:id="136"/>
      <w:bookmarkEnd w:id="137"/>
      <w:bookmarkEnd w:id="138"/>
      <w:bookmarkEnd w:id="139"/>
    </w:p>
    <w:p w14:paraId="3A7611AC">
      <w:pPr>
        <w:pStyle w:val="70"/>
        <w:keepNext w:val="0"/>
        <w:keepLines w:val="0"/>
        <w:pageBreakBefore w:val="0"/>
        <w:widowControl w:val="0"/>
        <w:numPr>
          <w:ilvl w:val="4"/>
          <w:numId w:val="8"/>
        </w:numPr>
        <w:kinsoku/>
        <w:wordWrap/>
        <w:overflowPunct/>
        <w:topLinePunct w:val="0"/>
        <w:autoSpaceDE/>
        <w:autoSpaceDN/>
        <w:bidi w:val="0"/>
        <w:adjustRightInd/>
        <w:snapToGrid/>
        <w:spacing w:beforeLines="0" w:afterLines="0"/>
        <w:ind w:left="0"/>
        <w:textAlignment w:val="auto"/>
        <w:outlineLvl w:val="9"/>
        <w:rPr>
          <w:rFonts w:ascii="宋体" w:hAnsi="宋体" w:eastAsia="宋体" w:cs="宋体"/>
        </w:rPr>
      </w:pPr>
      <w:bookmarkStart w:id="140" w:name="_Toc195624417"/>
      <w:bookmarkStart w:id="141" w:name="_Toc195626083"/>
      <w:r>
        <w:rPr>
          <w:rFonts w:hint="eastAsia" w:ascii="宋体" w:hAnsi="宋体" w:eastAsia="宋体" w:cs="宋体"/>
        </w:rPr>
        <w:t>鉴定材料符合受理要求，双方就鉴定事项经充分沟通达成委托意向的，双方应签订委托协议。委托协议内容包括但不限于：</w:t>
      </w:r>
      <w:bookmarkEnd w:id="140"/>
      <w:bookmarkEnd w:id="141"/>
    </w:p>
    <w:p w14:paraId="5341FF88">
      <w:pPr>
        <w:numPr>
          <w:ilvl w:val="0"/>
          <w:numId w:val="14"/>
        </w:numPr>
        <w:ind w:firstLine="420" w:firstLineChars="200"/>
        <w:rPr>
          <w:rFonts w:ascii="宋体" w:hAnsi="宋体" w:cs="宋体"/>
          <w:szCs w:val="32"/>
        </w:rPr>
      </w:pPr>
      <w:r>
        <w:rPr>
          <w:rFonts w:hint="eastAsia" w:ascii="宋体" w:hAnsi="宋体" w:cs="宋体"/>
          <w:szCs w:val="32"/>
        </w:rPr>
        <w:t>委托人名称或姓名；</w:t>
      </w:r>
    </w:p>
    <w:p w14:paraId="460AA32D">
      <w:pPr>
        <w:numPr>
          <w:ilvl w:val="0"/>
          <w:numId w:val="14"/>
        </w:numPr>
        <w:ind w:firstLine="420" w:firstLineChars="200"/>
        <w:rPr>
          <w:rFonts w:ascii="宋体" w:hAnsi="宋体" w:cs="宋体"/>
          <w:szCs w:val="32"/>
        </w:rPr>
      </w:pPr>
      <w:r>
        <w:rPr>
          <w:rFonts w:hint="eastAsia" w:ascii="宋体" w:hAnsi="宋体" w:cs="宋体"/>
          <w:szCs w:val="32"/>
        </w:rPr>
        <w:t>知识产权鉴定机构名称；</w:t>
      </w:r>
    </w:p>
    <w:p w14:paraId="1E4B5000">
      <w:pPr>
        <w:numPr>
          <w:ilvl w:val="0"/>
          <w:numId w:val="14"/>
        </w:numPr>
        <w:ind w:firstLine="420" w:firstLineChars="200"/>
        <w:rPr>
          <w:rFonts w:ascii="宋体" w:hAnsi="宋体" w:cs="宋体"/>
          <w:szCs w:val="32"/>
        </w:rPr>
      </w:pPr>
      <w:r>
        <w:rPr>
          <w:rFonts w:hint="eastAsia" w:ascii="宋体" w:hAnsi="宋体" w:cs="宋体"/>
          <w:szCs w:val="32"/>
        </w:rPr>
        <w:t>委托鉴定事项；</w:t>
      </w:r>
    </w:p>
    <w:p w14:paraId="615B0A7D">
      <w:pPr>
        <w:numPr>
          <w:ilvl w:val="0"/>
          <w:numId w:val="14"/>
        </w:numPr>
        <w:ind w:firstLine="420" w:firstLineChars="200"/>
        <w:rPr>
          <w:rFonts w:ascii="宋体" w:hAnsi="宋体" w:cs="宋体"/>
          <w:szCs w:val="32"/>
        </w:rPr>
      </w:pPr>
      <w:r>
        <w:rPr>
          <w:rFonts w:hint="eastAsia" w:ascii="宋体" w:hAnsi="宋体" w:cs="宋体"/>
          <w:szCs w:val="32"/>
        </w:rPr>
        <w:t>是否属于重新鉴定；</w:t>
      </w:r>
    </w:p>
    <w:p w14:paraId="167D8141">
      <w:pPr>
        <w:numPr>
          <w:ilvl w:val="0"/>
          <w:numId w:val="14"/>
        </w:numPr>
        <w:ind w:firstLine="420" w:firstLineChars="200"/>
        <w:rPr>
          <w:rFonts w:ascii="宋体" w:hAnsi="宋体" w:cs="宋体"/>
          <w:szCs w:val="32"/>
        </w:rPr>
      </w:pPr>
      <w:r>
        <w:rPr>
          <w:rFonts w:hint="eastAsia" w:ascii="宋体" w:hAnsi="宋体" w:cs="宋体"/>
          <w:szCs w:val="32"/>
        </w:rPr>
        <w:t>双方商定的鉴定服务期限；</w:t>
      </w:r>
    </w:p>
    <w:p w14:paraId="7561AFBA">
      <w:pPr>
        <w:numPr>
          <w:ilvl w:val="0"/>
          <w:numId w:val="14"/>
        </w:numPr>
        <w:ind w:firstLine="420" w:firstLineChars="200"/>
        <w:rPr>
          <w:rFonts w:ascii="宋体" w:hAnsi="宋体" w:cs="宋体"/>
          <w:szCs w:val="32"/>
        </w:rPr>
      </w:pPr>
      <w:r>
        <w:rPr>
          <w:rFonts w:hint="eastAsia" w:ascii="宋体" w:hAnsi="宋体" w:cs="宋体"/>
          <w:szCs w:val="32"/>
        </w:rPr>
        <w:t>鉴定费用及收取方式；</w:t>
      </w:r>
    </w:p>
    <w:p w14:paraId="2640658D">
      <w:pPr>
        <w:numPr>
          <w:ilvl w:val="0"/>
          <w:numId w:val="14"/>
        </w:numPr>
        <w:ind w:firstLine="420" w:firstLineChars="200"/>
        <w:rPr>
          <w:rFonts w:ascii="宋体" w:hAnsi="宋体" w:cs="宋体"/>
          <w:szCs w:val="32"/>
        </w:rPr>
      </w:pPr>
      <w:r>
        <w:rPr>
          <w:rFonts w:hint="eastAsia" w:ascii="宋体" w:hAnsi="宋体" w:cs="宋体"/>
          <w:szCs w:val="32"/>
        </w:rPr>
        <w:t>双方权利义务；</w:t>
      </w:r>
    </w:p>
    <w:p w14:paraId="30B9B3C1">
      <w:pPr>
        <w:numPr>
          <w:ilvl w:val="0"/>
          <w:numId w:val="14"/>
        </w:numPr>
        <w:ind w:firstLine="420" w:firstLineChars="200"/>
        <w:rPr>
          <w:rFonts w:ascii="宋体" w:hAnsi="宋体" w:cs="宋体"/>
          <w:szCs w:val="32"/>
        </w:rPr>
      </w:pPr>
      <w:r>
        <w:rPr>
          <w:rFonts w:hint="eastAsia" w:ascii="宋体" w:hAnsi="宋体" w:cs="宋体"/>
          <w:szCs w:val="32"/>
        </w:rPr>
        <w:t>其他需要载明的事项。</w:t>
      </w:r>
    </w:p>
    <w:p w14:paraId="25AD369F">
      <w:pPr>
        <w:ind w:left="780" w:leftChars="200" w:hanging="360" w:hangingChars="200"/>
        <w:rPr>
          <w:sz w:val="18"/>
          <w:szCs w:val="20"/>
        </w:rPr>
      </w:pPr>
      <w:r>
        <w:rPr>
          <w:rFonts w:hint="eastAsia" w:ascii="黑体" w:hAnsi="黑体" w:eastAsia="黑体" w:cs="黑体"/>
          <w:sz w:val="18"/>
          <w:szCs w:val="20"/>
        </w:rPr>
        <w:t>注：</w:t>
      </w:r>
      <w:r>
        <w:rPr>
          <w:rFonts w:hint="eastAsia"/>
          <w:sz w:val="18"/>
          <w:szCs w:val="20"/>
        </w:rPr>
        <w:t>在签订委托协议之前，知识产权鉴定机构应告知委托人注意协议中与委托人利益密切相关的内容。</w:t>
      </w:r>
    </w:p>
    <w:p w14:paraId="2EC79E64">
      <w:pPr>
        <w:pStyle w:val="70"/>
        <w:keepNext w:val="0"/>
        <w:keepLines w:val="0"/>
        <w:pageBreakBefore w:val="0"/>
        <w:widowControl w:val="0"/>
        <w:numPr>
          <w:ilvl w:val="4"/>
          <w:numId w:val="8"/>
        </w:numPr>
        <w:kinsoku/>
        <w:wordWrap/>
        <w:overflowPunct/>
        <w:topLinePunct w:val="0"/>
        <w:autoSpaceDE/>
        <w:autoSpaceDN/>
        <w:bidi w:val="0"/>
        <w:adjustRightInd/>
        <w:snapToGrid/>
        <w:spacing w:beforeLines="0" w:afterLines="0"/>
        <w:ind w:left="0"/>
        <w:textAlignment w:val="auto"/>
        <w:outlineLvl w:val="9"/>
        <w:rPr>
          <w:rFonts w:ascii="宋体" w:hAnsi="宋体" w:eastAsia="宋体" w:cs="宋体"/>
        </w:rPr>
      </w:pPr>
      <w:bookmarkStart w:id="142" w:name="_Toc195626084"/>
      <w:bookmarkStart w:id="143" w:name="_Toc195624418"/>
      <w:r>
        <w:rPr>
          <w:rFonts w:hint="eastAsia" w:ascii="宋体" w:hAnsi="宋体" w:eastAsia="宋体" w:cs="宋体"/>
        </w:rPr>
        <w:t>知识产权鉴定机构在委托协议生效之日起三十个工作日内完成鉴定。鉴定事项涉及复杂、疑难、特殊技术问题或者鉴定过程需要较长时间的，可与委托人协商确定鉴定时限。</w:t>
      </w:r>
      <w:bookmarkEnd w:id="142"/>
      <w:bookmarkEnd w:id="143"/>
    </w:p>
    <w:p w14:paraId="5EA63653">
      <w:pPr>
        <w:ind w:firstLine="360" w:firstLineChars="200"/>
        <w:rPr>
          <w:sz w:val="18"/>
          <w:szCs w:val="20"/>
        </w:rPr>
      </w:pPr>
      <w:r>
        <w:rPr>
          <w:rFonts w:hint="eastAsia" w:ascii="黑体" w:hAnsi="黑体" w:eastAsia="黑体" w:cs="黑体"/>
          <w:sz w:val="18"/>
          <w:szCs w:val="20"/>
        </w:rPr>
        <w:t>注：</w:t>
      </w:r>
      <w:r>
        <w:rPr>
          <w:rFonts w:hint="eastAsia"/>
          <w:sz w:val="18"/>
          <w:szCs w:val="20"/>
        </w:rPr>
        <w:t>鉴定过程中补充或者重新提取鉴定材料所需的时间，不计入鉴定时限。</w:t>
      </w:r>
    </w:p>
    <w:p w14:paraId="2B82A855">
      <w:pPr>
        <w:pStyle w:val="66"/>
        <w:spacing w:before="156" w:after="156"/>
      </w:pPr>
      <w:bookmarkStart w:id="144" w:name="_Toc195626085"/>
      <w:bookmarkEnd w:id="144"/>
      <w:bookmarkStart w:id="145" w:name="_Toc27378"/>
      <w:bookmarkStart w:id="146" w:name="_Toc8855"/>
      <w:r>
        <w:t>不受理</w:t>
      </w:r>
      <w:bookmarkEnd w:id="145"/>
      <w:bookmarkEnd w:id="146"/>
    </w:p>
    <w:p w14:paraId="3BBF2892">
      <w:pPr>
        <w:ind w:firstLine="420" w:firstLineChars="200"/>
        <w:rPr>
          <w:rFonts w:ascii="宋体" w:hAnsi="宋体" w:cs="宋体"/>
          <w:szCs w:val="32"/>
        </w:rPr>
      </w:pPr>
      <w:r>
        <w:rPr>
          <w:rFonts w:hint="eastAsia" w:ascii="宋体" w:hAnsi="宋体" w:cs="宋体"/>
          <w:szCs w:val="32"/>
        </w:rPr>
        <w:t>具有下列情形之一的，不予受理：</w:t>
      </w:r>
    </w:p>
    <w:p w14:paraId="5CCBB1AE">
      <w:pPr>
        <w:numPr>
          <w:ilvl w:val="0"/>
          <w:numId w:val="15"/>
        </w:numPr>
        <w:ind w:firstLine="420" w:firstLineChars="200"/>
        <w:rPr>
          <w:rFonts w:ascii="宋体" w:hAnsi="宋体" w:cs="宋体"/>
          <w:szCs w:val="32"/>
        </w:rPr>
      </w:pPr>
      <w:r>
        <w:rPr>
          <w:rFonts w:hint="eastAsia" w:ascii="宋体" w:hAnsi="宋体" w:cs="宋体"/>
          <w:szCs w:val="32"/>
        </w:rPr>
        <w:t>鉴定材料来源不合法的；</w:t>
      </w:r>
    </w:p>
    <w:p w14:paraId="5D85CE8B">
      <w:pPr>
        <w:numPr>
          <w:ilvl w:val="0"/>
          <w:numId w:val="15"/>
        </w:numPr>
        <w:ind w:firstLine="420" w:firstLineChars="200"/>
        <w:rPr>
          <w:rFonts w:ascii="宋体" w:hAnsi="宋体" w:cs="宋体"/>
          <w:szCs w:val="32"/>
        </w:rPr>
      </w:pPr>
      <w:r>
        <w:rPr>
          <w:rFonts w:hint="eastAsia" w:ascii="宋体" w:hAnsi="宋体" w:cs="宋体"/>
          <w:szCs w:val="32"/>
        </w:rPr>
        <w:t>鉴定用途违法或者违反公序良俗的；</w:t>
      </w:r>
    </w:p>
    <w:p w14:paraId="27E0EA5C">
      <w:pPr>
        <w:numPr>
          <w:ilvl w:val="0"/>
          <w:numId w:val="15"/>
        </w:numPr>
        <w:ind w:firstLine="420" w:firstLineChars="200"/>
        <w:rPr>
          <w:rFonts w:ascii="宋体" w:hAnsi="宋体" w:cs="宋体"/>
          <w:szCs w:val="32"/>
        </w:rPr>
      </w:pPr>
      <w:r>
        <w:rPr>
          <w:rFonts w:hint="eastAsia" w:ascii="宋体" w:hAnsi="宋体" w:cs="宋体"/>
          <w:szCs w:val="32"/>
        </w:rPr>
        <w:t>鉴定委托事项超出知识产权鉴定机构的业务范围的；</w:t>
      </w:r>
    </w:p>
    <w:p w14:paraId="31125758">
      <w:pPr>
        <w:numPr>
          <w:ilvl w:val="0"/>
          <w:numId w:val="15"/>
        </w:numPr>
        <w:ind w:firstLine="420" w:firstLineChars="200"/>
        <w:rPr>
          <w:rFonts w:ascii="宋体" w:hAnsi="宋体" w:cs="宋体"/>
          <w:szCs w:val="32"/>
        </w:rPr>
      </w:pPr>
      <w:r>
        <w:rPr>
          <w:rFonts w:hint="eastAsia" w:ascii="宋体" w:hAnsi="宋体" w:cs="宋体"/>
          <w:szCs w:val="32"/>
        </w:rPr>
        <w:t>委托人就同一鉴定事项同时委托其他鉴定机构进行鉴定的；</w:t>
      </w:r>
    </w:p>
    <w:p w14:paraId="54334B16">
      <w:pPr>
        <w:numPr>
          <w:ilvl w:val="0"/>
          <w:numId w:val="15"/>
        </w:numPr>
        <w:ind w:firstLine="420" w:firstLineChars="200"/>
        <w:rPr>
          <w:rFonts w:ascii="宋体" w:hAnsi="宋体" w:cs="宋体"/>
          <w:szCs w:val="32"/>
        </w:rPr>
      </w:pPr>
      <w:r>
        <w:rPr>
          <w:rFonts w:hint="eastAsia" w:ascii="宋体" w:hAnsi="宋体" w:cs="宋体"/>
          <w:szCs w:val="32"/>
        </w:rPr>
        <w:t>其他不符合法律、法规、规章等规定的情形。</w:t>
      </w:r>
    </w:p>
    <w:p w14:paraId="29611AF2">
      <w:pPr>
        <w:ind w:firstLine="420" w:firstLineChars="200"/>
        <w:rPr>
          <w:rFonts w:ascii="宋体" w:hAnsi="宋体" w:cs="宋体"/>
          <w:szCs w:val="32"/>
        </w:rPr>
      </w:pPr>
      <w:r>
        <w:rPr>
          <w:rFonts w:hint="eastAsia" w:ascii="宋体" w:hAnsi="宋体" w:cs="宋体"/>
          <w:szCs w:val="32"/>
        </w:rPr>
        <w:t>对不予受理的，应向委托人说明理由，并退还其提供的鉴定材料。</w:t>
      </w:r>
    </w:p>
    <w:p w14:paraId="0E8E8871">
      <w:pPr>
        <w:pStyle w:val="67"/>
        <w:spacing w:before="312" w:after="312"/>
      </w:pPr>
      <w:bookmarkStart w:id="147" w:name="_Toc16329"/>
      <w:bookmarkStart w:id="148" w:name="_Toc23044"/>
      <w:r>
        <w:rPr>
          <w:rFonts w:hint="eastAsia"/>
        </w:rPr>
        <w:t>鉴定实施</w:t>
      </w:r>
      <w:bookmarkEnd w:id="147"/>
      <w:bookmarkEnd w:id="148"/>
      <w:r>
        <w:rPr>
          <w:rFonts w:hint="eastAsia"/>
        </w:rPr>
        <w:t xml:space="preserve"> </w:t>
      </w:r>
    </w:p>
    <w:p w14:paraId="72A20FDB">
      <w:pPr>
        <w:pStyle w:val="66"/>
        <w:spacing w:before="156" w:after="156"/>
      </w:pPr>
      <w:bookmarkStart w:id="149" w:name="_Toc28828"/>
      <w:r>
        <w:rPr>
          <w:rFonts w:hint="eastAsia"/>
        </w:rPr>
        <w:t>组建鉴定组</w:t>
      </w:r>
      <w:bookmarkEnd w:id="149"/>
      <w:r>
        <w:rPr>
          <w:rFonts w:hint="eastAsia"/>
        </w:rPr>
        <w:t xml:space="preserve"> </w:t>
      </w:r>
    </w:p>
    <w:p w14:paraId="00225A27">
      <w:pPr>
        <w:pStyle w:val="70"/>
        <w:keepNext w:val="0"/>
        <w:keepLines w:val="0"/>
        <w:pageBreakBefore w:val="0"/>
        <w:widowControl w:val="0"/>
        <w:kinsoku/>
        <w:wordWrap/>
        <w:overflowPunct/>
        <w:topLinePunct w:val="0"/>
        <w:autoSpaceDE/>
        <w:autoSpaceDN/>
        <w:bidi w:val="0"/>
        <w:adjustRightInd/>
        <w:snapToGrid/>
        <w:spacing w:beforeLines="0" w:afterLines="0"/>
        <w:ind w:left="0"/>
        <w:textAlignment w:val="auto"/>
        <w:outlineLvl w:val="9"/>
        <w:rPr>
          <w:rFonts w:ascii="宋体" w:hAnsi="宋体" w:eastAsia="宋体" w:cs="宋体"/>
        </w:rPr>
      </w:pPr>
      <w:bookmarkStart w:id="150" w:name="_Toc195626089"/>
      <w:bookmarkStart w:id="151" w:name="_Toc195624422"/>
      <w:r>
        <w:rPr>
          <w:rFonts w:hint="eastAsia" w:ascii="宋体" w:hAnsi="宋体" w:eastAsia="宋体" w:cs="宋体"/>
        </w:rPr>
        <w:t>知识产权鉴定机构指派两名以上符合条件的鉴定人形成鉴定组。必要时，知识产权鉴定机构可聘请鉴定专家，鉴定专家对提出的意见签名，并存入鉴定档案。</w:t>
      </w:r>
      <w:bookmarkEnd w:id="150"/>
      <w:bookmarkEnd w:id="151"/>
    </w:p>
    <w:p w14:paraId="78310BBF">
      <w:pPr>
        <w:pStyle w:val="70"/>
        <w:keepNext w:val="0"/>
        <w:keepLines w:val="0"/>
        <w:pageBreakBefore w:val="0"/>
        <w:widowControl w:val="0"/>
        <w:kinsoku/>
        <w:wordWrap/>
        <w:overflowPunct/>
        <w:topLinePunct w:val="0"/>
        <w:autoSpaceDE/>
        <w:autoSpaceDN/>
        <w:bidi w:val="0"/>
        <w:adjustRightInd/>
        <w:snapToGrid/>
        <w:spacing w:beforeLines="0" w:afterLines="0"/>
        <w:ind w:left="0"/>
        <w:textAlignment w:val="auto"/>
        <w:outlineLvl w:val="9"/>
        <w:rPr>
          <w:rFonts w:ascii="宋体" w:hAnsi="宋体" w:eastAsia="宋体" w:cs="宋体"/>
          <w:szCs w:val="21"/>
        </w:rPr>
      </w:pPr>
      <w:bookmarkStart w:id="152" w:name="_Toc195626090"/>
      <w:bookmarkStart w:id="153" w:name="_Toc195624423"/>
      <w:r>
        <w:rPr>
          <w:rFonts w:hint="eastAsia" w:ascii="宋体" w:hAnsi="宋体" w:eastAsia="宋体" w:cs="宋体"/>
          <w:szCs w:val="21"/>
        </w:rPr>
        <w:t>鉴定活动中存在需回避情形的，包括但不限于：</w:t>
      </w:r>
      <w:bookmarkEnd w:id="152"/>
      <w:bookmarkEnd w:id="153"/>
    </w:p>
    <w:p w14:paraId="07D8E710">
      <w:pPr>
        <w:numPr>
          <w:ilvl w:val="0"/>
          <w:numId w:val="16"/>
        </w:numPr>
        <w:ind w:firstLine="420" w:firstLineChars="200"/>
        <w:rPr>
          <w:rFonts w:ascii="宋体" w:hAnsi="宋体" w:cs="宋体"/>
          <w:szCs w:val="32"/>
        </w:rPr>
      </w:pPr>
      <w:r>
        <w:rPr>
          <w:rFonts w:hint="eastAsia" w:ascii="宋体" w:hAnsi="宋体" w:cs="宋体"/>
          <w:szCs w:val="32"/>
        </w:rPr>
        <w:t>鉴定人员或其近亲属与当事人有利害关系，可能影响其公平、公正进行鉴定的；</w:t>
      </w:r>
    </w:p>
    <w:p w14:paraId="023B4BBB">
      <w:pPr>
        <w:numPr>
          <w:ilvl w:val="0"/>
          <w:numId w:val="16"/>
        </w:numPr>
        <w:ind w:firstLine="420" w:firstLineChars="200"/>
        <w:rPr>
          <w:rFonts w:ascii="宋体" w:hAnsi="宋体" w:cs="宋体"/>
          <w:szCs w:val="32"/>
        </w:rPr>
      </w:pPr>
      <w:r>
        <w:rPr>
          <w:rFonts w:hint="eastAsia" w:ascii="宋体" w:hAnsi="宋体" w:cs="宋体"/>
          <w:szCs w:val="32"/>
        </w:rPr>
        <w:t>鉴定人员或其近亲属与鉴定事项涉及的案件有利害关系，可能影响其公平、公正进行鉴定的；</w:t>
      </w:r>
    </w:p>
    <w:p w14:paraId="6F8B056D">
      <w:pPr>
        <w:numPr>
          <w:ilvl w:val="0"/>
          <w:numId w:val="16"/>
        </w:numPr>
        <w:ind w:firstLine="420" w:firstLineChars="200"/>
        <w:rPr>
          <w:rFonts w:ascii="宋体" w:hAnsi="宋体" w:cs="宋体"/>
          <w:szCs w:val="32"/>
        </w:rPr>
      </w:pPr>
      <w:r>
        <w:rPr>
          <w:rFonts w:hint="eastAsia" w:ascii="宋体" w:hAnsi="宋体" w:cs="宋体"/>
          <w:szCs w:val="32"/>
        </w:rPr>
        <w:t>鉴定人员曾经参加过同一鉴定事项鉴定的或曾经作为专家提供过咨询意见的；</w:t>
      </w:r>
    </w:p>
    <w:p w14:paraId="5158A2C6">
      <w:pPr>
        <w:numPr>
          <w:ilvl w:val="0"/>
          <w:numId w:val="16"/>
        </w:numPr>
        <w:ind w:firstLine="420" w:firstLineChars="200"/>
        <w:rPr>
          <w:rFonts w:ascii="宋体" w:hAnsi="宋体" w:cs="宋体"/>
          <w:szCs w:val="32"/>
        </w:rPr>
      </w:pPr>
      <w:r>
        <w:rPr>
          <w:rFonts w:hint="eastAsia" w:ascii="宋体" w:hAnsi="宋体" w:cs="宋体"/>
          <w:szCs w:val="32"/>
        </w:rPr>
        <w:t>鉴定人员曾被聘请为鉴定专家参与过同一鉴定事项法庭质证的；</w:t>
      </w:r>
    </w:p>
    <w:p w14:paraId="476F2816">
      <w:pPr>
        <w:numPr>
          <w:ilvl w:val="0"/>
          <w:numId w:val="16"/>
        </w:numPr>
        <w:ind w:firstLine="420" w:firstLineChars="200"/>
        <w:rPr>
          <w:rFonts w:ascii="宋体" w:hAnsi="宋体" w:cs="宋体"/>
          <w:szCs w:val="32"/>
        </w:rPr>
      </w:pPr>
      <w:r>
        <w:rPr>
          <w:rFonts w:hint="eastAsia" w:ascii="宋体" w:hAnsi="宋体" w:cs="宋体"/>
          <w:szCs w:val="32"/>
        </w:rPr>
        <w:t>其他可能影响公平公正鉴定的情形。</w:t>
      </w:r>
    </w:p>
    <w:p w14:paraId="235A388F">
      <w:pPr>
        <w:pStyle w:val="66"/>
        <w:spacing w:before="156" w:after="156"/>
      </w:pPr>
      <w:bookmarkStart w:id="154" w:name="_Toc1312"/>
      <w:bookmarkStart w:id="155" w:name="_Toc19557"/>
      <w:r>
        <w:rPr>
          <w:rFonts w:hint="eastAsia"/>
        </w:rPr>
        <w:t>制定鉴定方案</w:t>
      </w:r>
      <w:bookmarkEnd w:id="154"/>
      <w:bookmarkEnd w:id="155"/>
      <w:r>
        <w:rPr>
          <w:rFonts w:hint="eastAsia"/>
        </w:rPr>
        <w:t xml:space="preserve"> </w:t>
      </w:r>
    </w:p>
    <w:p w14:paraId="0EA3B60B">
      <w:pPr>
        <w:ind w:firstLine="420" w:firstLineChars="200"/>
        <w:rPr>
          <w:rFonts w:ascii="宋体" w:hAnsi="宋体" w:cs="宋体"/>
          <w:szCs w:val="32"/>
        </w:rPr>
      </w:pPr>
      <w:r>
        <w:rPr>
          <w:rFonts w:hint="eastAsia" w:ascii="宋体" w:hAnsi="宋体" w:cs="宋体"/>
          <w:szCs w:val="32"/>
        </w:rPr>
        <w:t>鉴定组根据鉴定事项、鉴定用途、鉴定材料等制定科学可行的鉴定方案。方案应明确鉴定方法及依据、鉴定工具及设备、实施进度管理等具体内容。</w:t>
      </w:r>
    </w:p>
    <w:p w14:paraId="4F7BA6A7">
      <w:pPr>
        <w:pStyle w:val="66"/>
        <w:spacing w:before="156" w:after="156"/>
      </w:pPr>
      <w:bookmarkStart w:id="156" w:name="_Toc17641"/>
      <w:bookmarkStart w:id="157" w:name="_Toc6090"/>
      <w:r>
        <w:rPr>
          <w:rFonts w:hint="eastAsia"/>
        </w:rPr>
        <w:t>鉴定</w:t>
      </w:r>
      <w:bookmarkEnd w:id="156"/>
      <w:r>
        <w:rPr>
          <w:rFonts w:hint="eastAsia"/>
        </w:rPr>
        <w:t>依据</w:t>
      </w:r>
      <w:bookmarkEnd w:id="157"/>
      <w:r>
        <w:rPr>
          <w:rFonts w:hint="eastAsia"/>
        </w:rPr>
        <w:t xml:space="preserve"> </w:t>
      </w:r>
    </w:p>
    <w:p w14:paraId="62A820B2">
      <w:pPr>
        <w:ind w:firstLine="420"/>
        <w:rPr>
          <w:rFonts w:ascii="宋体" w:hAnsi="宋体" w:cs="宋体"/>
          <w:szCs w:val="32"/>
        </w:rPr>
      </w:pPr>
      <w:r>
        <w:rPr>
          <w:rFonts w:hint="eastAsia" w:ascii="宋体" w:hAnsi="宋体" w:cs="宋体"/>
          <w:szCs w:val="32"/>
        </w:rPr>
        <w:t>鉴定依据包括：</w:t>
      </w:r>
    </w:p>
    <w:p w14:paraId="0395E069">
      <w:pPr>
        <w:numPr>
          <w:ilvl w:val="0"/>
          <w:numId w:val="17"/>
        </w:numPr>
        <w:ind w:firstLine="420" w:firstLineChars="200"/>
        <w:rPr>
          <w:rFonts w:ascii="宋体" w:hAnsi="宋体" w:cs="宋体"/>
          <w:szCs w:val="32"/>
        </w:rPr>
      </w:pPr>
      <w:r>
        <w:rPr>
          <w:rFonts w:hint="eastAsia" w:ascii="宋体" w:hAnsi="宋体" w:cs="宋体"/>
          <w:szCs w:val="32"/>
        </w:rPr>
        <w:t>国家标准；</w:t>
      </w:r>
    </w:p>
    <w:p w14:paraId="47C3C716">
      <w:pPr>
        <w:numPr>
          <w:ilvl w:val="0"/>
          <w:numId w:val="17"/>
        </w:numPr>
        <w:ind w:firstLine="420" w:firstLineChars="200"/>
        <w:rPr>
          <w:rFonts w:ascii="宋体" w:hAnsi="宋体" w:cs="宋体"/>
          <w:szCs w:val="32"/>
        </w:rPr>
      </w:pPr>
      <w:r>
        <w:rPr>
          <w:rFonts w:hint="eastAsia" w:ascii="宋体" w:hAnsi="宋体" w:cs="宋体"/>
          <w:szCs w:val="32"/>
        </w:rPr>
        <w:t>行业标准和技术规范；</w:t>
      </w:r>
    </w:p>
    <w:p w14:paraId="685DD062">
      <w:pPr>
        <w:numPr>
          <w:ilvl w:val="0"/>
          <w:numId w:val="17"/>
        </w:numPr>
        <w:ind w:firstLine="420" w:firstLineChars="200"/>
        <w:rPr>
          <w:rFonts w:ascii="宋体" w:hAnsi="宋体" w:cs="宋体"/>
          <w:szCs w:val="32"/>
        </w:rPr>
      </w:pPr>
      <w:r>
        <w:rPr>
          <w:rFonts w:hint="eastAsia" w:ascii="宋体" w:hAnsi="宋体" w:cs="宋体"/>
          <w:szCs w:val="32"/>
        </w:rPr>
        <w:t>行业惯例和共识；</w:t>
      </w:r>
    </w:p>
    <w:p w14:paraId="295A538D">
      <w:pPr>
        <w:numPr>
          <w:ilvl w:val="0"/>
          <w:numId w:val="17"/>
        </w:numPr>
        <w:ind w:firstLine="420" w:firstLineChars="200"/>
        <w:rPr>
          <w:rFonts w:ascii="宋体" w:hAnsi="宋体" w:cs="宋体"/>
          <w:szCs w:val="32"/>
        </w:rPr>
      </w:pPr>
      <w:r>
        <w:rPr>
          <w:rFonts w:hint="eastAsia" w:ascii="宋体" w:hAnsi="宋体" w:cs="宋体"/>
          <w:szCs w:val="32"/>
        </w:rPr>
        <w:t>其他对知识产权鉴定有指导作用的文件。</w:t>
      </w:r>
    </w:p>
    <w:p w14:paraId="1A4251A1">
      <w:pPr>
        <w:pStyle w:val="66"/>
        <w:spacing w:before="156" w:after="156"/>
      </w:pPr>
      <w:bookmarkStart w:id="158" w:name="_Toc8464"/>
      <w:r>
        <w:rPr>
          <w:rFonts w:hint="eastAsia"/>
        </w:rPr>
        <w:t>委托第三方检测</w:t>
      </w:r>
      <w:bookmarkEnd w:id="158"/>
      <w:r>
        <w:rPr>
          <w:rFonts w:hint="eastAsia"/>
        </w:rPr>
        <w:t xml:space="preserve"> </w:t>
      </w:r>
    </w:p>
    <w:p w14:paraId="45444996">
      <w:pPr>
        <w:ind w:firstLine="420"/>
        <w:rPr>
          <w:rFonts w:ascii="宋体" w:hAnsi="宋体" w:cs="宋体"/>
          <w:szCs w:val="32"/>
        </w:rPr>
      </w:pPr>
      <w:r>
        <w:rPr>
          <w:rFonts w:hint="eastAsia" w:ascii="宋体" w:hAnsi="宋体" w:cs="宋体"/>
          <w:szCs w:val="32"/>
        </w:rPr>
        <w:t>必要时，知识产权鉴定机构可委托第三方机构进行检测，第三方检测机构应提供：</w:t>
      </w:r>
    </w:p>
    <w:p w14:paraId="3EF238B7">
      <w:pPr>
        <w:numPr>
          <w:ilvl w:val="0"/>
          <w:numId w:val="18"/>
        </w:numPr>
        <w:ind w:firstLine="420" w:firstLineChars="200"/>
        <w:rPr>
          <w:rFonts w:ascii="宋体" w:hAnsi="宋体" w:cs="宋体"/>
          <w:szCs w:val="32"/>
        </w:rPr>
      </w:pPr>
      <w:r>
        <w:rPr>
          <w:rFonts w:hint="eastAsia" w:ascii="宋体" w:hAnsi="宋体" w:cs="宋体"/>
          <w:szCs w:val="32"/>
        </w:rPr>
        <w:t>与检测事项相应的能力或资质证明；</w:t>
      </w:r>
    </w:p>
    <w:p w14:paraId="0E49AADA">
      <w:pPr>
        <w:numPr>
          <w:ilvl w:val="0"/>
          <w:numId w:val="18"/>
        </w:numPr>
        <w:ind w:firstLine="420" w:firstLineChars="200"/>
        <w:rPr>
          <w:rFonts w:ascii="宋体" w:hAnsi="宋体" w:cs="宋体"/>
          <w:szCs w:val="32"/>
        </w:rPr>
      </w:pPr>
      <w:r>
        <w:rPr>
          <w:rFonts w:hint="eastAsia" w:ascii="宋体" w:hAnsi="宋体" w:cs="宋体"/>
          <w:szCs w:val="32"/>
        </w:rPr>
        <w:t>含有检测过程的检测报告。</w:t>
      </w:r>
    </w:p>
    <w:p w14:paraId="3A878B97">
      <w:pPr>
        <w:pStyle w:val="66"/>
        <w:spacing w:before="156" w:after="156"/>
        <w:rPr>
          <w:rFonts w:ascii="宋体" w:hAnsi="宋体" w:cs="宋体"/>
          <w:szCs w:val="32"/>
        </w:rPr>
      </w:pPr>
      <w:bookmarkStart w:id="159" w:name="_Toc27597"/>
      <w:r>
        <w:rPr>
          <w:rFonts w:hint="eastAsia"/>
        </w:rPr>
        <w:t>现场勘验</w:t>
      </w:r>
      <w:bookmarkEnd w:id="159"/>
      <w:bookmarkStart w:id="160" w:name="_Toc195626096"/>
      <w:bookmarkEnd w:id="160"/>
      <w:bookmarkStart w:id="161" w:name="_Toc195624429"/>
      <w:bookmarkEnd w:id="161"/>
      <w:bookmarkStart w:id="162" w:name="_Toc195626095"/>
      <w:bookmarkEnd w:id="162"/>
    </w:p>
    <w:p w14:paraId="68DACE88">
      <w:pPr>
        <w:pStyle w:val="68"/>
        <w:rPr>
          <w:rFonts w:hint="default" w:eastAsia="宋体"/>
          <w:lang w:val="en-US" w:eastAsia="zh-CN"/>
        </w:rPr>
      </w:pPr>
      <w:r>
        <w:rPr>
          <w:rFonts w:hint="eastAsia"/>
          <w:lang w:val="en-US" w:eastAsia="zh-CN"/>
        </w:rPr>
        <w:t>需进行现场勘验的，应满足下列要求：</w:t>
      </w:r>
    </w:p>
    <w:p w14:paraId="777DBAC8">
      <w:pPr>
        <w:pStyle w:val="69"/>
        <w:numPr>
          <w:ilvl w:val="0"/>
          <w:numId w:val="19"/>
        </w:numPr>
        <w:ind w:left="735" w:leftChars="200" w:hanging="315" w:hangingChars="150"/>
        <w:rPr>
          <w:rFonts w:hAnsi="宋体" w:cs="宋体"/>
          <w:szCs w:val="32"/>
        </w:rPr>
      </w:pPr>
      <w:r>
        <w:rPr>
          <w:rFonts w:hint="eastAsia" w:hAnsi="宋体" w:cs="宋体"/>
          <w:szCs w:val="32"/>
        </w:rPr>
        <w:t>鉴定材料不能移动或者难以携带、搬运到鉴定机构时，应进行现场勘验；现场勘验时，鉴定机构在委托方的陪同下，派出不少于</w:t>
      </w:r>
      <w:r>
        <w:rPr>
          <w:rFonts w:hint="eastAsia" w:hAnsi="宋体" w:cs="宋体"/>
          <w:szCs w:val="32"/>
          <w:lang w:val="en-US" w:eastAsia="zh-CN"/>
        </w:rPr>
        <w:t>2</w:t>
      </w:r>
      <w:r>
        <w:rPr>
          <w:rFonts w:hint="eastAsia" w:hAnsi="宋体" w:cs="宋体"/>
          <w:szCs w:val="32"/>
        </w:rPr>
        <w:t>名人员前往现场提取鉴定材料，其中至少包含</w:t>
      </w:r>
      <w:r>
        <w:rPr>
          <w:rFonts w:hint="eastAsia" w:hAnsi="宋体" w:cs="宋体"/>
          <w:szCs w:val="32"/>
          <w:lang w:val="en-US" w:eastAsia="zh-CN"/>
        </w:rPr>
        <w:t>1</w:t>
      </w:r>
      <w:r>
        <w:rPr>
          <w:rFonts w:hint="eastAsia" w:hAnsi="宋体" w:cs="宋体"/>
          <w:szCs w:val="32"/>
        </w:rPr>
        <w:t>名本鉴定项目的鉴定人，并做好全面、细致地记录。</w:t>
      </w:r>
    </w:p>
    <w:p w14:paraId="6A514C76">
      <w:pPr>
        <w:pStyle w:val="69"/>
        <w:numPr>
          <w:ilvl w:val="0"/>
          <w:numId w:val="19"/>
        </w:numPr>
        <w:ind w:left="735" w:leftChars="200" w:hanging="315" w:hangingChars="150"/>
      </w:pPr>
      <w:r>
        <w:rPr>
          <w:rFonts w:hint="eastAsia"/>
        </w:rPr>
        <w:t>现场提取应</w:t>
      </w:r>
      <w:r>
        <w:rPr>
          <w:rFonts w:hint="eastAsia"/>
          <w:lang w:val="en-US" w:eastAsia="zh-CN"/>
        </w:rPr>
        <w:t>具备</w:t>
      </w:r>
      <w:r>
        <w:rPr>
          <w:rFonts w:hint="eastAsia"/>
        </w:rPr>
        <w:t>相应的工具和设备，记录内容包括现场的时间、地点、对象、提取方法、提取过程等</w:t>
      </w:r>
      <w:r>
        <w:rPr>
          <w:rFonts w:hint="eastAsia" w:hAnsi="宋体" w:cs="宋体"/>
          <w:szCs w:val="32"/>
        </w:rPr>
        <w:t>。</w:t>
      </w:r>
    </w:p>
    <w:p w14:paraId="7EDC51FC">
      <w:pPr>
        <w:pStyle w:val="69"/>
        <w:numPr>
          <w:ilvl w:val="0"/>
          <w:numId w:val="19"/>
        </w:numPr>
        <w:ind w:left="735" w:leftChars="200" w:hanging="315" w:hangingChars="150"/>
        <w:rPr>
          <w:rFonts w:hAnsi="宋体" w:cs="宋体"/>
          <w:szCs w:val="32"/>
        </w:rPr>
      </w:pPr>
      <w:r>
        <w:rPr>
          <w:rFonts w:hint="eastAsia" w:hAnsi="宋体" w:cs="宋体"/>
          <w:szCs w:val="32"/>
        </w:rPr>
        <w:t>鉴定人对提取的鉴定材料进行现场确认。</w:t>
      </w:r>
    </w:p>
    <w:p w14:paraId="33C3B125">
      <w:pPr>
        <w:pStyle w:val="69"/>
        <w:numPr>
          <w:ilvl w:val="0"/>
          <w:numId w:val="19"/>
        </w:numPr>
        <w:ind w:left="735" w:leftChars="200" w:hanging="315" w:hangingChars="150"/>
        <w:rPr>
          <w:rFonts w:hAnsi="宋体" w:cs="宋体"/>
          <w:szCs w:val="32"/>
        </w:rPr>
      </w:pPr>
      <w:r>
        <w:rPr>
          <w:rFonts w:hint="eastAsia" w:hAnsi="宋体" w:cs="宋体"/>
          <w:szCs w:val="32"/>
        </w:rPr>
        <w:t>鉴定机构对提取的鉴定材料妥善保管，确保其可追溯性。</w:t>
      </w:r>
    </w:p>
    <w:p w14:paraId="271B11CA">
      <w:pPr>
        <w:pStyle w:val="66"/>
        <w:spacing w:before="156" w:after="156"/>
      </w:pPr>
      <w:bookmarkStart w:id="163" w:name="_Toc17918"/>
      <w:bookmarkStart w:id="164" w:name="_Toc7449"/>
      <w:r>
        <w:rPr>
          <w:rFonts w:hint="eastAsia"/>
        </w:rPr>
        <w:t>检索</w:t>
      </w:r>
      <w:bookmarkEnd w:id="163"/>
      <w:bookmarkEnd w:id="164"/>
    </w:p>
    <w:p w14:paraId="4A018AB3">
      <w:pPr>
        <w:pStyle w:val="68"/>
        <w:rPr>
          <w:rFonts w:hint="default" w:eastAsia="宋体"/>
          <w:lang w:val="en-US" w:eastAsia="zh-CN"/>
        </w:rPr>
      </w:pPr>
      <w:r>
        <w:rPr>
          <w:rFonts w:hint="eastAsia"/>
          <w:lang w:val="en-US" w:eastAsia="zh-CN"/>
        </w:rPr>
        <w:t>应满足下列要求：</w:t>
      </w:r>
    </w:p>
    <w:p w14:paraId="2B44DA5B">
      <w:pPr>
        <w:pStyle w:val="69"/>
        <w:numPr>
          <w:ilvl w:val="0"/>
          <w:numId w:val="20"/>
        </w:numPr>
        <w:ind w:left="735" w:leftChars="200" w:hanging="315" w:hangingChars="150"/>
        <w:rPr>
          <w:rFonts w:hAnsi="宋体" w:cs="宋体"/>
          <w:szCs w:val="32"/>
        </w:rPr>
      </w:pPr>
      <w:r>
        <w:rPr>
          <w:rFonts w:hint="eastAsia"/>
        </w:rPr>
        <w:t>鉴定过程中需要进行信息检索的，应制定科学检索策略，包括选择检索系统或数据库、表达基本检索要素、构建检索式和调整检索策略</w:t>
      </w:r>
      <w:r>
        <w:rPr>
          <w:rFonts w:hint="eastAsia" w:hAnsi="宋体" w:cs="宋体"/>
          <w:szCs w:val="32"/>
        </w:rPr>
        <w:t>；</w:t>
      </w:r>
    </w:p>
    <w:p w14:paraId="78B6F797">
      <w:pPr>
        <w:pStyle w:val="69"/>
        <w:numPr>
          <w:ilvl w:val="0"/>
          <w:numId w:val="20"/>
        </w:numPr>
        <w:ind w:left="735" w:leftChars="200" w:hanging="315" w:hangingChars="150"/>
        <w:rPr>
          <w:rFonts w:hAnsi="宋体" w:cs="宋体"/>
          <w:szCs w:val="32"/>
        </w:rPr>
      </w:pPr>
      <w:r>
        <w:rPr>
          <w:rFonts w:hint="eastAsia" w:hAnsi="宋体" w:cs="宋体"/>
          <w:szCs w:val="32"/>
        </w:rPr>
        <w:t>最低检索范围包括：中国专利、外文专利、国内外科技图书、期刊、学位论文、标准</w:t>
      </w:r>
      <w:r>
        <w:rPr>
          <w:rFonts w:hAnsi="宋体" w:cs="宋体"/>
          <w:szCs w:val="32"/>
        </w:rPr>
        <w:t>/协议、索引工具及</w:t>
      </w:r>
      <w:r>
        <w:rPr>
          <w:rFonts w:hint="eastAsia" w:hAnsi="宋体" w:cs="宋体"/>
          <w:szCs w:val="32"/>
        </w:rPr>
        <w:t>手册。</w:t>
      </w:r>
    </w:p>
    <w:p w14:paraId="46FEA099">
      <w:pPr>
        <w:pStyle w:val="69"/>
        <w:numPr>
          <w:ilvl w:val="0"/>
          <w:numId w:val="20"/>
        </w:numPr>
        <w:ind w:left="735" w:leftChars="200" w:hanging="315" w:hangingChars="150"/>
      </w:pPr>
      <w:r>
        <w:rPr>
          <w:rFonts w:hint="eastAsia"/>
        </w:rPr>
        <w:t>检索终止，列出检索结果。</w:t>
      </w:r>
    </w:p>
    <w:p w14:paraId="654452AC">
      <w:pPr>
        <w:pStyle w:val="66"/>
        <w:spacing w:before="156" w:after="156"/>
      </w:pPr>
      <w:bookmarkStart w:id="165" w:name="_Toc8070"/>
      <w:bookmarkStart w:id="166" w:name="_Toc17696"/>
      <w:r>
        <w:rPr>
          <w:rFonts w:hint="eastAsia"/>
        </w:rPr>
        <w:t>出具鉴定意见</w:t>
      </w:r>
      <w:bookmarkEnd w:id="165"/>
      <w:bookmarkEnd w:id="166"/>
    </w:p>
    <w:p w14:paraId="7A8E2A25">
      <w:pPr>
        <w:pStyle w:val="69"/>
        <w:keepNext w:val="0"/>
        <w:keepLines w:val="0"/>
        <w:pageBreakBefore w:val="0"/>
        <w:widowControl w:val="0"/>
        <w:kinsoku/>
        <w:wordWrap/>
        <w:overflowPunct/>
        <w:topLinePunct w:val="0"/>
        <w:autoSpaceDE/>
        <w:autoSpaceDN/>
        <w:bidi w:val="0"/>
        <w:adjustRightInd/>
        <w:snapToGrid/>
        <w:ind w:left="0"/>
        <w:textAlignment w:val="auto"/>
        <w:rPr>
          <w:rFonts w:hAnsi="宋体" w:cs="宋体"/>
        </w:rPr>
      </w:pPr>
      <w:bookmarkStart w:id="167" w:name="_Toc195624433"/>
      <w:r>
        <w:rPr>
          <w:rFonts w:hint="eastAsia" w:hAnsi="宋体" w:cs="宋体"/>
        </w:rPr>
        <w:t>鉴定机构应制定和实施针对鉴定意见的内部质量控制措施，以确保鉴定结果的质量。</w:t>
      </w:r>
      <w:bookmarkEnd w:id="167"/>
    </w:p>
    <w:p w14:paraId="4B70558F">
      <w:pPr>
        <w:pStyle w:val="69"/>
        <w:keepNext w:val="0"/>
        <w:keepLines w:val="0"/>
        <w:pageBreakBefore w:val="0"/>
        <w:widowControl w:val="0"/>
        <w:kinsoku/>
        <w:wordWrap/>
        <w:overflowPunct/>
        <w:topLinePunct w:val="0"/>
        <w:autoSpaceDE/>
        <w:autoSpaceDN/>
        <w:bidi w:val="0"/>
        <w:adjustRightInd/>
        <w:snapToGrid/>
        <w:ind w:left="0"/>
        <w:textAlignment w:val="auto"/>
        <w:rPr>
          <w:rFonts w:hAnsi="宋体" w:cs="宋体"/>
        </w:rPr>
      </w:pPr>
      <w:bookmarkStart w:id="168" w:name="_Toc195624434"/>
      <w:r>
        <w:rPr>
          <w:rFonts w:hint="eastAsia" w:hAnsi="宋体" w:cs="宋体"/>
        </w:rPr>
        <w:t>知识产权鉴定机构出具的鉴定意见书，内容包括但不限于：</w:t>
      </w:r>
      <w:bookmarkEnd w:id="168"/>
    </w:p>
    <w:p w14:paraId="157E5EC6">
      <w:pPr>
        <w:numPr>
          <w:ilvl w:val="0"/>
          <w:numId w:val="21"/>
        </w:numPr>
        <w:ind w:firstLine="420" w:firstLineChars="200"/>
        <w:rPr>
          <w:rFonts w:ascii="宋体" w:hAnsi="宋体" w:cs="宋体"/>
          <w:szCs w:val="32"/>
        </w:rPr>
      </w:pPr>
      <w:r>
        <w:rPr>
          <w:rFonts w:hint="eastAsia" w:ascii="宋体" w:hAnsi="宋体" w:cs="宋体"/>
          <w:szCs w:val="32"/>
        </w:rPr>
        <w:t>委托方信息；</w:t>
      </w:r>
    </w:p>
    <w:p w14:paraId="5300AA68">
      <w:pPr>
        <w:numPr>
          <w:ilvl w:val="0"/>
          <w:numId w:val="21"/>
        </w:numPr>
        <w:ind w:firstLine="420" w:firstLineChars="200"/>
        <w:rPr>
          <w:rFonts w:ascii="宋体" w:hAnsi="宋体" w:cs="宋体"/>
          <w:szCs w:val="32"/>
        </w:rPr>
      </w:pPr>
      <w:r>
        <w:rPr>
          <w:rFonts w:hint="eastAsia" w:ascii="宋体" w:hAnsi="宋体" w:cs="宋体"/>
          <w:szCs w:val="32"/>
        </w:rPr>
        <w:t>鉴定材料；</w:t>
      </w:r>
    </w:p>
    <w:p w14:paraId="463BFADC">
      <w:pPr>
        <w:numPr>
          <w:ilvl w:val="0"/>
          <w:numId w:val="21"/>
        </w:numPr>
        <w:ind w:firstLine="420" w:firstLineChars="200"/>
        <w:rPr>
          <w:rFonts w:ascii="宋体" w:hAnsi="宋体" w:cs="宋体"/>
          <w:szCs w:val="32"/>
        </w:rPr>
      </w:pPr>
      <w:r>
        <w:rPr>
          <w:rFonts w:hint="eastAsia" w:ascii="宋体" w:hAnsi="宋体" w:cs="宋体"/>
          <w:szCs w:val="32"/>
        </w:rPr>
        <w:t>委托鉴定事项；</w:t>
      </w:r>
    </w:p>
    <w:p w14:paraId="099FAD1D">
      <w:pPr>
        <w:numPr>
          <w:ilvl w:val="0"/>
          <w:numId w:val="21"/>
        </w:numPr>
        <w:ind w:firstLine="420" w:firstLineChars="200"/>
        <w:rPr>
          <w:rFonts w:ascii="宋体" w:hAnsi="宋体" w:cs="宋体"/>
          <w:szCs w:val="32"/>
        </w:rPr>
      </w:pPr>
      <w:r>
        <w:rPr>
          <w:rFonts w:hint="eastAsia" w:ascii="宋体" w:hAnsi="宋体" w:cs="宋体"/>
          <w:szCs w:val="32"/>
        </w:rPr>
        <w:t>鉴定依据；</w:t>
      </w:r>
    </w:p>
    <w:p w14:paraId="6DC39400">
      <w:pPr>
        <w:numPr>
          <w:ilvl w:val="0"/>
          <w:numId w:val="21"/>
        </w:numPr>
        <w:ind w:firstLine="420" w:firstLineChars="200"/>
        <w:rPr>
          <w:rFonts w:ascii="宋体" w:hAnsi="宋体" w:cs="宋体"/>
          <w:szCs w:val="32"/>
        </w:rPr>
      </w:pPr>
      <w:r>
        <w:rPr>
          <w:rFonts w:hint="eastAsia" w:ascii="宋体" w:hAnsi="宋体" w:cs="宋体"/>
          <w:szCs w:val="32"/>
        </w:rPr>
        <w:t>鉴定过程；</w:t>
      </w:r>
    </w:p>
    <w:p w14:paraId="69F559FC">
      <w:pPr>
        <w:numPr>
          <w:ilvl w:val="0"/>
          <w:numId w:val="21"/>
        </w:numPr>
        <w:ind w:firstLine="420" w:firstLineChars="200"/>
        <w:rPr>
          <w:rFonts w:ascii="宋体" w:hAnsi="宋体" w:cs="宋体"/>
          <w:szCs w:val="32"/>
        </w:rPr>
      </w:pPr>
      <w:r>
        <w:rPr>
          <w:rFonts w:hint="eastAsia" w:ascii="宋体" w:hAnsi="宋体" w:cs="宋体"/>
          <w:szCs w:val="32"/>
        </w:rPr>
        <w:t>鉴定结论。</w:t>
      </w:r>
    </w:p>
    <w:p w14:paraId="1A0B5FB9">
      <w:pPr>
        <w:pStyle w:val="69"/>
        <w:keepNext w:val="0"/>
        <w:keepLines w:val="0"/>
        <w:pageBreakBefore w:val="0"/>
        <w:widowControl w:val="0"/>
        <w:kinsoku/>
        <w:wordWrap/>
        <w:overflowPunct/>
        <w:topLinePunct w:val="0"/>
        <w:autoSpaceDE/>
        <w:autoSpaceDN/>
        <w:bidi w:val="0"/>
        <w:adjustRightInd/>
        <w:snapToGrid/>
        <w:ind w:left="0"/>
        <w:textAlignment w:val="auto"/>
        <w:rPr>
          <w:rFonts w:hAnsi="宋体" w:cs="宋体"/>
        </w:rPr>
      </w:pPr>
      <w:bookmarkStart w:id="169" w:name="_Toc195624435"/>
      <w:r>
        <w:rPr>
          <w:rFonts w:hint="eastAsia" w:hAnsi="宋体" w:cs="宋体"/>
        </w:rPr>
        <w:t>鉴定意见书由鉴定人签名，知识产权鉴定机构加盖公章，按照约定的方式交付给委托人，并对鉴定意见书归档保存。</w:t>
      </w:r>
      <w:bookmarkEnd w:id="169"/>
    </w:p>
    <w:p w14:paraId="447D7A91">
      <w:pPr>
        <w:pStyle w:val="66"/>
        <w:spacing w:before="156" w:after="156"/>
      </w:pPr>
      <w:bookmarkStart w:id="170" w:name="_Toc2039"/>
      <w:r>
        <w:rPr>
          <w:rFonts w:hint="eastAsia"/>
        </w:rPr>
        <w:t>终止鉴定</w:t>
      </w:r>
      <w:bookmarkEnd w:id="170"/>
    </w:p>
    <w:p w14:paraId="30B05BBB">
      <w:pPr>
        <w:pStyle w:val="69"/>
        <w:keepNext w:val="0"/>
        <w:keepLines w:val="0"/>
        <w:pageBreakBefore w:val="0"/>
        <w:widowControl w:val="0"/>
        <w:kinsoku/>
        <w:wordWrap/>
        <w:overflowPunct/>
        <w:topLinePunct w:val="0"/>
        <w:autoSpaceDE/>
        <w:autoSpaceDN/>
        <w:bidi w:val="0"/>
        <w:adjustRightInd/>
        <w:snapToGrid/>
        <w:ind w:left="0" w:firstLine="0"/>
        <w:textAlignment w:val="auto"/>
        <w:rPr>
          <w:rFonts w:hAnsi="宋体" w:cs="宋体"/>
        </w:rPr>
      </w:pPr>
      <w:bookmarkStart w:id="171" w:name="_Toc195624437"/>
      <w:r>
        <w:rPr>
          <w:rFonts w:hint="eastAsia" w:hAnsi="宋体" w:cs="宋体"/>
        </w:rPr>
        <w:t>出现下列情形之一的，终止鉴定：</w:t>
      </w:r>
      <w:bookmarkEnd w:id="171"/>
    </w:p>
    <w:p w14:paraId="49CC009A">
      <w:pPr>
        <w:numPr>
          <w:ilvl w:val="0"/>
          <w:numId w:val="22"/>
        </w:numPr>
        <w:ind w:firstLine="420" w:firstLineChars="200"/>
        <w:rPr>
          <w:rFonts w:ascii="宋体" w:hAnsi="宋体" w:cs="宋体"/>
          <w:szCs w:val="32"/>
        </w:rPr>
      </w:pPr>
      <w:r>
        <w:rPr>
          <w:rFonts w:hint="eastAsia" w:ascii="宋体" w:hAnsi="宋体" w:cs="宋体"/>
          <w:szCs w:val="32"/>
        </w:rPr>
        <w:t>委托人提供的鉴定材料不真实、不完整、不充分或者取得方式不合法；</w:t>
      </w:r>
    </w:p>
    <w:p w14:paraId="7FE9ED1C">
      <w:pPr>
        <w:numPr>
          <w:ilvl w:val="0"/>
          <w:numId w:val="22"/>
        </w:numPr>
        <w:ind w:firstLine="420" w:firstLineChars="200"/>
        <w:rPr>
          <w:rFonts w:ascii="宋体" w:hAnsi="宋体" w:cs="宋体"/>
          <w:szCs w:val="32"/>
        </w:rPr>
      </w:pPr>
      <w:r>
        <w:rPr>
          <w:rFonts w:hint="eastAsia" w:ascii="宋体" w:hAnsi="宋体" w:cs="宋体"/>
          <w:szCs w:val="32"/>
        </w:rPr>
        <w:t>鉴定用途不合法或者违背公序良俗；</w:t>
      </w:r>
    </w:p>
    <w:p w14:paraId="1C77ED76">
      <w:pPr>
        <w:numPr>
          <w:ilvl w:val="0"/>
          <w:numId w:val="22"/>
        </w:numPr>
        <w:ind w:firstLine="420" w:firstLineChars="200"/>
        <w:rPr>
          <w:rFonts w:ascii="宋体" w:hAnsi="宋体" w:cs="宋体"/>
          <w:szCs w:val="32"/>
        </w:rPr>
      </w:pPr>
      <w:r>
        <w:rPr>
          <w:rFonts w:hint="eastAsia" w:ascii="宋体" w:hAnsi="宋体" w:cs="宋体"/>
          <w:szCs w:val="32"/>
        </w:rPr>
        <w:t>委托人拒不履行委托协议规定的；</w:t>
      </w:r>
    </w:p>
    <w:p w14:paraId="77274741">
      <w:pPr>
        <w:numPr>
          <w:ilvl w:val="0"/>
          <w:numId w:val="22"/>
        </w:numPr>
        <w:ind w:firstLine="420" w:firstLineChars="200"/>
        <w:rPr>
          <w:rFonts w:ascii="宋体" w:hAnsi="宋体" w:cs="宋体"/>
          <w:szCs w:val="32"/>
        </w:rPr>
      </w:pPr>
      <w:r>
        <w:rPr>
          <w:rFonts w:hint="eastAsia" w:ascii="宋体" w:hAnsi="宋体" w:cs="宋体"/>
          <w:szCs w:val="32"/>
        </w:rPr>
        <w:t>委托人就同一鉴定事项同时委托其他鉴定机构进行鉴定；</w:t>
      </w:r>
    </w:p>
    <w:p w14:paraId="1D7D515A">
      <w:pPr>
        <w:numPr>
          <w:ilvl w:val="0"/>
          <w:numId w:val="22"/>
        </w:numPr>
        <w:ind w:firstLine="420" w:firstLineChars="200"/>
        <w:rPr>
          <w:rFonts w:ascii="宋体" w:hAnsi="宋体" w:cs="宋体"/>
          <w:szCs w:val="32"/>
        </w:rPr>
      </w:pPr>
      <w:r>
        <w:rPr>
          <w:rFonts w:hint="eastAsia" w:ascii="宋体" w:hAnsi="宋体" w:cs="宋体"/>
          <w:szCs w:val="32"/>
        </w:rPr>
        <w:t>委托人主动撤销鉴定委托；</w:t>
      </w:r>
    </w:p>
    <w:p w14:paraId="2735D8CF">
      <w:pPr>
        <w:numPr>
          <w:ilvl w:val="0"/>
          <w:numId w:val="22"/>
        </w:numPr>
        <w:ind w:firstLine="420" w:firstLineChars="200"/>
        <w:rPr>
          <w:rFonts w:ascii="宋体" w:hAnsi="宋体" w:cs="宋体"/>
          <w:szCs w:val="32"/>
        </w:rPr>
      </w:pPr>
      <w:r>
        <w:rPr>
          <w:rFonts w:hint="eastAsia" w:ascii="宋体" w:hAnsi="宋体" w:cs="宋体"/>
          <w:szCs w:val="32"/>
        </w:rPr>
        <w:t>因不可抗力致使鉴定无法继续进行；</w:t>
      </w:r>
    </w:p>
    <w:p w14:paraId="45A9C6FC">
      <w:pPr>
        <w:numPr>
          <w:ilvl w:val="0"/>
          <w:numId w:val="22"/>
        </w:numPr>
        <w:ind w:firstLine="420" w:firstLineChars="200"/>
        <w:rPr>
          <w:rFonts w:ascii="宋体" w:hAnsi="宋体" w:cs="宋体"/>
          <w:szCs w:val="32"/>
        </w:rPr>
      </w:pPr>
      <w:r>
        <w:rPr>
          <w:rFonts w:hint="eastAsia" w:ascii="宋体" w:hAnsi="宋体" w:cs="宋体"/>
          <w:szCs w:val="32"/>
        </w:rPr>
        <w:t>其他需要终止鉴定的情形。</w:t>
      </w:r>
    </w:p>
    <w:p w14:paraId="068DA767">
      <w:pPr>
        <w:pStyle w:val="70"/>
        <w:keepNext w:val="0"/>
        <w:keepLines w:val="0"/>
        <w:pageBreakBefore w:val="0"/>
        <w:widowControl w:val="0"/>
        <w:kinsoku/>
        <w:wordWrap/>
        <w:overflowPunct/>
        <w:topLinePunct w:val="0"/>
        <w:autoSpaceDE/>
        <w:autoSpaceDN/>
        <w:bidi w:val="0"/>
        <w:adjustRightInd/>
        <w:snapToGrid/>
        <w:spacing w:beforeLines="0" w:afterLines="0"/>
        <w:ind w:left="0" w:firstLine="0"/>
        <w:textAlignment w:val="auto"/>
        <w:outlineLvl w:val="9"/>
        <w:rPr>
          <w:rFonts w:ascii="宋体" w:hAnsi="宋体" w:eastAsia="宋体" w:cs="宋体"/>
        </w:rPr>
      </w:pPr>
      <w:bookmarkStart w:id="172" w:name="_Toc195624438"/>
      <w:bookmarkStart w:id="173" w:name="_Toc195626100"/>
      <w:r>
        <w:rPr>
          <w:rFonts w:hint="eastAsia" w:ascii="宋体" w:hAnsi="宋体" w:eastAsia="宋体" w:cs="宋体"/>
        </w:rPr>
        <w:t>知识产权鉴定机构以书面形式通知委托人，说明终止鉴定的理由并退还鉴定材料。</w:t>
      </w:r>
      <w:bookmarkEnd w:id="172"/>
      <w:bookmarkEnd w:id="173"/>
    </w:p>
    <w:p w14:paraId="6C1B4C0E">
      <w:pPr>
        <w:pStyle w:val="66"/>
        <w:spacing w:before="156" w:after="156"/>
      </w:pPr>
      <w:bookmarkStart w:id="174" w:name="_Toc14507"/>
      <w:bookmarkStart w:id="175" w:name="_Toc669"/>
      <w:r>
        <w:rPr>
          <w:rFonts w:hint="eastAsia"/>
        </w:rPr>
        <w:t>补充鉴定</w:t>
      </w:r>
      <w:bookmarkEnd w:id="174"/>
      <w:bookmarkEnd w:id="175"/>
    </w:p>
    <w:p w14:paraId="4C51CBDE">
      <w:pPr>
        <w:ind w:firstLine="420" w:firstLineChars="200"/>
      </w:pPr>
      <w:r>
        <w:rPr>
          <w:rFonts w:hint="eastAsia"/>
        </w:rPr>
        <w:t>知识产权鉴定机构在鉴定过程中，有下列情形之一的，根据委托人的要求组织原鉴定人进行补充鉴定：</w:t>
      </w:r>
    </w:p>
    <w:p w14:paraId="6470F22C">
      <w:pPr>
        <w:numPr>
          <w:ilvl w:val="0"/>
          <w:numId w:val="23"/>
        </w:numPr>
        <w:ind w:firstLine="420" w:firstLineChars="200"/>
        <w:rPr>
          <w:rFonts w:ascii="宋体" w:hAnsi="宋体" w:cs="宋体"/>
          <w:szCs w:val="32"/>
        </w:rPr>
      </w:pPr>
      <w:r>
        <w:rPr>
          <w:rFonts w:hint="eastAsia" w:ascii="宋体" w:hAnsi="宋体" w:cs="宋体"/>
          <w:szCs w:val="32"/>
        </w:rPr>
        <w:t>原鉴定事项</w:t>
      </w:r>
      <w:r>
        <w:rPr>
          <w:rFonts w:hint="eastAsia" w:ascii="宋体" w:hAnsi="宋体" w:cs="宋体"/>
          <w:szCs w:val="32"/>
          <w:lang w:val="en-US" w:eastAsia="zh-CN"/>
        </w:rPr>
        <w:t>存在</w:t>
      </w:r>
      <w:r>
        <w:rPr>
          <w:rFonts w:hint="eastAsia" w:ascii="宋体" w:hAnsi="宋体" w:cs="宋体"/>
          <w:szCs w:val="32"/>
        </w:rPr>
        <w:t>遗漏的；</w:t>
      </w:r>
    </w:p>
    <w:p w14:paraId="25AAA421">
      <w:pPr>
        <w:numPr>
          <w:ilvl w:val="0"/>
          <w:numId w:val="23"/>
        </w:numPr>
        <w:ind w:firstLine="420" w:firstLineChars="200"/>
        <w:rPr>
          <w:rFonts w:ascii="宋体" w:hAnsi="宋体" w:cs="宋体"/>
          <w:szCs w:val="32"/>
        </w:rPr>
      </w:pPr>
      <w:r>
        <w:rPr>
          <w:rFonts w:hint="eastAsia" w:ascii="宋体" w:hAnsi="宋体" w:cs="宋体"/>
          <w:szCs w:val="32"/>
        </w:rPr>
        <w:t>委托人就原鉴定事项提供新的鉴定材料的；</w:t>
      </w:r>
    </w:p>
    <w:p w14:paraId="0E06093F">
      <w:pPr>
        <w:numPr>
          <w:ilvl w:val="0"/>
          <w:numId w:val="23"/>
        </w:numPr>
        <w:ind w:firstLine="420" w:firstLineChars="200"/>
        <w:rPr>
          <w:rFonts w:ascii="宋体" w:hAnsi="宋体" w:cs="宋体"/>
          <w:szCs w:val="32"/>
        </w:rPr>
      </w:pPr>
      <w:r>
        <w:rPr>
          <w:rFonts w:hint="eastAsia" w:ascii="宋体" w:hAnsi="宋体" w:cs="宋体"/>
          <w:szCs w:val="32"/>
        </w:rPr>
        <w:t xml:space="preserve">其他需要补充鉴定的情形。 </w:t>
      </w:r>
    </w:p>
    <w:p w14:paraId="50A82437">
      <w:pPr>
        <w:pStyle w:val="66"/>
        <w:spacing w:before="156" w:after="156"/>
      </w:pPr>
      <w:bookmarkStart w:id="176" w:name="_Toc11611"/>
      <w:r>
        <w:rPr>
          <w:rFonts w:hint="eastAsia"/>
        </w:rPr>
        <w:t>鉴定材料和</w:t>
      </w:r>
      <w:r>
        <w:rPr>
          <w:rFonts w:hint="eastAsia"/>
          <w:szCs w:val="21"/>
        </w:rPr>
        <w:t>档案管理</w:t>
      </w:r>
      <w:bookmarkEnd w:id="176"/>
    </w:p>
    <w:p w14:paraId="464996D1">
      <w:pPr>
        <w:pStyle w:val="70"/>
        <w:keepNext w:val="0"/>
        <w:keepLines w:val="0"/>
        <w:pageBreakBefore w:val="0"/>
        <w:widowControl w:val="0"/>
        <w:kinsoku/>
        <w:wordWrap/>
        <w:overflowPunct/>
        <w:topLinePunct w:val="0"/>
        <w:autoSpaceDE/>
        <w:autoSpaceDN/>
        <w:bidi w:val="0"/>
        <w:adjustRightInd/>
        <w:snapToGrid/>
        <w:spacing w:beforeLines="0" w:afterLines="0"/>
        <w:ind w:left="0" w:firstLine="0"/>
        <w:textAlignment w:val="auto"/>
        <w:outlineLvl w:val="9"/>
      </w:pPr>
      <w:r>
        <w:rPr>
          <w:rFonts w:hint="eastAsia" w:ascii="宋体" w:eastAsia="宋体"/>
        </w:rPr>
        <w:t>鉴定完成后，鉴定机构按照与委托人约定的方式，处理鉴定材料，处理方式包括但不限于退还或者销毁。</w:t>
      </w:r>
    </w:p>
    <w:p w14:paraId="3C4D2EFE">
      <w:pPr>
        <w:pStyle w:val="70"/>
        <w:keepNext w:val="0"/>
        <w:keepLines w:val="0"/>
        <w:pageBreakBefore w:val="0"/>
        <w:widowControl w:val="0"/>
        <w:kinsoku/>
        <w:wordWrap/>
        <w:overflowPunct/>
        <w:topLinePunct w:val="0"/>
        <w:autoSpaceDE/>
        <w:autoSpaceDN/>
        <w:bidi w:val="0"/>
        <w:adjustRightInd/>
        <w:snapToGrid/>
        <w:spacing w:beforeLines="0" w:afterLines="0"/>
        <w:ind w:left="0" w:firstLine="0"/>
        <w:textAlignment w:val="auto"/>
        <w:outlineLvl w:val="9"/>
        <w:rPr>
          <w:rFonts w:hAnsi="宋体" w:cs="宋体"/>
          <w:szCs w:val="32"/>
        </w:rPr>
      </w:pPr>
      <w:r>
        <w:rPr>
          <w:rFonts w:hint="eastAsia" w:ascii="宋体" w:eastAsia="宋体"/>
        </w:rPr>
        <w:t>鉴定机构应建立档案管理制度，集中统一管理鉴定过程中形成的档案。</w:t>
      </w:r>
    </w:p>
    <w:p w14:paraId="06489A95">
      <w:pPr>
        <w:pStyle w:val="67"/>
        <w:spacing w:before="312" w:after="312"/>
      </w:pPr>
      <w:bookmarkStart w:id="177" w:name="_Toc28805"/>
      <w:bookmarkStart w:id="178" w:name="_Toc28567"/>
      <w:r>
        <w:rPr>
          <w:rFonts w:hint="eastAsia"/>
        </w:rPr>
        <w:t>评价与争议处理</w:t>
      </w:r>
      <w:bookmarkEnd w:id="177"/>
    </w:p>
    <w:p w14:paraId="6477ECEE">
      <w:pPr>
        <w:pStyle w:val="66"/>
        <w:spacing w:before="156" w:after="156"/>
      </w:pPr>
      <w:bookmarkStart w:id="179" w:name="_Toc25221"/>
      <w:r>
        <w:rPr>
          <w:rFonts w:hint="eastAsia"/>
        </w:rPr>
        <w:t>服务评价与改进</w:t>
      </w:r>
      <w:bookmarkEnd w:id="179"/>
    </w:p>
    <w:p w14:paraId="4D5BAA8A">
      <w:pPr>
        <w:pStyle w:val="69"/>
        <w:keepNext w:val="0"/>
        <w:keepLines w:val="0"/>
        <w:pageBreakBefore w:val="0"/>
        <w:widowControl w:val="0"/>
        <w:kinsoku/>
        <w:wordWrap/>
        <w:overflowPunct/>
        <w:topLinePunct w:val="0"/>
        <w:autoSpaceDE/>
        <w:autoSpaceDN/>
        <w:bidi w:val="0"/>
        <w:adjustRightInd/>
        <w:snapToGrid/>
        <w:ind w:left="0" w:firstLine="0"/>
        <w:textAlignment w:val="auto"/>
      </w:pPr>
      <w:r>
        <w:rPr>
          <w:rFonts w:hint="eastAsia"/>
        </w:rPr>
        <w:t>鉴定机构结合委托人评价和自我评价的结果，</w:t>
      </w:r>
      <w:r>
        <w:rPr>
          <w:rFonts w:hint="eastAsia" w:hAnsi="宋体" w:cs="宋体"/>
        </w:rPr>
        <w:t>总结服务中常见问题，持续改进服务质量，优化服务流程。</w:t>
      </w:r>
    </w:p>
    <w:p w14:paraId="5B07E471">
      <w:pPr>
        <w:pStyle w:val="69"/>
        <w:keepNext w:val="0"/>
        <w:keepLines w:val="0"/>
        <w:pageBreakBefore w:val="0"/>
        <w:widowControl w:val="0"/>
        <w:kinsoku/>
        <w:wordWrap/>
        <w:overflowPunct/>
        <w:topLinePunct w:val="0"/>
        <w:autoSpaceDE/>
        <w:autoSpaceDN/>
        <w:bidi w:val="0"/>
        <w:adjustRightInd/>
        <w:snapToGrid/>
        <w:ind w:left="0" w:firstLine="0"/>
        <w:textAlignment w:val="auto"/>
      </w:pPr>
      <w:r>
        <w:rPr>
          <w:rFonts w:hint="eastAsia"/>
        </w:rPr>
        <w:t>鉴定机构应建立委托人投诉处理制度，认真处理投诉意见，及时将处理结果反馈投诉人。</w:t>
      </w:r>
    </w:p>
    <w:p w14:paraId="5DC50E73">
      <w:pPr>
        <w:pStyle w:val="66"/>
        <w:spacing w:before="156" w:after="156"/>
      </w:pPr>
      <w:bookmarkStart w:id="180" w:name="_Toc2297"/>
      <w:bookmarkStart w:id="181" w:name="_Toc19480"/>
      <w:bookmarkStart w:id="182" w:name="_Toc19474"/>
      <w:r>
        <w:rPr>
          <w:rFonts w:hint="eastAsia"/>
        </w:rPr>
        <w:t>争议处理</w:t>
      </w:r>
      <w:bookmarkEnd w:id="180"/>
    </w:p>
    <w:p w14:paraId="6E05B83E">
      <w:pPr>
        <w:pStyle w:val="66"/>
        <w:numPr>
          <w:ilvl w:val="2"/>
          <w:numId w:val="0"/>
        </w:numPr>
        <w:spacing w:beforeLines="0" w:afterLines="0"/>
        <w:ind w:firstLine="420" w:firstLineChars="200"/>
        <w:outlineLvl w:val="9"/>
        <w:rPr>
          <w:rFonts w:ascii="宋体" w:hAnsi="宋体" w:eastAsia="宋体" w:cs="宋体"/>
        </w:rPr>
      </w:pPr>
      <w:bookmarkStart w:id="183" w:name="_Toc195626106"/>
      <w:bookmarkStart w:id="184" w:name="_Toc195624443"/>
      <w:r>
        <w:rPr>
          <w:rFonts w:hint="eastAsia" w:ascii="宋体" w:hAnsi="宋体" w:eastAsia="宋体" w:cs="宋体"/>
        </w:rPr>
        <w:t>委托人与知识产权鉴定机构在委托协议履行过程中如发生争议，应充分友好协商解决。如协商不成，依照委托协议约定处理。</w:t>
      </w:r>
      <w:bookmarkEnd w:id="183"/>
      <w:bookmarkEnd w:id="184"/>
    </w:p>
    <w:bookmarkEnd w:id="181"/>
    <w:bookmarkEnd w:id="182"/>
    <w:p w14:paraId="0C9BCDA4">
      <w:pPr>
        <w:pStyle w:val="69"/>
        <w:numPr>
          <w:ilvl w:val="3"/>
          <w:numId w:val="0"/>
        </w:numPr>
        <w:ind w:firstLine="420" w:firstLineChars="200"/>
      </w:pPr>
    </w:p>
    <w:bookmarkEnd w:id="75"/>
    <w:bookmarkEnd w:id="178"/>
    <w:p w14:paraId="5130BC2E"/>
    <w:p w14:paraId="0F18BF13">
      <w:pPr>
        <w:tabs>
          <w:tab w:val="left" w:pos="6335"/>
        </w:tabs>
        <w:jc w:val="center"/>
      </w:pPr>
      <w:bookmarkStart w:id="185" w:name="BookMark8"/>
      <w:r>
        <w:drawing>
          <wp:inline distT="0" distB="0" distL="0" distR="0">
            <wp:extent cx="1485900" cy="317500"/>
            <wp:effectExtent l="0" t="0" r="0" b="6350"/>
            <wp:docPr id="2078245400" name="图片 1"/>
            <wp:cNvGraphicFramePr/>
            <a:graphic xmlns:a="http://schemas.openxmlformats.org/drawingml/2006/main">
              <a:graphicData uri="http://schemas.openxmlformats.org/drawingml/2006/picture">
                <pic:pic xmlns:pic="http://schemas.openxmlformats.org/drawingml/2006/picture">
                  <pic:nvPicPr>
                    <pic:cNvPr id="2078245400" name="图片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85"/>
    </w:p>
    <w:sectPr>
      <w:headerReference r:id="rId10" w:type="default"/>
      <w:footerReference r:id="rId12" w:type="default"/>
      <w:headerReference r:id="rId11" w:type="even"/>
      <w:footerReference r:id="rId13" w:type="even"/>
      <w:pgSz w:w="11906" w:h="16838"/>
      <w:pgMar w:top="1417" w:right="1134" w:bottom="1134" w:left="1418" w:header="1417" w:footer="113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234CDC8-97DF-4924-9133-AE39E62520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8157457-36E7-401B-B80B-634548B0BB98}"/>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2000000000000000000"/>
    <w:charset w:val="86"/>
    <w:family w:val="auto"/>
    <w:pitch w:val="default"/>
    <w:sig w:usb0="A00002BF" w:usb1="38CF7CFA" w:usb2="00082016" w:usb3="00000000" w:csb0="00040001" w:csb1="00000000"/>
    <w:embedRegular r:id="rId3" w:fontKey="{928F30A5-84CB-46F8-B783-C8C663BC3341}"/>
  </w:font>
  <w:font w:name="Dotum,Bold">
    <w:altName w:val="宋体"/>
    <w:panose1 w:val="00000000000000000000"/>
    <w:charset w:val="86"/>
    <w:family w:val="auto"/>
    <w:pitch w:val="default"/>
    <w:sig w:usb0="00000000" w:usb1="00000000" w:usb2="00000010" w:usb3="00000000" w:csb0="00040000" w:csb1="00000000"/>
    <w:embedRegular r:id="rId4" w:fontKey="{D0B94ABA-5D5C-4A35-B839-B807B9C08E0C}"/>
  </w:font>
  <w:font w:name="SimSun,Bold">
    <w:altName w:val="宋体"/>
    <w:panose1 w:val="00000000000000000000"/>
    <w:charset w:val="86"/>
    <w:family w:val="auto"/>
    <w:pitch w:val="default"/>
    <w:sig w:usb0="00000000" w:usb1="00000000" w:usb2="00000010" w:usb3="00000000" w:csb0="00040000" w:csb1="00000000"/>
    <w:embedRegular r:id="rId5" w:fontKey="{E5D5277A-2533-473D-A8AB-85D9CB93ABF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ED88F">
    <w:pPr>
      <w:pStyle w:val="14"/>
      <w:jc w:val="center"/>
      <w:rPr>
        <w:rFonts w:asciiTheme="minorEastAsia" w:hAnsiTheme="minorEastAsia"/>
      </w:rPr>
    </w:pPr>
    <w:r>
      <w:pict>
        <v:shape id="_x0000_s2054" o:spid="_x0000_s2054" o:spt="202" type="#_x0000_t202" style="position:absolute;left:0pt;margin-top:0pt;height:144pt;width:144pt;mso-position-horizontal:right;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joinstyle="miter"/>
          <v:imagedata o:title=""/>
          <o:lock v:ext="edit"/>
          <v:textbox inset="0mm,0mm,0mm,0mm" style="mso-fit-shape-to-text:t;">
            <w:txbxContent>
              <w:p w14:paraId="5D65ED61">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4443D">
    <w:pPr>
      <w:pStyle w:val="14"/>
      <w:rPr>
        <w:rFonts w:asciiTheme="minorEastAsia" w:hAnsiTheme="minorEastAsia"/>
      </w:rPr>
    </w:pPr>
    <w:r>
      <w:pict>
        <v:shape id="_x0000_s2053" o:spid="_x0000_s2053" o:spt="202" type="#_x0000_t202" style="position:absolute;left:0pt;margin-top:0pt;height:144pt;width:144pt;mso-position-horizontal:right;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ilnPo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GKWc+jgCAABxBAAADgAAAAAAAAABACAAAAAfAQAAZHJzL2Uyb0RvYy54&#10;bWxQSwUGAAAAAAYABgBZAQAAyQUAAAAA&#10;">
          <v:path/>
          <v:fill on="f" focussize="0,0"/>
          <v:stroke on="f" weight="0.5pt" joinstyle="miter"/>
          <v:imagedata o:title=""/>
          <o:lock v:ext="edit"/>
          <v:textbox inset="0mm,0mm,0mm,0mm" style="mso-fit-shape-to-text:t;">
            <w:txbxContent>
              <w:p w14:paraId="7C446DD7">
                <w:pPr>
                  <w:pStyle w:val="14"/>
                </w:pPr>
                <w:r>
                  <w:fldChar w:fldCharType="begin"/>
                </w:r>
                <w:r>
                  <w:instrText xml:space="preserve"> PAGE  \* MERGEFORMAT </w:instrText>
                </w:r>
                <w:r>
                  <w:fldChar w:fldCharType="separate"/>
                </w:r>
                <w:r>
                  <w:t>II</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FFB66">
    <w:pPr>
      <w:pStyle w:val="14"/>
      <w:jc w:val="center"/>
      <w:rPr>
        <w:rFonts w:asciiTheme="minorEastAsia" w:hAnsiTheme="minorEastAsia"/>
      </w:rPr>
    </w:pPr>
    <w:r>
      <w:pict>
        <v:shape id="_x0000_s2052" o:spid="_x0000_s2052"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YBIgy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1gEiDICAABlBAAADgAAAAAAAAABACAAAAAfAQAAZHJzL2Uyb0RvYy54bWxQSwUG&#10;AAAAAAYABgBZAQAAwwUAAAAA&#10;">
          <v:path/>
          <v:fill on="f" focussize="0,0"/>
          <v:stroke on="f" weight="0.5pt" joinstyle="miter"/>
          <v:imagedata o:title=""/>
          <o:lock v:ext="edit"/>
          <v:textbox inset="0mm,0mm,0mm,0mm" style="mso-fit-shape-to-text:t;">
            <w:txbxContent>
              <w:p w14:paraId="41E19F4D">
                <w:pPr>
                  <w:pStyle w:val="14"/>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3AC88">
    <w:pPr>
      <w:pStyle w:val="14"/>
      <w:rPr>
        <w:rFonts w:asciiTheme="minorEastAsia" w:hAnsiTheme="minorEastAsia"/>
      </w:rPr>
    </w:pPr>
    <w:r>
      <w:pict>
        <v:shape id="_x0000_s2051" o:spid="_x0000_s2051"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Fazzc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RWs83NwIAAHEEAAAOAAAAAAAAAAEAIAAAAB8BAABkcnMvZTJvRG9jLnht&#10;bFBLBQYAAAAABgAGAFkBAADIBQAAAAA=&#10;">
          <v:path/>
          <v:fill on="f" focussize="0,0"/>
          <v:stroke on="f" weight="0.5pt" joinstyle="miter"/>
          <v:imagedata o:title=""/>
          <o:lock v:ext="edit"/>
          <v:textbox inset="0mm,0mm,0mm,0mm" style="mso-fit-shape-to-text:t;">
            <w:txbxContent>
              <w:p w14:paraId="3ED6C128">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88ABD">
    <w:pPr>
      <w:pStyle w:val="14"/>
      <w:jc w:val="center"/>
      <w:rPr>
        <w:rFonts w:asciiTheme="minorEastAsia" w:hAnsiTheme="minorEastAsia"/>
      </w:rPr>
    </w:pPr>
    <w:r>
      <w:pict>
        <v:shape id="文本框 17" o:spid="_x0000_s2050"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Lh19vIAQAAnQMAAA4AAAAAAAAAAQAgAAAAHgEAAGRycy9lMm9Eb2Mu&#10;eG1sUEsFBgAAAAAGAAYAWQEAAFgFAAAAAA==&#10;">
          <v:path/>
          <v:fill on="f" focussize="0,0"/>
          <v:stroke on="f" joinstyle="miter"/>
          <v:imagedata o:title=""/>
          <o:lock v:ext="edit"/>
          <v:textbox inset="0mm,0mm,0mm,0mm" style="mso-fit-shape-to-text:t;">
            <w:txbxContent>
              <w:p w14:paraId="21E43AF2">
                <w:pPr>
                  <w:pStyle w:val="14"/>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5</w:t>
                </w:r>
                <w:r>
                  <w:rPr>
                    <w:rFonts w:asciiTheme="minorEastAsia" w:hAnsiTheme="minorEastAsia"/>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19321">
    <w:pPr>
      <w:pStyle w:val="14"/>
      <w:jc w:val="center"/>
      <w:rPr>
        <w:rFonts w:asciiTheme="minorEastAsia" w:hAnsiTheme="minorEastAsia"/>
      </w:rPr>
    </w:pPr>
    <w:r>
      <w:rPr>
        <w:rFonts w:asciiTheme="minorEastAsia" w:hAnsiTheme="minorEastAsia"/>
      </w:rPr>
      <w:pict>
        <v:shape id="文本框 18" o:spid="_x0000_s2049"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oyYI/IAQAAnQMAAA4AAAAAAAAAAQAgAAAAHgEAAGRycy9lMm9Eb2Mu&#10;eG1sUEsFBgAAAAAGAAYAWQEAAFgFAAAAAA==&#10;">
          <v:path/>
          <v:fill on="f" focussize="0,0"/>
          <v:stroke on="f" joinstyle="miter"/>
          <v:imagedata o:title=""/>
          <o:lock v:ext="edit"/>
          <v:textbox inset="0mm,0mm,0mm,0mm" style="mso-fit-shape-to-text:t;">
            <w:txbxContent>
              <w:p w14:paraId="30BBA68E">
                <w:pPr>
                  <w:pStyle w:val="14"/>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6</w:t>
                </w:r>
                <w:r>
                  <w:rPr>
                    <w:rFonts w:hint="eastAsia" w:asciiTheme="minorEastAsia" w:hAnsiTheme="minorEastAsia" w:cstheme="minor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623B2">
    <w:pPr>
      <w:spacing w:after="284"/>
      <w:jc w:val="right"/>
      <w:rPr>
        <w:rStyle w:val="35"/>
        <w:rFonts w:hint="default" w:ascii="黑体" w:hAnsi="黑体" w:eastAsia="黑体"/>
        <w:i w:val="0"/>
        <w:lang w:val="en-US" w:eastAsia="zh-CN"/>
      </w:rPr>
    </w:pP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val="en-US" w:eastAsia="zh-CN"/>
      </w:rPr>
      <w:t>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5A74A">
    <w:pPr>
      <w:spacing w:after="284"/>
      <w:jc w:val="right"/>
      <w:rPr>
        <w:rFonts w:ascii="黑体" w:hAnsi="黑体" w:eastAsia="黑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D399E">
    <w:pPr>
      <w:spacing w:after="284"/>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val="en-US" w:eastAsia="zh-CN"/>
      </w:rPr>
      <w:t>XXXX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39B3D">
    <w:pPr>
      <w:pStyle w:val="33"/>
      <w:adjustRightInd w:val="0"/>
      <w:snapToGrid w:val="0"/>
      <w:spacing w:after="283"/>
      <w:rPr>
        <w:rStyle w:val="35"/>
        <w:rFonts w:hint="default" w:ascii="黑体" w:hAnsi="黑体" w:eastAsia="黑体"/>
        <w:i w:val="0"/>
        <w:lang w:val="en-US" w:eastAsia="zh-CN"/>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val="en-US" w:eastAsia="zh-CN"/>
      </w:rPr>
      <w:t>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02940">
    <w:pPr>
      <w:adjustRightInd w:val="0"/>
      <w:snapToGrid w:val="0"/>
      <w:spacing w:after="283"/>
      <w:rPr>
        <w:rFonts w:hint="default"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hint="eastAsia" w:ascii="黑体" w:hAnsi="黑体" w:eastAsia="黑体"/>
        <w:lang w:val="en-US" w:eastAsia="zh-CN"/>
      </w:rPr>
      <w:t>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4FADAA"/>
    <w:multiLevelType w:val="singleLevel"/>
    <w:tmpl w:val="924FADAA"/>
    <w:lvl w:ilvl="0" w:tentative="0">
      <w:start w:val="1"/>
      <w:numFmt w:val="lowerLetter"/>
      <w:suff w:val="nothing"/>
      <w:lvlText w:val="%1）"/>
      <w:lvlJc w:val="left"/>
    </w:lvl>
  </w:abstractNum>
  <w:abstractNum w:abstractNumId="1">
    <w:nsid w:val="957B0A53"/>
    <w:multiLevelType w:val="singleLevel"/>
    <w:tmpl w:val="957B0A53"/>
    <w:lvl w:ilvl="0" w:tentative="0">
      <w:start w:val="1"/>
      <w:numFmt w:val="lowerLetter"/>
      <w:suff w:val="nothing"/>
      <w:lvlText w:val="%1）"/>
      <w:lvlJc w:val="left"/>
    </w:lvl>
  </w:abstractNum>
  <w:abstractNum w:abstractNumId="2">
    <w:nsid w:val="AD81D417"/>
    <w:multiLevelType w:val="singleLevel"/>
    <w:tmpl w:val="AD81D417"/>
    <w:lvl w:ilvl="0" w:tentative="0">
      <w:start w:val="1"/>
      <w:numFmt w:val="lowerLetter"/>
      <w:suff w:val="nothing"/>
      <w:lvlText w:val="%1）"/>
      <w:lvlJc w:val="left"/>
      <w:rPr>
        <w:color w:val="auto"/>
      </w:rPr>
    </w:lvl>
  </w:abstractNum>
  <w:abstractNum w:abstractNumId="3">
    <w:nsid w:val="BD05C655"/>
    <w:multiLevelType w:val="singleLevel"/>
    <w:tmpl w:val="BD05C655"/>
    <w:lvl w:ilvl="0" w:tentative="0">
      <w:start w:val="1"/>
      <w:numFmt w:val="lowerLetter"/>
      <w:suff w:val="nothing"/>
      <w:lvlText w:val="%1）"/>
      <w:lvlJc w:val="left"/>
    </w:lvl>
  </w:abstractNum>
  <w:abstractNum w:abstractNumId="4">
    <w:nsid w:val="C3D97766"/>
    <w:multiLevelType w:val="singleLevel"/>
    <w:tmpl w:val="C3D97766"/>
    <w:lvl w:ilvl="0" w:tentative="0">
      <w:start w:val="1"/>
      <w:numFmt w:val="lowerLetter"/>
      <w:suff w:val="nothing"/>
      <w:lvlText w:val="%1）"/>
      <w:lvlJc w:val="left"/>
    </w:lvl>
  </w:abstractNum>
  <w:abstractNum w:abstractNumId="5">
    <w:nsid w:val="E80E23F6"/>
    <w:multiLevelType w:val="singleLevel"/>
    <w:tmpl w:val="E80E23F6"/>
    <w:lvl w:ilvl="0" w:tentative="0">
      <w:start w:val="1"/>
      <w:numFmt w:val="lowerLetter"/>
      <w:suff w:val="nothing"/>
      <w:lvlText w:val="%1）"/>
      <w:lvlJc w:val="left"/>
    </w:lvl>
  </w:abstractNum>
  <w:abstractNum w:abstractNumId="6">
    <w:nsid w:val="07ED3FEA"/>
    <w:multiLevelType w:val="multilevel"/>
    <w:tmpl w:val="07ED3FEA"/>
    <w:lvl w:ilvl="0" w:tentative="0">
      <w:start w:val="1"/>
      <w:numFmt w:val="none"/>
      <w:pStyle w:val="5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15EF0C26"/>
    <w:multiLevelType w:val="multilevel"/>
    <w:tmpl w:val="15EF0C26"/>
    <w:lvl w:ilvl="0" w:tentative="0">
      <w:start w:val="1"/>
      <w:numFmt w:val="lowerLetter"/>
      <w:pStyle w:val="56"/>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19444774"/>
    <w:multiLevelType w:val="singleLevel"/>
    <w:tmpl w:val="19444774"/>
    <w:lvl w:ilvl="0" w:tentative="0">
      <w:start w:val="1"/>
      <w:numFmt w:val="lowerLetter"/>
      <w:suff w:val="nothing"/>
      <w:lvlText w:val="%1）"/>
      <w:lvlJc w:val="left"/>
    </w:lvl>
  </w:abstractNum>
  <w:abstractNum w:abstractNumId="9">
    <w:nsid w:val="1E7BB996"/>
    <w:multiLevelType w:val="singleLevel"/>
    <w:tmpl w:val="1E7BB996"/>
    <w:lvl w:ilvl="0" w:tentative="0">
      <w:start w:val="1"/>
      <w:numFmt w:val="lowerLetter"/>
      <w:suff w:val="nothing"/>
      <w:lvlText w:val="%1）"/>
      <w:lvlJc w:val="left"/>
    </w:lvl>
  </w:abstractNum>
  <w:abstractNum w:abstractNumId="10">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1">
    <w:nsid w:val="230E4E07"/>
    <w:multiLevelType w:val="singleLevel"/>
    <w:tmpl w:val="230E4E07"/>
    <w:lvl w:ilvl="0" w:tentative="0">
      <w:start w:val="1"/>
      <w:numFmt w:val="lowerLetter"/>
      <w:suff w:val="nothing"/>
      <w:lvlText w:val="%1）"/>
      <w:lvlJc w:val="left"/>
    </w:lvl>
  </w:abstractNum>
  <w:abstractNum w:abstractNumId="12">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7"/>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2EE56702"/>
    <w:multiLevelType w:val="singleLevel"/>
    <w:tmpl w:val="2EE56702"/>
    <w:lvl w:ilvl="0" w:tentative="0">
      <w:start w:val="1"/>
      <w:numFmt w:val="lowerLetter"/>
      <w:suff w:val="nothing"/>
      <w:lvlText w:val="%1）"/>
      <w:lvlJc w:val="left"/>
    </w:lvl>
  </w:abstractNum>
  <w:abstractNum w:abstractNumId="14">
    <w:nsid w:val="377A2748"/>
    <w:multiLevelType w:val="singleLevel"/>
    <w:tmpl w:val="377A2748"/>
    <w:lvl w:ilvl="0" w:tentative="0">
      <w:start w:val="1"/>
      <w:numFmt w:val="lowerLetter"/>
      <w:suff w:val="nothing"/>
      <w:lvlText w:val="%1）"/>
      <w:lvlJc w:val="left"/>
    </w:lvl>
  </w:abstractNum>
  <w:abstractNum w:abstractNumId="15">
    <w:nsid w:val="443D1172"/>
    <w:multiLevelType w:val="singleLevel"/>
    <w:tmpl w:val="443D1172"/>
    <w:lvl w:ilvl="0" w:tentative="0">
      <w:start w:val="1"/>
      <w:numFmt w:val="lowerLetter"/>
      <w:suff w:val="nothing"/>
      <w:lvlText w:val="%1）"/>
      <w:lvlJc w:val="left"/>
    </w:lvl>
  </w:abstractNum>
  <w:abstractNum w:abstractNumId="16">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7">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8">
    <w:nsid w:val="657D3FBC"/>
    <w:multiLevelType w:val="multilevel"/>
    <w:tmpl w:val="657D3FBC"/>
    <w:lvl w:ilvl="0" w:tentative="0">
      <w:start w:val="1"/>
      <w:numFmt w:val="upperLetter"/>
      <w:pStyle w:val="60"/>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4"/>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9">
    <w:nsid w:val="667F62EE"/>
    <w:multiLevelType w:val="singleLevel"/>
    <w:tmpl w:val="667F62EE"/>
    <w:lvl w:ilvl="0" w:tentative="0">
      <w:start w:val="1"/>
      <w:numFmt w:val="lowerLetter"/>
      <w:suff w:val="nothing"/>
      <w:lvlText w:val="%1）"/>
      <w:lvlJc w:val="left"/>
    </w:lvl>
  </w:abstractNum>
  <w:abstractNum w:abstractNumId="20">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7"/>
      <w:suff w:val="nothing"/>
      <w:lvlText w:val="%1%2　"/>
      <w:lvlJc w:val="left"/>
      <w:pPr>
        <w:ind w:left="0" w:firstLine="0"/>
      </w:pPr>
      <w:rPr>
        <w:rFonts w:hint="eastAsia" w:ascii="黑体" w:eastAsia="黑体"/>
        <w:b w:val="0"/>
        <w:i w:val="0"/>
        <w:sz w:val="21"/>
      </w:rPr>
    </w:lvl>
    <w:lvl w:ilvl="2" w:tentative="0">
      <w:start w:val="1"/>
      <w:numFmt w:val="decimal"/>
      <w:pStyle w:val="6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70"/>
      <w:suff w:val="nothing"/>
      <w:lvlText w:val="%1%2.%3.%4　"/>
      <w:lvlJc w:val="left"/>
      <w:pPr>
        <w:ind w:left="426" w:firstLine="0"/>
      </w:pPr>
      <w:rPr>
        <w:rFonts w:hint="eastAsia" w:ascii="黑体" w:eastAsia="黑体"/>
        <w:b w:val="0"/>
        <w:i w:val="0"/>
        <w:sz w:val="21"/>
      </w:rPr>
    </w:lvl>
    <w:lvl w:ilvl="4" w:tentative="0">
      <w:start w:val="1"/>
      <w:numFmt w:val="decimal"/>
      <w:suff w:val="nothing"/>
      <w:lvlText w:val="%1%2.%3.%4.%5　"/>
      <w:lvlJc w:val="left"/>
      <w:pPr>
        <w:ind w:left="426"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1">
    <w:nsid w:val="6DBF04F4"/>
    <w:multiLevelType w:val="multilevel"/>
    <w:tmpl w:val="6DBF04F4"/>
    <w:lvl w:ilvl="0" w:tentative="0">
      <w:start w:val="1"/>
      <w:numFmt w:val="none"/>
      <w:pStyle w:val="59"/>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2">
    <w:nsid w:val="7DC4E687"/>
    <w:multiLevelType w:val="singleLevel"/>
    <w:tmpl w:val="7DC4E687"/>
    <w:lvl w:ilvl="0" w:tentative="0">
      <w:start w:val="1"/>
      <w:numFmt w:val="lowerLetter"/>
      <w:suff w:val="nothing"/>
      <w:lvlText w:val="%1）"/>
      <w:lvlJc w:val="left"/>
    </w:lvl>
  </w:abstractNum>
  <w:num w:numId="1">
    <w:abstractNumId w:val="6"/>
  </w:num>
  <w:num w:numId="2">
    <w:abstractNumId w:val="10"/>
  </w:num>
  <w:num w:numId="3">
    <w:abstractNumId w:val="7"/>
  </w:num>
  <w:num w:numId="4">
    <w:abstractNumId w:val="12"/>
  </w:num>
  <w:num w:numId="5">
    <w:abstractNumId w:val="21"/>
  </w:num>
  <w:num w:numId="6">
    <w:abstractNumId w:val="18"/>
  </w:num>
  <w:num w:numId="7">
    <w:abstractNumId w:val="17"/>
  </w:num>
  <w:num w:numId="8">
    <w:abstractNumId w:val="20"/>
  </w:num>
  <w:num w:numId="9">
    <w:abstractNumId w:val="16"/>
  </w:num>
  <w:num w:numId="10">
    <w:abstractNumId w:val="19"/>
  </w:num>
  <w:num w:numId="11">
    <w:abstractNumId w:val="1"/>
  </w:num>
  <w:num w:numId="12">
    <w:abstractNumId w:val="2"/>
  </w:num>
  <w:num w:numId="13">
    <w:abstractNumId w:val="11"/>
  </w:num>
  <w:num w:numId="14">
    <w:abstractNumId w:val="13"/>
  </w:num>
  <w:num w:numId="15">
    <w:abstractNumId w:val="14"/>
  </w:num>
  <w:num w:numId="16">
    <w:abstractNumId w:val="3"/>
  </w:num>
  <w:num w:numId="17">
    <w:abstractNumId w:val="0"/>
  </w:num>
  <w:num w:numId="18">
    <w:abstractNumId w:val="8"/>
  </w:num>
  <w:num w:numId="19">
    <w:abstractNumId w:val="5"/>
  </w:num>
  <w:num w:numId="20">
    <w:abstractNumId w:val="15"/>
  </w:num>
  <w:num w:numId="21">
    <w:abstractNumId w:val="4"/>
  </w:num>
  <w:num w:numId="22">
    <w:abstractNumId w:val="2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mirrorMargins w:val="1"/>
  <w:bordersDoNotSurroundHeader w:val="1"/>
  <w:bordersDoNotSurroundFooter w:val="1"/>
  <w:documentProtection w:edit="trackedChanges" w:enforcement="0"/>
  <w:defaultTabStop w:val="420"/>
  <w:evenAndOddHeaders w:val="1"/>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UxODE4N2E3ZGNkNmI0ZDFjNjhkNjk4ZjEwYjAwMWUifQ=="/>
    <w:docVar w:name="KSO_WPS_MARK_KEY" w:val="52548aae-2002-4139-9182-7b8689647ee4"/>
  </w:docVars>
  <w:rsids>
    <w:rsidRoot w:val="002C4A7A"/>
    <w:rsid w:val="00000C6F"/>
    <w:rsid w:val="00002D7A"/>
    <w:rsid w:val="00005817"/>
    <w:rsid w:val="00013861"/>
    <w:rsid w:val="000173A8"/>
    <w:rsid w:val="0001746B"/>
    <w:rsid w:val="00031630"/>
    <w:rsid w:val="0003782B"/>
    <w:rsid w:val="0004232A"/>
    <w:rsid w:val="000505F8"/>
    <w:rsid w:val="000511AD"/>
    <w:rsid w:val="0005686E"/>
    <w:rsid w:val="00056E11"/>
    <w:rsid w:val="0006343E"/>
    <w:rsid w:val="00065304"/>
    <w:rsid w:val="00066E19"/>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61B6F"/>
    <w:rsid w:val="001720FB"/>
    <w:rsid w:val="00173651"/>
    <w:rsid w:val="0017564C"/>
    <w:rsid w:val="00175A7C"/>
    <w:rsid w:val="001760F7"/>
    <w:rsid w:val="00176E61"/>
    <w:rsid w:val="001952AF"/>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4AC"/>
    <w:rsid w:val="001E7BD6"/>
    <w:rsid w:val="001F398A"/>
    <w:rsid w:val="001F47C8"/>
    <w:rsid w:val="00211953"/>
    <w:rsid w:val="002209AC"/>
    <w:rsid w:val="00220A99"/>
    <w:rsid w:val="00222A27"/>
    <w:rsid w:val="00223A5B"/>
    <w:rsid w:val="00223BD4"/>
    <w:rsid w:val="00230620"/>
    <w:rsid w:val="00230CF6"/>
    <w:rsid w:val="00230F2F"/>
    <w:rsid w:val="00247720"/>
    <w:rsid w:val="00251127"/>
    <w:rsid w:val="00251550"/>
    <w:rsid w:val="002517ED"/>
    <w:rsid w:val="00262444"/>
    <w:rsid w:val="002760F4"/>
    <w:rsid w:val="00276A28"/>
    <w:rsid w:val="002829F1"/>
    <w:rsid w:val="0028337F"/>
    <w:rsid w:val="00285357"/>
    <w:rsid w:val="00286986"/>
    <w:rsid w:val="00290F18"/>
    <w:rsid w:val="00293BD3"/>
    <w:rsid w:val="002943D2"/>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139F"/>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375B1"/>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2D97"/>
    <w:rsid w:val="00454031"/>
    <w:rsid w:val="0045451F"/>
    <w:rsid w:val="004574AE"/>
    <w:rsid w:val="004610BF"/>
    <w:rsid w:val="00471508"/>
    <w:rsid w:val="004849ED"/>
    <w:rsid w:val="004926A0"/>
    <w:rsid w:val="00495E4E"/>
    <w:rsid w:val="004A0644"/>
    <w:rsid w:val="004A0765"/>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86295"/>
    <w:rsid w:val="00591331"/>
    <w:rsid w:val="005928C2"/>
    <w:rsid w:val="00596070"/>
    <w:rsid w:val="005A2C7F"/>
    <w:rsid w:val="005A4975"/>
    <w:rsid w:val="005A60AC"/>
    <w:rsid w:val="005B6D29"/>
    <w:rsid w:val="005C370B"/>
    <w:rsid w:val="005E015F"/>
    <w:rsid w:val="005E1CA7"/>
    <w:rsid w:val="005F2B93"/>
    <w:rsid w:val="005F2DCC"/>
    <w:rsid w:val="005F5CFF"/>
    <w:rsid w:val="00600F7C"/>
    <w:rsid w:val="006045C0"/>
    <w:rsid w:val="00610AF4"/>
    <w:rsid w:val="00613357"/>
    <w:rsid w:val="0061623D"/>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911"/>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A379C"/>
    <w:rsid w:val="007B71FE"/>
    <w:rsid w:val="007B7740"/>
    <w:rsid w:val="007C45C6"/>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02E"/>
    <w:rsid w:val="008A525F"/>
    <w:rsid w:val="008A778B"/>
    <w:rsid w:val="008A7A04"/>
    <w:rsid w:val="008B2AA1"/>
    <w:rsid w:val="008B4744"/>
    <w:rsid w:val="008B4CD3"/>
    <w:rsid w:val="008C1198"/>
    <w:rsid w:val="008C23EA"/>
    <w:rsid w:val="008C6DE2"/>
    <w:rsid w:val="008C754A"/>
    <w:rsid w:val="008D0486"/>
    <w:rsid w:val="008D32D9"/>
    <w:rsid w:val="008D50F3"/>
    <w:rsid w:val="008D6AC9"/>
    <w:rsid w:val="008E1D3D"/>
    <w:rsid w:val="008E73CE"/>
    <w:rsid w:val="008F0061"/>
    <w:rsid w:val="008F4183"/>
    <w:rsid w:val="008F7846"/>
    <w:rsid w:val="00900625"/>
    <w:rsid w:val="00900D6C"/>
    <w:rsid w:val="009028CB"/>
    <w:rsid w:val="00902C03"/>
    <w:rsid w:val="009056B3"/>
    <w:rsid w:val="00905EC8"/>
    <w:rsid w:val="00906EE2"/>
    <w:rsid w:val="00907E68"/>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66835"/>
    <w:rsid w:val="00970C6E"/>
    <w:rsid w:val="00975728"/>
    <w:rsid w:val="00992159"/>
    <w:rsid w:val="0099488E"/>
    <w:rsid w:val="009956AD"/>
    <w:rsid w:val="00996CA4"/>
    <w:rsid w:val="009A18CB"/>
    <w:rsid w:val="009A4807"/>
    <w:rsid w:val="009A67D7"/>
    <w:rsid w:val="009A7D1D"/>
    <w:rsid w:val="009B2735"/>
    <w:rsid w:val="009B5AFA"/>
    <w:rsid w:val="009B5EC9"/>
    <w:rsid w:val="009B6DC7"/>
    <w:rsid w:val="009B7156"/>
    <w:rsid w:val="009C15D7"/>
    <w:rsid w:val="009C2131"/>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C4B"/>
    <w:rsid w:val="00AE5F8A"/>
    <w:rsid w:val="00AF53DB"/>
    <w:rsid w:val="00AF7AFE"/>
    <w:rsid w:val="00B01237"/>
    <w:rsid w:val="00B02086"/>
    <w:rsid w:val="00B06017"/>
    <w:rsid w:val="00B10919"/>
    <w:rsid w:val="00B1286A"/>
    <w:rsid w:val="00B1318E"/>
    <w:rsid w:val="00B17747"/>
    <w:rsid w:val="00B21CF9"/>
    <w:rsid w:val="00B2413B"/>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1603"/>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61C8"/>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B460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12D6"/>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0D52"/>
    <w:rsid w:val="00EC1078"/>
    <w:rsid w:val="00EC6E3E"/>
    <w:rsid w:val="00ED13CD"/>
    <w:rsid w:val="00ED3E70"/>
    <w:rsid w:val="00ED4091"/>
    <w:rsid w:val="00ED56D2"/>
    <w:rsid w:val="00ED5E11"/>
    <w:rsid w:val="00EE07BC"/>
    <w:rsid w:val="00EE2131"/>
    <w:rsid w:val="00EE2AFA"/>
    <w:rsid w:val="00EE4615"/>
    <w:rsid w:val="00EE4642"/>
    <w:rsid w:val="00EE5AEC"/>
    <w:rsid w:val="00EF0721"/>
    <w:rsid w:val="00EF20A1"/>
    <w:rsid w:val="00F002B1"/>
    <w:rsid w:val="00F12CCA"/>
    <w:rsid w:val="00F16A12"/>
    <w:rsid w:val="00F16BA1"/>
    <w:rsid w:val="00F200FB"/>
    <w:rsid w:val="00F233DA"/>
    <w:rsid w:val="00F26471"/>
    <w:rsid w:val="00F31218"/>
    <w:rsid w:val="00F435EB"/>
    <w:rsid w:val="00F535DE"/>
    <w:rsid w:val="00F53EFA"/>
    <w:rsid w:val="00F55043"/>
    <w:rsid w:val="00F5664B"/>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0FF661E"/>
    <w:rsid w:val="01487061"/>
    <w:rsid w:val="01B97F5E"/>
    <w:rsid w:val="023C66B8"/>
    <w:rsid w:val="02670DCF"/>
    <w:rsid w:val="03597C48"/>
    <w:rsid w:val="043164D2"/>
    <w:rsid w:val="04DB69C7"/>
    <w:rsid w:val="056C2AC8"/>
    <w:rsid w:val="0730481F"/>
    <w:rsid w:val="07552449"/>
    <w:rsid w:val="078D3A1F"/>
    <w:rsid w:val="081538B4"/>
    <w:rsid w:val="081F589D"/>
    <w:rsid w:val="08BC290E"/>
    <w:rsid w:val="08D94A4A"/>
    <w:rsid w:val="09332050"/>
    <w:rsid w:val="09652865"/>
    <w:rsid w:val="097D3D26"/>
    <w:rsid w:val="0A053D41"/>
    <w:rsid w:val="0ADA2F69"/>
    <w:rsid w:val="0AE10BBF"/>
    <w:rsid w:val="0B3A2B1B"/>
    <w:rsid w:val="0B4B7E79"/>
    <w:rsid w:val="0BBA5614"/>
    <w:rsid w:val="0BBD0185"/>
    <w:rsid w:val="0C321D72"/>
    <w:rsid w:val="0CEC5F94"/>
    <w:rsid w:val="0D011260"/>
    <w:rsid w:val="0DC7755F"/>
    <w:rsid w:val="0E586235"/>
    <w:rsid w:val="0F846455"/>
    <w:rsid w:val="10F22B45"/>
    <w:rsid w:val="11EA4A5D"/>
    <w:rsid w:val="1214651F"/>
    <w:rsid w:val="123426ED"/>
    <w:rsid w:val="1330335A"/>
    <w:rsid w:val="137E65C1"/>
    <w:rsid w:val="14AB42D7"/>
    <w:rsid w:val="159863B1"/>
    <w:rsid w:val="160F349C"/>
    <w:rsid w:val="1614131D"/>
    <w:rsid w:val="16B6476F"/>
    <w:rsid w:val="17A21994"/>
    <w:rsid w:val="18541221"/>
    <w:rsid w:val="18D21008"/>
    <w:rsid w:val="1986454E"/>
    <w:rsid w:val="19D653D3"/>
    <w:rsid w:val="1A512D96"/>
    <w:rsid w:val="1AF62448"/>
    <w:rsid w:val="1CE617B0"/>
    <w:rsid w:val="1D475092"/>
    <w:rsid w:val="1E036CD9"/>
    <w:rsid w:val="1E901E0D"/>
    <w:rsid w:val="1F3709E9"/>
    <w:rsid w:val="1F5511FE"/>
    <w:rsid w:val="1F791B4A"/>
    <w:rsid w:val="1FF922F7"/>
    <w:rsid w:val="20362912"/>
    <w:rsid w:val="203A6C9D"/>
    <w:rsid w:val="20D60F8C"/>
    <w:rsid w:val="21616BC5"/>
    <w:rsid w:val="21BC6E3F"/>
    <w:rsid w:val="235D1A58"/>
    <w:rsid w:val="23893375"/>
    <w:rsid w:val="23D049E7"/>
    <w:rsid w:val="24F31A54"/>
    <w:rsid w:val="253D4C47"/>
    <w:rsid w:val="25524A00"/>
    <w:rsid w:val="26123616"/>
    <w:rsid w:val="262E49A9"/>
    <w:rsid w:val="26E82D97"/>
    <w:rsid w:val="291C47AB"/>
    <w:rsid w:val="297A1C58"/>
    <w:rsid w:val="299E589B"/>
    <w:rsid w:val="2A9E6EDA"/>
    <w:rsid w:val="2AC259E9"/>
    <w:rsid w:val="2B1340CC"/>
    <w:rsid w:val="2B782938"/>
    <w:rsid w:val="2BA74800"/>
    <w:rsid w:val="2C7768C8"/>
    <w:rsid w:val="2F033AB7"/>
    <w:rsid w:val="2F320777"/>
    <w:rsid w:val="2F8D1B16"/>
    <w:rsid w:val="2FC604F2"/>
    <w:rsid w:val="2FDFEDC5"/>
    <w:rsid w:val="30512DC8"/>
    <w:rsid w:val="305807BF"/>
    <w:rsid w:val="30BA0FA5"/>
    <w:rsid w:val="325154C6"/>
    <w:rsid w:val="32697E49"/>
    <w:rsid w:val="330C66A9"/>
    <w:rsid w:val="3320547B"/>
    <w:rsid w:val="355276CD"/>
    <w:rsid w:val="367B33E7"/>
    <w:rsid w:val="368F2692"/>
    <w:rsid w:val="36AB6CA0"/>
    <w:rsid w:val="37875802"/>
    <w:rsid w:val="37EB8C13"/>
    <w:rsid w:val="385A6490"/>
    <w:rsid w:val="38F20C9F"/>
    <w:rsid w:val="397A5D84"/>
    <w:rsid w:val="3A38257A"/>
    <w:rsid w:val="3A773D1D"/>
    <w:rsid w:val="3B337E5E"/>
    <w:rsid w:val="3B413BF3"/>
    <w:rsid w:val="3BFBD6D0"/>
    <w:rsid w:val="3D6F398A"/>
    <w:rsid w:val="3D9E1027"/>
    <w:rsid w:val="3F181D11"/>
    <w:rsid w:val="3F7745FE"/>
    <w:rsid w:val="3FCB4391"/>
    <w:rsid w:val="407103DB"/>
    <w:rsid w:val="40F148D6"/>
    <w:rsid w:val="41DD26A1"/>
    <w:rsid w:val="42F35C47"/>
    <w:rsid w:val="432D5ADB"/>
    <w:rsid w:val="44FF7003"/>
    <w:rsid w:val="455B5C08"/>
    <w:rsid w:val="45E5444B"/>
    <w:rsid w:val="46024881"/>
    <w:rsid w:val="46432AD9"/>
    <w:rsid w:val="46DA1AD6"/>
    <w:rsid w:val="47BC5298"/>
    <w:rsid w:val="491679AE"/>
    <w:rsid w:val="49417651"/>
    <w:rsid w:val="49777666"/>
    <w:rsid w:val="4A7D69EB"/>
    <w:rsid w:val="4CE04EF8"/>
    <w:rsid w:val="4D7C7F66"/>
    <w:rsid w:val="4E121B55"/>
    <w:rsid w:val="4E497F1B"/>
    <w:rsid w:val="4E72372F"/>
    <w:rsid w:val="4E826BA1"/>
    <w:rsid w:val="4EFBACD9"/>
    <w:rsid w:val="4FB262DF"/>
    <w:rsid w:val="502913D8"/>
    <w:rsid w:val="506A1CDA"/>
    <w:rsid w:val="506D047A"/>
    <w:rsid w:val="508B5BEF"/>
    <w:rsid w:val="513145D7"/>
    <w:rsid w:val="518F6B17"/>
    <w:rsid w:val="52013E99"/>
    <w:rsid w:val="525564B4"/>
    <w:rsid w:val="526E7576"/>
    <w:rsid w:val="52884ADC"/>
    <w:rsid w:val="54EF45B2"/>
    <w:rsid w:val="55480552"/>
    <w:rsid w:val="561C68FE"/>
    <w:rsid w:val="56FA05E0"/>
    <w:rsid w:val="5707698A"/>
    <w:rsid w:val="57205312"/>
    <w:rsid w:val="575B4970"/>
    <w:rsid w:val="578E4E34"/>
    <w:rsid w:val="593F3547"/>
    <w:rsid w:val="599604B6"/>
    <w:rsid w:val="5AA42EE1"/>
    <w:rsid w:val="5ADD04B0"/>
    <w:rsid w:val="5B5B7305"/>
    <w:rsid w:val="5D171992"/>
    <w:rsid w:val="5DCC7F73"/>
    <w:rsid w:val="5E127A94"/>
    <w:rsid w:val="5EC00F20"/>
    <w:rsid w:val="5EC2103E"/>
    <w:rsid w:val="5EF53F07"/>
    <w:rsid w:val="5F090D52"/>
    <w:rsid w:val="5F3651D2"/>
    <w:rsid w:val="5F7B31FA"/>
    <w:rsid w:val="6139045F"/>
    <w:rsid w:val="61E0223F"/>
    <w:rsid w:val="62275A9D"/>
    <w:rsid w:val="62A274F4"/>
    <w:rsid w:val="63473BF7"/>
    <w:rsid w:val="638F73FB"/>
    <w:rsid w:val="64490C49"/>
    <w:rsid w:val="647F1F96"/>
    <w:rsid w:val="66832C22"/>
    <w:rsid w:val="66AB0941"/>
    <w:rsid w:val="66C65E7D"/>
    <w:rsid w:val="68706054"/>
    <w:rsid w:val="68770FF1"/>
    <w:rsid w:val="688A0DE6"/>
    <w:rsid w:val="68917B90"/>
    <w:rsid w:val="68F02F9E"/>
    <w:rsid w:val="691D1DC4"/>
    <w:rsid w:val="6A4626EF"/>
    <w:rsid w:val="6A7C706D"/>
    <w:rsid w:val="6AB02408"/>
    <w:rsid w:val="6ADF74D7"/>
    <w:rsid w:val="6BCA186A"/>
    <w:rsid w:val="6C0563E5"/>
    <w:rsid w:val="6C6C0C3F"/>
    <w:rsid w:val="6C89702F"/>
    <w:rsid w:val="6DAD049D"/>
    <w:rsid w:val="6DDC4D86"/>
    <w:rsid w:val="6EBF32A7"/>
    <w:rsid w:val="6EC304C5"/>
    <w:rsid w:val="6ECD387A"/>
    <w:rsid w:val="6F0E65BA"/>
    <w:rsid w:val="6F2F03DB"/>
    <w:rsid w:val="6F5C3995"/>
    <w:rsid w:val="6FF139B8"/>
    <w:rsid w:val="706A1531"/>
    <w:rsid w:val="716C48BC"/>
    <w:rsid w:val="72127AC6"/>
    <w:rsid w:val="726A104D"/>
    <w:rsid w:val="7418207D"/>
    <w:rsid w:val="741915E0"/>
    <w:rsid w:val="748E5C99"/>
    <w:rsid w:val="74BF2C7A"/>
    <w:rsid w:val="75682D8E"/>
    <w:rsid w:val="75962550"/>
    <w:rsid w:val="75A31161"/>
    <w:rsid w:val="75D25B10"/>
    <w:rsid w:val="76442929"/>
    <w:rsid w:val="76C27A63"/>
    <w:rsid w:val="77BDA7D3"/>
    <w:rsid w:val="77E72DAD"/>
    <w:rsid w:val="78B91B66"/>
    <w:rsid w:val="794C6296"/>
    <w:rsid w:val="795409C4"/>
    <w:rsid w:val="7AF60F49"/>
    <w:rsid w:val="7B5017B6"/>
    <w:rsid w:val="7B5F08DF"/>
    <w:rsid w:val="7BA45C33"/>
    <w:rsid w:val="7BBE3424"/>
    <w:rsid w:val="7BD02338"/>
    <w:rsid w:val="7C466585"/>
    <w:rsid w:val="7CF71FA0"/>
    <w:rsid w:val="7E0328BC"/>
    <w:rsid w:val="7F2A2C8D"/>
    <w:rsid w:val="7F2A5F93"/>
    <w:rsid w:val="7F7B8612"/>
    <w:rsid w:val="7FAC1FBF"/>
    <w:rsid w:val="7FF57E3F"/>
    <w:rsid w:val="A7FD01B7"/>
    <w:rsid w:val="B7FB912B"/>
    <w:rsid w:val="D3ED0F90"/>
    <w:rsid w:val="EEFF48B9"/>
    <w:rsid w:val="EFD5ED0F"/>
    <w:rsid w:val="F9FED724"/>
    <w:rsid w:val="FABFC7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rules v:ext="edit">
        <o:r id="V:Rule1" type="connector" idref="#_x0000_s1027"/>
        <o:r id="V:Rule2" type="connector" idref="#AutoShape 1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9"/>
    <w:semiHidden/>
    <w:unhideWhenUsed/>
    <w:qFormat/>
    <w:uiPriority w:val="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pPr>
  </w:style>
  <w:style w:type="paragraph" w:styleId="6">
    <w:name w:val="envelope return"/>
    <w:basedOn w:val="1"/>
    <w:qFormat/>
    <w:uiPriority w:val="0"/>
    <w:pPr>
      <w:snapToGrid w:val="0"/>
    </w:pPr>
    <w:rPr>
      <w:rFonts w:ascii="Arial" w:hAnsi="Arial" w:eastAsia="仿宋_GB2312"/>
      <w:sz w:val="32"/>
    </w:rPr>
  </w:style>
  <w:style w:type="paragraph" w:styleId="7">
    <w:name w:val="Document Map"/>
    <w:basedOn w:val="1"/>
    <w:link w:val="77"/>
    <w:semiHidden/>
    <w:unhideWhenUsed/>
    <w:qFormat/>
    <w:uiPriority w:val="99"/>
    <w:rPr>
      <w:rFonts w:ascii="宋体" w:eastAsia="宋体"/>
      <w:sz w:val="18"/>
      <w:szCs w:val="18"/>
    </w:rPr>
  </w:style>
  <w:style w:type="paragraph" w:styleId="8">
    <w:name w:val="annotation text"/>
    <w:basedOn w:val="1"/>
    <w:semiHidden/>
    <w:unhideWhenUsed/>
    <w:qFormat/>
    <w:uiPriority w:val="99"/>
    <w:pPr>
      <w:jc w:val="left"/>
    </w:pPr>
  </w:style>
  <w:style w:type="paragraph" w:styleId="9">
    <w:name w:val="Body Text"/>
    <w:basedOn w:val="1"/>
    <w:qFormat/>
    <w:uiPriority w:val="0"/>
  </w:style>
  <w:style w:type="paragraph" w:styleId="10">
    <w:name w:val="toc 3"/>
    <w:basedOn w:val="1"/>
    <w:next w:val="1"/>
    <w:unhideWhenUsed/>
    <w:qFormat/>
    <w:uiPriority w:val="39"/>
    <w:pPr>
      <w:ind w:left="840" w:leftChars="400"/>
    </w:pPr>
  </w:style>
  <w:style w:type="paragraph" w:styleId="11">
    <w:name w:val="Date"/>
    <w:basedOn w:val="1"/>
    <w:next w:val="1"/>
    <w:link w:val="47"/>
    <w:semiHidden/>
    <w:unhideWhenUsed/>
    <w:qFormat/>
    <w:uiPriority w:val="99"/>
    <w:pPr>
      <w:ind w:left="100" w:leftChars="2500"/>
    </w:pPr>
  </w:style>
  <w:style w:type="paragraph" w:styleId="12">
    <w:name w:val="Body Text Indent 2"/>
    <w:basedOn w:val="1"/>
    <w:link w:val="40"/>
    <w:qFormat/>
    <w:uiPriority w:val="0"/>
    <w:pPr>
      <w:spacing w:line="276" w:lineRule="auto"/>
      <w:ind w:firstLine="420" w:firstLineChars="200"/>
    </w:pPr>
    <w:rPr>
      <w:rFonts w:ascii="宋体" w:hAnsi="宋体" w:eastAsia="宋体" w:cs="Times New Roman"/>
      <w:snapToGrid w:val="0"/>
      <w:kern w:val="0"/>
      <w:szCs w:val="24"/>
    </w:rPr>
  </w:style>
  <w:style w:type="paragraph" w:styleId="13">
    <w:name w:val="Balloon Text"/>
    <w:basedOn w:val="1"/>
    <w:link w:val="28"/>
    <w:semiHidden/>
    <w:unhideWhenUsed/>
    <w:qFormat/>
    <w:uiPriority w:val="99"/>
    <w:rPr>
      <w:sz w:val="18"/>
      <w:szCs w:val="18"/>
    </w:rPr>
  </w:style>
  <w:style w:type="paragraph" w:styleId="14">
    <w:name w:val="footer"/>
    <w:basedOn w:val="1"/>
    <w:link w:val="27"/>
    <w:unhideWhenUsed/>
    <w:qFormat/>
    <w:uiPriority w:val="99"/>
    <w:pPr>
      <w:tabs>
        <w:tab w:val="center" w:pos="4153"/>
        <w:tab w:val="right" w:pos="8306"/>
      </w:tabs>
      <w:snapToGrid w:val="0"/>
      <w:jc w:val="left"/>
    </w:pPr>
    <w:rPr>
      <w:sz w:val="18"/>
      <w:szCs w:val="18"/>
    </w:rPr>
  </w:style>
  <w:style w:type="paragraph" w:styleId="15">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Subtitle"/>
    <w:basedOn w:val="1"/>
    <w:next w:val="1"/>
    <w:link w:val="36"/>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8">
    <w:name w:val="toc 2"/>
    <w:basedOn w:val="1"/>
    <w:next w:val="1"/>
    <w:unhideWhenUsed/>
    <w:qFormat/>
    <w:uiPriority w:val="39"/>
    <w:pPr>
      <w:tabs>
        <w:tab w:val="right" w:leader="dot" w:pos="9344"/>
      </w:tabs>
      <w:ind w:left="420" w:leftChars="200"/>
    </w:pPr>
  </w:style>
  <w:style w:type="paragraph" w:styleId="1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37"/>
    <w:qFormat/>
    <w:uiPriority w:val="10"/>
    <w:pPr>
      <w:spacing w:before="240" w:after="60"/>
      <w:jc w:val="center"/>
      <w:outlineLvl w:val="0"/>
    </w:pPr>
    <w:rPr>
      <w:rFonts w:eastAsia="宋体" w:asciiTheme="majorHAnsi" w:hAnsiTheme="majorHAnsi" w:cstheme="majorBidi"/>
      <w:b/>
      <w:bCs/>
      <w:sz w:val="32"/>
      <w:szCs w:val="32"/>
    </w:r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3"/>
    <w:unhideWhenUsed/>
    <w:qFormat/>
    <w:uiPriority w:val="99"/>
    <w:rPr>
      <w:color w:val="0000FF" w:themeColor="hyperlink"/>
      <w:u w:val="single"/>
    </w:rPr>
  </w:style>
  <w:style w:type="character" w:styleId="25">
    <w:name w:val="annotation reference"/>
    <w:basedOn w:val="23"/>
    <w:semiHidden/>
    <w:unhideWhenUsed/>
    <w:qFormat/>
    <w:uiPriority w:val="99"/>
    <w:rPr>
      <w:sz w:val="21"/>
      <w:szCs w:val="21"/>
    </w:rPr>
  </w:style>
  <w:style w:type="character" w:customStyle="1" w:styleId="26">
    <w:name w:val="页眉 Char"/>
    <w:basedOn w:val="23"/>
    <w:link w:val="15"/>
    <w:qFormat/>
    <w:uiPriority w:val="99"/>
    <w:rPr>
      <w:sz w:val="18"/>
      <w:szCs w:val="18"/>
    </w:rPr>
  </w:style>
  <w:style w:type="character" w:customStyle="1" w:styleId="27">
    <w:name w:val="页脚 Char"/>
    <w:basedOn w:val="23"/>
    <w:link w:val="14"/>
    <w:qFormat/>
    <w:uiPriority w:val="99"/>
    <w:rPr>
      <w:sz w:val="18"/>
      <w:szCs w:val="18"/>
    </w:rPr>
  </w:style>
  <w:style w:type="character" w:customStyle="1" w:styleId="28">
    <w:name w:val="批注框文本 Char"/>
    <w:basedOn w:val="23"/>
    <w:link w:val="13"/>
    <w:semiHidden/>
    <w:qFormat/>
    <w:uiPriority w:val="99"/>
    <w:rPr>
      <w:sz w:val="18"/>
      <w:szCs w:val="18"/>
    </w:rPr>
  </w:style>
  <w:style w:type="paragraph" w:styleId="29">
    <w:name w:val="List Paragraph"/>
    <w:basedOn w:val="1"/>
    <w:qFormat/>
    <w:uiPriority w:val="34"/>
    <w:pPr>
      <w:ind w:firstLine="420" w:firstLineChars="200"/>
    </w:pPr>
  </w:style>
  <w:style w:type="paragraph" w:customStyle="1" w:styleId="3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1">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2">
    <w:name w:val="标题 1 Char"/>
    <w:basedOn w:val="23"/>
    <w:link w:val="2"/>
    <w:qFormat/>
    <w:uiPriority w:val="99"/>
    <w:rPr>
      <w:rFonts w:ascii="Calibri" w:hAnsi="Calibri" w:eastAsia="宋体" w:cs="Times New Roman"/>
      <w:b/>
      <w:bCs/>
      <w:kern w:val="44"/>
      <w:sz w:val="44"/>
      <w:szCs w:val="44"/>
    </w:rPr>
  </w:style>
  <w:style w:type="paragraph" w:styleId="3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5">
    <w:name w:val="不明显强调1"/>
    <w:basedOn w:val="23"/>
    <w:qFormat/>
    <w:uiPriority w:val="19"/>
    <w:rPr>
      <w:i/>
      <w:iCs/>
      <w:color w:val="7E7E7E" w:themeColor="text1" w:themeTint="80"/>
    </w:rPr>
  </w:style>
  <w:style w:type="character" w:customStyle="1" w:styleId="36">
    <w:name w:val="副标题 Char"/>
    <w:basedOn w:val="23"/>
    <w:link w:val="17"/>
    <w:qFormat/>
    <w:uiPriority w:val="11"/>
    <w:rPr>
      <w:rFonts w:eastAsia="宋体" w:asciiTheme="majorHAnsi" w:hAnsiTheme="majorHAnsi" w:cstheme="majorBidi"/>
      <w:b/>
      <w:bCs/>
      <w:kern w:val="28"/>
      <w:sz w:val="32"/>
      <w:szCs w:val="32"/>
    </w:rPr>
  </w:style>
  <w:style w:type="character" w:customStyle="1" w:styleId="37">
    <w:name w:val="标题 Char"/>
    <w:basedOn w:val="23"/>
    <w:link w:val="20"/>
    <w:qFormat/>
    <w:uiPriority w:val="10"/>
    <w:rPr>
      <w:rFonts w:eastAsia="宋体" w:asciiTheme="majorHAnsi" w:hAnsiTheme="majorHAnsi" w:cstheme="majorBidi"/>
      <w:b/>
      <w:bCs/>
      <w:sz w:val="32"/>
      <w:szCs w:val="32"/>
    </w:rPr>
  </w:style>
  <w:style w:type="character" w:customStyle="1" w:styleId="38">
    <w:name w:val="标题 2 Char"/>
    <w:basedOn w:val="23"/>
    <w:link w:val="3"/>
    <w:qFormat/>
    <w:uiPriority w:val="9"/>
    <w:rPr>
      <w:rFonts w:asciiTheme="majorHAnsi" w:hAnsiTheme="majorHAnsi" w:eastAsiaTheme="majorEastAsia" w:cstheme="majorBidi"/>
      <w:b/>
      <w:bCs/>
      <w:sz w:val="32"/>
      <w:szCs w:val="32"/>
    </w:rPr>
  </w:style>
  <w:style w:type="character" w:customStyle="1" w:styleId="39">
    <w:name w:val="标题 3 Char"/>
    <w:basedOn w:val="23"/>
    <w:link w:val="4"/>
    <w:semiHidden/>
    <w:qFormat/>
    <w:uiPriority w:val="9"/>
    <w:rPr>
      <w:b/>
      <w:bCs/>
      <w:sz w:val="32"/>
      <w:szCs w:val="32"/>
    </w:rPr>
  </w:style>
  <w:style w:type="character" w:customStyle="1" w:styleId="40">
    <w:name w:val="正文文本缩进 2 Char"/>
    <w:basedOn w:val="23"/>
    <w:link w:val="12"/>
    <w:qFormat/>
    <w:uiPriority w:val="0"/>
    <w:rPr>
      <w:rFonts w:ascii="宋体" w:hAnsi="宋体" w:eastAsia="宋体" w:cs="Times New Roman"/>
      <w:snapToGrid w:val="0"/>
      <w:kern w:val="0"/>
      <w:szCs w:val="24"/>
    </w:rPr>
  </w:style>
  <w:style w:type="paragraph" w:customStyle="1" w:styleId="41">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2">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5">
    <w:name w:val="high-light-bg4"/>
    <w:basedOn w:val="23"/>
    <w:qFormat/>
    <w:uiPriority w:val="0"/>
  </w:style>
  <w:style w:type="character" w:customStyle="1" w:styleId="46">
    <w:name w:val="ordinary-span-edit2"/>
    <w:basedOn w:val="23"/>
    <w:qFormat/>
    <w:uiPriority w:val="0"/>
  </w:style>
  <w:style w:type="character" w:customStyle="1" w:styleId="47">
    <w:name w:val="日期 Char"/>
    <w:basedOn w:val="23"/>
    <w:link w:val="11"/>
    <w:semiHidden/>
    <w:qFormat/>
    <w:uiPriority w:val="99"/>
  </w:style>
  <w:style w:type="paragraph" w:customStyle="1" w:styleId="48">
    <w:name w:val="正文1"/>
    <w:qFormat/>
    <w:uiPriority w:val="0"/>
    <w:pPr>
      <w:jc w:val="both"/>
    </w:pPr>
    <w:rPr>
      <w:rFonts w:ascii="Calibri" w:hAnsi="Calibri" w:eastAsia="宋体" w:cs="宋体"/>
      <w:kern w:val="2"/>
      <w:sz w:val="21"/>
      <w:szCs w:val="21"/>
      <w:lang w:val="en-US" w:eastAsia="zh-CN" w:bidi="ar-SA"/>
    </w:rPr>
  </w:style>
  <w:style w:type="character" w:customStyle="1" w:styleId="49">
    <w:name w:val="dash6b63_6587__char1"/>
    <w:qFormat/>
    <w:uiPriority w:val="0"/>
    <w:rPr>
      <w:rFonts w:hint="default" w:ascii="Times New Roman" w:hAnsi="Times New Roman" w:cs="Times New Roman"/>
      <w:sz w:val="20"/>
      <w:szCs w:val="20"/>
      <w:u w:val="none"/>
    </w:rPr>
  </w:style>
  <w:style w:type="paragraph" w:customStyle="1" w:styleId="50">
    <w:name w:val="标准文件_前言、引言标题"/>
    <w:next w:val="1"/>
    <w:qFormat/>
    <w:uiPriority w:val="0"/>
    <w:pPr>
      <w:numPr>
        <w:ilvl w:val="0"/>
        <w:numId w:val="1"/>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51">
    <w:name w:val="章标题"/>
    <w:next w:val="52"/>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5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3">
    <w:name w:val="一级条标题"/>
    <w:next w:val="52"/>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54">
    <w:name w:val="二级无"/>
    <w:basedOn w:val="55"/>
    <w:qFormat/>
    <w:uiPriority w:val="0"/>
    <w:pPr>
      <w:spacing w:beforeLines="0" w:afterLines="0"/>
    </w:pPr>
    <w:rPr>
      <w:rFonts w:ascii="宋体" w:eastAsia="宋体"/>
    </w:rPr>
  </w:style>
  <w:style w:type="paragraph" w:customStyle="1" w:styleId="55">
    <w:name w:val="二级条标题"/>
    <w:basedOn w:val="53"/>
    <w:next w:val="52"/>
    <w:qFormat/>
    <w:uiPriority w:val="0"/>
    <w:pPr>
      <w:numPr>
        <w:ilvl w:val="2"/>
      </w:numPr>
      <w:spacing w:before="50" w:after="50"/>
      <w:outlineLvl w:val="3"/>
    </w:pPr>
  </w:style>
  <w:style w:type="paragraph" w:customStyle="1" w:styleId="56">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7">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8">
    <w:name w:val="注：（正文）"/>
    <w:basedOn w:val="59"/>
    <w:next w:val="52"/>
    <w:qFormat/>
    <w:uiPriority w:val="0"/>
  </w:style>
  <w:style w:type="paragraph" w:customStyle="1" w:styleId="59">
    <w:name w:val="注："/>
    <w:next w:val="52"/>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0">
    <w:name w:val="附录标识"/>
    <w:basedOn w:val="1"/>
    <w:next w:val="52"/>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1">
    <w:name w:val="正文表标题"/>
    <w:next w:val="52"/>
    <w:qFormat/>
    <w:uiPriority w:val="0"/>
    <w:pPr>
      <w:numPr>
        <w:ilvl w:val="0"/>
        <w:numId w:val="7"/>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62">
    <w:name w:val="Other|1"/>
    <w:basedOn w:val="1"/>
    <w:qFormat/>
    <w:uiPriority w:val="0"/>
    <w:rPr>
      <w:rFonts w:ascii="宋体" w:hAnsi="宋体" w:cs="宋体"/>
      <w:sz w:val="19"/>
      <w:szCs w:val="19"/>
      <w:lang w:val="zh-CN" w:bidi="zh-CN"/>
    </w:rPr>
  </w:style>
  <w:style w:type="paragraph" w:customStyle="1" w:styleId="63">
    <w:name w:val="终结线"/>
    <w:basedOn w:val="1"/>
    <w:qFormat/>
    <w:uiPriority w:val="0"/>
    <w:pPr>
      <w:framePr w:hSpace="181" w:vSpace="181" w:wrap="around" w:vAnchor="text" w:hAnchor="margin" w:xAlign="center" w:y="285"/>
    </w:pPr>
  </w:style>
  <w:style w:type="paragraph" w:customStyle="1" w:styleId="64">
    <w:name w:val="标准文件_术语条一"/>
    <w:basedOn w:val="65"/>
    <w:next w:val="68"/>
    <w:qFormat/>
    <w:uiPriority w:val="0"/>
  </w:style>
  <w:style w:type="paragraph" w:customStyle="1" w:styleId="65">
    <w:name w:val="标准文件_一级无标题"/>
    <w:basedOn w:val="66"/>
    <w:qFormat/>
    <w:uiPriority w:val="0"/>
    <w:pPr>
      <w:spacing w:beforeLines="0" w:afterLines="0"/>
      <w:outlineLvl w:val="9"/>
    </w:pPr>
    <w:rPr>
      <w:rFonts w:ascii="宋体" w:eastAsia="宋体"/>
    </w:rPr>
  </w:style>
  <w:style w:type="paragraph" w:customStyle="1" w:styleId="66">
    <w:name w:val="标准文件_一级条标题"/>
    <w:basedOn w:val="67"/>
    <w:next w:val="68"/>
    <w:qFormat/>
    <w:uiPriority w:val="0"/>
    <w:pPr>
      <w:numPr>
        <w:ilvl w:val="2"/>
      </w:numPr>
      <w:spacing w:beforeLines="50" w:afterLines="50"/>
      <w:outlineLvl w:val="1"/>
    </w:pPr>
  </w:style>
  <w:style w:type="paragraph" w:customStyle="1" w:styleId="67">
    <w:name w:val="标准文件_章标题"/>
    <w:next w:val="68"/>
    <w:qFormat/>
    <w:uiPriority w:val="0"/>
    <w:pPr>
      <w:numPr>
        <w:ilvl w:val="1"/>
        <w:numId w:val="8"/>
      </w:numPr>
      <w:spacing w:beforeLines="100" w:afterLines="100"/>
      <w:jc w:val="both"/>
      <w:outlineLvl w:val="0"/>
    </w:pPr>
    <w:rPr>
      <w:rFonts w:ascii="黑体" w:hAnsi="Times New Roman" w:eastAsia="黑体" w:cs="Times New Roman"/>
      <w:sz w:val="21"/>
      <w:lang w:val="en-US" w:eastAsia="zh-CN" w:bidi="ar-SA"/>
    </w:rPr>
  </w:style>
  <w:style w:type="paragraph" w:customStyle="1" w:styleId="6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9">
    <w:name w:val="标准文件_二级无标题"/>
    <w:basedOn w:val="70"/>
    <w:qFormat/>
    <w:uiPriority w:val="0"/>
    <w:pPr>
      <w:spacing w:beforeLines="0" w:afterLines="0"/>
      <w:outlineLvl w:val="9"/>
    </w:pPr>
    <w:rPr>
      <w:rFonts w:ascii="宋体" w:eastAsia="宋体"/>
    </w:rPr>
  </w:style>
  <w:style w:type="paragraph" w:customStyle="1" w:styleId="70">
    <w:name w:val="标准文件_二级条标题"/>
    <w:next w:val="68"/>
    <w:qFormat/>
    <w:uiPriority w:val="0"/>
    <w:pPr>
      <w:widowControl w:val="0"/>
      <w:numPr>
        <w:ilvl w:val="3"/>
        <w:numId w:val="8"/>
      </w:numPr>
      <w:spacing w:beforeLines="50" w:afterLines="50"/>
      <w:jc w:val="both"/>
      <w:outlineLvl w:val="2"/>
    </w:pPr>
    <w:rPr>
      <w:rFonts w:ascii="黑体" w:hAnsi="Times New Roman" w:eastAsia="黑体" w:cs="Times New Roman"/>
      <w:sz w:val="21"/>
      <w:lang w:val="en-US" w:eastAsia="zh-CN" w:bidi="ar-SA"/>
    </w:r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3">
    <w:name w:val="说明文字"/>
    <w:basedOn w:val="1"/>
    <w:qFormat/>
    <w:uiPriority w:val="0"/>
  </w:style>
  <w:style w:type="paragraph" w:customStyle="1" w:styleId="74">
    <w:name w:val="标准文件_附录一级条标题"/>
    <w:next w:val="68"/>
    <w:qFormat/>
    <w:uiPriority w:val="0"/>
    <w:pPr>
      <w:widowControl w:val="0"/>
      <w:numPr>
        <w:ilvl w:val="1"/>
        <w:numId w:val="6"/>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75">
    <w:name w:val="标准文件_附录图标题"/>
    <w:next w:val="68"/>
    <w:qFormat/>
    <w:uiPriority w:val="0"/>
    <w:pPr>
      <w:numPr>
        <w:ilvl w:val="1"/>
        <w:numId w:val="9"/>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76">
    <w:name w:val="标准文件_参考文献标题"/>
    <w:basedOn w:val="1"/>
    <w:next w:val="1"/>
    <w:qFormat/>
    <w:uiPriority w:val="0"/>
    <w:pPr>
      <w:widowControl/>
      <w:shd w:val="clear" w:color="FFFFFF" w:fill="FFFFFF"/>
      <w:spacing w:before="580" w:afterLines="50"/>
      <w:jc w:val="center"/>
      <w:outlineLvl w:val="0"/>
    </w:pPr>
    <w:rPr>
      <w:rFonts w:ascii="黑体" w:eastAsia="黑体"/>
      <w:kern w:val="0"/>
    </w:rPr>
  </w:style>
  <w:style w:type="character" w:customStyle="1" w:styleId="77">
    <w:name w:val="文档结构图 Char"/>
    <w:basedOn w:val="23"/>
    <w:link w:val="7"/>
    <w:semiHidden/>
    <w:qFormat/>
    <w:uiPriority w:val="99"/>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4"/>
    <customShpInfo spid="_x0000_s2053"/>
    <customShpInfo spid="_x0000_s2052"/>
    <customShpInfo spid="_x0000_s2051"/>
    <customShpInfo spid="_x0000_s2050"/>
    <customShpInfo spid="_x0000_s2049"/>
    <customShpInfo spid="_x0000_s1026"/>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CE365A-0DD9-4458-AC48-5BD79FE62549}">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10</Pages>
  <Words>3918</Words>
  <Characters>4086</Characters>
  <Lines>20</Lines>
  <Paragraphs>13</Paragraphs>
  <TotalTime>7</TotalTime>
  <ScaleCrop>false</ScaleCrop>
  <LinksUpToDate>false</LinksUpToDate>
  <CharactersWithSpaces>4386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2025-04-15T07:19:00Z</dcterms:created>
  <dc:creator>wy</dc:creator>
  <cp:lastModifiedBy>ZBY</cp:lastModifiedBy>
  <cp:lastPrinted>2025-04-18T09:01:00Z</cp:lastPrinted>
  <dcterms:modified xsi:type="dcterms:W3CDTF">2025-06-10T06:27:55Z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C25F770250E14F5DBA760E580A5C62DC_13</vt:lpwstr>
  </property>
  <property fmtid="{D5CDD505-2E9C-101B-9397-08002B2CF9AE}" pid="4" name="KSOTemplateDocerSaveRecord">
    <vt:lpwstr>eyJoZGlkIjoiODQ4ZWIwZWIxN2JmZDk1NTFlMmNiMjUxZGU0NzU5ZGUiLCJ1c2VySWQiOiIzNDU3NDkyNjEifQ==</vt:lpwstr>
  </property>
</Properties>
</file>